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8C30C" w14:textId="77777777" w:rsidR="00403C66" w:rsidRDefault="00000000">
      <w:pPr>
        <w:snapToGrid w:val="0"/>
        <w:spacing w:line="560" w:lineRule="exact"/>
        <w:jc w:val="center"/>
        <w:rPr>
          <w:rFonts w:ascii="方正小标宋_GBK" w:eastAsia="方正小标宋_GBK" w:hAnsi="Times New Roman"/>
          <w:sz w:val="44"/>
          <w:szCs w:val="44"/>
        </w:rPr>
      </w:pPr>
      <w:r>
        <w:rPr>
          <w:rFonts w:ascii="方正小标宋_GBK" w:eastAsia="方正小标宋_GBK" w:hAnsi="Times New Roman" w:hint="eastAsia"/>
          <w:sz w:val="44"/>
          <w:szCs w:val="44"/>
        </w:rPr>
        <w:t>北京市科学技术委员会部门整体</w:t>
      </w:r>
    </w:p>
    <w:p w14:paraId="711F93F9" w14:textId="77777777" w:rsidR="00403C66" w:rsidRDefault="00000000">
      <w:pPr>
        <w:snapToGrid w:val="0"/>
        <w:spacing w:line="560" w:lineRule="exact"/>
        <w:jc w:val="center"/>
        <w:rPr>
          <w:rFonts w:ascii="方正小标宋_GBK" w:eastAsia="方正小标宋_GBK" w:hAnsi="Times New Roman"/>
          <w:sz w:val="44"/>
          <w:szCs w:val="44"/>
        </w:rPr>
      </w:pPr>
      <w:r>
        <w:rPr>
          <w:rFonts w:ascii="方正小标宋_GBK" w:eastAsia="方正小标宋_GBK" w:hAnsi="Times New Roman" w:hint="eastAsia"/>
          <w:sz w:val="44"/>
          <w:szCs w:val="44"/>
        </w:rPr>
        <w:t>绩效评价报告</w:t>
      </w:r>
    </w:p>
    <w:p w14:paraId="637CB7E2" w14:textId="77777777" w:rsidR="00403C66" w:rsidRDefault="00403C66">
      <w:pPr>
        <w:snapToGrid w:val="0"/>
        <w:spacing w:line="560" w:lineRule="exact"/>
        <w:jc w:val="left"/>
        <w:rPr>
          <w:rFonts w:ascii="方正小标宋_GBK" w:eastAsia="方正小标宋_GBK" w:hAnsi="Times New Roman"/>
          <w:sz w:val="44"/>
          <w:szCs w:val="44"/>
        </w:rPr>
      </w:pPr>
    </w:p>
    <w:p w14:paraId="42A73FD4" w14:textId="77777777" w:rsidR="00403C66" w:rsidRDefault="00000000">
      <w:pPr>
        <w:pStyle w:val="2"/>
        <w:keepNext w:val="0"/>
        <w:keepLines w:val="0"/>
        <w:adjustRightInd w:val="0"/>
        <w:snapToGrid w:val="0"/>
        <w:spacing w:before="0" w:after="0" w:line="560" w:lineRule="exact"/>
        <w:ind w:firstLineChars="200" w:firstLine="640"/>
        <w:rPr>
          <w:rFonts w:ascii="黑体" w:eastAsia="黑体" w:hAnsi="黑体" w:hint="eastAsia"/>
          <w:b w:val="0"/>
          <w:bCs w:val="0"/>
        </w:rPr>
      </w:pPr>
      <w:bookmarkStart w:id="0" w:name="_Toc14188"/>
      <w:r>
        <w:rPr>
          <w:rFonts w:ascii="黑体" w:eastAsia="黑体" w:hAnsi="黑体" w:hint="eastAsia"/>
          <w:b w:val="0"/>
          <w:bCs w:val="0"/>
        </w:rPr>
        <w:t>一、部门概况</w:t>
      </w:r>
      <w:bookmarkEnd w:id="0"/>
    </w:p>
    <w:p w14:paraId="254882FB" w14:textId="77777777" w:rsidR="00403C66" w:rsidRDefault="00000000">
      <w:pPr>
        <w:pStyle w:val="2"/>
        <w:keepNext w:val="0"/>
        <w:keepLines w:val="0"/>
        <w:adjustRightInd w:val="0"/>
        <w:snapToGrid w:val="0"/>
        <w:spacing w:before="0" w:after="0" w:line="560" w:lineRule="exact"/>
        <w:ind w:firstLineChars="200" w:firstLine="640"/>
        <w:rPr>
          <w:rFonts w:ascii="楷体" w:eastAsia="楷体" w:hAnsi="楷体" w:hint="eastAsia"/>
          <w:b w:val="0"/>
          <w:bCs w:val="0"/>
        </w:rPr>
      </w:pPr>
      <w:bookmarkStart w:id="1" w:name="_Toc12382"/>
      <w:r>
        <w:rPr>
          <w:rFonts w:ascii="楷体" w:eastAsia="楷体" w:hAnsi="楷体" w:hint="eastAsia"/>
          <w:b w:val="0"/>
          <w:bCs w:val="0"/>
        </w:rPr>
        <w:t>（一）</w:t>
      </w:r>
      <w:bookmarkEnd w:id="1"/>
      <w:r>
        <w:rPr>
          <w:rFonts w:ascii="楷体" w:eastAsia="楷体" w:hAnsi="楷体" w:hint="eastAsia"/>
          <w:b w:val="0"/>
          <w:bCs w:val="0"/>
        </w:rPr>
        <w:t>机构设置及职责工作任务情况</w:t>
      </w:r>
    </w:p>
    <w:p w14:paraId="69D59E4A"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北京市科学技术委员会（简称市科委）是市政府组成部门，挂北京市外国专家局（简称市外专局）牌子；中关村科技园区管理委员会（简称中关村管委会）是市政府派出机构。市科委与中关村管委会合署办公，为正局级。</w:t>
      </w:r>
    </w:p>
    <w:p w14:paraId="4326652F"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市科委、中关村管委会贯彻落实党中央关于科技创新工作的方针政策、决策部署和市委有关工作要求，在履行职责过程中坚持和加强党对科技创新工作的集中统一领导。主要职责是：</w:t>
      </w:r>
    </w:p>
    <w:p w14:paraId="33048FEC"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1.贯彻落实国家创新驱动发展战略和科技工作的法律法规、规章和政策，起草本市相关地方性法规草案、政府规章草案，组织拟订相关政策措施并组织实施。</w:t>
      </w:r>
    </w:p>
    <w:p w14:paraId="51120E06"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2.牵头推进国际科技创新中心建设。承担北京推进科技创新中心建设办公室秘书处职能，组织拟订相关工作方案及年度计划，并开展监督落实。</w:t>
      </w:r>
    </w:p>
    <w:p w14:paraId="3CB0EC59"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6A67E8F2"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4.推进本市重大科技决策咨询制度建设。负责提出科技发</w:t>
      </w:r>
      <w:r>
        <w:rPr>
          <w:rFonts w:ascii="仿宋_GB2312" w:eastAsia="仿宋_GB2312" w:hAnsi="仿宋" w:hint="eastAsia"/>
          <w:bCs/>
          <w:sz w:val="32"/>
          <w:szCs w:val="32"/>
        </w:rPr>
        <w:lastRenderedPageBreak/>
        <w:t>展战略建议。提出科技发展布局和优先发展领域。拟订促进科技文化融合发展、科学普及、科学传播规划政策并组织实施。</w:t>
      </w:r>
    </w:p>
    <w:p w14:paraId="2F608B38"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5.拟订本市基础研究规划、政策并组织实施，组织协调基础研究和应用基础研究。参与重大科技基础设施建设和运行。提出科研条件保障规划和政策建议，推进科研条件保障建设和科技资源开放共享。</w:t>
      </w:r>
    </w:p>
    <w:p w14:paraId="25C9AE20"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4529BFBE"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6DADA5C0"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8.组织拟订本市高新技术发展及产业化、科技服务业、科技促进城市发展的规划、政策及措施。</w:t>
      </w:r>
    </w:p>
    <w:p w14:paraId="39BCACC3"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163C91FB"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10.拟订本市科技项目管理的政策措施。负责科学技术奖励组织实施及自然科学基金管理。承担科技信息、科技统计、创新调查和科研成果报告工作。依据市政府授权，履行所监管企</w:t>
      </w:r>
      <w:r>
        <w:rPr>
          <w:rFonts w:ascii="仿宋_GB2312" w:eastAsia="仿宋_GB2312" w:hAnsi="仿宋" w:hint="eastAsia"/>
          <w:bCs/>
          <w:sz w:val="32"/>
          <w:szCs w:val="32"/>
        </w:rPr>
        <w:lastRenderedPageBreak/>
        <w:t>业出资人职责，依法对所监管企业国有资产进行监督管理，并加强业务指导。指导科技保密工作。</w:t>
      </w:r>
    </w:p>
    <w:p w14:paraId="2CB8F532"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11.负责本市科技监督评价体系建设和相关科技评估管理，统筹开展全市科研诚信建设工作。开展科技评估评价和监督检查工作。</w:t>
      </w:r>
    </w:p>
    <w:p w14:paraId="4EA33CAE"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675BBDEB"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13.拟订本市科技人才队伍建设规划和政策，建立健全科技人才评价和激励机制，组织实施科技人才计划，推动高端科技创新人才队伍建设，统筹推进中关村科技园区人才工作。</w:t>
      </w:r>
    </w:p>
    <w:p w14:paraId="4591D0FD"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14.指导各区科技创新工作，联系市有关部门科技创新工作。统筹推进本市与各省区市的科技领域交流合作、科技协作和支援合作工作。</w:t>
      </w:r>
    </w:p>
    <w:p w14:paraId="060B53FA"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7BA15E08"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16.负责中关村科技园区发展建设工作，承担统筹、规划、组织、协调、服务中关村国家自主创新示范区建设与发展的有关具体工作。组织研究园区发展规划、政策及相关改革方案，</w:t>
      </w:r>
      <w:r>
        <w:rPr>
          <w:rFonts w:ascii="仿宋_GB2312" w:eastAsia="仿宋_GB2312" w:hAnsi="仿宋" w:hint="eastAsia"/>
          <w:bCs/>
          <w:sz w:val="32"/>
          <w:szCs w:val="32"/>
        </w:rPr>
        <w:lastRenderedPageBreak/>
        <w:t>并协调落实。</w:t>
      </w:r>
    </w:p>
    <w:p w14:paraId="78A14C4B"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5EF8CEF5"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w:t>
      </w:r>
      <w:proofErr w:type="gramStart"/>
      <w:r>
        <w:rPr>
          <w:rFonts w:ascii="仿宋_GB2312" w:eastAsia="仿宋_GB2312" w:hAnsi="仿宋" w:hint="eastAsia"/>
          <w:bCs/>
          <w:sz w:val="32"/>
          <w:szCs w:val="32"/>
        </w:rPr>
        <w:t>各园高端化</w:t>
      </w:r>
      <w:proofErr w:type="gramEnd"/>
      <w:r>
        <w:rPr>
          <w:rFonts w:ascii="仿宋_GB2312" w:eastAsia="仿宋_GB2312" w:hAnsi="仿宋" w:hint="eastAsia"/>
          <w:bCs/>
          <w:sz w:val="32"/>
          <w:szCs w:val="32"/>
        </w:rPr>
        <w:t>、特色化、差异化发展，服务区域协调发展。</w:t>
      </w:r>
    </w:p>
    <w:p w14:paraId="0A2874A2"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19.完成市委、市政府交办的其他任务。</w:t>
      </w:r>
    </w:p>
    <w:p w14:paraId="4D0F2658"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20.职能转变。</w:t>
      </w:r>
    </w:p>
    <w:p w14:paraId="593EE059"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5C31A320"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774BF8EF"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lastRenderedPageBreak/>
        <w:t>（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3899E1C2"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（4）全面促进科技成果转化。加强对创新主体的支持，促进产学研深度融合，加快科技成果转化。提升中关村科技园区自主创新能力建设，推动关键技术的示范应用，支撑高精尖产业高质量发展。</w:t>
      </w:r>
    </w:p>
    <w:p w14:paraId="0276AFEA"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（5）持续优化创新生态。完善科技治理体系，提高创新体系效能，增强</w:t>
      </w:r>
      <w:proofErr w:type="gramStart"/>
      <w:r>
        <w:rPr>
          <w:rFonts w:ascii="仿宋_GB2312" w:eastAsia="仿宋_GB2312" w:hAnsi="仿宋" w:hint="eastAsia"/>
          <w:bCs/>
          <w:sz w:val="32"/>
          <w:szCs w:val="32"/>
        </w:rPr>
        <w:t>创新策源功能</w:t>
      </w:r>
      <w:proofErr w:type="gramEnd"/>
      <w:r>
        <w:rPr>
          <w:rFonts w:ascii="仿宋_GB2312" w:eastAsia="仿宋_GB2312" w:hAnsi="仿宋" w:hint="eastAsia"/>
          <w:bCs/>
          <w:sz w:val="32"/>
          <w:szCs w:val="32"/>
        </w:rPr>
        <w:t>。发挥政府制度创新的能动作用和市场配置资源的决定性作用，强化企业创新主体地位，激发创新创造活力。加强科技合作交流和智力引进，加快融入全球科技创新网络，提升科技创新影响力。</w:t>
      </w:r>
    </w:p>
    <w:p w14:paraId="1E474EB8"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30A3B0DA" w14:textId="77777777" w:rsidR="00403C66" w:rsidRDefault="00000000">
      <w:pPr>
        <w:adjustRightInd w:val="0"/>
        <w:snapToGrid w:val="0"/>
        <w:spacing w:line="560" w:lineRule="exact"/>
        <w:ind w:firstLineChars="200" w:firstLine="640"/>
        <w:rPr>
          <w:rFonts w:ascii="仿宋_GB2312" w:eastAsia="仿宋_GB2312" w:hAnsi="仿宋" w:hint="eastAsia"/>
          <w:bCs/>
          <w:sz w:val="32"/>
          <w:szCs w:val="32"/>
        </w:rPr>
      </w:pPr>
      <w:r>
        <w:rPr>
          <w:rFonts w:ascii="仿宋_GB2312" w:eastAsia="仿宋_GB2312" w:hAnsi="仿宋" w:hint="eastAsia"/>
          <w:bCs/>
          <w:sz w:val="32"/>
          <w:szCs w:val="32"/>
        </w:rPr>
        <w:t>下属预算单位有21家，分别为：北京市科学技术委员会本</w:t>
      </w:r>
      <w:r>
        <w:rPr>
          <w:rFonts w:ascii="仿宋_GB2312" w:eastAsia="仿宋_GB2312" w:hAnsi="仿宋" w:hint="eastAsia"/>
          <w:bCs/>
          <w:sz w:val="32"/>
          <w:szCs w:val="32"/>
        </w:rPr>
        <w:lastRenderedPageBreak/>
        <w:t>级行政，中关村科技园区管理委员会（本级），北京市科学技术委员会本级事业，北京科技创新促进中心，北京市实验动物管理办公室（北京市人类遗传资源管理办公室），北京市自然科学基金委员会办公室，北京市科学技术奖励工作办公室，北京技术市场管理办公室，北京科技创新研究中心，北京科技成果转化服务中心，北京市实验室服务保障中心，北京医药健康科技发展中心，北京科技审评中心，北京新材料和新能源科技发展中心，中关村高科技产业促进中心，中关村政府采购促进中心，北京科技人才发展中心（北京海外学人中心中关村分中心），北京信息科技发展中心，北京国际科技合作中心（北京港澳台科技合作中心），北京市科学技术委员会、中关村科技园区管理委员会综合事务中心，北京软件产品质量检测检验中心。</w:t>
      </w:r>
    </w:p>
    <w:p w14:paraId="12C47B08" w14:textId="77777777" w:rsidR="00403C66" w:rsidRDefault="00000000">
      <w:pPr>
        <w:pStyle w:val="2"/>
        <w:keepNext w:val="0"/>
        <w:keepLines w:val="0"/>
        <w:adjustRightInd w:val="0"/>
        <w:snapToGrid w:val="0"/>
        <w:spacing w:before="0" w:after="0" w:line="560" w:lineRule="exact"/>
        <w:ind w:firstLineChars="200" w:firstLine="640"/>
        <w:rPr>
          <w:rFonts w:ascii="楷体" w:eastAsia="楷体" w:hAnsi="楷体" w:hint="eastAsia"/>
          <w:b w:val="0"/>
          <w:bCs w:val="0"/>
        </w:rPr>
      </w:pPr>
      <w:bookmarkStart w:id="2" w:name="_Toc28319"/>
      <w:r>
        <w:rPr>
          <w:rFonts w:ascii="楷体" w:eastAsia="楷体" w:hAnsi="楷体" w:hint="eastAsia"/>
          <w:b w:val="0"/>
          <w:bCs w:val="0"/>
        </w:rPr>
        <w:t>（二）部门整体绩效目标设立情况</w:t>
      </w:r>
      <w:bookmarkEnd w:id="2"/>
    </w:p>
    <w:p w14:paraId="16B0A199" w14:textId="77777777" w:rsidR="00403C66" w:rsidRDefault="00000000">
      <w:pPr>
        <w:adjustRightInd w:val="0"/>
        <w:snapToGrid w:val="0"/>
        <w:spacing w:line="560" w:lineRule="exact"/>
        <w:ind w:firstLineChars="200" w:firstLine="640"/>
        <w:rPr>
          <w:rFonts w:ascii="仿宋_GB2312" w:eastAsia="仿宋_GB2312" w:hAnsi="仿宋" w:hint="eastAsia"/>
          <w:bCs/>
          <w:color w:val="000000" w:themeColor="text1"/>
          <w:sz w:val="32"/>
          <w:szCs w:val="32"/>
        </w:rPr>
      </w:pPr>
      <w:r>
        <w:rPr>
          <w:rFonts w:ascii="仿宋_GB2312" w:eastAsia="仿宋_GB2312" w:hAnsi="仿宋" w:hint="eastAsia"/>
          <w:bCs/>
          <w:color w:val="000000" w:themeColor="text1"/>
          <w:sz w:val="32"/>
          <w:szCs w:val="32"/>
        </w:rPr>
        <w:t>市科委、中关村管委会结合部门职责、2024年重点工作任务及财政资金分配使用计划，制定了《北京市科学技术委员会2024年部门整体支出绩效目标申报表》，明确了部门总体绩效目标：2024年，坚持以习近平新时代中国特色社会主义思想为指导，深入学习贯彻党的二十大精神、习近平总书记关于国际科技创新中心建设和2023中关村论坛重要视频致辞精神，全面落实党和国家机构改革总体部署和本市有关要求，坚持“五子”联动服务和融入新发展格局，充分发挥北京教育、科技、人才优势，谋划推动各项重大任务，加快建设北京国际科技创新中心和世界领先科技园区，努力实现高水平科技自立自强，更好</w:t>
      </w:r>
      <w:r>
        <w:rPr>
          <w:rFonts w:ascii="仿宋_GB2312" w:eastAsia="仿宋_GB2312" w:hAnsi="仿宋" w:hint="eastAsia"/>
          <w:bCs/>
          <w:color w:val="000000" w:themeColor="text1"/>
          <w:sz w:val="32"/>
          <w:szCs w:val="32"/>
        </w:rPr>
        <w:lastRenderedPageBreak/>
        <w:t>支撑科技强国建设。</w:t>
      </w:r>
    </w:p>
    <w:p w14:paraId="11342D32" w14:textId="77777777" w:rsidR="00403C66" w:rsidRDefault="00000000">
      <w:pPr>
        <w:adjustRightInd w:val="0"/>
        <w:snapToGrid w:val="0"/>
        <w:spacing w:line="560" w:lineRule="exact"/>
        <w:ind w:firstLineChars="200" w:firstLine="640"/>
        <w:rPr>
          <w:rFonts w:ascii="仿宋_GB2312" w:eastAsia="仿宋_GB2312" w:hAnsi="仿宋" w:hint="eastAsia"/>
          <w:bCs/>
          <w:color w:val="000000" w:themeColor="text1"/>
          <w:sz w:val="32"/>
          <w:szCs w:val="32"/>
        </w:rPr>
      </w:pPr>
      <w:r>
        <w:rPr>
          <w:rFonts w:ascii="仿宋_GB2312" w:eastAsia="仿宋_GB2312" w:hAnsi="仿宋" w:hint="eastAsia"/>
          <w:bCs/>
          <w:color w:val="000000" w:themeColor="text1"/>
          <w:sz w:val="32"/>
          <w:szCs w:val="32"/>
        </w:rPr>
        <w:t>一是加强统筹谋划，抓好</w:t>
      </w:r>
      <w:proofErr w:type="gramStart"/>
      <w:r>
        <w:rPr>
          <w:rFonts w:ascii="仿宋_GB2312" w:eastAsia="仿宋_GB2312" w:hAnsi="仿宋" w:hint="eastAsia"/>
          <w:bCs/>
          <w:color w:val="000000" w:themeColor="text1"/>
          <w:sz w:val="32"/>
          <w:szCs w:val="32"/>
        </w:rPr>
        <w:t>科创中心</w:t>
      </w:r>
      <w:proofErr w:type="gramEnd"/>
      <w:r>
        <w:rPr>
          <w:rFonts w:ascii="仿宋_GB2312" w:eastAsia="仿宋_GB2312" w:hAnsi="仿宋" w:hint="eastAsia"/>
          <w:bCs/>
          <w:color w:val="000000" w:themeColor="text1"/>
          <w:sz w:val="32"/>
          <w:szCs w:val="32"/>
        </w:rPr>
        <w:t>建设顶层部署的贯彻落实。切实抓好《深入贯彻落实习近平总书记重要批示精神 加快推动北京国际科技创新中心建设的工作方案》落地实施。围绕“一计划两规划”（《“十四五”北京国际科技创新中心建设战略行动计划》《北京市“十四五”时期国际科技创新中心建设规划》《“十四五”时期中关村国家自主创新示范区发展建设规划》），部署好2024年度重点任务、重点项目、重点平台、重点政策制定，统筹推动年度工作计划实施。</w:t>
      </w:r>
    </w:p>
    <w:p w14:paraId="19B69D00" w14:textId="77777777" w:rsidR="00403C66" w:rsidRDefault="00000000">
      <w:pPr>
        <w:adjustRightInd w:val="0"/>
        <w:snapToGrid w:val="0"/>
        <w:spacing w:line="560" w:lineRule="exact"/>
        <w:ind w:firstLineChars="200" w:firstLine="640"/>
        <w:rPr>
          <w:rFonts w:ascii="仿宋_GB2312" w:eastAsia="仿宋_GB2312" w:hAnsi="仿宋" w:hint="eastAsia"/>
          <w:bCs/>
          <w:color w:val="000000" w:themeColor="text1"/>
          <w:sz w:val="32"/>
          <w:szCs w:val="32"/>
        </w:rPr>
      </w:pPr>
      <w:r>
        <w:rPr>
          <w:rFonts w:ascii="仿宋_GB2312" w:eastAsia="仿宋_GB2312" w:hAnsi="仿宋" w:hint="eastAsia"/>
          <w:bCs/>
          <w:color w:val="000000" w:themeColor="text1"/>
          <w:sz w:val="32"/>
          <w:szCs w:val="32"/>
        </w:rPr>
        <w:t>二是积极探索新型举国体制，抓好具有北京特色的国家战略科技力量建设。着力打造以国家实验室为引领的战略科技力量，推进在京全国重点实验室体系化布局和集聚区建设。布局建设一批北京市重点实验室。深入落实《北京市支持世界一流新型研发机构高质量发展实施办法》，支持世界一流新型研发机构建设，产出一批原创性重大成果。</w:t>
      </w:r>
    </w:p>
    <w:p w14:paraId="0DB1C792" w14:textId="77777777" w:rsidR="00403C66" w:rsidRDefault="00000000">
      <w:pPr>
        <w:adjustRightInd w:val="0"/>
        <w:snapToGrid w:val="0"/>
        <w:spacing w:line="560" w:lineRule="exact"/>
        <w:ind w:firstLineChars="200" w:firstLine="640"/>
        <w:rPr>
          <w:rFonts w:ascii="仿宋_GB2312" w:eastAsia="仿宋_GB2312" w:hAnsi="仿宋" w:hint="eastAsia"/>
          <w:bCs/>
          <w:color w:val="000000" w:themeColor="text1"/>
          <w:sz w:val="32"/>
          <w:szCs w:val="32"/>
        </w:rPr>
      </w:pPr>
      <w:r>
        <w:rPr>
          <w:rFonts w:ascii="仿宋_GB2312" w:eastAsia="仿宋_GB2312" w:hAnsi="仿宋" w:hint="eastAsia"/>
          <w:bCs/>
          <w:color w:val="000000" w:themeColor="text1"/>
          <w:sz w:val="32"/>
          <w:szCs w:val="32"/>
        </w:rPr>
        <w:t>三是布局重大科技项目群，抓好基础研究和关键核心技术攻关。加快实施基础研究领先行动方案和关键核心技术攻坚战行动计划，加强基础研究和原始创新，开展“卡脖子”关键核心技术、颠覆性技术攻关。强化基础研究前瞻性、战略性、系统性布局，鼓励自由探索和原创性研究，增强源头创新能力。围绕新一代信息技术、医药健康、新材料、新能源等关键核心技术领域，加大人工智能、6G、车</w:t>
      </w:r>
      <w:proofErr w:type="gramStart"/>
      <w:r>
        <w:rPr>
          <w:rFonts w:ascii="仿宋_GB2312" w:eastAsia="仿宋_GB2312" w:hAnsi="仿宋" w:hint="eastAsia"/>
          <w:bCs/>
          <w:color w:val="000000" w:themeColor="text1"/>
          <w:sz w:val="32"/>
          <w:szCs w:val="32"/>
        </w:rPr>
        <w:t>规</w:t>
      </w:r>
      <w:proofErr w:type="gramEnd"/>
      <w:r>
        <w:rPr>
          <w:rFonts w:ascii="仿宋_GB2312" w:eastAsia="仿宋_GB2312" w:hAnsi="仿宋" w:hint="eastAsia"/>
          <w:bCs/>
          <w:color w:val="000000" w:themeColor="text1"/>
          <w:sz w:val="32"/>
          <w:szCs w:val="32"/>
        </w:rPr>
        <w:t>级芯片、前沿新材料、细胞与基因治疗等原创性、引领性科技攻关力度，着力培育高精尖产业新动能。围绕经济与社会发展的重大需求领域，支持城</w:t>
      </w:r>
      <w:r>
        <w:rPr>
          <w:rFonts w:ascii="仿宋_GB2312" w:eastAsia="仿宋_GB2312" w:hAnsi="仿宋" w:hint="eastAsia"/>
          <w:bCs/>
          <w:color w:val="000000" w:themeColor="text1"/>
          <w:sz w:val="32"/>
          <w:szCs w:val="32"/>
        </w:rPr>
        <w:lastRenderedPageBreak/>
        <w:t>市科技、文化科技等事关国计民生的重大社会公益性研究。</w:t>
      </w:r>
    </w:p>
    <w:p w14:paraId="7841D2D9" w14:textId="77777777" w:rsidR="00403C66" w:rsidRDefault="00000000">
      <w:pPr>
        <w:adjustRightInd w:val="0"/>
        <w:snapToGrid w:val="0"/>
        <w:spacing w:line="560" w:lineRule="exact"/>
        <w:ind w:firstLineChars="200" w:firstLine="640"/>
        <w:rPr>
          <w:rFonts w:ascii="仿宋_GB2312" w:eastAsia="仿宋_GB2312" w:hAnsi="仿宋" w:hint="eastAsia"/>
          <w:bCs/>
          <w:color w:val="000000" w:themeColor="text1"/>
          <w:sz w:val="32"/>
          <w:szCs w:val="32"/>
        </w:rPr>
      </w:pPr>
      <w:r>
        <w:rPr>
          <w:rFonts w:ascii="仿宋_GB2312" w:eastAsia="仿宋_GB2312" w:hAnsi="仿宋" w:hint="eastAsia"/>
          <w:bCs/>
          <w:color w:val="000000" w:themeColor="text1"/>
          <w:sz w:val="32"/>
          <w:szCs w:val="32"/>
        </w:rPr>
        <w:t>四是强化统筹协同推进，抓好中关村世界领先科技园区建设。落实《中关村世界领先科技园区建设方案》，深入推进中关村新一轮先行先试改革。落实好《关于加快中关村国家自主创新示范区分园高质量发展的指导意见》《中关村国家自主创新示范区分园三年提升发展行动方案（2023-2025年）》等政策，推动中关村分园管理体制机制持续优化，促进一区多园统筹发展，打造一批标杆性高质量特色产业园。强化企业创新主体地位，持续构建完善科技型企业全周期支持与服务体系，分层分类培育支持科技领军企业、“独角兽”企业、高新技术企业、科技型中小企业等。加强应用场景建设，促进企业技术创新快速迭代。</w:t>
      </w:r>
    </w:p>
    <w:p w14:paraId="1042D27C" w14:textId="77777777" w:rsidR="00403C66" w:rsidRDefault="00000000">
      <w:pPr>
        <w:adjustRightInd w:val="0"/>
        <w:snapToGrid w:val="0"/>
        <w:spacing w:line="560" w:lineRule="exact"/>
        <w:ind w:firstLineChars="200" w:firstLine="640"/>
        <w:rPr>
          <w:rFonts w:ascii="仿宋_GB2312" w:eastAsia="仿宋_GB2312" w:hAnsi="仿宋" w:hint="eastAsia"/>
          <w:bCs/>
          <w:color w:val="000000" w:themeColor="text1"/>
          <w:sz w:val="32"/>
          <w:szCs w:val="32"/>
        </w:rPr>
      </w:pPr>
      <w:r>
        <w:rPr>
          <w:rFonts w:ascii="仿宋_GB2312" w:eastAsia="仿宋_GB2312" w:hAnsi="仿宋" w:hint="eastAsia"/>
          <w:bCs/>
          <w:color w:val="000000" w:themeColor="text1"/>
          <w:sz w:val="32"/>
          <w:szCs w:val="32"/>
        </w:rPr>
        <w:t>五是深化科技体制改革，抓好世界一流开放创新生态环境建设。推动《北京国际科技创新中心建设条例》颁布实施。持续深化科技体制改革攻坚，优化重大科技项目立项和组织管理方式，推进科技成果评价改革，激发科技创新人才和广大创新主体活力。加快推进中关村</w:t>
      </w:r>
      <w:proofErr w:type="gramStart"/>
      <w:r>
        <w:rPr>
          <w:rFonts w:ascii="仿宋_GB2312" w:eastAsia="仿宋_GB2312" w:hAnsi="仿宋" w:hint="eastAsia"/>
          <w:bCs/>
          <w:color w:val="000000" w:themeColor="text1"/>
          <w:sz w:val="32"/>
          <w:szCs w:val="32"/>
        </w:rPr>
        <w:t>科创金融</w:t>
      </w:r>
      <w:proofErr w:type="gramEnd"/>
      <w:r>
        <w:rPr>
          <w:rFonts w:ascii="仿宋_GB2312" w:eastAsia="仿宋_GB2312" w:hAnsi="仿宋" w:hint="eastAsia"/>
          <w:bCs/>
          <w:color w:val="000000" w:themeColor="text1"/>
          <w:sz w:val="32"/>
          <w:szCs w:val="32"/>
        </w:rPr>
        <w:t>试验区建设，着力引导创业投资集聚发展，</w:t>
      </w:r>
      <w:proofErr w:type="gramStart"/>
      <w:r>
        <w:rPr>
          <w:rFonts w:ascii="仿宋_GB2312" w:eastAsia="仿宋_GB2312" w:hAnsi="仿宋" w:hint="eastAsia"/>
          <w:bCs/>
          <w:color w:val="000000" w:themeColor="text1"/>
          <w:sz w:val="32"/>
          <w:szCs w:val="32"/>
        </w:rPr>
        <w:t>构建全</w:t>
      </w:r>
      <w:proofErr w:type="gramEnd"/>
      <w:r>
        <w:rPr>
          <w:rFonts w:ascii="仿宋_GB2312" w:eastAsia="仿宋_GB2312" w:hAnsi="仿宋" w:hint="eastAsia"/>
          <w:bCs/>
          <w:color w:val="000000" w:themeColor="text1"/>
          <w:sz w:val="32"/>
          <w:szCs w:val="32"/>
        </w:rPr>
        <w:t>链条的科技金融支持机制。完善人才发展机制，培育和引进</w:t>
      </w:r>
      <w:proofErr w:type="gramStart"/>
      <w:r>
        <w:rPr>
          <w:rFonts w:ascii="仿宋_GB2312" w:eastAsia="仿宋_GB2312" w:hAnsi="仿宋" w:hint="eastAsia"/>
          <w:bCs/>
          <w:color w:val="000000" w:themeColor="text1"/>
          <w:sz w:val="32"/>
          <w:szCs w:val="32"/>
        </w:rPr>
        <w:t>紧缺科技</w:t>
      </w:r>
      <w:proofErr w:type="gramEnd"/>
      <w:r>
        <w:rPr>
          <w:rFonts w:ascii="仿宋_GB2312" w:eastAsia="仿宋_GB2312" w:hAnsi="仿宋" w:hint="eastAsia"/>
          <w:bCs/>
          <w:color w:val="000000" w:themeColor="text1"/>
          <w:sz w:val="32"/>
          <w:szCs w:val="32"/>
        </w:rPr>
        <w:t>创新人才，加快打造高水平人才高地。优化创新支撑能力，支持建设市场化专业化技术转移机构，打造一批标杆</w:t>
      </w:r>
      <w:proofErr w:type="gramStart"/>
      <w:r>
        <w:rPr>
          <w:rFonts w:ascii="仿宋_GB2312" w:eastAsia="仿宋_GB2312" w:hAnsi="仿宋" w:hint="eastAsia"/>
          <w:bCs/>
          <w:color w:val="000000" w:themeColor="text1"/>
          <w:sz w:val="32"/>
          <w:szCs w:val="32"/>
        </w:rPr>
        <w:t>型硬科技</w:t>
      </w:r>
      <w:proofErr w:type="gramEnd"/>
      <w:r>
        <w:rPr>
          <w:rFonts w:ascii="仿宋_GB2312" w:eastAsia="仿宋_GB2312" w:hAnsi="仿宋" w:hint="eastAsia"/>
          <w:bCs/>
          <w:color w:val="000000" w:themeColor="text1"/>
          <w:sz w:val="32"/>
          <w:szCs w:val="32"/>
        </w:rPr>
        <w:t>孵化器，大力推进科技成果转化和产业化。坚持“走出去”“请进来”相结合，支持在京举办高规格学术会议、创建高水平科学期刊，搭建多层次多类型国际科技合作交流平台，持续吸引和集聚国际科技组织、外资研</w:t>
      </w:r>
      <w:r>
        <w:rPr>
          <w:rFonts w:ascii="仿宋_GB2312" w:eastAsia="仿宋_GB2312" w:hAnsi="仿宋" w:hint="eastAsia"/>
          <w:bCs/>
          <w:color w:val="000000" w:themeColor="text1"/>
          <w:sz w:val="32"/>
          <w:szCs w:val="32"/>
        </w:rPr>
        <w:lastRenderedPageBreak/>
        <w:t>发中心等在京发展。落实好《京津冀协同发展科技创新协同专题工作组工作机制》，加快推进京津冀协同创新共同体建设。高标准办好2024中关村论坛，进一步提升论坛国家级平台的影响力。</w:t>
      </w:r>
    </w:p>
    <w:p w14:paraId="6E919811" w14:textId="77777777" w:rsidR="00403C66" w:rsidRDefault="00000000">
      <w:pPr>
        <w:adjustRightInd w:val="0"/>
        <w:snapToGrid w:val="0"/>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根据总体目标并结合工作重点，我委从国家战略科技力量培育、加强原创性引领性科技攻关，突破关键核心技术、科技人才、城市科技创新等方面设定了绩效指标，指标设定与全委职能任务匹配，符合相关法律法规的要求及部门整体支出的客观实际，目标依据充分，具有一定的可操作性和可实现性。</w:t>
      </w:r>
    </w:p>
    <w:p w14:paraId="6283A6C8" w14:textId="77777777" w:rsidR="00403C66" w:rsidRDefault="00000000">
      <w:pPr>
        <w:pStyle w:val="2"/>
        <w:keepNext w:val="0"/>
        <w:keepLines w:val="0"/>
        <w:adjustRightInd w:val="0"/>
        <w:snapToGrid w:val="0"/>
        <w:spacing w:before="0" w:after="0" w:line="560" w:lineRule="exact"/>
        <w:ind w:firstLineChars="200" w:firstLine="640"/>
        <w:rPr>
          <w:rFonts w:ascii="黑体" w:eastAsia="黑体" w:hAnsi="黑体" w:hint="eastAsia"/>
          <w:b w:val="0"/>
          <w:bCs w:val="0"/>
        </w:rPr>
      </w:pPr>
      <w:bookmarkStart w:id="3" w:name="_Toc6298"/>
      <w:r>
        <w:rPr>
          <w:rFonts w:ascii="黑体" w:eastAsia="黑体" w:hAnsi="黑体" w:hint="eastAsia"/>
          <w:b w:val="0"/>
          <w:bCs w:val="0"/>
        </w:rPr>
        <w:t>二、当年预算执行情况</w:t>
      </w:r>
      <w:bookmarkEnd w:id="3"/>
    </w:p>
    <w:p w14:paraId="6FA221FE" w14:textId="77777777" w:rsidR="00403C66" w:rsidRDefault="00000000">
      <w:pPr>
        <w:adjustRightInd w:val="0"/>
        <w:snapToGrid w:val="0"/>
        <w:spacing w:line="560" w:lineRule="exact"/>
        <w:ind w:firstLineChars="200" w:firstLine="640"/>
        <w:rPr>
          <w:rFonts w:ascii="仿宋_GB2312" w:eastAsia="仿宋_GB2312" w:hAnsi="仿宋" w:hint="eastAsia"/>
          <w:color w:val="000000" w:themeColor="text1"/>
          <w:sz w:val="32"/>
          <w:szCs w:val="32"/>
        </w:rPr>
      </w:pPr>
      <w:r>
        <w:rPr>
          <w:rFonts w:ascii="仿宋_GB2312" w:eastAsia="仿宋_GB2312" w:hAnsi="仿宋" w:hint="eastAsia"/>
          <w:color w:val="000000" w:themeColor="text1"/>
          <w:sz w:val="32"/>
          <w:szCs w:val="32"/>
        </w:rPr>
        <w:t>2024年全年预算数1,291,557.39万元。其中，基本支出预算数33,610.06万元，项目支出预算数1,254,783.95万元，经营支出预算数3,163.38万元。全年支出1,092,812.36万元，其中，基本支出26,800.83万元，项目支出1,062,849.65万元，经营支出3,161.89万元，预算执行率为84.61%。</w:t>
      </w:r>
    </w:p>
    <w:p w14:paraId="39FEF739" w14:textId="77777777" w:rsidR="00403C66" w:rsidRDefault="00000000">
      <w:pPr>
        <w:pStyle w:val="2"/>
        <w:keepNext w:val="0"/>
        <w:keepLines w:val="0"/>
        <w:adjustRightInd w:val="0"/>
        <w:snapToGrid w:val="0"/>
        <w:spacing w:before="0" w:after="0" w:line="560" w:lineRule="exact"/>
        <w:ind w:firstLineChars="200" w:firstLine="640"/>
        <w:rPr>
          <w:rFonts w:ascii="黑体" w:eastAsia="黑体" w:hAnsi="黑体" w:hint="eastAsia"/>
          <w:b w:val="0"/>
          <w:bCs w:val="0"/>
        </w:rPr>
      </w:pPr>
      <w:bookmarkStart w:id="4" w:name="_Toc19954"/>
      <w:r>
        <w:rPr>
          <w:rFonts w:ascii="黑体" w:eastAsia="黑体" w:hAnsi="黑体" w:hint="eastAsia"/>
          <w:b w:val="0"/>
          <w:bCs w:val="0"/>
        </w:rPr>
        <w:t>三、整体绩效目标实现情况</w:t>
      </w:r>
      <w:bookmarkEnd w:id="4"/>
      <w:r>
        <w:rPr>
          <w:rFonts w:ascii="黑体" w:eastAsia="黑体" w:hAnsi="黑体"/>
          <w:b w:val="0"/>
          <w:bCs w:val="0"/>
        </w:rPr>
        <w:tab/>
      </w:r>
    </w:p>
    <w:p w14:paraId="055F198E" w14:textId="77777777" w:rsidR="00403C66" w:rsidRDefault="00000000">
      <w:pPr>
        <w:adjustRightInd w:val="0"/>
        <w:snapToGrid w:val="0"/>
        <w:spacing w:line="560" w:lineRule="exact"/>
        <w:ind w:firstLineChars="200" w:firstLine="640"/>
        <w:rPr>
          <w:rFonts w:ascii="仿宋_GB2312" w:eastAsia="仿宋_GB2312" w:hAnsi="Times New Roman"/>
          <w:sz w:val="32"/>
          <w:szCs w:val="32"/>
        </w:rPr>
      </w:pPr>
      <w:r>
        <w:rPr>
          <w:rFonts w:ascii="仿宋_GB2312" w:eastAsia="仿宋_GB2312" w:hAnsi="仿宋" w:hint="eastAsia"/>
          <w:sz w:val="32"/>
          <w:szCs w:val="32"/>
        </w:rPr>
        <w:t>2024年我委按照部门职责，</w:t>
      </w:r>
      <w:r>
        <w:rPr>
          <w:rFonts w:ascii="仿宋_GB2312" w:eastAsia="仿宋_GB2312" w:hAnsi="仿宋" w:hint="eastAsia"/>
          <w:bCs/>
          <w:color w:val="000000" w:themeColor="text1"/>
          <w:sz w:val="32"/>
          <w:szCs w:val="32"/>
        </w:rPr>
        <w:t>围绕“一计划两规划”落实，</w:t>
      </w:r>
      <w:r>
        <w:rPr>
          <w:rFonts w:ascii="仿宋_GB2312" w:eastAsia="仿宋_GB2312" w:hAnsi="仿宋" w:hint="eastAsia"/>
          <w:sz w:val="32"/>
          <w:szCs w:val="32"/>
        </w:rPr>
        <w:t>确定了年度重点工作任务，明确了任务目标及牵头处室，根据年度重点工作任务安排项目预算。我委按照《北京市财政局关于2025年预算绩效管理工作的通知》</w:t>
      </w:r>
      <w:r>
        <w:rPr>
          <w:rFonts w:ascii="仿宋_GB2312" w:eastAsia="仿宋_GB2312" w:hint="eastAsia"/>
          <w:sz w:val="32"/>
          <w:szCs w:val="32"/>
        </w:rPr>
        <w:t>要求，</w:t>
      </w:r>
      <w:r>
        <w:rPr>
          <w:rFonts w:ascii="仿宋_GB2312" w:eastAsia="仿宋_GB2312" w:hAnsi="仿宋" w:hint="eastAsia"/>
          <w:sz w:val="32"/>
          <w:szCs w:val="32"/>
        </w:rPr>
        <w:t>制定《</w:t>
      </w:r>
      <w:r>
        <w:rPr>
          <w:rFonts w:ascii="仿宋_GB2312" w:eastAsia="仿宋_GB2312" w:hAnsi="仿宋"/>
          <w:sz w:val="32"/>
          <w:szCs w:val="32"/>
        </w:rPr>
        <w:t>202</w:t>
      </w:r>
      <w:r>
        <w:rPr>
          <w:rFonts w:ascii="仿宋_GB2312" w:eastAsia="仿宋_GB2312" w:hAnsi="仿宋" w:hint="eastAsia"/>
          <w:sz w:val="32"/>
          <w:szCs w:val="32"/>
        </w:rPr>
        <w:t>5年预算绩效管理工作方案》，</w:t>
      </w:r>
      <w:r>
        <w:rPr>
          <w:rFonts w:ascii="仿宋_GB2312" w:eastAsia="仿宋_GB2312" w:hint="eastAsia"/>
          <w:sz w:val="32"/>
          <w:szCs w:val="32"/>
        </w:rPr>
        <w:t>对2024年度部门项目支出实施绩效自评，</w:t>
      </w:r>
      <w:r>
        <w:rPr>
          <w:rFonts w:ascii="仿宋_GB2312" w:eastAsia="仿宋_GB2312" w:hAnsi="Times New Roman" w:hint="eastAsia"/>
          <w:sz w:val="32"/>
          <w:szCs w:val="32"/>
        </w:rPr>
        <w:t>评价项目126个(不含涉密项目20个），涉及金额475,291.34万元，评价得分在90（含）-100分的70个、评价得分在80（含）-90分的49个、评价得分在60（含）-80分的3个，评价得分</w:t>
      </w:r>
      <w:r>
        <w:rPr>
          <w:rFonts w:ascii="仿宋_GB2312" w:eastAsia="仿宋_GB2312" w:hAnsi="Times New Roman" w:hint="eastAsia"/>
          <w:sz w:val="32"/>
          <w:szCs w:val="32"/>
        </w:rPr>
        <w:lastRenderedPageBreak/>
        <w:t>在60分以下的4个。</w:t>
      </w:r>
    </w:p>
    <w:p w14:paraId="2C6419E1" w14:textId="77777777" w:rsidR="00403C66" w:rsidRDefault="00000000">
      <w:pPr>
        <w:pStyle w:val="2"/>
        <w:adjustRightInd w:val="0"/>
        <w:snapToGrid w:val="0"/>
        <w:spacing w:before="0" w:after="0" w:line="560" w:lineRule="exact"/>
        <w:ind w:firstLineChars="200" w:firstLine="640"/>
        <w:rPr>
          <w:rFonts w:ascii="楷体_GB2312" w:eastAsia="楷体_GB2312" w:hAnsi="楷体" w:hint="eastAsia"/>
          <w:b w:val="0"/>
          <w:bCs w:val="0"/>
        </w:rPr>
      </w:pPr>
      <w:bookmarkStart w:id="5" w:name="_Toc26049"/>
      <w:r>
        <w:rPr>
          <w:rFonts w:ascii="楷体_GB2312" w:eastAsia="楷体_GB2312" w:hAnsi="楷体" w:hint="eastAsia"/>
          <w:b w:val="0"/>
          <w:bCs w:val="0"/>
        </w:rPr>
        <w:t>（一）产出完成情况分析</w:t>
      </w:r>
      <w:bookmarkEnd w:id="5"/>
    </w:p>
    <w:p w14:paraId="1741968C" w14:textId="77777777" w:rsidR="00403C66" w:rsidRDefault="00000000">
      <w:pPr>
        <w:pStyle w:val="20"/>
        <w:adjustRightInd w:val="0"/>
        <w:snapToGrid w:val="0"/>
        <w:spacing w:line="560" w:lineRule="exact"/>
        <w:ind w:firstLine="640"/>
        <w:rPr>
          <w:rFonts w:ascii="仿宋_GB2312" w:eastAsia="仿宋_GB2312" w:hAnsi="仿宋" w:hint="eastAsia"/>
          <w:bCs/>
          <w:color w:val="000000" w:themeColor="text1"/>
          <w:sz w:val="32"/>
          <w:szCs w:val="32"/>
        </w:rPr>
      </w:pPr>
      <w:r>
        <w:rPr>
          <w:rFonts w:ascii="仿宋_GB2312" w:eastAsia="仿宋_GB2312" w:hAnsi="仿宋_GB2312" w:cs="仿宋_GB2312" w:hint="eastAsia"/>
          <w:sz w:val="32"/>
          <w:szCs w:val="32"/>
        </w:rPr>
        <w:t>2024年，我</w:t>
      </w:r>
      <w:proofErr w:type="gramStart"/>
      <w:r>
        <w:rPr>
          <w:rFonts w:ascii="仿宋_GB2312" w:eastAsia="仿宋_GB2312" w:hAnsi="仿宋_GB2312" w:cs="仿宋_GB2312" w:hint="eastAsia"/>
          <w:sz w:val="32"/>
          <w:szCs w:val="32"/>
        </w:rPr>
        <w:t>委深入</w:t>
      </w:r>
      <w:proofErr w:type="gramEnd"/>
      <w:r>
        <w:rPr>
          <w:rFonts w:ascii="仿宋_GB2312" w:eastAsia="仿宋_GB2312" w:hAnsi="仿宋_GB2312" w:cs="仿宋_GB2312" w:hint="eastAsia"/>
          <w:sz w:val="32"/>
          <w:szCs w:val="32"/>
        </w:rPr>
        <w:t>贯彻落实党的二十大和二十届二中、三中全会精神，推进实施中央科技委印发的《关于新时期进一步加强北京国际科技创新中心建设的实施意见》以及科技部等12部门联合印发的《深入贯彻落实习近平总书记重要批示精神加快推动北京国际科技创新中心建设的工作方案》等重要文件，按照市委市政府的部署与要求，坚持以增强原始创新</w:t>
      </w:r>
      <w:proofErr w:type="gramStart"/>
      <w:r>
        <w:rPr>
          <w:rFonts w:ascii="仿宋_GB2312" w:eastAsia="仿宋_GB2312" w:hAnsi="仿宋_GB2312" w:cs="仿宋_GB2312" w:hint="eastAsia"/>
          <w:sz w:val="32"/>
          <w:szCs w:val="32"/>
        </w:rPr>
        <w:t>策源能力</w:t>
      </w:r>
      <w:proofErr w:type="gramEnd"/>
      <w:r>
        <w:rPr>
          <w:rFonts w:ascii="仿宋_GB2312" w:eastAsia="仿宋_GB2312" w:hAnsi="仿宋_GB2312" w:cs="仿宋_GB2312" w:hint="eastAsia"/>
          <w:sz w:val="32"/>
          <w:szCs w:val="32"/>
        </w:rPr>
        <w:t>为根本，以提升创新体系整体效能为主线，以深化科技体制改革为动力，以形成具有全球竞争力的开放创新生态为重点，统筹各方</w:t>
      </w:r>
      <w:proofErr w:type="gramStart"/>
      <w:r>
        <w:rPr>
          <w:rFonts w:ascii="仿宋_GB2312" w:eastAsia="仿宋_GB2312" w:hAnsi="仿宋_GB2312" w:cs="仿宋_GB2312" w:hint="eastAsia"/>
          <w:sz w:val="32"/>
          <w:szCs w:val="32"/>
        </w:rPr>
        <w:t>面资源</w:t>
      </w:r>
      <w:proofErr w:type="gramEnd"/>
      <w:r>
        <w:rPr>
          <w:rFonts w:ascii="仿宋_GB2312" w:eastAsia="仿宋_GB2312" w:hAnsi="仿宋_GB2312" w:cs="仿宋_GB2312" w:hint="eastAsia"/>
          <w:sz w:val="32"/>
          <w:szCs w:val="32"/>
        </w:rPr>
        <w:t>力量，</w:t>
      </w:r>
      <w:r>
        <w:rPr>
          <w:rFonts w:ascii="仿宋_GB2312" w:eastAsia="仿宋_GB2312" w:hAnsi="仿宋" w:hint="eastAsia"/>
          <w:bCs/>
          <w:color w:val="000000" w:themeColor="text1"/>
          <w:sz w:val="32"/>
          <w:szCs w:val="32"/>
        </w:rPr>
        <w:t>围绕各项规划推动年度工作计划实施。</w:t>
      </w:r>
    </w:p>
    <w:p w14:paraId="4A39291D" w14:textId="77777777" w:rsidR="00403C66" w:rsidRDefault="00000000">
      <w:pPr>
        <w:pStyle w:val="20"/>
        <w:adjustRightInd w:val="0"/>
        <w:snapToGrid w:val="0"/>
        <w:spacing w:line="560" w:lineRule="exact"/>
        <w:ind w:firstLine="643"/>
        <w:rPr>
          <w:rFonts w:ascii="仿宋_GB2312" w:eastAsia="仿宋_GB2312" w:hAnsi="仿宋" w:hint="eastAsia"/>
          <w:b/>
          <w:color w:val="000000" w:themeColor="text1"/>
          <w:sz w:val="32"/>
          <w:szCs w:val="32"/>
        </w:rPr>
      </w:pPr>
      <w:r>
        <w:rPr>
          <w:rFonts w:ascii="仿宋_GB2312" w:eastAsia="仿宋_GB2312" w:hAnsi="仿宋" w:hint="eastAsia"/>
          <w:b/>
          <w:color w:val="000000" w:themeColor="text1"/>
          <w:sz w:val="32"/>
          <w:szCs w:val="32"/>
        </w:rPr>
        <w:t>1.产出数量</w:t>
      </w:r>
    </w:p>
    <w:p w14:paraId="0DEB167A" w14:textId="77777777" w:rsidR="00403C66" w:rsidRDefault="00000000">
      <w:pPr>
        <w:pStyle w:val="20"/>
        <w:adjustRightInd w:val="0"/>
        <w:snapToGrid w:val="0"/>
        <w:spacing w:line="560" w:lineRule="exact"/>
        <w:ind w:firstLine="643"/>
        <w:rPr>
          <w:rFonts w:ascii="仿宋_GB2312" w:eastAsia="仿宋_GB2312" w:hAnsi="仿宋_GB2312" w:cs="仿宋_GB2312" w:hint="eastAsia"/>
          <w:bCs/>
          <w:sz w:val="32"/>
          <w:szCs w:val="32"/>
        </w:rPr>
      </w:pPr>
      <w:r>
        <w:rPr>
          <w:rFonts w:ascii="仿宋_GB2312" w:eastAsia="仿宋_GB2312" w:hAnsi="仿宋_GB2312" w:cs="仿宋_GB2312" w:hint="eastAsia"/>
          <w:b/>
          <w:sz w:val="32"/>
          <w:szCs w:val="32"/>
        </w:rPr>
        <w:t>（1）服务保障国家战略科技力量</w:t>
      </w:r>
    </w:p>
    <w:p w14:paraId="0ECA111A" w14:textId="77777777" w:rsidR="00403C66" w:rsidRDefault="00000000">
      <w:pPr>
        <w:pStyle w:val="20"/>
        <w:adjustRightInd w:val="0"/>
        <w:snapToGrid w:val="0"/>
        <w:spacing w:line="56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服务保障在京国家实验室高质量运行。完成生物、材料等</w:t>
      </w:r>
      <w:r>
        <w:rPr>
          <w:rFonts w:ascii="仿宋_GB2312" w:eastAsia="仿宋_GB2312" w:hint="eastAsia"/>
          <w:sz w:val="32"/>
          <w:szCs w:val="32"/>
        </w:rPr>
        <w:t>8个领域在京全国重点实验室重组，数量145家；推进清华南</w:t>
      </w:r>
      <w:r>
        <w:rPr>
          <w:rFonts w:ascii="仿宋_GB2312" w:eastAsia="仿宋_GB2312" w:hAnsi="仿宋_GB2312" w:cs="仿宋_GB2312" w:hint="eastAsia"/>
          <w:sz w:val="32"/>
          <w:szCs w:val="32"/>
        </w:rPr>
        <w:t>口国重基地一期如期建成。支持在京高校承担26项</w:t>
      </w:r>
      <w:proofErr w:type="gramStart"/>
      <w:r>
        <w:rPr>
          <w:rFonts w:ascii="仿宋_GB2312" w:eastAsia="仿宋_GB2312" w:hAnsi="仿宋_GB2312" w:cs="仿宋_GB2312" w:hint="eastAsia"/>
          <w:sz w:val="32"/>
          <w:szCs w:val="32"/>
        </w:rPr>
        <w:t>科创中心</w:t>
      </w:r>
      <w:proofErr w:type="gramEnd"/>
      <w:r>
        <w:rPr>
          <w:rFonts w:ascii="仿宋_GB2312" w:eastAsia="仿宋_GB2312" w:hAnsi="仿宋_GB2312" w:cs="仿宋_GB2312" w:hint="eastAsia"/>
          <w:sz w:val="32"/>
          <w:szCs w:val="32"/>
        </w:rPr>
        <w:t>建设年度重点任务，推动怀柔综合性国家科学中心29个设施平台进入科研状态，累计支持科技领军企业组建27个创新联合体。支持规范新型研发机构发展，推动成立科学智能研究院、中关村人工智能研究院，全市世界一流新型研发机构已有10家，产出全球首个通用人工智能体“通通”等重大成果。</w:t>
      </w:r>
    </w:p>
    <w:p w14:paraId="78FED08F" w14:textId="77777777" w:rsidR="00403C66" w:rsidRDefault="00000000">
      <w:pPr>
        <w:pStyle w:val="20"/>
        <w:adjustRightInd w:val="0"/>
        <w:snapToGrid w:val="0"/>
        <w:spacing w:line="560" w:lineRule="exact"/>
        <w:ind w:firstLine="643"/>
        <w:rPr>
          <w:rFonts w:ascii="仿宋_GB2312" w:eastAsia="仿宋_GB2312" w:hAnsi="仿宋_GB2312" w:cs="仿宋_GB2312" w:hint="eastAsia"/>
          <w:bCs/>
          <w:sz w:val="32"/>
          <w:szCs w:val="32"/>
        </w:rPr>
      </w:pPr>
      <w:r>
        <w:rPr>
          <w:rFonts w:ascii="仿宋_GB2312" w:eastAsia="仿宋_GB2312" w:hAnsi="仿宋_GB2312" w:cs="仿宋_GB2312" w:hint="eastAsia"/>
          <w:b/>
          <w:sz w:val="32"/>
          <w:szCs w:val="32"/>
        </w:rPr>
        <w:t>（2）聚集原创性引领性科技攻关</w:t>
      </w:r>
    </w:p>
    <w:p w14:paraId="6293EE0A" w14:textId="77777777" w:rsidR="00403C66"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int="eastAsia"/>
          <w:bCs/>
          <w:sz w:val="32"/>
          <w:szCs w:val="32"/>
        </w:rPr>
        <w:t>深入实施基础研究领先行动方案，加大基础</w:t>
      </w:r>
      <w:r>
        <w:rPr>
          <w:rFonts w:ascii="仿宋_GB2312" w:eastAsia="仿宋_GB2312" w:hint="eastAsia"/>
          <w:sz w:val="32"/>
          <w:szCs w:val="32"/>
        </w:rPr>
        <w:t>研究支持力度，投入强度等关键指标稳居全国首位。修订出台《北京市自然科</w:t>
      </w:r>
      <w:r>
        <w:rPr>
          <w:rFonts w:ascii="仿宋_GB2312" w:eastAsia="仿宋_GB2312" w:hint="eastAsia"/>
          <w:sz w:val="32"/>
          <w:szCs w:val="32"/>
        </w:rPr>
        <w:lastRenderedPageBreak/>
        <w:t>学基金管理办法》，率先设立专家实名推荐的非共识项目，企业参与省级自然基金联合基金的数量及出资额居全国首位。关键核心技术攻坚战进展显著，部署272个重点项目，市区协同推进完成13项整体攻关任务，256项完成年度里程碑计划。</w:t>
      </w:r>
    </w:p>
    <w:p w14:paraId="601FEBA5" w14:textId="77777777" w:rsidR="00403C66"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（3）持续提升重点领域、重点行业科研能力</w:t>
      </w:r>
    </w:p>
    <w:p w14:paraId="439FF601" w14:textId="4A24A662" w:rsidR="00403C66" w:rsidRDefault="00000000">
      <w:pPr>
        <w:pStyle w:val="20"/>
        <w:adjustRightInd w:val="0"/>
        <w:snapToGrid w:val="0"/>
        <w:spacing w:line="560" w:lineRule="exact"/>
        <w:ind w:firstLine="640"/>
        <w:rPr>
          <w:rFonts w:ascii="仿宋_GB2312" w:eastAsia="仿宋_GB2312" w:hAnsi="仿宋_GB2312" w:cs="仿宋_GB2312" w:hint="eastAsia"/>
          <w:b/>
          <w:sz w:val="32"/>
          <w:szCs w:val="32"/>
        </w:rPr>
      </w:pPr>
      <w:r>
        <w:rPr>
          <w:rFonts w:ascii="仿宋_GB2312" w:eastAsia="仿宋_GB2312" w:hint="eastAsia"/>
          <w:bCs/>
          <w:sz w:val="32"/>
          <w:szCs w:val="32"/>
        </w:rPr>
        <w:t>实施人工智能、生物医药、高端科学仪器等九</w:t>
      </w:r>
      <w:r>
        <w:rPr>
          <w:rFonts w:ascii="仿宋_GB2312" w:eastAsia="仿宋_GB2312" w:hint="eastAsia"/>
          <w:sz w:val="32"/>
          <w:szCs w:val="32"/>
        </w:rPr>
        <w:t>大专项攻坚行动，启动67个重点项目，涌现</w:t>
      </w:r>
      <w:proofErr w:type="gramStart"/>
      <w:r>
        <w:rPr>
          <w:rFonts w:ascii="仿宋_GB2312" w:eastAsia="仿宋_GB2312" w:hint="eastAsia"/>
          <w:sz w:val="32"/>
          <w:szCs w:val="32"/>
        </w:rPr>
        <w:t>全球首型液氧</w:t>
      </w:r>
      <w:proofErr w:type="gramEnd"/>
      <w:r>
        <w:rPr>
          <w:rFonts w:ascii="仿宋_GB2312" w:eastAsia="仿宋_GB2312" w:hint="eastAsia"/>
          <w:sz w:val="32"/>
          <w:szCs w:val="32"/>
        </w:rPr>
        <w:t>甲烷运载火箭等一批领先标志性成果。实施第三批车</w:t>
      </w:r>
      <w:proofErr w:type="gramStart"/>
      <w:r>
        <w:rPr>
          <w:rFonts w:ascii="仿宋_GB2312" w:eastAsia="仿宋_GB2312" w:hint="eastAsia"/>
          <w:sz w:val="32"/>
          <w:szCs w:val="32"/>
        </w:rPr>
        <w:t>规</w:t>
      </w:r>
      <w:proofErr w:type="gramEnd"/>
      <w:r>
        <w:rPr>
          <w:rFonts w:ascii="仿宋_GB2312" w:eastAsia="仿宋_GB2312" w:hint="eastAsia"/>
          <w:sz w:val="32"/>
          <w:szCs w:val="32"/>
        </w:rPr>
        <w:t>级芯片科技攻关“揭榜挂帅”项目。新一代信息技术领域，成立市人工智能战略咨询专家委员会，编制量子科技创新和产业生态培育行动计划、区块链创新发展行动计划。</w:t>
      </w:r>
      <w:r>
        <w:rPr>
          <w:rFonts w:ascii="仿宋_GB2312" w:eastAsia="仿宋_GB2312" w:hint="eastAsia"/>
          <w:bCs/>
          <w:sz w:val="32"/>
          <w:szCs w:val="32"/>
        </w:rPr>
        <w:t>医药健康领域，</w:t>
      </w:r>
      <w:r>
        <w:rPr>
          <w:rFonts w:ascii="仿宋_GB2312" w:eastAsia="仿宋_GB2312" w:hint="eastAsia"/>
          <w:sz w:val="32"/>
          <w:szCs w:val="32"/>
        </w:rPr>
        <w:t>以“市级基金+科技项目”支持为抓手，引进优质企业落地；持续推进重点创新药、创新医疗器械等研发，7个三类AI医疗产品获批上市，数量居全国第一。文化科技领域，编制本市促进科幻产业发展行动计划，成功举办北京科技周等活动。此外，</w:t>
      </w:r>
      <w:r>
        <w:rPr>
          <w:rFonts w:ascii="仿宋_GB2312" w:eastAsia="仿宋_GB2312" w:hAnsi="方正仿宋_GBK" w:cs="方正仿宋_GBK" w:hint="eastAsia"/>
          <w:sz w:val="32"/>
          <w:szCs w:val="32"/>
        </w:rPr>
        <w:t>落实高水平人才高地建设方案，加强战略科学家、科技领军人才及团队的引进培养工作。</w:t>
      </w:r>
      <w:r>
        <w:rPr>
          <w:rFonts w:ascii="仿宋_GB2312" w:eastAsia="仿宋_GB2312" w:hint="eastAsia"/>
          <w:sz w:val="32"/>
          <w:szCs w:val="32"/>
        </w:rPr>
        <w:t>组织开展科技新星遴选工作，完成科技奖励年度提名和评审工作，在基础研究、原始创新、关键核心技术突破等方面奖励了一批优秀的科技成果和出色的科技人才。</w:t>
      </w:r>
      <w:bookmarkStart w:id="6" w:name="_Toc16834"/>
    </w:p>
    <w:p w14:paraId="6AAD4EC4" w14:textId="77777777" w:rsidR="00403C66"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（4）深入开展区域协同创新</w:t>
      </w:r>
    </w:p>
    <w:p w14:paraId="15B39D35" w14:textId="77777777" w:rsidR="00403C66"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京津冀协同创新共同体建设驶入“快车道”，三地联合印发协同推进京津</w:t>
      </w:r>
      <w:proofErr w:type="gramStart"/>
      <w:r>
        <w:rPr>
          <w:rFonts w:ascii="仿宋_GB2312" w:eastAsia="仿宋_GB2312" w:hint="eastAsia"/>
          <w:sz w:val="32"/>
          <w:szCs w:val="32"/>
        </w:rPr>
        <w:t>冀国家</w:t>
      </w:r>
      <w:proofErr w:type="gramEnd"/>
      <w:r>
        <w:rPr>
          <w:rFonts w:ascii="仿宋_GB2312" w:eastAsia="仿宋_GB2312" w:hint="eastAsia"/>
          <w:sz w:val="32"/>
          <w:szCs w:val="32"/>
        </w:rPr>
        <w:t>技术创新中心提质增效行动方案，启动上线首份京津</w:t>
      </w:r>
      <w:proofErr w:type="gramStart"/>
      <w:r>
        <w:rPr>
          <w:rFonts w:ascii="仿宋_GB2312" w:eastAsia="仿宋_GB2312" w:hint="eastAsia"/>
          <w:sz w:val="32"/>
          <w:szCs w:val="32"/>
        </w:rPr>
        <w:t>冀区域</w:t>
      </w:r>
      <w:proofErr w:type="gramEnd"/>
      <w:r>
        <w:rPr>
          <w:rFonts w:ascii="仿宋_GB2312" w:eastAsia="仿宋_GB2312" w:hint="eastAsia"/>
          <w:sz w:val="32"/>
          <w:szCs w:val="32"/>
        </w:rPr>
        <w:t>创新地图，高标准推动京津冀共建科技产业园区，</w:t>
      </w:r>
      <w:proofErr w:type="gramStart"/>
      <w:r>
        <w:rPr>
          <w:rFonts w:ascii="仿宋_GB2312" w:eastAsia="仿宋_GB2312" w:hint="eastAsia"/>
          <w:sz w:val="32"/>
          <w:szCs w:val="32"/>
        </w:rPr>
        <w:t>雄安中关村</w:t>
      </w:r>
      <w:proofErr w:type="gramEnd"/>
      <w:r>
        <w:rPr>
          <w:rFonts w:ascii="仿宋_GB2312" w:eastAsia="仿宋_GB2312" w:hint="eastAsia"/>
          <w:sz w:val="32"/>
          <w:szCs w:val="32"/>
        </w:rPr>
        <w:t>科技园累计入驻企业已超百家，天津滨海-</w:t>
      </w:r>
      <w:r>
        <w:rPr>
          <w:rFonts w:ascii="仿宋_GB2312" w:eastAsia="仿宋_GB2312" w:hint="eastAsia"/>
          <w:sz w:val="32"/>
          <w:szCs w:val="32"/>
        </w:rPr>
        <w:lastRenderedPageBreak/>
        <w:t>中关村科技园新增注册企业600余家，“六链五群”产业集聚效应初步形成。2024年，北京流向津</w:t>
      </w:r>
      <w:proofErr w:type="gramStart"/>
      <w:r>
        <w:rPr>
          <w:rFonts w:ascii="仿宋_GB2312" w:eastAsia="仿宋_GB2312" w:hint="eastAsia"/>
          <w:sz w:val="32"/>
          <w:szCs w:val="32"/>
        </w:rPr>
        <w:t>冀技术</w:t>
      </w:r>
      <w:proofErr w:type="gramEnd"/>
      <w:r>
        <w:rPr>
          <w:rFonts w:ascii="仿宋_GB2312" w:eastAsia="仿宋_GB2312" w:hint="eastAsia"/>
          <w:sz w:val="32"/>
          <w:szCs w:val="32"/>
        </w:rPr>
        <w:t>合同成交额843.7亿元，同比增长12.7%。</w:t>
      </w:r>
    </w:p>
    <w:p w14:paraId="267BD4F9" w14:textId="77777777" w:rsidR="006A75D5" w:rsidRPr="00C57253" w:rsidRDefault="006A75D5" w:rsidP="006A75D5">
      <w:pPr>
        <w:pStyle w:val="20"/>
        <w:adjustRightInd w:val="0"/>
        <w:snapToGrid w:val="0"/>
        <w:spacing w:line="560" w:lineRule="exact"/>
        <w:ind w:firstLine="643"/>
        <w:rPr>
          <w:rFonts w:ascii="仿宋_GB2312" w:eastAsia="仿宋_GB2312" w:hAnsi="仿宋" w:hint="eastAsia"/>
          <w:b/>
          <w:color w:val="000000" w:themeColor="text1"/>
          <w:sz w:val="32"/>
          <w:szCs w:val="32"/>
        </w:rPr>
      </w:pPr>
      <w:r w:rsidRPr="00C57253">
        <w:rPr>
          <w:rFonts w:ascii="仿宋_GB2312" w:eastAsia="仿宋_GB2312" w:hAnsi="仿宋" w:hint="eastAsia"/>
          <w:b/>
          <w:color w:val="000000" w:themeColor="text1"/>
          <w:sz w:val="32"/>
          <w:szCs w:val="32"/>
        </w:rPr>
        <w:t>2.产出质量</w:t>
      </w:r>
    </w:p>
    <w:p w14:paraId="77A60BFA" w14:textId="77777777" w:rsidR="006A75D5" w:rsidRPr="00C57253" w:rsidRDefault="006A75D5" w:rsidP="006A75D5">
      <w:pPr>
        <w:pStyle w:val="20"/>
        <w:adjustRightInd w:val="0"/>
        <w:snapToGrid w:val="0"/>
        <w:spacing w:line="560" w:lineRule="exact"/>
        <w:ind w:firstLine="640"/>
        <w:rPr>
          <w:rFonts w:ascii="仿宋_GB2312" w:eastAsia="仿宋_GB2312" w:hAnsi="仿宋" w:hint="eastAsia"/>
          <w:bCs/>
          <w:color w:val="000000" w:themeColor="text1"/>
          <w:sz w:val="32"/>
          <w:szCs w:val="32"/>
        </w:rPr>
      </w:pPr>
      <w:r w:rsidRPr="00C57253">
        <w:rPr>
          <w:rFonts w:ascii="仿宋_GB2312" w:eastAsia="仿宋_GB2312" w:hAnsi="仿宋_GB2312" w:cs="仿宋_GB2312" w:hint="eastAsia"/>
          <w:sz w:val="32"/>
          <w:szCs w:val="32"/>
        </w:rPr>
        <w:t>2024年是深入实施“十四五”规划的攻坚之年，在市委、市政府坚强领导下，我</w:t>
      </w:r>
      <w:proofErr w:type="gramStart"/>
      <w:r w:rsidRPr="00C57253">
        <w:rPr>
          <w:rFonts w:ascii="仿宋_GB2312" w:eastAsia="仿宋_GB2312" w:hAnsi="仿宋_GB2312" w:cs="仿宋_GB2312" w:hint="eastAsia"/>
          <w:sz w:val="32"/>
          <w:szCs w:val="32"/>
        </w:rPr>
        <w:t>委深入</w:t>
      </w:r>
      <w:proofErr w:type="gramEnd"/>
      <w:r w:rsidRPr="00C57253">
        <w:rPr>
          <w:rFonts w:ascii="仿宋_GB2312" w:eastAsia="仿宋_GB2312" w:hAnsi="仿宋_GB2312" w:cs="仿宋_GB2312" w:hint="eastAsia"/>
          <w:sz w:val="32"/>
          <w:szCs w:val="32"/>
        </w:rPr>
        <w:t>贯彻落</w:t>
      </w:r>
      <w:proofErr w:type="gramStart"/>
      <w:r w:rsidRPr="00C57253">
        <w:rPr>
          <w:rFonts w:ascii="仿宋_GB2312" w:eastAsia="仿宋_GB2312" w:hAnsi="仿宋_GB2312" w:cs="仿宋_GB2312" w:hint="eastAsia"/>
          <w:sz w:val="32"/>
          <w:szCs w:val="32"/>
        </w:rPr>
        <w:t>实习近</w:t>
      </w:r>
      <w:proofErr w:type="gramEnd"/>
      <w:r w:rsidRPr="00C57253">
        <w:rPr>
          <w:rFonts w:ascii="仿宋_GB2312" w:eastAsia="仿宋_GB2312" w:hAnsi="仿宋_GB2312" w:cs="仿宋_GB2312" w:hint="eastAsia"/>
          <w:sz w:val="32"/>
          <w:szCs w:val="32"/>
        </w:rPr>
        <w:t>平总书记对北京重要讲话精神，切实履行好市委科技办和北京推进科技创新中心建设办公室秘书处职责，担当好推进全市科技创新的“组织员”“服务员”“研究员”“观测员”“运动员”角色，大力深化科技体制改革，强化基础研究和关键核心技术攻关，积极培育和发展新质生产力，推动北京国际科技创新中心建设实现新跨越。</w:t>
      </w:r>
    </w:p>
    <w:p w14:paraId="38266683" w14:textId="77777777" w:rsidR="006A75D5" w:rsidRPr="00C57253" w:rsidRDefault="006A75D5" w:rsidP="006A75D5">
      <w:pPr>
        <w:pStyle w:val="20"/>
        <w:adjustRightInd w:val="0"/>
        <w:snapToGrid w:val="0"/>
        <w:spacing w:line="560" w:lineRule="exact"/>
        <w:ind w:firstLine="643"/>
        <w:rPr>
          <w:rFonts w:ascii="仿宋_GB2312" w:eastAsia="仿宋_GB2312" w:hAnsi="仿宋" w:hint="eastAsia"/>
          <w:b/>
          <w:color w:val="000000" w:themeColor="text1"/>
          <w:sz w:val="32"/>
          <w:szCs w:val="32"/>
        </w:rPr>
      </w:pPr>
      <w:r w:rsidRPr="00C57253">
        <w:rPr>
          <w:rFonts w:ascii="仿宋_GB2312" w:eastAsia="仿宋_GB2312" w:hAnsi="仿宋" w:hint="eastAsia"/>
          <w:b/>
          <w:color w:val="000000" w:themeColor="text1"/>
          <w:sz w:val="32"/>
          <w:szCs w:val="32"/>
        </w:rPr>
        <w:t>3.产出进度</w:t>
      </w:r>
    </w:p>
    <w:p w14:paraId="3437909F" w14:textId="77777777" w:rsidR="006A75D5" w:rsidRPr="00C57253" w:rsidRDefault="006A75D5" w:rsidP="006A75D5">
      <w:pPr>
        <w:pStyle w:val="20"/>
        <w:adjustRightInd w:val="0"/>
        <w:snapToGrid w:val="0"/>
        <w:spacing w:line="560" w:lineRule="exact"/>
        <w:ind w:firstLine="640"/>
        <w:rPr>
          <w:rFonts w:ascii="仿宋_GB2312" w:eastAsia="仿宋_GB2312" w:hAnsi="仿宋" w:hint="eastAsia"/>
          <w:bCs/>
          <w:color w:val="000000" w:themeColor="text1"/>
          <w:sz w:val="32"/>
          <w:szCs w:val="32"/>
        </w:rPr>
      </w:pPr>
      <w:r w:rsidRPr="00C57253">
        <w:rPr>
          <w:rFonts w:ascii="仿宋_GB2312" w:eastAsia="仿宋_GB2312" w:hAnsi="仿宋" w:hint="eastAsia"/>
          <w:bCs/>
          <w:color w:val="000000" w:themeColor="text1"/>
          <w:sz w:val="32"/>
          <w:szCs w:val="32"/>
        </w:rPr>
        <w:t>我委以预算执行为抓手，督促各项工作加快推进。对项目支出开展预算执行进度和绩效目标实现程度“双监控”，每月调度预算执行进度，确保各项重点工作均按照计划有序推进落实，部门年度工作及时完成。</w:t>
      </w:r>
    </w:p>
    <w:p w14:paraId="52B40637" w14:textId="77777777" w:rsidR="006A75D5" w:rsidRPr="00C57253" w:rsidRDefault="006A75D5" w:rsidP="006A75D5">
      <w:pPr>
        <w:pStyle w:val="20"/>
        <w:adjustRightInd w:val="0"/>
        <w:snapToGrid w:val="0"/>
        <w:spacing w:line="560" w:lineRule="exact"/>
        <w:ind w:firstLine="643"/>
        <w:rPr>
          <w:rFonts w:ascii="仿宋_GB2312" w:eastAsia="仿宋_GB2312" w:hAnsi="仿宋" w:hint="eastAsia"/>
          <w:b/>
          <w:color w:val="000000" w:themeColor="text1"/>
          <w:sz w:val="32"/>
          <w:szCs w:val="32"/>
        </w:rPr>
      </w:pPr>
      <w:r w:rsidRPr="00C57253">
        <w:rPr>
          <w:rFonts w:ascii="仿宋_GB2312" w:eastAsia="仿宋_GB2312" w:hAnsi="仿宋" w:hint="eastAsia"/>
          <w:b/>
          <w:color w:val="000000" w:themeColor="text1"/>
          <w:sz w:val="32"/>
          <w:szCs w:val="32"/>
        </w:rPr>
        <w:t>4.产出成本</w:t>
      </w:r>
    </w:p>
    <w:p w14:paraId="5F5F5FBE" w14:textId="77777777" w:rsidR="006A75D5" w:rsidRPr="00C57253" w:rsidRDefault="006A75D5" w:rsidP="006A75D5">
      <w:pPr>
        <w:spacing w:line="560" w:lineRule="exact"/>
        <w:ind w:firstLineChars="200" w:firstLine="640"/>
        <w:rPr>
          <w:rFonts w:ascii="仿宋_GB2312" w:eastAsia="仿宋_GB2312" w:hAnsi="仿宋_GB2312" w:cs="仿宋_GB2312" w:hint="eastAsia"/>
          <w:sz w:val="32"/>
          <w:szCs w:val="32"/>
        </w:rPr>
      </w:pPr>
      <w:r w:rsidRPr="00C57253">
        <w:rPr>
          <w:rFonts w:ascii="仿宋_GB2312" w:eastAsia="仿宋_GB2312" w:hAnsi="仿宋_GB2312" w:cs="仿宋_GB2312" w:hint="eastAsia"/>
          <w:sz w:val="32"/>
          <w:szCs w:val="32"/>
        </w:rPr>
        <w:t>我</w:t>
      </w:r>
      <w:proofErr w:type="gramStart"/>
      <w:r w:rsidRPr="00C57253">
        <w:rPr>
          <w:rFonts w:ascii="仿宋_GB2312" w:eastAsia="仿宋_GB2312" w:hAnsi="仿宋_GB2312" w:cs="仿宋_GB2312" w:hint="eastAsia"/>
          <w:sz w:val="32"/>
          <w:szCs w:val="32"/>
        </w:rPr>
        <w:t>委控制</w:t>
      </w:r>
      <w:proofErr w:type="gramEnd"/>
      <w:r w:rsidRPr="00C57253">
        <w:rPr>
          <w:rFonts w:ascii="仿宋_GB2312" w:eastAsia="仿宋_GB2312" w:hAnsi="仿宋_GB2312" w:cs="仿宋_GB2312" w:hint="eastAsia"/>
          <w:sz w:val="32"/>
          <w:szCs w:val="32"/>
        </w:rPr>
        <w:t>资金成本并不是简单的减少资金的支出，而是在坚定不移贯彻落实“过紧日子”要求的前提下，实现财政资金使用的精准化、高效化，不断提高财政资金使用效益。通过预算编制、项目评审、绩效管理等多维度的方式，实现“事前科学预算、事中动态监管、事后效益评估、违规严肃追责”的闭环管理，服务于科技创新的整体目标，保证项目质量和目标达</w:t>
      </w:r>
      <w:r w:rsidRPr="00C57253">
        <w:rPr>
          <w:rFonts w:ascii="仿宋_GB2312" w:eastAsia="仿宋_GB2312" w:hAnsi="仿宋_GB2312" w:cs="仿宋_GB2312" w:hint="eastAsia"/>
          <w:sz w:val="32"/>
          <w:szCs w:val="32"/>
        </w:rPr>
        <w:lastRenderedPageBreak/>
        <w:t>成。</w:t>
      </w:r>
    </w:p>
    <w:p w14:paraId="3DE1F8C6" w14:textId="77777777" w:rsidR="00403C66" w:rsidRPr="00C57253" w:rsidRDefault="00000000">
      <w:pPr>
        <w:pStyle w:val="2"/>
        <w:adjustRightInd w:val="0"/>
        <w:snapToGrid w:val="0"/>
        <w:spacing w:before="0" w:after="0" w:line="560" w:lineRule="exact"/>
        <w:ind w:firstLineChars="200" w:firstLine="640"/>
        <w:rPr>
          <w:rFonts w:ascii="楷体_GB2312" w:eastAsia="楷体_GB2312" w:hAnsi="楷体" w:hint="eastAsia"/>
          <w:b w:val="0"/>
          <w:bCs w:val="0"/>
        </w:rPr>
      </w:pPr>
      <w:r w:rsidRPr="00C57253">
        <w:rPr>
          <w:rFonts w:ascii="楷体_GB2312" w:eastAsia="楷体_GB2312" w:hAnsi="楷体" w:hint="eastAsia"/>
          <w:b w:val="0"/>
          <w:bCs w:val="0"/>
        </w:rPr>
        <w:t>（二）效果实现情况分析</w:t>
      </w:r>
      <w:bookmarkEnd w:id="6"/>
    </w:p>
    <w:p w14:paraId="2111AA22" w14:textId="77777777" w:rsidR="00403C66" w:rsidRPr="00C57253" w:rsidRDefault="00000000">
      <w:pPr>
        <w:pStyle w:val="a8"/>
        <w:adjustRightInd w:val="0"/>
        <w:spacing w:line="560" w:lineRule="exact"/>
        <w:ind w:firstLineChars="200" w:firstLine="643"/>
        <w:rPr>
          <w:rFonts w:ascii="仿宋_GB2312" w:eastAsia="仿宋_GB2312" w:hAnsi="仿宋_GB2312" w:cs="仿宋_GB2312" w:hint="eastAsia"/>
          <w:b/>
          <w:bCs/>
        </w:rPr>
      </w:pPr>
      <w:r w:rsidRPr="00C57253">
        <w:rPr>
          <w:rFonts w:ascii="仿宋_GB2312" w:eastAsia="仿宋_GB2312" w:hAnsi="仿宋_GB2312" w:cs="仿宋_GB2312"/>
          <w:b/>
          <w:bCs/>
          <w:sz w:val="32"/>
          <w:szCs w:val="32"/>
        </w:rPr>
        <w:t>1.经济效益</w:t>
      </w:r>
    </w:p>
    <w:p w14:paraId="3DB8AAE6" w14:textId="210B2947" w:rsidR="00403C66" w:rsidRPr="00C57253" w:rsidRDefault="00000000">
      <w:pPr>
        <w:pStyle w:val="20"/>
        <w:adjustRightInd w:val="0"/>
        <w:snapToGrid w:val="0"/>
        <w:spacing w:line="560" w:lineRule="exact"/>
        <w:ind w:firstLine="640"/>
        <w:rPr>
          <w:rFonts w:ascii="仿宋_GB2312" w:eastAsia="仿宋_GB2312"/>
          <w:sz w:val="32"/>
          <w:szCs w:val="32"/>
        </w:rPr>
      </w:pPr>
      <w:r w:rsidRPr="00C57253">
        <w:rPr>
          <w:rFonts w:ascii="仿宋_GB2312" w:eastAsia="仿宋_GB2312" w:hint="eastAsia"/>
          <w:sz w:val="32"/>
          <w:szCs w:val="32"/>
        </w:rPr>
        <w:t>2024年，全社会研究与试验发展(R&amp;D)投入强度保持在6%以上；全市发明专利授权量12.0万件，同比增长10.9%；技术合同成交额9153.3亿元，同比增长7.2%；累计国家高新技术企业2.97万家。北京医药健康产业整体规模达1.06</w:t>
      </w:r>
      <w:proofErr w:type="gramStart"/>
      <w:r w:rsidRPr="00C57253">
        <w:rPr>
          <w:rFonts w:ascii="仿宋_GB2312" w:eastAsia="仿宋_GB2312" w:hint="eastAsia"/>
          <w:sz w:val="32"/>
          <w:szCs w:val="32"/>
        </w:rPr>
        <w:t>万亿</w:t>
      </w:r>
      <w:proofErr w:type="gramEnd"/>
      <w:r w:rsidRPr="00C57253">
        <w:rPr>
          <w:rFonts w:ascii="仿宋_GB2312" w:eastAsia="仿宋_GB2312" w:hint="eastAsia"/>
          <w:sz w:val="32"/>
          <w:szCs w:val="32"/>
        </w:rPr>
        <w:t>元，同比增长8.7%，成为全国首个医药健康产业破万亿的城市；建立科技服务业领域</w:t>
      </w:r>
      <w:proofErr w:type="gramStart"/>
      <w:r w:rsidRPr="00C57253">
        <w:rPr>
          <w:rFonts w:ascii="仿宋_GB2312" w:eastAsia="仿宋_GB2312" w:hint="eastAsia"/>
          <w:sz w:val="32"/>
          <w:szCs w:val="32"/>
        </w:rPr>
        <w:t>稳增长</w:t>
      </w:r>
      <w:proofErr w:type="gramEnd"/>
      <w:r w:rsidRPr="00C57253">
        <w:rPr>
          <w:rFonts w:ascii="仿宋_GB2312" w:eastAsia="仿宋_GB2312" w:hint="eastAsia"/>
          <w:sz w:val="32"/>
          <w:szCs w:val="32"/>
        </w:rPr>
        <w:t>工作调度和监测体系，制定支持科技服务业高质量发展若干措施，市区联动促进产业发展，科技服务业规模以上企业营收7842.85亿元</w:t>
      </w:r>
      <w:r w:rsidR="00A97A1F" w:rsidRPr="00C57253">
        <w:rPr>
          <w:rFonts w:ascii="仿宋_GB2312" w:eastAsia="仿宋_GB2312" w:hint="eastAsia"/>
          <w:sz w:val="32"/>
          <w:szCs w:val="32"/>
        </w:rPr>
        <w:t>。</w:t>
      </w:r>
    </w:p>
    <w:p w14:paraId="70811D82" w14:textId="77777777" w:rsidR="00403C66" w:rsidRPr="00C57253" w:rsidRDefault="00000000">
      <w:pPr>
        <w:pStyle w:val="20"/>
        <w:adjustRightInd w:val="0"/>
        <w:snapToGrid w:val="0"/>
        <w:spacing w:line="560" w:lineRule="exact"/>
        <w:ind w:firstLine="643"/>
        <w:rPr>
          <w:rFonts w:ascii="仿宋_GB2312" w:eastAsia="仿宋_GB2312" w:hAnsi="仿宋_GB2312" w:cs="仿宋_GB2312" w:hint="eastAsia"/>
          <w:b/>
          <w:bCs/>
          <w:sz w:val="32"/>
          <w:szCs w:val="32"/>
        </w:rPr>
      </w:pPr>
      <w:r w:rsidRPr="00C57253">
        <w:rPr>
          <w:rFonts w:ascii="仿宋_GB2312" w:eastAsia="仿宋_GB2312" w:hAnsi="仿宋_GB2312" w:cs="仿宋_GB2312" w:hint="eastAsia"/>
          <w:b/>
          <w:bCs/>
          <w:sz w:val="32"/>
          <w:szCs w:val="32"/>
        </w:rPr>
        <w:t>2.社会效益</w:t>
      </w:r>
    </w:p>
    <w:p w14:paraId="2455E9E8" w14:textId="77777777" w:rsidR="00403C66" w:rsidRPr="00C57253" w:rsidRDefault="00000000">
      <w:pPr>
        <w:pStyle w:val="20"/>
        <w:adjustRightInd w:val="0"/>
        <w:snapToGrid w:val="0"/>
        <w:spacing w:line="560" w:lineRule="exact"/>
        <w:ind w:firstLine="640"/>
        <w:rPr>
          <w:rFonts w:ascii="仿宋_GB2312" w:eastAsia="仿宋_GB2312"/>
          <w:sz w:val="32"/>
          <w:szCs w:val="32"/>
        </w:rPr>
      </w:pPr>
      <w:r w:rsidRPr="00C57253">
        <w:rPr>
          <w:rFonts w:ascii="仿宋_GB2312" w:eastAsia="仿宋_GB2312" w:hint="eastAsia"/>
          <w:sz w:val="32"/>
          <w:szCs w:val="32"/>
        </w:rPr>
        <w:t>科技创新国际影响力不断增强，高被引科学家数量达431人次，连续两年位居全球创新城市第1；位居世界知识产权组织全球百</w:t>
      </w:r>
      <w:proofErr w:type="gramStart"/>
      <w:r w:rsidRPr="00C57253">
        <w:rPr>
          <w:rFonts w:ascii="仿宋_GB2312" w:eastAsia="仿宋_GB2312" w:hint="eastAsia"/>
          <w:sz w:val="32"/>
          <w:szCs w:val="32"/>
        </w:rPr>
        <w:t>强科技</w:t>
      </w:r>
      <w:proofErr w:type="gramEnd"/>
      <w:r w:rsidRPr="00C57253">
        <w:rPr>
          <w:rFonts w:ascii="仿宋_GB2312" w:eastAsia="仿宋_GB2312" w:hint="eastAsia"/>
          <w:sz w:val="32"/>
          <w:szCs w:val="32"/>
        </w:rPr>
        <w:t>创新集群第3。原始创新</w:t>
      </w:r>
      <w:proofErr w:type="gramStart"/>
      <w:r w:rsidRPr="00C57253">
        <w:rPr>
          <w:rFonts w:ascii="仿宋_GB2312" w:eastAsia="仿宋_GB2312" w:hint="eastAsia"/>
          <w:sz w:val="32"/>
          <w:szCs w:val="32"/>
        </w:rPr>
        <w:t>策源能力</w:t>
      </w:r>
      <w:proofErr w:type="gramEnd"/>
      <w:r w:rsidRPr="00C57253">
        <w:rPr>
          <w:rFonts w:ascii="仿宋_GB2312" w:eastAsia="仿宋_GB2312" w:hint="eastAsia"/>
          <w:sz w:val="32"/>
          <w:szCs w:val="32"/>
        </w:rPr>
        <w:t>不断提升，5项基础研究成果入选中国科学十大进展；连续8年蝉联《自然指数-科研城市》榜首。</w:t>
      </w:r>
    </w:p>
    <w:p w14:paraId="0EFB2F7E" w14:textId="77777777" w:rsidR="00403C66" w:rsidRPr="00C57253"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sidRPr="00C57253">
        <w:rPr>
          <w:rFonts w:ascii="仿宋_GB2312" w:eastAsia="仿宋_GB2312" w:hAnsi="仿宋_GB2312" w:cs="仿宋_GB2312" w:hint="eastAsia"/>
          <w:b/>
          <w:sz w:val="32"/>
          <w:szCs w:val="32"/>
        </w:rPr>
        <w:t>（1）国际</w:t>
      </w:r>
      <w:proofErr w:type="gramStart"/>
      <w:r w:rsidRPr="00C57253">
        <w:rPr>
          <w:rFonts w:ascii="仿宋_GB2312" w:eastAsia="仿宋_GB2312" w:hAnsi="仿宋_GB2312" w:cs="仿宋_GB2312" w:hint="eastAsia"/>
          <w:b/>
          <w:sz w:val="32"/>
          <w:szCs w:val="32"/>
        </w:rPr>
        <w:t>科创中心</w:t>
      </w:r>
      <w:proofErr w:type="gramEnd"/>
      <w:r w:rsidRPr="00C57253">
        <w:rPr>
          <w:rFonts w:ascii="仿宋_GB2312" w:eastAsia="仿宋_GB2312" w:hAnsi="仿宋_GB2312" w:cs="仿宋_GB2312" w:hint="eastAsia"/>
          <w:b/>
          <w:sz w:val="32"/>
          <w:szCs w:val="32"/>
        </w:rPr>
        <w:t>建设顶层部署走深入实</w:t>
      </w:r>
    </w:p>
    <w:p w14:paraId="5559AFD1" w14:textId="77777777" w:rsidR="00403C66" w:rsidRDefault="00000000">
      <w:pPr>
        <w:pStyle w:val="20"/>
        <w:adjustRightInd w:val="0"/>
        <w:snapToGrid w:val="0"/>
        <w:spacing w:line="560" w:lineRule="exact"/>
        <w:ind w:firstLine="640"/>
        <w:rPr>
          <w:rFonts w:ascii="仿宋_GB2312" w:eastAsia="仿宋_GB2312" w:hAnsi="仿宋_GB2312" w:cs="仿宋_GB2312" w:hint="eastAsia"/>
          <w:sz w:val="32"/>
          <w:szCs w:val="32"/>
        </w:rPr>
      </w:pPr>
      <w:r w:rsidRPr="00C57253">
        <w:rPr>
          <w:rFonts w:ascii="仿宋_GB2312" w:eastAsia="仿宋_GB2312" w:hAnsi="仿宋_GB2312" w:cs="仿宋_GB2312" w:hint="eastAsia"/>
          <w:sz w:val="32"/>
          <w:szCs w:val="32"/>
        </w:rPr>
        <w:t>中央科技委印发《关于新时期进一步加强北京国际科技创新中心建设实施意见》，细化76项重点任务，纳入北京国际科技创新中心建设重点任务统筹推进;</w:t>
      </w:r>
      <w:proofErr w:type="gramStart"/>
      <w:r w:rsidRPr="00C57253">
        <w:rPr>
          <w:rFonts w:ascii="仿宋_GB2312" w:eastAsia="仿宋_GB2312" w:hAnsi="仿宋_GB2312" w:cs="仿宋_GB2312" w:hint="eastAsia"/>
          <w:sz w:val="32"/>
          <w:szCs w:val="32"/>
        </w:rPr>
        <w:t>科创中心</w:t>
      </w:r>
      <w:proofErr w:type="gramEnd"/>
      <w:r w:rsidRPr="00C57253">
        <w:rPr>
          <w:rFonts w:ascii="仿宋_GB2312" w:eastAsia="仿宋_GB2312" w:hAnsi="仿宋_GB2312" w:cs="仿宋_GB2312" w:hint="eastAsia"/>
          <w:sz w:val="32"/>
          <w:szCs w:val="32"/>
        </w:rPr>
        <w:t>建设年度226项</w:t>
      </w:r>
      <w:proofErr w:type="gramStart"/>
      <w:r w:rsidRPr="00C57253">
        <w:rPr>
          <w:rFonts w:ascii="仿宋_GB2312" w:eastAsia="仿宋_GB2312" w:hAnsi="仿宋_GB2312" w:cs="仿宋_GB2312" w:hint="eastAsia"/>
          <w:sz w:val="32"/>
          <w:szCs w:val="32"/>
        </w:rPr>
        <w:t>科创中心</w:t>
      </w:r>
      <w:proofErr w:type="gramEnd"/>
      <w:r w:rsidRPr="00C57253">
        <w:rPr>
          <w:rFonts w:ascii="仿宋_GB2312" w:eastAsia="仿宋_GB2312" w:hAnsi="仿宋_GB2312" w:cs="仿宋_GB2312" w:hint="eastAsia"/>
          <w:sz w:val="32"/>
          <w:szCs w:val="32"/>
        </w:rPr>
        <w:t>建设年度重点项目和工作任务完成率创历年新高。推动颁布施行《北京国际科技创新中心建设条例》，出台30余项配套政策措施，将</w:t>
      </w:r>
      <w:proofErr w:type="gramStart"/>
      <w:r w:rsidRPr="00C57253">
        <w:rPr>
          <w:rFonts w:ascii="仿宋_GB2312" w:eastAsia="仿宋_GB2312" w:hAnsi="仿宋_GB2312" w:cs="仿宋_GB2312" w:hint="eastAsia"/>
          <w:sz w:val="32"/>
          <w:szCs w:val="32"/>
        </w:rPr>
        <w:t>科创中心</w:t>
      </w:r>
      <w:proofErr w:type="gramEnd"/>
      <w:r w:rsidRPr="00C57253">
        <w:rPr>
          <w:rFonts w:ascii="仿宋_GB2312" w:eastAsia="仿宋_GB2312" w:hAnsi="仿宋_GB2312" w:cs="仿宋_GB2312" w:hint="eastAsia"/>
          <w:sz w:val="32"/>
          <w:szCs w:val="32"/>
        </w:rPr>
        <w:t>建设全面纳入法治轨道。推动成立</w:t>
      </w:r>
      <w:r w:rsidRPr="00C57253">
        <w:rPr>
          <w:rFonts w:ascii="仿宋_GB2312" w:eastAsia="仿宋_GB2312" w:hAnsi="仿宋_GB2312" w:cs="仿宋_GB2312" w:hint="eastAsia"/>
          <w:sz w:val="32"/>
          <w:szCs w:val="32"/>
        </w:rPr>
        <w:lastRenderedPageBreak/>
        <w:t>市委科技委和市委科技办，</w:t>
      </w:r>
      <w:r>
        <w:rPr>
          <w:rFonts w:ascii="仿宋_GB2312" w:eastAsia="仿宋_GB2312" w:hAnsi="仿宋_GB2312" w:cs="仿宋_GB2312" w:hint="eastAsia"/>
          <w:sz w:val="32"/>
          <w:szCs w:val="32"/>
        </w:rPr>
        <w:t>进一步加强党对科技工作的全面领导。成功召开全市科技大会暨科学技术奖励大会。</w:t>
      </w:r>
    </w:p>
    <w:p w14:paraId="6CBAC3DC" w14:textId="77777777" w:rsidR="00403C66" w:rsidRDefault="00000000">
      <w:pPr>
        <w:pStyle w:val="20"/>
        <w:adjustRightInd w:val="0"/>
        <w:snapToGrid w:val="0"/>
        <w:spacing w:line="560" w:lineRule="exact"/>
        <w:ind w:firstLine="643"/>
        <w:rPr>
          <w:rFonts w:ascii="仿宋_GB2312" w:eastAsia="仿宋_GB2312" w:hAnsi="仿宋_GB2312" w:cs="仿宋_GB2312" w:hint="eastAsia"/>
          <w:b/>
          <w:color w:val="000000"/>
          <w:sz w:val="32"/>
          <w:szCs w:val="32"/>
        </w:rPr>
      </w:pPr>
      <w:r>
        <w:rPr>
          <w:rFonts w:ascii="仿宋_GB2312" w:eastAsia="仿宋_GB2312" w:hAnsi="仿宋_GB2312" w:cs="仿宋_GB2312" w:hint="eastAsia"/>
          <w:b/>
          <w:color w:val="000000"/>
          <w:sz w:val="32"/>
          <w:szCs w:val="32"/>
        </w:rPr>
        <w:t>（2）中关村先行先</w:t>
      </w:r>
      <w:proofErr w:type="gramStart"/>
      <w:r>
        <w:rPr>
          <w:rFonts w:ascii="仿宋_GB2312" w:eastAsia="仿宋_GB2312" w:hAnsi="仿宋_GB2312" w:cs="仿宋_GB2312" w:hint="eastAsia"/>
          <w:b/>
          <w:color w:val="000000"/>
          <w:sz w:val="32"/>
          <w:szCs w:val="32"/>
        </w:rPr>
        <w:t>试改革</w:t>
      </w:r>
      <w:proofErr w:type="gramEnd"/>
      <w:r>
        <w:rPr>
          <w:rFonts w:ascii="仿宋_GB2312" w:eastAsia="仿宋_GB2312" w:hAnsi="仿宋_GB2312" w:cs="仿宋_GB2312" w:hint="eastAsia"/>
          <w:b/>
          <w:color w:val="000000"/>
          <w:sz w:val="32"/>
          <w:szCs w:val="32"/>
        </w:rPr>
        <w:t>全面落地</w:t>
      </w:r>
    </w:p>
    <w:p w14:paraId="53F8AE14" w14:textId="77777777" w:rsidR="00403C66" w:rsidRDefault="00000000">
      <w:pPr>
        <w:pStyle w:val="20"/>
        <w:adjustRightInd w:val="0"/>
        <w:snapToGrid w:val="0"/>
        <w:spacing w:line="56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关村先行先试24项重大改革措施全面落地，21项试点政策已在示范区全域推广或全国推广，其中科技成果先使用后付费、国有企业研发准备金等10项政策写入二十届三中全会决定向全国推广；积极争取国家自主创新示范区“揭榜挂帅”政策试点任务，中关村成功揭榜11项，数量居全国第一。依托市科技体制改革专项小组统筹机制，推进完成年度科技体制改革任务50余项。</w:t>
      </w:r>
    </w:p>
    <w:p w14:paraId="063B297C" w14:textId="77777777" w:rsidR="00403C66" w:rsidRDefault="00000000">
      <w:pPr>
        <w:pStyle w:val="20"/>
        <w:adjustRightInd w:val="0"/>
        <w:snapToGrid w:val="0"/>
        <w:spacing w:line="560" w:lineRule="exact"/>
        <w:ind w:firstLine="643"/>
        <w:rPr>
          <w:rFonts w:ascii="仿宋_GB2312" w:eastAsia="仿宋_GB2312" w:hAnsi="仿宋_GB2312" w:cs="仿宋_GB2312" w:hint="eastAsia"/>
          <w:b/>
          <w:color w:val="000000"/>
          <w:sz w:val="32"/>
          <w:szCs w:val="32"/>
        </w:rPr>
      </w:pPr>
      <w:r>
        <w:rPr>
          <w:rFonts w:ascii="仿宋_GB2312" w:eastAsia="仿宋_GB2312" w:hAnsi="仿宋_GB2312" w:cs="仿宋_GB2312" w:hint="eastAsia"/>
          <w:b/>
          <w:color w:val="000000"/>
          <w:sz w:val="32"/>
          <w:szCs w:val="32"/>
        </w:rPr>
        <w:t>（</w:t>
      </w:r>
      <w:r>
        <w:rPr>
          <w:rFonts w:ascii="仿宋_GB2312" w:eastAsia="仿宋_GB2312" w:hAnsi="仿宋_GB2312" w:cs="仿宋_GB2312"/>
          <w:b/>
          <w:color w:val="000000"/>
          <w:sz w:val="32"/>
          <w:szCs w:val="32"/>
        </w:rPr>
        <w:t>3</w:t>
      </w:r>
      <w:r>
        <w:rPr>
          <w:rFonts w:ascii="仿宋_GB2312" w:eastAsia="仿宋_GB2312" w:hAnsi="仿宋_GB2312" w:cs="仿宋_GB2312" w:hint="eastAsia"/>
          <w:b/>
          <w:color w:val="000000"/>
          <w:sz w:val="32"/>
          <w:szCs w:val="32"/>
        </w:rPr>
        <w:t>）</w:t>
      </w:r>
      <w:r>
        <w:rPr>
          <w:rFonts w:ascii="仿宋_GB2312" w:eastAsia="仿宋_GB2312" w:hAnsi="仿宋_GB2312" w:cs="仿宋_GB2312" w:hint="eastAsia"/>
          <w:b/>
          <w:sz w:val="32"/>
          <w:szCs w:val="32"/>
        </w:rPr>
        <w:t>新质生产力培育实现新跨越</w:t>
      </w:r>
    </w:p>
    <w:p w14:paraId="26B322F6" w14:textId="77777777" w:rsidR="00403C66" w:rsidRDefault="00000000">
      <w:pPr>
        <w:pStyle w:val="20"/>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新一代信息技术领域，围绕人工智能芯片、框架、算法、模型等布局颠覆性创新，推进“人工智能+”行动。医药健康领域，推动</w:t>
      </w:r>
      <w:proofErr w:type="gramStart"/>
      <w:r>
        <w:rPr>
          <w:rFonts w:ascii="仿宋_GB2312" w:eastAsia="仿宋_GB2312" w:hint="eastAsia"/>
          <w:sz w:val="32"/>
          <w:szCs w:val="32"/>
        </w:rPr>
        <w:t>出台第</w:t>
      </w:r>
      <w:proofErr w:type="gramEnd"/>
      <w:r>
        <w:rPr>
          <w:rFonts w:ascii="仿宋_GB2312" w:eastAsia="仿宋_GB2312" w:hint="eastAsia"/>
          <w:sz w:val="32"/>
          <w:szCs w:val="32"/>
        </w:rPr>
        <w:t>三轮医药健康协同创新行动计划等政策，完善“双牵头”机制，深化“三医联动”改革，推动世界头部外资企业在京设立研发中心。科技服务业领域，市区联动促进科技服务业发展，全年营业收入由负转正。未来产业领域，出台商业航天创新发展行动方案，设立可重复使用火箭技术创新中心，启动建设“火箭大街”，产业规模超2600亿元。出台加快合成生物制造产业政策，打造合成生物制造技术中心。</w:t>
      </w:r>
    </w:p>
    <w:p w14:paraId="4150F196" w14:textId="77777777" w:rsidR="00403C66" w:rsidRDefault="00000000">
      <w:pPr>
        <w:pStyle w:val="20"/>
        <w:adjustRightInd w:val="0"/>
        <w:snapToGrid w:val="0"/>
        <w:spacing w:line="560" w:lineRule="exact"/>
        <w:ind w:firstLine="643"/>
        <w:rPr>
          <w:rFonts w:ascii="仿宋_GB2312" w:eastAsia="仿宋_GB2312" w:hAnsi="仿宋_GB2312" w:cs="仿宋_GB2312" w:hint="eastAsia"/>
          <w:b/>
          <w:sz w:val="32"/>
          <w:szCs w:val="32"/>
        </w:rPr>
      </w:pPr>
      <w:r>
        <w:rPr>
          <w:rFonts w:ascii="仿宋_GB2312" w:eastAsia="仿宋_GB2312" w:hAnsi="仿宋_GB2312" w:cs="仿宋_GB2312" w:hint="eastAsia"/>
          <w:b/>
          <w:sz w:val="32"/>
          <w:szCs w:val="32"/>
        </w:rPr>
        <w:t>3.服务对象满意度</w:t>
      </w:r>
    </w:p>
    <w:p w14:paraId="5950E680" w14:textId="77777777" w:rsidR="00403C66" w:rsidRDefault="00000000">
      <w:pPr>
        <w:adjustRightInd w:val="0"/>
        <w:snapToGrid w:val="0"/>
        <w:spacing w:line="560" w:lineRule="exact"/>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北京市人民政府办公厅对我委2024年的绩效考评结果为“优秀”。</w:t>
      </w:r>
    </w:p>
    <w:p w14:paraId="0FA7A2A1" w14:textId="77777777" w:rsidR="00403C66" w:rsidRDefault="00000000">
      <w:pPr>
        <w:pStyle w:val="2"/>
        <w:adjustRightInd w:val="0"/>
        <w:snapToGrid w:val="0"/>
        <w:spacing w:before="0" w:after="0" w:line="560" w:lineRule="exact"/>
        <w:ind w:firstLineChars="200" w:firstLine="640"/>
        <w:rPr>
          <w:rFonts w:ascii="仿宋" w:eastAsia="仿宋" w:hAnsi="仿宋" w:cs="仿宋" w:hint="eastAsia"/>
          <w:b w:val="0"/>
          <w:bCs w:val="0"/>
          <w:szCs w:val="36"/>
        </w:rPr>
      </w:pPr>
      <w:bookmarkStart w:id="7" w:name="_Toc8869"/>
      <w:r>
        <w:rPr>
          <w:rFonts w:ascii="黑体" w:eastAsia="黑体" w:hAnsi="黑体" w:hint="eastAsia"/>
          <w:b w:val="0"/>
          <w:bCs w:val="0"/>
        </w:rPr>
        <w:lastRenderedPageBreak/>
        <w:t>四、预算管理情况分析</w:t>
      </w:r>
      <w:bookmarkEnd w:id="7"/>
    </w:p>
    <w:p w14:paraId="2D16C412" w14:textId="77777777" w:rsidR="00403C66" w:rsidRDefault="00000000">
      <w:pPr>
        <w:pStyle w:val="2"/>
        <w:adjustRightInd w:val="0"/>
        <w:snapToGrid w:val="0"/>
        <w:spacing w:before="0" w:after="0" w:line="560" w:lineRule="exact"/>
        <w:ind w:firstLineChars="200" w:firstLine="640"/>
        <w:rPr>
          <w:rFonts w:ascii="楷体" w:eastAsia="楷体" w:hAnsi="楷体" w:hint="eastAsia"/>
          <w:b w:val="0"/>
          <w:bCs w:val="0"/>
        </w:rPr>
      </w:pPr>
      <w:bookmarkStart w:id="8" w:name="_Toc17338"/>
      <w:r>
        <w:rPr>
          <w:rFonts w:ascii="楷体" w:eastAsia="楷体" w:hAnsi="楷体" w:hint="eastAsia"/>
          <w:b w:val="0"/>
          <w:bCs w:val="0"/>
        </w:rPr>
        <w:t>（一）财务管理</w:t>
      </w:r>
      <w:bookmarkEnd w:id="8"/>
    </w:p>
    <w:p w14:paraId="5D6CA840" w14:textId="77777777" w:rsidR="00403C66" w:rsidRDefault="00000000">
      <w:pPr>
        <w:adjustRightInd w:val="0"/>
        <w:snapToGrid w:val="0"/>
        <w:spacing w:line="560" w:lineRule="exact"/>
        <w:ind w:firstLineChars="200" w:firstLine="643"/>
        <w:rPr>
          <w:rFonts w:ascii="仿宋_GB2312" w:eastAsia="仿宋_GB2312" w:hAnsi="仿宋" w:hint="eastAsia"/>
          <w:b/>
          <w:bCs/>
          <w:sz w:val="32"/>
          <w:szCs w:val="32"/>
        </w:rPr>
      </w:pPr>
      <w:r>
        <w:rPr>
          <w:rFonts w:ascii="仿宋_GB2312" w:eastAsia="仿宋_GB2312" w:hAnsi="仿宋" w:hint="eastAsia"/>
          <w:b/>
          <w:bCs/>
          <w:sz w:val="32"/>
          <w:szCs w:val="32"/>
        </w:rPr>
        <w:t>1.财务管理制度健全性</w:t>
      </w:r>
    </w:p>
    <w:p w14:paraId="2C7F848E" w14:textId="77777777" w:rsidR="00403C66" w:rsidRDefault="00000000">
      <w:pPr>
        <w:adjustRightInd w:val="0"/>
        <w:snapToGrid w:val="0"/>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为进一步提高全委财务管理能力和水平，我</w:t>
      </w:r>
      <w:proofErr w:type="gramStart"/>
      <w:r>
        <w:rPr>
          <w:rFonts w:ascii="仿宋_GB2312" w:eastAsia="仿宋_GB2312" w:hAnsi="仿宋" w:hint="eastAsia"/>
          <w:sz w:val="32"/>
          <w:szCs w:val="32"/>
        </w:rPr>
        <w:t>委建立</w:t>
      </w:r>
      <w:proofErr w:type="gramEnd"/>
      <w:r>
        <w:rPr>
          <w:rFonts w:ascii="仿宋_GB2312" w:eastAsia="仿宋_GB2312" w:hAnsi="仿宋" w:hint="eastAsia"/>
          <w:sz w:val="32"/>
          <w:szCs w:val="32"/>
        </w:rPr>
        <w:t>了完善的财务管理制度体系，从资金审批、预算管理、经费支出、资产管理、政府采购等方面对财务工作进行了规范监督，保障日常工作有章可循、稳步推进。</w:t>
      </w:r>
    </w:p>
    <w:p w14:paraId="330D053E" w14:textId="77777777" w:rsidR="00403C66" w:rsidRDefault="00000000">
      <w:pPr>
        <w:adjustRightInd w:val="0"/>
        <w:snapToGrid w:val="0"/>
        <w:spacing w:line="560" w:lineRule="exact"/>
        <w:ind w:firstLineChars="200" w:firstLine="643"/>
        <w:rPr>
          <w:rFonts w:ascii="仿宋_GB2312" w:eastAsia="仿宋_GB2312" w:hAnsi="仿宋" w:hint="eastAsia"/>
          <w:b/>
          <w:bCs/>
          <w:sz w:val="32"/>
          <w:szCs w:val="32"/>
        </w:rPr>
      </w:pPr>
      <w:r>
        <w:rPr>
          <w:rFonts w:ascii="仿宋_GB2312" w:eastAsia="仿宋_GB2312" w:hAnsi="仿宋" w:hint="eastAsia"/>
          <w:b/>
          <w:bCs/>
          <w:sz w:val="32"/>
          <w:szCs w:val="32"/>
        </w:rPr>
        <w:t>2.资金使用合</w:t>
      </w:r>
      <w:proofErr w:type="gramStart"/>
      <w:r>
        <w:rPr>
          <w:rFonts w:ascii="仿宋_GB2312" w:eastAsia="仿宋_GB2312" w:hAnsi="仿宋" w:hint="eastAsia"/>
          <w:b/>
          <w:bCs/>
          <w:sz w:val="32"/>
          <w:szCs w:val="32"/>
        </w:rPr>
        <w:t>规</w:t>
      </w:r>
      <w:proofErr w:type="gramEnd"/>
      <w:r>
        <w:rPr>
          <w:rFonts w:ascii="仿宋_GB2312" w:eastAsia="仿宋_GB2312" w:hAnsi="仿宋" w:hint="eastAsia"/>
          <w:b/>
          <w:bCs/>
          <w:sz w:val="32"/>
          <w:szCs w:val="32"/>
        </w:rPr>
        <w:t>性和安全性</w:t>
      </w:r>
    </w:p>
    <w:p w14:paraId="158EE435" w14:textId="77777777" w:rsidR="00403C66" w:rsidRDefault="00000000">
      <w:pPr>
        <w:adjustRightInd w:val="0"/>
        <w:snapToGrid w:val="0"/>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资金使用严格遵照国家法律法规和有关管理制度执行，资金拨付审批程序完整规范，资金使用安全合</w:t>
      </w:r>
      <w:proofErr w:type="gramStart"/>
      <w:r>
        <w:rPr>
          <w:rFonts w:ascii="仿宋_GB2312" w:eastAsia="仿宋_GB2312" w:hAnsi="仿宋" w:hint="eastAsia"/>
          <w:sz w:val="32"/>
          <w:szCs w:val="32"/>
        </w:rPr>
        <w:t>规</w:t>
      </w:r>
      <w:proofErr w:type="gramEnd"/>
      <w:r>
        <w:rPr>
          <w:rFonts w:ascii="仿宋_GB2312" w:eastAsia="仿宋_GB2312" w:hAnsi="仿宋" w:hint="eastAsia"/>
          <w:sz w:val="32"/>
          <w:szCs w:val="32"/>
        </w:rPr>
        <w:t>。内部审计和监督机制完善，为资金高效安全的使用保驾护航。</w:t>
      </w:r>
    </w:p>
    <w:p w14:paraId="25D58013" w14:textId="77777777" w:rsidR="00403C66" w:rsidRDefault="00000000">
      <w:pPr>
        <w:adjustRightInd w:val="0"/>
        <w:snapToGrid w:val="0"/>
        <w:spacing w:line="560" w:lineRule="exact"/>
        <w:ind w:firstLineChars="200" w:firstLine="643"/>
        <w:rPr>
          <w:rFonts w:ascii="仿宋_GB2312" w:eastAsia="仿宋_GB2312" w:hAnsi="仿宋" w:hint="eastAsia"/>
          <w:b/>
          <w:bCs/>
          <w:sz w:val="32"/>
          <w:szCs w:val="32"/>
        </w:rPr>
      </w:pPr>
      <w:r>
        <w:rPr>
          <w:rFonts w:ascii="仿宋_GB2312" w:eastAsia="仿宋_GB2312" w:hAnsi="仿宋" w:hint="eastAsia"/>
          <w:b/>
          <w:bCs/>
          <w:sz w:val="32"/>
          <w:szCs w:val="32"/>
        </w:rPr>
        <w:t>3.会计基础信息完善性</w:t>
      </w:r>
    </w:p>
    <w:p w14:paraId="0A9F22EF" w14:textId="77777777" w:rsidR="00403C66" w:rsidRDefault="00000000">
      <w:pPr>
        <w:adjustRightInd w:val="0"/>
        <w:snapToGrid w:val="0"/>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在费用报销及合同付款过程中，严格审批原始凭证，对内容不全、手续不完备的原始凭证以及未审批完成的支出不予办理支付。</w:t>
      </w:r>
    </w:p>
    <w:p w14:paraId="160BEFFC" w14:textId="77777777" w:rsidR="00403C66" w:rsidRDefault="00000000">
      <w:pPr>
        <w:pStyle w:val="2"/>
        <w:keepNext w:val="0"/>
        <w:keepLines w:val="0"/>
        <w:widowControl/>
        <w:adjustRightInd w:val="0"/>
        <w:snapToGrid w:val="0"/>
        <w:spacing w:before="0" w:after="0" w:line="560" w:lineRule="exact"/>
        <w:ind w:firstLineChars="200" w:firstLine="640"/>
        <w:rPr>
          <w:rFonts w:ascii="楷体" w:eastAsia="楷体" w:hAnsi="楷体" w:hint="eastAsia"/>
          <w:b w:val="0"/>
          <w:bCs w:val="0"/>
        </w:rPr>
      </w:pPr>
      <w:bookmarkStart w:id="9" w:name="_Toc28144"/>
      <w:r>
        <w:rPr>
          <w:rFonts w:ascii="楷体" w:eastAsia="楷体" w:hAnsi="楷体" w:hint="eastAsia"/>
          <w:b w:val="0"/>
          <w:bCs w:val="0"/>
        </w:rPr>
        <w:t>（二）资产管理</w:t>
      </w:r>
      <w:bookmarkEnd w:id="9"/>
    </w:p>
    <w:p w14:paraId="6302631F" w14:textId="77777777" w:rsidR="00403C66" w:rsidRDefault="00000000">
      <w:pPr>
        <w:adjustRightInd w:val="0"/>
        <w:snapToGrid w:val="0"/>
        <w:spacing w:line="560" w:lineRule="exact"/>
        <w:ind w:firstLineChars="200" w:firstLine="640"/>
        <w:rPr>
          <w:rFonts w:ascii="仿宋_GB2312" w:eastAsia="仿宋_GB2312" w:hAnsi="仿宋" w:hint="eastAsia"/>
          <w:sz w:val="32"/>
          <w:szCs w:val="32"/>
        </w:rPr>
      </w:pPr>
      <w:bookmarkStart w:id="10" w:name="_Toc31968"/>
      <w:r>
        <w:rPr>
          <w:rFonts w:ascii="仿宋_GB2312" w:eastAsia="仿宋_GB2312" w:hAnsi="仿宋" w:hint="eastAsia"/>
          <w:sz w:val="32"/>
          <w:szCs w:val="32"/>
        </w:rPr>
        <w:t>2024年我委进一步加强和完善资产管理，全面强化对国有资产的监管。一是开展固定资产盘点，摸清全委固定资产底数；二是落实资产监管责任，将固定资产监管责任落实到具体人员；三是对固定资产贴签，明确各资产“身份”。</w:t>
      </w:r>
    </w:p>
    <w:p w14:paraId="6DA18E86" w14:textId="77777777" w:rsidR="00403C66" w:rsidRDefault="00000000">
      <w:pPr>
        <w:pStyle w:val="2"/>
        <w:keepNext w:val="0"/>
        <w:keepLines w:val="0"/>
        <w:widowControl/>
        <w:adjustRightInd w:val="0"/>
        <w:snapToGrid w:val="0"/>
        <w:spacing w:before="0" w:after="0" w:line="560" w:lineRule="exact"/>
        <w:ind w:firstLineChars="200" w:firstLine="640"/>
        <w:rPr>
          <w:rFonts w:ascii="楷体" w:eastAsia="楷体" w:hAnsi="楷体" w:hint="eastAsia"/>
          <w:b w:val="0"/>
          <w:bCs w:val="0"/>
        </w:rPr>
      </w:pPr>
      <w:r>
        <w:rPr>
          <w:rFonts w:ascii="楷体" w:eastAsia="楷体" w:hAnsi="楷体" w:hint="eastAsia"/>
          <w:b w:val="0"/>
          <w:bCs w:val="0"/>
        </w:rPr>
        <w:t>（三）绩效管理</w:t>
      </w:r>
      <w:bookmarkEnd w:id="10"/>
    </w:p>
    <w:p w14:paraId="69E5AAF4" w14:textId="77777777" w:rsidR="00403C66" w:rsidRDefault="00000000">
      <w:pPr>
        <w:adjustRightInd w:val="0"/>
        <w:snapToGrid w:val="0"/>
        <w:spacing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我委高度重视绩效管理工作，将绩效理念深度融入预算编制、执行和监督全过程，构建事前、事中、事后绩效管理闭环系统，创新预算管理方式，扎实做好各项绩效管理工作。成立</w:t>
      </w:r>
      <w:r>
        <w:rPr>
          <w:rFonts w:ascii="仿宋_GB2312" w:eastAsia="仿宋_GB2312" w:hAnsi="仿宋" w:hint="eastAsia"/>
          <w:sz w:val="32"/>
          <w:szCs w:val="32"/>
        </w:rPr>
        <w:lastRenderedPageBreak/>
        <w:t>了由我委财务处牵头的预算绩效管理工作组。各处室和所属各单位为绩效管理的具体实施单位，负责绩效目标申报、绩效监控和绩效自评等相关工作。</w:t>
      </w:r>
    </w:p>
    <w:p w14:paraId="2ADC51A5" w14:textId="77777777" w:rsidR="00403C66"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一是加强绩效目标管理。按照市财政局要求，将2025年项目全部纳入绩效目标填报范围，完成了绩效目标申报表的审核及系统录入工作。</w:t>
      </w:r>
    </w:p>
    <w:p w14:paraId="6134FC35" w14:textId="77777777" w:rsidR="00403C66"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二是开展事后绩效自评及事中绩效监控。对2023年</w:t>
      </w:r>
      <w:r>
        <w:rPr>
          <w:rFonts w:ascii="仿宋_GB2312" w:eastAsia="仿宋_GB2312" w:hint="eastAsia"/>
          <w:sz w:val="32"/>
          <w:szCs w:val="32"/>
        </w:rPr>
        <w:t>度部门项目支出实施绩效自评，部门绩效评</w:t>
      </w:r>
      <w:r>
        <w:rPr>
          <w:rFonts w:ascii="仿宋_GB2312" w:eastAsia="仿宋_GB2312" w:cs="仿宋_GB2312" w:hint="eastAsia"/>
          <w:sz w:val="32"/>
          <w:szCs w:val="32"/>
        </w:rPr>
        <w:t>价项目1个，涉及金额2,400万元，评价得分82.7分；单位自评项目</w:t>
      </w:r>
      <w:r>
        <w:rPr>
          <w:rFonts w:ascii="仿宋_GB2312" w:eastAsia="仿宋_GB2312" w:hAnsi="Times New Roman" w:hint="eastAsia"/>
          <w:sz w:val="32"/>
          <w:szCs w:val="32"/>
        </w:rPr>
        <w:t>121</w:t>
      </w:r>
      <w:r>
        <w:rPr>
          <w:rFonts w:ascii="仿宋_GB2312" w:eastAsia="仿宋_GB2312" w:hAnsi="仿宋" w:hint="eastAsia"/>
          <w:sz w:val="32"/>
          <w:szCs w:val="32"/>
        </w:rPr>
        <w:t>个，涉及金额530,556.04万元，评价得分在90（含）-100分的89个、评价得分在8</w:t>
      </w:r>
      <w:r>
        <w:rPr>
          <w:rFonts w:ascii="仿宋_GB2312" w:eastAsia="仿宋_GB2312" w:hAnsi="Times New Roman" w:hint="eastAsia"/>
          <w:sz w:val="32"/>
          <w:szCs w:val="32"/>
        </w:rPr>
        <w:t>0（含）-90分的32个、评价得分在60（含）-80分的0个。</w:t>
      </w:r>
      <w:r>
        <w:rPr>
          <w:rFonts w:ascii="仿宋_GB2312" w:eastAsia="仿宋_GB2312" w:hAnsi="仿宋_GB2312" w:cs="仿宋_GB2312" w:hint="eastAsia"/>
          <w:sz w:val="32"/>
          <w:szCs w:val="32"/>
        </w:rPr>
        <w:t>2024年度绩效运行监控项目129个，涉及金额412,000.94万元。</w:t>
      </w:r>
    </w:p>
    <w:p w14:paraId="48BC7237" w14:textId="77777777" w:rsidR="00403C66" w:rsidRDefault="00000000">
      <w:pPr>
        <w:widowControl/>
        <w:adjustRightInd w:val="0"/>
        <w:snapToGrid w:val="0"/>
        <w:spacing w:line="560" w:lineRule="exact"/>
        <w:ind w:firstLineChars="200" w:firstLine="640"/>
      </w:pPr>
      <w:r>
        <w:rPr>
          <w:rFonts w:ascii="仿宋_GB2312" w:eastAsia="仿宋_GB2312" w:hint="eastAsia"/>
          <w:sz w:val="32"/>
          <w:szCs w:val="32"/>
        </w:rPr>
        <w:t>三是开展成本预算绩效分析。对“北京科技周活动项目”项目开展成本绩效分析工作。通过对项目开展成本绩效分析工作，降低了项目的实施成本，节约了财政资金。</w:t>
      </w:r>
    </w:p>
    <w:p w14:paraId="00769694" w14:textId="77777777" w:rsidR="00403C66" w:rsidRDefault="00000000">
      <w:pPr>
        <w:pStyle w:val="2"/>
        <w:adjustRightInd w:val="0"/>
        <w:snapToGrid w:val="0"/>
        <w:spacing w:before="0" w:after="0" w:line="560" w:lineRule="exact"/>
        <w:ind w:firstLineChars="200" w:firstLine="640"/>
        <w:rPr>
          <w:rFonts w:ascii="楷体" w:eastAsia="楷体" w:hAnsi="楷体" w:hint="eastAsia"/>
          <w:b w:val="0"/>
          <w:bCs w:val="0"/>
        </w:rPr>
      </w:pPr>
      <w:bookmarkStart w:id="11" w:name="_Toc17801"/>
      <w:r>
        <w:rPr>
          <w:rFonts w:ascii="楷体" w:eastAsia="楷体" w:hAnsi="楷体" w:hint="eastAsia"/>
          <w:b w:val="0"/>
          <w:bCs w:val="0"/>
        </w:rPr>
        <w:t>（四）结转结余率</w:t>
      </w:r>
      <w:bookmarkEnd w:id="11"/>
    </w:p>
    <w:p w14:paraId="607B6323" w14:textId="77777777" w:rsidR="00403C66"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2024年末结转结余199,638.59万元，占全年支出预算金额1,291,557.39万元的15.46%，较上年结转结余率17.59%，降低2个百分点。</w:t>
      </w:r>
    </w:p>
    <w:p w14:paraId="78971878" w14:textId="77777777" w:rsidR="00403C66" w:rsidRDefault="00000000">
      <w:pPr>
        <w:pStyle w:val="2"/>
        <w:adjustRightInd w:val="0"/>
        <w:snapToGrid w:val="0"/>
        <w:spacing w:before="0" w:after="0" w:line="560" w:lineRule="exact"/>
        <w:ind w:firstLineChars="200" w:firstLine="640"/>
        <w:rPr>
          <w:rFonts w:ascii="楷体" w:eastAsia="楷体" w:hAnsi="楷体" w:hint="eastAsia"/>
          <w:b w:val="0"/>
          <w:bCs w:val="0"/>
        </w:rPr>
      </w:pPr>
      <w:bookmarkStart w:id="12" w:name="_Toc28814"/>
      <w:r>
        <w:rPr>
          <w:rFonts w:ascii="楷体" w:eastAsia="楷体" w:hAnsi="楷体" w:hint="eastAsia"/>
          <w:b w:val="0"/>
          <w:bCs w:val="0"/>
        </w:rPr>
        <w:t>（五）部门预决算差异</w:t>
      </w:r>
      <w:bookmarkEnd w:id="12"/>
      <w:r>
        <w:rPr>
          <w:rFonts w:ascii="楷体" w:eastAsia="楷体" w:hAnsi="楷体" w:hint="eastAsia"/>
          <w:b w:val="0"/>
          <w:bCs w:val="0"/>
        </w:rPr>
        <w:t>率</w:t>
      </w:r>
    </w:p>
    <w:p w14:paraId="5792A855" w14:textId="0FB51283" w:rsidR="00403C66" w:rsidRDefault="00000000" w:rsidP="004252F1">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2024年</w:t>
      </w:r>
      <w:proofErr w:type="gramStart"/>
      <w:r>
        <w:rPr>
          <w:rFonts w:ascii="仿宋_GB2312" w:eastAsia="仿宋_GB2312" w:hint="eastAsia"/>
          <w:sz w:val="32"/>
          <w:szCs w:val="32"/>
        </w:rPr>
        <w:t>末决</w:t>
      </w:r>
      <w:proofErr w:type="gramEnd"/>
      <w:r>
        <w:rPr>
          <w:rFonts w:ascii="仿宋_GB2312" w:eastAsia="仿宋_GB2312" w:hint="eastAsia"/>
          <w:sz w:val="32"/>
          <w:szCs w:val="32"/>
        </w:rPr>
        <w:t>算支出1,092,812.36万元，年初预算收入846,448.23万元，部门预算决算差异率为29.11%</w:t>
      </w:r>
      <w:r w:rsidR="004252F1">
        <w:rPr>
          <w:rFonts w:ascii="仿宋_GB2312" w:eastAsia="仿宋_GB2312" w:hint="eastAsia"/>
          <w:sz w:val="32"/>
          <w:szCs w:val="32"/>
        </w:rPr>
        <w:t>。</w:t>
      </w:r>
    </w:p>
    <w:p w14:paraId="30509EB8" w14:textId="77777777" w:rsidR="00403C66" w:rsidRDefault="00000000">
      <w:pPr>
        <w:pStyle w:val="2"/>
        <w:adjustRightInd w:val="0"/>
        <w:snapToGrid w:val="0"/>
        <w:spacing w:before="0" w:after="0" w:line="560" w:lineRule="exact"/>
        <w:ind w:firstLineChars="200" w:firstLine="640"/>
        <w:rPr>
          <w:rFonts w:ascii="黑体" w:eastAsia="黑体" w:hAnsi="黑体" w:hint="eastAsia"/>
          <w:b w:val="0"/>
          <w:bCs w:val="0"/>
        </w:rPr>
      </w:pPr>
      <w:bookmarkStart w:id="13" w:name="_Toc28719"/>
      <w:r>
        <w:rPr>
          <w:rFonts w:ascii="黑体" w:eastAsia="黑体" w:hAnsi="黑体" w:hint="eastAsia"/>
          <w:b w:val="0"/>
          <w:bCs w:val="0"/>
        </w:rPr>
        <w:lastRenderedPageBreak/>
        <w:t>五、总体评价结论</w:t>
      </w:r>
      <w:bookmarkEnd w:id="13"/>
    </w:p>
    <w:p w14:paraId="1FE5CA85" w14:textId="77777777" w:rsidR="00403C66" w:rsidRDefault="00000000">
      <w:pPr>
        <w:adjustRightInd w:val="0"/>
        <w:snapToGrid w:val="0"/>
        <w:spacing w:line="560" w:lineRule="exact"/>
        <w:ind w:firstLineChars="200" w:firstLine="640"/>
        <w:outlineLvl w:val="1"/>
        <w:rPr>
          <w:rFonts w:ascii="楷体" w:eastAsia="楷体" w:hAnsi="楷体" w:cs="楷体" w:hint="eastAsia"/>
          <w:sz w:val="32"/>
          <w:szCs w:val="32"/>
        </w:rPr>
      </w:pPr>
      <w:bookmarkStart w:id="14" w:name="_Toc47"/>
      <w:bookmarkStart w:id="15" w:name="_Toc12473"/>
      <w:r>
        <w:rPr>
          <w:rFonts w:ascii="楷体" w:eastAsia="楷体" w:hAnsi="楷体" w:cs="楷体" w:hint="eastAsia"/>
          <w:sz w:val="32"/>
          <w:szCs w:val="32"/>
        </w:rPr>
        <w:t>（一）评价得分情况</w:t>
      </w:r>
      <w:bookmarkEnd w:id="14"/>
    </w:p>
    <w:p w14:paraId="4D970358" w14:textId="77777777" w:rsidR="00403C66"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本次部门整体绩效评价通过资料分析、专家评议等多种方式开展了全面、系统、客观的分析评价，最终得分为90.6分，综合评价等级为“优秀”。其中：当年预算执行情况16.92分，整体绩效目标实际情况53.68分，预算管理情况20分，具体评分见《北京市科学技术委员会2024年度部门整体绩效评价指标体系评分表》。</w:t>
      </w:r>
    </w:p>
    <w:p w14:paraId="35681532" w14:textId="77777777" w:rsidR="00403C66" w:rsidRDefault="00000000">
      <w:pPr>
        <w:adjustRightInd w:val="0"/>
        <w:snapToGrid w:val="0"/>
        <w:spacing w:line="560" w:lineRule="exact"/>
        <w:ind w:firstLineChars="200" w:firstLine="640"/>
        <w:outlineLvl w:val="1"/>
        <w:rPr>
          <w:rFonts w:ascii="楷体" w:eastAsia="楷体" w:hAnsi="楷体" w:cs="楷体" w:hint="eastAsia"/>
          <w:sz w:val="32"/>
          <w:szCs w:val="32"/>
        </w:rPr>
      </w:pPr>
      <w:r>
        <w:rPr>
          <w:rFonts w:ascii="楷体" w:eastAsia="楷体" w:hAnsi="楷体" w:cs="楷体" w:hint="eastAsia"/>
          <w:sz w:val="32"/>
          <w:szCs w:val="32"/>
        </w:rPr>
        <w:t>（二）</w:t>
      </w:r>
      <w:bookmarkEnd w:id="15"/>
      <w:r>
        <w:rPr>
          <w:rFonts w:ascii="楷体" w:eastAsia="楷体" w:hAnsi="楷体" w:cs="楷体" w:hint="eastAsia"/>
          <w:sz w:val="32"/>
          <w:szCs w:val="32"/>
        </w:rPr>
        <w:t>存在的问题及原因分析</w:t>
      </w:r>
    </w:p>
    <w:p w14:paraId="7501EAEA" w14:textId="77777777" w:rsidR="00403C66"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Ansi="仿宋_GB2312" w:cs="仿宋_GB2312" w:hint="eastAsia"/>
          <w:sz w:val="32"/>
          <w:szCs w:val="32"/>
        </w:rPr>
        <w:t>项目绩效目标设置仍有待进一步优化</w:t>
      </w:r>
      <w:r>
        <w:rPr>
          <w:rFonts w:ascii="仿宋_GB2312" w:eastAsia="仿宋_GB2312" w:hint="eastAsia"/>
          <w:sz w:val="32"/>
          <w:szCs w:val="32"/>
        </w:rPr>
        <w:t>。个别项目绩效指标的细化程度及量化不足，效益指标设置较为宏观。</w:t>
      </w:r>
    </w:p>
    <w:p w14:paraId="659E0559" w14:textId="77777777" w:rsidR="00403C66"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2.个别</w:t>
      </w:r>
      <w:r>
        <w:rPr>
          <w:rFonts w:ascii="仿宋_GB2312" w:eastAsia="仿宋_GB2312" w:hAnsi="仿宋_GB2312" w:cs="仿宋_GB2312" w:hint="eastAsia"/>
          <w:sz w:val="32"/>
          <w:szCs w:val="32"/>
        </w:rPr>
        <w:t>项目立项阶段的论证不够深入。作为资金规模相对较大、创新性较强的项目，个别项目前期论证不够深入，项目预算编制的科学性、精准度有待进一步提高</w:t>
      </w:r>
      <w:r>
        <w:rPr>
          <w:rFonts w:ascii="仿宋_GB2312" w:eastAsia="仿宋_GB2312" w:hint="eastAsia"/>
          <w:sz w:val="32"/>
          <w:szCs w:val="32"/>
        </w:rPr>
        <w:t>。</w:t>
      </w:r>
    </w:p>
    <w:p w14:paraId="7A40085C" w14:textId="77777777" w:rsidR="00403C66" w:rsidRDefault="0000000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项目绩效信息体现还不够充分。体现项目绩效成果和满意度调查的统计分析还不够充分。此外科技类项目实施和产生效果的周期往往较长，与预算年度存在偏差，支持项目在预算绩效评价时尚未结题，效益效果尚未充分体现，使年度评价时的产出与预期产出存在差距。</w:t>
      </w:r>
    </w:p>
    <w:p w14:paraId="058DBA3F" w14:textId="77777777" w:rsidR="00403C66" w:rsidRDefault="00000000">
      <w:pPr>
        <w:pStyle w:val="2"/>
        <w:adjustRightInd w:val="0"/>
        <w:snapToGrid w:val="0"/>
        <w:spacing w:before="0" w:after="0" w:line="560" w:lineRule="exact"/>
        <w:ind w:firstLineChars="200" w:firstLine="640"/>
        <w:rPr>
          <w:rFonts w:ascii="黑体" w:eastAsia="黑体" w:hAnsi="黑体" w:hint="eastAsia"/>
          <w:b w:val="0"/>
          <w:bCs w:val="0"/>
        </w:rPr>
      </w:pPr>
      <w:bookmarkStart w:id="16" w:name="_Toc5610"/>
      <w:r>
        <w:rPr>
          <w:rFonts w:ascii="黑体" w:eastAsia="黑体" w:hAnsi="黑体" w:hint="eastAsia"/>
          <w:b w:val="0"/>
          <w:bCs w:val="0"/>
        </w:rPr>
        <w:t>六、措施建议</w:t>
      </w:r>
      <w:bookmarkEnd w:id="16"/>
    </w:p>
    <w:p w14:paraId="292EAA13" w14:textId="77777777" w:rsidR="00403C66" w:rsidRDefault="00000000">
      <w:pPr>
        <w:adjustRightInd w:val="0"/>
        <w:snapToGrid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w:t>
      </w:r>
      <w:r>
        <w:rPr>
          <w:rFonts w:ascii="仿宋_GB2312" w:eastAsia="仿宋_GB2312" w:hint="eastAsia"/>
          <w:sz w:val="32"/>
          <w:szCs w:val="32"/>
        </w:rPr>
        <w:t>进一步提升部门管理水平。根据部门的工作重点，对预算资金合理排序，统筹兼顾，保障重点，加强项目的深入调研，增强预算资金与工作需求的匹配程度。</w:t>
      </w:r>
    </w:p>
    <w:p w14:paraId="7E3F74AA" w14:textId="77777777" w:rsidR="00403C66" w:rsidRDefault="00000000">
      <w:pPr>
        <w:adjustRightInd w:val="0"/>
        <w:snapToGrid w:val="0"/>
        <w:spacing w:line="560" w:lineRule="exact"/>
        <w:ind w:firstLineChars="200" w:firstLine="640"/>
        <w:rPr>
          <w:rFonts w:ascii="仿宋_GB2312" w:eastAsia="仿宋_GB2312" w:hAnsi="方正仿宋_GBK" w:cs="方正仿宋_GBK" w:hint="eastAsia"/>
          <w:sz w:val="32"/>
          <w:szCs w:val="32"/>
        </w:rPr>
      </w:pPr>
      <w:r>
        <w:rPr>
          <w:rFonts w:ascii="仿宋_GB2312" w:eastAsia="仿宋_GB2312" w:hAnsi="仿宋_GB2312" w:cs="仿宋_GB2312" w:hint="eastAsia"/>
          <w:sz w:val="32"/>
          <w:szCs w:val="32"/>
        </w:rPr>
        <w:t>（二）进一步加强绩效成果应用，不断提高财政资金科学</w:t>
      </w:r>
      <w:r>
        <w:rPr>
          <w:rFonts w:ascii="仿宋_GB2312" w:eastAsia="仿宋_GB2312" w:hAnsi="仿宋_GB2312" w:cs="仿宋_GB2312" w:hint="eastAsia"/>
          <w:sz w:val="32"/>
          <w:szCs w:val="32"/>
        </w:rPr>
        <w:lastRenderedPageBreak/>
        <w:t>化、精细化管理水平，提高财政资金支出效益。针对实施周期较长的项目探索建立绩效信息的跟踪机制，加强对绩效成果的跟踪及统计分析。</w:t>
      </w:r>
    </w:p>
    <w:p w14:paraId="636B8ED3" w14:textId="77777777" w:rsidR="00403C66" w:rsidRDefault="00000000">
      <w:pPr>
        <w:pStyle w:val="2"/>
        <w:adjustRightInd w:val="0"/>
        <w:snapToGrid w:val="0"/>
        <w:spacing w:before="0" w:after="0" w:line="560" w:lineRule="exact"/>
        <w:ind w:firstLineChars="200" w:firstLine="640"/>
        <w:rPr>
          <w:rFonts w:ascii="黑体" w:eastAsia="黑体" w:hAnsi="黑体" w:hint="eastAsia"/>
          <w:b w:val="0"/>
          <w:bCs w:val="0"/>
        </w:rPr>
      </w:pPr>
      <w:bookmarkStart w:id="17" w:name="_Toc30877"/>
      <w:bookmarkStart w:id="18" w:name="_Toc103006301"/>
      <w:r>
        <w:rPr>
          <w:rFonts w:ascii="黑体" w:eastAsia="黑体" w:hAnsi="黑体" w:hint="eastAsia"/>
          <w:b w:val="0"/>
          <w:bCs w:val="0"/>
        </w:rPr>
        <w:t>七、附件</w:t>
      </w:r>
      <w:bookmarkEnd w:id="17"/>
      <w:bookmarkEnd w:id="18"/>
    </w:p>
    <w:p w14:paraId="3053123D" w14:textId="77777777" w:rsidR="00403C66" w:rsidRDefault="00000000">
      <w:pPr>
        <w:pStyle w:val="a8"/>
        <w:adjustRightInd w:val="0"/>
        <w:spacing w:line="560" w:lineRule="exact"/>
        <w:ind w:firstLineChars="200" w:firstLine="640"/>
      </w:pPr>
      <w:r>
        <w:rPr>
          <w:rFonts w:ascii="仿宋_GB2312" w:eastAsia="仿宋_GB2312" w:hAnsi="仿宋_GB2312" w:cs="仿宋_GB2312" w:hint="eastAsia"/>
          <w:sz w:val="32"/>
          <w:szCs w:val="32"/>
        </w:rPr>
        <w:t>北京市科学技术委员会2024年度部门整体绩效评价指标体系评分表</w:t>
      </w:r>
    </w:p>
    <w:p w14:paraId="7DEF82FA" w14:textId="77777777" w:rsidR="00403C66" w:rsidRDefault="00403C66">
      <w:pPr>
        <w:spacing w:line="560" w:lineRule="exact"/>
      </w:pPr>
    </w:p>
    <w:p w14:paraId="6880A256" w14:textId="77777777" w:rsidR="00403C66" w:rsidRDefault="00403C66"/>
    <w:sectPr w:rsidR="00403C66">
      <w:headerReference w:type="default" r:id="rId7"/>
      <w:footerReference w:type="default" r:id="rId8"/>
      <w:footnotePr>
        <w:numFmt w:val="decimalEnclosedCircleChinese"/>
      </w:footnotePr>
      <w:pgSz w:w="11906" w:h="16838"/>
      <w:pgMar w:top="1440" w:right="1416" w:bottom="1440" w:left="1800" w:header="851" w:footer="1077"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12D09" w14:textId="77777777" w:rsidR="00863E77" w:rsidRDefault="00863E77">
      <w:r>
        <w:separator/>
      </w:r>
    </w:p>
  </w:endnote>
  <w:endnote w:type="continuationSeparator" w:id="0">
    <w:p w14:paraId="1BC619C2" w14:textId="77777777" w:rsidR="00863E77" w:rsidRDefault="00863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embedRegular r:id="rId1" w:subsetted="1" w:fontKey="{804A1D10-6EAA-461C-A8F6-9BA23D96F7D9}"/>
  </w:font>
  <w:font w:name="Calibri Light">
    <w:panose1 w:val="020F03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91B42048-02B1-4ACA-B67B-D342E2BC4D04}"/>
    <w:embedBold r:id="rId3" w:subsetted="1" w:fontKey="{82064FA6-4120-4B46-96F0-9EC045D308CA}"/>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4" w:subsetted="1" w:fontKey="{DAC09812-553A-4563-BF89-ABEAC84E00B7}"/>
  </w:font>
  <w:font w:name="Times New Roman (正文 CS 字体)">
    <w:altName w:val="Times New Roman"/>
    <w:charset w:val="00"/>
    <w:family w:val="roman"/>
    <w:pitch w:val="default"/>
    <w:sig w:usb0="00000000" w:usb1="00000000" w:usb2="00000000" w:usb3="00000000" w:csb0="00040001" w:csb1="00000000"/>
  </w:font>
  <w:font w:name="方正小标宋_GBK">
    <w:panose1 w:val="03000509000000000000"/>
    <w:charset w:val="86"/>
    <w:family w:val="script"/>
    <w:pitch w:val="fixed"/>
    <w:sig w:usb0="00000001" w:usb1="080E0000" w:usb2="00000010" w:usb3="00000000" w:csb0="00040000" w:csb1="00000000"/>
    <w:embedRegular r:id="rId5" w:subsetted="1" w:fontKey="{6C2AA21C-C0BF-4CBC-8DD3-95A78E137BB6}"/>
  </w:font>
  <w:font w:name="楷体">
    <w:panose1 w:val="02010609060101010101"/>
    <w:charset w:val="86"/>
    <w:family w:val="modern"/>
    <w:pitch w:val="fixed"/>
    <w:sig w:usb0="800002BF" w:usb1="38CF7CFA" w:usb2="00000016" w:usb3="00000000" w:csb0="00040001" w:csb1="00000000"/>
    <w:embedRegular r:id="rId6" w:subsetted="1" w:fontKey="{85F333B6-FD4E-4A40-81DF-D43DB6490093}"/>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embedRegular r:id="rId7" w:subsetted="1" w:fontKey="{2D4CF1C1-26B0-4EA0-8091-A943ADAAEF33}"/>
  </w:font>
  <w:font w:name="方正仿宋_GBK">
    <w:altName w:val="Arial Unicode MS"/>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70E18" w14:textId="77777777" w:rsidR="00403C66" w:rsidRDefault="00000000">
    <w:pPr>
      <w:pStyle w:val="a8"/>
      <w:jc w:val="center"/>
    </w:pPr>
    <w:r>
      <w:rPr>
        <w:noProof/>
      </w:rPr>
      <mc:AlternateContent>
        <mc:Choice Requires="wps">
          <w:drawing>
            <wp:anchor distT="0" distB="0" distL="114300" distR="114300" simplePos="0" relativeHeight="251659264" behindDoc="0" locked="0" layoutInCell="1" allowOverlap="1" wp14:anchorId="4AD10EE1" wp14:editId="5134AF5E">
              <wp:simplePos x="0" y="0"/>
              <wp:positionH relativeFrom="margin">
                <wp:align>right</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6D389CFC" w14:textId="77777777" w:rsidR="00403C66" w:rsidRDefault="00000000">
                          <w:r>
                            <w:t xml:space="preserve">— </w:t>
                          </w:r>
                          <w:r>
                            <w:rPr>
                              <w:szCs w:val="21"/>
                            </w:rPr>
                            <w:fldChar w:fldCharType="begin"/>
                          </w:r>
                          <w:r>
                            <w:rPr>
                              <w:szCs w:val="21"/>
                            </w:rPr>
                            <w:instrText xml:space="preserve"> PAGE  \* MERGEFORMAT </w:instrText>
                          </w:r>
                          <w:r>
                            <w:rPr>
                              <w:szCs w:val="21"/>
                            </w:rPr>
                            <w:fldChar w:fldCharType="separate"/>
                          </w:r>
                          <w:r>
                            <w:rPr>
                              <w:szCs w:val="21"/>
                            </w:rPr>
                            <w:t>15</w:t>
                          </w:r>
                          <w:r>
                            <w:rPr>
                              <w:szCs w:val="21"/>
                            </w:rPr>
                            <w:fldChar w:fldCharType="end"/>
                          </w:r>
                          <w:r>
                            <w:rPr>
                              <w:szCs w:val="21"/>
                            </w:rPr>
                            <w:t xml:space="preserve"> </w:t>
                          </w:r>
                          <w:r>
                            <w:t>—</w:t>
                          </w:r>
                        </w:p>
                      </w:txbxContent>
                    </wps:txbx>
                    <wps:bodyPr wrap="none" lIns="0" tIns="0" rIns="0" bIns="0" upright="1">
                      <a:spAutoFit/>
                    </wps:bodyPr>
                  </wps:wsp>
                </a:graphicData>
              </a:graphic>
            </wp:anchor>
          </w:drawing>
        </mc:Choice>
        <mc:Fallback>
          <w:pict>
            <v:shapetype w14:anchorId="4AD10EE1" id="_x0000_t202" coordsize="21600,21600" o:spt="202" path="m,l,21600r21600,l21600,xe">
              <v:stroke joinstyle="miter"/>
              <v:path gradientshapeok="t" o:connecttype="rect"/>
            </v:shapetype>
            <v:shape id="Quad Arrow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DDBVgRnQEAADwDAAAO&#10;AAAAAAAAAAAAAAAAAC4CAABkcnMvZTJvRG9jLnhtbFBLAQItABQABgAIAAAAIQAMSvDu1gAAAAUB&#10;AAAPAAAAAAAAAAAAAAAAAPcDAABkcnMvZG93bnJldi54bWxQSwUGAAAAAAQABADzAAAA+gQAAAAA&#10;" filled="f" stroked="f">
              <v:textbox style="mso-fit-shape-to-text:t" inset="0,0,0,0">
                <w:txbxContent>
                  <w:p w14:paraId="6D389CFC" w14:textId="77777777" w:rsidR="00403C66" w:rsidRDefault="00000000">
                    <w:r>
                      <w:t xml:space="preserve">— </w:t>
                    </w:r>
                    <w:r>
                      <w:rPr>
                        <w:szCs w:val="21"/>
                      </w:rPr>
                      <w:fldChar w:fldCharType="begin"/>
                    </w:r>
                    <w:r>
                      <w:rPr>
                        <w:szCs w:val="21"/>
                      </w:rPr>
                      <w:instrText xml:space="preserve"> PAGE  \* MERGEFORMAT </w:instrText>
                    </w:r>
                    <w:r>
                      <w:rPr>
                        <w:szCs w:val="21"/>
                      </w:rPr>
                      <w:fldChar w:fldCharType="separate"/>
                    </w:r>
                    <w:r>
                      <w:rPr>
                        <w:szCs w:val="21"/>
                      </w:rPr>
                      <w:t>15</w:t>
                    </w:r>
                    <w:r>
                      <w:rPr>
                        <w:szCs w:val="21"/>
                      </w:rPr>
                      <w:fldChar w:fldCharType="end"/>
                    </w:r>
                    <w:r>
                      <w:rPr>
                        <w:szCs w:val="21"/>
                      </w:rPr>
                      <w:t xml:space="preserve"> </w:t>
                    </w:r>
                    <w: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54BAC" w14:textId="77777777" w:rsidR="00863E77" w:rsidRDefault="00863E77">
      <w:r>
        <w:separator/>
      </w:r>
    </w:p>
  </w:footnote>
  <w:footnote w:type="continuationSeparator" w:id="0">
    <w:p w14:paraId="1389E139" w14:textId="77777777" w:rsidR="00863E77" w:rsidRDefault="00863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5CE63" w14:textId="77777777" w:rsidR="00403C66" w:rsidRDefault="00403C66">
    <w:pPr>
      <w:pStyle w:val="a9"/>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6AE11FF"/>
    <w:rsid w:val="000463AC"/>
    <w:rsid w:val="0005433C"/>
    <w:rsid w:val="00062DDB"/>
    <w:rsid w:val="000A7D1E"/>
    <w:rsid w:val="000D75F2"/>
    <w:rsid w:val="00114E78"/>
    <w:rsid w:val="00142E20"/>
    <w:rsid w:val="001E01C6"/>
    <w:rsid w:val="00263699"/>
    <w:rsid w:val="002F3E86"/>
    <w:rsid w:val="00331397"/>
    <w:rsid w:val="00334176"/>
    <w:rsid w:val="00403C66"/>
    <w:rsid w:val="004103F0"/>
    <w:rsid w:val="0041674A"/>
    <w:rsid w:val="00423FB9"/>
    <w:rsid w:val="004252F1"/>
    <w:rsid w:val="00451F1D"/>
    <w:rsid w:val="004D2005"/>
    <w:rsid w:val="006048FC"/>
    <w:rsid w:val="0064709D"/>
    <w:rsid w:val="006A75D5"/>
    <w:rsid w:val="006B67AB"/>
    <w:rsid w:val="00725D2E"/>
    <w:rsid w:val="007545E8"/>
    <w:rsid w:val="00794CA8"/>
    <w:rsid w:val="007B6B4F"/>
    <w:rsid w:val="00836B8F"/>
    <w:rsid w:val="00863E77"/>
    <w:rsid w:val="008A5400"/>
    <w:rsid w:val="008C3F4C"/>
    <w:rsid w:val="00943E0D"/>
    <w:rsid w:val="009464ED"/>
    <w:rsid w:val="00994452"/>
    <w:rsid w:val="00A37595"/>
    <w:rsid w:val="00A474FC"/>
    <w:rsid w:val="00A764FB"/>
    <w:rsid w:val="00A97A1F"/>
    <w:rsid w:val="00AD1DAB"/>
    <w:rsid w:val="00B25AE4"/>
    <w:rsid w:val="00BE532E"/>
    <w:rsid w:val="00C56476"/>
    <w:rsid w:val="00C57253"/>
    <w:rsid w:val="00C64997"/>
    <w:rsid w:val="00C87E02"/>
    <w:rsid w:val="00DB4421"/>
    <w:rsid w:val="00DC2701"/>
    <w:rsid w:val="00E236E2"/>
    <w:rsid w:val="00E454C2"/>
    <w:rsid w:val="00EC1B1D"/>
    <w:rsid w:val="00EE48D4"/>
    <w:rsid w:val="00EF40EB"/>
    <w:rsid w:val="00EF57B2"/>
    <w:rsid w:val="00FB5BF0"/>
    <w:rsid w:val="00FF6F43"/>
    <w:rsid w:val="0863612F"/>
    <w:rsid w:val="120F118F"/>
    <w:rsid w:val="1729198D"/>
    <w:rsid w:val="1A4B7AD7"/>
    <w:rsid w:val="28212236"/>
    <w:rsid w:val="28B30264"/>
    <w:rsid w:val="2AF015D1"/>
    <w:rsid w:val="37E93C07"/>
    <w:rsid w:val="40A9280D"/>
    <w:rsid w:val="41AA074E"/>
    <w:rsid w:val="435D4EAD"/>
    <w:rsid w:val="47890FBF"/>
    <w:rsid w:val="49415E3C"/>
    <w:rsid w:val="516D14D8"/>
    <w:rsid w:val="539D1AA2"/>
    <w:rsid w:val="53A05E55"/>
    <w:rsid w:val="562D5084"/>
    <w:rsid w:val="5BA74225"/>
    <w:rsid w:val="5F4840BE"/>
    <w:rsid w:val="616E5400"/>
    <w:rsid w:val="62E01A59"/>
    <w:rsid w:val="65A837B7"/>
    <w:rsid w:val="721E7B7A"/>
    <w:rsid w:val="7270634A"/>
    <w:rsid w:val="76AE11FF"/>
    <w:rsid w:val="AE3EBAFD"/>
    <w:rsid w:val="00321C99"/>
    <w:rsid w:val="003B6788"/>
    <w:rsid w:val="00422514"/>
    <w:rsid w:val="0049656F"/>
    <w:rsid w:val="00690C4F"/>
    <w:rsid w:val="007358FA"/>
    <w:rsid w:val="00800EDC"/>
    <w:rsid w:val="008E22DB"/>
    <w:rsid w:val="009A52D8"/>
    <w:rsid w:val="00A82F76"/>
    <w:rsid w:val="00BE21F6"/>
    <w:rsid w:val="00C76031"/>
    <w:rsid w:val="00E10EB0"/>
    <w:rsid w:val="00EC7F1B"/>
    <w:rsid w:val="00F56F86"/>
    <w:rsid w:val="0AA53756"/>
    <w:rsid w:val="21A70A44"/>
    <w:rsid w:val="2E825496"/>
    <w:rsid w:val="41E77BF5"/>
    <w:rsid w:val="4C5262FD"/>
    <w:rsid w:val="53E94C59"/>
    <w:rsid w:val="6020451A"/>
    <w:rsid w:val="69142E56"/>
    <w:rsid w:val="784E1621"/>
    <w:rsid w:val="7BDF73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7AFEB"/>
  <w15:docId w15:val="{A365E758-DA89-4950-9305-E2B3E74A1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2" w:uiPriority="39" w:qFormat="1"/>
    <w:lsdException w:name="annotation text" w:qFormat="1"/>
    <w:lsdException w:name="header" w:qFormat="1"/>
    <w:lsdException w:name="footer" w:uiPriority="99" w:unhideWhenUsed="1" w:qFormat="1"/>
    <w:lsdException w:name="index heading"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2"/>
    </w:rPr>
  </w:style>
  <w:style w:type="paragraph" w:styleId="2">
    <w:name w:val="heading 2"/>
    <w:basedOn w:val="a"/>
    <w:next w:val="a"/>
    <w:uiPriority w:val="9"/>
    <w:unhideWhenUsed/>
    <w:qFormat/>
    <w:pPr>
      <w:keepNext/>
      <w:keepLines/>
      <w:spacing w:before="260" w:after="260" w:line="416" w:lineRule="auto"/>
      <w:outlineLvl w:val="1"/>
    </w:pPr>
    <w:rPr>
      <w:rFonts w:ascii="Calibri Light" w:hAnsi="Calibri Light"/>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line="440" w:lineRule="exact"/>
    </w:pPr>
    <w:rPr>
      <w:rFonts w:eastAsia="仿宋_GB2312"/>
      <w:sz w:val="32"/>
    </w:rPr>
  </w:style>
  <w:style w:type="paragraph" w:styleId="a4">
    <w:name w:val="annotation text"/>
    <w:basedOn w:val="a"/>
    <w:qFormat/>
    <w:pPr>
      <w:jc w:val="left"/>
    </w:pPr>
  </w:style>
  <w:style w:type="paragraph" w:styleId="a5">
    <w:name w:val="Body Text Indent"/>
    <w:basedOn w:val="a"/>
    <w:uiPriority w:val="99"/>
    <w:qFormat/>
    <w:pPr>
      <w:spacing w:after="120"/>
      <w:ind w:leftChars="200" w:left="420"/>
    </w:pPr>
  </w:style>
  <w:style w:type="paragraph" w:styleId="a6">
    <w:name w:val="Balloon Text"/>
    <w:basedOn w:val="a"/>
    <w:link w:val="a7"/>
    <w:qFormat/>
    <w:rPr>
      <w:sz w:val="18"/>
      <w:szCs w:val="18"/>
    </w:rPr>
  </w:style>
  <w:style w:type="paragraph" w:styleId="a8">
    <w:name w:val="footer"/>
    <w:basedOn w:val="a"/>
    <w:next w:val="a"/>
    <w:uiPriority w:val="99"/>
    <w:unhideWhenUsed/>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aa">
    <w:name w:val="index heading"/>
    <w:basedOn w:val="a"/>
    <w:next w:val="1"/>
    <w:qFormat/>
    <w:rPr>
      <w:rFonts w:ascii="Arial" w:hAnsi="Arial"/>
      <w:b/>
      <w:szCs w:val="24"/>
    </w:rPr>
  </w:style>
  <w:style w:type="paragraph" w:styleId="1">
    <w:name w:val="index 1"/>
    <w:basedOn w:val="a"/>
    <w:next w:val="a"/>
    <w:qFormat/>
  </w:style>
  <w:style w:type="paragraph" w:styleId="TOC2">
    <w:name w:val="toc 2"/>
    <w:basedOn w:val="a"/>
    <w:next w:val="a"/>
    <w:uiPriority w:val="39"/>
    <w:qFormat/>
    <w:pPr>
      <w:tabs>
        <w:tab w:val="right" w:leader="dot" w:pos="8680"/>
      </w:tabs>
      <w:ind w:leftChars="200" w:left="420"/>
      <w:jc w:val="center"/>
    </w:pPr>
    <w:rPr>
      <w:rFonts w:ascii="黑体" w:eastAsia="黑体" w:hAnsi="黑体" w:cs="黑体"/>
      <w:sz w:val="32"/>
      <w:szCs w:val="32"/>
    </w:rPr>
  </w:style>
  <w:style w:type="paragraph" w:styleId="20">
    <w:name w:val="Body Text First Indent 2"/>
    <w:basedOn w:val="a5"/>
    <w:qFormat/>
    <w:pPr>
      <w:spacing w:after="0"/>
      <w:ind w:leftChars="0" w:left="0" w:firstLineChars="200" w:firstLine="420"/>
    </w:pPr>
  </w:style>
  <w:style w:type="paragraph" w:customStyle="1" w:styleId="10">
    <w:name w:val="正文1"/>
    <w:basedOn w:val="a"/>
    <w:qFormat/>
    <w:rPr>
      <w:rFonts w:ascii="Times New Roman" w:eastAsia="仿宋_GB2312" w:hAnsi="Times New Roman" w:cs="Times New Roman (正文 CS 字体)"/>
      <w:sz w:val="32"/>
      <w:szCs w:val="24"/>
    </w:rPr>
  </w:style>
  <w:style w:type="paragraph" w:customStyle="1" w:styleId="11">
    <w:name w:val="修订1"/>
    <w:hidden/>
    <w:uiPriority w:val="99"/>
    <w:unhideWhenUsed/>
    <w:qFormat/>
    <w:rPr>
      <w:rFonts w:ascii="Calibri" w:hAnsi="Calibri"/>
      <w:kern w:val="2"/>
      <w:sz w:val="21"/>
      <w:szCs w:val="22"/>
    </w:rPr>
  </w:style>
  <w:style w:type="character" w:customStyle="1" w:styleId="a7">
    <w:name w:val="批注框文本 字符"/>
    <w:basedOn w:val="a1"/>
    <w:link w:val="a6"/>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4850</Words>
  <Characters>5046</Characters>
  <Application>Microsoft Office Word</Application>
  <DocSecurity>0</DocSecurity>
  <Lines>219</Lines>
  <Paragraphs>106</Paragraphs>
  <ScaleCrop>false</ScaleCrop>
  <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dc:creator>
  <cp:lastModifiedBy>QAQ</cp:lastModifiedBy>
  <cp:revision>14</cp:revision>
  <dcterms:created xsi:type="dcterms:W3CDTF">2025-06-12T15:24:00Z</dcterms:created>
  <dcterms:modified xsi:type="dcterms:W3CDTF">2025-08-27T09:56:00Z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ABD79C897DC9482B9DB3CCEA25169261_13</vt:lpwstr>
  </property>
  <property fmtid="{D5CDD505-2E9C-101B-9397-08002B2CF9AE}" pid="4" name="KSOTemplateDocerSaveRecord">
    <vt:lpwstr>eyJoZGlkIjoiYzZkNzQ4ZWFiZmQ4NTRhOWRkZTk3YTMwMjlmMmZhYmUiLCJ1c2VySWQiOiI4NTQwNTk4MjkifQ==</vt:lpwstr>
  </property>
</Properties>
</file>