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153"/>
          <w:tab w:val="right" w:pos="8306"/>
        </w:tabs>
        <w:ind w:left="0" w:leftChars="0" w:right="0" w:rightChars="0" w:firstLine="0" w:firstLineChars="0"/>
        <w:jc w:val="center"/>
        <w:rPr>
          <w:rFonts w:eastAsia="黑体"/>
          <w:color w:val="auto"/>
          <w:sz w:val="28"/>
          <w:szCs w:val="22"/>
          <w:highlight w:val="none"/>
        </w:rPr>
      </w:pPr>
    </w:p>
    <w:p>
      <w:pPr>
        <w:tabs>
          <w:tab w:val="center" w:pos="4153"/>
          <w:tab w:val="right" w:pos="8306"/>
        </w:tabs>
        <w:ind w:left="0" w:leftChars="0" w:right="0" w:rightChars="0" w:firstLine="0" w:firstLineChars="0"/>
        <w:jc w:val="center"/>
        <w:rPr>
          <w:rFonts w:hint="eastAsia" w:ascii="宋体" w:hAnsi="宋体"/>
          <w:b/>
          <w:bCs/>
          <w:color w:val="auto"/>
          <w:sz w:val="32"/>
          <w:szCs w:val="32"/>
          <w:highlight w:val="none"/>
        </w:rPr>
      </w:pPr>
    </w:p>
    <w:p>
      <w:pPr>
        <w:tabs>
          <w:tab w:val="center" w:pos="4153"/>
          <w:tab w:val="right" w:pos="8306"/>
        </w:tabs>
        <w:ind w:left="0" w:leftChars="0" w:right="0" w:rightChars="0" w:firstLine="0" w:firstLineChars="0"/>
        <w:jc w:val="center"/>
        <w:rPr>
          <w:rFonts w:hint="eastAsia" w:ascii="宋体" w:hAnsi="宋体"/>
          <w:b/>
          <w:bCs/>
          <w:color w:val="auto"/>
          <w:sz w:val="44"/>
          <w:szCs w:val="44"/>
          <w:highlight w:val="none"/>
        </w:rPr>
      </w:pPr>
    </w:p>
    <w:p>
      <w:pPr>
        <w:ind w:left="0" w:leftChars="0" w:right="0" w:rightChars="0" w:firstLine="0" w:firstLineChars="0"/>
        <w:jc w:val="center"/>
        <w:rPr>
          <w:rFonts w:hint="eastAsia" w:ascii="黑体" w:hAnsi="黑体" w:eastAsia="黑体" w:cs="黑体"/>
          <w:color w:val="auto"/>
          <w:sz w:val="48"/>
          <w:szCs w:val="48"/>
          <w:highlight w:val="none"/>
        </w:rPr>
      </w:pPr>
    </w:p>
    <w:p>
      <w:pPr>
        <w:widowControl w:val="0"/>
        <w:adjustRightInd/>
        <w:snapToGrid/>
        <w:spacing w:line="360" w:lineRule="auto"/>
        <w:ind w:left="0" w:leftChars="0" w:right="0" w:rightChars="0" w:firstLine="0" w:firstLineChars="0"/>
        <w:jc w:val="center"/>
        <w:rPr>
          <w:rFonts w:hint="eastAsia" w:ascii="黑体" w:hAnsi="黑体" w:eastAsia="黑体" w:cs="黑体"/>
          <w:b/>
          <w:bCs/>
          <w:color w:val="auto"/>
          <w:kern w:val="2"/>
          <w:sz w:val="48"/>
          <w:szCs w:val="48"/>
          <w:highlight w:val="none"/>
          <w:lang w:eastAsia="zh-CN"/>
        </w:rPr>
      </w:pPr>
      <w:r>
        <w:rPr>
          <w:rFonts w:hint="eastAsia" w:ascii="黑体" w:hAnsi="黑体" w:eastAsia="黑体" w:cs="黑体"/>
          <w:b/>
          <w:bCs/>
          <w:color w:val="auto"/>
          <w:kern w:val="2"/>
          <w:sz w:val="48"/>
          <w:szCs w:val="48"/>
          <w:highlight w:val="none"/>
          <w:lang w:eastAsia="zh-CN"/>
        </w:rPr>
        <w:t>北京市房山区人民检察院</w:t>
      </w:r>
    </w:p>
    <w:p>
      <w:pPr>
        <w:widowControl w:val="0"/>
        <w:adjustRightInd/>
        <w:snapToGrid/>
        <w:spacing w:line="360" w:lineRule="auto"/>
        <w:ind w:left="0" w:leftChars="0" w:right="0" w:rightChars="0" w:firstLine="0" w:firstLineChars="0"/>
        <w:jc w:val="center"/>
        <w:rPr>
          <w:rFonts w:hint="eastAsia" w:ascii="黑体" w:hAnsi="黑体" w:eastAsia="黑体" w:cs="黑体"/>
          <w:b/>
          <w:bCs/>
          <w:color w:val="auto"/>
          <w:kern w:val="2"/>
          <w:sz w:val="48"/>
          <w:szCs w:val="48"/>
          <w:highlight w:val="none"/>
        </w:rPr>
      </w:pPr>
      <w:r>
        <w:rPr>
          <w:rFonts w:hint="eastAsia" w:ascii="黑体" w:hAnsi="黑体" w:eastAsia="黑体" w:cs="黑体"/>
          <w:b/>
          <w:bCs/>
          <w:color w:val="auto"/>
          <w:kern w:val="2"/>
          <w:sz w:val="48"/>
          <w:szCs w:val="48"/>
          <w:highlight w:val="none"/>
          <w:lang w:eastAsia="zh-CN"/>
        </w:rPr>
        <w:t>部门整体绩效评价</w:t>
      </w:r>
    </w:p>
    <w:p>
      <w:pPr>
        <w:spacing w:line="360" w:lineRule="auto"/>
        <w:ind w:left="0" w:leftChars="0" w:right="0" w:rightChars="0" w:firstLine="0" w:firstLineChars="0"/>
        <w:jc w:val="center"/>
        <w:rPr>
          <w:rFonts w:hint="eastAsia" w:ascii="黑体" w:hAnsi="黑体" w:eastAsia="黑体" w:cs="黑体"/>
          <w:b/>
          <w:bCs/>
          <w:color w:val="auto"/>
          <w:sz w:val="48"/>
          <w:szCs w:val="48"/>
          <w:highlight w:val="none"/>
        </w:rPr>
      </w:pPr>
      <w:r>
        <w:rPr>
          <w:rFonts w:hint="eastAsia" w:ascii="黑体" w:hAnsi="黑体" w:eastAsia="黑体" w:cs="黑体"/>
          <w:b/>
          <w:bCs/>
          <w:color w:val="auto"/>
          <w:sz w:val="48"/>
          <w:szCs w:val="48"/>
          <w:highlight w:val="none"/>
        </w:rPr>
        <w:t>绩效报告</w:t>
      </w:r>
    </w:p>
    <w:p>
      <w:pPr>
        <w:spacing w:line="360" w:lineRule="auto"/>
        <w:ind w:firstLine="0" w:firstLineChars="0"/>
        <w:jc w:val="center"/>
        <w:rPr>
          <w:rFonts w:ascii="宋体" w:hAnsi="宋体"/>
          <w:b/>
          <w:bCs/>
          <w:color w:val="auto"/>
          <w:sz w:val="48"/>
          <w:szCs w:val="48"/>
          <w:highlight w:val="none"/>
        </w:rPr>
      </w:pPr>
    </w:p>
    <w:p>
      <w:pPr>
        <w:spacing w:line="360" w:lineRule="auto"/>
        <w:ind w:firstLine="173" w:firstLineChars="62"/>
        <w:jc w:val="both"/>
        <w:rPr>
          <w:rFonts w:ascii="宋体" w:hAnsi="宋体" w:cs="宋体"/>
          <w:color w:val="auto"/>
          <w:sz w:val="28"/>
          <w:szCs w:val="28"/>
          <w:highlight w:val="none"/>
        </w:rPr>
      </w:pPr>
    </w:p>
    <w:p>
      <w:pPr>
        <w:pStyle w:val="2"/>
        <w:rPr>
          <w:rFonts w:ascii="宋体" w:hAnsi="宋体" w:cs="宋体"/>
          <w:color w:val="auto"/>
          <w:sz w:val="28"/>
          <w:szCs w:val="28"/>
          <w:highlight w:val="none"/>
        </w:rPr>
      </w:pPr>
    </w:p>
    <w:p>
      <w:pPr>
        <w:rPr>
          <w:rFonts w:ascii="宋体" w:hAnsi="宋体" w:cs="宋体"/>
          <w:color w:val="auto"/>
          <w:sz w:val="28"/>
          <w:szCs w:val="28"/>
          <w:highlight w:val="none"/>
        </w:rPr>
      </w:pPr>
    </w:p>
    <w:p>
      <w:pPr>
        <w:pStyle w:val="2"/>
        <w:rPr>
          <w:rFonts w:hint="eastAsia" w:ascii="黑体" w:hAnsi="黑体" w:eastAsia="黑体" w:cs="黑体"/>
          <w:color w:val="auto"/>
          <w:sz w:val="28"/>
          <w:szCs w:val="28"/>
          <w:highlight w:val="none"/>
        </w:rPr>
      </w:pPr>
    </w:p>
    <w:p>
      <w:pPr>
        <w:rPr>
          <w:rFonts w:hint="eastAsia" w:ascii="黑体" w:hAnsi="黑体" w:eastAsia="黑体" w:cs="黑体"/>
          <w:color w:val="auto"/>
          <w:sz w:val="28"/>
          <w:szCs w:val="28"/>
          <w:highlight w:val="none"/>
        </w:rPr>
      </w:pPr>
    </w:p>
    <w:p>
      <w:pPr>
        <w:pStyle w:val="2"/>
        <w:rPr>
          <w:rFonts w:hint="eastAsia" w:ascii="黑体" w:hAnsi="黑体" w:eastAsia="黑体" w:cs="黑体"/>
          <w:sz w:val="20"/>
          <w:szCs w:val="22"/>
          <w:highlight w:val="none"/>
        </w:rPr>
      </w:pPr>
    </w:p>
    <w:p>
      <w:pPr>
        <w:spacing w:line="360" w:lineRule="auto"/>
        <w:ind w:firstLine="173" w:firstLineChars="62"/>
        <w:jc w:val="both"/>
        <w:rPr>
          <w:rFonts w:hint="eastAsia" w:ascii="黑体" w:hAnsi="黑体" w:eastAsia="黑体" w:cs="黑体"/>
          <w:color w:val="auto"/>
          <w:sz w:val="28"/>
          <w:szCs w:val="28"/>
          <w:highlight w:val="none"/>
        </w:rPr>
      </w:pPr>
    </w:p>
    <w:p>
      <w:pPr>
        <w:spacing w:line="360" w:lineRule="auto"/>
        <w:ind w:firstLine="453" w:firstLineChars="162"/>
        <w:jc w:val="both"/>
        <w:rPr>
          <w:rFonts w:hint="eastAsia" w:ascii="黑体" w:hAnsi="黑体" w:eastAsia="黑体" w:cs="黑体"/>
          <w:color w:val="auto"/>
          <w:sz w:val="28"/>
          <w:szCs w:val="28"/>
          <w:highlight w:val="none"/>
        </w:rPr>
      </w:pPr>
    </w:p>
    <w:p>
      <w:pPr>
        <w:spacing w:line="360" w:lineRule="auto"/>
        <w:ind w:left="0" w:leftChars="0" w:right="0" w:rightChars="0" w:firstLine="0" w:firstLineChars="0"/>
        <w:jc w:val="center"/>
        <w:rPr>
          <w:rFonts w:hint="eastAsia" w:ascii="黑体" w:hAnsi="黑体" w:eastAsia="黑体" w:cs="黑体"/>
          <w:b/>
          <w:bCs/>
          <w:color w:val="auto"/>
          <w:sz w:val="32"/>
          <w:szCs w:val="32"/>
          <w:highlight w:val="none"/>
        </w:rPr>
      </w:pPr>
    </w:p>
    <w:p>
      <w:pPr>
        <w:adjustRightInd/>
        <w:snapToGrid/>
        <w:spacing w:line="360" w:lineRule="auto"/>
        <w:ind w:firstLine="0" w:firstLineChars="0"/>
        <w:jc w:val="both"/>
        <w:rPr>
          <w:rFonts w:hint="eastAsia" w:ascii="宋体" w:hAnsi="宋体"/>
          <w:b/>
          <w:bCs/>
          <w:color w:val="auto"/>
          <w:sz w:val="32"/>
          <w:szCs w:val="32"/>
          <w:highlight w:val="none"/>
        </w:rPr>
      </w:pPr>
    </w:p>
    <w:p>
      <w:pPr>
        <w:spacing w:line="360" w:lineRule="auto"/>
        <w:ind w:firstLine="648" w:firstLineChars="162"/>
        <w:jc w:val="center"/>
        <w:rPr>
          <w:rFonts w:hint="eastAsia" w:ascii="黑体" w:hAnsi="黑体" w:eastAsia="黑体" w:cs="黑体"/>
          <w:color w:val="000000"/>
          <w:kern w:val="0"/>
          <w:sz w:val="40"/>
          <w:szCs w:val="40"/>
          <w:highlight w:val="none"/>
          <w:lang w:val="en-US" w:eastAsia="zh-CN" w:bidi="ar"/>
        </w:rPr>
      </w:pPr>
      <w:r>
        <w:rPr>
          <w:rFonts w:hint="eastAsia" w:ascii="宋体" w:hAnsi="宋体" w:eastAsia="宋体" w:cs="宋体"/>
          <w:color w:val="000000"/>
          <w:kern w:val="0"/>
          <w:sz w:val="40"/>
          <w:szCs w:val="40"/>
          <w:highlight w:val="none"/>
          <w:lang w:val="en-US" w:eastAsia="zh-CN" w:bidi="ar"/>
        </w:rPr>
        <w:br w:type="page"/>
      </w:r>
      <w:r>
        <w:rPr>
          <w:rFonts w:hint="eastAsia" w:ascii="黑体" w:hAnsi="黑体" w:eastAsia="黑体" w:cs="黑体"/>
          <w:color w:val="000000"/>
          <w:kern w:val="0"/>
          <w:sz w:val="40"/>
          <w:szCs w:val="40"/>
          <w:highlight w:val="none"/>
          <w:lang w:val="en-US" w:eastAsia="zh-CN" w:bidi="ar"/>
        </w:rPr>
        <w:t>北京市房山区人民检察院</w:t>
      </w:r>
    </w:p>
    <w:p>
      <w:pPr>
        <w:spacing w:line="360" w:lineRule="auto"/>
        <w:ind w:firstLine="648" w:firstLineChars="162"/>
        <w:jc w:val="center"/>
        <w:rPr>
          <w:rFonts w:hint="eastAsia" w:ascii="黑体" w:hAnsi="黑体" w:eastAsia="黑体" w:cs="黑体"/>
          <w:color w:val="000000"/>
          <w:kern w:val="0"/>
          <w:sz w:val="40"/>
          <w:szCs w:val="40"/>
          <w:highlight w:val="none"/>
          <w:lang w:val="en-US" w:eastAsia="zh-CN" w:bidi="ar"/>
        </w:rPr>
      </w:pPr>
      <w:r>
        <w:rPr>
          <w:rFonts w:hint="eastAsia" w:ascii="黑体" w:hAnsi="黑体" w:eastAsia="黑体" w:cs="黑体"/>
          <w:color w:val="000000"/>
          <w:kern w:val="0"/>
          <w:sz w:val="40"/>
          <w:szCs w:val="40"/>
          <w:highlight w:val="none"/>
          <w:lang w:val="en-US" w:eastAsia="zh-CN" w:bidi="ar"/>
        </w:rPr>
        <w:t>2024年度部门整体绩效报告</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黑体" w:hAnsi="黑体" w:eastAsia="黑体" w:cs="黑体"/>
          <w:color w:val="000000"/>
          <w:kern w:val="0"/>
          <w:sz w:val="28"/>
          <w:szCs w:val="28"/>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黑体" w:hAnsi="黑体" w:eastAsia="黑体" w:cs="黑体"/>
          <w:color w:val="000000"/>
          <w:kern w:val="0"/>
          <w:sz w:val="28"/>
          <w:szCs w:val="28"/>
          <w:highlight w:val="none"/>
          <w:lang w:val="en-US" w:eastAsia="zh-CN" w:bidi="ar"/>
        </w:rPr>
      </w:pPr>
      <w:r>
        <w:rPr>
          <w:rFonts w:hint="eastAsia" w:ascii="黑体" w:hAnsi="黑体" w:eastAsia="黑体" w:cs="黑体"/>
          <w:color w:val="000000"/>
          <w:kern w:val="0"/>
          <w:sz w:val="28"/>
          <w:szCs w:val="28"/>
          <w:highlight w:val="none"/>
          <w:lang w:val="en-US" w:eastAsia="zh-CN" w:bidi="ar"/>
        </w:rPr>
        <w:t xml:space="preserve">一、部门概况 </w:t>
      </w:r>
    </w:p>
    <w:p>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cs="宋体"/>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 xml:space="preserve">（一）机构设置及职责工作任务情况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cs="宋体"/>
          <w:color w:val="000000"/>
          <w:kern w:val="0"/>
          <w:sz w:val="28"/>
          <w:szCs w:val="28"/>
          <w:highlight w:val="none"/>
          <w:lang w:val="en-US" w:eastAsia="zh-CN" w:bidi="ar"/>
        </w:rPr>
      </w:pPr>
      <w:r>
        <w:rPr>
          <w:rFonts w:hint="eastAsia" w:ascii="宋体" w:hAnsi="宋体" w:cs="宋体"/>
          <w:color w:val="000000"/>
          <w:kern w:val="0"/>
          <w:sz w:val="28"/>
          <w:szCs w:val="28"/>
          <w:highlight w:val="none"/>
          <w:lang w:val="en-US" w:eastAsia="zh-CN" w:bidi="ar"/>
        </w:rPr>
        <w:t>北京市房山区人民检察院内设机构共11个，分别是：办公室（行政事务管理部）、政治部（机关党委、机关纪委）、检务督察部、第一检察部、第二检察部、第三检察部、第四检察部、第五检察部、第六检察部、第七检察部（法律政策研究室）、燕山检察处。</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auto"/>
          <w:kern w:val="0"/>
          <w:sz w:val="28"/>
          <w:szCs w:val="28"/>
          <w:highlight w:val="none"/>
          <w:lang w:val="en-US" w:eastAsia="zh-CN" w:bidi="ar"/>
        </w:rPr>
      </w:pPr>
      <w:r>
        <w:rPr>
          <w:rFonts w:hint="eastAsia" w:ascii="宋体" w:hAnsi="宋体" w:cs="宋体"/>
          <w:color w:val="000000"/>
          <w:kern w:val="0"/>
          <w:sz w:val="28"/>
          <w:szCs w:val="28"/>
          <w:highlight w:val="none"/>
          <w:lang w:val="en-US" w:eastAsia="zh-CN" w:bidi="ar"/>
        </w:rPr>
        <w:t>北京市房山区人民检察院单位性质为法律监督机关，主要职责是：依照法律规定对有关刑事案件行使侦查权；对刑事案件进行审查，批准或者决定是否逮捕犯罪嫌疑人；对刑事案件进行审查，决定是否提起公诉，对决定提起公诉的案件支持公诉；依照法律规定提起公益诉讼；对诉讼活动实行法律监督；对判决、裁定等生效法律文书的执行工作实行法律监督；对辖区内监管场所收押犯罪嫌疑人和监外服刑人员的社区矫正工作进行监督等。</w:t>
      </w:r>
    </w:p>
    <w:p>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（二）部门整体绩效目标设立情况</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cs="宋体"/>
          <w:color w:val="000000"/>
          <w:kern w:val="0"/>
          <w:sz w:val="28"/>
          <w:szCs w:val="28"/>
          <w:highlight w:val="none"/>
          <w:lang w:val="en-US" w:eastAsia="zh-CN" w:bidi="ar"/>
        </w:rPr>
      </w:pPr>
      <w:r>
        <w:rPr>
          <w:rFonts w:hint="eastAsia" w:ascii="宋体" w:hAnsi="宋体" w:cs="宋体"/>
          <w:color w:val="000000"/>
          <w:kern w:val="0"/>
          <w:sz w:val="28"/>
          <w:szCs w:val="28"/>
          <w:highlight w:val="none"/>
          <w:lang w:val="en-US" w:eastAsia="zh-CN" w:bidi="ar"/>
        </w:rPr>
        <w:t>我院依据</w:t>
      </w:r>
      <w:r>
        <w:rPr>
          <w:rFonts w:hint="eastAsia" w:ascii="宋体" w:hAnsi="宋体" w:eastAsia="宋体" w:cs="宋体"/>
          <w:color w:val="000000"/>
          <w:kern w:val="0"/>
          <w:sz w:val="28"/>
          <w:szCs w:val="28"/>
          <w:highlight w:val="none"/>
          <w:lang w:val="en-US" w:eastAsia="zh-CN" w:bidi="ar"/>
        </w:rPr>
        <w:t>部门职责</w:t>
      </w:r>
      <w:r>
        <w:rPr>
          <w:rFonts w:hint="eastAsia" w:ascii="宋体" w:hAnsi="宋体" w:cs="宋体"/>
          <w:color w:val="000000"/>
          <w:kern w:val="0"/>
          <w:sz w:val="28"/>
          <w:szCs w:val="28"/>
          <w:highlight w:val="none"/>
          <w:lang w:val="en-US" w:eastAsia="zh-CN" w:bidi="ar"/>
        </w:rPr>
        <w:t>职能</w:t>
      </w:r>
      <w:r>
        <w:rPr>
          <w:rFonts w:hint="eastAsia" w:ascii="宋体" w:hAnsi="宋体" w:eastAsia="宋体" w:cs="宋体"/>
          <w:color w:val="000000"/>
          <w:kern w:val="0"/>
          <w:sz w:val="28"/>
          <w:szCs w:val="28"/>
          <w:highlight w:val="none"/>
          <w:lang w:val="en-US" w:eastAsia="zh-CN" w:bidi="ar"/>
        </w:rPr>
        <w:t>、</w:t>
      </w:r>
      <w:r>
        <w:rPr>
          <w:rFonts w:hint="eastAsia" w:ascii="宋体" w:hAnsi="宋体" w:cs="宋体"/>
          <w:color w:val="000000"/>
          <w:kern w:val="0"/>
          <w:sz w:val="28"/>
          <w:szCs w:val="28"/>
          <w:highlight w:val="none"/>
          <w:lang w:val="en-US" w:eastAsia="zh-CN" w:bidi="ar"/>
        </w:rPr>
        <w:t>“十四五”规</w:t>
      </w:r>
      <w:r>
        <w:rPr>
          <w:rFonts w:hint="eastAsia" w:ascii="宋体" w:hAnsi="宋体" w:eastAsia="宋体" w:cs="宋体"/>
          <w:color w:val="000000"/>
          <w:kern w:val="0"/>
          <w:sz w:val="28"/>
          <w:szCs w:val="28"/>
          <w:highlight w:val="none"/>
          <w:lang w:val="en-US" w:eastAsia="zh-CN" w:bidi="ar"/>
        </w:rPr>
        <w:t>划</w:t>
      </w:r>
      <w:r>
        <w:rPr>
          <w:rFonts w:hint="eastAsia" w:ascii="宋体" w:hAnsi="宋体" w:cs="宋体"/>
          <w:color w:val="000000"/>
          <w:kern w:val="0"/>
          <w:sz w:val="28"/>
          <w:szCs w:val="28"/>
          <w:highlight w:val="none"/>
          <w:lang w:val="en-US" w:eastAsia="zh-CN" w:bidi="ar"/>
        </w:rPr>
        <w:t>要求</w:t>
      </w:r>
      <w:r>
        <w:rPr>
          <w:rFonts w:hint="eastAsia" w:ascii="宋体" w:hAnsi="宋体" w:eastAsia="宋体" w:cs="宋体"/>
          <w:color w:val="000000"/>
          <w:kern w:val="0"/>
          <w:sz w:val="28"/>
          <w:szCs w:val="28"/>
          <w:highlight w:val="none"/>
          <w:lang w:val="en-US" w:eastAsia="zh-CN" w:bidi="ar"/>
        </w:rPr>
        <w:t>、202</w:t>
      </w:r>
      <w:r>
        <w:rPr>
          <w:rFonts w:hint="eastAsia" w:ascii="宋体" w:hAnsi="宋体" w:cs="宋体"/>
          <w:color w:val="000000"/>
          <w:kern w:val="0"/>
          <w:sz w:val="28"/>
          <w:szCs w:val="28"/>
          <w:highlight w:val="none"/>
          <w:lang w:val="en-US" w:eastAsia="zh-CN" w:bidi="ar"/>
        </w:rPr>
        <w:t>4</w:t>
      </w:r>
      <w:r>
        <w:rPr>
          <w:rFonts w:hint="eastAsia" w:ascii="宋体" w:hAnsi="宋体" w:eastAsia="宋体" w:cs="宋体"/>
          <w:color w:val="000000"/>
          <w:kern w:val="0"/>
          <w:sz w:val="28"/>
          <w:szCs w:val="28"/>
          <w:highlight w:val="none"/>
          <w:lang w:val="en-US" w:eastAsia="zh-CN" w:bidi="ar"/>
        </w:rPr>
        <w:t>年工作计划、202</w:t>
      </w:r>
      <w:r>
        <w:rPr>
          <w:rFonts w:hint="eastAsia" w:ascii="宋体" w:hAnsi="宋体" w:cs="宋体"/>
          <w:color w:val="000000"/>
          <w:kern w:val="0"/>
          <w:sz w:val="28"/>
          <w:szCs w:val="28"/>
          <w:highlight w:val="none"/>
          <w:lang w:val="en-US" w:eastAsia="zh-CN" w:bidi="ar"/>
        </w:rPr>
        <w:t>4</w:t>
      </w:r>
      <w:r>
        <w:rPr>
          <w:rFonts w:hint="eastAsia" w:ascii="宋体" w:hAnsi="宋体" w:eastAsia="宋体" w:cs="宋体"/>
          <w:color w:val="000000"/>
          <w:kern w:val="0"/>
          <w:sz w:val="28"/>
          <w:szCs w:val="28"/>
          <w:highlight w:val="none"/>
          <w:lang w:val="en-US" w:eastAsia="zh-CN" w:bidi="ar"/>
        </w:rPr>
        <w:t>年重点工作以及202</w:t>
      </w:r>
      <w:r>
        <w:rPr>
          <w:rFonts w:hint="eastAsia" w:ascii="宋体" w:hAnsi="宋体" w:cs="宋体"/>
          <w:color w:val="000000"/>
          <w:kern w:val="0"/>
          <w:sz w:val="28"/>
          <w:szCs w:val="28"/>
          <w:highlight w:val="none"/>
          <w:lang w:val="en-US" w:eastAsia="zh-CN" w:bidi="ar"/>
        </w:rPr>
        <w:t>4</w:t>
      </w:r>
      <w:r>
        <w:rPr>
          <w:rFonts w:hint="eastAsia" w:ascii="宋体" w:hAnsi="宋体" w:eastAsia="宋体" w:cs="宋体"/>
          <w:color w:val="000000"/>
          <w:kern w:val="0"/>
          <w:sz w:val="28"/>
          <w:szCs w:val="28"/>
          <w:highlight w:val="none"/>
          <w:lang w:val="en-US" w:eastAsia="zh-CN" w:bidi="ar"/>
        </w:rPr>
        <w:t>年实际工作</w:t>
      </w:r>
      <w:r>
        <w:rPr>
          <w:rFonts w:hint="eastAsia" w:ascii="宋体" w:hAnsi="宋体" w:cs="宋体"/>
          <w:color w:val="000000"/>
          <w:kern w:val="0"/>
          <w:sz w:val="28"/>
          <w:szCs w:val="28"/>
          <w:highlight w:val="none"/>
          <w:lang w:val="en-US" w:eastAsia="zh-CN" w:bidi="ar"/>
        </w:rPr>
        <w:t>需求</w:t>
      </w:r>
      <w:r>
        <w:rPr>
          <w:rFonts w:hint="eastAsia" w:ascii="宋体" w:hAnsi="宋体" w:eastAsia="宋体" w:cs="宋体"/>
          <w:color w:val="000000"/>
          <w:kern w:val="0"/>
          <w:sz w:val="28"/>
          <w:szCs w:val="28"/>
          <w:highlight w:val="none"/>
          <w:lang w:val="en-US" w:eastAsia="zh-CN" w:bidi="ar"/>
        </w:rPr>
        <w:t>，并结合绩效目标申报表的填报要求，</w:t>
      </w:r>
      <w:r>
        <w:rPr>
          <w:rFonts w:hint="eastAsia" w:ascii="宋体" w:hAnsi="宋体" w:cs="宋体"/>
          <w:color w:val="000000"/>
          <w:kern w:val="0"/>
          <w:sz w:val="28"/>
          <w:szCs w:val="28"/>
          <w:highlight w:val="none"/>
          <w:lang w:val="en-US" w:eastAsia="zh-CN" w:bidi="ar"/>
        </w:rPr>
        <w:t>设置了</w:t>
      </w:r>
      <w:r>
        <w:rPr>
          <w:rFonts w:hint="eastAsia" w:ascii="宋体" w:hAnsi="宋体" w:eastAsia="宋体" w:cs="宋体"/>
          <w:color w:val="000000"/>
          <w:kern w:val="0"/>
          <w:sz w:val="28"/>
          <w:szCs w:val="28"/>
          <w:highlight w:val="none"/>
          <w:lang w:val="en-US" w:eastAsia="zh-CN" w:bidi="ar"/>
        </w:rPr>
        <w:t>202</w:t>
      </w:r>
      <w:r>
        <w:rPr>
          <w:rFonts w:hint="eastAsia" w:ascii="宋体" w:hAnsi="宋体" w:cs="宋体"/>
          <w:color w:val="000000"/>
          <w:kern w:val="0"/>
          <w:sz w:val="28"/>
          <w:szCs w:val="28"/>
          <w:highlight w:val="none"/>
          <w:lang w:val="en-US" w:eastAsia="zh-CN" w:bidi="ar"/>
        </w:rPr>
        <w:t>4</w:t>
      </w:r>
      <w:r>
        <w:rPr>
          <w:rFonts w:hint="eastAsia" w:ascii="宋体" w:hAnsi="宋体" w:eastAsia="宋体" w:cs="宋体"/>
          <w:color w:val="000000"/>
          <w:kern w:val="0"/>
          <w:sz w:val="28"/>
          <w:szCs w:val="28"/>
          <w:highlight w:val="none"/>
          <w:lang w:val="en-US" w:eastAsia="zh-CN" w:bidi="ar"/>
        </w:rPr>
        <w:t>年</w:t>
      </w:r>
      <w:r>
        <w:rPr>
          <w:rFonts w:hint="eastAsia" w:ascii="宋体" w:hAnsi="宋体" w:cs="宋体"/>
          <w:color w:val="000000"/>
          <w:kern w:val="0"/>
          <w:sz w:val="28"/>
          <w:szCs w:val="28"/>
          <w:highlight w:val="none"/>
          <w:lang w:val="en-US" w:eastAsia="zh-CN" w:bidi="ar"/>
        </w:rPr>
        <w:t>部门整体绩效目标，</w:t>
      </w:r>
      <w:r>
        <w:rPr>
          <w:rFonts w:hint="eastAsia" w:ascii="宋体" w:hAnsi="宋体" w:eastAsia="宋体" w:cs="宋体"/>
          <w:color w:val="000000"/>
          <w:kern w:val="0"/>
          <w:sz w:val="28"/>
          <w:szCs w:val="28"/>
          <w:highlight w:val="none"/>
          <w:lang w:val="en-US" w:eastAsia="zh-CN" w:bidi="ar"/>
        </w:rPr>
        <w:t>目标与职责任务</w:t>
      </w:r>
      <w:r>
        <w:rPr>
          <w:rFonts w:hint="eastAsia" w:ascii="宋体" w:hAnsi="宋体" w:cs="宋体"/>
          <w:color w:val="000000"/>
          <w:kern w:val="0"/>
          <w:sz w:val="28"/>
          <w:szCs w:val="28"/>
          <w:highlight w:val="none"/>
          <w:lang w:val="en-US" w:eastAsia="zh-CN" w:bidi="ar"/>
        </w:rPr>
        <w:t>相</w:t>
      </w:r>
      <w:r>
        <w:rPr>
          <w:rFonts w:hint="eastAsia" w:ascii="宋体" w:hAnsi="宋体" w:eastAsia="宋体" w:cs="宋体"/>
          <w:color w:val="000000"/>
          <w:kern w:val="0"/>
          <w:sz w:val="28"/>
          <w:szCs w:val="28"/>
          <w:highlight w:val="none"/>
          <w:lang w:val="en-US" w:eastAsia="zh-CN" w:bidi="ar"/>
        </w:rPr>
        <w:t>匹配</w:t>
      </w:r>
      <w:r>
        <w:rPr>
          <w:rFonts w:hint="eastAsia" w:ascii="宋体" w:hAnsi="宋体" w:cs="宋体"/>
          <w:color w:val="000000"/>
          <w:kern w:val="0"/>
          <w:sz w:val="28"/>
          <w:szCs w:val="28"/>
          <w:highlight w:val="none"/>
          <w:lang w:val="en-US" w:eastAsia="zh-CN" w:bidi="ar"/>
        </w:rPr>
        <w:t>，目标设置合理、可行。具体绩效目标设定如下：</w:t>
      </w:r>
    </w:p>
    <w:p>
      <w:pPr>
        <w:pStyle w:val="2"/>
        <w:rPr>
          <w:rFonts w:hint="eastAsia" w:ascii="宋体" w:hAnsi="宋体" w:cs="宋体"/>
          <w:color w:val="000000"/>
          <w:kern w:val="0"/>
          <w:sz w:val="28"/>
          <w:szCs w:val="28"/>
          <w:highlight w:val="none"/>
          <w:lang w:val="en-US" w:eastAsia="zh-CN" w:bidi="ar"/>
        </w:rPr>
      </w:pPr>
    </w:p>
    <w:p>
      <w:pPr>
        <w:rPr>
          <w:rFonts w:hint="eastAsia"/>
          <w:lang w:val="en-US" w:eastAsia="zh-CN"/>
        </w:rPr>
      </w:pPr>
    </w:p>
    <w:tbl>
      <w:tblPr>
        <w:tblStyle w:val="8"/>
        <w:tblpPr w:leftFromText="180" w:rightFromText="180" w:vertAnchor="text" w:horzAnchor="page" w:tblpX="1793" w:tblpYSpec="inside"/>
        <w:tblOverlap w:val="never"/>
        <w:tblW w:w="85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11"/>
        <w:gridCol w:w="1014"/>
        <w:gridCol w:w="2079"/>
        <w:gridCol w:w="1014"/>
        <w:gridCol w:w="1371"/>
        <w:gridCol w:w="1014"/>
        <w:gridCol w:w="10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6" w:hRule="atLeast"/>
        </w:trPr>
        <w:tc>
          <w:tcPr>
            <w:tcW w:w="10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highlight w:val="none"/>
                <w:u w:val="none"/>
                <w:lang w:val="en-US" w:eastAsia="zh-CN" w:bidi="ar"/>
              </w:rPr>
              <w:t>整体绩效目标</w:t>
            </w:r>
          </w:p>
        </w:tc>
        <w:tc>
          <w:tcPr>
            <w:tcW w:w="7508" w:type="dxa"/>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highlight w:val="none"/>
                <w:u w:val="none"/>
                <w:lang w:val="en-US" w:eastAsia="zh-CN" w:bidi="ar"/>
              </w:rPr>
            </w:pPr>
            <w:r>
              <w:rPr>
                <w:rFonts w:hint="eastAsia" w:ascii="宋体" w:hAnsi="宋体" w:eastAsia="宋体" w:cs="宋体"/>
                <w:b w:val="0"/>
                <w:bCs w:val="0"/>
                <w:i w:val="0"/>
                <w:iCs w:val="0"/>
                <w:color w:val="000000"/>
                <w:kern w:val="0"/>
                <w:sz w:val="20"/>
                <w:szCs w:val="20"/>
                <w:highlight w:val="none"/>
                <w:u w:val="none"/>
                <w:lang w:val="en-US" w:eastAsia="zh-CN" w:bidi="ar"/>
              </w:rPr>
              <w:t>坚持以习近平新时代中国特色社会主义思想为指导，全面贯彻落实党的二十大精神，在区委、市人民检察院和区委政法委的坚强领导下，紧紧围绕首都及区域经济社会发展大局，依法能动履行刑事、民事、行政、公益诉讼“四大检察”</w:t>
            </w:r>
            <w:r>
              <w:rPr>
                <w:rFonts w:hint="eastAsia" w:ascii="宋体" w:hAnsi="宋体" w:cs="宋体"/>
                <w:b w:val="0"/>
                <w:bCs w:val="0"/>
                <w:i w:val="0"/>
                <w:iCs w:val="0"/>
                <w:color w:val="000000"/>
                <w:kern w:val="0"/>
                <w:sz w:val="20"/>
                <w:szCs w:val="20"/>
                <w:highlight w:val="none"/>
                <w:u w:val="none"/>
                <w:lang w:val="en-US" w:eastAsia="zh-CN" w:bidi="ar"/>
              </w:rPr>
              <w:t>职能</w:t>
            </w:r>
            <w:r>
              <w:rPr>
                <w:rFonts w:hint="eastAsia" w:ascii="宋体" w:hAnsi="宋体" w:eastAsia="宋体" w:cs="宋体"/>
                <w:b w:val="0"/>
                <w:bCs w:val="0"/>
                <w:i w:val="0"/>
                <w:iCs w:val="0"/>
                <w:color w:val="000000"/>
                <w:kern w:val="0"/>
                <w:sz w:val="20"/>
                <w:szCs w:val="20"/>
                <w:highlight w:val="none"/>
                <w:u w:val="none"/>
                <w:lang w:val="en-US" w:eastAsia="zh-CN" w:bidi="ar"/>
              </w:rPr>
              <w:t>，充分运用法治力量服务“六大房山”建设，全力保障区域高质量、现代化发展。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6" w:hRule="atLeast"/>
        </w:trPr>
        <w:tc>
          <w:tcPr>
            <w:tcW w:w="10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一级指标</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二级指标</w:t>
            </w:r>
          </w:p>
        </w:tc>
        <w:tc>
          <w:tcPr>
            <w:tcW w:w="20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 xml:space="preserve"> 三级指标</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绩效指标性质</w:t>
            </w:r>
          </w:p>
        </w:tc>
        <w:tc>
          <w:tcPr>
            <w:tcW w:w="13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绩效指标值</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绩效度量单位</w:t>
            </w:r>
          </w:p>
        </w:tc>
        <w:tc>
          <w:tcPr>
            <w:tcW w:w="10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011"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20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四大检察案件受理数</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3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6000</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件</w:t>
            </w:r>
          </w:p>
        </w:tc>
        <w:tc>
          <w:tcPr>
            <w:tcW w:w="10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011"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eastAsia="宋体" w:cs="宋体"/>
                <w:i w:val="0"/>
                <w:iCs w:val="0"/>
                <w:color w:val="000000"/>
                <w:sz w:val="20"/>
                <w:szCs w:val="20"/>
                <w:highlight w:val="none"/>
                <w:u w:val="none"/>
              </w:rPr>
            </w:pP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20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保障各项检察工作顺利开展</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定性</w:t>
            </w:r>
          </w:p>
        </w:tc>
        <w:tc>
          <w:tcPr>
            <w:tcW w:w="13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好</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eastAsia="宋体" w:cs="宋体"/>
                <w:i w:val="0"/>
                <w:iCs w:val="0"/>
                <w:color w:val="000000"/>
                <w:sz w:val="20"/>
                <w:szCs w:val="20"/>
                <w:highlight w:val="none"/>
                <w:u w:val="none"/>
              </w:rPr>
            </w:pPr>
          </w:p>
        </w:tc>
        <w:tc>
          <w:tcPr>
            <w:tcW w:w="10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0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20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服务首都大局，为高质量发展提供有力法治保障</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定性</w:t>
            </w:r>
          </w:p>
        </w:tc>
        <w:tc>
          <w:tcPr>
            <w:tcW w:w="13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高</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eastAsia="宋体" w:cs="宋体"/>
                <w:i w:val="0"/>
                <w:iCs w:val="0"/>
                <w:color w:val="000000"/>
                <w:sz w:val="20"/>
                <w:szCs w:val="20"/>
                <w:highlight w:val="none"/>
                <w:u w:val="none"/>
              </w:rPr>
            </w:pPr>
          </w:p>
        </w:tc>
        <w:tc>
          <w:tcPr>
            <w:tcW w:w="10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0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服务对象满意度指标</w:t>
            </w:r>
          </w:p>
        </w:tc>
        <w:tc>
          <w:tcPr>
            <w:tcW w:w="20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工作报告获人大会议审议通过支持率</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3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90</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0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101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207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预算控制数</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37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9262.784776</w:t>
            </w:r>
          </w:p>
        </w:tc>
        <w:tc>
          <w:tcPr>
            <w:tcW w:w="101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万元</w:t>
            </w:r>
          </w:p>
        </w:tc>
        <w:tc>
          <w:tcPr>
            <w:tcW w:w="101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r>
    </w:tbl>
    <w:p>
      <w:pPr>
        <w:pStyle w:val="2"/>
        <w:rPr>
          <w:rFonts w:hint="default"/>
          <w:sz w:val="20"/>
          <w:szCs w:val="22"/>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黑体" w:hAnsi="黑体" w:eastAsia="黑体" w:cs="黑体"/>
          <w:color w:val="000000"/>
          <w:kern w:val="0"/>
          <w:sz w:val="28"/>
          <w:szCs w:val="28"/>
          <w:highlight w:val="none"/>
          <w:lang w:val="en-US" w:eastAsia="zh-CN" w:bidi="ar"/>
        </w:rPr>
      </w:pPr>
      <w:r>
        <w:rPr>
          <w:rFonts w:hint="eastAsia" w:ascii="黑体" w:hAnsi="黑体" w:eastAsia="黑体" w:cs="黑体"/>
          <w:color w:val="000000"/>
          <w:kern w:val="0"/>
          <w:sz w:val="28"/>
          <w:szCs w:val="28"/>
          <w:highlight w:val="none"/>
          <w:lang w:val="en-US" w:eastAsia="zh-CN" w:bidi="ar"/>
        </w:rPr>
        <w:t xml:space="preserve">二、当年预算执行情况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2024年全年预算数9250.1</w:t>
      </w:r>
      <w:r>
        <w:rPr>
          <w:rFonts w:hint="eastAsia" w:ascii="宋体" w:hAnsi="宋体" w:cs="宋体"/>
          <w:color w:val="000000"/>
          <w:kern w:val="0"/>
          <w:sz w:val="28"/>
          <w:szCs w:val="28"/>
          <w:highlight w:val="none"/>
          <w:lang w:val="en-US" w:eastAsia="zh-CN" w:bidi="ar"/>
        </w:rPr>
        <w:t>6</w:t>
      </w:r>
      <w:r>
        <w:rPr>
          <w:rFonts w:hint="eastAsia" w:ascii="宋体" w:hAnsi="宋体" w:eastAsia="宋体" w:cs="宋体"/>
          <w:color w:val="000000"/>
          <w:kern w:val="0"/>
          <w:sz w:val="28"/>
          <w:szCs w:val="28"/>
          <w:highlight w:val="none"/>
          <w:lang w:val="en-US" w:eastAsia="zh-CN" w:bidi="ar"/>
        </w:rPr>
        <w:t>万元，其中，基本支出预算数8367.6</w:t>
      </w:r>
      <w:r>
        <w:rPr>
          <w:rFonts w:hint="eastAsia" w:ascii="宋体" w:hAnsi="宋体" w:cs="宋体"/>
          <w:color w:val="000000"/>
          <w:kern w:val="0"/>
          <w:sz w:val="28"/>
          <w:szCs w:val="28"/>
          <w:highlight w:val="none"/>
          <w:lang w:val="en-US" w:eastAsia="zh-CN" w:bidi="ar"/>
        </w:rPr>
        <w:t>9</w:t>
      </w:r>
      <w:r>
        <w:rPr>
          <w:rFonts w:hint="eastAsia" w:ascii="宋体" w:hAnsi="宋体" w:eastAsia="宋体" w:cs="宋体"/>
          <w:color w:val="000000"/>
          <w:kern w:val="0"/>
          <w:sz w:val="28"/>
          <w:szCs w:val="28"/>
          <w:highlight w:val="none"/>
          <w:lang w:val="en-US" w:eastAsia="zh-CN" w:bidi="ar"/>
        </w:rPr>
        <w:t>万元，项目支出预算数882.47万元。全年支出9003.43万元，其中，基本支出8257.36万元，项目支出746.0</w:t>
      </w:r>
      <w:r>
        <w:rPr>
          <w:rFonts w:hint="eastAsia" w:ascii="宋体" w:hAnsi="宋体" w:cs="宋体"/>
          <w:color w:val="000000"/>
          <w:kern w:val="0"/>
          <w:sz w:val="28"/>
          <w:szCs w:val="28"/>
          <w:highlight w:val="none"/>
          <w:lang w:val="en-US" w:eastAsia="zh-CN" w:bidi="ar"/>
        </w:rPr>
        <w:t>7</w:t>
      </w:r>
      <w:r>
        <w:rPr>
          <w:rFonts w:hint="eastAsia" w:ascii="宋体" w:hAnsi="宋体" w:eastAsia="宋体" w:cs="宋体"/>
          <w:color w:val="000000"/>
          <w:kern w:val="0"/>
          <w:sz w:val="28"/>
          <w:szCs w:val="28"/>
          <w:highlight w:val="none"/>
          <w:lang w:val="en-US" w:eastAsia="zh-CN" w:bidi="ar"/>
        </w:rPr>
        <w:t>万元。预算执行率为97.33%。</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黑体" w:hAnsi="黑体" w:eastAsia="黑体" w:cs="黑体"/>
          <w:color w:val="000000"/>
          <w:kern w:val="0"/>
          <w:sz w:val="28"/>
          <w:szCs w:val="28"/>
          <w:highlight w:val="none"/>
          <w:lang w:val="en-US" w:eastAsia="zh-CN" w:bidi="ar"/>
        </w:rPr>
      </w:pPr>
      <w:r>
        <w:rPr>
          <w:rFonts w:hint="eastAsia" w:ascii="黑体" w:hAnsi="黑体" w:eastAsia="黑体" w:cs="黑体"/>
          <w:color w:val="000000"/>
          <w:kern w:val="0"/>
          <w:sz w:val="28"/>
          <w:szCs w:val="28"/>
          <w:highlight w:val="none"/>
          <w:lang w:val="en-US" w:eastAsia="zh-CN" w:bidi="ar"/>
        </w:rPr>
        <w:t xml:space="preserve">三、整体绩效目标实现情况 </w:t>
      </w:r>
    </w:p>
    <w:p>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 xml:space="preserve">（一）产出完成情况分析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1.产出数量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2024年，</w:t>
      </w:r>
      <w:r>
        <w:rPr>
          <w:rFonts w:hint="eastAsia" w:ascii="宋体" w:hAnsi="宋体" w:cs="宋体"/>
          <w:color w:val="000000"/>
          <w:kern w:val="0"/>
          <w:sz w:val="28"/>
          <w:szCs w:val="28"/>
          <w:highlight w:val="none"/>
          <w:lang w:val="en-US" w:eastAsia="zh-CN" w:bidi="ar"/>
        </w:rPr>
        <w:t>我院</w:t>
      </w:r>
      <w:r>
        <w:rPr>
          <w:rFonts w:hint="eastAsia" w:ascii="宋体" w:hAnsi="宋体" w:eastAsia="宋体" w:cs="宋体"/>
          <w:color w:val="000000"/>
          <w:kern w:val="0"/>
          <w:sz w:val="28"/>
          <w:szCs w:val="28"/>
          <w:highlight w:val="none"/>
          <w:lang w:val="en-US" w:eastAsia="zh-CN" w:bidi="ar"/>
        </w:rPr>
        <w:t>在区委、市检察院的坚强领导下，在区人大及其常委会的有力监督下，在区政府、区政协和社会各界的关心支持下，坚持以习近平新时代中国特色社会主义思想为指导，全面贯彻习近平法治思想，深入落实党的二十大和二十届二中、三中全会精神，深刻领悟“两个确立”的决定性意义，增强“四个意识”、坚定“四个自信”、做到“两个维护”，立足法律监督定位，聚焦主责主业履职，为大局服务、为人民司法、为法治担当，扎实推进“高质效办好每一个案件”，依法履行刑事、民事、行政、公益诉讼“四大检察”职能，全年办理刑事、民事、行政、公益诉讼检察案件分别为4844件、1401件、1532件、190件</w:t>
      </w:r>
      <w:r>
        <w:rPr>
          <w:rFonts w:hint="eastAsia" w:ascii="宋体" w:hAnsi="宋体" w:cs="宋体"/>
          <w:color w:val="000000"/>
          <w:kern w:val="0"/>
          <w:sz w:val="28"/>
          <w:szCs w:val="28"/>
          <w:highlight w:val="none"/>
          <w:lang w:val="en-US" w:eastAsia="zh-CN" w:bidi="ar"/>
        </w:rPr>
        <w:t>，</w:t>
      </w:r>
      <w:r>
        <w:rPr>
          <w:rFonts w:hint="eastAsia" w:ascii="宋体" w:hAnsi="宋体" w:eastAsia="宋体" w:cs="宋体"/>
          <w:color w:val="000000"/>
          <w:kern w:val="0"/>
          <w:sz w:val="28"/>
          <w:szCs w:val="28"/>
          <w:highlight w:val="none"/>
          <w:lang w:val="en-US" w:eastAsia="zh-CN" w:bidi="ar"/>
        </w:rPr>
        <w:t>全年共办理各类案件7967件，</w:t>
      </w:r>
      <w:r>
        <w:rPr>
          <w:rFonts w:hint="eastAsia" w:ascii="宋体" w:hAnsi="宋体" w:cs="宋体"/>
          <w:color w:val="000000"/>
          <w:kern w:val="0"/>
          <w:sz w:val="28"/>
          <w:szCs w:val="28"/>
          <w:highlight w:val="none"/>
          <w:lang w:val="en-US" w:eastAsia="zh-CN" w:bidi="ar"/>
        </w:rPr>
        <w:t>完成了年初四大检察案件受理数≥6000件的预期指标，</w:t>
      </w:r>
      <w:r>
        <w:rPr>
          <w:rFonts w:hint="eastAsia" w:ascii="宋体" w:hAnsi="宋体" w:eastAsia="宋体" w:cs="宋体"/>
          <w:color w:val="000000"/>
          <w:kern w:val="0"/>
          <w:sz w:val="28"/>
          <w:szCs w:val="28"/>
          <w:highlight w:val="none"/>
          <w:lang w:val="en-US" w:eastAsia="zh-CN" w:bidi="ar"/>
        </w:rPr>
        <w:t>努力为新时代首都发展和房山高质量发展提供坚实有力的法治保障。2024年“四大检察”办案情况如下图：</w:t>
      </w:r>
    </w:p>
    <w:p>
      <w:pPr>
        <w:pStyle w:val="2"/>
        <w:rPr>
          <w:rFonts w:hint="eastAsia"/>
          <w:sz w:val="20"/>
          <w:szCs w:val="22"/>
          <w:highlight w:val="none"/>
          <w:lang w:val="en-US" w:eastAsia="zh-CN"/>
        </w:rPr>
      </w:pPr>
      <w:r>
        <w:rPr>
          <w:sz w:val="20"/>
          <w:szCs w:val="22"/>
          <w:highlight w:val="none"/>
        </w:rPr>
        <w:drawing>
          <wp:anchor distT="0" distB="0" distL="114300" distR="114300" simplePos="0" relativeHeight="251659264" behindDoc="0" locked="0" layoutInCell="1" allowOverlap="1">
            <wp:simplePos x="0" y="0"/>
            <wp:positionH relativeFrom="column">
              <wp:posOffset>-184150</wp:posOffset>
            </wp:positionH>
            <wp:positionV relativeFrom="paragraph">
              <wp:posOffset>99060</wp:posOffset>
            </wp:positionV>
            <wp:extent cx="5612130" cy="2466975"/>
            <wp:effectExtent l="0" t="0" r="7620" b="9525"/>
            <wp:wrapNone/>
            <wp:docPr id="1" name="图片 2" descr="微信图片_20250102183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微信图片_20250102183150"/>
                    <pic:cNvPicPr>
                      <a:picLocks noChangeAspect="1"/>
                    </pic:cNvPicPr>
                  </pic:nvPicPr>
                  <pic:blipFill>
                    <a:blip r:embed="rId5"/>
                    <a:stretch>
                      <a:fillRect/>
                    </a:stretch>
                  </pic:blipFill>
                  <pic:spPr>
                    <a:xfrm>
                      <a:off x="0" y="0"/>
                      <a:ext cx="5612130" cy="2466975"/>
                    </a:xfrm>
                    <a:prstGeom prst="rect">
                      <a:avLst/>
                    </a:prstGeom>
                    <a:noFill/>
                    <a:ln>
                      <a:noFill/>
                    </a:ln>
                  </pic:spPr>
                </pic:pic>
              </a:graphicData>
            </a:graphic>
          </wp:anchor>
        </w:drawing>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2.产出质量</w:t>
      </w:r>
    </w:p>
    <w:p>
      <w:pPr>
        <w:pStyle w:val="5"/>
        <w:spacing w:line="560" w:lineRule="exact"/>
        <w:ind w:firstLine="560" w:firstLineChars="200"/>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2024年，</w:t>
      </w:r>
      <w:r>
        <w:rPr>
          <w:rFonts w:hint="eastAsia" w:ascii="宋体" w:hAnsi="宋体" w:cs="宋体"/>
          <w:color w:val="000000"/>
          <w:kern w:val="0"/>
          <w:sz w:val="28"/>
          <w:szCs w:val="28"/>
          <w:highlight w:val="none"/>
          <w:lang w:val="en-US" w:eastAsia="zh-CN" w:bidi="ar"/>
        </w:rPr>
        <w:t>我院</w:t>
      </w:r>
      <w:r>
        <w:rPr>
          <w:rFonts w:hint="eastAsia" w:ascii="宋体" w:hAnsi="宋体" w:eastAsia="宋体" w:cs="宋体"/>
          <w:color w:val="000000"/>
          <w:kern w:val="0"/>
          <w:sz w:val="28"/>
          <w:szCs w:val="28"/>
          <w:highlight w:val="none"/>
          <w:lang w:val="en-US" w:eastAsia="zh-CN" w:bidi="ar"/>
        </w:rPr>
        <w:t>民事、行政、公益诉讼检察办案比重由2023年的27.5%上升至39.2%，检察履职的监督属性、法律监督的主动性不断增强。自觉接受人大监督、民主监督、社会监督，推动人民群众实质性参与和监督检察工作，主动向区人大常委会报告工作5件次，接受区人大常委会监督视察2次。邀请人大代表、政协委员、人民监督员等参加检察听证、工作恳谈300余人次，加强工作通报、典型案例发布等检务公开，在吸纳民意、汇集民智中不断提高检察工作效能和公信力。积极参与“两委”干部等资格候选人联合审查工作，开展审查3860人次，反馈疑似问题人员32人，助力筑牢为民根基。深入实施数字检察战略，数字检察对监督线索发现、推动成案的贡献率达60%以上，研发建用的养老服务行业管理等6个模型在最高人民检察院平台上架，向全国检察机关推广应用。积极研发“校园餐饮安全大数据法律监督模型”，办理校园周边外卖商户违规经营公益诉讼案，模型效能辐射全国8个</w:t>
      </w:r>
      <w:r>
        <w:rPr>
          <w:rFonts w:hint="eastAsia" w:hAnsi="宋体" w:cs="宋体"/>
          <w:color w:val="000000"/>
          <w:kern w:val="0"/>
          <w:sz w:val="28"/>
          <w:szCs w:val="28"/>
          <w:highlight w:val="none"/>
          <w:lang w:val="en-US" w:eastAsia="zh-CN" w:bidi="ar"/>
        </w:rPr>
        <w:t>省（自治区、直辖市）</w:t>
      </w:r>
      <w:r>
        <w:rPr>
          <w:rFonts w:hint="eastAsia" w:ascii="宋体" w:hAnsi="宋体" w:eastAsia="宋体" w:cs="宋体"/>
          <w:color w:val="000000"/>
          <w:kern w:val="0"/>
          <w:sz w:val="28"/>
          <w:szCs w:val="28"/>
          <w:highlight w:val="none"/>
          <w:lang w:val="en-US" w:eastAsia="zh-CN" w:bidi="ar"/>
        </w:rPr>
        <w:t>，获评北京市检察机关数字检察典型案例。应用大数据法律监督模型办理的骗取农药补贴监督类案、以虚假诉讼套取住房公积金监督类案获评北京市检察机关十大司法案件、数字检察典型类案等。依托良乡大学城区位优势，与北京理工大学共同打造检校数智科研基地，深化检校协作实践。持续加强检察队伍专业化建设，涵养求真务实、实干担当的工作作风。全院相继获评全国“八五”普法中期表现突出的单位、北京市工人先锋号、北京市信访工作先进个人等20项荣誉，1人入选最高人民检察院职务犯罪检察人才库，1人获北京市检察机关刑事执行检察业务竞赛第一名，3人在北京市检察机关业务竞赛中获评标兵、能手，7人获评全市检察机关业务骨干人才。202</w:t>
      </w:r>
      <w:r>
        <w:rPr>
          <w:rFonts w:hint="eastAsia" w:hAnsi="宋体" w:cs="宋体"/>
          <w:color w:val="000000"/>
          <w:kern w:val="0"/>
          <w:sz w:val="28"/>
          <w:szCs w:val="28"/>
          <w:highlight w:val="none"/>
          <w:lang w:val="en-US" w:eastAsia="zh-CN" w:bidi="ar"/>
        </w:rPr>
        <w:t>4</w:t>
      </w:r>
      <w:r>
        <w:rPr>
          <w:rFonts w:hint="eastAsia" w:ascii="宋体" w:hAnsi="宋体" w:eastAsia="宋体" w:cs="宋体"/>
          <w:color w:val="000000"/>
          <w:kern w:val="0"/>
          <w:sz w:val="28"/>
          <w:szCs w:val="28"/>
          <w:highlight w:val="none"/>
          <w:lang w:val="en-US" w:eastAsia="zh-CN" w:bidi="ar"/>
        </w:rPr>
        <w:t>年</w:t>
      </w:r>
      <w:r>
        <w:rPr>
          <w:rFonts w:hint="eastAsia" w:hAnsi="宋体" w:cs="宋体"/>
          <w:color w:val="000000"/>
          <w:kern w:val="0"/>
          <w:sz w:val="28"/>
          <w:szCs w:val="28"/>
          <w:highlight w:val="none"/>
          <w:lang w:val="en-US" w:eastAsia="zh-CN" w:bidi="ar"/>
        </w:rPr>
        <w:t>良好地</w:t>
      </w:r>
      <w:r>
        <w:rPr>
          <w:rFonts w:hint="eastAsia" w:ascii="宋体" w:hAnsi="宋体" w:eastAsia="宋体" w:cs="宋体"/>
          <w:color w:val="000000"/>
          <w:kern w:val="0"/>
          <w:sz w:val="28"/>
          <w:szCs w:val="28"/>
          <w:highlight w:val="none"/>
          <w:lang w:val="en-US" w:eastAsia="zh-CN" w:bidi="ar"/>
        </w:rPr>
        <w:t>保障</w:t>
      </w:r>
      <w:r>
        <w:rPr>
          <w:rFonts w:hint="eastAsia" w:hAnsi="宋体" w:cs="宋体"/>
          <w:color w:val="000000"/>
          <w:kern w:val="0"/>
          <w:sz w:val="28"/>
          <w:szCs w:val="28"/>
          <w:highlight w:val="none"/>
          <w:lang w:val="en-US" w:eastAsia="zh-CN" w:bidi="ar"/>
        </w:rPr>
        <w:t>了</w:t>
      </w:r>
      <w:r>
        <w:rPr>
          <w:rFonts w:hint="eastAsia" w:ascii="宋体" w:hAnsi="宋体" w:eastAsia="宋体" w:cs="宋体"/>
          <w:color w:val="000000"/>
          <w:kern w:val="0"/>
          <w:sz w:val="28"/>
          <w:szCs w:val="28"/>
          <w:highlight w:val="none"/>
          <w:lang w:val="en-US" w:eastAsia="zh-CN" w:bidi="ar"/>
        </w:rPr>
        <w:t>各项检察工作顺利开展</w:t>
      </w:r>
      <w:r>
        <w:rPr>
          <w:rFonts w:hint="eastAsia" w:hAnsi="宋体" w:cs="宋体"/>
          <w:color w:val="000000"/>
          <w:kern w:val="0"/>
          <w:sz w:val="28"/>
          <w:szCs w:val="28"/>
          <w:highlight w:val="none"/>
          <w:lang w:val="en-US" w:eastAsia="zh-CN" w:bidi="ar"/>
        </w:rPr>
        <w:t>，</w:t>
      </w:r>
      <w:r>
        <w:rPr>
          <w:rFonts w:hint="eastAsia" w:ascii="宋体" w:hAnsi="宋体" w:eastAsia="宋体" w:cs="宋体"/>
          <w:color w:val="000000"/>
          <w:kern w:val="0"/>
          <w:sz w:val="28"/>
          <w:szCs w:val="28"/>
          <w:highlight w:val="none"/>
          <w:lang w:val="en-US" w:eastAsia="zh-CN" w:bidi="ar"/>
        </w:rPr>
        <w:t>已</w:t>
      </w:r>
      <w:r>
        <w:rPr>
          <w:rFonts w:hint="eastAsia" w:hAnsi="宋体" w:cs="宋体"/>
          <w:color w:val="000000"/>
          <w:kern w:val="0"/>
          <w:sz w:val="28"/>
          <w:szCs w:val="28"/>
          <w:highlight w:val="none"/>
          <w:lang w:val="en-US" w:eastAsia="zh-CN" w:bidi="ar"/>
        </w:rPr>
        <w:t>完成部门</w:t>
      </w:r>
      <w:r>
        <w:rPr>
          <w:rFonts w:hint="eastAsia" w:ascii="宋体" w:hAnsi="宋体" w:eastAsia="宋体" w:cs="宋体"/>
          <w:color w:val="000000"/>
          <w:kern w:val="0"/>
          <w:sz w:val="28"/>
          <w:szCs w:val="28"/>
          <w:highlight w:val="none"/>
          <w:lang w:val="en-US" w:eastAsia="zh-CN" w:bidi="ar"/>
        </w:rPr>
        <w:t>履职履责工作产出质量</w:t>
      </w:r>
      <w:r>
        <w:rPr>
          <w:rFonts w:hint="eastAsia" w:hAnsi="宋体" w:cs="宋体"/>
          <w:color w:val="000000"/>
          <w:kern w:val="0"/>
          <w:sz w:val="28"/>
          <w:szCs w:val="28"/>
          <w:highlight w:val="none"/>
          <w:lang w:val="en-US" w:eastAsia="zh-CN" w:bidi="ar"/>
        </w:rPr>
        <w:t>指标</w:t>
      </w:r>
      <w:r>
        <w:rPr>
          <w:rFonts w:hint="eastAsia" w:ascii="宋体" w:hAnsi="宋体" w:eastAsia="宋体" w:cs="宋体"/>
          <w:color w:val="000000"/>
          <w:kern w:val="0"/>
          <w:sz w:val="28"/>
          <w:szCs w:val="28"/>
          <w:highlight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3.产出进度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202</w:t>
      </w:r>
      <w:r>
        <w:rPr>
          <w:rFonts w:hint="eastAsia" w:ascii="宋体" w:hAnsi="宋体" w:cs="宋体"/>
          <w:color w:val="000000"/>
          <w:kern w:val="0"/>
          <w:sz w:val="28"/>
          <w:szCs w:val="28"/>
          <w:highlight w:val="none"/>
          <w:lang w:val="en-US" w:eastAsia="zh-CN" w:bidi="ar"/>
        </w:rPr>
        <w:t>4</w:t>
      </w:r>
      <w:r>
        <w:rPr>
          <w:rFonts w:hint="eastAsia" w:ascii="宋体" w:hAnsi="宋体" w:eastAsia="宋体" w:cs="宋体"/>
          <w:color w:val="000000"/>
          <w:kern w:val="0"/>
          <w:sz w:val="28"/>
          <w:szCs w:val="28"/>
          <w:highlight w:val="none"/>
          <w:lang w:val="en-US" w:eastAsia="zh-CN" w:bidi="ar"/>
        </w:rPr>
        <w:t>年</w:t>
      </w:r>
      <w:r>
        <w:rPr>
          <w:rFonts w:hint="eastAsia" w:ascii="宋体" w:hAnsi="宋体" w:cs="宋体"/>
          <w:color w:val="000000"/>
          <w:kern w:val="0"/>
          <w:sz w:val="28"/>
          <w:szCs w:val="28"/>
          <w:highlight w:val="none"/>
          <w:lang w:val="en-US" w:eastAsia="zh-CN" w:bidi="ar"/>
        </w:rPr>
        <w:t>，我院已</w:t>
      </w:r>
      <w:r>
        <w:rPr>
          <w:rFonts w:hint="eastAsia" w:ascii="宋体" w:hAnsi="宋体" w:eastAsia="宋体" w:cs="宋体"/>
          <w:color w:val="000000"/>
          <w:kern w:val="0"/>
          <w:sz w:val="28"/>
          <w:szCs w:val="28"/>
          <w:highlight w:val="none"/>
          <w:lang w:val="en-US" w:eastAsia="zh-CN" w:bidi="ar"/>
        </w:rPr>
        <w:t>按照</w:t>
      </w:r>
      <w:r>
        <w:rPr>
          <w:rFonts w:hint="eastAsia" w:ascii="宋体" w:hAnsi="宋体" w:cs="宋体"/>
          <w:color w:val="000000"/>
          <w:kern w:val="0"/>
          <w:sz w:val="28"/>
          <w:szCs w:val="28"/>
          <w:highlight w:val="none"/>
          <w:lang w:val="en-US" w:eastAsia="zh-CN" w:bidi="ar"/>
        </w:rPr>
        <w:t>《2024年工作要点和任务分工》《部门（单位）整体支出绩效目标申报表》</w:t>
      </w:r>
      <w:r>
        <w:rPr>
          <w:rFonts w:hint="eastAsia" w:ascii="宋体" w:hAnsi="宋体" w:eastAsia="宋体" w:cs="宋体"/>
          <w:color w:val="000000"/>
          <w:kern w:val="0"/>
          <w:sz w:val="28"/>
          <w:szCs w:val="28"/>
          <w:highlight w:val="none"/>
          <w:lang w:val="en-US" w:eastAsia="zh-CN" w:bidi="ar"/>
        </w:rPr>
        <w:t>的进度要求，</w:t>
      </w:r>
      <w:r>
        <w:rPr>
          <w:rFonts w:hint="eastAsia" w:ascii="宋体" w:hAnsi="宋体" w:cs="宋体"/>
          <w:color w:val="000000"/>
          <w:kern w:val="0"/>
          <w:sz w:val="28"/>
          <w:szCs w:val="28"/>
          <w:highlight w:val="none"/>
          <w:lang w:val="en-US" w:eastAsia="zh-CN" w:bidi="ar"/>
        </w:rPr>
        <w:t>2024年12月31日前</w:t>
      </w:r>
      <w:r>
        <w:rPr>
          <w:rFonts w:hint="eastAsia" w:ascii="宋体" w:hAnsi="宋体" w:eastAsia="宋体" w:cs="宋体"/>
          <w:color w:val="000000"/>
          <w:kern w:val="0"/>
          <w:sz w:val="28"/>
          <w:szCs w:val="28"/>
          <w:highlight w:val="none"/>
          <w:lang w:val="en-US" w:eastAsia="zh-CN" w:bidi="ar"/>
        </w:rPr>
        <w:t>完成了202</w:t>
      </w:r>
      <w:r>
        <w:rPr>
          <w:rFonts w:hint="eastAsia" w:ascii="宋体" w:hAnsi="宋体" w:cs="宋体"/>
          <w:color w:val="000000"/>
          <w:kern w:val="0"/>
          <w:sz w:val="28"/>
          <w:szCs w:val="28"/>
          <w:highlight w:val="none"/>
          <w:lang w:val="en-US" w:eastAsia="zh-CN" w:bidi="ar"/>
        </w:rPr>
        <w:t>4</w:t>
      </w:r>
      <w:r>
        <w:rPr>
          <w:rFonts w:hint="eastAsia" w:ascii="宋体" w:hAnsi="宋体" w:eastAsia="宋体" w:cs="宋体"/>
          <w:color w:val="000000"/>
          <w:kern w:val="0"/>
          <w:sz w:val="28"/>
          <w:szCs w:val="28"/>
          <w:highlight w:val="none"/>
          <w:lang w:val="en-US" w:eastAsia="zh-CN" w:bidi="ar"/>
        </w:rPr>
        <w:t>年</w:t>
      </w:r>
      <w:r>
        <w:rPr>
          <w:rFonts w:hint="eastAsia" w:ascii="宋体" w:hAnsi="宋体" w:cs="宋体"/>
          <w:color w:val="000000"/>
          <w:kern w:val="0"/>
          <w:sz w:val="28"/>
          <w:szCs w:val="28"/>
          <w:highlight w:val="none"/>
          <w:lang w:val="en-US" w:eastAsia="zh-CN" w:bidi="ar"/>
        </w:rPr>
        <w:t>度</w:t>
      </w:r>
      <w:r>
        <w:rPr>
          <w:rFonts w:hint="eastAsia" w:ascii="宋体" w:hAnsi="宋体" w:eastAsia="宋体" w:cs="宋体"/>
          <w:color w:val="000000"/>
          <w:kern w:val="0"/>
          <w:sz w:val="28"/>
          <w:szCs w:val="28"/>
          <w:highlight w:val="none"/>
          <w:lang w:val="en-US" w:eastAsia="zh-CN" w:bidi="ar"/>
        </w:rPr>
        <w:t>的计划工作任务。</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4.产出成本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202</w:t>
      </w:r>
      <w:r>
        <w:rPr>
          <w:rFonts w:hint="eastAsia" w:ascii="宋体" w:hAnsi="宋体" w:cs="宋体"/>
          <w:color w:val="000000"/>
          <w:kern w:val="0"/>
          <w:sz w:val="28"/>
          <w:szCs w:val="28"/>
          <w:highlight w:val="none"/>
          <w:lang w:val="en-US" w:eastAsia="zh-CN" w:bidi="ar"/>
        </w:rPr>
        <w:t>4</w:t>
      </w:r>
      <w:r>
        <w:rPr>
          <w:rFonts w:hint="eastAsia" w:ascii="宋体" w:hAnsi="宋体" w:eastAsia="宋体" w:cs="宋体"/>
          <w:color w:val="000000"/>
          <w:kern w:val="0"/>
          <w:sz w:val="28"/>
          <w:szCs w:val="28"/>
          <w:highlight w:val="none"/>
          <w:lang w:val="en-US" w:eastAsia="zh-CN" w:bidi="ar"/>
        </w:rPr>
        <w:t>年</w:t>
      </w:r>
      <w:r>
        <w:rPr>
          <w:rFonts w:hint="eastAsia" w:ascii="宋体" w:hAnsi="宋体" w:cs="宋体"/>
          <w:color w:val="000000"/>
          <w:kern w:val="0"/>
          <w:sz w:val="28"/>
          <w:szCs w:val="28"/>
          <w:highlight w:val="none"/>
          <w:lang w:val="en-US" w:eastAsia="zh-CN" w:bidi="ar"/>
        </w:rPr>
        <w:t>，</w:t>
      </w:r>
      <w:r>
        <w:rPr>
          <w:rFonts w:hint="eastAsia" w:ascii="宋体" w:hAnsi="宋体" w:eastAsia="宋体" w:cs="宋体"/>
          <w:color w:val="000000"/>
          <w:kern w:val="0"/>
          <w:sz w:val="28"/>
          <w:szCs w:val="28"/>
          <w:highlight w:val="none"/>
          <w:lang w:val="en-US" w:eastAsia="zh-CN" w:bidi="ar"/>
        </w:rPr>
        <w:t>部门</w:t>
      </w:r>
      <w:r>
        <w:rPr>
          <w:rFonts w:hint="eastAsia" w:ascii="宋体" w:hAnsi="宋体" w:cs="宋体"/>
          <w:color w:val="000000"/>
          <w:kern w:val="0"/>
          <w:sz w:val="28"/>
          <w:szCs w:val="28"/>
          <w:highlight w:val="none"/>
          <w:lang w:val="en-US" w:eastAsia="zh-CN" w:bidi="ar"/>
        </w:rPr>
        <w:t>年初</w:t>
      </w:r>
      <w:r>
        <w:rPr>
          <w:rFonts w:hint="eastAsia" w:ascii="宋体" w:hAnsi="宋体" w:eastAsia="宋体" w:cs="宋体"/>
          <w:color w:val="000000"/>
          <w:kern w:val="0"/>
          <w:sz w:val="28"/>
          <w:szCs w:val="28"/>
          <w:highlight w:val="none"/>
          <w:lang w:val="en-US" w:eastAsia="zh-CN" w:bidi="ar"/>
        </w:rPr>
        <w:t>预算9398.</w:t>
      </w:r>
      <w:r>
        <w:rPr>
          <w:rFonts w:hint="eastAsia" w:ascii="宋体" w:hAnsi="宋体" w:cs="宋体"/>
          <w:color w:val="000000"/>
          <w:kern w:val="0"/>
          <w:sz w:val="28"/>
          <w:szCs w:val="28"/>
          <w:highlight w:val="none"/>
          <w:lang w:val="en-US" w:eastAsia="zh-CN" w:bidi="ar"/>
        </w:rPr>
        <w:t>20</w:t>
      </w:r>
      <w:r>
        <w:rPr>
          <w:rFonts w:hint="eastAsia" w:ascii="宋体" w:hAnsi="宋体" w:eastAsia="宋体" w:cs="宋体"/>
          <w:color w:val="000000"/>
          <w:kern w:val="0"/>
          <w:sz w:val="28"/>
          <w:szCs w:val="28"/>
          <w:highlight w:val="none"/>
          <w:lang w:val="en-US" w:eastAsia="zh-CN" w:bidi="ar"/>
        </w:rPr>
        <w:t>万元，202</w:t>
      </w:r>
      <w:r>
        <w:rPr>
          <w:rFonts w:hint="eastAsia" w:ascii="宋体" w:hAnsi="宋体" w:cs="宋体"/>
          <w:color w:val="000000"/>
          <w:kern w:val="0"/>
          <w:sz w:val="28"/>
          <w:szCs w:val="28"/>
          <w:highlight w:val="none"/>
          <w:lang w:val="en-US" w:eastAsia="zh-CN" w:bidi="ar"/>
        </w:rPr>
        <w:t>4</w:t>
      </w:r>
      <w:r>
        <w:rPr>
          <w:rFonts w:hint="eastAsia" w:ascii="宋体" w:hAnsi="宋体" w:eastAsia="宋体" w:cs="宋体"/>
          <w:color w:val="000000"/>
          <w:kern w:val="0"/>
          <w:sz w:val="28"/>
          <w:szCs w:val="28"/>
          <w:highlight w:val="none"/>
          <w:lang w:val="en-US" w:eastAsia="zh-CN" w:bidi="ar"/>
        </w:rPr>
        <w:t>年预算支出数9003.43万元。成本浮动率=（实际支出-年初预算）/年初预算*100%=</w:t>
      </w:r>
      <w:r>
        <w:rPr>
          <w:rFonts w:hint="eastAsia" w:ascii="宋体" w:hAnsi="宋体" w:cs="宋体"/>
          <w:color w:val="000000"/>
          <w:kern w:val="0"/>
          <w:sz w:val="28"/>
          <w:szCs w:val="28"/>
          <w:highlight w:val="none"/>
          <w:lang w:val="en-US" w:eastAsia="zh-CN" w:bidi="ar"/>
        </w:rPr>
        <w:t>（</w:t>
      </w:r>
      <w:r>
        <w:rPr>
          <w:rFonts w:hint="eastAsia" w:ascii="宋体" w:hAnsi="宋体" w:eastAsia="宋体" w:cs="宋体"/>
          <w:color w:val="000000"/>
          <w:kern w:val="0"/>
          <w:sz w:val="28"/>
          <w:szCs w:val="28"/>
          <w:highlight w:val="none"/>
          <w:lang w:val="en-US" w:eastAsia="zh-CN" w:bidi="ar"/>
        </w:rPr>
        <w:t>实际支出9003.43-年初预算9398.</w:t>
      </w:r>
      <w:r>
        <w:rPr>
          <w:rFonts w:hint="eastAsia" w:ascii="宋体" w:hAnsi="宋体" w:cs="宋体"/>
          <w:color w:val="000000"/>
          <w:kern w:val="0"/>
          <w:sz w:val="28"/>
          <w:szCs w:val="28"/>
          <w:highlight w:val="none"/>
          <w:lang w:val="en-US" w:eastAsia="zh-CN" w:bidi="ar"/>
        </w:rPr>
        <w:t>20）</w:t>
      </w:r>
      <w:r>
        <w:rPr>
          <w:rFonts w:hint="eastAsia" w:ascii="宋体" w:hAnsi="宋体" w:eastAsia="宋体" w:cs="宋体"/>
          <w:color w:val="000000"/>
          <w:kern w:val="0"/>
          <w:sz w:val="28"/>
          <w:szCs w:val="28"/>
          <w:highlight w:val="none"/>
          <w:lang w:val="en-US" w:eastAsia="zh-CN" w:bidi="ar"/>
        </w:rPr>
        <w:t>/年初预算9398.</w:t>
      </w:r>
      <w:r>
        <w:rPr>
          <w:rFonts w:hint="eastAsia" w:ascii="宋体" w:hAnsi="宋体" w:cs="宋体"/>
          <w:color w:val="000000"/>
          <w:kern w:val="0"/>
          <w:sz w:val="28"/>
          <w:szCs w:val="28"/>
          <w:highlight w:val="none"/>
          <w:lang w:val="en-US" w:eastAsia="zh-CN" w:bidi="ar"/>
        </w:rPr>
        <w:t>20</w:t>
      </w:r>
      <w:r>
        <w:rPr>
          <w:rFonts w:hint="eastAsia" w:ascii="宋体" w:hAnsi="宋体" w:eastAsia="宋体" w:cs="宋体"/>
          <w:color w:val="000000"/>
          <w:kern w:val="0"/>
          <w:sz w:val="28"/>
          <w:szCs w:val="28"/>
          <w:highlight w:val="none"/>
          <w:lang w:val="en-US" w:eastAsia="zh-CN" w:bidi="ar"/>
        </w:rPr>
        <w:t>*100%=-</w:t>
      </w:r>
      <w:r>
        <w:rPr>
          <w:rFonts w:hint="eastAsia" w:ascii="宋体" w:hAnsi="宋体" w:cs="宋体"/>
          <w:color w:val="000000"/>
          <w:kern w:val="0"/>
          <w:sz w:val="28"/>
          <w:szCs w:val="28"/>
          <w:highlight w:val="none"/>
          <w:lang w:val="en-US" w:eastAsia="zh-CN" w:bidi="ar"/>
        </w:rPr>
        <w:t>4</w:t>
      </w:r>
      <w:r>
        <w:rPr>
          <w:rFonts w:hint="eastAsia" w:ascii="宋体" w:hAnsi="宋体" w:eastAsia="宋体" w:cs="宋体"/>
          <w:color w:val="000000"/>
          <w:kern w:val="0"/>
          <w:sz w:val="28"/>
          <w:szCs w:val="28"/>
          <w:highlight w:val="none"/>
          <w:lang w:val="en-US" w:eastAsia="zh-CN" w:bidi="ar"/>
        </w:rPr>
        <w:t>.</w:t>
      </w:r>
      <w:r>
        <w:rPr>
          <w:rFonts w:hint="eastAsia" w:ascii="宋体" w:hAnsi="宋体" w:cs="宋体"/>
          <w:color w:val="000000"/>
          <w:kern w:val="0"/>
          <w:sz w:val="28"/>
          <w:szCs w:val="28"/>
          <w:highlight w:val="none"/>
          <w:lang w:val="en-US" w:eastAsia="zh-CN" w:bidi="ar"/>
        </w:rPr>
        <w:t>20</w:t>
      </w:r>
      <w:r>
        <w:rPr>
          <w:rFonts w:hint="eastAsia" w:ascii="宋体" w:hAnsi="宋体" w:eastAsia="宋体" w:cs="宋体"/>
          <w:color w:val="000000"/>
          <w:kern w:val="0"/>
          <w:sz w:val="28"/>
          <w:szCs w:val="28"/>
          <w:highlight w:val="none"/>
          <w:lang w:val="en-US" w:eastAsia="zh-CN" w:bidi="ar"/>
        </w:rPr>
        <w:t>%</w:t>
      </w:r>
      <w:r>
        <w:rPr>
          <w:rFonts w:hint="eastAsia" w:ascii="宋体" w:hAnsi="宋体" w:cs="宋体"/>
          <w:color w:val="000000"/>
          <w:kern w:val="0"/>
          <w:sz w:val="28"/>
          <w:szCs w:val="28"/>
          <w:highlight w:val="none"/>
          <w:lang w:val="en-US" w:eastAsia="zh-CN" w:bidi="ar"/>
        </w:rPr>
        <w:t>，我</w:t>
      </w:r>
      <w:r>
        <w:rPr>
          <w:rFonts w:hint="eastAsia" w:ascii="宋体" w:hAnsi="宋体" w:eastAsia="宋体" w:cs="宋体"/>
          <w:color w:val="000000"/>
          <w:kern w:val="0"/>
          <w:sz w:val="28"/>
          <w:szCs w:val="28"/>
          <w:highlight w:val="none"/>
          <w:lang w:val="en-US" w:eastAsia="zh-CN" w:bidi="ar"/>
        </w:rPr>
        <w:t>院</w:t>
      </w:r>
      <w:r>
        <w:rPr>
          <w:rFonts w:hint="eastAsia" w:ascii="宋体" w:hAnsi="宋体" w:cs="宋体"/>
          <w:color w:val="000000"/>
          <w:kern w:val="0"/>
          <w:sz w:val="28"/>
          <w:szCs w:val="28"/>
          <w:highlight w:val="none"/>
          <w:lang w:val="en-US" w:eastAsia="zh-CN" w:bidi="ar"/>
        </w:rPr>
        <w:t>严格控制支出，</w:t>
      </w:r>
      <w:r>
        <w:rPr>
          <w:rFonts w:hint="eastAsia" w:ascii="宋体" w:hAnsi="宋体" w:eastAsia="宋体" w:cs="宋体"/>
          <w:color w:val="000000"/>
          <w:kern w:val="0"/>
          <w:sz w:val="28"/>
          <w:szCs w:val="28"/>
          <w:highlight w:val="none"/>
          <w:lang w:val="en-US" w:eastAsia="zh-CN" w:bidi="ar"/>
        </w:rPr>
        <w:t>从前期供应商遴选、签订合同、中期项目实施以及后期验收，每个环节都有专人负责，在各部门高效配合的前提下，严格按照有关采购规范，采用比选等方式遴选供应商，院领导、合同采购小组和项目负责人等层层把关，构建资金监管体系，加大项目资金的监督检查力度，实行全过程监督检查，科学合理</w:t>
      </w:r>
      <w:r>
        <w:rPr>
          <w:rFonts w:hint="eastAsia" w:ascii="宋体" w:hAnsi="宋体" w:cs="宋体"/>
          <w:color w:val="000000"/>
          <w:kern w:val="0"/>
          <w:sz w:val="28"/>
          <w:szCs w:val="28"/>
          <w:highlight w:val="none"/>
          <w:lang w:val="en-US" w:eastAsia="zh-CN" w:bidi="ar"/>
        </w:rPr>
        <w:t>地</w:t>
      </w:r>
      <w:r>
        <w:rPr>
          <w:rFonts w:hint="eastAsia" w:ascii="宋体" w:hAnsi="宋体" w:eastAsia="宋体" w:cs="宋体"/>
          <w:color w:val="000000"/>
          <w:kern w:val="0"/>
          <w:sz w:val="28"/>
          <w:szCs w:val="28"/>
          <w:highlight w:val="none"/>
          <w:lang w:val="en-US" w:eastAsia="zh-CN" w:bidi="ar"/>
        </w:rPr>
        <w:t>控制成本</w:t>
      </w:r>
      <w:r>
        <w:rPr>
          <w:rFonts w:hint="eastAsia" w:ascii="宋体" w:hAnsi="宋体" w:cs="宋体"/>
          <w:color w:val="000000"/>
          <w:kern w:val="0"/>
          <w:sz w:val="28"/>
          <w:szCs w:val="28"/>
          <w:highlight w:val="none"/>
          <w:lang w:val="en-US" w:eastAsia="zh-CN" w:bidi="ar"/>
        </w:rPr>
        <w:t>。2024年全年支出未超出预算，</w:t>
      </w:r>
      <w:r>
        <w:rPr>
          <w:rFonts w:hint="eastAsia" w:ascii="宋体" w:hAnsi="宋体" w:eastAsia="宋体" w:cs="宋体"/>
          <w:color w:val="000000"/>
          <w:kern w:val="0"/>
          <w:sz w:val="28"/>
          <w:szCs w:val="28"/>
          <w:highlight w:val="none"/>
          <w:lang w:val="en-US" w:eastAsia="zh-CN" w:bidi="ar"/>
        </w:rPr>
        <w:t>成本控制较好。</w:t>
      </w:r>
    </w:p>
    <w:p>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 xml:space="preserve">（二）效果实现情况分析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1.社会效益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cs="宋体"/>
          <w:color w:val="000000"/>
          <w:kern w:val="0"/>
          <w:sz w:val="28"/>
          <w:szCs w:val="28"/>
          <w:highlight w:val="none"/>
          <w:lang w:val="en-US" w:eastAsia="zh-CN" w:bidi="ar"/>
        </w:rPr>
      </w:pPr>
      <w:r>
        <w:rPr>
          <w:rFonts w:hint="eastAsia" w:ascii="宋体" w:hAnsi="宋体" w:cs="宋体"/>
          <w:color w:val="000000"/>
          <w:kern w:val="0"/>
          <w:sz w:val="28"/>
          <w:szCs w:val="28"/>
          <w:highlight w:val="none"/>
          <w:lang w:val="en-US" w:eastAsia="zh-CN" w:bidi="ar"/>
        </w:rPr>
        <w:t>我院</w:t>
      </w:r>
      <w:r>
        <w:rPr>
          <w:rFonts w:hint="eastAsia" w:ascii="宋体" w:hAnsi="宋体" w:eastAsia="宋体" w:cs="宋体"/>
          <w:color w:val="000000"/>
          <w:kern w:val="0"/>
          <w:sz w:val="28"/>
          <w:szCs w:val="28"/>
          <w:highlight w:val="none"/>
          <w:lang w:val="en-US" w:eastAsia="zh-CN" w:bidi="ar"/>
        </w:rPr>
        <w:t>坚持以习近平新时代中国特色社会主义思想为指导，全面贯彻落实党的二十大精神，在区委、市人民检察院和区委政法委的坚强领导下，紧紧围绕首都及区域经济社会发展大局，依法能动履行刑事、民事、行政、公益诉讼“四大检察”</w:t>
      </w:r>
      <w:r>
        <w:rPr>
          <w:rFonts w:hint="eastAsia" w:ascii="宋体" w:hAnsi="宋体" w:cs="宋体"/>
          <w:color w:val="000000"/>
          <w:kern w:val="0"/>
          <w:sz w:val="28"/>
          <w:szCs w:val="28"/>
          <w:highlight w:val="none"/>
          <w:lang w:val="en-US" w:eastAsia="zh-CN" w:bidi="ar"/>
        </w:rPr>
        <w:t>职能</w:t>
      </w:r>
      <w:r>
        <w:rPr>
          <w:rFonts w:hint="eastAsia" w:ascii="宋体" w:hAnsi="宋体" w:eastAsia="宋体" w:cs="宋体"/>
          <w:color w:val="000000"/>
          <w:kern w:val="0"/>
          <w:sz w:val="28"/>
          <w:szCs w:val="28"/>
          <w:highlight w:val="none"/>
          <w:lang w:val="en-US" w:eastAsia="zh-CN" w:bidi="ar"/>
        </w:rPr>
        <w:t>，充分运用法治力量服务“六大房山”建设，全力保障区域高质量、现代化发展。</w:t>
      </w:r>
      <w:r>
        <w:rPr>
          <w:rFonts w:hint="eastAsia" w:ascii="宋体" w:hAnsi="宋体" w:cs="宋体"/>
          <w:color w:val="000000"/>
          <w:kern w:val="0"/>
          <w:sz w:val="28"/>
          <w:szCs w:val="28"/>
          <w:highlight w:val="none"/>
          <w:lang w:val="en-US" w:eastAsia="zh-CN" w:bidi="ar"/>
        </w:rPr>
        <w:t>实现具体效益如下：</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w:t>
      </w:r>
      <w:r>
        <w:rPr>
          <w:rFonts w:hint="default" w:ascii="宋体" w:hAnsi="宋体" w:eastAsia="宋体" w:cs="宋体"/>
          <w:color w:val="000000"/>
          <w:kern w:val="0"/>
          <w:sz w:val="28"/>
          <w:szCs w:val="28"/>
          <w:highlight w:val="none"/>
          <w:lang w:val="en-US" w:eastAsia="zh-CN" w:bidi="ar"/>
        </w:rPr>
        <w:t>强化检察机关党的建设。坚持党建工作与检察业务工作系统谋划、整体推进，创建的“六融党建工作法”获评北京市检察机关党建与业务融合典型事例二等奖。强化党组织政治功能和组织功能，推进“一支部一品牌”形成党建品牌矩阵，燕山检察处“燕山检语”党建品牌获评第四届北京市检察机关文化品牌三等奖。</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（2）</w:t>
      </w:r>
      <w:r>
        <w:rPr>
          <w:rFonts w:hint="default" w:ascii="宋体" w:hAnsi="宋体" w:eastAsia="宋体" w:cs="宋体"/>
          <w:color w:val="000000"/>
          <w:kern w:val="0"/>
          <w:sz w:val="28"/>
          <w:szCs w:val="28"/>
          <w:highlight w:val="none"/>
          <w:lang w:val="en-US" w:eastAsia="zh-CN" w:bidi="ar"/>
        </w:rPr>
        <w:t>坚决捍卫区域安全稳定。认真贯彻总体国家安全观，全年办理审查逮捕、审查起诉案件2473件。对涉国家安全和严重影响社会和谐稳定的犯罪保持严打高压态势，起诉“法轮功”“菩提功”等利用邪教、迷信破坏法律实施犯罪5件10人，起诉故意杀人、抢劫、强奸等严重暴力犯罪22件22人，开展“化解矛盾风险，维护社会稳定”专项治理，守好首都“西南大门”。全面准确贯彻宽严相济刑事政策，依法适用认罪认罚从宽制度，发布轻罪治理白皮书。持续推进“断卡”“断流”专项行动，办理电信网络诈骗及其关联犯罪案件237件，对赴印度尼西亚实施跨境裸聊敲诈的电信网络诈骗犯罪集团146人依法提起公诉，坚决遏制网络犯罪高发态势。办理的刘某某等8人驾驶货车高速逆行危害公共安全案入选市检察院参考性案例。</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（3）</w:t>
      </w:r>
      <w:r>
        <w:rPr>
          <w:rFonts w:hint="default" w:ascii="宋体" w:hAnsi="宋体" w:eastAsia="宋体" w:cs="宋体"/>
          <w:color w:val="000000"/>
          <w:kern w:val="0"/>
          <w:sz w:val="28"/>
          <w:szCs w:val="28"/>
          <w:highlight w:val="none"/>
          <w:lang w:val="en-US" w:eastAsia="zh-CN" w:bidi="ar"/>
        </w:rPr>
        <w:t>依法充分履行职务犯罪检察职责。深化监检“一案双查”、线索双向移送，坚持受贿行贿一起查，加大行贿犯罪惩治和不正当利益的追缴纠正力度，办理监委移送贪污贿赂犯罪案件30件，检察机关立案侦查司法工作人员职务犯罪1件1人。积极参与行业性、系统性腐败治理，办理征地拆迁、教育、殡葬领域职务犯罪11人，积极服务反腐败工作大局。</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（4）</w:t>
      </w:r>
      <w:r>
        <w:rPr>
          <w:rFonts w:hint="default" w:ascii="宋体" w:hAnsi="宋体" w:eastAsia="宋体" w:cs="宋体"/>
          <w:color w:val="000000"/>
          <w:kern w:val="0"/>
          <w:sz w:val="28"/>
          <w:szCs w:val="28"/>
          <w:highlight w:val="none"/>
          <w:lang w:val="en-US" w:eastAsia="zh-CN" w:bidi="ar"/>
        </w:rPr>
        <w:t>统筹服务区域灾后重建和经济社会高质量发展。针对“23·7”特大暴雨灾害后，农田“非农化”“非粮化”、道路沿线枯树倒伏、古桥受损等问题，通过制发检察建议、跟进监督等方式，助力农田恢复耕种240余亩，推动全面排查区域内危树隐患，实现8条道路724株老化危树采伐更新。扎实推进“检察护企”专项行动，持续做实对各类经营主体依法平等保护，办理侵犯企业合法权益犯罪、企业内部腐败犯罪案件13件。办理一起涉民营企业职务侵占案，为被害企业追赃挽损6000万元；妥善化解长达4年的涉民营企业行政争议，切实为企业发展纾困解难。促进金融高质量发展，办理金融诈骗、破坏金融管理秩序犯罪案件24件，依托“非法金融活动涉刑线索研判法律监督模型”排查重点风险企业线索10条，促进加强监管处置，优化法治化营商环境。强化知识产权检察综合履职，办理侵犯商标权、著作权等知识产权案件35件，加强高新技术、科技创新等领域知识产权司法保护，护航因地制宜发展新质生产力。</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5）服务保障生态文明建设。加强生态环境与自然资源检察，办理破坏环境资源犯罪案件71件，聚焦解决企业超标排污、供水管线安全隐患、非法倾倒垃圾等问题，办理公益诉讼案件169件。积极参与房山区“百日非法倾倒垃圾治理”专项活动，支持行政机关开展生态环境损害赔偿磋商，推动清挖处置垃圾70万余吨、对22家违法运输公司处罚2640万余元。发布公益诉讼检察工作白皮书和典型案例，成立房山区公益诉讼生态修复暨法治教育基地，开展检察公益诉讼巡展。强化历史建筑保护，针对安全隐患突出、活化利用不足等问题，向行政机关制发磋商意见书2份，助力文化传承发展。深化落实京津冀检察联动协作发展战略，制定“房涞涿”公益诉讼协作指引，进一步完善跨区域线索移送、案件办理机制，凝聚生态环境保护合力。办理的张某某等人非法倾倒垃圾刑事附带民事公益诉讼案，入选北京市检察机关服务保障北京生态涵养区典型案例。</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6）推动法律监督向引导和疏导端溯源治理发力。坚持以案件查办为切入点，着力发现法律监督聚焦点，制发各类检察建议142份，紧盯“办复”推动解决案件背后的普遍性、深层次问题。针对耕地占用税欠缴问题制发检察建议，助力追缴税款及滞纳金291万余元，促成区政府统筹水务、住建、市政、规自等九家单位建立数据共享机制，打破信息数据壁垒，实现税费数据共享。针对养老服务行业食品安全、非法储存烟花爆竹、知识产权保护等问题制发检察建议，促进相关单位堵漏建制、完善监管。</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7）服务保障和改善民生。深入推进“检护民生”专项行动，办理诈骗、非法集资犯罪案件521件，追赃挽损2000余万元，办理骗领失业保险金、服刑在押人员违规领取养老金等案件160件，追回资金280余万元。办理预付式消费领域“职业闭店人”公益诉讼案件6件，推动26个资金存管账户纳入监管，保护消费者合法权益。依法从严打击生产、销售伪劣商品、非法经营等涉食品药品安全犯罪，办理“假肉”“假酒”等危害食品安全案件46件。紧盯安全生产领域突出问题，办理危险作业、重大责任事故等犯罪案件32件，销售伪劣灭火器、“飞线充电”等公益诉讼案件50件，守护人民群众生产生活安全。</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8）深化特定群体权益保障。加大民事支持起诉、司法救助力度，办理农民工、困难妇女等弱势群体支持起诉案件344件，支持农民工讨薪440余万元，依法向30名因案致困的被害人发放司法救助金34万余元，办理的退役军人李某某国家司法救助案入选最高人民检察院典型案例。加强老年人权益保障，依法惩治侵害老年人人身权、财产权犯罪，制发检察建议推动5家养老机构强化食品安全管理，针对养老服务、投资理财等养老领域突出问题，开展防范养老诈骗主题普法宣传活动。加强未成年人权益司法保护，办理涉未成年人犯罪案件102件127人，创建“控辍保学综合履职大数据法律监督模型”，办理未成年人特殊预防案件13件，推动成立房山区专门教育指导委员会。“e同行”未成年人检察品牌获评北京市检察机关文化品牌三等奖。</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9）丰富全过程人民民主的新时代检察实践。自觉接受人大监督、民主监督、社会监督，推动人民群众实质性参与和监督检察工作，主动向区人大常委会报告工作5件次，接受区人大常委会监督视察2次。邀请人大代表、政协委员、人民监督员等参加检察听证、工作恳谈300余人次，加强工作通报、典型案例发布等检务公开，在吸纳民意、汇集民智中不断提高检察工作效能和公信力。积极参与“两委”干部等资格候选人联合审查工作，开展审查3860人次，反馈疑似问题人员32人，助力筑牢为民根基。</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10）推进公正执法司法。全年提出抗诉和再审检察建议16件，针对30类诉讼活动违法情形提出监督纠正意见和检察建议。加强侦查监督与协作配合机制建设，监督立案2件，监督撤案18件，追捕追诉103人，办理的刘某某销售有毒、有害食品立案监督案，田某帮助信息网络犯罪活动侦查监督案入选北京市检察机关优秀案例。强化刑事执行监督，加强对监管场所的派驻检察，针对刑罚执行和监管活动执法不规范等问题，监督纠正145件。加强行刑反向衔接工作，对被不起诉人需要给予行政处罚的，依法向行政机关制发检察意见，移送行政机关处罚103人，有效防止“不刑不罚”。</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我院坚持将“高质效办好每一个案件”作为检察履职办案的基本价值追求，持续做实人民群众可感受、能体验、得实惠的检察为民，实现办案政治效果、</w:t>
      </w:r>
      <w:r>
        <w:rPr>
          <w:rFonts w:hint="default" w:ascii="宋体" w:hAnsi="宋体" w:eastAsia="宋体" w:cs="宋体"/>
          <w:color w:val="000000"/>
          <w:kern w:val="0"/>
          <w:sz w:val="28"/>
          <w:szCs w:val="28"/>
          <w:highlight w:val="none"/>
          <w:lang w:val="en-US" w:eastAsia="zh-CN" w:bidi="ar"/>
        </w:rPr>
        <w:t>法律</w:t>
      </w:r>
      <w:r>
        <w:rPr>
          <w:rFonts w:hint="eastAsia" w:ascii="宋体" w:hAnsi="宋体" w:eastAsia="宋体" w:cs="宋体"/>
          <w:color w:val="000000"/>
          <w:kern w:val="0"/>
          <w:sz w:val="28"/>
          <w:szCs w:val="28"/>
          <w:highlight w:val="none"/>
          <w:lang w:val="en-US" w:eastAsia="zh-CN" w:bidi="ar"/>
        </w:rPr>
        <w:t>效果和</w:t>
      </w:r>
      <w:r>
        <w:rPr>
          <w:rFonts w:hint="default" w:ascii="宋体" w:hAnsi="宋体" w:eastAsia="宋体" w:cs="宋体"/>
          <w:color w:val="000000"/>
          <w:kern w:val="0"/>
          <w:sz w:val="28"/>
          <w:szCs w:val="28"/>
          <w:highlight w:val="none"/>
          <w:lang w:val="en-US" w:eastAsia="zh-CN" w:bidi="ar"/>
        </w:rPr>
        <w:t>社会</w:t>
      </w:r>
      <w:r>
        <w:rPr>
          <w:rFonts w:hint="eastAsia" w:ascii="宋体" w:hAnsi="宋体" w:eastAsia="宋体" w:cs="宋体"/>
          <w:color w:val="000000"/>
          <w:kern w:val="0"/>
          <w:sz w:val="28"/>
          <w:szCs w:val="28"/>
          <w:highlight w:val="none"/>
          <w:lang w:val="en-US" w:eastAsia="zh-CN" w:bidi="ar"/>
        </w:rPr>
        <w:t>效果的有机统一。检察履职办案有利于法治建设的推进，有利于法律监督力度的提升，有利于打击违法犯罪行为，对检察业务的长期推行具有重要影响，具有良好的社会效益，对于服务于公众的社会性</w:t>
      </w:r>
      <w:r>
        <w:rPr>
          <w:rFonts w:hint="eastAsia" w:ascii="宋体" w:hAnsi="宋体" w:cs="宋体"/>
          <w:color w:val="000000"/>
          <w:kern w:val="0"/>
          <w:sz w:val="28"/>
          <w:szCs w:val="28"/>
          <w:highlight w:val="none"/>
          <w:lang w:val="en-US" w:eastAsia="zh-CN" w:bidi="ar"/>
        </w:rPr>
        <w:t>单位</w:t>
      </w:r>
      <w:r>
        <w:rPr>
          <w:rFonts w:hint="eastAsia" w:ascii="宋体" w:hAnsi="宋体" w:eastAsia="宋体" w:cs="宋体"/>
          <w:color w:val="000000"/>
          <w:kern w:val="0"/>
          <w:sz w:val="28"/>
          <w:szCs w:val="28"/>
          <w:highlight w:val="none"/>
          <w:lang w:val="en-US" w:eastAsia="zh-CN" w:bidi="ar"/>
        </w:rPr>
        <w:t>，具有明确的公益性。</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2.服务对象满意度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color w:val="000000"/>
          <w:kern w:val="0"/>
          <w:sz w:val="28"/>
          <w:szCs w:val="28"/>
          <w:highlight w:val="none"/>
          <w:lang w:val="en-US" w:eastAsia="zh-CN" w:bidi="ar"/>
        </w:rPr>
      </w:pPr>
      <w:r>
        <w:rPr>
          <w:rFonts w:hint="eastAsia" w:ascii="宋体" w:hAnsi="宋体" w:cs="宋体"/>
          <w:color w:val="000000"/>
          <w:kern w:val="0"/>
          <w:sz w:val="28"/>
          <w:szCs w:val="28"/>
          <w:highlight w:val="none"/>
          <w:lang w:val="en-US" w:eastAsia="zh-CN" w:bidi="ar"/>
        </w:rPr>
        <w:t>我院</w:t>
      </w:r>
      <w:r>
        <w:rPr>
          <w:rFonts w:hint="eastAsia" w:ascii="宋体" w:hAnsi="宋体" w:eastAsia="宋体" w:cs="宋体"/>
          <w:color w:val="000000"/>
          <w:kern w:val="0"/>
          <w:sz w:val="28"/>
          <w:szCs w:val="28"/>
          <w:highlight w:val="none"/>
          <w:lang w:val="en-US" w:eastAsia="zh-CN" w:bidi="ar"/>
        </w:rPr>
        <w:t>深入推进检察信访工作法治化，落实领导干部接访下访制度，发挥“全国文明接待室”优势，运用法治思维和法治方式化解信访矛盾，办理群众信访案件90件，7日内程序性回复和3个月办理过程及结果回复率达100%。深化检察版“接诉即办”，完善“检察＋热线＋网格”工作机制，依托检察服务e站积极融入“房山好邻居”建设，筛查12345热线线索5000余条，助力解决工地扬尘、</w:t>
      </w:r>
      <w:r>
        <w:rPr>
          <w:rFonts w:hint="eastAsia" w:ascii="宋体" w:hAnsi="宋体" w:cs="宋体"/>
          <w:color w:val="000000"/>
          <w:kern w:val="0"/>
          <w:sz w:val="28"/>
          <w:szCs w:val="28"/>
          <w:highlight w:val="none"/>
          <w:lang w:val="en-US" w:eastAsia="zh-CN" w:bidi="ar"/>
        </w:rPr>
        <w:t>噪声污染</w:t>
      </w:r>
      <w:r>
        <w:rPr>
          <w:rFonts w:hint="eastAsia" w:ascii="宋体" w:hAnsi="宋体" w:eastAsia="宋体" w:cs="宋体"/>
          <w:color w:val="000000"/>
          <w:kern w:val="0"/>
          <w:sz w:val="28"/>
          <w:szCs w:val="28"/>
          <w:highlight w:val="none"/>
          <w:lang w:val="en-US" w:eastAsia="zh-CN" w:bidi="ar"/>
        </w:rPr>
        <w:t>等民生问题。“全国检察机关十佳文化品牌”检察服务e站获评房山区“平安好邻居”“我来办”之星第一名、北京市“我（们）的法治故事”一等奖、2024年中国政务新媒体典型案例。</w:t>
      </w:r>
      <w:r>
        <w:rPr>
          <w:rFonts w:hint="eastAsia" w:ascii="宋体" w:hAnsi="宋体" w:cs="宋体"/>
          <w:color w:val="000000"/>
          <w:kern w:val="0"/>
          <w:sz w:val="28"/>
          <w:szCs w:val="28"/>
          <w:highlight w:val="none"/>
          <w:lang w:val="en-US" w:eastAsia="zh-CN" w:bidi="ar"/>
        </w:rPr>
        <w:t>北京市房山区第九届人民代表大会第六次会议，全票通过了我院工作报告，工作报告获人大会议审议通过和支持率100%，达到了年初预期绩效指标≥90%的满意度指标。</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黑体" w:hAnsi="黑体" w:eastAsia="黑体" w:cs="黑体"/>
          <w:color w:val="000000"/>
          <w:kern w:val="0"/>
          <w:sz w:val="28"/>
          <w:szCs w:val="28"/>
          <w:highlight w:val="none"/>
          <w:lang w:val="en-US" w:eastAsia="zh-CN" w:bidi="ar"/>
        </w:rPr>
      </w:pPr>
      <w:r>
        <w:rPr>
          <w:rFonts w:hint="eastAsia" w:ascii="黑体" w:hAnsi="黑体" w:eastAsia="黑体" w:cs="黑体"/>
          <w:color w:val="000000"/>
          <w:kern w:val="0"/>
          <w:sz w:val="28"/>
          <w:szCs w:val="28"/>
          <w:highlight w:val="none"/>
          <w:lang w:val="en-US" w:eastAsia="zh-CN" w:bidi="ar"/>
        </w:rPr>
        <w:t xml:space="preserve">四、预算管理情况分析 </w:t>
      </w:r>
    </w:p>
    <w:p>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 xml:space="preserve">（一）财务管理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1. 财务管理制度健全性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我院为加强财务管理、规范财务行为，提高资金使用效益，根据国家法律法规及北京市与房山区相关规定制定了</w:t>
      </w:r>
      <w:r>
        <w:rPr>
          <w:rFonts w:hint="eastAsia" w:ascii="宋体" w:hAnsi="宋体" w:eastAsia="宋体" w:cs="宋体"/>
          <w:color w:val="auto"/>
          <w:sz w:val="28"/>
          <w:szCs w:val="28"/>
          <w:highlight w:val="none"/>
        </w:rPr>
        <w:t>预算管理</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经费支出管理</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lang w:val="en-US" w:eastAsia="zh-CN"/>
        </w:rPr>
        <w:t>采购</w:t>
      </w:r>
      <w:r>
        <w:rPr>
          <w:rFonts w:hint="eastAsia" w:ascii="宋体" w:hAnsi="宋体" w:eastAsia="宋体" w:cs="宋体"/>
          <w:color w:val="auto"/>
          <w:sz w:val="28"/>
          <w:szCs w:val="28"/>
          <w:highlight w:val="none"/>
        </w:rPr>
        <w:t>管理</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合同管理等各项管理制度，并严格执行</w:t>
      </w:r>
      <w:r>
        <w:rPr>
          <w:rFonts w:hint="eastAsia" w:ascii="宋体" w:hAnsi="宋体" w:cs="宋体"/>
          <w:color w:val="auto"/>
          <w:sz w:val="28"/>
          <w:szCs w:val="28"/>
          <w:highlight w:val="none"/>
          <w:lang w:eastAsia="zh-CN"/>
        </w:rPr>
        <w:t>上级部门相关制度规范要求</w:t>
      </w:r>
      <w:r>
        <w:rPr>
          <w:rFonts w:hint="eastAsia" w:ascii="宋体" w:hAnsi="宋体" w:eastAsia="宋体" w:cs="宋体"/>
          <w:color w:val="000000"/>
          <w:kern w:val="0"/>
          <w:sz w:val="28"/>
          <w:szCs w:val="28"/>
          <w:highlight w:val="none"/>
          <w:lang w:val="en-US" w:eastAsia="zh-CN" w:bidi="ar"/>
        </w:rPr>
        <w:t>。但财务管理制度尚不够健全，未制定绩效运行监控管理办法等。</w:t>
      </w:r>
    </w:p>
    <w:p>
      <w:pPr>
        <w:keepNext w:val="0"/>
        <w:keepLines w:val="0"/>
        <w:pageBreakBefore w:val="0"/>
        <w:widowControl/>
        <w:numPr>
          <w:ilvl w:val="0"/>
          <w:numId w:val="1"/>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资金使用合规性和安全性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我院为提高资金的使用效益，确保财政预算资金的合法、合规使用，主要从管理制度建设和财务监督两方面严格控制资金，在不断健全管理制度的同时，加强资金使用管理，我院成立了项目决策小组、项目管理小组、合同采购小组，检务督察部全程参与、全程监督。各小组的具体职责如下：</w:t>
      </w:r>
    </w:p>
    <w:p>
      <w:pPr>
        <w:keepNext w:val="0"/>
        <w:keepLines w:val="0"/>
        <w:pageBreakBefore w:val="0"/>
        <w:widowControl/>
        <w:numPr>
          <w:ilvl w:val="0"/>
          <w:numId w:val="2"/>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项目决策小组，组长由分管行政事务院领导担任，小组成员由办公室（行政事务管理部）、检务督察部及其他相关人员组成。</w:t>
      </w:r>
    </w:p>
    <w:p>
      <w:pPr>
        <w:keepNext w:val="0"/>
        <w:keepLines w:val="0"/>
        <w:pageBreakBefore w:val="0"/>
        <w:widowControl/>
        <w:numPr>
          <w:ilvl w:val="0"/>
          <w:numId w:val="2"/>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项目管理小组，</w:t>
      </w:r>
      <w:r>
        <w:rPr>
          <w:rFonts w:hint="eastAsia" w:ascii="宋体" w:hAnsi="宋体" w:cs="宋体"/>
          <w:color w:val="000000"/>
          <w:kern w:val="0"/>
          <w:sz w:val="28"/>
          <w:szCs w:val="28"/>
          <w:highlight w:val="none"/>
          <w:lang w:val="en-US" w:eastAsia="zh-CN" w:bidi="ar"/>
        </w:rPr>
        <w:t>由需求部门负责人</w:t>
      </w:r>
      <w:r>
        <w:rPr>
          <w:rFonts w:hint="eastAsia" w:ascii="宋体" w:hAnsi="宋体" w:eastAsia="宋体" w:cs="宋体"/>
          <w:color w:val="000000"/>
          <w:kern w:val="0"/>
          <w:sz w:val="28"/>
          <w:szCs w:val="28"/>
          <w:highlight w:val="none"/>
          <w:lang w:val="en-US" w:eastAsia="zh-CN" w:bidi="ar"/>
        </w:rPr>
        <w:t>和</w:t>
      </w:r>
      <w:r>
        <w:rPr>
          <w:rFonts w:hint="eastAsia" w:ascii="宋体" w:hAnsi="宋体" w:cs="宋体"/>
          <w:color w:val="000000"/>
          <w:kern w:val="0"/>
          <w:sz w:val="28"/>
          <w:szCs w:val="28"/>
          <w:highlight w:val="none"/>
          <w:lang w:val="en-US" w:eastAsia="zh-CN" w:bidi="ar"/>
        </w:rPr>
        <w:t>需求部门</w:t>
      </w:r>
      <w:r>
        <w:rPr>
          <w:rFonts w:hint="eastAsia" w:ascii="宋体" w:hAnsi="宋体" w:eastAsia="宋体" w:cs="宋体"/>
          <w:color w:val="000000"/>
          <w:kern w:val="0"/>
          <w:sz w:val="28"/>
          <w:szCs w:val="28"/>
          <w:highlight w:val="none"/>
          <w:lang w:val="en-US" w:eastAsia="zh-CN" w:bidi="ar"/>
        </w:rPr>
        <w:t>项目负责人</w:t>
      </w:r>
      <w:r>
        <w:rPr>
          <w:rFonts w:hint="eastAsia" w:ascii="宋体" w:hAnsi="宋体" w:cs="宋体"/>
          <w:color w:val="000000"/>
          <w:kern w:val="0"/>
          <w:sz w:val="28"/>
          <w:szCs w:val="28"/>
          <w:highlight w:val="none"/>
          <w:lang w:val="en-US" w:eastAsia="zh-CN" w:bidi="ar"/>
        </w:rPr>
        <w:t>组成</w:t>
      </w:r>
      <w:r>
        <w:rPr>
          <w:rFonts w:hint="eastAsia" w:ascii="宋体" w:hAnsi="宋体" w:eastAsia="宋体" w:cs="宋体"/>
          <w:color w:val="000000"/>
          <w:kern w:val="0"/>
          <w:sz w:val="28"/>
          <w:szCs w:val="28"/>
          <w:highlight w:val="none"/>
          <w:lang w:val="en-US" w:eastAsia="zh-CN" w:bidi="ar"/>
        </w:rPr>
        <w:t>，负责在项目实施过程中</w:t>
      </w:r>
      <w:r>
        <w:rPr>
          <w:rFonts w:hint="eastAsia" w:ascii="宋体" w:hAnsi="宋体" w:cs="宋体"/>
          <w:color w:val="000000"/>
          <w:kern w:val="0"/>
          <w:sz w:val="28"/>
          <w:szCs w:val="28"/>
          <w:highlight w:val="none"/>
          <w:lang w:val="en-US" w:eastAsia="zh-CN" w:bidi="ar"/>
        </w:rPr>
        <w:t>跟踪合同履行，</w:t>
      </w:r>
      <w:r>
        <w:rPr>
          <w:rFonts w:hint="eastAsia" w:ascii="宋体" w:hAnsi="宋体" w:eastAsia="宋体" w:cs="宋体"/>
          <w:color w:val="000000"/>
          <w:kern w:val="0"/>
          <w:sz w:val="28"/>
          <w:szCs w:val="28"/>
          <w:highlight w:val="none"/>
          <w:lang w:val="en-US" w:eastAsia="zh-CN" w:bidi="ar"/>
        </w:rPr>
        <w:t>加强</w:t>
      </w:r>
      <w:r>
        <w:rPr>
          <w:rFonts w:hint="eastAsia" w:ascii="宋体" w:hAnsi="宋体" w:cs="宋体"/>
          <w:color w:val="000000"/>
          <w:kern w:val="0"/>
          <w:sz w:val="28"/>
          <w:szCs w:val="28"/>
          <w:highlight w:val="none"/>
          <w:lang w:val="en-US" w:eastAsia="zh-CN" w:bidi="ar"/>
        </w:rPr>
        <w:t>项目实施的</w:t>
      </w:r>
      <w:r>
        <w:rPr>
          <w:rFonts w:hint="eastAsia" w:ascii="宋体" w:hAnsi="宋体" w:eastAsia="宋体" w:cs="宋体"/>
          <w:color w:val="000000"/>
          <w:kern w:val="0"/>
          <w:sz w:val="28"/>
          <w:szCs w:val="28"/>
          <w:highlight w:val="none"/>
          <w:lang w:val="en-US" w:eastAsia="zh-CN" w:bidi="ar"/>
        </w:rPr>
        <w:t>日常监督</w:t>
      </w:r>
      <w:r>
        <w:rPr>
          <w:rFonts w:hint="eastAsia" w:ascii="宋体" w:hAnsi="宋体" w:cs="宋体"/>
          <w:color w:val="000000"/>
          <w:kern w:val="0"/>
          <w:sz w:val="28"/>
          <w:szCs w:val="28"/>
          <w:highlight w:val="none"/>
          <w:lang w:val="en-US" w:eastAsia="zh-CN" w:bidi="ar"/>
        </w:rPr>
        <w:t>管理，及时</w:t>
      </w:r>
      <w:r>
        <w:rPr>
          <w:rFonts w:hint="eastAsia" w:ascii="宋体" w:hAnsi="宋体" w:eastAsia="宋体" w:cs="宋体"/>
          <w:color w:val="000000"/>
          <w:kern w:val="0"/>
          <w:sz w:val="28"/>
          <w:szCs w:val="28"/>
          <w:highlight w:val="none"/>
          <w:lang w:val="en-US" w:eastAsia="zh-CN" w:bidi="ar"/>
        </w:rPr>
        <w:t>协调</w:t>
      </w:r>
      <w:r>
        <w:rPr>
          <w:rFonts w:hint="eastAsia" w:ascii="宋体" w:hAnsi="宋体" w:cs="宋体"/>
          <w:color w:val="000000"/>
          <w:kern w:val="0"/>
          <w:sz w:val="28"/>
          <w:szCs w:val="28"/>
          <w:highlight w:val="none"/>
          <w:lang w:val="en-US" w:eastAsia="zh-CN" w:bidi="ar"/>
        </w:rPr>
        <w:t>项目实施相关</w:t>
      </w:r>
      <w:r>
        <w:rPr>
          <w:rFonts w:hint="eastAsia" w:ascii="宋体" w:hAnsi="宋体" w:eastAsia="宋体" w:cs="宋体"/>
          <w:color w:val="000000"/>
          <w:kern w:val="0"/>
          <w:sz w:val="28"/>
          <w:szCs w:val="28"/>
          <w:highlight w:val="none"/>
          <w:lang w:val="en-US" w:eastAsia="zh-CN" w:bidi="ar"/>
        </w:rPr>
        <w:t>事项以及对整体项目的支出进度、项目的完成质量进行监管</w:t>
      </w:r>
      <w:r>
        <w:rPr>
          <w:rFonts w:hint="eastAsia" w:ascii="宋体" w:hAnsi="宋体" w:cs="宋体"/>
          <w:color w:val="000000"/>
          <w:kern w:val="0"/>
          <w:sz w:val="28"/>
          <w:szCs w:val="28"/>
          <w:highlight w:val="none"/>
          <w:lang w:val="en-US" w:eastAsia="zh-CN" w:bidi="ar"/>
        </w:rPr>
        <w:t>，</w:t>
      </w:r>
      <w:r>
        <w:rPr>
          <w:rFonts w:hint="eastAsia" w:ascii="宋体" w:hAnsi="宋体" w:eastAsia="宋体" w:cs="宋体"/>
          <w:color w:val="000000"/>
          <w:kern w:val="0"/>
          <w:sz w:val="28"/>
          <w:szCs w:val="28"/>
          <w:highlight w:val="none"/>
          <w:lang w:val="en-US" w:eastAsia="zh-CN" w:bidi="ar"/>
        </w:rPr>
        <w:t>确保资金按</w:t>
      </w:r>
      <w:r>
        <w:rPr>
          <w:rFonts w:hint="eastAsia" w:ascii="宋体" w:hAnsi="宋体" w:cs="宋体"/>
          <w:color w:val="000000"/>
          <w:kern w:val="0"/>
          <w:sz w:val="28"/>
          <w:szCs w:val="28"/>
          <w:highlight w:val="none"/>
          <w:lang w:val="en-US" w:eastAsia="zh-CN" w:bidi="ar"/>
        </w:rPr>
        <w:t>有关规范及合同</w:t>
      </w:r>
      <w:r>
        <w:rPr>
          <w:rFonts w:hint="eastAsia" w:ascii="宋体" w:hAnsi="宋体" w:eastAsia="宋体" w:cs="宋体"/>
          <w:color w:val="000000"/>
          <w:kern w:val="0"/>
          <w:sz w:val="28"/>
          <w:szCs w:val="28"/>
          <w:highlight w:val="none"/>
          <w:lang w:val="en-US" w:eastAsia="zh-CN" w:bidi="ar"/>
        </w:rPr>
        <w:t>要求</w:t>
      </w:r>
      <w:r>
        <w:rPr>
          <w:rFonts w:hint="eastAsia" w:ascii="宋体" w:hAnsi="宋体" w:cs="宋体"/>
          <w:color w:val="000000"/>
          <w:kern w:val="0"/>
          <w:sz w:val="28"/>
          <w:szCs w:val="28"/>
          <w:highlight w:val="none"/>
          <w:lang w:val="en-US" w:eastAsia="zh-CN" w:bidi="ar"/>
        </w:rPr>
        <w:t>规范</w:t>
      </w:r>
      <w:r>
        <w:rPr>
          <w:rFonts w:hint="eastAsia" w:ascii="宋体" w:hAnsi="宋体" w:eastAsia="宋体" w:cs="宋体"/>
          <w:color w:val="000000"/>
          <w:kern w:val="0"/>
          <w:sz w:val="28"/>
          <w:szCs w:val="28"/>
          <w:highlight w:val="none"/>
          <w:lang w:val="en-US" w:eastAsia="zh-CN" w:bidi="ar"/>
        </w:rPr>
        <w:t>使用，确保项目按时保质保量完成。</w:t>
      </w:r>
      <w:r>
        <w:rPr>
          <w:rFonts w:hint="eastAsia" w:ascii="宋体" w:hAnsi="宋体" w:cs="宋体"/>
          <w:color w:val="000000"/>
          <w:kern w:val="0"/>
          <w:sz w:val="28"/>
          <w:szCs w:val="28"/>
          <w:highlight w:val="none"/>
          <w:lang w:val="en-US" w:eastAsia="zh-CN" w:bidi="ar"/>
        </w:rPr>
        <w:t>小组</w:t>
      </w:r>
      <w:r>
        <w:rPr>
          <w:rFonts w:hint="eastAsia" w:ascii="宋体" w:hAnsi="宋体" w:eastAsia="宋体" w:cs="宋体"/>
          <w:color w:val="000000"/>
          <w:kern w:val="0"/>
          <w:sz w:val="28"/>
          <w:szCs w:val="28"/>
          <w:highlight w:val="none"/>
          <w:lang w:val="en-US" w:eastAsia="zh-CN" w:bidi="ar"/>
        </w:rPr>
        <w:t>应做好项目实施过程中相关资料的收集与整理，配合提供项目绩效跟踪、绩效评价</w:t>
      </w:r>
      <w:r>
        <w:rPr>
          <w:rFonts w:hint="eastAsia" w:ascii="宋体" w:hAnsi="宋体" w:cs="宋体"/>
          <w:color w:val="000000"/>
          <w:kern w:val="0"/>
          <w:sz w:val="28"/>
          <w:szCs w:val="28"/>
          <w:highlight w:val="none"/>
          <w:lang w:val="en-US" w:eastAsia="zh-CN" w:bidi="ar"/>
        </w:rPr>
        <w:t>等</w:t>
      </w:r>
      <w:r>
        <w:rPr>
          <w:rFonts w:hint="eastAsia" w:ascii="宋体" w:hAnsi="宋体" w:eastAsia="宋体" w:cs="宋体"/>
          <w:color w:val="000000"/>
          <w:kern w:val="0"/>
          <w:sz w:val="28"/>
          <w:szCs w:val="28"/>
          <w:highlight w:val="none"/>
          <w:lang w:val="en-US" w:eastAsia="zh-CN" w:bidi="ar"/>
        </w:rPr>
        <w:t>相关材料。</w:t>
      </w:r>
    </w:p>
    <w:p>
      <w:pPr>
        <w:keepNext w:val="0"/>
        <w:keepLines w:val="0"/>
        <w:pageBreakBefore w:val="0"/>
        <w:widowControl/>
        <w:numPr>
          <w:ilvl w:val="0"/>
          <w:numId w:val="2"/>
        </w:numPr>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合同采购小组，成员包括需求部门、办公室（行政事务管理部）、第四检察部、检务督察部人员，在小组框架内组织实施项目采购、合同等，负责按照相关规范及我院采购管理的要求确定采购方式，</w:t>
      </w:r>
      <w:r>
        <w:rPr>
          <w:rFonts w:hint="eastAsia" w:ascii="宋体" w:hAnsi="宋体" w:cs="宋体"/>
          <w:color w:val="000000"/>
          <w:kern w:val="0"/>
          <w:sz w:val="28"/>
          <w:szCs w:val="28"/>
          <w:highlight w:val="none"/>
          <w:lang w:val="en-US" w:eastAsia="zh-CN" w:bidi="ar"/>
        </w:rPr>
        <w:t>组织采购程序；强化合同谈判，各成员部门从不同专业角度审核合同条款，进一步维护单位合法权益。检务督察部门全程参与，全程监督。</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为保证资金安全、有效地使用，资金支出严格按照</w:t>
      </w:r>
      <w:r>
        <w:rPr>
          <w:rFonts w:hint="eastAsia" w:ascii="宋体" w:hAnsi="宋体" w:cs="宋体"/>
          <w:color w:val="000000"/>
          <w:kern w:val="0"/>
          <w:sz w:val="28"/>
          <w:szCs w:val="28"/>
          <w:highlight w:val="none"/>
          <w:lang w:val="en-US" w:eastAsia="zh-CN" w:bidi="ar"/>
        </w:rPr>
        <w:t>相关制度</w:t>
      </w:r>
      <w:r>
        <w:rPr>
          <w:rFonts w:hint="eastAsia" w:ascii="宋体" w:hAnsi="宋体" w:eastAsia="宋体" w:cs="宋体"/>
          <w:color w:val="000000"/>
          <w:kern w:val="0"/>
          <w:sz w:val="28"/>
          <w:szCs w:val="28"/>
          <w:highlight w:val="none"/>
          <w:lang w:val="en-US" w:eastAsia="zh-CN" w:bidi="ar"/>
        </w:rPr>
        <w:t>执行，资金支出符合国家财经法规和财务管理制度规定以及有关专项资金管理办法的规定，资金拨付审批程序和手续完整，资金使用符合部门预算批复的用途，不存在截留、挤占、挪用情况。资金使用符合公务卡结算相关制度和规定。部门使用预算资金符合相关的预算财务管理制度的规定，符合相关规定的开支范围，确保了预算资金使用的安全、合规、有效。但</w:t>
      </w:r>
      <w:r>
        <w:rPr>
          <w:rFonts w:hint="eastAsia" w:ascii="宋体" w:hAnsi="宋体" w:cs="宋体"/>
          <w:color w:val="000000"/>
          <w:kern w:val="0"/>
          <w:sz w:val="28"/>
          <w:szCs w:val="28"/>
          <w:highlight w:val="none"/>
          <w:lang w:val="en-US" w:eastAsia="zh-CN" w:bidi="ar"/>
        </w:rPr>
        <w:t>过程管理资料</w:t>
      </w:r>
      <w:r>
        <w:rPr>
          <w:rFonts w:hint="eastAsia" w:ascii="宋体" w:hAnsi="宋体" w:eastAsia="宋体" w:cs="宋体"/>
          <w:color w:val="000000"/>
          <w:kern w:val="0"/>
          <w:sz w:val="28"/>
          <w:szCs w:val="28"/>
          <w:highlight w:val="none"/>
          <w:lang w:val="en-US" w:eastAsia="zh-CN" w:bidi="ar"/>
        </w:rPr>
        <w:t>不够</w:t>
      </w:r>
      <w:r>
        <w:rPr>
          <w:rFonts w:hint="eastAsia" w:ascii="宋体" w:hAnsi="宋体" w:cs="宋体"/>
          <w:color w:val="000000"/>
          <w:kern w:val="0"/>
          <w:sz w:val="28"/>
          <w:szCs w:val="28"/>
          <w:highlight w:val="none"/>
          <w:lang w:val="en-US" w:eastAsia="zh-CN" w:bidi="ar"/>
        </w:rPr>
        <w:t>完善</w:t>
      </w:r>
      <w:r>
        <w:rPr>
          <w:rFonts w:hint="eastAsia" w:ascii="宋体" w:hAnsi="宋体" w:eastAsia="宋体" w:cs="宋体"/>
          <w:color w:val="000000"/>
          <w:kern w:val="0"/>
          <w:sz w:val="28"/>
          <w:szCs w:val="28"/>
          <w:highlight w:val="none"/>
          <w:lang w:val="en-US" w:eastAsia="zh-CN" w:bidi="ar"/>
        </w:rPr>
        <w:t>。</w:t>
      </w:r>
    </w:p>
    <w:p>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 xml:space="preserve">会计基础信息完善性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严格按照《政府会计制度》</w:t>
      </w:r>
      <w:r>
        <w:rPr>
          <w:rFonts w:hint="eastAsia" w:ascii="宋体" w:hAnsi="宋体" w:cs="宋体"/>
          <w:color w:val="000000"/>
          <w:kern w:val="0"/>
          <w:sz w:val="28"/>
          <w:szCs w:val="28"/>
          <w:highlight w:val="none"/>
          <w:lang w:val="en-US" w:eastAsia="zh-CN" w:bidi="ar"/>
        </w:rPr>
        <w:t>等</w:t>
      </w:r>
      <w:r>
        <w:rPr>
          <w:rFonts w:hint="eastAsia" w:ascii="宋体" w:hAnsi="宋体" w:eastAsia="宋体" w:cs="宋体"/>
          <w:color w:val="000000"/>
          <w:kern w:val="0"/>
          <w:sz w:val="28"/>
          <w:szCs w:val="28"/>
          <w:highlight w:val="none"/>
          <w:lang w:val="en-US" w:eastAsia="zh-CN" w:bidi="ar"/>
        </w:rPr>
        <w:t>执行，确保了基础数据信息和会计信息资料真实、完整、准确。并按照政府信息公开有关规定及时地公开了预决算信息，较好地做到了预算管理的公开化、透明化。</w:t>
      </w:r>
    </w:p>
    <w:p>
      <w:pPr>
        <w:keepNext w:val="0"/>
        <w:keepLines w:val="0"/>
        <w:pageBreakBefore w:val="0"/>
        <w:widowControl/>
        <w:numPr>
          <w:ilvl w:val="0"/>
          <w:numId w:val="3"/>
        </w:numPr>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 xml:space="preserve">资产管理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严格按照内部控制制度，由固定资产管理员负责固定资产明细账、明细卡片的增减登记、清理和核算工作，并建立了实物管理与价值管理相结合的管理机制，对国有资产的购置、处置等情况进行全覆盖动态管理，不存在因管理不当发生严重资产损失和丢失情况，保持了资产的安全完整。资产使用、处置程序规范，不存在出租、出借资产行为，不存在不按要求进行报批或资产不公开处置行为，资产使用和资产处理规范。但资产配置不够合理，便携式计算机、复印机、照相机、摄像机等部分固定资产配置超数量标准。</w:t>
      </w:r>
    </w:p>
    <w:p>
      <w:pPr>
        <w:keepNext w:val="0"/>
        <w:keepLines w:val="0"/>
        <w:pageBreakBefore w:val="0"/>
        <w:widowControl/>
        <w:numPr>
          <w:ilvl w:val="0"/>
          <w:numId w:val="3"/>
        </w:numPr>
        <w:suppressLineNumbers w:val="0"/>
        <w:kinsoku/>
        <w:wordWrap/>
        <w:overflowPunct/>
        <w:topLinePunct w:val="0"/>
        <w:autoSpaceDE/>
        <w:autoSpaceDN/>
        <w:bidi w:val="0"/>
        <w:adjustRightInd/>
        <w:snapToGrid/>
        <w:ind w:left="0" w:leftChars="0" w:firstLine="562" w:firstLineChars="200"/>
        <w:jc w:val="left"/>
        <w:textAlignment w:val="auto"/>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 xml:space="preserve">绩效管理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我院为保证绩效管理工作顺利开展，成立了绩效管理领导小组，并指定办公室（行政事务管理部）牵头负责绩效管理工作，并配备了相关人员，其他处室配合绩效评价工作的开展。总体来看，绩效管理工作有着较好的组织及人员保障，指定专人负责绩效评价工作的组织与协调，保障了我院绩效资料的收集、整理、提交绩效相关资料。但效益效果证明资料不够完善，缺少直接证明资料，未对绩效信息进行汇总分析整理，对个别项目绩效目标偏离情况未及时进行绩效目标调整。</w:t>
      </w:r>
    </w:p>
    <w:p>
      <w:pPr>
        <w:keepNext w:val="0"/>
        <w:keepLines w:val="0"/>
        <w:pageBreakBefore w:val="0"/>
        <w:widowControl/>
        <w:numPr>
          <w:ilvl w:val="0"/>
          <w:numId w:val="3"/>
        </w:numPr>
        <w:suppressLineNumbers w:val="0"/>
        <w:kinsoku/>
        <w:wordWrap/>
        <w:overflowPunct/>
        <w:topLinePunct w:val="0"/>
        <w:autoSpaceDE/>
        <w:autoSpaceDN/>
        <w:bidi w:val="0"/>
        <w:adjustRightInd/>
        <w:snapToGrid/>
        <w:ind w:left="0" w:leftChars="0" w:firstLine="562" w:firstLineChars="200"/>
        <w:jc w:val="left"/>
        <w:textAlignment w:val="auto"/>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 xml:space="preserve">结转结余率 </w:t>
      </w:r>
    </w:p>
    <w:p>
      <w:pPr>
        <w:widowControl/>
        <w:ind w:firstLine="560" w:firstLineChars="200"/>
        <w:jc w:val="left"/>
        <w:rPr>
          <w:rFonts w:hint="eastAsia" w:ascii="宋体" w:hAnsi="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我院2024年支出预算</w:t>
      </w:r>
      <w:r>
        <w:rPr>
          <w:rFonts w:hint="eastAsia" w:ascii="宋体" w:hAnsi="宋体" w:cs="宋体"/>
          <w:color w:val="000000"/>
          <w:kern w:val="0"/>
          <w:sz w:val="28"/>
          <w:szCs w:val="28"/>
          <w:highlight w:val="none"/>
          <w:lang w:val="en-US" w:eastAsia="zh-CN" w:bidi="ar"/>
        </w:rPr>
        <w:t>9250.16</w:t>
      </w:r>
      <w:r>
        <w:rPr>
          <w:rFonts w:hint="eastAsia" w:ascii="宋体" w:hAnsi="宋体" w:eastAsia="宋体" w:cs="宋体"/>
          <w:color w:val="000000"/>
          <w:kern w:val="0"/>
          <w:sz w:val="28"/>
          <w:szCs w:val="28"/>
          <w:highlight w:val="none"/>
          <w:lang w:val="en-US" w:eastAsia="zh-CN" w:bidi="ar"/>
        </w:rPr>
        <w:t>万元、结转结余总额246.73万元，结转结余率2.</w:t>
      </w:r>
      <w:r>
        <w:rPr>
          <w:rFonts w:hint="eastAsia" w:ascii="宋体" w:hAnsi="宋体" w:cs="宋体"/>
          <w:color w:val="000000"/>
          <w:kern w:val="0"/>
          <w:sz w:val="28"/>
          <w:szCs w:val="28"/>
          <w:highlight w:val="none"/>
          <w:lang w:val="en-US" w:eastAsia="zh-CN" w:bidi="ar"/>
        </w:rPr>
        <w:t>67</w:t>
      </w:r>
      <w:r>
        <w:rPr>
          <w:rFonts w:hint="eastAsia" w:ascii="宋体" w:hAnsi="宋体" w:eastAsia="宋体" w:cs="宋体"/>
          <w:color w:val="000000"/>
          <w:kern w:val="0"/>
          <w:sz w:val="28"/>
          <w:szCs w:val="28"/>
          <w:highlight w:val="none"/>
          <w:lang w:val="en-US" w:eastAsia="zh-CN" w:bidi="ar"/>
        </w:rPr>
        <w:t>%；上年度结转结余率1.97%，结余结转率较上年度高出0.7%。结余结转的主要原因为</w:t>
      </w:r>
      <w:r>
        <w:rPr>
          <w:rFonts w:hint="eastAsia" w:ascii="宋体" w:hAnsi="宋体" w:cs="宋体"/>
          <w:color w:val="000000"/>
          <w:kern w:val="0"/>
          <w:sz w:val="28"/>
          <w:szCs w:val="28"/>
          <w:highlight w:val="none"/>
          <w:lang w:val="en-US" w:eastAsia="zh-CN" w:bidi="ar"/>
        </w:rPr>
        <w:t>部分中央转移支付资金安排在下一年度支出。</w:t>
      </w:r>
    </w:p>
    <w:p>
      <w:pPr>
        <w:keepNext w:val="0"/>
        <w:keepLines w:val="0"/>
        <w:pageBreakBefore w:val="0"/>
        <w:widowControl/>
        <w:numPr>
          <w:ilvl w:val="0"/>
          <w:numId w:val="3"/>
        </w:numPr>
        <w:suppressLineNumbers w:val="0"/>
        <w:kinsoku/>
        <w:wordWrap/>
        <w:overflowPunct/>
        <w:topLinePunct w:val="0"/>
        <w:autoSpaceDE/>
        <w:autoSpaceDN/>
        <w:bidi w:val="0"/>
        <w:adjustRightInd/>
        <w:snapToGrid/>
        <w:ind w:left="0" w:leftChars="0" w:firstLine="562" w:firstLineChars="200"/>
        <w:jc w:val="left"/>
        <w:textAlignment w:val="auto"/>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 xml:space="preserve">部门预决算差异率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我院2024年决算支出9003.43万元，年初预算9398.20万元，预决算差异率</w:t>
      </w:r>
      <w:r>
        <w:rPr>
          <w:rFonts w:hint="eastAsia" w:ascii="宋体" w:hAnsi="宋体" w:cs="宋体"/>
          <w:color w:val="000000"/>
          <w:kern w:val="0"/>
          <w:sz w:val="28"/>
          <w:szCs w:val="28"/>
          <w:highlight w:val="none"/>
          <w:lang w:val="en-US" w:eastAsia="zh-CN" w:bidi="ar"/>
        </w:rPr>
        <w:t>4.20</w:t>
      </w:r>
      <w:r>
        <w:rPr>
          <w:rFonts w:hint="eastAsia" w:ascii="宋体" w:hAnsi="宋体" w:eastAsia="宋体" w:cs="宋体"/>
          <w:color w:val="000000"/>
          <w:kern w:val="0"/>
          <w:sz w:val="28"/>
          <w:szCs w:val="28"/>
          <w:highlight w:val="none"/>
          <w:lang w:val="en-US" w:eastAsia="zh-CN" w:bidi="ar"/>
        </w:rPr>
        <w:t>%，部门预算约束力较高。</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黑体" w:hAnsi="黑体" w:eastAsia="黑体" w:cs="黑体"/>
          <w:color w:val="000000"/>
          <w:kern w:val="0"/>
          <w:sz w:val="28"/>
          <w:szCs w:val="28"/>
          <w:highlight w:val="none"/>
          <w:lang w:val="en-US" w:eastAsia="zh-CN" w:bidi="ar"/>
        </w:rPr>
      </w:pPr>
      <w:r>
        <w:rPr>
          <w:rFonts w:hint="eastAsia" w:ascii="黑体" w:hAnsi="黑体" w:eastAsia="黑体" w:cs="黑体"/>
          <w:color w:val="000000"/>
          <w:kern w:val="0"/>
          <w:sz w:val="28"/>
          <w:szCs w:val="28"/>
          <w:highlight w:val="none"/>
          <w:lang w:val="en-US" w:eastAsia="zh-CN" w:bidi="ar"/>
        </w:rPr>
        <w:t xml:space="preserve">五、总体评价结论 </w:t>
      </w:r>
    </w:p>
    <w:p>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（一）评价得分情况</w:t>
      </w:r>
    </w:p>
    <w:p>
      <w:pPr>
        <w:spacing w:line="360" w:lineRule="auto"/>
        <w:ind w:firstLine="700" w:firstLineChars="25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经绩效评价工作组评议，</w:t>
      </w:r>
      <w:r>
        <w:rPr>
          <w:rFonts w:hint="eastAsia" w:ascii="宋体" w:hAnsi="宋体" w:cs="宋体"/>
          <w:color w:val="auto"/>
          <w:sz w:val="28"/>
          <w:szCs w:val="28"/>
          <w:highlight w:val="none"/>
          <w:lang w:val="en-US" w:eastAsia="zh-CN"/>
        </w:rPr>
        <w:t>我</w:t>
      </w:r>
      <w:r>
        <w:rPr>
          <w:rFonts w:hint="eastAsia" w:ascii="宋体" w:hAnsi="宋体" w:eastAsia="宋体" w:cs="宋体"/>
          <w:color w:val="auto"/>
          <w:sz w:val="28"/>
          <w:szCs w:val="28"/>
          <w:highlight w:val="none"/>
        </w:rPr>
        <w:t>院</w:t>
      </w:r>
      <w:r>
        <w:rPr>
          <w:rFonts w:hint="eastAsia" w:ascii="宋体" w:hAnsi="宋体" w:eastAsia="宋体" w:cs="宋体"/>
          <w:color w:val="auto"/>
          <w:sz w:val="28"/>
          <w:szCs w:val="28"/>
          <w:highlight w:val="none"/>
          <w:lang w:eastAsia="zh-CN"/>
        </w:rPr>
        <w:t>202</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rPr>
        <w:t>年度部门整体支出绩效评价综合得分</w:t>
      </w:r>
      <w:r>
        <w:rPr>
          <w:rFonts w:hint="eastAsia" w:ascii="宋体" w:hAnsi="宋体" w:eastAsia="宋体" w:cs="宋体"/>
          <w:color w:val="auto"/>
          <w:sz w:val="28"/>
          <w:szCs w:val="28"/>
          <w:highlight w:val="none"/>
          <w:lang w:val="en-US" w:eastAsia="zh-CN"/>
        </w:rPr>
        <w:t>9</w:t>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lang w:val="en-US" w:eastAsia="zh-CN"/>
        </w:rPr>
        <w:t>.</w:t>
      </w:r>
      <w:r>
        <w:rPr>
          <w:rFonts w:hint="eastAsia" w:ascii="宋体" w:hAnsi="宋体" w:cs="宋体"/>
          <w:color w:val="auto"/>
          <w:sz w:val="28"/>
          <w:szCs w:val="28"/>
          <w:highlight w:val="none"/>
          <w:lang w:val="en-US" w:eastAsia="zh-CN"/>
        </w:rPr>
        <w:t>36</w:t>
      </w:r>
      <w:r>
        <w:rPr>
          <w:rFonts w:hint="eastAsia" w:ascii="宋体" w:hAnsi="宋体" w:eastAsia="宋体" w:cs="宋体"/>
          <w:color w:val="auto"/>
          <w:sz w:val="28"/>
          <w:szCs w:val="28"/>
          <w:highlight w:val="none"/>
        </w:rPr>
        <w:t>分，绩效级别评定为“优秀”</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具体情况详见下表。</w:t>
      </w:r>
    </w:p>
    <w:tbl>
      <w:tblPr>
        <w:tblStyle w:val="8"/>
        <w:tblW w:w="84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57" w:type="dxa"/>
          <w:bottom w:w="0" w:type="dxa"/>
          <w:right w:w="57" w:type="dxa"/>
        </w:tblCellMar>
      </w:tblPr>
      <w:tblGrid>
        <w:gridCol w:w="2500"/>
        <w:gridCol w:w="2835"/>
        <w:gridCol w:w="3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57" w:type="dxa"/>
            <w:bottom w:w="0" w:type="dxa"/>
            <w:right w:w="57" w:type="dxa"/>
          </w:tblCellMar>
        </w:tblPrEx>
        <w:trPr>
          <w:cantSplit/>
          <w:trHeight w:val="629" w:hRule="atLeast"/>
          <w:jc w:val="center"/>
        </w:trPr>
        <w:tc>
          <w:tcPr>
            <w:tcW w:w="2500" w:type="dxa"/>
            <w:shd w:val="clear" w:color="auto" w:fill="FFFFFF"/>
            <w:noWrap w:val="0"/>
            <w:vAlign w:val="center"/>
          </w:tcPr>
          <w:p>
            <w:pPr>
              <w:spacing w:line="300" w:lineRule="auto"/>
              <w:ind w:firstLine="0" w:firstLineChars="0"/>
              <w:jc w:val="center"/>
              <w:rPr>
                <w:rFonts w:hint="eastAsia" w:ascii="宋体" w:hAnsi="宋体" w:eastAsia="宋体" w:cs="宋体"/>
                <w:b/>
                <w:bCs w:val="0"/>
                <w:color w:val="auto"/>
                <w:sz w:val="20"/>
                <w:szCs w:val="20"/>
                <w:highlight w:val="none"/>
              </w:rPr>
            </w:pPr>
            <w:r>
              <w:rPr>
                <w:rFonts w:hint="eastAsia" w:ascii="宋体" w:hAnsi="宋体" w:eastAsia="宋体" w:cs="宋体"/>
                <w:b/>
                <w:bCs w:val="0"/>
                <w:color w:val="auto"/>
                <w:sz w:val="20"/>
                <w:szCs w:val="20"/>
                <w:highlight w:val="none"/>
              </w:rPr>
              <w:t>评价内容</w:t>
            </w:r>
          </w:p>
        </w:tc>
        <w:tc>
          <w:tcPr>
            <w:tcW w:w="2835" w:type="dxa"/>
            <w:shd w:val="clear" w:color="auto" w:fill="FFFFFF"/>
            <w:noWrap w:val="0"/>
            <w:vAlign w:val="center"/>
          </w:tcPr>
          <w:p>
            <w:pPr>
              <w:spacing w:line="300" w:lineRule="auto"/>
              <w:ind w:firstLine="0" w:firstLineChars="0"/>
              <w:jc w:val="center"/>
              <w:rPr>
                <w:rFonts w:hint="eastAsia" w:ascii="宋体" w:hAnsi="宋体" w:eastAsia="宋体" w:cs="宋体"/>
                <w:b/>
                <w:bCs w:val="0"/>
                <w:color w:val="auto"/>
                <w:sz w:val="20"/>
                <w:szCs w:val="20"/>
                <w:highlight w:val="none"/>
              </w:rPr>
            </w:pPr>
            <w:r>
              <w:rPr>
                <w:rFonts w:hint="eastAsia" w:ascii="宋体" w:hAnsi="宋体" w:eastAsia="宋体" w:cs="宋体"/>
                <w:b/>
                <w:bCs w:val="0"/>
                <w:color w:val="auto"/>
                <w:sz w:val="20"/>
                <w:szCs w:val="20"/>
                <w:highlight w:val="none"/>
              </w:rPr>
              <w:t>分值</w:t>
            </w:r>
          </w:p>
        </w:tc>
        <w:tc>
          <w:tcPr>
            <w:tcW w:w="3150" w:type="dxa"/>
            <w:shd w:val="clear" w:color="auto" w:fill="FFFFFF"/>
            <w:noWrap w:val="0"/>
            <w:vAlign w:val="center"/>
          </w:tcPr>
          <w:p>
            <w:pPr>
              <w:spacing w:line="300" w:lineRule="auto"/>
              <w:ind w:firstLine="0" w:firstLineChars="0"/>
              <w:jc w:val="center"/>
              <w:rPr>
                <w:rFonts w:hint="eastAsia" w:ascii="宋体" w:hAnsi="宋体" w:eastAsia="宋体" w:cs="宋体"/>
                <w:b/>
                <w:bCs w:val="0"/>
                <w:color w:val="auto"/>
                <w:sz w:val="20"/>
                <w:szCs w:val="20"/>
                <w:highlight w:val="none"/>
              </w:rPr>
            </w:pPr>
            <w:r>
              <w:rPr>
                <w:rFonts w:hint="eastAsia" w:ascii="宋体" w:hAnsi="宋体" w:eastAsia="宋体" w:cs="宋体"/>
                <w:b/>
                <w:bCs w:val="0"/>
                <w:color w:val="auto"/>
                <w:sz w:val="20"/>
                <w:szCs w:val="20"/>
                <w:highlight w:val="none"/>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532" w:hRule="atLeast"/>
          <w:jc w:val="center"/>
        </w:trPr>
        <w:tc>
          <w:tcPr>
            <w:tcW w:w="2500" w:type="dxa"/>
            <w:shd w:val="clear" w:color="auto" w:fill="FFFFFF"/>
            <w:noWrap w:val="0"/>
            <w:vAlign w:val="center"/>
          </w:tcPr>
          <w:p>
            <w:pPr>
              <w:pStyle w:val="3"/>
              <w:adjustRightInd w:val="0"/>
              <w:snapToGrid w:val="0"/>
              <w:spacing w:line="300" w:lineRule="auto"/>
              <w:ind w:firstLine="0"/>
              <w:jc w:val="center"/>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当年预算执行情况</w:t>
            </w:r>
          </w:p>
        </w:tc>
        <w:tc>
          <w:tcPr>
            <w:tcW w:w="2835" w:type="dxa"/>
            <w:shd w:val="clear" w:color="auto" w:fill="FFFFFF"/>
            <w:noWrap w:val="0"/>
            <w:vAlign w:val="center"/>
          </w:tcPr>
          <w:p>
            <w:pPr>
              <w:ind w:firstLine="0" w:firstLineChars="0"/>
              <w:jc w:val="center"/>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20</w:t>
            </w:r>
          </w:p>
        </w:tc>
        <w:tc>
          <w:tcPr>
            <w:tcW w:w="3150" w:type="dxa"/>
            <w:shd w:val="clear" w:color="auto" w:fill="FFFFFF"/>
            <w:noWrap w:val="0"/>
            <w:vAlign w:val="center"/>
          </w:tcPr>
          <w:p>
            <w:pPr>
              <w:ind w:firstLine="0" w:firstLineChars="0"/>
              <w:jc w:val="center"/>
              <w:rPr>
                <w:rFonts w:hint="default"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rPr>
              <w:t>1</w:t>
            </w:r>
            <w:r>
              <w:rPr>
                <w:rFonts w:hint="eastAsia" w:ascii="宋体" w:hAnsi="宋体" w:eastAsia="宋体" w:cs="宋体"/>
                <w:bCs/>
                <w:color w:val="auto"/>
                <w:sz w:val="20"/>
                <w:szCs w:val="20"/>
                <w:highlight w:val="none"/>
                <w:lang w:val="en-US" w:eastAsia="zh-CN"/>
              </w:rPr>
              <w:t>9</w:t>
            </w:r>
            <w:r>
              <w:rPr>
                <w:rFonts w:hint="eastAsia" w:ascii="宋体" w:hAnsi="宋体" w:eastAsia="宋体" w:cs="宋体"/>
                <w:bCs/>
                <w:color w:val="auto"/>
                <w:sz w:val="20"/>
                <w:szCs w:val="20"/>
                <w:highlight w:val="none"/>
              </w:rPr>
              <w:t>.</w:t>
            </w:r>
            <w:r>
              <w:rPr>
                <w:rFonts w:hint="eastAsia" w:ascii="宋体" w:hAnsi="宋体" w:cs="宋体"/>
                <w:bCs/>
                <w:color w:val="auto"/>
                <w:sz w:val="20"/>
                <w:szCs w:val="20"/>
                <w:highlight w:val="none"/>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532" w:hRule="atLeast"/>
          <w:jc w:val="center"/>
        </w:trPr>
        <w:tc>
          <w:tcPr>
            <w:tcW w:w="2500" w:type="dxa"/>
            <w:shd w:val="clear" w:color="auto" w:fill="FFFFFF"/>
            <w:noWrap w:val="0"/>
            <w:vAlign w:val="center"/>
          </w:tcPr>
          <w:p>
            <w:pPr>
              <w:spacing w:line="300" w:lineRule="auto"/>
              <w:ind w:firstLine="0" w:firstLineChars="0"/>
              <w:jc w:val="center"/>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整体绩效目标实现情况</w:t>
            </w:r>
          </w:p>
        </w:tc>
        <w:tc>
          <w:tcPr>
            <w:tcW w:w="2835" w:type="dxa"/>
            <w:shd w:val="clear" w:color="auto" w:fill="FFFFFF"/>
            <w:noWrap w:val="0"/>
            <w:vAlign w:val="center"/>
          </w:tcPr>
          <w:p>
            <w:pPr>
              <w:ind w:firstLine="0" w:firstLineChars="0"/>
              <w:jc w:val="center"/>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lang w:val="en-US" w:eastAsia="zh-CN"/>
              </w:rPr>
              <w:t>6</w:t>
            </w:r>
            <w:r>
              <w:rPr>
                <w:rFonts w:hint="eastAsia" w:ascii="宋体" w:hAnsi="宋体" w:eastAsia="宋体" w:cs="宋体"/>
                <w:bCs/>
                <w:color w:val="auto"/>
                <w:sz w:val="20"/>
                <w:szCs w:val="20"/>
                <w:highlight w:val="none"/>
              </w:rPr>
              <w:t>0</w:t>
            </w:r>
          </w:p>
        </w:tc>
        <w:tc>
          <w:tcPr>
            <w:tcW w:w="3150" w:type="dxa"/>
            <w:shd w:val="clear" w:color="auto" w:fill="FFFFFF"/>
            <w:noWrap w:val="0"/>
            <w:vAlign w:val="center"/>
          </w:tcPr>
          <w:p>
            <w:pPr>
              <w:ind w:firstLine="0" w:firstLineChars="0"/>
              <w:jc w:val="center"/>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55</w:t>
            </w:r>
            <w:r>
              <w:rPr>
                <w:rFonts w:hint="eastAsia" w:ascii="宋体" w:hAnsi="宋体" w:eastAsia="宋体" w:cs="宋体"/>
                <w:bCs/>
                <w:color w:val="auto"/>
                <w:sz w:val="20"/>
                <w:szCs w:val="20"/>
                <w:highlight w:val="none"/>
              </w:rPr>
              <w:t>.</w:t>
            </w:r>
            <w:r>
              <w:rPr>
                <w:rFonts w:hint="eastAsia" w:ascii="宋体" w:hAnsi="宋体" w:eastAsia="宋体" w:cs="宋体"/>
                <w:bCs/>
                <w:color w:val="auto"/>
                <w:sz w:val="20"/>
                <w:szCs w:val="20"/>
                <w:highlight w:val="none"/>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532" w:hRule="atLeast"/>
          <w:jc w:val="center"/>
        </w:trPr>
        <w:tc>
          <w:tcPr>
            <w:tcW w:w="2500" w:type="dxa"/>
            <w:shd w:val="clear" w:color="auto" w:fill="FFFFFF"/>
            <w:noWrap w:val="0"/>
            <w:vAlign w:val="center"/>
          </w:tcPr>
          <w:p>
            <w:pPr>
              <w:spacing w:line="300" w:lineRule="auto"/>
              <w:ind w:firstLine="0" w:firstLineChars="0"/>
              <w:jc w:val="center"/>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预算管理情况</w:t>
            </w:r>
          </w:p>
        </w:tc>
        <w:tc>
          <w:tcPr>
            <w:tcW w:w="2835" w:type="dxa"/>
            <w:shd w:val="clear" w:color="auto" w:fill="FFFFFF"/>
            <w:noWrap w:val="0"/>
            <w:vAlign w:val="center"/>
          </w:tcPr>
          <w:p>
            <w:pPr>
              <w:ind w:firstLine="0" w:firstLineChars="0"/>
              <w:jc w:val="center"/>
              <w:rPr>
                <w:rFonts w:hint="eastAsia" w:ascii="宋体" w:hAnsi="宋体" w:eastAsia="宋体" w:cs="宋体"/>
                <w:bCs/>
                <w:color w:val="auto"/>
                <w:sz w:val="20"/>
                <w:szCs w:val="20"/>
                <w:highlight w:val="none"/>
                <w:lang w:val="en-US" w:eastAsia="zh-CN"/>
              </w:rPr>
            </w:pPr>
            <w:r>
              <w:rPr>
                <w:rFonts w:hint="eastAsia" w:ascii="宋体" w:hAnsi="宋体" w:eastAsia="宋体" w:cs="宋体"/>
                <w:bCs/>
                <w:color w:val="auto"/>
                <w:sz w:val="20"/>
                <w:szCs w:val="20"/>
                <w:highlight w:val="none"/>
                <w:lang w:val="en-US" w:eastAsia="zh-CN"/>
              </w:rPr>
              <w:t>20</w:t>
            </w:r>
          </w:p>
        </w:tc>
        <w:tc>
          <w:tcPr>
            <w:tcW w:w="3150" w:type="dxa"/>
            <w:shd w:val="clear" w:color="auto" w:fill="FFFFFF"/>
            <w:noWrap w:val="0"/>
            <w:vAlign w:val="center"/>
          </w:tcPr>
          <w:p>
            <w:pPr>
              <w:ind w:firstLine="0" w:firstLineChars="0"/>
              <w:jc w:val="center"/>
              <w:rPr>
                <w:rFonts w:hint="default" w:ascii="宋体" w:hAnsi="宋体" w:eastAsia="宋体" w:cs="宋体"/>
                <w:bCs/>
                <w:color w:val="auto"/>
                <w:sz w:val="20"/>
                <w:szCs w:val="20"/>
                <w:highlight w:val="none"/>
                <w:lang w:val="en-US" w:eastAsia="zh-CN"/>
              </w:rPr>
            </w:pPr>
            <w:r>
              <w:rPr>
                <w:rFonts w:hint="eastAsia" w:ascii="宋体" w:hAnsi="宋体" w:cs="宋体"/>
                <w:bCs/>
                <w:color w:val="auto"/>
                <w:sz w:val="20"/>
                <w:szCs w:val="20"/>
                <w:highlight w:val="none"/>
                <w:lang w:val="en-US" w:eastAsia="zh-CN"/>
              </w:rPr>
              <w:t>15.89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cantSplit/>
          <w:trHeight w:val="520" w:hRule="atLeast"/>
          <w:jc w:val="center"/>
        </w:trPr>
        <w:tc>
          <w:tcPr>
            <w:tcW w:w="2500" w:type="dxa"/>
            <w:shd w:val="clear" w:color="auto" w:fill="FFFFFF"/>
            <w:noWrap w:val="0"/>
            <w:vAlign w:val="center"/>
          </w:tcPr>
          <w:p>
            <w:pPr>
              <w:spacing w:line="300" w:lineRule="auto"/>
              <w:ind w:firstLine="0" w:firstLineChars="0"/>
              <w:jc w:val="center"/>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综合得分</w:t>
            </w:r>
          </w:p>
        </w:tc>
        <w:tc>
          <w:tcPr>
            <w:tcW w:w="2835" w:type="dxa"/>
            <w:shd w:val="clear" w:color="auto" w:fill="FFFFFF"/>
            <w:noWrap w:val="0"/>
            <w:vAlign w:val="center"/>
          </w:tcPr>
          <w:p>
            <w:pPr>
              <w:ind w:firstLine="0" w:firstLineChars="0"/>
              <w:jc w:val="center"/>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100</w:t>
            </w:r>
          </w:p>
        </w:tc>
        <w:tc>
          <w:tcPr>
            <w:tcW w:w="3150" w:type="dxa"/>
            <w:shd w:val="clear" w:color="auto" w:fill="FFFFFF"/>
            <w:noWrap w:val="0"/>
            <w:vAlign w:val="center"/>
          </w:tcPr>
          <w:p>
            <w:pPr>
              <w:ind w:firstLine="0" w:firstLineChars="0"/>
              <w:jc w:val="center"/>
              <w:rPr>
                <w:rFonts w:hint="default" w:ascii="宋体" w:hAnsi="宋体" w:eastAsia="宋体" w:cs="宋体"/>
                <w:b/>
                <w:bCs/>
                <w:color w:val="auto"/>
                <w:sz w:val="20"/>
                <w:szCs w:val="20"/>
                <w:highlight w:val="none"/>
                <w:lang w:val="en-US" w:eastAsia="zh-CN"/>
              </w:rPr>
            </w:pPr>
            <w:r>
              <w:rPr>
                <w:rFonts w:hint="eastAsia" w:ascii="宋体" w:hAnsi="宋体" w:eastAsia="宋体" w:cs="宋体"/>
                <w:b/>
                <w:bCs/>
                <w:color w:val="auto"/>
                <w:sz w:val="20"/>
                <w:szCs w:val="20"/>
                <w:highlight w:val="none"/>
              </w:rPr>
              <w:t>9</w:t>
            </w:r>
            <w:r>
              <w:rPr>
                <w:rFonts w:hint="eastAsia" w:ascii="宋体" w:hAnsi="宋体" w:cs="宋体"/>
                <w:b/>
                <w:bCs/>
                <w:color w:val="auto"/>
                <w:sz w:val="20"/>
                <w:szCs w:val="20"/>
                <w:highlight w:val="none"/>
                <w:lang w:val="en-US" w:eastAsia="zh-CN"/>
              </w:rPr>
              <w:t>1</w:t>
            </w:r>
            <w:r>
              <w:rPr>
                <w:rFonts w:hint="eastAsia" w:ascii="宋体" w:hAnsi="宋体" w:eastAsia="宋体" w:cs="宋体"/>
                <w:b/>
                <w:bCs/>
                <w:color w:val="auto"/>
                <w:sz w:val="20"/>
                <w:szCs w:val="20"/>
                <w:highlight w:val="none"/>
              </w:rPr>
              <w:t>.</w:t>
            </w:r>
            <w:r>
              <w:rPr>
                <w:rFonts w:hint="eastAsia" w:ascii="宋体" w:hAnsi="宋体" w:cs="宋体"/>
                <w:b/>
                <w:bCs/>
                <w:color w:val="auto"/>
                <w:sz w:val="20"/>
                <w:szCs w:val="20"/>
                <w:highlight w:val="none"/>
                <w:lang w:val="en-US" w:eastAsia="zh-CN"/>
              </w:rPr>
              <w:t>36</w:t>
            </w:r>
          </w:p>
        </w:tc>
      </w:tr>
    </w:tbl>
    <w:p>
      <w:pPr>
        <w:keepNext w:val="0"/>
        <w:keepLines w:val="0"/>
        <w:pageBreakBefore w:val="0"/>
        <w:widowControl/>
        <w:numPr>
          <w:ilvl w:val="0"/>
          <w:numId w:val="4"/>
        </w:numPr>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b/>
          <w:bCs/>
          <w:color w:val="000000"/>
          <w:kern w:val="0"/>
          <w:sz w:val="28"/>
          <w:szCs w:val="28"/>
          <w:highlight w:val="none"/>
          <w:lang w:val="en-US" w:eastAsia="zh-CN" w:bidi="ar"/>
        </w:rPr>
      </w:pPr>
      <w:r>
        <w:rPr>
          <w:rFonts w:hint="eastAsia" w:ascii="宋体" w:hAnsi="宋体" w:eastAsia="宋体" w:cs="宋体"/>
          <w:b/>
          <w:bCs/>
          <w:color w:val="000000"/>
          <w:kern w:val="0"/>
          <w:sz w:val="28"/>
          <w:szCs w:val="28"/>
          <w:highlight w:val="none"/>
          <w:lang w:val="en-US" w:eastAsia="zh-CN" w:bidi="ar"/>
        </w:rPr>
        <w:t xml:space="preserve">存在的问题及原因分析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1.各项制度尚不够健全，未制定绩效运行监控管理办法等。</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2.</w:t>
      </w:r>
      <w:r>
        <w:rPr>
          <w:rFonts w:hint="eastAsia" w:ascii="宋体" w:hAnsi="宋体" w:cs="宋体"/>
          <w:color w:val="000000"/>
          <w:kern w:val="0"/>
          <w:sz w:val="28"/>
          <w:szCs w:val="28"/>
          <w:highlight w:val="none"/>
          <w:lang w:val="en-US" w:eastAsia="zh-CN" w:bidi="ar"/>
        </w:rPr>
        <w:t>过程管理资料</w:t>
      </w:r>
      <w:r>
        <w:rPr>
          <w:rFonts w:hint="eastAsia" w:ascii="宋体" w:hAnsi="宋体" w:eastAsia="宋体" w:cs="宋体"/>
          <w:color w:val="000000"/>
          <w:kern w:val="0"/>
          <w:sz w:val="28"/>
          <w:szCs w:val="28"/>
          <w:highlight w:val="none"/>
          <w:lang w:val="en-US" w:eastAsia="zh-CN" w:bidi="ar"/>
        </w:rPr>
        <w:t>不够规范。</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3.资产配置不够合理，便携式计算机、复印机、照相机、摄像机等部分固定资产配置超数量标准。</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4.个别绩效指标设置不够完善，如满意度指标仅设置了“工作报告获人大会议审议通过率≥90%”，未反映出检察院作为公益性部门服务于社会民众的满意程度。</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5.效益效果证明资料不够完善，缺少直接证明资料，未能充分展示检察权行使的效益效果。</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黑体" w:hAnsi="黑体" w:eastAsia="黑体" w:cs="黑体"/>
          <w:color w:val="000000"/>
          <w:kern w:val="0"/>
          <w:sz w:val="28"/>
          <w:szCs w:val="28"/>
          <w:highlight w:val="none"/>
          <w:lang w:val="en-US" w:eastAsia="zh-CN" w:bidi="ar"/>
        </w:rPr>
      </w:pPr>
      <w:r>
        <w:rPr>
          <w:rFonts w:hint="eastAsia" w:ascii="黑体" w:hAnsi="黑体" w:eastAsia="黑体" w:cs="黑体"/>
          <w:color w:val="000000"/>
          <w:kern w:val="0"/>
          <w:sz w:val="28"/>
          <w:szCs w:val="28"/>
          <w:highlight w:val="none"/>
          <w:lang w:val="en-US" w:eastAsia="zh-CN" w:bidi="ar"/>
        </w:rPr>
        <w:t xml:space="preserve">六、措施建议（整改措施、下一步工作举措） </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1.进一步完善财务管理制度。</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2.进一步</w:t>
      </w:r>
      <w:r>
        <w:rPr>
          <w:rFonts w:hint="eastAsia" w:ascii="宋体" w:hAnsi="宋体" w:cs="宋体"/>
          <w:color w:val="000000"/>
          <w:kern w:val="0"/>
          <w:sz w:val="28"/>
          <w:szCs w:val="28"/>
          <w:highlight w:val="none"/>
          <w:lang w:val="en-US" w:eastAsia="zh-CN" w:bidi="ar"/>
        </w:rPr>
        <w:t>加强合同管理，不断完善过程管理资料</w:t>
      </w:r>
      <w:r>
        <w:rPr>
          <w:rFonts w:hint="eastAsia" w:ascii="宋体" w:hAnsi="宋体" w:eastAsia="宋体" w:cs="宋体"/>
          <w:color w:val="000000"/>
          <w:kern w:val="0"/>
          <w:sz w:val="28"/>
          <w:szCs w:val="28"/>
          <w:highlight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3.进一步加强资产管理，对于达到资产报废要求的资产及时报废，加强新增资产配置标准审核，尤其是日常办公设备，对于配备数量已经超标准的设备不再允许新增购置，再逐渐报废符合更新条件后再安排相关预算，逐步改善资产超配情况。</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4.进一步提高绩效目标表的填报质量，提升绩效指标设置的科学性、合理性。</w:t>
      </w:r>
    </w:p>
    <w:p>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5.做好绩效相关资料的收集、归档，加强资料的收集整理，充分展示检察权行使的效益效果。</w:t>
      </w:r>
    </w:p>
    <w:p>
      <w:pPr>
        <w:rPr>
          <w:rFonts w:hint="eastAsia"/>
          <w:lang w:val="en-US" w:eastAsia="zh-CN"/>
        </w:rPr>
      </w:pPr>
      <w:r>
        <w:rPr>
          <w:rFonts w:hint="eastAsia"/>
          <w:lang w:val="en-US" w:eastAsia="zh-CN"/>
        </w:rPr>
        <w:br w:type="page"/>
      </w:r>
    </w:p>
    <w:tbl>
      <w:tblPr>
        <w:tblW w:w="9090" w:type="dxa"/>
        <w:tblInd w:w="-30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140"/>
        <w:gridCol w:w="851"/>
        <w:gridCol w:w="1219"/>
        <w:gridCol w:w="1665"/>
        <w:gridCol w:w="2895"/>
        <w:gridCol w:w="705"/>
        <w:gridCol w:w="6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Ex>
        <w:trPr>
          <w:trHeight w:val="580" w:hRule="atLeast"/>
        </w:trPr>
        <w:tc>
          <w:tcPr>
            <w:tcW w:w="9090" w:type="dxa"/>
            <w:gridSpan w:val="7"/>
            <w:tcBorders>
              <w:top w:val="nil"/>
              <w:left w:val="nil"/>
              <w:bottom w:val="nil"/>
              <w:right w:val="nil"/>
            </w:tcBorders>
            <w:shd w:val="clear"/>
            <w:noWrap/>
            <w:tcMar>
              <w:top w:w="15" w:type="dxa"/>
              <w:left w:w="15" w:type="dxa"/>
              <w:right w:w="15" w:type="dxa"/>
            </w:tcMar>
            <w:vAlign w:val="bottom"/>
          </w:tcPr>
          <w:p>
            <w:pPr>
              <w:keepNext w:val="0"/>
              <w:keepLines w:val="0"/>
              <w:widowControl/>
              <w:suppressLineNumbers w:val="0"/>
              <w:ind w:left="0" w:leftChars="0" w:right="0" w:rightChars="0" w:firstLine="0" w:firstLineChars="0"/>
              <w:jc w:val="center"/>
              <w:textAlignment w:val="bottom"/>
              <w:rPr>
                <w:rFonts w:ascii="方正小标宋简体" w:hAnsi="方正小标宋简体" w:eastAsia="方正小标宋简体" w:cs="方正小标宋简体"/>
                <w:i w:val="0"/>
                <w:color w:val="000000"/>
                <w:sz w:val="44"/>
                <w:szCs w:val="44"/>
                <w:u w:val="none"/>
              </w:rPr>
            </w:pPr>
            <w:r>
              <w:rPr>
                <w:rFonts w:hint="eastAsia" w:ascii="方正小标宋简体" w:hAnsi="方正小标宋简体" w:eastAsia="方正小标宋简体" w:cs="方正小标宋简体"/>
                <w:i w:val="0"/>
                <w:color w:val="000000"/>
                <w:kern w:val="0"/>
                <w:sz w:val="44"/>
                <w:szCs w:val="44"/>
                <w:u w:val="none"/>
                <w:bdr w:val="none" w:color="auto" w:sz="0" w:space="0"/>
                <w:lang w:val="en-US" w:eastAsia="zh-CN" w:bidi="ar"/>
              </w:rPr>
              <w:t>2024年部门整体绩效评价指标体系评分表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0" w:hRule="atLeast"/>
        </w:trPr>
        <w:tc>
          <w:tcPr>
            <w:tcW w:w="9090"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一、当年预算执行情况（20分）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40" w:hRule="atLeast"/>
        </w:trPr>
        <w:tc>
          <w:tcPr>
            <w:tcW w:w="11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一级指标</w:t>
            </w: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二级指标</w:t>
            </w: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预算数（万元）</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执行数（万元）</w:t>
            </w:r>
          </w:p>
        </w:tc>
        <w:tc>
          <w:tcPr>
            <w:tcW w:w="28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预算执行率</w:t>
            </w:r>
          </w:p>
        </w:tc>
        <w:tc>
          <w:tcPr>
            <w:tcW w:w="7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分值</w:t>
            </w:r>
          </w:p>
        </w:tc>
        <w:tc>
          <w:tcPr>
            <w:tcW w:w="6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当年预算执行情况（20）</w:t>
            </w: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资金总体</w:t>
            </w: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 xml:space="preserve">9,250.16 </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9,003.43</w:t>
            </w:r>
          </w:p>
        </w:tc>
        <w:tc>
          <w:tcPr>
            <w:tcW w:w="28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97.33%</w:t>
            </w:r>
          </w:p>
        </w:tc>
        <w:tc>
          <w:tcPr>
            <w:tcW w:w="705"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w:t>
            </w:r>
          </w:p>
        </w:tc>
        <w:tc>
          <w:tcPr>
            <w:tcW w:w="615" w:type="dxa"/>
            <w:vMerge w:val="restart"/>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 xml:space="preserve">19.47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基本支出</w:t>
            </w: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 xml:space="preserve">8,367.69 </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8,257.36</w:t>
            </w:r>
          </w:p>
        </w:tc>
        <w:tc>
          <w:tcPr>
            <w:tcW w:w="2895"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w:t>
            </w:r>
          </w:p>
        </w:tc>
        <w:tc>
          <w:tcPr>
            <w:tcW w:w="705"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项目支出</w:t>
            </w: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 xml:space="preserve">882.47 </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746.07</w:t>
            </w:r>
          </w:p>
        </w:tc>
        <w:tc>
          <w:tcPr>
            <w:tcW w:w="289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ind w:left="0" w:leftChars="0" w:right="0" w:rightChars="0" w:firstLine="0" w:firstLineChars="0"/>
              <w:jc w:val="center"/>
              <w:rPr>
                <w:rFonts w:hint="eastAsia" w:ascii="宋体" w:hAnsi="宋体" w:eastAsia="宋体" w:cs="宋体"/>
                <w:i w:val="0"/>
                <w:color w:val="000000"/>
                <w:sz w:val="18"/>
                <w:szCs w:val="18"/>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6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其他</w:t>
            </w: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 xml:space="preserve">0.00 </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0.00</w:t>
            </w:r>
          </w:p>
        </w:tc>
        <w:tc>
          <w:tcPr>
            <w:tcW w:w="289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ind w:left="0" w:leftChars="0" w:right="0" w:rightChars="0" w:firstLine="0" w:firstLineChars="0"/>
              <w:jc w:val="center"/>
              <w:rPr>
                <w:rFonts w:hint="eastAsia" w:ascii="宋体" w:hAnsi="宋体" w:eastAsia="宋体" w:cs="宋体"/>
                <w:i w:val="0"/>
                <w:color w:val="000000"/>
                <w:sz w:val="18"/>
                <w:szCs w:val="18"/>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9090"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二、整体绩效目标实现情况（60分）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一级指标</w:t>
            </w: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二级指标</w:t>
            </w: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三级指标</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指标值</w:t>
            </w:r>
          </w:p>
        </w:tc>
        <w:tc>
          <w:tcPr>
            <w:tcW w:w="28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完成值</w:t>
            </w:r>
          </w:p>
        </w:tc>
        <w:tc>
          <w:tcPr>
            <w:tcW w:w="7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分值</w:t>
            </w:r>
          </w:p>
        </w:tc>
        <w:tc>
          <w:tcPr>
            <w:tcW w:w="6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4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产出指标（20）</w:t>
            </w: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数量指标（14）</w:t>
            </w: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四大检察案件受理数</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≥6000件</w:t>
            </w:r>
          </w:p>
        </w:tc>
        <w:tc>
          <w:tcPr>
            <w:tcW w:w="28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7967件</w:t>
            </w:r>
          </w:p>
        </w:tc>
        <w:tc>
          <w:tcPr>
            <w:tcW w:w="70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14</w:t>
            </w:r>
          </w:p>
        </w:tc>
        <w:tc>
          <w:tcPr>
            <w:tcW w:w="61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46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质量指标（6）</w:t>
            </w: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保障各项检察工作顺利开展</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好</w:t>
            </w:r>
          </w:p>
        </w:tc>
        <w:tc>
          <w:tcPr>
            <w:tcW w:w="28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好</w:t>
            </w:r>
          </w:p>
        </w:tc>
        <w:tc>
          <w:tcPr>
            <w:tcW w:w="70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6</w:t>
            </w:r>
          </w:p>
        </w:tc>
        <w:tc>
          <w:tcPr>
            <w:tcW w:w="61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11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效益指标（14）</w:t>
            </w: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社会效益指标（14）</w:t>
            </w: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服务首都大局，为高质量发展提供有力法治保障</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高</w:t>
            </w:r>
          </w:p>
        </w:tc>
        <w:tc>
          <w:tcPr>
            <w:tcW w:w="28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高</w:t>
            </w:r>
          </w:p>
        </w:tc>
        <w:tc>
          <w:tcPr>
            <w:tcW w:w="70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14</w:t>
            </w:r>
          </w:p>
        </w:tc>
        <w:tc>
          <w:tcPr>
            <w:tcW w:w="61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5" w:hRule="atLeast"/>
        </w:trPr>
        <w:tc>
          <w:tcPr>
            <w:tcW w:w="11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满意度指标（13）</w:t>
            </w: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服务对象满意度指标（13）</w:t>
            </w: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工作报告获人大会议审议通过支持率</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w:t>
            </w:r>
          </w:p>
        </w:tc>
        <w:tc>
          <w:tcPr>
            <w:tcW w:w="28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100%</w:t>
            </w:r>
          </w:p>
        </w:tc>
        <w:tc>
          <w:tcPr>
            <w:tcW w:w="70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20" w:hRule="atLeast"/>
        </w:trPr>
        <w:tc>
          <w:tcPr>
            <w:tcW w:w="11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成本指标（13）</w:t>
            </w: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经济成本指标（13）</w:t>
            </w: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预算控制数</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≤9082.736776万元</w:t>
            </w:r>
          </w:p>
        </w:tc>
        <w:tc>
          <w:tcPr>
            <w:tcW w:w="28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left="0" w:leftChars="0" w:right="0" w:rightChars="0" w:firstLine="0" w:firstLineChars="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9003.432231万元</w:t>
            </w:r>
          </w:p>
        </w:tc>
        <w:tc>
          <w:tcPr>
            <w:tcW w:w="70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13</w:t>
            </w:r>
          </w:p>
        </w:tc>
        <w:tc>
          <w:tcPr>
            <w:tcW w:w="61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9090" w:type="dxa"/>
            <w:gridSpan w:val="7"/>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三、预算管理情况（20分）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1140"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一级指标</w:t>
            </w: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二级指标</w:t>
            </w: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三级指标</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指标值</w:t>
            </w:r>
          </w:p>
        </w:tc>
        <w:tc>
          <w:tcPr>
            <w:tcW w:w="28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完成值</w:t>
            </w:r>
          </w:p>
        </w:tc>
        <w:tc>
          <w:tcPr>
            <w:tcW w:w="70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分值</w:t>
            </w:r>
          </w:p>
        </w:tc>
        <w:tc>
          <w:tcPr>
            <w:tcW w:w="61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2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预算管理情况（20）</w:t>
            </w:r>
          </w:p>
        </w:tc>
        <w:tc>
          <w:tcPr>
            <w:tcW w:w="851"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财务管理（4）</w:t>
            </w: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财务管理制度健全性</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财务管理制度健全</w:t>
            </w:r>
          </w:p>
        </w:tc>
        <w:tc>
          <w:tcPr>
            <w:tcW w:w="28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财务管理制度尚不够健全，未制定固定资产管理办法、绩效运行监控管理办法等。</w:t>
            </w:r>
          </w:p>
        </w:tc>
        <w:tc>
          <w:tcPr>
            <w:tcW w:w="70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6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c>
          <w:tcPr>
            <w:tcW w:w="851"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资金使用合规性和安全性</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使用预算资金符合相关的预算财务管理制度的规定，符合相关规定的开支范围，保障了预算资金的规范运行和安全运行</w:t>
            </w:r>
          </w:p>
        </w:tc>
        <w:tc>
          <w:tcPr>
            <w:tcW w:w="28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使用预算资金基本符合相关的预算财务管理制度的规定，符合相关规定的开支范围，保障了预算资金的规范运行和安全运行，但政府采购的程序执行不够完善。</w:t>
            </w:r>
          </w:p>
        </w:tc>
        <w:tc>
          <w:tcPr>
            <w:tcW w:w="70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w:t>
            </w:r>
          </w:p>
        </w:tc>
        <w:tc>
          <w:tcPr>
            <w:tcW w:w="61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6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c>
          <w:tcPr>
            <w:tcW w:w="851"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会计基础信息完善性</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会计基础信息完善</w:t>
            </w:r>
          </w:p>
        </w:tc>
        <w:tc>
          <w:tcPr>
            <w:tcW w:w="28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会计基础信息完善</w:t>
            </w:r>
          </w:p>
        </w:tc>
        <w:tc>
          <w:tcPr>
            <w:tcW w:w="70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w:t>
            </w:r>
          </w:p>
        </w:tc>
        <w:tc>
          <w:tcPr>
            <w:tcW w:w="615" w:type="dxa"/>
            <w:tcBorders>
              <w:top w:val="single" w:color="000000" w:sz="4" w:space="0"/>
              <w:left w:val="single" w:color="000000" w:sz="4" w:space="0"/>
              <w:bottom w:val="single" w:color="000000" w:sz="4" w:space="0"/>
              <w:right w:val="single" w:color="000000" w:sz="4"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6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资产管理（4）</w:t>
            </w: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资产管理规范性</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资产安全完整、资产配置合理、资产使用和资产处理规范</w:t>
            </w:r>
          </w:p>
        </w:tc>
        <w:tc>
          <w:tcPr>
            <w:tcW w:w="28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资产安全完整、资产使用和资产处理规范，但资产配置不够合理，便携式计算机、复印机、照相机、摄像机等部分固定资产配置超数量标准。</w:t>
            </w:r>
          </w:p>
        </w:tc>
        <w:tc>
          <w:tcPr>
            <w:tcW w:w="7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6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绩效管理（4）</w:t>
            </w:r>
          </w:p>
        </w:tc>
        <w:tc>
          <w:tcPr>
            <w:tcW w:w="1219"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绩效管理情况</w:t>
            </w:r>
          </w:p>
        </w:tc>
        <w:tc>
          <w:tcPr>
            <w:tcW w:w="166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绩效管理信息及时汇总和应用</w:t>
            </w:r>
          </w:p>
        </w:tc>
        <w:tc>
          <w:tcPr>
            <w:tcW w:w="28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缺少对绩效信息进行汇总分析整理，对个别项目绩效目标偏离情况未及时进行绩效目标调整。</w:t>
            </w:r>
          </w:p>
        </w:tc>
        <w:tc>
          <w:tcPr>
            <w:tcW w:w="7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指标</w:t>
            </w:r>
          </w:p>
        </w:tc>
        <w:tc>
          <w:tcPr>
            <w:tcW w:w="28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2023年</w:t>
            </w:r>
          </w:p>
        </w:tc>
        <w:tc>
          <w:tcPr>
            <w:tcW w:w="28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2024年</w:t>
            </w:r>
          </w:p>
        </w:tc>
        <w:tc>
          <w:tcPr>
            <w:tcW w:w="7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分值</w:t>
            </w:r>
          </w:p>
        </w:tc>
        <w:tc>
          <w:tcPr>
            <w:tcW w:w="6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c>
          <w:tcPr>
            <w:tcW w:w="851"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结转结余率（4）</w:t>
            </w:r>
          </w:p>
        </w:tc>
        <w:tc>
          <w:tcPr>
            <w:tcW w:w="2884" w:type="dxa"/>
            <w:gridSpan w:val="2"/>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1.97%</w:t>
            </w:r>
          </w:p>
        </w:tc>
        <w:tc>
          <w:tcPr>
            <w:tcW w:w="2895"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2.74%</w:t>
            </w:r>
          </w:p>
        </w:tc>
        <w:tc>
          <w:tcPr>
            <w:tcW w:w="705"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615" w:type="dxa"/>
            <w:vMerge w:val="restart"/>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 xml:space="preserve">3.69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c>
          <w:tcPr>
            <w:tcW w:w="851"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c>
          <w:tcPr>
            <w:tcW w:w="2884" w:type="dxa"/>
            <w:gridSpan w:val="2"/>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89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jc w:val="both"/>
              <w:rPr>
                <w:rFonts w:hint="eastAsia" w:ascii="宋体" w:hAnsi="宋体" w:eastAsia="宋体" w:cs="宋体"/>
                <w:i w:val="0"/>
                <w:color w:val="000000"/>
                <w:sz w:val="18"/>
                <w:szCs w:val="18"/>
                <w:u w:val="none"/>
              </w:rPr>
            </w:pPr>
          </w:p>
        </w:tc>
        <w:tc>
          <w:tcPr>
            <w:tcW w:w="851"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部门预决算差异率（4）</w:t>
            </w:r>
          </w:p>
        </w:tc>
        <w:tc>
          <w:tcPr>
            <w:tcW w:w="2884" w:type="dxa"/>
            <w:gridSpan w:val="2"/>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1.83%</w:t>
            </w:r>
          </w:p>
        </w:tc>
        <w:tc>
          <w:tcPr>
            <w:tcW w:w="289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4.38%</w:t>
            </w:r>
          </w:p>
        </w:tc>
        <w:tc>
          <w:tcPr>
            <w:tcW w:w="7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c>
          <w:tcPr>
            <w:tcW w:w="6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bdr w:val="none" w:color="auto" w:sz="0" w:space="0"/>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0" w:hRule="atLeast"/>
        </w:trPr>
        <w:tc>
          <w:tcPr>
            <w:tcW w:w="7770" w:type="dxa"/>
            <w:gridSpan w:val="5"/>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ind w:firstLineChars="20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合计</w:t>
            </w:r>
          </w:p>
        </w:tc>
        <w:tc>
          <w:tcPr>
            <w:tcW w:w="70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100</w:t>
            </w:r>
          </w:p>
        </w:tc>
        <w:tc>
          <w:tcPr>
            <w:tcW w:w="615" w:type="dxa"/>
            <w:tcBorders>
              <w:top w:val="single" w:color="000000" w:sz="4" w:space="0"/>
              <w:left w:val="single" w:color="000000" w:sz="4" w:space="0"/>
              <w:bottom w:val="single" w:color="000000" w:sz="4" w:space="0"/>
              <w:right w:val="single" w:color="000000" w:sz="4" w:space="0"/>
            </w:tcBorders>
            <w:shd w:val="clear"/>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bdr w:val="none" w:color="auto" w:sz="0" w:space="0"/>
                <w:lang w:val="en-US" w:eastAsia="zh-CN" w:bidi="ar"/>
              </w:rPr>
              <w:t xml:space="preserve">91.36 </w:t>
            </w:r>
          </w:p>
        </w:tc>
      </w:tr>
    </w:tbl>
    <w:p>
      <w:pPr>
        <w:pStyle w:val="2"/>
        <w:rPr>
          <w:rFonts w:hint="eastAsia"/>
          <w:lang w:val="en-US" w:eastAsia="zh-CN"/>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left" w:pos="5142"/>
        <w:tab w:val="clear" w:pos="4153"/>
      </w:tabs>
      <w:rPr>
        <w:rFonts w:hint="eastAsia"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1+uLmMEBAABwAwAADgAAAAAAAAABACAAAAAeAQAAZHJzL2Uyb0RvYy54bWxQSwUG&#10;AAAAAAYABgBZAQAAUQU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4F36D2"/>
    <w:multiLevelType w:val="singleLevel"/>
    <w:tmpl w:val="9A4F36D2"/>
    <w:lvl w:ilvl="0" w:tentative="0">
      <w:start w:val="1"/>
      <w:numFmt w:val="decimal"/>
      <w:suff w:val="nothing"/>
      <w:lvlText w:val="（%1）"/>
      <w:lvlJc w:val="left"/>
    </w:lvl>
  </w:abstractNum>
  <w:abstractNum w:abstractNumId="1">
    <w:nsid w:val="041D1D27"/>
    <w:multiLevelType w:val="singleLevel"/>
    <w:tmpl w:val="041D1D27"/>
    <w:lvl w:ilvl="0" w:tentative="0">
      <w:start w:val="2"/>
      <w:numFmt w:val="chineseCounting"/>
      <w:suff w:val="nothing"/>
      <w:lvlText w:val="（%1）"/>
      <w:lvlJc w:val="left"/>
      <w:rPr>
        <w:rFonts w:hint="eastAsia"/>
      </w:rPr>
    </w:lvl>
  </w:abstractNum>
  <w:abstractNum w:abstractNumId="2">
    <w:nsid w:val="3EEE5C43"/>
    <w:multiLevelType w:val="singleLevel"/>
    <w:tmpl w:val="3EEE5C43"/>
    <w:lvl w:ilvl="0" w:tentative="0">
      <w:start w:val="2"/>
      <w:numFmt w:val="decimal"/>
      <w:suff w:val="space"/>
      <w:lvlText w:val="%1."/>
      <w:lvlJc w:val="left"/>
    </w:lvl>
  </w:abstractNum>
  <w:abstractNum w:abstractNumId="3">
    <w:nsid w:val="3F25E599"/>
    <w:multiLevelType w:val="singleLevel"/>
    <w:tmpl w:val="3F25E599"/>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yMzJmNzE0YjAxYjg5NTcxYjkxMTM4ODY2NDVhNGUifQ=="/>
    <w:docVar w:name="KSO_WPS_MARK_KEY" w:val="ff3a43fb-044a-4c5d-be1f-4586ac733d89"/>
  </w:docVars>
  <w:rsids>
    <w:rsidRoot w:val="00000000"/>
    <w:rsid w:val="06652F3F"/>
    <w:rsid w:val="08D56315"/>
    <w:rsid w:val="0937357F"/>
    <w:rsid w:val="0AB539B9"/>
    <w:rsid w:val="0C3363DA"/>
    <w:rsid w:val="0DA017A0"/>
    <w:rsid w:val="0DF17518"/>
    <w:rsid w:val="0E76520D"/>
    <w:rsid w:val="0FED2ACD"/>
    <w:rsid w:val="10AA61E9"/>
    <w:rsid w:val="10E85EB6"/>
    <w:rsid w:val="12ED60A3"/>
    <w:rsid w:val="14E33208"/>
    <w:rsid w:val="1591454F"/>
    <w:rsid w:val="19B73631"/>
    <w:rsid w:val="1AC27E42"/>
    <w:rsid w:val="1AFE63BB"/>
    <w:rsid w:val="1C6F3628"/>
    <w:rsid w:val="1D2E600F"/>
    <w:rsid w:val="1D7C2C51"/>
    <w:rsid w:val="1EFB3784"/>
    <w:rsid w:val="20031F7A"/>
    <w:rsid w:val="21237107"/>
    <w:rsid w:val="23F6508E"/>
    <w:rsid w:val="247C660B"/>
    <w:rsid w:val="255A175D"/>
    <w:rsid w:val="25CE7975"/>
    <w:rsid w:val="27AC60F5"/>
    <w:rsid w:val="27CD0FD7"/>
    <w:rsid w:val="281B15B5"/>
    <w:rsid w:val="28320107"/>
    <w:rsid w:val="289434CD"/>
    <w:rsid w:val="2D336CB0"/>
    <w:rsid w:val="2D935BCA"/>
    <w:rsid w:val="2DA84D7B"/>
    <w:rsid w:val="2EB63106"/>
    <w:rsid w:val="32BD2295"/>
    <w:rsid w:val="38506449"/>
    <w:rsid w:val="3ACA740E"/>
    <w:rsid w:val="3DC6241A"/>
    <w:rsid w:val="3DD948F9"/>
    <w:rsid w:val="3F2322F9"/>
    <w:rsid w:val="3F341123"/>
    <w:rsid w:val="405725B0"/>
    <w:rsid w:val="409505A3"/>
    <w:rsid w:val="415843F5"/>
    <w:rsid w:val="41CD19CA"/>
    <w:rsid w:val="44206FB1"/>
    <w:rsid w:val="456A2019"/>
    <w:rsid w:val="47750946"/>
    <w:rsid w:val="48FC02E4"/>
    <w:rsid w:val="49947713"/>
    <w:rsid w:val="4AB26373"/>
    <w:rsid w:val="4C583332"/>
    <w:rsid w:val="4CFE79BF"/>
    <w:rsid w:val="4DCA2CEE"/>
    <w:rsid w:val="502F6BAC"/>
    <w:rsid w:val="51E52377"/>
    <w:rsid w:val="58553B7A"/>
    <w:rsid w:val="5A3D24CF"/>
    <w:rsid w:val="5BA750BE"/>
    <w:rsid w:val="5D4225C2"/>
    <w:rsid w:val="5D8729AC"/>
    <w:rsid w:val="62435625"/>
    <w:rsid w:val="66613350"/>
    <w:rsid w:val="677A0A3F"/>
    <w:rsid w:val="694351FE"/>
    <w:rsid w:val="698B7494"/>
    <w:rsid w:val="6A555828"/>
    <w:rsid w:val="6A7F03FC"/>
    <w:rsid w:val="6B1116BB"/>
    <w:rsid w:val="6D46574F"/>
    <w:rsid w:val="6F730FB8"/>
    <w:rsid w:val="6FFC3F83"/>
    <w:rsid w:val="700801AE"/>
    <w:rsid w:val="71CD19A0"/>
    <w:rsid w:val="73412411"/>
    <w:rsid w:val="7624569A"/>
    <w:rsid w:val="7B3041A2"/>
    <w:rsid w:val="7B3D01B3"/>
    <w:rsid w:val="7B564F83"/>
    <w:rsid w:val="7C1E2C62"/>
    <w:rsid w:val="7CBD5E59"/>
    <w:rsid w:val="7D196ADC"/>
    <w:rsid w:val="7D90768E"/>
    <w:rsid w:val="7DD20F6E"/>
    <w:rsid w:val="7EB15B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iPriority="99"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index 9"/>
    <w:basedOn w:val="1"/>
    <w:next w:val="1"/>
    <w:unhideWhenUsed/>
    <w:qFormat/>
    <w:uiPriority w:val="99"/>
    <w:pPr>
      <w:ind w:left="1600" w:leftChars="1600"/>
    </w:pPr>
  </w:style>
  <w:style w:type="paragraph" w:styleId="3">
    <w:name w:val="Normal Indent"/>
    <w:basedOn w:val="1"/>
    <w:qFormat/>
    <w:uiPriority w:val="99"/>
    <w:pPr>
      <w:widowControl w:val="0"/>
      <w:adjustRightInd/>
      <w:snapToGrid/>
      <w:ind w:firstLine="420" w:firstLineChars="0"/>
      <w:jc w:val="both"/>
    </w:pPr>
    <w:rPr>
      <w:rFonts w:ascii="Times New Roman" w:hAnsi="Times New Roman" w:eastAsia="宋体" w:cs="Times New Roman"/>
      <w:kern w:val="2"/>
      <w:sz w:val="21"/>
      <w:szCs w:val="21"/>
    </w:rPr>
  </w:style>
  <w:style w:type="paragraph" w:styleId="4">
    <w:name w:val="annotation text"/>
    <w:basedOn w:val="1"/>
    <w:qFormat/>
    <w:uiPriority w:val="0"/>
    <w:pPr>
      <w:jc w:val="left"/>
    </w:pPr>
  </w:style>
  <w:style w:type="paragraph" w:styleId="5">
    <w:name w:val="Plain Text"/>
    <w:basedOn w:val="1"/>
    <w:next w:val="2"/>
    <w:qFormat/>
    <w:uiPriority w:val="0"/>
    <w:pPr>
      <w:widowControl w:val="0"/>
      <w:spacing w:after="0"/>
      <w:jc w:val="both"/>
    </w:pPr>
    <w:rPr>
      <w:rFonts w:ascii="宋体" w:hAnsi="Courier New" w:eastAsia="宋体" w:cs="Courier New"/>
      <w:kern w:val="2"/>
      <w:sz w:val="21"/>
      <w:szCs w:val="21"/>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9366</Words>
  <Characters>9764</Characters>
  <Lines>0</Lines>
  <Paragraphs>0</Paragraphs>
  <TotalTime>20</TotalTime>
  <ScaleCrop>false</ScaleCrop>
  <LinksUpToDate>false</LinksUpToDate>
  <CharactersWithSpaces>9790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2025-05-07T07:44:00Z</dcterms:created>
  <dc:creator>11609</dc:creator>
  <cp:lastModifiedBy>user</cp:lastModifiedBy>
  <dcterms:modified xsi:type="dcterms:W3CDTF">2025-08-26T08:52:34Z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69127F29F362476F926632A0F38A362B</vt:lpwstr>
  </property>
</Properties>
</file>