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bCs/>
          <w:color w:val="auto"/>
          <w:sz w:val="48"/>
          <w:szCs w:val="48"/>
          <w:highlight w:val="none"/>
          <w:lang w:eastAsia="zh-CN"/>
        </w:rPr>
      </w:pPr>
    </w:p>
    <w:p>
      <w:pPr>
        <w:jc w:val="center"/>
        <w:rPr>
          <w:b/>
          <w:bCs/>
          <w:color w:val="auto"/>
          <w:sz w:val="48"/>
          <w:szCs w:val="48"/>
          <w:highlight w:val="none"/>
        </w:rPr>
      </w:pPr>
    </w:p>
    <w:p>
      <w:pPr>
        <w:jc w:val="center"/>
        <w:rPr>
          <w:b/>
          <w:bCs/>
          <w:color w:val="auto"/>
          <w:sz w:val="48"/>
          <w:szCs w:val="48"/>
          <w:highlight w:val="none"/>
        </w:rPr>
      </w:pPr>
    </w:p>
    <w:p>
      <w:pPr>
        <w:jc w:val="center"/>
        <w:rPr>
          <w:rFonts w:hint="eastAsia" w:ascii="黑体" w:hAnsi="黑体" w:eastAsia="黑体" w:cs="黑体"/>
          <w:b/>
          <w:bCs/>
          <w:color w:val="auto"/>
          <w:sz w:val="48"/>
          <w:szCs w:val="48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sz w:val="48"/>
          <w:szCs w:val="48"/>
          <w:highlight w:val="none"/>
        </w:rPr>
        <w:t>北京市房山区人民检察院</w:t>
      </w:r>
    </w:p>
    <w:p>
      <w:pPr>
        <w:jc w:val="center"/>
        <w:rPr>
          <w:rFonts w:hint="eastAsia" w:ascii="黑体" w:hAnsi="黑体" w:eastAsia="黑体" w:cs="黑体"/>
          <w:b/>
          <w:bCs/>
          <w:color w:val="auto"/>
          <w:sz w:val="48"/>
          <w:szCs w:val="48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sz w:val="48"/>
          <w:szCs w:val="48"/>
          <w:highlight w:val="none"/>
          <w:lang w:val="en-US" w:eastAsia="zh-CN"/>
        </w:rPr>
        <w:t>重点项目支出</w:t>
      </w:r>
      <w:r>
        <w:rPr>
          <w:rFonts w:hint="eastAsia" w:ascii="黑体" w:hAnsi="黑体" w:eastAsia="黑体" w:cs="黑体"/>
          <w:b/>
          <w:bCs/>
          <w:color w:val="auto"/>
          <w:sz w:val="48"/>
          <w:szCs w:val="48"/>
          <w:highlight w:val="none"/>
        </w:rPr>
        <w:t>绩效评价报告</w:t>
      </w:r>
    </w:p>
    <w:p>
      <w:pPr>
        <w:jc w:val="center"/>
        <w:rPr>
          <w:rFonts w:hint="eastAsia" w:ascii="宋体" w:hAnsi="宋体" w:eastAsia="宋体"/>
          <w:b/>
          <w:bCs/>
          <w:color w:val="auto"/>
          <w:sz w:val="48"/>
          <w:szCs w:val="22"/>
          <w:highlight w:val="none"/>
          <w:lang w:val="en-US" w:eastAsia="zh-CN"/>
        </w:rPr>
      </w:pPr>
    </w:p>
    <w:p>
      <w:pPr>
        <w:jc w:val="center"/>
        <w:rPr>
          <w:rFonts w:ascii="宋体" w:hAnsi="宋体"/>
          <w:color w:val="auto"/>
          <w:sz w:val="28"/>
          <w:szCs w:val="22"/>
          <w:highlight w:val="none"/>
        </w:rPr>
      </w:pPr>
    </w:p>
    <w:p>
      <w:pPr>
        <w:rPr>
          <w:rFonts w:ascii="宋体" w:hAnsi="宋体"/>
          <w:color w:val="auto"/>
          <w:sz w:val="28"/>
          <w:szCs w:val="22"/>
          <w:highlight w:val="none"/>
        </w:rPr>
      </w:pPr>
    </w:p>
    <w:p>
      <w:pPr>
        <w:pStyle w:val="2"/>
        <w:rPr>
          <w:rFonts w:ascii="宋体" w:hAnsi="宋体" w:cs="宋体"/>
          <w:color w:val="auto"/>
          <w:sz w:val="28"/>
          <w:szCs w:val="28"/>
          <w:highlight w:val="none"/>
        </w:rPr>
      </w:pPr>
    </w:p>
    <w:p>
      <w:pPr>
        <w:rPr>
          <w:rFonts w:ascii="宋体" w:hAnsi="宋体" w:cs="宋体"/>
          <w:color w:val="auto"/>
          <w:sz w:val="28"/>
          <w:szCs w:val="28"/>
          <w:highlight w:val="none"/>
        </w:rPr>
      </w:pPr>
    </w:p>
    <w:p>
      <w:pPr>
        <w:pStyle w:val="2"/>
        <w:rPr>
          <w:sz w:val="20"/>
          <w:szCs w:val="22"/>
          <w:highlight w:val="none"/>
        </w:rPr>
      </w:pPr>
    </w:p>
    <w:p>
      <w:pPr>
        <w:spacing w:line="360" w:lineRule="auto"/>
        <w:ind w:firstLine="173" w:firstLineChars="62"/>
        <w:jc w:val="both"/>
        <w:rPr>
          <w:rFonts w:ascii="宋体" w:hAnsi="宋体" w:cs="宋体"/>
          <w:color w:val="auto"/>
          <w:sz w:val="28"/>
          <w:szCs w:val="28"/>
          <w:highlight w:val="none"/>
        </w:rPr>
      </w:pPr>
    </w:p>
    <w:p>
      <w:pPr>
        <w:spacing w:line="360" w:lineRule="auto"/>
        <w:ind w:firstLine="453" w:firstLineChars="162"/>
        <w:jc w:val="both"/>
        <w:rPr>
          <w:rFonts w:ascii="宋体" w:hAnsi="宋体"/>
          <w:color w:val="auto"/>
          <w:sz w:val="28"/>
          <w:szCs w:val="28"/>
          <w:highlight w:val="none"/>
        </w:rPr>
      </w:pPr>
    </w:p>
    <w:p>
      <w:pPr>
        <w:pStyle w:val="2"/>
        <w:rPr>
          <w:rFonts w:ascii="宋体" w:hAnsi="宋体"/>
          <w:color w:val="auto"/>
          <w:sz w:val="28"/>
          <w:szCs w:val="28"/>
          <w:highlight w:val="none"/>
        </w:rPr>
      </w:pPr>
      <w:bookmarkStart w:id="51" w:name="_GoBack"/>
      <w:bookmarkEnd w:id="51"/>
    </w:p>
    <w:p>
      <w:pPr>
        <w:rPr>
          <w:rFonts w:ascii="宋体" w:hAnsi="宋体"/>
          <w:color w:val="auto"/>
          <w:sz w:val="28"/>
          <w:szCs w:val="28"/>
          <w:highlight w:val="none"/>
        </w:rPr>
      </w:pPr>
    </w:p>
    <w:p>
      <w:pPr>
        <w:pStyle w:val="2"/>
        <w:rPr>
          <w:rFonts w:ascii="宋体" w:hAnsi="宋体"/>
          <w:color w:val="auto"/>
          <w:sz w:val="28"/>
          <w:szCs w:val="28"/>
          <w:highlight w:val="none"/>
        </w:rPr>
      </w:pPr>
    </w:p>
    <w:p>
      <w:pPr>
        <w:rPr>
          <w:sz w:val="20"/>
          <w:szCs w:val="22"/>
          <w:highlight w:val="none"/>
        </w:rPr>
      </w:pPr>
    </w:p>
    <w:p>
      <w:pPr>
        <w:spacing w:line="360" w:lineRule="auto"/>
        <w:ind w:firstLine="520" w:firstLineChars="162"/>
        <w:jc w:val="center"/>
        <w:rPr>
          <w:rFonts w:hint="eastAsia" w:ascii="黑体" w:hAnsi="黑体" w:eastAsia="黑体" w:cs="黑体"/>
          <w:b/>
          <w:bCs/>
          <w:color w:val="auto"/>
          <w:sz w:val="32"/>
          <w:szCs w:val="32"/>
          <w:highlight w:val="none"/>
        </w:rPr>
      </w:pPr>
    </w:p>
    <w:p>
      <w:pPr>
        <w:jc w:val="center"/>
        <w:rPr>
          <w:rFonts w:ascii="宋体" w:hAnsi="宋体"/>
          <w:color w:val="auto"/>
          <w:sz w:val="28"/>
          <w:szCs w:val="22"/>
          <w:highlight w:val="none"/>
        </w:rPr>
      </w:pPr>
    </w:p>
    <w:p>
      <w:pPr>
        <w:jc w:val="center"/>
        <w:rPr>
          <w:rFonts w:ascii="宋体" w:hAnsi="宋体"/>
          <w:color w:val="auto"/>
          <w:sz w:val="28"/>
          <w:szCs w:val="22"/>
          <w:highlight w:val="none"/>
        </w:rPr>
      </w:pPr>
    </w:p>
    <w:p>
      <w:pPr>
        <w:ind w:firstLine="1606" w:firstLineChars="400"/>
        <w:jc w:val="center"/>
        <w:rPr>
          <w:rFonts w:ascii="宋体" w:hAnsi="宋体"/>
          <w:b/>
          <w:color w:val="auto"/>
          <w:sz w:val="40"/>
          <w:szCs w:val="40"/>
          <w:highlight w:val="none"/>
        </w:rPr>
        <w:sectPr>
          <w:headerReference r:id="rId3" w:type="default"/>
          <w:pgSz w:w="11906" w:h="16838"/>
          <w:pgMar w:top="1440" w:right="1646" w:bottom="1440" w:left="1800" w:header="851" w:footer="992" w:gutter="0"/>
          <w:pgNumType w:start="1"/>
          <w:cols w:space="720" w:num="1"/>
          <w:docGrid w:type="lines" w:linePitch="312" w:charSpace="0"/>
        </w:sectPr>
      </w:pPr>
      <w:bookmarkStart w:id="0" w:name="OLE_LINK1"/>
    </w:p>
    <w:p>
      <w:pPr>
        <w:jc w:val="center"/>
        <w:rPr>
          <w:rFonts w:hint="eastAsia" w:ascii="黑体" w:hAnsi="黑体" w:eastAsia="黑体" w:cs="黑体"/>
          <w:b/>
          <w:color w:val="auto"/>
          <w:sz w:val="40"/>
          <w:szCs w:val="40"/>
          <w:highlight w:val="none"/>
        </w:rPr>
      </w:pPr>
      <w:r>
        <w:rPr>
          <w:rFonts w:hint="eastAsia" w:ascii="黑体" w:hAnsi="黑体" w:eastAsia="黑体" w:cs="黑体"/>
          <w:b/>
          <w:color w:val="auto"/>
          <w:sz w:val="40"/>
          <w:szCs w:val="40"/>
          <w:highlight w:val="none"/>
        </w:rPr>
        <w:t>目  录</w:t>
      </w:r>
    </w:p>
    <w:bookmarkEnd w:id="0"/>
    <w:p>
      <w:pPr>
        <w:jc w:val="center"/>
        <w:rPr>
          <w:rFonts w:hint="eastAsia" w:ascii="宋体" w:hAnsi="宋体" w:eastAsia="宋体" w:cs="宋体"/>
          <w:b/>
          <w:color w:val="auto"/>
          <w:sz w:val="20"/>
          <w:szCs w:val="22"/>
          <w:highlight w:val="none"/>
        </w:rPr>
      </w:pPr>
      <w:bookmarkStart w:id="1" w:name="_Toc15792"/>
      <w:r>
        <w:rPr>
          <w:color w:val="auto"/>
          <w:sz w:val="20"/>
          <w:szCs w:val="22"/>
          <w:highlight w:val="none"/>
        </w:rPr>
        <w:fldChar w:fldCharType="begin"/>
      </w:r>
      <w:r>
        <w:rPr>
          <w:color w:val="auto"/>
          <w:sz w:val="20"/>
          <w:szCs w:val="22"/>
          <w:highlight w:val="none"/>
        </w:rPr>
        <w:instrText xml:space="preserve">TOC \o "1-2" \h \u </w:instrText>
      </w:r>
      <w:r>
        <w:rPr>
          <w:color w:val="auto"/>
          <w:sz w:val="20"/>
          <w:szCs w:val="22"/>
          <w:highlight w:val="none"/>
        </w:rPr>
        <w:fldChar w:fldCharType="separate"/>
      </w:r>
    </w:p>
    <w:p>
      <w:pPr>
        <w:pStyle w:val="12"/>
        <w:tabs>
          <w:tab w:val="right" w:leader="dot" w:pos="8460"/>
        </w:tabs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HYPERLINK \l "_Toc12088"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一、基本情况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ab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instrText xml:space="preserve"> PAGEREF _Toc12088 \h </w:instrTex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2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end"/>
      </w:r>
    </w:p>
    <w:p>
      <w:pPr>
        <w:pStyle w:val="13"/>
        <w:tabs>
          <w:tab w:val="right" w:leader="dot" w:pos="8460"/>
        </w:tabs>
        <w:ind w:left="42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HYPERLINK \l "_Toc28826"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（一）项目概况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PAGEREF _Toc28826 \h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>
      <w:pPr>
        <w:pStyle w:val="13"/>
        <w:tabs>
          <w:tab w:val="right" w:leader="dot" w:pos="8460"/>
        </w:tabs>
        <w:ind w:left="42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HYPERLINK \l "_Toc3654"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（二）项目绩效目标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PAGEREF _Toc3654 \h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>
      <w:pPr>
        <w:pStyle w:val="12"/>
        <w:tabs>
          <w:tab w:val="right" w:leader="dot" w:pos="8460"/>
        </w:tabs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HYPERLINK \l "_Toc19132"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二、绩效评价工作开展情况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ab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instrText xml:space="preserve"> PAGEREF _Toc19132 \h </w:instrTex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3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end"/>
      </w:r>
    </w:p>
    <w:p>
      <w:pPr>
        <w:pStyle w:val="13"/>
        <w:tabs>
          <w:tab w:val="right" w:leader="dot" w:pos="8460"/>
        </w:tabs>
        <w:ind w:left="42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HYPERLINK \l "_Toc25628"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（一）绩效评价目的、对象和范围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PAGEREF _Toc25628 \h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3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>
      <w:pPr>
        <w:pStyle w:val="13"/>
        <w:tabs>
          <w:tab w:val="right" w:leader="dot" w:pos="8460"/>
        </w:tabs>
        <w:ind w:left="42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HYPERLINK \l "_Toc4433"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（二）绩效评价原则、方法、标准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PAGEREF _Toc4433 \h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4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>
      <w:pPr>
        <w:pStyle w:val="13"/>
        <w:tabs>
          <w:tab w:val="right" w:leader="dot" w:pos="8460"/>
        </w:tabs>
        <w:ind w:left="42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HYPERLINK \l "_Toc21549"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（三）绩效评价工作过程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PAGEREF _Toc21549 \h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4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>
      <w:pPr>
        <w:pStyle w:val="12"/>
        <w:tabs>
          <w:tab w:val="right" w:leader="dot" w:pos="8460"/>
        </w:tabs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HYPERLINK \l "_Toc29893"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三、综合评价情况及评价结论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ab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instrText xml:space="preserve"> PAGEREF _Toc29893 \h </w:instrTex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4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end"/>
      </w:r>
    </w:p>
    <w:p>
      <w:pPr>
        <w:pStyle w:val="12"/>
        <w:tabs>
          <w:tab w:val="right" w:leader="dot" w:pos="8460"/>
        </w:tabs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HYPERLINK \l "_Toc5929"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四、绩效评价指标分析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ab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instrText xml:space="preserve"> PAGEREF _Toc5929 \h </w:instrTex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5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end"/>
      </w:r>
    </w:p>
    <w:p>
      <w:pPr>
        <w:pStyle w:val="13"/>
        <w:tabs>
          <w:tab w:val="right" w:leader="dot" w:pos="8460"/>
        </w:tabs>
        <w:ind w:left="42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HYPERLINK \l "_Toc9322"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（一）项目决策情况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PAGEREF _Toc9322 \h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>
      <w:pPr>
        <w:pStyle w:val="13"/>
        <w:tabs>
          <w:tab w:val="right" w:leader="dot" w:pos="8460"/>
        </w:tabs>
        <w:ind w:left="42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HYPERLINK \l "_Toc23695"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（二）项目过程情况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PAGEREF _Toc23695 \h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6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>
      <w:pPr>
        <w:pStyle w:val="13"/>
        <w:tabs>
          <w:tab w:val="right" w:leader="dot" w:pos="8460"/>
        </w:tabs>
        <w:ind w:left="42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HYPERLINK \l "_Toc7385"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（三）项目产出情况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PAGEREF _Toc7385 \h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9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>
      <w:pPr>
        <w:pStyle w:val="13"/>
        <w:tabs>
          <w:tab w:val="right" w:leader="dot" w:pos="8460"/>
        </w:tabs>
        <w:ind w:left="42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HYPERLINK \l "_Toc18556"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（四）项目效益情况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PAGEREF _Toc18556 \h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10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>
      <w:pPr>
        <w:pStyle w:val="12"/>
        <w:tabs>
          <w:tab w:val="right" w:leader="dot" w:pos="8460"/>
        </w:tabs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HYPERLINK \l "_Toc19452"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五、主要经验及做法、存在的问题及原因分析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ab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instrText xml:space="preserve"> PAGEREF _Toc19452 \h </w:instrTex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11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end"/>
      </w:r>
    </w:p>
    <w:p>
      <w:pPr>
        <w:pStyle w:val="13"/>
        <w:tabs>
          <w:tab w:val="right" w:leader="dot" w:pos="8460"/>
        </w:tabs>
        <w:ind w:left="42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HYPERLINK \l "_Toc2672"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（一）主要经验及做法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PAGEREF _Toc2672 \h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11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>
      <w:pPr>
        <w:pStyle w:val="13"/>
        <w:tabs>
          <w:tab w:val="right" w:leader="dot" w:pos="8460"/>
        </w:tabs>
        <w:ind w:left="42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HYPERLINK \l "_Toc8104"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（二）存在的问题及原因分析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PAGEREF _Toc8104 \h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11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>
      <w:pPr>
        <w:pStyle w:val="12"/>
        <w:tabs>
          <w:tab w:val="right" w:leader="dot" w:pos="8460"/>
        </w:tabs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HYPERLINK \l "_Toc11253"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六、 有关建议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ab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instrText xml:space="preserve"> PAGEREF _Toc11253 \h </w:instrTex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12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end"/>
      </w:r>
    </w:p>
    <w:p>
      <w:pPr>
        <w:pStyle w:val="12"/>
        <w:tabs>
          <w:tab w:val="right" w:leader="dot" w:pos="8460"/>
        </w:tabs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HYPERLINK \l "_Toc10784"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七、其他需要说明的问题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ab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instrText xml:space="preserve"> PAGEREF _Toc10784 \h </w:instrTex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13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end"/>
      </w:r>
    </w:p>
    <w:p>
      <w:pPr>
        <w:pStyle w:val="12"/>
        <w:tabs>
          <w:tab w:val="right" w:leader="dot" w:pos="8460"/>
        </w:tabs>
        <w:rPr>
          <w:b/>
          <w:color w:val="auto"/>
          <w:sz w:val="28"/>
          <w:szCs w:val="28"/>
          <w:highlight w:val="none"/>
        </w:rPr>
      </w:pPr>
    </w:p>
    <w:p>
      <w:pPr>
        <w:rPr>
          <w:color w:val="auto"/>
          <w:sz w:val="20"/>
          <w:szCs w:val="22"/>
          <w:highlight w:val="none"/>
        </w:rPr>
      </w:pPr>
      <w:r>
        <w:rPr>
          <w:b/>
          <w:color w:val="auto"/>
          <w:sz w:val="20"/>
          <w:szCs w:val="22"/>
          <w:highlight w:val="none"/>
        </w:rPr>
        <w:fldChar w:fldCharType="end"/>
      </w:r>
    </w:p>
    <w:p>
      <w:pPr>
        <w:jc w:val="center"/>
        <w:outlineLvl w:val="0"/>
        <w:rPr>
          <w:rFonts w:ascii="宋体" w:hAnsi="宋体"/>
          <w:b/>
          <w:color w:val="auto"/>
          <w:sz w:val="40"/>
          <w:szCs w:val="40"/>
          <w:highlight w:val="none"/>
        </w:rPr>
        <w:sectPr>
          <w:footerReference r:id="rId4" w:type="default"/>
          <w:pgSz w:w="11906" w:h="16838"/>
          <w:pgMar w:top="1440" w:right="1646" w:bottom="1440" w:left="1800" w:header="851" w:footer="992" w:gutter="0"/>
          <w:pgNumType w:start="1"/>
          <w:cols w:space="720" w:num="1"/>
          <w:docGrid w:type="lines" w:linePitch="312" w:charSpace="0"/>
        </w:sectPr>
      </w:pPr>
      <w:bookmarkStart w:id="2" w:name="_Toc29478"/>
    </w:p>
    <w:p>
      <w:pPr>
        <w:jc w:val="center"/>
        <w:outlineLvl w:val="0"/>
        <w:rPr>
          <w:rFonts w:hint="eastAsia" w:ascii="黑体" w:hAnsi="黑体" w:eastAsia="黑体" w:cs="黑体"/>
          <w:b/>
          <w:color w:val="auto"/>
          <w:sz w:val="40"/>
          <w:szCs w:val="40"/>
          <w:highlight w:val="none"/>
        </w:rPr>
      </w:pPr>
      <w:r>
        <w:rPr>
          <w:rFonts w:hint="eastAsia" w:ascii="黑体" w:hAnsi="黑体" w:eastAsia="黑体" w:cs="黑体"/>
          <w:b/>
          <w:color w:val="auto"/>
          <w:sz w:val="40"/>
          <w:szCs w:val="40"/>
          <w:highlight w:val="none"/>
        </w:rPr>
        <w:t>北京市房山区人民检察院</w:t>
      </w:r>
      <w:bookmarkEnd w:id="1"/>
      <w:bookmarkEnd w:id="2"/>
    </w:p>
    <w:p>
      <w:pPr>
        <w:jc w:val="center"/>
        <w:outlineLvl w:val="0"/>
        <w:rPr>
          <w:rFonts w:hint="eastAsia" w:ascii="黑体" w:hAnsi="黑体" w:eastAsia="黑体" w:cs="黑体"/>
          <w:b/>
          <w:color w:val="auto"/>
          <w:sz w:val="40"/>
          <w:szCs w:val="40"/>
          <w:highlight w:val="none"/>
        </w:rPr>
      </w:pPr>
      <w:bookmarkStart w:id="3" w:name="_Toc366"/>
      <w:bookmarkStart w:id="4" w:name="_Toc20402"/>
      <w:bookmarkStart w:id="5" w:name="_Toc26220"/>
      <w:r>
        <w:rPr>
          <w:rFonts w:hint="eastAsia" w:ascii="黑体" w:hAnsi="黑体" w:eastAsia="黑体" w:cs="黑体"/>
          <w:b/>
          <w:color w:val="auto"/>
          <w:sz w:val="40"/>
          <w:szCs w:val="40"/>
          <w:highlight w:val="none"/>
        </w:rPr>
        <w:t>安保安检工作经费项目绩效评价报告</w:t>
      </w:r>
      <w:bookmarkEnd w:id="3"/>
      <w:bookmarkEnd w:id="4"/>
      <w:bookmarkEnd w:id="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line="600" w:lineRule="exact"/>
        <w:ind w:firstLine="560" w:firstLineChars="200"/>
        <w:textAlignment w:val="auto"/>
        <w:outlineLvl w:val="0"/>
        <w:rPr>
          <w:rFonts w:ascii="黑体" w:hAnsi="黑体" w:eastAsia="黑体" w:cs="黑体"/>
          <w:color w:val="auto"/>
          <w:sz w:val="28"/>
          <w:szCs w:val="28"/>
          <w:highlight w:val="none"/>
        </w:rPr>
      </w:pPr>
      <w:bookmarkStart w:id="6" w:name="_Toc339891245"/>
      <w:bookmarkStart w:id="7" w:name="_Toc339894407"/>
      <w:bookmarkStart w:id="8" w:name="_Toc169183181"/>
      <w:bookmarkStart w:id="9" w:name="_Toc12088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一、</w:t>
      </w:r>
      <w:bookmarkEnd w:id="6"/>
      <w:bookmarkEnd w:id="7"/>
      <w:bookmarkEnd w:id="8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基本情况</w:t>
      </w:r>
      <w:bookmarkEnd w:id="9"/>
    </w:p>
    <w:p>
      <w:pPr>
        <w:spacing w:line="600" w:lineRule="exact"/>
        <w:ind w:firstLine="560" w:firstLineChars="200"/>
        <w:outlineLvl w:val="1"/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</w:pPr>
      <w:bookmarkStart w:id="10" w:name="_Toc339891246"/>
      <w:bookmarkStart w:id="11" w:name="_Toc28826"/>
      <w:bookmarkStart w:id="12" w:name="_Toc339894408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（一）项目概况</w:t>
      </w:r>
      <w:bookmarkEnd w:id="10"/>
      <w:bookmarkEnd w:id="11"/>
      <w:bookmarkEnd w:id="12"/>
    </w:p>
    <w:p>
      <w:pPr>
        <w:spacing w:line="640" w:lineRule="exact"/>
        <w:ind w:firstLine="560" w:firstLineChars="200"/>
        <w:rPr>
          <w:rFonts w:hint="eastAsia" w:ascii="宋体" w:hAnsi="宋体" w:eastAsia="宋体" w:cs="宋体"/>
          <w:color w:val="auto"/>
          <w:sz w:val="20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安保安检工作经费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”项目（以下简称“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本项目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”）实施主体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北京市房山区人民检察院（以下简称“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本院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”）。为了维护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本院（机关、燕山）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正常办公秩序，向社会购买安检安保服务，安检安保人员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人24小时全天服务，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服务内容主要包含：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门岗执勤、安全检查、信访接待引导、秩序维护、处置违法上访突发事件、消防应急处置等任务。</w:t>
      </w:r>
      <w:bookmarkStart w:id="13" w:name="_Toc339894409"/>
      <w:bookmarkStart w:id="14" w:name="_Toc339891247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本项目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为保障检察院业务工作特定需要所支出的经费，参考往年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经费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支出情况，并结合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需求，</w:t>
      </w:r>
      <w:bookmarkEnd w:id="13"/>
      <w:bookmarkEnd w:id="14"/>
      <w:bookmarkStart w:id="15" w:name="_Toc339894410"/>
      <w:bookmarkStart w:id="16" w:name="_Toc339891248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申请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本项目经费61.92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万元。</w:t>
      </w:r>
    </w:p>
    <w:p>
      <w:pPr>
        <w:spacing w:line="600" w:lineRule="exact"/>
        <w:ind w:firstLine="560" w:firstLineChars="200"/>
        <w:outlineLvl w:val="1"/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</w:pPr>
      <w:bookmarkStart w:id="17" w:name="_Toc3654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（二）</w:t>
      </w:r>
      <w:bookmarkEnd w:id="15"/>
      <w:bookmarkEnd w:id="16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项目绩效目标</w:t>
      </w:r>
      <w:bookmarkEnd w:id="17"/>
    </w:p>
    <w:p>
      <w:pPr>
        <w:spacing w:line="64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本院依据部门职责职能、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十四五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规划要求、2024年工作计划、2024年重点工作以及2024年实际工作需求，并结合绩效目标申报表的填报要求，设置了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本项目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年度总体目标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具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体绩效指标。具体指标分别为：产出指标、效益指标、满意度指标、成本指标共4类一级指标，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数量指标、质量指标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、社会效益指标、服务对象满意度指标、经济成本指标5类二级指标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  <w:bookmarkStart w:id="18" w:name="_Toc339891249"/>
      <w:bookmarkStart w:id="19" w:name="_Toc339894411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本项目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的绩效指标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如下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：</w:t>
      </w:r>
    </w:p>
    <w:p>
      <w:pPr>
        <w:pStyle w:val="2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  <w:sz w:val="20"/>
          <w:szCs w:val="22"/>
          <w:highlight w:val="none"/>
          <w:lang w:eastAsia="zh-CN"/>
        </w:rPr>
      </w:pPr>
    </w:p>
    <w:tbl>
      <w:tblPr>
        <w:tblStyle w:val="9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1471"/>
        <w:gridCol w:w="2262"/>
        <w:gridCol w:w="848"/>
        <w:gridCol w:w="913"/>
        <w:gridCol w:w="833"/>
        <w:gridCol w:w="1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bookmarkStart w:id="20" w:name="_Toc19132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年度目标</w:t>
            </w:r>
          </w:p>
        </w:tc>
        <w:tc>
          <w:tcPr>
            <w:tcW w:w="7380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为了维护正常办公秩序，我院向社会购买安检安保服务，完成对机关门岗执勤、安全检查、信访接待引导、秩序维护、处置违法上访突发事件、消防应急处置等任务。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4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2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本年指标值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本年权重（%）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48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47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262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安检安保人员</w:t>
            </w:r>
          </w:p>
        </w:tc>
        <w:tc>
          <w:tcPr>
            <w:tcW w:w="848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≥</w:t>
            </w:r>
          </w:p>
        </w:tc>
        <w:tc>
          <w:tcPr>
            <w:tcW w:w="91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83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人</w:t>
            </w:r>
          </w:p>
        </w:tc>
        <w:tc>
          <w:tcPr>
            <w:tcW w:w="105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48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47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262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工作时间</w:t>
            </w:r>
          </w:p>
        </w:tc>
        <w:tc>
          <w:tcPr>
            <w:tcW w:w="848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＝</w:t>
            </w:r>
          </w:p>
        </w:tc>
        <w:tc>
          <w:tcPr>
            <w:tcW w:w="91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83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小时/天</w:t>
            </w:r>
          </w:p>
        </w:tc>
        <w:tc>
          <w:tcPr>
            <w:tcW w:w="105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148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47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262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安保人员符合行业规范</w:t>
            </w:r>
          </w:p>
        </w:tc>
        <w:tc>
          <w:tcPr>
            <w:tcW w:w="848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定性</w:t>
            </w:r>
          </w:p>
        </w:tc>
        <w:tc>
          <w:tcPr>
            <w:tcW w:w="91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符合</w:t>
            </w:r>
          </w:p>
        </w:tc>
        <w:tc>
          <w:tcPr>
            <w:tcW w:w="83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5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148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47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262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机关安全秩序</w:t>
            </w:r>
          </w:p>
        </w:tc>
        <w:tc>
          <w:tcPr>
            <w:tcW w:w="848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定性</w:t>
            </w:r>
          </w:p>
        </w:tc>
        <w:tc>
          <w:tcPr>
            <w:tcW w:w="91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好</w:t>
            </w:r>
          </w:p>
        </w:tc>
        <w:tc>
          <w:tcPr>
            <w:tcW w:w="83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5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48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47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2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维护房山区人民检察院的正常办公秩序，顺利开展各项检察工作</w:t>
            </w:r>
          </w:p>
        </w:tc>
        <w:tc>
          <w:tcPr>
            <w:tcW w:w="848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定性</w:t>
            </w:r>
          </w:p>
        </w:tc>
        <w:tc>
          <w:tcPr>
            <w:tcW w:w="91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好</w:t>
            </w:r>
          </w:p>
        </w:tc>
        <w:tc>
          <w:tcPr>
            <w:tcW w:w="83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5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48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7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262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干警满意度</w:t>
            </w:r>
          </w:p>
        </w:tc>
        <w:tc>
          <w:tcPr>
            <w:tcW w:w="848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≥</w:t>
            </w:r>
          </w:p>
        </w:tc>
        <w:tc>
          <w:tcPr>
            <w:tcW w:w="91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3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%</w:t>
            </w:r>
          </w:p>
        </w:tc>
        <w:tc>
          <w:tcPr>
            <w:tcW w:w="105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48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47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262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预算控制数</w:t>
            </w:r>
          </w:p>
        </w:tc>
        <w:tc>
          <w:tcPr>
            <w:tcW w:w="848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≤</w:t>
            </w:r>
          </w:p>
        </w:tc>
        <w:tc>
          <w:tcPr>
            <w:tcW w:w="91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61.92</w:t>
            </w:r>
          </w:p>
        </w:tc>
        <w:tc>
          <w:tcPr>
            <w:tcW w:w="83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万元</w:t>
            </w:r>
          </w:p>
        </w:tc>
        <w:tc>
          <w:tcPr>
            <w:tcW w:w="105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</w:tbl>
    <w:p>
      <w:pPr>
        <w:spacing w:line="600" w:lineRule="exact"/>
        <w:ind w:firstLine="560" w:firstLineChars="200"/>
        <w:outlineLvl w:val="0"/>
        <w:rPr>
          <w:rFonts w:hint="default" w:ascii="黑体" w:hAnsi="黑体" w:eastAsia="宋体" w:cs="黑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评价认为，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本项目年度总体目标及具体绩效指标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与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该院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职责任务相匹配，目标设置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较为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合理、可行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。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但未设置时效指标，缺少对于本项目完成时限的限制指标。</w:t>
      </w:r>
    </w:p>
    <w:p>
      <w:pPr>
        <w:spacing w:line="600" w:lineRule="exact"/>
        <w:ind w:firstLine="560" w:firstLineChars="200"/>
        <w:outlineLvl w:val="0"/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二、</w:t>
      </w:r>
      <w:bookmarkEnd w:id="18"/>
      <w:bookmarkEnd w:id="19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绩效评价工作开展情况</w:t>
      </w:r>
      <w:bookmarkEnd w:id="20"/>
    </w:p>
    <w:p>
      <w:pPr>
        <w:spacing w:line="600" w:lineRule="exact"/>
        <w:ind w:firstLine="560" w:firstLineChars="200"/>
        <w:outlineLvl w:val="1"/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</w:pPr>
      <w:bookmarkStart w:id="21" w:name="_Toc339894412"/>
      <w:bookmarkStart w:id="22" w:name="_Toc339891250"/>
      <w:bookmarkStart w:id="23" w:name="_Toc25628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（一）</w:t>
      </w:r>
      <w:bookmarkEnd w:id="21"/>
      <w:bookmarkEnd w:id="22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绩效评价目的、对象和范围</w:t>
      </w:r>
      <w:bookmarkEnd w:id="23"/>
    </w:p>
    <w:p>
      <w:pPr>
        <w:spacing w:line="360" w:lineRule="auto"/>
        <w:ind w:firstLine="64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24" w:name="_Toc339891251"/>
      <w:bookmarkStart w:id="25" w:name="_Toc339894413"/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按照</w:t>
      </w: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北京市财政局关于2025年预算绩效管理工作的通知</w:t>
      </w: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  <w:lang w:eastAsia="zh-CN"/>
        </w:rPr>
        <w:t>》（京财绩效〔2025〕245号）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的要求，对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lang w:eastAsia="zh-CN"/>
        </w:rPr>
        <w:t>本院</w:t>
      </w: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  <w:lang w:val="en-US" w:eastAsia="zh-CN"/>
        </w:rPr>
        <w:t>选取的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“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lang w:eastAsia="zh-CN"/>
        </w:rPr>
        <w:t>安保安检工作经费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”项目进行</w:t>
      </w: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  <w:lang w:val="en-US" w:eastAsia="zh-CN"/>
        </w:rPr>
        <w:t>重点项目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绩效评价。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通过评价，衡量和考核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本院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使用财政资金的绩效，了解、分析、检验资金使用是否达到预期目标，资金管理是否规范，资金使用是否有效。通过总结经验，分析问题，采取切实措施，进一步改进和加强财政支出项目管理，提高财政资金使用效益。</w:t>
      </w:r>
    </w:p>
    <w:p>
      <w:pPr>
        <w:spacing w:line="600" w:lineRule="exact"/>
        <w:ind w:firstLine="560" w:firstLineChars="200"/>
        <w:outlineLvl w:val="1"/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</w:pPr>
      <w:bookmarkStart w:id="26" w:name="_Toc4433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（二）绩效评价原则</w:t>
      </w: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方法、标准</w:t>
      </w:r>
      <w:bookmarkEnd w:id="26"/>
    </w:p>
    <w:p>
      <w:pPr>
        <w:spacing w:line="360" w:lineRule="auto"/>
        <w:ind w:firstLine="64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评价工作组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严格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遵循“客观、公正、科学、规范”的原则，主要采用对比、现场勘查、统计分析等方法开展具体工作，在仔细审阅评价资料的基础上，参照“北京市财政支出项目绩效评价指标体系”，本着遵循“相关性、重要性、可比性和系统性”原则，围绕决策、过程、产出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效益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4个方面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，明确了评价标准、细化了评价指标，形成了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“项目支出指标体系”，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本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项目预期目标与实施效果进行定性和定量分析。</w:t>
      </w:r>
    </w:p>
    <w:bookmarkEnd w:id="24"/>
    <w:bookmarkEnd w:id="25"/>
    <w:p>
      <w:pPr>
        <w:spacing w:line="600" w:lineRule="exact"/>
        <w:ind w:firstLine="560" w:firstLineChars="200"/>
        <w:outlineLvl w:val="1"/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</w:pPr>
      <w:bookmarkStart w:id="27" w:name="_Toc21549"/>
      <w:bookmarkStart w:id="28" w:name="_Toc339891252"/>
      <w:bookmarkStart w:id="29" w:name="_Toc339894414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（三）绩效评价工作过程</w:t>
      </w:r>
      <w:bookmarkEnd w:id="27"/>
    </w:p>
    <w:p>
      <w:pPr>
        <w:spacing w:line="360" w:lineRule="auto"/>
        <w:ind w:firstLine="64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30" w:name="_Toc5906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评价工作组严格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按照</w:t>
      </w: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北京市财政局关于2025年预算绩效管理工作的通知</w:t>
      </w: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  <w:lang w:eastAsia="zh-CN"/>
        </w:rPr>
        <w:t>》（京财绩效〔2025〕245号）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的要求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组织实施绩效评价工作，</w:t>
      </w:r>
      <w:bookmarkEnd w:id="30"/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本院与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中介机构共同组成绩效</w:t>
      </w:r>
      <w:bookmarkStart w:id="31" w:name="OLE_LINK2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评价工作组</w:t>
      </w:r>
      <w:bookmarkEnd w:id="31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，明确了绩效评价工作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任务分工。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为了客观、公正评价项目，深入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了解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项目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的实际情况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中介机构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通过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实地调研对资料进行逐一核实，由项目各方确认后，按照指标体系内容和评价重点对资料进行分类整理，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重点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关注预算资金管理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绩效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实现情况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。依据项目执行情况和绩效评价指标体系，对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本项目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的决策、过程、产出和效益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4个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方面进行评价和打分，最终由绩效评价工作组讨论形成评价结论、意见和建议。</w:t>
      </w:r>
    </w:p>
    <w:p>
      <w:pPr>
        <w:spacing w:line="600" w:lineRule="exact"/>
        <w:ind w:firstLine="560" w:firstLineChars="200"/>
        <w:outlineLvl w:val="0"/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</w:pPr>
      <w:bookmarkStart w:id="32" w:name="_Toc29893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三、综合评价情况及评价结论</w:t>
      </w:r>
      <w:bookmarkEnd w:id="32"/>
    </w:p>
    <w:p>
      <w:pPr>
        <w:pStyle w:val="6"/>
        <w:spacing w:after="0" w:line="360" w:lineRule="auto"/>
        <w:ind w:left="0" w:leftChars="0"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经绩效评价工作组评议，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本项目</w:t>
      </w:r>
      <w:r>
        <w:rPr>
          <w:rFonts w:hint="eastAsia" w:ascii="宋体" w:hAnsi="宋体" w:eastAsia="宋体" w:cs="宋体"/>
          <w:bCs/>
          <w:color w:val="auto"/>
          <w:kern w:val="44"/>
          <w:sz w:val="28"/>
          <w:szCs w:val="28"/>
          <w:highlight w:val="none"/>
        </w:rPr>
        <w:t>绩效评价综合得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分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86.60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分，绩效级别评定为“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良好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”。</w:t>
      </w:r>
      <w:r>
        <w:rPr>
          <w:rFonts w:hint="eastAsia" w:ascii="宋体" w:hAnsi="宋体" w:eastAsia="宋体" w:cs="宋体"/>
          <w:bCs/>
          <w:color w:val="auto"/>
          <w:kern w:val="44"/>
          <w:sz w:val="28"/>
          <w:szCs w:val="28"/>
          <w:highlight w:val="none"/>
        </w:rPr>
        <w:t>具体</w:t>
      </w:r>
      <w:r>
        <w:rPr>
          <w:rFonts w:hint="eastAsia" w:ascii="宋体" w:hAnsi="宋体" w:cs="宋体"/>
          <w:bCs/>
          <w:color w:val="auto"/>
          <w:kern w:val="44"/>
          <w:sz w:val="28"/>
          <w:szCs w:val="28"/>
          <w:highlight w:val="none"/>
          <w:lang w:val="en-US" w:eastAsia="zh-CN"/>
        </w:rPr>
        <w:t>评价得分如下</w:t>
      </w:r>
      <w:r>
        <w:rPr>
          <w:rFonts w:hint="eastAsia" w:ascii="宋体" w:hAnsi="宋体" w:cs="宋体"/>
          <w:bCs/>
          <w:color w:val="auto"/>
          <w:kern w:val="44"/>
          <w:sz w:val="28"/>
          <w:szCs w:val="28"/>
          <w:highlight w:val="none"/>
          <w:lang w:eastAsia="zh-CN"/>
        </w:rPr>
        <w:t>：</w:t>
      </w:r>
    </w:p>
    <w:tbl>
      <w:tblPr>
        <w:tblStyle w:val="9"/>
        <w:tblW w:w="8424" w:type="dxa"/>
        <w:jc w:val="center"/>
        <w:tblInd w:w="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678"/>
        <w:gridCol w:w="2710"/>
        <w:gridCol w:w="3036"/>
      </w:tblGrid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67" w:hRule="atLeast"/>
          <w:jc w:val="center"/>
        </w:trPr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评价内容</w:t>
            </w:r>
          </w:p>
        </w:tc>
        <w:tc>
          <w:tcPr>
            <w:tcW w:w="2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</w:t>
            </w: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评价得分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00" w:hRule="atLeast"/>
          <w:jc w:val="center"/>
        </w:trPr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项目决策</w:t>
            </w:r>
          </w:p>
        </w:tc>
        <w:tc>
          <w:tcPr>
            <w:tcW w:w="2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8.60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75" w:hRule="atLeast"/>
          <w:jc w:val="center"/>
        </w:trPr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项目过程</w:t>
            </w:r>
          </w:p>
        </w:tc>
        <w:tc>
          <w:tcPr>
            <w:tcW w:w="2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17.00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8" w:hRule="atLeast"/>
          <w:jc w:val="center"/>
        </w:trPr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项目产出</w:t>
            </w:r>
          </w:p>
        </w:tc>
        <w:tc>
          <w:tcPr>
            <w:tcW w:w="2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36.00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00" w:hRule="atLeast"/>
          <w:jc w:val="center"/>
        </w:trPr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2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25.00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76" w:hRule="atLeast"/>
          <w:jc w:val="center"/>
        </w:trPr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综合得分</w:t>
            </w:r>
          </w:p>
        </w:tc>
        <w:tc>
          <w:tcPr>
            <w:tcW w:w="2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86.60</w:t>
            </w:r>
          </w:p>
        </w:tc>
      </w:tr>
      <w:bookmarkEnd w:id="28"/>
      <w:bookmarkEnd w:id="29"/>
    </w:tbl>
    <w:p>
      <w:pPr>
        <w:spacing w:line="600" w:lineRule="exact"/>
        <w:ind w:firstLine="560" w:firstLineChars="200"/>
        <w:outlineLvl w:val="0"/>
        <w:rPr>
          <w:rFonts w:ascii="黑体" w:hAnsi="黑体" w:eastAsia="黑体" w:cs="黑体"/>
          <w:color w:val="auto"/>
          <w:sz w:val="28"/>
          <w:szCs w:val="28"/>
          <w:highlight w:val="none"/>
        </w:rPr>
      </w:pPr>
      <w:bookmarkStart w:id="33" w:name="_Toc5929"/>
      <w:bookmarkStart w:id="34" w:name="_Toc339891253"/>
      <w:bookmarkStart w:id="35" w:name="_Toc339894415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四、绩效评价指标分析</w:t>
      </w:r>
      <w:bookmarkEnd w:id="33"/>
    </w:p>
    <w:bookmarkEnd w:id="34"/>
    <w:bookmarkEnd w:id="35"/>
    <w:p>
      <w:pPr>
        <w:spacing w:line="600" w:lineRule="exact"/>
        <w:ind w:firstLine="560" w:firstLineChars="200"/>
        <w:outlineLvl w:val="1"/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</w:pPr>
      <w:bookmarkStart w:id="36" w:name="_Toc9322"/>
      <w:bookmarkStart w:id="37" w:name="_Toc339891254"/>
      <w:bookmarkStart w:id="38" w:name="_Toc339894416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（一）项目决策情况</w:t>
      </w:r>
      <w:bookmarkEnd w:id="36"/>
    </w:p>
    <w:p>
      <w:pPr>
        <w:spacing w:line="360" w:lineRule="auto"/>
        <w:ind w:firstLine="64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为进一步适应新时期检察事业发展形势和工作管理要求，保障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本院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各项工作的顺利完成，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明确了具体项目负责人，并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成立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项目决策小组，组长由分管行政事务院领导担任，小组成员由办公室（行政事务管理部）、检务督察部及其他相关人员组成。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本院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根据预算申报要求，结合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本院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职能、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2024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重点工作计划、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2024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经费需求等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申请本项目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参照以前年度预算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申请经费61.92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万元。</w:t>
      </w:r>
    </w:p>
    <w:p>
      <w:pPr>
        <w:spacing w:line="64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评价认为，项目立项与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本院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职能、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十四五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规划、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2024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度工作计划、相关法律法规及政策要求相符，项目立项依据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较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充分、程序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较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规范，绩效总体目标和具体指标较合理、明确、细化量化，预算编制较科学、资金分配较合理。但个别绩效指标设定不够明确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未见项目预算测算明细，项目预算分配依据不够充分。</w:t>
      </w:r>
    </w:p>
    <w:bookmarkEnd w:id="37"/>
    <w:bookmarkEnd w:id="38"/>
    <w:p>
      <w:pPr>
        <w:spacing w:line="600" w:lineRule="exact"/>
        <w:ind w:firstLine="560" w:firstLineChars="200"/>
        <w:outlineLvl w:val="1"/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</w:pPr>
      <w:bookmarkStart w:id="39" w:name="_Toc23695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（二）项目过程情况</w:t>
      </w:r>
      <w:bookmarkEnd w:id="39"/>
    </w:p>
    <w:p>
      <w:pPr>
        <w:spacing w:line="640" w:lineRule="exact"/>
        <w:ind w:firstLine="560" w:firstLineChars="200"/>
        <w:rPr>
          <w:rFonts w:hint="default" w:ascii="宋体" w:hAnsi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1.资金管理情况。</w:t>
      </w:r>
    </w:p>
    <w:p>
      <w:pPr>
        <w:spacing w:line="640" w:lineRule="exact"/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2024年2月13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日《北京市财政局关于批复北京市房山区人民检察院2024年预算的函》（京财公检法指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〔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2024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〕118号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）批复了安保安检工作经费项目预算61.92万元。截至2024年12月31日财政资金全部到位。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在项目实施过程中，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在执行本院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的财务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管理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制度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的基础上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按照合同约定每季度支付相关费用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2024年12月23日对本项目进行了验收。</w:t>
      </w:r>
    </w:p>
    <w:p>
      <w:pPr>
        <w:spacing w:line="640" w:lineRule="exact"/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2.组织实施情况。</w:t>
      </w:r>
    </w:p>
    <w:p>
      <w:pPr>
        <w:spacing w:line="640" w:lineRule="exact"/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（1）管理制度建设情况。</w:t>
      </w:r>
    </w:p>
    <w:p>
      <w:pPr>
        <w:spacing w:line="64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本院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为加强财务管理，规范财务行为，提高资金使用效益，根据国家法律法规及北京市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相关规定，制定了预算管理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经费支出管理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管理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合同管理等各项管理制度，并严格执行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上级部门相关制度规范要求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管理制度较为健全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>
      <w:pPr>
        <w:spacing w:line="640" w:lineRule="exact"/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（2）制度执行情况。</w:t>
      </w:r>
    </w:p>
    <w:p>
      <w:pPr>
        <w:spacing w:line="64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为保证项目按预算执行，并取得预期目标与成果，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本院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成立项目管理小组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合同采购小组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检务督察部全程参与、全程监督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在项目管理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过程中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，院领导、合同采购小组和项目负责人层层把关，加大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资金的监督检查力度，实行全过程监督检查，确保项目按时完成。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各小组的职责如下：</w:t>
      </w:r>
    </w:p>
    <w:p>
      <w:pPr>
        <w:spacing w:line="64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项目管理小组，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由需求部门负责人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和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需求部门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项目负责人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组成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，负责在项目实施过程中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跟踪合同履行，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加强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项目实施的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日常监督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管理，及时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协调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项目实施相关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事项以及对整体项目的支出进度、项目的完成质量进行监管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确保资金按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有关规范及合同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要求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规范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使用，确保项目按时保质保量完成。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小组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应做好项目实施过程中相关资料的收集与整理，配合提供项目绩效跟踪、绩效评价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等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相关材料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对安检安保人员从仪容仪表、工作纪律、安检安保工作3个方面进行检查，并填写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安检安保服务检查情况表》，通过监督检查确保安检安保质量。具体检查内容如下：</w:t>
      </w:r>
    </w:p>
    <w:p>
      <w:pPr>
        <w:pStyle w:val="2"/>
        <w:rPr>
          <w:rFonts w:hint="eastAsia"/>
          <w:sz w:val="20"/>
          <w:szCs w:val="22"/>
          <w:lang w:val="en-US" w:eastAsia="zh-CN"/>
        </w:rPr>
      </w:pPr>
    </w:p>
    <w:tbl>
      <w:tblPr>
        <w:tblStyle w:val="9"/>
        <w:tblW w:w="852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146"/>
        <w:gridCol w:w="4956"/>
        <w:gridCol w:w="17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1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检查项目</w:t>
            </w:r>
          </w:p>
        </w:tc>
        <w:tc>
          <w:tcPr>
            <w:tcW w:w="4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检查内容</w:t>
            </w:r>
          </w:p>
        </w:tc>
        <w:tc>
          <w:tcPr>
            <w:tcW w:w="17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检查结果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7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14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仪容仪表</w:t>
            </w:r>
          </w:p>
        </w:tc>
        <w:tc>
          <w:tcPr>
            <w:tcW w:w="4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按规定着装，仪容仪表整洁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工作场所干净整洁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1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精神饱满，微笑服务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114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工作纪律</w:t>
            </w:r>
          </w:p>
        </w:tc>
        <w:tc>
          <w:tcPr>
            <w:tcW w:w="4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当班人员在岗在位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当班时间不做与工作无关的事情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1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工作积极主动，配合例行检查并认真整改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14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安检安保工作</w:t>
            </w:r>
          </w:p>
        </w:tc>
        <w:tc>
          <w:tcPr>
            <w:tcW w:w="4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交接班登记规范、记录完整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来访人员登记规范、记录完整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规范引导外来车辆停放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突发情况及时到位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规范、熟练使用安检、防爆等设备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1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安检工作细致到位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</w:tbl>
    <w:p>
      <w:pPr>
        <w:spacing w:line="64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②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合同采购小组，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成员包括需求部门、办公室（行政事务管理部）、第四检察部、检务督察部人员，在小组框架内组织实施项目采购、合同等，负责按照相关规范及我院采购管理的要求确定采购方式，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组织采购程序；强化合同谈判，各成员部门从不同专业角度审核合同条款，进一步维护单位合法权益。检务督察部门全程参与，全程监督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>
      <w:pPr>
        <w:spacing w:line="64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评价认为，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本项目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资金到位率100%、预算执行率100%，资金使用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基本符合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国家财经法规和财务管理制度规定，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项目财务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管理制度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较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健全，制度执行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基本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有效。但政府购买服务的程序执行不够完善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缺乏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安检安保人员考核、日常监督检查、抽查等业务管理制度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，制度执行过程资料不够完善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>
      <w:pPr>
        <w:spacing w:line="600" w:lineRule="exact"/>
        <w:ind w:firstLine="560" w:firstLineChars="200"/>
        <w:outlineLvl w:val="1"/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</w:pPr>
      <w:bookmarkStart w:id="40" w:name="_Toc7385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（三）项目产出情况</w:t>
      </w:r>
      <w:bookmarkEnd w:id="40"/>
    </w:p>
    <w:p>
      <w:pPr>
        <w:spacing w:line="64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bookmarkStart w:id="41" w:name="_Toc387915321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本项目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已于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2024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12月31日完成</w:t>
      </w:r>
      <w:bookmarkEnd w:id="41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了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合同约定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的相关工作。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保安公司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配备了安检安保人员12人，其中：本院机关9人、燕山工作区3人，提供24小时全天服务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。提供了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安检安保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人员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的《保安员信息表》《保安员证》《体检报告》《排班表》《值班日志》《考勤表》《无犯罪记录》《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安检安保服务检查情况表》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基本符合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安检安保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人员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合同要求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年龄在18周岁至55周岁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身体健康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五官端正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无劣迹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具有初中以上文化程度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身高不低于1.73米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业务熟练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保安人员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持证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上岗，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严格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按照《北京市保安服务质量标准》提供安全服务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具体绩效指标完成情况如下：</w:t>
      </w:r>
    </w:p>
    <w:p>
      <w:pPr>
        <w:rPr>
          <w:rFonts w:hint="eastAsia"/>
          <w:sz w:val="20"/>
          <w:szCs w:val="22"/>
          <w:highlight w:val="none"/>
          <w:lang w:val="en-US" w:eastAsia="zh-CN"/>
        </w:rPr>
      </w:pPr>
    </w:p>
    <w:tbl>
      <w:tblPr>
        <w:tblStyle w:val="9"/>
        <w:tblW w:w="852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3433"/>
        <w:gridCol w:w="1709"/>
        <w:gridCol w:w="2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4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7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22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实际完成值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安检安保人员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≥12人</w:t>
            </w:r>
          </w:p>
        </w:tc>
        <w:tc>
          <w:tcPr>
            <w:tcW w:w="2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工作时间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=24小时/天</w:t>
            </w:r>
          </w:p>
        </w:tc>
        <w:tc>
          <w:tcPr>
            <w:tcW w:w="2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24小时/天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机关安全秩序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好</w:t>
            </w:r>
          </w:p>
        </w:tc>
        <w:tc>
          <w:tcPr>
            <w:tcW w:w="2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安保人员符合行业规范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符合</w:t>
            </w:r>
          </w:p>
        </w:tc>
        <w:tc>
          <w:tcPr>
            <w:tcW w:w="2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符合</w:t>
            </w:r>
          </w:p>
        </w:tc>
      </w:tr>
    </w:tbl>
    <w:p>
      <w:pPr>
        <w:spacing w:line="640" w:lineRule="exact"/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评价认为，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保安公司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配备了安检安保人员12人，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完成了预期产出数量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。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配备人员基本符合合同要求，并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通过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定期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监督检查的方式确保安检安保质量，本项目安保人员符合行业规范，确保了机关安全秩序良好，基本达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到了预期产出质量标准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在预算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执行过程中采取了比选方式，在成本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控制方面采取了一定的控制措施。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但产出质量资料不够完善，缺少直接证明资料；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成本控制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需要进一步加强。</w:t>
      </w:r>
    </w:p>
    <w:p>
      <w:pPr>
        <w:spacing w:line="600" w:lineRule="exact"/>
        <w:ind w:firstLine="560" w:firstLineChars="200"/>
        <w:outlineLvl w:val="1"/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</w:pPr>
      <w:bookmarkStart w:id="42" w:name="_Toc18556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（四）项目效益情况</w:t>
      </w:r>
      <w:bookmarkEnd w:id="42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本院通过向社会购买安检安保服务，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维护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了本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院的正常办公秩序，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完成了门岗执勤、安全检查、信访接待引导、秩序维护、协助处置违法上访突发事件、消防应急处置等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为本院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检察工作顺利开展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提供了基础保障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本院通过对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50名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干警从安检安保服务总体评价、安检安保人员着装、服务态度、礼节礼貌、精神面貌、应急响应等方面进行满意程度调查，发放50张调查问卷，有效问卷50份、有效回收率100%。据统计，非常满意45份占90%、满意5份占10%，院内工作人员反馈整体满意率达到100%，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达到了年初预期绩效指标≥90%的满意度指标。</w:t>
      </w:r>
    </w:p>
    <w:p>
      <w:pPr>
        <w:ind w:firstLine="48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评价认为，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本项目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实施对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于维持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正常办公秩序具有重要影响，具有良好的社会效益。但效益效果缺少直接证明资料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满意度指标设置不全面，未包含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社会民众作为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被服务对象的满意度。</w:t>
      </w:r>
    </w:p>
    <w:p>
      <w:pPr>
        <w:spacing w:line="600" w:lineRule="exact"/>
        <w:ind w:firstLine="560" w:firstLineChars="200"/>
        <w:outlineLvl w:val="0"/>
        <w:rPr>
          <w:rFonts w:ascii="黑体" w:hAnsi="黑体" w:eastAsia="黑体" w:cs="黑体"/>
          <w:color w:val="auto"/>
          <w:sz w:val="28"/>
          <w:szCs w:val="28"/>
          <w:highlight w:val="none"/>
        </w:rPr>
      </w:pPr>
      <w:bookmarkStart w:id="43" w:name="_Toc19452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五、主要经验及做法、存在的问题及原因分析</w:t>
      </w:r>
      <w:bookmarkEnd w:id="43"/>
    </w:p>
    <w:p>
      <w:pPr>
        <w:spacing w:line="600" w:lineRule="exact"/>
        <w:ind w:firstLine="560" w:firstLineChars="200"/>
        <w:outlineLvl w:val="1"/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</w:pPr>
      <w:bookmarkStart w:id="44" w:name="_Toc2672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（一）主要经验及做法</w:t>
      </w:r>
      <w:bookmarkEnd w:id="44"/>
    </w:p>
    <w:p>
      <w:pPr>
        <w:ind w:firstLine="48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本项目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较好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发挥了检务保障的作用，主要经验方面：一是及时成立组织机构，充分发挥各部门之间的组织协调作用；二是加强财政资金的管理与监督，发挥资金效益的最大化。</w:t>
      </w:r>
    </w:p>
    <w:p>
      <w:pPr>
        <w:spacing w:line="600" w:lineRule="exact"/>
        <w:ind w:firstLine="560" w:firstLineChars="200"/>
        <w:outlineLvl w:val="1"/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</w:pPr>
      <w:bookmarkStart w:id="45" w:name="_Toc8104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（二）存在的问题及原因分析</w:t>
      </w:r>
      <w:bookmarkEnd w:id="45"/>
    </w:p>
    <w:p>
      <w:pPr>
        <w:ind w:firstLine="480"/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1.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个别绩效指标设置不够完善。</w:t>
      </w:r>
    </w:p>
    <w:p>
      <w:pPr>
        <w:ind w:firstLine="480"/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（1）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未设置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时效指标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。</w:t>
      </w:r>
    </w:p>
    <w:p>
      <w:pPr>
        <w:ind w:firstLine="48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2）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满意度指标设置不全面，未包含被服务对象（社会人员）的满意度，满意度不具代表性。</w:t>
      </w:r>
    </w:p>
    <w:p>
      <w:pPr>
        <w:ind w:firstLine="48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2.预算编制科学性有待进一步提高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</w:p>
    <w:p>
      <w:pPr>
        <w:ind w:firstLine="48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缺少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需求分析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未见项目预算测算明细，项目预算分配依据不够充分。</w:t>
      </w:r>
    </w:p>
    <w:p>
      <w:pPr>
        <w:ind w:firstLine="48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3.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合同管理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有待进一步提高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</w:p>
    <w:p>
      <w:pPr>
        <w:ind w:firstLine="48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1）预算批复时间晚于合同签订时间，存在时间倒置的情况。</w:t>
      </w:r>
    </w:p>
    <w:p>
      <w:pPr>
        <w:ind w:firstLine="48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）合同要求安检安保人员年龄在18周岁至55周岁，实际派遣的12人中存在2人年龄超过了55岁，不符合合同要求。</w:t>
      </w:r>
    </w:p>
    <w:p>
      <w:pPr>
        <w:ind w:firstLine="48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）合同要求“符合国家及地方的法律规定年龄在18周岁至55周岁，身体健康，五官端正，无劣迹，具有初中以上文化程度，身高不低于1.73米，业务熟练，保安人员应持证上岗，按照《北京市保安服务质量标准》提供安全服务”，与《保安服务质量标准（北京市）》“3保安人员基本条件3.3身体条件男性身高1.70m以上，女性身高1.60m以上，双眼裸视0.8以上，无色盲，身体健康，无纹身”要求不相符，其中：身高要求不一致，合同缺少“双眼裸视0.8以上，无色盲，无纹身”要求，</w:t>
      </w:r>
    </w:p>
    <w:p>
      <w:pPr>
        <w:ind w:firstLine="48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）合同“年龄在18周岁至55周岁”要求，不符合目前延迟退休要求。</w:t>
      </w:r>
    </w:p>
    <w:p>
      <w:pPr>
        <w:ind w:firstLine="48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4.缺少业务管理制度及监管资料。</w:t>
      </w:r>
    </w:p>
    <w:p>
      <w:pPr>
        <w:ind w:firstLine="480"/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（1）缺乏安检安保人员考核、日常监督检查、抽查等业务管理制度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。</w:t>
      </w:r>
    </w:p>
    <w:p>
      <w:pPr>
        <w:ind w:firstLine="48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2）对于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安检安保人员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考核、日常检查等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过程管理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资料不够完善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>
      <w:pPr>
        <w:ind w:firstLine="48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效益效果资料不够完善，缺少直接证明资料，未能充分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体现安检安保人员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的效益效果。</w:t>
      </w:r>
    </w:p>
    <w:p>
      <w:pPr>
        <w:numPr>
          <w:ilvl w:val="0"/>
          <w:numId w:val="1"/>
        </w:numPr>
        <w:spacing w:line="600" w:lineRule="exact"/>
        <w:ind w:firstLine="560" w:firstLineChars="200"/>
        <w:outlineLvl w:val="0"/>
        <w:rPr>
          <w:rFonts w:ascii="黑体" w:hAnsi="黑体" w:eastAsia="黑体" w:cs="黑体"/>
          <w:color w:val="auto"/>
          <w:sz w:val="28"/>
          <w:szCs w:val="28"/>
          <w:highlight w:val="none"/>
        </w:rPr>
      </w:pPr>
      <w:bookmarkStart w:id="46" w:name="_Toc11253"/>
      <w:bookmarkStart w:id="47" w:name="_Toc339894421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有关建议</w:t>
      </w:r>
      <w:bookmarkEnd w:id="46"/>
    </w:p>
    <w:p>
      <w:pPr>
        <w:ind w:firstLine="48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1.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进一步提高绩效目标表的填报质量，提升绩效指标设置的科学性、合理性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>
      <w:pPr>
        <w:ind w:firstLine="48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2.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做好工作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需求分析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，明确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预算标准和依据，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科学编制预算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>
      <w:pPr>
        <w:ind w:firstLine="480"/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3.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进一步规范合同管理及资金支出管理。</w:t>
      </w:r>
    </w:p>
    <w:p>
      <w:pPr>
        <w:ind w:firstLine="48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4.制定安检安保人员管理办法，强化考核、日常检查、抽查等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过程管理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确保项目质量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>
      <w:pPr>
        <w:ind w:firstLine="48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.做好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绩效资料的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收集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整理及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归档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确保资料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完整展示项目成果，充分展现项目效益效果。</w:t>
      </w:r>
    </w:p>
    <w:p>
      <w:pPr>
        <w:spacing w:line="600" w:lineRule="exact"/>
        <w:ind w:firstLine="560" w:firstLineChars="200"/>
        <w:outlineLvl w:val="0"/>
        <w:rPr>
          <w:rFonts w:ascii="黑体" w:hAnsi="黑体" w:eastAsia="黑体" w:cs="黑体"/>
          <w:color w:val="auto"/>
          <w:sz w:val="28"/>
          <w:szCs w:val="28"/>
          <w:highlight w:val="none"/>
        </w:rPr>
      </w:pPr>
      <w:bookmarkStart w:id="48" w:name="_Toc10784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七、其他需要说明的问题</w:t>
      </w:r>
      <w:bookmarkEnd w:id="48"/>
    </w:p>
    <w:p>
      <w:pPr>
        <w:pStyle w:val="3"/>
        <w:spacing w:line="640" w:lineRule="exact"/>
        <w:ind w:firstLine="697" w:firstLineChars="24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</w:pPr>
      <w:bookmarkStart w:id="49" w:name="_Toc29083"/>
      <w:bookmarkStart w:id="50" w:name="_Toc28798"/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无。</w:t>
      </w:r>
      <w:bookmarkEnd w:id="49"/>
      <w:bookmarkEnd w:id="50"/>
    </w:p>
    <w:bookmarkEnd w:id="47"/>
    <w:p>
      <w:pPr>
        <w:jc w:val="center"/>
        <w:rPr>
          <w:rFonts w:ascii="宋体" w:hAnsi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br w:type="page"/>
      </w: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项目支出指标体系及评分情况表</w:t>
      </w:r>
    </w:p>
    <w:tbl>
      <w:tblPr>
        <w:tblStyle w:val="9"/>
        <w:tblW w:w="88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141"/>
        <w:gridCol w:w="1916"/>
        <w:gridCol w:w="688"/>
        <w:gridCol w:w="782"/>
        <w:gridCol w:w="34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8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4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8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</w:t>
            </w:r>
          </w:p>
        </w:tc>
        <w:tc>
          <w:tcPr>
            <w:tcW w:w="78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得分</w:t>
            </w:r>
          </w:p>
        </w:tc>
        <w:tc>
          <w:tcPr>
            <w:tcW w:w="348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扣分理由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4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决策（10分）　</w:t>
            </w:r>
          </w:p>
        </w:tc>
        <w:tc>
          <w:tcPr>
            <w:tcW w:w="114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项目立项（3分）</w:t>
            </w:r>
          </w:p>
        </w:tc>
        <w:tc>
          <w:tcPr>
            <w:tcW w:w="19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立项依据充分性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4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立项程序规范性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4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绩效目标（4分）　</w:t>
            </w:r>
          </w:p>
        </w:tc>
        <w:tc>
          <w:tcPr>
            <w:tcW w:w="19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绩效目标合理性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1.6</w:t>
            </w:r>
          </w:p>
        </w:tc>
        <w:tc>
          <w:tcPr>
            <w:tcW w:w="3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未设置时效指标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4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绩效指标明确性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1.6</w:t>
            </w:r>
          </w:p>
        </w:tc>
        <w:tc>
          <w:tcPr>
            <w:tcW w:w="3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效益指标设置不够明确、合理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4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资金投入（3分）</w:t>
            </w:r>
          </w:p>
        </w:tc>
        <w:tc>
          <w:tcPr>
            <w:tcW w:w="19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预算编制科学性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1.6</w:t>
            </w:r>
          </w:p>
        </w:tc>
        <w:tc>
          <w:tcPr>
            <w:tcW w:w="3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未见项目预算测算资料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4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资金分配合理性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0.8</w:t>
            </w:r>
          </w:p>
        </w:tc>
        <w:tc>
          <w:tcPr>
            <w:tcW w:w="3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未见资金分配测算明细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4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过程（20分）</w:t>
            </w:r>
          </w:p>
        </w:tc>
        <w:tc>
          <w:tcPr>
            <w:tcW w:w="114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资金管理（8分）</w:t>
            </w:r>
          </w:p>
        </w:tc>
        <w:tc>
          <w:tcPr>
            <w:tcW w:w="19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资金到位率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4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4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资金使用合规性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合同签订时间早于预算批复时间；政府购买服务的程序执行不够完善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4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组织实施（12分）</w:t>
            </w:r>
          </w:p>
        </w:tc>
        <w:tc>
          <w:tcPr>
            <w:tcW w:w="19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管理制度健全性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未见安检安保人员考核、日常监督检查、抽查等业务管理制度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4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制度执行有效性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制度执行过程资料不够完善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4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产出（40分）</w:t>
            </w:r>
          </w:p>
        </w:tc>
        <w:tc>
          <w:tcPr>
            <w:tcW w:w="114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产出数量（10分）</w:t>
            </w:r>
          </w:p>
        </w:tc>
        <w:tc>
          <w:tcPr>
            <w:tcW w:w="19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安检安保人员（12人）配备实际完成率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4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工作时间（24小时/天）实际完成率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4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产出质量（10分）</w:t>
            </w:r>
          </w:p>
        </w:tc>
        <w:tc>
          <w:tcPr>
            <w:tcW w:w="19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机关安全秩序质量完成情况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资料不够完善，缺少直接证明资料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4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安保人员符合行业规范质量完成情况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资料不够完善，缺少直接证明资料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产出时效（10分）</w:t>
            </w:r>
          </w:p>
        </w:tc>
        <w:tc>
          <w:tcPr>
            <w:tcW w:w="19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完成及时性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3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产出成本（10分）</w:t>
            </w:r>
          </w:p>
        </w:tc>
        <w:tc>
          <w:tcPr>
            <w:tcW w:w="19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成本控制有效性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成本控制资料不够完善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4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效益（30分）</w:t>
            </w:r>
          </w:p>
        </w:tc>
        <w:tc>
          <w:tcPr>
            <w:tcW w:w="114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项目效益（30分）　</w:t>
            </w:r>
          </w:p>
        </w:tc>
        <w:tc>
          <w:tcPr>
            <w:tcW w:w="19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3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资料不够完善，缺少直接证明资料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4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干警满意度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满意度指标设置不全面，未包含被服务对象（社会人员）的满意度，满意度不具代表性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903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86.60 </w:t>
            </w:r>
          </w:p>
        </w:tc>
        <w:tc>
          <w:tcPr>
            <w:tcW w:w="3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bottom"/>
          </w:tcPr>
          <w:p>
            <w:pP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</w:tbl>
    <w:p>
      <w:pPr>
        <w:rPr>
          <w:color w:val="auto"/>
          <w:sz w:val="20"/>
          <w:szCs w:val="22"/>
          <w:highlight w:val="none"/>
        </w:rPr>
      </w:pPr>
    </w:p>
    <w:sectPr>
      <w:footerReference r:id="rId5" w:type="default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22</w:t>
    </w:r>
    <w:r>
      <w:rPr>
        <w:rStyle w:val="11"/>
      </w:rPr>
      <w:fldChar w:fldCharType="end"/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74248C"/>
    <w:multiLevelType w:val="singleLevel"/>
    <w:tmpl w:val="AF74248C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yMzJmNzE0YjAxYjg5NTcxYjkxMTM4ODY2NDVhNGUifQ=="/>
    <w:docVar w:name="KSO_WPS_MARK_KEY" w:val="1f274425-cc25-47a4-ae59-c9dcb9bf8079"/>
  </w:docVars>
  <w:rsids>
    <w:rsidRoot w:val="00000000"/>
    <w:rsid w:val="04CA7F22"/>
    <w:rsid w:val="055C0C73"/>
    <w:rsid w:val="06115140"/>
    <w:rsid w:val="07746BCF"/>
    <w:rsid w:val="077C71B0"/>
    <w:rsid w:val="089C02AE"/>
    <w:rsid w:val="09E75D29"/>
    <w:rsid w:val="0D9E5EB8"/>
    <w:rsid w:val="0DF768BB"/>
    <w:rsid w:val="0F684AA6"/>
    <w:rsid w:val="0F6A67EE"/>
    <w:rsid w:val="11EA4312"/>
    <w:rsid w:val="13322A6E"/>
    <w:rsid w:val="139E4CE5"/>
    <w:rsid w:val="15CB78D8"/>
    <w:rsid w:val="17514A69"/>
    <w:rsid w:val="175C73EE"/>
    <w:rsid w:val="19C30947"/>
    <w:rsid w:val="1A8D618B"/>
    <w:rsid w:val="1C566F8A"/>
    <w:rsid w:val="1D9B6A3E"/>
    <w:rsid w:val="1DB61AD6"/>
    <w:rsid w:val="207B6374"/>
    <w:rsid w:val="210B01CE"/>
    <w:rsid w:val="21317B93"/>
    <w:rsid w:val="22281585"/>
    <w:rsid w:val="25D63E17"/>
    <w:rsid w:val="28034ED5"/>
    <w:rsid w:val="28D02DC1"/>
    <w:rsid w:val="28EB5D78"/>
    <w:rsid w:val="299A1AA2"/>
    <w:rsid w:val="2CB92586"/>
    <w:rsid w:val="2D667262"/>
    <w:rsid w:val="31451198"/>
    <w:rsid w:val="33E83C08"/>
    <w:rsid w:val="358D45CB"/>
    <w:rsid w:val="35A85D44"/>
    <w:rsid w:val="3B124611"/>
    <w:rsid w:val="3CC202FE"/>
    <w:rsid w:val="3CFC4540"/>
    <w:rsid w:val="3D83449E"/>
    <w:rsid w:val="40547346"/>
    <w:rsid w:val="422D0069"/>
    <w:rsid w:val="42D73CC1"/>
    <w:rsid w:val="432307B8"/>
    <w:rsid w:val="457511E0"/>
    <w:rsid w:val="46D71FE6"/>
    <w:rsid w:val="48CB1236"/>
    <w:rsid w:val="4A1357E3"/>
    <w:rsid w:val="4ABA7D49"/>
    <w:rsid w:val="4B5660E5"/>
    <w:rsid w:val="4BAD7FC9"/>
    <w:rsid w:val="4C090B18"/>
    <w:rsid w:val="4C7F64C2"/>
    <w:rsid w:val="4F8222E5"/>
    <w:rsid w:val="501667DE"/>
    <w:rsid w:val="509445F7"/>
    <w:rsid w:val="50C34833"/>
    <w:rsid w:val="52417FCB"/>
    <w:rsid w:val="55252C52"/>
    <w:rsid w:val="553179F7"/>
    <w:rsid w:val="55F211F1"/>
    <w:rsid w:val="57396A8E"/>
    <w:rsid w:val="57511940"/>
    <w:rsid w:val="58954BFD"/>
    <w:rsid w:val="58AE4E58"/>
    <w:rsid w:val="59BA46C8"/>
    <w:rsid w:val="5BD63F3E"/>
    <w:rsid w:val="5CA24810"/>
    <w:rsid w:val="5D971D8B"/>
    <w:rsid w:val="604A62B2"/>
    <w:rsid w:val="62AB7BE6"/>
    <w:rsid w:val="63CC234F"/>
    <w:rsid w:val="64AD7339"/>
    <w:rsid w:val="65001DA9"/>
    <w:rsid w:val="6593054F"/>
    <w:rsid w:val="665E5BD6"/>
    <w:rsid w:val="6B2A161C"/>
    <w:rsid w:val="6DA604A9"/>
    <w:rsid w:val="6DC015D1"/>
    <w:rsid w:val="71241A1C"/>
    <w:rsid w:val="71F551DF"/>
    <w:rsid w:val="73081A64"/>
    <w:rsid w:val="758D1CAA"/>
    <w:rsid w:val="76366479"/>
    <w:rsid w:val="7A440A39"/>
    <w:rsid w:val="7E152934"/>
    <w:rsid w:val="7FCC5C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iPriority="99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ind w:firstLine="157" w:firstLineChars="49"/>
      <w:outlineLvl w:val="0"/>
    </w:pPr>
    <w:rPr>
      <w:rFonts w:ascii="仿宋_GB2312" w:eastAsia="仿宋_GB2312"/>
      <w:b/>
      <w:bCs/>
      <w:snapToGrid w:val="0"/>
      <w:kern w:val="0"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9"/>
    <w:basedOn w:val="1"/>
    <w:next w:val="1"/>
    <w:unhideWhenUsed/>
    <w:qFormat/>
    <w:uiPriority w:val="99"/>
    <w:pPr>
      <w:ind w:left="1600" w:leftChars="1600"/>
    </w:p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page number"/>
    <w:basedOn w:val="10"/>
    <w:qFormat/>
    <w:uiPriority w:val="0"/>
  </w:style>
  <w:style w:type="paragraph" w:customStyle="1" w:styleId="12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3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5842</Words>
  <Characters>6093</Characters>
  <Lines>0</Lines>
  <Paragraphs>0</Paragraphs>
  <TotalTime>107</TotalTime>
  <ScaleCrop>false</ScaleCrop>
  <LinksUpToDate>false</LinksUpToDate>
  <CharactersWithSpaces>6118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2025-05-12T22:50:00Z</dcterms:created>
  <dc:creator>11609</dc:creator>
  <cp:lastModifiedBy>user</cp:lastModifiedBy>
  <dcterms:modified xsi:type="dcterms:W3CDTF">2025-08-26T03:49:47Z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CC0418C33026471DA9FA4E4247EFF17D</vt:lpwstr>
  </property>
</Properties>
</file>