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37CCB">
      <w:pPr>
        <w:spacing w:line="600" w:lineRule="exact"/>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rPr>
        <w:t>北京市第四中级人民法院部门整体绩效报告</w:t>
      </w:r>
    </w:p>
    <w:p w14:paraId="4788A275">
      <w:pPr>
        <w:spacing w:line="600" w:lineRule="exact"/>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rPr>
        <w:t>2024年度</w:t>
      </w:r>
    </w:p>
    <w:p w14:paraId="4A10246A">
      <w:pPr>
        <w:spacing w:line="600" w:lineRule="exact"/>
        <w:jc w:val="center"/>
        <w:rPr>
          <w:rFonts w:ascii="仿宋_GB2312"/>
          <w:szCs w:val="30"/>
        </w:rPr>
      </w:pPr>
    </w:p>
    <w:p w14:paraId="79CEBA33">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14:paraId="78C012C7">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14:paraId="2E482AB8">
      <w:pPr>
        <w:spacing w:line="600" w:lineRule="exact"/>
        <w:ind w:firstLine="640" w:firstLineChars="200"/>
        <w:rPr>
          <w:rFonts w:ascii="仿宋" w:hAnsi="仿宋" w:eastAsia="仿宋"/>
          <w:sz w:val="32"/>
          <w:szCs w:val="32"/>
        </w:rPr>
      </w:pPr>
      <w:r>
        <w:rPr>
          <w:rFonts w:hint="eastAsia" w:ascii="仿宋" w:hAnsi="仿宋" w:eastAsia="仿宋"/>
          <w:sz w:val="32"/>
          <w:szCs w:val="32"/>
        </w:rPr>
        <w:t>1.机构设置情况</w:t>
      </w:r>
    </w:p>
    <w:p w14:paraId="71BAAA41">
      <w:pPr>
        <w:spacing w:line="600" w:lineRule="exact"/>
        <w:ind w:firstLine="640" w:firstLineChars="200"/>
        <w:rPr>
          <w:rFonts w:ascii="仿宋" w:hAnsi="仿宋" w:eastAsia="仿宋"/>
          <w:sz w:val="32"/>
          <w:szCs w:val="32"/>
        </w:rPr>
      </w:pPr>
      <w:r>
        <w:rPr>
          <w:rFonts w:hint="eastAsia" w:ascii="仿宋" w:hAnsi="仿宋" w:eastAsia="仿宋"/>
          <w:sz w:val="32"/>
          <w:szCs w:val="32"/>
        </w:rPr>
        <w:t>北京市第四中级人民法院(北京铁路运输中级法院)，是按照党的十八届四中全会关于“探索设立跨行政区划的人民法院”，全面推进依法治国的重要部署，在北京市建立的跨行政区划的中级法院，于2014年12月30日成立并正式办案。北京市第四中级人民法院(以下简称“四中院”)内设立案庭、刑事审判庭、民商事审判庭（北京国际商事法庭）、行政审判庭、综合审判庭（环境资源审判庭）等5个审判部门，以及执行局、综合行政办公室、审判管理办公室（研究室）、司法警察支队和督察室等机构。</w:t>
      </w:r>
    </w:p>
    <w:p w14:paraId="2FAE876F">
      <w:pPr>
        <w:spacing w:line="600" w:lineRule="exact"/>
        <w:ind w:firstLine="640" w:firstLineChars="200"/>
        <w:rPr>
          <w:rFonts w:ascii="仿宋" w:hAnsi="仿宋" w:eastAsia="仿宋"/>
          <w:sz w:val="32"/>
          <w:szCs w:val="32"/>
        </w:rPr>
      </w:pPr>
      <w:r>
        <w:rPr>
          <w:rFonts w:hint="eastAsia" w:ascii="仿宋" w:hAnsi="仿宋" w:eastAsia="仿宋"/>
          <w:sz w:val="32"/>
          <w:szCs w:val="32"/>
        </w:rPr>
        <w:t>2.部门职责工作任务情况</w:t>
      </w:r>
    </w:p>
    <w:p w14:paraId="4183E631">
      <w:pPr>
        <w:spacing w:line="600" w:lineRule="exact"/>
        <w:ind w:firstLine="640" w:firstLineChars="200"/>
        <w:rPr>
          <w:rFonts w:ascii="仿宋_GB2312" w:hAnsi="仿宋" w:eastAsia="仿宋_GB2312"/>
          <w:sz w:val="32"/>
          <w:szCs w:val="32"/>
        </w:rPr>
      </w:pPr>
      <w:r>
        <w:rPr>
          <w:rFonts w:hint="eastAsia" w:ascii="仿宋" w:hAnsi="仿宋" w:eastAsia="仿宋"/>
          <w:sz w:val="32"/>
          <w:szCs w:val="32"/>
        </w:rPr>
        <w:t>北京市第四中级人民法院(北京铁路运输中级法院)，是按照党的十八届四中全会关于“探索设立跨行政区划的人民法院”，全面推进依法治国的重要部署，在北京市建立的跨行政区划的中级法院，于2014年12月30日正式挂牌成立并正式办案。单位职责是：根据《北京市高级人民法院关于北京市第四中级人民法院案件管辖的规定（2018年修订）》《北京市高级人民法院关于调整本市部分涉外案件管辖的通知》《北京市高级人民法院关于北京铁路运输法院撤销后调整相关案件管辖的规定》《最高人民法院关于调整中级人民法院管辖第一审民事案件标准的通知》等，对受理管辖的案件行使审判执行职能。同时，按照上级有关要求，努力探索符合跨行政区划法院工作规律的审判运行机制和人员管理模式，不断提升法院审判质效，真正实现“让审理者裁判，由裁判者负责”，让人民群众在每一个司法案件中感受到公平正义。</w:t>
      </w:r>
    </w:p>
    <w:p w14:paraId="2E91AB4F">
      <w:pPr>
        <w:spacing w:line="600" w:lineRule="exact"/>
        <w:ind w:firstLine="640" w:firstLineChars="200"/>
        <w:rPr>
          <w:rFonts w:ascii="楷体_GB2312" w:eastAsia="楷体_GB2312"/>
          <w:sz w:val="32"/>
          <w:szCs w:val="32"/>
        </w:rPr>
      </w:pPr>
      <w:r>
        <w:rPr>
          <w:rFonts w:hint="eastAsia" w:ascii="楷体_GB2312" w:eastAsia="楷体_GB2312"/>
          <w:sz w:val="32"/>
          <w:szCs w:val="32"/>
        </w:rPr>
        <w:t>（二）部门整体绩效目标设立情况</w:t>
      </w:r>
    </w:p>
    <w:p w14:paraId="6B06742D">
      <w:pPr>
        <w:spacing w:line="600" w:lineRule="exact"/>
        <w:ind w:firstLine="640" w:firstLineChars="200"/>
        <w:rPr>
          <w:rFonts w:ascii="仿宋" w:hAnsi="仿宋" w:eastAsia="仿宋" w:cs="宋体"/>
          <w:color w:val="000000"/>
          <w:kern w:val="0"/>
          <w:sz w:val="32"/>
          <w:szCs w:val="32"/>
        </w:rPr>
      </w:pPr>
      <w:r>
        <w:rPr>
          <w:rFonts w:hint="eastAsia" w:ascii="仿宋" w:hAnsi="仿宋" w:eastAsia="仿宋"/>
          <w:sz w:val="32"/>
          <w:szCs w:val="32"/>
        </w:rPr>
        <w:t>四中院</w:t>
      </w:r>
      <w:r>
        <w:rPr>
          <w:rFonts w:ascii="仿宋" w:hAnsi="仿宋" w:eastAsia="仿宋" w:cs="宋体"/>
          <w:color w:val="000000"/>
          <w:kern w:val="0"/>
          <w:sz w:val="32"/>
          <w:szCs w:val="32"/>
        </w:rPr>
        <w:t>整体绩效目标主要依据年度工作任务、预算安排以及重点项目计划开展情况等设立，整体绩效目标符合职能定位，目标设置科学合理。</w:t>
      </w:r>
    </w:p>
    <w:p w14:paraId="01BDA1AA">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14:paraId="15460136">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w:t>
      </w:r>
      <w:r>
        <w:rPr>
          <w:rFonts w:ascii="仿宋" w:hAnsi="仿宋" w:eastAsia="仿宋" w:cs="宋体"/>
          <w:color w:val="000000"/>
          <w:kern w:val="0"/>
          <w:sz w:val="32"/>
          <w:szCs w:val="32"/>
        </w:rPr>
        <w:t>全年</w:t>
      </w:r>
      <w:r>
        <w:rPr>
          <w:rFonts w:hint="eastAsia" w:ascii="仿宋" w:hAnsi="仿宋" w:eastAsia="仿宋" w:cs="宋体"/>
          <w:color w:val="000000"/>
          <w:kern w:val="0"/>
          <w:sz w:val="32"/>
          <w:szCs w:val="32"/>
        </w:rPr>
        <w:t>预算数11434.07万元</w:t>
      </w:r>
      <w:r>
        <w:rPr>
          <w:rFonts w:ascii="仿宋" w:hAnsi="仿宋" w:eastAsia="仿宋" w:cs="宋体"/>
          <w:color w:val="000000"/>
          <w:kern w:val="0"/>
          <w:sz w:val="32"/>
          <w:szCs w:val="32"/>
        </w:rPr>
        <w:t>，</w:t>
      </w:r>
      <w:r>
        <w:rPr>
          <w:rFonts w:hint="eastAsia" w:ascii="仿宋" w:hAnsi="仿宋" w:eastAsia="仿宋" w:cs="宋体"/>
          <w:color w:val="000000"/>
          <w:kern w:val="0"/>
          <w:sz w:val="32"/>
          <w:szCs w:val="32"/>
        </w:rPr>
        <w:t>其中</w:t>
      </w:r>
      <w:r>
        <w:rPr>
          <w:rFonts w:ascii="仿宋" w:hAnsi="仿宋" w:eastAsia="仿宋" w:cs="宋体"/>
          <w:color w:val="000000"/>
          <w:kern w:val="0"/>
          <w:sz w:val="32"/>
          <w:szCs w:val="32"/>
        </w:rPr>
        <w:t>，基本</w:t>
      </w:r>
      <w:r>
        <w:rPr>
          <w:rFonts w:hint="eastAsia" w:ascii="仿宋" w:hAnsi="仿宋" w:eastAsia="仿宋" w:cs="宋体"/>
          <w:color w:val="000000"/>
          <w:kern w:val="0"/>
          <w:sz w:val="32"/>
          <w:szCs w:val="32"/>
        </w:rPr>
        <w:t>支出</w:t>
      </w:r>
      <w:r>
        <w:rPr>
          <w:rFonts w:ascii="仿宋" w:hAnsi="仿宋" w:eastAsia="仿宋" w:cs="宋体"/>
          <w:color w:val="000000"/>
          <w:kern w:val="0"/>
          <w:sz w:val="32"/>
          <w:szCs w:val="32"/>
        </w:rPr>
        <w:t>预算数</w:t>
      </w:r>
      <w:r>
        <w:rPr>
          <w:rFonts w:hint="eastAsia" w:ascii="仿宋" w:hAnsi="仿宋" w:eastAsia="仿宋" w:cs="宋体"/>
          <w:color w:val="000000"/>
          <w:kern w:val="0"/>
          <w:sz w:val="32"/>
          <w:szCs w:val="32"/>
        </w:rPr>
        <w:t>7637.22</w:t>
      </w:r>
      <w:r>
        <w:rPr>
          <w:rFonts w:ascii="仿宋" w:hAnsi="仿宋" w:eastAsia="仿宋" w:cs="宋体"/>
          <w:color w:val="000000"/>
          <w:kern w:val="0"/>
          <w:sz w:val="32"/>
          <w:szCs w:val="32"/>
        </w:rPr>
        <w:t>万元，</w:t>
      </w:r>
      <w:r>
        <w:rPr>
          <w:rFonts w:hint="eastAsia" w:ascii="仿宋" w:hAnsi="仿宋" w:eastAsia="仿宋" w:cs="宋体"/>
          <w:color w:val="000000"/>
          <w:kern w:val="0"/>
          <w:sz w:val="32"/>
          <w:szCs w:val="32"/>
        </w:rPr>
        <w:t>项目支出预算数3796.85</w:t>
      </w:r>
      <w:r>
        <w:rPr>
          <w:rFonts w:ascii="仿宋" w:hAnsi="仿宋" w:eastAsia="仿宋" w:cs="宋体"/>
          <w:color w:val="000000"/>
          <w:kern w:val="0"/>
          <w:sz w:val="32"/>
          <w:szCs w:val="32"/>
        </w:rPr>
        <w:t>万元</w:t>
      </w:r>
      <w:r>
        <w:rPr>
          <w:rFonts w:hint="eastAsia" w:ascii="仿宋" w:hAnsi="仿宋" w:eastAsia="仿宋" w:cs="宋体"/>
          <w:color w:val="000000"/>
          <w:kern w:val="0"/>
          <w:sz w:val="32"/>
          <w:szCs w:val="32"/>
        </w:rPr>
        <w:t>。全年支出11405.97</w:t>
      </w:r>
      <w:r>
        <w:rPr>
          <w:rFonts w:ascii="仿宋" w:hAnsi="仿宋" w:eastAsia="仿宋" w:cs="宋体"/>
          <w:color w:val="000000"/>
          <w:kern w:val="0"/>
          <w:sz w:val="32"/>
          <w:szCs w:val="32"/>
        </w:rPr>
        <w:t>万元，其中，基本支出</w:t>
      </w:r>
      <w:r>
        <w:rPr>
          <w:rFonts w:hint="eastAsia" w:ascii="仿宋" w:hAnsi="仿宋" w:eastAsia="仿宋" w:cs="宋体"/>
          <w:color w:val="000000"/>
          <w:kern w:val="0"/>
          <w:sz w:val="32"/>
          <w:szCs w:val="32"/>
        </w:rPr>
        <w:t>7610.19</w:t>
      </w:r>
      <w:r>
        <w:rPr>
          <w:rFonts w:ascii="仿宋" w:hAnsi="仿宋" w:eastAsia="仿宋" w:cs="宋体"/>
          <w:color w:val="000000"/>
          <w:kern w:val="0"/>
          <w:sz w:val="32"/>
          <w:szCs w:val="32"/>
        </w:rPr>
        <w:t>万元，项目</w:t>
      </w:r>
      <w:r>
        <w:rPr>
          <w:rFonts w:hint="eastAsia" w:ascii="仿宋" w:hAnsi="仿宋" w:eastAsia="仿宋" w:cs="宋体"/>
          <w:color w:val="000000"/>
          <w:kern w:val="0"/>
          <w:sz w:val="32"/>
          <w:szCs w:val="32"/>
        </w:rPr>
        <w:t>支出3795.78</w:t>
      </w:r>
      <w:r>
        <w:rPr>
          <w:rFonts w:ascii="仿宋" w:hAnsi="仿宋" w:eastAsia="仿宋" w:cs="宋体"/>
          <w:color w:val="000000"/>
          <w:kern w:val="0"/>
          <w:sz w:val="32"/>
          <w:szCs w:val="32"/>
        </w:rPr>
        <w:t>万元。</w:t>
      </w:r>
      <w:r>
        <w:rPr>
          <w:rFonts w:hint="eastAsia" w:ascii="仿宋" w:hAnsi="仿宋" w:eastAsia="仿宋" w:cs="宋体"/>
          <w:color w:val="000000"/>
          <w:kern w:val="0"/>
          <w:sz w:val="32"/>
          <w:szCs w:val="32"/>
        </w:rPr>
        <w:t>预算</w:t>
      </w:r>
      <w:r>
        <w:rPr>
          <w:rFonts w:ascii="仿宋" w:hAnsi="仿宋" w:eastAsia="仿宋" w:cs="宋体"/>
          <w:color w:val="000000"/>
          <w:kern w:val="0"/>
          <w:sz w:val="32"/>
          <w:szCs w:val="32"/>
        </w:rPr>
        <w:t>执行率为</w:t>
      </w:r>
      <w:r>
        <w:rPr>
          <w:rFonts w:hint="eastAsia" w:ascii="仿宋" w:hAnsi="仿宋" w:eastAsia="仿宋" w:cs="宋体"/>
          <w:color w:val="000000"/>
          <w:kern w:val="0"/>
          <w:sz w:val="32"/>
          <w:szCs w:val="32"/>
        </w:rPr>
        <w:t>99.75%。</w:t>
      </w:r>
    </w:p>
    <w:p w14:paraId="038B9B49">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14:paraId="31AF2561">
      <w:pPr>
        <w:spacing w:line="600" w:lineRule="exact"/>
        <w:ind w:firstLine="640" w:firstLineChars="200"/>
        <w:rPr>
          <w:rFonts w:ascii="楷体_GB2312" w:eastAsia="楷体_GB2312"/>
          <w:sz w:val="32"/>
          <w:szCs w:val="32"/>
        </w:rPr>
      </w:pPr>
      <w:r>
        <w:rPr>
          <w:rFonts w:hint="eastAsia" w:ascii="楷体_GB2312" w:eastAsia="楷体_GB2312"/>
          <w:sz w:val="32"/>
          <w:szCs w:val="32"/>
        </w:rPr>
        <w:t>（一）产出完成情况分析</w:t>
      </w:r>
    </w:p>
    <w:p w14:paraId="5CE8A0DE">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1.产出数量</w:t>
      </w:r>
    </w:p>
    <w:p w14:paraId="6AE27C13">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2024年度，四中院主要产出数量指标如下：</w:t>
      </w:r>
    </w:p>
    <w:p w14:paraId="3057FD2B">
      <w:pPr>
        <w:spacing w:line="600" w:lineRule="exact"/>
        <w:ind w:firstLine="640" w:firstLineChars="200"/>
        <w:rPr>
          <w:rFonts w:ascii="仿宋" w:hAnsi="仿宋" w:eastAsia="仿宋"/>
          <w:sz w:val="32"/>
          <w:szCs w:val="32"/>
        </w:rPr>
      </w:pPr>
      <w:r>
        <w:rPr>
          <w:rFonts w:hint="eastAsia" w:ascii="仿宋" w:hAnsi="仿宋" w:eastAsia="仿宋"/>
          <w:sz w:val="32"/>
          <w:szCs w:val="32"/>
        </w:rPr>
        <w:t>①聚焦服务保障京津冀协同发展战略和“两区”建设、推进更高水平对外开放，深入推进涉外商事纠纷多元化解，有效助推北京打造国际商事纠纷解决优选地，为首都经济社会发展提供了有力司法服务保障。全年共新收各类案件7139件，结案7020件。</w:t>
      </w:r>
    </w:p>
    <w:p w14:paraId="13736D42">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②电子卷宗生成中心全年接收扫描邮寄立案6387件，完成同步生成扫描及校核7860件78.69万页，整卷归档1966卷4205册；诉讼档案全流程扫描4181卷9442册81.17万页，装订归档及入库上架14259册；完成扫描文书档案468册1.64万页。</w:t>
      </w:r>
    </w:p>
    <w:p w14:paraId="16DD7CC0">
      <w:pPr>
        <w:spacing w:line="600" w:lineRule="exact"/>
        <w:ind w:firstLine="640" w:firstLineChars="200"/>
        <w:rPr>
          <w:rFonts w:ascii="仿宋" w:hAnsi="仿宋" w:eastAsia="仿宋"/>
          <w:sz w:val="32"/>
          <w:szCs w:val="32"/>
        </w:rPr>
      </w:pPr>
      <w:r>
        <w:rPr>
          <w:rFonts w:hint="eastAsia" w:ascii="仿宋" w:hAnsi="仿宋" w:eastAsia="仿宋"/>
          <w:sz w:val="32"/>
          <w:szCs w:val="32"/>
        </w:rPr>
        <w:t>③围绕提供司法服务正能量、推进法治政府建设，加强典型案例宣传力度，全年共计召开各类新闻通报会6场， 发布普法宣传推文3000余篇、微动漫及视频70余部。</w:t>
      </w:r>
    </w:p>
    <w:p w14:paraId="60A365DD">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④以服务保障各项审判工作正常运转为中心，严格执行《政府采购法》及实施条例的相关要求，合理使用业务装备经费购置相关设备，全年共计采购各类设备120台（套）。</w:t>
      </w:r>
    </w:p>
    <w:p w14:paraId="139BE68F">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2.产出</w:t>
      </w:r>
      <w:r>
        <w:rPr>
          <w:rFonts w:ascii="仿宋" w:hAnsi="仿宋" w:eastAsia="仿宋" w:cs="宋体"/>
          <w:color w:val="000000"/>
          <w:kern w:val="0"/>
          <w:sz w:val="32"/>
          <w:szCs w:val="32"/>
        </w:rPr>
        <w:t>质量</w:t>
      </w:r>
    </w:p>
    <w:p w14:paraId="4BED1173">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2024年度，四中院主要产出质量指标如下：</w:t>
      </w:r>
    </w:p>
    <w:p w14:paraId="2D56576B">
      <w:pPr>
        <w:spacing w:line="600" w:lineRule="exact"/>
        <w:ind w:firstLine="640" w:firstLineChars="200"/>
        <w:rPr>
          <w:rFonts w:ascii="仿宋" w:hAnsi="仿宋" w:eastAsia="仿宋" w:cs="宋体"/>
          <w:color w:val="000000"/>
          <w:kern w:val="0"/>
          <w:sz w:val="32"/>
          <w:szCs w:val="32"/>
        </w:rPr>
      </w:pPr>
      <w:r>
        <w:rPr>
          <w:rFonts w:hint="eastAsia" w:ascii="仿宋" w:hAnsi="仿宋" w:eastAsia="仿宋"/>
          <w:sz w:val="32"/>
          <w:szCs w:val="32"/>
        </w:rPr>
        <w:t>①抓牢执法办案第一要务，大力实施精品战略，强化审判职能发挥、工作质效和典型案例示范引领，全年案件结案率84.50%、结收比98.33%。</w:t>
      </w:r>
    </w:p>
    <w:p w14:paraId="1A916061">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sz w:val="32"/>
          <w:szCs w:val="32"/>
        </w:rPr>
        <w:t>②持续拓展信息化手段保障审判工作应用，强化全流程信息处理，确保电子档案清晰和查阅系统的正常运行，为诉讼当事人提供了便捷、优质的服务保障。</w:t>
      </w:r>
    </w:p>
    <w:p w14:paraId="3EC972FA">
      <w:pPr>
        <w:spacing w:line="600" w:lineRule="exact"/>
        <w:ind w:firstLine="640" w:firstLineChars="200"/>
        <w:rPr>
          <w:rFonts w:ascii="仿宋" w:hAnsi="仿宋" w:eastAsia="仿宋" w:cs="宋体"/>
          <w:color w:val="000000"/>
          <w:kern w:val="0"/>
          <w:sz w:val="32"/>
          <w:szCs w:val="32"/>
        </w:rPr>
      </w:pPr>
      <w:r>
        <w:rPr>
          <w:rFonts w:hint="eastAsia" w:ascii="仿宋" w:hAnsi="仿宋" w:eastAsia="仿宋"/>
          <w:sz w:val="32"/>
          <w:szCs w:val="32"/>
        </w:rPr>
        <w:t>③</w:t>
      </w:r>
      <w:r>
        <w:rPr>
          <w:rFonts w:hint="eastAsia" w:ascii="仿宋" w:hAnsi="仿宋" w:eastAsia="仿宋" w:cs="宋体"/>
          <w:color w:val="000000"/>
          <w:kern w:val="0"/>
          <w:sz w:val="32"/>
          <w:szCs w:val="32"/>
        </w:rPr>
        <w:t>加大普法宣传力度，丰富引导宣传手段，</w:t>
      </w:r>
      <w:r>
        <w:rPr>
          <w:rFonts w:hint="eastAsia" w:ascii="仿宋" w:hAnsi="仿宋" w:eastAsia="仿宋"/>
          <w:sz w:val="32"/>
          <w:szCs w:val="32"/>
        </w:rPr>
        <w:t>充分发挥官方自媒体作用，守牢意识形态阵地、传递正能量，有力提升单位在社会公众中的影响，营造公正司法和司法公开良好氛围。</w:t>
      </w:r>
    </w:p>
    <w:p w14:paraId="6C35BAD7">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sz w:val="32"/>
          <w:szCs w:val="32"/>
        </w:rPr>
        <w:t>④</w:t>
      </w:r>
      <w:r>
        <w:rPr>
          <w:rFonts w:ascii="仿宋" w:hAnsi="仿宋" w:eastAsia="仿宋" w:cs="宋体"/>
          <w:color w:val="000000"/>
          <w:kern w:val="0"/>
          <w:sz w:val="32"/>
          <w:szCs w:val="32"/>
        </w:rPr>
        <w:t>厉行节约</w:t>
      </w: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过紧日子，有效控制机关运行成本；</w:t>
      </w:r>
      <w:r>
        <w:rPr>
          <w:rFonts w:hint="eastAsia" w:ascii="仿宋" w:hAnsi="仿宋" w:eastAsia="仿宋" w:cs="宋体"/>
          <w:color w:val="000000"/>
          <w:kern w:val="0"/>
          <w:sz w:val="32"/>
          <w:szCs w:val="32"/>
        </w:rPr>
        <w:t>改进</w:t>
      </w:r>
      <w:r>
        <w:rPr>
          <w:rFonts w:ascii="仿宋" w:hAnsi="仿宋" w:eastAsia="仿宋" w:cs="宋体"/>
          <w:color w:val="000000"/>
          <w:kern w:val="0"/>
          <w:sz w:val="32"/>
          <w:szCs w:val="32"/>
        </w:rPr>
        <w:t>国有资产管理机制，</w:t>
      </w:r>
      <w:r>
        <w:rPr>
          <w:rFonts w:hint="eastAsia" w:ascii="仿宋" w:hAnsi="仿宋" w:eastAsia="仿宋" w:cs="宋体"/>
          <w:sz w:val="32"/>
          <w:szCs w:val="32"/>
        </w:rPr>
        <w:t>突出保障审判执行业务重点，</w:t>
      </w:r>
      <w:r>
        <w:rPr>
          <w:rFonts w:ascii="仿宋" w:hAnsi="仿宋" w:eastAsia="仿宋" w:cs="宋体"/>
          <w:color w:val="000000"/>
          <w:kern w:val="0"/>
          <w:sz w:val="32"/>
          <w:szCs w:val="32"/>
        </w:rPr>
        <w:t>努力发挥国有资产使用效益</w:t>
      </w:r>
      <w:r>
        <w:rPr>
          <w:rFonts w:hint="eastAsia" w:ascii="仿宋" w:hAnsi="仿宋" w:eastAsia="仿宋"/>
          <w:sz w:val="32"/>
          <w:szCs w:val="32"/>
        </w:rPr>
        <w:t>。</w:t>
      </w:r>
    </w:p>
    <w:p w14:paraId="66A2C140">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3.产出</w:t>
      </w:r>
      <w:r>
        <w:rPr>
          <w:rFonts w:ascii="仿宋" w:hAnsi="仿宋" w:eastAsia="仿宋" w:cs="宋体"/>
          <w:color w:val="000000"/>
          <w:kern w:val="0"/>
          <w:sz w:val="32"/>
          <w:szCs w:val="32"/>
        </w:rPr>
        <w:t>进度</w:t>
      </w:r>
    </w:p>
    <w:p w14:paraId="5C05D88F">
      <w:pPr>
        <w:spacing w:line="600" w:lineRule="exact"/>
        <w:ind w:firstLine="640" w:firstLineChars="200"/>
        <w:rPr>
          <w:rFonts w:ascii="仿宋" w:hAnsi="仿宋" w:eastAsia="仿宋" w:cs="宋体"/>
          <w:color w:val="000000"/>
          <w:kern w:val="0"/>
          <w:sz w:val="32"/>
          <w:szCs w:val="32"/>
        </w:rPr>
      </w:pPr>
      <w:r>
        <w:rPr>
          <w:rFonts w:ascii="仿宋" w:hAnsi="仿宋" w:eastAsia="仿宋" w:cs="宋体"/>
          <w:color w:val="000000"/>
          <w:kern w:val="0"/>
          <w:sz w:val="32"/>
          <w:szCs w:val="32"/>
        </w:rPr>
        <w:t>因审判机关工作特殊性和案件受理的不确定性，四中院不适用产出进度指标。</w:t>
      </w:r>
    </w:p>
    <w:p w14:paraId="7A0A38AE">
      <w:pPr>
        <w:spacing w:line="600" w:lineRule="exact"/>
        <w:ind w:firstLine="640" w:firstLineChars="200"/>
        <w:rPr>
          <w:rFonts w:ascii="仿宋" w:hAnsi="仿宋" w:eastAsia="仿宋" w:cs="宋体"/>
          <w:color w:val="000000"/>
          <w:kern w:val="0"/>
          <w:sz w:val="32"/>
          <w:szCs w:val="32"/>
        </w:rPr>
      </w:pPr>
      <w:r>
        <w:rPr>
          <w:rFonts w:ascii="仿宋" w:hAnsi="仿宋" w:eastAsia="仿宋" w:cs="宋体"/>
          <w:color w:val="000000"/>
          <w:kern w:val="0"/>
          <w:sz w:val="32"/>
          <w:szCs w:val="32"/>
        </w:rPr>
        <w:t>4.</w:t>
      </w:r>
      <w:r>
        <w:rPr>
          <w:rFonts w:hint="eastAsia" w:ascii="仿宋" w:hAnsi="仿宋" w:eastAsia="仿宋" w:cs="宋体"/>
          <w:color w:val="000000"/>
          <w:kern w:val="0"/>
          <w:sz w:val="32"/>
          <w:szCs w:val="32"/>
        </w:rPr>
        <w:t>产出</w:t>
      </w:r>
      <w:r>
        <w:rPr>
          <w:rFonts w:ascii="仿宋" w:hAnsi="仿宋" w:eastAsia="仿宋" w:cs="宋体"/>
          <w:color w:val="000000"/>
          <w:kern w:val="0"/>
          <w:sz w:val="32"/>
          <w:szCs w:val="32"/>
        </w:rPr>
        <w:t>成本</w:t>
      </w:r>
    </w:p>
    <w:p w14:paraId="776561AA">
      <w:pPr>
        <w:spacing w:line="600" w:lineRule="exact"/>
        <w:ind w:firstLine="640" w:firstLineChars="200"/>
        <w:rPr>
          <w:rFonts w:ascii="仿宋" w:hAnsi="仿宋" w:eastAsia="仿宋" w:cs="宋体"/>
          <w:color w:val="000000"/>
          <w:kern w:val="0"/>
          <w:sz w:val="32"/>
          <w:szCs w:val="32"/>
        </w:rPr>
      </w:pPr>
      <w:r>
        <w:rPr>
          <w:rFonts w:ascii="仿宋" w:hAnsi="仿宋" w:eastAsia="仿宋" w:cs="宋体"/>
          <w:color w:val="000000"/>
          <w:kern w:val="0"/>
          <w:sz w:val="32"/>
          <w:szCs w:val="32"/>
        </w:rPr>
        <w:t>因审判机关工作特殊性和案件受理的不确定性，四中院不适用产出</w:t>
      </w:r>
      <w:r>
        <w:rPr>
          <w:rFonts w:hint="eastAsia" w:ascii="仿宋" w:hAnsi="仿宋" w:eastAsia="仿宋" w:cs="宋体"/>
          <w:color w:val="000000"/>
          <w:kern w:val="0"/>
          <w:sz w:val="32"/>
          <w:szCs w:val="32"/>
        </w:rPr>
        <w:t>成本</w:t>
      </w:r>
      <w:r>
        <w:rPr>
          <w:rFonts w:ascii="仿宋" w:hAnsi="仿宋" w:eastAsia="仿宋" w:cs="宋体"/>
          <w:color w:val="000000"/>
          <w:kern w:val="0"/>
          <w:sz w:val="32"/>
          <w:szCs w:val="32"/>
        </w:rPr>
        <w:t>指标。</w:t>
      </w:r>
    </w:p>
    <w:p w14:paraId="3DE0EB20">
      <w:pPr>
        <w:spacing w:line="600" w:lineRule="exact"/>
        <w:ind w:firstLine="640" w:firstLineChars="20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14:paraId="70586074">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1.经济</w:t>
      </w:r>
      <w:r>
        <w:rPr>
          <w:rFonts w:ascii="仿宋" w:hAnsi="仿宋" w:eastAsia="仿宋" w:cs="宋体"/>
          <w:color w:val="000000"/>
          <w:kern w:val="0"/>
          <w:sz w:val="32"/>
          <w:szCs w:val="32"/>
        </w:rPr>
        <w:t>效益</w:t>
      </w:r>
    </w:p>
    <w:p w14:paraId="6479CBAA">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2024年度，四中院机构日常运转成本支出（主要包括水、电、暖及物业费用）合计423.87万元，同比上年度442.49万元下降4.21%，符合降低行政运行成本的预期目标。</w:t>
      </w:r>
    </w:p>
    <w:p w14:paraId="75FE8B33">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2024年度，四中院“三公”经费（主要用于公务用车运行维护）支出合计38.65万元，同比上年度41.88万元减少3.23万元，符合“三公”经费支出只减不增的目标。</w:t>
      </w:r>
    </w:p>
    <w:p w14:paraId="5DD9B89A">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2.社会效益</w:t>
      </w:r>
    </w:p>
    <w:p w14:paraId="003152C7">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度，四中院深入贯彻习近平法治思想，全面落实中央、市委及上级法院决策部署，坚持“以创建促创新、以品牌提品质、以活动带活力”，发布推广特色党建品牌矩阵。积极有为服务保障大局，全面提升涉外审判水平，高标准服务两区建设，成功审结多个“全国首案”和树规则、树理念的有影响力案件，积极发挥典型案例示范引导作用；进一步做好仲裁司法审查工作，打造集国际商事纠纷调解、诉讼、仲裁功能于一体的一站式多元解纷“首都模式”；强化围绕中心延伸职能，不断深化府院联动效果，推动政府机关加强法治政府建设和纠纷源头治理；加强司法协作，联合京津冀三地法院开展调研攻关，促进三地裁判尺度统一，助力京津冀协同发展；采取新闻通报会和新媒体发布等方式，聚焦人民群众关切各类案件，以案释法、以案说理、以案促改，推动增强人民群众的法律意识和防范意识，社会效益明显。</w:t>
      </w:r>
    </w:p>
    <w:p w14:paraId="7B18F23D">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3.环境效益</w:t>
      </w:r>
    </w:p>
    <w:p w14:paraId="64DCFD9A">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度，四中院各项业务开展坚持绿色、低碳、节约的工作理念，在保障日常正常运转所需的基础上，采取内部宣传引导、水电设施排查维护等措施，进一步强化能源节约降耗力度。2024年度能源消耗支出（水、电、暖）合计238.87万元，同比上年度241.86万元减少2.99万元，环境效益明显。</w:t>
      </w:r>
    </w:p>
    <w:p w14:paraId="4E0EDE8E">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4.可持续</w:t>
      </w:r>
      <w:r>
        <w:rPr>
          <w:rFonts w:ascii="仿宋" w:hAnsi="仿宋" w:eastAsia="仿宋" w:cs="宋体"/>
          <w:color w:val="000000"/>
          <w:kern w:val="0"/>
          <w:sz w:val="32"/>
          <w:szCs w:val="32"/>
        </w:rPr>
        <w:t>性影响</w:t>
      </w:r>
    </w:p>
    <w:p w14:paraId="5916E0B2">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2024年度，四中院结合案件管辖调整和受理案件变化趋势，一方面积极探索和实践符合履行审判职能所需的工作模式，充分依托</w:t>
      </w:r>
      <w:r>
        <w:rPr>
          <w:rFonts w:hint="eastAsia" w:ascii="仿宋" w:hAnsi="仿宋" w:eastAsia="仿宋"/>
          <w:sz w:val="32"/>
          <w:szCs w:val="32"/>
        </w:rPr>
        <w:t>北京国际商事法庭和涉外商事案件一站式多元解纷中心，精准</w:t>
      </w:r>
      <w:r>
        <w:rPr>
          <w:rFonts w:hint="eastAsia" w:ascii="仿宋" w:hAnsi="仿宋" w:eastAsia="仿宋" w:cs="宋体"/>
          <w:color w:val="000000"/>
          <w:kern w:val="0"/>
          <w:sz w:val="32"/>
          <w:szCs w:val="32"/>
        </w:rPr>
        <w:t>服务首都两区建设和营商环境建设；另一方面，通过典型案例分析通报，引导当事人提高依法行政能力水平和矛盾源头治理能力，防范和规避经济纠纷风险</w:t>
      </w:r>
      <w:r>
        <w:rPr>
          <w:rFonts w:hint="eastAsia" w:ascii="仿宋" w:hAnsi="仿宋" w:eastAsia="仿宋"/>
          <w:sz w:val="32"/>
          <w:szCs w:val="32"/>
        </w:rPr>
        <w:t>，可持续影响效益明显。</w:t>
      </w:r>
    </w:p>
    <w:p w14:paraId="311E0CC5">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5.服务对象</w:t>
      </w:r>
      <w:r>
        <w:rPr>
          <w:rFonts w:ascii="仿宋" w:hAnsi="仿宋" w:eastAsia="仿宋" w:cs="宋体"/>
          <w:color w:val="000000"/>
          <w:kern w:val="0"/>
          <w:sz w:val="32"/>
          <w:szCs w:val="32"/>
        </w:rPr>
        <w:t>满意度</w:t>
      </w:r>
    </w:p>
    <w:p w14:paraId="20870413">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2024年度，四中院坚持为大局服务、为人民司法，进一步优化网上立案、网络开庭等诉讼办事流程，</w:t>
      </w:r>
      <w:r>
        <w:rPr>
          <w:rFonts w:hint="eastAsia" w:ascii="仿宋" w:hAnsi="仿宋" w:eastAsia="仿宋"/>
          <w:sz w:val="32"/>
          <w:szCs w:val="32"/>
        </w:rPr>
        <w:t>为广大人民群众和诉讼当事人提供便捷、优质、高效的案件审理和法律咨询服务，得到了受众群体的一致好评。</w:t>
      </w:r>
    </w:p>
    <w:p w14:paraId="7EE193EF">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14:paraId="2494F46B">
      <w:pPr>
        <w:spacing w:line="600" w:lineRule="exact"/>
        <w:ind w:firstLine="640" w:firstLineChars="200"/>
        <w:rPr>
          <w:rFonts w:ascii="楷体_GB2312" w:eastAsia="楷体_GB2312"/>
          <w:sz w:val="32"/>
          <w:szCs w:val="32"/>
        </w:rPr>
      </w:pPr>
      <w:r>
        <w:rPr>
          <w:rFonts w:hint="eastAsia" w:ascii="楷体_GB2312" w:eastAsia="楷体_GB2312"/>
          <w:sz w:val="32"/>
          <w:szCs w:val="32"/>
        </w:rPr>
        <w:t>（一）财务管理</w:t>
      </w:r>
    </w:p>
    <w:p w14:paraId="314584F7">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1.财务</w:t>
      </w:r>
      <w:r>
        <w:rPr>
          <w:rFonts w:ascii="仿宋" w:hAnsi="仿宋" w:eastAsia="仿宋" w:cs="宋体"/>
          <w:color w:val="000000"/>
          <w:kern w:val="0"/>
          <w:sz w:val="32"/>
          <w:szCs w:val="32"/>
        </w:rPr>
        <w:t>管理制度健全性</w:t>
      </w:r>
    </w:p>
    <w:p w14:paraId="5F514B78">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在财务管理制度方面，四中院已制定并施行《内部控制手册》《财务管理办法》《案款管理办法》《诉讼费管理办法》和《公务卡管理使用办法》等一系列的内部规章制度，形成了较为健全的财务管理内部控制体系。</w:t>
      </w:r>
    </w:p>
    <w:p w14:paraId="054CAED8">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2.资金使用合规性</w:t>
      </w:r>
      <w:r>
        <w:rPr>
          <w:rFonts w:ascii="仿宋" w:hAnsi="仿宋" w:eastAsia="仿宋" w:cs="宋体"/>
          <w:color w:val="000000"/>
          <w:kern w:val="0"/>
          <w:sz w:val="32"/>
          <w:szCs w:val="32"/>
        </w:rPr>
        <w:t>和安全性</w:t>
      </w:r>
    </w:p>
    <w:p w14:paraId="4C7D7898">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在资金使用管理</w:t>
      </w:r>
      <w:r>
        <w:rPr>
          <w:rFonts w:ascii="仿宋" w:hAnsi="仿宋" w:eastAsia="仿宋" w:cs="宋体"/>
          <w:color w:val="000000"/>
          <w:kern w:val="0"/>
          <w:sz w:val="32"/>
          <w:szCs w:val="32"/>
        </w:rPr>
        <w:t>方面</w:t>
      </w:r>
      <w:r>
        <w:rPr>
          <w:rFonts w:hint="eastAsia" w:ascii="仿宋" w:hAnsi="仿宋" w:eastAsia="仿宋" w:cs="宋体"/>
          <w:color w:val="000000"/>
          <w:kern w:val="0"/>
          <w:sz w:val="32"/>
          <w:szCs w:val="32"/>
        </w:rPr>
        <w:t>，四中院</w:t>
      </w:r>
      <w:r>
        <w:rPr>
          <w:rFonts w:ascii="仿宋" w:hAnsi="仿宋" w:eastAsia="仿宋" w:cs="宋体"/>
          <w:color w:val="000000"/>
          <w:kern w:val="0"/>
          <w:sz w:val="32"/>
          <w:szCs w:val="32"/>
        </w:rPr>
        <w:t>严格落实党政机关“三重一大”制度，严格遵循市级部门预算管理、国有资产管理</w:t>
      </w:r>
      <w:r>
        <w:rPr>
          <w:rFonts w:hint="eastAsia" w:ascii="仿宋" w:hAnsi="仿宋" w:eastAsia="仿宋" w:cs="宋体"/>
          <w:color w:val="000000"/>
          <w:kern w:val="0"/>
          <w:sz w:val="32"/>
          <w:szCs w:val="32"/>
        </w:rPr>
        <w:t>和</w:t>
      </w:r>
      <w:r>
        <w:rPr>
          <w:rFonts w:ascii="仿宋" w:hAnsi="仿宋" w:eastAsia="仿宋" w:cs="宋体"/>
          <w:color w:val="000000"/>
          <w:kern w:val="0"/>
          <w:sz w:val="32"/>
          <w:szCs w:val="32"/>
        </w:rPr>
        <w:t>政府采购和政府购买服务管理等</w:t>
      </w:r>
      <w:r>
        <w:rPr>
          <w:rFonts w:hint="eastAsia" w:ascii="仿宋" w:hAnsi="仿宋" w:eastAsia="仿宋" w:cs="宋体"/>
          <w:color w:val="000000"/>
          <w:kern w:val="0"/>
          <w:sz w:val="32"/>
          <w:szCs w:val="32"/>
        </w:rPr>
        <w:t>若干</w:t>
      </w:r>
      <w:r>
        <w:rPr>
          <w:rFonts w:ascii="仿宋" w:hAnsi="仿宋" w:eastAsia="仿宋" w:cs="宋体"/>
          <w:color w:val="000000"/>
          <w:kern w:val="0"/>
          <w:sz w:val="32"/>
          <w:szCs w:val="32"/>
        </w:rPr>
        <w:t>制度规范，各项资金使用严格执行内部经费审批制度。同时，坚持开展常态化内部审计监督，确保各类资金使用合规、安全。</w:t>
      </w:r>
    </w:p>
    <w:p w14:paraId="5A8EE0F2">
      <w:pPr>
        <w:spacing w:line="600" w:lineRule="exact"/>
        <w:ind w:firstLine="640" w:firstLineChars="200"/>
        <w:rPr>
          <w:rFonts w:ascii="仿宋" w:hAnsi="仿宋" w:eastAsia="仿宋" w:cs="宋体"/>
          <w:color w:val="000000"/>
          <w:kern w:val="0"/>
          <w:sz w:val="32"/>
          <w:szCs w:val="32"/>
        </w:rPr>
      </w:pPr>
      <w:r>
        <w:rPr>
          <w:rFonts w:ascii="仿宋" w:hAnsi="仿宋" w:eastAsia="仿宋" w:cs="宋体"/>
          <w:color w:val="000000"/>
          <w:kern w:val="0"/>
          <w:sz w:val="32"/>
          <w:szCs w:val="32"/>
        </w:rPr>
        <w:t>3.</w:t>
      </w:r>
      <w:r>
        <w:rPr>
          <w:rFonts w:hint="eastAsia" w:ascii="仿宋" w:hAnsi="仿宋" w:eastAsia="仿宋" w:cs="宋体"/>
          <w:color w:val="000000"/>
          <w:kern w:val="0"/>
          <w:sz w:val="32"/>
          <w:szCs w:val="32"/>
        </w:rPr>
        <w:t>会计</w:t>
      </w:r>
      <w:r>
        <w:rPr>
          <w:rFonts w:ascii="仿宋" w:hAnsi="仿宋" w:eastAsia="仿宋" w:cs="宋体"/>
          <w:color w:val="000000"/>
          <w:kern w:val="0"/>
          <w:sz w:val="32"/>
          <w:szCs w:val="32"/>
        </w:rPr>
        <w:t>基础信息完善性</w:t>
      </w:r>
    </w:p>
    <w:p w14:paraId="519B8857">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在会计基础工作方面，四中院会计账套和会计科目体系设置符合《政府会计制度》要求和单位业务实际需要，会计账簿和各项基础资料真实、有效、完整，会计记录及时、准确，各类财务报表、报告严格依据市级财政部门相关要求编制，会计凭证档案建立规范、保管妥当，会计基础信息完善。</w:t>
      </w:r>
    </w:p>
    <w:p w14:paraId="67A81100">
      <w:pPr>
        <w:spacing w:line="600" w:lineRule="exact"/>
        <w:ind w:firstLine="640" w:firstLineChars="200"/>
        <w:rPr>
          <w:rFonts w:ascii="楷体_GB2312" w:eastAsia="楷体_GB2312"/>
          <w:sz w:val="32"/>
          <w:szCs w:val="32"/>
        </w:rPr>
      </w:pPr>
      <w:r>
        <w:rPr>
          <w:rFonts w:hint="eastAsia" w:ascii="楷体_GB2312" w:eastAsia="楷体_GB2312"/>
          <w:sz w:val="32"/>
          <w:szCs w:val="32"/>
        </w:rPr>
        <w:t>（二）资产管理</w:t>
      </w:r>
    </w:p>
    <w:p w14:paraId="14D9FD75">
      <w:pPr>
        <w:spacing w:line="600" w:lineRule="exact"/>
        <w:ind w:firstLine="640" w:firstLineChars="200"/>
        <w:rPr>
          <w:rFonts w:ascii="仿宋" w:hAnsi="仿宋" w:eastAsia="仿宋"/>
          <w:sz w:val="32"/>
          <w:szCs w:val="32"/>
        </w:rPr>
      </w:pPr>
      <w:r>
        <w:rPr>
          <w:rFonts w:hint="eastAsia" w:ascii="仿宋" w:hAnsi="仿宋" w:eastAsia="仿宋"/>
          <w:kern w:val="0"/>
          <w:sz w:val="32"/>
          <w:szCs w:val="32"/>
        </w:rPr>
        <w:t>四中院始终坚持</w:t>
      </w:r>
      <w:r>
        <w:rPr>
          <w:rFonts w:hint="eastAsia" w:ascii="仿宋" w:hAnsi="仿宋" w:eastAsia="仿宋"/>
          <w:sz w:val="32"/>
          <w:szCs w:val="32"/>
        </w:rPr>
        <w:t>严格落实中央和市级部门国有资产管理相关政策和文件精神，</w:t>
      </w:r>
      <w:r>
        <w:rPr>
          <w:rFonts w:hint="eastAsia" w:ascii="仿宋" w:hAnsi="仿宋" w:eastAsia="仿宋"/>
          <w:kern w:val="0"/>
          <w:sz w:val="32"/>
          <w:szCs w:val="32"/>
        </w:rPr>
        <w:t>不断健全和</w:t>
      </w:r>
      <w:r>
        <w:rPr>
          <w:rFonts w:hint="eastAsia" w:ascii="仿宋" w:hAnsi="仿宋" w:eastAsia="仿宋"/>
          <w:sz w:val="32"/>
          <w:szCs w:val="32"/>
        </w:rPr>
        <w:t>完善资产配置、使用、处置等</w:t>
      </w:r>
      <w:r>
        <w:rPr>
          <w:rFonts w:hint="eastAsia" w:ascii="仿宋" w:hAnsi="仿宋" w:eastAsia="仿宋"/>
          <w:kern w:val="0"/>
          <w:sz w:val="32"/>
          <w:szCs w:val="32"/>
        </w:rPr>
        <w:t>内部控制机制</w:t>
      </w:r>
      <w:r>
        <w:rPr>
          <w:rFonts w:hint="eastAsia" w:ascii="仿宋" w:hAnsi="仿宋" w:eastAsia="仿宋"/>
          <w:sz w:val="32"/>
          <w:szCs w:val="32"/>
        </w:rPr>
        <w:t>，形成财务、资产、采购、纪检监察等部门监督合力。新增资产严格执行相关配置标准，资产处置严格履行各项审批程序，有效防范各类资产管理风险，杜绝资产流失、浪费。</w:t>
      </w:r>
    </w:p>
    <w:p w14:paraId="283F0BBC">
      <w:pPr>
        <w:spacing w:line="600" w:lineRule="exact"/>
        <w:ind w:firstLine="640" w:firstLineChars="200"/>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14:paraId="2385A3A2">
      <w:pPr>
        <w:spacing w:line="600" w:lineRule="exact"/>
        <w:ind w:firstLine="640" w:firstLineChars="200"/>
        <w:rPr>
          <w:rFonts w:ascii="仿宋" w:hAnsi="仿宋" w:eastAsia="仿宋"/>
          <w:sz w:val="32"/>
          <w:szCs w:val="32"/>
        </w:rPr>
      </w:pPr>
      <w:r>
        <w:rPr>
          <w:rFonts w:hint="eastAsia" w:ascii="仿宋" w:hAnsi="仿宋" w:eastAsia="仿宋"/>
          <w:kern w:val="0"/>
          <w:sz w:val="32"/>
          <w:szCs w:val="32"/>
        </w:rPr>
        <w:t>四中院不断改进预算项目绩效管理工作模式和方法，依据相关制度规范，结合部门实际，由财务部门会同业务部门，全面梳理重要经济事项运行流程，研究分析特征规律和主要风险，总结经验、查找不足，提升绩效目标的精细化水平，确保预算执行符合部门职责实际以及财政资金效益的发挥。</w:t>
      </w:r>
    </w:p>
    <w:p w14:paraId="744D798F">
      <w:pPr>
        <w:spacing w:line="600" w:lineRule="exact"/>
        <w:ind w:firstLine="640" w:firstLineChars="200"/>
        <w:rPr>
          <w:rFonts w:ascii="楷体_GB2312" w:eastAsia="楷体_GB2312"/>
          <w:sz w:val="32"/>
          <w:szCs w:val="32"/>
        </w:rPr>
      </w:pPr>
      <w:r>
        <w:rPr>
          <w:rFonts w:hint="eastAsia" w:ascii="楷体_GB2312" w:eastAsia="楷体_GB2312"/>
          <w:sz w:val="32"/>
          <w:szCs w:val="32"/>
        </w:rPr>
        <w:t>（四）结转结余率</w:t>
      </w:r>
    </w:p>
    <w:p w14:paraId="1F89851A">
      <w:pPr>
        <w:spacing w:line="600" w:lineRule="exact"/>
        <w:ind w:firstLine="640" w:firstLineChars="200"/>
        <w:rPr>
          <w:rFonts w:ascii="仿宋" w:hAnsi="仿宋" w:eastAsia="仿宋"/>
          <w:sz w:val="32"/>
          <w:szCs w:val="32"/>
        </w:rPr>
      </w:pPr>
      <w:r>
        <w:rPr>
          <w:rFonts w:hint="eastAsia" w:ascii="仿宋" w:hAnsi="仿宋" w:eastAsia="仿宋"/>
          <w:sz w:val="32"/>
          <w:szCs w:val="32"/>
        </w:rPr>
        <w:t>2024年末，四中院全口径预算资金结转结余合计32.65万元，同比当年调整预算支出数11434.07万元，结转结余率为0.29%。</w:t>
      </w:r>
    </w:p>
    <w:p w14:paraId="5A4A53CD">
      <w:pPr>
        <w:spacing w:line="600" w:lineRule="exact"/>
        <w:ind w:firstLine="640" w:firstLineChars="20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14:paraId="06536A92">
      <w:pPr>
        <w:spacing w:line="600" w:lineRule="exact"/>
        <w:ind w:firstLine="640" w:firstLineChars="200"/>
        <w:rPr>
          <w:rFonts w:ascii="仿宋" w:hAnsi="仿宋" w:eastAsia="仿宋"/>
          <w:sz w:val="32"/>
          <w:szCs w:val="32"/>
        </w:rPr>
      </w:pPr>
      <w:r>
        <w:rPr>
          <w:rFonts w:hint="eastAsia" w:ascii="仿宋" w:hAnsi="仿宋" w:eastAsia="仿宋"/>
          <w:sz w:val="32"/>
          <w:szCs w:val="32"/>
        </w:rPr>
        <w:t>2024年度，四中院全口径收入预算数11439.72万元，全口径收入决算数11438.62万元，差异率0.01%；全口径支出预算数11434.07万元，全口径支出决算数11405.97万元，差异率0.25%。</w:t>
      </w:r>
    </w:p>
    <w:p w14:paraId="36CD559B">
      <w:pPr>
        <w:spacing w:line="600" w:lineRule="exact"/>
        <w:ind w:firstLine="640" w:firstLineChars="20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14:paraId="005EDDD6">
      <w:pPr>
        <w:spacing w:line="600" w:lineRule="exact"/>
        <w:ind w:firstLine="640" w:firstLineChars="20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14:paraId="66FE8755">
      <w:pPr>
        <w:spacing w:line="600" w:lineRule="exact"/>
        <w:ind w:firstLine="640" w:firstLineChars="200"/>
        <w:rPr>
          <w:rFonts w:ascii="仿宋" w:hAnsi="仿宋" w:eastAsia="仿宋"/>
          <w:sz w:val="32"/>
          <w:szCs w:val="32"/>
        </w:rPr>
      </w:pPr>
      <w:r>
        <w:rPr>
          <w:rFonts w:hint="eastAsia" w:ascii="仿宋" w:hAnsi="仿宋" w:eastAsia="仿宋"/>
          <w:sz w:val="32"/>
          <w:szCs w:val="32"/>
        </w:rPr>
        <w:t>2024年度四中院部门整体绩效评价得分99.9</w:t>
      </w:r>
      <w:r>
        <w:rPr>
          <w:rFonts w:hint="eastAsia" w:ascii="仿宋" w:hAnsi="仿宋" w:eastAsia="仿宋"/>
          <w:sz w:val="32"/>
          <w:szCs w:val="32"/>
          <w:lang w:val="en-US" w:eastAsia="zh-CN"/>
        </w:rPr>
        <w:t>5</w:t>
      </w:r>
      <w:bookmarkStart w:id="1" w:name="_GoBack"/>
      <w:bookmarkEnd w:id="1"/>
      <w:r>
        <w:rPr>
          <w:rFonts w:hint="eastAsia" w:ascii="仿宋" w:hAnsi="仿宋" w:eastAsia="仿宋"/>
          <w:sz w:val="32"/>
          <w:szCs w:val="32"/>
        </w:rPr>
        <w:t>分，评价等次为优。</w:t>
      </w:r>
    </w:p>
    <w:p w14:paraId="485E3101">
      <w:pPr>
        <w:spacing w:line="600" w:lineRule="exact"/>
        <w:ind w:firstLine="640" w:firstLineChars="200"/>
        <w:rPr>
          <w:rFonts w:ascii="楷体_GB2312" w:eastAsia="楷体_GB2312"/>
          <w:sz w:val="32"/>
          <w:szCs w:val="32"/>
        </w:rPr>
      </w:pPr>
      <w:r>
        <w:rPr>
          <w:rFonts w:hint="eastAsia" w:ascii="楷体_GB2312" w:eastAsia="楷体_GB2312"/>
          <w:sz w:val="32"/>
          <w:szCs w:val="32"/>
        </w:rPr>
        <w:t>（二）存在的问题及原因分析</w:t>
      </w:r>
    </w:p>
    <w:p w14:paraId="105D8716">
      <w:pPr>
        <w:spacing w:line="600" w:lineRule="exact"/>
        <w:ind w:firstLine="640" w:firstLineChars="200"/>
        <w:rPr>
          <w:rFonts w:ascii="仿宋" w:hAnsi="仿宋" w:eastAsia="仿宋"/>
          <w:sz w:val="32"/>
          <w:szCs w:val="32"/>
        </w:rPr>
      </w:pPr>
      <w:r>
        <w:rPr>
          <w:rFonts w:hint="eastAsia" w:ascii="仿宋" w:hAnsi="仿宋" w:eastAsia="仿宋"/>
          <w:sz w:val="32"/>
          <w:szCs w:val="32"/>
        </w:rPr>
        <w:t>2024年度四中院部门整体绩效无明显问题。</w:t>
      </w:r>
    </w:p>
    <w:p w14:paraId="16063FB3">
      <w:pPr>
        <w:spacing w:line="600" w:lineRule="exact"/>
        <w:ind w:firstLine="640" w:firstLineChars="200"/>
        <w:rPr>
          <w:rFonts w:ascii="仿宋" w:hAnsi="仿宋" w:eastAsia="仿宋" w:cs="宋体"/>
          <w:color w:val="000000"/>
          <w:kern w:val="0"/>
          <w:sz w:val="32"/>
          <w:szCs w:val="32"/>
        </w:rPr>
      </w:pPr>
      <w:r>
        <w:rPr>
          <w:rFonts w:hint="eastAsia" w:ascii="黑体" w:hAnsi="黑体" w:eastAsia="黑体" w:cs="宋体"/>
          <w:color w:val="000000"/>
          <w:kern w:val="0"/>
          <w:sz w:val="32"/>
          <w:szCs w:val="32"/>
        </w:rPr>
        <w:t>六、措施建议</w:t>
      </w:r>
    </w:p>
    <w:p w14:paraId="4E3157FB">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一是</w:t>
      </w:r>
      <w:r>
        <w:rPr>
          <w:rFonts w:ascii="仿宋" w:hAnsi="仿宋" w:eastAsia="仿宋" w:cs="宋体"/>
          <w:color w:val="000000"/>
          <w:kern w:val="0"/>
          <w:sz w:val="32"/>
          <w:szCs w:val="32"/>
        </w:rPr>
        <w:t>进一步</w:t>
      </w:r>
      <w:r>
        <w:rPr>
          <w:rFonts w:hint="eastAsia" w:ascii="仿宋" w:hAnsi="仿宋" w:eastAsia="仿宋" w:cs="宋体"/>
          <w:color w:val="000000"/>
          <w:kern w:val="0"/>
          <w:sz w:val="32"/>
          <w:szCs w:val="32"/>
        </w:rPr>
        <w:t>提升</w:t>
      </w:r>
      <w:r>
        <w:rPr>
          <w:rFonts w:ascii="仿宋" w:hAnsi="仿宋" w:eastAsia="仿宋" w:cs="宋体"/>
          <w:color w:val="000000"/>
          <w:kern w:val="0"/>
          <w:sz w:val="32"/>
          <w:szCs w:val="32"/>
        </w:rPr>
        <w:t>部门整体绩效目标</w:t>
      </w:r>
      <w:r>
        <w:rPr>
          <w:rFonts w:hint="eastAsia" w:ascii="仿宋" w:hAnsi="仿宋" w:eastAsia="仿宋" w:cs="宋体"/>
          <w:color w:val="000000"/>
          <w:kern w:val="0"/>
          <w:sz w:val="32"/>
          <w:szCs w:val="32"/>
        </w:rPr>
        <w:t>设置水平</w:t>
      </w:r>
      <w:r>
        <w:rPr>
          <w:rFonts w:ascii="仿宋" w:hAnsi="仿宋" w:eastAsia="仿宋" w:cs="宋体"/>
          <w:color w:val="000000"/>
          <w:kern w:val="0"/>
          <w:sz w:val="32"/>
          <w:szCs w:val="32"/>
        </w:rPr>
        <w:t>，确保</w:t>
      </w:r>
      <w:r>
        <w:rPr>
          <w:rFonts w:hint="eastAsia" w:ascii="仿宋" w:hAnsi="仿宋" w:eastAsia="仿宋" w:cs="宋体"/>
          <w:color w:val="000000"/>
          <w:kern w:val="0"/>
          <w:sz w:val="32"/>
          <w:szCs w:val="32"/>
        </w:rPr>
        <w:t>目标</w:t>
      </w:r>
      <w:r>
        <w:rPr>
          <w:rFonts w:ascii="仿宋" w:hAnsi="仿宋" w:eastAsia="仿宋" w:cs="宋体"/>
          <w:color w:val="000000"/>
          <w:kern w:val="0"/>
          <w:sz w:val="32"/>
          <w:szCs w:val="32"/>
        </w:rPr>
        <w:t>符合四中院</w:t>
      </w:r>
      <w:r>
        <w:rPr>
          <w:rFonts w:hint="eastAsia" w:ascii="仿宋" w:hAnsi="仿宋" w:eastAsia="仿宋" w:cs="宋体"/>
          <w:color w:val="000000"/>
          <w:kern w:val="0"/>
          <w:sz w:val="32"/>
          <w:szCs w:val="32"/>
        </w:rPr>
        <w:t>职能任务和工作实际，确保绩效评价能够全面、系统、完整、客观反映部门主要业绩</w:t>
      </w:r>
      <w:r>
        <w:rPr>
          <w:rFonts w:ascii="仿宋" w:hAnsi="仿宋" w:eastAsia="仿宋" w:cs="宋体"/>
          <w:color w:val="000000"/>
          <w:kern w:val="0"/>
          <w:sz w:val="32"/>
          <w:szCs w:val="32"/>
        </w:rPr>
        <w:t>。</w:t>
      </w:r>
    </w:p>
    <w:p w14:paraId="080CECC6">
      <w:pPr>
        <w:spacing w:line="600" w:lineRule="exact"/>
        <w:ind w:firstLine="640" w:firstLineChars="200"/>
        <w:rPr>
          <w:rFonts w:ascii="仿宋_GB2312" w:eastAsia="仿宋_GB2312" w:cs="仿宋_GB2312"/>
          <w:sz w:val="32"/>
          <w:szCs w:val="32"/>
        </w:rPr>
      </w:pPr>
      <w:r>
        <w:rPr>
          <w:rFonts w:hint="eastAsia" w:ascii="仿宋" w:hAnsi="仿宋" w:eastAsia="仿宋" w:cs="宋体"/>
          <w:color w:val="000000"/>
          <w:kern w:val="0"/>
          <w:sz w:val="32"/>
          <w:szCs w:val="32"/>
        </w:rPr>
        <w:t>二是进一步完善绩效评价指标设置，加大量化评价指标在全部指标中的比例，充分发挥</w:t>
      </w:r>
      <w:r>
        <w:rPr>
          <w:rFonts w:hint="eastAsia" w:ascii="仿宋_GB2312" w:eastAsia="仿宋_GB2312" w:cs="仿宋_GB2312"/>
          <w:sz w:val="32"/>
          <w:szCs w:val="32"/>
        </w:rPr>
        <w:t>数量、时效、进度等不同维度在绩效目标评价中的作用。</w:t>
      </w:r>
    </w:p>
    <w:p w14:paraId="001234C8">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三是进一步坚持严格预算执行管理，要结合预算资金批复和绩效目标设立情况，合理分配使用有限的资金，使其能够发挥出最大的使用效益，确保绩效目标的顺利完成。</w:t>
      </w:r>
    </w:p>
    <w:p w14:paraId="075916C4">
      <w:pPr>
        <w:pStyle w:val="2"/>
        <w:rPr>
          <w:sz w:val="32"/>
          <w:szCs w:val="32"/>
        </w:rPr>
      </w:pPr>
      <w:bookmarkStart w:id="0" w:name="_Toc103006301"/>
      <w:r>
        <w:rPr>
          <w:rFonts w:hint="eastAsia"/>
          <w:sz w:val="32"/>
          <w:szCs w:val="32"/>
        </w:rPr>
        <w:t>七、附件</w:t>
      </w:r>
      <w:bookmarkEnd w:id="0"/>
    </w:p>
    <w:p w14:paraId="64AB5323">
      <w:pPr>
        <w:spacing w:line="600" w:lineRule="exact"/>
        <w:ind w:firstLine="641"/>
        <w:rPr>
          <w:rFonts w:ascii="仿宋" w:hAnsi="仿宋" w:eastAsia="仿宋" w:cs="宋体"/>
          <w:color w:val="000000"/>
          <w:kern w:val="0"/>
          <w:sz w:val="32"/>
          <w:szCs w:val="32"/>
        </w:rPr>
      </w:pPr>
      <w:r>
        <w:rPr>
          <w:rFonts w:hint="eastAsia" w:ascii="仿宋_GB2312" w:hAnsi="仿宋_GB2312" w:eastAsia="仿宋_GB2312" w:cs="仿宋_GB2312"/>
          <w:sz w:val="32"/>
          <w:szCs w:val="32"/>
        </w:rPr>
        <w:t>2024年部门整体绩效评价指标体系评分表</w:t>
      </w:r>
    </w:p>
    <w:sectPr>
      <w:footerReference r:id="rId3" w:type="default"/>
      <w:pgSz w:w="11906" w:h="16838"/>
      <w:pgMar w:top="1418" w:right="1474" w:bottom="141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28D1C">
    <w:pPr>
      <w:pStyle w:val="3"/>
      <w:ind w:firstLine="360"/>
      <w:jc w:val="center"/>
      <w:rPr>
        <w:sz w:val="21"/>
        <w:szCs w:val="21"/>
      </w:rPr>
    </w:pPr>
    <w:r>
      <w:rPr>
        <w:szCs w:val="20"/>
      </w:rPr>
      <w:pict>
        <v:shape id="_x0000_s15361" o:spid="_x0000_s15361"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2SFJLyA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FgAAAGRycy9QSwECFAAUAAAA&#10;CACHTuJAs0lY7tAAAAAFAQAADwAAAAAAAAABACAAAAA4AAAAZHJzL2Rvd25yZXYueG1sUEsBAhQA&#10;FAAAAAgAh07iQHZIUkvIAgAA7AUAAA4AAAAAAAAAAQAgAAAANQEAAGRycy9lMm9Eb2MueG1sUEsF&#10;BgAAAAAGAAYAWQEAAG8GAAAAAA==&#10;">
          <v:path/>
          <v:fill on="f" focussize="0,0"/>
          <v:stroke on="f" weight="0.5pt" joinstyle="miter"/>
          <v:imagedata o:title=""/>
          <o:lock v:ext="edit"/>
          <v:textbox inset="0mm,0mm,0mm,0mm" style="mso-fit-shape-to-text:t;">
            <w:txbxContent>
              <w:p w14:paraId="487CFAE0">
                <w:pPr>
                  <w:pStyle w:val="3"/>
                </w:pPr>
                <w:r>
                  <w:fldChar w:fldCharType="begin"/>
                </w:r>
                <w:r>
                  <w:instrText xml:space="preserve"> PAGE  \* MERGEFORMAT </w:instrText>
                </w:r>
                <w:r>
                  <w:fldChar w:fldCharType="separate"/>
                </w:r>
                <w:r>
                  <w:t>8</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5"/>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JlYmM4YjM3MzAzZmExMzI4Y2E0MDcyZmZhNmU2ZjIifQ=="/>
  </w:docVars>
  <w:rsids>
    <w:rsidRoot w:val="00B445C1"/>
    <w:rsid w:val="0003778F"/>
    <w:rsid w:val="00044CDC"/>
    <w:rsid w:val="00077537"/>
    <w:rsid w:val="000A5D4B"/>
    <w:rsid w:val="000D2D99"/>
    <w:rsid w:val="000E4C17"/>
    <w:rsid w:val="000F3A69"/>
    <w:rsid w:val="00111095"/>
    <w:rsid w:val="0011266F"/>
    <w:rsid w:val="00115140"/>
    <w:rsid w:val="00121BA8"/>
    <w:rsid w:val="00123F98"/>
    <w:rsid w:val="00130C6C"/>
    <w:rsid w:val="00163F7D"/>
    <w:rsid w:val="00172072"/>
    <w:rsid w:val="00192236"/>
    <w:rsid w:val="001A1A03"/>
    <w:rsid w:val="001B01D6"/>
    <w:rsid w:val="001D134C"/>
    <w:rsid w:val="001D622D"/>
    <w:rsid w:val="001D7F0C"/>
    <w:rsid w:val="001E479B"/>
    <w:rsid w:val="001F0D77"/>
    <w:rsid w:val="001F4A61"/>
    <w:rsid w:val="00203EBF"/>
    <w:rsid w:val="00221A38"/>
    <w:rsid w:val="00223FB2"/>
    <w:rsid w:val="00227C60"/>
    <w:rsid w:val="002328F4"/>
    <w:rsid w:val="00243585"/>
    <w:rsid w:val="00261EB2"/>
    <w:rsid w:val="00275FD0"/>
    <w:rsid w:val="002A2CCD"/>
    <w:rsid w:val="002A6499"/>
    <w:rsid w:val="002B522E"/>
    <w:rsid w:val="002D762E"/>
    <w:rsid w:val="002E3CA9"/>
    <w:rsid w:val="002E4851"/>
    <w:rsid w:val="002E5B20"/>
    <w:rsid w:val="002F072D"/>
    <w:rsid w:val="002F100F"/>
    <w:rsid w:val="00302BF3"/>
    <w:rsid w:val="0031404D"/>
    <w:rsid w:val="00315898"/>
    <w:rsid w:val="00316918"/>
    <w:rsid w:val="00323162"/>
    <w:rsid w:val="00325683"/>
    <w:rsid w:val="00331D32"/>
    <w:rsid w:val="0034293F"/>
    <w:rsid w:val="003513E5"/>
    <w:rsid w:val="00374C03"/>
    <w:rsid w:val="00375DFF"/>
    <w:rsid w:val="0039686E"/>
    <w:rsid w:val="003B4FC5"/>
    <w:rsid w:val="003C7F8A"/>
    <w:rsid w:val="003D6E0C"/>
    <w:rsid w:val="003E13D3"/>
    <w:rsid w:val="003F1E5A"/>
    <w:rsid w:val="004071C4"/>
    <w:rsid w:val="0041757F"/>
    <w:rsid w:val="00423E6A"/>
    <w:rsid w:val="0042751D"/>
    <w:rsid w:val="00440C7A"/>
    <w:rsid w:val="00463FB2"/>
    <w:rsid w:val="00464C0D"/>
    <w:rsid w:val="00475C1A"/>
    <w:rsid w:val="00482D52"/>
    <w:rsid w:val="00486CEA"/>
    <w:rsid w:val="004B6B29"/>
    <w:rsid w:val="004C1EB1"/>
    <w:rsid w:val="005020E4"/>
    <w:rsid w:val="00502829"/>
    <w:rsid w:val="005057B7"/>
    <w:rsid w:val="0051627B"/>
    <w:rsid w:val="00522758"/>
    <w:rsid w:val="00525B5C"/>
    <w:rsid w:val="005455CC"/>
    <w:rsid w:val="005623D4"/>
    <w:rsid w:val="005726C8"/>
    <w:rsid w:val="005B3490"/>
    <w:rsid w:val="005C6754"/>
    <w:rsid w:val="005E3B59"/>
    <w:rsid w:val="00601CC1"/>
    <w:rsid w:val="00626651"/>
    <w:rsid w:val="0065406F"/>
    <w:rsid w:val="00695372"/>
    <w:rsid w:val="006957C1"/>
    <w:rsid w:val="006D374B"/>
    <w:rsid w:val="006D64A1"/>
    <w:rsid w:val="006F09F9"/>
    <w:rsid w:val="006F30CC"/>
    <w:rsid w:val="007030B5"/>
    <w:rsid w:val="00722079"/>
    <w:rsid w:val="00740276"/>
    <w:rsid w:val="00764F52"/>
    <w:rsid w:val="007811B2"/>
    <w:rsid w:val="00784C10"/>
    <w:rsid w:val="00786CBE"/>
    <w:rsid w:val="007965F7"/>
    <w:rsid w:val="007A6E61"/>
    <w:rsid w:val="007B0C16"/>
    <w:rsid w:val="007B5956"/>
    <w:rsid w:val="007C3942"/>
    <w:rsid w:val="007D40FC"/>
    <w:rsid w:val="00803A89"/>
    <w:rsid w:val="0082079E"/>
    <w:rsid w:val="008279BD"/>
    <w:rsid w:val="00827E43"/>
    <w:rsid w:val="00845DDD"/>
    <w:rsid w:val="008630D8"/>
    <w:rsid w:val="00865533"/>
    <w:rsid w:val="00876647"/>
    <w:rsid w:val="00882C72"/>
    <w:rsid w:val="0088609E"/>
    <w:rsid w:val="008A3EA9"/>
    <w:rsid w:val="008B72CE"/>
    <w:rsid w:val="008C479C"/>
    <w:rsid w:val="009103A9"/>
    <w:rsid w:val="00915163"/>
    <w:rsid w:val="0094268F"/>
    <w:rsid w:val="009508DD"/>
    <w:rsid w:val="00970C0E"/>
    <w:rsid w:val="00996C21"/>
    <w:rsid w:val="009A260F"/>
    <w:rsid w:val="009B0D43"/>
    <w:rsid w:val="009C3F38"/>
    <w:rsid w:val="009D118C"/>
    <w:rsid w:val="009D561E"/>
    <w:rsid w:val="009F4CA8"/>
    <w:rsid w:val="009F5FBE"/>
    <w:rsid w:val="00A265B6"/>
    <w:rsid w:val="00A374C4"/>
    <w:rsid w:val="00A5486E"/>
    <w:rsid w:val="00A60261"/>
    <w:rsid w:val="00A643F1"/>
    <w:rsid w:val="00A64919"/>
    <w:rsid w:val="00A67251"/>
    <w:rsid w:val="00AA11D7"/>
    <w:rsid w:val="00AB3F07"/>
    <w:rsid w:val="00AC5B3D"/>
    <w:rsid w:val="00AC701E"/>
    <w:rsid w:val="00AC776F"/>
    <w:rsid w:val="00AD1722"/>
    <w:rsid w:val="00AD4E17"/>
    <w:rsid w:val="00AE4CC4"/>
    <w:rsid w:val="00AE64AA"/>
    <w:rsid w:val="00AF63F3"/>
    <w:rsid w:val="00B11198"/>
    <w:rsid w:val="00B36FDC"/>
    <w:rsid w:val="00B445C1"/>
    <w:rsid w:val="00B66003"/>
    <w:rsid w:val="00B67B05"/>
    <w:rsid w:val="00B73589"/>
    <w:rsid w:val="00B840D8"/>
    <w:rsid w:val="00B90143"/>
    <w:rsid w:val="00BA10EC"/>
    <w:rsid w:val="00BA3F6D"/>
    <w:rsid w:val="00BA636F"/>
    <w:rsid w:val="00BB1E03"/>
    <w:rsid w:val="00BE7909"/>
    <w:rsid w:val="00BF0A7A"/>
    <w:rsid w:val="00C07615"/>
    <w:rsid w:val="00C2415F"/>
    <w:rsid w:val="00C31E7B"/>
    <w:rsid w:val="00C500EE"/>
    <w:rsid w:val="00C53991"/>
    <w:rsid w:val="00C648B5"/>
    <w:rsid w:val="00C703D6"/>
    <w:rsid w:val="00C75B5A"/>
    <w:rsid w:val="00CA12CC"/>
    <w:rsid w:val="00CB3681"/>
    <w:rsid w:val="00CE1A90"/>
    <w:rsid w:val="00D34C04"/>
    <w:rsid w:val="00D45666"/>
    <w:rsid w:val="00D50C31"/>
    <w:rsid w:val="00D524EA"/>
    <w:rsid w:val="00D96340"/>
    <w:rsid w:val="00DA4926"/>
    <w:rsid w:val="00DA4E4F"/>
    <w:rsid w:val="00DF474F"/>
    <w:rsid w:val="00E152A0"/>
    <w:rsid w:val="00E25E2F"/>
    <w:rsid w:val="00E27522"/>
    <w:rsid w:val="00E339C5"/>
    <w:rsid w:val="00E56887"/>
    <w:rsid w:val="00E7651D"/>
    <w:rsid w:val="00E805D2"/>
    <w:rsid w:val="00E8336B"/>
    <w:rsid w:val="00EB59C8"/>
    <w:rsid w:val="00EC4197"/>
    <w:rsid w:val="00EE0FE9"/>
    <w:rsid w:val="00F23474"/>
    <w:rsid w:val="00F63DDA"/>
    <w:rsid w:val="00F66061"/>
    <w:rsid w:val="00F72A54"/>
    <w:rsid w:val="00FC15E1"/>
    <w:rsid w:val="00FC789B"/>
    <w:rsid w:val="00FD019F"/>
    <w:rsid w:val="0FD75D62"/>
    <w:rsid w:val="24162F0F"/>
    <w:rsid w:val="2D0646FB"/>
    <w:rsid w:val="3D066590"/>
    <w:rsid w:val="601760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9"/>
    <w:pPr>
      <w:spacing w:line="600" w:lineRule="exact"/>
      <w:ind w:firstLine="640"/>
      <w:outlineLvl w:val="0"/>
    </w:pPr>
    <w:rPr>
      <w:rFonts w:ascii="黑体" w:hAnsi="黑体" w:eastAsia="黑体" w:cs="宋体"/>
      <w:color w:val="000000"/>
      <w:kern w:val="0"/>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 w:type="character" w:customStyle="1" w:styleId="10">
    <w:name w:val="标题 1 Char"/>
    <w:basedOn w:val="6"/>
    <w:link w:val="2"/>
    <w:qFormat/>
    <w:uiPriority w:val="9"/>
    <w:rPr>
      <w:rFonts w:ascii="黑体" w:hAnsi="黑体" w:eastAsia="黑体" w:cs="宋体"/>
      <w:color w:val="000000"/>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53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szy</Company>
  <Pages>8</Pages>
  <Words>3579</Words>
  <Characters>3847</Characters>
  <Lines>27</Lines>
  <Paragraphs>7</Paragraphs>
  <TotalTime>155</TotalTime>
  <ScaleCrop>false</ScaleCrop>
  <LinksUpToDate>false</LinksUpToDate>
  <CharactersWithSpaces>3848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2025-03-14T08:27:00Z</dcterms:created>
  <dc:creator>zxd</dc:creator>
  <cp:lastModifiedBy>guositong</cp:lastModifiedBy>
  <dcterms:modified xsi:type="dcterms:W3CDTF">2025-08-28T03:52:43Z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63B62BA543AF4792A2D1BD1A14057481_12</vt:lpwstr>
  </property>
</Properties>
</file>