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831"/>
        <w:jc w:val="center"/>
        <w:rPr>
          <w:rFonts w:eastAsia="仿宋"/>
          <w:b/>
          <w:color w:val="000000"/>
          <w:sz w:val="44"/>
          <w:szCs w:val="44"/>
        </w:rPr>
      </w:pPr>
    </w:p>
    <w:p>
      <w:pPr>
        <w:ind w:firstLine="831"/>
        <w:jc w:val="center"/>
        <w:rPr>
          <w:rFonts w:eastAsia="仿宋"/>
          <w:b/>
          <w:color w:val="000000"/>
          <w:sz w:val="44"/>
          <w:szCs w:val="44"/>
        </w:rPr>
      </w:pPr>
    </w:p>
    <w:p>
      <w:pPr>
        <w:pStyle w:val="2"/>
        <w:ind w:firstLine="831"/>
        <w:jc w:val="center"/>
        <w:rPr>
          <w:rFonts w:eastAsia="仿宋"/>
          <w:color w:val="000000"/>
          <w:sz w:val="44"/>
          <w:szCs w:val="44"/>
        </w:rPr>
      </w:pPr>
    </w:p>
    <w:p>
      <w:pPr>
        <w:ind w:firstLine="908"/>
        <w:jc w:val="center"/>
        <w:outlineLvl w:val="0"/>
        <w:rPr>
          <w:rFonts w:eastAsia="黑体" w:cs="黑体"/>
          <w:sz w:val="48"/>
          <w:szCs w:val="48"/>
        </w:rPr>
      </w:pPr>
      <w:bookmarkStart w:id="0" w:name="_Toc206627247"/>
      <w:bookmarkStart w:id="1" w:name="_Toc12396"/>
      <w:bookmarkStart w:id="2" w:name="_Toc197506408"/>
      <w:bookmarkStart w:id="3" w:name="_Toc197955693"/>
      <w:bookmarkStart w:id="4" w:name="_Toc206625910"/>
      <w:r>
        <w:rPr>
          <w:rFonts w:hint="eastAsia" w:eastAsia="黑体" w:cs="黑体"/>
          <w:sz w:val="48"/>
          <w:szCs w:val="48"/>
        </w:rPr>
        <w:t>北京市市级财政支出项目</w:t>
      </w:r>
      <w:bookmarkEnd w:id="0"/>
      <w:bookmarkEnd w:id="1"/>
      <w:bookmarkEnd w:id="2"/>
      <w:bookmarkEnd w:id="3"/>
      <w:bookmarkEnd w:id="4"/>
    </w:p>
    <w:p>
      <w:pPr>
        <w:ind w:firstLine="908"/>
        <w:jc w:val="center"/>
        <w:rPr>
          <w:rFonts w:eastAsia="黑体"/>
          <w:sz w:val="48"/>
          <w:szCs w:val="48"/>
        </w:rPr>
      </w:pPr>
      <w:r>
        <w:rPr>
          <w:rFonts w:hint="eastAsia" w:eastAsia="黑体" w:cs="黑体"/>
          <w:sz w:val="48"/>
          <w:szCs w:val="48"/>
        </w:rPr>
        <w:t>绩效评价报告</w:t>
      </w:r>
    </w:p>
    <w:p>
      <w:pPr>
        <w:ind w:firstLine="588"/>
        <w:jc w:val="center"/>
        <w:rPr>
          <w:rFonts w:eastAsia="宋体"/>
          <w:sz w:val="32"/>
          <w:szCs w:val="32"/>
        </w:rPr>
      </w:pPr>
    </w:p>
    <w:p>
      <w:pPr>
        <w:ind w:firstLine="588"/>
        <w:rPr>
          <w:rFonts w:eastAsia="宋体"/>
          <w:sz w:val="32"/>
          <w:szCs w:val="32"/>
        </w:rPr>
      </w:pPr>
    </w:p>
    <w:p>
      <w:pPr>
        <w:ind w:firstLine="588"/>
        <w:rPr>
          <w:rFonts w:eastAsia="宋体"/>
          <w:sz w:val="32"/>
          <w:szCs w:val="32"/>
        </w:rPr>
      </w:pPr>
    </w:p>
    <w:p>
      <w:pPr>
        <w:spacing w:line="480" w:lineRule="auto"/>
        <w:ind w:firstLine="129" w:firstLineChars="47"/>
        <w:rPr>
          <w:rFonts w:hint="eastAsia" w:ascii="仿宋_GB2312" w:hAnsi="楷体" w:cs="仿宋_GB2312"/>
        </w:rPr>
      </w:pPr>
    </w:p>
    <w:p>
      <w:pPr>
        <w:spacing w:line="480" w:lineRule="auto"/>
        <w:ind w:firstLine="129" w:firstLineChars="47"/>
        <w:rPr>
          <w:rFonts w:hint="eastAsia" w:ascii="仿宋_GB2312" w:hAnsi="楷体" w:cs="仿宋_GB2312"/>
        </w:rPr>
      </w:pPr>
    </w:p>
    <w:p>
      <w:pPr>
        <w:spacing w:line="480" w:lineRule="auto"/>
        <w:ind w:firstLine="129" w:firstLineChars="47"/>
        <w:rPr>
          <w:rFonts w:hint="eastAsia" w:ascii="仿宋_GB2312" w:hAnsi="楷体" w:cs="仿宋_GB2312"/>
        </w:rPr>
      </w:pPr>
    </w:p>
    <w:p>
      <w:pPr>
        <w:spacing w:line="480" w:lineRule="auto"/>
        <w:ind w:firstLine="129" w:firstLineChars="47"/>
        <w:rPr>
          <w:rFonts w:hint="eastAsia" w:ascii="仿宋_GB2312" w:hAnsi="楷体" w:cs="仿宋_GB2312"/>
          <w:u w:val="single"/>
        </w:rPr>
      </w:pPr>
      <w:r>
        <w:rPr>
          <w:rFonts w:hint="eastAsia" w:ascii="仿宋_GB2312" w:hAnsi="楷体" w:cs="仿宋_GB2312"/>
        </w:rPr>
        <w:t>主管部门：</w:t>
      </w:r>
      <w:r>
        <w:rPr>
          <w:rFonts w:hint="eastAsia" w:ascii="仿宋_GB2312" w:hAnsi="楷体" w:cs="仿宋_GB2312"/>
          <w:u w:val="single"/>
        </w:rPr>
        <w:tab/>
      </w:r>
      <w:r>
        <w:rPr>
          <w:rFonts w:hint="eastAsia" w:ascii="仿宋_GB2312" w:hAnsi="楷体" w:cs="仿宋_GB2312"/>
          <w:u w:val="single"/>
        </w:rPr>
        <w:tab/>
      </w:r>
      <w:r>
        <w:rPr>
          <w:rFonts w:hint="eastAsia" w:ascii="仿宋_GB2312" w:hAnsi="楷体" w:cs="仿宋_GB2312"/>
          <w:u w:val="single"/>
        </w:rPr>
        <w:t xml:space="preserve">           北京市应急管理局</w:t>
      </w:r>
      <w:r>
        <w:rPr>
          <w:rFonts w:hint="eastAsia" w:ascii="仿宋_GB2312" w:hAnsi="楷体" w:cs="仿宋_GB2312"/>
          <w:u w:val="single"/>
        </w:rPr>
        <w:tab/>
      </w:r>
      <w:r>
        <w:rPr>
          <w:rFonts w:hint="eastAsia" w:ascii="仿宋_GB2312" w:hAnsi="楷体" w:cs="仿宋_GB2312"/>
          <w:u w:val="single"/>
        </w:rPr>
        <w:t xml:space="preserve">  </w:t>
      </w:r>
      <w:r>
        <w:rPr>
          <w:rFonts w:hint="eastAsia" w:ascii="仿宋_GB2312" w:hAnsi="楷体" w:cs="仿宋_GB2312"/>
          <w:u w:val="single"/>
        </w:rPr>
        <w:tab/>
      </w:r>
      <w:r>
        <w:rPr>
          <w:rFonts w:hint="eastAsia" w:ascii="仿宋_GB2312" w:hAnsi="楷体" w:cs="仿宋_GB2312"/>
          <w:u w:val="single"/>
        </w:rPr>
        <w:tab/>
      </w:r>
      <w:r>
        <w:rPr>
          <w:rFonts w:hint="eastAsia" w:ascii="仿宋_GB2312" w:hAnsi="楷体" w:cs="仿宋_GB2312"/>
          <w:u w:val="single"/>
        </w:rPr>
        <w:t xml:space="preserve">            </w:t>
      </w:r>
    </w:p>
    <w:p>
      <w:pPr>
        <w:spacing w:line="480" w:lineRule="auto"/>
        <w:ind w:firstLine="129" w:firstLineChars="47"/>
        <w:rPr>
          <w:rFonts w:hint="eastAsia" w:ascii="仿宋_GB2312" w:hAnsi="楷体"/>
        </w:rPr>
      </w:pPr>
      <w:r>
        <w:rPr>
          <w:rFonts w:hint="eastAsia" w:ascii="仿宋_GB2312" w:hAnsi="楷体" w:cs="仿宋_GB2312"/>
        </w:rPr>
        <w:t>项目单位：</w:t>
      </w:r>
      <w:r>
        <w:rPr>
          <w:rFonts w:hint="eastAsia" w:ascii="仿宋_GB2312" w:hAnsi="楷体" w:cs="仿宋_GB2312"/>
          <w:u w:val="single"/>
        </w:rPr>
        <w:t xml:space="preserve">   </w:t>
      </w:r>
      <w:r>
        <w:rPr>
          <w:rFonts w:hint="eastAsia" w:ascii="仿宋_GB2312" w:hAnsi="楷体" w:cs="仿宋_GB2312"/>
          <w:u w:val="single"/>
        </w:rPr>
        <w:tab/>
      </w:r>
      <w:r>
        <w:rPr>
          <w:rFonts w:hint="eastAsia" w:ascii="仿宋_GB2312" w:hAnsi="楷体" w:cs="仿宋_GB2312"/>
          <w:u w:val="single"/>
        </w:rPr>
        <w:t xml:space="preserve">           北京市应急管理局                   </w:t>
      </w:r>
    </w:p>
    <w:p>
      <w:pPr>
        <w:spacing w:line="480" w:lineRule="auto"/>
        <w:ind w:firstLine="129" w:firstLineChars="47"/>
        <w:rPr>
          <w:rFonts w:hint="eastAsia" w:ascii="仿宋_GB2312" w:hAnsi="楷体" w:cs="仿宋_GB2312"/>
          <w:u w:val="single"/>
        </w:rPr>
      </w:pPr>
      <w:r>
        <w:rPr>
          <w:rFonts w:hint="eastAsia" w:ascii="仿宋_GB2312" w:hAnsi="楷体" w:cs="仿宋_GB2312"/>
        </w:rPr>
        <w:t xml:space="preserve">项目名称： </w:t>
      </w:r>
      <w:r>
        <w:rPr>
          <w:rFonts w:hint="eastAsia" w:ascii="仿宋_GB2312" w:hAnsi="楷体" w:cs="仿宋_GB2312"/>
          <w:u w:val="single"/>
        </w:rPr>
        <w:t xml:space="preserve">   北京市森林消防综合救援总队驻防基地服务项目    </w:t>
      </w:r>
    </w:p>
    <w:p>
      <w:pPr>
        <w:spacing w:line="480" w:lineRule="auto"/>
        <w:ind w:firstLine="129" w:firstLineChars="47"/>
        <w:rPr>
          <w:rFonts w:hint="eastAsia" w:ascii="仿宋_GB2312" w:hAnsi="楷体"/>
        </w:rPr>
      </w:pPr>
      <w:r>
        <w:rPr>
          <w:rFonts w:hint="eastAsia" w:ascii="仿宋_GB2312" w:hAnsi="楷体"/>
        </w:rPr>
        <w:t>评价时间：</w:t>
      </w:r>
      <w:r>
        <w:rPr>
          <w:rFonts w:hint="eastAsia" w:ascii="仿宋_GB2312" w:hAnsi="楷体"/>
          <w:u w:val="single"/>
        </w:rPr>
        <w:t xml:space="preserve">                2025年5月                       </w:t>
      </w:r>
    </w:p>
    <w:p>
      <w:pPr>
        <w:spacing w:line="480" w:lineRule="auto"/>
        <w:ind w:firstLine="129" w:firstLineChars="47"/>
        <w:rPr>
          <w:rFonts w:hint="eastAsia" w:ascii="仿宋_GB2312" w:hAnsi="楷体" w:cs="仿宋_GB2312"/>
        </w:rPr>
      </w:pPr>
      <w:r>
        <w:rPr>
          <w:rFonts w:hint="eastAsia" w:ascii="仿宋_GB2312" w:hAnsi="楷体" w:cs="仿宋_GB2312"/>
        </w:rPr>
        <w:t>填报日期：</w:t>
      </w:r>
      <w:r>
        <w:rPr>
          <w:rFonts w:hint="eastAsia" w:ascii="仿宋_GB2312" w:hAnsi="楷体" w:cs="仿宋_GB2312"/>
          <w:u w:val="single"/>
        </w:rPr>
        <w:t xml:space="preserve">                2025年5月                       </w:t>
      </w:r>
    </w:p>
    <w:p>
      <w:pPr>
        <w:ind w:firstLine="588"/>
        <w:rPr>
          <w:rFonts w:hint="eastAsia" w:ascii="仿宋_GB2312" w:hAnsi="宋体"/>
          <w:bCs/>
          <w:sz w:val="32"/>
          <w:szCs w:val="32"/>
          <w:highlight w:val="yellow"/>
        </w:rPr>
      </w:pPr>
    </w:p>
    <w:p>
      <w:pPr>
        <w:ind w:firstLine="588"/>
        <w:rPr>
          <w:rFonts w:hint="eastAsia" w:ascii="仿宋_GB2312" w:hAnsi="宋体"/>
          <w:bCs/>
          <w:sz w:val="32"/>
          <w:szCs w:val="32"/>
        </w:rPr>
      </w:pPr>
    </w:p>
    <w:p>
      <w:pPr>
        <w:spacing w:before="303" w:beforeLines="50" w:line="480" w:lineRule="auto"/>
        <w:ind w:firstLine="590"/>
        <w:rPr>
          <w:rFonts w:eastAsia="仿宋"/>
          <w:b/>
          <w:color w:val="000000"/>
          <w:sz w:val="32"/>
        </w:rPr>
        <w:sectPr>
          <w:headerReference r:id="rId7" w:type="first"/>
          <w:footerReference r:id="rId10" w:type="first"/>
          <w:headerReference r:id="rId5" w:type="default"/>
          <w:footerReference r:id="rId8" w:type="default"/>
          <w:headerReference r:id="rId6" w:type="even"/>
          <w:footerReference r:id="rId9" w:type="even"/>
          <w:pgSz w:w="11906" w:h="16838"/>
          <w:pgMar w:top="1440" w:right="1797" w:bottom="1440" w:left="1797" w:header="851" w:footer="992" w:gutter="0"/>
          <w:pgNumType w:start="1"/>
          <w:cols w:space="425" w:num="1"/>
          <w:docGrid w:type="linesAndChars" w:linePitch="606" w:charSpace="-5328"/>
        </w:sectPr>
      </w:pPr>
    </w:p>
    <w:sdt>
      <w:sdtPr>
        <w:rPr>
          <w:rFonts w:ascii="Times New Roman" w:hAnsi="Times New Roman" w:eastAsia="宋体" w:cs="Times New Roman"/>
          <w:b w:val="0"/>
          <w:bCs w:val="0"/>
          <w:color w:val="auto"/>
          <w:kern w:val="2"/>
          <w:sz w:val="21"/>
          <w:szCs w:val="24"/>
          <w:lang w:val="zh-CN"/>
        </w:rPr>
        <w:id w:val="-1923329438"/>
        <w:docPartObj>
          <w:docPartGallery w:val="Table of Contents"/>
          <w:docPartUnique/>
        </w:docPartObj>
      </w:sdtPr>
      <w:sdtEndPr>
        <w:rPr>
          <w:rFonts w:hint="eastAsia" w:ascii="黑体" w:hAnsi="黑体" w:eastAsia="黑体" w:cs="黑体"/>
          <w:b w:val="0"/>
          <w:bCs w:val="0"/>
          <w:color w:val="auto"/>
          <w:kern w:val="2"/>
          <w:sz w:val="30"/>
          <w:szCs w:val="30"/>
          <w:lang w:val="zh-CN"/>
        </w:rPr>
      </w:sdtEndPr>
      <w:sdtContent>
        <w:sdt>
          <w:sdtPr>
            <w:rPr>
              <w:rFonts w:ascii="Times New Roman" w:hAnsi="Times New Roman" w:eastAsia="宋体" w:cs="Times New Roman"/>
              <w:b w:val="0"/>
              <w:bCs w:val="0"/>
              <w:color w:val="auto"/>
              <w:kern w:val="2"/>
              <w:sz w:val="21"/>
              <w:szCs w:val="24"/>
              <w:lang w:val="zh-CN"/>
            </w:rPr>
            <w:id w:val="-1923329438"/>
            <w:docPartObj>
              <w:docPartGallery w:val="Table of Contents"/>
              <w:docPartUnique/>
            </w:docPartObj>
          </w:sdtPr>
          <w:sdtEndPr>
            <w:rPr>
              <w:rFonts w:hint="eastAsia" w:ascii="黑体" w:hAnsi="黑体" w:eastAsia="黑体" w:cs="黑体"/>
              <w:b w:val="0"/>
              <w:bCs w:val="0"/>
              <w:color w:val="auto"/>
              <w:kern w:val="2"/>
              <w:sz w:val="30"/>
              <w:szCs w:val="30"/>
              <w:lang w:val="zh-CN"/>
            </w:rPr>
          </w:sdtEndPr>
          <w:sdtContent>
            <w:p>
              <w:pPr>
                <w:pStyle w:val="74"/>
                <w:spacing w:before="0" w:after="156" w:afterLines="50" w:line="360" w:lineRule="auto"/>
                <w:ind w:firstLine="0" w:firstLineChars="0"/>
                <w:jc w:val="center"/>
                <w:rPr>
                  <w:rFonts w:hint="eastAsia" w:asciiTheme="minorHAnsi" w:hAnsiTheme="minorHAnsi" w:eastAsiaTheme="minorEastAsia" w:cstheme="minorBidi"/>
                  <w:b w:val="0"/>
                  <w:kern w:val="2"/>
                  <w:sz w:val="22"/>
                  <w14:ligatures w14:val="standardContextual"/>
                </w:rPr>
              </w:pPr>
              <w:r>
                <w:rPr>
                  <w:rFonts w:hint="eastAsia" w:ascii="黑体" w:hAnsi="黑体" w:eastAsia="黑体"/>
                  <w:color w:val="auto"/>
                  <w:sz w:val="40"/>
                  <w:szCs w:val="40"/>
                  <w:lang w:val="zh-CN"/>
                </w:rPr>
                <w:t xml:space="preserve">目 </w:t>
              </w:r>
              <w:r>
                <w:rPr>
                  <w:rFonts w:ascii="黑体" w:hAnsi="黑体" w:eastAsia="黑体"/>
                  <w:color w:val="auto"/>
                  <w:sz w:val="40"/>
                  <w:szCs w:val="40"/>
                  <w:lang w:val="zh-CN"/>
                </w:rPr>
                <w:t xml:space="preserve"> </w:t>
              </w:r>
              <w:r>
                <w:rPr>
                  <w:rFonts w:hint="eastAsia" w:ascii="黑体" w:hAnsi="黑体" w:eastAsia="黑体"/>
                  <w:color w:val="auto"/>
                  <w:sz w:val="40"/>
                  <w:szCs w:val="40"/>
                  <w:lang w:val="zh-CN"/>
                </w:rPr>
                <w:t>录</w:t>
              </w:r>
              <w:r>
                <w:rPr>
                  <w:rFonts w:hint="eastAsia" w:cs="黑体"/>
                  <w:b w:val="0"/>
                </w:rPr>
                <w:fldChar w:fldCharType="begin"/>
              </w:r>
              <w:r>
                <w:rPr>
                  <w:rFonts w:cs="黑体"/>
                  <w:b w:val="0"/>
                </w:rPr>
                <w:instrText xml:space="preserve"> TOC \o "1-3" \h \z \u </w:instrText>
              </w:r>
              <w:r>
                <w:rPr>
                  <w:rFonts w:hint="eastAsia" w:cs="黑体"/>
                  <w:b w:val="0"/>
                </w:rPr>
                <w:fldChar w:fldCharType="separate"/>
              </w:r>
            </w:p>
            <w:p>
              <w:pPr>
                <w:pStyle w:val="15"/>
                <w:spacing w:line="312" w:lineRule="auto"/>
                <w:ind w:firstLine="0" w:firstLineChars="0"/>
                <w:jc w:val="both"/>
                <w:rPr>
                  <w:rFonts w:hint="eastAsia" w:asciiTheme="minorHAnsi" w:hAnsiTheme="minorHAnsi" w:eastAsiaTheme="minorEastAsia" w:cstheme="minorBidi"/>
                  <w:b w:val="0"/>
                  <w:bCs/>
                  <w:kern w:val="2"/>
                  <w:sz w:val="30"/>
                  <w:szCs w:val="30"/>
                  <w14:ligatures w14:val="standardContextual"/>
                </w:rPr>
              </w:pPr>
              <w:r>
                <w:fldChar w:fldCharType="begin"/>
              </w:r>
              <w:r>
                <w:instrText xml:space="preserve"> HYPERLINK \l "_Toc197955694" </w:instrText>
              </w:r>
              <w:r>
                <w:fldChar w:fldCharType="separate"/>
              </w:r>
              <w:r>
                <w:rPr>
                  <w:rStyle w:val="26"/>
                  <w:rFonts w:hint="eastAsia" w:cs="宋体"/>
                  <w:b w:val="0"/>
                  <w:bCs/>
                  <w:sz w:val="30"/>
                  <w:szCs w:val="30"/>
                </w:rPr>
                <w:t>一、基本情况</w:t>
              </w:r>
              <w:r>
                <w:rPr>
                  <w:rFonts w:hint="eastAsia"/>
                  <w:b w:val="0"/>
                  <w:bCs/>
                  <w:sz w:val="30"/>
                  <w:szCs w:val="30"/>
                </w:rPr>
                <w:tab/>
              </w:r>
              <w:r>
                <w:rPr>
                  <w:rFonts w:hint="eastAsia"/>
                  <w:b w:val="0"/>
                  <w:bCs/>
                  <w:sz w:val="30"/>
                  <w:szCs w:val="30"/>
                </w:rPr>
                <w:fldChar w:fldCharType="begin"/>
              </w:r>
              <w:r>
                <w:rPr>
                  <w:rFonts w:hint="eastAsia"/>
                  <w:b w:val="0"/>
                  <w:bCs/>
                  <w:sz w:val="30"/>
                  <w:szCs w:val="30"/>
                </w:rPr>
                <w:instrText xml:space="preserve"> </w:instrText>
              </w:r>
              <w:r>
                <w:rPr>
                  <w:b w:val="0"/>
                  <w:bCs/>
                  <w:sz w:val="30"/>
                  <w:szCs w:val="30"/>
                </w:rPr>
                <w:instrText xml:space="preserve">PAGEREF _Toc197955694 \h</w:instrText>
              </w:r>
              <w:r>
                <w:rPr>
                  <w:rFonts w:hint="eastAsia"/>
                  <w:b w:val="0"/>
                  <w:bCs/>
                  <w:sz w:val="30"/>
                  <w:szCs w:val="30"/>
                </w:rPr>
                <w:instrText xml:space="preserve"> </w:instrText>
              </w:r>
              <w:r>
                <w:rPr>
                  <w:rFonts w:hint="eastAsia"/>
                  <w:b w:val="0"/>
                  <w:bCs/>
                  <w:sz w:val="30"/>
                  <w:szCs w:val="30"/>
                </w:rPr>
                <w:fldChar w:fldCharType="separate"/>
              </w:r>
              <w:r>
                <w:rPr>
                  <w:rFonts w:hint="eastAsia"/>
                  <w:b w:val="0"/>
                  <w:bCs/>
                  <w:sz w:val="30"/>
                  <w:szCs w:val="30"/>
                </w:rPr>
                <w:t>1</w:t>
              </w:r>
              <w:r>
                <w:rPr>
                  <w:rFonts w:hint="eastAsia"/>
                  <w:b w:val="0"/>
                  <w:bCs/>
                  <w:sz w:val="30"/>
                  <w:szCs w:val="30"/>
                </w:rPr>
                <w:fldChar w:fldCharType="end"/>
              </w:r>
              <w:r>
                <w:rPr>
                  <w:rFonts w:hint="eastAsia"/>
                  <w:b w:val="0"/>
                  <w:bCs/>
                  <w:sz w:val="30"/>
                  <w:szCs w:val="30"/>
                </w:rPr>
                <w:fldChar w:fldCharType="end"/>
              </w:r>
            </w:p>
            <w:p>
              <w:pPr>
                <w:pStyle w:val="10"/>
                <w:spacing w:line="312" w:lineRule="auto"/>
                <w:ind w:left="0" w:firstLine="600" w:firstLineChars="200"/>
                <w:rPr>
                  <w:rFonts w:hint="eastAsia" w:ascii="楷体_GB2312" w:eastAsia="楷体_GB2312" w:hAnsiTheme="minorHAnsi" w:cstheme="minorBidi"/>
                  <w:bCs/>
                  <w:szCs w:val="30"/>
                  <w14:ligatures w14:val="standardContextual"/>
                </w:rPr>
              </w:pPr>
              <w:r>
                <w:fldChar w:fldCharType="begin"/>
              </w:r>
              <w:r>
                <w:instrText xml:space="preserve"> HYPERLINK \l "_Toc197955695" </w:instrText>
              </w:r>
              <w:r>
                <w:fldChar w:fldCharType="separate"/>
              </w:r>
              <w:r>
                <w:rPr>
                  <w:rStyle w:val="26"/>
                  <w:rFonts w:hint="eastAsia" w:ascii="楷体_GB2312" w:hAnsi="宋体" w:eastAsia="楷体_GB2312"/>
                  <w:bCs/>
                  <w:szCs w:val="30"/>
                </w:rPr>
                <w:t>（一）项目概况</w:t>
              </w:r>
              <w:r>
                <w:rPr>
                  <w:rFonts w:hint="eastAsia" w:ascii="楷体_GB2312" w:eastAsia="楷体_GB2312"/>
                  <w:bCs/>
                  <w:szCs w:val="30"/>
                </w:rPr>
                <w:tab/>
              </w:r>
              <w:r>
                <w:rPr>
                  <w:rFonts w:hint="eastAsia" w:ascii="楷体_GB2312" w:eastAsia="楷体_GB2312"/>
                  <w:bCs/>
                  <w:szCs w:val="30"/>
                </w:rPr>
                <w:fldChar w:fldCharType="begin"/>
              </w:r>
              <w:r>
                <w:rPr>
                  <w:rFonts w:hint="eastAsia" w:ascii="楷体_GB2312" w:eastAsia="楷体_GB2312"/>
                  <w:bCs/>
                  <w:szCs w:val="30"/>
                </w:rPr>
                <w:instrText xml:space="preserve"> PAGEREF _Toc197955695 \h </w:instrText>
              </w:r>
              <w:r>
                <w:rPr>
                  <w:rFonts w:hint="eastAsia" w:ascii="楷体_GB2312" w:eastAsia="楷体_GB2312"/>
                  <w:bCs/>
                  <w:szCs w:val="30"/>
                </w:rPr>
                <w:fldChar w:fldCharType="separate"/>
              </w:r>
              <w:r>
                <w:rPr>
                  <w:rFonts w:hint="eastAsia" w:ascii="楷体_GB2312" w:eastAsia="楷体_GB2312"/>
                  <w:bCs/>
                  <w:szCs w:val="30"/>
                </w:rPr>
                <w:t>1</w:t>
              </w:r>
              <w:r>
                <w:rPr>
                  <w:rFonts w:hint="eastAsia" w:ascii="楷体_GB2312" w:eastAsia="楷体_GB2312"/>
                  <w:bCs/>
                  <w:szCs w:val="30"/>
                </w:rPr>
                <w:fldChar w:fldCharType="end"/>
              </w:r>
              <w:r>
                <w:rPr>
                  <w:rFonts w:hint="eastAsia" w:ascii="楷体_GB2312" w:eastAsia="楷体_GB2312"/>
                  <w:bCs/>
                  <w:szCs w:val="30"/>
                </w:rPr>
                <w:fldChar w:fldCharType="end"/>
              </w:r>
            </w:p>
            <w:p>
              <w:pPr>
                <w:pStyle w:val="10"/>
                <w:spacing w:line="312" w:lineRule="auto"/>
                <w:ind w:left="0" w:firstLine="600" w:firstLineChars="200"/>
                <w:rPr>
                  <w:rFonts w:hint="eastAsia" w:ascii="楷体_GB2312" w:eastAsia="楷体_GB2312" w:hAnsiTheme="minorHAnsi" w:cstheme="minorBidi"/>
                  <w:bCs/>
                  <w:szCs w:val="30"/>
                  <w14:ligatures w14:val="standardContextual"/>
                </w:rPr>
              </w:pPr>
              <w:r>
                <w:fldChar w:fldCharType="begin"/>
              </w:r>
              <w:r>
                <w:instrText xml:space="preserve"> HYPERLINK \l "_Toc197955696" </w:instrText>
              </w:r>
              <w:r>
                <w:fldChar w:fldCharType="separate"/>
              </w:r>
              <w:r>
                <w:rPr>
                  <w:rStyle w:val="26"/>
                  <w:rFonts w:hint="eastAsia" w:ascii="楷体_GB2312" w:hAnsi="宋体" w:eastAsia="楷体_GB2312"/>
                  <w:bCs/>
                  <w:szCs w:val="30"/>
                </w:rPr>
                <w:t>（二）项目绩效目标</w:t>
              </w:r>
              <w:r>
                <w:rPr>
                  <w:rFonts w:hint="eastAsia" w:ascii="楷体_GB2312" w:eastAsia="楷体_GB2312"/>
                  <w:bCs/>
                  <w:szCs w:val="30"/>
                </w:rPr>
                <w:tab/>
              </w:r>
              <w:r>
                <w:rPr>
                  <w:rFonts w:hint="eastAsia" w:ascii="楷体_GB2312" w:eastAsia="楷体_GB2312"/>
                  <w:bCs/>
                  <w:szCs w:val="30"/>
                </w:rPr>
                <w:fldChar w:fldCharType="begin"/>
              </w:r>
              <w:r>
                <w:rPr>
                  <w:rFonts w:hint="eastAsia" w:ascii="楷体_GB2312" w:eastAsia="楷体_GB2312"/>
                  <w:bCs/>
                  <w:szCs w:val="30"/>
                </w:rPr>
                <w:instrText xml:space="preserve"> PAGEREF _Toc197955696 \h </w:instrText>
              </w:r>
              <w:r>
                <w:rPr>
                  <w:rFonts w:hint="eastAsia" w:ascii="楷体_GB2312" w:eastAsia="楷体_GB2312"/>
                  <w:bCs/>
                  <w:szCs w:val="30"/>
                </w:rPr>
                <w:fldChar w:fldCharType="separate"/>
              </w:r>
              <w:r>
                <w:rPr>
                  <w:rFonts w:hint="eastAsia" w:ascii="楷体_GB2312" w:eastAsia="楷体_GB2312"/>
                  <w:bCs/>
                  <w:szCs w:val="30"/>
                </w:rPr>
                <w:t>2</w:t>
              </w:r>
              <w:r>
                <w:rPr>
                  <w:rFonts w:hint="eastAsia" w:ascii="楷体_GB2312" w:eastAsia="楷体_GB2312"/>
                  <w:bCs/>
                  <w:szCs w:val="30"/>
                </w:rPr>
                <w:fldChar w:fldCharType="end"/>
              </w:r>
              <w:r>
                <w:rPr>
                  <w:rFonts w:hint="eastAsia" w:ascii="楷体_GB2312" w:eastAsia="楷体_GB2312"/>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"_Toc197955697" </w:instrText>
              </w:r>
              <w:r>
                <w:fldChar w:fldCharType="separate"/>
              </w:r>
              <w:r>
                <w:rPr>
                  <w:rStyle w:val="26"/>
                  <w:rFonts w:hint="eastAsia" w:cs="宋体"/>
                  <w:b w:val="0"/>
                  <w:bCs/>
                  <w:sz w:val="30"/>
                  <w:szCs w:val="30"/>
                </w:rPr>
                <w:t>二、绩效评价工作开展情况</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_Toc197955697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4</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"_Toc197955698" </w:instrText>
              </w:r>
              <w:r>
                <w:fldChar w:fldCharType="separate"/>
              </w:r>
              <w:r>
                <w:rPr>
                  <w:rStyle w:val="26"/>
                  <w:rFonts w:hint="eastAsia" w:ascii="仿宋_GB2312" w:hAnsi="宋体"/>
                  <w:bCs/>
                  <w:szCs w:val="30"/>
                </w:rPr>
                <w:t>（一）评价目的、对象及范围</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_Toc197955698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4</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"_Toc197955699" </w:instrText>
              </w:r>
              <w:r>
                <w:fldChar w:fldCharType="separate"/>
              </w:r>
              <w:r>
                <w:rPr>
                  <w:rStyle w:val="26"/>
                  <w:rFonts w:hint="eastAsia" w:ascii="仿宋_GB2312" w:hAnsi="宋体"/>
                  <w:bCs/>
                  <w:szCs w:val="30"/>
                </w:rPr>
                <w:t>（二）绩效评价原则、方法及指标体系</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_Toc197955699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4</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"_Toc197955700" </w:instrText>
              </w:r>
              <w:r>
                <w:fldChar w:fldCharType="separate"/>
              </w:r>
              <w:r>
                <w:rPr>
                  <w:rStyle w:val="26"/>
                  <w:rFonts w:hint="eastAsia" w:ascii="仿宋_GB2312" w:hAnsi="宋体"/>
                  <w:bCs/>
                  <w:szCs w:val="30"/>
                </w:rPr>
                <w:t>（三）绩效评价工作过程</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_Toc197955700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5</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"_Toc197955701" </w:instrText>
              </w:r>
              <w:r>
                <w:fldChar w:fldCharType="separate"/>
              </w:r>
              <w:r>
                <w:rPr>
                  <w:rStyle w:val="26"/>
                  <w:rFonts w:hint="eastAsia" w:cs="宋体"/>
                  <w:b w:val="0"/>
                  <w:bCs/>
                  <w:sz w:val="30"/>
                  <w:szCs w:val="30"/>
                </w:rPr>
                <w:t>三、综合评价情况及评价结论</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_Toc197955701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6</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"_Toc197955702" </w:instrText>
              </w:r>
              <w:r>
                <w:fldChar w:fldCharType="separate"/>
              </w:r>
              <w:r>
                <w:rPr>
                  <w:rStyle w:val="26"/>
                  <w:rFonts w:hint="eastAsia" w:ascii="仿宋_GB2312" w:hAnsi="宋体"/>
                  <w:bCs/>
                  <w:szCs w:val="30"/>
                </w:rPr>
                <w:t>（一）评价得分情况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_Toc197955702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6</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"_Toc197955703" </w:instrText>
              </w:r>
              <w:r>
                <w:fldChar w:fldCharType="separate"/>
              </w:r>
              <w:r>
                <w:rPr>
                  <w:rStyle w:val="26"/>
                  <w:rFonts w:hint="eastAsia" w:ascii="仿宋_GB2312" w:hAnsi="宋体"/>
                  <w:bCs/>
                  <w:szCs w:val="30"/>
                </w:rPr>
                <w:t>（二）项目总体绩效实现情况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_Toc197955703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7</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"_Toc197955704" </w:instrText>
              </w:r>
              <w:r>
                <w:fldChar w:fldCharType="separate"/>
              </w:r>
              <w:r>
                <w:rPr>
                  <w:rStyle w:val="26"/>
                  <w:rFonts w:hint="eastAsia" w:cs="宋体"/>
                  <w:b w:val="0"/>
                  <w:bCs/>
                  <w:sz w:val="30"/>
                  <w:szCs w:val="30"/>
                </w:rPr>
                <w:t>四、绩效评价指标分析</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_Toc197955704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7</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"_Toc197955705" </w:instrText>
              </w:r>
              <w:r>
                <w:fldChar w:fldCharType="separate"/>
              </w:r>
              <w:r>
                <w:rPr>
                  <w:rStyle w:val="26"/>
                  <w:rFonts w:hint="eastAsia" w:ascii="仿宋_GB2312" w:hAnsi="宋体"/>
                  <w:bCs/>
                  <w:szCs w:val="30"/>
                </w:rPr>
                <w:t>（一）项目决策情况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_Toc197955705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7</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"_Toc197955706" </w:instrText>
              </w:r>
              <w:r>
                <w:fldChar w:fldCharType="separate"/>
              </w:r>
              <w:r>
                <w:rPr>
                  <w:rStyle w:val="26"/>
                  <w:rFonts w:hint="eastAsia" w:ascii="仿宋_GB2312" w:hAnsi="宋体"/>
                  <w:bCs/>
                  <w:szCs w:val="30"/>
                </w:rPr>
                <w:t>（二）项目过程情况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_Toc197955706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9</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"_Toc197955707" </w:instrText>
              </w:r>
              <w:r>
                <w:fldChar w:fldCharType="separate"/>
              </w:r>
              <w:r>
                <w:rPr>
                  <w:rStyle w:val="26"/>
                  <w:rFonts w:hint="eastAsia" w:ascii="仿宋_GB2312" w:hAnsi="宋体"/>
                  <w:bCs/>
                  <w:szCs w:val="30"/>
                </w:rPr>
                <w:t>（三）项目产出情况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_Toc197955707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10</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"_Toc197955708" </w:instrText>
              </w:r>
              <w:r>
                <w:fldChar w:fldCharType="separate"/>
              </w:r>
              <w:r>
                <w:rPr>
                  <w:rStyle w:val="26"/>
                  <w:rFonts w:hint="eastAsia" w:ascii="仿宋_GB2312" w:hAnsi="宋体"/>
                  <w:bCs/>
                  <w:szCs w:val="30"/>
                </w:rPr>
                <w:t>（四）实施效益情况</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_Toc197955708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12</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"_Toc197955709" </w:instrText>
              </w:r>
              <w:r>
                <w:fldChar w:fldCharType="separate"/>
              </w:r>
              <w:r>
                <w:rPr>
                  <w:rStyle w:val="26"/>
                  <w:rFonts w:hint="eastAsia" w:cs="宋体"/>
                  <w:b w:val="0"/>
                  <w:bCs/>
                  <w:sz w:val="30"/>
                  <w:szCs w:val="30"/>
                </w:rPr>
                <w:t>五、主要经验及做法、存在的问题及原因分析</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_Toc197955709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12</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"_Toc197955710" </w:instrText>
              </w:r>
              <w:r>
                <w:fldChar w:fldCharType="separate"/>
              </w:r>
              <w:r>
                <w:rPr>
                  <w:rStyle w:val="26"/>
                  <w:rFonts w:hint="eastAsia" w:ascii="仿宋_GB2312" w:hAnsi="宋体"/>
                  <w:bCs/>
                  <w:szCs w:val="30"/>
                </w:rPr>
                <w:t>（一）主要经验及做法</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_Toc197955710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12</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"_Toc197955711" </w:instrText>
              </w:r>
              <w:r>
                <w:fldChar w:fldCharType="separate"/>
              </w:r>
              <w:r>
                <w:rPr>
                  <w:rStyle w:val="26"/>
                  <w:rFonts w:hint="eastAsia" w:ascii="仿宋_GB2312" w:hAnsi="宋体"/>
                  <w:bCs/>
                  <w:szCs w:val="30"/>
                </w:rPr>
                <w:t>（二）存在的问题及原因分析</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_Toc197955711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13</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"_Toc197955712" </w:instrText>
              </w:r>
              <w:r>
                <w:fldChar w:fldCharType="separate"/>
              </w:r>
              <w:r>
                <w:rPr>
                  <w:rStyle w:val="26"/>
                  <w:rFonts w:hint="eastAsia" w:cs="宋体"/>
                  <w:b w:val="0"/>
                  <w:bCs/>
                  <w:sz w:val="30"/>
                  <w:szCs w:val="30"/>
                </w:rPr>
                <w:t>六、有关建议</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_Toc197955712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13</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"_Toc197955713" </w:instrText>
              </w:r>
              <w:r>
                <w:fldChar w:fldCharType="separate"/>
              </w:r>
              <w:r>
                <w:rPr>
                  <w:rStyle w:val="26"/>
                  <w:rFonts w:hint="eastAsia" w:ascii="仿宋_GB2312" w:hAnsi="宋体"/>
                  <w:bCs/>
                  <w:szCs w:val="30"/>
                </w:rPr>
                <w:t>（一）结合年度工作任务，科学设置绩效指标</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_Toc197955713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13</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"_Toc197955714" </w:instrText>
              </w:r>
              <w:r>
                <w:fldChar w:fldCharType="separate"/>
              </w:r>
              <w:r>
                <w:rPr>
                  <w:rStyle w:val="26"/>
                  <w:rFonts w:hint="eastAsia" w:ascii="仿宋_GB2312" w:hAnsi="宋体"/>
                  <w:bCs/>
                  <w:szCs w:val="30"/>
                </w:rPr>
                <w:t>（二）完善监管制度，进一步强化过程监管</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_Toc197955714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13</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0"/>
                <w:spacing w:line="312" w:lineRule="auto"/>
                <w:ind w:left="0" w:firstLine="600" w:firstLineChars="200"/>
                <w:rPr>
                  <w:rStyle w:val="26"/>
                  <w:rFonts w:hint="eastAsia" w:ascii="仿宋_GB2312" w:hAnsi="宋体"/>
                  <w:bCs/>
                  <w:szCs w:val="30"/>
                </w:rPr>
              </w:pPr>
              <w:r>
                <w:fldChar w:fldCharType="begin"/>
              </w:r>
              <w:r>
                <w:instrText xml:space="preserve"> HYPERLINK \l "_Toc197955715" </w:instrText>
              </w:r>
              <w:r>
                <w:fldChar w:fldCharType="separate"/>
              </w:r>
              <w:r>
                <w:rPr>
                  <w:rStyle w:val="26"/>
                  <w:rFonts w:hint="eastAsia" w:ascii="仿宋_GB2312" w:hAnsi="宋体"/>
                  <w:bCs/>
                  <w:szCs w:val="30"/>
                </w:rPr>
                <w:t>（三）开展满意度调查，及时收集反馈信息</w:t>
              </w:r>
              <w:r>
                <w:rPr>
                  <w:rStyle w:val="26"/>
                  <w:rFonts w:hint="eastAsia" w:ascii="仿宋_GB2312" w:hAnsi="宋体"/>
                  <w:bCs/>
                  <w:szCs w:val="30"/>
                </w:rPr>
                <w:tab/>
              </w:r>
              <w:r>
                <w:rPr>
                  <w:rStyle w:val="26"/>
                  <w:rFonts w:hint="eastAsia" w:ascii="仿宋_GB2312" w:hAnsi="宋体"/>
                  <w:bCs/>
                  <w:szCs w:val="30"/>
                </w:rPr>
                <w:fldChar w:fldCharType="begin"/>
              </w:r>
              <w:r>
                <w:rPr>
                  <w:rStyle w:val="26"/>
                  <w:rFonts w:hint="eastAsia" w:ascii="仿宋_GB2312" w:hAnsi="宋体"/>
                  <w:bCs/>
                  <w:szCs w:val="30"/>
                </w:rPr>
                <w:instrText xml:space="preserve"> </w:instrText>
              </w:r>
              <w:r>
                <w:rPr>
                  <w:rStyle w:val="26"/>
                  <w:rFonts w:ascii="仿宋_GB2312" w:hAnsi="宋体"/>
                  <w:bCs/>
                  <w:szCs w:val="30"/>
                </w:rPr>
                <w:instrText xml:space="preserve">PAGEREF _Toc197955715 \h</w:instrText>
              </w:r>
              <w:r>
                <w:rPr>
                  <w:rStyle w:val="26"/>
                  <w:rFonts w:hint="eastAsia" w:ascii="仿宋_GB2312" w:hAnsi="宋体"/>
                  <w:bCs/>
                  <w:szCs w:val="30"/>
                </w:rPr>
                <w:instrText xml:space="preserve"> </w:instrText>
              </w:r>
              <w:r>
                <w:rPr>
                  <w:rStyle w:val="26"/>
                  <w:rFonts w:hint="eastAsia" w:ascii="仿宋_GB2312" w:hAnsi="宋体"/>
                  <w:bCs/>
                  <w:szCs w:val="30"/>
                </w:rPr>
                <w:fldChar w:fldCharType="separate"/>
              </w:r>
              <w:r>
                <w:rPr>
                  <w:rStyle w:val="26"/>
                  <w:rFonts w:hint="eastAsia" w:ascii="仿宋_GB2312" w:hAnsi="宋体"/>
                  <w:bCs/>
                  <w:szCs w:val="30"/>
                </w:rPr>
                <w:t>14</w:t>
              </w:r>
              <w:r>
                <w:rPr>
                  <w:rStyle w:val="26"/>
                  <w:rFonts w:hint="eastAsia" w:ascii="仿宋_GB2312" w:hAnsi="宋体"/>
                  <w:bCs/>
                  <w:szCs w:val="30"/>
                </w:rPr>
                <w:fldChar w:fldCharType="end"/>
              </w:r>
              <w:r>
                <w:rPr>
                  <w:rStyle w:val="26"/>
                  <w:rFonts w:hint="eastAsia" w:ascii="仿宋_GB2312" w:hAnsi="宋体"/>
                  <w:bCs/>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"_Toc197955716" </w:instrText>
              </w:r>
              <w:r>
                <w:fldChar w:fldCharType="separate"/>
              </w:r>
              <w:r>
                <w:rPr>
                  <w:rStyle w:val="26"/>
                  <w:rFonts w:hint="eastAsia" w:cs="宋体"/>
                  <w:b w:val="0"/>
                  <w:bCs/>
                  <w:sz w:val="30"/>
                  <w:szCs w:val="30"/>
                </w:rPr>
                <w:t>七、其他需要说明的问题</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_Toc197955716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14</w:t>
              </w:r>
              <w:r>
                <w:rPr>
                  <w:rStyle w:val="26"/>
                  <w:rFonts w:hint="eastAsia" w:cs="宋体"/>
                  <w:b w:val="0"/>
                  <w:bCs/>
                  <w:sz w:val="30"/>
                  <w:szCs w:val="30"/>
                </w:rPr>
                <w:fldChar w:fldCharType="end"/>
              </w:r>
              <w:r>
                <w:rPr>
                  <w:rStyle w:val="26"/>
                  <w:rFonts w:hint="eastAsia" w:cs="宋体"/>
                  <w:b w:val="0"/>
                  <w:bCs/>
                  <w:sz w:val="30"/>
                  <w:szCs w:val="30"/>
                </w:rPr>
                <w:fldChar w:fldCharType="end"/>
              </w:r>
            </w:p>
            <w:p>
              <w:pPr>
                <w:pStyle w:val="15"/>
                <w:spacing w:line="312" w:lineRule="auto"/>
                <w:ind w:firstLine="0" w:firstLineChars="0"/>
                <w:jc w:val="both"/>
                <w:rPr>
                  <w:rStyle w:val="26"/>
                  <w:rFonts w:hint="eastAsia" w:cs="宋体"/>
                  <w:b w:val="0"/>
                  <w:bCs/>
                  <w:sz w:val="30"/>
                  <w:szCs w:val="30"/>
                </w:rPr>
              </w:pPr>
              <w:r>
                <w:fldChar w:fldCharType="begin"/>
              </w:r>
              <w:r>
                <w:instrText xml:space="preserve"> HYPERLINK \l "_Toc197955717" </w:instrText>
              </w:r>
              <w:r>
                <w:fldChar w:fldCharType="separate"/>
              </w:r>
              <w:r>
                <w:rPr>
                  <w:rStyle w:val="26"/>
                  <w:rFonts w:hint="eastAsia" w:cs="宋体"/>
                  <w:b w:val="0"/>
                  <w:bCs/>
                  <w:sz w:val="30"/>
                  <w:szCs w:val="30"/>
                </w:rPr>
                <w:t>八、附件</w:t>
              </w:r>
              <w:r>
                <w:rPr>
                  <w:rStyle w:val="26"/>
                  <w:rFonts w:hint="eastAsia" w:cs="宋体"/>
                  <w:b w:val="0"/>
                  <w:bCs/>
                  <w:sz w:val="30"/>
                  <w:szCs w:val="30"/>
                </w:rPr>
                <w:tab/>
              </w:r>
              <w:r>
                <w:rPr>
                  <w:rStyle w:val="26"/>
                  <w:rFonts w:hint="eastAsia" w:cs="宋体"/>
                  <w:b w:val="0"/>
                  <w:bCs/>
                  <w:sz w:val="30"/>
                  <w:szCs w:val="30"/>
                </w:rPr>
                <w:fldChar w:fldCharType="begin"/>
              </w:r>
              <w:r>
                <w:rPr>
                  <w:rStyle w:val="26"/>
                  <w:rFonts w:hint="eastAsia" w:cs="宋体"/>
                  <w:b w:val="0"/>
                  <w:bCs/>
                  <w:sz w:val="30"/>
                  <w:szCs w:val="30"/>
                </w:rPr>
                <w:instrText xml:space="preserve"> </w:instrText>
              </w:r>
              <w:r>
                <w:rPr>
                  <w:rStyle w:val="26"/>
                  <w:rFonts w:cs="宋体"/>
                  <w:b w:val="0"/>
                  <w:bCs/>
                  <w:sz w:val="30"/>
                  <w:szCs w:val="30"/>
                </w:rPr>
                <w:instrText xml:space="preserve">PAGEREF _Toc197955717 \h</w:instrText>
              </w:r>
              <w:r>
                <w:rPr>
                  <w:rStyle w:val="26"/>
                  <w:rFonts w:hint="eastAsia" w:cs="宋体"/>
                  <w:b w:val="0"/>
                  <w:bCs/>
                  <w:sz w:val="30"/>
                  <w:szCs w:val="30"/>
                </w:rPr>
                <w:instrText xml:space="preserve"> </w:instrText>
              </w:r>
              <w:r>
                <w:rPr>
                  <w:rStyle w:val="26"/>
                  <w:rFonts w:hint="eastAsia" w:cs="宋体"/>
                  <w:b w:val="0"/>
                  <w:bCs/>
                  <w:sz w:val="30"/>
                  <w:szCs w:val="30"/>
                </w:rPr>
                <w:fldChar w:fldCharType="separate"/>
              </w:r>
              <w:r>
                <w:rPr>
                  <w:rStyle w:val="26"/>
                  <w:rFonts w:hint="eastAsia" w:cs="宋体"/>
                  <w:b w:val="0"/>
                  <w:bCs/>
                  <w:sz w:val="30"/>
                  <w:szCs w:val="30"/>
                </w:rPr>
                <w:t>14</w:t>
              </w:r>
              <w:r>
                <w:rPr>
                  <w:rStyle w:val="26"/>
                  <w:rFonts w:hint="eastAsia" w:cs="宋体"/>
                  <w:b w:val="0"/>
                  <w:bCs/>
                  <w:sz w:val="30"/>
                  <w:szCs w:val="30"/>
                </w:rPr>
                <w:fldChar w:fldCharType="end"/>
              </w:r>
              <w:r>
                <w:rPr>
                  <w:rStyle w:val="26"/>
                  <w:rFonts w:hint="eastAsia" w:cs="宋体"/>
                  <w:b w:val="0"/>
                  <w:bCs/>
                  <w:sz w:val="30"/>
                  <w:szCs w:val="30"/>
                </w:rPr>
                <w:fldChar w:fldCharType="end"/>
              </w:r>
            </w:p>
            <w:p>
              <w:pPr>
                <w:spacing w:line="312" w:lineRule="auto"/>
                <w:ind w:firstLine="0" w:firstLineChars="0"/>
              </w:pPr>
              <w:r>
                <w:rPr>
                  <w:rFonts w:hint="eastAsia" w:ascii="黑体" w:hAnsi="黑体" w:eastAsia="黑体" w:cs="黑体"/>
                  <w:bCs/>
                  <w:sz w:val="28"/>
                  <w:szCs w:val="28"/>
                  <w:lang w:val="zh-CN"/>
                </w:rPr>
                <w:fldChar w:fldCharType="end"/>
              </w:r>
              <w:bookmarkStart w:id="5" w:name="_Toc446962238"/>
            </w:p>
          </w:sdtContent>
        </w:sdt>
      </w:sdtContent>
    </w:sdt>
    <w:p>
      <w:pPr>
        <w:spacing w:line="312" w:lineRule="auto"/>
        <w:ind w:firstLine="0" w:firstLineChars="0"/>
        <w:rPr>
          <w:rFonts w:hint="eastAsia" w:ascii="黑体" w:hAnsi="黑体" w:eastAsia="黑体" w:cs="Arial"/>
          <w:sz w:val="36"/>
          <w:szCs w:val="36"/>
        </w:rPr>
      </w:pPr>
      <w:r>
        <w:rPr>
          <w:rFonts w:hint="eastAsia" w:ascii="黑体" w:hAnsi="黑体" w:eastAsia="黑体" w:cs="Arial"/>
          <w:sz w:val="36"/>
          <w:szCs w:val="36"/>
        </w:rPr>
        <w:t>北京市森林消防综合救援总队驻防基地服务项目</w:t>
      </w:r>
      <w:bookmarkStart w:id="92" w:name="_GoBack"/>
      <w:bookmarkEnd w:id="92"/>
    </w:p>
    <w:p>
      <w:pPr>
        <w:ind w:firstLine="0" w:firstLineChars="0"/>
        <w:jc w:val="center"/>
        <w:rPr>
          <w:rFonts w:hint="eastAsia" w:ascii="黑体" w:hAnsi="黑体" w:eastAsia="黑体" w:cs="Arial"/>
          <w:sz w:val="36"/>
          <w:szCs w:val="36"/>
        </w:rPr>
      </w:pPr>
      <w:r>
        <w:rPr>
          <w:rFonts w:hint="eastAsia" w:ascii="黑体" w:hAnsi="黑体" w:eastAsia="黑体" w:cs="Arial"/>
          <w:sz w:val="36"/>
          <w:szCs w:val="36"/>
        </w:rPr>
        <w:t>绩效评价报告</w:t>
      </w:r>
    </w:p>
    <w:p>
      <w:pPr>
        <w:autoSpaceDE w:val="0"/>
        <w:autoSpaceDN w:val="0"/>
        <w:ind w:firstLine="640"/>
        <w:outlineLvl w:val="0"/>
        <w:rPr>
          <w:rFonts w:hint="eastAsia" w:ascii="黑体" w:hAnsi="黑体" w:eastAsia="黑体" w:cs="宋体"/>
          <w:kern w:val="0"/>
          <w:sz w:val="32"/>
          <w:szCs w:val="32"/>
        </w:rPr>
      </w:pPr>
      <w:bookmarkStart w:id="6" w:name="_Toc37420624"/>
      <w:bookmarkStart w:id="7" w:name="_Toc3663"/>
      <w:bookmarkStart w:id="8" w:name="_Toc206627248"/>
      <w:r>
        <w:rPr>
          <w:rFonts w:hint="eastAsia" w:ascii="黑体" w:hAnsi="黑体" w:eastAsia="黑体" w:cs="宋体"/>
          <w:kern w:val="0"/>
          <w:sz w:val="32"/>
          <w:szCs w:val="32"/>
        </w:rPr>
        <w:t>一、基本情况</w:t>
      </w:r>
      <w:bookmarkEnd w:id="5"/>
      <w:bookmarkEnd w:id="6"/>
      <w:bookmarkEnd w:id="7"/>
      <w:bookmarkEnd w:id="8"/>
    </w:p>
    <w:p>
      <w:pPr>
        <w:ind w:firstLine="640"/>
        <w:outlineLvl w:val="1"/>
        <w:rPr>
          <w:rFonts w:hint="eastAsia" w:ascii="楷体_GB2312" w:hAnsi="宋体" w:eastAsia="楷体_GB2312"/>
          <w:b/>
          <w:sz w:val="32"/>
          <w:szCs w:val="32"/>
        </w:rPr>
      </w:pPr>
      <w:bookmarkStart w:id="9" w:name="_Toc37420625"/>
      <w:bookmarkStart w:id="10" w:name="_Toc26419"/>
      <w:bookmarkStart w:id="11" w:name="_Toc446962239"/>
      <w:bookmarkStart w:id="12" w:name="_Toc206627249"/>
      <w:r>
        <w:rPr>
          <w:rFonts w:hint="eastAsia" w:ascii="楷体_GB2312" w:hAnsi="宋体" w:eastAsia="楷体_GB2312"/>
          <w:b/>
          <w:sz w:val="32"/>
          <w:szCs w:val="32"/>
        </w:rPr>
        <w:t>（一）项目概况</w:t>
      </w:r>
      <w:bookmarkEnd w:id="9"/>
      <w:bookmarkEnd w:id="10"/>
      <w:bookmarkEnd w:id="11"/>
      <w:bookmarkEnd w:id="12"/>
    </w:p>
    <w:p>
      <w:pPr>
        <w:ind w:firstLine="640"/>
        <w:rPr>
          <w:rFonts w:hint="eastAsia" w:ascii="仿宋_GB2312" w:hAnsi="宋体"/>
          <w:b/>
          <w:sz w:val="32"/>
          <w:szCs w:val="32"/>
        </w:rPr>
      </w:pPr>
      <w:bookmarkStart w:id="13" w:name="_Toc446962240"/>
      <w:r>
        <w:rPr>
          <w:rFonts w:hint="eastAsia" w:ascii="仿宋_GB2312" w:hAnsi="宋体"/>
          <w:b/>
          <w:sz w:val="32"/>
          <w:szCs w:val="32"/>
        </w:rPr>
        <w:t>1.项目背景</w:t>
      </w:r>
    </w:p>
    <w:p>
      <w:pPr>
        <w:ind w:firstLine="640"/>
        <w:rPr>
          <w:rFonts w:hint="eastAsia" w:ascii="仿宋_GB2312" w:hAnsi="仿宋_GB2312" w:cs="仿宋_GB2312"/>
          <w:sz w:val="32"/>
          <w:szCs w:val="32"/>
        </w:rPr>
      </w:pPr>
      <w:r>
        <w:rPr>
          <w:rFonts w:hint="eastAsia" w:ascii="仿宋_GB2312" w:hAnsi="仿宋_GB2312" w:cs="仿宋_GB2312"/>
          <w:sz w:val="32"/>
          <w:szCs w:val="32"/>
        </w:rPr>
        <w:t>近年来，随着北京市森林覆盖率不断提高，加之秋收、春耕等农事活动及寒衣节、清明节等传统祭祀较多，野外吸烟、野炊、焚烧秸秆等违规用火行为多发易发，森林火源管控难度大，潜在危险因素叠加，</w:t>
      </w:r>
      <w:r>
        <w:rPr>
          <w:rFonts w:ascii="仿宋_GB2312" w:hAnsi="仿宋_GB2312" w:cs="仿宋_GB2312"/>
          <w:sz w:val="32"/>
          <w:szCs w:val="32"/>
        </w:rPr>
        <w:t>森林灭火</w:t>
      </w:r>
      <w:r>
        <w:rPr>
          <w:rFonts w:hint="eastAsia" w:ascii="仿宋_GB2312" w:hAnsi="仿宋_GB2312" w:cs="仿宋_GB2312"/>
          <w:sz w:val="32"/>
          <w:szCs w:val="32"/>
        </w:rPr>
        <w:t>呈现高频率、</w:t>
      </w:r>
      <w:r>
        <w:rPr>
          <w:rFonts w:ascii="仿宋_GB2312" w:hAnsi="仿宋_GB2312" w:cs="仿宋_GB2312"/>
          <w:sz w:val="32"/>
          <w:szCs w:val="32"/>
        </w:rPr>
        <w:t>高强度、多方向</w:t>
      </w:r>
      <w:r>
        <w:rPr>
          <w:rFonts w:hint="eastAsia" w:ascii="仿宋_GB2312" w:hAnsi="仿宋_GB2312" w:cs="仿宋_GB2312"/>
          <w:sz w:val="32"/>
          <w:szCs w:val="32"/>
        </w:rPr>
        <w:t>集中突发的发展态势，</w:t>
      </w:r>
      <w:r>
        <w:rPr>
          <w:rFonts w:ascii="仿宋_GB2312" w:hAnsi="仿宋_GB2312" w:cs="仿宋_GB2312"/>
          <w:sz w:val="32"/>
          <w:szCs w:val="32"/>
        </w:rPr>
        <w:t>形势愈加严峻</w:t>
      </w:r>
      <w:r>
        <w:rPr>
          <w:rFonts w:hint="eastAsia" w:ascii="仿宋_GB2312" w:hAnsi="仿宋_GB2312" w:cs="仿宋_GB2312"/>
          <w:sz w:val="32"/>
          <w:szCs w:val="32"/>
        </w:rPr>
        <w:t>。2023年，北京市共发生7起森林火灾，</w:t>
      </w:r>
      <w:r>
        <w:rPr>
          <w:rFonts w:ascii="仿宋_GB2312" w:hAnsi="仿宋_GB2312" w:cs="仿宋_GB2312"/>
          <w:sz w:val="32"/>
          <w:szCs w:val="32"/>
        </w:rPr>
        <w:t>火灾火情</w:t>
      </w:r>
      <w:r>
        <w:rPr>
          <w:rFonts w:hint="eastAsia" w:ascii="仿宋_GB2312" w:hAnsi="仿宋_GB2312" w:cs="仿宋_GB2312"/>
          <w:sz w:val="32"/>
          <w:szCs w:val="32"/>
        </w:rPr>
        <w:t>在发生时间上突破以往规律，火灾扑救地域地形情况复杂，森林防灭火工作面临极大挑战。</w:t>
      </w:r>
    </w:p>
    <w:p>
      <w:pPr>
        <w:ind w:firstLine="640"/>
        <w:rPr>
          <w:rFonts w:hint="eastAsia" w:ascii="仿宋_GB2312" w:hAnsi="宋体"/>
          <w:bCs/>
          <w:sz w:val="32"/>
          <w:szCs w:val="32"/>
        </w:rPr>
      </w:pPr>
      <w:r>
        <w:rPr>
          <w:rFonts w:hint="eastAsia" w:ascii="仿宋_GB2312" w:hAnsi="宋体"/>
          <w:bCs/>
          <w:sz w:val="32"/>
          <w:szCs w:val="32"/>
        </w:rPr>
        <w:t>为保障</w:t>
      </w:r>
      <w:r>
        <w:rPr>
          <w:rFonts w:hint="eastAsia" w:ascii="仿宋_GB2312" w:hAnsi="仿宋_GB2312" w:cs="仿宋_GB2312"/>
          <w:sz w:val="32"/>
          <w:szCs w:val="32"/>
        </w:rPr>
        <w:t>北京市森林消防综合救援总队（以下简称“市森防总队”）开展“</w:t>
      </w:r>
      <w:r>
        <w:rPr>
          <w:rFonts w:ascii="仿宋_GB2312" w:hAnsi="仿宋_GB2312" w:cs="仿宋_GB2312"/>
          <w:sz w:val="32"/>
          <w:szCs w:val="32"/>
        </w:rPr>
        <w:t>一专多能</w:t>
      </w:r>
      <w:r>
        <w:rPr>
          <w:rFonts w:hint="eastAsia" w:ascii="仿宋_GB2312" w:hAnsi="仿宋_GB2312" w:cs="仿宋_GB2312"/>
          <w:sz w:val="32"/>
          <w:szCs w:val="32"/>
        </w:rPr>
        <w:t>”综合救援队伍建设，提升综合应急救援能力</w:t>
      </w:r>
      <w:r>
        <w:rPr>
          <w:rFonts w:hint="eastAsia" w:ascii="仿宋_GB2312" w:hAnsi="宋体"/>
          <w:bCs/>
          <w:sz w:val="32"/>
          <w:szCs w:val="32"/>
        </w:rPr>
        <w:t>，北京市应急管理局（以下简称“市应急局”）2024年申请设立北京市森林消防综合救援总队驻防基地服务项目（以下简称“项目”），涉及财政资金975.49252万元，旨在为市森防总队驻防基地提供服务保障。</w:t>
      </w:r>
    </w:p>
    <w:p>
      <w:pPr>
        <w:ind w:firstLine="640"/>
        <w:rPr>
          <w:rFonts w:hint="eastAsia" w:ascii="仿宋_GB2312" w:hAnsi="宋体"/>
          <w:b/>
          <w:sz w:val="32"/>
          <w:szCs w:val="32"/>
        </w:rPr>
      </w:pPr>
      <w:r>
        <w:rPr>
          <w:rFonts w:hint="eastAsia" w:ascii="仿宋_GB2312" w:hAnsi="宋体"/>
          <w:b/>
          <w:sz w:val="32"/>
          <w:szCs w:val="32"/>
        </w:rPr>
        <w:t>2</w:t>
      </w:r>
      <w:r>
        <w:rPr>
          <w:rFonts w:ascii="仿宋_GB2312" w:hAnsi="宋体"/>
          <w:b/>
          <w:sz w:val="32"/>
          <w:szCs w:val="32"/>
        </w:rPr>
        <w:t>.</w:t>
      </w:r>
      <w:r>
        <w:rPr>
          <w:rFonts w:hint="eastAsia" w:ascii="仿宋_GB2312" w:hAnsi="宋体"/>
          <w:b/>
          <w:sz w:val="32"/>
          <w:szCs w:val="32"/>
        </w:rPr>
        <w:t>项目主要内容及实施情况</w:t>
      </w:r>
    </w:p>
    <w:p>
      <w:pPr>
        <w:ind w:firstLine="640"/>
        <w:rPr>
          <w:rFonts w:hint="eastAsia" w:ascii="仿宋_GB2312" w:hAnsi="宋体"/>
          <w:bCs/>
          <w:sz w:val="32"/>
          <w:szCs w:val="32"/>
        </w:rPr>
      </w:pPr>
      <w:r>
        <w:rPr>
          <w:rFonts w:hint="eastAsia" w:ascii="仿宋_GB2312" w:hAnsi="宋体"/>
          <w:bCs/>
          <w:sz w:val="32"/>
          <w:szCs w:val="32"/>
        </w:rPr>
        <w:t>2024年，项目批复预算975.49252万元，用于保障市森防总队正常运行，提供办公、食宿、训练、会议、物资存储、 车辆停放等场所及运维服务，解决市森防总队驻防需求。</w:t>
      </w:r>
      <w:bookmarkEnd w:id="13"/>
      <w:bookmarkStart w:id="14" w:name="_Toc37420626"/>
      <w:bookmarkStart w:id="15" w:name="_Toc446962242"/>
      <w:bookmarkStart w:id="16" w:name="_Toc2969"/>
      <w:r>
        <w:rPr>
          <w:rFonts w:hint="eastAsia" w:ascii="仿宋_GB2312" w:hAnsi="宋体"/>
          <w:bCs/>
          <w:sz w:val="32"/>
          <w:szCs w:val="32"/>
        </w:rPr>
        <w:t>截至评价日，项目内容全部完成并通过验收。</w:t>
      </w:r>
    </w:p>
    <w:p>
      <w:pPr>
        <w:ind w:firstLine="640"/>
        <w:rPr>
          <w:rFonts w:hint="eastAsia" w:ascii="仿宋_GB2312" w:hAnsi="宋体"/>
          <w:b/>
          <w:sz w:val="32"/>
          <w:szCs w:val="32"/>
        </w:rPr>
      </w:pPr>
      <w:r>
        <w:rPr>
          <w:rFonts w:hint="eastAsia" w:ascii="仿宋_GB2312" w:hAnsi="宋体"/>
          <w:b/>
          <w:sz w:val="32"/>
          <w:szCs w:val="32"/>
        </w:rPr>
        <w:t>3.项目资金投入和使用情况</w:t>
      </w:r>
    </w:p>
    <w:p>
      <w:pPr>
        <w:ind w:firstLine="640"/>
        <w:rPr>
          <w:rFonts w:hint="eastAsia" w:ascii="仿宋_GB2312" w:hAnsi="宋体"/>
          <w:b/>
          <w:sz w:val="32"/>
          <w:szCs w:val="32"/>
        </w:rPr>
      </w:pPr>
      <w:r>
        <w:rPr>
          <w:rFonts w:hint="eastAsia" w:ascii="仿宋_GB2312" w:hAnsi="宋体"/>
          <w:bCs/>
          <w:sz w:val="32"/>
          <w:szCs w:val="32"/>
        </w:rPr>
        <w:t>项目2024年批复预算975.49252万元，其中：食宿保障390.185万元，训练会议保障264.005万元，物资存储保障16.08万元，后勤保障264.05052万元，车辆及道路交通保障41.172万元。截至2024年12月31日，项目实际支出975.49252万元，执行率100%。</w:t>
      </w:r>
    </w:p>
    <w:p>
      <w:pPr>
        <w:ind w:firstLine="640"/>
        <w:outlineLvl w:val="1"/>
        <w:rPr>
          <w:rFonts w:hint="eastAsia" w:ascii="楷体_GB2312" w:hAnsi="宋体" w:eastAsia="楷体_GB2312"/>
          <w:b/>
          <w:sz w:val="32"/>
          <w:szCs w:val="32"/>
        </w:rPr>
      </w:pPr>
      <w:bookmarkStart w:id="17" w:name="_Toc206627250"/>
      <w:r>
        <w:rPr>
          <w:rFonts w:hint="eastAsia" w:ascii="楷体_GB2312" w:hAnsi="宋体" w:eastAsia="楷体_GB2312"/>
          <w:b/>
          <w:sz w:val="32"/>
          <w:szCs w:val="32"/>
        </w:rPr>
        <w:t>（二）项目绩效目标</w:t>
      </w:r>
      <w:bookmarkEnd w:id="14"/>
      <w:bookmarkEnd w:id="15"/>
      <w:bookmarkEnd w:id="16"/>
      <w:bookmarkEnd w:id="17"/>
    </w:p>
    <w:p>
      <w:pPr>
        <w:ind w:firstLine="640"/>
        <w:rPr>
          <w:rFonts w:hint="eastAsia" w:ascii="仿宋_GB2312" w:hAnsi="宋体"/>
          <w:sz w:val="32"/>
          <w:szCs w:val="32"/>
        </w:rPr>
      </w:pPr>
      <w:r>
        <w:rPr>
          <w:rFonts w:hint="eastAsia" w:ascii="仿宋_GB2312" w:hAnsi="宋体"/>
          <w:sz w:val="32"/>
          <w:szCs w:val="32"/>
        </w:rPr>
        <w:t>项目年度绩效目标为：通过购买服务方式，由服务供应商提供食宿保障、训练会议保障、物资存储保障、后勤保障、车辆保障等服务内容，解决市森防总队驻防基地问题。</w:t>
      </w:r>
    </w:p>
    <w:p>
      <w:pPr>
        <w:autoSpaceDE w:val="0"/>
        <w:autoSpaceDN w:val="0"/>
        <w:spacing w:before="156" w:beforeLines="50"/>
        <w:ind w:firstLine="640"/>
        <w:outlineLvl w:val="0"/>
        <w:rPr>
          <w:rFonts w:hint="eastAsia" w:ascii="黑体" w:hAnsi="黑体" w:eastAsia="黑体" w:cs="宋体"/>
          <w:kern w:val="0"/>
          <w:sz w:val="32"/>
          <w:szCs w:val="32"/>
        </w:rPr>
      </w:pPr>
      <w:bookmarkStart w:id="18" w:name="_Toc446962247"/>
      <w:bookmarkStart w:id="19" w:name="_Toc37420627"/>
      <w:bookmarkStart w:id="20" w:name="_Toc22819"/>
      <w:bookmarkStart w:id="21" w:name="_Toc206627251"/>
      <w:r>
        <w:rPr>
          <w:rFonts w:hint="eastAsia" w:ascii="黑体" w:hAnsi="黑体" w:eastAsia="黑体" w:cs="宋体"/>
          <w:kern w:val="0"/>
          <w:sz w:val="32"/>
          <w:szCs w:val="32"/>
        </w:rPr>
        <w:t>二、绩效评价工作开展情况</w:t>
      </w:r>
      <w:bookmarkEnd w:id="18"/>
      <w:bookmarkEnd w:id="19"/>
      <w:bookmarkEnd w:id="20"/>
      <w:bookmarkEnd w:id="21"/>
    </w:p>
    <w:p>
      <w:pPr>
        <w:ind w:firstLine="640"/>
        <w:outlineLvl w:val="1"/>
        <w:rPr>
          <w:rFonts w:hint="eastAsia" w:ascii="楷体_GB2312" w:hAnsi="宋体" w:eastAsia="楷体_GB2312"/>
          <w:b/>
          <w:sz w:val="32"/>
          <w:szCs w:val="32"/>
        </w:rPr>
      </w:pPr>
      <w:bookmarkStart w:id="22" w:name="_Toc6633"/>
      <w:bookmarkStart w:id="23" w:name="_Toc446962249"/>
      <w:bookmarkStart w:id="24" w:name="_Toc37420629"/>
      <w:bookmarkStart w:id="25" w:name="_Toc206627252"/>
      <w:r>
        <w:rPr>
          <w:rFonts w:hint="eastAsia" w:ascii="楷体_GB2312" w:hAnsi="宋体" w:eastAsia="楷体_GB2312"/>
          <w:b/>
          <w:sz w:val="32"/>
          <w:szCs w:val="32"/>
        </w:rPr>
        <w:t>（一）评价目的</w:t>
      </w:r>
      <w:bookmarkEnd w:id="22"/>
      <w:bookmarkEnd w:id="23"/>
      <w:bookmarkEnd w:id="24"/>
      <w:r>
        <w:rPr>
          <w:rFonts w:hint="eastAsia" w:ascii="楷体_GB2312" w:hAnsi="宋体" w:eastAsia="楷体_GB2312"/>
          <w:b/>
          <w:sz w:val="32"/>
          <w:szCs w:val="32"/>
        </w:rPr>
        <w:t>、对象及范围</w:t>
      </w:r>
      <w:bookmarkEnd w:id="25"/>
    </w:p>
    <w:p>
      <w:pPr>
        <w:ind w:firstLine="640"/>
        <w:rPr>
          <w:rFonts w:hint="eastAsia" w:ascii="仿宋_GB2312" w:hAnsi="宋体"/>
          <w:sz w:val="32"/>
          <w:szCs w:val="32"/>
        </w:rPr>
      </w:pPr>
      <w:bookmarkStart w:id="26" w:name="_Hlk132958784"/>
      <w:bookmarkStart w:id="27" w:name="_Toc19786"/>
      <w:bookmarkStart w:id="28" w:name="_Toc37420631"/>
      <w:r>
        <w:rPr>
          <w:rFonts w:hint="eastAsia" w:ascii="仿宋_GB2312" w:hAnsi="宋体"/>
          <w:sz w:val="32"/>
          <w:szCs w:val="32"/>
        </w:rPr>
        <w:t>市应急局委托评价机构对项目20</w:t>
      </w:r>
      <w:r>
        <w:rPr>
          <w:rFonts w:ascii="仿宋_GB2312" w:hAnsi="宋体"/>
          <w:sz w:val="32"/>
          <w:szCs w:val="32"/>
        </w:rPr>
        <w:t>2</w:t>
      </w:r>
      <w:r>
        <w:rPr>
          <w:rFonts w:hint="eastAsia" w:ascii="仿宋_GB2312" w:hAnsi="宋体"/>
          <w:sz w:val="32"/>
          <w:szCs w:val="32"/>
        </w:rPr>
        <w:t>4年度执行情况进行绩效评价。</w:t>
      </w:r>
      <w:bookmarkEnd w:id="26"/>
      <w:r>
        <w:rPr>
          <w:rFonts w:hint="eastAsia" w:ascii="仿宋_GB2312" w:hAnsi="宋体"/>
          <w:sz w:val="32"/>
          <w:szCs w:val="32"/>
        </w:rPr>
        <w:t>通过对项目的立项决策、经费使用和管理过程、目标实现和产出结果、效益结果进行全面评价，及时总结经验，发现问题，改进工作，进一步提高项目管理水平和财政资金使用效益。</w:t>
      </w:r>
    </w:p>
    <w:p>
      <w:pPr>
        <w:ind w:firstLine="640"/>
        <w:outlineLvl w:val="1"/>
        <w:rPr>
          <w:rFonts w:hint="eastAsia" w:ascii="楷体_GB2312" w:hAnsi="宋体" w:eastAsia="楷体_GB2312"/>
          <w:b/>
          <w:sz w:val="32"/>
          <w:szCs w:val="32"/>
        </w:rPr>
      </w:pPr>
      <w:bookmarkStart w:id="29" w:name="_Toc206627253"/>
      <w:bookmarkStart w:id="30" w:name="_Toc446962250"/>
      <w:r>
        <w:rPr>
          <w:rFonts w:hint="eastAsia" w:ascii="楷体_GB2312" w:hAnsi="宋体" w:eastAsia="楷体_GB2312"/>
          <w:b/>
          <w:sz w:val="32"/>
          <w:szCs w:val="32"/>
        </w:rPr>
        <w:t>（二）绩效评价原则、方法及指标体系</w:t>
      </w:r>
      <w:bookmarkEnd w:id="29"/>
    </w:p>
    <w:p>
      <w:pPr>
        <w:ind w:firstLine="640"/>
        <w:rPr>
          <w:rFonts w:hint="eastAsia" w:ascii="仿宋_GB2312" w:hAnsi="宋体"/>
          <w:sz w:val="32"/>
          <w:szCs w:val="32"/>
        </w:rPr>
      </w:pPr>
      <w:r>
        <w:rPr>
          <w:rFonts w:hint="eastAsia" w:ascii="仿宋_GB2312" w:hAnsi="宋体"/>
          <w:b/>
          <w:bCs/>
          <w:sz w:val="32"/>
          <w:szCs w:val="32"/>
        </w:rPr>
        <w:t>1.评价原则。</w:t>
      </w:r>
      <w:r>
        <w:rPr>
          <w:rFonts w:hint="eastAsia" w:ascii="仿宋_GB2312" w:hAnsi="宋体"/>
          <w:sz w:val="32"/>
          <w:szCs w:val="32"/>
        </w:rPr>
        <w:t>按照“科学规范、绩效相关、政策相符、依据充分、独立评价”等原则，根据北京市财政局《关于印发进一步深化项目支出绩效预算管理改革的意见的通知》（京财预〔2017〕2944号）、《北京市项目支出绩效评价管理办法》（京财绩效〔2020〕2146号）</w:t>
      </w:r>
      <w:r>
        <w:rPr>
          <w:rFonts w:ascii="仿宋_GB2312" w:hAnsi="宋体"/>
          <w:sz w:val="32"/>
          <w:szCs w:val="32"/>
        </w:rPr>
        <w:t>等文件规定，依据</w:t>
      </w:r>
      <w:r>
        <w:rPr>
          <w:rFonts w:hint="eastAsia" w:ascii="仿宋_GB2312" w:hAnsi="宋体"/>
          <w:sz w:val="32"/>
          <w:szCs w:val="32"/>
        </w:rPr>
        <w:t>项目承担单位提供的有关预算资金投入、过程管理、产出和绩效实现方面的相关材料，对项目2024年度执行情况进行绩效评价。</w:t>
      </w:r>
    </w:p>
    <w:p>
      <w:pPr>
        <w:ind w:firstLine="640"/>
        <w:rPr>
          <w:rFonts w:hint="eastAsia" w:ascii="仿宋_GB2312" w:hAnsi="宋体"/>
          <w:bCs/>
          <w:sz w:val="32"/>
          <w:szCs w:val="32"/>
        </w:rPr>
      </w:pPr>
      <w:r>
        <w:rPr>
          <w:rFonts w:hint="eastAsia" w:ascii="仿宋_GB2312" w:hAnsi="宋体"/>
          <w:b/>
          <w:bCs/>
          <w:sz w:val="32"/>
          <w:szCs w:val="32"/>
        </w:rPr>
        <w:t>2.</w:t>
      </w:r>
      <w:r>
        <w:rPr>
          <w:rFonts w:hint="eastAsia" w:ascii="仿宋_GB2312" w:hAnsi="宋体"/>
          <w:b/>
          <w:sz w:val="32"/>
          <w:szCs w:val="32"/>
        </w:rPr>
        <w:t>评价方法。</w:t>
      </w:r>
      <w:r>
        <w:rPr>
          <w:rFonts w:hint="eastAsia" w:ascii="仿宋_GB2312" w:hAnsi="宋体"/>
          <w:bCs/>
          <w:sz w:val="32"/>
          <w:szCs w:val="32"/>
        </w:rPr>
        <w:t>本次绩效评价主要采用比较法、公众评判法对项目年度工作结果进行评价。为客观地评价项目产出与效果，评价机构在全面资料审核的基础上，遴选相关绩效管理、行业管理及财务管理专家，综合运用资料分析、咨询专家等手段，对项目2024年度绩效予以综合评价。</w:t>
      </w:r>
    </w:p>
    <w:p>
      <w:pPr>
        <w:ind w:firstLine="640"/>
        <w:rPr>
          <w:rFonts w:hint="eastAsia" w:ascii="仿宋_GB2312" w:hAnsi="宋体"/>
          <w:bCs/>
          <w:sz w:val="32"/>
          <w:szCs w:val="32"/>
        </w:rPr>
      </w:pPr>
      <w:r>
        <w:rPr>
          <w:rFonts w:hint="eastAsia" w:ascii="仿宋_GB2312" w:hAnsi="宋体"/>
          <w:b/>
          <w:bCs/>
          <w:sz w:val="32"/>
          <w:szCs w:val="32"/>
        </w:rPr>
        <w:t>3.评价指标体系及评价标准。</w:t>
      </w:r>
      <w:r>
        <w:rPr>
          <w:rFonts w:hint="eastAsia" w:ascii="仿宋_GB2312" w:hAnsi="宋体"/>
          <w:bCs/>
          <w:sz w:val="32"/>
          <w:szCs w:val="32"/>
        </w:rPr>
        <w:t>本次评价指标体系结合北京市财政局有关要求和项目特点进行细化设置，涵盖项目决策、过程、产出、效益等各环节。评价依据项目单位提交的绩效资料，以项目预先制定的目标、计划、预算等计划标准作为主要评价标准。绩效评价总分值100分，其中：决策10分，过程20分，产出40分，效益30分。</w:t>
      </w:r>
    </w:p>
    <w:p>
      <w:pPr>
        <w:ind w:firstLine="640"/>
        <w:rPr>
          <w:rFonts w:hint="eastAsia" w:ascii="仿宋_GB2312" w:hAnsi="宋体"/>
          <w:bCs/>
          <w:sz w:val="32"/>
          <w:szCs w:val="32"/>
        </w:rPr>
      </w:pPr>
      <w:r>
        <w:rPr>
          <w:rFonts w:hint="eastAsia" w:ascii="仿宋_GB2312" w:hAnsi="宋体"/>
          <w:bCs/>
          <w:sz w:val="32"/>
          <w:szCs w:val="32"/>
        </w:rPr>
        <w:t>绩效评价综合绩效级别分为4个等级：综合得分在90-100分（含90分）为优；综合得分在80-90分（含80分）为良；综合得分在60-80分（含60分）为中；综合得分在60分以下为差。</w:t>
      </w:r>
    </w:p>
    <w:p>
      <w:pPr>
        <w:ind w:firstLine="640"/>
        <w:outlineLvl w:val="1"/>
        <w:rPr>
          <w:rFonts w:hint="eastAsia" w:ascii="楷体_GB2312" w:hAnsi="宋体" w:eastAsia="楷体_GB2312"/>
          <w:b/>
          <w:sz w:val="32"/>
          <w:szCs w:val="32"/>
        </w:rPr>
      </w:pPr>
      <w:bookmarkStart w:id="31" w:name="_Toc20706"/>
      <w:bookmarkStart w:id="32" w:name="_Toc37420630"/>
      <w:bookmarkStart w:id="33" w:name="_Toc206627254"/>
      <w:r>
        <w:rPr>
          <w:rFonts w:hint="eastAsia" w:ascii="楷体_GB2312" w:hAnsi="宋体" w:eastAsia="楷体_GB2312"/>
          <w:b/>
          <w:sz w:val="32"/>
          <w:szCs w:val="32"/>
        </w:rPr>
        <w:t>（三）</w:t>
      </w:r>
      <w:bookmarkEnd w:id="30"/>
      <w:bookmarkEnd w:id="31"/>
      <w:bookmarkEnd w:id="32"/>
      <w:r>
        <w:rPr>
          <w:rFonts w:hint="eastAsia" w:ascii="楷体_GB2312" w:hAnsi="宋体" w:eastAsia="楷体_GB2312"/>
          <w:b/>
          <w:sz w:val="32"/>
          <w:szCs w:val="32"/>
        </w:rPr>
        <w:t>绩效评价工作过程</w:t>
      </w:r>
      <w:bookmarkEnd w:id="33"/>
    </w:p>
    <w:p>
      <w:pPr>
        <w:widowControl/>
        <w:ind w:firstLine="640"/>
        <w:rPr>
          <w:rFonts w:hint="eastAsia" w:ascii="仿宋_GB2312" w:hAnsi="宋体"/>
          <w:bCs/>
          <w:sz w:val="32"/>
          <w:szCs w:val="32"/>
        </w:rPr>
      </w:pPr>
      <w:bookmarkStart w:id="34" w:name="_Toc446962251"/>
      <w:r>
        <w:rPr>
          <w:rFonts w:hint="eastAsia" w:ascii="仿宋_GB2312" w:hAnsi="宋体"/>
          <w:b/>
          <w:sz w:val="32"/>
          <w:szCs w:val="32"/>
        </w:rPr>
        <w:t>1.前期准备</w:t>
      </w:r>
      <w:bookmarkEnd w:id="34"/>
      <w:bookmarkStart w:id="35" w:name="_Toc446962252"/>
      <w:r>
        <w:rPr>
          <w:rFonts w:hint="eastAsia" w:ascii="仿宋_GB2312" w:hAnsi="宋体"/>
          <w:b/>
          <w:sz w:val="32"/>
          <w:szCs w:val="32"/>
        </w:rPr>
        <w:t>。</w:t>
      </w:r>
      <w:r>
        <w:rPr>
          <w:rFonts w:hint="eastAsia" w:ascii="仿宋_GB2312" w:hAnsi="宋体"/>
          <w:bCs/>
          <w:sz w:val="32"/>
          <w:szCs w:val="32"/>
        </w:rPr>
        <w:t>评价机构根据北京市财政局及市应急局重点项目支出评价要求和流程组建工作组，并结合项目情况遴选有关专家参与评价工作。</w:t>
      </w:r>
    </w:p>
    <w:p>
      <w:pPr>
        <w:widowControl/>
        <w:ind w:firstLine="640"/>
        <w:rPr>
          <w:rFonts w:hint="eastAsia" w:ascii="仿宋_GB2312" w:hAnsi="宋体"/>
          <w:bCs/>
          <w:sz w:val="32"/>
          <w:szCs w:val="32"/>
        </w:rPr>
      </w:pPr>
      <w:r>
        <w:rPr>
          <w:rFonts w:hint="eastAsia" w:ascii="仿宋_GB2312" w:hAnsi="宋体"/>
          <w:b/>
          <w:sz w:val="32"/>
          <w:szCs w:val="32"/>
        </w:rPr>
        <w:t>2.组织实施</w:t>
      </w:r>
      <w:bookmarkEnd w:id="35"/>
      <w:r>
        <w:rPr>
          <w:rFonts w:hint="eastAsia" w:ascii="仿宋_GB2312" w:hAnsi="宋体"/>
          <w:b/>
          <w:sz w:val="32"/>
          <w:szCs w:val="32"/>
        </w:rPr>
        <w:t>。</w:t>
      </w:r>
      <w:r>
        <w:rPr>
          <w:rFonts w:hint="eastAsia" w:ascii="仿宋_GB2312" w:hAnsi="宋体"/>
          <w:bCs/>
          <w:sz w:val="32"/>
          <w:szCs w:val="32"/>
        </w:rPr>
        <w:t>评价工作组充分收集项目绩效资料并开展审查分析，辅导项目单位对不能满足评价需要的材料进行修改完善、存在重大缺项漏项的资料进行补充。在此基础上，组织专家组</w:t>
      </w:r>
      <w:bookmarkStart w:id="36" w:name="_Hlk68068105"/>
      <w:r>
        <w:rPr>
          <w:rFonts w:hint="eastAsia" w:ascii="仿宋_GB2312" w:hAnsi="宋体"/>
          <w:bCs/>
          <w:sz w:val="32"/>
          <w:szCs w:val="32"/>
        </w:rPr>
        <w:t>开展综合评价，对照绩效评价指标体系围绕项目决策、过程、产出、效益等方面进行评分，并出具专家评价意见。</w:t>
      </w:r>
      <w:bookmarkEnd w:id="36"/>
      <w:bookmarkStart w:id="37" w:name="_Toc446962253"/>
    </w:p>
    <w:p>
      <w:pPr>
        <w:widowControl/>
        <w:ind w:firstLine="640"/>
        <w:rPr>
          <w:rFonts w:hint="eastAsia" w:ascii="仿宋_GB2312" w:hAnsi="宋体"/>
          <w:bCs/>
          <w:sz w:val="32"/>
          <w:szCs w:val="32"/>
        </w:rPr>
      </w:pPr>
      <w:r>
        <w:rPr>
          <w:rFonts w:hint="eastAsia" w:ascii="仿宋_GB2312" w:hAnsi="宋体"/>
          <w:b/>
          <w:sz w:val="32"/>
          <w:szCs w:val="32"/>
        </w:rPr>
        <w:t>3.分析评价</w:t>
      </w:r>
      <w:bookmarkEnd w:id="37"/>
      <w:r>
        <w:rPr>
          <w:rFonts w:hint="eastAsia" w:ascii="仿宋_GB2312" w:hAnsi="宋体"/>
          <w:b/>
          <w:sz w:val="32"/>
          <w:szCs w:val="32"/>
        </w:rPr>
        <w:t>。</w:t>
      </w:r>
      <w:bookmarkStart w:id="38" w:name="_Hlk68068139"/>
      <w:r>
        <w:rPr>
          <w:rFonts w:hint="eastAsia" w:ascii="仿宋_GB2312" w:hAnsi="宋体"/>
          <w:bCs/>
          <w:sz w:val="32"/>
          <w:szCs w:val="32"/>
        </w:rPr>
        <w:t>评价工作组根据收集到的项目相关资料以及评价专家组意见，对项目决策、管理、绩效情况进行综合分析，按照规定的文本格式和内容撰写绩效评价报告，提交单位征求意见。同时，根据反馈意见，在规定时间内修改形成绩效评价报告正式稿报送委托方。</w:t>
      </w:r>
    </w:p>
    <w:bookmarkEnd w:id="38"/>
    <w:p>
      <w:pPr>
        <w:autoSpaceDE w:val="0"/>
        <w:autoSpaceDN w:val="0"/>
        <w:ind w:firstLine="640"/>
        <w:outlineLvl w:val="0"/>
        <w:rPr>
          <w:rFonts w:hint="eastAsia" w:ascii="黑体" w:hAnsi="黑体" w:eastAsia="黑体" w:cs="宋体"/>
          <w:kern w:val="0"/>
          <w:sz w:val="32"/>
          <w:szCs w:val="32"/>
        </w:rPr>
      </w:pPr>
      <w:bookmarkStart w:id="39" w:name="_Toc206627255"/>
      <w:r>
        <w:rPr>
          <w:rFonts w:hint="eastAsia" w:ascii="黑体" w:hAnsi="黑体" w:eastAsia="黑体" w:cs="宋体"/>
          <w:kern w:val="0"/>
          <w:sz w:val="32"/>
          <w:szCs w:val="32"/>
        </w:rPr>
        <w:t>三、综合评价情况及评价结论</w:t>
      </w:r>
      <w:bookmarkEnd w:id="27"/>
      <w:bookmarkEnd w:id="28"/>
      <w:bookmarkEnd w:id="39"/>
    </w:p>
    <w:p>
      <w:pPr>
        <w:ind w:firstLine="640"/>
        <w:rPr>
          <w:rFonts w:ascii="仿宋_GB2312"/>
          <w:sz w:val="32"/>
          <w:szCs w:val="32"/>
        </w:rPr>
      </w:pPr>
      <w:bookmarkStart w:id="40" w:name="_Hlk68068153"/>
      <w:bookmarkStart w:id="41" w:name="_Toc446962254"/>
      <w:r>
        <w:rPr>
          <w:rFonts w:hint="eastAsia" w:ascii="仿宋_GB2312"/>
          <w:sz w:val="32"/>
          <w:szCs w:val="32"/>
        </w:rPr>
        <w:t>2024年度项目绩效评价综合得分为91.1分，综合绩效级别为“优”</w:t>
      </w:r>
      <w:bookmarkEnd w:id="40"/>
      <w:bookmarkStart w:id="42" w:name="_Hlk68068184"/>
      <w:r>
        <w:rPr>
          <w:rFonts w:hint="eastAsia" w:ascii="仿宋_GB2312"/>
          <w:sz w:val="32"/>
          <w:szCs w:val="32"/>
        </w:rPr>
        <w:t>。</w:t>
      </w:r>
      <w:bookmarkStart w:id="43" w:name="_Toc27462"/>
      <w:bookmarkStart w:id="44" w:name="_Toc37420632"/>
    </w:p>
    <w:p>
      <w:pPr>
        <w:widowControl/>
        <w:ind w:firstLine="640"/>
        <w:rPr>
          <w:rFonts w:hint="eastAsia" w:ascii="仿宋_GB2312" w:hAnsi="宋体"/>
          <w:bCs/>
          <w:sz w:val="32"/>
          <w:szCs w:val="32"/>
        </w:rPr>
      </w:pPr>
      <w:r>
        <w:rPr>
          <w:rFonts w:hint="eastAsia" w:ascii="仿宋_GB2312" w:hAnsi="宋体" w:cs="宋体"/>
          <w:kern w:val="0"/>
          <w:sz w:val="32"/>
          <w:szCs w:val="32"/>
        </w:rPr>
        <w:t>项目实施在保障市森林消防综合救援总队正常运行等方面产生的效益较显著。项目通过委托第三方服务机构为市森防总队提供办公、食宿、训练、会议、物资存储、车辆停放等场所及运维服务，解决市森防总队驻防需求，有效保障了市森林消防综合救援总队的正常训练及火情处置等任务的完成，进一步保护了首都森林资源。但项目在绩效指标设置、过程监管、服务对象满意度调查等方面尚有完善空间。</w:t>
      </w:r>
    </w:p>
    <w:p>
      <w:pPr>
        <w:autoSpaceDE w:val="0"/>
        <w:autoSpaceDN w:val="0"/>
        <w:ind w:firstLine="640"/>
        <w:outlineLvl w:val="0"/>
        <w:rPr>
          <w:rFonts w:hint="eastAsia" w:ascii="黑体" w:hAnsi="黑体" w:eastAsia="黑体" w:cs="宋体"/>
          <w:kern w:val="0"/>
          <w:sz w:val="32"/>
          <w:szCs w:val="32"/>
        </w:rPr>
      </w:pPr>
      <w:bookmarkStart w:id="45" w:name="_Toc206627256"/>
      <w:r>
        <w:rPr>
          <w:rFonts w:hint="eastAsia" w:ascii="黑体" w:hAnsi="黑体" w:eastAsia="黑体" w:cs="宋体"/>
          <w:kern w:val="0"/>
          <w:sz w:val="32"/>
          <w:szCs w:val="32"/>
        </w:rPr>
        <w:t>四、绩效评价指标分析</w:t>
      </w:r>
      <w:bookmarkEnd w:id="41"/>
      <w:bookmarkEnd w:id="43"/>
      <w:bookmarkEnd w:id="44"/>
      <w:bookmarkEnd w:id="45"/>
    </w:p>
    <w:bookmarkEnd w:id="42"/>
    <w:p>
      <w:pPr>
        <w:ind w:firstLine="640"/>
        <w:outlineLvl w:val="1"/>
        <w:rPr>
          <w:rFonts w:hint="eastAsia" w:ascii="楷体_GB2312" w:hAnsi="宋体" w:eastAsia="楷体_GB2312"/>
          <w:b/>
          <w:sz w:val="32"/>
          <w:szCs w:val="32"/>
        </w:rPr>
      </w:pPr>
      <w:bookmarkStart w:id="46" w:name="_Toc446962255"/>
      <w:bookmarkStart w:id="47" w:name="_Toc12840"/>
      <w:bookmarkStart w:id="48" w:name="_Toc37420633"/>
      <w:bookmarkStart w:id="49" w:name="_Toc206627257"/>
      <w:r>
        <w:rPr>
          <w:rFonts w:hint="eastAsia" w:ascii="楷体_GB2312" w:hAnsi="宋体" w:eastAsia="楷体_GB2312"/>
          <w:b/>
          <w:sz w:val="32"/>
          <w:szCs w:val="32"/>
        </w:rPr>
        <w:t>（一）项目</w:t>
      </w:r>
      <w:bookmarkEnd w:id="46"/>
      <w:r>
        <w:rPr>
          <w:rFonts w:hint="eastAsia" w:ascii="楷体_GB2312" w:hAnsi="宋体" w:eastAsia="楷体_GB2312"/>
          <w:b/>
          <w:sz w:val="32"/>
          <w:szCs w:val="32"/>
        </w:rPr>
        <w:t>决策情况</w:t>
      </w:r>
      <w:bookmarkEnd w:id="47"/>
      <w:bookmarkEnd w:id="48"/>
      <w:bookmarkEnd w:id="49"/>
    </w:p>
    <w:p>
      <w:pPr>
        <w:ind w:firstLine="640"/>
        <w:rPr>
          <w:rFonts w:hint="eastAsia" w:ascii="仿宋_GB2312" w:hAnsi="宋体"/>
          <w:b/>
          <w:sz w:val="32"/>
          <w:szCs w:val="32"/>
        </w:rPr>
      </w:pPr>
      <w:bookmarkStart w:id="50" w:name="_Toc446962256"/>
      <w:r>
        <w:rPr>
          <w:rFonts w:hint="eastAsia" w:ascii="仿宋_GB2312" w:hAnsi="宋体"/>
          <w:b/>
          <w:sz w:val="32"/>
          <w:szCs w:val="32"/>
        </w:rPr>
        <w:t>1.项目立项情况</w:t>
      </w:r>
    </w:p>
    <w:p>
      <w:pPr>
        <w:ind w:firstLine="640"/>
        <w:rPr>
          <w:rFonts w:hint="eastAsia" w:ascii="仿宋_GB2312" w:hAnsi="宋体"/>
          <w:bCs/>
          <w:sz w:val="32"/>
          <w:szCs w:val="32"/>
        </w:rPr>
      </w:pPr>
      <w:r>
        <w:rPr>
          <w:rFonts w:hint="eastAsia" w:ascii="仿宋_GB2312" w:hAnsi="宋体"/>
          <w:sz w:val="32"/>
          <w:szCs w:val="32"/>
        </w:rPr>
        <w:t>项目根据《市级森林消防综合应急救援队伍建设方案》《北京市应急管理局关于市森林消防综合救援总队驻防基地选址工作的请示》《北京市财政局关于市森防总队驻防基地经费保障意见的函》等文件要求设立。项目内容符合《北京市森林消防综合救援总队2025-2027三年工作规划》有关“提升驻防基地保障质效”的要求</w:t>
      </w:r>
      <w:r>
        <w:rPr>
          <w:rFonts w:hint="eastAsia" w:ascii="仿宋_GB2312" w:hAnsi="宋体"/>
          <w:bCs/>
          <w:sz w:val="32"/>
          <w:szCs w:val="32"/>
        </w:rPr>
        <w:t>，与市森防总队职能职责密切相关，与北京市应急救援需求相符，项目立项依据充分。</w:t>
      </w:r>
    </w:p>
    <w:p>
      <w:pPr>
        <w:ind w:firstLine="640"/>
        <w:rPr>
          <w:sz w:val="32"/>
        </w:rPr>
      </w:pPr>
      <w:r>
        <w:rPr>
          <w:rFonts w:hint="eastAsia" w:ascii="仿宋_GB2312" w:hAnsi="宋体"/>
          <w:sz w:val="32"/>
          <w:szCs w:val="32"/>
        </w:rPr>
        <w:t>项目按照预算管理流程进行立项申报，</w:t>
      </w:r>
      <w:r>
        <w:rPr>
          <w:rFonts w:hint="eastAsia"/>
          <w:sz w:val="32"/>
        </w:rPr>
        <w:t>经过预算评审、事前绩效评估后，形成项目绩效目标表、测算明细表等预算申报材料，项目立项程序规范。</w:t>
      </w:r>
    </w:p>
    <w:p>
      <w:pPr>
        <w:ind w:firstLine="640"/>
        <w:rPr>
          <w:rFonts w:hint="eastAsia" w:ascii="仿宋_GB2312" w:hAnsi="宋体" w:cs="宋体"/>
          <w:b/>
          <w:bCs/>
          <w:kern w:val="0"/>
          <w:sz w:val="32"/>
          <w:szCs w:val="32"/>
        </w:rPr>
      </w:pPr>
      <w:r>
        <w:rPr>
          <w:rFonts w:hint="eastAsia" w:ascii="仿宋_GB2312" w:hAnsi="宋体" w:cs="宋体"/>
          <w:b/>
          <w:bCs/>
          <w:kern w:val="0"/>
          <w:sz w:val="32"/>
          <w:szCs w:val="32"/>
        </w:rPr>
        <w:t>2.绩效目标情况</w:t>
      </w:r>
    </w:p>
    <w:p>
      <w:pPr>
        <w:ind w:firstLine="640"/>
        <w:rPr>
          <w:rFonts w:hint="eastAsia" w:ascii="仿宋_GB2312" w:hAnsi="宋体" w:cs="宋体"/>
          <w:kern w:val="0"/>
          <w:sz w:val="32"/>
          <w:szCs w:val="32"/>
        </w:rPr>
      </w:pPr>
      <w:r>
        <w:rPr>
          <w:rFonts w:hint="eastAsia" w:ascii="仿宋_GB2312"/>
          <w:bCs/>
          <w:snapToGrid w:val="0"/>
          <w:kern w:val="0"/>
          <w:sz w:val="32"/>
          <w:szCs w:val="32"/>
        </w:rPr>
        <w:t>项目根据2024年度工作任务及总体实施计划设定了年度目标，绩效目标清晰合理，与实际工作任务密切相关。项目围绕绩效目标对项目产出及效果设置了相应的绩效指标，但项目绩效指标设置不够科学合理，具体表现为：</w:t>
      </w:r>
      <w:r>
        <w:rPr>
          <w:rFonts w:hint="eastAsia" w:ascii="仿宋_GB2312"/>
          <w:b/>
          <w:snapToGrid w:val="0"/>
          <w:kern w:val="0"/>
          <w:sz w:val="32"/>
          <w:szCs w:val="32"/>
        </w:rPr>
        <w:t>一是</w:t>
      </w:r>
      <w:r>
        <w:rPr>
          <w:rFonts w:hint="eastAsia" w:ascii="仿宋_GB2312"/>
          <w:bCs/>
          <w:snapToGrid w:val="0"/>
          <w:kern w:val="0"/>
          <w:sz w:val="32"/>
          <w:szCs w:val="32"/>
        </w:rPr>
        <w:t>指标内容不全面，数量指标仅体现保障人数及餐饮面积，未涵盖项目全部服务内容，核心绩效指标缺失</w:t>
      </w:r>
      <w:r>
        <w:rPr>
          <w:rFonts w:hint="eastAsia" w:ascii="仿宋_GB2312" w:hAnsi="宋体" w:cs="宋体"/>
          <w:kern w:val="0"/>
          <w:sz w:val="32"/>
          <w:szCs w:val="32"/>
        </w:rPr>
        <w:t>。</w:t>
      </w:r>
      <w:r>
        <w:rPr>
          <w:rFonts w:hint="eastAsia" w:ascii="仿宋_GB2312" w:hAnsi="宋体" w:cs="宋体"/>
          <w:b/>
          <w:bCs/>
          <w:kern w:val="0"/>
          <w:sz w:val="32"/>
          <w:szCs w:val="32"/>
        </w:rPr>
        <w:t>二是</w:t>
      </w:r>
      <w:r>
        <w:rPr>
          <w:rFonts w:hint="eastAsia" w:ascii="仿宋_GB2312" w:hAnsi="宋体" w:cs="宋体"/>
          <w:kern w:val="0"/>
          <w:sz w:val="32"/>
          <w:szCs w:val="32"/>
        </w:rPr>
        <w:t>指标设置不完整，未设置时效指标和满意度指标。对于服务类项目应设置能反映服务及时程度的时效指标及反映服务对象认可程度的满意度指标。</w:t>
      </w:r>
    </w:p>
    <w:p>
      <w:pPr>
        <w:ind w:firstLine="640"/>
        <w:rPr>
          <w:rFonts w:hint="eastAsia" w:ascii="仿宋_GB2312" w:hAnsi="宋体"/>
          <w:b/>
          <w:sz w:val="32"/>
          <w:szCs w:val="32"/>
        </w:rPr>
      </w:pPr>
      <w:r>
        <w:rPr>
          <w:rFonts w:hint="eastAsia" w:ascii="仿宋_GB2312" w:hAnsi="宋体"/>
          <w:b/>
          <w:sz w:val="32"/>
          <w:szCs w:val="32"/>
        </w:rPr>
        <w:t>3.资金投入情况</w:t>
      </w:r>
    </w:p>
    <w:p>
      <w:pPr>
        <w:ind w:firstLine="640"/>
        <w:rPr>
          <w:rFonts w:hint="eastAsia" w:ascii="仿宋_GB2312" w:hAnsi="宋体"/>
          <w:bCs/>
          <w:sz w:val="32"/>
          <w:szCs w:val="32"/>
        </w:rPr>
      </w:pPr>
      <w:r>
        <w:rPr>
          <w:rFonts w:hint="eastAsia" w:ascii="仿宋_GB2312" w:hAnsi="宋体"/>
          <w:sz w:val="32"/>
          <w:szCs w:val="32"/>
        </w:rPr>
        <w:t>项目预算根据《北京市财政局关于市森防总队驻防基地经费保障意见的函》及第三方报价测算，经过事前评估及预算评审，</w:t>
      </w:r>
      <w:r>
        <w:rPr>
          <w:rFonts w:hint="eastAsia" w:ascii="仿宋_GB2312" w:hAnsi="宋体"/>
          <w:bCs/>
          <w:sz w:val="32"/>
          <w:szCs w:val="32"/>
        </w:rPr>
        <w:t>预算内容与项目内容匹配，测算依据较充分。</w:t>
      </w:r>
      <w:r>
        <w:rPr>
          <w:rFonts w:hint="eastAsia" w:ascii="仿宋_GB2312" w:hAnsi="宋体"/>
          <w:sz w:val="32"/>
          <w:szCs w:val="32"/>
        </w:rPr>
        <w:t>项目资金面向市森防总队驻地服务实际需求，资金安排保障了项目年度重点工作。</w:t>
      </w:r>
      <w:bookmarkEnd w:id="50"/>
      <w:bookmarkStart w:id="51" w:name="_Toc37420634"/>
      <w:bookmarkStart w:id="52" w:name="_Toc11188"/>
      <w:bookmarkStart w:id="53" w:name="_Toc446962258"/>
    </w:p>
    <w:p>
      <w:pPr>
        <w:ind w:firstLine="640"/>
        <w:outlineLvl w:val="1"/>
        <w:rPr>
          <w:rFonts w:hint="eastAsia" w:ascii="楷体_GB2312" w:hAnsi="宋体" w:eastAsia="楷体_GB2312"/>
          <w:b/>
          <w:sz w:val="32"/>
          <w:szCs w:val="32"/>
        </w:rPr>
      </w:pPr>
      <w:bookmarkStart w:id="54" w:name="_Toc206627258"/>
      <w:r>
        <w:rPr>
          <w:rFonts w:hint="eastAsia" w:ascii="楷体_GB2312" w:hAnsi="宋体" w:eastAsia="楷体_GB2312"/>
          <w:b/>
          <w:sz w:val="32"/>
          <w:szCs w:val="32"/>
        </w:rPr>
        <w:t>（二）项目过程情况</w:t>
      </w:r>
      <w:bookmarkEnd w:id="51"/>
      <w:bookmarkEnd w:id="52"/>
      <w:bookmarkEnd w:id="53"/>
      <w:bookmarkEnd w:id="54"/>
    </w:p>
    <w:p>
      <w:pPr>
        <w:widowControl/>
        <w:ind w:firstLine="640"/>
        <w:rPr>
          <w:rFonts w:hint="eastAsia" w:ascii="仿宋_GB2312" w:hAnsi="宋体"/>
          <w:b/>
          <w:sz w:val="32"/>
          <w:szCs w:val="32"/>
        </w:rPr>
      </w:pPr>
      <w:bookmarkStart w:id="55" w:name="_Toc446962259"/>
      <w:r>
        <w:rPr>
          <w:rFonts w:ascii="仿宋_GB2312" w:hAnsi="宋体"/>
          <w:b/>
          <w:sz w:val="32"/>
          <w:szCs w:val="32"/>
        </w:rPr>
        <w:t>1.</w:t>
      </w:r>
      <w:r>
        <w:rPr>
          <w:rFonts w:hint="eastAsia" w:ascii="仿宋_GB2312" w:hAnsi="宋体"/>
          <w:b/>
          <w:sz w:val="32"/>
          <w:szCs w:val="32"/>
        </w:rPr>
        <w:t>资金管理情况</w:t>
      </w:r>
    </w:p>
    <w:p>
      <w:pPr>
        <w:ind w:firstLine="640"/>
        <w:rPr>
          <w:sz w:val="32"/>
          <w:szCs w:val="32"/>
        </w:rPr>
      </w:pPr>
      <w:r>
        <w:rPr>
          <w:rFonts w:hint="eastAsia" w:ascii="仿宋_GB2312" w:hAnsi="宋体" w:cs="宋体"/>
          <w:bCs/>
          <w:kern w:val="0"/>
          <w:sz w:val="32"/>
          <w:szCs w:val="32"/>
        </w:rPr>
        <w:t>项</w:t>
      </w:r>
      <w:r>
        <w:rPr>
          <w:rFonts w:hint="eastAsia" w:ascii="仿宋_GB2312" w:hAnsi="宋体" w:cs="宋体"/>
          <w:kern w:val="0"/>
          <w:sz w:val="32"/>
          <w:szCs w:val="32"/>
        </w:rPr>
        <w:t>目2024年批复预算</w:t>
      </w:r>
      <w:r>
        <w:rPr>
          <w:rFonts w:hint="eastAsia" w:ascii="仿宋_GB2312" w:hAnsi="宋体"/>
          <w:bCs/>
          <w:sz w:val="32"/>
          <w:szCs w:val="32"/>
        </w:rPr>
        <w:t>975.49252万元</w:t>
      </w:r>
      <w:r>
        <w:rPr>
          <w:rFonts w:hint="eastAsia" w:ascii="仿宋_GB2312" w:hAnsi="宋体" w:cs="宋体"/>
          <w:kern w:val="0"/>
          <w:sz w:val="32"/>
          <w:szCs w:val="32"/>
        </w:rPr>
        <w:t>，实际到位</w:t>
      </w:r>
      <w:r>
        <w:rPr>
          <w:rFonts w:hint="eastAsia" w:ascii="仿宋_GB2312" w:hAnsi="宋体"/>
          <w:bCs/>
          <w:sz w:val="32"/>
          <w:szCs w:val="32"/>
        </w:rPr>
        <w:t>975.49252</w:t>
      </w:r>
      <w:r>
        <w:rPr>
          <w:rFonts w:hint="eastAsia" w:ascii="仿宋_GB2312" w:hAnsi="宋体" w:cs="宋体"/>
          <w:kern w:val="0"/>
          <w:sz w:val="32"/>
          <w:szCs w:val="32"/>
        </w:rPr>
        <w:t>万元，项目资金及时、足额到位。</w:t>
      </w:r>
      <w:r>
        <w:rPr>
          <w:rFonts w:hint="eastAsia" w:ascii="仿宋_GB2312" w:hAnsi="宋体"/>
          <w:bCs/>
          <w:sz w:val="32"/>
          <w:szCs w:val="32"/>
        </w:rPr>
        <w:t>截至2024年12月31日，项目实际支出975.49252万元，预算执行率为100</w:t>
      </w:r>
      <w:r>
        <w:rPr>
          <w:rFonts w:ascii="仿宋_GB2312" w:hAnsi="宋体"/>
          <w:bCs/>
          <w:sz w:val="32"/>
          <w:szCs w:val="32"/>
        </w:rPr>
        <w:t>%</w:t>
      </w:r>
      <w:r>
        <w:rPr>
          <w:rFonts w:hint="eastAsia" w:ascii="仿宋_GB2312" w:hAnsi="宋体"/>
          <w:bCs/>
          <w:sz w:val="32"/>
          <w:szCs w:val="32"/>
        </w:rPr>
        <w:t>。</w:t>
      </w:r>
    </w:p>
    <w:p>
      <w:pPr>
        <w:ind w:firstLine="640"/>
        <w:rPr>
          <w:rFonts w:ascii="仿宋_GB2312"/>
          <w:sz w:val="32"/>
          <w:szCs w:val="32"/>
        </w:rPr>
      </w:pPr>
      <w:r>
        <w:rPr>
          <w:rFonts w:hint="eastAsia" w:ascii="仿宋_GB2312"/>
          <w:sz w:val="32"/>
          <w:szCs w:val="32"/>
        </w:rPr>
        <w:t>项目资金纳入单位财务统一管理，实行独立核算。资金具体使用范围和开支标准，按照</w:t>
      </w:r>
      <w:r>
        <w:rPr>
          <w:rFonts w:hint="eastAsia" w:ascii="仿宋_GB2312" w:hAnsi="仿宋" w:cs="仿宋"/>
          <w:sz w:val="32"/>
          <w:szCs w:val="32"/>
        </w:rPr>
        <w:t>《北京市应急管理局采购工作管理办法（试行）》《北京市应急管理局大额资金项目管理办法（试行）》《北京市应急管理局项目验收管理办法（试行）》</w:t>
      </w:r>
      <w:r>
        <w:rPr>
          <w:rFonts w:hint="eastAsia" w:ascii="仿宋_GB2312"/>
          <w:sz w:val="32"/>
          <w:szCs w:val="32"/>
        </w:rPr>
        <w:t>等财务管理制度相关规定执行。项目资金拨付具有较为完整的审批程序和手续，资金使用与合同规定用途相符，未发现虚列、超标准开支的情况。</w:t>
      </w:r>
    </w:p>
    <w:p>
      <w:pPr>
        <w:autoSpaceDE w:val="0"/>
        <w:autoSpaceDN w:val="0"/>
        <w:ind w:firstLine="640"/>
        <w:rPr>
          <w:rFonts w:hint="eastAsia" w:ascii="仿宋_GB2312" w:hAnsi="宋体"/>
          <w:b/>
          <w:sz w:val="32"/>
          <w:szCs w:val="32"/>
        </w:rPr>
      </w:pPr>
      <w:r>
        <w:rPr>
          <w:rFonts w:ascii="仿宋_GB2312" w:hAnsi="宋体"/>
          <w:b/>
          <w:sz w:val="32"/>
          <w:szCs w:val="32"/>
        </w:rPr>
        <w:t>2.组织实施</w:t>
      </w:r>
      <w:bookmarkEnd w:id="55"/>
      <w:r>
        <w:rPr>
          <w:rFonts w:hint="eastAsia" w:ascii="仿宋_GB2312" w:hAnsi="宋体"/>
          <w:b/>
          <w:sz w:val="32"/>
          <w:szCs w:val="32"/>
        </w:rPr>
        <w:t>情况</w:t>
      </w:r>
    </w:p>
    <w:p>
      <w:pPr>
        <w:ind w:firstLine="640"/>
        <w:rPr>
          <w:rFonts w:hint="eastAsia" w:ascii="仿宋_GB2312" w:hAnsi="宋体"/>
          <w:bCs/>
          <w:sz w:val="32"/>
          <w:szCs w:val="32"/>
        </w:rPr>
      </w:pPr>
      <w:r>
        <w:rPr>
          <w:rFonts w:hint="eastAsia" w:ascii="仿宋_GB2312" w:hAnsi="宋体"/>
          <w:snapToGrid w:val="0"/>
          <w:kern w:val="0"/>
          <w:sz w:val="32"/>
          <w:szCs w:val="32"/>
        </w:rPr>
        <w:t>市应急局制定了涵盖财务管理、招投标管理、验收</w:t>
      </w:r>
      <w:r>
        <w:rPr>
          <w:rFonts w:hint="eastAsia" w:ascii="仿宋_GB2312" w:hAnsi="宋体"/>
          <w:sz w:val="32"/>
          <w:szCs w:val="32"/>
        </w:rPr>
        <w:t>管理等各方面的制度文件，包括</w:t>
      </w:r>
      <w:r>
        <w:rPr>
          <w:rFonts w:hint="eastAsia" w:ascii="仿宋_GB2312" w:hAnsi="Malgun Gothic" w:cs="Malgun Gothic"/>
          <w:sz w:val="32"/>
          <w:szCs w:val="32"/>
        </w:rPr>
        <w:t>《北京市应急管理局采购工作管理办法（试行）》《北京市应急管理局大额资金项目管理办法（试行）》《北京市应急管理局项目验收管理办法（试行）》等。上述文件对经费支出范围、支出标准、支出程序以及采购验收等工作做出了明确的规定，管理制度较健全。</w:t>
      </w:r>
      <w:r>
        <w:rPr>
          <w:rFonts w:hint="eastAsia" w:ascii="仿宋_GB2312" w:hAnsi="宋体"/>
          <w:bCs/>
          <w:sz w:val="32"/>
          <w:szCs w:val="32"/>
        </w:rPr>
        <w:t>项目申报、项目评审、招标采购、合同签订、中期检查、项目验收等各环节，均能按照上述文件规定执行</w:t>
      </w:r>
      <w:bookmarkStart w:id="56" w:name="_Toc615"/>
      <w:bookmarkStart w:id="57" w:name="_Toc37420636"/>
      <w:bookmarkStart w:id="58" w:name="_Toc446962263"/>
      <w:bookmarkStart w:id="59" w:name="_Toc446962264"/>
      <w:r>
        <w:rPr>
          <w:rFonts w:hint="eastAsia" w:ascii="仿宋_GB2312" w:hAnsi="宋体"/>
          <w:bCs/>
          <w:sz w:val="32"/>
          <w:szCs w:val="32"/>
        </w:rPr>
        <w:t>，项目制度执行情况较好。但项目</w:t>
      </w:r>
      <w:r>
        <w:rPr>
          <w:rFonts w:hint="eastAsia" w:ascii="仿宋_GB2312" w:hAnsi="宋体"/>
          <w:sz w:val="32"/>
          <w:szCs w:val="32"/>
        </w:rPr>
        <w:t>在基地设施安全检查及后勤保障服务等方面的</w:t>
      </w:r>
      <w:r>
        <w:rPr>
          <w:rFonts w:hint="eastAsia" w:ascii="仿宋_GB2312" w:hAnsi="宋体"/>
          <w:bCs/>
          <w:sz w:val="32"/>
          <w:szCs w:val="32"/>
        </w:rPr>
        <w:t>过程监管有待进一步加强。</w:t>
      </w:r>
    </w:p>
    <w:p>
      <w:pPr>
        <w:ind w:firstLine="640"/>
        <w:outlineLvl w:val="1"/>
        <w:rPr>
          <w:rFonts w:hint="eastAsia" w:ascii="楷体_GB2312" w:hAnsi="宋体" w:eastAsia="楷体_GB2312"/>
          <w:b/>
          <w:sz w:val="32"/>
          <w:szCs w:val="32"/>
        </w:rPr>
      </w:pPr>
      <w:bookmarkStart w:id="60" w:name="_Toc206627259"/>
      <w:r>
        <w:rPr>
          <w:rFonts w:hint="eastAsia" w:ascii="楷体_GB2312" w:hAnsi="宋体" w:eastAsia="楷体_GB2312"/>
          <w:b/>
          <w:sz w:val="32"/>
          <w:szCs w:val="32"/>
        </w:rPr>
        <w:t>（三）项目产出情况</w:t>
      </w:r>
      <w:bookmarkEnd w:id="56"/>
      <w:bookmarkEnd w:id="60"/>
    </w:p>
    <w:p>
      <w:pPr>
        <w:ind w:firstLine="640"/>
        <w:rPr>
          <w:rFonts w:hint="eastAsia" w:ascii="仿宋_GB2312" w:hAnsi="宋体"/>
          <w:sz w:val="32"/>
          <w:szCs w:val="32"/>
        </w:rPr>
      </w:pPr>
      <w:r>
        <w:rPr>
          <w:rFonts w:hint="eastAsia" w:ascii="仿宋_GB2312" w:hAnsi="宋体"/>
          <w:snapToGrid w:val="0"/>
          <w:kern w:val="0"/>
          <w:sz w:val="32"/>
          <w:szCs w:val="32"/>
        </w:rPr>
        <w:t>项目2024年食宿保障、训练会议保障、物资存储保障、后勤保障、车辆及道路交通保障等主要工作全部按时完成。</w:t>
      </w:r>
      <w:r>
        <w:rPr>
          <w:rFonts w:hint="eastAsia" w:ascii="仿宋_GB2312" w:hAnsi="仿宋"/>
          <w:sz w:val="32"/>
          <w:szCs w:val="32"/>
        </w:rPr>
        <w:t>2025年1月16日，市应急局组织专家对项目2024年合同执行情况进行验收，验收结果为通过。</w:t>
      </w:r>
      <w:bookmarkStart w:id="61" w:name="_Toc27256"/>
      <w:r>
        <w:rPr>
          <w:rFonts w:hint="eastAsia" w:ascii="仿宋_GB2312" w:hAnsi="仿宋"/>
          <w:sz w:val="32"/>
          <w:szCs w:val="32"/>
        </w:rPr>
        <w:t>项目按照合同进度有序实施</w:t>
      </w:r>
      <w:r>
        <w:rPr>
          <w:rFonts w:hint="eastAsia" w:ascii="仿宋_GB2312" w:hAnsi="宋体"/>
          <w:sz w:val="32"/>
          <w:szCs w:val="32"/>
        </w:rPr>
        <w:t>，项目产出时效较好。但项目水电气热等设施的维护、生活工作设施的维修、空调供暖及公共区域卫生等后勤服务保障响应度有待进一步提升。</w:t>
      </w:r>
    </w:p>
    <w:p>
      <w:pPr>
        <w:ind w:firstLine="640"/>
        <w:outlineLvl w:val="1"/>
        <w:rPr>
          <w:rFonts w:hint="eastAsia" w:ascii="楷体_GB2312" w:hAnsi="宋体" w:eastAsia="楷体_GB2312"/>
          <w:b/>
          <w:sz w:val="32"/>
          <w:szCs w:val="32"/>
        </w:rPr>
      </w:pPr>
      <w:bookmarkStart w:id="62" w:name="_Toc206627260"/>
      <w:r>
        <w:rPr>
          <w:rFonts w:hint="eastAsia" w:ascii="楷体_GB2312" w:hAnsi="宋体" w:eastAsia="楷体_GB2312"/>
          <w:b/>
          <w:sz w:val="32"/>
          <w:szCs w:val="32"/>
        </w:rPr>
        <w:t>（四）实施效益情况</w:t>
      </w:r>
      <w:bookmarkEnd w:id="57"/>
      <w:bookmarkEnd w:id="58"/>
      <w:bookmarkEnd w:id="61"/>
      <w:bookmarkEnd w:id="62"/>
    </w:p>
    <w:p>
      <w:pPr>
        <w:widowControl/>
        <w:ind w:firstLine="640"/>
        <w:rPr>
          <w:rFonts w:hint="eastAsia" w:ascii="仿宋_GB2312" w:hAnsi="宋体"/>
          <w:sz w:val="32"/>
          <w:szCs w:val="32"/>
        </w:rPr>
      </w:pPr>
      <w:r>
        <w:rPr>
          <w:rFonts w:hint="eastAsia" w:ascii="仿宋_GB2312" w:hAnsi="仿宋"/>
          <w:b/>
          <w:sz w:val="32"/>
          <w:szCs w:val="32"/>
        </w:rPr>
        <w:t>1.实施效益。</w:t>
      </w:r>
      <w:r>
        <w:rPr>
          <w:rFonts w:hint="eastAsia" w:ascii="仿宋_GB2312" w:hAnsi="宋体" w:cs="宋体"/>
          <w:kern w:val="0"/>
          <w:sz w:val="32"/>
          <w:szCs w:val="32"/>
        </w:rPr>
        <w:t>项目实施在保障市森林消防综合救援总队正常运行等方面产生的效益较显著。项目为市森防总队提供办公、食宿、训练、会议、物资存储、车辆停放等场所及运维服务，解决市森防总队驻防需求，有效保障了总队的正常训练及火情处置等任务，进一步保护了首都森林资源。</w:t>
      </w:r>
    </w:p>
    <w:p>
      <w:pPr>
        <w:widowControl/>
        <w:ind w:firstLine="640"/>
        <w:rPr>
          <w:rFonts w:hint="eastAsia" w:ascii="仿宋_GB2312" w:hAnsi="宋体"/>
          <w:sz w:val="32"/>
          <w:szCs w:val="32"/>
        </w:rPr>
      </w:pPr>
      <w:r>
        <w:rPr>
          <w:rFonts w:hint="eastAsia" w:ascii="仿宋_GB2312" w:hAnsi="宋体"/>
          <w:b/>
          <w:bCs/>
          <w:sz w:val="32"/>
          <w:szCs w:val="32"/>
        </w:rPr>
        <w:t>2.服务对象满意度。</w:t>
      </w:r>
      <w:r>
        <w:rPr>
          <w:rFonts w:hint="eastAsia" w:ascii="仿宋_GB2312" w:hAnsi="宋体"/>
          <w:sz w:val="32"/>
          <w:szCs w:val="32"/>
        </w:rPr>
        <w:t>项目尚未针对总队全体队员开展服务满意度调查工作，不利于及时获取服务对象对项目各项服务的反馈情况。</w:t>
      </w:r>
    </w:p>
    <w:p>
      <w:pPr>
        <w:pStyle w:val="3"/>
        <w:ind w:firstLine="640"/>
        <w:rPr>
          <w:b w:val="0"/>
          <w:bCs w:val="0"/>
          <w:sz w:val="32"/>
          <w:szCs w:val="32"/>
        </w:rPr>
      </w:pPr>
      <w:bookmarkStart w:id="63" w:name="_Toc206627261"/>
      <w:bookmarkStart w:id="64" w:name="_Toc37420637"/>
      <w:bookmarkStart w:id="65" w:name="_Toc2874"/>
      <w:r>
        <w:rPr>
          <w:rFonts w:hint="eastAsia"/>
          <w:b w:val="0"/>
          <w:bCs w:val="0"/>
          <w:sz w:val="32"/>
          <w:szCs w:val="32"/>
        </w:rPr>
        <w:t>五、主要经验及做法、存在的问题及原因分析</w:t>
      </w:r>
      <w:bookmarkEnd w:id="63"/>
      <w:bookmarkEnd w:id="64"/>
      <w:bookmarkEnd w:id="65"/>
    </w:p>
    <w:p>
      <w:pPr>
        <w:ind w:firstLine="640"/>
        <w:outlineLvl w:val="1"/>
        <w:rPr>
          <w:rFonts w:hint="eastAsia" w:ascii="楷体_GB2312" w:hAnsi="宋体" w:eastAsia="楷体_GB2312"/>
          <w:b/>
          <w:sz w:val="32"/>
          <w:szCs w:val="32"/>
        </w:rPr>
      </w:pPr>
      <w:bookmarkStart w:id="66" w:name="_Toc37420638"/>
      <w:bookmarkStart w:id="67" w:name="_Toc206627262"/>
      <w:bookmarkStart w:id="68" w:name="_Toc1475"/>
      <w:r>
        <w:rPr>
          <w:rFonts w:hint="eastAsia" w:ascii="楷体_GB2312" w:hAnsi="宋体" w:eastAsia="楷体_GB2312"/>
          <w:b/>
          <w:sz w:val="32"/>
          <w:szCs w:val="32"/>
        </w:rPr>
        <w:t>（一）主要经验及做法</w:t>
      </w:r>
      <w:bookmarkEnd w:id="66"/>
      <w:bookmarkEnd w:id="67"/>
      <w:bookmarkEnd w:id="68"/>
    </w:p>
    <w:p>
      <w:pPr>
        <w:ind w:firstLine="640"/>
        <w:rPr>
          <w:rFonts w:hint="eastAsia" w:ascii="仿宋_GB2312" w:hAnsi="宋体"/>
          <w:bCs/>
          <w:sz w:val="32"/>
          <w:szCs w:val="32"/>
        </w:rPr>
      </w:pPr>
      <w:r>
        <w:rPr>
          <w:rFonts w:hint="eastAsia" w:ascii="仿宋_GB2312" w:hAnsi="宋体"/>
          <w:bCs/>
          <w:sz w:val="32"/>
          <w:szCs w:val="32"/>
        </w:rPr>
        <w:t>市应急局于项目合同期结束后及时组织验收，并根据项目内容设计了验收评价表，评价涉及项目五大项23小项内容，充分考核了项目服务情况，有助于保障项目服务质量，为下一步工作提供改进建议，不断提升市森防总队服务保障质量。</w:t>
      </w:r>
    </w:p>
    <w:p>
      <w:pPr>
        <w:ind w:firstLine="640"/>
        <w:outlineLvl w:val="1"/>
        <w:rPr>
          <w:rFonts w:hint="eastAsia" w:ascii="楷体_GB2312" w:hAnsi="宋体" w:eastAsia="楷体_GB2312"/>
          <w:b/>
          <w:sz w:val="32"/>
          <w:szCs w:val="32"/>
        </w:rPr>
      </w:pPr>
      <w:bookmarkStart w:id="69" w:name="_Toc2223"/>
      <w:bookmarkStart w:id="70" w:name="_Toc206627263"/>
      <w:bookmarkStart w:id="71" w:name="_Toc37420639"/>
      <w:r>
        <w:rPr>
          <w:rFonts w:hint="eastAsia" w:ascii="楷体_GB2312" w:hAnsi="宋体" w:eastAsia="楷体_GB2312"/>
          <w:b/>
          <w:sz w:val="32"/>
          <w:szCs w:val="32"/>
        </w:rPr>
        <w:t>（二）存在的问题及原因分析</w:t>
      </w:r>
      <w:bookmarkEnd w:id="69"/>
      <w:bookmarkEnd w:id="70"/>
      <w:bookmarkEnd w:id="71"/>
    </w:p>
    <w:p>
      <w:pPr>
        <w:autoSpaceDE w:val="0"/>
        <w:autoSpaceDN w:val="0"/>
        <w:ind w:firstLine="640"/>
        <w:rPr>
          <w:rFonts w:hint="eastAsia" w:ascii="仿宋_GB2312" w:hAnsi="宋体" w:cs="宋体"/>
          <w:kern w:val="0"/>
          <w:sz w:val="32"/>
          <w:szCs w:val="32"/>
        </w:rPr>
      </w:pPr>
      <w:r>
        <w:rPr>
          <w:rFonts w:hint="eastAsia" w:ascii="仿宋_GB2312" w:hAnsi="仿宋"/>
          <w:b/>
          <w:sz w:val="32"/>
          <w:szCs w:val="32"/>
        </w:rPr>
        <w:t>1</w:t>
      </w:r>
      <w:r>
        <w:rPr>
          <w:rFonts w:ascii="仿宋_GB2312" w:hAnsi="仿宋"/>
          <w:b/>
          <w:sz w:val="32"/>
          <w:szCs w:val="32"/>
        </w:rPr>
        <w:t>.</w:t>
      </w:r>
      <w:r>
        <w:rPr>
          <w:rFonts w:hint="eastAsia" w:ascii="仿宋_GB2312" w:hAnsi="仿宋"/>
          <w:b/>
          <w:sz w:val="32"/>
          <w:szCs w:val="32"/>
        </w:rPr>
        <w:t>绩效指标设置有待完善。</w:t>
      </w:r>
      <w:r>
        <w:rPr>
          <w:rFonts w:hint="eastAsia" w:ascii="仿宋_GB2312"/>
          <w:b/>
          <w:snapToGrid w:val="0"/>
          <w:kern w:val="0"/>
          <w:sz w:val="32"/>
          <w:szCs w:val="32"/>
        </w:rPr>
        <w:t>一是</w:t>
      </w:r>
      <w:r>
        <w:rPr>
          <w:rFonts w:hint="eastAsia" w:ascii="仿宋_GB2312"/>
          <w:bCs/>
          <w:snapToGrid w:val="0"/>
          <w:kern w:val="0"/>
          <w:sz w:val="32"/>
          <w:szCs w:val="32"/>
        </w:rPr>
        <w:t>指标内容不全面，数量指标仅体现保障人数及餐饮面积，未涵盖项目全部服务内容，核心绩效指标缺失</w:t>
      </w:r>
      <w:r>
        <w:rPr>
          <w:rFonts w:hint="eastAsia" w:ascii="仿宋_GB2312" w:hAnsi="宋体" w:cs="宋体"/>
          <w:kern w:val="0"/>
          <w:sz w:val="32"/>
          <w:szCs w:val="32"/>
        </w:rPr>
        <w:t>。</w:t>
      </w:r>
      <w:r>
        <w:rPr>
          <w:rFonts w:hint="eastAsia" w:ascii="仿宋_GB2312" w:hAnsi="宋体" w:cs="宋体"/>
          <w:b/>
          <w:bCs/>
          <w:kern w:val="0"/>
          <w:sz w:val="32"/>
          <w:szCs w:val="32"/>
        </w:rPr>
        <w:t>二是</w:t>
      </w:r>
      <w:r>
        <w:rPr>
          <w:rFonts w:hint="eastAsia" w:ascii="仿宋_GB2312" w:hAnsi="宋体" w:cs="宋体"/>
          <w:kern w:val="0"/>
          <w:sz w:val="32"/>
          <w:szCs w:val="32"/>
        </w:rPr>
        <w:t>指标设置不完整，未设置时效指标和满意度指标。对于服务类项目应设置能反映服务及时响应程度的时效指标及反映服务对象认可程度的满意度指标。</w:t>
      </w:r>
    </w:p>
    <w:p>
      <w:pPr>
        <w:autoSpaceDE w:val="0"/>
        <w:autoSpaceDN w:val="0"/>
        <w:ind w:firstLine="640"/>
        <w:rPr>
          <w:rFonts w:hint="eastAsia" w:ascii="仿宋_GB2312" w:hAnsi="宋体"/>
          <w:bCs/>
          <w:sz w:val="32"/>
          <w:szCs w:val="32"/>
        </w:rPr>
      </w:pPr>
      <w:r>
        <w:rPr>
          <w:rFonts w:hint="eastAsia" w:ascii="仿宋_GB2312" w:hAnsi="仿宋"/>
          <w:b/>
          <w:sz w:val="32"/>
          <w:szCs w:val="32"/>
        </w:rPr>
        <w:t>2</w:t>
      </w:r>
      <w:r>
        <w:rPr>
          <w:rFonts w:ascii="仿宋_GB2312" w:hAnsi="仿宋"/>
          <w:b/>
          <w:sz w:val="32"/>
          <w:szCs w:val="32"/>
        </w:rPr>
        <w:t>.</w:t>
      </w:r>
      <w:r>
        <w:rPr>
          <w:rFonts w:hint="eastAsia" w:ascii="仿宋_GB2312" w:hAnsi="仿宋"/>
          <w:b/>
          <w:sz w:val="32"/>
          <w:szCs w:val="32"/>
        </w:rPr>
        <w:t>对第三方服务机构的监管有待加强。</w:t>
      </w:r>
      <w:bookmarkStart w:id="72" w:name="_Hlk163549986"/>
      <w:bookmarkStart w:id="73" w:name="_Hlk163549739"/>
      <w:r>
        <w:rPr>
          <w:rFonts w:hint="eastAsia" w:ascii="仿宋_GB2312" w:hAnsi="宋体"/>
          <w:bCs/>
          <w:sz w:val="32"/>
          <w:szCs w:val="32"/>
        </w:rPr>
        <w:t>项目</w:t>
      </w:r>
      <w:r>
        <w:rPr>
          <w:rFonts w:hint="eastAsia" w:ascii="仿宋_GB2312" w:hAnsi="宋体"/>
          <w:sz w:val="32"/>
          <w:szCs w:val="32"/>
        </w:rPr>
        <w:t>在基地设施安全检查及后勤保障服务记录等方面的</w:t>
      </w:r>
      <w:r>
        <w:rPr>
          <w:rFonts w:hint="eastAsia" w:ascii="仿宋_GB2312" w:hAnsi="宋体"/>
          <w:bCs/>
          <w:sz w:val="32"/>
          <w:szCs w:val="32"/>
        </w:rPr>
        <w:t>过程监管有待进一步加强。</w:t>
      </w:r>
    </w:p>
    <w:p>
      <w:pPr>
        <w:autoSpaceDE w:val="0"/>
        <w:autoSpaceDN w:val="0"/>
        <w:ind w:firstLine="640"/>
        <w:rPr>
          <w:bCs/>
        </w:rPr>
      </w:pPr>
      <w:r>
        <w:rPr>
          <w:rFonts w:hint="eastAsia" w:ascii="仿宋_GB2312" w:hAnsi="仿宋"/>
          <w:b/>
          <w:sz w:val="32"/>
          <w:szCs w:val="32"/>
        </w:rPr>
        <w:t>3</w:t>
      </w:r>
      <w:r>
        <w:rPr>
          <w:rFonts w:ascii="仿宋_GB2312" w:hAnsi="仿宋"/>
          <w:b/>
          <w:sz w:val="32"/>
          <w:szCs w:val="32"/>
        </w:rPr>
        <w:t>.</w:t>
      </w:r>
      <w:r>
        <w:rPr>
          <w:rFonts w:hint="eastAsia" w:ascii="仿宋_GB2312" w:hAnsi="仿宋"/>
          <w:b/>
          <w:sz w:val="32"/>
          <w:szCs w:val="32"/>
        </w:rPr>
        <w:t>服务对象满意度调查工作有待开展</w:t>
      </w:r>
      <w:bookmarkEnd w:id="72"/>
      <w:bookmarkEnd w:id="73"/>
      <w:bookmarkStart w:id="74" w:name="_Toc19843"/>
      <w:bookmarkStart w:id="75" w:name="_Toc37420640"/>
      <w:r>
        <w:rPr>
          <w:rFonts w:hint="eastAsia" w:ascii="仿宋_GB2312" w:hAnsi="仿宋"/>
          <w:b/>
          <w:sz w:val="32"/>
          <w:szCs w:val="32"/>
        </w:rPr>
        <w:t>。</w:t>
      </w:r>
      <w:r>
        <w:rPr>
          <w:rFonts w:hint="eastAsia" w:ascii="仿宋_GB2312" w:hAnsi="仿宋"/>
          <w:bCs/>
          <w:sz w:val="32"/>
          <w:szCs w:val="32"/>
        </w:rPr>
        <w:t>项目尚未系统开展全体队员对项目服务的满意度调查工作，不利于项目精细化管理。</w:t>
      </w:r>
    </w:p>
    <w:p>
      <w:pPr>
        <w:autoSpaceDE w:val="0"/>
        <w:autoSpaceDN w:val="0"/>
        <w:ind w:firstLine="640"/>
        <w:outlineLvl w:val="0"/>
        <w:rPr>
          <w:rFonts w:hint="eastAsia" w:ascii="黑体" w:hAnsi="黑体" w:eastAsia="黑体" w:cs="宋体"/>
          <w:color w:val="000000"/>
          <w:kern w:val="0"/>
          <w:sz w:val="32"/>
          <w:szCs w:val="32"/>
        </w:rPr>
      </w:pPr>
      <w:bookmarkStart w:id="76" w:name="_Toc206627264"/>
      <w:r>
        <w:rPr>
          <w:rFonts w:hint="eastAsia" w:ascii="黑体" w:hAnsi="黑体" w:eastAsia="黑体" w:cs="宋体"/>
          <w:color w:val="000000"/>
          <w:kern w:val="0"/>
          <w:sz w:val="32"/>
          <w:szCs w:val="32"/>
        </w:rPr>
        <w:t>六、有关建议</w:t>
      </w:r>
      <w:bookmarkEnd w:id="74"/>
      <w:bookmarkEnd w:id="75"/>
      <w:bookmarkEnd w:id="76"/>
    </w:p>
    <w:p>
      <w:pPr>
        <w:ind w:firstLine="640"/>
        <w:outlineLvl w:val="1"/>
        <w:rPr>
          <w:rFonts w:hint="eastAsia" w:ascii="楷体_GB2312" w:hAnsi="宋体" w:eastAsia="楷体_GB2312"/>
          <w:b/>
          <w:sz w:val="32"/>
          <w:szCs w:val="32"/>
        </w:rPr>
      </w:pPr>
      <w:bookmarkStart w:id="77" w:name="_Toc206627265"/>
      <w:r>
        <w:rPr>
          <w:rFonts w:hint="eastAsia" w:ascii="楷体_GB2312" w:hAnsi="宋体" w:eastAsia="楷体_GB2312"/>
          <w:b/>
          <w:sz w:val="32"/>
          <w:szCs w:val="32"/>
        </w:rPr>
        <w:t>（一）</w:t>
      </w:r>
      <w:bookmarkStart w:id="78" w:name="_Hlk163548870"/>
      <w:r>
        <w:rPr>
          <w:rFonts w:hint="eastAsia" w:ascii="楷体_GB2312" w:hAnsi="宋体" w:eastAsia="楷体_GB2312"/>
          <w:b/>
          <w:sz w:val="32"/>
          <w:szCs w:val="32"/>
        </w:rPr>
        <w:t>结合年度工作任务，科学设置绩效指标</w:t>
      </w:r>
      <w:bookmarkEnd w:id="77"/>
    </w:p>
    <w:p>
      <w:pPr>
        <w:ind w:firstLine="640"/>
        <w:rPr>
          <w:rFonts w:hint="eastAsia" w:ascii="仿宋_GB2312" w:hAnsi="宋体"/>
          <w:sz w:val="32"/>
          <w:szCs w:val="32"/>
        </w:rPr>
      </w:pPr>
      <w:r>
        <w:rPr>
          <w:rFonts w:hint="eastAsia" w:ascii="仿宋_GB2312" w:hAnsi="宋体"/>
          <w:sz w:val="32"/>
          <w:szCs w:val="32"/>
        </w:rPr>
        <w:t>充分结合项目年度主要工作任务，全面设置数量指标，设置</w:t>
      </w:r>
      <w:r>
        <w:rPr>
          <w:rFonts w:hint="eastAsia" w:ascii="仿宋_GB2312" w:hAnsi="宋体" w:cs="宋体"/>
          <w:kern w:val="0"/>
          <w:sz w:val="32"/>
          <w:szCs w:val="32"/>
        </w:rPr>
        <w:t>反映服务及时响应程度的时效指标及反映服务对象认可程度的满意度指标，</w:t>
      </w:r>
      <w:r>
        <w:rPr>
          <w:rFonts w:hint="eastAsia" w:ascii="仿宋_GB2312" w:hAnsi="宋体"/>
          <w:sz w:val="32"/>
          <w:szCs w:val="32"/>
        </w:rPr>
        <w:t>确保指标完整、明确。</w:t>
      </w:r>
    </w:p>
    <w:bookmarkEnd w:id="78"/>
    <w:p>
      <w:pPr>
        <w:ind w:firstLine="640"/>
        <w:outlineLvl w:val="1"/>
        <w:rPr>
          <w:rFonts w:hint="eastAsia" w:ascii="楷体_GB2312" w:hAnsi="宋体" w:eastAsia="楷体_GB2312"/>
          <w:b/>
          <w:sz w:val="32"/>
          <w:szCs w:val="32"/>
        </w:rPr>
      </w:pPr>
      <w:bookmarkStart w:id="79" w:name="_Toc206627266"/>
      <w:r>
        <w:rPr>
          <w:rFonts w:hint="eastAsia" w:ascii="楷体_GB2312" w:hAnsi="宋体" w:eastAsia="楷体_GB2312"/>
          <w:b/>
          <w:sz w:val="32"/>
          <w:szCs w:val="32"/>
        </w:rPr>
        <w:t>（二）完善监管制度，进一步强化过程监管</w:t>
      </w:r>
      <w:bookmarkEnd w:id="79"/>
    </w:p>
    <w:p>
      <w:pPr>
        <w:ind w:firstLine="640"/>
        <w:rPr>
          <w:rFonts w:hint="eastAsia" w:ascii="仿宋_GB2312" w:hAnsi="宋体"/>
          <w:bCs/>
          <w:sz w:val="32"/>
          <w:szCs w:val="32"/>
        </w:rPr>
      </w:pPr>
      <w:r>
        <w:rPr>
          <w:rFonts w:hint="eastAsia" w:ascii="仿宋_GB2312" w:hAnsi="宋体"/>
          <w:bCs/>
          <w:sz w:val="32"/>
          <w:szCs w:val="32"/>
        </w:rPr>
        <w:t>结合项目实际情况，建立健全对第三方服务机构的监管制度，明确各方权责利及相应质量标准要求，进一步强化过程监管，确保服务质量。</w:t>
      </w:r>
    </w:p>
    <w:p>
      <w:pPr>
        <w:ind w:firstLine="640"/>
        <w:outlineLvl w:val="1"/>
        <w:rPr>
          <w:rFonts w:hint="eastAsia" w:ascii="楷体_GB2312" w:hAnsi="宋体" w:eastAsia="楷体_GB2312"/>
          <w:b/>
          <w:sz w:val="32"/>
          <w:szCs w:val="32"/>
        </w:rPr>
      </w:pPr>
      <w:bookmarkStart w:id="80" w:name="_Toc206627267"/>
      <w:r>
        <w:rPr>
          <w:rFonts w:hint="eastAsia" w:ascii="楷体_GB2312" w:hAnsi="宋体" w:eastAsia="楷体_GB2312"/>
          <w:b/>
          <w:sz w:val="32"/>
          <w:szCs w:val="32"/>
        </w:rPr>
        <w:t>（三）开展满意度调查，及时收集反馈信息</w:t>
      </w:r>
      <w:bookmarkEnd w:id="80"/>
    </w:p>
    <w:p>
      <w:pPr>
        <w:ind w:firstLine="640"/>
        <w:rPr>
          <w:rFonts w:hint="eastAsia" w:ascii="仿宋_GB2312" w:hAnsi="宋体"/>
          <w:bCs/>
          <w:sz w:val="32"/>
          <w:szCs w:val="32"/>
        </w:rPr>
      </w:pPr>
      <w:r>
        <w:rPr>
          <w:rFonts w:hint="eastAsia" w:ascii="仿宋_GB2312" w:hAnsi="宋体"/>
          <w:bCs/>
          <w:sz w:val="32"/>
          <w:szCs w:val="32"/>
        </w:rPr>
        <w:t>适时开展针对全体队员的服务对象满意度调查，通过对服务各项内容的问卷调查，及时收集服务对象反馈信息，为持续提升服务工作质量提供参考依据。</w:t>
      </w:r>
      <w:bookmarkEnd w:id="59"/>
    </w:p>
    <w:p>
      <w:pPr>
        <w:autoSpaceDE w:val="0"/>
        <w:autoSpaceDN w:val="0"/>
        <w:ind w:firstLine="640"/>
        <w:outlineLvl w:val="0"/>
        <w:rPr>
          <w:rFonts w:hint="eastAsia" w:ascii="黑体" w:hAnsi="黑体" w:eastAsia="黑体" w:cs="宋体"/>
          <w:color w:val="000000"/>
          <w:kern w:val="0"/>
          <w:sz w:val="32"/>
          <w:szCs w:val="32"/>
        </w:rPr>
      </w:pPr>
      <w:bookmarkStart w:id="81" w:name="_Toc37420641"/>
      <w:bookmarkStart w:id="82" w:name="_Toc26283"/>
      <w:bookmarkStart w:id="83" w:name="_Toc197955716"/>
      <w:r>
        <w:rPr>
          <w:rFonts w:hint="eastAsia" w:ascii="黑体" w:hAnsi="黑体" w:eastAsia="黑体" w:cs="宋体"/>
          <w:color w:val="000000"/>
          <w:kern w:val="0"/>
          <w:sz w:val="32"/>
          <w:szCs w:val="32"/>
        </w:rPr>
        <w:t>七、</w:t>
      </w:r>
      <w:bookmarkEnd w:id="81"/>
      <w:r>
        <w:rPr>
          <w:rFonts w:hint="eastAsia" w:ascii="黑体" w:hAnsi="黑体" w:eastAsia="黑体" w:cs="宋体"/>
          <w:color w:val="000000"/>
          <w:kern w:val="0"/>
          <w:sz w:val="32"/>
          <w:szCs w:val="32"/>
        </w:rPr>
        <w:t>其他需要说明的问题</w:t>
      </w:r>
      <w:bookmarkEnd w:id="82"/>
      <w:bookmarkEnd w:id="83"/>
    </w:p>
    <w:p>
      <w:pPr>
        <w:ind w:firstLine="640"/>
        <w:rPr>
          <w:sz w:val="32"/>
          <w:szCs w:val="32"/>
        </w:rPr>
      </w:pPr>
      <w:bookmarkStart w:id="84" w:name="_Toc336506912"/>
      <w:bookmarkStart w:id="85" w:name="_Toc336506978"/>
      <w:bookmarkStart w:id="86" w:name="_Toc23835"/>
      <w:bookmarkStart w:id="87" w:name="_Toc8005"/>
      <w:r>
        <w:rPr>
          <w:rFonts w:hint="eastAsia"/>
          <w:sz w:val="32"/>
          <w:szCs w:val="32"/>
        </w:rPr>
        <w:t>无</w:t>
      </w:r>
    </w:p>
    <w:bookmarkEnd w:id="84"/>
    <w:bookmarkEnd w:id="85"/>
    <w:bookmarkEnd w:id="86"/>
    <w:bookmarkEnd w:id="87"/>
    <w:p>
      <w:pPr>
        <w:autoSpaceDE w:val="0"/>
        <w:autoSpaceDN w:val="0"/>
        <w:ind w:firstLine="640"/>
        <w:outlineLvl w:val="0"/>
        <w:rPr>
          <w:rFonts w:hint="eastAsia" w:ascii="黑体" w:hAnsi="黑体" w:eastAsia="黑体" w:cs="宋体"/>
          <w:color w:val="000000"/>
          <w:kern w:val="0"/>
          <w:sz w:val="32"/>
          <w:szCs w:val="32"/>
        </w:rPr>
      </w:pPr>
      <w:bookmarkStart w:id="88" w:name="_Toc197955717"/>
      <w:bookmarkStart w:id="89" w:name="_Toc12409"/>
      <w:r>
        <w:rPr>
          <w:rFonts w:hint="eastAsia" w:ascii="黑体" w:hAnsi="黑体" w:eastAsia="黑体" w:cs="宋体"/>
          <w:color w:val="000000"/>
          <w:kern w:val="0"/>
          <w:sz w:val="32"/>
          <w:szCs w:val="32"/>
        </w:rPr>
        <w:t>八、附件</w:t>
      </w:r>
      <w:bookmarkEnd w:id="88"/>
    </w:p>
    <w:p>
      <w:pPr>
        <w:ind w:firstLine="640"/>
        <w:rPr>
          <w:rFonts w:ascii="仿宋_GB2312"/>
          <w:sz w:val="32"/>
          <w:szCs w:val="32"/>
        </w:rPr>
      </w:pPr>
      <w:r>
        <w:rPr>
          <w:rFonts w:hint="eastAsia" w:ascii="仿宋_GB2312"/>
          <w:sz w:val="32"/>
          <w:szCs w:val="32"/>
        </w:rPr>
        <w:t>附件1：项目绩效评价指标体系及打分情况表</w:t>
      </w:r>
      <w:bookmarkEnd w:id="89"/>
    </w:p>
    <w:p>
      <w:pPr>
        <w:ind w:firstLine="640"/>
        <w:rPr>
          <w:rFonts w:ascii="仿宋_GB2312"/>
          <w:sz w:val="32"/>
          <w:szCs w:val="32"/>
        </w:rPr>
      </w:pPr>
      <w:bookmarkStart w:id="90" w:name="_Toc19086"/>
      <w:r>
        <w:rPr>
          <w:rFonts w:hint="eastAsia" w:ascii="仿宋_GB2312"/>
          <w:sz w:val="32"/>
          <w:szCs w:val="32"/>
        </w:rPr>
        <w:t>附件2：专家及评价工作组情况表</w:t>
      </w:r>
      <w:bookmarkEnd w:id="90"/>
    </w:p>
    <w:p>
      <w:pPr>
        <w:ind w:firstLine="640"/>
        <w:rPr>
          <w:rFonts w:ascii="仿宋_GB2312"/>
          <w:sz w:val="32"/>
          <w:szCs w:val="32"/>
        </w:rPr>
        <w:sectPr>
          <w:footerReference r:id="rId11" w:type="default"/>
          <w:pgSz w:w="11906" w:h="16838"/>
          <w:pgMar w:top="1440" w:right="1800" w:bottom="1440" w:left="1800" w:header="851" w:footer="992" w:gutter="0"/>
          <w:pgNumType w:start="1"/>
          <w:cols w:space="425" w:num="1"/>
          <w:docGrid w:type="lines" w:linePitch="312" w:charSpace="0"/>
        </w:sectPr>
      </w:pPr>
      <w:bookmarkStart w:id="91" w:name="_Toc17584"/>
      <w:r>
        <w:rPr>
          <w:rFonts w:hint="eastAsia" w:ascii="仿宋_GB2312"/>
          <w:sz w:val="32"/>
          <w:szCs w:val="32"/>
        </w:rPr>
        <w:t>附件3：评价专家意见汇总书</w:t>
      </w:r>
      <w:bookmarkEnd w:id="91"/>
    </w:p>
    <w:p>
      <w:pPr>
        <w:ind w:firstLine="0" w:firstLineChars="0"/>
        <w:jc w:val="center"/>
        <w:sectPr>
          <w:pgSz w:w="16838" w:h="11906" w:orient="landscape"/>
          <w:pgMar w:top="1800" w:right="1440" w:bottom="1800" w:left="1440" w:header="851" w:footer="992" w:gutter="0"/>
          <w:cols w:space="425" w:num="1"/>
          <w:docGrid w:type="lines" w:linePitch="408" w:charSpace="0"/>
        </w:sectPr>
      </w:pPr>
      <w:r>
        <w:drawing>
          <wp:inline distT="0" distB="0" distL="0" distR="0">
            <wp:extent cx="7510780" cy="5406390"/>
            <wp:effectExtent l="0" t="0" r="13970" b="3810"/>
            <wp:docPr id="339710599" name="图片 5"/>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9710599" name="图片 5"/>
                    <pic:cNvPicPr>
                      <a:picLocks noChangeAspect="true"/>
                    </pic:cNvPicPr>
                  </pic:nvPicPr>
                  <pic:blipFill>
                    <a:blip r:embed="rId13" cstate="print">
                      <a:extLst>
                        <a:ext uri="{28A0092B-C50C-407E-A947-70E740481C1C}">
                          <a14:useLocalDpi xmlns:a14="http://schemas.microsoft.com/office/drawing/2010/main" val="false"/>
                        </a:ext>
                      </a:extLst>
                    </a:blip>
                    <a:stretch>
                      <a:fillRect/>
                    </a:stretch>
                  </pic:blipFill>
                  <pic:spPr>
                    <a:xfrm>
                      <a:off x="0" y="0"/>
                      <a:ext cx="7534137" cy="5423361"/>
                    </a:xfrm>
                    <a:prstGeom prst="rect">
                      <a:avLst/>
                    </a:prstGeom>
                  </pic:spPr>
                </pic:pic>
              </a:graphicData>
            </a:graphic>
          </wp:inline>
        </w:drawing>
      </w:r>
      <w:r>
        <w:drawing>
          <wp:inline distT="0" distB="0" distL="0" distR="0">
            <wp:extent cx="7190105" cy="5393690"/>
            <wp:effectExtent l="0" t="0" r="10795" b="16510"/>
            <wp:docPr id="1177841874" name="图片 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77841874" name="图片 6"/>
                    <pic:cNvPicPr>
                      <a:picLocks noChangeAspect="true"/>
                    </pic:cNvPicPr>
                  </pic:nvPicPr>
                  <pic:blipFill>
                    <a:blip r:embed="rId14" cstate="print">
                      <a:extLst>
                        <a:ext uri="{28A0092B-C50C-407E-A947-70E740481C1C}">
                          <a14:useLocalDpi xmlns:a14="http://schemas.microsoft.com/office/drawing/2010/main" val="false"/>
                        </a:ext>
                      </a:extLst>
                    </a:blip>
                    <a:stretch>
                      <a:fillRect/>
                    </a:stretch>
                  </pic:blipFill>
                  <pic:spPr>
                    <a:xfrm>
                      <a:off x="0" y="0"/>
                      <a:ext cx="7202070" cy="5402854"/>
                    </a:xfrm>
                    <a:prstGeom prst="rect">
                      <a:avLst/>
                    </a:prstGeom>
                  </pic:spPr>
                </pic:pic>
              </a:graphicData>
            </a:graphic>
          </wp:inline>
        </w:drawing>
      </w:r>
      <w:r>
        <w:drawing>
          <wp:inline distT="0" distB="0" distL="0" distR="0">
            <wp:extent cx="7232015" cy="5412105"/>
            <wp:effectExtent l="0" t="0" r="6985" b="17145"/>
            <wp:docPr id="1147025833"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47025833" name="图片 7"/>
                    <pic:cNvPicPr>
                      <a:picLocks noChangeAspect="true"/>
                    </pic:cNvPicPr>
                  </pic:nvPicPr>
                  <pic:blipFill>
                    <a:blip r:embed="rId15" cstate="print">
                      <a:extLst>
                        <a:ext uri="{28A0092B-C50C-407E-A947-70E740481C1C}">
                          <a14:useLocalDpi xmlns:a14="http://schemas.microsoft.com/office/drawing/2010/main" val="false"/>
                        </a:ext>
                      </a:extLst>
                    </a:blip>
                    <a:stretch>
                      <a:fillRect/>
                    </a:stretch>
                  </pic:blipFill>
                  <pic:spPr>
                    <a:xfrm>
                      <a:off x="0" y="0"/>
                      <a:ext cx="7236008" cy="5415108"/>
                    </a:xfrm>
                    <a:prstGeom prst="rect">
                      <a:avLst/>
                    </a:prstGeom>
                  </pic:spPr>
                </pic:pic>
              </a:graphicData>
            </a:graphic>
          </wp:inline>
        </w:drawing>
      </w:r>
      <w:r>
        <w:drawing>
          <wp:inline distT="0" distB="0" distL="0" distR="0">
            <wp:extent cx="7035800" cy="4757420"/>
            <wp:effectExtent l="0" t="0" r="12700" b="5080"/>
            <wp:docPr id="232632742"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32632742" name="图片 8"/>
                    <pic:cNvPicPr>
                      <a:picLocks noChangeAspect="true"/>
                    </pic:cNvPicPr>
                  </pic:nvPicPr>
                  <pic:blipFill>
                    <a:blip r:embed="rId16" cstate="print">
                      <a:extLst>
                        <a:ext uri="{28A0092B-C50C-407E-A947-70E740481C1C}">
                          <a14:useLocalDpi xmlns:a14="http://schemas.microsoft.com/office/drawing/2010/main" val="false"/>
                        </a:ext>
                      </a:extLst>
                    </a:blip>
                    <a:stretch>
                      <a:fillRect/>
                    </a:stretch>
                  </pic:blipFill>
                  <pic:spPr>
                    <a:xfrm>
                      <a:off x="0" y="0"/>
                      <a:ext cx="7053990" cy="4770043"/>
                    </a:xfrm>
                    <a:prstGeom prst="rect">
                      <a:avLst/>
                    </a:prstGeom>
                  </pic:spPr>
                </pic:pic>
              </a:graphicData>
            </a:graphic>
          </wp:inline>
        </w:drawing>
      </w:r>
    </w:p>
    <w:p>
      <w:pPr>
        <w:ind w:left="-1050" w:leftChars="-350" w:firstLine="0" w:firstLineChars="0"/>
      </w:pPr>
      <w:r>
        <w:drawing>
          <wp:inline distT="0" distB="0" distL="0" distR="0">
            <wp:extent cx="5736590" cy="8300720"/>
            <wp:effectExtent l="0" t="0" r="16510" b="5080"/>
            <wp:docPr id="1911135857"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11135857" name="图片 1"/>
                    <pic:cNvPicPr>
                      <a:picLocks noChangeAspect="true"/>
                    </pic:cNvPicPr>
                  </pic:nvPicPr>
                  <pic:blipFill>
                    <a:blip r:embed="rId17" cstate="print">
                      <a:extLst>
                        <a:ext uri="{28A0092B-C50C-407E-A947-70E740481C1C}">
                          <a14:useLocalDpi xmlns:a14="http://schemas.microsoft.com/office/drawing/2010/main" val="false"/>
                        </a:ext>
                      </a:extLst>
                    </a:blip>
                    <a:srcRect l="1" r="2377"/>
                    <a:stretch>
                      <a:fillRect/>
                    </a:stretch>
                  </pic:blipFill>
                  <pic:spPr>
                    <a:xfrm>
                      <a:off x="0" y="0"/>
                      <a:ext cx="5743709" cy="8311093"/>
                    </a:xfrm>
                    <a:prstGeom prst="rect">
                      <a:avLst/>
                    </a:prstGeom>
                    <a:ln>
                      <a:noFill/>
                    </a:ln>
                  </pic:spPr>
                </pic:pic>
              </a:graphicData>
            </a:graphic>
          </wp:inline>
        </w:drawing>
      </w:r>
      <w:r>
        <w:drawing>
          <wp:inline distT="0" distB="0" distL="0" distR="0">
            <wp:extent cx="5274310" cy="6891655"/>
            <wp:effectExtent l="0" t="0" r="2540" b="4445"/>
            <wp:docPr id="677855909" name="图片 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77855909" name="图片 9"/>
                    <pic:cNvPicPr>
                      <a:picLocks noChangeAspect="true" noChangeArrowheads="true"/>
                    </pic:cNvPicPr>
                  </pic:nvPicPr>
                  <pic:blipFill>
                    <a:blip r:embed="rId18" cstate="print">
                      <a:extLst>
                        <a:ext uri="{28A0092B-C50C-407E-A947-70E740481C1C}">
                          <a14:useLocalDpi xmlns:a14="http://schemas.microsoft.com/office/drawing/2010/main" val="false"/>
                        </a:ext>
                      </a:extLst>
                    </a:blip>
                    <a:srcRect t="-1" r="2281" b="9675"/>
                    <a:stretch>
                      <a:fillRect/>
                    </a:stretch>
                  </pic:blipFill>
                  <pic:spPr>
                    <a:xfrm>
                      <a:off x="0" y="0"/>
                      <a:ext cx="5274310" cy="6892094"/>
                    </a:xfrm>
                    <a:prstGeom prst="rect">
                      <a:avLst/>
                    </a:prstGeom>
                    <a:noFill/>
                    <a:ln>
                      <a:noFill/>
                    </a:ln>
                  </pic:spPr>
                </pic:pic>
              </a:graphicData>
            </a:graphic>
          </wp:inline>
        </w:drawing>
      </w:r>
      <w:r>
        <w:drawing>
          <wp:inline distT="0" distB="0" distL="0" distR="0">
            <wp:extent cx="6524625" cy="8342630"/>
            <wp:effectExtent l="0" t="0" r="9525" b="1270"/>
            <wp:docPr id="314655421" name="图片 10"/>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4655421" name="图片 10"/>
                    <pic:cNvPicPr>
                      <a:picLocks noChangeAspect="true" noChangeArrowheads="true"/>
                    </pic:cNvPicPr>
                  </pic:nvPicPr>
                  <pic:blipFill>
                    <a:blip r:embed="rId19" cstate="print">
                      <a:extLst>
                        <a:ext uri="{28A0092B-C50C-407E-A947-70E740481C1C}">
                          <a14:useLocalDpi xmlns:a14="http://schemas.microsoft.com/office/drawing/2010/main" val="false"/>
                        </a:ext>
                      </a:extLst>
                    </a:blip>
                    <a:srcRect r="347" b="9862"/>
                    <a:stretch>
                      <a:fillRect/>
                    </a:stretch>
                  </pic:blipFill>
                  <pic:spPr>
                    <a:xfrm>
                      <a:off x="0" y="0"/>
                      <a:ext cx="6532750" cy="8353421"/>
                    </a:xfrm>
                    <a:prstGeom prst="rect">
                      <a:avLst/>
                    </a:prstGeom>
                    <a:noFill/>
                    <a:ln>
                      <a:noFill/>
                    </a:ln>
                  </pic:spPr>
                </pic:pic>
              </a:graphicData>
            </a:graphic>
          </wp:inline>
        </w:drawing>
      </w:r>
      <w:r>
        <w:drawing>
          <wp:inline distT="0" distB="0" distL="0" distR="0">
            <wp:extent cx="6227445" cy="8202295"/>
            <wp:effectExtent l="0" t="0" r="1905" b="8255"/>
            <wp:docPr id="1803708644" name="图片 1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803708644" name="图片 11"/>
                    <pic:cNvPicPr>
                      <a:picLocks noChangeAspect="true" noChangeArrowheads="true"/>
                    </pic:cNvPicPr>
                  </pic:nvPicPr>
                  <pic:blipFill>
                    <a:blip r:embed="rId20" cstate="print">
                      <a:extLst>
                        <a:ext uri="{28A0092B-C50C-407E-A947-70E740481C1C}">
                          <a14:useLocalDpi xmlns:a14="http://schemas.microsoft.com/office/drawing/2010/main" val="false"/>
                        </a:ext>
                      </a:extLst>
                    </a:blip>
                    <a:srcRect l="1231" t="4" r="12198" b="17301"/>
                    <a:stretch>
                      <a:fillRect/>
                    </a:stretch>
                  </pic:blipFill>
                  <pic:spPr>
                    <a:xfrm>
                      <a:off x="0" y="0"/>
                      <a:ext cx="6264183" cy="8250113"/>
                    </a:xfrm>
                    <a:prstGeom prst="rect">
                      <a:avLst/>
                    </a:prstGeom>
                    <a:noFill/>
                    <a:ln>
                      <a:noFill/>
                    </a:ln>
                  </pic:spPr>
                </pic:pic>
              </a:graphicData>
            </a:graphic>
          </wp:inline>
        </w:drawing>
      </w:r>
    </w:p>
    <w:p>
      <w:pPr>
        <w:pStyle w:val="2"/>
        <w:rPr>
          <w:rFonts w:hint="eastAsia"/>
        </w:rPr>
      </w:pPr>
    </w:p>
    <w:sectPr>
      <w:pgSz w:w="11906" w:h="16838"/>
      <w:pgMar w:top="1440" w:right="1800" w:bottom="1440" w:left="1800"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48"/>
      </w:pPr>
      <w:r>
        <w:separator/>
      </w:r>
    </w:p>
  </w:endnote>
  <w:endnote w:type="continuationSeparator" w:id="1">
    <w:p>
      <w:pPr>
        <w:spacing w:line="240" w:lineRule="auto"/>
        <w:ind w:firstLine="548"/>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Nimbus Roman No9 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panose1 w:val="02010609030101010101"/>
    <w:charset w:val="86"/>
    <w:family w:val="modern"/>
    <w:pitch w:val="default"/>
    <w:sig w:usb0="00000001" w:usb1="080E0000" w:usb2="00000000" w:usb3="00000000" w:csb0="00040000" w:csb1="00000000"/>
  </w:font>
  <w:font w:name="Cambria">
    <w:altName w:val="Noto Sans Syriac Eastern"/>
    <w:panose1 w:val="02040503050406030204"/>
    <w:charset w:val="00"/>
    <w:family w:val="roman"/>
    <w:pitch w:val="default"/>
    <w:sig w:usb0="00000000" w:usb1="00000000" w:usb2="02000000" w:usb3="00000000" w:csb0="0000019F" w:csb1="00000000"/>
  </w:font>
  <w:font w:name="Verdana">
    <w:altName w:val="DejaVu Sans"/>
    <w:panose1 w:val="020B0604030504040204"/>
    <w:charset w:val="00"/>
    <w:family w:val="swiss"/>
    <w:pitch w:val="default"/>
    <w:sig w:usb0="00000000" w:usb1="00000000" w:usb2="00000010" w:usb3="00000000" w:csb0="0000019F" w:csb1="00000000"/>
  </w:font>
  <w:font w:name="Tahoma">
    <w:altName w:val="DejaVu Sans"/>
    <w:panose1 w:val="020B0604030504040204"/>
    <w:charset w:val="00"/>
    <w:family w:val="swiss"/>
    <w:pitch w:val="default"/>
    <w:sig w:usb0="00000000" w:usb1="00000000" w:usb2="00000029" w:usb3="00000000" w:csb0="000101FF" w:csb1="00000000"/>
  </w:font>
  <w:font w:name="等线 Light">
    <w:altName w:val="汉仪中宋简"/>
    <w:panose1 w:val="02010600030101010101"/>
    <w:charset w:val="86"/>
    <w:family w:val="auto"/>
    <w:pitch w:val="default"/>
    <w:sig w:usb0="00000000" w:usb1="00000000" w:usb2="00000016" w:usb3="00000000" w:csb0="0004000F" w:csb1="00000000"/>
  </w:font>
  <w:font w:name="楷体_GB2312">
    <w:panose1 w:val="02010609030101010101"/>
    <w:charset w:val="86"/>
    <w:family w:val="modern"/>
    <w:pitch w:val="default"/>
    <w:sig w:usb0="00000001" w:usb1="080E0000" w:usb2="00000000" w:usb3="00000000" w:csb0="00040000" w:csb1="00000000"/>
  </w:font>
  <w:font w:name="等线">
    <w:altName w:val="汉仪中宋简"/>
    <w:panose1 w:val="02010600030101010101"/>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Malgun Gothic">
    <w:altName w:val="方正书宋_GBK"/>
    <w:panose1 w:val="020B0503020000020004"/>
    <w:charset w:val="81"/>
    <w:family w:val="swiss"/>
    <w:pitch w:val="default"/>
    <w:sig w:usb0="00000000" w:usb1="00000000" w:usb2="00000012" w:usb3="00000000" w:csb0="00080001" w:csb1="00000000"/>
  </w:font>
  <w:font w:name="方正书宋_GBK">
    <w:panose1 w:val="02000000000000000000"/>
    <w:charset w:val="86"/>
    <w:family w:val="auto"/>
    <w:pitch w:val="default"/>
    <w:sig w:usb0="00000001" w:usb1="08000000" w:usb2="00000000" w:usb3="00000000" w:csb0="00040000" w:csb1="00000000"/>
  </w:font>
  <w:font w:name="Nimbus Roman No9 L">
    <w:panose1 w:val="00000000000000000000"/>
    <w:charset w:val="00"/>
    <w:family w:val="auto"/>
    <w:pitch w:val="default"/>
    <w:sig w:usb0="00000000" w:usb1="00000000" w:usb2="00000000" w:usb3="00000000" w:csb0="00000000" w:csb1="00000000"/>
  </w:font>
  <w:font w:name="DejaVu Sans">
    <w:panose1 w:val="020B0603030804020204"/>
    <w:charset w:val="00"/>
    <w:family w:val="auto"/>
    <w:pitch w:val="default"/>
    <w:sig w:usb0="E7006EFF" w:usb1="D200FDFF" w:usb2="0A246029" w:usb3="0400200C" w:csb0="600001FF" w:csb1="DFFF0000"/>
  </w:font>
  <w:font w:name="等线 Light">
    <w:altName w:val="仿宋"/>
    <w:panose1 w:val="00000000000000000000"/>
    <w:charset w:val="00"/>
    <w:family w:val="auto"/>
    <w:pitch w:val="default"/>
    <w:sig w:usb0="00000000" w:usb1="00000000" w:usb2="00000000" w:usb3="00000000" w:csb0="00000000" w:csb1="00000000"/>
  </w:font>
  <w:font w:name="等线">
    <w:altName w:val="仿宋"/>
    <w:panose1 w:val="00000000000000000000"/>
    <w:charset w:val="00"/>
    <w:family w:val="auto"/>
    <w:pitch w:val="default"/>
    <w:sig w:usb0="00000000" w:usb1="00000000" w:usb2="00000000" w:usb3="00000000" w:csb0="00000000" w:csb1="00000000"/>
  </w:font>
  <w:font w:name="Noto Sans CJK JP Bold">
    <w:panose1 w:val="020B0800000000000000"/>
    <w:charset w:val="86"/>
    <w:family w:val="auto"/>
    <w:pitch w:val="default"/>
    <w:sig w:usb0="30000003" w:usb1="2BDF3C10" w:usb2="00000016" w:usb3="00000000" w:csb0="602E0107" w:csb1="00000000"/>
  </w:font>
  <w:font w:name="Noto Sans Syriac Eastern">
    <w:panose1 w:val="02040503050306020203"/>
    <w:charset w:val="86"/>
    <w:family w:val="auto"/>
    <w:pitch w:val="default"/>
    <w:sig w:usb0="00000000" w:usb1="00000000" w:usb2="00000080" w:usb3="00000000" w:csb0="203E0161" w:csb1="D7FF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framePr w:wrap="around" w:vAnchor="text" w:hAnchor="margin" w:xAlign="center" w:y="1"/>
      <w:ind w:firstLine="360"/>
      <w:rPr>
        <w:rStyle w:val="23"/>
      </w:rPr>
    </w:pPr>
    <w:r>
      <w:rPr>
        <w:rStyle w:val="23"/>
      </w:rPr>
      <w:fldChar w:fldCharType="begin"/>
    </w:r>
    <w:r>
      <w:rPr>
        <w:rStyle w:val="23"/>
      </w:rPr>
      <w:instrText xml:space="preserve">PAGE  </w:instrText>
    </w:r>
    <w:r>
      <w:rPr>
        <w:rStyle w:val="23"/>
      </w:rPr>
      <w:fldChar w:fldCharType="end"/>
    </w:r>
  </w:p>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08346476"/>
      <w:docPartObj>
        <w:docPartGallery w:val="autotext"/>
      </w:docPartObj>
    </w:sdtPr>
    <w:sdtContent>
      <w:p>
        <w:pPr>
          <w:pStyle w:val="13"/>
          <w:ind w:firstLine="360"/>
          <w:jc w:val="center"/>
        </w:pPr>
        <w:r>
          <w:fldChar w:fldCharType="begin"/>
        </w:r>
        <w:r>
          <w:instrText xml:space="preserve">PAGE   \* MERGEFORMAT</w:instrText>
        </w:r>
        <w:r>
          <w:fldChar w:fldCharType="separate"/>
        </w:r>
        <w:r>
          <w:rPr>
            <w:lang w:val="zh-CN"/>
          </w:rPr>
          <w:t>2</w:t>
        </w:r>
        <w:r>
          <w:fldChar w:fldCharType="end"/>
        </w:r>
      </w:p>
    </w:sdtContent>
  </w:sdt>
  <w:p>
    <w:pPr>
      <w:pStyle w:val="13"/>
      <w:ind w:firstLine="0" w:firstLineChars="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48"/>
      </w:pPr>
      <w:r>
        <w:separator/>
      </w:r>
    </w:p>
  </w:footnote>
  <w:footnote w:type="continuationSeparator" w:id="1">
    <w:p>
      <w:pPr>
        <w:spacing w:line="240" w:lineRule="auto"/>
        <w:ind w:firstLine="548"/>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true"/>
  <w:bordersDoNotSurroundHeader w:val="true"/>
  <w:bordersDoNotSurroundFooter w:val="true"/>
  <w:documentProtection w:enforcement="0"/>
  <w:defaultTabStop w:val="420"/>
  <w:drawingGridHorizontalSpacing w:val="150"/>
  <w:drawingGridVerticalSpacing w:val="204"/>
  <w:displayHorizontalDrawingGridEvery w:val="2"/>
  <w:displayVerticalDrawingGridEvery w:val="2"/>
  <w:noPunctuationKerning w:val="true"/>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djYjA5MmEzODgzN2NmNGMzNThlZjQ0NzQ0YWE4NjcifQ=="/>
  </w:docVars>
  <w:rsids>
    <w:rsidRoot w:val="005070FD"/>
    <w:rsid w:val="000013CD"/>
    <w:rsid w:val="000022BC"/>
    <w:rsid w:val="00002F7B"/>
    <w:rsid w:val="00005145"/>
    <w:rsid w:val="0000627E"/>
    <w:rsid w:val="00006589"/>
    <w:rsid w:val="00007DB7"/>
    <w:rsid w:val="00010B72"/>
    <w:rsid w:val="00011A69"/>
    <w:rsid w:val="000127B0"/>
    <w:rsid w:val="000138C9"/>
    <w:rsid w:val="00013A85"/>
    <w:rsid w:val="00015FE3"/>
    <w:rsid w:val="00017B0A"/>
    <w:rsid w:val="00021460"/>
    <w:rsid w:val="00023374"/>
    <w:rsid w:val="00024505"/>
    <w:rsid w:val="00024925"/>
    <w:rsid w:val="0002596F"/>
    <w:rsid w:val="00026BA7"/>
    <w:rsid w:val="0002741E"/>
    <w:rsid w:val="000278E5"/>
    <w:rsid w:val="000320DB"/>
    <w:rsid w:val="000330C0"/>
    <w:rsid w:val="0003331E"/>
    <w:rsid w:val="00034E5E"/>
    <w:rsid w:val="00034F61"/>
    <w:rsid w:val="000353AA"/>
    <w:rsid w:val="000428B6"/>
    <w:rsid w:val="00042A68"/>
    <w:rsid w:val="000455D7"/>
    <w:rsid w:val="00045A61"/>
    <w:rsid w:val="000468F3"/>
    <w:rsid w:val="00047243"/>
    <w:rsid w:val="0004741A"/>
    <w:rsid w:val="000476F1"/>
    <w:rsid w:val="00050266"/>
    <w:rsid w:val="0005093B"/>
    <w:rsid w:val="0005195E"/>
    <w:rsid w:val="00053DDC"/>
    <w:rsid w:val="00054046"/>
    <w:rsid w:val="00054D68"/>
    <w:rsid w:val="00055039"/>
    <w:rsid w:val="000555D2"/>
    <w:rsid w:val="0005585D"/>
    <w:rsid w:val="0005623D"/>
    <w:rsid w:val="000566B2"/>
    <w:rsid w:val="00056716"/>
    <w:rsid w:val="000570AA"/>
    <w:rsid w:val="000610B0"/>
    <w:rsid w:val="000615BD"/>
    <w:rsid w:val="00062AEC"/>
    <w:rsid w:val="000631F8"/>
    <w:rsid w:val="000656E2"/>
    <w:rsid w:val="00065918"/>
    <w:rsid w:val="00065F7D"/>
    <w:rsid w:val="00066E22"/>
    <w:rsid w:val="00067A35"/>
    <w:rsid w:val="00070386"/>
    <w:rsid w:val="00071350"/>
    <w:rsid w:val="00071637"/>
    <w:rsid w:val="0007185D"/>
    <w:rsid w:val="00074A6A"/>
    <w:rsid w:val="00077271"/>
    <w:rsid w:val="0008011E"/>
    <w:rsid w:val="00084E3F"/>
    <w:rsid w:val="0008515F"/>
    <w:rsid w:val="00086DBB"/>
    <w:rsid w:val="00087AAE"/>
    <w:rsid w:val="00087C1F"/>
    <w:rsid w:val="00090209"/>
    <w:rsid w:val="000941F6"/>
    <w:rsid w:val="00094D1A"/>
    <w:rsid w:val="00095E2A"/>
    <w:rsid w:val="000972BC"/>
    <w:rsid w:val="0009767D"/>
    <w:rsid w:val="000A0195"/>
    <w:rsid w:val="000A0FE6"/>
    <w:rsid w:val="000A14CC"/>
    <w:rsid w:val="000A14CE"/>
    <w:rsid w:val="000A1B70"/>
    <w:rsid w:val="000A1EA3"/>
    <w:rsid w:val="000A43B8"/>
    <w:rsid w:val="000A5EF1"/>
    <w:rsid w:val="000A6A84"/>
    <w:rsid w:val="000B01C5"/>
    <w:rsid w:val="000B0EB1"/>
    <w:rsid w:val="000B1934"/>
    <w:rsid w:val="000B1DB2"/>
    <w:rsid w:val="000B2660"/>
    <w:rsid w:val="000B402C"/>
    <w:rsid w:val="000B5242"/>
    <w:rsid w:val="000B7550"/>
    <w:rsid w:val="000C124B"/>
    <w:rsid w:val="000C13F3"/>
    <w:rsid w:val="000C40B5"/>
    <w:rsid w:val="000C51E7"/>
    <w:rsid w:val="000C53D3"/>
    <w:rsid w:val="000C5628"/>
    <w:rsid w:val="000C59F5"/>
    <w:rsid w:val="000C6277"/>
    <w:rsid w:val="000C6818"/>
    <w:rsid w:val="000D2F30"/>
    <w:rsid w:val="000D32A5"/>
    <w:rsid w:val="000D3C03"/>
    <w:rsid w:val="000D6391"/>
    <w:rsid w:val="000D64D3"/>
    <w:rsid w:val="000D6F3C"/>
    <w:rsid w:val="000D79D1"/>
    <w:rsid w:val="000E025E"/>
    <w:rsid w:val="000E0ECB"/>
    <w:rsid w:val="000E1F3D"/>
    <w:rsid w:val="000E4B2E"/>
    <w:rsid w:val="000E50BA"/>
    <w:rsid w:val="000F1DBE"/>
    <w:rsid w:val="000F22B3"/>
    <w:rsid w:val="000F3DA7"/>
    <w:rsid w:val="000F4EFC"/>
    <w:rsid w:val="000F6081"/>
    <w:rsid w:val="000F6193"/>
    <w:rsid w:val="000F6B58"/>
    <w:rsid w:val="000F7353"/>
    <w:rsid w:val="000F745C"/>
    <w:rsid w:val="00100905"/>
    <w:rsid w:val="00100D04"/>
    <w:rsid w:val="001021D2"/>
    <w:rsid w:val="00102C61"/>
    <w:rsid w:val="00103064"/>
    <w:rsid w:val="00103D78"/>
    <w:rsid w:val="001045FD"/>
    <w:rsid w:val="00104F74"/>
    <w:rsid w:val="00105D45"/>
    <w:rsid w:val="00106C34"/>
    <w:rsid w:val="00106F7C"/>
    <w:rsid w:val="00107D92"/>
    <w:rsid w:val="0011017C"/>
    <w:rsid w:val="00110BBD"/>
    <w:rsid w:val="00110BBE"/>
    <w:rsid w:val="001118D8"/>
    <w:rsid w:val="0011247F"/>
    <w:rsid w:val="001126F1"/>
    <w:rsid w:val="0012055D"/>
    <w:rsid w:val="00121229"/>
    <w:rsid w:val="00121878"/>
    <w:rsid w:val="00123BEC"/>
    <w:rsid w:val="00123E8F"/>
    <w:rsid w:val="00124E0E"/>
    <w:rsid w:val="0012757D"/>
    <w:rsid w:val="00127863"/>
    <w:rsid w:val="00127985"/>
    <w:rsid w:val="00130852"/>
    <w:rsid w:val="00132D94"/>
    <w:rsid w:val="001349C5"/>
    <w:rsid w:val="00136ED2"/>
    <w:rsid w:val="00137B66"/>
    <w:rsid w:val="00140600"/>
    <w:rsid w:val="001428AB"/>
    <w:rsid w:val="00143BC7"/>
    <w:rsid w:val="0014500F"/>
    <w:rsid w:val="00145A25"/>
    <w:rsid w:val="0014731D"/>
    <w:rsid w:val="001509AE"/>
    <w:rsid w:val="00153D05"/>
    <w:rsid w:val="0015432B"/>
    <w:rsid w:val="00154772"/>
    <w:rsid w:val="00155028"/>
    <w:rsid w:val="00160330"/>
    <w:rsid w:val="00162B96"/>
    <w:rsid w:val="00164832"/>
    <w:rsid w:val="00165C6E"/>
    <w:rsid w:val="001661FE"/>
    <w:rsid w:val="001678D4"/>
    <w:rsid w:val="00167B51"/>
    <w:rsid w:val="00171620"/>
    <w:rsid w:val="00172DDC"/>
    <w:rsid w:val="00172F69"/>
    <w:rsid w:val="00175F92"/>
    <w:rsid w:val="00176801"/>
    <w:rsid w:val="00177A50"/>
    <w:rsid w:val="00180A28"/>
    <w:rsid w:val="00180F80"/>
    <w:rsid w:val="00183C20"/>
    <w:rsid w:val="00184607"/>
    <w:rsid w:val="00184882"/>
    <w:rsid w:val="00184B70"/>
    <w:rsid w:val="00185186"/>
    <w:rsid w:val="00185427"/>
    <w:rsid w:val="00185C81"/>
    <w:rsid w:val="001867A7"/>
    <w:rsid w:val="0018735B"/>
    <w:rsid w:val="0019044C"/>
    <w:rsid w:val="00191107"/>
    <w:rsid w:val="001921C0"/>
    <w:rsid w:val="0019400B"/>
    <w:rsid w:val="00194ABD"/>
    <w:rsid w:val="00195EC6"/>
    <w:rsid w:val="001962BE"/>
    <w:rsid w:val="00196699"/>
    <w:rsid w:val="001968C0"/>
    <w:rsid w:val="00197641"/>
    <w:rsid w:val="001A011A"/>
    <w:rsid w:val="001A303A"/>
    <w:rsid w:val="001A59F6"/>
    <w:rsid w:val="001A649B"/>
    <w:rsid w:val="001B0710"/>
    <w:rsid w:val="001B0EE7"/>
    <w:rsid w:val="001B36AE"/>
    <w:rsid w:val="001B3C6D"/>
    <w:rsid w:val="001B5354"/>
    <w:rsid w:val="001B63DC"/>
    <w:rsid w:val="001B6911"/>
    <w:rsid w:val="001B7F81"/>
    <w:rsid w:val="001C093E"/>
    <w:rsid w:val="001C13C0"/>
    <w:rsid w:val="001C31B9"/>
    <w:rsid w:val="001C3580"/>
    <w:rsid w:val="001C3920"/>
    <w:rsid w:val="001C4CFB"/>
    <w:rsid w:val="001C58A9"/>
    <w:rsid w:val="001C5DEA"/>
    <w:rsid w:val="001C6DDF"/>
    <w:rsid w:val="001D07C8"/>
    <w:rsid w:val="001D1B31"/>
    <w:rsid w:val="001D1C21"/>
    <w:rsid w:val="001D203B"/>
    <w:rsid w:val="001D31CB"/>
    <w:rsid w:val="001D35B4"/>
    <w:rsid w:val="001D6532"/>
    <w:rsid w:val="001D68DB"/>
    <w:rsid w:val="001D6F43"/>
    <w:rsid w:val="001D79FA"/>
    <w:rsid w:val="001D7ACB"/>
    <w:rsid w:val="001D7CD0"/>
    <w:rsid w:val="001E0242"/>
    <w:rsid w:val="001E47E8"/>
    <w:rsid w:val="001E4E29"/>
    <w:rsid w:val="001E4F25"/>
    <w:rsid w:val="001E7BDF"/>
    <w:rsid w:val="001F2243"/>
    <w:rsid w:val="001F22F5"/>
    <w:rsid w:val="001F3E78"/>
    <w:rsid w:val="001F55B4"/>
    <w:rsid w:val="001F7D6A"/>
    <w:rsid w:val="002007D4"/>
    <w:rsid w:val="00201326"/>
    <w:rsid w:val="00203B3B"/>
    <w:rsid w:val="002043F2"/>
    <w:rsid w:val="00204476"/>
    <w:rsid w:val="0020478B"/>
    <w:rsid w:val="002048AF"/>
    <w:rsid w:val="00205F61"/>
    <w:rsid w:val="002063E9"/>
    <w:rsid w:val="00207688"/>
    <w:rsid w:val="00207A5D"/>
    <w:rsid w:val="00210FCF"/>
    <w:rsid w:val="00211180"/>
    <w:rsid w:val="00211250"/>
    <w:rsid w:val="00213E21"/>
    <w:rsid w:val="00214790"/>
    <w:rsid w:val="002159D6"/>
    <w:rsid w:val="00220697"/>
    <w:rsid w:val="00224035"/>
    <w:rsid w:val="00224290"/>
    <w:rsid w:val="00224411"/>
    <w:rsid w:val="00224554"/>
    <w:rsid w:val="00224CCC"/>
    <w:rsid w:val="00225784"/>
    <w:rsid w:val="00225F0F"/>
    <w:rsid w:val="00231689"/>
    <w:rsid w:val="00233FF1"/>
    <w:rsid w:val="002349E0"/>
    <w:rsid w:val="002359C6"/>
    <w:rsid w:val="00235C54"/>
    <w:rsid w:val="00236446"/>
    <w:rsid w:val="00236C2B"/>
    <w:rsid w:val="00236E1D"/>
    <w:rsid w:val="00237D14"/>
    <w:rsid w:val="00237F81"/>
    <w:rsid w:val="00240757"/>
    <w:rsid w:val="00241449"/>
    <w:rsid w:val="002416BB"/>
    <w:rsid w:val="00241AF5"/>
    <w:rsid w:val="00242A01"/>
    <w:rsid w:val="0024484D"/>
    <w:rsid w:val="00245793"/>
    <w:rsid w:val="00251577"/>
    <w:rsid w:val="00252170"/>
    <w:rsid w:val="00253883"/>
    <w:rsid w:val="00253BF9"/>
    <w:rsid w:val="00254C8B"/>
    <w:rsid w:val="00254FD7"/>
    <w:rsid w:val="00257187"/>
    <w:rsid w:val="00257305"/>
    <w:rsid w:val="00260A36"/>
    <w:rsid w:val="002611DA"/>
    <w:rsid w:val="00261A41"/>
    <w:rsid w:val="002639AB"/>
    <w:rsid w:val="00263CF8"/>
    <w:rsid w:val="002650DC"/>
    <w:rsid w:val="0027131D"/>
    <w:rsid w:val="00271C55"/>
    <w:rsid w:val="00271DB3"/>
    <w:rsid w:val="00272046"/>
    <w:rsid w:val="00273B38"/>
    <w:rsid w:val="00273EA4"/>
    <w:rsid w:val="00273F22"/>
    <w:rsid w:val="002748B9"/>
    <w:rsid w:val="0027495D"/>
    <w:rsid w:val="002775DC"/>
    <w:rsid w:val="0028541D"/>
    <w:rsid w:val="0028657B"/>
    <w:rsid w:val="00291168"/>
    <w:rsid w:val="00292C83"/>
    <w:rsid w:val="00292ED2"/>
    <w:rsid w:val="002935E7"/>
    <w:rsid w:val="00293F2D"/>
    <w:rsid w:val="002946CF"/>
    <w:rsid w:val="002A1CB9"/>
    <w:rsid w:val="002A24AF"/>
    <w:rsid w:val="002A2A4E"/>
    <w:rsid w:val="002A2B5D"/>
    <w:rsid w:val="002A3FE7"/>
    <w:rsid w:val="002A5240"/>
    <w:rsid w:val="002A537F"/>
    <w:rsid w:val="002A5EE9"/>
    <w:rsid w:val="002A62FF"/>
    <w:rsid w:val="002A6912"/>
    <w:rsid w:val="002A69B0"/>
    <w:rsid w:val="002B12EB"/>
    <w:rsid w:val="002B3234"/>
    <w:rsid w:val="002B3F59"/>
    <w:rsid w:val="002B7C7D"/>
    <w:rsid w:val="002C237A"/>
    <w:rsid w:val="002C4C03"/>
    <w:rsid w:val="002C513B"/>
    <w:rsid w:val="002C5673"/>
    <w:rsid w:val="002C656A"/>
    <w:rsid w:val="002D18C1"/>
    <w:rsid w:val="002D2092"/>
    <w:rsid w:val="002D30F7"/>
    <w:rsid w:val="002D3C55"/>
    <w:rsid w:val="002D3DC8"/>
    <w:rsid w:val="002D49CE"/>
    <w:rsid w:val="002D4D1B"/>
    <w:rsid w:val="002D52DD"/>
    <w:rsid w:val="002D54B9"/>
    <w:rsid w:val="002D6034"/>
    <w:rsid w:val="002E0F65"/>
    <w:rsid w:val="002E2170"/>
    <w:rsid w:val="002E384A"/>
    <w:rsid w:val="002E42A2"/>
    <w:rsid w:val="002E46D8"/>
    <w:rsid w:val="002E66FD"/>
    <w:rsid w:val="002E7D3F"/>
    <w:rsid w:val="002F0A32"/>
    <w:rsid w:val="002F138D"/>
    <w:rsid w:val="002F1FF2"/>
    <w:rsid w:val="002F550F"/>
    <w:rsid w:val="002F5567"/>
    <w:rsid w:val="002F5D18"/>
    <w:rsid w:val="002F66C1"/>
    <w:rsid w:val="00300B1C"/>
    <w:rsid w:val="003017D2"/>
    <w:rsid w:val="00301ADC"/>
    <w:rsid w:val="00301E79"/>
    <w:rsid w:val="00302A07"/>
    <w:rsid w:val="00303F1B"/>
    <w:rsid w:val="0030445D"/>
    <w:rsid w:val="0031094C"/>
    <w:rsid w:val="003109E7"/>
    <w:rsid w:val="003115D5"/>
    <w:rsid w:val="00314B98"/>
    <w:rsid w:val="003160E9"/>
    <w:rsid w:val="00320937"/>
    <w:rsid w:val="00320BCD"/>
    <w:rsid w:val="0032169A"/>
    <w:rsid w:val="00322E68"/>
    <w:rsid w:val="00323F8B"/>
    <w:rsid w:val="00324188"/>
    <w:rsid w:val="00324547"/>
    <w:rsid w:val="003300E0"/>
    <w:rsid w:val="003305DF"/>
    <w:rsid w:val="0033138F"/>
    <w:rsid w:val="00331D00"/>
    <w:rsid w:val="00331FA7"/>
    <w:rsid w:val="0033200D"/>
    <w:rsid w:val="003345EF"/>
    <w:rsid w:val="003361A7"/>
    <w:rsid w:val="00340132"/>
    <w:rsid w:val="00340F34"/>
    <w:rsid w:val="003419C1"/>
    <w:rsid w:val="00342623"/>
    <w:rsid w:val="00342C7F"/>
    <w:rsid w:val="0034301F"/>
    <w:rsid w:val="00343469"/>
    <w:rsid w:val="00343A5B"/>
    <w:rsid w:val="00345F59"/>
    <w:rsid w:val="0034618C"/>
    <w:rsid w:val="003464D3"/>
    <w:rsid w:val="00346B7D"/>
    <w:rsid w:val="0035025E"/>
    <w:rsid w:val="003502D0"/>
    <w:rsid w:val="0035144C"/>
    <w:rsid w:val="003515E4"/>
    <w:rsid w:val="00352A9B"/>
    <w:rsid w:val="00353280"/>
    <w:rsid w:val="00353385"/>
    <w:rsid w:val="003550FA"/>
    <w:rsid w:val="0035636D"/>
    <w:rsid w:val="003568F5"/>
    <w:rsid w:val="00356B0E"/>
    <w:rsid w:val="00357CA9"/>
    <w:rsid w:val="0036035E"/>
    <w:rsid w:val="003605FC"/>
    <w:rsid w:val="00360A83"/>
    <w:rsid w:val="00361BC7"/>
    <w:rsid w:val="003630E7"/>
    <w:rsid w:val="00363DA0"/>
    <w:rsid w:val="00366294"/>
    <w:rsid w:val="003664CC"/>
    <w:rsid w:val="00366DED"/>
    <w:rsid w:val="00366F52"/>
    <w:rsid w:val="00370B7B"/>
    <w:rsid w:val="0037238B"/>
    <w:rsid w:val="003726A2"/>
    <w:rsid w:val="003732DD"/>
    <w:rsid w:val="003732FC"/>
    <w:rsid w:val="00375524"/>
    <w:rsid w:val="00376EE8"/>
    <w:rsid w:val="00377D42"/>
    <w:rsid w:val="00383D3A"/>
    <w:rsid w:val="003863C6"/>
    <w:rsid w:val="00387980"/>
    <w:rsid w:val="00391740"/>
    <w:rsid w:val="003923C8"/>
    <w:rsid w:val="003970DD"/>
    <w:rsid w:val="003A0C07"/>
    <w:rsid w:val="003A0F30"/>
    <w:rsid w:val="003A28B0"/>
    <w:rsid w:val="003A3718"/>
    <w:rsid w:val="003A435D"/>
    <w:rsid w:val="003A6BB4"/>
    <w:rsid w:val="003A73D5"/>
    <w:rsid w:val="003A7872"/>
    <w:rsid w:val="003B051A"/>
    <w:rsid w:val="003B49C3"/>
    <w:rsid w:val="003B57EC"/>
    <w:rsid w:val="003B5F94"/>
    <w:rsid w:val="003B7D66"/>
    <w:rsid w:val="003C221C"/>
    <w:rsid w:val="003C3F23"/>
    <w:rsid w:val="003C4EE4"/>
    <w:rsid w:val="003C571C"/>
    <w:rsid w:val="003C6381"/>
    <w:rsid w:val="003C7472"/>
    <w:rsid w:val="003C78C8"/>
    <w:rsid w:val="003D0616"/>
    <w:rsid w:val="003D0AC8"/>
    <w:rsid w:val="003D1227"/>
    <w:rsid w:val="003D1D82"/>
    <w:rsid w:val="003D3AD4"/>
    <w:rsid w:val="003D49A7"/>
    <w:rsid w:val="003D5618"/>
    <w:rsid w:val="003E0997"/>
    <w:rsid w:val="003E1205"/>
    <w:rsid w:val="003E19C7"/>
    <w:rsid w:val="003E2540"/>
    <w:rsid w:val="003E2DFF"/>
    <w:rsid w:val="003E3715"/>
    <w:rsid w:val="003E62D3"/>
    <w:rsid w:val="003F4CE3"/>
    <w:rsid w:val="003F7958"/>
    <w:rsid w:val="004001A2"/>
    <w:rsid w:val="00401EEF"/>
    <w:rsid w:val="004029F4"/>
    <w:rsid w:val="00404876"/>
    <w:rsid w:val="00405955"/>
    <w:rsid w:val="00406216"/>
    <w:rsid w:val="00410414"/>
    <w:rsid w:val="004124C5"/>
    <w:rsid w:val="0041357F"/>
    <w:rsid w:val="00413D34"/>
    <w:rsid w:val="0041458A"/>
    <w:rsid w:val="0041529E"/>
    <w:rsid w:val="00415E0B"/>
    <w:rsid w:val="00417989"/>
    <w:rsid w:val="00417D74"/>
    <w:rsid w:val="00420A99"/>
    <w:rsid w:val="00421DEB"/>
    <w:rsid w:val="004248B7"/>
    <w:rsid w:val="004258A6"/>
    <w:rsid w:val="00426CD2"/>
    <w:rsid w:val="0043021A"/>
    <w:rsid w:val="0043415E"/>
    <w:rsid w:val="0043668D"/>
    <w:rsid w:val="00436E01"/>
    <w:rsid w:val="00437211"/>
    <w:rsid w:val="00442034"/>
    <w:rsid w:val="004429D4"/>
    <w:rsid w:val="00442B84"/>
    <w:rsid w:val="00443E7D"/>
    <w:rsid w:val="004445BF"/>
    <w:rsid w:val="004453CC"/>
    <w:rsid w:val="0044551A"/>
    <w:rsid w:val="004464A2"/>
    <w:rsid w:val="004475E5"/>
    <w:rsid w:val="00450B7D"/>
    <w:rsid w:val="00451EB2"/>
    <w:rsid w:val="004548D6"/>
    <w:rsid w:val="00456114"/>
    <w:rsid w:val="004609FB"/>
    <w:rsid w:val="004612D4"/>
    <w:rsid w:val="004625F8"/>
    <w:rsid w:val="0046367B"/>
    <w:rsid w:val="00463A7D"/>
    <w:rsid w:val="00463C0D"/>
    <w:rsid w:val="00463C33"/>
    <w:rsid w:val="00463E3A"/>
    <w:rsid w:val="00463F5D"/>
    <w:rsid w:val="00464F05"/>
    <w:rsid w:val="0046691D"/>
    <w:rsid w:val="00466B79"/>
    <w:rsid w:val="004706D3"/>
    <w:rsid w:val="004710A7"/>
    <w:rsid w:val="004723B6"/>
    <w:rsid w:val="00473BE4"/>
    <w:rsid w:val="00474C2D"/>
    <w:rsid w:val="004751E1"/>
    <w:rsid w:val="00480A7D"/>
    <w:rsid w:val="0048130A"/>
    <w:rsid w:val="00482261"/>
    <w:rsid w:val="0048341B"/>
    <w:rsid w:val="00483BA7"/>
    <w:rsid w:val="00484D70"/>
    <w:rsid w:val="00484FAE"/>
    <w:rsid w:val="004853F8"/>
    <w:rsid w:val="00485585"/>
    <w:rsid w:val="004867CC"/>
    <w:rsid w:val="0048721C"/>
    <w:rsid w:val="00487D3C"/>
    <w:rsid w:val="00487E34"/>
    <w:rsid w:val="00491560"/>
    <w:rsid w:val="00493EF2"/>
    <w:rsid w:val="00495BAC"/>
    <w:rsid w:val="00495D0A"/>
    <w:rsid w:val="00496C44"/>
    <w:rsid w:val="00496F15"/>
    <w:rsid w:val="004973E9"/>
    <w:rsid w:val="004A047A"/>
    <w:rsid w:val="004A0C09"/>
    <w:rsid w:val="004A209F"/>
    <w:rsid w:val="004A30A2"/>
    <w:rsid w:val="004A4D12"/>
    <w:rsid w:val="004A5EDB"/>
    <w:rsid w:val="004A68A2"/>
    <w:rsid w:val="004A783D"/>
    <w:rsid w:val="004B0309"/>
    <w:rsid w:val="004B23FE"/>
    <w:rsid w:val="004B4FB6"/>
    <w:rsid w:val="004B51AB"/>
    <w:rsid w:val="004B62E9"/>
    <w:rsid w:val="004B671D"/>
    <w:rsid w:val="004C2230"/>
    <w:rsid w:val="004C37C3"/>
    <w:rsid w:val="004C382B"/>
    <w:rsid w:val="004C3932"/>
    <w:rsid w:val="004C4D4D"/>
    <w:rsid w:val="004C6F12"/>
    <w:rsid w:val="004D0B0C"/>
    <w:rsid w:val="004D1906"/>
    <w:rsid w:val="004D274B"/>
    <w:rsid w:val="004D3C80"/>
    <w:rsid w:val="004D3F95"/>
    <w:rsid w:val="004E08C2"/>
    <w:rsid w:val="004E16B2"/>
    <w:rsid w:val="004E170A"/>
    <w:rsid w:val="004E19F3"/>
    <w:rsid w:val="004E281A"/>
    <w:rsid w:val="004E405A"/>
    <w:rsid w:val="004E4186"/>
    <w:rsid w:val="004E46EB"/>
    <w:rsid w:val="004E5A56"/>
    <w:rsid w:val="004E5FEB"/>
    <w:rsid w:val="004E626A"/>
    <w:rsid w:val="004E729A"/>
    <w:rsid w:val="004F1A62"/>
    <w:rsid w:val="004F1AB7"/>
    <w:rsid w:val="004F1E42"/>
    <w:rsid w:val="004F3B90"/>
    <w:rsid w:val="004F3CA5"/>
    <w:rsid w:val="004F4C7D"/>
    <w:rsid w:val="004F4D74"/>
    <w:rsid w:val="004F6F1B"/>
    <w:rsid w:val="00503A2A"/>
    <w:rsid w:val="00504871"/>
    <w:rsid w:val="00504AD9"/>
    <w:rsid w:val="00505A36"/>
    <w:rsid w:val="0050650E"/>
    <w:rsid w:val="00506D2D"/>
    <w:rsid w:val="00506ED1"/>
    <w:rsid w:val="005070FD"/>
    <w:rsid w:val="00510878"/>
    <w:rsid w:val="00511B81"/>
    <w:rsid w:val="00511D01"/>
    <w:rsid w:val="0051395F"/>
    <w:rsid w:val="00513EAC"/>
    <w:rsid w:val="00516A36"/>
    <w:rsid w:val="00520077"/>
    <w:rsid w:val="00521C35"/>
    <w:rsid w:val="00527486"/>
    <w:rsid w:val="00530AA2"/>
    <w:rsid w:val="005312C4"/>
    <w:rsid w:val="005314E5"/>
    <w:rsid w:val="00531B29"/>
    <w:rsid w:val="00533DC2"/>
    <w:rsid w:val="00534022"/>
    <w:rsid w:val="0053490B"/>
    <w:rsid w:val="00534AD7"/>
    <w:rsid w:val="00534EA6"/>
    <w:rsid w:val="005368DE"/>
    <w:rsid w:val="00540F15"/>
    <w:rsid w:val="005413CA"/>
    <w:rsid w:val="005415DB"/>
    <w:rsid w:val="00541BAA"/>
    <w:rsid w:val="00542249"/>
    <w:rsid w:val="0054360D"/>
    <w:rsid w:val="0054364E"/>
    <w:rsid w:val="005445E3"/>
    <w:rsid w:val="00546521"/>
    <w:rsid w:val="00547A55"/>
    <w:rsid w:val="00550F34"/>
    <w:rsid w:val="0055241D"/>
    <w:rsid w:val="00552C6E"/>
    <w:rsid w:val="0055361F"/>
    <w:rsid w:val="005537AA"/>
    <w:rsid w:val="005547CD"/>
    <w:rsid w:val="00555857"/>
    <w:rsid w:val="00555E10"/>
    <w:rsid w:val="00556629"/>
    <w:rsid w:val="005567F0"/>
    <w:rsid w:val="0055702C"/>
    <w:rsid w:val="00561938"/>
    <w:rsid w:val="005628A1"/>
    <w:rsid w:val="00563519"/>
    <w:rsid w:val="0056714A"/>
    <w:rsid w:val="005674E3"/>
    <w:rsid w:val="00570F0B"/>
    <w:rsid w:val="00573319"/>
    <w:rsid w:val="00574E02"/>
    <w:rsid w:val="0057513B"/>
    <w:rsid w:val="00575CB8"/>
    <w:rsid w:val="00576EE6"/>
    <w:rsid w:val="0057747C"/>
    <w:rsid w:val="0058024D"/>
    <w:rsid w:val="00580EE5"/>
    <w:rsid w:val="005817CC"/>
    <w:rsid w:val="00583035"/>
    <w:rsid w:val="00584EF4"/>
    <w:rsid w:val="0058764E"/>
    <w:rsid w:val="00591230"/>
    <w:rsid w:val="00591D67"/>
    <w:rsid w:val="00594133"/>
    <w:rsid w:val="00595CBF"/>
    <w:rsid w:val="00596CF3"/>
    <w:rsid w:val="005A030B"/>
    <w:rsid w:val="005A04DC"/>
    <w:rsid w:val="005A4822"/>
    <w:rsid w:val="005A569F"/>
    <w:rsid w:val="005B0412"/>
    <w:rsid w:val="005B14C9"/>
    <w:rsid w:val="005B4E81"/>
    <w:rsid w:val="005B4E9E"/>
    <w:rsid w:val="005B5ACD"/>
    <w:rsid w:val="005B5D1A"/>
    <w:rsid w:val="005B78D0"/>
    <w:rsid w:val="005B7FDF"/>
    <w:rsid w:val="005C0F5F"/>
    <w:rsid w:val="005C1C1F"/>
    <w:rsid w:val="005C3387"/>
    <w:rsid w:val="005C3C05"/>
    <w:rsid w:val="005C528A"/>
    <w:rsid w:val="005C52B2"/>
    <w:rsid w:val="005C5C3E"/>
    <w:rsid w:val="005C734A"/>
    <w:rsid w:val="005C7901"/>
    <w:rsid w:val="005C79FB"/>
    <w:rsid w:val="005C7C67"/>
    <w:rsid w:val="005D067F"/>
    <w:rsid w:val="005D0DD8"/>
    <w:rsid w:val="005D1603"/>
    <w:rsid w:val="005D2C61"/>
    <w:rsid w:val="005D437E"/>
    <w:rsid w:val="005D4E0E"/>
    <w:rsid w:val="005D5941"/>
    <w:rsid w:val="005D6640"/>
    <w:rsid w:val="005E3214"/>
    <w:rsid w:val="005E41EE"/>
    <w:rsid w:val="005E4323"/>
    <w:rsid w:val="005E497A"/>
    <w:rsid w:val="005E5D18"/>
    <w:rsid w:val="005F01C6"/>
    <w:rsid w:val="005F0CD2"/>
    <w:rsid w:val="005F1E88"/>
    <w:rsid w:val="005F2BAE"/>
    <w:rsid w:val="005F357D"/>
    <w:rsid w:val="005F36BE"/>
    <w:rsid w:val="005F3951"/>
    <w:rsid w:val="005F397F"/>
    <w:rsid w:val="005F3D16"/>
    <w:rsid w:val="005F4529"/>
    <w:rsid w:val="005F5460"/>
    <w:rsid w:val="005F70D7"/>
    <w:rsid w:val="006025BD"/>
    <w:rsid w:val="0060370A"/>
    <w:rsid w:val="00605036"/>
    <w:rsid w:val="0060533B"/>
    <w:rsid w:val="006061F9"/>
    <w:rsid w:val="00607844"/>
    <w:rsid w:val="00610377"/>
    <w:rsid w:val="00610DEE"/>
    <w:rsid w:val="006127B9"/>
    <w:rsid w:val="00613116"/>
    <w:rsid w:val="0061334E"/>
    <w:rsid w:val="006133F3"/>
    <w:rsid w:val="00613DA5"/>
    <w:rsid w:val="0061513C"/>
    <w:rsid w:val="00616378"/>
    <w:rsid w:val="006202CA"/>
    <w:rsid w:val="00621583"/>
    <w:rsid w:val="006227DF"/>
    <w:rsid w:val="00622A7B"/>
    <w:rsid w:val="00622C26"/>
    <w:rsid w:val="00622D58"/>
    <w:rsid w:val="00624604"/>
    <w:rsid w:val="00625DFF"/>
    <w:rsid w:val="00626E9B"/>
    <w:rsid w:val="006271F9"/>
    <w:rsid w:val="00627A4F"/>
    <w:rsid w:val="00627B89"/>
    <w:rsid w:val="00630FD3"/>
    <w:rsid w:val="00631850"/>
    <w:rsid w:val="006335CE"/>
    <w:rsid w:val="00633ECB"/>
    <w:rsid w:val="006349BA"/>
    <w:rsid w:val="0063605E"/>
    <w:rsid w:val="006361C6"/>
    <w:rsid w:val="0064017E"/>
    <w:rsid w:val="00640C53"/>
    <w:rsid w:val="00641496"/>
    <w:rsid w:val="00641C8D"/>
    <w:rsid w:val="00642600"/>
    <w:rsid w:val="0064380A"/>
    <w:rsid w:val="006441B6"/>
    <w:rsid w:val="006462ED"/>
    <w:rsid w:val="00646B4D"/>
    <w:rsid w:val="00647D2E"/>
    <w:rsid w:val="0065101F"/>
    <w:rsid w:val="00651F12"/>
    <w:rsid w:val="00653459"/>
    <w:rsid w:val="006542DE"/>
    <w:rsid w:val="00655F69"/>
    <w:rsid w:val="006565CB"/>
    <w:rsid w:val="006567DF"/>
    <w:rsid w:val="00656961"/>
    <w:rsid w:val="006577B7"/>
    <w:rsid w:val="0066096D"/>
    <w:rsid w:val="00660E0D"/>
    <w:rsid w:val="00660FEC"/>
    <w:rsid w:val="00660FFF"/>
    <w:rsid w:val="006614DC"/>
    <w:rsid w:val="0066387E"/>
    <w:rsid w:val="00663F45"/>
    <w:rsid w:val="00664A8C"/>
    <w:rsid w:val="00665D10"/>
    <w:rsid w:val="006663BB"/>
    <w:rsid w:val="006672FE"/>
    <w:rsid w:val="0067048D"/>
    <w:rsid w:val="006704FE"/>
    <w:rsid w:val="00670968"/>
    <w:rsid w:val="00670B96"/>
    <w:rsid w:val="00671AD5"/>
    <w:rsid w:val="006720F3"/>
    <w:rsid w:val="0067237B"/>
    <w:rsid w:val="00672C40"/>
    <w:rsid w:val="00672C84"/>
    <w:rsid w:val="006735F2"/>
    <w:rsid w:val="00673D6A"/>
    <w:rsid w:val="006743A9"/>
    <w:rsid w:val="006767AA"/>
    <w:rsid w:val="00677DC9"/>
    <w:rsid w:val="006808E1"/>
    <w:rsid w:val="00680C8F"/>
    <w:rsid w:val="00680EFA"/>
    <w:rsid w:val="006829CA"/>
    <w:rsid w:val="00682F8D"/>
    <w:rsid w:val="00683446"/>
    <w:rsid w:val="00685038"/>
    <w:rsid w:val="0068555C"/>
    <w:rsid w:val="006857B6"/>
    <w:rsid w:val="00685A1C"/>
    <w:rsid w:val="00685A50"/>
    <w:rsid w:val="00685B12"/>
    <w:rsid w:val="00686B67"/>
    <w:rsid w:val="00690DA1"/>
    <w:rsid w:val="00691A4E"/>
    <w:rsid w:val="00692F3D"/>
    <w:rsid w:val="0069323E"/>
    <w:rsid w:val="006942EE"/>
    <w:rsid w:val="00695072"/>
    <w:rsid w:val="00695E20"/>
    <w:rsid w:val="006960F9"/>
    <w:rsid w:val="0069734A"/>
    <w:rsid w:val="006A19E0"/>
    <w:rsid w:val="006A292E"/>
    <w:rsid w:val="006A32CC"/>
    <w:rsid w:val="006A4021"/>
    <w:rsid w:val="006A4227"/>
    <w:rsid w:val="006A4C55"/>
    <w:rsid w:val="006A5A2D"/>
    <w:rsid w:val="006A5F79"/>
    <w:rsid w:val="006A7CD8"/>
    <w:rsid w:val="006B040D"/>
    <w:rsid w:val="006B1322"/>
    <w:rsid w:val="006B1940"/>
    <w:rsid w:val="006B2BA5"/>
    <w:rsid w:val="006B3A6B"/>
    <w:rsid w:val="006B5479"/>
    <w:rsid w:val="006B5D87"/>
    <w:rsid w:val="006B653A"/>
    <w:rsid w:val="006B6E92"/>
    <w:rsid w:val="006B7D03"/>
    <w:rsid w:val="006C0AB7"/>
    <w:rsid w:val="006C0EC2"/>
    <w:rsid w:val="006C13F9"/>
    <w:rsid w:val="006C2161"/>
    <w:rsid w:val="006C2A71"/>
    <w:rsid w:val="006C3622"/>
    <w:rsid w:val="006C52F2"/>
    <w:rsid w:val="006C5E59"/>
    <w:rsid w:val="006C7011"/>
    <w:rsid w:val="006C7AA1"/>
    <w:rsid w:val="006C7C57"/>
    <w:rsid w:val="006D0AA2"/>
    <w:rsid w:val="006D0B0B"/>
    <w:rsid w:val="006D0D9C"/>
    <w:rsid w:val="006D28D0"/>
    <w:rsid w:val="006D28E3"/>
    <w:rsid w:val="006D3CDC"/>
    <w:rsid w:val="006D4591"/>
    <w:rsid w:val="006D59CC"/>
    <w:rsid w:val="006D66CB"/>
    <w:rsid w:val="006D6953"/>
    <w:rsid w:val="006D6E21"/>
    <w:rsid w:val="006D714D"/>
    <w:rsid w:val="006D7457"/>
    <w:rsid w:val="006E053D"/>
    <w:rsid w:val="006E61DD"/>
    <w:rsid w:val="006E6896"/>
    <w:rsid w:val="006E6BE1"/>
    <w:rsid w:val="006E6C5D"/>
    <w:rsid w:val="006F3B6A"/>
    <w:rsid w:val="006F418E"/>
    <w:rsid w:val="006F62F5"/>
    <w:rsid w:val="006F6AA6"/>
    <w:rsid w:val="006F6D4E"/>
    <w:rsid w:val="00702163"/>
    <w:rsid w:val="00702582"/>
    <w:rsid w:val="00703D25"/>
    <w:rsid w:val="00705C66"/>
    <w:rsid w:val="00711EE7"/>
    <w:rsid w:val="0071400D"/>
    <w:rsid w:val="007208D2"/>
    <w:rsid w:val="00720B06"/>
    <w:rsid w:val="007227BF"/>
    <w:rsid w:val="00722CFC"/>
    <w:rsid w:val="00724DA8"/>
    <w:rsid w:val="00724DDD"/>
    <w:rsid w:val="00725734"/>
    <w:rsid w:val="00725B69"/>
    <w:rsid w:val="00726B09"/>
    <w:rsid w:val="00727326"/>
    <w:rsid w:val="00727EA0"/>
    <w:rsid w:val="00731104"/>
    <w:rsid w:val="007331EC"/>
    <w:rsid w:val="00734089"/>
    <w:rsid w:val="00735767"/>
    <w:rsid w:val="00740964"/>
    <w:rsid w:val="00740D27"/>
    <w:rsid w:val="00741167"/>
    <w:rsid w:val="00742291"/>
    <w:rsid w:val="00742F2F"/>
    <w:rsid w:val="00742F48"/>
    <w:rsid w:val="00745A1B"/>
    <w:rsid w:val="00746549"/>
    <w:rsid w:val="00746E52"/>
    <w:rsid w:val="007506DF"/>
    <w:rsid w:val="0075109A"/>
    <w:rsid w:val="00751413"/>
    <w:rsid w:val="00751453"/>
    <w:rsid w:val="00751860"/>
    <w:rsid w:val="00751B67"/>
    <w:rsid w:val="007521A0"/>
    <w:rsid w:val="007529B5"/>
    <w:rsid w:val="00753F64"/>
    <w:rsid w:val="007540F3"/>
    <w:rsid w:val="00756B91"/>
    <w:rsid w:val="00757894"/>
    <w:rsid w:val="00760BB7"/>
    <w:rsid w:val="007619BF"/>
    <w:rsid w:val="00761EC5"/>
    <w:rsid w:val="007630A2"/>
    <w:rsid w:val="00764549"/>
    <w:rsid w:val="007652CA"/>
    <w:rsid w:val="0076530B"/>
    <w:rsid w:val="007655BE"/>
    <w:rsid w:val="007718C3"/>
    <w:rsid w:val="00773E4B"/>
    <w:rsid w:val="007743D1"/>
    <w:rsid w:val="00775402"/>
    <w:rsid w:val="0077577A"/>
    <w:rsid w:val="00775ADE"/>
    <w:rsid w:val="00775D91"/>
    <w:rsid w:val="007761F8"/>
    <w:rsid w:val="00780208"/>
    <w:rsid w:val="007818D2"/>
    <w:rsid w:val="007822CE"/>
    <w:rsid w:val="00783F92"/>
    <w:rsid w:val="00784675"/>
    <w:rsid w:val="00784B8C"/>
    <w:rsid w:val="00785E11"/>
    <w:rsid w:val="00785E1E"/>
    <w:rsid w:val="007862FD"/>
    <w:rsid w:val="00786338"/>
    <w:rsid w:val="007872B8"/>
    <w:rsid w:val="00790D19"/>
    <w:rsid w:val="00790E37"/>
    <w:rsid w:val="007915B0"/>
    <w:rsid w:val="007924D2"/>
    <w:rsid w:val="0079405B"/>
    <w:rsid w:val="007951CF"/>
    <w:rsid w:val="00795DD4"/>
    <w:rsid w:val="007A0CBB"/>
    <w:rsid w:val="007A1364"/>
    <w:rsid w:val="007A1E29"/>
    <w:rsid w:val="007A2651"/>
    <w:rsid w:val="007A303A"/>
    <w:rsid w:val="007A3DF3"/>
    <w:rsid w:val="007A52C5"/>
    <w:rsid w:val="007B0726"/>
    <w:rsid w:val="007B2A2D"/>
    <w:rsid w:val="007B49AB"/>
    <w:rsid w:val="007B5150"/>
    <w:rsid w:val="007B6A35"/>
    <w:rsid w:val="007B71E6"/>
    <w:rsid w:val="007B775E"/>
    <w:rsid w:val="007C0775"/>
    <w:rsid w:val="007C10BA"/>
    <w:rsid w:val="007C2CFE"/>
    <w:rsid w:val="007C3B70"/>
    <w:rsid w:val="007C3EC5"/>
    <w:rsid w:val="007C4060"/>
    <w:rsid w:val="007C4937"/>
    <w:rsid w:val="007C50B1"/>
    <w:rsid w:val="007C6A50"/>
    <w:rsid w:val="007C76BE"/>
    <w:rsid w:val="007D0A49"/>
    <w:rsid w:val="007D2D8F"/>
    <w:rsid w:val="007D3B19"/>
    <w:rsid w:val="007D53D1"/>
    <w:rsid w:val="007D58B5"/>
    <w:rsid w:val="007D5E27"/>
    <w:rsid w:val="007D6B82"/>
    <w:rsid w:val="007E1125"/>
    <w:rsid w:val="007E363A"/>
    <w:rsid w:val="007E6438"/>
    <w:rsid w:val="007E65A0"/>
    <w:rsid w:val="007E65B8"/>
    <w:rsid w:val="007F13D5"/>
    <w:rsid w:val="007F2DF6"/>
    <w:rsid w:val="007F3937"/>
    <w:rsid w:val="007F3B26"/>
    <w:rsid w:val="007F4125"/>
    <w:rsid w:val="007F613F"/>
    <w:rsid w:val="00801409"/>
    <w:rsid w:val="00801644"/>
    <w:rsid w:val="00802A49"/>
    <w:rsid w:val="00804143"/>
    <w:rsid w:val="00807D13"/>
    <w:rsid w:val="00810FE7"/>
    <w:rsid w:val="00812B17"/>
    <w:rsid w:val="008132EB"/>
    <w:rsid w:val="00815929"/>
    <w:rsid w:val="00816A2C"/>
    <w:rsid w:val="00816C72"/>
    <w:rsid w:val="0082010E"/>
    <w:rsid w:val="0082200E"/>
    <w:rsid w:val="008227EB"/>
    <w:rsid w:val="00823B6B"/>
    <w:rsid w:val="0082578A"/>
    <w:rsid w:val="00830298"/>
    <w:rsid w:val="0083034E"/>
    <w:rsid w:val="0083151A"/>
    <w:rsid w:val="00831A7C"/>
    <w:rsid w:val="00832221"/>
    <w:rsid w:val="0083540B"/>
    <w:rsid w:val="0083547E"/>
    <w:rsid w:val="00835586"/>
    <w:rsid w:val="00835CBF"/>
    <w:rsid w:val="00836D31"/>
    <w:rsid w:val="008401DA"/>
    <w:rsid w:val="00840392"/>
    <w:rsid w:val="00841308"/>
    <w:rsid w:val="00841E37"/>
    <w:rsid w:val="00842873"/>
    <w:rsid w:val="00842E87"/>
    <w:rsid w:val="0084302A"/>
    <w:rsid w:val="00844DFF"/>
    <w:rsid w:val="0084602D"/>
    <w:rsid w:val="00846461"/>
    <w:rsid w:val="0084799E"/>
    <w:rsid w:val="008506B9"/>
    <w:rsid w:val="0085288F"/>
    <w:rsid w:val="00855AB1"/>
    <w:rsid w:val="0085611F"/>
    <w:rsid w:val="00856784"/>
    <w:rsid w:val="008569B0"/>
    <w:rsid w:val="008609C7"/>
    <w:rsid w:val="00860D9B"/>
    <w:rsid w:val="00860E9D"/>
    <w:rsid w:val="008625A8"/>
    <w:rsid w:val="0086284C"/>
    <w:rsid w:val="00862BD3"/>
    <w:rsid w:val="0086392D"/>
    <w:rsid w:val="00863A06"/>
    <w:rsid w:val="00864CA6"/>
    <w:rsid w:val="008653D1"/>
    <w:rsid w:val="00865853"/>
    <w:rsid w:val="00865CF7"/>
    <w:rsid w:val="008662C9"/>
    <w:rsid w:val="0086675C"/>
    <w:rsid w:val="00866B8E"/>
    <w:rsid w:val="00866D15"/>
    <w:rsid w:val="0087059B"/>
    <w:rsid w:val="00870E68"/>
    <w:rsid w:val="008720C0"/>
    <w:rsid w:val="0087467C"/>
    <w:rsid w:val="008750EF"/>
    <w:rsid w:val="00875F8B"/>
    <w:rsid w:val="00875FA1"/>
    <w:rsid w:val="00876825"/>
    <w:rsid w:val="008770EF"/>
    <w:rsid w:val="00880019"/>
    <w:rsid w:val="00882A6E"/>
    <w:rsid w:val="00884888"/>
    <w:rsid w:val="00885E14"/>
    <w:rsid w:val="008866E0"/>
    <w:rsid w:val="00887BCE"/>
    <w:rsid w:val="00887EFC"/>
    <w:rsid w:val="00890900"/>
    <w:rsid w:val="00890F2C"/>
    <w:rsid w:val="00892881"/>
    <w:rsid w:val="00893F57"/>
    <w:rsid w:val="008944C8"/>
    <w:rsid w:val="00894645"/>
    <w:rsid w:val="00894F25"/>
    <w:rsid w:val="00896283"/>
    <w:rsid w:val="008965B0"/>
    <w:rsid w:val="008A44E4"/>
    <w:rsid w:val="008A5CB4"/>
    <w:rsid w:val="008A64C9"/>
    <w:rsid w:val="008A6CD9"/>
    <w:rsid w:val="008B070E"/>
    <w:rsid w:val="008B2468"/>
    <w:rsid w:val="008B3986"/>
    <w:rsid w:val="008B40DC"/>
    <w:rsid w:val="008B540F"/>
    <w:rsid w:val="008B657D"/>
    <w:rsid w:val="008B6851"/>
    <w:rsid w:val="008B6E2D"/>
    <w:rsid w:val="008B70B3"/>
    <w:rsid w:val="008C1E20"/>
    <w:rsid w:val="008C27A5"/>
    <w:rsid w:val="008C2A80"/>
    <w:rsid w:val="008C32E9"/>
    <w:rsid w:val="008C36E0"/>
    <w:rsid w:val="008C68CC"/>
    <w:rsid w:val="008C7771"/>
    <w:rsid w:val="008C7E5C"/>
    <w:rsid w:val="008C7EA8"/>
    <w:rsid w:val="008D0D8A"/>
    <w:rsid w:val="008D0EE0"/>
    <w:rsid w:val="008D13DA"/>
    <w:rsid w:val="008D151F"/>
    <w:rsid w:val="008D2151"/>
    <w:rsid w:val="008D4D1C"/>
    <w:rsid w:val="008D5B86"/>
    <w:rsid w:val="008D6788"/>
    <w:rsid w:val="008D6D5C"/>
    <w:rsid w:val="008E0BFE"/>
    <w:rsid w:val="008E1A07"/>
    <w:rsid w:val="008E20DA"/>
    <w:rsid w:val="008E3438"/>
    <w:rsid w:val="008E357A"/>
    <w:rsid w:val="008E3675"/>
    <w:rsid w:val="008E38BE"/>
    <w:rsid w:val="008E6211"/>
    <w:rsid w:val="008E6474"/>
    <w:rsid w:val="008F1972"/>
    <w:rsid w:val="008F307F"/>
    <w:rsid w:val="008F30AB"/>
    <w:rsid w:val="008F4735"/>
    <w:rsid w:val="008F4978"/>
    <w:rsid w:val="008F5FD3"/>
    <w:rsid w:val="008F6F59"/>
    <w:rsid w:val="00901EB2"/>
    <w:rsid w:val="00902C29"/>
    <w:rsid w:val="00903AA2"/>
    <w:rsid w:val="0090545D"/>
    <w:rsid w:val="00905535"/>
    <w:rsid w:val="00910F58"/>
    <w:rsid w:val="0091106C"/>
    <w:rsid w:val="0091399A"/>
    <w:rsid w:val="00913C11"/>
    <w:rsid w:val="0091589A"/>
    <w:rsid w:val="00915EF4"/>
    <w:rsid w:val="0091657E"/>
    <w:rsid w:val="00917175"/>
    <w:rsid w:val="00917215"/>
    <w:rsid w:val="00917592"/>
    <w:rsid w:val="00917C87"/>
    <w:rsid w:val="00921711"/>
    <w:rsid w:val="00923194"/>
    <w:rsid w:val="0092398F"/>
    <w:rsid w:val="00923F3F"/>
    <w:rsid w:val="00924BDC"/>
    <w:rsid w:val="00925230"/>
    <w:rsid w:val="00926D0A"/>
    <w:rsid w:val="009270D7"/>
    <w:rsid w:val="009308A5"/>
    <w:rsid w:val="00930EA3"/>
    <w:rsid w:val="0093248F"/>
    <w:rsid w:val="0093293E"/>
    <w:rsid w:val="009329BE"/>
    <w:rsid w:val="00932A9A"/>
    <w:rsid w:val="00933F1D"/>
    <w:rsid w:val="009342EC"/>
    <w:rsid w:val="0093431A"/>
    <w:rsid w:val="00934874"/>
    <w:rsid w:val="0093701D"/>
    <w:rsid w:val="00937967"/>
    <w:rsid w:val="00937B27"/>
    <w:rsid w:val="00942BA0"/>
    <w:rsid w:val="00942FFE"/>
    <w:rsid w:val="00944035"/>
    <w:rsid w:val="0094607B"/>
    <w:rsid w:val="00946AD5"/>
    <w:rsid w:val="00946F68"/>
    <w:rsid w:val="00947CD0"/>
    <w:rsid w:val="0095118B"/>
    <w:rsid w:val="0095296B"/>
    <w:rsid w:val="0095444A"/>
    <w:rsid w:val="0095612A"/>
    <w:rsid w:val="009566D5"/>
    <w:rsid w:val="00957BEE"/>
    <w:rsid w:val="00961C2C"/>
    <w:rsid w:val="0096320D"/>
    <w:rsid w:val="009632C4"/>
    <w:rsid w:val="00963629"/>
    <w:rsid w:val="0096387E"/>
    <w:rsid w:val="00963F5F"/>
    <w:rsid w:val="0096439D"/>
    <w:rsid w:val="009645C5"/>
    <w:rsid w:val="009662D7"/>
    <w:rsid w:val="0096673A"/>
    <w:rsid w:val="00966E6A"/>
    <w:rsid w:val="009701DA"/>
    <w:rsid w:val="009705E0"/>
    <w:rsid w:val="00970CF8"/>
    <w:rsid w:val="009720F0"/>
    <w:rsid w:val="0097485D"/>
    <w:rsid w:val="00975D74"/>
    <w:rsid w:val="00977503"/>
    <w:rsid w:val="009816F6"/>
    <w:rsid w:val="0098218C"/>
    <w:rsid w:val="009840AE"/>
    <w:rsid w:val="00984A08"/>
    <w:rsid w:val="009857E7"/>
    <w:rsid w:val="00985D54"/>
    <w:rsid w:val="0098753B"/>
    <w:rsid w:val="0099013F"/>
    <w:rsid w:val="00991615"/>
    <w:rsid w:val="00992D0E"/>
    <w:rsid w:val="00992E3C"/>
    <w:rsid w:val="00993204"/>
    <w:rsid w:val="00993FDB"/>
    <w:rsid w:val="0099542B"/>
    <w:rsid w:val="00995441"/>
    <w:rsid w:val="00996ABB"/>
    <w:rsid w:val="00997859"/>
    <w:rsid w:val="00997EA1"/>
    <w:rsid w:val="009A1662"/>
    <w:rsid w:val="009A2DDE"/>
    <w:rsid w:val="009A40E3"/>
    <w:rsid w:val="009A456A"/>
    <w:rsid w:val="009A4A52"/>
    <w:rsid w:val="009A4FE2"/>
    <w:rsid w:val="009A6449"/>
    <w:rsid w:val="009A66E6"/>
    <w:rsid w:val="009B0FB0"/>
    <w:rsid w:val="009B3B8E"/>
    <w:rsid w:val="009B5679"/>
    <w:rsid w:val="009B5D3F"/>
    <w:rsid w:val="009C0377"/>
    <w:rsid w:val="009C091A"/>
    <w:rsid w:val="009C33EA"/>
    <w:rsid w:val="009C4602"/>
    <w:rsid w:val="009C643E"/>
    <w:rsid w:val="009C7076"/>
    <w:rsid w:val="009C7E44"/>
    <w:rsid w:val="009D04CC"/>
    <w:rsid w:val="009D2894"/>
    <w:rsid w:val="009D4615"/>
    <w:rsid w:val="009D62D6"/>
    <w:rsid w:val="009D729C"/>
    <w:rsid w:val="009D7C4C"/>
    <w:rsid w:val="009D7F2B"/>
    <w:rsid w:val="009E030D"/>
    <w:rsid w:val="009E065B"/>
    <w:rsid w:val="009E0664"/>
    <w:rsid w:val="009E1910"/>
    <w:rsid w:val="009E1CC8"/>
    <w:rsid w:val="009E2787"/>
    <w:rsid w:val="009E2A50"/>
    <w:rsid w:val="009E3684"/>
    <w:rsid w:val="009E6774"/>
    <w:rsid w:val="009E683B"/>
    <w:rsid w:val="009E6FA0"/>
    <w:rsid w:val="009F0DAB"/>
    <w:rsid w:val="009F1585"/>
    <w:rsid w:val="009F2E22"/>
    <w:rsid w:val="009F5B8D"/>
    <w:rsid w:val="009F7518"/>
    <w:rsid w:val="009F79B4"/>
    <w:rsid w:val="00A020D5"/>
    <w:rsid w:val="00A024E9"/>
    <w:rsid w:val="00A024EB"/>
    <w:rsid w:val="00A026FF"/>
    <w:rsid w:val="00A027F2"/>
    <w:rsid w:val="00A04639"/>
    <w:rsid w:val="00A050FE"/>
    <w:rsid w:val="00A06164"/>
    <w:rsid w:val="00A06F12"/>
    <w:rsid w:val="00A07BBD"/>
    <w:rsid w:val="00A10102"/>
    <w:rsid w:val="00A107E0"/>
    <w:rsid w:val="00A1126C"/>
    <w:rsid w:val="00A11488"/>
    <w:rsid w:val="00A131DB"/>
    <w:rsid w:val="00A1397D"/>
    <w:rsid w:val="00A14961"/>
    <w:rsid w:val="00A15E8F"/>
    <w:rsid w:val="00A17AE7"/>
    <w:rsid w:val="00A2014D"/>
    <w:rsid w:val="00A215EC"/>
    <w:rsid w:val="00A2216D"/>
    <w:rsid w:val="00A224BB"/>
    <w:rsid w:val="00A22FBE"/>
    <w:rsid w:val="00A24135"/>
    <w:rsid w:val="00A24CF0"/>
    <w:rsid w:val="00A25378"/>
    <w:rsid w:val="00A26B1F"/>
    <w:rsid w:val="00A26F0E"/>
    <w:rsid w:val="00A27BC8"/>
    <w:rsid w:val="00A31771"/>
    <w:rsid w:val="00A31AFA"/>
    <w:rsid w:val="00A320B9"/>
    <w:rsid w:val="00A325D3"/>
    <w:rsid w:val="00A32B6B"/>
    <w:rsid w:val="00A37C55"/>
    <w:rsid w:val="00A406CF"/>
    <w:rsid w:val="00A432CA"/>
    <w:rsid w:val="00A45136"/>
    <w:rsid w:val="00A459F6"/>
    <w:rsid w:val="00A45B41"/>
    <w:rsid w:val="00A50D87"/>
    <w:rsid w:val="00A51BD3"/>
    <w:rsid w:val="00A559D5"/>
    <w:rsid w:val="00A55B40"/>
    <w:rsid w:val="00A619B0"/>
    <w:rsid w:val="00A620E1"/>
    <w:rsid w:val="00A6239A"/>
    <w:rsid w:val="00A63C15"/>
    <w:rsid w:val="00A66B70"/>
    <w:rsid w:val="00A708D7"/>
    <w:rsid w:val="00A7299D"/>
    <w:rsid w:val="00A735A9"/>
    <w:rsid w:val="00A7386B"/>
    <w:rsid w:val="00A73C1B"/>
    <w:rsid w:val="00A7562B"/>
    <w:rsid w:val="00A75867"/>
    <w:rsid w:val="00A758A7"/>
    <w:rsid w:val="00A77949"/>
    <w:rsid w:val="00A80446"/>
    <w:rsid w:val="00A80656"/>
    <w:rsid w:val="00A81C2B"/>
    <w:rsid w:val="00A823EF"/>
    <w:rsid w:val="00A833CE"/>
    <w:rsid w:val="00A83F29"/>
    <w:rsid w:val="00A85093"/>
    <w:rsid w:val="00A87C96"/>
    <w:rsid w:val="00A87DB0"/>
    <w:rsid w:val="00A92476"/>
    <w:rsid w:val="00A94FF3"/>
    <w:rsid w:val="00A96684"/>
    <w:rsid w:val="00AA186E"/>
    <w:rsid w:val="00AA223D"/>
    <w:rsid w:val="00AA251C"/>
    <w:rsid w:val="00AA292D"/>
    <w:rsid w:val="00AA40C3"/>
    <w:rsid w:val="00AA597D"/>
    <w:rsid w:val="00AA6586"/>
    <w:rsid w:val="00AA726A"/>
    <w:rsid w:val="00AB3453"/>
    <w:rsid w:val="00AB48FB"/>
    <w:rsid w:val="00AB4B70"/>
    <w:rsid w:val="00AB6602"/>
    <w:rsid w:val="00AB7AEF"/>
    <w:rsid w:val="00AC0124"/>
    <w:rsid w:val="00AC0381"/>
    <w:rsid w:val="00AC4C4B"/>
    <w:rsid w:val="00AC63BE"/>
    <w:rsid w:val="00AC705F"/>
    <w:rsid w:val="00AC7EB9"/>
    <w:rsid w:val="00AD18BF"/>
    <w:rsid w:val="00AD2C50"/>
    <w:rsid w:val="00AD3069"/>
    <w:rsid w:val="00AD35DB"/>
    <w:rsid w:val="00AD3AAD"/>
    <w:rsid w:val="00AD509F"/>
    <w:rsid w:val="00AD7551"/>
    <w:rsid w:val="00AE1BF1"/>
    <w:rsid w:val="00AE1DD7"/>
    <w:rsid w:val="00AE1EC8"/>
    <w:rsid w:val="00AE2A1D"/>
    <w:rsid w:val="00AE2DD1"/>
    <w:rsid w:val="00AE6AA6"/>
    <w:rsid w:val="00AE6B64"/>
    <w:rsid w:val="00AE79F4"/>
    <w:rsid w:val="00AE7DBD"/>
    <w:rsid w:val="00AF16C9"/>
    <w:rsid w:val="00AF2CEF"/>
    <w:rsid w:val="00AF41E3"/>
    <w:rsid w:val="00AF5BEA"/>
    <w:rsid w:val="00AF6833"/>
    <w:rsid w:val="00AF68D6"/>
    <w:rsid w:val="00AF7568"/>
    <w:rsid w:val="00B00635"/>
    <w:rsid w:val="00B0284C"/>
    <w:rsid w:val="00B02A12"/>
    <w:rsid w:val="00B02AAD"/>
    <w:rsid w:val="00B02D56"/>
    <w:rsid w:val="00B0380E"/>
    <w:rsid w:val="00B03FFE"/>
    <w:rsid w:val="00B0416F"/>
    <w:rsid w:val="00B049FE"/>
    <w:rsid w:val="00B04F3C"/>
    <w:rsid w:val="00B06C43"/>
    <w:rsid w:val="00B06F6C"/>
    <w:rsid w:val="00B074CF"/>
    <w:rsid w:val="00B07667"/>
    <w:rsid w:val="00B079AD"/>
    <w:rsid w:val="00B10093"/>
    <w:rsid w:val="00B114AF"/>
    <w:rsid w:val="00B11B65"/>
    <w:rsid w:val="00B129E1"/>
    <w:rsid w:val="00B12CD2"/>
    <w:rsid w:val="00B138B0"/>
    <w:rsid w:val="00B146ED"/>
    <w:rsid w:val="00B1522F"/>
    <w:rsid w:val="00B16525"/>
    <w:rsid w:val="00B21EED"/>
    <w:rsid w:val="00B22841"/>
    <w:rsid w:val="00B229E4"/>
    <w:rsid w:val="00B23065"/>
    <w:rsid w:val="00B23ED3"/>
    <w:rsid w:val="00B25962"/>
    <w:rsid w:val="00B30203"/>
    <w:rsid w:val="00B30429"/>
    <w:rsid w:val="00B31A31"/>
    <w:rsid w:val="00B32040"/>
    <w:rsid w:val="00B32CF7"/>
    <w:rsid w:val="00B32E56"/>
    <w:rsid w:val="00B32E81"/>
    <w:rsid w:val="00B335ED"/>
    <w:rsid w:val="00B3489D"/>
    <w:rsid w:val="00B34C8B"/>
    <w:rsid w:val="00B357E2"/>
    <w:rsid w:val="00B37923"/>
    <w:rsid w:val="00B37DEE"/>
    <w:rsid w:val="00B4152F"/>
    <w:rsid w:val="00B4162F"/>
    <w:rsid w:val="00B4208D"/>
    <w:rsid w:val="00B43418"/>
    <w:rsid w:val="00B452E4"/>
    <w:rsid w:val="00B47392"/>
    <w:rsid w:val="00B51213"/>
    <w:rsid w:val="00B51B62"/>
    <w:rsid w:val="00B51E14"/>
    <w:rsid w:val="00B5308C"/>
    <w:rsid w:val="00B537AE"/>
    <w:rsid w:val="00B538D8"/>
    <w:rsid w:val="00B53E34"/>
    <w:rsid w:val="00B550A2"/>
    <w:rsid w:val="00B55114"/>
    <w:rsid w:val="00B55C10"/>
    <w:rsid w:val="00B5739D"/>
    <w:rsid w:val="00B612AE"/>
    <w:rsid w:val="00B61CD6"/>
    <w:rsid w:val="00B61EAB"/>
    <w:rsid w:val="00B6201C"/>
    <w:rsid w:val="00B64458"/>
    <w:rsid w:val="00B71147"/>
    <w:rsid w:val="00B714D8"/>
    <w:rsid w:val="00B71E0A"/>
    <w:rsid w:val="00B723DC"/>
    <w:rsid w:val="00B726E8"/>
    <w:rsid w:val="00B733F9"/>
    <w:rsid w:val="00B80A4A"/>
    <w:rsid w:val="00B81BDF"/>
    <w:rsid w:val="00B83014"/>
    <w:rsid w:val="00B83203"/>
    <w:rsid w:val="00B840EF"/>
    <w:rsid w:val="00B841A5"/>
    <w:rsid w:val="00B843F9"/>
    <w:rsid w:val="00B851EC"/>
    <w:rsid w:val="00B85754"/>
    <w:rsid w:val="00B85831"/>
    <w:rsid w:val="00B85D80"/>
    <w:rsid w:val="00B85E2B"/>
    <w:rsid w:val="00B87442"/>
    <w:rsid w:val="00B902AC"/>
    <w:rsid w:val="00B909D3"/>
    <w:rsid w:val="00B90D08"/>
    <w:rsid w:val="00B9483B"/>
    <w:rsid w:val="00B94A52"/>
    <w:rsid w:val="00B94A5F"/>
    <w:rsid w:val="00B94EA4"/>
    <w:rsid w:val="00B9522C"/>
    <w:rsid w:val="00B958AB"/>
    <w:rsid w:val="00B95BA3"/>
    <w:rsid w:val="00B96B88"/>
    <w:rsid w:val="00B97BC5"/>
    <w:rsid w:val="00B97FF0"/>
    <w:rsid w:val="00BA11EA"/>
    <w:rsid w:val="00BA123B"/>
    <w:rsid w:val="00BA3B4C"/>
    <w:rsid w:val="00BA597D"/>
    <w:rsid w:val="00BA5AC7"/>
    <w:rsid w:val="00BA7448"/>
    <w:rsid w:val="00BB0D01"/>
    <w:rsid w:val="00BB2490"/>
    <w:rsid w:val="00BB519F"/>
    <w:rsid w:val="00BB55A8"/>
    <w:rsid w:val="00BB7354"/>
    <w:rsid w:val="00BC0393"/>
    <w:rsid w:val="00BC0ADA"/>
    <w:rsid w:val="00BC0F96"/>
    <w:rsid w:val="00BC119A"/>
    <w:rsid w:val="00BC475E"/>
    <w:rsid w:val="00BC51AC"/>
    <w:rsid w:val="00BD148F"/>
    <w:rsid w:val="00BD22D3"/>
    <w:rsid w:val="00BD2A85"/>
    <w:rsid w:val="00BD2C2D"/>
    <w:rsid w:val="00BD33C2"/>
    <w:rsid w:val="00BD33F7"/>
    <w:rsid w:val="00BD3A48"/>
    <w:rsid w:val="00BD3BF9"/>
    <w:rsid w:val="00BD3EF7"/>
    <w:rsid w:val="00BD4083"/>
    <w:rsid w:val="00BD5852"/>
    <w:rsid w:val="00BD725C"/>
    <w:rsid w:val="00BE0F5B"/>
    <w:rsid w:val="00BE11A3"/>
    <w:rsid w:val="00BE19A9"/>
    <w:rsid w:val="00BE374B"/>
    <w:rsid w:val="00BE3C16"/>
    <w:rsid w:val="00BF06A2"/>
    <w:rsid w:val="00BF1773"/>
    <w:rsid w:val="00BF24B0"/>
    <w:rsid w:val="00BF2B3F"/>
    <w:rsid w:val="00BF388F"/>
    <w:rsid w:val="00BF7325"/>
    <w:rsid w:val="00BF7E0E"/>
    <w:rsid w:val="00C001AA"/>
    <w:rsid w:val="00C012FD"/>
    <w:rsid w:val="00C01926"/>
    <w:rsid w:val="00C02D79"/>
    <w:rsid w:val="00C02DBA"/>
    <w:rsid w:val="00C04BA0"/>
    <w:rsid w:val="00C056CA"/>
    <w:rsid w:val="00C070F9"/>
    <w:rsid w:val="00C073C3"/>
    <w:rsid w:val="00C1083B"/>
    <w:rsid w:val="00C10CD4"/>
    <w:rsid w:val="00C11548"/>
    <w:rsid w:val="00C119A2"/>
    <w:rsid w:val="00C12EAE"/>
    <w:rsid w:val="00C136ED"/>
    <w:rsid w:val="00C14A6B"/>
    <w:rsid w:val="00C15F1E"/>
    <w:rsid w:val="00C17DB4"/>
    <w:rsid w:val="00C17FA7"/>
    <w:rsid w:val="00C20DC3"/>
    <w:rsid w:val="00C21604"/>
    <w:rsid w:val="00C22AFE"/>
    <w:rsid w:val="00C233E9"/>
    <w:rsid w:val="00C239B4"/>
    <w:rsid w:val="00C256C1"/>
    <w:rsid w:val="00C26306"/>
    <w:rsid w:val="00C2778D"/>
    <w:rsid w:val="00C31AA1"/>
    <w:rsid w:val="00C31DAD"/>
    <w:rsid w:val="00C34BF0"/>
    <w:rsid w:val="00C35275"/>
    <w:rsid w:val="00C353E3"/>
    <w:rsid w:val="00C370C7"/>
    <w:rsid w:val="00C374A2"/>
    <w:rsid w:val="00C40995"/>
    <w:rsid w:val="00C410AF"/>
    <w:rsid w:val="00C42BDD"/>
    <w:rsid w:val="00C43A37"/>
    <w:rsid w:val="00C4545F"/>
    <w:rsid w:val="00C45AAA"/>
    <w:rsid w:val="00C46D19"/>
    <w:rsid w:val="00C47F9A"/>
    <w:rsid w:val="00C5031A"/>
    <w:rsid w:val="00C53371"/>
    <w:rsid w:val="00C536D1"/>
    <w:rsid w:val="00C55334"/>
    <w:rsid w:val="00C57472"/>
    <w:rsid w:val="00C6049C"/>
    <w:rsid w:val="00C60A9A"/>
    <w:rsid w:val="00C60CBC"/>
    <w:rsid w:val="00C60CC8"/>
    <w:rsid w:val="00C62805"/>
    <w:rsid w:val="00C62DD3"/>
    <w:rsid w:val="00C66E56"/>
    <w:rsid w:val="00C6706C"/>
    <w:rsid w:val="00C70A51"/>
    <w:rsid w:val="00C71C59"/>
    <w:rsid w:val="00C725CF"/>
    <w:rsid w:val="00C72912"/>
    <w:rsid w:val="00C736E1"/>
    <w:rsid w:val="00C75384"/>
    <w:rsid w:val="00C764B7"/>
    <w:rsid w:val="00C76677"/>
    <w:rsid w:val="00C76A03"/>
    <w:rsid w:val="00C7720A"/>
    <w:rsid w:val="00C778FE"/>
    <w:rsid w:val="00C77F65"/>
    <w:rsid w:val="00C81725"/>
    <w:rsid w:val="00C81F37"/>
    <w:rsid w:val="00C820A0"/>
    <w:rsid w:val="00C86362"/>
    <w:rsid w:val="00C87221"/>
    <w:rsid w:val="00C90944"/>
    <w:rsid w:val="00C91621"/>
    <w:rsid w:val="00C91946"/>
    <w:rsid w:val="00C93A4B"/>
    <w:rsid w:val="00C95612"/>
    <w:rsid w:val="00C9695D"/>
    <w:rsid w:val="00C96FD3"/>
    <w:rsid w:val="00C970EE"/>
    <w:rsid w:val="00C97633"/>
    <w:rsid w:val="00CA04A8"/>
    <w:rsid w:val="00CA1362"/>
    <w:rsid w:val="00CA39BE"/>
    <w:rsid w:val="00CA3AB4"/>
    <w:rsid w:val="00CA44F1"/>
    <w:rsid w:val="00CA567D"/>
    <w:rsid w:val="00CA59A4"/>
    <w:rsid w:val="00CA6164"/>
    <w:rsid w:val="00CA64A3"/>
    <w:rsid w:val="00CA6509"/>
    <w:rsid w:val="00CA6743"/>
    <w:rsid w:val="00CB07D3"/>
    <w:rsid w:val="00CB08FD"/>
    <w:rsid w:val="00CB0D18"/>
    <w:rsid w:val="00CB27A4"/>
    <w:rsid w:val="00CB4E9F"/>
    <w:rsid w:val="00CB71C9"/>
    <w:rsid w:val="00CB7375"/>
    <w:rsid w:val="00CB772B"/>
    <w:rsid w:val="00CC0A23"/>
    <w:rsid w:val="00CC1527"/>
    <w:rsid w:val="00CC197F"/>
    <w:rsid w:val="00CC1AC3"/>
    <w:rsid w:val="00CC2D26"/>
    <w:rsid w:val="00CC30F6"/>
    <w:rsid w:val="00CC39F8"/>
    <w:rsid w:val="00CC7B33"/>
    <w:rsid w:val="00CD0606"/>
    <w:rsid w:val="00CD1E97"/>
    <w:rsid w:val="00CD2543"/>
    <w:rsid w:val="00CD2603"/>
    <w:rsid w:val="00CD2FC8"/>
    <w:rsid w:val="00CD36D1"/>
    <w:rsid w:val="00CD4F90"/>
    <w:rsid w:val="00CD56D3"/>
    <w:rsid w:val="00CD5C30"/>
    <w:rsid w:val="00CD61AB"/>
    <w:rsid w:val="00CD6827"/>
    <w:rsid w:val="00CD6E39"/>
    <w:rsid w:val="00CD7628"/>
    <w:rsid w:val="00CE1455"/>
    <w:rsid w:val="00CE2876"/>
    <w:rsid w:val="00CE2B75"/>
    <w:rsid w:val="00CE2E02"/>
    <w:rsid w:val="00CE326E"/>
    <w:rsid w:val="00CE7F8B"/>
    <w:rsid w:val="00CF20A7"/>
    <w:rsid w:val="00CF345A"/>
    <w:rsid w:val="00CF407C"/>
    <w:rsid w:val="00CF56A7"/>
    <w:rsid w:val="00CF56E9"/>
    <w:rsid w:val="00CF5AA5"/>
    <w:rsid w:val="00CF6731"/>
    <w:rsid w:val="00CF6821"/>
    <w:rsid w:val="00CF68BC"/>
    <w:rsid w:val="00CF7CD9"/>
    <w:rsid w:val="00D00596"/>
    <w:rsid w:val="00D00AE0"/>
    <w:rsid w:val="00D033BD"/>
    <w:rsid w:val="00D04111"/>
    <w:rsid w:val="00D045F4"/>
    <w:rsid w:val="00D05BC3"/>
    <w:rsid w:val="00D0631C"/>
    <w:rsid w:val="00D06C14"/>
    <w:rsid w:val="00D07DF7"/>
    <w:rsid w:val="00D106B0"/>
    <w:rsid w:val="00D11D3A"/>
    <w:rsid w:val="00D121E6"/>
    <w:rsid w:val="00D1352B"/>
    <w:rsid w:val="00D14BBF"/>
    <w:rsid w:val="00D16260"/>
    <w:rsid w:val="00D170F0"/>
    <w:rsid w:val="00D17A56"/>
    <w:rsid w:val="00D202AA"/>
    <w:rsid w:val="00D2175E"/>
    <w:rsid w:val="00D21D11"/>
    <w:rsid w:val="00D22D93"/>
    <w:rsid w:val="00D257C3"/>
    <w:rsid w:val="00D25A3A"/>
    <w:rsid w:val="00D30E15"/>
    <w:rsid w:val="00D31076"/>
    <w:rsid w:val="00D3401D"/>
    <w:rsid w:val="00D35B21"/>
    <w:rsid w:val="00D35C2C"/>
    <w:rsid w:val="00D40D66"/>
    <w:rsid w:val="00D41133"/>
    <w:rsid w:val="00D445CE"/>
    <w:rsid w:val="00D459FE"/>
    <w:rsid w:val="00D466C1"/>
    <w:rsid w:val="00D4712E"/>
    <w:rsid w:val="00D50240"/>
    <w:rsid w:val="00D51218"/>
    <w:rsid w:val="00D5187A"/>
    <w:rsid w:val="00D52709"/>
    <w:rsid w:val="00D536E7"/>
    <w:rsid w:val="00D53B46"/>
    <w:rsid w:val="00D53D3B"/>
    <w:rsid w:val="00D55CEA"/>
    <w:rsid w:val="00D55EEC"/>
    <w:rsid w:val="00D567E6"/>
    <w:rsid w:val="00D569A7"/>
    <w:rsid w:val="00D56A2B"/>
    <w:rsid w:val="00D5708A"/>
    <w:rsid w:val="00D57EAE"/>
    <w:rsid w:val="00D61953"/>
    <w:rsid w:val="00D621DF"/>
    <w:rsid w:val="00D62CA7"/>
    <w:rsid w:val="00D62E9E"/>
    <w:rsid w:val="00D65C20"/>
    <w:rsid w:val="00D65FC5"/>
    <w:rsid w:val="00D66E0C"/>
    <w:rsid w:val="00D673C9"/>
    <w:rsid w:val="00D701FE"/>
    <w:rsid w:val="00D707C0"/>
    <w:rsid w:val="00D72081"/>
    <w:rsid w:val="00D7222C"/>
    <w:rsid w:val="00D72AA2"/>
    <w:rsid w:val="00D73A02"/>
    <w:rsid w:val="00D74164"/>
    <w:rsid w:val="00D74203"/>
    <w:rsid w:val="00D76E64"/>
    <w:rsid w:val="00D77629"/>
    <w:rsid w:val="00D777AD"/>
    <w:rsid w:val="00D77E24"/>
    <w:rsid w:val="00D809C9"/>
    <w:rsid w:val="00D825A3"/>
    <w:rsid w:val="00D83E43"/>
    <w:rsid w:val="00D84708"/>
    <w:rsid w:val="00D86808"/>
    <w:rsid w:val="00D91158"/>
    <w:rsid w:val="00D9166D"/>
    <w:rsid w:val="00D91F95"/>
    <w:rsid w:val="00D926D6"/>
    <w:rsid w:val="00D92C08"/>
    <w:rsid w:val="00D92C0E"/>
    <w:rsid w:val="00D9480C"/>
    <w:rsid w:val="00D94F51"/>
    <w:rsid w:val="00D95521"/>
    <w:rsid w:val="00D957A5"/>
    <w:rsid w:val="00D95FAE"/>
    <w:rsid w:val="00D97C91"/>
    <w:rsid w:val="00DA0C17"/>
    <w:rsid w:val="00DA189E"/>
    <w:rsid w:val="00DA20AC"/>
    <w:rsid w:val="00DA3B8D"/>
    <w:rsid w:val="00DA4016"/>
    <w:rsid w:val="00DA4B12"/>
    <w:rsid w:val="00DA5AA0"/>
    <w:rsid w:val="00DA77B9"/>
    <w:rsid w:val="00DB1F77"/>
    <w:rsid w:val="00DB24D6"/>
    <w:rsid w:val="00DB4B9E"/>
    <w:rsid w:val="00DB552D"/>
    <w:rsid w:val="00DB5B80"/>
    <w:rsid w:val="00DB5F39"/>
    <w:rsid w:val="00DB70E5"/>
    <w:rsid w:val="00DC0300"/>
    <w:rsid w:val="00DC0F8C"/>
    <w:rsid w:val="00DC194A"/>
    <w:rsid w:val="00DC1AD5"/>
    <w:rsid w:val="00DC3349"/>
    <w:rsid w:val="00DC3624"/>
    <w:rsid w:val="00DC698A"/>
    <w:rsid w:val="00DD099F"/>
    <w:rsid w:val="00DD4BA3"/>
    <w:rsid w:val="00DD7A40"/>
    <w:rsid w:val="00DE0A17"/>
    <w:rsid w:val="00DE1178"/>
    <w:rsid w:val="00DE31E7"/>
    <w:rsid w:val="00DE53A9"/>
    <w:rsid w:val="00DE5E36"/>
    <w:rsid w:val="00DE6474"/>
    <w:rsid w:val="00DE6567"/>
    <w:rsid w:val="00DE745B"/>
    <w:rsid w:val="00DE7D32"/>
    <w:rsid w:val="00DF0D1D"/>
    <w:rsid w:val="00DF1ED7"/>
    <w:rsid w:val="00DF32D6"/>
    <w:rsid w:val="00DF349E"/>
    <w:rsid w:val="00DF4D03"/>
    <w:rsid w:val="00DF5256"/>
    <w:rsid w:val="00DF57C5"/>
    <w:rsid w:val="00DF5C93"/>
    <w:rsid w:val="00DF710B"/>
    <w:rsid w:val="00DF723D"/>
    <w:rsid w:val="00DF77BC"/>
    <w:rsid w:val="00DF7B18"/>
    <w:rsid w:val="00DF7F10"/>
    <w:rsid w:val="00E004BE"/>
    <w:rsid w:val="00E01120"/>
    <w:rsid w:val="00E0230D"/>
    <w:rsid w:val="00E05210"/>
    <w:rsid w:val="00E05469"/>
    <w:rsid w:val="00E05D41"/>
    <w:rsid w:val="00E05D6A"/>
    <w:rsid w:val="00E05D92"/>
    <w:rsid w:val="00E060DC"/>
    <w:rsid w:val="00E061AB"/>
    <w:rsid w:val="00E063CC"/>
    <w:rsid w:val="00E06650"/>
    <w:rsid w:val="00E102AD"/>
    <w:rsid w:val="00E16006"/>
    <w:rsid w:val="00E164FC"/>
    <w:rsid w:val="00E1775D"/>
    <w:rsid w:val="00E245E5"/>
    <w:rsid w:val="00E2553B"/>
    <w:rsid w:val="00E2695F"/>
    <w:rsid w:val="00E3083A"/>
    <w:rsid w:val="00E31433"/>
    <w:rsid w:val="00E31B6E"/>
    <w:rsid w:val="00E33FC5"/>
    <w:rsid w:val="00E354AC"/>
    <w:rsid w:val="00E35A62"/>
    <w:rsid w:val="00E369B7"/>
    <w:rsid w:val="00E37310"/>
    <w:rsid w:val="00E3782D"/>
    <w:rsid w:val="00E407B3"/>
    <w:rsid w:val="00E41C6C"/>
    <w:rsid w:val="00E42473"/>
    <w:rsid w:val="00E42CFB"/>
    <w:rsid w:val="00E444A2"/>
    <w:rsid w:val="00E44CF7"/>
    <w:rsid w:val="00E45564"/>
    <w:rsid w:val="00E45EE5"/>
    <w:rsid w:val="00E4664B"/>
    <w:rsid w:val="00E46873"/>
    <w:rsid w:val="00E46DDB"/>
    <w:rsid w:val="00E4708F"/>
    <w:rsid w:val="00E47642"/>
    <w:rsid w:val="00E476BF"/>
    <w:rsid w:val="00E519FA"/>
    <w:rsid w:val="00E524DC"/>
    <w:rsid w:val="00E5381D"/>
    <w:rsid w:val="00E549C6"/>
    <w:rsid w:val="00E54FF5"/>
    <w:rsid w:val="00E558B7"/>
    <w:rsid w:val="00E55AE9"/>
    <w:rsid w:val="00E56965"/>
    <w:rsid w:val="00E62D1E"/>
    <w:rsid w:val="00E62DA7"/>
    <w:rsid w:val="00E62F6A"/>
    <w:rsid w:val="00E636D8"/>
    <w:rsid w:val="00E647B8"/>
    <w:rsid w:val="00E6596C"/>
    <w:rsid w:val="00E665BD"/>
    <w:rsid w:val="00E67CA2"/>
    <w:rsid w:val="00E71039"/>
    <w:rsid w:val="00E7126A"/>
    <w:rsid w:val="00E71CD0"/>
    <w:rsid w:val="00E72FD0"/>
    <w:rsid w:val="00E73602"/>
    <w:rsid w:val="00E74250"/>
    <w:rsid w:val="00E74C41"/>
    <w:rsid w:val="00E7569E"/>
    <w:rsid w:val="00E7574A"/>
    <w:rsid w:val="00E76B9F"/>
    <w:rsid w:val="00E76BD9"/>
    <w:rsid w:val="00E76FA2"/>
    <w:rsid w:val="00E81A4F"/>
    <w:rsid w:val="00E82AEF"/>
    <w:rsid w:val="00E82E74"/>
    <w:rsid w:val="00E83E15"/>
    <w:rsid w:val="00E8448E"/>
    <w:rsid w:val="00E84EAF"/>
    <w:rsid w:val="00E85522"/>
    <w:rsid w:val="00E860A4"/>
    <w:rsid w:val="00E86B01"/>
    <w:rsid w:val="00E90EA5"/>
    <w:rsid w:val="00E930BF"/>
    <w:rsid w:val="00E9551B"/>
    <w:rsid w:val="00E95B34"/>
    <w:rsid w:val="00E96FE0"/>
    <w:rsid w:val="00E970A9"/>
    <w:rsid w:val="00E97336"/>
    <w:rsid w:val="00E97C07"/>
    <w:rsid w:val="00E97C26"/>
    <w:rsid w:val="00EA024E"/>
    <w:rsid w:val="00EA20D8"/>
    <w:rsid w:val="00EA3195"/>
    <w:rsid w:val="00EA5161"/>
    <w:rsid w:val="00EB0A8E"/>
    <w:rsid w:val="00EB3D92"/>
    <w:rsid w:val="00EB5504"/>
    <w:rsid w:val="00EB5AF3"/>
    <w:rsid w:val="00EB644F"/>
    <w:rsid w:val="00EB68BE"/>
    <w:rsid w:val="00EB6E07"/>
    <w:rsid w:val="00EB748F"/>
    <w:rsid w:val="00EC0B6C"/>
    <w:rsid w:val="00EC2641"/>
    <w:rsid w:val="00EC2DCB"/>
    <w:rsid w:val="00EC4272"/>
    <w:rsid w:val="00EC4274"/>
    <w:rsid w:val="00EC6C55"/>
    <w:rsid w:val="00EC6E77"/>
    <w:rsid w:val="00ED0DF4"/>
    <w:rsid w:val="00ED1D39"/>
    <w:rsid w:val="00ED44E2"/>
    <w:rsid w:val="00ED5137"/>
    <w:rsid w:val="00ED52BB"/>
    <w:rsid w:val="00ED5354"/>
    <w:rsid w:val="00ED5884"/>
    <w:rsid w:val="00EE131A"/>
    <w:rsid w:val="00EE1F65"/>
    <w:rsid w:val="00EE2F50"/>
    <w:rsid w:val="00EE33B4"/>
    <w:rsid w:val="00EE3C7F"/>
    <w:rsid w:val="00EE4FE8"/>
    <w:rsid w:val="00EE56A9"/>
    <w:rsid w:val="00EE5E2C"/>
    <w:rsid w:val="00EE692B"/>
    <w:rsid w:val="00EF0261"/>
    <w:rsid w:val="00EF1595"/>
    <w:rsid w:val="00EF18FA"/>
    <w:rsid w:val="00EF2D07"/>
    <w:rsid w:val="00EF41B2"/>
    <w:rsid w:val="00EF5398"/>
    <w:rsid w:val="00EF63CF"/>
    <w:rsid w:val="00EF6BE7"/>
    <w:rsid w:val="00EF7B0D"/>
    <w:rsid w:val="00EF7D78"/>
    <w:rsid w:val="00F000B7"/>
    <w:rsid w:val="00F00353"/>
    <w:rsid w:val="00F01812"/>
    <w:rsid w:val="00F021A7"/>
    <w:rsid w:val="00F0331D"/>
    <w:rsid w:val="00F078A4"/>
    <w:rsid w:val="00F10460"/>
    <w:rsid w:val="00F1091E"/>
    <w:rsid w:val="00F117B6"/>
    <w:rsid w:val="00F131F3"/>
    <w:rsid w:val="00F14354"/>
    <w:rsid w:val="00F143BB"/>
    <w:rsid w:val="00F15166"/>
    <w:rsid w:val="00F15BEB"/>
    <w:rsid w:val="00F176CA"/>
    <w:rsid w:val="00F209AB"/>
    <w:rsid w:val="00F2260E"/>
    <w:rsid w:val="00F23EDF"/>
    <w:rsid w:val="00F2630A"/>
    <w:rsid w:val="00F27825"/>
    <w:rsid w:val="00F307B5"/>
    <w:rsid w:val="00F30F56"/>
    <w:rsid w:val="00F33567"/>
    <w:rsid w:val="00F33DA4"/>
    <w:rsid w:val="00F3493C"/>
    <w:rsid w:val="00F34A81"/>
    <w:rsid w:val="00F34EC9"/>
    <w:rsid w:val="00F375EC"/>
    <w:rsid w:val="00F409B5"/>
    <w:rsid w:val="00F41876"/>
    <w:rsid w:val="00F430DC"/>
    <w:rsid w:val="00F4555A"/>
    <w:rsid w:val="00F47903"/>
    <w:rsid w:val="00F47C92"/>
    <w:rsid w:val="00F51E0D"/>
    <w:rsid w:val="00F53E87"/>
    <w:rsid w:val="00F54EED"/>
    <w:rsid w:val="00F56313"/>
    <w:rsid w:val="00F5659B"/>
    <w:rsid w:val="00F609D3"/>
    <w:rsid w:val="00F61BA1"/>
    <w:rsid w:val="00F62F8E"/>
    <w:rsid w:val="00F63523"/>
    <w:rsid w:val="00F639B0"/>
    <w:rsid w:val="00F643F4"/>
    <w:rsid w:val="00F650DF"/>
    <w:rsid w:val="00F65E61"/>
    <w:rsid w:val="00F668D6"/>
    <w:rsid w:val="00F66B84"/>
    <w:rsid w:val="00F66D82"/>
    <w:rsid w:val="00F675FB"/>
    <w:rsid w:val="00F7117D"/>
    <w:rsid w:val="00F71257"/>
    <w:rsid w:val="00F713FE"/>
    <w:rsid w:val="00F74F80"/>
    <w:rsid w:val="00F75F5B"/>
    <w:rsid w:val="00F77BCF"/>
    <w:rsid w:val="00F77DF2"/>
    <w:rsid w:val="00F80093"/>
    <w:rsid w:val="00F816BA"/>
    <w:rsid w:val="00F81827"/>
    <w:rsid w:val="00F825D0"/>
    <w:rsid w:val="00F83549"/>
    <w:rsid w:val="00F83B58"/>
    <w:rsid w:val="00F8678C"/>
    <w:rsid w:val="00F87452"/>
    <w:rsid w:val="00F8775D"/>
    <w:rsid w:val="00F87EEE"/>
    <w:rsid w:val="00F92105"/>
    <w:rsid w:val="00F9252B"/>
    <w:rsid w:val="00F92F28"/>
    <w:rsid w:val="00F93907"/>
    <w:rsid w:val="00F93BCA"/>
    <w:rsid w:val="00F94CFF"/>
    <w:rsid w:val="00F94F2B"/>
    <w:rsid w:val="00F94FA7"/>
    <w:rsid w:val="00F958B3"/>
    <w:rsid w:val="00F976F1"/>
    <w:rsid w:val="00FA0099"/>
    <w:rsid w:val="00FA1A66"/>
    <w:rsid w:val="00FA36DA"/>
    <w:rsid w:val="00FA3C29"/>
    <w:rsid w:val="00FA4576"/>
    <w:rsid w:val="00FA46DE"/>
    <w:rsid w:val="00FA72FA"/>
    <w:rsid w:val="00FA7961"/>
    <w:rsid w:val="00FA7EBC"/>
    <w:rsid w:val="00FB1C27"/>
    <w:rsid w:val="00FB214C"/>
    <w:rsid w:val="00FB3163"/>
    <w:rsid w:val="00FB3C1B"/>
    <w:rsid w:val="00FB439C"/>
    <w:rsid w:val="00FB5D86"/>
    <w:rsid w:val="00FB61EE"/>
    <w:rsid w:val="00FB7E1E"/>
    <w:rsid w:val="00FC0CF5"/>
    <w:rsid w:val="00FC1686"/>
    <w:rsid w:val="00FC2563"/>
    <w:rsid w:val="00FC391D"/>
    <w:rsid w:val="00FC3B74"/>
    <w:rsid w:val="00FC3DA1"/>
    <w:rsid w:val="00FC430C"/>
    <w:rsid w:val="00FC61D8"/>
    <w:rsid w:val="00FC6D06"/>
    <w:rsid w:val="00FD0FD2"/>
    <w:rsid w:val="00FD123D"/>
    <w:rsid w:val="00FD1683"/>
    <w:rsid w:val="00FD197C"/>
    <w:rsid w:val="00FD2061"/>
    <w:rsid w:val="00FD37BF"/>
    <w:rsid w:val="00FD44EC"/>
    <w:rsid w:val="00FD72B5"/>
    <w:rsid w:val="00FE0562"/>
    <w:rsid w:val="00FE4311"/>
    <w:rsid w:val="00FE6A2B"/>
    <w:rsid w:val="00FF10A2"/>
    <w:rsid w:val="00FF3FDD"/>
    <w:rsid w:val="00FF4971"/>
    <w:rsid w:val="00FF7B9C"/>
    <w:rsid w:val="00FF7D70"/>
    <w:rsid w:val="025676CE"/>
    <w:rsid w:val="02D54924"/>
    <w:rsid w:val="051A6F66"/>
    <w:rsid w:val="07D62F1A"/>
    <w:rsid w:val="08492EF6"/>
    <w:rsid w:val="08D7369A"/>
    <w:rsid w:val="08D76F41"/>
    <w:rsid w:val="09524C16"/>
    <w:rsid w:val="09C84A8F"/>
    <w:rsid w:val="0A411D6E"/>
    <w:rsid w:val="0ACF434F"/>
    <w:rsid w:val="0D080548"/>
    <w:rsid w:val="0DF85725"/>
    <w:rsid w:val="0EA97D69"/>
    <w:rsid w:val="0EC43C8F"/>
    <w:rsid w:val="0F181741"/>
    <w:rsid w:val="10047841"/>
    <w:rsid w:val="13573133"/>
    <w:rsid w:val="13B2487C"/>
    <w:rsid w:val="13C37FA5"/>
    <w:rsid w:val="15E12AC2"/>
    <w:rsid w:val="163B56BA"/>
    <w:rsid w:val="175B12EE"/>
    <w:rsid w:val="17FC7ACE"/>
    <w:rsid w:val="19082392"/>
    <w:rsid w:val="19DE7E2B"/>
    <w:rsid w:val="1B2B4DFD"/>
    <w:rsid w:val="1B9577F0"/>
    <w:rsid w:val="1CBF3B73"/>
    <w:rsid w:val="1DCD0BC2"/>
    <w:rsid w:val="1F3A2B85"/>
    <w:rsid w:val="1F544DB7"/>
    <w:rsid w:val="1F5F0B14"/>
    <w:rsid w:val="2309008F"/>
    <w:rsid w:val="23B770B1"/>
    <w:rsid w:val="24EA46F3"/>
    <w:rsid w:val="25C93B32"/>
    <w:rsid w:val="267731D5"/>
    <w:rsid w:val="28E17F0B"/>
    <w:rsid w:val="29A03F21"/>
    <w:rsid w:val="2D1B36F8"/>
    <w:rsid w:val="2DA76D39"/>
    <w:rsid w:val="2E254A9A"/>
    <w:rsid w:val="30051400"/>
    <w:rsid w:val="307277A2"/>
    <w:rsid w:val="326B2606"/>
    <w:rsid w:val="34663883"/>
    <w:rsid w:val="34DE7495"/>
    <w:rsid w:val="377415C5"/>
    <w:rsid w:val="3C7C2796"/>
    <w:rsid w:val="423D7815"/>
    <w:rsid w:val="43F551BD"/>
    <w:rsid w:val="443831E4"/>
    <w:rsid w:val="46271E05"/>
    <w:rsid w:val="47570329"/>
    <w:rsid w:val="490F2D54"/>
    <w:rsid w:val="4BAB55FD"/>
    <w:rsid w:val="4C9269AF"/>
    <w:rsid w:val="4CB87609"/>
    <w:rsid w:val="4DF00B1D"/>
    <w:rsid w:val="4ECA6763"/>
    <w:rsid w:val="50923A61"/>
    <w:rsid w:val="54B0290E"/>
    <w:rsid w:val="55525F46"/>
    <w:rsid w:val="57727A93"/>
    <w:rsid w:val="59425C60"/>
    <w:rsid w:val="59446C6C"/>
    <w:rsid w:val="5AB76F55"/>
    <w:rsid w:val="5B0B1E06"/>
    <w:rsid w:val="5E5A75C6"/>
    <w:rsid w:val="5F093B0F"/>
    <w:rsid w:val="63021D41"/>
    <w:rsid w:val="63F308D6"/>
    <w:rsid w:val="65B176DD"/>
    <w:rsid w:val="65E25E59"/>
    <w:rsid w:val="67CF738D"/>
    <w:rsid w:val="685B3F60"/>
    <w:rsid w:val="6876214A"/>
    <w:rsid w:val="69E22B8F"/>
    <w:rsid w:val="69FD14B4"/>
    <w:rsid w:val="6A976499"/>
    <w:rsid w:val="6B6F0127"/>
    <w:rsid w:val="6C3B74A7"/>
    <w:rsid w:val="6E26547D"/>
    <w:rsid w:val="7322163D"/>
    <w:rsid w:val="73EE633C"/>
    <w:rsid w:val="751329E8"/>
    <w:rsid w:val="76571ABF"/>
    <w:rsid w:val="770D2B59"/>
    <w:rsid w:val="7779300C"/>
    <w:rsid w:val="784A620C"/>
    <w:rsid w:val="78875078"/>
    <w:rsid w:val="79D01A0D"/>
    <w:rsid w:val="7BD567AB"/>
    <w:rsid w:val="7C334F08"/>
    <w:rsid w:val="7D6C45C4"/>
    <w:rsid w:val="7E144DD3"/>
    <w:rsid w:val="7E182F0E"/>
    <w:rsid w:val="7FA40B67"/>
    <w:rsid w:val="FFFE04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qFormat="1" w:unhideWhenUsed="0" w:uiPriority="99" w:semiHidden="0"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0" w:semiHidden="0" w:name="Strong"/>
    <w:lsdException w:qFormat="1" w:unhideWhenUsed="0" w:uiPriority="20" w:semiHidden="0" w:name="Emphasis"/>
    <w:lsdException w:qFormat="1" w:uiPriority="99" w:name="Document Map"/>
    <w:lsdException w:qFormat="1" w:unhideWhenUsed="0" w:uiPriority="0"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napToGrid w:val="0"/>
      <w:spacing w:line="360" w:lineRule="auto"/>
      <w:ind w:firstLine="828" w:firstLineChars="200"/>
      <w:jc w:val="both"/>
    </w:pPr>
    <w:rPr>
      <w:rFonts w:ascii="Times New Roman" w:hAnsi="Times New Roman" w:eastAsia="仿宋_GB2312" w:cs="Times New Roman"/>
      <w:kern w:val="2"/>
      <w:sz w:val="30"/>
      <w:szCs w:val="24"/>
      <w:lang w:val="en-US" w:eastAsia="zh-CN" w:bidi="ar-SA"/>
    </w:rPr>
  </w:style>
  <w:style w:type="paragraph" w:styleId="3">
    <w:name w:val="heading 1"/>
    <w:basedOn w:val="1"/>
    <w:next w:val="1"/>
    <w:link w:val="32"/>
    <w:qFormat/>
    <w:uiPriority w:val="0"/>
    <w:pPr>
      <w:keepNext/>
      <w:keepLines/>
      <w:outlineLvl w:val="0"/>
    </w:pPr>
    <w:rPr>
      <w:rFonts w:eastAsia="黑体"/>
      <w:b/>
      <w:bCs/>
      <w:kern w:val="44"/>
      <w:szCs w:val="44"/>
    </w:rPr>
  </w:style>
  <w:style w:type="paragraph" w:styleId="2">
    <w:name w:val="heading 2"/>
    <w:basedOn w:val="1"/>
    <w:next w:val="1"/>
    <w:link w:val="33"/>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108"/>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34"/>
    <w:unhideWhenUsed/>
    <w:qFormat/>
    <w:uiPriority w:val="9"/>
    <w:pPr>
      <w:keepNext/>
      <w:keepLines/>
      <w:spacing w:before="280" w:after="290" w:line="376" w:lineRule="atLeast"/>
      <w:textAlignment w:val="baseline"/>
      <w:outlineLvl w:val="3"/>
    </w:pPr>
    <w:rPr>
      <w:rFonts w:ascii="Cambria" w:hAnsi="Cambria"/>
      <w:b/>
      <w:bCs/>
      <w:sz w:val="28"/>
      <w:szCs w:val="28"/>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unhideWhenUsed/>
    <w:qFormat/>
    <w:uiPriority w:val="35"/>
    <w:rPr>
      <w:rFonts w:ascii="Cambria" w:hAnsi="Cambria" w:eastAsia="黑体"/>
      <w:sz w:val="20"/>
      <w:szCs w:val="20"/>
    </w:rPr>
  </w:style>
  <w:style w:type="paragraph" w:styleId="7">
    <w:name w:val="Document Map"/>
    <w:basedOn w:val="1"/>
    <w:link w:val="41"/>
    <w:semiHidden/>
    <w:unhideWhenUsed/>
    <w:qFormat/>
    <w:uiPriority w:val="99"/>
    <w:rPr>
      <w:rFonts w:ascii="宋体"/>
      <w:sz w:val="18"/>
      <w:szCs w:val="18"/>
    </w:rPr>
  </w:style>
  <w:style w:type="paragraph" w:styleId="8">
    <w:name w:val="annotation text"/>
    <w:basedOn w:val="1"/>
    <w:link w:val="38"/>
    <w:unhideWhenUsed/>
    <w:qFormat/>
    <w:uiPriority w:val="99"/>
    <w:pPr>
      <w:jc w:val="left"/>
    </w:pPr>
    <w:rPr>
      <w:kern w:val="0"/>
      <w:sz w:val="20"/>
    </w:rPr>
  </w:style>
  <w:style w:type="paragraph" w:styleId="9">
    <w:name w:val="toc 3"/>
    <w:basedOn w:val="10"/>
    <w:next w:val="1"/>
    <w:qFormat/>
    <w:uiPriority w:val="39"/>
    <w:pPr>
      <w:widowControl/>
      <w:tabs>
        <w:tab w:val="right" w:leader="dot" w:pos="8296"/>
        <w:tab w:val="right" w:leader="dot" w:pos="8619"/>
      </w:tabs>
      <w:spacing w:line="340" w:lineRule="atLeast"/>
      <w:ind w:left="0"/>
    </w:pPr>
    <w:rPr>
      <w:rFonts w:ascii="宋体" w:hAnsi="宋体"/>
      <w:kern w:val="0"/>
      <w:sz w:val="18"/>
      <w:szCs w:val="28"/>
    </w:rPr>
  </w:style>
  <w:style w:type="paragraph" w:styleId="10">
    <w:name w:val="toc 2"/>
    <w:basedOn w:val="1"/>
    <w:next w:val="1"/>
    <w:unhideWhenUsed/>
    <w:qFormat/>
    <w:uiPriority w:val="39"/>
    <w:pPr>
      <w:tabs>
        <w:tab w:val="right" w:leader="dot" w:pos="8296"/>
      </w:tabs>
      <w:ind w:left="420" w:hanging="420" w:hangingChars="175"/>
    </w:pPr>
  </w:style>
  <w:style w:type="paragraph" w:styleId="11">
    <w:name w:val="Plain Text"/>
    <w:basedOn w:val="1"/>
    <w:link w:val="36"/>
    <w:qFormat/>
    <w:uiPriority w:val="0"/>
    <w:rPr>
      <w:rFonts w:ascii="宋体" w:hAnsi="Courier New"/>
      <w:kern w:val="0"/>
      <w:sz w:val="20"/>
      <w:szCs w:val="21"/>
    </w:rPr>
  </w:style>
  <w:style w:type="paragraph" w:styleId="12">
    <w:name w:val="Balloon Text"/>
    <w:basedOn w:val="1"/>
    <w:link w:val="40"/>
    <w:semiHidden/>
    <w:unhideWhenUsed/>
    <w:qFormat/>
    <w:uiPriority w:val="99"/>
    <w:rPr>
      <w:kern w:val="0"/>
      <w:sz w:val="18"/>
      <w:szCs w:val="18"/>
    </w:rPr>
  </w:style>
  <w:style w:type="paragraph" w:styleId="13">
    <w:name w:val="footer"/>
    <w:basedOn w:val="1"/>
    <w:link w:val="31"/>
    <w:unhideWhenUsed/>
    <w:qFormat/>
    <w:uiPriority w:val="99"/>
    <w:pPr>
      <w:tabs>
        <w:tab w:val="center" w:pos="4153"/>
        <w:tab w:val="right" w:pos="8306"/>
      </w:tabs>
      <w:jc w:val="left"/>
    </w:pPr>
    <w:rPr>
      <w:sz w:val="18"/>
      <w:szCs w:val="18"/>
    </w:rPr>
  </w:style>
  <w:style w:type="paragraph" w:styleId="14">
    <w:name w:val="header"/>
    <w:basedOn w:val="1"/>
    <w:link w:val="30"/>
    <w:unhideWhenUsed/>
    <w:qFormat/>
    <w:uiPriority w:val="99"/>
    <w:pPr>
      <w:pBdr>
        <w:bottom w:val="single" w:color="auto" w:sz="6" w:space="1"/>
      </w:pBdr>
      <w:tabs>
        <w:tab w:val="center" w:pos="4153"/>
        <w:tab w:val="right" w:pos="8306"/>
      </w:tabs>
      <w:jc w:val="center"/>
    </w:pPr>
    <w:rPr>
      <w:sz w:val="18"/>
      <w:szCs w:val="18"/>
    </w:rPr>
  </w:style>
  <w:style w:type="paragraph" w:styleId="15">
    <w:name w:val="toc 1"/>
    <w:basedOn w:val="1"/>
    <w:next w:val="1"/>
    <w:unhideWhenUsed/>
    <w:qFormat/>
    <w:uiPriority w:val="39"/>
    <w:pPr>
      <w:tabs>
        <w:tab w:val="right" w:leader="dot" w:pos="8296"/>
      </w:tabs>
      <w:jc w:val="center"/>
    </w:pPr>
    <w:rPr>
      <w:rFonts w:ascii="黑体" w:hAnsi="黑体" w:eastAsia="黑体"/>
      <w:b/>
      <w:kern w:val="0"/>
      <w:sz w:val="28"/>
    </w:rPr>
  </w:style>
  <w:style w:type="paragraph" w:styleId="16">
    <w:name w:val="footnote text"/>
    <w:basedOn w:val="1"/>
    <w:link w:val="73"/>
    <w:semiHidden/>
    <w:unhideWhenUsed/>
    <w:qFormat/>
    <w:uiPriority w:val="99"/>
    <w:pPr>
      <w:jc w:val="left"/>
    </w:pPr>
    <w:rPr>
      <w:sz w:val="18"/>
      <w:szCs w:val="18"/>
    </w:rPr>
  </w:style>
  <w:style w:type="paragraph" w:styleId="17">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8">
    <w:name w:val="annotation subject"/>
    <w:basedOn w:val="8"/>
    <w:next w:val="8"/>
    <w:link w:val="39"/>
    <w:semiHidden/>
    <w:unhideWhenUsed/>
    <w:qFormat/>
    <w:uiPriority w:val="99"/>
    <w:rPr>
      <w:b/>
      <w:bCs/>
    </w:rPr>
  </w:style>
  <w:style w:type="table" w:styleId="20">
    <w:name w:val="Table Grid"/>
    <w:basedOn w:val="1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2">
    <w:name w:val="Strong"/>
    <w:basedOn w:val="21"/>
    <w:qFormat/>
    <w:uiPriority w:val="0"/>
    <w:rPr>
      <w:b/>
    </w:rPr>
  </w:style>
  <w:style w:type="character" w:styleId="23">
    <w:name w:val="page number"/>
    <w:basedOn w:val="21"/>
    <w:qFormat/>
    <w:uiPriority w:val="0"/>
  </w:style>
  <w:style w:type="character" w:styleId="24">
    <w:name w:val="FollowedHyperlink"/>
    <w:basedOn w:val="21"/>
    <w:semiHidden/>
    <w:unhideWhenUsed/>
    <w:qFormat/>
    <w:uiPriority w:val="99"/>
    <w:rPr>
      <w:color w:val="800080"/>
      <w:u w:val="single"/>
    </w:rPr>
  </w:style>
  <w:style w:type="character" w:styleId="25">
    <w:name w:val="Emphasis"/>
    <w:basedOn w:val="21"/>
    <w:qFormat/>
    <w:uiPriority w:val="20"/>
    <w:rPr>
      <w:i/>
    </w:rPr>
  </w:style>
  <w:style w:type="character" w:styleId="26">
    <w:name w:val="Hyperlink"/>
    <w:unhideWhenUsed/>
    <w:qFormat/>
    <w:uiPriority w:val="99"/>
    <w:rPr>
      <w:color w:val="0000FF"/>
      <w:u w:val="single"/>
    </w:rPr>
  </w:style>
  <w:style w:type="character" w:styleId="27">
    <w:name w:val="annotation reference"/>
    <w:semiHidden/>
    <w:unhideWhenUsed/>
    <w:qFormat/>
    <w:uiPriority w:val="99"/>
    <w:rPr>
      <w:sz w:val="21"/>
      <w:szCs w:val="21"/>
    </w:rPr>
  </w:style>
  <w:style w:type="character" w:styleId="28">
    <w:name w:val="footnote reference"/>
    <w:qFormat/>
    <w:uiPriority w:val="99"/>
    <w:rPr>
      <w:vertAlign w:val="superscript"/>
    </w:rPr>
  </w:style>
  <w:style w:type="paragraph" w:customStyle="1" w:styleId="29">
    <w:name w:val="BodyText"/>
    <w:basedOn w:val="1"/>
    <w:qFormat/>
    <w:uiPriority w:val="99"/>
    <w:pPr>
      <w:widowControl/>
      <w:spacing w:after="120"/>
      <w:textAlignment w:val="baseline"/>
    </w:pPr>
  </w:style>
  <w:style w:type="character" w:customStyle="1" w:styleId="30">
    <w:name w:val="页眉 字符"/>
    <w:basedOn w:val="21"/>
    <w:link w:val="14"/>
    <w:qFormat/>
    <w:uiPriority w:val="99"/>
    <w:rPr>
      <w:sz w:val="18"/>
      <w:szCs w:val="18"/>
    </w:rPr>
  </w:style>
  <w:style w:type="character" w:customStyle="1" w:styleId="31">
    <w:name w:val="页脚 字符"/>
    <w:basedOn w:val="21"/>
    <w:link w:val="13"/>
    <w:qFormat/>
    <w:uiPriority w:val="99"/>
    <w:rPr>
      <w:sz w:val="18"/>
      <w:szCs w:val="18"/>
    </w:rPr>
  </w:style>
  <w:style w:type="character" w:customStyle="1" w:styleId="32">
    <w:name w:val="标题 1 字符"/>
    <w:basedOn w:val="21"/>
    <w:link w:val="3"/>
    <w:qFormat/>
    <w:uiPriority w:val="0"/>
    <w:rPr>
      <w:rFonts w:ascii="Times New Roman" w:hAnsi="Times New Roman" w:eastAsia="黑体" w:cs="Times New Roman"/>
      <w:b/>
      <w:bCs/>
      <w:kern w:val="44"/>
      <w:sz w:val="30"/>
      <w:szCs w:val="44"/>
    </w:rPr>
  </w:style>
  <w:style w:type="character" w:customStyle="1" w:styleId="33">
    <w:name w:val="标题 2 字符"/>
    <w:basedOn w:val="21"/>
    <w:link w:val="2"/>
    <w:qFormat/>
    <w:uiPriority w:val="0"/>
    <w:rPr>
      <w:rFonts w:ascii="Arial" w:hAnsi="Arial" w:eastAsia="黑体" w:cs="Times New Roman"/>
      <w:b/>
      <w:bCs/>
      <w:sz w:val="32"/>
      <w:szCs w:val="32"/>
    </w:rPr>
  </w:style>
  <w:style w:type="character" w:customStyle="1" w:styleId="34">
    <w:name w:val="标题 4 字符"/>
    <w:basedOn w:val="21"/>
    <w:link w:val="5"/>
    <w:qFormat/>
    <w:uiPriority w:val="9"/>
    <w:rPr>
      <w:rFonts w:ascii="Cambria" w:hAnsi="Cambria" w:eastAsia="宋体" w:cs="Times New Roman"/>
      <w:b/>
      <w:bCs/>
      <w:sz w:val="28"/>
      <w:szCs w:val="28"/>
    </w:rPr>
  </w:style>
  <w:style w:type="paragraph" w:customStyle="1" w:styleId="35">
    <w:name w:val="Char Char Char Char Char Char Char Char Char Char Char Char Char"/>
    <w:basedOn w:val="1"/>
    <w:qFormat/>
    <w:uiPriority w:val="0"/>
    <w:pPr>
      <w:widowControl/>
      <w:spacing w:after="160" w:line="240" w:lineRule="exact"/>
      <w:jc w:val="left"/>
    </w:pPr>
    <w:rPr>
      <w:rFonts w:ascii="Verdana" w:hAnsi="Verdana"/>
      <w:kern w:val="0"/>
      <w:sz w:val="20"/>
      <w:szCs w:val="20"/>
      <w:lang w:eastAsia="en-US"/>
    </w:rPr>
  </w:style>
  <w:style w:type="character" w:customStyle="1" w:styleId="36">
    <w:name w:val="纯文本 字符"/>
    <w:basedOn w:val="21"/>
    <w:link w:val="11"/>
    <w:qFormat/>
    <w:uiPriority w:val="0"/>
    <w:rPr>
      <w:rFonts w:ascii="宋体" w:hAnsi="Courier New" w:eastAsia="宋体" w:cs="Times New Roman"/>
      <w:kern w:val="0"/>
      <w:sz w:val="20"/>
      <w:szCs w:val="21"/>
    </w:rPr>
  </w:style>
  <w:style w:type="paragraph" w:styleId="37">
    <w:name w:val="List Paragraph"/>
    <w:basedOn w:val="1"/>
    <w:qFormat/>
    <w:uiPriority w:val="34"/>
    <w:pPr>
      <w:ind w:firstLine="420"/>
    </w:pPr>
  </w:style>
  <w:style w:type="character" w:customStyle="1" w:styleId="38">
    <w:name w:val="批注文字 字符"/>
    <w:basedOn w:val="21"/>
    <w:link w:val="8"/>
    <w:qFormat/>
    <w:uiPriority w:val="99"/>
    <w:rPr>
      <w:rFonts w:ascii="Times New Roman" w:hAnsi="Times New Roman" w:eastAsia="宋体" w:cs="Times New Roman"/>
      <w:kern w:val="0"/>
      <w:sz w:val="20"/>
      <w:szCs w:val="24"/>
    </w:rPr>
  </w:style>
  <w:style w:type="character" w:customStyle="1" w:styleId="39">
    <w:name w:val="批注主题 字符"/>
    <w:basedOn w:val="38"/>
    <w:link w:val="18"/>
    <w:semiHidden/>
    <w:qFormat/>
    <w:uiPriority w:val="99"/>
    <w:rPr>
      <w:rFonts w:ascii="Times New Roman" w:hAnsi="Times New Roman" w:eastAsia="宋体" w:cs="Times New Roman"/>
      <w:b/>
      <w:bCs/>
      <w:kern w:val="0"/>
      <w:sz w:val="20"/>
      <w:szCs w:val="24"/>
    </w:rPr>
  </w:style>
  <w:style w:type="character" w:customStyle="1" w:styleId="40">
    <w:name w:val="批注框文本 字符"/>
    <w:basedOn w:val="21"/>
    <w:link w:val="12"/>
    <w:semiHidden/>
    <w:qFormat/>
    <w:uiPriority w:val="99"/>
    <w:rPr>
      <w:rFonts w:ascii="Times New Roman" w:hAnsi="Times New Roman" w:eastAsia="宋体" w:cs="Times New Roman"/>
      <w:kern w:val="0"/>
      <w:sz w:val="18"/>
      <w:szCs w:val="18"/>
    </w:rPr>
  </w:style>
  <w:style w:type="character" w:customStyle="1" w:styleId="41">
    <w:name w:val="文档结构图 字符"/>
    <w:basedOn w:val="21"/>
    <w:link w:val="7"/>
    <w:semiHidden/>
    <w:qFormat/>
    <w:uiPriority w:val="99"/>
    <w:rPr>
      <w:rFonts w:ascii="宋体" w:hAnsi="Times New Roman" w:eastAsia="宋体" w:cs="Times New Roman"/>
      <w:sz w:val="18"/>
      <w:szCs w:val="18"/>
    </w:rPr>
  </w:style>
  <w:style w:type="paragraph" w:customStyle="1" w:styleId="42">
    <w:name w:val="修订1"/>
    <w:hidden/>
    <w:semiHidden/>
    <w:qFormat/>
    <w:uiPriority w:val="99"/>
    <w:rPr>
      <w:rFonts w:ascii="Times New Roman" w:hAnsi="Times New Roman" w:eastAsia="宋体" w:cs="Times New Roman"/>
      <w:kern w:val="2"/>
      <w:sz w:val="21"/>
      <w:szCs w:val="24"/>
      <w:lang w:val="en-US" w:eastAsia="zh-CN" w:bidi="ar-SA"/>
    </w:rPr>
  </w:style>
  <w:style w:type="paragraph" w:customStyle="1" w:styleId="43">
    <w:name w:val="font518371"/>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44">
    <w:name w:val="font618371"/>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45">
    <w:name w:val="font718371"/>
    <w:basedOn w:val="1"/>
    <w:qFormat/>
    <w:uiPriority w:val="0"/>
    <w:pPr>
      <w:widowControl/>
      <w:spacing w:before="100" w:beforeAutospacing="1" w:after="100" w:afterAutospacing="1"/>
      <w:jc w:val="left"/>
    </w:pPr>
    <w:rPr>
      <w:rFonts w:ascii="宋体" w:hAnsi="宋体" w:cs="宋体"/>
      <w:kern w:val="0"/>
      <w:sz w:val="20"/>
      <w:szCs w:val="20"/>
    </w:rPr>
  </w:style>
  <w:style w:type="paragraph" w:customStyle="1" w:styleId="46">
    <w:name w:val="font818371"/>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47">
    <w:name w:val="font918371"/>
    <w:basedOn w:val="1"/>
    <w:qFormat/>
    <w:uiPriority w:val="0"/>
    <w:pPr>
      <w:widowControl/>
      <w:spacing w:before="100" w:beforeAutospacing="1" w:after="100" w:afterAutospacing="1"/>
      <w:jc w:val="left"/>
    </w:pPr>
    <w:rPr>
      <w:rFonts w:ascii="Tahoma" w:hAnsi="Tahoma" w:cs="Tahoma"/>
      <w:b/>
      <w:bCs/>
      <w:color w:val="000000"/>
      <w:kern w:val="0"/>
      <w:sz w:val="18"/>
      <w:szCs w:val="18"/>
    </w:rPr>
  </w:style>
  <w:style w:type="paragraph" w:customStyle="1" w:styleId="48">
    <w:name w:val="font1018371"/>
    <w:basedOn w:val="1"/>
    <w:qFormat/>
    <w:uiPriority w:val="0"/>
    <w:pPr>
      <w:widowControl/>
      <w:spacing w:before="100" w:beforeAutospacing="1" w:after="100" w:afterAutospacing="1"/>
      <w:jc w:val="left"/>
    </w:pPr>
    <w:rPr>
      <w:rFonts w:ascii="Tahoma" w:hAnsi="Tahoma" w:cs="Tahoma"/>
      <w:color w:val="000000"/>
      <w:kern w:val="0"/>
      <w:sz w:val="18"/>
      <w:szCs w:val="18"/>
    </w:rPr>
  </w:style>
  <w:style w:type="paragraph" w:customStyle="1" w:styleId="49">
    <w:name w:val="font1118371"/>
    <w:basedOn w:val="1"/>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50">
    <w:name w:val="font1218371"/>
    <w:basedOn w:val="1"/>
    <w:qFormat/>
    <w:uiPriority w:val="0"/>
    <w:pPr>
      <w:widowControl/>
      <w:spacing w:before="100" w:beforeAutospacing="1" w:after="100" w:afterAutospacing="1"/>
      <w:jc w:val="left"/>
    </w:pPr>
    <w:rPr>
      <w:rFonts w:ascii="宋体" w:hAnsi="宋体" w:cs="宋体"/>
      <w:color w:val="FF0000"/>
      <w:kern w:val="0"/>
      <w:sz w:val="20"/>
      <w:szCs w:val="20"/>
    </w:rPr>
  </w:style>
  <w:style w:type="paragraph" w:customStyle="1" w:styleId="51">
    <w:name w:val="font1318371"/>
    <w:basedOn w:val="1"/>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52">
    <w:name w:val="xl6718371"/>
    <w:basedOn w:val="1"/>
    <w:qFormat/>
    <w:uiPriority w:val="0"/>
    <w:pPr>
      <w:widowControl/>
      <w:spacing w:before="100" w:beforeAutospacing="1" w:after="100" w:afterAutospacing="1"/>
      <w:jc w:val="left"/>
      <w:textAlignment w:val="center"/>
    </w:pPr>
    <w:rPr>
      <w:rFonts w:ascii="宋体" w:hAnsi="宋体" w:cs="宋体"/>
      <w:kern w:val="0"/>
      <w:sz w:val="16"/>
      <w:szCs w:val="16"/>
    </w:rPr>
  </w:style>
  <w:style w:type="paragraph" w:customStyle="1" w:styleId="53">
    <w:name w:val="xl6818371"/>
    <w:basedOn w:val="1"/>
    <w:qFormat/>
    <w:uiPriority w:val="0"/>
    <w:pPr>
      <w:widowControl/>
      <w:spacing w:before="100" w:beforeAutospacing="1" w:after="100" w:afterAutospacing="1"/>
      <w:jc w:val="left"/>
      <w:textAlignment w:val="center"/>
    </w:pPr>
    <w:rPr>
      <w:rFonts w:ascii="Courier New" w:hAnsi="Courier New" w:cs="Courier New"/>
      <w:kern w:val="0"/>
      <w:sz w:val="24"/>
    </w:rPr>
  </w:style>
  <w:style w:type="paragraph" w:customStyle="1" w:styleId="54">
    <w:name w:val="xl6918371"/>
    <w:basedOn w:val="1"/>
    <w:qFormat/>
    <w:uiPriority w:val="0"/>
    <w:pPr>
      <w:widowControl/>
      <w:spacing w:before="100" w:beforeAutospacing="1" w:after="100" w:afterAutospacing="1"/>
      <w:jc w:val="left"/>
      <w:textAlignment w:val="center"/>
    </w:pPr>
    <w:rPr>
      <w:rFonts w:ascii="宋体" w:hAnsi="宋体" w:cs="宋体"/>
      <w:kern w:val="0"/>
      <w:sz w:val="24"/>
    </w:rPr>
  </w:style>
  <w:style w:type="paragraph" w:customStyle="1" w:styleId="55">
    <w:name w:val="xl7018371"/>
    <w:basedOn w:val="1"/>
    <w:qFormat/>
    <w:uiPriority w:val="0"/>
    <w:pPr>
      <w:widowControl/>
      <w:spacing w:before="100" w:beforeAutospacing="1" w:after="100" w:afterAutospacing="1"/>
      <w:jc w:val="left"/>
      <w:textAlignment w:val="center"/>
    </w:pPr>
    <w:rPr>
      <w:rFonts w:ascii="宋体" w:hAnsi="宋体" w:cs="宋体"/>
      <w:kern w:val="0"/>
      <w:sz w:val="24"/>
    </w:rPr>
  </w:style>
  <w:style w:type="paragraph" w:customStyle="1" w:styleId="56">
    <w:name w:val="xl7118371"/>
    <w:basedOn w:val="1"/>
    <w:qFormat/>
    <w:uiPriority w:val="0"/>
    <w:pPr>
      <w:widowControl/>
      <w:spacing w:before="100" w:beforeAutospacing="1" w:after="100" w:afterAutospacing="1"/>
      <w:jc w:val="center"/>
      <w:textAlignment w:val="center"/>
    </w:pPr>
    <w:rPr>
      <w:rFonts w:ascii="宋体" w:hAnsi="宋体" w:cs="宋体"/>
      <w:kern w:val="0"/>
      <w:sz w:val="24"/>
    </w:rPr>
  </w:style>
  <w:style w:type="paragraph" w:customStyle="1" w:styleId="57">
    <w:name w:val="xl72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0"/>
      <w:szCs w:val="20"/>
    </w:rPr>
  </w:style>
  <w:style w:type="paragraph" w:customStyle="1" w:styleId="58">
    <w:name w:val="xl73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0"/>
      <w:szCs w:val="20"/>
    </w:rPr>
  </w:style>
  <w:style w:type="paragraph" w:customStyle="1" w:styleId="59">
    <w:name w:val="xl74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0">
    <w:name w:val="xl75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0"/>
      <w:szCs w:val="20"/>
    </w:rPr>
  </w:style>
  <w:style w:type="paragraph" w:customStyle="1" w:styleId="61">
    <w:name w:val="xl7618371"/>
    <w:basedOn w:val="1"/>
    <w:qFormat/>
    <w:uiPriority w:val="0"/>
    <w:pPr>
      <w:widowControl/>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jc w:val="center"/>
      <w:textAlignment w:val="center"/>
    </w:pPr>
    <w:rPr>
      <w:rFonts w:ascii="黑体" w:hAnsi="黑体" w:eastAsia="黑体" w:cs="宋体"/>
      <w:kern w:val="0"/>
      <w:sz w:val="20"/>
      <w:szCs w:val="20"/>
    </w:rPr>
  </w:style>
  <w:style w:type="paragraph" w:customStyle="1" w:styleId="62">
    <w:name w:val="xl77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宋体" w:hAnsi="宋体" w:cs="宋体"/>
      <w:kern w:val="0"/>
      <w:sz w:val="20"/>
      <w:szCs w:val="20"/>
    </w:rPr>
  </w:style>
  <w:style w:type="paragraph" w:customStyle="1" w:styleId="63">
    <w:name w:val="xl7818371"/>
    <w:basedOn w:val="1"/>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textAlignment w:val="center"/>
    </w:pPr>
    <w:rPr>
      <w:rFonts w:ascii="宋体" w:hAnsi="宋体" w:cs="宋体"/>
      <w:kern w:val="0"/>
      <w:sz w:val="20"/>
      <w:szCs w:val="20"/>
    </w:rPr>
  </w:style>
  <w:style w:type="paragraph" w:customStyle="1" w:styleId="64">
    <w:name w:val="xl7918371"/>
    <w:basedOn w:val="1"/>
    <w:qFormat/>
    <w:uiPriority w:val="0"/>
    <w:pPr>
      <w:widowControl/>
      <w:spacing w:before="100" w:beforeAutospacing="1" w:after="100" w:afterAutospacing="1"/>
      <w:jc w:val="center"/>
      <w:textAlignment w:val="center"/>
    </w:pPr>
    <w:rPr>
      <w:rFonts w:ascii="宋体" w:hAnsi="宋体" w:cs="宋体"/>
      <w:b/>
      <w:bCs/>
      <w:kern w:val="0"/>
      <w:sz w:val="32"/>
      <w:szCs w:val="32"/>
    </w:rPr>
  </w:style>
  <w:style w:type="paragraph" w:customStyle="1" w:styleId="65">
    <w:name w:val="xl801837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6">
    <w:name w:val="xl8118371"/>
    <w:basedOn w:val="1"/>
    <w:qFormat/>
    <w:uiPriority w:val="0"/>
    <w:pPr>
      <w:widowControl/>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jc w:val="center"/>
      <w:textAlignment w:val="center"/>
    </w:pPr>
    <w:rPr>
      <w:rFonts w:ascii="黑体" w:hAnsi="黑体" w:eastAsia="黑体" w:cs="宋体"/>
      <w:kern w:val="0"/>
      <w:sz w:val="20"/>
      <w:szCs w:val="20"/>
    </w:rPr>
  </w:style>
  <w:style w:type="paragraph" w:customStyle="1" w:styleId="67">
    <w:name w:val="xl821837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8">
    <w:name w:val="xl831837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69">
    <w:name w:val="xl841837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0">
    <w:name w:val="xl8518371"/>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1">
    <w:name w:val="xl8618371"/>
    <w:basedOn w:val="1"/>
    <w:qFormat/>
    <w:uiPriority w:val="0"/>
    <w:pPr>
      <w:widowControl/>
      <w:pBdr>
        <w:left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paragraph" w:customStyle="1" w:styleId="72">
    <w:name w:val="xl8718371"/>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s="宋体"/>
      <w:kern w:val="0"/>
      <w:sz w:val="20"/>
      <w:szCs w:val="20"/>
    </w:rPr>
  </w:style>
  <w:style w:type="character" w:customStyle="1" w:styleId="73">
    <w:name w:val="脚注文本 字符"/>
    <w:basedOn w:val="21"/>
    <w:link w:val="16"/>
    <w:semiHidden/>
    <w:qFormat/>
    <w:uiPriority w:val="99"/>
    <w:rPr>
      <w:rFonts w:ascii="Times New Roman" w:hAnsi="Times New Roman" w:eastAsia="宋体" w:cs="Times New Roman"/>
      <w:sz w:val="18"/>
      <w:szCs w:val="18"/>
    </w:rPr>
  </w:style>
  <w:style w:type="paragraph" w:customStyle="1" w:styleId="74">
    <w:name w:val="TOC 标题1"/>
    <w:basedOn w:val="3"/>
    <w:next w:val="1"/>
    <w:unhideWhenUsed/>
    <w:qFormat/>
    <w:uiPriority w:val="39"/>
    <w:pPr>
      <w:widowControl/>
      <w:spacing w:before="480" w:line="276" w:lineRule="auto"/>
      <w:jc w:val="left"/>
      <w:outlineLvl w:val="9"/>
    </w:pPr>
    <w:rPr>
      <w:rFonts w:asciiTheme="majorHAnsi" w:hAnsiTheme="majorHAnsi" w:eastAsiaTheme="majorEastAsia" w:cstheme="majorBidi"/>
      <w:color w:val="2F5597" w:themeColor="accent1" w:themeShade="BF"/>
      <w:kern w:val="0"/>
      <w:sz w:val="28"/>
      <w:szCs w:val="28"/>
    </w:rPr>
  </w:style>
  <w:style w:type="paragraph" w:customStyle="1" w:styleId="75">
    <w:name w:val="msonormal"/>
    <w:basedOn w:val="1"/>
    <w:qFormat/>
    <w:uiPriority w:val="0"/>
    <w:pPr>
      <w:widowControl/>
      <w:spacing w:before="100" w:beforeAutospacing="1" w:after="100" w:afterAutospacing="1"/>
      <w:jc w:val="left"/>
    </w:pPr>
    <w:rPr>
      <w:rFonts w:ascii="宋体" w:hAnsi="宋体" w:cs="宋体"/>
      <w:kern w:val="0"/>
      <w:sz w:val="24"/>
    </w:rPr>
  </w:style>
  <w:style w:type="paragraph" w:customStyle="1" w:styleId="76">
    <w:name w:val="font5"/>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77">
    <w:name w:val="xl66"/>
    <w:basedOn w:val="1"/>
    <w:qFormat/>
    <w:uiPriority w:val="0"/>
    <w:pPr>
      <w:widowControl/>
      <w:spacing w:before="100" w:beforeAutospacing="1" w:after="100" w:afterAutospacing="1"/>
      <w:jc w:val="left"/>
    </w:pPr>
    <w:rPr>
      <w:rFonts w:ascii="宋体" w:hAnsi="宋体" w:cs="宋体"/>
      <w:kern w:val="0"/>
      <w:sz w:val="24"/>
    </w:rPr>
  </w:style>
  <w:style w:type="paragraph" w:customStyle="1" w:styleId="78">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79">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rPr>
  </w:style>
  <w:style w:type="paragraph" w:customStyle="1" w:styleId="80">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81">
    <w:name w:val="xl70"/>
    <w:basedOn w:val="1"/>
    <w:qFormat/>
    <w:uiPriority w:val="0"/>
    <w:pPr>
      <w:widowControl/>
      <w:spacing w:before="100" w:beforeAutospacing="1" w:after="100" w:afterAutospacing="1"/>
      <w:jc w:val="left"/>
    </w:pPr>
    <w:rPr>
      <w:rFonts w:ascii="宋体" w:hAnsi="宋体" w:cs="宋体"/>
      <w:kern w:val="0"/>
      <w:sz w:val="18"/>
      <w:szCs w:val="18"/>
    </w:rPr>
  </w:style>
  <w:style w:type="paragraph" w:customStyle="1" w:styleId="82">
    <w:name w:val="xl71"/>
    <w:basedOn w:val="1"/>
    <w:qFormat/>
    <w:uiPriority w:val="0"/>
    <w:pPr>
      <w:widowControl/>
      <w:shd w:val="clear" w:color="000000" w:fill="FFFFFF"/>
      <w:spacing w:before="100" w:beforeAutospacing="1" w:after="100" w:afterAutospacing="1"/>
      <w:jc w:val="left"/>
    </w:pPr>
    <w:rPr>
      <w:rFonts w:ascii="宋体" w:hAnsi="宋体" w:cs="宋体"/>
      <w:kern w:val="0"/>
      <w:sz w:val="18"/>
      <w:szCs w:val="18"/>
    </w:rPr>
  </w:style>
  <w:style w:type="paragraph" w:customStyle="1" w:styleId="83">
    <w:name w:val="xl72"/>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18"/>
      <w:szCs w:val="18"/>
    </w:rPr>
  </w:style>
  <w:style w:type="paragraph" w:customStyle="1" w:styleId="84">
    <w:name w:val="xl7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18"/>
      <w:szCs w:val="18"/>
    </w:rPr>
  </w:style>
  <w:style w:type="paragraph" w:customStyle="1" w:styleId="85">
    <w:name w:val="xl7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86">
    <w:name w:val="xl75"/>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87">
    <w:name w:val="xl7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88">
    <w:name w:val="xl7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89">
    <w:name w:val="xl7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楷体_GB2312" w:hAnsi="宋体" w:eastAsia="楷体_GB2312" w:cs="宋体"/>
      <w:kern w:val="0"/>
      <w:sz w:val="24"/>
    </w:rPr>
  </w:style>
  <w:style w:type="paragraph" w:customStyle="1" w:styleId="90">
    <w:name w:val="xl79"/>
    <w:basedOn w:val="1"/>
    <w:qFormat/>
    <w:uiPriority w:val="0"/>
    <w:pPr>
      <w:widowControl/>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jc w:val="center"/>
    </w:pPr>
    <w:rPr>
      <w:rFonts w:ascii="黑体" w:hAnsi="黑体" w:eastAsia="黑体" w:cs="宋体"/>
      <w:kern w:val="0"/>
      <w:sz w:val="20"/>
      <w:szCs w:val="20"/>
    </w:rPr>
  </w:style>
  <w:style w:type="paragraph" w:customStyle="1" w:styleId="91">
    <w:name w:val="xl8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92">
    <w:name w:val="xl81"/>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18"/>
      <w:szCs w:val="18"/>
    </w:rPr>
  </w:style>
  <w:style w:type="paragraph" w:customStyle="1" w:styleId="93">
    <w:name w:val="xl8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94">
    <w:name w:val="xl83"/>
    <w:basedOn w:val="1"/>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sz w:val="18"/>
      <w:szCs w:val="18"/>
    </w:rPr>
  </w:style>
  <w:style w:type="paragraph" w:customStyle="1" w:styleId="95">
    <w:name w:val="xl84"/>
    <w:basedOn w:val="1"/>
    <w:qFormat/>
    <w:uiPriority w:val="0"/>
    <w:pPr>
      <w:widowControl/>
      <w:pBdr>
        <w:top w:val="single" w:color="auto" w:sz="4" w:space="0"/>
        <w:left w:val="single" w:color="auto" w:sz="4" w:space="0"/>
        <w:bottom w:val="single" w:color="auto" w:sz="4" w:space="0"/>
        <w:right w:val="single" w:color="auto" w:sz="4" w:space="0"/>
      </w:pBdr>
      <w:shd w:val="clear" w:color="000000" w:fill="BFBFBF"/>
      <w:spacing w:before="100" w:beforeAutospacing="1" w:after="100" w:afterAutospacing="1"/>
      <w:jc w:val="center"/>
    </w:pPr>
    <w:rPr>
      <w:rFonts w:ascii="黑体" w:hAnsi="黑体" w:eastAsia="黑体" w:cs="宋体"/>
      <w:kern w:val="0"/>
      <w:sz w:val="20"/>
      <w:szCs w:val="20"/>
    </w:rPr>
  </w:style>
  <w:style w:type="paragraph" w:customStyle="1" w:styleId="96">
    <w:name w:val="xl85"/>
    <w:basedOn w:val="1"/>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97">
    <w:name w:val="xl86"/>
    <w:basedOn w:val="1"/>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98">
    <w:name w:val="xl87"/>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99">
    <w:name w:val="xl88"/>
    <w:basedOn w:val="1"/>
    <w:qFormat/>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18"/>
      <w:szCs w:val="18"/>
    </w:rPr>
  </w:style>
  <w:style w:type="paragraph" w:customStyle="1" w:styleId="100">
    <w:name w:val="xl89"/>
    <w:basedOn w:val="1"/>
    <w:qFormat/>
    <w:uiPriority w:val="0"/>
    <w:pPr>
      <w:widowControl/>
      <w:pBdr>
        <w:left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18"/>
      <w:szCs w:val="18"/>
    </w:rPr>
  </w:style>
  <w:style w:type="paragraph" w:customStyle="1" w:styleId="101">
    <w:name w:val="xl90"/>
    <w:basedOn w:val="1"/>
    <w:qFormat/>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sz w:val="18"/>
      <w:szCs w:val="18"/>
    </w:rPr>
  </w:style>
  <w:style w:type="paragraph" w:customStyle="1" w:styleId="102">
    <w:name w:val="xl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103">
    <w:name w:val="xl9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104">
    <w:name w:val="xl93"/>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18"/>
      <w:szCs w:val="18"/>
    </w:rPr>
  </w:style>
  <w:style w:type="paragraph" w:customStyle="1" w:styleId="105">
    <w:name w:val="xl94"/>
    <w:basedOn w:val="1"/>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106">
    <w:name w:val="xl95"/>
    <w:basedOn w:val="1"/>
    <w:qFormat/>
    <w:uiPriority w:val="0"/>
    <w:pPr>
      <w:widowControl/>
      <w:pBdr>
        <w:left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paragraph" w:customStyle="1" w:styleId="107">
    <w:name w:val="xl96"/>
    <w:basedOn w:val="1"/>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18"/>
      <w:szCs w:val="18"/>
    </w:rPr>
  </w:style>
  <w:style w:type="character" w:customStyle="1" w:styleId="108">
    <w:name w:val="标题 3 字符"/>
    <w:basedOn w:val="21"/>
    <w:link w:val="4"/>
    <w:qFormat/>
    <w:uiPriority w:val="9"/>
    <w:rPr>
      <w:rFonts w:ascii="Times New Roman" w:hAnsi="Times New Roman" w:eastAsia="宋体" w:cs="Times New Roman"/>
      <w:b/>
      <w:bCs/>
      <w:sz w:val="32"/>
      <w:szCs w:val="32"/>
    </w:rPr>
  </w:style>
  <w:style w:type="character" w:customStyle="1" w:styleId="109">
    <w:name w:val="正文1 Char"/>
    <w:link w:val="110"/>
    <w:qFormat/>
    <w:uiPriority w:val="0"/>
    <w:rPr>
      <w:rFonts w:ascii="宋体" w:hAnsi="宋体" w:eastAsia="仿宋_GB2312" w:cs="Times New Roman"/>
      <w:spacing w:val="6"/>
      <w:sz w:val="30"/>
      <w:szCs w:val="24"/>
    </w:rPr>
  </w:style>
  <w:style w:type="paragraph" w:customStyle="1" w:styleId="110">
    <w:name w:val="正文1"/>
    <w:basedOn w:val="1"/>
    <w:link w:val="109"/>
    <w:qFormat/>
    <w:uiPriority w:val="0"/>
    <w:pPr>
      <w:autoSpaceDE w:val="0"/>
      <w:autoSpaceDN w:val="0"/>
      <w:spacing w:line="600" w:lineRule="exact"/>
      <w:ind w:firstLine="624"/>
    </w:pPr>
    <w:rPr>
      <w:rFonts w:ascii="宋体" w:hAnsi="宋体"/>
      <w:spacing w:val="6"/>
    </w:rPr>
  </w:style>
  <w:style w:type="paragraph" w:customStyle="1" w:styleId="111">
    <w:name w:val="Default"/>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paragraph" w:customStyle="1" w:styleId="112">
    <w:name w:val="文本块1"/>
    <w:basedOn w:val="1"/>
    <w:qFormat/>
    <w:uiPriority w:val="0"/>
    <w:pPr>
      <w:spacing w:line="360" w:lineRule="exact"/>
      <w:ind w:left="210" w:leftChars="100" w:right="210" w:rightChars="100" w:firstLine="480"/>
    </w:pPr>
    <w:rPr>
      <w:rFonts w:ascii="仿宋_GB2312" w:cs="仿宋_GB2312"/>
      <w:sz w:val="24"/>
      <w:lang w:bidi="mn-Mong-CN"/>
    </w:rPr>
  </w:style>
  <w:style w:type="paragraph" w:customStyle="1" w:styleId="113">
    <w:name w:val="纯文本1"/>
    <w:basedOn w:val="1"/>
    <w:qFormat/>
    <w:uiPriority w:val="0"/>
    <w:rPr>
      <w:rFonts w:ascii="宋体" w:hAnsi="Courier New" w:eastAsia="宋体"/>
      <w:sz w:val="21"/>
      <w:szCs w:val="21"/>
    </w:rPr>
  </w:style>
  <w:style w:type="paragraph" w:customStyle="1" w:styleId="114">
    <w:name w:val="修订2"/>
    <w:hidden/>
    <w:semiHidden/>
    <w:qFormat/>
    <w:uiPriority w:val="99"/>
    <w:rPr>
      <w:rFonts w:ascii="Times New Roman" w:hAnsi="Times New Roman" w:eastAsia="仿宋_GB2312" w:cs="Times New Roman"/>
      <w:kern w:val="2"/>
      <w:sz w:val="30"/>
      <w:szCs w:val="24"/>
      <w:lang w:val="en-US" w:eastAsia="zh-CN" w:bidi="ar-SA"/>
    </w:rPr>
  </w:style>
  <w:style w:type="paragraph" w:customStyle="1" w:styleId="115">
    <w:name w:val="修订3"/>
    <w:hidden/>
    <w:semiHidden/>
    <w:qFormat/>
    <w:uiPriority w:val="99"/>
    <w:rPr>
      <w:rFonts w:ascii="Times New Roman" w:hAnsi="Times New Roman" w:eastAsia="仿宋_GB2312" w:cs="Times New Roman"/>
      <w:kern w:val="2"/>
      <w:sz w:val="30"/>
      <w:szCs w:val="24"/>
      <w:lang w:val="en-US" w:eastAsia="zh-CN" w:bidi="ar-SA"/>
    </w:rPr>
  </w:style>
  <w:style w:type="paragraph" w:customStyle="1" w:styleId="116">
    <w:name w:val="修订4"/>
    <w:hidden/>
    <w:semiHidden/>
    <w:qFormat/>
    <w:uiPriority w:val="99"/>
    <w:rPr>
      <w:rFonts w:ascii="Times New Roman" w:hAnsi="Times New Roman" w:eastAsia="仿宋_GB2312" w:cs="Times New Roman"/>
      <w:kern w:val="2"/>
      <w:sz w:val="30"/>
      <w:szCs w:val="24"/>
      <w:lang w:val="en-US" w:eastAsia="zh-CN" w:bidi="ar-SA"/>
    </w:rPr>
  </w:style>
  <w:style w:type="paragraph" w:customStyle="1" w:styleId="117">
    <w:name w:val="修订5"/>
    <w:hidden/>
    <w:semiHidden/>
    <w:qFormat/>
    <w:uiPriority w:val="99"/>
    <w:rPr>
      <w:rFonts w:ascii="Times New Roman" w:hAnsi="Times New Roman" w:eastAsia="仿宋_GB2312" w:cs="Times New Roman"/>
      <w:kern w:val="2"/>
      <w:sz w:val="30"/>
      <w:szCs w:val="24"/>
      <w:lang w:val="en-US" w:eastAsia="zh-CN" w:bidi="ar-SA"/>
    </w:rPr>
  </w:style>
  <w:style w:type="paragraph" w:customStyle="1" w:styleId="118">
    <w:name w:val="修订6"/>
    <w:hidden/>
    <w:semiHidden/>
    <w:qFormat/>
    <w:uiPriority w:val="99"/>
    <w:rPr>
      <w:rFonts w:ascii="Times New Roman" w:hAnsi="Times New Roman" w:eastAsia="仿宋_GB2312" w:cs="Times New Roman"/>
      <w:kern w:val="2"/>
      <w:sz w:val="30"/>
      <w:szCs w:val="24"/>
      <w:lang w:val="en-US" w:eastAsia="zh-CN" w:bidi="ar-SA"/>
    </w:rPr>
  </w:style>
  <w:style w:type="paragraph" w:customStyle="1" w:styleId="119">
    <w:name w:val="Revision"/>
    <w:hidden/>
    <w:semiHidden/>
    <w:qFormat/>
    <w:uiPriority w:val="99"/>
    <w:rPr>
      <w:rFonts w:ascii="Times New Roman" w:hAnsi="Times New Roman" w:eastAsia="仿宋_GB2312" w:cs="Times New Roman"/>
      <w:kern w:val="2"/>
      <w:sz w:val="30"/>
      <w:szCs w:val="24"/>
      <w:lang w:val="en-US" w:eastAsia="zh-CN" w:bidi="ar-SA"/>
    </w:rPr>
  </w:style>
  <w:style w:type="character" w:customStyle="1" w:styleId="120">
    <w:name w:val="Unresolved Mention"/>
    <w:basedOn w:val="21"/>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jpeg"/><Relationship Id="rId18" Type="http://schemas.openxmlformats.org/officeDocument/2006/relationships/image" Target="media/image6.jpeg"/><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jpe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17</Pages>
  <Words>910</Words>
  <Characters>5192</Characters>
  <Lines>43</Lines>
  <Paragraphs>12</Paragraphs>
  <TotalTime>0</TotalTime>
  <ScaleCrop>false</ScaleCrop>
  <LinksUpToDate>false</LinksUpToDate>
  <CharactersWithSpaces>6090</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2024-04-10T19:12:00Z</dcterms:created>
  <dc:creator>dell</dc:creator>
  <cp:lastModifiedBy>赵小龙</cp:lastModifiedBy>
  <cp:lastPrinted>2025-05-14T22:25:00Z</cp:lastPrinted>
  <dcterms:modified xsi:type="dcterms:W3CDTF">2025-08-26T16:50:44Z</dcterms:modified>
  <cp:revision>161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70E711F4E88B40EC82A65778B2CFF095_13</vt:lpwstr>
  </property>
</Properties>
</file>