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CE30323">
      <w:pPr>
        <w:spacing w:line="360" w:lineRule="auto"/>
        <w:jc w:val="center"/>
        <w:rPr>
          <w:rFonts w:ascii="方正小标宋简体" w:eastAsia="方正小标宋简体"/>
          <w:sz w:val="36"/>
          <w:szCs w:val="36"/>
        </w:rPr>
      </w:pPr>
    </w:p>
    <w:p w14:paraId="5BFC3506">
      <w:pPr>
        <w:spacing w:line="360" w:lineRule="auto"/>
        <w:jc w:val="center"/>
        <w:rPr>
          <w:rFonts w:ascii="方正小标宋简体" w:eastAsia="方正小标宋简体"/>
          <w:sz w:val="36"/>
          <w:szCs w:val="36"/>
        </w:rPr>
      </w:pPr>
    </w:p>
    <w:p w14:paraId="758B02D0">
      <w:pPr>
        <w:spacing w:line="360" w:lineRule="auto"/>
        <w:jc w:val="center"/>
        <w:rPr>
          <w:rFonts w:ascii="方正小标宋简体" w:eastAsia="方正小标宋简体"/>
          <w:sz w:val="36"/>
          <w:szCs w:val="36"/>
        </w:rPr>
      </w:pPr>
    </w:p>
    <w:p w14:paraId="70F7EB62">
      <w:pPr>
        <w:spacing w:line="660" w:lineRule="exact"/>
        <w:jc w:val="center"/>
        <w:rPr>
          <w:rFonts w:hint="eastAsia" w:ascii="黑体" w:hAnsi="黑体" w:eastAsia="黑体" w:cs="黑体"/>
          <w:b/>
          <w:bCs/>
          <w:sz w:val="44"/>
          <w:szCs w:val="44"/>
        </w:rPr>
      </w:pPr>
    </w:p>
    <w:p w14:paraId="720DF853">
      <w:pPr>
        <w:spacing w:line="660" w:lineRule="exact"/>
        <w:jc w:val="center"/>
        <w:rPr>
          <w:rFonts w:ascii="方正小标宋简体" w:eastAsia="方正小标宋简体"/>
          <w:sz w:val="44"/>
          <w:szCs w:val="44"/>
        </w:rPr>
      </w:pPr>
      <w:r>
        <w:rPr>
          <w:rFonts w:hint="eastAsia" w:ascii="黑体" w:hAnsi="黑体" w:eastAsia="黑体" w:cs="黑体"/>
          <w:b/>
          <w:bCs/>
          <w:sz w:val="44"/>
          <w:szCs w:val="44"/>
        </w:rPr>
        <w:t>项目支出绩效评价报告</w:t>
      </w:r>
    </w:p>
    <w:p w14:paraId="1AFD0B5E">
      <w:pPr>
        <w:pStyle w:val="14"/>
        <w:ind w:firstLine="720"/>
        <w:rPr>
          <w:rFonts w:hint="eastAsia" w:ascii="方正小标宋简体" w:hAnsi="方正小标宋简体" w:eastAsia="方正小标宋简体" w:cs="方正小标宋简体"/>
          <w:bCs/>
          <w:sz w:val="36"/>
          <w:szCs w:val="44"/>
        </w:rPr>
      </w:pPr>
    </w:p>
    <w:p w14:paraId="78A9C28D">
      <w:pPr>
        <w:pStyle w:val="14"/>
        <w:ind w:firstLine="720"/>
        <w:rPr>
          <w:rFonts w:hint="eastAsia" w:ascii="方正小标宋简体" w:hAnsi="方正小标宋简体" w:eastAsia="方正小标宋简体" w:cs="方正小标宋简体"/>
          <w:bCs/>
          <w:sz w:val="36"/>
          <w:szCs w:val="44"/>
        </w:rPr>
      </w:pPr>
    </w:p>
    <w:p w14:paraId="23999E46">
      <w:pPr>
        <w:pStyle w:val="14"/>
        <w:ind w:firstLine="720"/>
        <w:rPr>
          <w:rFonts w:hint="eastAsia" w:ascii="方正小标宋简体" w:hAnsi="方正小标宋简体" w:eastAsia="方正小标宋简体" w:cs="方正小标宋简体"/>
          <w:bCs/>
          <w:sz w:val="36"/>
          <w:szCs w:val="44"/>
        </w:rPr>
      </w:pPr>
    </w:p>
    <w:p w14:paraId="5759B16E">
      <w:pPr>
        <w:pStyle w:val="14"/>
        <w:ind w:firstLine="720"/>
        <w:rPr>
          <w:rFonts w:hint="eastAsia" w:ascii="方正小标宋简体" w:hAnsi="方正小标宋简体" w:eastAsia="方正小标宋简体" w:cs="方正小标宋简体"/>
          <w:bCs/>
          <w:sz w:val="36"/>
          <w:szCs w:val="44"/>
        </w:rPr>
      </w:pPr>
    </w:p>
    <w:p w14:paraId="26F8A62C">
      <w:pPr>
        <w:pStyle w:val="14"/>
        <w:ind w:firstLine="720"/>
        <w:rPr>
          <w:rFonts w:hint="eastAsia" w:ascii="方正小标宋简体" w:hAnsi="方正小标宋简体" w:eastAsia="方正小标宋简体" w:cs="方正小标宋简体"/>
          <w:bCs/>
          <w:sz w:val="36"/>
          <w:szCs w:val="44"/>
        </w:rPr>
      </w:pPr>
    </w:p>
    <w:p w14:paraId="2C0BBE54">
      <w:pPr>
        <w:pStyle w:val="14"/>
        <w:ind w:firstLine="720"/>
        <w:rPr>
          <w:rFonts w:hint="eastAsia" w:ascii="方正小标宋简体" w:hAnsi="方正小标宋简体" w:eastAsia="方正小标宋简体" w:cs="方正小标宋简体"/>
          <w:bCs/>
          <w:sz w:val="36"/>
          <w:szCs w:val="44"/>
        </w:rPr>
      </w:pPr>
    </w:p>
    <w:p w14:paraId="599155E9">
      <w:pPr>
        <w:pStyle w:val="14"/>
        <w:ind w:firstLine="720"/>
        <w:rPr>
          <w:rFonts w:hint="eastAsia" w:ascii="方正小标宋简体" w:hAnsi="方正小标宋简体" w:eastAsia="方正小标宋简体" w:cs="方正小标宋简体"/>
          <w:bCs/>
          <w:sz w:val="36"/>
          <w:szCs w:val="44"/>
        </w:rPr>
      </w:pPr>
    </w:p>
    <w:p w14:paraId="3799AABB">
      <w:pPr>
        <w:pStyle w:val="14"/>
        <w:ind w:firstLine="720"/>
        <w:rPr>
          <w:rFonts w:hint="eastAsia" w:ascii="方正小标宋简体" w:hAnsi="方正小标宋简体" w:eastAsia="方正小标宋简体" w:cs="方正小标宋简体"/>
          <w:bCs/>
          <w:sz w:val="36"/>
          <w:szCs w:val="44"/>
        </w:rPr>
      </w:pPr>
    </w:p>
    <w:p w14:paraId="23DB45A4">
      <w:pPr>
        <w:spacing w:line="660" w:lineRule="exact"/>
        <w:ind w:firstLine="0" w:firstLineChars="0"/>
        <w:jc w:val="center"/>
        <w:rPr>
          <w:rFonts w:ascii="黑体" w:hAnsi="黑体" w:eastAsia="黑体" w:cs="仿宋_GB2312"/>
          <w:b/>
          <w:sz w:val="32"/>
          <w:szCs w:val="32"/>
        </w:rPr>
      </w:pPr>
      <w:r>
        <w:rPr>
          <w:rFonts w:hint="eastAsia" w:ascii="黑体" w:hAnsi="黑体" w:eastAsia="黑体" w:cs="仿宋_GB2312"/>
          <w:b/>
          <w:sz w:val="32"/>
          <w:szCs w:val="32"/>
        </w:rPr>
        <w:t>中国人民抗日战争纪念馆</w:t>
      </w:r>
    </w:p>
    <w:p w14:paraId="7768FB94">
      <w:pPr>
        <w:spacing w:line="660" w:lineRule="exact"/>
        <w:ind w:firstLine="0" w:firstLineChars="0"/>
        <w:jc w:val="center"/>
        <w:rPr>
          <w:rFonts w:hint="eastAsia" w:ascii="黑体" w:hAnsi="黑体" w:eastAsia="黑体" w:cs="仿宋_GB2312"/>
          <w:b/>
          <w:sz w:val="32"/>
          <w:szCs w:val="32"/>
        </w:rPr>
      </w:pPr>
      <w:r>
        <w:rPr>
          <w:rFonts w:ascii="黑体" w:hAnsi="黑体" w:eastAsia="黑体" w:cs="仿宋_GB2312"/>
          <w:b/>
          <w:sz w:val="32"/>
          <w:szCs w:val="32"/>
        </w:rPr>
        <w:t>202</w:t>
      </w:r>
      <w:r>
        <w:rPr>
          <w:rFonts w:hint="eastAsia" w:ascii="黑体" w:hAnsi="黑体" w:eastAsia="黑体" w:cs="仿宋_GB2312"/>
          <w:b/>
          <w:sz w:val="32"/>
          <w:szCs w:val="32"/>
        </w:rPr>
        <w:t>5年6月</w:t>
      </w:r>
    </w:p>
    <w:p w14:paraId="11884538">
      <w:pPr>
        <w:spacing w:line="560" w:lineRule="exact"/>
        <w:ind w:firstLine="643" w:firstLineChars="200"/>
        <w:jc w:val="center"/>
        <w:rPr>
          <w:rFonts w:hint="eastAsia" w:ascii="黑体" w:hAnsi="黑体" w:eastAsia="黑体" w:cs="仿宋_GB2312"/>
          <w:b/>
          <w:sz w:val="32"/>
          <w:szCs w:val="32"/>
        </w:rPr>
      </w:pPr>
    </w:p>
    <w:p w14:paraId="33D430EA">
      <w:pPr>
        <w:spacing w:line="560" w:lineRule="exact"/>
        <w:ind w:firstLine="643" w:firstLineChars="200"/>
        <w:jc w:val="center"/>
        <w:rPr>
          <w:rFonts w:hint="eastAsia" w:ascii="黑体" w:hAnsi="黑体" w:eastAsia="黑体" w:cs="仿宋_GB2312"/>
          <w:b/>
          <w:sz w:val="32"/>
          <w:szCs w:val="32"/>
        </w:rPr>
      </w:pPr>
    </w:p>
    <w:p w14:paraId="6E6543FE">
      <w:pPr>
        <w:jc w:val="center"/>
        <w:rPr>
          <w:rFonts w:hint="eastAsia" w:ascii="宋体" w:hAnsi="宋体" w:eastAsia="宋体"/>
          <w:sz w:val="21"/>
        </w:rPr>
      </w:pPr>
    </w:p>
    <w:p w14:paraId="5212BFFE">
      <w:pPr>
        <w:jc w:val="center"/>
        <w:rPr>
          <w:rFonts w:hint="eastAsia" w:ascii="宋体" w:hAnsi="宋体" w:eastAsia="宋体"/>
          <w:sz w:val="21"/>
        </w:rPr>
      </w:pPr>
    </w:p>
    <w:sdt>
      <w:sdtPr>
        <w:rPr>
          <w:rFonts w:ascii="宋体" w:hAnsi="宋体" w:eastAsia="宋体"/>
          <w:sz w:val="21"/>
        </w:rPr>
        <w:id w:val="147477583"/>
        <w15:color w:val="DBDBDB"/>
        <w:docPartObj>
          <w:docPartGallery w:val="Table of Contents"/>
          <w:docPartUnique/>
        </w:docPartObj>
      </w:sdtPr>
      <w:sdtEndPr>
        <w:rPr>
          <w:rFonts w:hint="eastAsia" w:ascii="Times New Roman" w:hAnsi="Times New Roman" w:eastAsia="仿宋_GB2312"/>
          <w:b/>
          <w:sz w:val="30"/>
        </w:rPr>
      </w:sdtEndPr>
      <w:sdtContent>
        <w:p w14:paraId="3DEE4FF3">
          <w:pPr>
            <w:jc w:val="center"/>
            <w:rPr>
              <w:b/>
              <w:bCs/>
              <w:sz w:val="32"/>
              <w:szCs w:val="32"/>
            </w:rPr>
          </w:pPr>
          <w:r>
            <w:rPr>
              <w:rFonts w:ascii="宋体" w:hAnsi="宋体" w:eastAsia="宋体"/>
              <w:b/>
              <w:bCs/>
              <w:sz w:val="32"/>
              <w:szCs w:val="32"/>
            </w:rPr>
            <w:t>目</w:t>
          </w:r>
          <w:r>
            <w:rPr>
              <w:rFonts w:hint="eastAsia" w:ascii="宋体" w:hAnsi="宋体" w:eastAsia="宋体"/>
              <w:b/>
              <w:bCs/>
              <w:sz w:val="32"/>
              <w:szCs w:val="32"/>
            </w:rPr>
            <w:t xml:space="preserve">  </w:t>
          </w:r>
          <w:r>
            <w:rPr>
              <w:rFonts w:ascii="宋体" w:hAnsi="宋体" w:eastAsia="宋体"/>
              <w:b/>
              <w:bCs/>
              <w:sz w:val="32"/>
              <w:szCs w:val="32"/>
            </w:rPr>
            <w:t>录</w:t>
          </w:r>
        </w:p>
        <w:p w14:paraId="3EFA691C">
          <w:pPr>
            <w:pStyle w:val="8"/>
            <w:tabs>
              <w:tab w:val="right" w:leader="dot" w:pos="8306"/>
            </w:tabs>
            <w:spacing w:line="560" w:lineRule="exact"/>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TOC \o "1-2" \h \u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HYPERLINK \l _Toc18401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sz w:val="32"/>
              <w:szCs w:val="32"/>
            </w:rPr>
            <w:t>一、项目情况</w:t>
          </w:r>
          <w:r>
            <w:rPr>
              <w:rFonts w:hint="eastAsia" w:asciiTheme="minorEastAsia" w:hAnsiTheme="minorEastAsia" w:eastAsiaTheme="minorEastAsia" w:cstheme="minorEastAsia"/>
              <w:sz w:val="32"/>
              <w:szCs w:val="32"/>
            </w:rPr>
            <w:tab/>
          </w: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PAGEREF _Toc18401 \h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sz w:val="32"/>
              <w:szCs w:val="32"/>
            </w:rPr>
            <w:t>1</w:t>
          </w:r>
          <w:r>
            <w:rPr>
              <w:rFonts w:hint="eastAsia" w:asciiTheme="minorEastAsia" w:hAnsiTheme="minorEastAsia" w:eastAsiaTheme="minorEastAsia" w:cstheme="minorEastAsia"/>
              <w:sz w:val="32"/>
              <w:szCs w:val="32"/>
            </w:rPr>
            <w:fldChar w:fldCharType="end"/>
          </w:r>
          <w:r>
            <w:rPr>
              <w:rFonts w:hint="eastAsia" w:asciiTheme="minorEastAsia" w:hAnsiTheme="minorEastAsia" w:eastAsiaTheme="minorEastAsia" w:cstheme="minorEastAsia"/>
              <w:sz w:val="32"/>
              <w:szCs w:val="32"/>
            </w:rPr>
            <w:fldChar w:fldCharType="end"/>
          </w:r>
        </w:p>
        <w:p w14:paraId="5ADC3C4D">
          <w:pPr>
            <w:pStyle w:val="9"/>
            <w:tabs>
              <w:tab w:val="right" w:leader="dot" w:pos="8306"/>
            </w:tabs>
            <w:spacing w:line="560" w:lineRule="exact"/>
            <w:ind w:left="0" w:leftChars="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HYPERLINK \l _Toc7180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bCs/>
              <w:sz w:val="32"/>
              <w:szCs w:val="32"/>
            </w:rPr>
            <w:t>（一）项目概况</w:t>
          </w:r>
          <w:r>
            <w:rPr>
              <w:rFonts w:hint="eastAsia" w:asciiTheme="minorEastAsia" w:hAnsiTheme="minorEastAsia" w:eastAsiaTheme="minorEastAsia" w:cstheme="minorEastAsia"/>
              <w:sz w:val="32"/>
              <w:szCs w:val="32"/>
            </w:rPr>
            <w:tab/>
          </w: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PAGEREF _Toc7180 \h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sz w:val="32"/>
              <w:szCs w:val="32"/>
            </w:rPr>
            <w:t>1</w:t>
          </w:r>
          <w:r>
            <w:rPr>
              <w:rFonts w:hint="eastAsia" w:asciiTheme="minorEastAsia" w:hAnsiTheme="minorEastAsia" w:eastAsiaTheme="minorEastAsia" w:cstheme="minorEastAsia"/>
              <w:sz w:val="32"/>
              <w:szCs w:val="32"/>
            </w:rPr>
            <w:fldChar w:fldCharType="end"/>
          </w:r>
          <w:r>
            <w:rPr>
              <w:rFonts w:hint="eastAsia" w:asciiTheme="minorEastAsia" w:hAnsiTheme="minorEastAsia" w:eastAsiaTheme="minorEastAsia" w:cstheme="minorEastAsia"/>
              <w:sz w:val="32"/>
              <w:szCs w:val="32"/>
            </w:rPr>
            <w:fldChar w:fldCharType="end"/>
          </w:r>
        </w:p>
        <w:p w14:paraId="5691DADA">
          <w:pPr>
            <w:pStyle w:val="9"/>
            <w:tabs>
              <w:tab w:val="right" w:leader="dot" w:pos="8306"/>
            </w:tabs>
            <w:spacing w:line="560" w:lineRule="exact"/>
            <w:ind w:left="0" w:leftChars="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HYPERLINK \l _Toc7434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sz w:val="32"/>
              <w:szCs w:val="32"/>
            </w:rPr>
            <w:t>（二）项目绩效目标</w:t>
          </w:r>
          <w:r>
            <w:rPr>
              <w:rFonts w:hint="eastAsia" w:asciiTheme="minorEastAsia" w:hAnsiTheme="minorEastAsia" w:eastAsiaTheme="minorEastAsia" w:cstheme="minorEastAsia"/>
              <w:sz w:val="32"/>
              <w:szCs w:val="32"/>
            </w:rPr>
            <w:tab/>
          </w: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PAGEREF _Toc7434 \h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sz w:val="32"/>
              <w:szCs w:val="32"/>
            </w:rPr>
            <w:t>3</w:t>
          </w:r>
          <w:r>
            <w:rPr>
              <w:rFonts w:hint="eastAsia" w:asciiTheme="minorEastAsia" w:hAnsiTheme="minorEastAsia" w:eastAsiaTheme="minorEastAsia" w:cstheme="minorEastAsia"/>
              <w:sz w:val="32"/>
              <w:szCs w:val="32"/>
            </w:rPr>
            <w:fldChar w:fldCharType="end"/>
          </w:r>
          <w:r>
            <w:rPr>
              <w:rFonts w:hint="eastAsia" w:asciiTheme="minorEastAsia" w:hAnsiTheme="minorEastAsia" w:eastAsiaTheme="minorEastAsia" w:cstheme="minorEastAsia"/>
              <w:sz w:val="32"/>
              <w:szCs w:val="32"/>
            </w:rPr>
            <w:fldChar w:fldCharType="end"/>
          </w:r>
        </w:p>
        <w:p w14:paraId="6DA040B0">
          <w:pPr>
            <w:pStyle w:val="8"/>
            <w:tabs>
              <w:tab w:val="right" w:leader="dot" w:pos="8306"/>
            </w:tabs>
            <w:spacing w:line="560" w:lineRule="exact"/>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HYPERLINK \l _Toc5891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bCs w:val="0"/>
              <w:kern w:val="0"/>
              <w:sz w:val="32"/>
              <w:szCs w:val="32"/>
            </w:rPr>
            <w:t>二、绩效评价工作开展情况</w:t>
          </w:r>
          <w:r>
            <w:rPr>
              <w:rFonts w:hint="eastAsia" w:asciiTheme="minorEastAsia" w:hAnsiTheme="minorEastAsia" w:eastAsiaTheme="minorEastAsia" w:cstheme="minorEastAsia"/>
              <w:sz w:val="32"/>
              <w:szCs w:val="32"/>
            </w:rPr>
            <w:tab/>
          </w: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PAGEREF _Toc5891 \h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sz w:val="32"/>
              <w:szCs w:val="32"/>
            </w:rPr>
            <w:t>4</w:t>
          </w:r>
          <w:r>
            <w:rPr>
              <w:rFonts w:hint="eastAsia" w:asciiTheme="minorEastAsia" w:hAnsiTheme="minorEastAsia" w:eastAsiaTheme="minorEastAsia" w:cstheme="minorEastAsia"/>
              <w:sz w:val="32"/>
              <w:szCs w:val="32"/>
            </w:rPr>
            <w:fldChar w:fldCharType="end"/>
          </w:r>
          <w:r>
            <w:rPr>
              <w:rFonts w:hint="eastAsia" w:asciiTheme="minorEastAsia" w:hAnsiTheme="minorEastAsia" w:eastAsiaTheme="minorEastAsia" w:cstheme="minorEastAsia"/>
              <w:sz w:val="32"/>
              <w:szCs w:val="32"/>
            </w:rPr>
            <w:fldChar w:fldCharType="end"/>
          </w:r>
        </w:p>
        <w:p w14:paraId="7CB61EB3">
          <w:pPr>
            <w:pStyle w:val="9"/>
            <w:tabs>
              <w:tab w:val="right" w:leader="dot" w:pos="8306"/>
            </w:tabs>
            <w:spacing w:line="560" w:lineRule="exact"/>
            <w:ind w:left="0" w:leftChars="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HYPERLINK \l _Toc4588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sz w:val="32"/>
              <w:szCs w:val="32"/>
            </w:rPr>
            <w:t>（一）绩效评价目的、对象和范围以及评价内容</w:t>
          </w:r>
          <w:r>
            <w:rPr>
              <w:rFonts w:hint="eastAsia" w:asciiTheme="minorEastAsia" w:hAnsiTheme="minorEastAsia" w:eastAsiaTheme="minorEastAsia" w:cstheme="minorEastAsia"/>
              <w:sz w:val="32"/>
              <w:szCs w:val="32"/>
            </w:rPr>
            <w:tab/>
          </w: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PAGEREF _Toc4588 \h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sz w:val="32"/>
              <w:szCs w:val="32"/>
            </w:rPr>
            <w:t>4</w:t>
          </w:r>
          <w:r>
            <w:rPr>
              <w:rFonts w:hint="eastAsia" w:asciiTheme="minorEastAsia" w:hAnsiTheme="minorEastAsia" w:eastAsiaTheme="minorEastAsia" w:cstheme="minorEastAsia"/>
              <w:sz w:val="32"/>
              <w:szCs w:val="32"/>
            </w:rPr>
            <w:fldChar w:fldCharType="end"/>
          </w:r>
          <w:r>
            <w:rPr>
              <w:rFonts w:hint="eastAsia" w:asciiTheme="minorEastAsia" w:hAnsiTheme="minorEastAsia" w:eastAsiaTheme="minorEastAsia" w:cstheme="minorEastAsia"/>
              <w:sz w:val="32"/>
              <w:szCs w:val="32"/>
            </w:rPr>
            <w:fldChar w:fldCharType="end"/>
          </w:r>
        </w:p>
        <w:p w14:paraId="5A6584AA">
          <w:pPr>
            <w:pStyle w:val="9"/>
            <w:tabs>
              <w:tab w:val="right" w:leader="dot" w:pos="8306"/>
            </w:tabs>
            <w:spacing w:line="560" w:lineRule="exact"/>
            <w:ind w:left="0" w:leftChars="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HYPERLINK \l _Toc1958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sz w:val="32"/>
              <w:szCs w:val="32"/>
            </w:rPr>
            <w:t>（二）绩效评价原则、体系、方法及标准</w:t>
          </w:r>
          <w:r>
            <w:rPr>
              <w:rFonts w:hint="eastAsia" w:asciiTheme="minorEastAsia" w:hAnsiTheme="minorEastAsia" w:eastAsiaTheme="minorEastAsia" w:cstheme="minorEastAsia"/>
              <w:sz w:val="32"/>
              <w:szCs w:val="32"/>
            </w:rPr>
            <w:tab/>
          </w: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PAGEREF _Toc1958 \h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sz w:val="32"/>
              <w:szCs w:val="32"/>
            </w:rPr>
            <w:t>5</w:t>
          </w:r>
          <w:r>
            <w:rPr>
              <w:rFonts w:hint="eastAsia" w:asciiTheme="minorEastAsia" w:hAnsiTheme="minorEastAsia" w:eastAsiaTheme="minorEastAsia" w:cstheme="minorEastAsia"/>
              <w:sz w:val="32"/>
              <w:szCs w:val="32"/>
            </w:rPr>
            <w:fldChar w:fldCharType="end"/>
          </w:r>
          <w:r>
            <w:rPr>
              <w:rFonts w:hint="eastAsia" w:asciiTheme="minorEastAsia" w:hAnsiTheme="minorEastAsia" w:eastAsiaTheme="minorEastAsia" w:cstheme="minorEastAsia"/>
              <w:sz w:val="32"/>
              <w:szCs w:val="32"/>
            </w:rPr>
            <w:fldChar w:fldCharType="end"/>
          </w:r>
        </w:p>
        <w:p w14:paraId="29CF9589">
          <w:pPr>
            <w:pStyle w:val="9"/>
            <w:tabs>
              <w:tab w:val="right" w:leader="dot" w:pos="8306"/>
            </w:tabs>
            <w:spacing w:line="560" w:lineRule="exact"/>
            <w:ind w:left="0" w:leftChars="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HYPERLINK \l _Toc20551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sz w:val="32"/>
              <w:szCs w:val="32"/>
            </w:rPr>
            <w:t>（三）绩效评价的主要依据</w:t>
          </w:r>
          <w:r>
            <w:rPr>
              <w:rFonts w:hint="eastAsia" w:asciiTheme="minorEastAsia" w:hAnsiTheme="minorEastAsia" w:eastAsiaTheme="minorEastAsia" w:cstheme="minorEastAsia"/>
              <w:sz w:val="32"/>
              <w:szCs w:val="32"/>
            </w:rPr>
            <w:tab/>
          </w: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PAGEREF _Toc20551 \h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sz w:val="32"/>
              <w:szCs w:val="32"/>
            </w:rPr>
            <w:t>9</w:t>
          </w:r>
          <w:r>
            <w:rPr>
              <w:rFonts w:hint="eastAsia" w:asciiTheme="minorEastAsia" w:hAnsiTheme="minorEastAsia" w:eastAsiaTheme="minorEastAsia" w:cstheme="minorEastAsia"/>
              <w:sz w:val="32"/>
              <w:szCs w:val="32"/>
            </w:rPr>
            <w:fldChar w:fldCharType="end"/>
          </w:r>
          <w:r>
            <w:rPr>
              <w:rFonts w:hint="eastAsia" w:asciiTheme="minorEastAsia" w:hAnsiTheme="minorEastAsia" w:eastAsiaTheme="minorEastAsia" w:cstheme="minorEastAsia"/>
              <w:sz w:val="32"/>
              <w:szCs w:val="32"/>
            </w:rPr>
            <w:fldChar w:fldCharType="end"/>
          </w:r>
        </w:p>
        <w:p w14:paraId="100B1700">
          <w:pPr>
            <w:pStyle w:val="9"/>
            <w:tabs>
              <w:tab w:val="right" w:leader="dot" w:pos="8306"/>
            </w:tabs>
            <w:spacing w:line="560" w:lineRule="exact"/>
            <w:ind w:left="0" w:leftChars="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HYPERLINK \l _Toc8550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sz w:val="32"/>
              <w:szCs w:val="32"/>
            </w:rPr>
            <w:t>（四）绩效评价工作过程</w:t>
          </w:r>
          <w:r>
            <w:rPr>
              <w:rFonts w:hint="eastAsia" w:asciiTheme="minorEastAsia" w:hAnsiTheme="minorEastAsia" w:eastAsiaTheme="minorEastAsia" w:cstheme="minorEastAsia"/>
              <w:sz w:val="32"/>
              <w:szCs w:val="32"/>
            </w:rPr>
            <w:tab/>
          </w: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PAGEREF _Toc8550 \h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sz w:val="32"/>
              <w:szCs w:val="32"/>
            </w:rPr>
            <w:t>9</w:t>
          </w:r>
          <w:r>
            <w:rPr>
              <w:rFonts w:hint="eastAsia" w:asciiTheme="minorEastAsia" w:hAnsiTheme="minorEastAsia" w:eastAsiaTheme="minorEastAsia" w:cstheme="minorEastAsia"/>
              <w:sz w:val="32"/>
              <w:szCs w:val="32"/>
            </w:rPr>
            <w:fldChar w:fldCharType="end"/>
          </w:r>
          <w:r>
            <w:rPr>
              <w:rFonts w:hint="eastAsia" w:asciiTheme="minorEastAsia" w:hAnsiTheme="minorEastAsia" w:eastAsiaTheme="minorEastAsia" w:cstheme="minorEastAsia"/>
              <w:sz w:val="32"/>
              <w:szCs w:val="32"/>
            </w:rPr>
            <w:fldChar w:fldCharType="end"/>
          </w:r>
        </w:p>
        <w:p w14:paraId="7DF88A64">
          <w:pPr>
            <w:pStyle w:val="8"/>
            <w:tabs>
              <w:tab w:val="right" w:leader="dot" w:pos="8306"/>
            </w:tabs>
            <w:spacing w:line="560" w:lineRule="exact"/>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HYPERLINK \l _Toc29620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bCs w:val="0"/>
              <w:kern w:val="0"/>
              <w:sz w:val="32"/>
              <w:szCs w:val="32"/>
            </w:rPr>
            <w:t>三、综合评价情况及评价结论</w:t>
          </w:r>
          <w:r>
            <w:rPr>
              <w:rFonts w:hint="eastAsia" w:asciiTheme="minorEastAsia" w:hAnsiTheme="minorEastAsia" w:eastAsiaTheme="minorEastAsia" w:cstheme="minorEastAsia"/>
              <w:sz w:val="32"/>
              <w:szCs w:val="32"/>
            </w:rPr>
            <w:tab/>
          </w: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PAGEREF _Toc29620 \h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sz w:val="32"/>
              <w:szCs w:val="32"/>
            </w:rPr>
            <w:t>11</w:t>
          </w:r>
          <w:r>
            <w:rPr>
              <w:rFonts w:hint="eastAsia" w:asciiTheme="minorEastAsia" w:hAnsiTheme="minorEastAsia" w:eastAsiaTheme="minorEastAsia" w:cstheme="minorEastAsia"/>
              <w:sz w:val="32"/>
              <w:szCs w:val="32"/>
            </w:rPr>
            <w:fldChar w:fldCharType="end"/>
          </w:r>
          <w:r>
            <w:rPr>
              <w:rFonts w:hint="eastAsia" w:asciiTheme="minorEastAsia" w:hAnsiTheme="minorEastAsia" w:eastAsiaTheme="minorEastAsia" w:cstheme="minorEastAsia"/>
              <w:sz w:val="32"/>
              <w:szCs w:val="32"/>
            </w:rPr>
            <w:fldChar w:fldCharType="end"/>
          </w:r>
          <w:bookmarkStart w:id="81" w:name="_GoBack"/>
          <w:bookmarkEnd w:id="81"/>
        </w:p>
        <w:p w14:paraId="707B544E">
          <w:pPr>
            <w:pStyle w:val="9"/>
            <w:tabs>
              <w:tab w:val="right" w:leader="dot" w:pos="8306"/>
            </w:tabs>
            <w:spacing w:line="560" w:lineRule="exact"/>
            <w:ind w:left="0" w:leftChars="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HYPERLINK \l _Toc6074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sz w:val="32"/>
              <w:szCs w:val="32"/>
            </w:rPr>
            <w:t>（一）综合评价情况</w:t>
          </w:r>
          <w:r>
            <w:rPr>
              <w:rFonts w:hint="eastAsia" w:asciiTheme="minorEastAsia" w:hAnsiTheme="minorEastAsia" w:eastAsiaTheme="minorEastAsia" w:cstheme="minorEastAsia"/>
              <w:sz w:val="32"/>
              <w:szCs w:val="32"/>
            </w:rPr>
            <w:tab/>
          </w: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PAGEREF _Toc6074 \h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sz w:val="32"/>
              <w:szCs w:val="32"/>
            </w:rPr>
            <w:t>11</w:t>
          </w:r>
          <w:r>
            <w:rPr>
              <w:rFonts w:hint="eastAsia" w:asciiTheme="minorEastAsia" w:hAnsiTheme="minorEastAsia" w:eastAsiaTheme="minorEastAsia" w:cstheme="minorEastAsia"/>
              <w:sz w:val="32"/>
              <w:szCs w:val="32"/>
            </w:rPr>
            <w:fldChar w:fldCharType="end"/>
          </w:r>
          <w:r>
            <w:rPr>
              <w:rFonts w:hint="eastAsia" w:asciiTheme="minorEastAsia" w:hAnsiTheme="minorEastAsia" w:eastAsiaTheme="minorEastAsia" w:cstheme="minorEastAsia"/>
              <w:sz w:val="32"/>
              <w:szCs w:val="32"/>
            </w:rPr>
            <w:fldChar w:fldCharType="end"/>
          </w:r>
        </w:p>
        <w:p w14:paraId="33824C7C">
          <w:pPr>
            <w:pStyle w:val="9"/>
            <w:tabs>
              <w:tab w:val="right" w:leader="dot" w:pos="8306"/>
            </w:tabs>
            <w:spacing w:line="560" w:lineRule="exact"/>
            <w:ind w:left="0" w:leftChars="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HYPERLINK \l _Toc22277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sz w:val="32"/>
              <w:szCs w:val="32"/>
            </w:rPr>
            <w:t>（二）评价结论</w:t>
          </w:r>
          <w:r>
            <w:rPr>
              <w:rFonts w:hint="eastAsia" w:asciiTheme="minorEastAsia" w:hAnsiTheme="minorEastAsia" w:eastAsiaTheme="minorEastAsia" w:cstheme="minorEastAsia"/>
              <w:sz w:val="32"/>
              <w:szCs w:val="32"/>
            </w:rPr>
            <w:tab/>
          </w: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PAGEREF _Toc22277 \h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sz w:val="32"/>
              <w:szCs w:val="32"/>
            </w:rPr>
            <w:t>14</w:t>
          </w:r>
          <w:r>
            <w:rPr>
              <w:rFonts w:hint="eastAsia" w:asciiTheme="minorEastAsia" w:hAnsiTheme="minorEastAsia" w:eastAsiaTheme="minorEastAsia" w:cstheme="minorEastAsia"/>
              <w:sz w:val="32"/>
              <w:szCs w:val="32"/>
            </w:rPr>
            <w:fldChar w:fldCharType="end"/>
          </w:r>
          <w:r>
            <w:rPr>
              <w:rFonts w:hint="eastAsia" w:asciiTheme="minorEastAsia" w:hAnsiTheme="minorEastAsia" w:eastAsiaTheme="minorEastAsia" w:cstheme="minorEastAsia"/>
              <w:sz w:val="32"/>
              <w:szCs w:val="32"/>
            </w:rPr>
            <w:fldChar w:fldCharType="end"/>
          </w:r>
        </w:p>
        <w:p w14:paraId="70798B60">
          <w:pPr>
            <w:pStyle w:val="8"/>
            <w:tabs>
              <w:tab w:val="right" w:leader="dot" w:pos="8306"/>
            </w:tabs>
            <w:spacing w:line="560" w:lineRule="exact"/>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HYPERLINK \l _Toc25215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bCs w:val="0"/>
              <w:kern w:val="0"/>
              <w:sz w:val="32"/>
              <w:szCs w:val="32"/>
            </w:rPr>
            <w:t>四、绩效评价指标分析</w:t>
          </w:r>
          <w:r>
            <w:rPr>
              <w:rFonts w:hint="eastAsia" w:asciiTheme="minorEastAsia" w:hAnsiTheme="minorEastAsia" w:eastAsiaTheme="minorEastAsia" w:cstheme="minorEastAsia"/>
              <w:sz w:val="32"/>
              <w:szCs w:val="32"/>
            </w:rPr>
            <w:tab/>
          </w: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PAGEREF _Toc25215 \h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sz w:val="32"/>
              <w:szCs w:val="32"/>
            </w:rPr>
            <w:t>15</w:t>
          </w:r>
          <w:r>
            <w:rPr>
              <w:rFonts w:hint="eastAsia" w:asciiTheme="minorEastAsia" w:hAnsiTheme="minorEastAsia" w:eastAsiaTheme="minorEastAsia" w:cstheme="minorEastAsia"/>
              <w:sz w:val="32"/>
              <w:szCs w:val="32"/>
            </w:rPr>
            <w:fldChar w:fldCharType="end"/>
          </w:r>
          <w:r>
            <w:rPr>
              <w:rFonts w:hint="eastAsia" w:asciiTheme="minorEastAsia" w:hAnsiTheme="minorEastAsia" w:eastAsiaTheme="minorEastAsia" w:cstheme="minorEastAsia"/>
              <w:sz w:val="32"/>
              <w:szCs w:val="32"/>
            </w:rPr>
            <w:fldChar w:fldCharType="end"/>
          </w:r>
        </w:p>
        <w:p w14:paraId="446F76E9">
          <w:pPr>
            <w:pStyle w:val="9"/>
            <w:tabs>
              <w:tab w:val="right" w:leader="dot" w:pos="8306"/>
            </w:tabs>
            <w:spacing w:line="560" w:lineRule="exact"/>
            <w:ind w:left="0" w:leftChars="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HYPERLINK \l _Toc16815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sz w:val="32"/>
              <w:szCs w:val="32"/>
            </w:rPr>
            <w:t>（一）项目决策情况</w:t>
          </w:r>
          <w:r>
            <w:rPr>
              <w:rFonts w:hint="eastAsia" w:asciiTheme="minorEastAsia" w:hAnsiTheme="minorEastAsia" w:eastAsiaTheme="minorEastAsia" w:cstheme="minorEastAsia"/>
              <w:sz w:val="32"/>
              <w:szCs w:val="32"/>
            </w:rPr>
            <w:tab/>
          </w: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PAGEREF _Toc16815 \h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sz w:val="32"/>
              <w:szCs w:val="32"/>
            </w:rPr>
            <w:t>15</w:t>
          </w:r>
          <w:r>
            <w:rPr>
              <w:rFonts w:hint="eastAsia" w:asciiTheme="minorEastAsia" w:hAnsiTheme="minorEastAsia" w:eastAsiaTheme="minorEastAsia" w:cstheme="minorEastAsia"/>
              <w:sz w:val="32"/>
              <w:szCs w:val="32"/>
            </w:rPr>
            <w:fldChar w:fldCharType="end"/>
          </w:r>
          <w:r>
            <w:rPr>
              <w:rFonts w:hint="eastAsia" w:asciiTheme="minorEastAsia" w:hAnsiTheme="minorEastAsia" w:eastAsiaTheme="minorEastAsia" w:cstheme="minorEastAsia"/>
              <w:sz w:val="32"/>
              <w:szCs w:val="32"/>
            </w:rPr>
            <w:fldChar w:fldCharType="end"/>
          </w:r>
        </w:p>
        <w:p w14:paraId="12212D5E">
          <w:pPr>
            <w:pStyle w:val="9"/>
            <w:tabs>
              <w:tab w:val="right" w:leader="dot" w:pos="8306"/>
            </w:tabs>
            <w:spacing w:line="560" w:lineRule="exact"/>
            <w:ind w:left="0" w:leftChars="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HYPERLINK \l _Toc17974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sz w:val="32"/>
              <w:szCs w:val="32"/>
            </w:rPr>
            <w:t>（二）项目过程情况</w:t>
          </w:r>
          <w:r>
            <w:rPr>
              <w:rFonts w:hint="eastAsia" w:asciiTheme="minorEastAsia" w:hAnsiTheme="minorEastAsia" w:eastAsiaTheme="minorEastAsia" w:cstheme="minorEastAsia"/>
              <w:sz w:val="32"/>
              <w:szCs w:val="32"/>
            </w:rPr>
            <w:tab/>
          </w: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PAGEREF _Toc17974 \h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sz w:val="32"/>
              <w:szCs w:val="32"/>
            </w:rPr>
            <w:t>17</w:t>
          </w:r>
          <w:r>
            <w:rPr>
              <w:rFonts w:hint="eastAsia" w:asciiTheme="minorEastAsia" w:hAnsiTheme="minorEastAsia" w:eastAsiaTheme="minorEastAsia" w:cstheme="minorEastAsia"/>
              <w:sz w:val="32"/>
              <w:szCs w:val="32"/>
            </w:rPr>
            <w:fldChar w:fldCharType="end"/>
          </w:r>
          <w:r>
            <w:rPr>
              <w:rFonts w:hint="eastAsia" w:asciiTheme="minorEastAsia" w:hAnsiTheme="minorEastAsia" w:eastAsiaTheme="minorEastAsia" w:cstheme="minorEastAsia"/>
              <w:sz w:val="32"/>
              <w:szCs w:val="32"/>
            </w:rPr>
            <w:fldChar w:fldCharType="end"/>
          </w:r>
        </w:p>
        <w:p w14:paraId="09EB40C2">
          <w:pPr>
            <w:pStyle w:val="9"/>
            <w:tabs>
              <w:tab w:val="right" w:leader="dot" w:pos="8306"/>
            </w:tabs>
            <w:spacing w:line="560" w:lineRule="exact"/>
            <w:ind w:left="0" w:leftChars="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HYPERLINK \l _Toc7559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sz w:val="32"/>
              <w:szCs w:val="32"/>
            </w:rPr>
            <w:t>（三）项目产出情况</w:t>
          </w:r>
          <w:r>
            <w:rPr>
              <w:rFonts w:hint="eastAsia" w:asciiTheme="minorEastAsia" w:hAnsiTheme="minorEastAsia" w:eastAsiaTheme="minorEastAsia" w:cstheme="minorEastAsia"/>
              <w:sz w:val="32"/>
              <w:szCs w:val="32"/>
            </w:rPr>
            <w:tab/>
          </w: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PAGEREF _Toc7559 \h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sz w:val="32"/>
              <w:szCs w:val="32"/>
            </w:rPr>
            <w:t>17</w:t>
          </w:r>
          <w:r>
            <w:rPr>
              <w:rFonts w:hint="eastAsia" w:asciiTheme="minorEastAsia" w:hAnsiTheme="minorEastAsia" w:eastAsiaTheme="minorEastAsia" w:cstheme="minorEastAsia"/>
              <w:sz w:val="32"/>
              <w:szCs w:val="32"/>
            </w:rPr>
            <w:fldChar w:fldCharType="end"/>
          </w:r>
          <w:r>
            <w:rPr>
              <w:rFonts w:hint="eastAsia" w:asciiTheme="minorEastAsia" w:hAnsiTheme="minorEastAsia" w:eastAsiaTheme="minorEastAsia" w:cstheme="minorEastAsia"/>
              <w:sz w:val="32"/>
              <w:szCs w:val="32"/>
            </w:rPr>
            <w:fldChar w:fldCharType="end"/>
          </w:r>
        </w:p>
        <w:p w14:paraId="3A7B6B97">
          <w:pPr>
            <w:pStyle w:val="9"/>
            <w:tabs>
              <w:tab w:val="right" w:leader="dot" w:pos="8306"/>
            </w:tabs>
            <w:spacing w:line="560" w:lineRule="exact"/>
            <w:ind w:left="0" w:leftChars="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HYPERLINK \l _Toc18263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sz w:val="32"/>
              <w:szCs w:val="32"/>
            </w:rPr>
            <w:t>（四）项目效益情况</w:t>
          </w:r>
          <w:r>
            <w:rPr>
              <w:rFonts w:hint="eastAsia" w:asciiTheme="minorEastAsia" w:hAnsiTheme="minorEastAsia" w:eastAsiaTheme="minorEastAsia" w:cstheme="minorEastAsia"/>
              <w:sz w:val="32"/>
              <w:szCs w:val="32"/>
            </w:rPr>
            <w:tab/>
          </w: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PAGEREF _Toc18263 \h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sz w:val="32"/>
              <w:szCs w:val="32"/>
            </w:rPr>
            <w:t>18</w:t>
          </w:r>
          <w:r>
            <w:rPr>
              <w:rFonts w:hint="eastAsia" w:asciiTheme="minorEastAsia" w:hAnsiTheme="minorEastAsia" w:eastAsiaTheme="minorEastAsia" w:cstheme="minorEastAsia"/>
              <w:sz w:val="32"/>
              <w:szCs w:val="32"/>
            </w:rPr>
            <w:fldChar w:fldCharType="end"/>
          </w:r>
          <w:r>
            <w:rPr>
              <w:rFonts w:hint="eastAsia" w:asciiTheme="minorEastAsia" w:hAnsiTheme="minorEastAsia" w:eastAsiaTheme="minorEastAsia" w:cstheme="minorEastAsia"/>
              <w:sz w:val="32"/>
              <w:szCs w:val="32"/>
            </w:rPr>
            <w:fldChar w:fldCharType="end"/>
          </w:r>
        </w:p>
        <w:p w14:paraId="4E32AE26">
          <w:pPr>
            <w:pStyle w:val="8"/>
            <w:tabs>
              <w:tab w:val="right" w:leader="dot" w:pos="8306"/>
            </w:tabs>
            <w:spacing w:line="560" w:lineRule="exact"/>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HYPERLINK \l _Toc24401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bCs w:val="0"/>
              <w:kern w:val="0"/>
              <w:sz w:val="32"/>
              <w:szCs w:val="32"/>
            </w:rPr>
            <w:t>五、存在的问题</w:t>
          </w:r>
          <w:r>
            <w:rPr>
              <w:rFonts w:hint="eastAsia" w:asciiTheme="minorEastAsia" w:hAnsiTheme="minorEastAsia" w:eastAsiaTheme="minorEastAsia" w:cstheme="minorEastAsia"/>
              <w:sz w:val="32"/>
              <w:szCs w:val="32"/>
            </w:rPr>
            <w:tab/>
          </w: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PAGEREF _Toc24401 \h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sz w:val="32"/>
              <w:szCs w:val="32"/>
            </w:rPr>
            <w:t>30</w:t>
          </w:r>
          <w:r>
            <w:rPr>
              <w:rFonts w:hint="eastAsia" w:asciiTheme="minorEastAsia" w:hAnsiTheme="minorEastAsia" w:eastAsiaTheme="minorEastAsia" w:cstheme="minorEastAsia"/>
              <w:sz w:val="32"/>
              <w:szCs w:val="32"/>
            </w:rPr>
            <w:fldChar w:fldCharType="end"/>
          </w:r>
          <w:r>
            <w:rPr>
              <w:rFonts w:hint="eastAsia" w:asciiTheme="minorEastAsia" w:hAnsiTheme="minorEastAsia" w:eastAsiaTheme="minorEastAsia" w:cstheme="minorEastAsia"/>
              <w:sz w:val="32"/>
              <w:szCs w:val="32"/>
            </w:rPr>
            <w:fldChar w:fldCharType="end"/>
          </w:r>
        </w:p>
        <w:p w14:paraId="7871F1DA">
          <w:pPr>
            <w:pStyle w:val="8"/>
            <w:tabs>
              <w:tab w:val="right" w:leader="dot" w:pos="8306"/>
            </w:tabs>
            <w:spacing w:line="560" w:lineRule="exact"/>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HYPERLINK \l _Toc10512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bCs w:val="0"/>
              <w:kern w:val="0"/>
              <w:sz w:val="32"/>
              <w:szCs w:val="32"/>
            </w:rPr>
            <w:t>六、建议</w:t>
          </w:r>
          <w:r>
            <w:rPr>
              <w:rFonts w:hint="eastAsia" w:asciiTheme="minorEastAsia" w:hAnsiTheme="minorEastAsia" w:eastAsiaTheme="minorEastAsia" w:cstheme="minorEastAsia"/>
              <w:sz w:val="32"/>
              <w:szCs w:val="32"/>
            </w:rPr>
            <w:tab/>
          </w: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PAGEREF _Toc10512 \h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sz w:val="32"/>
              <w:szCs w:val="32"/>
            </w:rPr>
            <w:t>30</w:t>
          </w:r>
          <w:r>
            <w:rPr>
              <w:rFonts w:hint="eastAsia" w:asciiTheme="minorEastAsia" w:hAnsiTheme="minorEastAsia" w:eastAsiaTheme="minorEastAsia" w:cstheme="minorEastAsia"/>
              <w:sz w:val="32"/>
              <w:szCs w:val="32"/>
            </w:rPr>
            <w:fldChar w:fldCharType="end"/>
          </w:r>
          <w:r>
            <w:rPr>
              <w:rFonts w:hint="eastAsia" w:asciiTheme="minorEastAsia" w:hAnsiTheme="minorEastAsia" w:eastAsiaTheme="minorEastAsia" w:cstheme="minorEastAsia"/>
              <w:sz w:val="32"/>
              <w:szCs w:val="32"/>
            </w:rPr>
            <w:fldChar w:fldCharType="end"/>
          </w:r>
        </w:p>
        <w:p w14:paraId="0E26F767">
          <w:pPr>
            <w:pStyle w:val="8"/>
            <w:tabs>
              <w:tab w:val="right" w:leader="dot" w:pos="8306"/>
            </w:tabs>
            <w:spacing w:line="560" w:lineRule="exact"/>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HYPERLINK \l _Toc24830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bCs w:val="0"/>
              <w:kern w:val="0"/>
              <w:sz w:val="32"/>
              <w:szCs w:val="32"/>
            </w:rPr>
            <w:t>七、附件</w:t>
          </w:r>
          <w:r>
            <w:rPr>
              <w:rFonts w:hint="eastAsia" w:asciiTheme="minorEastAsia" w:hAnsiTheme="minorEastAsia" w:eastAsiaTheme="minorEastAsia" w:cstheme="minorEastAsia"/>
              <w:sz w:val="32"/>
              <w:szCs w:val="32"/>
            </w:rPr>
            <w:tab/>
          </w:r>
          <w:r>
            <w:rPr>
              <w:rFonts w:hint="eastAsia" w:asciiTheme="minorEastAsia" w:hAnsiTheme="minorEastAsia" w:eastAsiaTheme="minorEastAsia" w:cstheme="minorEastAsia"/>
              <w:sz w:val="32"/>
              <w:szCs w:val="32"/>
            </w:rPr>
            <w:fldChar w:fldCharType="begin"/>
          </w:r>
          <w:r>
            <w:rPr>
              <w:rFonts w:hint="eastAsia" w:asciiTheme="minorEastAsia" w:hAnsiTheme="minorEastAsia" w:eastAsiaTheme="minorEastAsia" w:cstheme="minorEastAsia"/>
              <w:sz w:val="32"/>
              <w:szCs w:val="32"/>
            </w:rPr>
            <w:instrText xml:space="preserve"> PAGEREF _Toc24830 \h </w:instrText>
          </w:r>
          <w:r>
            <w:rPr>
              <w:rFonts w:hint="eastAsia" w:asciiTheme="minorEastAsia" w:hAnsiTheme="minorEastAsia" w:eastAsiaTheme="minorEastAsia" w:cstheme="minorEastAsia"/>
              <w:sz w:val="32"/>
              <w:szCs w:val="32"/>
            </w:rPr>
            <w:fldChar w:fldCharType="separate"/>
          </w:r>
          <w:r>
            <w:rPr>
              <w:rFonts w:hint="eastAsia" w:asciiTheme="minorEastAsia" w:hAnsiTheme="minorEastAsia" w:eastAsiaTheme="minorEastAsia" w:cstheme="minorEastAsia"/>
              <w:sz w:val="32"/>
              <w:szCs w:val="32"/>
            </w:rPr>
            <w:t>30</w:t>
          </w:r>
          <w:r>
            <w:rPr>
              <w:rFonts w:hint="eastAsia" w:asciiTheme="minorEastAsia" w:hAnsiTheme="minorEastAsia" w:eastAsiaTheme="minorEastAsia" w:cstheme="minorEastAsia"/>
              <w:sz w:val="32"/>
              <w:szCs w:val="32"/>
            </w:rPr>
            <w:fldChar w:fldCharType="end"/>
          </w:r>
          <w:r>
            <w:rPr>
              <w:rFonts w:hint="eastAsia" w:asciiTheme="minorEastAsia" w:hAnsiTheme="minorEastAsia" w:eastAsiaTheme="minorEastAsia" w:cstheme="minorEastAsia"/>
              <w:sz w:val="32"/>
              <w:szCs w:val="32"/>
            </w:rPr>
            <w:fldChar w:fldCharType="end"/>
          </w:r>
        </w:p>
        <w:p w14:paraId="7AD9518F">
          <w:pPr>
            <w:pStyle w:val="8"/>
            <w:tabs>
              <w:tab w:val="right" w:leader="dot" w:pos="8306"/>
            </w:tabs>
            <w:spacing w:line="560" w:lineRule="exact"/>
            <w:rPr>
              <w:b/>
            </w:rPr>
          </w:pPr>
          <w:r>
            <w:rPr>
              <w:rFonts w:hint="eastAsia" w:asciiTheme="minorEastAsia" w:hAnsiTheme="minorEastAsia" w:eastAsiaTheme="minorEastAsia" w:cstheme="minorEastAsia"/>
              <w:sz w:val="32"/>
              <w:szCs w:val="32"/>
            </w:rPr>
            <w:fldChar w:fldCharType="end"/>
          </w:r>
        </w:p>
      </w:sdtContent>
    </w:sdt>
    <w:p w14:paraId="7E1AC7E4">
      <w:pPr>
        <w:pStyle w:val="14"/>
        <w:ind w:firstLine="600"/>
      </w:pPr>
    </w:p>
    <w:p w14:paraId="64737A39">
      <w:pPr>
        <w:rPr>
          <w:rFonts w:hint="eastAsia" w:ascii="黑体" w:hAnsi="黑体" w:eastAsia="黑体"/>
          <w:sz w:val="32"/>
          <w:szCs w:val="32"/>
        </w:rPr>
      </w:pPr>
      <w:r>
        <w:rPr>
          <w:rFonts w:hint="eastAsia" w:ascii="黑体" w:hAnsi="黑体" w:eastAsia="黑体"/>
          <w:sz w:val="32"/>
          <w:szCs w:val="32"/>
        </w:rPr>
        <w:br w:type="page"/>
      </w:r>
    </w:p>
    <w:p w14:paraId="3D24DB69">
      <w:pPr>
        <w:tabs>
          <w:tab w:val="center" w:pos="4153"/>
        </w:tabs>
        <w:snapToGrid w:val="0"/>
        <w:spacing w:line="660" w:lineRule="exact"/>
        <w:jc w:val="center"/>
        <w:rPr>
          <w:rFonts w:hint="eastAsia" w:ascii="黑体" w:hAnsi="黑体" w:eastAsia="黑体"/>
          <w:sz w:val="32"/>
          <w:szCs w:val="32"/>
        </w:rPr>
      </w:pPr>
      <w:r>
        <w:rPr>
          <w:rFonts w:hint="eastAsia" w:ascii="黑体" w:hAnsi="黑体" w:eastAsia="黑体"/>
          <w:sz w:val="32"/>
          <w:szCs w:val="32"/>
        </w:rPr>
        <w:t>项目绩效</w:t>
      </w:r>
      <w:r>
        <w:rPr>
          <w:rFonts w:hint="eastAsia" w:ascii="黑体" w:hAnsi="黑体" w:eastAsia="黑体" w:cs="宋体"/>
          <w:sz w:val="32"/>
          <w:szCs w:val="32"/>
        </w:rPr>
        <w:t>展示</w:t>
      </w:r>
    </w:p>
    <w:p w14:paraId="4A022AE7">
      <w:pPr>
        <w:pStyle w:val="14"/>
        <w:ind w:firstLine="0" w:firstLineChars="0"/>
      </w:pPr>
      <w:r>
        <w:drawing>
          <wp:inline distT="0" distB="0" distL="114300" distR="114300">
            <wp:extent cx="5261610" cy="3520440"/>
            <wp:effectExtent l="0" t="0" r="5715" b="381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5"/>
                    <a:stretch>
                      <a:fillRect/>
                    </a:stretch>
                  </pic:blipFill>
                  <pic:spPr>
                    <a:xfrm>
                      <a:off x="0" y="0"/>
                      <a:ext cx="5261610" cy="3520440"/>
                    </a:xfrm>
                    <a:prstGeom prst="rect">
                      <a:avLst/>
                    </a:prstGeom>
                    <a:noFill/>
                    <a:ln>
                      <a:noFill/>
                    </a:ln>
                  </pic:spPr>
                </pic:pic>
              </a:graphicData>
            </a:graphic>
          </wp:inline>
        </w:drawing>
      </w:r>
    </w:p>
    <w:p w14:paraId="5034BF00">
      <w:pPr>
        <w:rPr>
          <w:rFonts w:hint="eastAsia" w:ascii="方正小标宋简体" w:hAnsi="方正小标宋简体" w:eastAsia="方正小标宋简体" w:cs="方正小标宋简体"/>
          <w:sz w:val="36"/>
          <w:szCs w:val="44"/>
        </w:rPr>
      </w:pPr>
      <w:r>
        <w:drawing>
          <wp:inline distT="0" distB="0" distL="114300" distR="114300">
            <wp:extent cx="5261610" cy="3516630"/>
            <wp:effectExtent l="0" t="0" r="5715" b="762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6"/>
                    <a:stretch>
                      <a:fillRect/>
                    </a:stretch>
                  </pic:blipFill>
                  <pic:spPr>
                    <a:xfrm>
                      <a:off x="0" y="0"/>
                      <a:ext cx="5261610" cy="3516630"/>
                    </a:xfrm>
                    <a:prstGeom prst="rect">
                      <a:avLst/>
                    </a:prstGeom>
                    <a:noFill/>
                    <a:ln>
                      <a:noFill/>
                    </a:ln>
                  </pic:spPr>
                </pic:pic>
              </a:graphicData>
            </a:graphic>
          </wp:inline>
        </w:drawing>
      </w:r>
    </w:p>
    <w:p w14:paraId="12905019">
      <w:pPr>
        <w:jc w:val="center"/>
        <w:rPr>
          <w:rFonts w:hint="eastAsia" w:ascii="方正小标宋简体" w:hAnsi="方正小标宋简体" w:eastAsia="方正小标宋简体" w:cs="方正小标宋简体"/>
          <w:sz w:val="36"/>
          <w:szCs w:val="44"/>
        </w:rPr>
      </w:pPr>
    </w:p>
    <w:p w14:paraId="455D948A">
      <w:pPr>
        <w:jc w:val="center"/>
        <w:rPr>
          <w:rFonts w:hint="eastAsia" w:ascii="方正小标宋简体" w:hAnsi="方正小标宋简体" w:eastAsia="方正小标宋简体" w:cs="方正小标宋简体"/>
          <w:sz w:val="36"/>
          <w:szCs w:val="44"/>
        </w:rPr>
        <w:sectPr>
          <w:pgSz w:w="11906" w:h="16838"/>
          <w:pgMar w:top="1440" w:right="1800" w:bottom="1440" w:left="1800" w:header="851" w:footer="992" w:gutter="0"/>
          <w:pgNumType w:start="0"/>
          <w:cols w:space="720" w:num="1"/>
          <w:titlePg/>
          <w:docGrid w:type="lines" w:linePitch="408" w:charSpace="0"/>
        </w:sectPr>
      </w:pPr>
    </w:p>
    <w:p w14:paraId="32185A96">
      <w:pPr>
        <w:spacing w:line="660" w:lineRule="exact"/>
        <w:jc w:val="center"/>
        <w:rPr>
          <w:rFonts w:hint="eastAsia" w:ascii="黑体" w:hAnsi="黑体" w:eastAsia="黑体" w:cs="黑体"/>
          <w:sz w:val="36"/>
          <w:szCs w:val="36"/>
        </w:rPr>
      </w:pPr>
      <w:r>
        <w:rPr>
          <w:rFonts w:hint="eastAsia" w:ascii="黑体" w:hAnsi="黑体" w:eastAsia="黑体" w:cs="黑体"/>
          <w:sz w:val="36"/>
          <w:szCs w:val="36"/>
        </w:rPr>
        <w:t>中国人民抗日战争纪念馆</w:t>
      </w:r>
    </w:p>
    <w:p w14:paraId="6B57E7E8">
      <w:pPr>
        <w:spacing w:line="660" w:lineRule="exact"/>
        <w:jc w:val="center"/>
        <w:rPr>
          <w:rFonts w:hint="eastAsia" w:ascii="黑体" w:hAnsi="黑体" w:eastAsia="黑体" w:cs="黑体"/>
          <w:sz w:val="36"/>
          <w:szCs w:val="36"/>
        </w:rPr>
      </w:pPr>
      <w:r>
        <w:rPr>
          <w:rFonts w:hint="eastAsia" w:ascii="黑体" w:hAnsi="黑体" w:eastAsia="黑体" w:cs="黑体"/>
          <w:sz w:val="36"/>
          <w:szCs w:val="36"/>
        </w:rPr>
        <w:t>中央补助地方博物馆免费开放项目</w:t>
      </w:r>
    </w:p>
    <w:p w14:paraId="2668B10F">
      <w:pPr>
        <w:spacing w:line="660" w:lineRule="exact"/>
        <w:jc w:val="center"/>
        <w:rPr>
          <w:rFonts w:hint="eastAsia" w:ascii="黑体" w:hAnsi="黑体" w:eastAsia="黑体" w:cs="黑体"/>
          <w:sz w:val="36"/>
          <w:szCs w:val="36"/>
        </w:rPr>
      </w:pPr>
      <w:r>
        <w:rPr>
          <w:rFonts w:hint="eastAsia" w:ascii="黑体" w:hAnsi="黑体" w:eastAsia="黑体" w:cs="黑体"/>
          <w:sz w:val="36"/>
          <w:szCs w:val="36"/>
        </w:rPr>
        <w:t>支出绩效评价报告</w:t>
      </w:r>
    </w:p>
    <w:p w14:paraId="195D5701">
      <w:pPr>
        <w:snapToGrid w:val="0"/>
        <w:spacing w:line="660" w:lineRule="exact"/>
        <w:ind w:firstLine="560" w:firstLineChars="200"/>
        <w:jc w:val="right"/>
        <w:rPr>
          <w:rFonts w:hint="eastAsia" w:ascii="楷体" w:hAnsi="楷体" w:eastAsia="楷体" w:cs="楷体"/>
          <w:sz w:val="28"/>
          <w:szCs w:val="28"/>
        </w:rPr>
      </w:pPr>
    </w:p>
    <w:p w14:paraId="6C38A99F">
      <w:pPr>
        <w:snapToGrid w:val="0"/>
        <w:spacing w:line="660" w:lineRule="exact"/>
        <w:ind w:firstLine="640" w:firstLineChars="200"/>
        <w:jc w:val="left"/>
        <w:rPr>
          <w:rFonts w:hint="eastAsia" w:asciiTheme="minorEastAsia" w:hAnsiTheme="minorEastAsia" w:eastAsiaTheme="minorEastAsia" w:cstheme="minorEastAsia"/>
          <w:sz w:val="32"/>
          <w:szCs w:val="36"/>
        </w:rPr>
      </w:pPr>
      <w:r>
        <w:rPr>
          <w:rFonts w:hint="eastAsia" w:asciiTheme="minorEastAsia" w:hAnsiTheme="minorEastAsia" w:eastAsiaTheme="minorEastAsia" w:cstheme="minorEastAsia"/>
          <w:sz w:val="32"/>
          <w:szCs w:val="36"/>
        </w:rPr>
        <w:t>我们对“中央补助地方博物馆免费开放”项目（以下简称：本项目）项目预算编制、项目预算执行、采购管理、资产管理、结余资金管理等情况进行了审计，审计重点关注与绩效评价工作相关的事项。审计是依据《中国注册会计师审计准则》《中共北京市委北京市人民政府关于全面实施预算绩效管理的实施意见》(京发[2019]12号)、《北京市项目支出绩效评价管理办法》(京财绩[2020]2146号)及相关文件要求进行的。</w:t>
      </w:r>
    </w:p>
    <w:p w14:paraId="2CDF90F0">
      <w:pPr>
        <w:snapToGrid w:val="0"/>
        <w:spacing w:line="660" w:lineRule="exact"/>
        <w:ind w:firstLine="640" w:firstLineChars="200"/>
        <w:jc w:val="left"/>
        <w:rPr>
          <w:rFonts w:ascii="仿宋_GB2312"/>
          <w:szCs w:val="32"/>
        </w:rPr>
      </w:pPr>
      <w:r>
        <w:rPr>
          <w:rFonts w:hint="eastAsia" w:asciiTheme="minorEastAsia" w:hAnsiTheme="minorEastAsia" w:eastAsiaTheme="minorEastAsia" w:cstheme="minorEastAsia"/>
          <w:sz w:val="32"/>
          <w:szCs w:val="36"/>
        </w:rPr>
        <w:t>按照中国注册会计师审计准则执行审计工作，中国注册会计师审计准则要求遵守职业道德，计划和实施审计工作以对本项目执行情况获取有限保证。审计工作涉及实施审计程序，以获取本项目情况的审计证据。审计过程中，我们结合本项目的实际情况实施了包括抽查会计账簿及凭证、实地核查、问询等我们认为必要的审计程序。具体审计情况如下：</w:t>
      </w:r>
    </w:p>
    <w:p w14:paraId="17C81D48">
      <w:pPr>
        <w:pStyle w:val="2"/>
        <w:spacing w:before="0" w:after="0" w:line="660" w:lineRule="exact"/>
        <w:ind w:firstLine="643" w:firstLineChars="200"/>
        <w:rPr>
          <w:rFonts w:hint="eastAsia" w:ascii="黑体" w:hAnsi="黑体" w:eastAsia="黑体" w:cs="黑体"/>
          <w:bCs w:val="0"/>
          <w:sz w:val="32"/>
          <w:szCs w:val="32"/>
        </w:rPr>
      </w:pPr>
      <w:bookmarkStart w:id="0" w:name="_Toc18401"/>
      <w:bookmarkStart w:id="1" w:name="_Toc16500"/>
      <w:r>
        <w:rPr>
          <w:rFonts w:hint="eastAsia" w:ascii="黑体" w:hAnsi="黑体" w:eastAsia="黑体" w:cs="黑体"/>
          <w:sz w:val="32"/>
          <w:szCs w:val="32"/>
        </w:rPr>
        <w:t>一、项目情况</w:t>
      </w:r>
      <w:bookmarkEnd w:id="0"/>
      <w:bookmarkEnd w:id="1"/>
    </w:p>
    <w:p w14:paraId="731821AE">
      <w:pPr>
        <w:snapToGrid w:val="0"/>
        <w:spacing w:line="660" w:lineRule="exact"/>
        <w:ind w:firstLine="643" w:firstLineChars="200"/>
        <w:outlineLvl w:val="1"/>
        <w:rPr>
          <w:rFonts w:hint="eastAsia" w:ascii="楷体" w:hAnsi="楷体" w:eastAsia="楷体" w:cs="楷体"/>
          <w:b/>
          <w:bCs/>
          <w:sz w:val="32"/>
          <w:szCs w:val="36"/>
        </w:rPr>
      </w:pPr>
      <w:bookmarkStart w:id="2" w:name="_Toc7180"/>
      <w:bookmarkStart w:id="3" w:name="_Toc26546"/>
      <w:r>
        <w:rPr>
          <w:rFonts w:hint="eastAsia" w:ascii="楷体" w:hAnsi="楷体" w:eastAsia="楷体" w:cs="楷体"/>
          <w:b/>
          <w:bCs/>
          <w:sz w:val="32"/>
          <w:szCs w:val="36"/>
        </w:rPr>
        <w:t>（一）项目概况</w:t>
      </w:r>
      <w:bookmarkEnd w:id="2"/>
      <w:bookmarkEnd w:id="3"/>
    </w:p>
    <w:p w14:paraId="7FD0F7D5">
      <w:pPr>
        <w:snapToGrid w:val="0"/>
        <w:spacing w:line="660" w:lineRule="exact"/>
        <w:ind w:firstLine="640" w:firstLineChars="200"/>
        <w:jc w:val="left"/>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1、项目背景</w:t>
      </w:r>
    </w:p>
    <w:p w14:paraId="0EC0AEAD">
      <w:pPr>
        <w:snapToGrid w:val="0"/>
        <w:spacing w:line="660" w:lineRule="exact"/>
        <w:ind w:firstLine="640" w:firstLineChars="200"/>
        <w:jc w:val="left"/>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2008年，为贯彻落实党的十七大精神，充分发挥博物馆、纪念馆宣传和传播先进文化的重要作用，加强公共文化服务体系建设和公民思想道德建设，中宣部、财政部、文旅部、国家文物局发布了《关于全国博物馆、纪念馆免费开放的通知》。根据文件精神，中国人民抗日战争纪念馆作为国家一级博物馆、全国优秀爱国主义教育示范基地、北京市优秀爱国主义教育基地、全国国防教育基地，开始全部免费开放。中央财政和北京市财政将免费开放相关经费纳入财政预算，予以保障。</w:t>
      </w:r>
    </w:p>
    <w:p w14:paraId="10F9E5E9">
      <w:pPr>
        <w:snapToGrid w:val="0"/>
        <w:spacing w:line="660" w:lineRule="exact"/>
        <w:ind w:firstLine="640" w:firstLineChars="200"/>
        <w:jc w:val="left"/>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中央补助地方博物馆免费开放项目为中国人民抗日战争纪念馆延续项目，根据市财政局预算批复（京财科文指〔2024〕0225号）项目预算为170.00万元，项目绩效目标为补助免费开放所需经费支出，改善陈列布展，提升服务能力。</w:t>
      </w:r>
    </w:p>
    <w:p w14:paraId="5DF5E4EC">
      <w:pPr>
        <w:numPr>
          <w:ilvl w:val="0"/>
          <w:numId w:val="1"/>
        </w:numPr>
        <w:snapToGrid w:val="0"/>
        <w:spacing w:line="660" w:lineRule="exact"/>
        <w:ind w:firstLine="640" w:firstLineChars="200"/>
        <w:jc w:val="left"/>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实施主体</w:t>
      </w:r>
    </w:p>
    <w:p w14:paraId="3D5C244D">
      <w:pPr>
        <w:widowControl/>
        <w:shd w:val="clear" w:color="auto" w:fill="FFFFFF"/>
        <w:spacing w:line="660" w:lineRule="exact"/>
        <w:ind w:firstLine="640" w:firstLineChars="200"/>
        <w:rPr>
          <w:rFonts w:hint="eastAsia" w:asciiTheme="minorEastAsia" w:hAnsiTheme="minorEastAsia" w:eastAsiaTheme="minorEastAsia" w:cstheme="minorEastAsia"/>
          <w:color w:val="4F4F4F"/>
          <w:kern w:val="0"/>
          <w:sz w:val="32"/>
          <w:szCs w:val="32"/>
        </w:rPr>
      </w:pPr>
      <w:r>
        <w:rPr>
          <w:rFonts w:hint="eastAsia" w:asciiTheme="minorEastAsia" w:hAnsiTheme="minorEastAsia" w:eastAsiaTheme="minorEastAsia" w:cstheme="minorEastAsia"/>
          <w:sz w:val="32"/>
          <w:szCs w:val="32"/>
        </w:rPr>
        <w:t>项目实施主体是抗战馆。抗战馆是国家一级博物馆，国家4A级旅游景区,全国爱国主义教育示范基地，全国青年志愿者服务示范基地，全国首批红色旅游经典景区，北京市优秀爱国主义教育基地和国防教育基地，全国和北京市首批廉政建设教育基地，北京市首批免费开放的纪念馆，北京市干部教育现场教学基地。</w:t>
      </w:r>
    </w:p>
    <w:p w14:paraId="12E96D66">
      <w:pPr>
        <w:numPr>
          <w:ilvl w:val="0"/>
          <w:numId w:val="1"/>
        </w:numPr>
        <w:snapToGrid w:val="0"/>
        <w:spacing w:line="660" w:lineRule="exact"/>
        <w:ind w:firstLine="640" w:firstLineChars="200"/>
        <w:jc w:val="left"/>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项目内容</w:t>
      </w:r>
    </w:p>
    <w:p w14:paraId="2016AA37">
      <w:pPr>
        <w:snapToGrid w:val="0"/>
        <w:spacing w:line="660" w:lineRule="exact"/>
        <w:ind w:firstLine="640" w:firstLineChars="200"/>
        <w:jc w:val="left"/>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一是保障日常运转经费。对文物库房设备养护、采购知网数据库等。</w:t>
      </w:r>
    </w:p>
    <w:p w14:paraId="208CB063">
      <w:pPr>
        <w:snapToGrid w:val="0"/>
        <w:spacing w:line="660" w:lineRule="exact"/>
        <w:ind w:firstLine="640" w:firstLineChars="200"/>
        <w:jc w:val="left"/>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二是陈列布展补助。基本陈列的方案设计、相关材料及设备购置和专家咨询等支出。</w:t>
      </w:r>
    </w:p>
    <w:p w14:paraId="5057867A">
      <w:pPr>
        <w:widowControl/>
        <w:shd w:val="clear" w:color="auto" w:fill="FFFFFF"/>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4.项目资金投入及使用情况</w:t>
      </w:r>
    </w:p>
    <w:p w14:paraId="48CEDF38">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项目预算申报170.00万元，根据北京市财政局下达的《北京市财政局关于批复中国人民抗日战争纪念馆2024年预算的函》（京财科文指〔2024〕0225号）文件，该项目最终批复金额170.00万元。</w:t>
      </w:r>
    </w:p>
    <w:p w14:paraId="43564C92">
      <w:pPr>
        <w:snapToGrid w:val="0"/>
        <w:spacing w:line="660" w:lineRule="exact"/>
        <w:ind w:firstLine="640" w:firstLineChars="200"/>
        <w:jc w:val="left"/>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2024年12月，抗战馆收到财政拨付的项目资金。截至2024年12月底，项目实际支出142.81万元，结转资金27.19万元，预算执行率84.01%。</w:t>
      </w:r>
    </w:p>
    <w:p w14:paraId="60C46616">
      <w:pPr>
        <w:spacing w:line="660" w:lineRule="exact"/>
        <w:ind w:firstLine="643" w:firstLineChars="200"/>
        <w:outlineLvl w:val="1"/>
        <w:rPr>
          <w:rFonts w:hint="eastAsia" w:ascii="楷体" w:hAnsi="楷体" w:eastAsia="楷体" w:cs="楷体"/>
          <w:b/>
          <w:sz w:val="32"/>
          <w:szCs w:val="32"/>
        </w:rPr>
      </w:pPr>
      <w:bookmarkStart w:id="4" w:name="_Toc7434"/>
      <w:bookmarkStart w:id="5" w:name="_Toc8381"/>
      <w:bookmarkStart w:id="6" w:name="_Toc21055"/>
      <w:bookmarkStart w:id="7" w:name="_Toc19337"/>
      <w:r>
        <w:rPr>
          <w:rFonts w:hint="eastAsia" w:ascii="楷体" w:hAnsi="楷体" w:eastAsia="楷体" w:cs="楷体"/>
          <w:b/>
          <w:sz w:val="32"/>
          <w:szCs w:val="32"/>
        </w:rPr>
        <w:t>（二）项目绩效目标</w:t>
      </w:r>
      <w:bookmarkEnd w:id="4"/>
      <w:bookmarkEnd w:id="5"/>
      <w:bookmarkEnd w:id="6"/>
      <w:bookmarkEnd w:id="7"/>
    </w:p>
    <w:p w14:paraId="698D4D28">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1.项目绩效目标为：</w:t>
      </w:r>
    </w:p>
    <w:p w14:paraId="6CD5D856">
      <w:pPr>
        <w:snapToGrid w:val="0"/>
        <w:spacing w:line="660" w:lineRule="exact"/>
        <w:ind w:firstLine="640" w:firstLineChars="200"/>
        <w:jc w:val="left"/>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补助博物馆、纪念馆免费开放所需经费支出，鼓励改善陈列布展，支持重点博物馆提升服务能力。</w:t>
      </w:r>
    </w:p>
    <w:p w14:paraId="62D94F28">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2.具体产出指标：</w:t>
      </w:r>
    </w:p>
    <w:p w14:paraId="45BE8B5F">
      <w:pPr>
        <w:snapToGrid w:val="0"/>
        <w:spacing w:line="660" w:lineRule="exact"/>
        <w:ind w:firstLine="640" w:firstLineChars="200"/>
        <w:jc w:val="left"/>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产出指标包括产出数量、产出质量、产出时效和产出成本。</w:t>
      </w:r>
    </w:p>
    <w:p w14:paraId="39F58D2F">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（1）产出数量指标</w:t>
      </w:r>
    </w:p>
    <w:p w14:paraId="1C361D77">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资金支付170万元。</w:t>
      </w:r>
    </w:p>
    <w:p w14:paraId="63152C7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（2）产出质量指标</w:t>
      </w:r>
    </w:p>
    <w:p w14:paraId="3E575042">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完成质量优。</w:t>
      </w:r>
    </w:p>
    <w:p w14:paraId="36AEBFF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（3）产出时效指标</w:t>
      </w:r>
    </w:p>
    <w:p w14:paraId="6906D485">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支出计划完成率100%。</w:t>
      </w:r>
    </w:p>
    <w:p w14:paraId="4613ED33">
      <w:pPr>
        <w:numPr>
          <w:ilvl w:val="0"/>
          <w:numId w:val="2"/>
        </w:num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产出成本指标</w:t>
      </w:r>
    </w:p>
    <w:p w14:paraId="057F932D">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成本控制≤170万元。</w:t>
      </w:r>
    </w:p>
    <w:p w14:paraId="0A3DCA11">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（5）效益指标</w:t>
      </w:r>
    </w:p>
    <w:p w14:paraId="7F7DA1CC">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提升服务能力优；提升博物馆服务能力优。</w:t>
      </w:r>
    </w:p>
    <w:p w14:paraId="11B51516">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（5）服务对象满意度指标</w:t>
      </w:r>
    </w:p>
    <w:p w14:paraId="6AF697C6">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观众满意度≥80%。</w:t>
      </w:r>
    </w:p>
    <w:p w14:paraId="11297C45">
      <w:pPr>
        <w:pStyle w:val="2"/>
        <w:keepNext w:val="0"/>
        <w:keepLines w:val="0"/>
        <w:spacing w:before="0" w:after="0" w:line="660" w:lineRule="exact"/>
        <w:ind w:firstLine="640" w:firstLineChars="200"/>
        <w:rPr>
          <w:rFonts w:hint="eastAsia" w:ascii="黑体" w:hAnsi="黑体" w:eastAsia="黑体" w:cs="宋体"/>
          <w:b w:val="0"/>
          <w:bCs w:val="0"/>
          <w:color w:val="000000"/>
          <w:kern w:val="0"/>
          <w:sz w:val="32"/>
          <w:szCs w:val="32"/>
        </w:rPr>
      </w:pPr>
      <w:bookmarkStart w:id="8" w:name="_Toc458777503"/>
      <w:bookmarkStart w:id="9" w:name="_Toc5891"/>
      <w:bookmarkStart w:id="10" w:name="_Toc637"/>
      <w:bookmarkStart w:id="11" w:name="_Toc21027"/>
      <w:bookmarkStart w:id="12" w:name="_Toc11792"/>
      <w:r>
        <w:rPr>
          <w:rFonts w:hint="eastAsia" w:ascii="黑体" w:hAnsi="黑体" w:eastAsia="黑体" w:cs="宋体"/>
          <w:b w:val="0"/>
          <w:bCs w:val="0"/>
          <w:color w:val="000000"/>
          <w:kern w:val="0"/>
          <w:sz w:val="32"/>
          <w:szCs w:val="32"/>
        </w:rPr>
        <w:t>二、</w:t>
      </w:r>
      <w:bookmarkEnd w:id="8"/>
      <w:r>
        <w:rPr>
          <w:rFonts w:hint="eastAsia" w:ascii="黑体" w:hAnsi="黑体" w:eastAsia="黑体" w:cs="宋体"/>
          <w:b w:val="0"/>
          <w:bCs w:val="0"/>
          <w:color w:val="000000"/>
          <w:kern w:val="0"/>
          <w:sz w:val="32"/>
          <w:szCs w:val="32"/>
        </w:rPr>
        <w:t>绩效评价工作开展情况</w:t>
      </w:r>
      <w:bookmarkEnd w:id="9"/>
      <w:bookmarkEnd w:id="10"/>
      <w:bookmarkEnd w:id="11"/>
      <w:bookmarkEnd w:id="12"/>
    </w:p>
    <w:p w14:paraId="7F9127EC">
      <w:pPr>
        <w:spacing w:line="660" w:lineRule="exact"/>
        <w:ind w:firstLine="643" w:firstLineChars="200"/>
        <w:outlineLvl w:val="1"/>
        <w:rPr>
          <w:rFonts w:hint="eastAsia" w:ascii="楷体" w:hAnsi="楷体" w:eastAsia="楷体" w:cs="楷体"/>
          <w:b/>
          <w:sz w:val="32"/>
          <w:szCs w:val="32"/>
        </w:rPr>
      </w:pPr>
      <w:bookmarkStart w:id="13" w:name="_Toc458777504"/>
      <w:bookmarkStart w:id="14" w:name="_Toc4588"/>
      <w:bookmarkStart w:id="15" w:name="_Toc31667"/>
      <w:bookmarkStart w:id="16" w:name="_Toc10403"/>
      <w:bookmarkStart w:id="17" w:name="_Toc28545"/>
      <w:r>
        <w:rPr>
          <w:rFonts w:hint="eastAsia" w:ascii="楷体" w:hAnsi="楷体" w:eastAsia="楷体" w:cs="楷体"/>
          <w:b/>
          <w:sz w:val="32"/>
          <w:szCs w:val="32"/>
        </w:rPr>
        <w:t>（一）</w:t>
      </w:r>
      <w:bookmarkEnd w:id="13"/>
      <w:r>
        <w:rPr>
          <w:rFonts w:hint="eastAsia" w:ascii="楷体" w:hAnsi="楷体" w:eastAsia="楷体" w:cs="楷体"/>
          <w:b/>
          <w:sz w:val="32"/>
          <w:szCs w:val="32"/>
        </w:rPr>
        <w:t>绩效评价目的、对象和范围以及评价内容</w:t>
      </w:r>
      <w:bookmarkEnd w:id="14"/>
      <w:bookmarkEnd w:id="15"/>
      <w:bookmarkEnd w:id="16"/>
      <w:bookmarkEnd w:id="17"/>
    </w:p>
    <w:p w14:paraId="7EB58629">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1.评价目的、对象和范围</w:t>
      </w:r>
    </w:p>
    <w:p w14:paraId="14E8D5CC">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（1）评价目的</w:t>
      </w:r>
    </w:p>
    <w:p w14:paraId="435EB32C">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本次评价目的一是为加强预算管理，贯彻落实全面实施预算绩效管理，将绩效理念和方法深度融入预算编制、执行、监督全过程，实现预算和绩效管理一体化；二是通过绩效评价，衡量和考核该项目资金的绩效，强化抗战馆财政资金支出责任，更好的发挥公共财政职能作用；三是通过总结经验，分析问题，采取切实有效措施进一步加强和改进财政支出项目管理，提高财政资金配置和使用效益，为以后此类项目实施的规范性、经济性提供参考依据；四是通过评价，不断提高财政资金使用效益，提高公共服务水平。</w:t>
      </w:r>
    </w:p>
    <w:p w14:paraId="230C847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（2）评价对象和范围：</w:t>
      </w:r>
    </w:p>
    <w:p w14:paraId="32419448">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本次绩效评价的对象是抗日纪念馆实施的“中央补助地方博物馆免费开放”项目，包括项目预算资金的使用和项目绩效目标的完成情况。</w:t>
      </w:r>
    </w:p>
    <w:p w14:paraId="18E24E99">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2.绩效评价内容：</w:t>
      </w:r>
    </w:p>
    <w:p w14:paraId="3CEDFF27">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（1）决策情况；</w:t>
      </w:r>
    </w:p>
    <w:p w14:paraId="11623E28">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（2）资金管理和使用情况；</w:t>
      </w:r>
    </w:p>
    <w:p w14:paraId="00F746D9">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（3）相关管理制度办法的健全性及执行情况；</w:t>
      </w:r>
    </w:p>
    <w:p w14:paraId="29659CCB">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（4）实现的项目产出情况；</w:t>
      </w:r>
    </w:p>
    <w:p w14:paraId="3A3CE6CC">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（5）取得的项目效益情况；</w:t>
      </w:r>
    </w:p>
    <w:p w14:paraId="4D6EF74A">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（6）其他相关内容。</w:t>
      </w:r>
    </w:p>
    <w:p w14:paraId="3511A581">
      <w:pPr>
        <w:spacing w:line="660" w:lineRule="exact"/>
        <w:ind w:firstLine="643" w:firstLineChars="200"/>
        <w:outlineLvl w:val="1"/>
        <w:rPr>
          <w:rFonts w:hint="eastAsia" w:ascii="楷体" w:hAnsi="楷体" w:eastAsia="楷体" w:cs="楷体"/>
          <w:b/>
          <w:sz w:val="32"/>
          <w:szCs w:val="32"/>
        </w:rPr>
      </w:pPr>
      <w:bookmarkStart w:id="18" w:name="_Toc9332"/>
      <w:bookmarkStart w:id="19" w:name="_Toc32102"/>
      <w:bookmarkStart w:id="20" w:name="_Toc1958"/>
      <w:bookmarkStart w:id="21" w:name="_Toc15834"/>
      <w:r>
        <w:rPr>
          <w:rFonts w:hint="eastAsia" w:ascii="楷体" w:hAnsi="楷体" w:eastAsia="楷体" w:cs="楷体"/>
          <w:b/>
          <w:sz w:val="32"/>
          <w:szCs w:val="32"/>
        </w:rPr>
        <w:t>（二）绩效评价原则、体系、方法及标准</w:t>
      </w:r>
      <w:bookmarkEnd w:id="18"/>
      <w:bookmarkEnd w:id="19"/>
      <w:bookmarkEnd w:id="20"/>
      <w:bookmarkEnd w:id="21"/>
    </w:p>
    <w:p w14:paraId="0107149E">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1.绩效评价应当遵循以下基本原则：</w:t>
      </w:r>
    </w:p>
    <w:p w14:paraId="07AEA135">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（1）科学公正。绩效评价应当运用科学合理的方法，按照规范的程序，对项目绩效进行客观、公正的反映。</w:t>
      </w:r>
    </w:p>
    <w:p w14:paraId="516B1D62">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（2）统筹兼顾。单位自评、部门评价和财政评价应职责明确，各有侧重，相互衔接。</w:t>
      </w:r>
    </w:p>
    <w:p w14:paraId="1553279C">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（3）激励约束。绩效评价结果与预算安排、政策调整、改进管理实质性挂钩，体现奖优罚劣和激励相容导向，有效要安排、低效要压减、无效要问责。</w:t>
      </w:r>
    </w:p>
    <w:p w14:paraId="32235627">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（4）公开透明。绩效评价结果应依法依规公开，并自觉接受社会监督。</w:t>
      </w:r>
    </w:p>
    <w:p w14:paraId="10ACDEC7">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本次评价工作遵循“客观、公正、科学、规范”的原则。</w:t>
      </w:r>
    </w:p>
    <w:p w14:paraId="52EB2C2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2.评价指标体系</w:t>
      </w:r>
    </w:p>
    <w:p w14:paraId="23095598">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绩效评价指标分为共性和个性指标。共性指标包括预算编制和执行情况、项目财务管理状况、资产配置、使用、处置及其收益管理情况以及社会效益、经济效益等。个性指标是针对部门或项目特点设定的，适用不同预算部门或项目的业绩评价指标。本次评价根据《项目支出绩效评价管理办法》相关规定，评价工作小组结合项目资金的特点及资金使用的具体情况，以资金使用结果为导向，设计本次评价指标内容和权重，综合考虑项目决策、项目过程和资金管理、产出和效益的具体情况，重点对绩效目标及产出指标完成情况、效益实现情况进行综合评价，设定产出指标和效益指标权重为70%。具体如下：</w:t>
      </w:r>
    </w:p>
    <w:tbl>
      <w:tblPr>
        <w:tblStyle w:val="11"/>
        <w:tblW w:w="8155" w:type="dxa"/>
        <w:jc w:val="center"/>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Layout w:type="autofit"/>
        <w:tblCellMar>
          <w:top w:w="0" w:type="dxa"/>
          <w:left w:w="108" w:type="dxa"/>
          <w:bottom w:w="0" w:type="dxa"/>
          <w:right w:w="108" w:type="dxa"/>
        </w:tblCellMar>
      </w:tblPr>
      <w:tblGrid>
        <w:gridCol w:w="2008"/>
        <w:gridCol w:w="2122"/>
        <w:gridCol w:w="4025"/>
      </w:tblGrid>
      <w:tr w14:paraId="041D74EB">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tblHeader/>
          <w:jc w:val="center"/>
        </w:trPr>
        <w:tc>
          <w:tcPr>
            <w:tcW w:w="2008" w:type="dxa"/>
            <w:shd w:val="clear" w:color="auto" w:fill="auto"/>
            <w:vAlign w:val="center"/>
          </w:tcPr>
          <w:p w14:paraId="38256D01">
            <w:pPr>
              <w:widowControl/>
              <w:jc w:val="center"/>
              <w:rPr>
                <w:rFonts w:hint="eastAsia" w:asciiTheme="minorEastAsia" w:hAnsiTheme="minorEastAsia" w:eastAsiaTheme="minorEastAsia" w:cstheme="minorEastAsia"/>
                <w:b/>
                <w:bCs/>
                <w:color w:val="6E6E6E"/>
                <w:kern w:val="0"/>
                <w:sz w:val="28"/>
                <w:szCs w:val="28"/>
              </w:rPr>
            </w:pPr>
            <w:r>
              <w:rPr>
                <w:rFonts w:hint="eastAsia" w:asciiTheme="minorEastAsia" w:hAnsiTheme="minorEastAsia" w:eastAsiaTheme="minorEastAsia" w:cstheme="minorEastAsia"/>
                <w:b/>
                <w:bCs/>
                <w:color w:val="6E6E6E"/>
                <w:kern w:val="0"/>
                <w:sz w:val="28"/>
                <w:szCs w:val="28"/>
              </w:rPr>
              <w:t>一级指标</w:t>
            </w:r>
          </w:p>
        </w:tc>
        <w:tc>
          <w:tcPr>
            <w:tcW w:w="2122" w:type="dxa"/>
            <w:shd w:val="clear" w:color="auto" w:fill="auto"/>
            <w:vAlign w:val="center"/>
          </w:tcPr>
          <w:p w14:paraId="0ED38F77">
            <w:pPr>
              <w:widowControl/>
              <w:jc w:val="center"/>
              <w:rPr>
                <w:rFonts w:hint="eastAsia" w:asciiTheme="minorEastAsia" w:hAnsiTheme="minorEastAsia" w:eastAsiaTheme="minorEastAsia" w:cstheme="minorEastAsia"/>
                <w:b/>
                <w:bCs/>
                <w:color w:val="6E6E6E"/>
                <w:kern w:val="0"/>
                <w:sz w:val="28"/>
                <w:szCs w:val="28"/>
              </w:rPr>
            </w:pPr>
            <w:r>
              <w:rPr>
                <w:rFonts w:hint="eastAsia" w:asciiTheme="minorEastAsia" w:hAnsiTheme="minorEastAsia" w:eastAsiaTheme="minorEastAsia" w:cstheme="minorEastAsia"/>
                <w:b/>
                <w:bCs/>
                <w:color w:val="6E6E6E"/>
                <w:kern w:val="0"/>
                <w:sz w:val="28"/>
                <w:szCs w:val="28"/>
              </w:rPr>
              <w:t>二</w:t>
            </w:r>
            <w:r>
              <w:rPr>
                <w:rFonts w:hint="eastAsia" w:asciiTheme="minorEastAsia" w:hAnsiTheme="minorEastAsia" w:eastAsiaTheme="minorEastAsia" w:cstheme="minorEastAsia"/>
                <w:b/>
                <w:bCs/>
                <w:color w:val="333333"/>
                <w:kern w:val="0"/>
                <w:sz w:val="28"/>
                <w:szCs w:val="28"/>
              </w:rPr>
              <w:t>级</w:t>
            </w:r>
            <w:r>
              <w:rPr>
                <w:rFonts w:hint="eastAsia" w:asciiTheme="minorEastAsia" w:hAnsiTheme="minorEastAsia" w:eastAsiaTheme="minorEastAsia" w:cstheme="minorEastAsia"/>
                <w:b/>
                <w:bCs/>
                <w:color w:val="6E6E6E"/>
                <w:kern w:val="0"/>
                <w:sz w:val="28"/>
                <w:szCs w:val="28"/>
              </w:rPr>
              <w:t>指标</w:t>
            </w:r>
          </w:p>
        </w:tc>
        <w:tc>
          <w:tcPr>
            <w:tcW w:w="4025" w:type="dxa"/>
            <w:shd w:val="clear" w:color="auto" w:fill="auto"/>
            <w:vAlign w:val="center"/>
          </w:tcPr>
          <w:p w14:paraId="6533825F">
            <w:pPr>
              <w:widowControl/>
              <w:jc w:val="center"/>
              <w:rPr>
                <w:rFonts w:hint="eastAsia" w:asciiTheme="minorEastAsia" w:hAnsiTheme="minorEastAsia" w:eastAsiaTheme="minorEastAsia" w:cstheme="minorEastAsia"/>
                <w:b/>
                <w:bCs/>
                <w:color w:val="6E6E6E"/>
                <w:kern w:val="0"/>
                <w:sz w:val="28"/>
                <w:szCs w:val="28"/>
              </w:rPr>
            </w:pPr>
            <w:r>
              <w:rPr>
                <w:rFonts w:hint="eastAsia" w:asciiTheme="minorEastAsia" w:hAnsiTheme="minorEastAsia" w:eastAsiaTheme="minorEastAsia" w:cstheme="minorEastAsia"/>
                <w:b/>
                <w:bCs/>
                <w:color w:val="6E6E6E"/>
                <w:kern w:val="0"/>
                <w:sz w:val="28"/>
                <w:szCs w:val="28"/>
              </w:rPr>
              <w:t>三</w:t>
            </w:r>
            <w:r>
              <w:rPr>
                <w:rFonts w:hint="eastAsia" w:asciiTheme="minorEastAsia" w:hAnsiTheme="minorEastAsia" w:eastAsiaTheme="minorEastAsia" w:cstheme="minorEastAsia"/>
                <w:b/>
                <w:bCs/>
                <w:color w:val="333333"/>
                <w:kern w:val="0"/>
                <w:sz w:val="28"/>
                <w:szCs w:val="28"/>
              </w:rPr>
              <w:t>级</w:t>
            </w:r>
            <w:r>
              <w:rPr>
                <w:rFonts w:hint="eastAsia" w:asciiTheme="minorEastAsia" w:hAnsiTheme="minorEastAsia" w:eastAsiaTheme="minorEastAsia" w:cstheme="minorEastAsia"/>
                <w:b/>
                <w:bCs/>
                <w:color w:val="6E6E6E"/>
                <w:kern w:val="0"/>
                <w:sz w:val="28"/>
                <w:szCs w:val="28"/>
              </w:rPr>
              <w:t>指标</w:t>
            </w:r>
          </w:p>
        </w:tc>
      </w:tr>
      <w:tr w14:paraId="12748A1E">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restart"/>
            <w:shd w:val="clear" w:color="auto" w:fill="auto"/>
            <w:noWrap/>
            <w:vAlign w:val="center"/>
          </w:tcPr>
          <w:p w14:paraId="791B1F41">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决策</w:t>
            </w:r>
          </w:p>
        </w:tc>
        <w:tc>
          <w:tcPr>
            <w:tcW w:w="2122" w:type="dxa"/>
            <w:vMerge w:val="restart"/>
            <w:shd w:val="clear" w:color="000000" w:fill="FFFFFF"/>
            <w:vAlign w:val="center"/>
          </w:tcPr>
          <w:p w14:paraId="208AF02F">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项目立项</w:t>
            </w:r>
          </w:p>
        </w:tc>
        <w:tc>
          <w:tcPr>
            <w:tcW w:w="4025" w:type="dxa"/>
            <w:shd w:val="clear" w:color="auto" w:fill="auto"/>
            <w:vAlign w:val="center"/>
          </w:tcPr>
          <w:p w14:paraId="0D2D0063">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立项依据充分性</w:t>
            </w:r>
          </w:p>
        </w:tc>
      </w:tr>
      <w:tr w14:paraId="4F0C8D59">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continue"/>
            <w:vAlign w:val="center"/>
          </w:tcPr>
          <w:p w14:paraId="1BE36490">
            <w:pPr>
              <w:widowControl/>
              <w:jc w:val="left"/>
              <w:rPr>
                <w:rFonts w:hint="eastAsia" w:asciiTheme="minorEastAsia" w:hAnsiTheme="minorEastAsia" w:eastAsiaTheme="minorEastAsia" w:cstheme="minorEastAsia"/>
                <w:color w:val="000000"/>
                <w:kern w:val="0"/>
                <w:sz w:val="28"/>
                <w:szCs w:val="28"/>
              </w:rPr>
            </w:pPr>
          </w:p>
        </w:tc>
        <w:tc>
          <w:tcPr>
            <w:tcW w:w="2122" w:type="dxa"/>
            <w:vMerge w:val="continue"/>
            <w:vAlign w:val="center"/>
          </w:tcPr>
          <w:p w14:paraId="7D959C9C">
            <w:pPr>
              <w:widowControl/>
              <w:jc w:val="center"/>
              <w:rPr>
                <w:rFonts w:hint="eastAsia" w:asciiTheme="minorEastAsia" w:hAnsiTheme="minorEastAsia" w:eastAsiaTheme="minorEastAsia" w:cstheme="minorEastAsia"/>
                <w:color w:val="000000"/>
                <w:kern w:val="0"/>
                <w:sz w:val="28"/>
                <w:szCs w:val="28"/>
              </w:rPr>
            </w:pPr>
          </w:p>
        </w:tc>
        <w:tc>
          <w:tcPr>
            <w:tcW w:w="4025" w:type="dxa"/>
            <w:shd w:val="clear" w:color="auto" w:fill="auto"/>
            <w:vAlign w:val="center"/>
          </w:tcPr>
          <w:p w14:paraId="6FA604A1">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立项程序规范性</w:t>
            </w:r>
          </w:p>
        </w:tc>
      </w:tr>
      <w:tr w14:paraId="39C6C83E">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continue"/>
            <w:vAlign w:val="center"/>
          </w:tcPr>
          <w:p w14:paraId="2F9768B9">
            <w:pPr>
              <w:widowControl/>
              <w:jc w:val="left"/>
              <w:rPr>
                <w:rFonts w:hint="eastAsia" w:asciiTheme="minorEastAsia" w:hAnsiTheme="minorEastAsia" w:eastAsiaTheme="minorEastAsia" w:cstheme="minorEastAsia"/>
                <w:color w:val="000000"/>
                <w:kern w:val="0"/>
                <w:sz w:val="28"/>
                <w:szCs w:val="28"/>
              </w:rPr>
            </w:pPr>
          </w:p>
        </w:tc>
        <w:tc>
          <w:tcPr>
            <w:tcW w:w="2122" w:type="dxa"/>
            <w:vMerge w:val="restart"/>
            <w:shd w:val="clear" w:color="auto" w:fill="auto"/>
            <w:vAlign w:val="center"/>
          </w:tcPr>
          <w:p w14:paraId="5E994F6E">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绩效目标</w:t>
            </w:r>
          </w:p>
        </w:tc>
        <w:tc>
          <w:tcPr>
            <w:tcW w:w="4025" w:type="dxa"/>
            <w:shd w:val="clear" w:color="auto" w:fill="auto"/>
            <w:vAlign w:val="center"/>
          </w:tcPr>
          <w:p w14:paraId="3A892114">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绩效目标合理性</w:t>
            </w:r>
          </w:p>
        </w:tc>
      </w:tr>
      <w:tr w14:paraId="5A72547A">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continue"/>
            <w:vAlign w:val="center"/>
          </w:tcPr>
          <w:p w14:paraId="19FCD369">
            <w:pPr>
              <w:widowControl/>
              <w:jc w:val="left"/>
              <w:rPr>
                <w:rFonts w:hint="eastAsia" w:asciiTheme="minorEastAsia" w:hAnsiTheme="minorEastAsia" w:eastAsiaTheme="minorEastAsia" w:cstheme="minorEastAsia"/>
                <w:color w:val="000000"/>
                <w:kern w:val="0"/>
                <w:sz w:val="28"/>
                <w:szCs w:val="28"/>
              </w:rPr>
            </w:pPr>
          </w:p>
        </w:tc>
        <w:tc>
          <w:tcPr>
            <w:tcW w:w="2122" w:type="dxa"/>
            <w:vMerge w:val="continue"/>
            <w:shd w:val="clear" w:color="auto" w:fill="auto"/>
            <w:vAlign w:val="center"/>
          </w:tcPr>
          <w:p w14:paraId="1347114E">
            <w:pPr>
              <w:widowControl/>
              <w:jc w:val="center"/>
              <w:rPr>
                <w:rFonts w:hint="eastAsia" w:asciiTheme="minorEastAsia" w:hAnsiTheme="minorEastAsia" w:eastAsiaTheme="minorEastAsia" w:cstheme="minorEastAsia"/>
                <w:color w:val="000000"/>
                <w:kern w:val="0"/>
                <w:sz w:val="28"/>
                <w:szCs w:val="28"/>
              </w:rPr>
            </w:pPr>
          </w:p>
        </w:tc>
        <w:tc>
          <w:tcPr>
            <w:tcW w:w="4025" w:type="dxa"/>
            <w:shd w:val="clear" w:color="auto" w:fill="auto"/>
            <w:vAlign w:val="center"/>
          </w:tcPr>
          <w:p w14:paraId="286F8C9E">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绩效指标明确性</w:t>
            </w:r>
          </w:p>
        </w:tc>
      </w:tr>
      <w:tr w14:paraId="21FF22CF">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continue"/>
            <w:vAlign w:val="center"/>
          </w:tcPr>
          <w:p w14:paraId="6F1FA64F">
            <w:pPr>
              <w:widowControl/>
              <w:jc w:val="left"/>
              <w:rPr>
                <w:rFonts w:hint="eastAsia" w:asciiTheme="minorEastAsia" w:hAnsiTheme="minorEastAsia" w:eastAsiaTheme="minorEastAsia" w:cstheme="minorEastAsia"/>
                <w:color w:val="000000"/>
                <w:kern w:val="0"/>
                <w:sz w:val="28"/>
                <w:szCs w:val="28"/>
              </w:rPr>
            </w:pPr>
          </w:p>
        </w:tc>
        <w:tc>
          <w:tcPr>
            <w:tcW w:w="2122" w:type="dxa"/>
            <w:vMerge w:val="restart"/>
            <w:shd w:val="clear" w:color="auto" w:fill="auto"/>
            <w:vAlign w:val="center"/>
          </w:tcPr>
          <w:p w14:paraId="2C3C044F">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资金投入</w:t>
            </w:r>
          </w:p>
        </w:tc>
        <w:tc>
          <w:tcPr>
            <w:tcW w:w="4025" w:type="dxa"/>
            <w:shd w:val="clear" w:color="auto" w:fill="auto"/>
            <w:vAlign w:val="center"/>
          </w:tcPr>
          <w:p w14:paraId="157E1BD9">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预算编制科学性</w:t>
            </w:r>
          </w:p>
        </w:tc>
      </w:tr>
      <w:tr w14:paraId="776ECF9D">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continue"/>
            <w:vAlign w:val="center"/>
          </w:tcPr>
          <w:p w14:paraId="53E723E8">
            <w:pPr>
              <w:widowControl/>
              <w:jc w:val="left"/>
              <w:rPr>
                <w:rFonts w:hint="eastAsia" w:asciiTheme="minorEastAsia" w:hAnsiTheme="minorEastAsia" w:eastAsiaTheme="minorEastAsia" w:cstheme="minorEastAsia"/>
                <w:color w:val="000000"/>
                <w:kern w:val="0"/>
                <w:sz w:val="28"/>
                <w:szCs w:val="28"/>
              </w:rPr>
            </w:pPr>
          </w:p>
        </w:tc>
        <w:tc>
          <w:tcPr>
            <w:tcW w:w="2122" w:type="dxa"/>
            <w:vMerge w:val="continue"/>
            <w:vAlign w:val="center"/>
          </w:tcPr>
          <w:p w14:paraId="65596AC6">
            <w:pPr>
              <w:widowControl/>
              <w:jc w:val="center"/>
              <w:rPr>
                <w:rFonts w:hint="eastAsia" w:asciiTheme="minorEastAsia" w:hAnsiTheme="minorEastAsia" w:eastAsiaTheme="minorEastAsia" w:cstheme="minorEastAsia"/>
                <w:color w:val="000000"/>
                <w:kern w:val="0"/>
                <w:sz w:val="28"/>
                <w:szCs w:val="28"/>
              </w:rPr>
            </w:pPr>
          </w:p>
        </w:tc>
        <w:tc>
          <w:tcPr>
            <w:tcW w:w="4025" w:type="dxa"/>
            <w:shd w:val="clear" w:color="auto" w:fill="auto"/>
            <w:vAlign w:val="center"/>
          </w:tcPr>
          <w:p w14:paraId="3262128F">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资金分配合理性</w:t>
            </w:r>
          </w:p>
        </w:tc>
      </w:tr>
      <w:tr w14:paraId="7486BEAB">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restart"/>
            <w:shd w:val="clear" w:color="auto" w:fill="auto"/>
            <w:noWrap/>
            <w:vAlign w:val="center"/>
          </w:tcPr>
          <w:p w14:paraId="711FA7CD">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过程</w:t>
            </w:r>
          </w:p>
        </w:tc>
        <w:tc>
          <w:tcPr>
            <w:tcW w:w="2122" w:type="dxa"/>
            <w:vMerge w:val="restart"/>
            <w:shd w:val="clear" w:color="auto" w:fill="auto"/>
            <w:vAlign w:val="center"/>
          </w:tcPr>
          <w:p w14:paraId="667567B8">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资金管理</w:t>
            </w:r>
          </w:p>
        </w:tc>
        <w:tc>
          <w:tcPr>
            <w:tcW w:w="4025" w:type="dxa"/>
            <w:shd w:val="clear" w:color="auto" w:fill="auto"/>
            <w:vAlign w:val="center"/>
          </w:tcPr>
          <w:p w14:paraId="4118EE9C">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资金到位率</w:t>
            </w:r>
          </w:p>
        </w:tc>
      </w:tr>
      <w:tr w14:paraId="60376939">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continue"/>
            <w:vAlign w:val="center"/>
          </w:tcPr>
          <w:p w14:paraId="704DAAD1">
            <w:pPr>
              <w:widowControl/>
              <w:jc w:val="left"/>
              <w:rPr>
                <w:rFonts w:hint="eastAsia" w:asciiTheme="minorEastAsia" w:hAnsiTheme="minorEastAsia" w:eastAsiaTheme="minorEastAsia" w:cstheme="minorEastAsia"/>
                <w:color w:val="000000"/>
                <w:kern w:val="0"/>
                <w:sz w:val="28"/>
                <w:szCs w:val="28"/>
              </w:rPr>
            </w:pPr>
          </w:p>
        </w:tc>
        <w:tc>
          <w:tcPr>
            <w:tcW w:w="2122" w:type="dxa"/>
            <w:vMerge w:val="continue"/>
            <w:vAlign w:val="center"/>
          </w:tcPr>
          <w:p w14:paraId="6E9F0823">
            <w:pPr>
              <w:widowControl/>
              <w:jc w:val="center"/>
              <w:rPr>
                <w:rFonts w:hint="eastAsia" w:asciiTheme="minorEastAsia" w:hAnsiTheme="minorEastAsia" w:eastAsiaTheme="minorEastAsia" w:cstheme="minorEastAsia"/>
                <w:color w:val="000000"/>
                <w:kern w:val="0"/>
                <w:sz w:val="28"/>
                <w:szCs w:val="28"/>
              </w:rPr>
            </w:pPr>
          </w:p>
        </w:tc>
        <w:tc>
          <w:tcPr>
            <w:tcW w:w="4025" w:type="dxa"/>
            <w:shd w:val="clear" w:color="auto" w:fill="auto"/>
            <w:vAlign w:val="center"/>
          </w:tcPr>
          <w:p w14:paraId="66081C6D">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预算执行率</w:t>
            </w:r>
          </w:p>
        </w:tc>
      </w:tr>
      <w:tr w14:paraId="5CEAD107">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continue"/>
            <w:vAlign w:val="center"/>
          </w:tcPr>
          <w:p w14:paraId="48CC9190">
            <w:pPr>
              <w:widowControl/>
              <w:jc w:val="left"/>
              <w:rPr>
                <w:rFonts w:hint="eastAsia" w:asciiTheme="minorEastAsia" w:hAnsiTheme="minorEastAsia" w:eastAsiaTheme="minorEastAsia" w:cstheme="minorEastAsia"/>
                <w:color w:val="000000"/>
                <w:kern w:val="0"/>
                <w:sz w:val="28"/>
                <w:szCs w:val="28"/>
              </w:rPr>
            </w:pPr>
          </w:p>
        </w:tc>
        <w:tc>
          <w:tcPr>
            <w:tcW w:w="2122" w:type="dxa"/>
            <w:vMerge w:val="continue"/>
            <w:vAlign w:val="center"/>
          </w:tcPr>
          <w:p w14:paraId="6AF923B1">
            <w:pPr>
              <w:widowControl/>
              <w:jc w:val="center"/>
              <w:rPr>
                <w:rFonts w:hint="eastAsia" w:asciiTheme="minorEastAsia" w:hAnsiTheme="minorEastAsia" w:eastAsiaTheme="minorEastAsia" w:cstheme="minorEastAsia"/>
                <w:color w:val="000000"/>
                <w:kern w:val="0"/>
                <w:sz w:val="28"/>
                <w:szCs w:val="28"/>
              </w:rPr>
            </w:pPr>
          </w:p>
        </w:tc>
        <w:tc>
          <w:tcPr>
            <w:tcW w:w="4025" w:type="dxa"/>
            <w:shd w:val="clear" w:color="auto" w:fill="auto"/>
            <w:vAlign w:val="center"/>
          </w:tcPr>
          <w:p w14:paraId="72DB2A18">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资金使用合规性</w:t>
            </w:r>
          </w:p>
        </w:tc>
      </w:tr>
      <w:tr w14:paraId="060340DE">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continue"/>
            <w:vAlign w:val="center"/>
          </w:tcPr>
          <w:p w14:paraId="3761F28E">
            <w:pPr>
              <w:widowControl/>
              <w:jc w:val="left"/>
              <w:rPr>
                <w:rFonts w:hint="eastAsia" w:asciiTheme="minorEastAsia" w:hAnsiTheme="minorEastAsia" w:eastAsiaTheme="minorEastAsia" w:cstheme="minorEastAsia"/>
                <w:color w:val="000000"/>
                <w:kern w:val="0"/>
                <w:sz w:val="28"/>
                <w:szCs w:val="28"/>
              </w:rPr>
            </w:pPr>
          </w:p>
        </w:tc>
        <w:tc>
          <w:tcPr>
            <w:tcW w:w="2122" w:type="dxa"/>
            <w:vMerge w:val="restart"/>
            <w:shd w:val="clear" w:color="auto" w:fill="auto"/>
            <w:vAlign w:val="center"/>
          </w:tcPr>
          <w:p w14:paraId="43A2F279">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组织实施</w:t>
            </w:r>
          </w:p>
        </w:tc>
        <w:tc>
          <w:tcPr>
            <w:tcW w:w="4025" w:type="dxa"/>
            <w:shd w:val="clear" w:color="auto" w:fill="auto"/>
            <w:vAlign w:val="center"/>
          </w:tcPr>
          <w:p w14:paraId="5D3CF155">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财务制度、项目管理制度健全性</w:t>
            </w:r>
          </w:p>
        </w:tc>
      </w:tr>
      <w:tr w14:paraId="71AAC274">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continue"/>
            <w:vAlign w:val="center"/>
          </w:tcPr>
          <w:p w14:paraId="45DC4935">
            <w:pPr>
              <w:widowControl/>
              <w:jc w:val="left"/>
              <w:rPr>
                <w:rFonts w:hint="eastAsia" w:asciiTheme="minorEastAsia" w:hAnsiTheme="minorEastAsia" w:eastAsiaTheme="minorEastAsia" w:cstheme="minorEastAsia"/>
                <w:color w:val="000000"/>
                <w:kern w:val="0"/>
                <w:sz w:val="28"/>
                <w:szCs w:val="28"/>
              </w:rPr>
            </w:pPr>
          </w:p>
        </w:tc>
        <w:tc>
          <w:tcPr>
            <w:tcW w:w="2122" w:type="dxa"/>
            <w:vMerge w:val="continue"/>
            <w:vAlign w:val="center"/>
          </w:tcPr>
          <w:p w14:paraId="2EF157D0">
            <w:pPr>
              <w:widowControl/>
              <w:jc w:val="center"/>
              <w:rPr>
                <w:rFonts w:hint="eastAsia" w:asciiTheme="minorEastAsia" w:hAnsiTheme="minorEastAsia" w:eastAsiaTheme="minorEastAsia" w:cstheme="minorEastAsia"/>
                <w:color w:val="000000"/>
                <w:kern w:val="0"/>
                <w:sz w:val="28"/>
                <w:szCs w:val="28"/>
              </w:rPr>
            </w:pPr>
          </w:p>
        </w:tc>
        <w:tc>
          <w:tcPr>
            <w:tcW w:w="4025" w:type="dxa"/>
            <w:shd w:val="clear" w:color="auto" w:fill="auto"/>
            <w:vAlign w:val="center"/>
          </w:tcPr>
          <w:p w14:paraId="7BC28D11">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制度执行有效性</w:t>
            </w:r>
          </w:p>
        </w:tc>
      </w:tr>
      <w:tr w14:paraId="028F1465">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restart"/>
            <w:shd w:val="clear" w:color="000000" w:fill="FFFFFF"/>
            <w:vAlign w:val="center"/>
          </w:tcPr>
          <w:p w14:paraId="3EF2D0F4">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产出</w:t>
            </w:r>
          </w:p>
        </w:tc>
        <w:tc>
          <w:tcPr>
            <w:tcW w:w="2122" w:type="dxa"/>
            <w:shd w:val="clear" w:color="auto" w:fill="auto"/>
            <w:noWrap/>
            <w:vAlign w:val="center"/>
          </w:tcPr>
          <w:p w14:paraId="04470161">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产出数量</w:t>
            </w:r>
          </w:p>
        </w:tc>
        <w:tc>
          <w:tcPr>
            <w:tcW w:w="4025" w:type="dxa"/>
            <w:shd w:val="clear" w:color="auto" w:fill="auto"/>
            <w:vAlign w:val="center"/>
          </w:tcPr>
          <w:p w14:paraId="330C8675">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实际完成率</w:t>
            </w:r>
          </w:p>
        </w:tc>
      </w:tr>
      <w:tr w14:paraId="2713F4C4">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continue"/>
            <w:vAlign w:val="center"/>
          </w:tcPr>
          <w:p w14:paraId="460E0AA8">
            <w:pPr>
              <w:widowControl/>
              <w:jc w:val="left"/>
              <w:rPr>
                <w:rFonts w:hint="eastAsia" w:asciiTheme="minorEastAsia" w:hAnsiTheme="minorEastAsia" w:eastAsiaTheme="minorEastAsia" w:cstheme="minorEastAsia"/>
                <w:color w:val="000000"/>
                <w:kern w:val="0"/>
                <w:sz w:val="28"/>
                <w:szCs w:val="28"/>
              </w:rPr>
            </w:pPr>
          </w:p>
        </w:tc>
        <w:tc>
          <w:tcPr>
            <w:tcW w:w="2122" w:type="dxa"/>
            <w:shd w:val="clear" w:color="auto" w:fill="auto"/>
            <w:noWrap/>
            <w:vAlign w:val="center"/>
          </w:tcPr>
          <w:p w14:paraId="23BBB011">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产出质量</w:t>
            </w:r>
          </w:p>
        </w:tc>
        <w:tc>
          <w:tcPr>
            <w:tcW w:w="4025" w:type="dxa"/>
            <w:shd w:val="clear" w:color="auto" w:fill="auto"/>
            <w:vAlign w:val="center"/>
          </w:tcPr>
          <w:p w14:paraId="725E4F45">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质量达标率</w:t>
            </w:r>
          </w:p>
        </w:tc>
      </w:tr>
      <w:tr w14:paraId="0CA10122">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continue"/>
            <w:vAlign w:val="center"/>
          </w:tcPr>
          <w:p w14:paraId="43A1CFDB">
            <w:pPr>
              <w:widowControl/>
              <w:jc w:val="left"/>
              <w:rPr>
                <w:rFonts w:hint="eastAsia" w:asciiTheme="minorEastAsia" w:hAnsiTheme="minorEastAsia" w:eastAsiaTheme="minorEastAsia" w:cstheme="minorEastAsia"/>
                <w:color w:val="000000"/>
                <w:kern w:val="0"/>
                <w:sz w:val="28"/>
                <w:szCs w:val="28"/>
              </w:rPr>
            </w:pPr>
          </w:p>
        </w:tc>
        <w:tc>
          <w:tcPr>
            <w:tcW w:w="2122" w:type="dxa"/>
            <w:shd w:val="clear" w:color="auto" w:fill="auto"/>
            <w:noWrap/>
            <w:vAlign w:val="center"/>
          </w:tcPr>
          <w:p w14:paraId="31AFD76E">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产出时效</w:t>
            </w:r>
          </w:p>
        </w:tc>
        <w:tc>
          <w:tcPr>
            <w:tcW w:w="4025" w:type="dxa"/>
            <w:shd w:val="clear" w:color="auto" w:fill="auto"/>
            <w:vAlign w:val="center"/>
          </w:tcPr>
          <w:p w14:paraId="41E86CC1">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完成及时性</w:t>
            </w:r>
          </w:p>
        </w:tc>
      </w:tr>
      <w:tr w14:paraId="0726D1D9">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continue"/>
            <w:vAlign w:val="center"/>
          </w:tcPr>
          <w:p w14:paraId="17B520BD">
            <w:pPr>
              <w:widowControl/>
              <w:jc w:val="left"/>
              <w:rPr>
                <w:rFonts w:hint="eastAsia" w:asciiTheme="minorEastAsia" w:hAnsiTheme="minorEastAsia" w:eastAsiaTheme="minorEastAsia" w:cstheme="minorEastAsia"/>
                <w:color w:val="000000"/>
                <w:kern w:val="0"/>
                <w:sz w:val="28"/>
                <w:szCs w:val="28"/>
              </w:rPr>
            </w:pPr>
          </w:p>
        </w:tc>
        <w:tc>
          <w:tcPr>
            <w:tcW w:w="2122" w:type="dxa"/>
            <w:shd w:val="clear" w:color="auto" w:fill="auto"/>
            <w:noWrap/>
            <w:vAlign w:val="center"/>
          </w:tcPr>
          <w:p w14:paraId="1AB5ACA8">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产出成本</w:t>
            </w:r>
          </w:p>
        </w:tc>
        <w:tc>
          <w:tcPr>
            <w:tcW w:w="4025" w:type="dxa"/>
            <w:shd w:val="clear" w:color="auto" w:fill="auto"/>
            <w:vAlign w:val="center"/>
          </w:tcPr>
          <w:p w14:paraId="46AD7323">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成本节约率</w:t>
            </w:r>
          </w:p>
        </w:tc>
      </w:tr>
      <w:tr w14:paraId="66CEBED7">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restart"/>
            <w:shd w:val="clear" w:color="auto" w:fill="auto"/>
            <w:noWrap/>
            <w:vAlign w:val="center"/>
          </w:tcPr>
          <w:p w14:paraId="774D13EC">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效益</w:t>
            </w:r>
          </w:p>
        </w:tc>
        <w:tc>
          <w:tcPr>
            <w:tcW w:w="2122" w:type="dxa"/>
            <w:vMerge w:val="restart"/>
            <w:shd w:val="clear" w:color="auto" w:fill="auto"/>
            <w:noWrap/>
            <w:vAlign w:val="center"/>
          </w:tcPr>
          <w:p w14:paraId="6302375F">
            <w:pPr>
              <w:widowControl/>
              <w:jc w:val="center"/>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项目效益</w:t>
            </w:r>
          </w:p>
        </w:tc>
        <w:tc>
          <w:tcPr>
            <w:tcW w:w="4025" w:type="dxa"/>
            <w:shd w:val="clear" w:color="auto" w:fill="auto"/>
            <w:vAlign w:val="center"/>
          </w:tcPr>
          <w:p w14:paraId="6713346A">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经济效益和社会效益</w:t>
            </w:r>
          </w:p>
        </w:tc>
      </w:tr>
      <w:tr w14:paraId="4ADF6D8A">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continue"/>
            <w:vAlign w:val="center"/>
          </w:tcPr>
          <w:p w14:paraId="247C335F">
            <w:pPr>
              <w:widowControl/>
              <w:jc w:val="left"/>
              <w:rPr>
                <w:rFonts w:hint="eastAsia" w:asciiTheme="minorEastAsia" w:hAnsiTheme="minorEastAsia" w:eastAsiaTheme="minorEastAsia" w:cstheme="minorEastAsia"/>
                <w:color w:val="000000"/>
                <w:kern w:val="0"/>
                <w:sz w:val="28"/>
                <w:szCs w:val="28"/>
              </w:rPr>
            </w:pPr>
          </w:p>
        </w:tc>
        <w:tc>
          <w:tcPr>
            <w:tcW w:w="2122" w:type="dxa"/>
            <w:vMerge w:val="continue"/>
            <w:vAlign w:val="center"/>
          </w:tcPr>
          <w:p w14:paraId="4BCB8141">
            <w:pPr>
              <w:widowControl/>
              <w:jc w:val="left"/>
              <w:rPr>
                <w:rFonts w:hint="eastAsia" w:asciiTheme="minorEastAsia" w:hAnsiTheme="minorEastAsia" w:eastAsiaTheme="minorEastAsia" w:cstheme="minorEastAsia"/>
                <w:color w:val="000000"/>
                <w:kern w:val="0"/>
                <w:sz w:val="28"/>
                <w:szCs w:val="28"/>
              </w:rPr>
            </w:pPr>
          </w:p>
        </w:tc>
        <w:tc>
          <w:tcPr>
            <w:tcW w:w="4025" w:type="dxa"/>
            <w:shd w:val="clear" w:color="auto" w:fill="auto"/>
            <w:vAlign w:val="center"/>
          </w:tcPr>
          <w:p w14:paraId="592A67DD">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可持续影响</w:t>
            </w:r>
          </w:p>
        </w:tc>
      </w:tr>
      <w:tr w14:paraId="2EEB0C1E">
        <w:tblPrEx>
          <w:tblBorders>
            <w:top w:val="single" w:color="auto" w:sz="2" w:space="0"/>
            <w:left w:val="single" w:color="auto" w:sz="2" w:space="0"/>
            <w:bottom w:val="single" w:color="auto" w:sz="4"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67" w:hRule="exact"/>
          <w:jc w:val="center"/>
        </w:trPr>
        <w:tc>
          <w:tcPr>
            <w:tcW w:w="2008" w:type="dxa"/>
            <w:vMerge w:val="continue"/>
            <w:vAlign w:val="center"/>
          </w:tcPr>
          <w:p w14:paraId="787A2251">
            <w:pPr>
              <w:widowControl/>
              <w:jc w:val="left"/>
              <w:rPr>
                <w:rFonts w:hint="eastAsia" w:asciiTheme="minorEastAsia" w:hAnsiTheme="minorEastAsia" w:eastAsiaTheme="minorEastAsia" w:cstheme="minorEastAsia"/>
                <w:color w:val="000000"/>
                <w:kern w:val="0"/>
                <w:sz w:val="28"/>
                <w:szCs w:val="28"/>
              </w:rPr>
            </w:pPr>
          </w:p>
        </w:tc>
        <w:tc>
          <w:tcPr>
            <w:tcW w:w="2122" w:type="dxa"/>
            <w:vMerge w:val="continue"/>
            <w:vAlign w:val="center"/>
          </w:tcPr>
          <w:p w14:paraId="00837FCE">
            <w:pPr>
              <w:widowControl/>
              <w:jc w:val="left"/>
              <w:rPr>
                <w:rFonts w:hint="eastAsia" w:asciiTheme="minorEastAsia" w:hAnsiTheme="minorEastAsia" w:eastAsiaTheme="minorEastAsia" w:cstheme="minorEastAsia"/>
                <w:color w:val="000000"/>
                <w:kern w:val="0"/>
                <w:sz w:val="28"/>
                <w:szCs w:val="28"/>
              </w:rPr>
            </w:pPr>
          </w:p>
        </w:tc>
        <w:tc>
          <w:tcPr>
            <w:tcW w:w="4025" w:type="dxa"/>
            <w:shd w:val="clear" w:color="auto" w:fill="auto"/>
            <w:vAlign w:val="center"/>
          </w:tcPr>
          <w:p w14:paraId="4FCAB769">
            <w:pPr>
              <w:widowControl/>
              <w:jc w:val="left"/>
              <w:rPr>
                <w:rFonts w:hint="eastAsia" w:asciiTheme="minorEastAsia" w:hAnsiTheme="minorEastAsia" w:eastAsiaTheme="minorEastAsia" w:cstheme="minorEastAsia"/>
                <w:color w:val="000000"/>
                <w:kern w:val="0"/>
                <w:sz w:val="28"/>
                <w:szCs w:val="28"/>
              </w:rPr>
            </w:pPr>
            <w:r>
              <w:rPr>
                <w:rFonts w:hint="eastAsia" w:asciiTheme="minorEastAsia" w:hAnsiTheme="minorEastAsia" w:eastAsiaTheme="minorEastAsia" w:cstheme="minorEastAsia"/>
                <w:color w:val="000000"/>
                <w:kern w:val="0"/>
                <w:sz w:val="28"/>
                <w:szCs w:val="28"/>
              </w:rPr>
              <w:t>社会公众和服务对象满意度</w:t>
            </w:r>
          </w:p>
        </w:tc>
      </w:tr>
    </w:tbl>
    <w:p w14:paraId="0A3C9918">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3.绩效评价方法</w:t>
      </w:r>
    </w:p>
    <w:p w14:paraId="51C9D80D">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绩效评价的方法主要包括成本效益分析法、比较法、因素分析法、最低成本法、公众评判法、标杆管理法等。根据评价对象的具体情况，可采用一种或多种方法。</w:t>
      </w:r>
    </w:p>
    <w:p w14:paraId="47725C9D">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（1）成本效益分析法。是指将投入与产出、效益进行关联性分析的方法。</w:t>
      </w:r>
    </w:p>
    <w:p w14:paraId="0957D079">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（2）比较法。是指将实施情况与绩效目标、历史情况、不同部门和地区同类支出情况进行比较的方法。</w:t>
      </w:r>
    </w:p>
    <w:p w14:paraId="08E578D8">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（3）因素分析法。是指综合分析影响绩效目标实现、实施效果的内外部因素的方法。</w:t>
      </w:r>
    </w:p>
    <w:p w14:paraId="6659A38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（4）最低成本法。是指在绩效目标确定的前提下，成本最小者为优的方法。</w:t>
      </w:r>
    </w:p>
    <w:p w14:paraId="17E245B6">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（5）公众评判法。是指通过专家评估、公众问卷及抽样调查等方式进行评判的方法。</w:t>
      </w:r>
    </w:p>
    <w:p w14:paraId="5E991348">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（6）标杆管理法。是指以国内外同行业中较高的绩效水平为标杆进行评判的方法。</w:t>
      </w:r>
    </w:p>
    <w:p w14:paraId="3185ABE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（7）其他评价方法。</w:t>
      </w:r>
    </w:p>
    <w:p w14:paraId="70201188">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根据该项目的特点，结合项目决策、项目过程管理、项目产出和项目绩效的实际情况。本次绩效评价工作遵循“客观、公正、科学、规范”的原则，通过对项目的经济性、效率性、效益性、公平性的比较和分析，评价项目预算支出效率和支出效果。该项目绩效评价主要采用公众评判法，同时结合项目的实际情况综合运用上述评价办法进行评价。</w:t>
      </w:r>
    </w:p>
    <w:p w14:paraId="194D8818">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4.评价标准</w:t>
      </w:r>
    </w:p>
    <w:p w14:paraId="4E6AB398">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绩效评价标准通常包括计划标准、行业标准、历史标准等，用于对绩效指标完成情况进行比较。</w:t>
      </w:r>
    </w:p>
    <w:p w14:paraId="6E78B4DE">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（1）计划标准。指以预先制定的目标、计划、预算、定额等作为评价标准。</w:t>
      </w:r>
    </w:p>
    <w:p w14:paraId="27BFA302">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（2）行业标准。指参照国家公布的行业指标数据制定的评价标准。</w:t>
      </w:r>
    </w:p>
    <w:p w14:paraId="7DDD4F07">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（3）历史标准。指参照历史数据制定的评价标准，为体现绩效改进的原则，在可实现的条件下应当确定相对较高的评价标准。</w:t>
      </w:r>
    </w:p>
    <w:p w14:paraId="2E2DAE7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（4）财政部门和预算部门确认或认可的其他标准。</w:t>
      </w:r>
    </w:p>
    <w:p w14:paraId="2989D1EF">
      <w:pPr>
        <w:spacing w:line="660" w:lineRule="exact"/>
        <w:ind w:firstLine="640" w:firstLineChars="200"/>
        <w:rPr>
          <w:rFonts w:hint="eastAsia" w:ascii="仿宋_GB2312" w:hAnsiTheme="minorEastAsia"/>
          <w:sz w:val="32"/>
          <w:szCs w:val="32"/>
        </w:rPr>
      </w:pPr>
      <w:r>
        <w:rPr>
          <w:rFonts w:hint="eastAsia" w:asciiTheme="minorEastAsia" w:hAnsiTheme="minorEastAsia" w:eastAsiaTheme="minorEastAsia" w:cstheme="minorEastAsia"/>
          <w:sz w:val="32"/>
          <w:szCs w:val="32"/>
        </w:rPr>
        <w:t>本次评价采用计划标准。</w:t>
      </w:r>
    </w:p>
    <w:p w14:paraId="27479019">
      <w:pPr>
        <w:spacing w:line="660" w:lineRule="exact"/>
        <w:ind w:firstLine="643" w:firstLineChars="200"/>
        <w:outlineLvl w:val="1"/>
        <w:rPr>
          <w:rFonts w:hint="eastAsia" w:ascii="楷体" w:hAnsi="楷体" w:eastAsia="楷体" w:cs="楷体"/>
          <w:b/>
          <w:sz w:val="32"/>
          <w:szCs w:val="32"/>
        </w:rPr>
      </w:pPr>
      <w:bookmarkStart w:id="22" w:name="_Toc27948"/>
      <w:bookmarkStart w:id="23" w:name="_Toc29153"/>
      <w:bookmarkStart w:id="24" w:name="_Toc5673"/>
      <w:bookmarkStart w:id="25" w:name="_Toc20551"/>
      <w:r>
        <w:rPr>
          <w:rFonts w:hint="eastAsia" w:ascii="楷体" w:hAnsi="楷体" w:eastAsia="楷体" w:cs="楷体"/>
          <w:b/>
          <w:sz w:val="32"/>
          <w:szCs w:val="32"/>
        </w:rPr>
        <w:t>（三）绩效评价的主要依据</w:t>
      </w:r>
      <w:bookmarkEnd w:id="22"/>
      <w:bookmarkEnd w:id="23"/>
      <w:bookmarkEnd w:id="24"/>
      <w:bookmarkEnd w:id="25"/>
    </w:p>
    <w:p w14:paraId="7F6FD37D">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1.国家相关法律、法规和规章制度；</w:t>
      </w:r>
    </w:p>
    <w:p w14:paraId="00115C66">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2.部门职责相关规定；</w:t>
      </w:r>
    </w:p>
    <w:p w14:paraId="35125D71">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3.项目预算批复及请示批复；</w:t>
      </w:r>
    </w:p>
    <w:p w14:paraId="1C978E39">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4.预算管理制度及办法，项目及资金管理办法、财务和会计资料；</w:t>
      </w:r>
    </w:p>
    <w:p w14:paraId="7D37DD78">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5.项目设立的背景依据和绩效目标，预算执行情况，项目预算评审报告、项目决算或验收报告等相关材料；</w:t>
      </w:r>
    </w:p>
    <w:p w14:paraId="633850B5">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6.其他相关资料。</w:t>
      </w:r>
    </w:p>
    <w:p w14:paraId="027D235F">
      <w:pPr>
        <w:spacing w:line="660" w:lineRule="exact"/>
        <w:ind w:firstLine="643" w:firstLineChars="200"/>
        <w:outlineLvl w:val="1"/>
        <w:rPr>
          <w:rFonts w:hint="eastAsia" w:ascii="楷体" w:hAnsi="楷体" w:eastAsia="楷体" w:cs="楷体"/>
          <w:b/>
          <w:sz w:val="32"/>
          <w:szCs w:val="32"/>
        </w:rPr>
      </w:pPr>
      <w:bookmarkStart w:id="26" w:name="_Toc458777505"/>
      <w:bookmarkStart w:id="27" w:name="_Toc8550"/>
      <w:bookmarkStart w:id="28" w:name="_Toc6458"/>
      <w:bookmarkStart w:id="29" w:name="_Toc19067"/>
      <w:bookmarkStart w:id="30" w:name="_Toc16518"/>
      <w:r>
        <w:rPr>
          <w:rFonts w:hint="eastAsia" w:ascii="楷体" w:hAnsi="楷体" w:eastAsia="楷体" w:cs="楷体"/>
          <w:b/>
          <w:sz w:val="32"/>
          <w:szCs w:val="32"/>
        </w:rPr>
        <w:t>（四）</w:t>
      </w:r>
      <w:bookmarkEnd w:id="26"/>
      <w:r>
        <w:rPr>
          <w:rFonts w:hint="eastAsia" w:ascii="楷体" w:hAnsi="楷体" w:eastAsia="楷体" w:cs="楷体"/>
          <w:b/>
          <w:sz w:val="32"/>
          <w:szCs w:val="32"/>
        </w:rPr>
        <w:t>绩效评价工作过程</w:t>
      </w:r>
      <w:bookmarkEnd w:id="27"/>
      <w:bookmarkEnd w:id="28"/>
      <w:bookmarkEnd w:id="29"/>
      <w:bookmarkEnd w:id="30"/>
    </w:p>
    <w:p w14:paraId="15C2B168">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1.前期准备工作</w:t>
      </w:r>
    </w:p>
    <w:p w14:paraId="691C979B">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（1）组建评价工作组。由抗战馆工作人员、中介机构共同组成评价小组。</w:t>
      </w:r>
    </w:p>
    <w:p w14:paraId="08F1085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（2）评价小组收集反映项目决策、过程、产出和效益等基本资料。</w:t>
      </w:r>
    </w:p>
    <w:p w14:paraId="21D92B06">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2.绩效评价现场审核情况</w:t>
      </w:r>
    </w:p>
    <w:p w14:paraId="23545AFA">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评价小组对收集的项目资料，进行整理归集，对项目绩效目标设立情况，项目立项背景及其他相关资料进行审核。主要收集整理审核项目预算批复相关资料、项目绩效报告、项目支出明细账、项目收款、付款等财务核算资料、项目预算评审报告等项目资料。</w:t>
      </w:r>
    </w:p>
    <w:p w14:paraId="7632DB78">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3.遴选业务专家</w:t>
      </w:r>
    </w:p>
    <w:p w14:paraId="181A82B5">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根据项目实施情况，评价工作组聘请了三名评价专家。一名教授、一名副研究员、一名高级经济师作为本次绩效评价的业务专家，指导评价组开展评价工作。</w:t>
      </w:r>
    </w:p>
    <w:p w14:paraId="4C1513D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4.设置和细化评价指标体系</w:t>
      </w:r>
    </w:p>
    <w:p w14:paraId="5FA656B9">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在北京市项目支出绩效评价指标体系基础上，结合本项目实际情况，以资金使用结果为导向，评价组设定了本次评价指标内容、权重和分值，重点对绩效目标及产出指标完成情况、效益实现情况进行综合评价。</w:t>
      </w:r>
    </w:p>
    <w:p w14:paraId="0B59E59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5.编制专家资料手册</w:t>
      </w:r>
    </w:p>
    <w:p w14:paraId="12C92799">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评价小组对收集到的项目资料进行核对、审核和汇总，在此基础上提供整理后资料，供评价会专家使用。</w:t>
      </w:r>
    </w:p>
    <w:p w14:paraId="4A00E156">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6.召开专家评价会</w:t>
      </w:r>
    </w:p>
    <w:p w14:paraId="1ED18865">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评价工作组于2025年5月19日主持召开“中央补助地方博物馆免费开放”绩效评价专家会。评价会议由评价专家组组长主持，抗战馆相关人员及中介机构人员参加了评价会。</w:t>
      </w:r>
    </w:p>
    <w:p w14:paraId="676A5099">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评价会上，评价专家查阅专家资料手册、听取项目实施情况汇报，就项目立项决策、过程管理、绩效目标完成情况等方面与项目单位进行沟通，并进行质询，项目单位就专家提出的问题给</w:t>
      </w:r>
      <w:r>
        <w:rPr>
          <w:rFonts w:hint="eastAsia" w:asciiTheme="minorEastAsia" w:hAnsiTheme="minorEastAsia" w:eastAsiaTheme="minorEastAsia" w:cstheme="minorEastAsia"/>
          <w:sz w:val="32"/>
          <w:szCs w:val="32"/>
          <w:lang w:val="en-US" w:eastAsia="zh-CN"/>
        </w:rPr>
        <w:t>予</w:t>
      </w:r>
      <w:r>
        <w:rPr>
          <w:rFonts w:hint="eastAsia" w:asciiTheme="minorEastAsia" w:hAnsiTheme="minorEastAsia" w:eastAsiaTheme="minorEastAsia" w:cstheme="minorEastAsia"/>
          <w:sz w:val="32"/>
          <w:szCs w:val="32"/>
        </w:rPr>
        <w:t>回答。评价专家依据资料、项目单位的现场汇报、质询及回复，对项目立项、过程、产出及效益分别进行了评价和打分。</w:t>
      </w:r>
    </w:p>
    <w:p w14:paraId="74A2E97A">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7.编写绩效评价报告</w:t>
      </w:r>
    </w:p>
    <w:p w14:paraId="28E3DCBE">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专家评价会召开后，评价工作组根据评价会召开的实际情况，完成项目绩效评价报告撰写工作。评价工作组与项目负责科室、财务及评价专家反复沟通，对报告初稿进行修改完善、形成项目绩效评价报告终稿。</w:t>
      </w:r>
    </w:p>
    <w:p w14:paraId="38A40992">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8.被评价单位确认复核报告</w:t>
      </w:r>
    </w:p>
    <w:p w14:paraId="6876F939">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被评价单位收到报告初稿，经内部审议无异议后，由负责人签署确认意见并归档留存。</w:t>
      </w:r>
    </w:p>
    <w:p w14:paraId="48981C65">
      <w:pPr>
        <w:pStyle w:val="2"/>
        <w:keepNext w:val="0"/>
        <w:keepLines w:val="0"/>
        <w:spacing w:before="0" w:after="0" w:line="660" w:lineRule="exact"/>
        <w:ind w:firstLine="640" w:firstLineChars="200"/>
        <w:rPr>
          <w:rFonts w:hint="eastAsia" w:ascii="黑体" w:hAnsi="黑体" w:eastAsia="黑体" w:cs="宋体"/>
          <w:b w:val="0"/>
          <w:bCs w:val="0"/>
          <w:color w:val="000000"/>
          <w:kern w:val="0"/>
          <w:sz w:val="32"/>
          <w:szCs w:val="32"/>
        </w:rPr>
      </w:pPr>
      <w:bookmarkStart w:id="31" w:name="_Toc22523"/>
      <w:bookmarkStart w:id="32" w:name="_Toc11520"/>
      <w:bookmarkStart w:id="33" w:name="_Toc29483"/>
      <w:bookmarkStart w:id="34" w:name="_Toc29620"/>
      <w:r>
        <w:rPr>
          <w:rFonts w:hint="eastAsia" w:ascii="黑体" w:hAnsi="黑体" w:eastAsia="黑体" w:cs="宋体"/>
          <w:b w:val="0"/>
          <w:bCs w:val="0"/>
          <w:color w:val="000000"/>
          <w:kern w:val="0"/>
          <w:sz w:val="32"/>
          <w:szCs w:val="32"/>
        </w:rPr>
        <w:t>三、综合评价情况及评价结论</w:t>
      </w:r>
      <w:bookmarkEnd w:id="31"/>
      <w:bookmarkEnd w:id="32"/>
      <w:bookmarkEnd w:id="33"/>
      <w:bookmarkEnd w:id="34"/>
    </w:p>
    <w:p w14:paraId="0E863173">
      <w:pPr>
        <w:spacing w:line="660" w:lineRule="exact"/>
        <w:ind w:firstLine="643" w:firstLineChars="200"/>
        <w:outlineLvl w:val="1"/>
        <w:rPr>
          <w:rFonts w:hint="eastAsia" w:ascii="楷体" w:hAnsi="楷体" w:eastAsia="楷体" w:cs="楷体"/>
          <w:b/>
          <w:sz w:val="32"/>
          <w:szCs w:val="32"/>
        </w:rPr>
      </w:pPr>
      <w:bookmarkStart w:id="35" w:name="_Toc6074"/>
      <w:bookmarkStart w:id="36" w:name="_Toc31935"/>
      <w:bookmarkStart w:id="37" w:name="_Toc6746"/>
      <w:bookmarkStart w:id="38" w:name="_Toc29608"/>
      <w:r>
        <w:rPr>
          <w:rFonts w:hint="eastAsia" w:ascii="楷体" w:hAnsi="楷体" w:eastAsia="楷体" w:cs="楷体"/>
          <w:b/>
          <w:sz w:val="32"/>
          <w:szCs w:val="32"/>
        </w:rPr>
        <w:t>（一）综合评价情况</w:t>
      </w:r>
      <w:bookmarkEnd w:id="35"/>
      <w:bookmarkEnd w:id="36"/>
      <w:bookmarkEnd w:id="37"/>
      <w:bookmarkEnd w:id="38"/>
    </w:p>
    <w:p w14:paraId="4D23CBB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评价会上，评价专家根据专家资料手册</w:t>
      </w:r>
      <w:r>
        <w:rPr>
          <w:rFonts w:hint="eastAsia" w:asciiTheme="minorEastAsia" w:hAnsiTheme="minorEastAsia" w:eastAsiaTheme="minorEastAsia" w:cstheme="minorEastAsia"/>
          <w:sz w:val="32"/>
          <w:szCs w:val="32"/>
          <w:lang w:eastAsia="zh-CN"/>
        </w:rPr>
        <w:t>，</w:t>
      </w:r>
      <w:r>
        <w:rPr>
          <w:rFonts w:hint="eastAsia" w:asciiTheme="minorEastAsia" w:hAnsiTheme="minorEastAsia" w:eastAsiaTheme="minorEastAsia" w:cstheme="minorEastAsia"/>
          <w:sz w:val="32"/>
          <w:szCs w:val="32"/>
        </w:rPr>
        <w:t>以及现场汇报，对项目绩效资料进行审核，就该项目立项决策、实施过程、项目产出、项目效益等绩效目标完成情况进行评价打分。</w:t>
      </w:r>
    </w:p>
    <w:p w14:paraId="714A00A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1.决策</w:t>
      </w:r>
    </w:p>
    <w:p w14:paraId="3F078E6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二级指标分解为项目立项、绩效目标和资金投入，指标分值为10.00分，经专家评价该项最后得分9.67分，扣0.33分。</w:t>
      </w:r>
    </w:p>
    <w:p w14:paraId="1FEE3AB7">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（1）项目立项</w:t>
      </w:r>
    </w:p>
    <w:p w14:paraId="114F54A7">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该项指标分值2.00分。专家就专家资料内容及现场汇报情况给予评价打分，该项得分2.00分。</w:t>
      </w:r>
    </w:p>
    <w:p w14:paraId="2B6F39CD">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（2）绩效目标</w:t>
      </w:r>
    </w:p>
    <w:p w14:paraId="65092A9D">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4.00分。专家就专家资料内容及现场汇报情况给予评价打分，因个别数量指标与时效指标设置的指标值相同，如支出计划完成率指标与资金支出指标一致，导致出现2024年9月抗战馆闭馆实施展陈改造，原本安排于本年度第四季度执行的事项进行了调整暂缓执行的情况下，同一事项影响两个绩效指标值，该项得分3.67分，扣0.33分。</w:t>
      </w:r>
    </w:p>
    <w:p w14:paraId="2BB4AB45">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（3）资金投入</w:t>
      </w:r>
    </w:p>
    <w:p w14:paraId="4D1B2E9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该项指标分值4.00分。专家就专家资料内容及现场汇报情况给予评价打分，该项得分4.00分。</w:t>
      </w:r>
    </w:p>
    <w:p w14:paraId="26D62281">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2.过程</w:t>
      </w:r>
    </w:p>
    <w:p w14:paraId="7FF680AE">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二级指标分解为资金管理和组织实施。该项指标分值为20.00分，经专家评价该项最后得分19.45分，扣0.55分。</w:t>
      </w:r>
    </w:p>
    <w:p w14:paraId="2EB3A0E7">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（1）资金管理</w:t>
      </w:r>
    </w:p>
    <w:p w14:paraId="3C3083FA">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该项指标分值10.00分。专家就专家资料内容及现场汇报情况给予评价打分，因全年预算数据有调整，未及时调整预算数，该项得分9.45分，扣0.55分。</w:t>
      </w:r>
    </w:p>
    <w:p w14:paraId="2C43E14B">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（2）组织实施</w:t>
      </w:r>
    </w:p>
    <w:p w14:paraId="4326BB0F">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该项指标分值10.00分。专家就专家资料内容及现场汇报情况给予评价打分，该项得分10.00分。</w:t>
      </w:r>
    </w:p>
    <w:p w14:paraId="3FE30CDC">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3.产出</w:t>
      </w:r>
    </w:p>
    <w:p w14:paraId="047128AB">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二级指标分解为产出数量、产出质量、产出时效和产出成本，该项指标分值为45.00分，经专家评价该项最后得分44.33分，扣0.67分。</w:t>
      </w:r>
    </w:p>
    <w:p w14:paraId="0431EC4F">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（1）产出数量</w:t>
      </w:r>
    </w:p>
    <w:p w14:paraId="0A43516B">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该项指标分值15.00分。专家就专家资料内容及现场汇报情况给予评价打分，资金使用严格遵守资金使用规定，维修方面节约资金未及时对预算指标进行调整，该项得分14.33分，扣0.67分。</w:t>
      </w:r>
    </w:p>
    <w:p w14:paraId="53972A9F">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（2）产出质量</w:t>
      </w:r>
    </w:p>
    <w:p w14:paraId="694AEACE">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该项指标分值10.00分。专家就专家资料内容及现场汇报情况给予评价打分，该项得分10.00分。</w:t>
      </w:r>
    </w:p>
    <w:p w14:paraId="7A1EC0E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（3）产出时效</w:t>
      </w:r>
    </w:p>
    <w:p w14:paraId="08DAE5CA">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该项指标分值10.00分。专家就专家资料内容及现场汇报情况给予评价打分，该项得分10.00分。</w:t>
      </w:r>
    </w:p>
    <w:p w14:paraId="50AE2CB5">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（4）产出成本</w:t>
      </w:r>
    </w:p>
    <w:p w14:paraId="44F5E9AE">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该项指标分值10.00分。专家就专家资料内容及现场汇报情况给予评价打分，该项得分10.00分。</w:t>
      </w:r>
    </w:p>
    <w:p w14:paraId="29128E75">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4.效益</w:t>
      </w:r>
    </w:p>
    <w:p w14:paraId="47EFD49A">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二级指标分解为经济效益和社会效益、可持续影响和服务对象满意度。该项指标分值为25.00分，经专家评价该项最后得分25.00分。</w:t>
      </w:r>
    </w:p>
    <w:p w14:paraId="56BBF75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（1）经济效益和社会效益、可持续影响</w:t>
      </w:r>
    </w:p>
    <w:p w14:paraId="040C342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该项指标分值15.00分。专家就专家资料内容及现场汇报情况给予评价打分，该项得分15.00分。</w:t>
      </w:r>
    </w:p>
    <w:p w14:paraId="63386499">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（2）服务对象满意度</w:t>
      </w:r>
    </w:p>
    <w:p w14:paraId="05782B89">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该项指标分值10.00分。专家就专家资料内容及现场汇报情况给予评价打分，该项得分10.00分。</w:t>
      </w:r>
    </w:p>
    <w:p w14:paraId="7C17BF29">
      <w:pPr>
        <w:spacing w:line="660" w:lineRule="exact"/>
        <w:ind w:firstLine="643" w:firstLineChars="200"/>
        <w:outlineLvl w:val="1"/>
        <w:rPr>
          <w:rFonts w:hint="eastAsia" w:ascii="楷体" w:hAnsi="楷体" w:eastAsia="楷体" w:cs="楷体"/>
          <w:b/>
          <w:sz w:val="32"/>
          <w:szCs w:val="32"/>
        </w:rPr>
      </w:pPr>
      <w:bookmarkStart w:id="39" w:name="_Toc22277"/>
      <w:bookmarkStart w:id="40" w:name="_Toc11768"/>
      <w:bookmarkStart w:id="41" w:name="_Toc10871"/>
      <w:bookmarkStart w:id="42" w:name="_Toc31612"/>
      <w:r>
        <w:rPr>
          <w:rFonts w:hint="eastAsia" w:ascii="楷体" w:hAnsi="楷体" w:eastAsia="楷体" w:cs="楷体"/>
          <w:b/>
          <w:sz w:val="32"/>
          <w:szCs w:val="32"/>
        </w:rPr>
        <w:t>（二）评价结论</w:t>
      </w:r>
      <w:bookmarkEnd w:id="39"/>
      <w:bookmarkEnd w:id="40"/>
      <w:bookmarkEnd w:id="41"/>
      <w:bookmarkEnd w:id="42"/>
    </w:p>
    <w:p w14:paraId="360D804E">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1.绩效评价得分</w:t>
      </w:r>
    </w:p>
    <w:p w14:paraId="3F000647">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根据评价小组收集的项目资料、项目单位现场汇报以及现场专家质询和项目单位的答疑，评价专家对抗日纪念馆2024年度中央补助地方博物馆免费开放项目在立项决策、过程管理、产出及效益绩效目标完成情况，进行认真评价，给予评分。该项目绩效评价得分98.45分，其中：决策</w:t>
      </w:r>
      <w:r>
        <w:rPr>
          <w:rFonts w:hint="eastAsia" w:asciiTheme="minorEastAsia" w:hAnsiTheme="minorEastAsia" w:eastAsiaTheme="minorEastAsia" w:cstheme="minorEastAsia"/>
          <w:sz w:val="32"/>
          <w:szCs w:val="32"/>
          <w:lang w:val="en-US" w:eastAsia="zh-CN"/>
        </w:rPr>
        <w:t>9</w:t>
      </w:r>
      <w:r>
        <w:rPr>
          <w:rFonts w:hint="eastAsia" w:asciiTheme="minorEastAsia" w:hAnsiTheme="minorEastAsia" w:eastAsiaTheme="minorEastAsia" w:cstheme="minorEastAsia"/>
          <w:sz w:val="32"/>
          <w:szCs w:val="32"/>
        </w:rPr>
        <w:t>.67分；过程19.45分；产出44.33分；效益25.00分。</w:t>
      </w:r>
    </w:p>
    <w:p w14:paraId="7EFDB8BE">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2.评价结论</w:t>
      </w:r>
    </w:p>
    <w:p w14:paraId="66A540E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根据《项目支出绩效评价管理办法》第十八条，该项目绩效评价等级为“优”。</w:t>
      </w:r>
    </w:p>
    <w:p w14:paraId="6CB74C02">
      <w:pPr>
        <w:pStyle w:val="2"/>
        <w:keepNext w:val="0"/>
        <w:keepLines w:val="0"/>
        <w:spacing w:before="0" w:after="0" w:line="660" w:lineRule="exact"/>
        <w:ind w:firstLine="640" w:firstLineChars="200"/>
        <w:rPr>
          <w:rFonts w:hint="eastAsia" w:ascii="黑体" w:hAnsi="黑体" w:eastAsia="黑体" w:cs="宋体"/>
          <w:b w:val="0"/>
          <w:bCs w:val="0"/>
          <w:color w:val="000000"/>
          <w:kern w:val="0"/>
          <w:sz w:val="32"/>
          <w:szCs w:val="32"/>
        </w:rPr>
      </w:pPr>
      <w:bookmarkStart w:id="43" w:name="_Toc458777506"/>
      <w:bookmarkStart w:id="44" w:name="_Toc25215"/>
      <w:bookmarkStart w:id="45" w:name="_Toc22765"/>
      <w:bookmarkStart w:id="46" w:name="_Toc7501"/>
      <w:bookmarkStart w:id="47" w:name="_Toc15118"/>
      <w:r>
        <w:rPr>
          <w:rFonts w:hint="eastAsia" w:ascii="黑体" w:hAnsi="黑体" w:eastAsia="黑体" w:cs="宋体"/>
          <w:b w:val="0"/>
          <w:bCs w:val="0"/>
          <w:color w:val="000000"/>
          <w:kern w:val="0"/>
          <w:sz w:val="32"/>
          <w:szCs w:val="32"/>
        </w:rPr>
        <w:t>四、</w:t>
      </w:r>
      <w:bookmarkEnd w:id="43"/>
      <w:r>
        <w:rPr>
          <w:rFonts w:hint="eastAsia" w:ascii="黑体" w:hAnsi="黑体" w:eastAsia="黑体" w:cs="宋体"/>
          <w:b w:val="0"/>
          <w:bCs w:val="0"/>
          <w:color w:val="000000"/>
          <w:kern w:val="0"/>
          <w:sz w:val="32"/>
          <w:szCs w:val="32"/>
        </w:rPr>
        <w:t>绩效评价指标分析</w:t>
      </w:r>
      <w:bookmarkEnd w:id="44"/>
      <w:bookmarkEnd w:id="45"/>
      <w:bookmarkEnd w:id="46"/>
      <w:bookmarkEnd w:id="47"/>
    </w:p>
    <w:p w14:paraId="4EEBD91E">
      <w:pPr>
        <w:spacing w:line="660" w:lineRule="exact"/>
        <w:ind w:firstLine="643" w:firstLineChars="200"/>
        <w:outlineLvl w:val="1"/>
        <w:rPr>
          <w:rFonts w:hint="eastAsia" w:ascii="楷体" w:hAnsi="楷体" w:eastAsia="楷体" w:cs="楷体"/>
          <w:b/>
          <w:sz w:val="32"/>
          <w:szCs w:val="32"/>
        </w:rPr>
      </w:pPr>
      <w:bookmarkStart w:id="48" w:name="_Toc4276"/>
      <w:bookmarkStart w:id="49" w:name="_Toc26080"/>
      <w:bookmarkStart w:id="50" w:name="_Toc16815"/>
      <w:bookmarkStart w:id="51" w:name="_Toc1186"/>
      <w:r>
        <w:rPr>
          <w:rFonts w:hint="eastAsia" w:ascii="楷体" w:hAnsi="楷体" w:eastAsia="楷体" w:cs="楷体"/>
          <w:b/>
          <w:sz w:val="32"/>
          <w:szCs w:val="32"/>
        </w:rPr>
        <w:t>（一）项目决策情况</w:t>
      </w:r>
      <w:bookmarkEnd w:id="48"/>
      <w:bookmarkEnd w:id="49"/>
      <w:bookmarkEnd w:id="50"/>
      <w:bookmarkEnd w:id="51"/>
    </w:p>
    <w:p w14:paraId="48F53F6C">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决策指标分解为项目立项、绩效目标和资金投入三个二级指标。</w:t>
      </w:r>
    </w:p>
    <w:p w14:paraId="038EDED1">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1.项目立项</w:t>
      </w:r>
    </w:p>
    <w:p w14:paraId="1B069D78">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立项依据充分性。该项目立项依据充分，符合法规、政策以及部门职责。中国人民抗日战争纪念馆隶属于中共北京市委宣传部，是北京市首批免费开放的纪念馆，是全国唯一一座全面反映中国人民抗日战争历史的大型综合性专题纪念馆，现占地面积35000多平方米。建馆以来，紧紧围绕中央赋予的三大任务，广泛传播抗战历史，大力弘扬伟大抗战精神，以建设成为国家纪念抗战胜利及全民族抗战爆发活动中心、中国抗战和世界反法西斯战争历史展示中心中国抗战史料收藏和研究中心、世界反法西斯战争东方主战场对外宣传中心为目标，广泛开展社会教育活动，深入抗战史学术研究，每年推出专题展览。同时，牵头成立了国际二战博物馆协会，为世界二战类博物馆搭建了交流平台，促进了世界各国博物馆的交流与合作。本项目在中国人民抗日战争纪念馆(以下简称“抗战馆”)院内主题展览展厅、台湾专题展览展厅和其他临时展厅实施，按照财政部关于印发《中央对地方博物馆纪念馆免费开放补助资金管理办法》的通知(财教[2021]88号)精神，立项依据充分。</w:t>
      </w:r>
    </w:p>
    <w:p w14:paraId="67D3B82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立项程序规范性。该项目立项申请、设立过程比较规范。抗战馆收到部门预算编制的通知后，积极部署，严格要求。该项目根据年度工作安排提出，编制实施方案，进行了预算评审，经党委会审议通过后上报市财政局。</w:t>
      </w:r>
    </w:p>
    <w:p w14:paraId="404C3C15">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2.绩效目标</w:t>
      </w:r>
    </w:p>
    <w:p w14:paraId="47A9C6E6">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（1）绩效目标合理性。该项目绩效目标整体上比较合理，能够按照要求进行规范填报，产出绩效和效果绩效目标基本能够反映项目的特点。</w:t>
      </w:r>
    </w:p>
    <w:p w14:paraId="57403427">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（2）绩效目标明确性。该项目绩效目标指向比较明确、比较清晰、具体细化、合理可行。</w:t>
      </w:r>
    </w:p>
    <w:p w14:paraId="551DAAC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3.资金投入</w:t>
      </w:r>
    </w:p>
    <w:p w14:paraId="6E2CD89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（1）预算编制科学性。该项目预算编制经过科学论证，且通过预算评审，预算编制基本科学且合理。该项目初始预算申报即最终批复金额170.00万元，测算依据比较合理。</w:t>
      </w:r>
    </w:p>
    <w:p w14:paraId="497D6228">
      <w:pPr>
        <w:spacing w:line="660" w:lineRule="exact"/>
        <w:ind w:firstLine="640" w:firstLineChars="200"/>
        <w:rPr>
          <w:rFonts w:hint="eastAsia" w:ascii="仿宋_GB2312" w:hAnsiTheme="minorEastAsia"/>
          <w:sz w:val="32"/>
          <w:szCs w:val="32"/>
        </w:rPr>
      </w:pPr>
      <w:r>
        <w:rPr>
          <w:rFonts w:hint="eastAsia" w:asciiTheme="minorEastAsia" w:hAnsiTheme="minorEastAsia" w:eastAsiaTheme="minorEastAsia" w:cstheme="minorEastAsia"/>
          <w:sz w:val="32"/>
          <w:szCs w:val="32"/>
        </w:rPr>
        <w:t>（2）资金分配合理性。该项目资金分配依据充分，分配额度较为合理，与项目实际情况基本相符。该项目经过项目评审后，各类投资支出费用更科学、合理，并以此作为资金分配的依据，保障了资金分配的合理性和与项目的匹配性。</w:t>
      </w:r>
    </w:p>
    <w:p w14:paraId="6A2B81F4">
      <w:pPr>
        <w:spacing w:line="660" w:lineRule="exact"/>
        <w:ind w:firstLine="643" w:firstLineChars="200"/>
        <w:outlineLvl w:val="1"/>
        <w:rPr>
          <w:rFonts w:hint="eastAsia" w:ascii="楷体" w:hAnsi="楷体" w:eastAsia="楷体" w:cs="楷体"/>
          <w:b/>
          <w:sz w:val="32"/>
          <w:szCs w:val="32"/>
        </w:rPr>
      </w:pPr>
      <w:bookmarkStart w:id="52" w:name="_Toc12781"/>
      <w:bookmarkStart w:id="53" w:name="_Toc23283"/>
      <w:bookmarkStart w:id="54" w:name="_Toc13379"/>
      <w:bookmarkStart w:id="55" w:name="_Toc17974"/>
      <w:r>
        <w:rPr>
          <w:rFonts w:hint="eastAsia" w:ascii="楷体" w:hAnsi="楷体" w:eastAsia="楷体" w:cs="楷体"/>
          <w:b/>
          <w:sz w:val="32"/>
          <w:szCs w:val="32"/>
        </w:rPr>
        <w:t>（二）项目过程情况</w:t>
      </w:r>
      <w:bookmarkEnd w:id="52"/>
      <w:bookmarkEnd w:id="53"/>
      <w:bookmarkEnd w:id="54"/>
      <w:bookmarkEnd w:id="55"/>
    </w:p>
    <w:p w14:paraId="22255D49">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1.资金管理</w:t>
      </w:r>
    </w:p>
    <w:p w14:paraId="0E7885BA">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中央补助地方博物馆免费开放项目年度预算金额为170.00万元，实际到位资金为170.00万元，资金到位率100%，资金支付计划170万元，完成142.81万元，完成84.01%。</w:t>
      </w:r>
    </w:p>
    <w:p w14:paraId="40AED9A2">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2.组织实施</w:t>
      </w:r>
    </w:p>
    <w:p w14:paraId="0EDFE40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管理制度健全性。抗战馆2024年，修订完善形成了《中国人民抗日战争纪念馆内部控制管理手册》，制定了预算管理、支出管理、采购管理、资产管理和合同管理等制度，单位财务管理和业务管理制度比较健全，制度比较合法、合规、完整。</w:t>
      </w:r>
    </w:p>
    <w:p w14:paraId="3E3AF77E">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（2）制度执行有效性。该项目在实施过程中基本能够按照上述内部管理制度的相关要求去执行，项目支出审批手续比较完备、验收材料比较齐全、项目实施所需的人力和其他保障措施比较到位。</w:t>
      </w:r>
    </w:p>
    <w:p w14:paraId="773583A6">
      <w:pPr>
        <w:spacing w:line="660" w:lineRule="exact"/>
        <w:ind w:firstLine="643" w:firstLineChars="200"/>
        <w:outlineLvl w:val="1"/>
        <w:rPr>
          <w:rFonts w:hint="eastAsia" w:ascii="楷体" w:hAnsi="楷体" w:eastAsia="楷体" w:cs="楷体"/>
          <w:b/>
          <w:sz w:val="32"/>
          <w:szCs w:val="32"/>
        </w:rPr>
      </w:pPr>
      <w:bookmarkStart w:id="56" w:name="_Toc13903"/>
      <w:bookmarkStart w:id="57" w:name="_Toc7559"/>
      <w:bookmarkStart w:id="58" w:name="_Toc25799"/>
      <w:bookmarkStart w:id="59" w:name="_Toc31286"/>
      <w:bookmarkStart w:id="60" w:name="_Toc458777508"/>
      <w:r>
        <w:rPr>
          <w:rFonts w:hint="eastAsia" w:ascii="楷体" w:hAnsi="楷体" w:eastAsia="楷体" w:cs="楷体"/>
          <w:b/>
          <w:sz w:val="32"/>
          <w:szCs w:val="32"/>
        </w:rPr>
        <w:t>（三）项目产出情况</w:t>
      </w:r>
      <w:bookmarkEnd w:id="56"/>
      <w:bookmarkEnd w:id="57"/>
      <w:bookmarkEnd w:id="58"/>
      <w:bookmarkEnd w:id="59"/>
    </w:p>
    <w:p w14:paraId="5B086034">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该项目产出指标细化为产出数量、产出质量、产出时效和产出成本四个二级指标。</w:t>
      </w:r>
    </w:p>
    <w:p w14:paraId="6B5F901E">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1.产出数量</w:t>
      </w:r>
    </w:p>
    <w:p w14:paraId="4C28B7F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资金支付170万元，实际完成142.81万元，支出率84.01%。</w:t>
      </w:r>
    </w:p>
    <w:p w14:paraId="5125B23A">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2.产出质量</w:t>
      </w:r>
    </w:p>
    <w:p w14:paraId="2E3349D1">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该项目完成质量良好，受各界好评，预期绩效目标实现。</w:t>
      </w:r>
    </w:p>
    <w:p w14:paraId="00A39C3D">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3.产出时效</w:t>
      </w:r>
    </w:p>
    <w:p w14:paraId="1FAD845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支出计划完成率84.01%，支出计划170.00万元，实际支出142.81万元。</w:t>
      </w:r>
    </w:p>
    <w:p w14:paraId="5EB9B4B9">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4.产出成本</w:t>
      </w:r>
    </w:p>
    <w:p w14:paraId="1557036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该项目编制绩效目标时预计严控预算执行预算≤170.00万元，实际支出142.81万元，严格控制在预算范围内。</w:t>
      </w:r>
    </w:p>
    <w:p w14:paraId="462933B8">
      <w:pPr>
        <w:spacing w:line="660" w:lineRule="exact"/>
        <w:ind w:firstLine="643" w:firstLineChars="200"/>
        <w:outlineLvl w:val="1"/>
        <w:rPr>
          <w:rFonts w:hint="eastAsia" w:ascii="楷体" w:hAnsi="楷体" w:eastAsia="楷体" w:cs="楷体"/>
          <w:b/>
          <w:sz w:val="32"/>
          <w:szCs w:val="32"/>
        </w:rPr>
      </w:pPr>
      <w:bookmarkStart w:id="61" w:name="_Toc22710"/>
      <w:bookmarkStart w:id="62" w:name="_Toc5157"/>
      <w:bookmarkStart w:id="63" w:name="_Toc18263"/>
      <w:bookmarkStart w:id="64" w:name="_Toc25320"/>
      <w:r>
        <w:rPr>
          <w:rFonts w:hint="eastAsia" w:ascii="楷体" w:hAnsi="楷体" w:eastAsia="楷体" w:cs="楷体"/>
          <w:b/>
          <w:sz w:val="32"/>
          <w:szCs w:val="32"/>
        </w:rPr>
        <w:t>（四）项目效益情况</w:t>
      </w:r>
      <w:bookmarkEnd w:id="61"/>
      <w:bookmarkEnd w:id="62"/>
      <w:bookmarkEnd w:id="63"/>
      <w:bookmarkEnd w:id="64"/>
    </w:p>
    <w:p w14:paraId="35B1FC6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1.经济效益和社会效益</w:t>
      </w:r>
    </w:p>
    <w:p w14:paraId="082BC33F">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提升服务能力，目标值优，实际本年先后与俄罗斯鞑靼斯坦共和国民族博物馆、白俄罗斯布列斯特要塞纪念馆、俄罗斯胜利纪念馆共同推出精品专题展，赴马来西亚槟城战争博物馆举办“抗战时期美术作品展”，联合白求恩精神研究会、澳门口述历史协会分别</w:t>
      </w:r>
      <w:bookmarkStart w:id="65" w:name="OLE_LINK14"/>
      <w:r>
        <w:rPr>
          <w:rFonts w:hint="eastAsia" w:asciiTheme="minorEastAsia" w:hAnsiTheme="minorEastAsia" w:eastAsiaTheme="minorEastAsia" w:cstheme="minorEastAsia"/>
          <w:sz w:val="32"/>
          <w:szCs w:val="32"/>
        </w:rPr>
        <w:t>策划精品图片展</w:t>
      </w:r>
      <w:bookmarkEnd w:id="65"/>
      <w:r>
        <w:rPr>
          <w:rFonts w:hint="eastAsia" w:asciiTheme="minorEastAsia" w:hAnsiTheme="minorEastAsia" w:eastAsiaTheme="minorEastAsia" w:cstheme="minorEastAsia"/>
          <w:sz w:val="32"/>
          <w:szCs w:val="32"/>
        </w:rPr>
        <w:t>，坚持弘扬伟大抗战精神，注重向世界讲好中国故事，获得了国内外媒体的一致好评，具体以</w:t>
      </w:r>
      <w:bookmarkStart w:id="66" w:name="OLE_LINK16"/>
      <w:r>
        <w:rPr>
          <w:rFonts w:hint="eastAsia" w:asciiTheme="minorEastAsia" w:hAnsiTheme="minorEastAsia" w:eastAsiaTheme="minorEastAsia" w:cstheme="minorEastAsia"/>
          <w:sz w:val="32"/>
          <w:szCs w:val="32"/>
        </w:rPr>
        <w:t>澳门口述历史协会策划精品图片展</w:t>
      </w:r>
      <w:bookmarkEnd w:id="66"/>
      <w:r>
        <w:rPr>
          <w:rFonts w:hint="eastAsia" w:asciiTheme="minorEastAsia" w:hAnsiTheme="minorEastAsia" w:eastAsiaTheme="minorEastAsia" w:cstheme="minorEastAsia"/>
          <w:sz w:val="32"/>
          <w:szCs w:val="32"/>
        </w:rPr>
        <w:t>和抗战老兵口述史两部分内容详细说明项目社会效益影响内容。</w:t>
      </w:r>
    </w:p>
    <w:p w14:paraId="11EE0F99">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（1）澳门口述历史协会策划精品图片展</w:t>
      </w:r>
    </w:p>
    <w:p w14:paraId="74D90D89">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2024年是新中国成立75周年、澳门回归祖国25周年的重要历史节点，抗战馆（以下简称“抗战馆”）与澳门口述历史协会联合主办“勠力同心 共赴国难——澳门同胞抗战图片展”。展览以澳门同胞支援祖国抗战为主题，通过历史影像、文物实物、口述史料及国际文创展品，系统回顾澳门在抗日战争中的历史贡献，深化内地与澳门的文化纽带，弘扬爱国主义精神。</w:t>
      </w:r>
    </w:p>
    <w:p w14:paraId="45E9405F">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2023年澳门首展</w:t>
      </w:r>
      <w:bookmarkStart w:id="67" w:name="OLE_LINK15"/>
      <w:r>
        <w:rPr>
          <w:rFonts w:hint="eastAsia" w:asciiTheme="minorEastAsia" w:hAnsiTheme="minorEastAsia" w:eastAsiaTheme="minorEastAsia" w:cstheme="minorEastAsia"/>
          <w:sz w:val="32"/>
          <w:szCs w:val="32"/>
        </w:rPr>
        <w:t>时</w:t>
      </w:r>
      <w:bookmarkEnd w:id="67"/>
      <w:r>
        <w:rPr>
          <w:rFonts w:hint="eastAsia" w:asciiTheme="minorEastAsia" w:hAnsiTheme="minorEastAsia" w:eastAsiaTheme="minorEastAsia" w:cstheme="minorEastAsia"/>
          <w:sz w:val="32"/>
          <w:szCs w:val="32"/>
        </w:rPr>
        <w:t>以“中国共产党抗战文物图片展”为起点，吸引超1.2万人次参观，奠定合作基础；2024年北京主展时间2024年8月15日至闭幕日，抗战馆西侧专题展厅展出，参观人次达9.6万，成为年度文化热点。展览内容围绕“澳门同胞与祖国命运与共”的主线，分为四部分：一是抗战时期澳门的社会生活。展现澳门在日军封锁下的特殊地位。作为“中立区”，澳门成为难民避风港和抗战物资中转站。通过历史照片还原市井生活、学校、社团活动，体现澳门同胞在战火中的坚韧与团结；二是澳门社会各界支援祖国抗战。展示商会、工会、妇女团体、学校等组织的募捐、义演、宣传行动。突出澳门“四界救灾会”等爱国团体筹款超200万澳门元支援前线的史实；三是澳门同胞回国支援抗战。以青年学生、医护人员、技术工人为主体，呈现澳门同胞奔赴前线、参与战地医疗、后勤保障的感人事迹。通过口述史影片《澳门儿女的抗战记忆》，让亲历者讲述真实故事；四是澳门同胞抗战文物图片。展出澳门收藏家提供的抗战文物，如《澳门华侨日报》战时报道原件、募捐凭证、家书等，结合数字化技术，动态展示澳门与内地抗战地图联动场景。</w:t>
      </w:r>
    </w:p>
    <w:p w14:paraId="2057633E">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同时创新展陈与国际化融合。其中口述史与多媒体结合，播放澳门口述历史协会采集的20小时访谈视频，以“第一视角”增强历史代入感。设置互动屏幕，观众可点选澳门抗战人物故事，提升参与度；设置国际二战文创展区。联合白俄罗斯、菲律宾等11家二战类博物馆（纪念馆），展出116件文创产品，涵盖书籍、模型、明信片等；重点展示重庆红岩革命历史博物馆的《红岩精神》画册、沈阳“九·一八”历史博物馆的“抗战徽章”系列，体现中国抗战文化创意成果；白俄罗斯布列斯特要塞博物馆的“要塞守卫者”模型、菲律宾国家博物馆的二战主题明信片，展现国际二战记忆的多元表达。</w:t>
      </w:r>
    </w:p>
    <w:p w14:paraId="5386F61F">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展览成为历史教育的生动课堂，观众规模创纪录。北京展览吸引9.6万人次参观，日均接待量超3000人，创抗战馆专题展览新高。青少年群体占比达40%，学校、企事业单位组织集体参观超200场；教育功能凸显。通过“文物+科技”手段（如AR扫描文物获取背景故事），激发青少年兴趣。开展“抗战知识问答”“写给澳门同胞的明信片”等互动活动，覆盖2万余名学生。</w:t>
      </w:r>
    </w:p>
    <w:p w14:paraId="7B9CF0BB">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媒体报道引发舆论热点的正向引导。全媒体传播矩阵的推动，新华社、央视、《澳门日报》等50余家媒体报道开幕式，全网阅读量超500万，抗战馆官方新媒体发布专题视频12条，播放量突破120万；社会议题聚焦。舆论热议“澳门同胞的家国情怀”，微博话题#澳门抗战故事#登上热搜榜。《明信片中的澳门》赠书仪式引发公众对澳门历史文化的关注，该书成为畅销读物。</w:t>
      </w:r>
    </w:p>
    <w:p w14:paraId="4ECC1E3C">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促进文化交流，成为两地合作的典范。通过机制化合作深化，连续两年与澳门口述历史协会联合策展，形成“史料共享、策展互助”模式；澳门理工大学院长林发钦表示：“展览为澳门历史研究提供了大陆视角的补充。”；高层联动与政治意义。全国政协副主席何厚铧（2023年）、北京市原副主任刘伟（2024年）等出席，体现中央对两地文化融合的重视。澳门中联办宣文部副部长殷汝涛指出：“展览是‘一国两制’下文化认同的成功实践。”</w:t>
      </w:r>
    </w:p>
    <w:p w14:paraId="07B0B7A5">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提高国际影响。点燃二战记忆的全球共鸣，作为国际文博协作创新，国际二战博物馆协会11家会员单位参展，推动中国抗战叙事与国际二战记忆衔接。菲律宾国家博物馆代表表示：“展览让世界看到亚洲战场的全景”；文化软实力的输出，文创展区吸引外国驻华使馆人员参观，白俄罗斯大使馆发文赞赏展览“促进和平共识”。抗战馆与布列斯特要塞博物馆达成文创合作意向，计划联合开发“和平纪念”系列产品。</w:t>
      </w:r>
    </w:p>
    <w:p w14:paraId="2181F23C">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本次多维度创新展陈中明确主题紧扣国家战略，以重大历史节点为契机，强化爱国主义教育与“一国两制”宣传；多维度叙事创新，融合口述史、文物、国际文创，打破传统展览单向输出模式；资源整合高效，联动政府、高校、文博机构及国际组织，形成协同效应。为后续展览提供了改进方向，加强展览数字化建设，开发线上虚拟展厅，扩大辐射范围；增设澳门与内地抗战联动专题研究，推动学术成果转化；优化青少年互动体验，设计更具针对性的教育项目。</w:t>
      </w:r>
    </w:p>
    <w:p w14:paraId="1136B19B">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通过本次展览的成功经验，为后续工作规划提供新角度，未来巡展计划、国际拓展以及与澳门口述历史协会长效合作，资源共享。</w:t>
      </w:r>
    </w:p>
    <w:p w14:paraId="7A48378F">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“勠力同心 共赴国难——澳门同胞抗战图片展”以历史为镜，以文化为桥，成功构建了内地与澳门同胞的情感联结，实现了“铭记历史、凝聚共识、启迪未来”的核心目标。其社会效益在公众层面，激发爱国热情，强化民族共同体意识；学术层面，填补澳门抗战史研究空白，推动史料抢救性保护；国际层面，提升中国抗战叙事的话语权，促进和平理念传播。</w:t>
      </w:r>
    </w:p>
    <w:p w14:paraId="3F886841">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未来，抗战馆将继续以“讲好中国故事”为使命，深化与澳门及国际文博界的合作，为传承红色基因、筑牢中华民族精神家园作出更大贡献。</w:t>
      </w:r>
    </w:p>
    <w:p w14:paraId="6F145077">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（2）抗战老兵口述史</w:t>
      </w:r>
    </w:p>
    <w:p w14:paraId="795FD0AD">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2022年7月，中共中央政治局委员、北京市委书记蔡奇同志在参加抗战馆（以下简称“抗战馆”）纪念全民族抗战爆发85周年仪式时强调：“要关心、关爱在京抗战老战士，加强抗战老兵口述史采集工作。”这一指示为抢救性保护抗战历史记忆、弘扬爱国主义精神指明了方向。</w:t>
      </w:r>
    </w:p>
    <w:p w14:paraId="6BD568F8">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抗战老兵是民族历史的“活档案”，其口述史不仅是抗日战争研究的珍贵史料，更是传承红色基因、教育后代的重要载体。京津冀地区作为华北抗战的核心战场，承载着厚重的抗战记忆。为落实中央精神，抗战馆在北京市委宣传部、老干部局及多部门支持下，启动“京津冀抗战老兵口述史”项目，旨在通过系统性、专业化的口述史采集，构建鲜活的历史叙事体系，铸牢中华民族共同体意识。</w:t>
      </w:r>
    </w:p>
    <w:p w14:paraId="7528D020">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2023年1月，抗战馆组建专项工作组，联合退役军人事务部、河北省委宣传部、北京市各区老干部局等20余家单位，形成跨区域、跨部门协作机制。通过档案调阅、实地走访、单位推荐等方式，筛选出京津冀地区健在的抗战老兵名单，建立“一人一档”数据库。</w:t>
      </w:r>
    </w:p>
    <w:p w14:paraId="39C55A54">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2023年首期工作覆盖北京市10个区、河北省6个市，完成对45位抗战老兵的采访拍摄，制作29篇微信专题报道、35条口述史视频，整理15万字访谈文本；2024年深化推进，2024年5月启动第三期工作，通过比选确定合作单位，完成合同签订及资金拨付。通过实地采集的方式，2024年共完成15位河北抗战老兵口述史采集，累计行程超2000公里。</w:t>
      </w:r>
    </w:p>
    <w:p w14:paraId="63272859">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通过引入影视制作公司，采用4K超清拍摄、多机位录制及方言翻译校对，确保史料真实性与视听质量。制定《口述史采集操作手册》，涵盖访谈提纲设计、伦理审查、数据存储等环节，对原始视频、文稿、照片等资料纳入抗战馆数字档案库，部分内容加密备份至国家档案馆。</w:t>
      </w:r>
    </w:p>
    <w:p w14:paraId="7043C462">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该项目抢救性保护了“活的历史”，填补了史料空白，如受访老兵平均年龄96岁，最年长者103岁，其亲历的战役细节（如平型关大捷、百团大战）为研究提供了微观视角。</w:t>
      </w:r>
    </w:p>
    <w:p w14:paraId="72D1CC93">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同时该项目通过多种媒体角度的记录，实现红色基因的代际传承，如新媒体传播矩阵。通过抗战馆微信公众号、官网、微博等平台发布口述史报道，累计阅读量超50万次。制作短视频《老兵说》系列，以“3分钟微纪录片”形式在抖音、B站传播，单条最高播放量达120万；青少年教育实践。联合北京市中小学开展“听老兵讲故事”主题活动，组织学生观看口述视频、撰写感悟，覆盖师生2万余人。开发“抗战口述史VR体验课”，利用虚拟现实技术还原老兵讲述场景，入选教育部“红色教育资源库”。</w:t>
      </w:r>
    </w:p>
    <w:p w14:paraId="75A20FAC">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项目引起了凝聚民族情感与文化认同的社会反响。一是媒体聚焦与公众参与。新华社、央视《国家记忆》栏目、《河北日报》等媒体报道项目进展，微博话题#寻找最后的抗战老兵#阅读量突破800万；公众自发提供老兵线索30余条，志愿者参与方言翻译、史料整理超500人次；二是学术合作与政策推动。口述史料被中国人民大学抗日战争研究中心、河北省社科院列为重点研究资源。河北省退役军人事务厅据此完善优抚政策，为老兵增设“荣誉疗养”专项补贴；三是区域协同与精神弘扬的文化宣传。项目打破行政壁垒，实现三地历史资源共享，为区域文化合作提供范本。老兵“不畏牺牲、保家卫国”的讲述，成为新时代爱国主义教育的生动教材，助力社会主义核心价值观培育，抗战精神在当代诠释。</w:t>
      </w:r>
    </w:p>
    <w:p w14:paraId="65402574">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京津冀抗战老兵口述史项目以“与时间赛跑”的紧迫感，抢救性留存民族记忆，其构建鲜活抗战叙事，补全国家记忆拼图体现于历史维度的意义；创新红色教育形式，筑牢青少年精神根基展现于教育维度的影响；凝聚集体认同，激发全民爱国热情的社会维度效益。</w:t>
      </w:r>
    </w:p>
    <w:p w14:paraId="68E9C99A">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未来，抗战馆将继续以“存史、资政、育人”为使命，推动口述史工作从“抢救记录”向“活化利用”升级，让抗战精神在新时代焕发更强生命力。</w:t>
      </w:r>
    </w:p>
    <w:p w14:paraId="6BE7F973">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2.项目可持续影响及服务对象满意度</w:t>
      </w:r>
    </w:p>
    <w:bookmarkEnd w:id="60"/>
    <w:p w14:paraId="3D59AF2F">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通过观众现场满意度采访调查及展厅内留言簿填写情况，实际观众满意度在90%以上，满意度指标达标。</w:t>
      </w:r>
    </w:p>
    <w:p w14:paraId="34A26209">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抗战馆作为全国爱国主义教育示范基地和国家一级博物馆，始终以“传承抗战精神、服务社会公众”为使命。近年来，为响应新时代文化发展需求，抗战馆围绕“观众需求导向、国际视野拓展、服务品质升级”三大核心，系统推进基础服务优化、学术合作深化及品牌影响力提升工程。通过硬件设施完善、数字化服务升级、国际交流合作、红色资源活化等举措，全面提升博物馆综合服务水平，构建“可触、可感、可传”的红色文化传播体系。</w:t>
      </w:r>
    </w:p>
    <w:p w14:paraId="5497C371">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通过</w:t>
      </w:r>
      <w:bookmarkStart w:id="68" w:name="OLE_LINK17"/>
      <w:r>
        <w:rPr>
          <w:rFonts w:hint="eastAsia" w:asciiTheme="minorEastAsia" w:hAnsiTheme="minorEastAsia" w:eastAsiaTheme="minorEastAsia" w:cstheme="minorEastAsia"/>
          <w:sz w:val="32"/>
          <w:szCs w:val="32"/>
        </w:rPr>
        <w:t>夯实基础服务，优化观众体验</w:t>
      </w:r>
      <w:bookmarkEnd w:id="68"/>
      <w:r>
        <w:rPr>
          <w:rFonts w:hint="eastAsia" w:asciiTheme="minorEastAsia" w:hAnsiTheme="minorEastAsia" w:eastAsiaTheme="minorEastAsia" w:cstheme="minorEastAsia"/>
          <w:sz w:val="32"/>
          <w:szCs w:val="32"/>
        </w:rPr>
        <w:t>、深化交流合作，拓展国际影响、强化品牌建设，提升社会美誉度三方面提升服务。</w:t>
      </w:r>
    </w:p>
    <w:p w14:paraId="5D31AD86">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（1）夯实基础服务，优化观众体验。</w:t>
      </w:r>
    </w:p>
    <w:p w14:paraId="55DAE7F6">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①陈列维护与文物养护科学化</w:t>
      </w:r>
    </w:p>
    <w:p w14:paraId="4A01B2FD">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文物库房智能管理：恒温恒湿控制系统、三维扫描建档技术，完成2000余件抗战文物数字化保护，文物修复合格率达100%；</w:t>
      </w:r>
    </w:p>
    <w:p w14:paraId="3E3C7FF5">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安全服务双保障：升级馆内无障碍设施（如盲文导览、轮椅通道），2024年观众投诉率同比下降67%，满意度调查达98.5%。</w:t>
      </w:r>
    </w:p>
    <w:p w14:paraId="3205B0FF">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②数字化服务便捷化</w:t>
      </w:r>
    </w:p>
    <w:p w14:paraId="1F63FC0F">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知网数据服务开通：与CNKI合作建成“抗战文献专题数据库”，免费开放2.4万篇学术论文、1.5万幅历史图片，累计访问量超50万人次；</w:t>
      </w:r>
    </w:p>
    <w:p w14:paraId="59C9819F">
      <w:pPr>
        <w:snapToGrid w:val="0"/>
        <w:spacing w:line="660" w:lineRule="exact"/>
        <w:ind w:firstLine="640" w:firstLineChars="200"/>
        <w:rPr>
          <w:rFonts w:hint="eastAsia" w:asciiTheme="minorEastAsia" w:hAnsiTheme="minorEastAsia" w:eastAsiaTheme="minorEastAsia" w:cstheme="minorEastAsia"/>
          <w:sz w:val="32"/>
          <w:szCs w:val="32"/>
        </w:rPr>
      </w:pPr>
      <w:bookmarkStart w:id="69" w:name="OLE_LINK19"/>
      <w:r>
        <w:rPr>
          <w:rFonts w:hint="eastAsia" w:asciiTheme="minorEastAsia" w:hAnsiTheme="minorEastAsia" w:eastAsiaTheme="minorEastAsia" w:cstheme="minorEastAsia"/>
          <w:sz w:val="32"/>
          <w:szCs w:val="32"/>
        </w:rPr>
        <w:t>智慧导览系统</w:t>
      </w:r>
      <w:bookmarkEnd w:id="69"/>
      <w:r>
        <w:rPr>
          <w:rFonts w:hint="eastAsia" w:asciiTheme="minorEastAsia" w:hAnsiTheme="minorEastAsia" w:eastAsiaTheme="minorEastAsia" w:cstheme="minorEastAsia"/>
          <w:sz w:val="32"/>
          <w:szCs w:val="32"/>
        </w:rPr>
        <w:t>上线：开发“抗战馆云展厅”小程序，提供AR文物讲解、语音导览、预约服务等功能。</w:t>
      </w:r>
    </w:p>
    <w:p w14:paraId="227E971E">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（2）深化交流合作，拓展国际影响</w:t>
      </w:r>
    </w:p>
    <w:p w14:paraId="6D781204">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①国际平台联动</w:t>
      </w:r>
    </w:p>
    <w:p w14:paraId="32582588">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国际二战博物馆协会协作：作为协会理事长单位，2024年牵头策划“中国共产党抗战文物图片精品专题展”，联合白俄罗斯伟大卫国战争纪念馆、菲律宾国家博物馆等11家机构，精选文物200余件，计划赴海外巡展；</w:t>
      </w:r>
    </w:p>
    <w:p w14:paraId="7AA49277">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学术论坛常态化：主办“全球二战记忆与和平发展”国际研讨会，吸引20国学者参与，发布《抗战文物数字化保护北京倡议》。</w:t>
      </w:r>
    </w:p>
    <w:p w14:paraId="1693EB0D">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②国内资源整合</w:t>
      </w:r>
    </w:p>
    <w:p w14:paraId="43AD031A">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跨界合作创新：与白求恩精神研究会联合策划“永不消逝的白求恩”图片展，通过120幅历史影像还原国际援华医疗队事迹，开展首月观众超8万人次；</w:t>
      </w:r>
    </w:p>
    <w:p w14:paraId="5F5CCAD2">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港澳文化纽带：联合澳门口述历史协会推出“澳门同胞抗战口述史”项目，采集50位澳门老兵访谈，相关视频在港澳社交媒体播放量超200万次。</w:t>
      </w:r>
    </w:p>
    <w:p w14:paraId="05DDB3FB">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（3）强化品牌建设，提升社会美誉度</w:t>
      </w:r>
    </w:p>
    <w:p w14:paraId="254E67EC">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①抗战老兵口述史项目</w:t>
      </w:r>
    </w:p>
    <w:p w14:paraId="4BF58401">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抢救性记录：2023-2024年完成京津冀地区60位老兵口述史采集，制作视频75条、微信专题报道44篇，相关话题微博阅读量破亿；</w:t>
      </w:r>
    </w:p>
    <w:p w14:paraId="24D5E7D7">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教育转化：开发“老兵故事VR课堂”，覆盖京津冀中小学300所，学生参与度达95%；</w:t>
      </w:r>
    </w:p>
    <w:p w14:paraId="3D2BF5E7">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社会反响：项目获“全国革命文物保护利用十佳案例”，老兵家属致谢信超200封，公众捐赠抗战文物83件。</w:t>
      </w:r>
    </w:p>
    <w:p w14:paraId="5A856DBE">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②新媒体矩阵传播</w:t>
      </w:r>
    </w:p>
    <w:p w14:paraId="4BCFEF29">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全平台覆盖：运营微信公众号、抖音、B站等8个平台，2023年发布内容1200条，总阅读量破3亿，粉丝量增长150%；</w:t>
      </w:r>
    </w:p>
    <w:p w14:paraId="0316C945">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爆款内容产出：短视频《百岁老兵的一堂课》单条播放量达5000万，获“中国文旅新媒体传播力大奖”。</w:t>
      </w:r>
    </w:p>
    <w:p w14:paraId="1C341996">
      <w:pPr>
        <w:snapToGrid w:val="0"/>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多举措的提升，获得观众、合作方等肯定。</w:t>
      </w:r>
    </w:p>
    <w:p w14:paraId="15C647D8">
      <w:pPr>
        <w:snapToGrid w:val="0"/>
        <w:spacing w:line="660" w:lineRule="exact"/>
        <w:ind w:firstLine="643"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b/>
          <w:bCs/>
          <w:sz w:val="32"/>
          <w:szCs w:val="32"/>
        </w:rPr>
        <w:t>一是</w:t>
      </w:r>
      <w:r>
        <w:rPr>
          <w:rFonts w:hint="eastAsia" w:asciiTheme="minorEastAsia" w:hAnsiTheme="minorEastAsia" w:eastAsiaTheme="minorEastAsia" w:cstheme="minorEastAsia"/>
          <w:sz w:val="32"/>
          <w:szCs w:val="32"/>
        </w:rPr>
        <w:t>观众满意度高。据2024年第三方评估报告显示，96%的观众认为智慧导览系统“显著改善参观体验”，88%的学者肯定数据库“助力研究效率提升”；学校团体反馈，VR课堂使学生对抗战历史的理解深度提升40%，98%的教师认为“教学效果远超传统模式”；家长表示，92%的受访者表示“孩子参观后主动分享抗战故事”；无障碍设施改造获残障群体高度评价，相关评价中“贴心”“无障碍”成为高频词。</w:t>
      </w:r>
    </w:p>
    <w:p w14:paraId="72BEE45C">
      <w:pPr>
        <w:snapToGrid w:val="0"/>
        <w:spacing w:line="660" w:lineRule="exact"/>
        <w:ind w:firstLine="643"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b/>
          <w:bCs/>
          <w:sz w:val="32"/>
          <w:szCs w:val="32"/>
        </w:rPr>
        <w:t>二是</w:t>
      </w:r>
      <w:r>
        <w:rPr>
          <w:rFonts w:hint="eastAsia" w:asciiTheme="minorEastAsia" w:hAnsiTheme="minorEastAsia" w:eastAsiaTheme="minorEastAsia" w:cstheme="minorEastAsia"/>
          <w:sz w:val="32"/>
          <w:szCs w:val="32"/>
        </w:rPr>
        <w:t>合作方认可度高。国际影响力扩大，白俄罗斯驻华使馆评价“中国共产党抗战文物展”为“中白人文合作的典范”，国际二战博物馆协会秘书长称抗战馆“引领全球二战记忆保护标准”；形成了国内协同效应。白求恩精神研究会致函称赞合作展览“创新红色文化传播范式”，澳门口述历史协会将抗战馆列为“港澳青少年研学首选基地”。</w:t>
      </w:r>
    </w:p>
    <w:p w14:paraId="204B94C9">
      <w:pPr>
        <w:snapToGrid w:val="0"/>
        <w:spacing w:line="660" w:lineRule="exact"/>
        <w:ind w:firstLine="643"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b/>
          <w:bCs/>
          <w:sz w:val="32"/>
          <w:szCs w:val="32"/>
        </w:rPr>
        <w:t>三是</w:t>
      </w:r>
      <w:r>
        <w:rPr>
          <w:rFonts w:hint="eastAsia" w:asciiTheme="minorEastAsia" w:hAnsiTheme="minorEastAsia" w:eastAsiaTheme="minorEastAsia" w:cstheme="minorEastAsia"/>
          <w:sz w:val="32"/>
          <w:szCs w:val="32"/>
        </w:rPr>
        <w:t>社会美誉度提升。媒体聚焦与荣誉加持，央视《新闻联播》3次报道抗战馆服务升级举措，“学习强国”平台开设专题页。2023年获评“全国最具创新力博物馆”，2024年入选“全国文明旅游示范单位”。</w:t>
      </w:r>
    </w:p>
    <w:p w14:paraId="0E97A423">
      <w:pPr>
        <w:spacing w:line="660" w:lineRule="exact"/>
        <w:ind w:firstLine="640" w:firstLineChars="200"/>
        <w:rPr>
          <w:rFonts w:hint="eastAsia" w:ascii="仿宋_GB2312" w:hAnsiTheme="minorEastAsia"/>
          <w:sz w:val="32"/>
          <w:szCs w:val="32"/>
        </w:rPr>
      </w:pPr>
      <w:r>
        <w:rPr>
          <w:rFonts w:hint="eastAsia" w:asciiTheme="minorEastAsia" w:hAnsiTheme="minorEastAsia" w:eastAsiaTheme="minorEastAsia" w:cstheme="minorEastAsia"/>
          <w:sz w:val="32"/>
          <w:szCs w:val="32"/>
        </w:rPr>
        <w:t>抗战馆通过系统性服务提升工程，实现了从“传统展陈”到“智慧体验”、从“区域场馆”到“国际平台”、从“历史记忆”到“精神灯塔”的跨越式发展。于观众，提供高质量文化服务，筑牢爱国主义情感；于学界，搭建资源共享平台，推动抗战研究国际化；于国家，增强文化软实力，助力中华民族伟大复兴。未来，抗战馆将持续以“观众满意为标尺、历史传承为己任”，打造更具温度、深度与广度的红色文化殿堂。</w:t>
      </w:r>
    </w:p>
    <w:p w14:paraId="6A808045">
      <w:pPr>
        <w:pStyle w:val="2"/>
        <w:keepNext w:val="0"/>
        <w:keepLines w:val="0"/>
        <w:spacing w:before="0" w:after="0" w:line="660" w:lineRule="exact"/>
        <w:ind w:firstLine="640" w:firstLineChars="200"/>
        <w:rPr>
          <w:rFonts w:hint="eastAsia" w:ascii="黑体" w:hAnsi="黑体" w:eastAsia="黑体" w:cs="宋体"/>
          <w:b w:val="0"/>
          <w:bCs w:val="0"/>
          <w:color w:val="000000"/>
          <w:kern w:val="0"/>
          <w:sz w:val="32"/>
          <w:szCs w:val="32"/>
        </w:rPr>
      </w:pPr>
      <w:bookmarkStart w:id="70" w:name="_Toc6727"/>
      <w:bookmarkStart w:id="71" w:name="_Toc8477"/>
      <w:bookmarkStart w:id="72" w:name="_Toc458777510"/>
      <w:bookmarkStart w:id="73" w:name="_Toc24401"/>
      <w:bookmarkStart w:id="74" w:name="_Toc19448"/>
      <w:r>
        <w:rPr>
          <w:rFonts w:hint="eastAsia" w:ascii="黑体" w:hAnsi="黑体" w:eastAsia="黑体" w:cs="宋体"/>
          <w:b w:val="0"/>
          <w:bCs w:val="0"/>
          <w:color w:val="000000"/>
          <w:kern w:val="0"/>
          <w:sz w:val="32"/>
          <w:szCs w:val="32"/>
        </w:rPr>
        <w:t>五、</w:t>
      </w:r>
      <w:bookmarkEnd w:id="70"/>
      <w:bookmarkEnd w:id="71"/>
      <w:bookmarkEnd w:id="72"/>
      <w:r>
        <w:rPr>
          <w:rFonts w:hint="eastAsia" w:ascii="黑体" w:hAnsi="黑体" w:eastAsia="黑体" w:cs="宋体"/>
          <w:b w:val="0"/>
          <w:bCs w:val="0"/>
          <w:color w:val="000000"/>
          <w:kern w:val="0"/>
          <w:sz w:val="32"/>
          <w:szCs w:val="32"/>
        </w:rPr>
        <w:t>存在的问题</w:t>
      </w:r>
      <w:bookmarkEnd w:id="73"/>
      <w:bookmarkEnd w:id="74"/>
    </w:p>
    <w:p w14:paraId="07594B4F">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经过与会专家评审，本项目绩效评价综合得分98.45分。</w:t>
      </w:r>
    </w:p>
    <w:p w14:paraId="5EC5C1B0">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评审专家根据项目单位现场汇报及评审资料，认为项目基本完成了年度绩效目标</w:t>
      </w:r>
      <w:r>
        <w:rPr>
          <w:rFonts w:hint="eastAsia" w:asciiTheme="minorEastAsia" w:hAnsiTheme="minorEastAsia" w:eastAsiaTheme="minorEastAsia" w:cstheme="minorEastAsia"/>
          <w:sz w:val="32"/>
          <w:szCs w:val="32"/>
          <w:lang w:eastAsia="zh-CN"/>
        </w:rPr>
        <w:t>。</w:t>
      </w:r>
      <w:r>
        <w:rPr>
          <w:rFonts w:hint="eastAsia" w:asciiTheme="minorEastAsia" w:hAnsiTheme="minorEastAsia" w:eastAsiaTheme="minorEastAsia" w:cstheme="minorEastAsia"/>
          <w:sz w:val="32"/>
          <w:szCs w:val="32"/>
        </w:rPr>
        <w:t>2024年9月抗战馆闭馆实施展陈改造，原本安排于本年度第四季度执行的事项进行了调整暂缓执行，未及时根据项目情况调整绩效指标值，致使偏离绩效目标。</w:t>
      </w:r>
    </w:p>
    <w:p w14:paraId="63A468FB">
      <w:pPr>
        <w:spacing w:line="660" w:lineRule="exact"/>
        <w:ind w:firstLine="640" w:firstLineChars="20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上述事项与《北京市预算绩效目标管理办法》第二十九条“按照“谁批复预算，谁批复目标”的原则，市级财政部门在批复年初部门预算或调整预算时，按要求一并批复绩效目标。”和第三十条“各市级预算部门向市级财政部门申请调剂预算的，应同步办理绩效目标调整，随预算调剂流程调整绩效目标”的规定不符。</w:t>
      </w:r>
    </w:p>
    <w:p w14:paraId="355C628A">
      <w:pPr>
        <w:pStyle w:val="2"/>
        <w:keepNext w:val="0"/>
        <w:keepLines w:val="0"/>
        <w:numPr>
          <w:ilvl w:val="0"/>
          <w:numId w:val="3"/>
        </w:numPr>
        <w:spacing w:before="0" w:after="0" w:line="660" w:lineRule="exact"/>
        <w:ind w:firstLine="640" w:firstLineChars="200"/>
        <w:rPr>
          <w:rFonts w:hint="eastAsia" w:ascii="黑体" w:hAnsi="黑体" w:eastAsia="黑体" w:cs="宋体"/>
          <w:b w:val="0"/>
          <w:bCs w:val="0"/>
          <w:color w:val="000000"/>
          <w:kern w:val="0"/>
          <w:sz w:val="32"/>
          <w:szCs w:val="32"/>
        </w:rPr>
      </w:pPr>
      <w:bookmarkStart w:id="75" w:name="_Toc14762"/>
      <w:bookmarkStart w:id="76" w:name="_Toc10512"/>
      <w:bookmarkStart w:id="77" w:name="_Toc9688"/>
      <w:bookmarkStart w:id="78" w:name="_Toc4379"/>
      <w:r>
        <w:rPr>
          <w:rFonts w:hint="eastAsia" w:ascii="黑体" w:hAnsi="黑体" w:eastAsia="黑体" w:cs="宋体"/>
          <w:b w:val="0"/>
          <w:bCs w:val="0"/>
          <w:color w:val="000000"/>
          <w:kern w:val="0"/>
          <w:sz w:val="32"/>
          <w:szCs w:val="32"/>
        </w:rPr>
        <w:t>建议</w:t>
      </w:r>
      <w:bookmarkEnd w:id="75"/>
      <w:bookmarkEnd w:id="76"/>
    </w:p>
    <w:p w14:paraId="343D1D8D">
      <w:pPr>
        <w:spacing w:line="660" w:lineRule="exact"/>
        <w:ind w:firstLine="640" w:firstLineChars="200"/>
      </w:pPr>
      <w:r>
        <w:rPr>
          <w:rFonts w:hint="eastAsia" w:asciiTheme="minorEastAsia" w:hAnsiTheme="minorEastAsia" w:eastAsiaTheme="minorEastAsia" w:cstheme="minorEastAsia"/>
          <w:sz w:val="32"/>
          <w:szCs w:val="32"/>
        </w:rPr>
        <w:t>认真分解、细化工作任务，清晰明确预期产出，划分效益指标，进一步提高预算精准度，加强预算编制的科学性。</w:t>
      </w:r>
    </w:p>
    <w:p w14:paraId="27A386C3">
      <w:pPr>
        <w:pStyle w:val="2"/>
        <w:keepNext w:val="0"/>
        <w:keepLines w:val="0"/>
        <w:spacing w:before="0" w:after="0" w:line="660" w:lineRule="exact"/>
        <w:ind w:firstLine="640" w:firstLineChars="200"/>
        <w:rPr>
          <w:rFonts w:hint="eastAsia" w:ascii="黑体" w:hAnsi="黑体" w:eastAsia="黑体" w:cs="宋体"/>
          <w:b w:val="0"/>
          <w:bCs w:val="0"/>
          <w:color w:val="000000"/>
          <w:kern w:val="0"/>
          <w:sz w:val="32"/>
          <w:szCs w:val="32"/>
        </w:rPr>
      </w:pPr>
      <w:bookmarkStart w:id="79" w:name="_Toc24830"/>
      <w:bookmarkStart w:id="80" w:name="_Toc15432"/>
      <w:r>
        <w:rPr>
          <w:rFonts w:hint="eastAsia" w:ascii="黑体" w:hAnsi="黑体" w:eastAsia="黑体" w:cs="宋体"/>
          <w:b w:val="0"/>
          <w:bCs w:val="0"/>
          <w:color w:val="000000"/>
          <w:kern w:val="0"/>
          <w:sz w:val="32"/>
          <w:szCs w:val="32"/>
        </w:rPr>
        <w:t>七、附件</w:t>
      </w:r>
      <w:bookmarkEnd w:id="77"/>
      <w:bookmarkEnd w:id="78"/>
      <w:bookmarkEnd w:id="79"/>
      <w:bookmarkEnd w:id="80"/>
    </w:p>
    <w:p w14:paraId="6B769736">
      <w:pPr>
        <w:spacing w:line="660" w:lineRule="exact"/>
        <w:ind w:firstLine="640" w:firstLineChars="200"/>
        <w:rPr>
          <w:rFonts w:hint="eastAsia" w:ascii="仿宋_GB2312" w:hAnsiTheme="minorEastAsia"/>
          <w:sz w:val="32"/>
          <w:szCs w:val="32"/>
        </w:rPr>
      </w:pPr>
      <w:r>
        <w:rPr>
          <w:rFonts w:hint="eastAsia" w:asciiTheme="minorEastAsia" w:hAnsiTheme="minorEastAsia" w:eastAsiaTheme="minorEastAsia" w:cstheme="minorEastAsia"/>
          <w:sz w:val="32"/>
          <w:szCs w:val="32"/>
        </w:rPr>
        <w:t>反映绩效的相关图片（扉页位置）</w:t>
      </w:r>
    </w:p>
    <w:p w14:paraId="1D3AF36A">
      <w:pPr>
        <w:spacing w:line="360" w:lineRule="auto"/>
        <w:ind w:right="480"/>
        <w:jc w:val="right"/>
        <w:rPr>
          <w:rFonts w:hint="eastAsia" w:ascii="仿宋_GB2312" w:hAnsiTheme="minorEastAsia"/>
          <w:sz w:val="32"/>
          <w:szCs w:val="32"/>
          <w:lang w:val="en"/>
        </w:rPr>
      </w:pPr>
      <w:r>
        <w:rPr>
          <w:rFonts w:hint="eastAsia" w:asciiTheme="minorEastAsia" w:hAnsiTheme="minorEastAsia" w:eastAsiaTheme="minorEastAsia" w:cstheme="minorEastAsia"/>
          <w:sz w:val="32"/>
          <w:szCs w:val="32"/>
        </w:rPr>
        <w:t xml:space="preserve">2025年06月10日 </w:t>
      </w:r>
    </w:p>
    <w:sectPr>
      <w:footerReference r:id="rId3" w:type="default"/>
      <w:pgSz w:w="11906" w:h="16838"/>
      <w:pgMar w:top="1440" w:right="1800" w:bottom="1440" w:left="1800" w:header="851" w:footer="992" w:gutter="0"/>
      <w:pgNumType w:start="1"/>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1733AAAD-0512-4422-9D20-040070326917}"/>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_GB2312">
    <w:altName w:val="仿宋"/>
    <w:panose1 w:val="00000000000000000000"/>
    <w:charset w:val="86"/>
    <w:family w:val="modern"/>
    <w:pitch w:val="default"/>
    <w:sig w:usb0="00000000" w:usb1="00000000" w:usb2="00000000" w:usb3="00000000" w:csb0="00040000" w:csb1="00000000"/>
    <w:embedRegular r:id="rId2" w:fontKey="{41329ACA-79F9-4768-B12F-287DF07553A0}"/>
  </w:font>
  <w:font w:name="仿宋">
    <w:panose1 w:val="02010609060101010101"/>
    <w:charset w:val="86"/>
    <w:family w:val="auto"/>
    <w:pitch w:val="default"/>
    <w:sig w:usb0="800002BF" w:usb1="38CF7CFA" w:usb2="00000016" w:usb3="00000000" w:csb0="00040001" w:csb1="00000000"/>
  </w:font>
  <w:font w:name="Cambria">
    <w:panose1 w:val="02040503050406030204"/>
    <w:charset w:val="00"/>
    <w:family w:val="roman"/>
    <w:pitch w:val="default"/>
    <w:sig w:usb0="E00006FF" w:usb1="420024FF" w:usb2="02000000" w:usb3="00000000" w:csb0="2000019F" w:csb1="00000000"/>
  </w:font>
  <w:font w:name="方正小标宋简体">
    <w:altName w:val="微软雅黑"/>
    <w:panose1 w:val="00000000000000000000"/>
    <w:charset w:val="86"/>
    <w:family w:val="script"/>
    <w:pitch w:val="default"/>
    <w:sig w:usb0="00000000" w:usb1="00000000" w:usb2="00000000" w:usb3="00000000" w:csb0="00040000" w:csb1="00000000"/>
    <w:embedRegular r:id="rId3" w:fontKey="{72EEF2EC-3F0A-4DA1-8459-59E44D7A65D2}"/>
  </w:font>
  <w:font w:name="微软雅黑">
    <w:panose1 w:val="020B0503020204020204"/>
    <w:charset w:val="86"/>
    <w:family w:val="auto"/>
    <w:pitch w:val="default"/>
    <w:sig w:usb0="80000287" w:usb1="2ACF3C50" w:usb2="00000016" w:usb3="00000000" w:csb0="0004001F" w:csb1="00000000"/>
  </w:font>
  <w:font w:name="楷体">
    <w:panose1 w:val="02010609060101010101"/>
    <w:charset w:val="86"/>
    <w:family w:val="modern"/>
    <w:pitch w:val="default"/>
    <w:sig w:usb0="800002BF" w:usb1="38CF7CFA" w:usb2="00000016" w:usb3="00000000" w:csb0="00040001" w:csb1="00000000"/>
    <w:embedRegular r:id="rId4" w:fontKey="{85C8D7FC-BDDD-4593-97C5-21A892F277EA}"/>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21BF4B">
    <w:pPr>
      <w:pStyle w:val="6"/>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FC52AEE">
                          <w:pPr>
                            <w:pStyle w:val="6"/>
                          </w:pPr>
                          <w:r>
                            <w:fldChar w:fldCharType="begin"/>
                          </w:r>
                          <w:r>
                            <w:instrText xml:space="preserve"> PAGE  \* MERGEFORMAT </w:instrText>
                          </w:r>
                          <w:r>
                            <w:fldChar w:fldCharType="separate"/>
                          </w:r>
                          <w:r>
                            <w:t>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zXDnwqAgAAV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CLNmWdjqneUROirm&#10;7eoYIGCnaxSlV2LQCtPWdWZ4GXGc/9x3UY9/g+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IzXDnwqAgAAVQQAAA4AAAAAAAAAAQAgAAAAHwEAAGRycy9lMm9Eb2MueG1sUEsFBgAAAAAGAAYA&#10;WQEAALsFAAAAAA==&#10;">
              <v:fill on="f" focussize="0,0"/>
              <v:stroke on="f" weight="0.5pt"/>
              <v:imagedata o:title=""/>
              <o:lock v:ext="edit" aspectratio="f"/>
              <v:textbox inset="0mm,0mm,0mm,0mm" style="mso-fit-shape-to-text:t;">
                <w:txbxContent>
                  <w:p w14:paraId="2FC52AEE">
                    <w:pPr>
                      <w:pStyle w:val="6"/>
                    </w:pPr>
                    <w:r>
                      <w:fldChar w:fldCharType="begin"/>
                    </w:r>
                    <w:r>
                      <w:instrText xml:space="preserve"> PAGE  \* MERGEFORMAT </w:instrText>
                    </w:r>
                    <w:r>
                      <w:fldChar w:fldCharType="separate"/>
                    </w:r>
                    <w:r>
                      <w:t>3</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9466428"/>
    <w:multiLevelType w:val="singleLevel"/>
    <w:tmpl w:val="99466428"/>
    <w:lvl w:ilvl="0" w:tentative="0">
      <w:start w:val="2"/>
      <w:numFmt w:val="decimal"/>
      <w:suff w:val="nothing"/>
      <w:lvlText w:val="%1、"/>
      <w:lvlJc w:val="left"/>
    </w:lvl>
  </w:abstractNum>
  <w:abstractNum w:abstractNumId="1">
    <w:nsid w:val="9AB5929A"/>
    <w:multiLevelType w:val="singleLevel"/>
    <w:tmpl w:val="9AB5929A"/>
    <w:lvl w:ilvl="0" w:tentative="0">
      <w:start w:val="4"/>
      <w:numFmt w:val="decimal"/>
      <w:suff w:val="nothing"/>
      <w:lvlText w:val="（%1）"/>
      <w:lvlJc w:val="left"/>
    </w:lvl>
  </w:abstractNum>
  <w:abstractNum w:abstractNumId="2">
    <w:nsid w:val="FEAFAB5C"/>
    <w:multiLevelType w:val="singleLevel"/>
    <w:tmpl w:val="FEAFAB5C"/>
    <w:lvl w:ilvl="0" w:tentative="0">
      <w:start w:val="6"/>
      <w:numFmt w:val="chineseCounting"/>
      <w:suff w:val="nothing"/>
      <w:lvlText w:val="%1、"/>
      <w:lvlJc w:val="left"/>
      <w:rPr>
        <w:rFonts w:hint="eastAsia"/>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TrueTypeFonts/>
  <w:saveSubsetFonts/>
  <w:trackRevisions w:val="1"/>
  <w:documentProtection w:edit="readOnly" w:enforcement="0"/>
  <w:defaultTabStop w:val="420"/>
  <w:drawingGridHorizontalSpacing w:val="150"/>
  <w:drawingGridVerticalSpacing w:val="204"/>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jczNmU4OTUzNDQ5MmMyNzY3OTdjNzk5MTdlNDYzYmUifQ=="/>
  </w:docVars>
  <w:rsids>
    <w:rsidRoot w:val="00F57F82"/>
    <w:rsid w:val="000101E1"/>
    <w:rsid w:val="000732DA"/>
    <w:rsid w:val="00075CDC"/>
    <w:rsid w:val="000A18D3"/>
    <w:rsid w:val="000A30A9"/>
    <w:rsid w:val="000B14BD"/>
    <w:rsid w:val="000B1E8F"/>
    <w:rsid w:val="000B6964"/>
    <w:rsid w:val="000D06F7"/>
    <w:rsid w:val="00103D16"/>
    <w:rsid w:val="00111638"/>
    <w:rsid w:val="00111928"/>
    <w:rsid w:val="0012041C"/>
    <w:rsid w:val="00164D84"/>
    <w:rsid w:val="00173016"/>
    <w:rsid w:val="00174B89"/>
    <w:rsid w:val="0017509C"/>
    <w:rsid w:val="001808CA"/>
    <w:rsid w:val="001A4E46"/>
    <w:rsid w:val="001E03FE"/>
    <w:rsid w:val="002123E8"/>
    <w:rsid w:val="0023171F"/>
    <w:rsid w:val="00250053"/>
    <w:rsid w:val="0029569C"/>
    <w:rsid w:val="002A5FA7"/>
    <w:rsid w:val="002B3EEF"/>
    <w:rsid w:val="002B54E4"/>
    <w:rsid w:val="002E5562"/>
    <w:rsid w:val="002F6705"/>
    <w:rsid w:val="00301FC0"/>
    <w:rsid w:val="00336102"/>
    <w:rsid w:val="00336A16"/>
    <w:rsid w:val="00340723"/>
    <w:rsid w:val="003663A3"/>
    <w:rsid w:val="00366B62"/>
    <w:rsid w:val="00387DD5"/>
    <w:rsid w:val="003B0980"/>
    <w:rsid w:val="003B1A7B"/>
    <w:rsid w:val="003C6374"/>
    <w:rsid w:val="003D2CB9"/>
    <w:rsid w:val="003E19A4"/>
    <w:rsid w:val="00413F12"/>
    <w:rsid w:val="00426EB4"/>
    <w:rsid w:val="00493012"/>
    <w:rsid w:val="004D2137"/>
    <w:rsid w:val="00532339"/>
    <w:rsid w:val="00534C80"/>
    <w:rsid w:val="005D0CC1"/>
    <w:rsid w:val="005D1514"/>
    <w:rsid w:val="005D7CC3"/>
    <w:rsid w:val="006218A1"/>
    <w:rsid w:val="00625429"/>
    <w:rsid w:val="00645422"/>
    <w:rsid w:val="00682A10"/>
    <w:rsid w:val="006A30E4"/>
    <w:rsid w:val="006A74BF"/>
    <w:rsid w:val="006C1CEE"/>
    <w:rsid w:val="006D5A86"/>
    <w:rsid w:val="00707C2E"/>
    <w:rsid w:val="00722A7D"/>
    <w:rsid w:val="00724A6B"/>
    <w:rsid w:val="0073331B"/>
    <w:rsid w:val="00733C2D"/>
    <w:rsid w:val="00756C7F"/>
    <w:rsid w:val="007967F0"/>
    <w:rsid w:val="007B18FE"/>
    <w:rsid w:val="007D7E6E"/>
    <w:rsid w:val="00850797"/>
    <w:rsid w:val="00853FC4"/>
    <w:rsid w:val="008720F1"/>
    <w:rsid w:val="00882EFA"/>
    <w:rsid w:val="008B256C"/>
    <w:rsid w:val="008B2F56"/>
    <w:rsid w:val="008F0996"/>
    <w:rsid w:val="00903791"/>
    <w:rsid w:val="0090772E"/>
    <w:rsid w:val="009600BD"/>
    <w:rsid w:val="00961C83"/>
    <w:rsid w:val="009922BC"/>
    <w:rsid w:val="009B2FFA"/>
    <w:rsid w:val="009C3D7F"/>
    <w:rsid w:val="009E0D8C"/>
    <w:rsid w:val="009E5347"/>
    <w:rsid w:val="009F26D1"/>
    <w:rsid w:val="00A02AF3"/>
    <w:rsid w:val="00A25077"/>
    <w:rsid w:val="00A610CC"/>
    <w:rsid w:val="00A8737E"/>
    <w:rsid w:val="00AA19AF"/>
    <w:rsid w:val="00B43408"/>
    <w:rsid w:val="00B43EC5"/>
    <w:rsid w:val="00BC6882"/>
    <w:rsid w:val="00BD3FE0"/>
    <w:rsid w:val="00BE58CF"/>
    <w:rsid w:val="00C1171E"/>
    <w:rsid w:val="00CA5578"/>
    <w:rsid w:val="00CA7DAA"/>
    <w:rsid w:val="00CE33FB"/>
    <w:rsid w:val="00D04826"/>
    <w:rsid w:val="00D33EEE"/>
    <w:rsid w:val="00D63908"/>
    <w:rsid w:val="00D8718A"/>
    <w:rsid w:val="00D93453"/>
    <w:rsid w:val="00DC49A3"/>
    <w:rsid w:val="00DC524D"/>
    <w:rsid w:val="00E071D6"/>
    <w:rsid w:val="00ED3E0F"/>
    <w:rsid w:val="00F015E4"/>
    <w:rsid w:val="00F361B3"/>
    <w:rsid w:val="00F57F82"/>
    <w:rsid w:val="00F75224"/>
    <w:rsid w:val="00F91EAE"/>
    <w:rsid w:val="00FA086C"/>
    <w:rsid w:val="00FA2093"/>
    <w:rsid w:val="00FA357A"/>
    <w:rsid w:val="012224F8"/>
    <w:rsid w:val="01282E62"/>
    <w:rsid w:val="01973B44"/>
    <w:rsid w:val="02301FCF"/>
    <w:rsid w:val="024C492F"/>
    <w:rsid w:val="02F07FD8"/>
    <w:rsid w:val="02F32FFC"/>
    <w:rsid w:val="03125B78"/>
    <w:rsid w:val="037D0BC8"/>
    <w:rsid w:val="0497508A"/>
    <w:rsid w:val="04F75026"/>
    <w:rsid w:val="057B460B"/>
    <w:rsid w:val="0737795B"/>
    <w:rsid w:val="07B436A2"/>
    <w:rsid w:val="07D73F25"/>
    <w:rsid w:val="08017F69"/>
    <w:rsid w:val="0845082D"/>
    <w:rsid w:val="090D25F9"/>
    <w:rsid w:val="09483CAA"/>
    <w:rsid w:val="095E38C5"/>
    <w:rsid w:val="09E0077E"/>
    <w:rsid w:val="09E965F2"/>
    <w:rsid w:val="0ABE04E4"/>
    <w:rsid w:val="0B6F575C"/>
    <w:rsid w:val="0BAB4560"/>
    <w:rsid w:val="0BB73761"/>
    <w:rsid w:val="0C1F4E62"/>
    <w:rsid w:val="0CBA315C"/>
    <w:rsid w:val="0DA11FD2"/>
    <w:rsid w:val="0E715E49"/>
    <w:rsid w:val="0E796AAB"/>
    <w:rsid w:val="0E8A6F0A"/>
    <w:rsid w:val="0EE303C9"/>
    <w:rsid w:val="0EEE7499"/>
    <w:rsid w:val="0F44355D"/>
    <w:rsid w:val="0F6D501C"/>
    <w:rsid w:val="0FF7AA4F"/>
    <w:rsid w:val="103661B5"/>
    <w:rsid w:val="10817E99"/>
    <w:rsid w:val="133E2072"/>
    <w:rsid w:val="137837D5"/>
    <w:rsid w:val="139840D3"/>
    <w:rsid w:val="13CB7DA9"/>
    <w:rsid w:val="13D1738A"/>
    <w:rsid w:val="143E091F"/>
    <w:rsid w:val="146124BC"/>
    <w:rsid w:val="14865FC8"/>
    <w:rsid w:val="150C2DB0"/>
    <w:rsid w:val="15451DDD"/>
    <w:rsid w:val="15475B55"/>
    <w:rsid w:val="15A24B3A"/>
    <w:rsid w:val="165878EE"/>
    <w:rsid w:val="16AE42C4"/>
    <w:rsid w:val="170D06D9"/>
    <w:rsid w:val="17165F24"/>
    <w:rsid w:val="17437E18"/>
    <w:rsid w:val="176D1177"/>
    <w:rsid w:val="186C142F"/>
    <w:rsid w:val="18AA594D"/>
    <w:rsid w:val="18E12F05"/>
    <w:rsid w:val="192A37C4"/>
    <w:rsid w:val="197607B7"/>
    <w:rsid w:val="19E219A9"/>
    <w:rsid w:val="1A161E05"/>
    <w:rsid w:val="1A3F5398"/>
    <w:rsid w:val="1A69173F"/>
    <w:rsid w:val="1A7D29EA"/>
    <w:rsid w:val="1AD35795"/>
    <w:rsid w:val="1AD82DAC"/>
    <w:rsid w:val="1B5B127F"/>
    <w:rsid w:val="1B5D63F1"/>
    <w:rsid w:val="1B8847D2"/>
    <w:rsid w:val="1C2C7853"/>
    <w:rsid w:val="1C646816"/>
    <w:rsid w:val="1D0E06EC"/>
    <w:rsid w:val="1D994BCF"/>
    <w:rsid w:val="1E337A44"/>
    <w:rsid w:val="1E543091"/>
    <w:rsid w:val="1E761F05"/>
    <w:rsid w:val="1EEF3567"/>
    <w:rsid w:val="1F7BE1E6"/>
    <w:rsid w:val="1FC7205C"/>
    <w:rsid w:val="20280331"/>
    <w:rsid w:val="217C6B87"/>
    <w:rsid w:val="21C978F2"/>
    <w:rsid w:val="22433200"/>
    <w:rsid w:val="228B3D05"/>
    <w:rsid w:val="22DE6345"/>
    <w:rsid w:val="23290648"/>
    <w:rsid w:val="257F4FFD"/>
    <w:rsid w:val="25BB20FA"/>
    <w:rsid w:val="25F9755F"/>
    <w:rsid w:val="26215F4F"/>
    <w:rsid w:val="265359DC"/>
    <w:rsid w:val="26FD5492"/>
    <w:rsid w:val="274C0DA9"/>
    <w:rsid w:val="27AC5CEC"/>
    <w:rsid w:val="27F45D39"/>
    <w:rsid w:val="284E74F8"/>
    <w:rsid w:val="286544DC"/>
    <w:rsid w:val="289217DF"/>
    <w:rsid w:val="29224369"/>
    <w:rsid w:val="29DF4157"/>
    <w:rsid w:val="2A6D4B03"/>
    <w:rsid w:val="2ADB48E8"/>
    <w:rsid w:val="2B1A2AE5"/>
    <w:rsid w:val="2B4762CE"/>
    <w:rsid w:val="2C9C00DD"/>
    <w:rsid w:val="2D010984"/>
    <w:rsid w:val="2D8D7A26"/>
    <w:rsid w:val="2DFB7085"/>
    <w:rsid w:val="2E0A211F"/>
    <w:rsid w:val="2F7E1D1C"/>
    <w:rsid w:val="307C1BEF"/>
    <w:rsid w:val="3095556F"/>
    <w:rsid w:val="30D836AE"/>
    <w:rsid w:val="31A83080"/>
    <w:rsid w:val="31EB11BF"/>
    <w:rsid w:val="328C29A2"/>
    <w:rsid w:val="32D560F7"/>
    <w:rsid w:val="33C85C5B"/>
    <w:rsid w:val="34056568"/>
    <w:rsid w:val="341E3ACD"/>
    <w:rsid w:val="34757B91"/>
    <w:rsid w:val="34D115BD"/>
    <w:rsid w:val="35D94150"/>
    <w:rsid w:val="36687282"/>
    <w:rsid w:val="367793B2"/>
    <w:rsid w:val="37734130"/>
    <w:rsid w:val="3794FC37"/>
    <w:rsid w:val="38D155B2"/>
    <w:rsid w:val="38EF7AD8"/>
    <w:rsid w:val="390C261A"/>
    <w:rsid w:val="390E2362"/>
    <w:rsid w:val="3A540249"/>
    <w:rsid w:val="3A667F7C"/>
    <w:rsid w:val="3A940645"/>
    <w:rsid w:val="3AC802EF"/>
    <w:rsid w:val="3AD15794"/>
    <w:rsid w:val="3B4C772C"/>
    <w:rsid w:val="3C8F37BA"/>
    <w:rsid w:val="3CCA47F2"/>
    <w:rsid w:val="3D0C4E0B"/>
    <w:rsid w:val="3D2176ED"/>
    <w:rsid w:val="3D6407A3"/>
    <w:rsid w:val="3D8C1AA8"/>
    <w:rsid w:val="3DC92CFC"/>
    <w:rsid w:val="3E1672E6"/>
    <w:rsid w:val="3E927592"/>
    <w:rsid w:val="3EB9C2BB"/>
    <w:rsid w:val="3F6A7BC7"/>
    <w:rsid w:val="3FEF6A07"/>
    <w:rsid w:val="3FFCD4B4"/>
    <w:rsid w:val="40FA4F7A"/>
    <w:rsid w:val="410D4CAE"/>
    <w:rsid w:val="41270465"/>
    <w:rsid w:val="415F08D8"/>
    <w:rsid w:val="423C4DDB"/>
    <w:rsid w:val="43497EE7"/>
    <w:rsid w:val="440A7BCA"/>
    <w:rsid w:val="44290050"/>
    <w:rsid w:val="447137A5"/>
    <w:rsid w:val="44AE0556"/>
    <w:rsid w:val="44E2230F"/>
    <w:rsid w:val="452F78E8"/>
    <w:rsid w:val="461B1C1B"/>
    <w:rsid w:val="46DF70EC"/>
    <w:rsid w:val="47B9392A"/>
    <w:rsid w:val="47E04ECA"/>
    <w:rsid w:val="48001413"/>
    <w:rsid w:val="48B51347"/>
    <w:rsid w:val="491B45FA"/>
    <w:rsid w:val="4A314103"/>
    <w:rsid w:val="4A4F6337"/>
    <w:rsid w:val="4A55216A"/>
    <w:rsid w:val="4B0A69DC"/>
    <w:rsid w:val="4B257E95"/>
    <w:rsid w:val="4B356E4B"/>
    <w:rsid w:val="4B46421B"/>
    <w:rsid w:val="4B553E21"/>
    <w:rsid w:val="4C7958ED"/>
    <w:rsid w:val="4C7E4CB1"/>
    <w:rsid w:val="4D3A32CE"/>
    <w:rsid w:val="4D5048A0"/>
    <w:rsid w:val="4D61085B"/>
    <w:rsid w:val="4E056C19"/>
    <w:rsid w:val="4F8348B3"/>
    <w:rsid w:val="4FE0696A"/>
    <w:rsid w:val="506D39BB"/>
    <w:rsid w:val="51794E6A"/>
    <w:rsid w:val="51DD247A"/>
    <w:rsid w:val="521D3798"/>
    <w:rsid w:val="524349D3"/>
    <w:rsid w:val="53426A39"/>
    <w:rsid w:val="5438608E"/>
    <w:rsid w:val="546F8569"/>
    <w:rsid w:val="54CA13DC"/>
    <w:rsid w:val="54D45DB6"/>
    <w:rsid w:val="55410F72"/>
    <w:rsid w:val="55673508"/>
    <w:rsid w:val="55C7591B"/>
    <w:rsid w:val="564B02FA"/>
    <w:rsid w:val="570A5ABF"/>
    <w:rsid w:val="590649AC"/>
    <w:rsid w:val="593B4ABC"/>
    <w:rsid w:val="594159E5"/>
    <w:rsid w:val="59595A6F"/>
    <w:rsid w:val="597350B8"/>
    <w:rsid w:val="5987789B"/>
    <w:rsid w:val="599330CA"/>
    <w:rsid w:val="5A386DE8"/>
    <w:rsid w:val="5A7FCB1F"/>
    <w:rsid w:val="5AFD593B"/>
    <w:rsid w:val="5B800A46"/>
    <w:rsid w:val="5BA74225"/>
    <w:rsid w:val="5D4810F0"/>
    <w:rsid w:val="5E005E6E"/>
    <w:rsid w:val="5E4D2736"/>
    <w:rsid w:val="5FA97E40"/>
    <w:rsid w:val="5FEAF7C9"/>
    <w:rsid w:val="60D5009F"/>
    <w:rsid w:val="61406582"/>
    <w:rsid w:val="618741B1"/>
    <w:rsid w:val="63CA6602"/>
    <w:rsid w:val="63D00091"/>
    <w:rsid w:val="63EA472D"/>
    <w:rsid w:val="6445282D"/>
    <w:rsid w:val="64AC2E11"/>
    <w:rsid w:val="64B232E9"/>
    <w:rsid w:val="656E190F"/>
    <w:rsid w:val="65A25A5D"/>
    <w:rsid w:val="65C445FB"/>
    <w:rsid w:val="660721C9"/>
    <w:rsid w:val="661E6C75"/>
    <w:rsid w:val="671309C0"/>
    <w:rsid w:val="67BF28F6"/>
    <w:rsid w:val="67F24A7A"/>
    <w:rsid w:val="67F75FF5"/>
    <w:rsid w:val="681D4831"/>
    <w:rsid w:val="689A0C6D"/>
    <w:rsid w:val="68AF296B"/>
    <w:rsid w:val="692E4B19"/>
    <w:rsid w:val="69513EF7"/>
    <w:rsid w:val="69972DF9"/>
    <w:rsid w:val="69AE677E"/>
    <w:rsid w:val="6A681023"/>
    <w:rsid w:val="6AB9187F"/>
    <w:rsid w:val="6AD25AE7"/>
    <w:rsid w:val="6B6E08BB"/>
    <w:rsid w:val="6BF3256F"/>
    <w:rsid w:val="6C185F5C"/>
    <w:rsid w:val="6C3867D3"/>
    <w:rsid w:val="6CE7018A"/>
    <w:rsid w:val="6CF272CA"/>
    <w:rsid w:val="6CF92406"/>
    <w:rsid w:val="6E3E3F2D"/>
    <w:rsid w:val="6F0F5F11"/>
    <w:rsid w:val="6F5E0C47"/>
    <w:rsid w:val="701B2694"/>
    <w:rsid w:val="70397214"/>
    <w:rsid w:val="703D0EA9"/>
    <w:rsid w:val="70761FC0"/>
    <w:rsid w:val="715B2F02"/>
    <w:rsid w:val="719E17CE"/>
    <w:rsid w:val="71E20FD5"/>
    <w:rsid w:val="72444124"/>
    <w:rsid w:val="72CC236B"/>
    <w:rsid w:val="74065409"/>
    <w:rsid w:val="74660B80"/>
    <w:rsid w:val="746E5488"/>
    <w:rsid w:val="7472484C"/>
    <w:rsid w:val="74E7348C"/>
    <w:rsid w:val="75BE21DE"/>
    <w:rsid w:val="76A548F2"/>
    <w:rsid w:val="77464B45"/>
    <w:rsid w:val="7765772E"/>
    <w:rsid w:val="776F5E62"/>
    <w:rsid w:val="77811976"/>
    <w:rsid w:val="77867685"/>
    <w:rsid w:val="77EE7FE7"/>
    <w:rsid w:val="78047EB1"/>
    <w:rsid w:val="781F36B6"/>
    <w:rsid w:val="78770683"/>
    <w:rsid w:val="790627AD"/>
    <w:rsid w:val="79492020"/>
    <w:rsid w:val="799B76F4"/>
    <w:rsid w:val="79C478F8"/>
    <w:rsid w:val="79D02741"/>
    <w:rsid w:val="79DFF8C4"/>
    <w:rsid w:val="7A6D4434"/>
    <w:rsid w:val="7ADC59FA"/>
    <w:rsid w:val="7AFF2FC3"/>
    <w:rsid w:val="7B1D19B6"/>
    <w:rsid w:val="7B38234C"/>
    <w:rsid w:val="7B7E382C"/>
    <w:rsid w:val="7BF6B4C5"/>
    <w:rsid w:val="7CA26617"/>
    <w:rsid w:val="7D781125"/>
    <w:rsid w:val="7DAF266D"/>
    <w:rsid w:val="7DDD794F"/>
    <w:rsid w:val="7DF764EE"/>
    <w:rsid w:val="7DFA6624"/>
    <w:rsid w:val="7DFD8AD7"/>
    <w:rsid w:val="7DFEFB95"/>
    <w:rsid w:val="7E527BC8"/>
    <w:rsid w:val="7ECD6B9A"/>
    <w:rsid w:val="7F565496"/>
    <w:rsid w:val="7F870B16"/>
    <w:rsid w:val="7FBA576D"/>
    <w:rsid w:val="7FC02E8B"/>
    <w:rsid w:val="7FC20D7E"/>
    <w:rsid w:val="7FDE47D5"/>
    <w:rsid w:val="7FF123EF"/>
    <w:rsid w:val="7FFC7CB2"/>
    <w:rsid w:val="7FFD003D"/>
    <w:rsid w:val="94BFC172"/>
    <w:rsid w:val="9BFA614C"/>
    <w:rsid w:val="AAFDD6AA"/>
    <w:rsid w:val="BAFE1E17"/>
    <w:rsid w:val="BBDF5B5A"/>
    <w:rsid w:val="BBE428C2"/>
    <w:rsid w:val="BFBF52D7"/>
    <w:rsid w:val="D2FF8E00"/>
    <w:rsid w:val="DF6E82F1"/>
    <w:rsid w:val="DFCEE0CE"/>
    <w:rsid w:val="DFFF7077"/>
    <w:rsid w:val="EEBF76D9"/>
    <w:rsid w:val="F36EF6AC"/>
    <w:rsid w:val="F6FDCC0E"/>
    <w:rsid w:val="F767D450"/>
    <w:rsid w:val="F76FB1DB"/>
    <w:rsid w:val="F7FBEBBF"/>
    <w:rsid w:val="F9F3FBF0"/>
    <w:rsid w:val="FB9F8FA2"/>
    <w:rsid w:val="FDB5389F"/>
    <w:rsid w:val="FDFF12BB"/>
    <w:rsid w:val="FFAFB80B"/>
    <w:rsid w:val="FFDF4FA5"/>
    <w:rsid w:val="FFF9F86D"/>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仿宋_GB2312" w:cs="Times New Roman"/>
      <w:kern w:val="2"/>
      <w:sz w:val="30"/>
      <w:szCs w:val="24"/>
      <w:lang w:val="en-US" w:eastAsia="zh-CN" w:bidi="ar-SA"/>
    </w:rPr>
  </w:style>
  <w:style w:type="paragraph" w:styleId="2">
    <w:name w:val="heading 1"/>
    <w:basedOn w:val="1"/>
    <w:next w:val="1"/>
    <w:link w:val="19"/>
    <w:autoRedefine/>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18"/>
    <w:autoRedefine/>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character" w:default="1" w:styleId="12">
    <w:name w:val="Default Paragraph Font"/>
    <w:semiHidden/>
    <w:unhideWhenUsed/>
    <w:qFormat/>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4">
    <w:name w:val="annotation text"/>
    <w:basedOn w:val="1"/>
    <w:link w:val="22"/>
    <w:qFormat/>
    <w:uiPriority w:val="0"/>
    <w:pPr>
      <w:jc w:val="left"/>
    </w:pPr>
  </w:style>
  <w:style w:type="paragraph" w:styleId="5">
    <w:name w:val="Balloon Text"/>
    <w:basedOn w:val="1"/>
    <w:link w:val="17"/>
    <w:autoRedefine/>
    <w:qFormat/>
    <w:uiPriority w:val="0"/>
    <w:rPr>
      <w:sz w:val="18"/>
      <w:szCs w:val="18"/>
    </w:rPr>
  </w:style>
  <w:style w:type="paragraph" w:styleId="6">
    <w:name w:val="footer"/>
    <w:basedOn w:val="1"/>
    <w:link w:val="15"/>
    <w:autoRedefine/>
    <w:qFormat/>
    <w:uiPriority w:val="99"/>
    <w:pPr>
      <w:tabs>
        <w:tab w:val="center" w:pos="4153"/>
        <w:tab w:val="right" w:pos="8306"/>
      </w:tabs>
      <w:snapToGrid w:val="0"/>
      <w:jc w:val="left"/>
    </w:pPr>
    <w:rPr>
      <w:sz w:val="18"/>
      <w:szCs w:val="18"/>
    </w:rPr>
  </w:style>
  <w:style w:type="paragraph" w:styleId="7">
    <w:name w:val="header"/>
    <w:basedOn w:val="1"/>
    <w:link w:val="16"/>
    <w:autoRedefine/>
    <w:qFormat/>
    <w:uiPriority w:val="0"/>
    <w:pPr>
      <w:pBdr>
        <w:bottom w:val="single" w:color="auto" w:sz="6" w:space="1"/>
      </w:pBdr>
      <w:tabs>
        <w:tab w:val="center" w:pos="4153"/>
        <w:tab w:val="right" w:pos="8306"/>
      </w:tabs>
      <w:snapToGrid w:val="0"/>
      <w:jc w:val="center"/>
    </w:pPr>
    <w:rPr>
      <w:sz w:val="18"/>
      <w:szCs w:val="18"/>
    </w:rPr>
  </w:style>
  <w:style w:type="paragraph" w:styleId="8">
    <w:name w:val="toc 1"/>
    <w:basedOn w:val="1"/>
    <w:next w:val="1"/>
    <w:qFormat/>
    <w:uiPriority w:val="0"/>
  </w:style>
  <w:style w:type="paragraph" w:styleId="9">
    <w:name w:val="toc 2"/>
    <w:basedOn w:val="1"/>
    <w:next w:val="1"/>
    <w:qFormat/>
    <w:uiPriority w:val="0"/>
    <w:pPr>
      <w:ind w:left="420" w:leftChars="200"/>
    </w:pPr>
  </w:style>
  <w:style w:type="paragraph" w:styleId="10">
    <w:name w:val="annotation subject"/>
    <w:basedOn w:val="4"/>
    <w:next w:val="4"/>
    <w:link w:val="23"/>
    <w:qFormat/>
    <w:uiPriority w:val="0"/>
    <w:rPr>
      <w:b/>
      <w:bCs/>
    </w:rPr>
  </w:style>
  <w:style w:type="character" w:styleId="13">
    <w:name w:val="annotation reference"/>
    <w:basedOn w:val="12"/>
    <w:qFormat/>
    <w:uiPriority w:val="0"/>
    <w:rPr>
      <w:sz w:val="21"/>
      <w:szCs w:val="21"/>
    </w:rPr>
  </w:style>
  <w:style w:type="paragraph" w:customStyle="1" w:styleId="14">
    <w:name w:val="正文+缩进"/>
    <w:basedOn w:val="1"/>
    <w:autoRedefine/>
    <w:qFormat/>
    <w:uiPriority w:val="0"/>
    <w:pPr>
      <w:ind w:firstLine="200" w:firstLineChars="200"/>
    </w:pPr>
  </w:style>
  <w:style w:type="character" w:customStyle="1" w:styleId="15">
    <w:name w:val="页脚 字符"/>
    <w:basedOn w:val="12"/>
    <w:link w:val="6"/>
    <w:autoRedefine/>
    <w:qFormat/>
    <w:uiPriority w:val="99"/>
    <w:rPr>
      <w:rFonts w:eastAsia="仿宋_GB2312"/>
      <w:kern w:val="2"/>
      <w:sz w:val="18"/>
      <w:szCs w:val="18"/>
    </w:rPr>
  </w:style>
  <w:style w:type="character" w:customStyle="1" w:styleId="16">
    <w:name w:val="页眉 字符"/>
    <w:basedOn w:val="12"/>
    <w:link w:val="7"/>
    <w:qFormat/>
    <w:uiPriority w:val="0"/>
    <w:rPr>
      <w:rFonts w:eastAsia="仿宋_GB2312"/>
      <w:kern w:val="2"/>
      <w:sz w:val="18"/>
      <w:szCs w:val="18"/>
    </w:rPr>
  </w:style>
  <w:style w:type="character" w:customStyle="1" w:styleId="17">
    <w:name w:val="批注框文本 字符"/>
    <w:basedOn w:val="12"/>
    <w:link w:val="5"/>
    <w:autoRedefine/>
    <w:qFormat/>
    <w:uiPriority w:val="0"/>
    <w:rPr>
      <w:rFonts w:eastAsia="仿宋_GB2312"/>
      <w:kern w:val="2"/>
      <w:sz w:val="18"/>
      <w:szCs w:val="18"/>
    </w:rPr>
  </w:style>
  <w:style w:type="character" w:customStyle="1" w:styleId="18">
    <w:name w:val="标题 2 字符"/>
    <w:basedOn w:val="12"/>
    <w:link w:val="3"/>
    <w:autoRedefine/>
    <w:qFormat/>
    <w:uiPriority w:val="0"/>
    <w:rPr>
      <w:rFonts w:asciiTheme="majorHAnsi" w:hAnsiTheme="majorHAnsi" w:eastAsiaTheme="majorEastAsia" w:cstheme="majorBidi"/>
      <w:b/>
      <w:bCs/>
      <w:kern w:val="2"/>
      <w:sz w:val="32"/>
      <w:szCs w:val="32"/>
    </w:rPr>
  </w:style>
  <w:style w:type="character" w:customStyle="1" w:styleId="19">
    <w:name w:val="标题 1 字符"/>
    <w:basedOn w:val="12"/>
    <w:link w:val="2"/>
    <w:autoRedefine/>
    <w:qFormat/>
    <w:uiPriority w:val="0"/>
    <w:rPr>
      <w:rFonts w:eastAsia="仿宋_GB2312"/>
      <w:b/>
      <w:bCs/>
      <w:kern w:val="44"/>
      <w:sz w:val="44"/>
      <w:szCs w:val="44"/>
    </w:rPr>
  </w:style>
  <w:style w:type="paragraph" w:customStyle="1" w:styleId="20">
    <w:name w:val="WPSOffice手动目录 1"/>
    <w:qFormat/>
    <w:uiPriority w:val="0"/>
    <w:rPr>
      <w:rFonts w:ascii="Times New Roman" w:hAnsi="Times New Roman" w:eastAsia="宋体" w:cs="Times New Roman"/>
      <w:lang w:val="en-US" w:eastAsia="zh-CN" w:bidi="ar-SA"/>
    </w:rPr>
  </w:style>
  <w:style w:type="paragraph" w:customStyle="1" w:styleId="21">
    <w:name w:val="WPSOffice手动目录 2"/>
    <w:qFormat/>
    <w:uiPriority w:val="0"/>
    <w:pPr>
      <w:ind w:left="200" w:leftChars="200"/>
    </w:pPr>
    <w:rPr>
      <w:rFonts w:ascii="Times New Roman" w:hAnsi="Times New Roman" w:eastAsia="宋体" w:cs="Times New Roman"/>
      <w:lang w:val="en-US" w:eastAsia="zh-CN" w:bidi="ar-SA"/>
    </w:rPr>
  </w:style>
  <w:style w:type="character" w:customStyle="1" w:styleId="22">
    <w:name w:val="批注文字 字符"/>
    <w:basedOn w:val="12"/>
    <w:link w:val="4"/>
    <w:qFormat/>
    <w:uiPriority w:val="0"/>
    <w:rPr>
      <w:rFonts w:eastAsia="仿宋_GB2312"/>
      <w:kern w:val="2"/>
      <w:sz w:val="30"/>
      <w:szCs w:val="24"/>
    </w:rPr>
  </w:style>
  <w:style w:type="character" w:customStyle="1" w:styleId="23">
    <w:name w:val="批注主题 字符"/>
    <w:basedOn w:val="22"/>
    <w:link w:val="10"/>
    <w:qFormat/>
    <w:uiPriority w:val="0"/>
    <w:rPr>
      <w:rFonts w:eastAsia="仿宋_GB2312"/>
      <w:b/>
      <w:bCs/>
      <w:kern w:val="2"/>
      <w:sz w:val="30"/>
      <w:szCs w:val="24"/>
    </w:rPr>
  </w:style>
  <w:style w:type="paragraph" w:customStyle="1" w:styleId="24">
    <w:name w:val="Revision"/>
    <w:hidden/>
    <w:unhideWhenUsed/>
    <w:qFormat/>
    <w:uiPriority w:val="99"/>
    <w:rPr>
      <w:rFonts w:ascii="Times New Roman" w:hAnsi="Times New Roman" w:eastAsia="仿宋_GB2312" w:cs="Times New Roman"/>
      <w:kern w:val="2"/>
      <w:sz w:val="30"/>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numbering" Target="numbering.xml"/><Relationship Id="rId7" Type="http://schemas.openxmlformats.org/officeDocument/2006/relationships/customXml" Target="../customXml/item1.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33</Pages>
  <Words>8432</Words>
  <Characters>8856</Characters>
  <Lines>106</Lines>
  <Paragraphs>29</Paragraphs>
  <TotalTime>16</TotalTime>
  <ScaleCrop>false</ScaleCrop>
  <LinksUpToDate>false</LinksUpToDate>
  <CharactersWithSpaces>8916</CharactersWithSpaces>
  <Application>WPS Office_12.1.0.21915_F1E327BC-269C-435d-A152-05C5408002CA</Application>
  <DocSecurity>1</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2019-02-18T14:26:00Z</dcterms:created>
  <dc:creator>lhn</dc:creator>
  <cp:lastModifiedBy>呜啦啦</cp:lastModifiedBy>
  <cp:lastPrinted>2023-02-26T01:51:00Z</cp:lastPrinted>
  <dcterms:modified xsi:type="dcterms:W3CDTF">2025-08-27T09:28:34Z</dcterms:modified>
  <dc:title>财政支出绩效评价报告</dc:title>
  <cp:revision>36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6BD45C778CD54E49AE4518065B802E3A_13</vt:lpwstr>
  </property>
  <property fmtid="{D5CDD505-2E9C-101B-9397-08002B2CF9AE}" pid="4" name="KSOTemplateDocerSaveRecord">
    <vt:lpwstr>eyJoZGlkIjoiYzQ1ZTFhMDlkOGRmYjY2ZThmYjNlM2Y0ZGY0OGZhOTciLCJ1c2VySWQiOiI0MjA3NTIzNTUifQ==</vt:lpwstr>
  </property>
</Properties>
</file>