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B12BC">
      <w:pPr>
        <w:ind w:right="-178" w:rightChars="-85"/>
        <w:rPr>
          <w:rFonts w:ascii="??_GB2312" w:eastAsia="Times New Roman" w:cs="Times New Roman"/>
          <w:sz w:val="32"/>
          <w:szCs w:val="32"/>
        </w:rPr>
      </w:pPr>
    </w:p>
    <w:p w14:paraId="7B60E1EB">
      <w:pPr>
        <w:ind w:right="-178" w:rightChars="-85"/>
        <w:jc w:val="center"/>
        <w:rPr>
          <w:rFonts w:hint="eastAsia" w:ascii="??_GB2312" w:hAnsi="宋体" w:cs="Times New Roman"/>
          <w:b/>
          <w:bCs/>
          <w:sz w:val="44"/>
          <w:szCs w:val="44"/>
        </w:rPr>
      </w:pPr>
    </w:p>
    <w:p w14:paraId="02D5C6A5">
      <w:pPr>
        <w:ind w:right="-178" w:rightChars="-85"/>
        <w:jc w:val="center"/>
        <w:rPr>
          <w:rFonts w:hint="eastAsia" w:ascii="??_GB2312" w:hAnsi="宋体" w:cs="Times New Roman"/>
          <w:b/>
          <w:bCs/>
          <w:sz w:val="44"/>
          <w:szCs w:val="44"/>
        </w:rPr>
      </w:pPr>
    </w:p>
    <w:p w14:paraId="67F512F6">
      <w:pPr>
        <w:jc w:val="center"/>
        <w:rPr>
          <w:rFonts w:ascii="宋体" w:cs="Times New Roman"/>
          <w:b/>
          <w:bCs/>
          <w:sz w:val="10"/>
          <w:szCs w:val="10"/>
        </w:rPr>
      </w:pPr>
      <w:r>
        <w:rPr>
          <w:rFonts w:hint="eastAsia" w:ascii="宋体" w:hAnsi="宋体" w:cs="宋体"/>
          <w:b/>
          <w:bCs/>
          <w:sz w:val="44"/>
          <w:szCs w:val="44"/>
        </w:rPr>
        <w:t>北京市财政支出项目绩效评价报告</w:t>
      </w:r>
    </w:p>
    <w:p w14:paraId="13C175A8">
      <w:pPr>
        <w:jc w:val="center"/>
        <w:rPr>
          <w:rFonts w:ascii="宋体" w:cs="Times New Roman"/>
          <w:sz w:val="28"/>
          <w:szCs w:val="28"/>
        </w:rPr>
      </w:pPr>
    </w:p>
    <w:p w14:paraId="119BEFCE">
      <w:pPr>
        <w:jc w:val="center"/>
        <w:rPr>
          <w:rFonts w:ascii="宋体" w:cs="Times New Roman"/>
          <w:sz w:val="28"/>
          <w:szCs w:val="28"/>
        </w:rPr>
      </w:pPr>
    </w:p>
    <w:p w14:paraId="5458F837">
      <w:pPr>
        <w:rPr>
          <w:rFonts w:eastAsia="黑体" w:cs="Times New Roman"/>
          <w:sz w:val="30"/>
          <w:szCs w:val="30"/>
        </w:rPr>
      </w:pPr>
    </w:p>
    <w:p w14:paraId="3A902173">
      <w:pPr>
        <w:jc w:val="center"/>
        <w:rPr>
          <w:rFonts w:eastAsia="黑体" w:cs="Times New Roman"/>
          <w:sz w:val="30"/>
          <w:szCs w:val="30"/>
        </w:rPr>
      </w:pPr>
    </w:p>
    <w:p w14:paraId="242EB91B">
      <w:pPr>
        <w:jc w:val="center"/>
        <w:rPr>
          <w:rFonts w:eastAsia="黑体" w:cs="Times New Roman"/>
          <w:sz w:val="30"/>
          <w:szCs w:val="30"/>
        </w:rPr>
      </w:pPr>
    </w:p>
    <w:p w14:paraId="447B5241">
      <w:pPr>
        <w:jc w:val="center"/>
        <w:rPr>
          <w:rFonts w:eastAsia="黑体" w:cs="Times New Roman"/>
          <w:sz w:val="30"/>
          <w:szCs w:val="30"/>
        </w:rPr>
      </w:pPr>
    </w:p>
    <w:p w14:paraId="7781184F">
      <w:pPr>
        <w:jc w:val="center"/>
        <w:rPr>
          <w:rFonts w:ascii="宋体" w:cs="Times New Roman"/>
          <w:sz w:val="32"/>
          <w:szCs w:val="32"/>
        </w:rPr>
      </w:pPr>
    </w:p>
    <w:p w14:paraId="462FE9E6">
      <w:pPr>
        <w:rPr>
          <w:rFonts w:ascii="宋体" w:cs="Times New Roman"/>
          <w:sz w:val="32"/>
          <w:szCs w:val="32"/>
          <w:u w:val="single"/>
        </w:rPr>
      </w:pPr>
      <w:r>
        <w:rPr>
          <w:rFonts w:hint="eastAsia" w:ascii="宋体" w:hAnsi="宋体" w:cs="宋体"/>
          <w:sz w:val="32"/>
          <w:szCs w:val="32"/>
        </w:rPr>
        <w:t xml:space="preserve">主管部门 </w:t>
      </w:r>
      <w:r>
        <w:rPr>
          <w:rFonts w:ascii="宋体" w:hAnsi="宋体" w:cs="宋体"/>
          <w:sz w:val="32"/>
          <w:szCs w:val="32"/>
          <w:u w:val="single"/>
        </w:rPr>
        <w:t xml:space="preserve">         </w:t>
      </w:r>
      <w:r>
        <w:rPr>
          <w:rFonts w:hint="eastAsia" w:ascii="宋体" w:hAnsi="宋体" w:cs="宋体"/>
          <w:sz w:val="32"/>
          <w:szCs w:val="32"/>
          <w:u w:val="single"/>
        </w:rPr>
        <w:t xml:space="preserve">  </w:t>
      </w:r>
      <w:r>
        <w:rPr>
          <w:rFonts w:ascii="宋体" w:hAnsi="宋体" w:cs="宋体"/>
          <w:sz w:val="32"/>
          <w:szCs w:val="32"/>
          <w:u w:val="single"/>
        </w:rPr>
        <w:t xml:space="preserve">    </w:t>
      </w:r>
      <w:r>
        <w:rPr>
          <w:rFonts w:hint="eastAsia" w:ascii="宋体" w:hAnsi="宋体" w:cs="宋体"/>
          <w:sz w:val="32"/>
          <w:szCs w:val="32"/>
          <w:u w:val="single"/>
        </w:rPr>
        <w:t xml:space="preserve">香山革命纪念馆  </w:t>
      </w:r>
      <w:r>
        <w:rPr>
          <w:rFonts w:ascii="宋体" w:hAnsi="宋体" w:cs="宋体"/>
          <w:sz w:val="32"/>
          <w:szCs w:val="32"/>
          <w:u w:val="single"/>
        </w:rPr>
        <w:t xml:space="preserve"> </w:t>
      </w:r>
      <w:r>
        <w:rPr>
          <w:rFonts w:hint="eastAsia" w:ascii="宋体" w:hAnsi="宋体" w:cs="宋体"/>
          <w:sz w:val="32"/>
          <w:szCs w:val="32"/>
          <w:u w:val="single"/>
        </w:rPr>
        <w:t xml:space="preserve"> </w:t>
      </w:r>
      <w:r>
        <w:rPr>
          <w:rFonts w:ascii="宋体" w:hAnsi="宋体" w:cs="宋体"/>
          <w:sz w:val="32"/>
          <w:szCs w:val="32"/>
          <w:u w:val="single"/>
        </w:rPr>
        <w:t xml:space="preserve"> </w:t>
      </w:r>
      <w:r>
        <w:rPr>
          <w:rFonts w:hint="eastAsia" w:ascii="宋体" w:hAnsi="宋体" w:cs="宋体"/>
          <w:sz w:val="32"/>
          <w:szCs w:val="32"/>
          <w:u w:val="single"/>
        </w:rPr>
        <w:t xml:space="preserve"> </w:t>
      </w:r>
      <w:r>
        <w:rPr>
          <w:rFonts w:ascii="宋体" w:hAnsi="宋体" w:cs="宋体"/>
          <w:sz w:val="32"/>
          <w:szCs w:val="32"/>
          <w:u w:val="single"/>
        </w:rPr>
        <w:t xml:space="preserve"> </w:t>
      </w:r>
      <w:r>
        <w:rPr>
          <w:rFonts w:hint="eastAsia" w:ascii="宋体" w:hAnsi="宋体" w:cs="宋体"/>
          <w:sz w:val="32"/>
          <w:szCs w:val="32"/>
          <w:u w:val="single"/>
        </w:rPr>
        <w:t xml:space="preserve"> </w:t>
      </w:r>
      <w:r>
        <w:rPr>
          <w:rFonts w:ascii="宋体" w:hAnsi="宋体" w:cs="宋体"/>
          <w:sz w:val="32"/>
          <w:szCs w:val="32"/>
          <w:u w:val="single"/>
        </w:rPr>
        <w:t xml:space="preserve">  </w:t>
      </w:r>
      <w:r>
        <w:rPr>
          <w:rFonts w:hint="eastAsia" w:ascii="宋体" w:hAnsi="宋体" w:cs="宋体"/>
          <w:sz w:val="32"/>
          <w:szCs w:val="32"/>
          <w:u w:val="single"/>
        </w:rPr>
        <w:t xml:space="preserve">   </w:t>
      </w:r>
      <w:r>
        <w:rPr>
          <w:rFonts w:ascii="宋体" w:hAnsi="宋体" w:cs="宋体"/>
          <w:sz w:val="32"/>
          <w:szCs w:val="32"/>
          <w:u w:val="single"/>
        </w:rPr>
        <w:t xml:space="preserve"> </w:t>
      </w:r>
    </w:p>
    <w:p w14:paraId="789B10D5">
      <w:pPr>
        <w:rPr>
          <w:rFonts w:ascii="宋体" w:cs="Times New Roman"/>
          <w:sz w:val="32"/>
          <w:szCs w:val="32"/>
          <w:u w:val="single"/>
        </w:rPr>
      </w:pPr>
      <w:r>
        <w:rPr>
          <w:rFonts w:hint="eastAsia" w:ascii="宋体" w:hAnsi="宋体" w:cs="宋体"/>
          <w:sz w:val="32"/>
          <w:szCs w:val="32"/>
        </w:rPr>
        <w:t xml:space="preserve">项目单位 </w:t>
      </w:r>
      <w:r>
        <w:rPr>
          <w:rFonts w:ascii="宋体" w:hAnsi="宋体" w:cs="宋体"/>
          <w:sz w:val="32"/>
          <w:szCs w:val="32"/>
          <w:u w:val="single"/>
        </w:rPr>
        <w:t xml:space="preserve">          </w:t>
      </w:r>
      <w:r>
        <w:rPr>
          <w:rFonts w:hint="eastAsia" w:ascii="宋体" w:hAnsi="宋体" w:cs="宋体"/>
          <w:sz w:val="32"/>
          <w:szCs w:val="32"/>
          <w:u w:val="single"/>
        </w:rPr>
        <w:t xml:space="preserve">  </w:t>
      </w:r>
      <w:r>
        <w:rPr>
          <w:rFonts w:ascii="宋体" w:hAnsi="宋体" w:cs="宋体"/>
          <w:sz w:val="32"/>
          <w:szCs w:val="32"/>
          <w:u w:val="single"/>
        </w:rPr>
        <w:t xml:space="preserve">   </w:t>
      </w:r>
      <w:r>
        <w:rPr>
          <w:rFonts w:hint="eastAsia" w:ascii="宋体" w:hAnsi="宋体" w:cs="宋体"/>
          <w:sz w:val="32"/>
          <w:szCs w:val="32"/>
          <w:u w:val="single"/>
        </w:rPr>
        <w:t xml:space="preserve">香山革命纪念馆  </w:t>
      </w:r>
      <w:r>
        <w:rPr>
          <w:rFonts w:ascii="宋体" w:hAnsi="宋体" w:cs="宋体"/>
          <w:sz w:val="32"/>
          <w:szCs w:val="32"/>
          <w:u w:val="single"/>
        </w:rPr>
        <w:t xml:space="preserve"> </w:t>
      </w:r>
      <w:r>
        <w:rPr>
          <w:rFonts w:hint="eastAsia" w:ascii="宋体" w:hAnsi="宋体" w:cs="宋体"/>
          <w:sz w:val="32"/>
          <w:szCs w:val="32"/>
          <w:u w:val="single"/>
        </w:rPr>
        <w:t xml:space="preserve"> </w:t>
      </w:r>
      <w:r>
        <w:rPr>
          <w:rFonts w:ascii="宋体" w:hAnsi="宋体" w:cs="宋体"/>
          <w:sz w:val="32"/>
          <w:szCs w:val="32"/>
          <w:u w:val="single"/>
        </w:rPr>
        <w:t xml:space="preserve"> </w:t>
      </w:r>
      <w:r>
        <w:rPr>
          <w:rFonts w:hint="eastAsia" w:ascii="宋体" w:hAnsi="宋体" w:cs="宋体"/>
          <w:sz w:val="32"/>
          <w:szCs w:val="32"/>
          <w:u w:val="single"/>
        </w:rPr>
        <w:t xml:space="preserve"> </w:t>
      </w:r>
      <w:r>
        <w:rPr>
          <w:rFonts w:ascii="宋体" w:hAnsi="宋体" w:cs="宋体"/>
          <w:sz w:val="32"/>
          <w:szCs w:val="32"/>
          <w:u w:val="single"/>
        </w:rPr>
        <w:t xml:space="preserve"> </w:t>
      </w:r>
      <w:r>
        <w:rPr>
          <w:rFonts w:hint="eastAsia" w:ascii="宋体" w:hAnsi="宋体" w:cs="宋体"/>
          <w:sz w:val="32"/>
          <w:szCs w:val="32"/>
          <w:u w:val="single"/>
        </w:rPr>
        <w:t xml:space="preserve"> </w:t>
      </w:r>
      <w:r>
        <w:rPr>
          <w:rFonts w:ascii="宋体" w:hAnsi="宋体" w:cs="宋体"/>
          <w:sz w:val="32"/>
          <w:szCs w:val="32"/>
          <w:u w:val="single"/>
        </w:rPr>
        <w:t xml:space="preserve">  </w:t>
      </w:r>
      <w:r>
        <w:rPr>
          <w:rFonts w:hint="eastAsia" w:ascii="宋体" w:hAnsi="宋体" w:cs="宋体"/>
          <w:sz w:val="32"/>
          <w:szCs w:val="32"/>
          <w:u w:val="single"/>
        </w:rPr>
        <w:t xml:space="preserve">   </w:t>
      </w:r>
      <w:r>
        <w:rPr>
          <w:rFonts w:ascii="宋体" w:hAnsi="宋体" w:cs="宋体"/>
          <w:sz w:val="32"/>
          <w:szCs w:val="32"/>
          <w:u w:val="single"/>
        </w:rPr>
        <w:t xml:space="preserve"> </w:t>
      </w:r>
    </w:p>
    <w:p w14:paraId="4FEB5E94">
      <w:pPr>
        <w:rPr>
          <w:rFonts w:hint="eastAsia" w:ascii="宋体" w:hAnsi="宋体" w:cs="宋体"/>
          <w:sz w:val="32"/>
          <w:szCs w:val="32"/>
          <w:u w:val="single"/>
        </w:rPr>
      </w:pPr>
      <w:r>
        <w:rPr>
          <w:rFonts w:hint="eastAsia" w:ascii="宋体" w:hAnsi="宋体" w:cs="宋体"/>
          <w:sz w:val="32"/>
          <w:szCs w:val="32"/>
        </w:rPr>
        <w:t xml:space="preserve">项目名称 </w:t>
      </w:r>
      <w:r>
        <w:rPr>
          <w:rFonts w:hint="eastAsia" w:ascii="宋体" w:hAnsi="宋体" w:cs="宋体"/>
          <w:sz w:val="32"/>
          <w:szCs w:val="32"/>
          <w:u w:val="single"/>
        </w:rPr>
        <w:t xml:space="preserve">    2024年香山革命纪念馆文物数据采集项目      </w:t>
      </w:r>
    </w:p>
    <w:p w14:paraId="6544CF69">
      <w:pPr>
        <w:rPr>
          <w:rFonts w:eastAsia="黑体" w:cs="Times New Roman"/>
          <w:sz w:val="30"/>
          <w:szCs w:val="30"/>
          <w:u w:val="single"/>
        </w:rPr>
      </w:pPr>
    </w:p>
    <w:p w14:paraId="0531AAA8">
      <w:pPr>
        <w:rPr>
          <w:rFonts w:eastAsia="黑体" w:cs="Times New Roman"/>
          <w:sz w:val="30"/>
          <w:szCs w:val="30"/>
          <w:u w:val="single"/>
        </w:rPr>
      </w:pPr>
    </w:p>
    <w:p w14:paraId="210713DC">
      <w:pPr>
        <w:rPr>
          <w:rFonts w:eastAsia="黑体" w:cs="Times New Roman"/>
          <w:sz w:val="30"/>
          <w:szCs w:val="30"/>
          <w:u w:val="single"/>
        </w:rPr>
      </w:pPr>
    </w:p>
    <w:p w14:paraId="2263683C">
      <w:pPr>
        <w:jc w:val="center"/>
        <w:rPr>
          <w:rFonts w:hint="eastAsia" w:ascii="黑体" w:hAnsi="宋体" w:eastAsia="黑体" w:cs="Times New Roman"/>
          <w:b/>
          <w:bCs/>
          <w:sz w:val="36"/>
          <w:szCs w:val="36"/>
        </w:rPr>
      </w:pPr>
    </w:p>
    <w:p w14:paraId="1CAE18E1">
      <w:pPr>
        <w:jc w:val="center"/>
        <w:rPr>
          <w:rFonts w:ascii="宋体" w:cs="Times New Roman"/>
          <w:b/>
          <w:bCs/>
          <w:sz w:val="44"/>
          <w:szCs w:val="44"/>
        </w:rPr>
      </w:pPr>
      <w:r>
        <w:rPr>
          <w:rFonts w:hint="eastAsia" w:ascii="黑体" w:hAnsi="宋体" w:eastAsia="黑体" w:cs="黑体"/>
          <w:b/>
          <w:bCs/>
          <w:sz w:val="36"/>
          <w:szCs w:val="36"/>
        </w:rPr>
        <w:t>二</w:t>
      </w:r>
      <w:r>
        <w:rPr>
          <w:rFonts w:hint="eastAsia" w:ascii="黑体" w:hAnsi="宋体" w:eastAsia="黑体" w:cs="黑体"/>
          <w:b/>
          <w:bCs/>
          <w:sz w:val="36"/>
          <w:szCs w:val="36"/>
          <w:highlight w:val="none"/>
          <w:lang w:val="en-US" w:eastAsia="zh-CN"/>
        </w:rPr>
        <w:t>〇</w:t>
      </w:r>
      <w:r>
        <w:rPr>
          <w:rFonts w:hint="eastAsia" w:ascii="黑体" w:hAnsi="宋体" w:eastAsia="黑体" w:cs="黑体"/>
          <w:b/>
          <w:bCs/>
          <w:sz w:val="36"/>
          <w:szCs w:val="36"/>
        </w:rPr>
        <w:t>二五年五月</w:t>
      </w:r>
    </w:p>
    <w:p w14:paraId="64213E08">
      <w:pPr>
        <w:rPr>
          <w:rFonts w:cs="Times New Roman"/>
        </w:rPr>
      </w:pPr>
    </w:p>
    <w:p w14:paraId="339E07EF">
      <w:pPr>
        <w:pStyle w:val="101"/>
        <w:jc w:val="center"/>
        <w:rPr>
          <w:rFonts w:hint="eastAsia" w:ascii="宋体" w:hAnsi="宋体" w:eastAsia="宋体" w:cs="Times New Roman"/>
          <w:b/>
          <w:bCs/>
          <w:color w:val="000000"/>
          <w:sz w:val="40"/>
          <w:szCs w:val="40"/>
          <w:lang w:val="zh-CN"/>
        </w:rPr>
      </w:pPr>
    </w:p>
    <w:p w14:paraId="0A1CAFE9">
      <w:pPr>
        <w:pStyle w:val="101"/>
        <w:jc w:val="center"/>
        <w:rPr>
          <w:rFonts w:hint="eastAsia" w:ascii="宋体" w:hAnsi="宋体" w:eastAsia="宋体" w:cs="Times New Roman"/>
          <w:b/>
          <w:bCs/>
          <w:color w:val="000000"/>
          <w:sz w:val="40"/>
          <w:szCs w:val="40"/>
        </w:rPr>
      </w:pPr>
      <w:r>
        <w:rPr>
          <w:rFonts w:hint="eastAsia" w:ascii="宋体" w:hAnsi="宋体" w:eastAsia="宋体" w:cs="宋体"/>
          <w:b/>
          <w:bCs/>
          <w:color w:val="000000"/>
          <w:sz w:val="40"/>
          <w:szCs w:val="40"/>
          <w:lang w:val="zh-CN"/>
        </w:rPr>
        <w:t>目录</w:t>
      </w:r>
    </w:p>
    <w:p w14:paraId="6BBC156F">
      <w:pPr>
        <w:pStyle w:val="59"/>
        <w:tabs>
          <w:tab w:val="right" w:leader="dot" w:pos="8306"/>
          <w:tab w:val="clear" w:pos="8296"/>
        </w:tabs>
        <w:rPr>
          <w:rFonts w:hint="eastAsia"/>
          <w:sz w:val="28"/>
          <w:szCs w:val="28"/>
        </w:rPr>
      </w:pPr>
      <w:r>
        <w:rPr>
          <w:rFonts w:hint="eastAsia"/>
          <w:sz w:val="28"/>
          <w:szCs w:val="28"/>
        </w:rPr>
        <w:fldChar w:fldCharType="begin"/>
      </w:r>
      <w:r>
        <w:rPr>
          <w:rFonts w:hint="eastAsia"/>
          <w:sz w:val="28"/>
          <w:szCs w:val="28"/>
        </w:rPr>
        <w:instrText xml:space="preserve"> TOC \o "1-3" \h \z \u </w:instrText>
      </w:r>
      <w:r>
        <w:rPr>
          <w:rFonts w:hint="eastAsia"/>
          <w:sz w:val="28"/>
          <w:szCs w:val="28"/>
        </w:rPr>
        <w:fldChar w:fldCharType="separate"/>
      </w:r>
      <w:r>
        <w:fldChar w:fldCharType="begin"/>
      </w:r>
      <w:r>
        <w:instrText xml:space="preserve"> HYPERLINK \l "_Toc2577" </w:instrText>
      </w:r>
      <w:r>
        <w:fldChar w:fldCharType="separate"/>
      </w:r>
      <w:r>
        <w:rPr>
          <w:rFonts w:hint="eastAsia"/>
          <w:bCs w:val="0"/>
          <w:snapToGrid w:val="0"/>
          <w:sz w:val="28"/>
          <w:szCs w:val="28"/>
        </w:rPr>
        <w:t>一、基本情况</w:t>
      </w:r>
      <w:r>
        <w:rPr>
          <w:rFonts w:hint="eastAsia"/>
          <w:sz w:val="28"/>
          <w:szCs w:val="28"/>
        </w:rPr>
        <w:tab/>
      </w:r>
      <w:r>
        <w:rPr>
          <w:rFonts w:hint="eastAsia"/>
          <w:sz w:val="28"/>
          <w:szCs w:val="28"/>
        </w:rPr>
        <w:fldChar w:fldCharType="begin"/>
      </w:r>
      <w:r>
        <w:rPr>
          <w:rFonts w:hint="eastAsia"/>
          <w:sz w:val="28"/>
          <w:szCs w:val="28"/>
        </w:rPr>
        <w:instrText xml:space="preserve"> PAGEREF _Toc2577 \h </w:instrText>
      </w:r>
      <w:r>
        <w:rPr>
          <w:rFonts w:hint="eastAsia"/>
          <w:sz w:val="28"/>
          <w:szCs w:val="28"/>
        </w:rPr>
        <w:fldChar w:fldCharType="separate"/>
      </w:r>
      <w:r>
        <w:rPr>
          <w:rFonts w:hint="eastAsia"/>
          <w:sz w:val="28"/>
          <w:szCs w:val="28"/>
        </w:rPr>
        <w:t>1</w:t>
      </w:r>
      <w:r>
        <w:rPr>
          <w:rFonts w:hint="eastAsia"/>
          <w:sz w:val="28"/>
          <w:szCs w:val="28"/>
        </w:rPr>
        <w:fldChar w:fldCharType="end"/>
      </w:r>
      <w:r>
        <w:rPr>
          <w:rFonts w:hint="eastAsia"/>
          <w:sz w:val="28"/>
          <w:szCs w:val="28"/>
        </w:rPr>
        <w:fldChar w:fldCharType="end"/>
      </w:r>
    </w:p>
    <w:p w14:paraId="10ACA461">
      <w:pPr>
        <w:pStyle w:val="74"/>
        <w:tabs>
          <w:tab w:val="right" w:leader="dot" w:pos="8306"/>
        </w:tabs>
        <w:rPr>
          <w:rFonts w:hint="eastAsia" w:ascii="宋体" w:hAnsi="宋体" w:eastAsia="宋体" w:cs="宋体"/>
          <w:sz w:val="28"/>
          <w:szCs w:val="28"/>
        </w:rPr>
      </w:pPr>
      <w:r>
        <w:fldChar w:fldCharType="begin"/>
      </w:r>
      <w:r>
        <w:instrText xml:space="preserve"> HYPERLINK \l "_Toc29524" </w:instrText>
      </w:r>
      <w:r>
        <w:fldChar w:fldCharType="separate"/>
      </w:r>
      <w:r>
        <w:rPr>
          <w:rFonts w:hint="eastAsia" w:ascii="宋体" w:hAnsi="宋体" w:eastAsia="宋体" w:cs="宋体"/>
          <w:bCs/>
          <w:kern w:val="44"/>
          <w:sz w:val="28"/>
          <w:szCs w:val="28"/>
        </w:rPr>
        <w:t>（一）项目概况</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_Toc29524 \h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495090DF">
      <w:pPr>
        <w:pStyle w:val="74"/>
        <w:tabs>
          <w:tab w:val="right" w:leader="dot" w:pos="8306"/>
        </w:tabs>
        <w:rPr>
          <w:rFonts w:hint="eastAsia" w:ascii="宋体" w:hAnsi="宋体" w:eastAsia="宋体" w:cs="宋体"/>
          <w:sz w:val="28"/>
          <w:szCs w:val="28"/>
        </w:rPr>
      </w:pPr>
      <w:r>
        <w:fldChar w:fldCharType="begin"/>
      </w:r>
      <w:r>
        <w:instrText xml:space="preserve"> HYPERLINK \l "_Toc10977" </w:instrText>
      </w:r>
      <w:r>
        <w:fldChar w:fldCharType="separate"/>
      </w:r>
      <w:r>
        <w:rPr>
          <w:rFonts w:hint="eastAsia" w:ascii="宋体" w:hAnsi="宋体" w:eastAsia="宋体" w:cs="宋体"/>
          <w:kern w:val="44"/>
          <w:sz w:val="28"/>
          <w:szCs w:val="28"/>
        </w:rPr>
        <w:t>（二）项目资金情况</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_Toc10977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5AC99874">
      <w:pPr>
        <w:pStyle w:val="74"/>
        <w:tabs>
          <w:tab w:val="right" w:leader="dot" w:pos="8306"/>
        </w:tabs>
        <w:rPr>
          <w:rFonts w:hint="eastAsia" w:ascii="宋体" w:hAnsi="宋体" w:eastAsia="宋体" w:cs="宋体"/>
          <w:sz w:val="28"/>
          <w:szCs w:val="28"/>
        </w:rPr>
      </w:pPr>
      <w:r>
        <w:fldChar w:fldCharType="begin"/>
      </w:r>
      <w:r>
        <w:instrText xml:space="preserve"> HYPERLINK \l "_Toc27306" </w:instrText>
      </w:r>
      <w:r>
        <w:fldChar w:fldCharType="separate"/>
      </w:r>
      <w:r>
        <w:rPr>
          <w:rFonts w:hint="eastAsia" w:ascii="宋体" w:hAnsi="宋体" w:eastAsia="宋体" w:cs="宋体"/>
          <w:kern w:val="44"/>
          <w:sz w:val="28"/>
          <w:szCs w:val="28"/>
        </w:rPr>
        <w:t>（三）项目绩效目标</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_Toc27306 \h </w:instrText>
      </w:r>
      <w:r>
        <w:rPr>
          <w:rFonts w:hint="eastAsia" w:ascii="宋体" w:hAnsi="宋体" w:eastAsia="宋体" w:cs="宋体"/>
          <w:sz w:val="28"/>
          <w:szCs w:val="28"/>
        </w:rPr>
        <w:fldChar w:fldCharType="separate"/>
      </w:r>
      <w:r>
        <w:rPr>
          <w:rFonts w:hint="eastAsia" w:ascii="宋体" w:hAnsi="宋体" w:eastAsia="宋体" w:cs="宋体"/>
          <w:sz w:val="28"/>
          <w:szCs w:val="28"/>
        </w:rPr>
        <w:t>3</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392ABE78">
      <w:pPr>
        <w:pStyle w:val="59"/>
        <w:tabs>
          <w:tab w:val="right" w:leader="dot" w:pos="8306"/>
          <w:tab w:val="clear" w:pos="8296"/>
        </w:tabs>
        <w:rPr>
          <w:rFonts w:hint="eastAsia"/>
          <w:sz w:val="28"/>
          <w:szCs w:val="28"/>
        </w:rPr>
      </w:pPr>
      <w:r>
        <w:fldChar w:fldCharType="begin"/>
      </w:r>
      <w:r>
        <w:instrText xml:space="preserve"> HYPERLINK \l "_Toc30385" </w:instrText>
      </w:r>
      <w:r>
        <w:fldChar w:fldCharType="separate"/>
      </w:r>
      <w:r>
        <w:rPr>
          <w:rFonts w:hint="eastAsia"/>
          <w:bCs w:val="0"/>
          <w:snapToGrid w:val="0"/>
          <w:sz w:val="28"/>
          <w:szCs w:val="28"/>
        </w:rPr>
        <w:t>二、绩效评价工作开展情况</w:t>
      </w:r>
      <w:r>
        <w:rPr>
          <w:rFonts w:hint="eastAsia"/>
          <w:sz w:val="28"/>
          <w:szCs w:val="28"/>
        </w:rPr>
        <w:tab/>
      </w:r>
      <w:r>
        <w:rPr>
          <w:rFonts w:hint="eastAsia"/>
          <w:sz w:val="28"/>
          <w:szCs w:val="28"/>
        </w:rPr>
        <w:fldChar w:fldCharType="begin"/>
      </w:r>
      <w:r>
        <w:rPr>
          <w:rFonts w:hint="eastAsia"/>
          <w:sz w:val="28"/>
          <w:szCs w:val="28"/>
        </w:rPr>
        <w:instrText xml:space="preserve"> PAGEREF _Toc30385 \h </w:instrText>
      </w:r>
      <w:r>
        <w:rPr>
          <w:rFonts w:hint="eastAsia"/>
          <w:sz w:val="28"/>
          <w:szCs w:val="28"/>
        </w:rPr>
        <w:fldChar w:fldCharType="separate"/>
      </w:r>
      <w:r>
        <w:rPr>
          <w:rFonts w:hint="eastAsia"/>
          <w:sz w:val="28"/>
          <w:szCs w:val="28"/>
        </w:rPr>
        <w:t>4</w:t>
      </w:r>
      <w:r>
        <w:rPr>
          <w:rFonts w:hint="eastAsia"/>
          <w:sz w:val="28"/>
          <w:szCs w:val="28"/>
        </w:rPr>
        <w:fldChar w:fldCharType="end"/>
      </w:r>
      <w:r>
        <w:rPr>
          <w:rFonts w:hint="eastAsia"/>
          <w:sz w:val="28"/>
          <w:szCs w:val="28"/>
        </w:rPr>
        <w:fldChar w:fldCharType="end"/>
      </w:r>
    </w:p>
    <w:p w14:paraId="55338798">
      <w:pPr>
        <w:pStyle w:val="74"/>
        <w:tabs>
          <w:tab w:val="right" w:leader="dot" w:pos="8306"/>
        </w:tabs>
        <w:rPr>
          <w:rFonts w:hint="eastAsia" w:ascii="宋体" w:hAnsi="宋体" w:eastAsia="宋体" w:cs="宋体"/>
          <w:sz w:val="28"/>
          <w:szCs w:val="28"/>
        </w:rPr>
      </w:pPr>
      <w:r>
        <w:fldChar w:fldCharType="begin"/>
      </w:r>
      <w:r>
        <w:instrText xml:space="preserve"> HYPERLINK \l "_Toc13420" </w:instrText>
      </w:r>
      <w:r>
        <w:fldChar w:fldCharType="separate"/>
      </w:r>
      <w:r>
        <w:rPr>
          <w:rFonts w:hint="eastAsia" w:ascii="宋体" w:hAnsi="宋体" w:eastAsia="宋体" w:cs="宋体"/>
          <w:kern w:val="44"/>
          <w:sz w:val="28"/>
          <w:szCs w:val="28"/>
        </w:rPr>
        <w:t>（一）基本情况</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_Toc13420 \h </w:instrText>
      </w:r>
      <w:r>
        <w:rPr>
          <w:rFonts w:hint="eastAsia" w:ascii="宋体" w:hAnsi="宋体" w:eastAsia="宋体" w:cs="宋体"/>
          <w:sz w:val="28"/>
          <w:szCs w:val="28"/>
        </w:rPr>
        <w:fldChar w:fldCharType="separate"/>
      </w:r>
      <w:r>
        <w:rPr>
          <w:rFonts w:hint="eastAsia" w:ascii="宋体" w:hAnsi="宋体" w:eastAsia="宋体" w:cs="宋体"/>
          <w:sz w:val="28"/>
          <w:szCs w:val="28"/>
        </w:rPr>
        <w:t>4</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39AD6304">
      <w:pPr>
        <w:pStyle w:val="74"/>
        <w:tabs>
          <w:tab w:val="right" w:leader="dot" w:pos="8306"/>
        </w:tabs>
        <w:rPr>
          <w:rFonts w:hint="eastAsia" w:ascii="宋体" w:hAnsi="宋体" w:eastAsia="宋体" w:cs="宋体"/>
          <w:sz w:val="28"/>
          <w:szCs w:val="28"/>
        </w:rPr>
      </w:pPr>
      <w:r>
        <w:fldChar w:fldCharType="begin"/>
      </w:r>
      <w:r>
        <w:instrText xml:space="preserve"> HYPERLINK \l "_Toc18940" </w:instrText>
      </w:r>
      <w:r>
        <w:fldChar w:fldCharType="separate"/>
      </w:r>
      <w:r>
        <w:rPr>
          <w:rFonts w:hint="eastAsia" w:ascii="宋体" w:hAnsi="宋体" w:eastAsia="宋体" w:cs="宋体"/>
          <w:kern w:val="44"/>
          <w:sz w:val="28"/>
          <w:szCs w:val="28"/>
        </w:rPr>
        <w:t>（二）评价组织实施</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_Toc18940 \h </w:instrText>
      </w:r>
      <w:r>
        <w:rPr>
          <w:rFonts w:hint="eastAsia" w:ascii="宋体" w:hAnsi="宋体" w:eastAsia="宋体" w:cs="宋体"/>
          <w:sz w:val="28"/>
          <w:szCs w:val="28"/>
        </w:rPr>
        <w:fldChar w:fldCharType="separate"/>
      </w:r>
      <w:r>
        <w:rPr>
          <w:rFonts w:hint="eastAsia" w:ascii="宋体" w:hAnsi="宋体" w:eastAsia="宋体" w:cs="宋体"/>
          <w:sz w:val="28"/>
          <w:szCs w:val="28"/>
        </w:rPr>
        <w:t>5</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76E90C8F">
      <w:pPr>
        <w:pStyle w:val="59"/>
        <w:tabs>
          <w:tab w:val="right" w:leader="dot" w:pos="8306"/>
          <w:tab w:val="clear" w:pos="8296"/>
        </w:tabs>
        <w:rPr>
          <w:rFonts w:hint="eastAsia"/>
          <w:sz w:val="28"/>
          <w:szCs w:val="28"/>
        </w:rPr>
      </w:pPr>
      <w:r>
        <w:fldChar w:fldCharType="begin"/>
      </w:r>
      <w:r>
        <w:instrText xml:space="preserve"> HYPERLINK \l "_Toc116" </w:instrText>
      </w:r>
      <w:r>
        <w:fldChar w:fldCharType="separate"/>
      </w:r>
      <w:r>
        <w:rPr>
          <w:rFonts w:hint="eastAsia"/>
          <w:bCs w:val="0"/>
          <w:snapToGrid w:val="0"/>
          <w:sz w:val="28"/>
          <w:szCs w:val="28"/>
        </w:rPr>
        <w:t>三、综合评价情况及评价结论</w:t>
      </w:r>
      <w:r>
        <w:rPr>
          <w:rFonts w:hint="eastAsia"/>
          <w:sz w:val="28"/>
          <w:szCs w:val="28"/>
        </w:rPr>
        <w:tab/>
      </w:r>
      <w:r>
        <w:rPr>
          <w:rFonts w:hint="eastAsia"/>
          <w:sz w:val="28"/>
          <w:szCs w:val="28"/>
        </w:rPr>
        <w:fldChar w:fldCharType="begin"/>
      </w:r>
      <w:r>
        <w:rPr>
          <w:rFonts w:hint="eastAsia"/>
          <w:sz w:val="28"/>
          <w:szCs w:val="28"/>
        </w:rPr>
        <w:instrText xml:space="preserve"> PAGEREF _Toc116 \h </w:instrText>
      </w:r>
      <w:r>
        <w:rPr>
          <w:rFonts w:hint="eastAsia"/>
          <w:sz w:val="28"/>
          <w:szCs w:val="28"/>
        </w:rPr>
        <w:fldChar w:fldCharType="separate"/>
      </w:r>
      <w:r>
        <w:rPr>
          <w:rFonts w:hint="eastAsia"/>
          <w:sz w:val="28"/>
          <w:szCs w:val="28"/>
        </w:rPr>
        <w:t>7</w:t>
      </w:r>
      <w:r>
        <w:rPr>
          <w:rFonts w:hint="eastAsia"/>
          <w:sz w:val="28"/>
          <w:szCs w:val="28"/>
        </w:rPr>
        <w:fldChar w:fldCharType="end"/>
      </w:r>
      <w:r>
        <w:rPr>
          <w:rFonts w:hint="eastAsia"/>
          <w:sz w:val="28"/>
          <w:szCs w:val="28"/>
        </w:rPr>
        <w:fldChar w:fldCharType="end"/>
      </w:r>
    </w:p>
    <w:p w14:paraId="4A203FE4">
      <w:pPr>
        <w:pStyle w:val="59"/>
        <w:tabs>
          <w:tab w:val="right" w:leader="dot" w:pos="8306"/>
          <w:tab w:val="clear" w:pos="8296"/>
        </w:tabs>
        <w:rPr>
          <w:rFonts w:hint="eastAsia"/>
          <w:sz w:val="28"/>
          <w:szCs w:val="28"/>
        </w:rPr>
      </w:pPr>
      <w:r>
        <w:fldChar w:fldCharType="begin"/>
      </w:r>
      <w:r>
        <w:instrText xml:space="preserve"> HYPERLINK \l "_Toc3391" </w:instrText>
      </w:r>
      <w:r>
        <w:fldChar w:fldCharType="separate"/>
      </w:r>
      <w:r>
        <w:rPr>
          <w:rFonts w:hint="eastAsia"/>
          <w:bCs w:val="0"/>
          <w:snapToGrid w:val="0"/>
          <w:sz w:val="28"/>
          <w:szCs w:val="28"/>
        </w:rPr>
        <w:t>四、绩效评价指标分析</w:t>
      </w:r>
      <w:r>
        <w:rPr>
          <w:rFonts w:hint="eastAsia"/>
          <w:sz w:val="28"/>
          <w:szCs w:val="28"/>
        </w:rPr>
        <w:tab/>
      </w:r>
      <w:r>
        <w:rPr>
          <w:rFonts w:hint="eastAsia"/>
          <w:sz w:val="28"/>
          <w:szCs w:val="28"/>
        </w:rPr>
        <w:fldChar w:fldCharType="begin"/>
      </w:r>
      <w:r>
        <w:rPr>
          <w:rFonts w:hint="eastAsia"/>
          <w:sz w:val="28"/>
          <w:szCs w:val="28"/>
        </w:rPr>
        <w:instrText xml:space="preserve"> PAGEREF _Toc3391 \h </w:instrText>
      </w:r>
      <w:r>
        <w:rPr>
          <w:rFonts w:hint="eastAsia"/>
          <w:sz w:val="28"/>
          <w:szCs w:val="28"/>
        </w:rPr>
        <w:fldChar w:fldCharType="separate"/>
      </w:r>
      <w:r>
        <w:rPr>
          <w:rFonts w:hint="eastAsia"/>
          <w:sz w:val="28"/>
          <w:szCs w:val="28"/>
        </w:rPr>
        <w:t>7</w:t>
      </w:r>
      <w:r>
        <w:rPr>
          <w:rFonts w:hint="eastAsia"/>
          <w:sz w:val="28"/>
          <w:szCs w:val="28"/>
        </w:rPr>
        <w:fldChar w:fldCharType="end"/>
      </w:r>
      <w:r>
        <w:rPr>
          <w:rFonts w:hint="eastAsia"/>
          <w:sz w:val="28"/>
          <w:szCs w:val="28"/>
        </w:rPr>
        <w:fldChar w:fldCharType="end"/>
      </w:r>
    </w:p>
    <w:p w14:paraId="0302346D">
      <w:pPr>
        <w:pStyle w:val="74"/>
        <w:tabs>
          <w:tab w:val="right" w:leader="dot" w:pos="8306"/>
        </w:tabs>
        <w:rPr>
          <w:rFonts w:hint="eastAsia" w:ascii="宋体" w:hAnsi="宋体" w:eastAsia="宋体" w:cs="宋体"/>
          <w:sz w:val="28"/>
          <w:szCs w:val="28"/>
        </w:rPr>
      </w:pPr>
      <w:r>
        <w:fldChar w:fldCharType="begin"/>
      </w:r>
      <w:r>
        <w:instrText xml:space="preserve"> HYPERLINK \l "_Toc21814" </w:instrText>
      </w:r>
      <w:r>
        <w:fldChar w:fldCharType="separate"/>
      </w:r>
      <w:r>
        <w:rPr>
          <w:rFonts w:hint="eastAsia" w:ascii="宋体" w:hAnsi="宋体" w:eastAsia="宋体" w:cs="宋体"/>
          <w:kern w:val="44"/>
          <w:sz w:val="28"/>
          <w:szCs w:val="28"/>
        </w:rPr>
        <w:t>（一）项目决策情况</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_Toc21814 \h </w:instrText>
      </w:r>
      <w:r>
        <w:rPr>
          <w:rFonts w:hint="eastAsia" w:ascii="宋体" w:hAnsi="宋体" w:eastAsia="宋体" w:cs="宋体"/>
          <w:sz w:val="28"/>
          <w:szCs w:val="28"/>
        </w:rPr>
        <w:fldChar w:fldCharType="separate"/>
      </w:r>
      <w:r>
        <w:rPr>
          <w:rFonts w:hint="eastAsia" w:ascii="宋体" w:hAnsi="宋体" w:eastAsia="宋体" w:cs="宋体"/>
          <w:sz w:val="28"/>
          <w:szCs w:val="28"/>
        </w:rPr>
        <w:t>7</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44AF97B4">
      <w:pPr>
        <w:pStyle w:val="74"/>
        <w:tabs>
          <w:tab w:val="right" w:leader="dot" w:pos="8306"/>
        </w:tabs>
        <w:rPr>
          <w:rFonts w:hint="eastAsia" w:ascii="宋体" w:hAnsi="宋体" w:eastAsia="宋体" w:cs="宋体"/>
          <w:sz w:val="28"/>
          <w:szCs w:val="28"/>
        </w:rPr>
      </w:pPr>
      <w:r>
        <w:fldChar w:fldCharType="begin"/>
      </w:r>
      <w:r>
        <w:instrText xml:space="preserve"> HYPERLINK \l "_Toc30076" </w:instrText>
      </w:r>
      <w:r>
        <w:fldChar w:fldCharType="separate"/>
      </w:r>
      <w:r>
        <w:rPr>
          <w:rFonts w:hint="eastAsia" w:ascii="宋体" w:hAnsi="宋体" w:eastAsia="宋体" w:cs="宋体"/>
          <w:sz w:val="28"/>
          <w:szCs w:val="28"/>
        </w:rPr>
        <w:t>（二）项目过程管理</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_Toc30076 \h </w:instrText>
      </w:r>
      <w:r>
        <w:rPr>
          <w:rFonts w:hint="eastAsia" w:ascii="宋体" w:hAnsi="宋体" w:eastAsia="宋体" w:cs="宋体"/>
          <w:sz w:val="28"/>
          <w:szCs w:val="28"/>
        </w:rPr>
        <w:fldChar w:fldCharType="separate"/>
      </w:r>
      <w:r>
        <w:rPr>
          <w:rFonts w:hint="eastAsia" w:ascii="宋体" w:hAnsi="宋体" w:eastAsia="宋体" w:cs="宋体"/>
          <w:sz w:val="28"/>
          <w:szCs w:val="28"/>
        </w:rPr>
        <w:t>9</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3995F03E">
      <w:pPr>
        <w:pStyle w:val="74"/>
        <w:tabs>
          <w:tab w:val="right" w:leader="dot" w:pos="8306"/>
        </w:tabs>
        <w:rPr>
          <w:rFonts w:hint="eastAsia" w:ascii="宋体" w:hAnsi="宋体" w:eastAsia="宋体" w:cs="宋体"/>
          <w:sz w:val="28"/>
          <w:szCs w:val="28"/>
        </w:rPr>
      </w:pPr>
      <w:r>
        <w:fldChar w:fldCharType="begin"/>
      </w:r>
      <w:r>
        <w:instrText xml:space="preserve"> HYPERLINK \l "_Toc8857" </w:instrText>
      </w:r>
      <w:r>
        <w:fldChar w:fldCharType="separate"/>
      </w:r>
      <w:r>
        <w:rPr>
          <w:rFonts w:hint="eastAsia" w:ascii="宋体" w:hAnsi="宋体" w:eastAsia="宋体" w:cs="宋体"/>
          <w:kern w:val="44"/>
          <w:sz w:val="28"/>
          <w:szCs w:val="28"/>
        </w:rPr>
        <w:t>（三）项目产出情况</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_Toc8857 \h </w:instrText>
      </w:r>
      <w:r>
        <w:rPr>
          <w:rFonts w:hint="eastAsia" w:ascii="宋体" w:hAnsi="宋体" w:eastAsia="宋体" w:cs="宋体"/>
          <w:sz w:val="28"/>
          <w:szCs w:val="28"/>
        </w:rPr>
        <w:fldChar w:fldCharType="separate"/>
      </w:r>
      <w:r>
        <w:rPr>
          <w:rFonts w:hint="eastAsia" w:ascii="宋体" w:hAnsi="宋体" w:eastAsia="宋体" w:cs="宋体"/>
          <w:sz w:val="28"/>
          <w:szCs w:val="28"/>
        </w:rPr>
        <w:t>11</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2E16AB58">
      <w:pPr>
        <w:pStyle w:val="74"/>
        <w:tabs>
          <w:tab w:val="right" w:leader="dot" w:pos="8306"/>
        </w:tabs>
        <w:rPr>
          <w:rFonts w:hint="eastAsia" w:ascii="宋体" w:hAnsi="宋体" w:eastAsia="宋体" w:cs="宋体"/>
          <w:sz w:val="28"/>
          <w:szCs w:val="28"/>
        </w:rPr>
      </w:pPr>
      <w:r>
        <w:fldChar w:fldCharType="begin"/>
      </w:r>
      <w:r>
        <w:instrText xml:space="preserve"> HYPERLINK \l "_Toc20003" </w:instrText>
      </w:r>
      <w:r>
        <w:fldChar w:fldCharType="separate"/>
      </w:r>
      <w:r>
        <w:rPr>
          <w:rFonts w:hint="eastAsia" w:ascii="宋体" w:hAnsi="宋体" w:eastAsia="宋体" w:cs="宋体"/>
          <w:kern w:val="44"/>
          <w:sz w:val="28"/>
          <w:szCs w:val="28"/>
        </w:rPr>
        <w:t>（四）项目效益情况</w:t>
      </w:r>
      <w:r>
        <w:rPr>
          <w:rFonts w:hint="eastAsia" w:ascii="宋体" w:hAnsi="宋体" w:eastAsia="宋体" w:cs="宋体"/>
          <w:sz w:val="28"/>
          <w:szCs w:val="28"/>
        </w:rPr>
        <w:tab/>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PAGEREF _Toc20003 \h </w:instrText>
      </w:r>
      <w:r>
        <w:rPr>
          <w:rFonts w:hint="eastAsia" w:ascii="宋体" w:hAnsi="宋体" w:eastAsia="宋体" w:cs="宋体"/>
          <w:sz w:val="28"/>
          <w:szCs w:val="28"/>
        </w:rPr>
        <w:fldChar w:fldCharType="separate"/>
      </w:r>
      <w:r>
        <w:rPr>
          <w:rFonts w:hint="eastAsia" w:ascii="宋体" w:hAnsi="宋体" w:eastAsia="宋体" w:cs="宋体"/>
          <w:sz w:val="28"/>
          <w:szCs w:val="28"/>
        </w:rPr>
        <w:t>12</w:t>
      </w:r>
      <w:r>
        <w:rPr>
          <w:rFonts w:hint="eastAsia" w:ascii="宋体" w:hAnsi="宋体" w:eastAsia="宋体" w:cs="宋体"/>
          <w:sz w:val="28"/>
          <w:szCs w:val="28"/>
        </w:rPr>
        <w:fldChar w:fldCharType="end"/>
      </w:r>
      <w:r>
        <w:rPr>
          <w:rFonts w:hint="eastAsia" w:ascii="宋体" w:hAnsi="宋体" w:eastAsia="宋体" w:cs="宋体"/>
          <w:sz w:val="28"/>
          <w:szCs w:val="28"/>
        </w:rPr>
        <w:fldChar w:fldCharType="end"/>
      </w:r>
    </w:p>
    <w:p w14:paraId="726CDB47">
      <w:pPr>
        <w:pStyle w:val="59"/>
        <w:tabs>
          <w:tab w:val="right" w:leader="dot" w:pos="8306"/>
          <w:tab w:val="clear" w:pos="8296"/>
        </w:tabs>
        <w:rPr>
          <w:rFonts w:hint="eastAsia"/>
          <w:sz w:val="28"/>
          <w:szCs w:val="28"/>
        </w:rPr>
      </w:pPr>
      <w:r>
        <w:fldChar w:fldCharType="begin"/>
      </w:r>
      <w:r>
        <w:instrText xml:space="preserve"> HYPERLINK \l "_Toc23762" </w:instrText>
      </w:r>
      <w:r>
        <w:fldChar w:fldCharType="separate"/>
      </w:r>
      <w:r>
        <w:rPr>
          <w:rFonts w:hint="eastAsia"/>
          <w:bCs w:val="0"/>
          <w:snapToGrid w:val="0"/>
          <w:sz w:val="28"/>
          <w:szCs w:val="28"/>
        </w:rPr>
        <w:t>五、问题</w:t>
      </w:r>
      <w:r>
        <w:rPr>
          <w:rFonts w:hint="eastAsia"/>
          <w:sz w:val="28"/>
          <w:szCs w:val="28"/>
        </w:rPr>
        <w:tab/>
      </w:r>
      <w:r>
        <w:rPr>
          <w:rFonts w:hint="eastAsia"/>
          <w:sz w:val="28"/>
          <w:szCs w:val="28"/>
        </w:rPr>
        <w:fldChar w:fldCharType="begin"/>
      </w:r>
      <w:r>
        <w:rPr>
          <w:rFonts w:hint="eastAsia"/>
          <w:sz w:val="28"/>
          <w:szCs w:val="28"/>
        </w:rPr>
        <w:instrText xml:space="preserve"> PAGEREF _Toc23762 \h </w:instrText>
      </w:r>
      <w:r>
        <w:rPr>
          <w:rFonts w:hint="eastAsia"/>
          <w:sz w:val="28"/>
          <w:szCs w:val="28"/>
        </w:rPr>
        <w:fldChar w:fldCharType="separate"/>
      </w:r>
      <w:r>
        <w:rPr>
          <w:rFonts w:hint="eastAsia"/>
          <w:sz w:val="28"/>
          <w:szCs w:val="28"/>
        </w:rPr>
        <w:t>12</w:t>
      </w:r>
      <w:r>
        <w:rPr>
          <w:rFonts w:hint="eastAsia"/>
          <w:sz w:val="28"/>
          <w:szCs w:val="28"/>
        </w:rPr>
        <w:fldChar w:fldCharType="end"/>
      </w:r>
      <w:r>
        <w:rPr>
          <w:rFonts w:hint="eastAsia"/>
          <w:sz w:val="28"/>
          <w:szCs w:val="28"/>
        </w:rPr>
        <w:fldChar w:fldCharType="end"/>
      </w:r>
    </w:p>
    <w:p w14:paraId="584263AC">
      <w:pPr>
        <w:pStyle w:val="59"/>
        <w:tabs>
          <w:tab w:val="right" w:leader="dot" w:pos="8306"/>
          <w:tab w:val="clear" w:pos="8296"/>
        </w:tabs>
        <w:rPr>
          <w:rFonts w:hint="eastAsia"/>
          <w:sz w:val="28"/>
          <w:szCs w:val="28"/>
        </w:rPr>
      </w:pPr>
      <w:r>
        <w:fldChar w:fldCharType="begin"/>
      </w:r>
      <w:r>
        <w:instrText xml:space="preserve"> HYPERLINK \l "_Toc16149" </w:instrText>
      </w:r>
      <w:r>
        <w:fldChar w:fldCharType="separate"/>
      </w:r>
      <w:r>
        <w:rPr>
          <w:rFonts w:hint="eastAsia"/>
          <w:bCs w:val="0"/>
          <w:snapToGrid w:val="0"/>
          <w:sz w:val="28"/>
          <w:szCs w:val="28"/>
        </w:rPr>
        <w:t>六、建议</w:t>
      </w:r>
      <w:r>
        <w:rPr>
          <w:rFonts w:hint="eastAsia"/>
          <w:sz w:val="28"/>
          <w:szCs w:val="28"/>
        </w:rPr>
        <w:tab/>
      </w:r>
      <w:r>
        <w:rPr>
          <w:rFonts w:hint="eastAsia"/>
          <w:sz w:val="28"/>
          <w:szCs w:val="28"/>
        </w:rPr>
        <w:fldChar w:fldCharType="begin"/>
      </w:r>
      <w:r>
        <w:rPr>
          <w:rFonts w:hint="eastAsia"/>
          <w:sz w:val="28"/>
          <w:szCs w:val="28"/>
        </w:rPr>
        <w:instrText xml:space="preserve"> PAGEREF _Toc16149 \h </w:instrText>
      </w:r>
      <w:r>
        <w:rPr>
          <w:rFonts w:hint="eastAsia"/>
          <w:sz w:val="28"/>
          <w:szCs w:val="28"/>
        </w:rPr>
        <w:fldChar w:fldCharType="separate"/>
      </w:r>
      <w:r>
        <w:rPr>
          <w:rFonts w:hint="eastAsia"/>
          <w:sz w:val="28"/>
          <w:szCs w:val="28"/>
        </w:rPr>
        <w:t>13</w:t>
      </w:r>
      <w:r>
        <w:rPr>
          <w:rFonts w:hint="eastAsia"/>
          <w:sz w:val="28"/>
          <w:szCs w:val="28"/>
        </w:rPr>
        <w:fldChar w:fldCharType="end"/>
      </w:r>
      <w:r>
        <w:rPr>
          <w:rFonts w:hint="eastAsia"/>
          <w:sz w:val="28"/>
          <w:szCs w:val="28"/>
        </w:rPr>
        <w:fldChar w:fldCharType="end"/>
      </w:r>
    </w:p>
    <w:p w14:paraId="7B9DFE27">
      <w:pPr>
        <w:pStyle w:val="59"/>
        <w:tabs>
          <w:tab w:val="right" w:leader="dot" w:pos="8306"/>
          <w:tab w:val="clear" w:pos="8296"/>
        </w:tabs>
        <w:rPr>
          <w:rFonts w:hint="eastAsia"/>
          <w:sz w:val="28"/>
          <w:szCs w:val="28"/>
        </w:rPr>
      </w:pPr>
      <w:r>
        <w:fldChar w:fldCharType="begin"/>
      </w:r>
      <w:r>
        <w:instrText xml:space="preserve"> HYPERLINK \l "_Toc16149" </w:instrText>
      </w:r>
      <w:r>
        <w:fldChar w:fldCharType="separate"/>
      </w:r>
      <w:r>
        <w:rPr>
          <w:rFonts w:hint="eastAsia"/>
          <w:bCs w:val="0"/>
          <w:snapToGrid w:val="0"/>
          <w:sz w:val="28"/>
          <w:szCs w:val="28"/>
          <w:lang w:val="en-US" w:eastAsia="zh-CN"/>
        </w:rPr>
        <w:t>七</w:t>
      </w:r>
      <w:r>
        <w:rPr>
          <w:rFonts w:hint="eastAsia"/>
          <w:bCs w:val="0"/>
          <w:snapToGrid w:val="0"/>
          <w:sz w:val="28"/>
          <w:szCs w:val="28"/>
        </w:rPr>
        <w:t>、其他需要说明的问题</w:t>
      </w:r>
      <w:r>
        <w:rPr>
          <w:rFonts w:hint="eastAsia"/>
          <w:sz w:val="28"/>
          <w:szCs w:val="28"/>
        </w:rPr>
        <w:tab/>
      </w:r>
      <w:r>
        <w:rPr>
          <w:rFonts w:hint="eastAsia"/>
          <w:sz w:val="28"/>
          <w:szCs w:val="28"/>
        </w:rPr>
        <w:fldChar w:fldCharType="begin"/>
      </w:r>
      <w:r>
        <w:rPr>
          <w:rFonts w:hint="eastAsia"/>
          <w:sz w:val="28"/>
          <w:szCs w:val="28"/>
        </w:rPr>
        <w:instrText xml:space="preserve"> PAGEREF _Toc16149 \h </w:instrText>
      </w:r>
      <w:r>
        <w:rPr>
          <w:rFonts w:hint="eastAsia"/>
          <w:sz w:val="28"/>
          <w:szCs w:val="28"/>
        </w:rPr>
        <w:fldChar w:fldCharType="separate"/>
      </w:r>
      <w:r>
        <w:rPr>
          <w:rFonts w:hint="eastAsia"/>
          <w:sz w:val="28"/>
          <w:szCs w:val="28"/>
        </w:rPr>
        <w:t>13</w:t>
      </w:r>
      <w:r>
        <w:rPr>
          <w:rFonts w:hint="eastAsia"/>
          <w:sz w:val="28"/>
          <w:szCs w:val="28"/>
        </w:rPr>
        <w:fldChar w:fldCharType="end"/>
      </w:r>
      <w:r>
        <w:rPr>
          <w:rFonts w:hint="eastAsia"/>
          <w:sz w:val="28"/>
          <w:szCs w:val="28"/>
        </w:rPr>
        <w:fldChar w:fldCharType="end"/>
      </w:r>
    </w:p>
    <w:p w14:paraId="1CF847AC">
      <w:pPr>
        <w:rPr>
          <w:rFonts w:cs="Times New Roman"/>
        </w:rPr>
      </w:pPr>
      <w:r>
        <w:rPr>
          <w:rFonts w:hint="eastAsia" w:ascii="宋体" w:hAnsi="宋体" w:cs="宋体"/>
          <w:sz w:val="28"/>
          <w:szCs w:val="28"/>
        </w:rPr>
        <w:fldChar w:fldCharType="end"/>
      </w:r>
      <w:bookmarkStart w:id="42" w:name="_GoBack"/>
      <w:bookmarkEnd w:id="42"/>
    </w:p>
    <w:p w14:paraId="580B341E">
      <w:pPr>
        <w:rPr>
          <w:rFonts w:cs="Times New Roman"/>
        </w:rPr>
        <w:sectPr>
          <w:footerReference r:id="rId3" w:type="default"/>
          <w:pgSz w:w="11906" w:h="16838"/>
          <w:pgMar w:top="1440" w:right="1800" w:bottom="1440" w:left="1800" w:header="851" w:footer="992" w:gutter="0"/>
          <w:pgNumType w:start="1" w:chapStyle="1"/>
          <w:cols w:space="425" w:num="1"/>
          <w:docGrid w:type="lines" w:linePitch="312" w:charSpace="0"/>
        </w:sectPr>
      </w:pPr>
    </w:p>
    <w:p w14:paraId="1F9F20AF">
      <w:pPr>
        <w:spacing w:line="580" w:lineRule="exact"/>
        <w:jc w:val="center"/>
        <w:rPr>
          <w:rFonts w:hint="eastAsia" w:ascii="方正小标宋简体" w:hAnsi="华文中宋" w:eastAsia="方正小标宋简体" w:cs="Times New Roman"/>
          <w:sz w:val="44"/>
          <w:szCs w:val="44"/>
        </w:rPr>
      </w:pPr>
      <w:r>
        <w:rPr>
          <w:rFonts w:hint="eastAsia" w:ascii="方正小标宋简体" w:hAnsi="华文中宋" w:eastAsia="方正小标宋简体" w:cs="方正小标宋简体"/>
          <w:sz w:val="44"/>
          <w:szCs w:val="44"/>
        </w:rPr>
        <w:t>2024年香山革命纪念馆文物数据采集项目绩效评价报告</w:t>
      </w:r>
    </w:p>
    <w:p w14:paraId="3C6C8E95">
      <w:pPr>
        <w:spacing w:line="360" w:lineRule="auto"/>
        <w:jc w:val="center"/>
        <w:rPr>
          <w:rFonts w:ascii="宋体" w:cs="Times New Roman"/>
          <w:b/>
          <w:bCs/>
          <w:sz w:val="44"/>
          <w:szCs w:val="44"/>
        </w:rPr>
      </w:pPr>
    </w:p>
    <w:p w14:paraId="73BADF59">
      <w:pPr>
        <w:pStyle w:val="3"/>
        <w:spacing w:before="0" w:after="0" w:line="360" w:lineRule="auto"/>
        <w:ind w:firstLine="640" w:firstLineChars="200"/>
        <w:rPr>
          <w:rFonts w:eastAsia="黑体" w:cs="Times New Roman"/>
          <w:b w:val="0"/>
          <w:bCs w:val="0"/>
          <w:snapToGrid w:val="0"/>
          <w:color w:val="000000"/>
          <w:kern w:val="0"/>
          <w:sz w:val="32"/>
          <w:szCs w:val="32"/>
        </w:rPr>
      </w:pPr>
      <w:bookmarkStart w:id="0" w:name="_Toc169183181"/>
      <w:bookmarkStart w:id="1" w:name="_Toc69899792"/>
      <w:bookmarkStart w:id="2" w:name="_Toc2577"/>
      <w:r>
        <w:rPr>
          <w:rFonts w:hint="eastAsia" w:eastAsia="黑体" w:cs="黑体"/>
          <w:b w:val="0"/>
          <w:bCs w:val="0"/>
          <w:snapToGrid w:val="0"/>
          <w:color w:val="000000"/>
          <w:kern w:val="0"/>
          <w:sz w:val="32"/>
          <w:szCs w:val="32"/>
        </w:rPr>
        <w:t>一、</w:t>
      </w:r>
      <w:bookmarkEnd w:id="0"/>
      <w:r>
        <w:rPr>
          <w:rFonts w:hint="eastAsia" w:eastAsia="黑体" w:cs="黑体"/>
          <w:b w:val="0"/>
          <w:bCs w:val="0"/>
          <w:snapToGrid w:val="0"/>
          <w:color w:val="000000"/>
          <w:kern w:val="0"/>
          <w:sz w:val="32"/>
          <w:szCs w:val="32"/>
        </w:rPr>
        <w:t>基本情</w:t>
      </w:r>
      <w:bookmarkEnd w:id="1"/>
      <w:r>
        <w:rPr>
          <w:rFonts w:hint="eastAsia" w:eastAsia="黑体" w:cs="黑体"/>
          <w:b w:val="0"/>
          <w:bCs w:val="0"/>
          <w:snapToGrid w:val="0"/>
          <w:color w:val="000000"/>
          <w:kern w:val="0"/>
          <w:sz w:val="32"/>
          <w:szCs w:val="32"/>
        </w:rPr>
        <w:t>况</w:t>
      </w:r>
      <w:bookmarkEnd w:id="2"/>
    </w:p>
    <w:p w14:paraId="1C106ACC">
      <w:pPr>
        <w:spacing w:line="360" w:lineRule="auto"/>
        <w:ind w:firstLine="643" w:firstLineChars="200"/>
        <w:outlineLvl w:val="1"/>
        <w:rPr>
          <w:rFonts w:hint="eastAsia" w:ascii="楷体" w:hAnsi="楷体" w:eastAsia="楷体" w:cs="Times New Roman"/>
          <w:b/>
          <w:bCs/>
          <w:kern w:val="44"/>
          <w:sz w:val="32"/>
          <w:szCs w:val="32"/>
        </w:rPr>
      </w:pPr>
      <w:bookmarkStart w:id="3" w:name="_Toc29524"/>
      <w:bookmarkStart w:id="4" w:name="_Toc69899793"/>
      <w:r>
        <w:rPr>
          <w:rFonts w:hint="eastAsia" w:ascii="楷体" w:hAnsi="楷体" w:eastAsia="楷体" w:cs="楷体"/>
          <w:b/>
          <w:bCs/>
          <w:kern w:val="44"/>
          <w:sz w:val="32"/>
          <w:szCs w:val="32"/>
        </w:rPr>
        <w:t>（一）项目概况</w:t>
      </w:r>
      <w:bookmarkEnd w:id="3"/>
      <w:bookmarkEnd w:id="4"/>
    </w:p>
    <w:p w14:paraId="45CB1554">
      <w:pPr>
        <w:spacing w:line="360" w:lineRule="auto"/>
        <w:ind w:firstLine="640" w:firstLineChars="200"/>
        <w:rPr>
          <w:rFonts w:hint="eastAsia" w:ascii="仿宋" w:hAnsi="仿宋" w:eastAsia="仿宋" w:cs="Times New Roman"/>
          <w:sz w:val="32"/>
          <w:szCs w:val="32"/>
        </w:rPr>
      </w:pPr>
      <w:r>
        <w:rPr>
          <w:rFonts w:ascii="仿宋" w:hAnsi="仿宋" w:eastAsia="仿宋" w:cs="仿宋"/>
          <w:sz w:val="32"/>
          <w:szCs w:val="32"/>
        </w:rPr>
        <w:t>1</w:t>
      </w:r>
      <w:r>
        <w:rPr>
          <w:rFonts w:hint="eastAsia" w:ascii="仿宋" w:hAnsi="仿宋" w:eastAsia="仿宋" w:cs="仿宋"/>
          <w:sz w:val="32"/>
          <w:szCs w:val="32"/>
        </w:rPr>
        <w:t>．项目实施主体及主要内容</w:t>
      </w:r>
    </w:p>
    <w:p w14:paraId="6AB20A39">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2024年香山革命纪念馆文物数据采集项目（以下简称“该项目”）的申报单位为香山革命纪念馆，实施主体为香山革命纪念馆，实施主体即责任方为文物征集研究部。</w:t>
      </w:r>
    </w:p>
    <w:p w14:paraId="50834D88">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文物征集研究部负责文物工作研究，文物流转经历整理，文物背后故事挖掘，文物类别及品级鉴选，文物史料宣传推介，文物研究成果到教育内容的转化，文物文献征（收）集及保护、保管、利用，文物修复、复制，在展文物维护，文物库房科学管理等。</w:t>
      </w:r>
    </w:p>
    <w:p w14:paraId="034101E2">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项目</w:t>
      </w:r>
      <w:r>
        <w:rPr>
          <w:rFonts w:hint="eastAsia" w:ascii="仿宋" w:hAnsi="仿宋" w:eastAsia="仿宋" w:cs="仿宋"/>
          <w:sz w:val="32"/>
          <w:szCs w:val="32"/>
        </w:rPr>
        <w:t>具体工作内容包括以下两个方面：一是对馆藏重要文物及解放战争时期党的建设相关文物进行数据采集、图像处理，二是细颗粒度标签标引建设，建立可检索的文物数据库。</w:t>
      </w:r>
    </w:p>
    <w:p w14:paraId="1D460CB9">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项目主要内容：</w:t>
      </w:r>
    </w:p>
    <w:p w14:paraId="41178E26">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对馆藏重要文物进行数据采集并对重要文物进行细颗粒度建设；根据专题展览展出需求，对新征集文物进行数据采集。</w:t>
      </w:r>
    </w:p>
    <w:p w14:paraId="2A4EF1FD">
      <w:pPr>
        <w:spacing w:line="360" w:lineRule="auto"/>
        <w:ind w:firstLine="640" w:firstLineChars="200"/>
        <w:rPr>
          <w:rFonts w:hint="eastAsia" w:ascii="仿宋" w:hAnsi="仿宋" w:eastAsia="仿宋" w:cs="Times New Roman"/>
          <w:sz w:val="32"/>
          <w:szCs w:val="32"/>
        </w:rPr>
      </w:pPr>
      <w:r>
        <w:rPr>
          <w:rFonts w:ascii="仿宋" w:hAnsi="仿宋" w:eastAsia="仿宋" w:cs="仿宋"/>
          <w:sz w:val="32"/>
          <w:szCs w:val="32"/>
        </w:rPr>
        <w:t>2</w:t>
      </w:r>
      <w:r>
        <w:rPr>
          <w:rFonts w:hint="eastAsia" w:ascii="仿宋" w:hAnsi="仿宋" w:eastAsia="仿宋" w:cs="仿宋"/>
          <w:sz w:val="32"/>
          <w:szCs w:val="32"/>
        </w:rPr>
        <w:t>．项目立项依据及背景</w:t>
      </w:r>
    </w:p>
    <w:p w14:paraId="327633BA">
      <w:pPr>
        <w:spacing w:line="360" w:lineRule="auto"/>
        <w:ind w:firstLine="640" w:firstLineChars="200"/>
        <w:rPr>
          <w:rFonts w:hint="eastAsia" w:ascii="仿宋" w:hAnsi="仿宋" w:eastAsia="仿宋" w:cs="仿宋"/>
          <w:sz w:val="32"/>
          <w:szCs w:val="32"/>
        </w:rPr>
      </w:pPr>
      <w:bookmarkStart w:id="5" w:name="_Toc69899794"/>
      <w:r>
        <w:rPr>
          <w:rFonts w:hint="eastAsia" w:ascii="仿宋" w:hAnsi="仿宋" w:eastAsia="仿宋" w:cs="仿宋"/>
          <w:sz w:val="32"/>
          <w:szCs w:val="32"/>
        </w:rPr>
        <w:t>香山革命纪念馆文物征集研究部认真学习贯彻党的二十大、习近平在文化传承发展座谈会上的重要</w:t>
      </w:r>
      <w:r>
        <w:rPr>
          <w:rFonts w:hint="eastAsia" w:ascii="仿宋" w:hAnsi="仿宋" w:eastAsia="仿宋" w:cs="仿宋"/>
          <w:sz w:val="32"/>
          <w:szCs w:val="32"/>
          <w:highlight w:val="none"/>
        </w:rPr>
        <w:t>讲话精神，坚持以习近平新时代中国特色社会主义思想为指导，</w:t>
      </w:r>
      <w:r>
        <w:rPr>
          <w:rFonts w:hint="eastAsia" w:ascii="仿宋" w:hAnsi="仿宋" w:eastAsia="仿宋" w:cs="仿宋"/>
          <w:sz w:val="32"/>
          <w:szCs w:val="32"/>
          <w:highlight w:val="none"/>
          <w:lang w:val="en-US" w:eastAsia="zh-CN"/>
        </w:rPr>
        <w:t>增强</w:t>
      </w:r>
      <w:r>
        <w:rPr>
          <w:rFonts w:hint="eastAsia" w:ascii="仿宋" w:hAnsi="仿宋" w:eastAsia="仿宋" w:cs="仿宋"/>
          <w:sz w:val="32"/>
          <w:szCs w:val="32"/>
          <w:highlight w:val="none"/>
        </w:rPr>
        <w:t>“四个意识”、坚定“四个自信”、做到“两个维护”、捍卫“两个确立”，胸怀“国之大者”，不断提高政治判断力、政治领悟力、政治执行力，坚决在思想上政治上行动上同以习近平同志为核心的党中央保持高度一致。同时，深入学习习近平总书记关于意识形态工作的重要论述和指示批示精神，特别是关于文物工作</w:t>
      </w:r>
      <w:r>
        <w:rPr>
          <w:rFonts w:hint="eastAsia" w:ascii="仿宋" w:hAnsi="仿宋" w:eastAsia="仿宋" w:cs="仿宋"/>
          <w:sz w:val="32"/>
          <w:szCs w:val="32"/>
          <w:highlight w:val="none"/>
          <w:lang w:val="en-US" w:eastAsia="zh-CN"/>
        </w:rPr>
        <w:t>的</w:t>
      </w:r>
      <w:r>
        <w:rPr>
          <w:rFonts w:hint="eastAsia" w:ascii="仿宋" w:hAnsi="仿宋" w:eastAsia="仿宋" w:cs="仿宋"/>
          <w:sz w:val="32"/>
          <w:szCs w:val="32"/>
          <w:highlight w:val="none"/>
        </w:rPr>
        <w:t>重要论述，用心用情用力做好革命文物相关工作，牢牢掌握意识形态工作主动权，并将坚决守好意识形态阵地的理念贯穿于整个文物工作之</w:t>
      </w:r>
      <w:r>
        <w:rPr>
          <w:rFonts w:hint="eastAsia" w:ascii="仿宋" w:hAnsi="仿宋" w:eastAsia="仿宋" w:cs="仿宋"/>
          <w:sz w:val="32"/>
          <w:szCs w:val="32"/>
        </w:rPr>
        <w:t>中。</w:t>
      </w:r>
    </w:p>
    <w:p w14:paraId="70642E38">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（1）文物数据采集是文物保护的切实需求</w:t>
      </w:r>
    </w:p>
    <w:p w14:paraId="4A04F87B">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革命文物资源是不可再生、不可替代的宝贵资源，加强保护是首要任务，利用数字化手段对革命文物相关信息进行收集、挖掘、修复和再现，是对革命文物科学保护直接而有效的方式，也是让革命文化“有声有色有形”的有效路径。通过数字化方式，可以实现对馆藏革命文物的数字化保存、远程浏览、虚拟展示，同时可以利用相关数据开展科学研究和社会教育，这</w:t>
      </w:r>
      <w:r>
        <w:rPr>
          <w:rFonts w:hint="eastAsia" w:ascii="仿宋" w:hAnsi="仿宋" w:eastAsia="仿宋" w:cs="仿宋"/>
          <w:sz w:val="32"/>
          <w:szCs w:val="32"/>
          <w:lang w:val="en-US" w:eastAsia="zh-CN"/>
        </w:rPr>
        <w:t>进</w:t>
      </w:r>
      <w:r>
        <w:rPr>
          <w:rFonts w:hint="eastAsia" w:ascii="仿宋" w:hAnsi="仿宋" w:eastAsia="仿宋" w:cs="仿宋"/>
          <w:sz w:val="32"/>
          <w:szCs w:val="32"/>
        </w:rPr>
        <w:t>一步减少了文物的实际提用频率，避免了文物在搬运、展出过程中可能出现的安全风险与隐患，使之成为文物保护的有效措施。</w:t>
      </w:r>
    </w:p>
    <w:p w14:paraId="514ADEF3">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（2）为展示利用提供多种途径</w:t>
      </w:r>
    </w:p>
    <w:p w14:paraId="22C819D5">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革命文物数字化对红色文化传播的方式提出了更高要求，数字化手段为展示利用提供多种途径，通过对现代化声光电技术的运用和互动项目的布置，可以让观众产生情感共鸣。纪念馆自开馆以来一直精心举办专题展览，对革命文物进行数据采集，有利于日后利用数字化方式丰富展览陈列的展出形式，让观众更直观地了解到文物背后蕴含的价值与精神，有利于进一步发挥革命文物服务大局、资政育人和推动发展的独特作用。</w:t>
      </w:r>
    </w:p>
    <w:p w14:paraId="386EE780">
      <w:pPr>
        <w:pStyle w:val="4"/>
        <w:spacing w:before="0" w:after="0" w:line="360" w:lineRule="auto"/>
        <w:ind w:firstLine="643" w:firstLineChars="200"/>
        <w:rPr>
          <w:rFonts w:hint="eastAsia" w:ascii="楷体" w:hAnsi="楷体" w:eastAsia="楷体" w:cs="Times New Roman"/>
          <w:kern w:val="44"/>
        </w:rPr>
      </w:pPr>
      <w:bookmarkStart w:id="6" w:name="_Toc10977"/>
      <w:r>
        <w:rPr>
          <w:rFonts w:hint="eastAsia" w:ascii="楷体" w:hAnsi="楷体" w:eastAsia="楷体" w:cs="楷体"/>
          <w:kern w:val="44"/>
        </w:rPr>
        <w:t>（二）项目资金情况</w:t>
      </w:r>
      <w:bookmarkEnd w:id="5"/>
      <w:bookmarkEnd w:id="6"/>
    </w:p>
    <w:p w14:paraId="1D8C78B6">
      <w:pPr>
        <w:spacing w:line="360" w:lineRule="auto"/>
        <w:ind w:firstLine="640" w:firstLineChars="200"/>
        <w:rPr>
          <w:rFonts w:hint="eastAsia" w:ascii="仿宋" w:hAnsi="仿宋" w:eastAsia="仿宋" w:cs="Times New Roman"/>
          <w:sz w:val="32"/>
          <w:szCs w:val="32"/>
        </w:rPr>
      </w:pPr>
      <w:r>
        <w:rPr>
          <w:rFonts w:ascii="仿宋" w:hAnsi="仿宋" w:eastAsia="仿宋" w:cs="仿宋"/>
          <w:sz w:val="32"/>
          <w:szCs w:val="32"/>
        </w:rPr>
        <w:t>1</w:t>
      </w:r>
      <w:r>
        <w:rPr>
          <w:rFonts w:hint="eastAsia" w:ascii="仿宋" w:hAnsi="仿宋" w:eastAsia="仿宋" w:cs="仿宋"/>
          <w:sz w:val="32"/>
          <w:szCs w:val="32"/>
        </w:rPr>
        <w:t>．项目预算批复情况</w:t>
      </w:r>
    </w:p>
    <w:p w14:paraId="4B216373">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该项目纳入2024年初预算。年初申报预算44.814500万元，预算评审44.814500万元，北京市财政局（京财科文指</w:t>
      </w:r>
      <w:r>
        <w:rPr>
          <w:rFonts w:hint="eastAsia" w:ascii="仿宋_GB2312" w:hAnsi="仿宋_GB2312" w:eastAsia="仿宋_GB2312" w:cs="仿宋_GB2312"/>
          <w:sz w:val="32"/>
          <w:szCs w:val="32"/>
          <w:highlight w:val="none"/>
        </w:rPr>
        <w:t>〔</w:t>
      </w:r>
      <w:r>
        <w:rPr>
          <w:rFonts w:hint="eastAsia" w:ascii="仿宋" w:hAnsi="仿宋" w:eastAsia="仿宋" w:cs="仿宋"/>
          <w:sz w:val="32"/>
          <w:szCs w:val="32"/>
          <w:highlight w:val="none"/>
        </w:rPr>
        <w:t>2024</w:t>
      </w:r>
      <w:r>
        <w:rPr>
          <w:rFonts w:hint="eastAsia" w:ascii="仿宋_GB2312" w:hAnsi="仿宋_GB2312" w:eastAsia="仿宋_GB2312" w:cs="仿宋_GB2312"/>
          <w:sz w:val="32"/>
          <w:szCs w:val="32"/>
          <w:highlight w:val="none"/>
        </w:rPr>
        <w:t>〕</w:t>
      </w:r>
      <w:r>
        <w:rPr>
          <w:rFonts w:hint="eastAsia" w:ascii="仿宋" w:hAnsi="仿宋" w:eastAsia="仿宋" w:cs="仿宋"/>
          <w:sz w:val="32"/>
          <w:szCs w:val="32"/>
        </w:rPr>
        <w:t>0219号）文件最终批复预算44.814500万元。</w:t>
      </w:r>
    </w:p>
    <w:p w14:paraId="58852343">
      <w:pPr>
        <w:spacing w:line="360" w:lineRule="auto"/>
        <w:ind w:firstLine="640" w:firstLineChars="200"/>
        <w:rPr>
          <w:rFonts w:hint="eastAsia" w:ascii="仿宋" w:hAnsi="仿宋" w:eastAsia="仿宋" w:cs="Times New Roman"/>
          <w:sz w:val="32"/>
          <w:szCs w:val="32"/>
        </w:rPr>
      </w:pPr>
      <w:r>
        <w:rPr>
          <w:rFonts w:ascii="仿宋" w:hAnsi="仿宋" w:eastAsia="仿宋" w:cs="仿宋"/>
          <w:sz w:val="32"/>
          <w:szCs w:val="32"/>
        </w:rPr>
        <w:t>2</w:t>
      </w:r>
      <w:r>
        <w:rPr>
          <w:rFonts w:hint="eastAsia" w:ascii="仿宋" w:hAnsi="仿宋" w:eastAsia="仿宋" w:cs="仿宋"/>
          <w:sz w:val="32"/>
          <w:szCs w:val="32"/>
        </w:rPr>
        <w:t>．资金到位情况</w:t>
      </w:r>
    </w:p>
    <w:p w14:paraId="66225D8A">
      <w:pPr>
        <w:spacing w:line="360" w:lineRule="auto"/>
        <w:ind w:firstLine="640" w:firstLineChars="200"/>
        <w:rPr>
          <w:rFonts w:hint="eastAsia" w:ascii="仿宋" w:hAnsi="仿宋" w:eastAsia="仿宋" w:cs="Times New Roman"/>
          <w:sz w:val="32"/>
          <w:szCs w:val="32"/>
        </w:rPr>
      </w:pPr>
      <w:r>
        <w:rPr>
          <w:rFonts w:ascii="仿宋" w:hAnsi="仿宋" w:eastAsia="仿宋" w:cs="仿宋"/>
          <w:sz w:val="32"/>
          <w:szCs w:val="32"/>
        </w:rPr>
        <w:t>202</w:t>
      </w:r>
      <w:r>
        <w:rPr>
          <w:rFonts w:hint="eastAsia" w:ascii="仿宋" w:hAnsi="仿宋" w:eastAsia="仿宋" w:cs="仿宋"/>
          <w:sz w:val="32"/>
          <w:szCs w:val="32"/>
        </w:rPr>
        <w:t>4年3月北京市财政局将项目资金拨付至香山革命纪念馆，资金用于2024年香山革命纪念馆文物数据采集项目。</w:t>
      </w:r>
    </w:p>
    <w:p w14:paraId="4281D449">
      <w:pPr>
        <w:spacing w:line="360" w:lineRule="auto"/>
        <w:ind w:firstLine="640" w:firstLineChars="200"/>
        <w:rPr>
          <w:rFonts w:hint="eastAsia" w:ascii="仿宋" w:hAnsi="仿宋" w:eastAsia="仿宋" w:cs="Times New Roman"/>
          <w:sz w:val="32"/>
          <w:szCs w:val="32"/>
        </w:rPr>
      </w:pPr>
      <w:r>
        <w:rPr>
          <w:rFonts w:ascii="仿宋" w:hAnsi="仿宋" w:eastAsia="仿宋" w:cs="仿宋"/>
          <w:sz w:val="32"/>
          <w:szCs w:val="32"/>
        </w:rPr>
        <w:t>3</w:t>
      </w:r>
      <w:r>
        <w:rPr>
          <w:rFonts w:hint="eastAsia" w:ascii="仿宋" w:hAnsi="仿宋" w:eastAsia="仿宋" w:cs="仿宋"/>
          <w:sz w:val="32"/>
          <w:szCs w:val="32"/>
        </w:rPr>
        <w:t>．资金支出及执行情况</w:t>
      </w:r>
    </w:p>
    <w:p w14:paraId="1C99D3DD">
      <w:pPr>
        <w:spacing w:line="360" w:lineRule="auto"/>
        <w:ind w:firstLine="640" w:firstLineChars="200"/>
        <w:rPr>
          <w:rFonts w:hint="eastAsia" w:ascii="仿宋" w:hAnsi="仿宋" w:eastAsia="仿宋" w:cs="Times New Roman"/>
          <w:sz w:val="32"/>
          <w:szCs w:val="32"/>
        </w:rPr>
      </w:pPr>
      <w:r>
        <w:rPr>
          <w:rFonts w:hint="eastAsia" w:ascii="仿宋" w:hAnsi="仿宋" w:eastAsia="仿宋" w:cs="仿宋"/>
          <w:sz w:val="32"/>
          <w:szCs w:val="32"/>
        </w:rPr>
        <w:t>截止</w:t>
      </w:r>
      <w:r>
        <w:rPr>
          <w:rFonts w:ascii="仿宋" w:hAnsi="仿宋" w:eastAsia="仿宋" w:cs="仿宋"/>
          <w:sz w:val="32"/>
          <w:szCs w:val="32"/>
        </w:rPr>
        <w:t>202</w:t>
      </w:r>
      <w:r>
        <w:rPr>
          <w:rFonts w:hint="eastAsia" w:ascii="仿宋" w:hAnsi="仿宋" w:eastAsia="仿宋" w:cs="仿宋"/>
          <w:sz w:val="32"/>
          <w:szCs w:val="32"/>
        </w:rPr>
        <w:t>4年</w:t>
      </w:r>
      <w:r>
        <w:rPr>
          <w:rFonts w:ascii="仿宋" w:hAnsi="仿宋" w:eastAsia="仿宋" w:cs="仿宋"/>
          <w:sz w:val="32"/>
          <w:szCs w:val="32"/>
        </w:rPr>
        <w:t>12</w:t>
      </w:r>
      <w:r>
        <w:rPr>
          <w:rFonts w:hint="eastAsia" w:ascii="仿宋" w:hAnsi="仿宋" w:eastAsia="仿宋" w:cs="仿宋"/>
          <w:sz w:val="32"/>
          <w:szCs w:val="32"/>
        </w:rPr>
        <w:t>月</w:t>
      </w:r>
      <w:r>
        <w:rPr>
          <w:rFonts w:ascii="仿宋" w:hAnsi="仿宋" w:eastAsia="仿宋" w:cs="仿宋"/>
          <w:sz w:val="32"/>
          <w:szCs w:val="32"/>
        </w:rPr>
        <w:t>31</w:t>
      </w:r>
      <w:r>
        <w:rPr>
          <w:rFonts w:hint="eastAsia" w:ascii="仿宋" w:hAnsi="仿宋" w:eastAsia="仿宋" w:cs="仿宋"/>
          <w:sz w:val="32"/>
          <w:szCs w:val="32"/>
        </w:rPr>
        <w:t>日，该项目共计支出44.61000万元。</w:t>
      </w:r>
    </w:p>
    <w:p w14:paraId="64572B5D">
      <w:pPr>
        <w:pStyle w:val="4"/>
        <w:spacing w:before="0" w:after="0" w:line="360" w:lineRule="auto"/>
        <w:ind w:firstLine="643" w:firstLineChars="200"/>
        <w:rPr>
          <w:rFonts w:hint="eastAsia" w:ascii="楷体" w:hAnsi="楷体" w:eastAsia="楷体" w:cs="Times New Roman"/>
          <w:kern w:val="44"/>
        </w:rPr>
      </w:pPr>
      <w:bookmarkStart w:id="7" w:name="_Toc27306"/>
      <w:bookmarkStart w:id="8" w:name="_Toc69899795"/>
      <w:r>
        <w:rPr>
          <w:rFonts w:hint="eastAsia" w:ascii="楷体" w:hAnsi="楷体" w:eastAsia="楷体" w:cs="楷体"/>
          <w:kern w:val="44"/>
        </w:rPr>
        <w:t>（三）项目绩效目标</w:t>
      </w:r>
      <w:bookmarkEnd w:id="7"/>
      <w:bookmarkEnd w:id="8"/>
    </w:p>
    <w:p w14:paraId="70E74364">
      <w:pPr>
        <w:spacing w:line="360" w:lineRule="auto"/>
        <w:ind w:firstLine="640" w:firstLineChars="200"/>
        <w:rPr>
          <w:rFonts w:hint="eastAsia" w:ascii="仿宋" w:hAnsi="仿宋" w:eastAsia="仿宋" w:cs="仿宋"/>
          <w:sz w:val="32"/>
          <w:szCs w:val="32"/>
        </w:rPr>
      </w:pPr>
      <w:bookmarkStart w:id="9" w:name="_Toc69899796"/>
      <w:r>
        <w:rPr>
          <w:rFonts w:hint="eastAsia" w:ascii="仿宋" w:hAnsi="仿宋" w:eastAsia="仿宋" w:cs="仿宋"/>
          <w:sz w:val="32"/>
          <w:szCs w:val="32"/>
        </w:rPr>
        <w:t>1.革命文物资源是不可再生、不可替代的宝贵资源，利用数字化手段对革命文物相关信息进行收集、挖掘和再现，减少了文物的实际提用频率，避免了文物在搬运、展出过程中可能出现的安全风险与隐患。开展文物数据采集项目，是对革命文物科学保护的有效方式。</w:t>
      </w:r>
    </w:p>
    <w:p w14:paraId="5AE36FCF">
      <w:pPr>
        <w:pStyle w:val="3"/>
        <w:spacing w:before="0" w:after="0" w:line="360" w:lineRule="auto"/>
        <w:ind w:firstLine="640" w:firstLineChars="200"/>
        <w:rPr>
          <w:rFonts w:hint="eastAsia" w:ascii="仿宋" w:hAnsi="仿宋" w:eastAsia="仿宋" w:cs="仿宋"/>
          <w:b w:val="0"/>
          <w:bCs w:val="0"/>
          <w:kern w:val="2"/>
          <w:sz w:val="32"/>
          <w:szCs w:val="32"/>
        </w:rPr>
      </w:pPr>
      <w:r>
        <w:rPr>
          <w:rFonts w:hint="eastAsia" w:ascii="仿宋" w:hAnsi="仿宋" w:eastAsia="仿宋" w:cs="仿宋"/>
          <w:b w:val="0"/>
          <w:bCs w:val="0"/>
          <w:kern w:val="2"/>
          <w:sz w:val="32"/>
          <w:szCs w:val="32"/>
        </w:rPr>
        <w:t>2.利用采集的文物数据，有利于日后利用数字化方式丰富展览陈列的展出形式，让观众更直观地了解到文物背后蕴含的价值与精神，有利于进一步发挥革命文物服务大局、资政育人和推动发展的独特作用。</w:t>
      </w:r>
      <w:bookmarkStart w:id="10" w:name="_Toc30385"/>
    </w:p>
    <w:p w14:paraId="13E60FFE">
      <w:pPr>
        <w:pStyle w:val="3"/>
        <w:spacing w:before="0" w:after="0" w:line="360" w:lineRule="auto"/>
        <w:ind w:firstLine="640" w:firstLineChars="200"/>
        <w:rPr>
          <w:rFonts w:eastAsia="黑体" w:cs="Times New Roman"/>
          <w:b w:val="0"/>
          <w:bCs w:val="0"/>
          <w:snapToGrid w:val="0"/>
          <w:color w:val="000000"/>
          <w:kern w:val="0"/>
          <w:sz w:val="32"/>
          <w:szCs w:val="32"/>
        </w:rPr>
      </w:pPr>
      <w:r>
        <w:rPr>
          <w:rFonts w:hint="eastAsia" w:eastAsia="黑体" w:cs="黑体"/>
          <w:b w:val="0"/>
          <w:bCs w:val="0"/>
          <w:snapToGrid w:val="0"/>
          <w:color w:val="000000"/>
          <w:kern w:val="0"/>
          <w:sz w:val="32"/>
          <w:szCs w:val="32"/>
        </w:rPr>
        <w:t>二、绩效评价工作开展情况</w:t>
      </w:r>
      <w:bookmarkEnd w:id="9"/>
      <w:bookmarkEnd w:id="10"/>
    </w:p>
    <w:p w14:paraId="59D4ED0A">
      <w:pPr>
        <w:pStyle w:val="4"/>
        <w:spacing w:before="0" w:after="0" w:line="360" w:lineRule="auto"/>
        <w:ind w:firstLine="643" w:firstLineChars="200"/>
        <w:rPr>
          <w:rFonts w:hint="eastAsia" w:ascii="楷体" w:hAnsi="楷体" w:eastAsia="楷体" w:cs="Times New Roman"/>
          <w:kern w:val="44"/>
        </w:rPr>
      </w:pPr>
      <w:bookmarkStart w:id="11" w:name="_Toc69899797"/>
      <w:bookmarkStart w:id="12" w:name="_Toc13420"/>
      <w:r>
        <w:rPr>
          <w:rFonts w:hint="eastAsia" w:ascii="楷体" w:hAnsi="楷体" w:eastAsia="楷体" w:cs="楷体"/>
          <w:kern w:val="44"/>
        </w:rPr>
        <w:t>（一）基本情况</w:t>
      </w:r>
      <w:bookmarkEnd w:id="11"/>
      <w:bookmarkEnd w:id="12"/>
    </w:p>
    <w:p w14:paraId="293598C2">
      <w:pPr>
        <w:spacing w:line="360" w:lineRule="auto"/>
        <w:ind w:firstLine="640" w:firstLineChars="200"/>
        <w:rPr>
          <w:rFonts w:hint="eastAsia" w:ascii="仿宋" w:hAnsi="仿宋" w:eastAsia="仿宋" w:cs="Times New Roman"/>
          <w:sz w:val="32"/>
          <w:szCs w:val="32"/>
        </w:rPr>
      </w:pPr>
      <w:r>
        <w:rPr>
          <w:rFonts w:hint="eastAsia" w:ascii="仿宋" w:hAnsi="仿宋" w:eastAsia="仿宋" w:cs="仿宋"/>
          <w:sz w:val="32"/>
          <w:szCs w:val="32"/>
        </w:rPr>
        <w:t>为全面实施预算绩效管理，建立科学、合理的项目支出绩效评价管理体系，提高财政资源配置效率和使用效益，根据《项目支出绩效评价管理办法》（财预〔</w:t>
      </w:r>
      <w:r>
        <w:rPr>
          <w:rFonts w:ascii="仿宋" w:hAnsi="仿宋" w:eastAsia="仿宋" w:cs="仿宋"/>
          <w:sz w:val="32"/>
          <w:szCs w:val="32"/>
        </w:rPr>
        <w:t>2020</w:t>
      </w:r>
      <w:r>
        <w:rPr>
          <w:rFonts w:hint="eastAsia" w:ascii="仿宋" w:hAnsi="仿宋" w:eastAsia="仿宋" w:cs="仿宋"/>
          <w:sz w:val="32"/>
          <w:szCs w:val="32"/>
        </w:rPr>
        <w:t>〕</w:t>
      </w:r>
      <w:r>
        <w:rPr>
          <w:rFonts w:ascii="仿宋" w:hAnsi="仿宋" w:eastAsia="仿宋" w:cs="仿宋"/>
          <w:sz w:val="32"/>
          <w:szCs w:val="32"/>
        </w:rPr>
        <w:t>10</w:t>
      </w:r>
      <w:r>
        <w:rPr>
          <w:rFonts w:hint="eastAsia" w:ascii="仿宋" w:hAnsi="仿宋" w:eastAsia="仿宋" w:cs="仿宋"/>
          <w:sz w:val="32"/>
          <w:szCs w:val="32"/>
        </w:rPr>
        <w:t>号）、《中共北京市委北京市人民政府关于全面实施预算绩效管理的实施意见》（京发〔</w:t>
      </w:r>
      <w:r>
        <w:rPr>
          <w:rFonts w:ascii="仿宋" w:hAnsi="仿宋" w:eastAsia="仿宋" w:cs="仿宋"/>
          <w:sz w:val="32"/>
          <w:szCs w:val="32"/>
        </w:rPr>
        <w:t>2019</w:t>
      </w:r>
      <w:r>
        <w:rPr>
          <w:rFonts w:hint="eastAsia" w:ascii="仿宋" w:hAnsi="仿宋" w:eastAsia="仿宋" w:cs="仿宋"/>
          <w:sz w:val="32"/>
          <w:szCs w:val="32"/>
        </w:rPr>
        <w:t>〕</w:t>
      </w:r>
      <w:r>
        <w:rPr>
          <w:rFonts w:ascii="仿宋" w:hAnsi="仿宋" w:eastAsia="仿宋" w:cs="仿宋"/>
          <w:sz w:val="32"/>
          <w:szCs w:val="32"/>
        </w:rPr>
        <w:t>12</w:t>
      </w:r>
      <w:r>
        <w:rPr>
          <w:rFonts w:hint="eastAsia" w:ascii="仿宋" w:hAnsi="仿宋" w:eastAsia="仿宋" w:cs="仿宋"/>
          <w:sz w:val="32"/>
          <w:szCs w:val="32"/>
        </w:rPr>
        <w:t>号）等有关规定，香山革命纪念馆委托</w:t>
      </w:r>
      <w:r>
        <w:rPr>
          <w:rFonts w:hint="eastAsia" w:ascii="仿宋" w:hAnsi="仿宋" w:eastAsia="仿宋" w:cs="仿宋"/>
          <w:sz w:val="32"/>
          <w:szCs w:val="32"/>
          <w:lang w:val="en-US" w:eastAsia="zh-CN"/>
        </w:rPr>
        <w:t>第三方协助</w:t>
      </w:r>
      <w:r>
        <w:rPr>
          <w:rFonts w:hint="eastAsia" w:ascii="仿宋" w:hAnsi="仿宋" w:eastAsia="仿宋" w:cs="仿宋"/>
          <w:sz w:val="32"/>
          <w:szCs w:val="32"/>
        </w:rPr>
        <w:t>成立绩效评价工作组，对“2024年香山革命纪念馆文物数据采集”项目绩效情况实施绩效评价，形成本报告。</w:t>
      </w:r>
    </w:p>
    <w:p w14:paraId="3ADE4975">
      <w:pPr>
        <w:spacing w:line="360" w:lineRule="auto"/>
        <w:ind w:firstLine="640" w:firstLineChars="200"/>
        <w:rPr>
          <w:rFonts w:hint="eastAsia" w:ascii="仿宋" w:hAnsi="仿宋" w:eastAsia="仿宋" w:cs="Times New Roman"/>
          <w:sz w:val="32"/>
          <w:szCs w:val="32"/>
        </w:rPr>
      </w:pPr>
      <w:r>
        <w:rPr>
          <w:rFonts w:ascii="仿宋" w:hAnsi="仿宋" w:eastAsia="仿宋" w:cs="仿宋"/>
          <w:sz w:val="32"/>
          <w:szCs w:val="32"/>
        </w:rPr>
        <w:t>1</w:t>
      </w:r>
      <w:r>
        <w:rPr>
          <w:rFonts w:hint="eastAsia" w:ascii="仿宋" w:hAnsi="仿宋" w:eastAsia="仿宋" w:cs="仿宋"/>
          <w:sz w:val="32"/>
          <w:szCs w:val="32"/>
        </w:rPr>
        <w:t>．绩效评价原则</w:t>
      </w:r>
    </w:p>
    <w:p w14:paraId="19F71561">
      <w:pPr>
        <w:spacing w:line="360" w:lineRule="auto"/>
        <w:ind w:firstLine="640" w:firstLineChars="200"/>
        <w:rPr>
          <w:rFonts w:hint="eastAsia" w:ascii="仿宋" w:hAnsi="仿宋" w:eastAsia="仿宋" w:cs="Times New Roman"/>
          <w:sz w:val="32"/>
          <w:szCs w:val="32"/>
        </w:rPr>
      </w:pPr>
      <w:r>
        <w:rPr>
          <w:rFonts w:hint="eastAsia" w:ascii="仿宋" w:hAnsi="仿宋" w:eastAsia="仿宋" w:cs="仿宋"/>
          <w:sz w:val="32"/>
          <w:szCs w:val="32"/>
        </w:rPr>
        <w:t>（</w:t>
      </w:r>
      <w:r>
        <w:rPr>
          <w:rFonts w:ascii="仿宋" w:hAnsi="仿宋" w:eastAsia="仿宋" w:cs="仿宋"/>
          <w:sz w:val="32"/>
          <w:szCs w:val="32"/>
        </w:rPr>
        <w:t>1</w:t>
      </w:r>
      <w:r>
        <w:rPr>
          <w:rFonts w:hint="eastAsia" w:ascii="仿宋" w:hAnsi="仿宋" w:eastAsia="仿宋" w:cs="仿宋"/>
          <w:sz w:val="32"/>
          <w:szCs w:val="32"/>
        </w:rPr>
        <w:t>）科学规范原则。绩效评价严格执行规定的程序，按照科学可行的要求，采用定量与定性分析相结合的方法。</w:t>
      </w:r>
    </w:p>
    <w:p w14:paraId="574EC00E">
      <w:pPr>
        <w:spacing w:line="360" w:lineRule="auto"/>
        <w:ind w:firstLine="640" w:firstLineChars="200"/>
        <w:rPr>
          <w:rFonts w:hint="eastAsia" w:ascii="仿宋" w:hAnsi="仿宋" w:eastAsia="仿宋" w:cs="Times New Roman"/>
          <w:sz w:val="32"/>
          <w:szCs w:val="32"/>
        </w:rPr>
      </w:pPr>
      <w:r>
        <w:rPr>
          <w:rFonts w:hint="eastAsia" w:ascii="仿宋" w:hAnsi="仿宋" w:eastAsia="仿宋" w:cs="仿宋"/>
          <w:sz w:val="32"/>
          <w:szCs w:val="32"/>
        </w:rPr>
        <w:t>（</w:t>
      </w:r>
      <w:r>
        <w:rPr>
          <w:rFonts w:ascii="仿宋" w:hAnsi="仿宋" w:eastAsia="仿宋" w:cs="仿宋"/>
          <w:sz w:val="32"/>
          <w:szCs w:val="32"/>
        </w:rPr>
        <w:t>2</w:t>
      </w:r>
      <w:r>
        <w:rPr>
          <w:rFonts w:hint="eastAsia" w:ascii="仿宋" w:hAnsi="仿宋" w:eastAsia="仿宋" w:cs="仿宋"/>
          <w:sz w:val="32"/>
          <w:szCs w:val="32"/>
        </w:rPr>
        <w:t>）公正公开原则。绩效评价符合真实、客观、公正的要求，依法公开并接受监督。</w:t>
      </w:r>
    </w:p>
    <w:p w14:paraId="2AF2198F">
      <w:pPr>
        <w:spacing w:line="360" w:lineRule="auto"/>
        <w:ind w:firstLine="640" w:firstLineChars="200"/>
        <w:rPr>
          <w:rFonts w:hint="eastAsia" w:ascii="仿宋" w:hAnsi="仿宋" w:eastAsia="仿宋" w:cs="Times New Roman"/>
          <w:sz w:val="32"/>
          <w:szCs w:val="32"/>
        </w:rPr>
      </w:pPr>
      <w:r>
        <w:rPr>
          <w:rFonts w:hint="eastAsia" w:ascii="仿宋" w:hAnsi="仿宋" w:eastAsia="仿宋" w:cs="仿宋"/>
          <w:sz w:val="32"/>
          <w:szCs w:val="32"/>
        </w:rPr>
        <w:t>（</w:t>
      </w:r>
      <w:r>
        <w:rPr>
          <w:rFonts w:ascii="仿宋" w:hAnsi="仿宋" w:eastAsia="仿宋" w:cs="仿宋"/>
          <w:sz w:val="32"/>
          <w:szCs w:val="32"/>
        </w:rPr>
        <w:t>3</w:t>
      </w:r>
      <w:r>
        <w:rPr>
          <w:rFonts w:hint="eastAsia" w:ascii="仿宋" w:hAnsi="仿宋" w:eastAsia="仿宋" w:cs="仿宋"/>
          <w:sz w:val="32"/>
          <w:szCs w:val="32"/>
        </w:rPr>
        <w:t>）分级分类原则。绩效评价由香山革命纪念馆根据评价对象的特点组织实施。</w:t>
      </w:r>
    </w:p>
    <w:p w14:paraId="48F091D3">
      <w:pPr>
        <w:spacing w:line="360" w:lineRule="auto"/>
        <w:ind w:firstLine="640" w:firstLineChars="200"/>
        <w:rPr>
          <w:rFonts w:hint="eastAsia" w:ascii="仿宋" w:hAnsi="仿宋" w:eastAsia="仿宋" w:cs="Times New Roman"/>
          <w:sz w:val="32"/>
          <w:szCs w:val="32"/>
        </w:rPr>
      </w:pPr>
      <w:r>
        <w:rPr>
          <w:rFonts w:hint="eastAsia" w:ascii="仿宋" w:hAnsi="仿宋" w:eastAsia="仿宋" w:cs="仿宋"/>
          <w:sz w:val="32"/>
          <w:szCs w:val="32"/>
        </w:rPr>
        <w:t>（</w:t>
      </w:r>
      <w:r>
        <w:rPr>
          <w:rFonts w:ascii="仿宋" w:hAnsi="仿宋" w:eastAsia="仿宋" w:cs="仿宋"/>
          <w:sz w:val="32"/>
          <w:szCs w:val="32"/>
        </w:rPr>
        <w:t>4</w:t>
      </w:r>
      <w:r>
        <w:rPr>
          <w:rFonts w:hint="eastAsia" w:ascii="仿宋" w:hAnsi="仿宋" w:eastAsia="仿宋" w:cs="仿宋"/>
          <w:sz w:val="32"/>
          <w:szCs w:val="32"/>
        </w:rPr>
        <w:t>）绩效相关原则。绩效评价针对具体支出及其产出绩效进行，评价结果清晰反映支出和产出绩效之间的紧密对应关系。</w:t>
      </w:r>
    </w:p>
    <w:p w14:paraId="3E9F464D">
      <w:pPr>
        <w:spacing w:line="360" w:lineRule="auto"/>
        <w:ind w:firstLine="640" w:firstLineChars="200"/>
        <w:rPr>
          <w:rFonts w:hint="eastAsia" w:ascii="仿宋" w:hAnsi="仿宋" w:eastAsia="仿宋" w:cs="Times New Roman"/>
          <w:sz w:val="32"/>
          <w:szCs w:val="32"/>
        </w:rPr>
      </w:pPr>
      <w:bookmarkStart w:id="13" w:name="_Toc371943464"/>
      <w:r>
        <w:rPr>
          <w:rFonts w:ascii="仿宋" w:hAnsi="仿宋" w:eastAsia="仿宋" w:cs="仿宋"/>
          <w:sz w:val="32"/>
          <w:szCs w:val="32"/>
        </w:rPr>
        <w:t>2</w:t>
      </w:r>
      <w:r>
        <w:rPr>
          <w:rFonts w:hint="eastAsia" w:ascii="仿宋" w:hAnsi="仿宋" w:eastAsia="仿宋" w:cs="仿宋"/>
          <w:sz w:val="32"/>
          <w:szCs w:val="32"/>
        </w:rPr>
        <w:t>．绩效评价方法及指标体系</w:t>
      </w:r>
      <w:bookmarkEnd w:id="13"/>
    </w:p>
    <w:p w14:paraId="688F0901">
      <w:pPr>
        <w:spacing w:line="360" w:lineRule="auto"/>
        <w:ind w:firstLine="640" w:firstLineChars="200"/>
        <w:rPr>
          <w:rFonts w:hint="eastAsia" w:ascii="仿宋" w:hAnsi="仿宋" w:eastAsia="仿宋" w:cs="Times New Roman"/>
          <w:sz w:val="32"/>
          <w:szCs w:val="32"/>
        </w:rPr>
      </w:pPr>
      <w:r>
        <w:rPr>
          <w:rFonts w:hint="eastAsia" w:ascii="仿宋" w:hAnsi="仿宋" w:eastAsia="仿宋" w:cs="仿宋"/>
          <w:sz w:val="32"/>
          <w:szCs w:val="32"/>
        </w:rPr>
        <w:t>评价工作组结合项目的特点，按照文件规定的评价方法，依据项目单位提供的资料，参照“财政支出项目绩效评价指标体系（范本）”，增设三、四级指标，制订“2024年香山革命纪念馆文物数据采集”项目指标体系。同时，遴选业务专家、财务专家和管理专家组成专家组，对该项目的执行情况进行评价，专家出具独立评价意见。</w:t>
      </w:r>
    </w:p>
    <w:p w14:paraId="3AE50214">
      <w:pPr>
        <w:pStyle w:val="4"/>
        <w:spacing w:before="0" w:after="0" w:line="360" w:lineRule="auto"/>
        <w:ind w:firstLine="643" w:firstLineChars="200"/>
        <w:rPr>
          <w:rFonts w:hint="eastAsia" w:ascii="楷体" w:hAnsi="楷体" w:eastAsia="楷体" w:cs="Times New Roman"/>
          <w:kern w:val="44"/>
        </w:rPr>
      </w:pPr>
      <w:bookmarkStart w:id="14" w:name="_Toc18940"/>
      <w:bookmarkStart w:id="15" w:name="_Toc69899798"/>
      <w:r>
        <w:rPr>
          <w:rFonts w:hint="eastAsia" w:ascii="楷体" w:hAnsi="楷体" w:eastAsia="楷体" w:cs="楷体"/>
          <w:kern w:val="44"/>
        </w:rPr>
        <w:t>（二）评价组织实施</w:t>
      </w:r>
      <w:bookmarkEnd w:id="14"/>
      <w:bookmarkEnd w:id="15"/>
    </w:p>
    <w:p w14:paraId="009A3C23">
      <w:pPr>
        <w:spacing w:line="360" w:lineRule="auto"/>
        <w:ind w:firstLine="640" w:firstLineChars="200"/>
        <w:rPr>
          <w:rFonts w:hint="eastAsia" w:ascii="仿宋" w:hAnsi="仿宋" w:eastAsia="仿宋" w:cs="Times New Roman"/>
          <w:sz w:val="32"/>
          <w:szCs w:val="32"/>
        </w:rPr>
      </w:pPr>
      <w:r>
        <w:rPr>
          <w:rFonts w:hint="eastAsia" w:ascii="仿宋" w:hAnsi="仿宋" w:eastAsia="仿宋" w:cs="仿宋"/>
          <w:sz w:val="32"/>
          <w:szCs w:val="32"/>
        </w:rPr>
        <w:t>绩效评价工作程序主要分为评价准备、评价实施、评价总结三个阶段。</w:t>
      </w:r>
    </w:p>
    <w:p w14:paraId="4E3E2AD6">
      <w:pPr>
        <w:spacing w:line="360" w:lineRule="auto"/>
        <w:ind w:firstLine="640" w:firstLineChars="200"/>
        <w:rPr>
          <w:rFonts w:hint="eastAsia" w:ascii="仿宋" w:hAnsi="仿宋" w:eastAsia="仿宋" w:cs="Times New Roman"/>
          <w:sz w:val="32"/>
          <w:szCs w:val="32"/>
        </w:rPr>
      </w:pPr>
      <w:bookmarkStart w:id="16" w:name="_Toc371943466"/>
      <w:r>
        <w:rPr>
          <w:rFonts w:ascii="仿宋" w:hAnsi="仿宋" w:eastAsia="仿宋" w:cs="仿宋"/>
          <w:sz w:val="32"/>
          <w:szCs w:val="32"/>
        </w:rPr>
        <w:t>1</w:t>
      </w:r>
      <w:r>
        <w:rPr>
          <w:rFonts w:hint="eastAsia" w:ascii="仿宋" w:hAnsi="仿宋" w:eastAsia="仿宋" w:cs="仿宋"/>
          <w:sz w:val="32"/>
          <w:szCs w:val="32"/>
        </w:rPr>
        <w:t>．评价准备阶段</w:t>
      </w:r>
      <w:bookmarkEnd w:id="16"/>
    </w:p>
    <w:p w14:paraId="50AF2A94">
      <w:pPr>
        <w:spacing w:line="360" w:lineRule="auto"/>
        <w:ind w:firstLine="640" w:firstLineChars="200"/>
        <w:rPr>
          <w:rFonts w:hint="eastAsia" w:ascii="仿宋" w:hAnsi="仿宋" w:eastAsia="仿宋" w:cs="Times New Roman"/>
          <w:sz w:val="32"/>
          <w:szCs w:val="32"/>
        </w:rPr>
      </w:pPr>
      <w:r>
        <w:rPr>
          <w:rFonts w:hint="eastAsia" w:ascii="仿宋" w:hAnsi="仿宋" w:eastAsia="仿宋" w:cs="仿宋"/>
          <w:sz w:val="32"/>
          <w:szCs w:val="32"/>
        </w:rPr>
        <w:t>（</w:t>
      </w:r>
      <w:r>
        <w:rPr>
          <w:rFonts w:ascii="仿宋" w:hAnsi="仿宋" w:eastAsia="仿宋" w:cs="仿宋"/>
          <w:sz w:val="32"/>
          <w:szCs w:val="32"/>
        </w:rPr>
        <w:t>1</w:t>
      </w:r>
      <w:r>
        <w:rPr>
          <w:rFonts w:hint="eastAsia" w:ascii="仿宋" w:hAnsi="仿宋" w:eastAsia="仿宋" w:cs="仿宋"/>
          <w:sz w:val="32"/>
          <w:szCs w:val="32"/>
        </w:rPr>
        <w:t>）根据《北京市财政支出绩效评价管理暂行办法》，成立绩效评价工作组，并对项目评价工作人员进行业务培训。</w:t>
      </w:r>
    </w:p>
    <w:p w14:paraId="0E9FA740">
      <w:pPr>
        <w:spacing w:line="360" w:lineRule="auto"/>
        <w:ind w:firstLine="640" w:firstLineChars="200"/>
        <w:rPr>
          <w:rFonts w:hint="eastAsia" w:ascii="仿宋" w:hAnsi="仿宋" w:eastAsia="仿宋" w:cs="Times New Roman"/>
          <w:sz w:val="32"/>
          <w:szCs w:val="32"/>
        </w:rPr>
      </w:pPr>
      <w:r>
        <w:rPr>
          <w:rFonts w:hint="eastAsia" w:ascii="仿宋" w:hAnsi="仿宋" w:eastAsia="仿宋" w:cs="仿宋"/>
          <w:sz w:val="32"/>
          <w:szCs w:val="32"/>
        </w:rPr>
        <w:t>（</w:t>
      </w:r>
      <w:r>
        <w:rPr>
          <w:rFonts w:ascii="仿宋" w:hAnsi="仿宋" w:eastAsia="仿宋" w:cs="仿宋"/>
          <w:sz w:val="32"/>
          <w:szCs w:val="32"/>
        </w:rPr>
        <w:t>2</w:t>
      </w:r>
      <w:r>
        <w:rPr>
          <w:rFonts w:hint="eastAsia" w:ascii="仿宋" w:hAnsi="仿宋" w:eastAsia="仿宋" w:cs="仿宋"/>
          <w:sz w:val="32"/>
          <w:szCs w:val="32"/>
        </w:rPr>
        <w:t>）评价工作组入户，与项目单位进行初步沟通，了解项目申报及执行情况，收集业务资料。</w:t>
      </w:r>
    </w:p>
    <w:p w14:paraId="0A86A084">
      <w:pPr>
        <w:spacing w:line="360" w:lineRule="auto"/>
        <w:ind w:firstLine="640" w:firstLineChars="200"/>
        <w:rPr>
          <w:rFonts w:hint="eastAsia" w:ascii="仿宋" w:hAnsi="仿宋" w:eastAsia="仿宋" w:cs="Times New Roman"/>
          <w:sz w:val="32"/>
          <w:szCs w:val="32"/>
        </w:rPr>
      </w:pPr>
      <w:r>
        <w:rPr>
          <w:rFonts w:hint="eastAsia" w:ascii="仿宋" w:hAnsi="仿宋" w:eastAsia="仿宋" w:cs="仿宋"/>
          <w:sz w:val="32"/>
          <w:szCs w:val="32"/>
        </w:rPr>
        <w:t>（</w:t>
      </w:r>
      <w:r>
        <w:rPr>
          <w:rFonts w:ascii="仿宋" w:hAnsi="仿宋" w:eastAsia="仿宋" w:cs="仿宋"/>
          <w:sz w:val="32"/>
          <w:szCs w:val="32"/>
        </w:rPr>
        <w:t>3</w:t>
      </w:r>
      <w:r>
        <w:rPr>
          <w:rFonts w:hint="eastAsia" w:ascii="仿宋" w:hAnsi="仿宋" w:eastAsia="仿宋" w:cs="仿宋"/>
          <w:sz w:val="32"/>
          <w:szCs w:val="32"/>
        </w:rPr>
        <w:t>）项目单位归集整理项目工作进展及资金运用情况、目标内容的完成情况。</w:t>
      </w:r>
    </w:p>
    <w:p w14:paraId="3DBED991">
      <w:pPr>
        <w:spacing w:line="360" w:lineRule="auto"/>
        <w:ind w:firstLine="640" w:firstLineChars="200"/>
        <w:rPr>
          <w:rFonts w:hint="eastAsia" w:ascii="仿宋" w:hAnsi="仿宋" w:eastAsia="仿宋" w:cs="Times New Roman"/>
          <w:sz w:val="32"/>
          <w:szCs w:val="32"/>
        </w:rPr>
      </w:pPr>
      <w:r>
        <w:rPr>
          <w:rFonts w:hint="eastAsia" w:ascii="仿宋" w:hAnsi="仿宋" w:eastAsia="仿宋" w:cs="仿宋"/>
          <w:sz w:val="32"/>
          <w:szCs w:val="32"/>
        </w:rPr>
        <w:t>（</w:t>
      </w:r>
      <w:r>
        <w:rPr>
          <w:rFonts w:ascii="仿宋" w:hAnsi="仿宋" w:eastAsia="仿宋" w:cs="仿宋"/>
          <w:sz w:val="32"/>
          <w:szCs w:val="32"/>
        </w:rPr>
        <w:t>4</w:t>
      </w:r>
      <w:r>
        <w:rPr>
          <w:rFonts w:hint="eastAsia" w:ascii="仿宋" w:hAnsi="仿宋" w:eastAsia="仿宋" w:cs="仿宋"/>
          <w:sz w:val="32"/>
          <w:szCs w:val="32"/>
        </w:rPr>
        <w:t>）评价工作组制订项目评价方案，形成考核指标体系初稿。</w:t>
      </w:r>
    </w:p>
    <w:p w14:paraId="12145C1B">
      <w:pPr>
        <w:spacing w:line="360" w:lineRule="auto"/>
        <w:ind w:firstLine="640" w:firstLineChars="200"/>
        <w:rPr>
          <w:rFonts w:hint="eastAsia" w:ascii="仿宋" w:hAnsi="仿宋" w:eastAsia="仿宋" w:cs="Times New Roman"/>
          <w:sz w:val="32"/>
          <w:szCs w:val="32"/>
        </w:rPr>
      </w:pPr>
      <w:r>
        <w:rPr>
          <w:rFonts w:hint="eastAsia" w:ascii="仿宋" w:hAnsi="仿宋" w:eastAsia="仿宋" w:cs="仿宋"/>
          <w:sz w:val="32"/>
          <w:szCs w:val="32"/>
        </w:rPr>
        <w:t>（</w:t>
      </w:r>
      <w:r>
        <w:rPr>
          <w:rFonts w:ascii="仿宋" w:hAnsi="仿宋" w:eastAsia="仿宋" w:cs="仿宋"/>
          <w:sz w:val="32"/>
          <w:szCs w:val="32"/>
        </w:rPr>
        <w:t>5</w:t>
      </w:r>
      <w:r>
        <w:rPr>
          <w:rFonts w:hint="eastAsia" w:ascii="仿宋" w:hAnsi="仿宋" w:eastAsia="仿宋" w:cs="仿宋"/>
          <w:sz w:val="32"/>
          <w:szCs w:val="32"/>
        </w:rPr>
        <w:t>）评价工作组辅导项目单位编写项目绩效自评报告。同时，遵循客观、公正的原则，在专家库选取</w:t>
      </w:r>
      <w:r>
        <w:rPr>
          <w:rFonts w:ascii="仿宋" w:hAnsi="仿宋" w:eastAsia="仿宋" w:cs="仿宋"/>
          <w:sz w:val="32"/>
          <w:szCs w:val="32"/>
        </w:rPr>
        <w:t>2</w:t>
      </w:r>
      <w:r>
        <w:rPr>
          <w:rFonts w:hint="eastAsia" w:ascii="仿宋" w:hAnsi="仿宋" w:eastAsia="仿宋" w:cs="仿宋"/>
          <w:sz w:val="32"/>
          <w:szCs w:val="32"/>
        </w:rPr>
        <w:t>名业务专家、</w:t>
      </w:r>
      <w:r>
        <w:rPr>
          <w:rFonts w:ascii="仿宋" w:hAnsi="仿宋" w:eastAsia="仿宋" w:cs="仿宋"/>
          <w:sz w:val="32"/>
          <w:szCs w:val="32"/>
        </w:rPr>
        <w:t>2</w:t>
      </w:r>
      <w:r>
        <w:rPr>
          <w:rFonts w:hint="eastAsia" w:ascii="仿宋" w:hAnsi="仿宋" w:eastAsia="仿宋" w:cs="仿宋"/>
          <w:sz w:val="32"/>
          <w:szCs w:val="32"/>
        </w:rPr>
        <w:t>名管理专家及</w:t>
      </w:r>
      <w:r>
        <w:rPr>
          <w:rFonts w:ascii="仿宋" w:hAnsi="仿宋" w:eastAsia="仿宋" w:cs="仿宋"/>
          <w:sz w:val="32"/>
          <w:szCs w:val="32"/>
        </w:rPr>
        <w:t>1</w:t>
      </w:r>
      <w:r>
        <w:rPr>
          <w:rFonts w:hint="eastAsia" w:ascii="仿宋" w:hAnsi="仿宋" w:eastAsia="仿宋" w:cs="仿宋"/>
          <w:sz w:val="32"/>
          <w:szCs w:val="32"/>
        </w:rPr>
        <w:t>名财务专家，组成绩效评价专家组。</w:t>
      </w:r>
    </w:p>
    <w:p w14:paraId="2F18854C">
      <w:pPr>
        <w:spacing w:line="360" w:lineRule="auto"/>
        <w:ind w:firstLine="640" w:firstLineChars="200"/>
        <w:rPr>
          <w:rFonts w:hint="eastAsia" w:ascii="仿宋" w:hAnsi="仿宋" w:eastAsia="仿宋" w:cs="Times New Roman"/>
          <w:sz w:val="32"/>
          <w:szCs w:val="32"/>
        </w:rPr>
      </w:pPr>
      <w:r>
        <w:rPr>
          <w:rFonts w:hint="eastAsia" w:ascii="仿宋" w:hAnsi="仿宋" w:eastAsia="仿宋" w:cs="仿宋"/>
          <w:sz w:val="32"/>
          <w:szCs w:val="32"/>
        </w:rPr>
        <w:t>（</w:t>
      </w:r>
      <w:r>
        <w:rPr>
          <w:rFonts w:ascii="仿宋" w:hAnsi="仿宋" w:eastAsia="仿宋" w:cs="仿宋"/>
          <w:sz w:val="32"/>
          <w:szCs w:val="32"/>
        </w:rPr>
        <w:t>6</w:t>
      </w:r>
      <w:r>
        <w:rPr>
          <w:rFonts w:hint="eastAsia" w:ascii="仿宋" w:hAnsi="仿宋" w:eastAsia="仿宋" w:cs="仿宋"/>
          <w:sz w:val="32"/>
          <w:szCs w:val="32"/>
        </w:rPr>
        <w:t>）评价工作组根据前段工作情况，补充完善相关资料，细化评价指标体系。</w:t>
      </w:r>
    </w:p>
    <w:p w14:paraId="4DDB850C">
      <w:pPr>
        <w:spacing w:line="360" w:lineRule="auto"/>
        <w:ind w:firstLine="640" w:firstLineChars="200"/>
        <w:rPr>
          <w:rFonts w:hint="eastAsia" w:ascii="仿宋" w:hAnsi="仿宋" w:eastAsia="仿宋" w:cs="Times New Roman"/>
          <w:sz w:val="32"/>
          <w:szCs w:val="32"/>
        </w:rPr>
      </w:pPr>
      <w:bookmarkStart w:id="17" w:name="_Toc371943467"/>
      <w:r>
        <w:rPr>
          <w:rFonts w:ascii="仿宋" w:hAnsi="仿宋" w:eastAsia="仿宋" w:cs="仿宋"/>
          <w:sz w:val="32"/>
          <w:szCs w:val="32"/>
        </w:rPr>
        <w:t>2</w:t>
      </w:r>
      <w:r>
        <w:rPr>
          <w:rFonts w:hint="eastAsia" w:ascii="仿宋" w:hAnsi="仿宋" w:eastAsia="仿宋" w:cs="仿宋"/>
          <w:sz w:val="32"/>
          <w:szCs w:val="32"/>
        </w:rPr>
        <w:t>．评价实施阶段</w:t>
      </w:r>
      <w:bookmarkEnd w:id="17"/>
    </w:p>
    <w:p w14:paraId="3BDC727B">
      <w:pPr>
        <w:spacing w:line="360" w:lineRule="auto"/>
        <w:ind w:firstLine="640" w:firstLineChars="200"/>
        <w:rPr>
          <w:rFonts w:hint="eastAsia" w:ascii="仿宋" w:hAnsi="仿宋" w:eastAsia="仿宋" w:cs="Times New Roman"/>
          <w:sz w:val="32"/>
          <w:szCs w:val="32"/>
        </w:rPr>
      </w:pPr>
      <w:r>
        <w:rPr>
          <w:rFonts w:hint="eastAsia" w:ascii="仿宋" w:hAnsi="仿宋" w:eastAsia="仿宋" w:cs="仿宋"/>
          <w:sz w:val="32"/>
          <w:szCs w:val="32"/>
        </w:rPr>
        <w:t>（</w:t>
      </w:r>
      <w:r>
        <w:rPr>
          <w:rFonts w:ascii="仿宋" w:hAnsi="仿宋" w:eastAsia="仿宋" w:cs="仿宋"/>
          <w:sz w:val="32"/>
          <w:szCs w:val="32"/>
        </w:rPr>
        <w:t>1</w:t>
      </w:r>
      <w:r>
        <w:rPr>
          <w:rFonts w:hint="eastAsia" w:ascii="仿宋" w:hAnsi="仿宋" w:eastAsia="仿宋" w:cs="仿宋"/>
          <w:sz w:val="32"/>
          <w:szCs w:val="32"/>
        </w:rPr>
        <w:t>）项目绩效自评报告复核。评价工作组在规定时间内，按要求对提交的项目绩效自评报告和相关材料进行复核。复核内容主要包括：绩效报告中各项内容的完整性、真实性，各项数据的逻辑关系、勾稽关系的准确性。发现问题，及时反馈意见，要求项目单位进行修改、完善。同时，评价工作组人员对所收集的资料实地勘测、查对，并对现场考察所掌握的情况进行认真核对、全面分析，进行资金合规性审查。对重要的和存在疑问的基础数据资料进行核实确认，确保评价数据的真实性。</w:t>
      </w:r>
    </w:p>
    <w:p w14:paraId="2BA36E99">
      <w:pPr>
        <w:spacing w:line="360" w:lineRule="auto"/>
        <w:ind w:firstLine="640" w:firstLineChars="200"/>
        <w:rPr>
          <w:rFonts w:hint="eastAsia" w:ascii="仿宋" w:hAnsi="仿宋" w:eastAsia="仿宋" w:cs="Times New Roman"/>
          <w:sz w:val="32"/>
          <w:szCs w:val="32"/>
        </w:rPr>
      </w:pPr>
      <w:r>
        <w:rPr>
          <w:rFonts w:hint="eastAsia" w:ascii="仿宋" w:hAnsi="仿宋" w:eastAsia="仿宋" w:cs="仿宋"/>
          <w:sz w:val="32"/>
          <w:szCs w:val="32"/>
        </w:rPr>
        <w:t>（</w:t>
      </w:r>
      <w:r>
        <w:rPr>
          <w:rFonts w:ascii="仿宋" w:hAnsi="仿宋" w:eastAsia="仿宋" w:cs="仿宋"/>
          <w:sz w:val="32"/>
          <w:szCs w:val="32"/>
        </w:rPr>
        <w:t>2</w:t>
      </w:r>
      <w:r>
        <w:rPr>
          <w:rFonts w:hint="eastAsia" w:ascii="仿宋" w:hAnsi="仿宋" w:eastAsia="仿宋" w:cs="仿宋"/>
          <w:sz w:val="32"/>
          <w:szCs w:val="32"/>
        </w:rPr>
        <w:t>）编制专家评价手册，准备专家评价会议所需资料。</w:t>
      </w:r>
    </w:p>
    <w:p w14:paraId="0833D0A2">
      <w:pPr>
        <w:spacing w:line="360" w:lineRule="auto"/>
        <w:ind w:firstLine="640" w:firstLineChars="200"/>
        <w:rPr>
          <w:rFonts w:hint="eastAsia" w:ascii="仿宋" w:hAnsi="仿宋" w:eastAsia="仿宋" w:cs="Times New Roman"/>
          <w:sz w:val="32"/>
          <w:szCs w:val="32"/>
        </w:rPr>
      </w:pPr>
      <w:r>
        <w:rPr>
          <w:rFonts w:hint="eastAsia" w:ascii="仿宋" w:hAnsi="仿宋" w:eastAsia="仿宋" w:cs="仿宋"/>
          <w:sz w:val="32"/>
          <w:szCs w:val="32"/>
        </w:rPr>
        <w:t>（</w:t>
      </w:r>
      <w:r>
        <w:rPr>
          <w:rFonts w:ascii="仿宋" w:hAnsi="仿宋" w:eastAsia="仿宋" w:cs="仿宋"/>
          <w:sz w:val="32"/>
          <w:szCs w:val="32"/>
        </w:rPr>
        <w:t>3</w:t>
      </w:r>
      <w:r>
        <w:rPr>
          <w:rFonts w:hint="eastAsia" w:ascii="仿宋" w:hAnsi="仿宋" w:eastAsia="仿宋" w:cs="仿宋"/>
          <w:sz w:val="32"/>
          <w:szCs w:val="32"/>
        </w:rPr>
        <w:t>）组织实施评价。</w:t>
      </w:r>
    </w:p>
    <w:p w14:paraId="2283E7E4">
      <w:pPr>
        <w:spacing w:line="360" w:lineRule="auto"/>
        <w:ind w:firstLine="640" w:firstLineChars="200"/>
        <w:rPr>
          <w:rFonts w:hint="eastAsia" w:ascii="仿宋" w:hAnsi="仿宋" w:eastAsia="仿宋" w:cs="Times New Roman"/>
          <w:sz w:val="32"/>
          <w:szCs w:val="32"/>
        </w:rPr>
      </w:pPr>
      <w:r>
        <w:rPr>
          <w:rFonts w:hint="eastAsia" w:ascii="仿宋" w:hAnsi="仿宋" w:eastAsia="仿宋" w:cs="仿宋"/>
          <w:sz w:val="32"/>
          <w:szCs w:val="32"/>
        </w:rPr>
        <w:t>（</w:t>
      </w:r>
      <w:r>
        <w:rPr>
          <w:rFonts w:ascii="仿宋" w:hAnsi="仿宋" w:eastAsia="仿宋" w:cs="仿宋"/>
          <w:sz w:val="32"/>
          <w:szCs w:val="32"/>
        </w:rPr>
        <w:t>4</w:t>
      </w:r>
      <w:r>
        <w:rPr>
          <w:rFonts w:hint="eastAsia" w:ascii="仿宋" w:hAnsi="仿宋" w:eastAsia="仿宋" w:cs="仿宋"/>
          <w:sz w:val="32"/>
          <w:szCs w:val="32"/>
        </w:rPr>
        <w:t>）汇总专家意见，形成评价报告初稿。</w:t>
      </w:r>
    </w:p>
    <w:p w14:paraId="14F7EB79">
      <w:pPr>
        <w:spacing w:line="360" w:lineRule="auto"/>
        <w:ind w:firstLine="640" w:firstLineChars="200"/>
        <w:rPr>
          <w:rFonts w:hint="eastAsia" w:ascii="仿宋" w:hAnsi="仿宋" w:eastAsia="仿宋" w:cs="Times New Roman"/>
          <w:sz w:val="32"/>
          <w:szCs w:val="32"/>
        </w:rPr>
      </w:pPr>
      <w:bookmarkStart w:id="18" w:name="_Toc371943468"/>
      <w:r>
        <w:rPr>
          <w:rFonts w:ascii="仿宋" w:hAnsi="仿宋" w:eastAsia="仿宋" w:cs="仿宋"/>
          <w:sz w:val="32"/>
          <w:szCs w:val="32"/>
        </w:rPr>
        <w:t>3</w:t>
      </w:r>
      <w:r>
        <w:rPr>
          <w:rFonts w:hint="eastAsia" w:ascii="仿宋" w:hAnsi="仿宋" w:eastAsia="仿宋" w:cs="仿宋"/>
          <w:sz w:val="32"/>
          <w:szCs w:val="32"/>
        </w:rPr>
        <w:t>．评价总结阶段</w:t>
      </w:r>
      <w:bookmarkEnd w:id="18"/>
    </w:p>
    <w:p w14:paraId="6E5F45F7">
      <w:pPr>
        <w:spacing w:line="360" w:lineRule="auto"/>
        <w:ind w:firstLine="640" w:firstLineChars="200"/>
        <w:rPr>
          <w:rFonts w:hint="eastAsia" w:ascii="仿宋" w:hAnsi="仿宋" w:eastAsia="仿宋" w:cs="Times New Roman"/>
          <w:sz w:val="32"/>
          <w:szCs w:val="32"/>
        </w:rPr>
      </w:pPr>
      <w:r>
        <w:rPr>
          <w:rFonts w:hint="eastAsia" w:ascii="仿宋" w:hAnsi="仿宋" w:eastAsia="仿宋" w:cs="仿宋"/>
          <w:sz w:val="32"/>
          <w:szCs w:val="32"/>
        </w:rPr>
        <w:t>（</w:t>
      </w:r>
      <w:r>
        <w:rPr>
          <w:rFonts w:ascii="仿宋" w:hAnsi="仿宋" w:eastAsia="仿宋" w:cs="仿宋"/>
          <w:sz w:val="32"/>
          <w:szCs w:val="32"/>
        </w:rPr>
        <w:t>1</w:t>
      </w:r>
      <w:r>
        <w:rPr>
          <w:rFonts w:hint="eastAsia" w:ascii="仿宋" w:hAnsi="仿宋" w:eastAsia="仿宋" w:cs="仿宋"/>
          <w:sz w:val="32"/>
          <w:szCs w:val="32"/>
        </w:rPr>
        <w:t>）与项目单位沟通意见，在充分研究论证的基础上，修改和完善项目绩效评价报告。</w:t>
      </w:r>
    </w:p>
    <w:p w14:paraId="67A2045A">
      <w:pPr>
        <w:spacing w:line="360" w:lineRule="auto"/>
        <w:ind w:firstLine="640" w:firstLineChars="200"/>
        <w:rPr>
          <w:rFonts w:hint="eastAsia" w:ascii="仿宋" w:hAnsi="仿宋" w:eastAsia="仿宋" w:cs="Times New Roman"/>
          <w:sz w:val="32"/>
          <w:szCs w:val="32"/>
        </w:rPr>
      </w:pPr>
      <w:r>
        <w:rPr>
          <w:rFonts w:hint="eastAsia" w:ascii="仿宋" w:hAnsi="仿宋" w:eastAsia="仿宋" w:cs="仿宋"/>
          <w:sz w:val="32"/>
          <w:szCs w:val="32"/>
        </w:rPr>
        <w:t>（</w:t>
      </w:r>
      <w:r>
        <w:rPr>
          <w:rFonts w:ascii="仿宋" w:hAnsi="仿宋" w:eastAsia="仿宋" w:cs="仿宋"/>
          <w:sz w:val="32"/>
          <w:szCs w:val="32"/>
        </w:rPr>
        <w:t>2</w:t>
      </w:r>
      <w:r>
        <w:rPr>
          <w:rFonts w:hint="eastAsia" w:ascii="仿宋" w:hAnsi="仿宋" w:eastAsia="仿宋" w:cs="仿宋"/>
          <w:sz w:val="32"/>
          <w:szCs w:val="32"/>
        </w:rPr>
        <w:t>）协助做好此次评价后续工作。</w:t>
      </w:r>
    </w:p>
    <w:p w14:paraId="3CE90ACA">
      <w:pPr>
        <w:pStyle w:val="3"/>
        <w:spacing w:before="0" w:after="0" w:line="360" w:lineRule="auto"/>
        <w:ind w:firstLine="640" w:firstLineChars="200"/>
        <w:rPr>
          <w:rFonts w:eastAsia="黑体" w:cs="Times New Roman"/>
          <w:b w:val="0"/>
          <w:bCs w:val="0"/>
          <w:snapToGrid w:val="0"/>
          <w:color w:val="000000"/>
          <w:kern w:val="0"/>
          <w:sz w:val="32"/>
          <w:szCs w:val="32"/>
        </w:rPr>
      </w:pPr>
      <w:bookmarkStart w:id="19" w:name="_Toc69899799"/>
      <w:bookmarkStart w:id="20" w:name="_Toc116"/>
      <w:r>
        <w:rPr>
          <w:rFonts w:hint="eastAsia" w:eastAsia="黑体" w:cs="黑体"/>
          <w:b w:val="0"/>
          <w:bCs w:val="0"/>
          <w:snapToGrid w:val="0"/>
          <w:color w:val="000000"/>
          <w:kern w:val="0"/>
          <w:sz w:val="32"/>
          <w:szCs w:val="32"/>
        </w:rPr>
        <w:t>三、综合评价情况及评价结论</w:t>
      </w:r>
      <w:bookmarkEnd w:id="19"/>
      <w:bookmarkEnd w:id="20"/>
    </w:p>
    <w:p w14:paraId="294B9D30">
      <w:pPr>
        <w:spacing w:line="360" w:lineRule="auto"/>
        <w:ind w:firstLine="640" w:firstLineChars="200"/>
        <w:rPr>
          <w:rFonts w:hint="eastAsia" w:ascii="仿宋" w:hAnsi="仿宋" w:eastAsia="仿宋" w:cs="Times New Roman"/>
          <w:sz w:val="32"/>
          <w:szCs w:val="32"/>
        </w:rPr>
      </w:pPr>
      <w:r>
        <w:rPr>
          <w:rFonts w:hint="eastAsia" w:ascii="仿宋" w:hAnsi="仿宋" w:eastAsia="仿宋" w:cs="仿宋"/>
          <w:sz w:val="32"/>
          <w:szCs w:val="32"/>
        </w:rPr>
        <w:t>该项目立项背景完善，项目实施效果较为显著。但绩效指标设置不够细化，需加强项目实施过程中的组织管理和绩效资料收集。</w:t>
      </w:r>
    </w:p>
    <w:p w14:paraId="4160AA7C">
      <w:pPr>
        <w:spacing w:line="360" w:lineRule="auto"/>
        <w:ind w:firstLine="640" w:firstLineChars="200"/>
        <w:rPr>
          <w:rFonts w:hint="eastAsia" w:ascii="仿宋" w:hAnsi="仿宋" w:eastAsia="仿宋" w:cs="Times New Roman"/>
          <w:sz w:val="32"/>
          <w:szCs w:val="32"/>
        </w:rPr>
      </w:pPr>
      <w:r>
        <w:rPr>
          <w:rFonts w:hint="eastAsia" w:ascii="仿宋" w:hAnsi="仿宋" w:eastAsia="仿宋" w:cs="仿宋"/>
          <w:sz w:val="32"/>
          <w:szCs w:val="32"/>
        </w:rPr>
        <w:t>经评价，该项目综合评价得分88分，绩效级别评定为“良”。</w:t>
      </w:r>
    </w:p>
    <w:tbl>
      <w:tblPr>
        <w:tblStyle w:val="88"/>
        <w:tblW w:w="8296" w:type="dxa"/>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65"/>
        <w:gridCol w:w="2765"/>
        <w:gridCol w:w="2766"/>
      </w:tblGrid>
      <w:tr w14:paraId="4EBD0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765" w:type="dxa"/>
            <w:shd w:val="clear" w:color="auto" w:fill="DDDDDD"/>
            <w:vAlign w:val="center"/>
          </w:tcPr>
          <w:p w14:paraId="4E400B83">
            <w:pPr>
              <w:spacing w:line="360" w:lineRule="auto"/>
              <w:jc w:val="center"/>
              <w:rPr>
                <w:rFonts w:ascii="宋体" w:cs="Times New Roman"/>
                <w:b/>
                <w:bCs/>
                <w:color w:val="000000"/>
                <w:sz w:val="28"/>
                <w:szCs w:val="28"/>
              </w:rPr>
            </w:pPr>
            <w:r>
              <w:rPr>
                <w:rFonts w:hint="eastAsia" w:ascii="宋体" w:hAnsi="宋体" w:cs="宋体"/>
                <w:b/>
                <w:bCs/>
                <w:color w:val="000000"/>
                <w:sz w:val="28"/>
                <w:szCs w:val="28"/>
              </w:rPr>
              <w:t>评价内容</w:t>
            </w:r>
          </w:p>
        </w:tc>
        <w:tc>
          <w:tcPr>
            <w:tcW w:w="2765" w:type="dxa"/>
            <w:shd w:val="clear" w:color="auto" w:fill="DDDDDD"/>
            <w:vAlign w:val="center"/>
          </w:tcPr>
          <w:p w14:paraId="6D2351E8">
            <w:pPr>
              <w:spacing w:line="360" w:lineRule="auto"/>
              <w:jc w:val="center"/>
              <w:rPr>
                <w:rFonts w:ascii="宋体" w:cs="Times New Roman"/>
                <w:b/>
                <w:bCs/>
                <w:color w:val="000000"/>
                <w:sz w:val="28"/>
                <w:szCs w:val="28"/>
              </w:rPr>
            </w:pPr>
            <w:r>
              <w:rPr>
                <w:rFonts w:hint="eastAsia" w:ascii="宋体" w:hAnsi="宋体" w:cs="宋体"/>
                <w:b/>
                <w:bCs/>
                <w:color w:val="000000"/>
                <w:sz w:val="28"/>
                <w:szCs w:val="28"/>
              </w:rPr>
              <w:t>分值</w:t>
            </w:r>
          </w:p>
        </w:tc>
        <w:tc>
          <w:tcPr>
            <w:tcW w:w="2766" w:type="dxa"/>
            <w:shd w:val="clear" w:color="auto" w:fill="DDDDDD"/>
            <w:vAlign w:val="center"/>
          </w:tcPr>
          <w:p w14:paraId="343446A3">
            <w:pPr>
              <w:spacing w:line="360" w:lineRule="auto"/>
              <w:jc w:val="center"/>
              <w:rPr>
                <w:rFonts w:ascii="宋体" w:cs="Times New Roman"/>
                <w:b/>
                <w:bCs/>
                <w:color w:val="000000"/>
                <w:sz w:val="28"/>
                <w:szCs w:val="28"/>
              </w:rPr>
            </w:pPr>
            <w:r>
              <w:rPr>
                <w:rFonts w:hint="eastAsia" w:ascii="宋体" w:hAnsi="宋体" w:cs="宋体"/>
                <w:b/>
                <w:bCs/>
                <w:color w:val="000000"/>
                <w:sz w:val="28"/>
                <w:szCs w:val="28"/>
              </w:rPr>
              <w:t>评价得分</w:t>
            </w:r>
          </w:p>
        </w:tc>
      </w:tr>
      <w:tr w14:paraId="4A05D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765" w:type="dxa"/>
            <w:shd w:val="clear" w:color="auto" w:fill="DDDDDD"/>
            <w:vAlign w:val="center"/>
          </w:tcPr>
          <w:p w14:paraId="37F3C2EB">
            <w:pPr>
              <w:spacing w:line="360" w:lineRule="auto"/>
              <w:jc w:val="center"/>
              <w:rPr>
                <w:rFonts w:ascii="宋体" w:cs="Times New Roman"/>
                <w:color w:val="000000"/>
                <w:sz w:val="24"/>
                <w:szCs w:val="24"/>
              </w:rPr>
            </w:pPr>
            <w:r>
              <w:rPr>
                <w:rFonts w:hint="eastAsia" w:ascii="宋体" w:hAnsi="宋体" w:cs="宋体"/>
                <w:color w:val="000000"/>
                <w:sz w:val="24"/>
                <w:szCs w:val="24"/>
              </w:rPr>
              <w:t>决策</w:t>
            </w:r>
          </w:p>
        </w:tc>
        <w:tc>
          <w:tcPr>
            <w:tcW w:w="2765" w:type="dxa"/>
            <w:shd w:val="clear" w:color="auto" w:fill="DDDDDD"/>
            <w:vAlign w:val="center"/>
          </w:tcPr>
          <w:p w14:paraId="75897127">
            <w:pPr>
              <w:spacing w:line="360" w:lineRule="auto"/>
              <w:jc w:val="center"/>
              <w:rPr>
                <w:rFonts w:ascii="宋体" w:cs="Times New Roman"/>
                <w:color w:val="000000"/>
                <w:sz w:val="24"/>
                <w:szCs w:val="24"/>
              </w:rPr>
            </w:pPr>
            <w:r>
              <w:rPr>
                <w:rFonts w:ascii="宋体" w:hAnsi="宋体" w:cs="宋体"/>
                <w:color w:val="000000"/>
                <w:sz w:val="24"/>
                <w:szCs w:val="24"/>
              </w:rPr>
              <w:t>15</w:t>
            </w:r>
          </w:p>
        </w:tc>
        <w:tc>
          <w:tcPr>
            <w:tcW w:w="2766" w:type="dxa"/>
            <w:shd w:val="clear" w:color="auto" w:fill="DDDDDD"/>
            <w:vAlign w:val="bottom"/>
          </w:tcPr>
          <w:p w14:paraId="3B39088C">
            <w:pPr>
              <w:widowControl/>
              <w:spacing w:line="360" w:lineRule="auto"/>
              <w:jc w:val="center"/>
              <w:rPr>
                <w:rFonts w:hint="eastAsia" w:ascii="宋体" w:hAnsi="宋体" w:cs="宋体"/>
                <w:color w:val="000000"/>
                <w:sz w:val="24"/>
                <w:szCs w:val="24"/>
              </w:rPr>
            </w:pPr>
            <w:r>
              <w:rPr>
                <w:rFonts w:hint="eastAsia" w:ascii="宋体" w:hAnsi="宋体" w:cs="宋体"/>
                <w:color w:val="000000"/>
                <w:sz w:val="24"/>
                <w:szCs w:val="24"/>
                <w:lang w:bidi="ar"/>
              </w:rPr>
              <w:t>13.70</w:t>
            </w:r>
          </w:p>
        </w:tc>
      </w:tr>
      <w:tr w14:paraId="3B6E7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765" w:type="dxa"/>
            <w:shd w:val="clear" w:color="auto" w:fill="DDDDDD"/>
            <w:vAlign w:val="center"/>
          </w:tcPr>
          <w:p w14:paraId="036EF948">
            <w:pPr>
              <w:spacing w:line="360" w:lineRule="auto"/>
              <w:jc w:val="center"/>
              <w:rPr>
                <w:rFonts w:ascii="宋体" w:cs="Times New Roman"/>
                <w:color w:val="000000"/>
                <w:sz w:val="24"/>
                <w:szCs w:val="24"/>
              </w:rPr>
            </w:pPr>
            <w:r>
              <w:rPr>
                <w:rFonts w:hint="eastAsia" w:ascii="宋体" w:hAnsi="宋体" w:cs="宋体"/>
                <w:color w:val="000000"/>
                <w:sz w:val="24"/>
                <w:szCs w:val="24"/>
              </w:rPr>
              <w:t>过程</w:t>
            </w:r>
          </w:p>
        </w:tc>
        <w:tc>
          <w:tcPr>
            <w:tcW w:w="2765" w:type="dxa"/>
            <w:shd w:val="clear" w:color="auto" w:fill="DDDDDD"/>
            <w:vAlign w:val="center"/>
          </w:tcPr>
          <w:p w14:paraId="7CE06434">
            <w:pPr>
              <w:spacing w:line="360" w:lineRule="auto"/>
              <w:jc w:val="center"/>
              <w:rPr>
                <w:rFonts w:ascii="宋体" w:cs="Times New Roman"/>
                <w:color w:val="000000"/>
                <w:sz w:val="24"/>
                <w:szCs w:val="24"/>
              </w:rPr>
            </w:pPr>
            <w:r>
              <w:rPr>
                <w:rFonts w:hint="eastAsia" w:ascii="宋体" w:hAnsi="宋体" w:cs="宋体"/>
                <w:color w:val="000000"/>
                <w:sz w:val="24"/>
                <w:szCs w:val="24"/>
              </w:rPr>
              <w:t>25</w:t>
            </w:r>
          </w:p>
        </w:tc>
        <w:tc>
          <w:tcPr>
            <w:tcW w:w="2766" w:type="dxa"/>
            <w:shd w:val="clear" w:color="auto" w:fill="DDDDDD"/>
            <w:vAlign w:val="bottom"/>
          </w:tcPr>
          <w:p w14:paraId="1BE95915">
            <w:pPr>
              <w:widowControl/>
              <w:spacing w:line="360" w:lineRule="auto"/>
              <w:jc w:val="center"/>
              <w:rPr>
                <w:rFonts w:hint="eastAsia" w:ascii="宋体" w:hAnsi="宋体" w:cs="宋体"/>
                <w:color w:val="000000"/>
                <w:sz w:val="24"/>
                <w:szCs w:val="24"/>
              </w:rPr>
            </w:pPr>
            <w:r>
              <w:rPr>
                <w:rFonts w:hint="eastAsia" w:ascii="宋体" w:hAnsi="宋体" w:cs="宋体"/>
                <w:color w:val="000000"/>
                <w:sz w:val="24"/>
                <w:szCs w:val="24"/>
                <w:lang w:bidi="ar"/>
              </w:rPr>
              <w:t>23.30</w:t>
            </w:r>
          </w:p>
        </w:tc>
      </w:tr>
      <w:tr w14:paraId="14E36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765" w:type="dxa"/>
            <w:shd w:val="clear" w:color="auto" w:fill="DDDDDD"/>
            <w:vAlign w:val="center"/>
          </w:tcPr>
          <w:p w14:paraId="358560D5">
            <w:pPr>
              <w:spacing w:line="360" w:lineRule="auto"/>
              <w:jc w:val="center"/>
              <w:rPr>
                <w:rFonts w:ascii="宋体" w:cs="Times New Roman"/>
                <w:color w:val="000000"/>
                <w:sz w:val="24"/>
                <w:szCs w:val="24"/>
              </w:rPr>
            </w:pPr>
            <w:r>
              <w:rPr>
                <w:rFonts w:hint="eastAsia" w:ascii="宋体" w:hAnsi="宋体" w:cs="宋体"/>
                <w:color w:val="000000"/>
                <w:sz w:val="24"/>
                <w:szCs w:val="24"/>
              </w:rPr>
              <w:t>产出</w:t>
            </w:r>
          </w:p>
        </w:tc>
        <w:tc>
          <w:tcPr>
            <w:tcW w:w="2765" w:type="dxa"/>
            <w:shd w:val="clear" w:color="auto" w:fill="DDDDDD"/>
            <w:vAlign w:val="center"/>
          </w:tcPr>
          <w:p w14:paraId="31DEEE84">
            <w:pPr>
              <w:spacing w:line="360" w:lineRule="auto"/>
              <w:jc w:val="center"/>
              <w:rPr>
                <w:rFonts w:ascii="宋体" w:cs="Times New Roman"/>
                <w:color w:val="000000"/>
                <w:sz w:val="24"/>
                <w:szCs w:val="24"/>
              </w:rPr>
            </w:pPr>
            <w:r>
              <w:rPr>
                <w:rFonts w:hint="eastAsia" w:ascii="宋体" w:hAnsi="宋体" w:cs="宋体"/>
                <w:color w:val="000000"/>
                <w:sz w:val="24"/>
                <w:szCs w:val="24"/>
              </w:rPr>
              <w:t>30</w:t>
            </w:r>
          </w:p>
        </w:tc>
        <w:tc>
          <w:tcPr>
            <w:tcW w:w="2766" w:type="dxa"/>
            <w:shd w:val="clear" w:color="auto" w:fill="DDDDDD"/>
            <w:vAlign w:val="bottom"/>
          </w:tcPr>
          <w:p w14:paraId="3C3A0471">
            <w:pPr>
              <w:widowControl/>
              <w:spacing w:line="360" w:lineRule="auto"/>
              <w:jc w:val="center"/>
              <w:rPr>
                <w:rFonts w:hint="eastAsia" w:ascii="宋体" w:hAnsi="宋体" w:cs="宋体"/>
                <w:color w:val="000000"/>
                <w:sz w:val="24"/>
                <w:szCs w:val="24"/>
              </w:rPr>
            </w:pPr>
            <w:r>
              <w:rPr>
                <w:rFonts w:hint="eastAsia" w:ascii="宋体" w:hAnsi="宋体" w:cs="宋体"/>
                <w:color w:val="000000"/>
                <w:sz w:val="24"/>
                <w:szCs w:val="24"/>
                <w:lang w:bidi="ar"/>
              </w:rPr>
              <w:t>27.00</w:t>
            </w:r>
          </w:p>
        </w:tc>
      </w:tr>
      <w:tr w14:paraId="7F593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765" w:type="dxa"/>
            <w:shd w:val="clear" w:color="auto" w:fill="DDDDDD"/>
            <w:vAlign w:val="center"/>
          </w:tcPr>
          <w:p w14:paraId="5FE2272A">
            <w:pPr>
              <w:spacing w:line="360" w:lineRule="auto"/>
              <w:jc w:val="center"/>
              <w:rPr>
                <w:rFonts w:ascii="宋体" w:cs="Times New Roman"/>
                <w:color w:val="000000"/>
                <w:sz w:val="24"/>
                <w:szCs w:val="24"/>
              </w:rPr>
            </w:pPr>
            <w:r>
              <w:rPr>
                <w:rFonts w:hint="eastAsia" w:ascii="宋体" w:hAnsi="宋体" w:cs="宋体"/>
                <w:color w:val="000000"/>
                <w:sz w:val="24"/>
                <w:szCs w:val="24"/>
              </w:rPr>
              <w:t>效益</w:t>
            </w:r>
          </w:p>
        </w:tc>
        <w:tc>
          <w:tcPr>
            <w:tcW w:w="2765" w:type="dxa"/>
            <w:shd w:val="clear" w:color="auto" w:fill="DDDDDD"/>
            <w:vAlign w:val="center"/>
          </w:tcPr>
          <w:p w14:paraId="469FA83A">
            <w:pPr>
              <w:spacing w:line="360" w:lineRule="auto"/>
              <w:jc w:val="center"/>
              <w:rPr>
                <w:rFonts w:ascii="宋体" w:cs="Times New Roman"/>
                <w:color w:val="000000"/>
                <w:sz w:val="24"/>
                <w:szCs w:val="24"/>
              </w:rPr>
            </w:pPr>
            <w:r>
              <w:rPr>
                <w:rFonts w:hint="eastAsia" w:ascii="宋体" w:hAnsi="宋体" w:cs="宋体"/>
                <w:color w:val="000000"/>
                <w:sz w:val="24"/>
                <w:szCs w:val="24"/>
              </w:rPr>
              <w:t>30</w:t>
            </w:r>
          </w:p>
        </w:tc>
        <w:tc>
          <w:tcPr>
            <w:tcW w:w="2766" w:type="dxa"/>
            <w:shd w:val="clear" w:color="auto" w:fill="DDDDDD"/>
            <w:vAlign w:val="bottom"/>
          </w:tcPr>
          <w:p w14:paraId="0042EE63">
            <w:pPr>
              <w:widowControl/>
              <w:spacing w:line="360" w:lineRule="auto"/>
              <w:jc w:val="center"/>
              <w:rPr>
                <w:rFonts w:hint="eastAsia" w:ascii="宋体" w:hAnsi="宋体" w:cs="宋体"/>
                <w:color w:val="000000"/>
                <w:sz w:val="24"/>
                <w:szCs w:val="24"/>
              </w:rPr>
            </w:pPr>
            <w:r>
              <w:rPr>
                <w:rFonts w:hint="eastAsia" w:ascii="宋体" w:hAnsi="宋体" w:cs="宋体"/>
                <w:color w:val="000000"/>
                <w:sz w:val="24"/>
                <w:szCs w:val="24"/>
                <w:lang w:bidi="ar"/>
              </w:rPr>
              <w:t>24.00</w:t>
            </w:r>
          </w:p>
        </w:tc>
      </w:tr>
      <w:tr w14:paraId="233A42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765" w:type="dxa"/>
            <w:shd w:val="clear" w:color="auto" w:fill="DDDDDD"/>
            <w:vAlign w:val="center"/>
          </w:tcPr>
          <w:p w14:paraId="7BC178DF">
            <w:pPr>
              <w:spacing w:line="360" w:lineRule="auto"/>
              <w:jc w:val="center"/>
              <w:rPr>
                <w:rFonts w:ascii="宋体" w:cs="Times New Roman"/>
                <w:color w:val="000000"/>
                <w:sz w:val="24"/>
                <w:szCs w:val="24"/>
              </w:rPr>
            </w:pPr>
            <w:r>
              <w:rPr>
                <w:rFonts w:hint="eastAsia" w:ascii="宋体" w:hAnsi="宋体" w:cs="宋体"/>
                <w:color w:val="000000"/>
                <w:sz w:val="24"/>
                <w:szCs w:val="24"/>
              </w:rPr>
              <w:t>综合评价</w:t>
            </w:r>
          </w:p>
        </w:tc>
        <w:tc>
          <w:tcPr>
            <w:tcW w:w="2765" w:type="dxa"/>
            <w:shd w:val="clear" w:color="auto" w:fill="DDDDDD"/>
            <w:vAlign w:val="center"/>
          </w:tcPr>
          <w:p w14:paraId="227C271B">
            <w:pPr>
              <w:spacing w:line="360" w:lineRule="auto"/>
              <w:jc w:val="center"/>
              <w:rPr>
                <w:rFonts w:ascii="宋体" w:cs="Times New Roman"/>
                <w:color w:val="000000"/>
                <w:sz w:val="24"/>
                <w:szCs w:val="24"/>
              </w:rPr>
            </w:pPr>
            <w:r>
              <w:rPr>
                <w:rFonts w:ascii="宋体" w:hAnsi="宋体" w:cs="宋体"/>
                <w:color w:val="000000"/>
                <w:sz w:val="24"/>
                <w:szCs w:val="24"/>
              </w:rPr>
              <w:t>100</w:t>
            </w:r>
          </w:p>
        </w:tc>
        <w:tc>
          <w:tcPr>
            <w:tcW w:w="2766" w:type="dxa"/>
            <w:shd w:val="clear" w:color="auto" w:fill="DDDDDD"/>
            <w:vAlign w:val="center"/>
          </w:tcPr>
          <w:p w14:paraId="377C4FEC">
            <w:pPr>
              <w:spacing w:line="360" w:lineRule="auto"/>
              <w:jc w:val="center"/>
              <w:rPr>
                <w:rFonts w:ascii="宋体" w:cs="Times New Roman"/>
                <w:color w:val="000000"/>
                <w:sz w:val="24"/>
                <w:szCs w:val="24"/>
              </w:rPr>
            </w:pPr>
            <w:r>
              <w:rPr>
                <w:rFonts w:hint="eastAsia" w:ascii="宋体" w:hAnsi="宋体" w:cs="宋体"/>
                <w:color w:val="000000"/>
                <w:sz w:val="24"/>
                <w:szCs w:val="24"/>
              </w:rPr>
              <w:t>88.00</w:t>
            </w:r>
          </w:p>
        </w:tc>
      </w:tr>
      <w:tr w14:paraId="52168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2765" w:type="dxa"/>
            <w:shd w:val="clear" w:color="auto" w:fill="DDDDDD"/>
            <w:vAlign w:val="center"/>
          </w:tcPr>
          <w:p w14:paraId="7721CC62">
            <w:pPr>
              <w:spacing w:line="360" w:lineRule="auto"/>
              <w:jc w:val="center"/>
              <w:rPr>
                <w:rFonts w:ascii="宋体" w:cs="Times New Roman"/>
                <w:b/>
                <w:bCs/>
                <w:color w:val="000000"/>
                <w:sz w:val="28"/>
                <w:szCs w:val="28"/>
              </w:rPr>
            </w:pPr>
            <w:r>
              <w:rPr>
                <w:rFonts w:hint="eastAsia" w:ascii="宋体" w:hAnsi="宋体" w:cs="宋体"/>
                <w:b/>
                <w:bCs/>
                <w:color w:val="000000"/>
                <w:sz w:val="28"/>
                <w:szCs w:val="28"/>
              </w:rPr>
              <w:t>绩效级别评定</w:t>
            </w:r>
          </w:p>
        </w:tc>
        <w:tc>
          <w:tcPr>
            <w:tcW w:w="5531" w:type="dxa"/>
            <w:gridSpan w:val="2"/>
            <w:shd w:val="clear" w:color="auto" w:fill="DDDDDD"/>
            <w:vAlign w:val="center"/>
          </w:tcPr>
          <w:p w14:paraId="765B30AB">
            <w:pPr>
              <w:spacing w:line="360" w:lineRule="auto"/>
              <w:jc w:val="center"/>
              <w:rPr>
                <w:rFonts w:ascii="宋体" w:cs="Times New Roman"/>
                <w:b/>
                <w:bCs/>
                <w:color w:val="000000"/>
                <w:sz w:val="28"/>
                <w:szCs w:val="28"/>
              </w:rPr>
            </w:pPr>
            <w:r>
              <w:rPr>
                <w:rFonts w:hint="eastAsia" w:ascii="宋体" w:cs="Times New Roman"/>
                <w:b/>
                <w:bCs/>
                <w:color w:val="000000"/>
                <w:sz w:val="28"/>
                <w:szCs w:val="28"/>
              </w:rPr>
              <w:t>良</w:t>
            </w:r>
          </w:p>
        </w:tc>
      </w:tr>
    </w:tbl>
    <w:p w14:paraId="63E057CB">
      <w:pPr>
        <w:spacing w:line="360" w:lineRule="auto"/>
        <w:rPr>
          <w:rFonts w:hint="eastAsia" w:ascii="仿宋" w:hAnsi="仿宋" w:eastAsia="仿宋" w:cs="仿宋"/>
          <w:sz w:val="32"/>
          <w:szCs w:val="32"/>
        </w:rPr>
      </w:pPr>
    </w:p>
    <w:p w14:paraId="15DC7FBC">
      <w:pPr>
        <w:pStyle w:val="3"/>
        <w:spacing w:before="0" w:after="0" w:line="360" w:lineRule="auto"/>
        <w:ind w:firstLine="640" w:firstLineChars="200"/>
        <w:rPr>
          <w:rFonts w:eastAsia="黑体" w:cs="Times New Roman"/>
          <w:b w:val="0"/>
          <w:bCs w:val="0"/>
          <w:snapToGrid w:val="0"/>
          <w:color w:val="000000"/>
          <w:kern w:val="0"/>
          <w:sz w:val="32"/>
          <w:szCs w:val="32"/>
        </w:rPr>
      </w:pPr>
      <w:bookmarkStart w:id="21" w:name="_Toc3391"/>
      <w:bookmarkStart w:id="22" w:name="_Toc69899800"/>
      <w:r>
        <w:rPr>
          <w:rFonts w:hint="eastAsia" w:eastAsia="黑体" w:cs="黑体"/>
          <w:b w:val="0"/>
          <w:bCs w:val="0"/>
          <w:snapToGrid w:val="0"/>
          <w:color w:val="000000"/>
          <w:kern w:val="0"/>
          <w:sz w:val="32"/>
          <w:szCs w:val="32"/>
        </w:rPr>
        <w:t>四、绩效评价指标分析</w:t>
      </w:r>
      <w:bookmarkEnd w:id="21"/>
      <w:bookmarkEnd w:id="22"/>
    </w:p>
    <w:p w14:paraId="105F06D9">
      <w:pPr>
        <w:pStyle w:val="4"/>
        <w:spacing w:before="0" w:after="0" w:line="360" w:lineRule="auto"/>
        <w:ind w:firstLine="643" w:firstLineChars="200"/>
        <w:rPr>
          <w:rFonts w:hint="eastAsia" w:ascii="楷体" w:hAnsi="楷体" w:eastAsia="楷体" w:cs="Times New Roman"/>
          <w:kern w:val="44"/>
        </w:rPr>
      </w:pPr>
      <w:bookmarkStart w:id="23" w:name="_Toc69899801"/>
      <w:bookmarkStart w:id="24" w:name="_Toc21814"/>
      <w:r>
        <w:rPr>
          <w:rFonts w:hint="eastAsia" w:ascii="楷体" w:hAnsi="楷体" w:eastAsia="楷体" w:cs="楷体"/>
          <w:kern w:val="44"/>
        </w:rPr>
        <w:t>（一）项目决策情况</w:t>
      </w:r>
      <w:bookmarkEnd w:id="23"/>
      <w:bookmarkEnd w:id="24"/>
    </w:p>
    <w:p w14:paraId="1CD31BB0">
      <w:pPr>
        <w:spacing w:line="360" w:lineRule="auto"/>
        <w:ind w:firstLine="640" w:firstLineChars="200"/>
        <w:rPr>
          <w:rFonts w:hint="eastAsia" w:ascii="仿宋" w:hAnsi="仿宋" w:eastAsia="仿宋" w:cs="Times New Roman"/>
          <w:sz w:val="32"/>
          <w:szCs w:val="32"/>
        </w:rPr>
      </w:pPr>
      <w:r>
        <w:rPr>
          <w:rFonts w:ascii="仿宋" w:hAnsi="仿宋" w:eastAsia="仿宋" w:cs="仿宋"/>
          <w:sz w:val="32"/>
          <w:szCs w:val="32"/>
        </w:rPr>
        <w:t>1</w:t>
      </w:r>
      <w:r>
        <w:rPr>
          <w:rFonts w:hint="eastAsia" w:ascii="仿宋" w:hAnsi="仿宋" w:eastAsia="仿宋" w:cs="仿宋"/>
          <w:sz w:val="32"/>
          <w:szCs w:val="32"/>
        </w:rPr>
        <w:t>．项目立项分析</w:t>
      </w:r>
    </w:p>
    <w:p w14:paraId="15E6370B">
      <w:pPr>
        <w:spacing w:line="360" w:lineRule="auto"/>
        <w:ind w:firstLine="640" w:firstLineChars="200"/>
        <w:rPr>
          <w:rFonts w:hint="eastAsia" w:ascii="仿宋" w:hAnsi="仿宋" w:eastAsia="仿宋" w:cs="Times New Roman"/>
          <w:sz w:val="32"/>
          <w:szCs w:val="32"/>
        </w:rPr>
      </w:pPr>
      <w:r>
        <w:rPr>
          <w:rFonts w:hint="eastAsia" w:ascii="仿宋" w:hAnsi="仿宋" w:eastAsia="仿宋" w:cs="仿宋"/>
          <w:sz w:val="32"/>
          <w:szCs w:val="32"/>
        </w:rPr>
        <w:t>该项目按照香山革命纪念馆中长期发展规划要求，制定了</w:t>
      </w:r>
      <w:r>
        <w:rPr>
          <w:rFonts w:ascii="仿宋" w:hAnsi="仿宋" w:eastAsia="仿宋" w:cs="仿宋"/>
          <w:sz w:val="32"/>
          <w:szCs w:val="32"/>
        </w:rPr>
        <w:t>2024年香山革命纪念馆文物数据采集项目</w:t>
      </w:r>
      <w:r>
        <w:rPr>
          <w:rFonts w:hint="eastAsia" w:ascii="仿宋" w:hAnsi="仿宋" w:eastAsia="仿宋" w:cs="仿宋"/>
          <w:sz w:val="32"/>
          <w:szCs w:val="32"/>
        </w:rPr>
        <w:t>工作计划，项目内容属于香山革命纪念馆职能职责范围，经预算评审，按照财政立项流程，2024年第一期馆务会确定项目立项，2024年</w:t>
      </w:r>
      <w:r>
        <w:rPr>
          <w:rFonts w:hint="eastAsia" w:ascii="仿宋" w:hAnsi="仿宋" w:eastAsia="仿宋" w:cs="仿宋"/>
          <w:sz w:val="32"/>
          <w:szCs w:val="32"/>
          <w:lang w:val="en-US" w:eastAsia="zh-CN"/>
        </w:rPr>
        <w:t>2</w:t>
      </w:r>
      <w:r>
        <w:rPr>
          <w:rFonts w:hint="eastAsia" w:ascii="仿宋" w:hAnsi="仿宋" w:eastAsia="仿宋" w:cs="仿宋"/>
          <w:sz w:val="32"/>
          <w:szCs w:val="32"/>
        </w:rPr>
        <w:t>月取得财政预算批复。</w:t>
      </w:r>
    </w:p>
    <w:p w14:paraId="74F5BC5F">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评价分析认为，该项目按照管内项目预算编制通知等相关要求申报，流程符合财政专项管理要求，通过馆务会对项目进行了决策，决策程序科学、规范，符合香山革命纪念馆的中长期发展规划、整体工作规划和单位职能职责要求。</w:t>
      </w:r>
    </w:p>
    <w:p w14:paraId="58B96264">
      <w:pPr>
        <w:spacing w:line="360" w:lineRule="auto"/>
        <w:ind w:firstLine="640" w:firstLineChars="200"/>
        <w:rPr>
          <w:rFonts w:hint="eastAsia" w:ascii="仿宋" w:hAnsi="仿宋" w:eastAsia="仿宋" w:cs="Times New Roman"/>
          <w:sz w:val="32"/>
          <w:szCs w:val="32"/>
        </w:rPr>
      </w:pPr>
      <w:r>
        <w:rPr>
          <w:rFonts w:ascii="仿宋" w:hAnsi="仿宋" w:eastAsia="仿宋" w:cs="仿宋"/>
          <w:sz w:val="32"/>
          <w:szCs w:val="32"/>
        </w:rPr>
        <w:t>2</w:t>
      </w:r>
      <w:r>
        <w:rPr>
          <w:rFonts w:hint="eastAsia" w:ascii="仿宋" w:hAnsi="仿宋" w:eastAsia="仿宋" w:cs="仿宋"/>
          <w:sz w:val="32"/>
          <w:szCs w:val="32"/>
        </w:rPr>
        <w:t>．项目绩效目标评价分析</w:t>
      </w:r>
    </w:p>
    <w:p w14:paraId="7AAAB51E">
      <w:pPr>
        <w:spacing w:line="360" w:lineRule="auto"/>
        <w:ind w:firstLine="640" w:firstLineChars="200"/>
        <w:rPr>
          <w:rFonts w:hint="eastAsia" w:ascii="仿宋" w:hAnsi="仿宋" w:eastAsia="仿宋" w:cs="Times New Roman"/>
          <w:sz w:val="32"/>
          <w:szCs w:val="32"/>
        </w:rPr>
      </w:pPr>
      <w:r>
        <w:rPr>
          <w:rFonts w:hint="eastAsia" w:ascii="仿宋" w:hAnsi="仿宋" w:eastAsia="仿宋" w:cs="仿宋"/>
          <w:sz w:val="32"/>
          <w:szCs w:val="32"/>
        </w:rPr>
        <w:t>（</w:t>
      </w:r>
      <w:r>
        <w:rPr>
          <w:rFonts w:ascii="仿宋" w:hAnsi="仿宋" w:eastAsia="仿宋" w:cs="仿宋"/>
          <w:sz w:val="32"/>
          <w:szCs w:val="32"/>
        </w:rPr>
        <w:t>1</w:t>
      </w:r>
      <w:r>
        <w:rPr>
          <w:rFonts w:hint="eastAsia" w:ascii="仿宋" w:hAnsi="仿宋" w:eastAsia="仿宋" w:cs="仿宋"/>
          <w:sz w:val="32"/>
          <w:szCs w:val="32"/>
        </w:rPr>
        <w:t>）目标明确性分析</w:t>
      </w:r>
    </w:p>
    <w:p w14:paraId="43A1871C">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革命文物资源是不可再生、不可替代的宝贵资源，利用数字化手段对革命文物相关信息进行收集、挖掘和再现，减少了文物的实际提用频率，避免了文物在搬运、展出过程中可能出现的安全风险与隐患。开展文物数据采集项目，是对革命文物科学保护的有效方式。</w:t>
      </w:r>
    </w:p>
    <w:p w14:paraId="3DF0C27C">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利用采集的文物数据，有利于日后利用数字化方式丰富展览陈列的展出形式，让观众更直观地了解到文物背后蕴含的价值与精神，有利于进一步发挥革命文物服务大局、资政育人和推动发展的独特作用。</w:t>
      </w:r>
    </w:p>
    <w:p w14:paraId="7F81AEE7">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该项目符合香山革命纪念馆的中长期发展规划、整体工作规划和单位职能职责要求，设置了总体目标。</w:t>
      </w:r>
    </w:p>
    <w:p w14:paraId="29B3FB23">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（2）目标合理性分析</w:t>
      </w:r>
    </w:p>
    <w:p w14:paraId="64B1E2E5">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该项目总体目标设定符合香山革命纪念馆的中长期发展规划、整体工作规划和单位职能职责要求。</w:t>
      </w:r>
    </w:p>
    <w:p w14:paraId="78DD9F3C">
      <w:pPr>
        <w:spacing w:line="360" w:lineRule="auto"/>
        <w:ind w:firstLine="640" w:firstLineChars="200"/>
        <w:outlineLvl w:val="1"/>
        <w:rPr>
          <w:rFonts w:hint="eastAsia" w:ascii="仿宋" w:hAnsi="仿宋" w:eastAsia="仿宋" w:cs="仿宋"/>
          <w:sz w:val="32"/>
          <w:szCs w:val="32"/>
        </w:rPr>
      </w:pPr>
      <w:bookmarkStart w:id="25" w:name="_Toc69899802"/>
      <w:bookmarkStart w:id="26" w:name="_Toc30076"/>
      <w:r>
        <w:rPr>
          <w:rFonts w:hint="eastAsia" w:ascii="仿宋" w:hAnsi="仿宋" w:eastAsia="仿宋" w:cs="仿宋"/>
          <w:sz w:val="32"/>
          <w:szCs w:val="32"/>
        </w:rPr>
        <w:t>（二）项目过程管理</w:t>
      </w:r>
      <w:bookmarkEnd w:id="25"/>
      <w:bookmarkEnd w:id="26"/>
    </w:p>
    <w:p w14:paraId="369C2997">
      <w:pPr>
        <w:spacing w:line="360" w:lineRule="auto"/>
        <w:ind w:firstLine="640" w:firstLineChars="200"/>
        <w:rPr>
          <w:rFonts w:hint="eastAsia" w:ascii="仿宋" w:hAnsi="仿宋" w:eastAsia="仿宋" w:cs="Times New Roman"/>
          <w:sz w:val="32"/>
          <w:szCs w:val="32"/>
        </w:rPr>
      </w:pPr>
      <w:r>
        <w:rPr>
          <w:rFonts w:ascii="仿宋" w:hAnsi="仿宋" w:eastAsia="仿宋" w:cs="仿宋"/>
          <w:sz w:val="32"/>
          <w:szCs w:val="32"/>
        </w:rPr>
        <w:t>1</w:t>
      </w:r>
      <w:r>
        <w:rPr>
          <w:rFonts w:hint="eastAsia" w:ascii="仿宋" w:hAnsi="仿宋" w:eastAsia="仿宋" w:cs="仿宋"/>
          <w:sz w:val="32"/>
          <w:szCs w:val="32"/>
        </w:rPr>
        <w:t>．项目资金管理</w:t>
      </w:r>
    </w:p>
    <w:p w14:paraId="74C650DF">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该项目严格执行《香山革命纪念馆内部控制手册》、《香山革命纪念馆内部控制制度汇编》等规章制度，实行单位内部统一管理，确保项目质量，提高经费使用效益。项目费用分两次支付合同款。双方合同签订后，自财政资金下发至本馆指定账户30个工作日内，服务商提供等额发票并提交书面付款申请，收到发票和付款申请后30日内支付合同总额的50%；2024年9月底前，待乙方完成本合同项下所有服务内容，经甲方验收合格且服务商提供等额发票并提交书面付款申请后30日内，甲方支付乙方剩余50%尾款。每笔经费使用均有严格的内控程序和完备的过程证明材料，确保程序规范。</w:t>
      </w:r>
    </w:p>
    <w:p w14:paraId="19F0F24A">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评价分析认为，该项目执行了香山革命纪念馆《香山革命纪念馆内部控制手册》《香山革命纪念馆内部控制制度汇编》等规章制度，财务账务处理规范，支出凭单、发票等附件较为齐全。</w:t>
      </w:r>
    </w:p>
    <w:p w14:paraId="6942A7B9">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2．项目组织实施</w:t>
      </w:r>
    </w:p>
    <w:p w14:paraId="1762444D">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数据采集项目工作以香山革命纪念馆文物征集研究部为主体组织实施，部室牵头人为工作主要负责人，同时安排2名本部室人员，全权负责筹办香山革命纪念馆文物数据采集项目。</w:t>
      </w:r>
    </w:p>
    <w:p w14:paraId="5AD3A23A">
      <w:pPr>
        <w:spacing w:line="360" w:lineRule="auto"/>
        <w:ind w:firstLine="640" w:firstLineChars="200"/>
        <w:rPr>
          <w:rFonts w:hint="eastAsia" w:ascii="仿宋" w:hAnsi="仿宋" w:eastAsia="仿宋" w:cs="Times New Roman"/>
          <w:sz w:val="32"/>
          <w:szCs w:val="32"/>
        </w:rPr>
      </w:pPr>
      <w:r>
        <w:rPr>
          <w:rFonts w:ascii="仿宋" w:hAnsi="仿宋" w:eastAsia="仿宋" w:cs="仿宋"/>
          <w:sz w:val="32"/>
          <w:szCs w:val="32"/>
        </w:rPr>
        <w:t>3</w:t>
      </w:r>
      <w:r>
        <w:rPr>
          <w:rFonts w:hint="eastAsia" w:ascii="仿宋" w:hAnsi="仿宋" w:eastAsia="仿宋" w:cs="仿宋"/>
          <w:sz w:val="32"/>
          <w:szCs w:val="32"/>
        </w:rPr>
        <w:t>．项目管理情况</w:t>
      </w:r>
    </w:p>
    <w:p w14:paraId="4FBE685C">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w:t>
      </w:r>
      <w:r>
        <w:rPr>
          <w:rFonts w:ascii="仿宋" w:hAnsi="仿宋" w:eastAsia="仿宋" w:cs="仿宋"/>
          <w:sz w:val="32"/>
          <w:szCs w:val="32"/>
        </w:rPr>
        <w:t>1</w:t>
      </w:r>
      <w:r>
        <w:rPr>
          <w:rFonts w:hint="eastAsia" w:ascii="仿宋" w:hAnsi="仿宋" w:eastAsia="仿宋" w:cs="仿宋"/>
          <w:sz w:val="32"/>
          <w:szCs w:val="32"/>
        </w:rPr>
        <w:t>）</w:t>
      </w:r>
      <w:bookmarkStart w:id="27" w:name="_Toc12992"/>
      <w:bookmarkStart w:id="28" w:name="_Toc27920"/>
      <w:r>
        <w:rPr>
          <w:rFonts w:hint="eastAsia" w:ascii="仿宋" w:hAnsi="仿宋" w:eastAsia="仿宋" w:cs="仿宋"/>
          <w:sz w:val="32"/>
          <w:szCs w:val="32"/>
        </w:rPr>
        <w:t>进度管控</w:t>
      </w:r>
      <w:bookmarkEnd w:id="27"/>
    </w:p>
    <w:p w14:paraId="04F6BA77">
      <w:p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依据年度项目计划，文物征集研究部及时跟进项目执行情况，推进项目工作，具体情况如下：</w:t>
      </w:r>
    </w:p>
    <w:p w14:paraId="5E499472">
      <w:pPr>
        <w:numPr>
          <w:ilvl w:val="255"/>
          <w:numId w:val="0"/>
        </w:num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拟定全年工作计划。组织项目组成员召开讨论会，根据馆内展览需求和研究需要拟定文物数据采集清单并进行调整完善。</w:t>
      </w:r>
    </w:p>
    <w:p w14:paraId="1ACEF0D9">
      <w:pPr>
        <w:numPr>
          <w:ilvl w:val="255"/>
          <w:numId w:val="0"/>
        </w:num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严格按照规章制度开展项目比选工作。</w:t>
      </w:r>
    </w:p>
    <w:p w14:paraId="010183C0">
      <w:pPr>
        <w:numPr>
          <w:ilvl w:val="255"/>
          <w:numId w:val="0"/>
        </w:num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把控时间节点推进项目实施。根据计划及纪念馆实际工作需求，推进文物数据采集工作，按批次对文物进行数据采集并检查采集后的文物图像。</w:t>
      </w:r>
    </w:p>
    <w:p w14:paraId="05C84B06">
      <w:pPr>
        <w:numPr>
          <w:ilvl w:val="255"/>
          <w:numId w:val="0"/>
        </w:numPr>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根据合同规定的完成时间，推进项目进度。</w:t>
      </w:r>
    </w:p>
    <w:p w14:paraId="356DAF42">
      <w:pPr>
        <w:spacing w:line="360" w:lineRule="auto"/>
        <w:ind w:firstLine="640" w:firstLineChars="200"/>
        <w:rPr>
          <w:rFonts w:hint="eastAsia" w:ascii="仿宋" w:hAnsi="仿宋" w:eastAsia="仿宋" w:cs="仿宋"/>
          <w:sz w:val="32"/>
          <w:szCs w:val="32"/>
        </w:rPr>
      </w:pPr>
      <w:bookmarkStart w:id="29" w:name="_Toc26071"/>
      <w:r>
        <w:rPr>
          <w:rFonts w:hint="eastAsia" w:ascii="仿宋" w:hAnsi="仿宋" w:eastAsia="仿宋" w:cs="仿宋"/>
          <w:sz w:val="32"/>
          <w:szCs w:val="32"/>
        </w:rPr>
        <w:t>（2）项目沟通机制</w:t>
      </w:r>
      <w:bookmarkEnd w:id="29"/>
    </w:p>
    <w:p w14:paraId="2C915919">
      <w:pPr>
        <w:widowControl/>
        <w:spacing w:line="360" w:lineRule="auto"/>
        <w:ind w:firstLine="640" w:firstLineChars="200"/>
        <w:rPr>
          <w:rFonts w:hint="eastAsia" w:ascii="仿宋" w:hAnsi="仿宋" w:eastAsia="仿宋" w:cs="仿宋"/>
          <w:sz w:val="32"/>
          <w:szCs w:val="32"/>
        </w:rPr>
      </w:pPr>
      <w:r>
        <w:rPr>
          <w:rFonts w:hint="eastAsia" w:ascii="仿宋" w:hAnsi="仿宋" w:eastAsia="仿宋" w:cs="仿宋"/>
          <w:sz w:val="32"/>
          <w:szCs w:val="32"/>
        </w:rPr>
        <w:t>文物征集研究部与</w:t>
      </w:r>
      <w:r>
        <w:rPr>
          <w:rFonts w:hint="eastAsia" w:ascii="仿宋" w:hAnsi="仿宋" w:eastAsia="仿宋" w:cs="仿宋"/>
          <w:sz w:val="32"/>
          <w:szCs w:val="32"/>
          <w:lang w:val="en-US" w:eastAsia="zh-CN"/>
        </w:rPr>
        <w:t>供应商</w:t>
      </w:r>
      <w:r>
        <w:rPr>
          <w:rFonts w:hint="eastAsia" w:ascii="仿宋" w:hAnsi="仿宋" w:eastAsia="仿宋" w:cs="仿宋"/>
          <w:sz w:val="32"/>
          <w:szCs w:val="32"/>
        </w:rPr>
        <w:t>在项目启动时均</w:t>
      </w:r>
      <w:r>
        <w:rPr>
          <w:rFonts w:hint="eastAsia" w:ascii="仿宋" w:hAnsi="仿宋" w:eastAsia="仿宋" w:cs="仿宋"/>
          <w:sz w:val="32"/>
          <w:szCs w:val="32"/>
          <w:lang w:val="en-US" w:eastAsia="zh-CN"/>
        </w:rPr>
        <w:t>已</w:t>
      </w:r>
      <w:r>
        <w:rPr>
          <w:rFonts w:hint="eastAsia" w:ascii="仿宋" w:hAnsi="仿宋" w:eastAsia="仿宋" w:cs="仿宋"/>
          <w:sz w:val="32"/>
          <w:szCs w:val="32"/>
        </w:rPr>
        <w:t>掌握对方准确联系方式，确保项目实施过程中沟通顺利。项目实施期间，文物征集研究部工作人员定期前往数据采集工作地点跟进项目进度，与乙方员工当面沟通采集细节。</w:t>
      </w:r>
    </w:p>
    <w:p w14:paraId="5586E4BE">
      <w:pPr>
        <w:spacing w:line="360" w:lineRule="auto"/>
        <w:ind w:firstLine="640" w:firstLineChars="200"/>
        <w:rPr>
          <w:rFonts w:hint="eastAsia" w:ascii="仿宋" w:hAnsi="仿宋" w:eastAsia="仿宋" w:cs="仿宋"/>
          <w:sz w:val="32"/>
          <w:szCs w:val="32"/>
        </w:rPr>
      </w:pPr>
      <w:bookmarkStart w:id="30" w:name="_Toc9807"/>
      <w:r>
        <w:rPr>
          <w:rFonts w:hint="eastAsia" w:ascii="仿宋" w:hAnsi="仿宋" w:eastAsia="仿宋" w:cs="仿宋"/>
          <w:sz w:val="32"/>
          <w:szCs w:val="32"/>
        </w:rPr>
        <w:t>（3）项目质量管理</w:t>
      </w:r>
      <w:bookmarkEnd w:id="30"/>
    </w:p>
    <w:p w14:paraId="70A26637">
      <w:pPr>
        <w:spacing w:line="360" w:lineRule="auto"/>
        <w:ind w:firstLine="640" w:firstLineChars="200"/>
        <w:rPr>
          <w:rFonts w:hint="eastAsia" w:ascii="仿宋" w:hAnsi="仿宋" w:eastAsia="仿宋" w:cs="仿宋"/>
          <w:sz w:val="32"/>
          <w:szCs w:val="32"/>
        </w:rPr>
      </w:pPr>
      <w:bookmarkStart w:id="31" w:name="_Toc13723"/>
      <w:r>
        <w:rPr>
          <w:rFonts w:hint="eastAsia" w:ascii="仿宋" w:hAnsi="仿宋" w:eastAsia="仿宋" w:cs="仿宋"/>
          <w:sz w:val="32"/>
          <w:szCs w:val="32"/>
        </w:rPr>
        <w:t>文物数据采集质量在项目比选时已明确要求。在项目开启前，双方就数据采集的图片质量要求、修图的细节处理及数据库的功能进行了详细的沟通。文物征集研究部工作人员定期收回采集数据硬盘，</w:t>
      </w:r>
      <w:r>
        <w:rPr>
          <w:rFonts w:hint="eastAsia" w:ascii="仿宋" w:hAnsi="仿宋" w:eastAsia="仿宋" w:cs="仿宋"/>
          <w:sz w:val="32"/>
          <w:szCs w:val="32"/>
          <w:lang w:val="en-US" w:eastAsia="zh-CN"/>
        </w:rPr>
        <w:t>对每</w:t>
      </w:r>
      <w:r>
        <w:rPr>
          <w:rFonts w:hint="eastAsia" w:ascii="仿宋" w:hAnsi="仿宋" w:eastAsia="仿宋" w:cs="仿宋"/>
          <w:sz w:val="32"/>
          <w:szCs w:val="32"/>
        </w:rPr>
        <w:t>张图片仔细检查并反馈。</w:t>
      </w:r>
      <w:r>
        <w:rPr>
          <w:rFonts w:hint="eastAsia" w:ascii="仿宋" w:hAnsi="仿宋" w:eastAsia="仿宋" w:cs="仿宋"/>
          <w:sz w:val="32"/>
          <w:szCs w:val="32"/>
          <w:lang w:val="en-US" w:eastAsia="zh-CN"/>
        </w:rPr>
        <w:t>供应商</w:t>
      </w:r>
      <w:r>
        <w:rPr>
          <w:rFonts w:hint="eastAsia" w:ascii="仿宋" w:hAnsi="仿宋" w:eastAsia="仿宋" w:cs="仿宋"/>
          <w:sz w:val="32"/>
          <w:szCs w:val="32"/>
        </w:rPr>
        <w:t>工作人员按照要求及时修改。</w:t>
      </w:r>
      <w:bookmarkEnd w:id="31"/>
    </w:p>
    <w:p w14:paraId="07766604">
      <w:pPr>
        <w:spacing w:line="360" w:lineRule="auto"/>
        <w:ind w:firstLine="640" w:firstLineChars="200"/>
        <w:rPr>
          <w:rFonts w:hint="eastAsia" w:ascii="仿宋" w:hAnsi="仿宋" w:eastAsia="仿宋" w:cs="仿宋"/>
          <w:sz w:val="32"/>
          <w:szCs w:val="32"/>
        </w:rPr>
      </w:pPr>
      <w:bookmarkStart w:id="32" w:name="_Toc15309"/>
      <w:r>
        <w:rPr>
          <w:rFonts w:hint="eastAsia" w:ascii="仿宋" w:hAnsi="仿宋" w:eastAsia="仿宋" w:cs="仿宋"/>
          <w:sz w:val="32"/>
          <w:szCs w:val="32"/>
        </w:rPr>
        <w:t>（4）评估、验收流程</w:t>
      </w:r>
      <w:bookmarkEnd w:id="32"/>
    </w:p>
    <w:p w14:paraId="381E17AB">
      <w:pPr>
        <w:spacing w:line="360" w:lineRule="auto"/>
        <w:ind w:firstLine="640" w:firstLineChars="200"/>
        <w:rPr>
          <w:rFonts w:hint="eastAsia" w:ascii="仿宋_GB2312" w:hAnsi="宋体" w:cs="仿宋_GB2312"/>
          <w:sz w:val="32"/>
          <w:szCs w:val="32"/>
        </w:rPr>
      </w:pPr>
      <w:r>
        <w:rPr>
          <w:rFonts w:hint="eastAsia" w:ascii="仿宋" w:hAnsi="仿宋" w:eastAsia="仿宋" w:cs="仿宋"/>
          <w:sz w:val="32"/>
          <w:szCs w:val="32"/>
        </w:rPr>
        <w:t>在文物征集研究部严格按照相关规章制度推进项目工作，与馆内信息资料部共同开展项目验收工作，为该项目的质量严格把关。</w:t>
      </w:r>
    </w:p>
    <w:bookmarkEnd w:id="28"/>
    <w:p w14:paraId="017DB8A3">
      <w:pPr>
        <w:pStyle w:val="4"/>
        <w:spacing w:before="0" w:after="0" w:line="360" w:lineRule="auto"/>
        <w:ind w:firstLine="643" w:firstLineChars="200"/>
        <w:rPr>
          <w:rFonts w:hint="eastAsia" w:ascii="楷体" w:hAnsi="楷体" w:eastAsia="楷体" w:cs="Times New Roman"/>
          <w:kern w:val="44"/>
        </w:rPr>
      </w:pPr>
      <w:bookmarkStart w:id="33" w:name="_Toc8857"/>
      <w:r>
        <w:rPr>
          <w:rFonts w:hint="eastAsia" w:ascii="楷体" w:hAnsi="楷体" w:eastAsia="楷体" w:cs="楷体"/>
          <w:kern w:val="44"/>
        </w:rPr>
        <w:t>（三）项目产出情况</w:t>
      </w:r>
      <w:bookmarkEnd w:id="33"/>
    </w:p>
    <w:p w14:paraId="2E7936B2">
      <w:pPr>
        <w:ind w:firstLine="640" w:firstLineChars="200"/>
        <w:rPr>
          <w:rFonts w:hint="eastAsia" w:ascii="仿宋" w:hAnsi="仿宋" w:eastAsia="仿宋" w:cs="Times New Roman"/>
          <w:sz w:val="32"/>
          <w:szCs w:val="32"/>
        </w:rPr>
      </w:pPr>
      <w:r>
        <w:rPr>
          <w:rFonts w:ascii="仿宋" w:hAnsi="仿宋" w:eastAsia="仿宋" w:cs="仿宋"/>
          <w:sz w:val="32"/>
          <w:szCs w:val="32"/>
        </w:rPr>
        <w:t>1</w:t>
      </w:r>
      <w:r>
        <w:rPr>
          <w:rFonts w:hint="eastAsia" w:ascii="仿宋" w:hAnsi="仿宋" w:eastAsia="仿宋" w:cs="仿宋"/>
          <w:sz w:val="32"/>
          <w:szCs w:val="32"/>
        </w:rPr>
        <w:t>．项目预期目标完成情况</w:t>
      </w:r>
    </w:p>
    <w:p w14:paraId="5F7C14BC">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年度数据采集项目选取了馆藏重点文物，实际采集文物631件，共计27084页。满足了对于展览数字化的部分需求，让观众能够直观地了解到文物具体细节及内容。建立了文物数据库一个，可在线上浏览高清文物图片，便于馆内工作人员进行文物研究使用，大幅减少了文物实际提用的频率，进一步确保了文物安全，同时促进了纪念馆学术研究工作。本年度数据采集项目的合格率100%，均达到质量指标，验收合格。</w:t>
      </w:r>
    </w:p>
    <w:p w14:paraId="0DB81154">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2．数量指标完成情况</w:t>
      </w:r>
    </w:p>
    <w:p w14:paraId="52C69B4D">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本项目绩效目标采集文物数量≧45件，采集文物页数≧4000页，实际采集文物631件，共计27084页。</w:t>
      </w:r>
    </w:p>
    <w:p w14:paraId="06CFA451">
      <w:pPr>
        <w:ind w:firstLine="640" w:firstLineChars="200"/>
        <w:rPr>
          <w:rFonts w:hint="eastAsia" w:ascii="仿宋" w:hAnsi="仿宋" w:eastAsia="仿宋" w:cs="仿宋"/>
          <w:sz w:val="32"/>
          <w:szCs w:val="32"/>
        </w:rPr>
      </w:pPr>
      <w:r>
        <w:rPr>
          <w:rFonts w:hint="eastAsia" w:ascii="仿宋" w:hAnsi="仿宋" w:eastAsia="仿宋" w:cs="仿宋"/>
          <w:sz w:val="32"/>
          <w:szCs w:val="32"/>
        </w:rPr>
        <w:t>3.质量指标完成情况</w:t>
      </w:r>
    </w:p>
    <w:p w14:paraId="48B7798F">
      <w:pPr>
        <w:ind w:firstLine="640" w:firstLineChars="200"/>
        <w:rPr>
          <w:rFonts w:hint="eastAsia" w:ascii="仿宋" w:hAnsi="仿宋" w:eastAsia="仿宋" w:cs="仿宋"/>
          <w:sz w:val="32"/>
          <w:szCs w:val="32"/>
        </w:rPr>
      </w:pPr>
      <w:r>
        <w:rPr>
          <w:rFonts w:hint="eastAsia" w:ascii="仿宋" w:hAnsi="仿宋" w:eastAsia="仿宋" w:cs="仿宋"/>
          <w:sz w:val="32"/>
          <w:szCs w:val="32"/>
        </w:rPr>
        <w:t>2024年香山革命纪念馆文物数据采集项目，按合同质量要求完成了项目并进行了验收。</w:t>
      </w:r>
    </w:p>
    <w:p w14:paraId="40928415">
      <w:pPr>
        <w:ind w:firstLine="640" w:firstLineChars="200"/>
        <w:rPr>
          <w:rFonts w:hint="eastAsia" w:ascii="仿宋" w:hAnsi="仿宋" w:eastAsia="仿宋" w:cs="Times New Roman"/>
          <w:sz w:val="32"/>
          <w:szCs w:val="32"/>
        </w:rPr>
      </w:pPr>
      <w:r>
        <w:rPr>
          <w:rFonts w:hint="eastAsia" w:ascii="仿宋" w:hAnsi="仿宋" w:eastAsia="仿宋" w:cs="仿宋"/>
          <w:sz w:val="32"/>
          <w:szCs w:val="32"/>
        </w:rPr>
        <w:t>4．项目实施进度情况</w:t>
      </w:r>
    </w:p>
    <w:p w14:paraId="4B42EDA3">
      <w:pPr>
        <w:ind w:firstLine="640" w:firstLineChars="200"/>
        <w:rPr>
          <w:rFonts w:hint="eastAsia" w:ascii="仿宋" w:hAnsi="仿宋" w:eastAsia="仿宋" w:cs="仿宋"/>
          <w:sz w:val="32"/>
          <w:szCs w:val="32"/>
        </w:rPr>
      </w:pPr>
      <w:r>
        <w:rPr>
          <w:rFonts w:hint="eastAsia" w:ascii="仿宋" w:hAnsi="仿宋" w:eastAsia="仿宋" w:cs="仿宋"/>
          <w:sz w:val="32"/>
          <w:szCs w:val="32"/>
        </w:rPr>
        <w:t>2024年香山革命纪念馆文物数据采集项目，按合同进度要求完成了项目并进行了验收。</w:t>
      </w:r>
    </w:p>
    <w:p w14:paraId="0709EB4E">
      <w:pPr>
        <w:ind w:firstLine="640" w:firstLineChars="200"/>
        <w:rPr>
          <w:rFonts w:hint="eastAsia" w:ascii="仿宋" w:hAnsi="仿宋" w:eastAsia="仿宋" w:cs="仿宋"/>
          <w:sz w:val="32"/>
          <w:szCs w:val="32"/>
        </w:rPr>
      </w:pPr>
      <w:r>
        <w:rPr>
          <w:rFonts w:hint="eastAsia" w:ascii="仿宋" w:hAnsi="仿宋" w:eastAsia="仿宋" w:cs="仿宋"/>
          <w:sz w:val="32"/>
          <w:szCs w:val="32"/>
        </w:rPr>
        <w:t>评价分析认为，通过该项目的实施，工作完成质量进度符合合同要求，完成了验收。</w:t>
      </w:r>
    </w:p>
    <w:p w14:paraId="39E041FA">
      <w:pPr>
        <w:pStyle w:val="4"/>
        <w:spacing w:before="0" w:after="0" w:line="360" w:lineRule="auto"/>
        <w:ind w:firstLine="643" w:firstLineChars="200"/>
        <w:rPr>
          <w:rFonts w:hint="eastAsia" w:ascii="楷体" w:hAnsi="楷体" w:eastAsia="楷体" w:cs="Times New Roman"/>
          <w:kern w:val="44"/>
        </w:rPr>
      </w:pPr>
      <w:bookmarkStart w:id="34" w:name="_Toc69899804"/>
      <w:bookmarkStart w:id="35" w:name="_Toc20003"/>
      <w:r>
        <w:rPr>
          <w:rFonts w:hint="eastAsia" w:ascii="楷体" w:hAnsi="楷体" w:eastAsia="楷体" w:cs="楷体"/>
          <w:kern w:val="44"/>
        </w:rPr>
        <w:t>（四）项目效益情况</w:t>
      </w:r>
      <w:bookmarkEnd w:id="34"/>
      <w:bookmarkEnd w:id="35"/>
    </w:p>
    <w:p w14:paraId="663687D2">
      <w:pPr>
        <w:ind w:firstLine="640" w:firstLineChars="200"/>
        <w:rPr>
          <w:rFonts w:hint="eastAsia" w:ascii="仿宋" w:hAnsi="仿宋" w:eastAsia="仿宋" w:cs="Times New Roman"/>
          <w:sz w:val="32"/>
          <w:szCs w:val="32"/>
        </w:rPr>
      </w:pPr>
      <w:r>
        <w:rPr>
          <w:rFonts w:ascii="仿宋" w:hAnsi="仿宋" w:eastAsia="仿宋" w:cs="仿宋"/>
          <w:sz w:val="32"/>
          <w:szCs w:val="32"/>
        </w:rPr>
        <w:t>1</w:t>
      </w:r>
      <w:r>
        <w:rPr>
          <w:rFonts w:hint="eastAsia" w:ascii="仿宋" w:hAnsi="仿宋" w:eastAsia="仿宋" w:cs="仿宋"/>
          <w:sz w:val="32"/>
          <w:szCs w:val="32"/>
        </w:rPr>
        <w:t>．项目实施产生的社会效益</w:t>
      </w:r>
    </w:p>
    <w:p w14:paraId="34D7A82F">
      <w:pPr>
        <w:ind w:firstLine="640" w:firstLineChars="200"/>
        <w:rPr>
          <w:rFonts w:hint="eastAsia" w:ascii="仿宋" w:hAnsi="仿宋" w:eastAsia="仿宋" w:cs="仿宋"/>
          <w:sz w:val="32"/>
          <w:szCs w:val="32"/>
        </w:rPr>
      </w:pPr>
      <w:r>
        <w:rPr>
          <w:rFonts w:hint="eastAsia" w:ascii="仿宋" w:hAnsi="仿宋" w:eastAsia="仿宋" w:cs="仿宋"/>
          <w:sz w:val="32"/>
          <w:szCs w:val="32"/>
        </w:rPr>
        <w:t>有效提升陈展能力、纪念馆影响力；满足日后基本展览及研究等需要。项目成果可用于展览中的数字化展示，建立的数据库可供馆内人员使用及研究。</w:t>
      </w:r>
    </w:p>
    <w:p w14:paraId="23ECA74D">
      <w:pPr>
        <w:ind w:firstLine="640" w:firstLineChars="200"/>
        <w:rPr>
          <w:rFonts w:hint="eastAsia" w:ascii="仿宋" w:hAnsi="仿宋" w:eastAsia="仿宋" w:cs="仿宋"/>
          <w:sz w:val="32"/>
          <w:szCs w:val="32"/>
        </w:rPr>
      </w:pPr>
      <w:r>
        <w:rPr>
          <w:rFonts w:hint="eastAsia" w:ascii="仿宋" w:hAnsi="仿宋" w:eastAsia="仿宋" w:cs="仿宋"/>
          <w:sz w:val="32"/>
          <w:szCs w:val="32"/>
        </w:rPr>
        <w:t>评价分析认为，实际与计划产出差异较大</w:t>
      </w:r>
      <w:r>
        <w:rPr>
          <w:rFonts w:hint="eastAsia" w:ascii="仿宋" w:hAnsi="仿宋" w:eastAsia="仿宋" w:cs="仿宋"/>
          <w:sz w:val="32"/>
          <w:szCs w:val="32"/>
          <w:lang w:eastAsia="zh-CN"/>
        </w:rPr>
        <w:t>，</w:t>
      </w:r>
      <w:r>
        <w:rPr>
          <w:rFonts w:hint="eastAsia" w:ascii="仿宋" w:hAnsi="仿宋" w:eastAsia="仿宋" w:cs="仿宋"/>
          <w:sz w:val="32"/>
          <w:szCs w:val="32"/>
        </w:rPr>
        <w:t>相关采集数据的展览等实际应用领域效果有待提升加强。</w:t>
      </w:r>
    </w:p>
    <w:p w14:paraId="476292B8">
      <w:pPr>
        <w:numPr>
          <w:ilvl w:val="0"/>
          <w:numId w:val="11"/>
        </w:numPr>
        <w:ind w:firstLine="640" w:firstLineChars="200"/>
        <w:rPr>
          <w:rFonts w:hint="eastAsia" w:ascii="仿宋" w:hAnsi="仿宋" w:eastAsia="仿宋" w:cs="仿宋"/>
          <w:sz w:val="32"/>
          <w:szCs w:val="32"/>
        </w:rPr>
      </w:pPr>
      <w:bookmarkStart w:id="36" w:name="_Toc69899805"/>
      <w:r>
        <w:rPr>
          <w:rFonts w:hint="eastAsia" w:ascii="仿宋" w:hAnsi="仿宋" w:eastAsia="仿宋" w:cs="仿宋"/>
          <w:sz w:val="32"/>
          <w:szCs w:val="32"/>
        </w:rPr>
        <w:t>服务对象满意度指标完成情况</w:t>
      </w:r>
    </w:p>
    <w:p w14:paraId="5FAC5CED">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绩效目标设定，观众对展览中数字化应用的满意度≧85%，实际≧85%，完成了设置的绩效目标</w:t>
      </w:r>
      <w:r>
        <w:rPr>
          <w:rFonts w:hint="eastAsia" w:ascii="仿宋" w:hAnsi="仿宋" w:eastAsia="仿宋" w:cs="仿宋"/>
          <w:sz w:val="32"/>
          <w:szCs w:val="32"/>
          <w:lang w:eastAsia="zh-CN"/>
        </w:rPr>
        <w:t>。</w:t>
      </w:r>
    </w:p>
    <w:p w14:paraId="78D0C059">
      <w:pPr>
        <w:ind w:firstLine="640" w:firstLineChars="200"/>
        <w:rPr>
          <w:rFonts w:hint="eastAsia" w:ascii="仿宋" w:hAnsi="仿宋" w:eastAsia="仿宋" w:cs="Times New Roman"/>
          <w:sz w:val="32"/>
          <w:szCs w:val="32"/>
        </w:rPr>
      </w:pPr>
      <w:r>
        <w:rPr>
          <w:rFonts w:hint="eastAsia" w:ascii="仿宋" w:hAnsi="仿宋" w:eastAsia="仿宋" w:cs="仿宋"/>
          <w:sz w:val="32"/>
          <w:szCs w:val="32"/>
        </w:rPr>
        <w:t>评价分析认为，该</w:t>
      </w:r>
      <w:r>
        <w:rPr>
          <w:rFonts w:hint="eastAsia" w:ascii="仿宋" w:hAnsi="仿宋" w:eastAsia="仿宋" w:cs="仿宋"/>
          <w:sz w:val="32"/>
          <w:szCs w:val="32"/>
          <w:highlight w:val="none"/>
        </w:rPr>
        <w:t>项目实施</w:t>
      </w:r>
      <w:r>
        <w:rPr>
          <w:rFonts w:hint="eastAsia" w:ascii="仿宋" w:hAnsi="仿宋" w:eastAsia="仿宋" w:cs="仿宋"/>
          <w:sz w:val="32"/>
          <w:szCs w:val="32"/>
        </w:rPr>
        <w:t>的服务对象满意度较高，具有较高的认可度。</w:t>
      </w:r>
    </w:p>
    <w:p w14:paraId="55522AA9">
      <w:pPr>
        <w:pStyle w:val="3"/>
        <w:spacing w:before="0" w:after="0" w:line="360" w:lineRule="auto"/>
        <w:ind w:firstLine="640" w:firstLineChars="200"/>
        <w:rPr>
          <w:rFonts w:eastAsia="黑体" w:cs="Times New Roman"/>
          <w:b w:val="0"/>
          <w:bCs w:val="0"/>
          <w:snapToGrid w:val="0"/>
          <w:color w:val="000000"/>
          <w:kern w:val="0"/>
          <w:sz w:val="32"/>
          <w:szCs w:val="32"/>
        </w:rPr>
      </w:pPr>
      <w:bookmarkStart w:id="37" w:name="_Toc23762"/>
      <w:r>
        <w:rPr>
          <w:rFonts w:hint="eastAsia" w:eastAsia="黑体" w:cs="黑体"/>
          <w:b w:val="0"/>
          <w:bCs w:val="0"/>
          <w:snapToGrid w:val="0"/>
          <w:color w:val="000000"/>
          <w:kern w:val="0"/>
          <w:sz w:val="32"/>
          <w:szCs w:val="32"/>
        </w:rPr>
        <w:t>五、问题</w:t>
      </w:r>
      <w:bookmarkEnd w:id="36"/>
      <w:bookmarkEnd w:id="37"/>
    </w:p>
    <w:p w14:paraId="0D4F99DB">
      <w:pPr>
        <w:ind w:firstLine="640" w:firstLineChars="200"/>
        <w:rPr>
          <w:rFonts w:hint="eastAsia" w:ascii="仿宋" w:hAnsi="仿宋" w:eastAsia="仿宋" w:cs="仿宋"/>
          <w:sz w:val="32"/>
          <w:szCs w:val="32"/>
        </w:rPr>
      </w:pPr>
      <w:bookmarkStart w:id="38" w:name="_Toc69899806"/>
      <w:r>
        <w:rPr>
          <w:rFonts w:hint="eastAsia" w:ascii="仿宋" w:hAnsi="仿宋" w:eastAsia="仿宋" w:cs="仿宋"/>
          <w:sz w:val="32"/>
          <w:szCs w:val="32"/>
        </w:rPr>
        <w:t>1.个别制度需要新增或修订相关遴选办法支撑材料不足，相关实施人员条件等信息支撑材料</w:t>
      </w:r>
      <w:r>
        <w:rPr>
          <w:rFonts w:hint="eastAsia" w:ascii="仿宋" w:hAnsi="仿宋" w:eastAsia="仿宋" w:cs="仿宋"/>
          <w:sz w:val="32"/>
          <w:szCs w:val="32"/>
          <w:lang w:val="en-US" w:eastAsia="zh-CN"/>
        </w:rPr>
        <w:t>需细化</w:t>
      </w:r>
      <w:r>
        <w:rPr>
          <w:rFonts w:hint="eastAsia" w:ascii="仿宋" w:hAnsi="仿宋" w:eastAsia="仿宋" w:cs="仿宋"/>
          <w:sz w:val="32"/>
          <w:szCs w:val="32"/>
        </w:rPr>
        <w:t>；</w:t>
      </w:r>
    </w:p>
    <w:p w14:paraId="4FDF6E5F">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.实际与计划产出</w:t>
      </w:r>
      <w:r>
        <w:rPr>
          <w:rFonts w:hint="eastAsia" w:ascii="仿宋" w:hAnsi="仿宋" w:eastAsia="仿宋" w:cs="仿宋"/>
          <w:sz w:val="32"/>
          <w:szCs w:val="32"/>
          <w:lang w:val="en-US" w:eastAsia="zh-CN"/>
        </w:rPr>
        <w:t>有</w:t>
      </w:r>
      <w:r>
        <w:rPr>
          <w:rFonts w:hint="eastAsia" w:ascii="仿宋" w:hAnsi="仿宋" w:eastAsia="仿宋" w:cs="仿宋"/>
          <w:sz w:val="32"/>
          <w:szCs w:val="32"/>
        </w:rPr>
        <w:t>差异，相关采集数据的展览等实际应用领域效果有待提升加强；</w:t>
      </w:r>
    </w:p>
    <w:p w14:paraId="4CD5BF6F">
      <w:pPr>
        <w:ind w:firstLine="640" w:firstLineChars="200"/>
        <w:rPr>
          <w:rFonts w:hint="eastAsia" w:ascii="仿宋" w:hAnsi="仿宋" w:eastAsia="仿宋" w:cs="Times New Roman"/>
          <w:sz w:val="32"/>
          <w:szCs w:val="32"/>
          <w:highlight w:val="yellow"/>
        </w:rPr>
      </w:pPr>
      <w:r>
        <w:rPr>
          <w:rFonts w:hint="eastAsia" w:ascii="仿宋" w:hAnsi="仿宋" w:eastAsia="仿宋" w:cs="仿宋"/>
          <w:sz w:val="32"/>
          <w:szCs w:val="32"/>
          <w:lang w:val="en-US" w:eastAsia="zh-CN"/>
        </w:rPr>
        <w:t>3</w:t>
      </w:r>
      <w:r>
        <w:rPr>
          <w:rFonts w:hint="eastAsia" w:ascii="仿宋" w:hAnsi="仿宋" w:eastAsia="仿宋" w:cs="仿宋"/>
          <w:sz w:val="32"/>
          <w:szCs w:val="32"/>
        </w:rPr>
        <w:t>.支撑材料不足</w:t>
      </w:r>
      <w:r>
        <w:rPr>
          <w:rFonts w:hint="eastAsia" w:ascii="仿宋" w:hAnsi="仿宋" w:eastAsia="仿宋" w:cs="仿宋"/>
          <w:sz w:val="32"/>
          <w:szCs w:val="32"/>
          <w:lang w:eastAsia="zh-CN"/>
        </w:rPr>
        <w:t>，</w:t>
      </w:r>
      <w:r>
        <w:rPr>
          <w:rFonts w:hint="eastAsia" w:ascii="仿宋" w:hAnsi="仿宋" w:eastAsia="仿宋" w:cs="仿宋"/>
          <w:sz w:val="32"/>
          <w:szCs w:val="32"/>
        </w:rPr>
        <w:t>相关成果使用产生的社会效益、可持续影响有待进一步检验。</w:t>
      </w:r>
    </w:p>
    <w:p w14:paraId="4A8E677C">
      <w:pPr>
        <w:pStyle w:val="3"/>
        <w:spacing w:before="0" w:after="0" w:line="360" w:lineRule="auto"/>
        <w:ind w:firstLine="640" w:firstLineChars="200"/>
        <w:rPr>
          <w:rFonts w:eastAsia="黑体" w:cs="Times New Roman"/>
          <w:b w:val="0"/>
          <w:bCs w:val="0"/>
          <w:snapToGrid w:val="0"/>
          <w:color w:val="000000"/>
          <w:kern w:val="0"/>
          <w:sz w:val="32"/>
          <w:szCs w:val="32"/>
        </w:rPr>
      </w:pPr>
      <w:bookmarkStart w:id="39" w:name="_Toc16149"/>
      <w:r>
        <w:rPr>
          <w:rFonts w:hint="eastAsia" w:eastAsia="黑体" w:cs="黑体"/>
          <w:b w:val="0"/>
          <w:bCs w:val="0"/>
          <w:snapToGrid w:val="0"/>
          <w:color w:val="000000"/>
          <w:kern w:val="0"/>
          <w:sz w:val="32"/>
          <w:szCs w:val="32"/>
        </w:rPr>
        <w:t>六、有关建议</w:t>
      </w:r>
      <w:bookmarkEnd w:id="38"/>
      <w:bookmarkEnd w:id="39"/>
    </w:p>
    <w:p w14:paraId="716FAE02">
      <w:pPr>
        <w:ind w:firstLine="640" w:firstLineChars="200"/>
        <w:rPr>
          <w:rFonts w:hint="eastAsia" w:ascii="仿宋" w:hAnsi="仿宋" w:eastAsia="仿宋" w:cs="仿宋"/>
          <w:sz w:val="32"/>
          <w:szCs w:val="32"/>
        </w:rPr>
      </w:pPr>
      <w:r>
        <w:rPr>
          <w:rFonts w:hint="eastAsia" w:ascii="仿宋" w:hAnsi="仿宋" w:eastAsia="仿宋" w:cs="仿宋"/>
          <w:sz w:val="32"/>
          <w:szCs w:val="32"/>
        </w:rPr>
        <w:t>1.建议根据项目发展规划，科学合理设置项目绩效目标和指标</w:t>
      </w:r>
      <w:r>
        <w:rPr>
          <w:rFonts w:hint="eastAsia" w:ascii="仿宋" w:hAnsi="仿宋" w:eastAsia="仿宋" w:cs="仿宋"/>
          <w:sz w:val="32"/>
          <w:szCs w:val="32"/>
          <w:lang w:eastAsia="zh-CN"/>
        </w:rPr>
        <w:t>，</w:t>
      </w:r>
      <w:r>
        <w:rPr>
          <w:rFonts w:hint="eastAsia" w:ascii="仿宋" w:hAnsi="仿宋" w:eastAsia="仿宋" w:cs="仿宋"/>
          <w:sz w:val="32"/>
          <w:szCs w:val="32"/>
        </w:rPr>
        <w:t>决策依据资料可以更加充分完整，项目绩效目标有提升空间；</w:t>
      </w:r>
    </w:p>
    <w:p w14:paraId="2A846FC5">
      <w:pPr>
        <w:ind w:firstLine="640" w:firstLineChars="200"/>
        <w:rPr>
          <w:rFonts w:hint="eastAsia" w:ascii="仿宋" w:hAnsi="仿宋" w:eastAsia="仿宋" w:cs="仿宋"/>
          <w:sz w:val="32"/>
          <w:szCs w:val="32"/>
        </w:rPr>
      </w:pPr>
      <w:r>
        <w:rPr>
          <w:rFonts w:hint="eastAsia" w:ascii="仿宋" w:hAnsi="仿宋" w:eastAsia="仿宋" w:cs="仿宋"/>
          <w:sz w:val="32"/>
          <w:szCs w:val="32"/>
        </w:rPr>
        <w:t>2.建议单位不断根据国家政策和新形势，新增和更新制度对于采集数据的遴选标准和实施人员条件等信息需要更加明确</w:t>
      </w:r>
      <w:r>
        <w:rPr>
          <w:rFonts w:hint="eastAsia" w:ascii="仿宋" w:hAnsi="仿宋" w:eastAsia="仿宋" w:cs="仿宋"/>
          <w:sz w:val="32"/>
          <w:szCs w:val="32"/>
          <w:lang w:eastAsia="zh-CN"/>
        </w:rPr>
        <w:t>，</w:t>
      </w:r>
      <w:r>
        <w:rPr>
          <w:rFonts w:hint="eastAsia" w:ascii="仿宋" w:hAnsi="仿宋" w:eastAsia="仿宋" w:cs="仿宋"/>
          <w:sz w:val="32"/>
          <w:szCs w:val="32"/>
        </w:rPr>
        <w:t>建议加强业务人员财政绩效培训</w:t>
      </w:r>
      <w:r>
        <w:rPr>
          <w:rFonts w:hint="eastAsia" w:ascii="仿宋" w:hAnsi="仿宋" w:eastAsia="仿宋" w:cs="仿宋"/>
          <w:sz w:val="32"/>
          <w:szCs w:val="32"/>
        </w:rPr>
        <w:tab/>
      </w:r>
      <w:r>
        <w:rPr>
          <w:rFonts w:hint="eastAsia" w:ascii="仿宋" w:hAnsi="仿宋" w:eastAsia="仿宋" w:cs="仿宋"/>
          <w:sz w:val="32"/>
          <w:szCs w:val="32"/>
        </w:rPr>
        <w:t>；</w:t>
      </w:r>
    </w:p>
    <w:p w14:paraId="626EBE8C">
      <w:pPr>
        <w:ind w:firstLine="640" w:firstLineChars="200"/>
        <w:rPr>
          <w:rFonts w:hint="eastAsia" w:ascii="仿宋" w:hAnsi="仿宋" w:eastAsia="仿宋" w:cs="仿宋"/>
          <w:sz w:val="32"/>
          <w:szCs w:val="32"/>
        </w:rPr>
      </w:pPr>
      <w:r>
        <w:rPr>
          <w:rFonts w:hint="eastAsia" w:ascii="仿宋" w:hAnsi="仿宋" w:eastAsia="仿宋" w:cs="仿宋"/>
          <w:sz w:val="32"/>
          <w:szCs w:val="32"/>
        </w:rPr>
        <w:t>3.建议科学编制指标</w:t>
      </w:r>
      <w:r>
        <w:rPr>
          <w:rFonts w:hint="eastAsia" w:ascii="仿宋" w:hAnsi="仿宋" w:eastAsia="仿宋" w:cs="仿宋"/>
          <w:sz w:val="32"/>
          <w:szCs w:val="32"/>
          <w:lang w:val="en-US" w:eastAsia="zh-CN"/>
        </w:rPr>
        <w:t>反映</w:t>
      </w:r>
      <w:r>
        <w:rPr>
          <w:rFonts w:hint="eastAsia" w:ascii="仿宋" w:hAnsi="仿宋" w:eastAsia="仿宋" w:cs="仿宋"/>
          <w:sz w:val="32"/>
          <w:szCs w:val="32"/>
        </w:rPr>
        <w:t>项目的产出情况，特别是数量指标，相关采集数据的应用层面领域需要更加关注</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注意加强对</w:t>
      </w:r>
      <w:r>
        <w:rPr>
          <w:rFonts w:hint="eastAsia" w:ascii="仿宋" w:hAnsi="仿宋" w:eastAsia="仿宋" w:cs="仿宋"/>
          <w:sz w:val="32"/>
          <w:szCs w:val="32"/>
        </w:rPr>
        <w:t>采集的数据</w:t>
      </w:r>
      <w:r>
        <w:rPr>
          <w:rFonts w:hint="eastAsia" w:ascii="仿宋" w:hAnsi="仿宋" w:eastAsia="仿宋" w:cs="仿宋"/>
          <w:sz w:val="32"/>
          <w:szCs w:val="32"/>
          <w:lang w:val="en-US" w:eastAsia="zh-CN"/>
        </w:rPr>
        <w:t>后续</w:t>
      </w:r>
      <w:r>
        <w:rPr>
          <w:rFonts w:hint="eastAsia" w:ascii="仿宋" w:hAnsi="仿宋" w:eastAsia="仿宋" w:cs="仿宋"/>
          <w:sz w:val="32"/>
          <w:szCs w:val="32"/>
        </w:rPr>
        <w:t>应用到位；</w:t>
      </w:r>
    </w:p>
    <w:p w14:paraId="3070582E">
      <w:pPr>
        <w:ind w:firstLine="640" w:firstLineChars="200"/>
        <w:rPr>
          <w:rFonts w:hint="eastAsia" w:ascii="仿宋" w:hAnsi="仿宋" w:eastAsia="仿宋" w:cs="Times New Roman"/>
          <w:sz w:val="32"/>
          <w:szCs w:val="32"/>
          <w:highlight w:val="yellow"/>
        </w:rPr>
      </w:pPr>
      <w:r>
        <w:rPr>
          <w:rFonts w:hint="eastAsia" w:ascii="仿宋" w:hAnsi="仿宋" w:eastAsia="仿宋" w:cs="仿宋"/>
          <w:sz w:val="32"/>
          <w:szCs w:val="32"/>
        </w:rPr>
        <w:t>4.建议科学编制效益指标，并注意材料的收集，如保留媒体宣传，群众调查问卷等，增加支撑材料。相关采集数据应用成果使用产生的社会效益、可持续影响需要持续性关注和定期回头看。体现产出效益的资料需更加全面完整。</w:t>
      </w:r>
    </w:p>
    <w:p w14:paraId="4AB69D27">
      <w:pPr>
        <w:pStyle w:val="3"/>
        <w:spacing w:before="0" w:after="0" w:line="360" w:lineRule="auto"/>
        <w:ind w:firstLine="640" w:firstLineChars="200"/>
        <w:rPr>
          <w:rFonts w:hint="eastAsia" w:eastAsia="黑体" w:cs="黑体"/>
          <w:b w:val="0"/>
          <w:bCs w:val="0"/>
          <w:snapToGrid w:val="0"/>
          <w:color w:val="000000"/>
          <w:kern w:val="0"/>
          <w:sz w:val="32"/>
          <w:szCs w:val="32"/>
        </w:rPr>
      </w:pPr>
      <w:bookmarkStart w:id="40" w:name="_Toc26316"/>
      <w:bookmarkStart w:id="41" w:name="_Toc69899807"/>
      <w:r>
        <w:rPr>
          <w:rFonts w:hint="eastAsia" w:eastAsia="黑体" w:cs="黑体"/>
          <w:b w:val="0"/>
          <w:bCs w:val="0"/>
          <w:snapToGrid w:val="0"/>
          <w:color w:val="000000"/>
          <w:kern w:val="0"/>
          <w:sz w:val="32"/>
          <w:szCs w:val="32"/>
        </w:rPr>
        <w:t>七、其他需要说明的问题</w:t>
      </w:r>
      <w:bookmarkEnd w:id="40"/>
      <w:bookmarkEnd w:id="41"/>
    </w:p>
    <w:p w14:paraId="26B8A742">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sectPr>
      <w:footerReference r:id="rId4" w:type="default"/>
      <w:pgSz w:w="11906" w:h="16838"/>
      <w:pgMar w:top="1440" w:right="1800" w:bottom="1440" w:left="1800" w:header="851" w:footer="992" w:gutter="0"/>
      <w:pgNumType w:start="1" w:chapStyle="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BA79B83-6EC0-4E88-915B-172ABD85D30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embedRegular r:id="rId2" w:fontKey="{B336C573-5F58-4E39-BBE6-72B6A7BF0351}"/>
  </w:font>
  <w:font w:name="Cambria">
    <w:panose1 w:val="02040503050406030204"/>
    <w:charset w:val="00"/>
    <w:family w:val="roman"/>
    <w:pitch w:val="default"/>
    <w:sig w:usb0="E00006FF" w:usb1="420024FF" w:usb2="02000000" w:usb3="00000000" w:csb0="2000019F" w:csb1="00000000"/>
  </w:font>
  <w:font w:name="Microsoft YaHei UI">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_GB2312">
    <w:altName w:val="Times New Roman"/>
    <w:panose1 w:val="00000000000000000000"/>
    <w:charset w:val="00"/>
    <w:family w:val="auto"/>
    <w:pitch w:val="default"/>
    <w:sig w:usb0="00000000" w:usb1="00000000" w:usb2="00000000" w:usb3="00000000" w:csb0="00000001" w:csb1="00000000"/>
  </w:font>
  <w:font w:name="方正小标宋简体">
    <w:panose1 w:val="03000509000000000000"/>
    <w:charset w:val="86"/>
    <w:family w:val="auto"/>
    <w:pitch w:val="default"/>
    <w:sig w:usb0="00000001" w:usb1="080E0000" w:usb2="00000000" w:usb3="00000000" w:csb0="00040000" w:csb1="00000000"/>
    <w:embedRegular r:id="rId3" w:fontKey="{1A419BBA-D8D2-40F5-BE65-53ED7ADABDD4}"/>
  </w:font>
  <w:font w:name="华文中宋">
    <w:panose1 w:val="02010600040101010101"/>
    <w:charset w:val="86"/>
    <w:family w:val="auto"/>
    <w:pitch w:val="default"/>
    <w:sig w:usb0="00000287" w:usb1="080F0000" w:usb2="00000000" w:usb3="00000000" w:csb0="0004009F" w:csb1="DFD70000"/>
    <w:embedRegular r:id="rId4" w:fontKey="{1160927D-13D8-4C73-BA55-F64B12A8F934}"/>
  </w:font>
  <w:font w:name="楷体">
    <w:panose1 w:val="02010609060101010101"/>
    <w:charset w:val="86"/>
    <w:family w:val="modern"/>
    <w:pitch w:val="default"/>
    <w:sig w:usb0="800002BF" w:usb1="38CF7CFA" w:usb2="00000016" w:usb3="00000000" w:csb0="00040001" w:csb1="00000000"/>
    <w:embedRegular r:id="rId5" w:fontKey="{FFCB6043-E60C-4F1E-9155-ACA6D51D7575}"/>
  </w:font>
  <w:font w:name="仿宋">
    <w:panose1 w:val="02010609060101010101"/>
    <w:charset w:val="86"/>
    <w:family w:val="modern"/>
    <w:pitch w:val="default"/>
    <w:sig w:usb0="800002BF" w:usb1="38CF7CFA" w:usb2="00000016" w:usb3="00000000" w:csb0="00040001" w:csb1="00000000"/>
    <w:embedRegular r:id="rId6" w:fontKey="{99A8ED5A-0D2C-43FE-B5AB-4DCF908F6AC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384129">
    <w:pPr>
      <w:pStyle w:val="55"/>
      <w:jc w:val="center"/>
      <w:rPr>
        <w:rFonts w:hint="eastAsia" w:cs="Times New Roman"/>
      </w:rPr>
    </w:pPr>
  </w:p>
  <w:p w14:paraId="042DCE6C">
    <w:pPr>
      <w:pStyle w:val="55"/>
      <w:rPr>
        <w:rFonts w:hint="eastAsia"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3119FD">
    <w:pPr>
      <w:pStyle w:val="55"/>
      <w:jc w:val="center"/>
      <w:rPr>
        <w:rFonts w:hint="eastAsia" w:cs="Times New Roman"/>
      </w:rPr>
    </w:pPr>
    <w:r>
      <w:fldChar w:fldCharType="begin"/>
    </w:r>
    <w:r>
      <w:instrText xml:space="preserve">PAGE   \* MERGEFORMAT</w:instrText>
    </w:r>
    <w:r>
      <w:fldChar w:fldCharType="separate"/>
    </w:r>
    <w:r>
      <w:rPr>
        <w:lang w:val="zh-CN"/>
      </w:rPr>
      <w:t>14</w:t>
    </w:r>
    <w:r>
      <w:rPr>
        <w:lang w:val="zh-CN"/>
      </w:rPr>
      <w:fldChar w:fldCharType="end"/>
    </w:r>
  </w:p>
  <w:p w14:paraId="1EC2D9AE">
    <w:pPr>
      <w:pStyle w:val="55"/>
      <w:rPr>
        <w:rFonts w:hint="eastAsia" w:cs="Times New Roman"/>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5"/>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47"/>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36"/>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14"/>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46"/>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17"/>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33"/>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40"/>
      <w:lvlText w:val=""/>
      <w:lvlJc w:val="left"/>
      <w:pPr>
        <w:tabs>
          <w:tab w:val="left" w:pos="780"/>
        </w:tabs>
        <w:ind w:left="780" w:leftChars="200" w:hanging="360" w:hangingChars="200"/>
      </w:pPr>
      <w:rPr>
        <w:rFonts w:hint="default" w:ascii="Wingdings" w:hAnsi="Wingdings"/>
      </w:rPr>
    </w:lvl>
  </w:abstractNum>
  <w:abstractNum w:abstractNumId="8">
    <w:nsid w:val="FFFFFF88"/>
    <w:multiLevelType w:val="singleLevel"/>
    <w:tmpl w:val="FFFFFF88"/>
    <w:lvl w:ilvl="0" w:tentative="0">
      <w:start w:val="1"/>
      <w:numFmt w:val="decimal"/>
      <w:pStyle w:val="20"/>
      <w:lvlText w:val="%1."/>
      <w:lvlJc w:val="left"/>
      <w:pPr>
        <w:tabs>
          <w:tab w:val="left" w:pos="360"/>
        </w:tabs>
        <w:ind w:left="360" w:hanging="360" w:hangingChars="200"/>
      </w:pPr>
    </w:lvl>
  </w:abstractNum>
  <w:abstractNum w:abstractNumId="9">
    <w:nsid w:val="FFFFFF89"/>
    <w:multiLevelType w:val="singleLevel"/>
    <w:tmpl w:val="FFFFFF89"/>
    <w:lvl w:ilvl="0" w:tentative="0">
      <w:start w:val="1"/>
      <w:numFmt w:val="bullet"/>
      <w:pStyle w:val="24"/>
      <w:lvlText w:val=""/>
      <w:lvlJc w:val="left"/>
      <w:pPr>
        <w:tabs>
          <w:tab w:val="left" w:pos="360"/>
        </w:tabs>
        <w:ind w:left="360" w:hanging="360" w:hangingChars="200"/>
      </w:pPr>
      <w:rPr>
        <w:rFonts w:hint="default" w:ascii="Wingdings" w:hAnsi="Wingdings"/>
      </w:rPr>
    </w:lvl>
  </w:abstractNum>
  <w:abstractNum w:abstractNumId="10">
    <w:nsid w:val="6A1784EE"/>
    <w:multiLevelType w:val="singleLevel"/>
    <w:tmpl w:val="6A1784EE"/>
    <w:lvl w:ilvl="0" w:tentative="0">
      <w:start w:val="2"/>
      <w:numFmt w:val="decimal"/>
      <w:suff w:val="nothing"/>
      <w:lvlText w:val="%1．"/>
      <w:lvlJc w:val="left"/>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c3M2Y5NzIzMDFlZjAyY2Q4Njk5ODkyYjFjNzBiNTQifQ=="/>
    <w:docVar w:name="KSO_WPS_MARK_KEY" w:val="691fff4d-cb96-42db-abf6-585035cc54f0"/>
  </w:docVars>
  <w:rsids>
    <w:rsidRoot w:val="00B976B8"/>
    <w:rsid w:val="00002A39"/>
    <w:rsid w:val="0003137B"/>
    <w:rsid w:val="0006088D"/>
    <w:rsid w:val="000756C7"/>
    <w:rsid w:val="00094B12"/>
    <w:rsid w:val="000A3B46"/>
    <w:rsid w:val="000D62E5"/>
    <w:rsid w:val="0011047A"/>
    <w:rsid w:val="00116FE6"/>
    <w:rsid w:val="00123403"/>
    <w:rsid w:val="00130A5B"/>
    <w:rsid w:val="00134798"/>
    <w:rsid w:val="00145F73"/>
    <w:rsid w:val="0016425A"/>
    <w:rsid w:val="00174214"/>
    <w:rsid w:val="00184C3C"/>
    <w:rsid w:val="00187045"/>
    <w:rsid w:val="001A1639"/>
    <w:rsid w:val="001D22D7"/>
    <w:rsid w:val="001E4007"/>
    <w:rsid w:val="001F3E7B"/>
    <w:rsid w:val="0022786B"/>
    <w:rsid w:val="00246A26"/>
    <w:rsid w:val="002634EB"/>
    <w:rsid w:val="002655AD"/>
    <w:rsid w:val="00272A2F"/>
    <w:rsid w:val="00275161"/>
    <w:rsid w:val="00283C9A"/>
    <w:rsid w:val="002A2551"/>
    <w:rsid w:val="002A4D91"/>
    <w:rsid w:val="002B7551"/>
    <w:rsid w:val="002C54D8"/>
    <w:rsid w:val="002C5C88"/>
    <w:rsid w:val="002C6FC1"/>
    <w:rsid w:val="00312771"/>
    <w:rsid w:val="00333E0C"/>
    <w:rsid w:val="00346AA7"/>
    <w:rsid w:val="00353965"/>
    <w:rsid w:val="003572F6"/>
    <w:rsid w:val="00380943"/>
    <w:rsid w:val="003876A6"/>
    <w:rsid w:val="003A1D45"/>
    <w:rsid w:val="003F3244"/>
    <w:rsid w:val="003F376C"/>
    <w:rsid w:val="003F65CC"/>
    <w:rsid w:val="00400631"/>
    <w:rsid w:val="00405F73"/>
    <w:rsid w:val="00406A89"/>
    <w:rsid w:val="004844D8"/>
    <w:rsid w:val="00487B6C"/>
    <w:rsid w:val="004A097D"/>
    <w:rsid w:val="004B4C65"/>
    <w:rsid w:val="004C0D16"/>
    <w:rsid w:val="004C1EC7"/>
    <w:rsid w:val="004E0091"/>
    <w:rsid w:val="004E660C"/>
    <w:rsid w:val="004E6A84"/>
    <w:rsid w:val="004F2C34"/>
    <w:rsid w:val="005002CC"/>
    <w:rsid w:val="00531D03"/>
    <w:rsid w:val="005510D1"/>
    <w:rsid w:val="00552082"/>
    <w:rsid w:val="0057748F"/>
    <w:rsid w:val="005779D6"/>
    <w:rsid w:val="00582C2B"/>
    <w:rsid w:val="005B15B5"/>
    <w:rsid w:val="005B4A7A"/>
    <w:rsid w:val="005E4B8C"/>
    <w:rsid w:val="005F66D4"/>
    <w:rsid w:val="005F71FE"/>
    <w:rsid w:val="00604AF2"/>
    <w:rsid w:val="00607AFF"/>
    <w:rsid w:val="00627289"/>
    <w:rsid w:val="00631C20"/>
    <w:rsid w:val="00631D3C"/>
    <w:rsid w:val="006556DE"/>
    <w:rsid w:val="00662216"/>
    <w:rsid w:val="0066228C"/>
    <w:rsid w:val="00687672"/>
    <w:rsid w:val="006B0F70"/>
    <w:rsid w:val="006C5B4B"/>
    <w:rsid w:val="006D2279"/>
    <w:rsid w:val="006E2755"/>
    <w:rsid w:val="006E67EA"/>
    <w:rsid w:val="006F13C3"/>
    <w:rsid w:val="006F14D2"/>
    <w:rsid w:val="006F549E"/>
    <w:rsid w:val="007011F2"/>
    <w:rsid w:val="00722343"/>
    <w:rsid w:val="00722A54"/>
    <w:rsid w:val="0077309D"/>
    <w:rsid w:val="00773431"/>
    <w:rsid w:val="00790060"/>
    <w:rsid w:val="007A27DB"/>
    <w:rsid w:val="007C1108"/>
    <w:rsid w:val="007C5AE8"/>
    <w:rsid w:val="007E0843"/>
    <w:rsid w:val="007E5715"/>
    <w:rsid w:val="00800742"/>
    <w:rsid w:val="00802654"/>
    <w:rsid w:val="00865BBD"/>
    <w:rsid w:val="008756B2"/>
    <w:rsid w:val="00882D37"/>
    <w:rsid w:val="008B2098"/>
    <w:rsid w:val="008C2067"/>
    <w:rsid w:val="008C4060"/>
    <w:rsid w:val="008C6ACB"/>
    <w:rsid w:val="008D0162"/>
    <w:rsid w:val="00916390"/>
    <w:rsid w:val="009243DB"/>
    <w:rsid w:val="00924808"/>
    <w:rsid w:val="009326F6"/>
    <w:rsid w:val="009335E1"/>
    <w:rsid w:val="009379CC"/>
    <w:rsid w:val="0095702A"/>
    <w:rsid w:val="00966286"/>
    <w:rsid w:val="00966EB4"/>
    <w:rsid w:val="009830F0"/>
    <w:rsid w:val="00985EE8"/>
    <w:rsid w:val="00991467"/>
    <w:rsid w:val="00995884"/>
    <w:rsid w:val="00996A4C"/>
    <w:rsid w:val="00996FEE"/>
    <w:rsid w:val="009A1280"/>
    <w:rsid w:val="009B380F"/>
    <w:rsid w:val="009B7B55"/>
    <w:rsid w:val="009D0D94"/>
    <w:rsid w:val="009E4A60"/>
    <w:rsid w:val="009E7198"/>
    <w:rsid w:val="009E7786"/>
    <w:rsid w:val="00A04733"/>
    <w:rsid w:val="00A202A8"/>
    <w:rsid w:val="00A343ED"/>
    <w:rsid w:val="00A6203C"/>
    <w:rsid w:val="00A67E27"/>
    <w:rsid w:val="00A76D5F"/>
    <w:rsid w:val="00AA5E67"/>
    <w:rsid w:val="00AB090B"/>
    <w:rsid w:val="00AC6ABC"/>
    <w:rsid w:val="00AE1899"/>
    <w:rsid w:val="00AE683E"/>
    <w:rsid w:val="00AF35E7"/>
    <w:rsid w:val="00B0490D"/>
    <w:rsid w:val="00B1554A"/>
    <w:rsid w:val="00B35B2F"/>
    <w:rsid w:val="00B409B0"/>
    <w:rsid w:val="00B4275C"/>
    <w:rsid w:val="00B428B5"/>
    <w:rsid w:val="00B433FB"/>
    <w:rsid w:val="00B56432"/>
    <w:rsid w:val="00B625DB"/>
    <w:rsid w:val="00B976B8"/>
    <w:rsid w:val="00B97E94"/>
    <w:rsid w:val="00BD4F15"/>
    <w:rsid w:val="00BE7FE3"/>
    <w:rsid w:val="00C01B5D"/>
    <w:rsid w:val="00C03C6D"/>
    <w:rsid w:val="00C06A7A"/>
    <w:rsid w:val="00C0744F"/>
    <w:rsid w:val="00C1363A"/>
    <w:rsid w:val="00C219EC"/>
    <w:rsid w:val="00C224A3"/>
    <w:rsid w:val="00C258E1"/>
    <w:rsid w:val="00C30D6C"/>
    <w:rsid w:val="00C325CC"/>
    <w:rsid w:val="00C32853"/>
    <w:rsid w:val="00C347D7"/>
    <w:rsid w:val="00C37C5F"/>
    <w:rsid w:val="00C549E2"/>
    <w:rsid w:val="00C71B7F"/>
    <w:rsid w:val="00C73433"/>
    <w:rsid w:val="00C74F4C"/>
    <w:rsid w:val="00C7706C"/>
    <w:rsid w:val="00C97441"/>
    <w:rsid w:val="00CB294C"/>
    <w:rsid w:val="00CB6B82"/>
    <w:rsid w:val="00CC3F5D"/>
    <w:rsid w:val="00CD4B7A"/>
    <w:rsid w:val="00CF6CC5"/>
    <w:rsid w:val="00CF7DD2"/>
    <w:rsid w:val="00D12003"/>
    <w:rsid w:val="00D34388"/>
    <w:rsid w:val="00D343AC"/>
    <w:rsid w:val="00D55D11"/>
    <w:rsid w:val="00D75480"/>
    <w:rsid w:val="00D86AF1"/>
    <w:rsid w:val="00D87C52"/>
    <w:rsid w:val="00D934FE"/>
    <w:rsid w:val="00DA199A"/>
    <w:rsid w:val="00DA3118"/>
    <w:rsid w:val="00DC26BD"/>
    <w:rsid w:val="00DC3F56"/>
    <w:rsid w:val="00DD19E8"/>
    <w:rsid w:val="00DD758C"/>
    <w:rsid w:val="00E130E8"/>
    <w:rsid w:val="00E26E69"/>
    <w:rsid w:val="00E4276F"/>
    <w:rsid w:val="00E7618F"/>
    <w:rsid w:val="00E866DA"/>
    <w:rsid w:val="00E9393B"/>
    <w:rsid w:val="00EA0798"/>
    <w:rsid w:val="00EA32C0"/>
    <w:rsid w:val="00EB0FFF"/>
    <w:rsid w:val="00EB14F9"/>
    <w:rsid w:val="00EB27DD"/>
    <w:rsid w:val="00EB470C"/>
    <w:rsid w:val="00ED4112"/>
    <w:rsid w:val="00EE05BD"/>
    <w:rsid w:val="00EE66EA"/>
    <w:rsid w:val="00EF1459"/>
    <w:rsid w:val="00F13755"/>
    <w:rsid w:val="00F17222"/>
    <w:rsid w:val="00F21D41"/>
    <w:rsid w:val="00F40EC0"/>
    <w:rsid w:val="00F43A7F"/>
    <w:rsid w:val="00F65008"/>
    <w:rsid w:val="00F66A71"/>
    <w:rsid w:val="00F71CA1"/>
    <w:rsid w:val="00F71D46"/>
    <w:rsid w:val="00F71E50"/>
    <w:rsid w:val="00F835DB"/>
    <w:rsid w:val="00FD02AB"/>
    <w:rsid w:val="00FE1866"/>
    <w:rsid w:val="01F771EF"/>
    <w:rsid w:val="03B430A3"/>
    <w:rsid w:val="063F7AE2"/>
    <w:rsid w:val="06C614C2"/>
    <w:rsid w:val="07B93C52"/>
    <w:rsid w:val="08B43544"/>
    <w:rsid w:val="09FE6213"/>
    <w:rsid w:val="0D3137EC"/>
    <w:rsid w:val="0D3278C0"/>
    <w:rsid w:val="0D8570AB"/>
    <w:rsid w:val="0E3510FC"/>
    <w:rsid w:val="12103A7C"/>
    <w:rsid w:val="12F44C6F"/>
    <w:rsid w:val="15D838CB"/>
    <w:rsid w:val="1AF55592"/>
    <w:rsid w:val="1AFC2BB7"/>
    <w:rsid w:val="1B4A464F"/>
    <w:rsid w:val="1FC032F0"/>
    <w:rsid w:val="20293DA7"/>
    <w:rsid w:val="21D4135D"/>
    <w:rsid w:val="23BF63FD"/>
    <w:rsid w:val="2560590A"/>
    <w:rsid w:val="2B69308D"/>
    <w:rsid w:val="36E66E7C"/>
    <w:rsid w:val="39C2526F"/>
    <w:rsid w:val="3C587B1D"/>
    <w:rsid w:val="3C647AEA"/>
    <w:rsid w:val="3C880878"/>
    <w:rsid w:val="3D255001"/>
    <w:rsid w:val="3E7A79C7"/>
    <w:rsid w:val="3FE924C5"/>
    <w:rsid w:val="42B775C7"/>
    <w:rsid w:val="44044BB6"/>
    <w:rsid w:val="482E60C1"/>
    <w:rsid w:val="496E7888"/>
    <w:rsid w:val="4B1D5220"/>
    <w:rsid w:val="4D9A5D55"/>
    <w:rsid w:val="4DCB53D0"/>
    <w:rsid w:val="50606FD1"/>
    <w:rsid w:val="54177321"/>
    <w:rsid w:val="543327AA"/>
    <w:rsid w:val="54CD6965"/>
    <w:rsid w:val="56CD6106"/>
    <w:rsid w:val="5A0A5DD6"/>
    <w:rsid w:val="5AC25F37"/>
    <w:rsid w:val="5D6069F9"/>
    <w:rsid w:val="5EAD1692"/>
    <w:rsid w:val="60537C6E"/>
    <w:rsid w:val="60C851EA"/>
    <w:rsid w:val="64EE4BED"/>
    <w:rsid w:val="67AD1D33"/>
    <w:rsid w:val="692F0E03"/>
    <w:rsid w:val="6A7B29E6"/>
    <w:rsid w:val="6DF546CB"/>
    <w:rsid w:val="744E09AE"/>
    <w:rsid w:val="747D1925"/>
    <w:rsid w:val="77C12BAD"/>
    <w:rsid w:val="77E01B58"/>
    <w:rsid w:val="78655279"/>
    <w:rsid w:val="7C603FD3"/>
    <w:rsid w:val="7E2535B8"/>
    <w:rsid w:val="7F1E67D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qFormat="1" w:uiPriority="99" w:name="index 1"/>
    <w:lsdException w:qFormat="1" w:uiPriority="99" w:name="index 2"/>
    <w:lsdException w:qFormat="1" w:uiPriority="99" w:name="index 3"/>
    <w:lsdException w:qFormat="1" w:uiPriority="99" w:name="index 4"/>
    <w:lsdException w:qFormat="1" w:uiPriority="99" w:name="index 5"/>
    <w:lsdException w:qFormat="1" w:uiPriority="99" w:name="index 6"/>
    <w:lsdException w:qFormat="1" w:uiPriority="99" w:name="index 7"/>
    <w:lsdException w:qFormat="1" w:uiPriority="99" w:name="index 8"/>
    <w:lsdException w:qFormat="1" w:uiPriority="99" w:name="index 9"/>
    <w:lsdException w:qFormat="1" w:unhideWhenUsed="0" w:uiPriority="99" w:name="toc 1"/>
    <w:lsdException w:qFormat="1" w:unhideWhenUsed="0" w:uiPriority="99" w:name="toc 2"/>
    <w:lsdException w:qFormat="1" w:unhideWhenUsed="0" w:uiPriority="99" w:name="toc 3"/>
    <w:lsdException w:qFormat="1" w:unhideWhenUsed="0" w:uiPriority="0" w:semiHidden="0" w:name="toc 4" w:locked="1"/>
    <w:lsdException w:qFormat="1" w:unhideWhenUsed="0" w:uiPriority="0" w:semiHidden="0" w:name="toc 5" w:locked="1"/>
    <w:lsdException w:qFormat="1" w:unhideWhenUsed="0" w:uiPriority="0" w:semiHidden="0" w:name="toc 6" w:locked="1"/>
    <w:lsdException w:qFormat="1" w:unhideWhenUsed="0" w:uiPriority="0" w:semiHidden="0" w:name="toc 7" w:locked="1"/>
    <w:lsdException w:qFormat="1" w:unhideWhenUsed="0" w:uiPriority="0" w:semiHidden="0" w:name="toc 8" w:locked="1"/>
    <w:lsdException w:qFormat="1" w:unhideWhenUsed="0" w:uiPriority="0" w:semiHidden="0" w:name="toc 9" w:locked="1"/>
    <w:lsdException w:qFormat="1" w:uiPriority="99" w:name="Normal Indent"/>
    <w:lsdException w:qFormat="1" w:uiPriority="99" w:name="footnote text"/>
    <w:lsdException w:qFormat="1" w:uiPriority="99" w:name="annotation text"/>
    <w:lsdException w:qFormat="1" w:unhideWhenUsed="0" w:uiPriority="99" w:semiHidden="0" w:name="header"/>
    <w:lsdException w:qFormat="1" w:unhideWhenUsed="0" w:uiPriority="99" w:semiHidden="0" w:name="footer"/>
    <w:lsdException w:qFormat="1" w:uiPriority="99" w:name="index heading"/>
    <w:lsdException w:qFormat="1" w:uiPriority="0" w:name="caption" w:locked="1"/>
    <w:lsdException w:qFormat="1" w:uiPriority="99" w:name="table of figures"/>
    <w:lsdException w:qFormat="1" w:uiPriority="99" w:name="envelope address"/>
    <w:lsdException w:qFormat="1"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qFormat="1" w:uiPriority="99" w:name="endnote text"/>
    <w:lsdException w:qFormat="1" w:uiPriority="99" w:name="table of authorities"/>
    <w:lsdException w:qFormat="1" w:uiPriority="99" w:name="macro"/>
    <w:lsdException w:qFormat="1" w:uiPriority="99" w:name="toa heading"/>
    <w:lsdException w:qFormat="1" w:uiPriority="99" w:name="List"/>
    <w:lsdException w:qFormat="1" w:uiPriority="99" w:name="List Bullet"/>
    <w:lsdException w:qFormat="1" w:uiPriority="99" w:name="List Number"/>
    <w:lsdException w:qFormat="1" w:uiPriority="99" w:name="List 2"/>
    <w:lsdException w:qFormat="1" w:uiPriority="99" w:name="List 3"/>
    <w:lsdException w:qFormat="1" w:uiPriority="99" w:name="List 4"/>
    <w:lsdException w:qFormat="1" w:uiPriority="99" w:name="List 5"/>
    <w:lsdException w:qFormat="1" w:uiPriority="99" w:name="List Bullet 2"/>
    <w:lsdException w:qFormat="1" w:uiPriority="99" w:name="List Bullet 3"/>
    <w:lsdException w:qFormat="1" w:uiPriority="99" w:name="List Bullet 4"/>
    <w:lsdException w:qFormat="1" w:uiPriority="99" w:name="List Bullet 5"/>
    <w:lsdException w:qFormat="1" w:uiPriority="99" w:name="List Number 2"/>
    <w:lsdException w:qFormat="1" w:uiPriority="99" w:name="List Number 3"/>
    <w:lsdException w:qFormat="1" w:uiPriority="99" w:name="List Number 4"/>
    <w:lsdException w:qFormat="1" w:uiPriority="99" w:name="List Number 5"/>
    <w:lsdException w:qFormat="1" w:unhideWhenUsed="0" w:uiPriority="0" w:semiHidden="0" w:name="Title" w:locked="1"/>
    <w:lsdException w:qFormat="1" w:uiPriority="99" w:name="Closing"/>
    <w:lsdException w:qFormat="1" w:uiPriority="99" w:name="Signature"/>
    <w:lsdException w:qFormat="1" w:uiPriority="1" w:name="Default Paragraph Font"/>
    <w:lsdException w:qFormat="1" w:uiPriority="99" w:name="Body Text"/>
    <w:lsdException w:qFormat="1" w:uiPriority="99" w:name="Body Text Indent"/>
    <w:lsdException w:qFormat="1" w:uiPriority="99" w:name="List Continue"/>
    <w:lsdException w:qFormat="1" w:uiPriority="99" w:name="List Continue 2"/>
    <w:lsdException w:qFormat="1" w:uiPriority="99" w:name="List Continue 3"/>
    <w:lsdException w:qFormat="1" w:uiPriority="99" w:name="List Continue 4"/>
    <w:lsdException w:qFormat="1" w:uiPriority="99" w:name="List Continue 5"/>
    <w:lsdException w:qFormat="1" w:uiPriority="99" w:name="Message Header"/>
    <w:lsdException w:qFormat="1" w:unhideWhenUsed="0" w:uiPriority="0" w:semiHidden="0" w:name="Subtitle" w:locked="1"/>
    <w:lsdException w:qFormat="1" w:uiPriority="99" w:name="Salutation"/>
    <w:lsdException w:qFormat="1" w:unhideWhenUsed="0" w:uiPriority="99" w:name="Date"/>
    <w:lsdException w:qFormat="1" w:uiPriority="99" w:name="Body Text First Indent"/>
    <w:lsdException w:qFormat="1" w:uiPriority="99" w:name="Body Text First Indent 2"/>
    <w:lsdException w:qFormat="1" w:uiPriority="99" w:name="Note Heading"/>
    <w:lsdException w:qFormat="1" w:uiPriority="99" w:name="Body Text 2"/>
    <w:lsdException w:qFormat="1" w:uiPriority="99" w:name="Body Text 3"/>
    <w:lsdException w:qFormat="1" w:uiPriority="99" w:name="Body Text Indent 2"/>
    <w:lsdException w:qFormat="1" w:uiPriority="99" w:name="Body Text Indent 3"/>
    <w:lsdException w:qFormat="1" w:uiPriority="99" w:name="Block Text"/>
    <w:lsdException w:qFormat="1" w:unhideWhenUsed="0" w:uiPriority="99" w:semiHidden="0" w:name="Hyperlink"/>
    <w:lsdException w:uiPriority="99" w:name="FollowedHyperlink"/>
    <w:lsdException w:qFormat="1" w:unhideWhenUsed="0" w:uiPriority="0" w:semiHidden="0" w:name="Strong" w:locked="1"/>
    <w:lsdException w:qFormat="1" w:unhideWhenUsed="0" w:uiPriority="0" w:semiHidden="0" w:name="Emphasis" w:locked="1"/>
    <w:lsdException w:qFormat="1" w:uiPriority="99" w:name="Document Map"/>
    <w:lsdException w:qFormat="1" w:uiPriority="99" w:name="Plain Text"/>
    <w:lsdException w:qFormat="1" w:uiPriority="99" w:name="E-mail Signature"/>
    <w:lsdException w:qFormat="1" w:uiPriority="99" w:name="Normal (Web)"/>
    <w:lsdException w:uiPriority="99" w:name="HTML Acronym"/>
    <w:lsdException w:qFormat="1"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iPriority="99"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iPriority="99" w:name="Quote"/>
    <w:lsdException w:qFormat="1" w:uiPriority="99"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3">
    <w:name w:val="heading 1"/>
    <w:basedOn w:val="1"/>
    <w:next w:val="1"/>
    <w:link w:val="94"/>
    <w:autoRedefine/>
    <w:qFormat/>
    <w:uiPriority w:val="99"/>
    <w:pPr>
      <w:keepNext/>
      <w:keepLines/>
      <w:spacing w:before="340" w:after="330" w:line="578" w:lineRule="auto"/>
      <w:outlineLvl w:val="0"/>
    </w:pPr>
    <w:rPr>
      <w:b/>
      <w:bCs/>
      <w:kern w:val="44"/>
      <w:sz w:val="44"/>
      <w:szCs w:val="44"/>
    </w:rPr>
  </w:style>
  <w:style w:type="paragraph" w:styleId="4">
    <w:name w:val="heading 2"/>
    <w:basedOn w:val="1"/>
    <w:next w:val="1"/>
    <w:link w:val="93"/>
    <w:autoRedefine/>
    <w:qFormat/>
    <w:uiPriority w:val="99"/>
    <w:pPr>
      <w:keepNext/>
      <w:keepLines/>
      <w:spacing w:before="260" w:after="260" w:line="416" w:lineRule="auto"/>
      <w:outlineLvl w:val="1"/>
    </w:pPr>
    <w:rPr>
      <w:rFonts w:ascii="等线 Light" w:hAnsi="等线 Light" w:eastAsia="等线 Light" w:cs="等线 Light"/>
      <w:b/>
      <w:bCs/>
      <w:kern w:val="0"/>
      <w:sz w:val="32"/>
      <w:szCs w:val="32"/>
    </w:rPr>
  </w:style>
  <w:style w:type="paragraph" w:styleId="5">
    <w:name w:val="heading 3"/>
    <w:basedOn w:val="1"/>
    <w:next w:val="1"/>
    <w:autoRedefine/>
    <w:qFormat/>
    <w:locked/>
    <w:uiPriority w:val="0"/>
    <w:pPr>
      <w:keepNext/>
      <w:keepLines/>
      <w:spacing w:line="560" w:lineRule="exact"/>
      <w:ind w:firstLine="640"/>
      <w:outlineLvl w:val="2"/>
    </w:pPr>
    <w:rPr>
      <w:rFonts w:ascii="仿宋_GB2312" w:eastAsia="仿宋_GB2312"/>
      <w:color w:val="000000"/>
      <w:sz w:val="32"/>
      <w:szCs w:val="32"/>
    </w:rPr>
  </w:style>
  <w:style w:type="paragraph" w:styleId="6">
    <w:name w:val="heading 4"/>
    <w:basedOn w:val="1"/>
    <w:next w:val="1"/>
    <w:link w:val="111"/>
    <w:semiHidden/>
    <w:unhideWhenUsed/>
    <w:qFormat/>
    <w:locked/>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7">
    <w:name w:val="heading 5"/>
    <w:basedOn w:val="1"/>
    <w:next w:val="1"/>
    <w:link w:val="112"/>
    <w:semiHidden/>
    <w:unhideWhenUsed/>
    <w:qFormat/>
    <w:locked/>
    <w:uiPriority w:val="0"/>
    <w:pPr>
      <w:keepNext/>
      <w:keepLines/>
      <w:spacing w:before="280" w:after="290" w:line="376" w:lineRule="auto"/>
      <w:outlineLvl w:val="4"/>
    </w:pPr>
    <w:rPr>
      <w:b/>
      <w:bCs/>
      <w:sz w:val="28"/>
      <w:szCs w:val="28"/>
    </w:rPr>
  </w:style>
  <w:style w:type="paragraph" w:styleId="8">
    <w:name w:val="heading 6"/>
    <w:basedOn w:val="1"/>
    <w:next w:val="1"/>
    <w:link w:val="113"/>
    <w:autoRedefine/>
    <w:semiHidden/>
    <w:unhideWhenUsed/>
    <w:qFormat/>
    <w:locked/>
    <w:uiPriority w:val="0"/>
    <w:pPr>
      <w:keepNext/>
      <w:keepLines/>
      <w:spacing w:before="240" w:after="64" w:line="320" w:lineRule="auto"/>
      <w:outlineLvl w:val="5"/>
    </w:pPr>
    <w:rPr>
      <w:rFonts w:asciiTheme="majorHAnsi" w:hAnsiTheme="majorHAnsi" w:eastAsiaTheme="majorEastAsia" w:cstheme="majorBidi"/>
      <w:b/>
      <w:bCs/>
      <w:sz w:val="24"/>
      <w:szCs w:val="24"/>
    </w:rPr>
  </w:style>
  <w:style w:type="paragraph" w:styleId="9">
    <w:name w:val="heading 7"/>
    <w:basedOn w:val="1"/>
    <w:next w:val="1"/>
    <w:link w:val="114"/>
    <w:autoRedefine/>
    <w:semiHidden/>
    <w:unhideWhenUsed/>
    <w:qFormat/>
    <w:locked/>
    <w:uiPriority w:val="0"/>
    <w:pPr>
      <w:keepNext/>
      <w:keepLines/>
      <w:spacing w:before="240" w:after="64" w:line="320" w:lineRule="auto"/>
      <w:outlineLvl w:val="6"/>
    </w:pPr>
    <w:rPr>
      <w:b/>
      <w:bCs/>
      <w:sz w:val="24"/>
      <w:szCs w:val="24"/>
    </w:rPr>
  </w:style>
  <w:style w:type="paragraph" w:styleId="10">
    <w:name w:val="heading 8"/>
    <w:basedOn w:val="1"/>
    <w:next w:val="1"/>
    <w:link w:val="115"/>
    <w:autoRedefine/>
    <w:semiHidden/>
    <w:unhideWhenUsed/>
    <w:qFormat/>
    <w:locked/>
    <w:uiPriority w:val="0"/>
    <w:pPr>
      <w:keepNext/>
      <w:keepLines/>
      <w:spacing w:before="240" w:after="64" w:line="320" w:lineRule="auto"/>
      <w:outlineLvl w:val="7"/>
    </w:pPr>
    <w:rPr>
      <w:rFonts w:asciiTheme="majorHAnsi" w:hAnsiTheme="majorHAnsi" w:eastAsiaTheme="majorEastAsia" w:cstheme="majorBidi"/>
      <w:sz w:val="24"/>
      <w:szCs w:val="24"/>
    </w:rPr>
  </w:style>
  <w:style w:type="paragraph" w:styleId="11">
    <w:name w:val="heading 9"/>
    <w:basedOn w:val="1"/>
    <w:next w:val="1"/>
    <w:link w:val="116"/>
    <w:autoRedefine/>
    <w:semiHidden/>
    <w:unhideWhenUsed/>
    <w:qFormat/>
    <w:locked/>
    <w:uiPriority w:val="0"/>
    <w:pPr>
      <w:keepNext/>
      <w:keepLines/>
      <w:spacing w:before="240" w:after="64" w:line="320" w:lineRule="auto"/>
      <w:outlineLvl w:val="8"/>
    </w:pPr>
    <w:rPr>
      <w:rFonts w:asciiTheme="majorHAnsi" w:hAnsiTheme="majorHAnsi" w:eastAsiaTheme="majorEastAsia" w:cstheme="majorBidi"/>
    </w:rPr>
  </w:style>
  <w:style w:type="character" w:default="1" w:styleId="90">
    <w:name w:val="Default Paragraph Font"/>
    <w:autoRedefine/>
    <w:semiHidden/>
    <w:unhideWhenUsed/>
    <w:qFormat/>
    <w:uiPriority w:val="1"/>
  </w:style>
  <w:style w:type="table" w:default="1" w:styleId="88">
    <w:name w:val="Normal Table"/>
    <w:autoRedefine/>
    <w:semiHidden/>
    <w:unhideWhenUsed/>
    <w:qFormat/>
    <w:uiPriority w:val="99"/>
    <w:tblPr>
      <w:tblCellMar>
        <w:top w:w="0" w:type="dxa"/>
        <w:left w:w="108" w:type="dxa"/>
        <w:bottom w:w="0" w:type="dxa"/>
        <w:right w:w="108" w:type="dxa"/>
      </w:tblCellMar>
    </w:tblPr>
  </w:style>
  <w:style w:type="paragraph" w:styleId="2">
    <w:name w:val="macro"/>
    <w:link w:val="121"/>
    <w:autoRedefine/>
    <w:semiHidden/>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eastAsia="宋体" w:cs="Courier New"/>
      <w:kern w:val="2"/>
      <w:sz w:val="24"/>
      <w:szCs w:val="24"/>
      <w:lang w:val="en-US" w:eastAsia="zh-CN" w:bidi="ar-SA"/>
    </w:rPr>
  </w:style>
  <w:style w:type="paragraph" w:styleId="12">
    <w:name w:val="List 3"/>
    <w:basedOn w:val="1"/>
    <w:autoRedefine/>
    <w:semiHidden/>
    <w:unhideWhenUsed/>
    <w:qFormat/>
    <w:uiPriority w:val="99"/>
    <w:pPr>
      <w:ind w:left="100" w:leftChars="400" w:hanging="200" w:hangingChars="200"/>
      <w:contextualSpacing/>
    </w:pPr>
  </w:style>
  <w:style w:type="paragraph" w:styleId="13">
    <w:name w:val="toc 7"/>
    <w:basedOn w:val="1"/>
    <w:next w:val="1"/>
    <w:autoRedefine/>
    <w:qFormat/>
    <w:locked/>
    <w:uiPriority w:val="0"/>
    <w:pPr>
      <w:ind w:left="2520" w:leftChars="1200"/>
    </w:pPr>
  </w:style>
  <w:style w:type="paragraph" w:styleId="14">
    <w:name w:val="List Number 2"/>
    <w:basedOn w:val="1"/>
    <w:autoRedefine/>
    <w:semiHidden/>
    <w:unhideWhenUsed/>
    <w:qFormat/>
    <w:uiPriority w:val="99"/>
    <w:pPr>
      <w:numPr>
        <w:ilvl w:val="0"/>
        <w:numId w:val="1"/>
      </w:numPr>
      <w:contextualSpacing/>
    </w:pPr>
  </w:style>
  <w:style w:type="paragraph" w:styleId="15">
    <w:name w:val="table of authorities"/>
    <w:basedOn w:val="1"/>
    <w:next w:val="1"/>
    <w:autoRedefine/>
    <w:semiHidden/>
    <w:unhideWhenUsed/>
    <w:qFormat/>
    <w:uiPriority w:val="99"/>
    <w:pPr>
      <w:ind w:left="420" w:leftChars="200"/>
    </w:pPr>
  </w:style>
  <w:style w:type="paragraph" w:styleId="16">
    <w:name w:val="Note Heading"/>
    <w:basedOn w:val="1"/>
    <w:next w:val="1"/>
    <w:link w:val="145"/>
    <w:autoRedefine/>
    <w:semiHidden/>
    <w:unhideWhenUsed/>
    <w:qFormat/>
    <w:uiPriority w:val="99"/>
    <w:pPr>
      <w:jc w:val="center"/>
    </w:pPr>
  </w:style>
  <w:style w:type="paragraph" w:styleId="17">
    <w:name w:val="List Bullet 4"/>
    <w:basedOn w:val="1"/>
    <w:autoRedefine/>
    <w:semiHidden/>
    <w:unhideWhenUsed/>
    <w:qFormat/>
    <w:uiPriority w:val="99"/>
    <w:pPr>
      <w:numPr>
        <w:ilvl w:val="0"/>
        <w:numId w:val="2"/>
      </w:numPr>
      <w:contextualSpacing/>
    </w:pPr>
  </w:style>
  <w:style w:type="paragraph" w:styleId="18">
    <w:name w:val="index 8"/>
    <w:basedOn w:val="1"/>
    <w:next w:val="1"/>
    <w:autoRedefine/>
    <w:semiHidden/>
    <w:unhideWhenUsed/>
    <w:qFormat/>
    <w:uiPriority w:val="99"/>
    <w:pPr>
      <w:ind w:left="1400" w:leftChars="1400"/>
    </w:pPr>
  </w:style>
  <w:style w:type="paragraph" w:styleId="19">
    <w:name w:val="E-mail Signature"/>
    <w:basedOn w:val="1"/>
    <w:link w:val="119"/>
    <w:autoRedefine/>
    <w:semiHidden/>
    <w:unhideWhenUsed/>
    <w:qFormat/>
    <w:uiPriority w:val="99"/>
  </w:style>
  <w:style w:type="paragraph" w:styleId="20">
    <w:name w:val="List Number"/>
    <w:basedOn w:val="1"/>
    <w:autoRedefine/>
    <w:semiHidden/>
    <w:unhideWhenUsed/>
    <w:qFormat/>
    <w:uiPriority w:val="99"/>
    <w:pPr>
      <w:numPr>
        <w:ilvl w:val="0"/>
        <w:numId w:val="3"/>
      </w:numPr>
      <w:contextualSpacing/>
    </w:pPr>
  </w:style>
  <w:style w:type="paragraph" w:styleId="21">
    <w:name w:val="Normal Indent"/>
    <w:basedOn w:val="1"/>
    <w:autoRedefine/>
    <w:semiHidden/>
    <w:unhideWhenUsed/>
    <w:qFormat/>
    <w:uiPriority w:val="99"/>
    <w:pPr>
      <w:ind w:firstLine="420" w:firstLineChars="200"/>
    </w:pPr>
  </w:style>
  <w:style w:type="paragraph" w:styleId="22">
    <w:name w:val="caption"/>
    <w:basedOn w:val="1"/>
    <w:next w:val="1"/>
    <w:autoRedefine/>
    <w:semiHidden/>
    <w:unhideWhenUsed/>
    <w:qFormat/>
    <w:locked/>
    <w:uiPriority w:val="0"/>
    <w:rPr>
      <w:rFonts w:eastAsia="黑体" w:asciiTheme="majorHAnsi" w:hAnsiTheme="majorHAnsi" w:cstheme="majorBidi"/>
      <w:sz w:val="20"/>
      <w:szCs w:val="20"/>
    </w:rPr>
  </w:style>
  <w:style w:type="paragraph" w:styleId="23">
    <w:name w:val="index 5"/>
    <w:basedOn w:val="1"/>
    <w:next w:val="1"/>
    <w:autoRedefine/>
    <w:semiHidden/>
    <w:unhideWhenUsed/>
    <w:qFormat/>
    <w:uiPriority w:val="99"/>
    <w:pPr>
      <w:ind w:left="800" w:leftChars="800"/>
    </w:pPr>
  </w:style>
  <w:style w:type="paragraph" w:styleId="24">
    <w:name w:val="List Bullet"/>
    <w:basedOn w:val="1"/>
    <w:autoRedefine/>
    <w:semiHidden/>
    <w:unhideWhenUsed/>
    <w:qFormat/>
    <w:uiPriority w:val="99"/>
    <w:pPr>
      <w:numPr>
        <w:ilvl w:val="0"/>
        <w:numId w:val="4"/>
      </w:numPr>
      <w:contextualSpacing/>
    </w:pPr>
  </w:style>
  <w:style w:type="paragraph" w:styleId="25">
    <w:name w:val="envelope address"/>
    <w:basedOn w:val="1"/>
    <w:autoRedefine/>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szCs w:val="24"/>
    </w:rPr>
  </w:style>
  <w:style w:type="paragraph" w:styleId="26">
    <w:name w:val="Document Map"/>
    <w:basedOn w:val="1"/>
    <w:link w:val="132"/>
    <w:autoRedefine/>
    <w:semiHidden/>
    <w:unhideWhenUsed/>
    <w:qFormat/>
    <w:uiPriority w:val="99"/>
    <w:rPr>
      <w:rFonts w:ascii="Microsoft YaHei UI" w:eastAsia="Microsoft YaHei UI"/>
      <w:sz w:val="18"/>
      <w:szCs w:val="18"/>
    </w:rPr>
  </w:style>
  <w:style w:type="paragraph" w:styleId="27">
    <w:name w:val="toa heading"/>
    <w:basedOn w:val="1"/>
    <w:next w:val="1"/>
    <w:autoRedefine/>
    <w:semiHidden/>
    <w:unhideWhenUsed/>
    <w:qFormat/>
    <w:uiPriority w:val="99"/>
    <w:pPr>
      <w:spacing w:before="120"/>
    </w:pPr>
    <w:rPr>
      <w:rFonts w:asciiTheme="majorHAnsi" w:hAnsiTheme="majorHAnsi" w:cstheme="majorBidi"/>
      <w:sz w:val="24"/>
      <w:szCs w:val="24"/>
    </w:rPr>
  </w:style>
  <w:style w:type="paragraph" w:styleId="28">
    <w:name w:val="annotation text"/>
    <w:basedOn w:val="1"/>
    <w:link w:val="127"/>
    <w:autoRedefine/>
    <w:semiHidden/>
    <w:unhideWhenUsed/>
    <w:qFormat/>
    <w:uiPriority w:val="99"/>
    <w:pPr>
      <w:jc w:val="left"/>
    </w:pPr>
  </w:style>
  <w:style w:type="paragraph" w:styleId="29">
    <w:name w:val="index 6"/>
    <w:basedOn w:val="1"/>
    <w:next w:val="1"/>
    <w:autoRedefine/>
    <w:semiHidden/>
    <w:unhideWhenUsed/>
    <w:qFormat/>
    <w:uiPriority w:val="99"/>
    <w:pPr>
      <w:ind w:left="1000" w:leftChars="1000"/>
    </w:pPr>
  </w:style>
  <w:style w:type="paragraph" w:styleId="30">
    <w:name w:val="Salutation"/>
    <w:basedOn w:val="1"/>
    <w:next w:val="1"/>
    <w:link w:val="117"/>
    <w:autoRedefine/>
    <w:semiHidden/>
    <w:unhideWhenUsed/>
    <w:qFormat/>
    <w:uiPriority w:val="99"/>
  </w:style>
  <w:style w:type="paragraph" w:styleId="31">
    <w:name w:val="Body Text 3"/>
    <w:basedOn w:val="1"/>
    <w:link w:val="139"/>
    <w:autoRedefine/>
    <w:semiHidden/>
    <w:unhideWhenUsed/>
    <w:qFormat/>
    <w:uiPriority w:val="99"/>
    <w:pPr>
      <w:spacing w:after="120"/>
    </w:pPr>
    <w:rPr>
      <w:sz w:val="16"/>
      <w:szCs w:val="16"/>
    </w:rPr>
  </w:style>
  <w:style w:type="paragraph" w:styleId="32">
    <w:name w:val="Closing"/>
    <w:basedOn w:val="1"/>
    <w:link w:val="123"/>
    <w:autoRedefine/>
    <w:semiHidden/>
    <w:unhideWhenUsed/>
    <w:qFormat/>
    <w:uiPriority w:val="99"/>
    <w:pPr>
      <w:ind w:left="100" w:leftChars="2100"/>
    </w:pPr>
  </w:style>
  <w:style w:type="paragraph" w:styleId="33">
    <w:name w:val="List Bullet 3"/>
    <w:basedOn w:val="1"/>
    <w:autoRedefine/>
    <w:semiHidden/>
    <w:unhideWhenUsed/>
    <w:qFormat/>
    <w:uiPriority w:val="99"/>
    <w:pPr>
      <w:numPr>
        <w:ilvl w:val="0"/>
        <w:numId w:val="5"/>
      </w:numPr>
      <w:contextualSpacing/>
    </w:pPr>
  </w:style>
  <w:style w:type="paragraph" w:styleId="34">
    <w:name w:val="Body Text"/>
    <w:basedOn w:val="1"/>
    <w:link w:val="137"/>
    <w:autoRedefine/>
    <w:semiHidden/>
    <w:unhideWhenUsed/>
    <w:qFormat/>
    <w:uiPriority w:val="99"/>
    <w:pPr>
      <w:spacing w:after="120"/>
    </w:pPr>
  </w:style>
  <w:style w:type="paragraph" w:styleId="35">
    <w:name w:val="Body Text Indent"/>
    <w:basedOn w:val="1"/>
    <w:link w:val="141"/>
    <w:autoRedefine/>
    <w:semiHidden/>
    <w:unhideWhenUsed/>
    <w:qFormat/>
    <w:uiPriority w:val="99"/>
    <w:pPr>
      <w:spacing w:after="120"/>
      <w:ind w:left="420" w:leftChars="200"/>
    </w:pPr>
  </w:style>
  <w:style w:type="paragraph" w:styleId="36">
    <w:name w:val="List Number 3"/>
    <w:basedOn w:val="1"/>
    <w:autoRedefine/>
    <w:semiHidden/>
    <w:unhideWhenUsed/>
    <w:qFormat/>
    <w:uiPriority w:val="99"/>
    <w:pPr>
      <w:numPr>
        <w:ilvl w:val="0"/>
        <w:numId w:val="6"/>
      </w:numPr>
      <w:contextualSpacing/>
    </w:pPr>
  </w:style>
  <w:style w:type="paragraph" w:styleId="37">
    <w:name w:val="List 2"/>
    <w:basedOn w:val="1"/>
    <w:autoRedefine/>
    <w:semiHidden/>
    <w:unhideWhenUsed/>
    <w:qFormat/>
    <w:uiPriority w:val="99"/>
    <w:pPr>
      <w:ind w:left="100" w:leftChars="200" w:hanging="200" w:hangingChars="200"/>
      <w:contextualSpacing/>
    </w:pPr>
  </w:style>
  <w:style w:type="paragraph" w:styleId="38">
    <w:name w:val="List Continue"/>
    <w:basedOn w:val="1"/>
    <w:autoRedefine/>
    <w:semiHidden/>
    <w:unhideWhenUsed/>
    <w:qFormat/>
    <w:uiPriority w:val="99"/>
    <w:pPr>
      <w:spacing w:after="120"/>
      <w:ind w:left="420" w:leftChars="200"/>
      <w:contextualSpacing/>
    </w:pPr>
  </w:style>
  <w:style w:type="paragraph" w:styleId="39">
    <w:name w:val="Block Text"/>
    <w:basedOn w:val="1"/>
    <w:autoRedefine/>
    <w:semiHidden/>
    <w:unhideWhenUsed/>
    <w:qFormat/>
    <w:uiPriority w:val="99"/>
    <w:pPr>
      <w:spacing w:after="120"/>
      <w:ind w:left="1440" w:leftChars="700" w:right="1440" w:rightChars="700"/>
    </w:pPr>
  </w:style>
  <w:style w:type="paragraph" w:styleId="40">
    <w:name w:val="List Bullet 2"/>
    <w:basedOn w:val="1"/>
    <w:autoRedefine/>
    <w:semiHidden/>
    <w:unhideWhenUsed/>
    <w:qFormat/>
    <w:uiPriority w:val="99"/>
    <w:pPr>
      <w:numPr>
        <w:ilvl w:val="0"/>
        <w:numId w:val="7"/>
      </w:numPr>
      <w:contextualSpacing/>
    </w:pPr>
  </w:style>
  <w:style w:type="paragraph" w:styleId="41">
    <w:name w:val="HTML Address"/>
    <w:basedOn w:val="1"/>
    <w:link w:val="107"/>
    <w:autoRedefine/>
    <w:semiHidden/>
    <w:unhideWhenUsed/>
    <w:qFormat/>
    <w:uiPriority w:val="99"/>
    <w:rPr>
      <w:i/>
      <w:iCs/>
    </w:rPr>
  </w:style>
  <w:style w:type="paragraph" w:styleId="42">
    <w:name w:val="index 4"/>
    <w:basedOn w:val="1"/>
    <w:next w:val="1"/>
    <w:autoRedefine/>
    <w:semiHidden/>
    <w:unhideWhenUsed/>
    <w:qFormat/>
    <w:uiPriority w:val="99"/>
    <w:pPr>
      <w:ind w:left="600" w:leftChars="600"/>
    </w:pPr>
  </w:style>
  <w:style w:type="paragraph" w:styleId="43">
    <w:name w:val="toc 5"/>
    <w:basedOn w:val="1"/>
    <w:next w:val="1"/>
    <w:autoRedefine/>
    <w:qFormat/>
    <w:locked/>
    <w:uiPriority w:val="0"/>
    <w:pPr>
      <w:ind w:left="1680" w:leftChars="800"/>
    </w:pPr>
  </w:style>
  <w:style w:type="paragraph" w:styleId="44">
    <w:name w:val="toc 3"/>
    <w:basedOn w:val="1"/>
    <w:next w:val="1"/>
    <w:autoRedefine/>
    <w:semiHidden/>
    <w:qFormat/>
    <w:uiPriority w:val="99"/>
    <w:pPr>
      <w:widowControl/>
      <w:spacing w:after="100" w:line="259" w:lineRule="auto"/>
      <w:ind w:left="440"/>
      <w:jc w:val="left"/>
    </w:pPr>
    <w:rPr>
      <w:rFonts w:ascii="等线" w:hAnsi="等线" w:eastAsia="等线" w:cs="等线"/>
      <w:kern w:val="0"/>
      <w:sz w:val="22"/>
      <w:szCs w:val="22"/>
    </w:rPr>
  </w:style>
  <w:style w:type="paragraph" w:styleId="45">
    <w:name w:val="Plain Text"/>
    <w:basedOn w:val="1"/>
    <w:link w:val="118"/>
    <w:autoRedefine/>
    <w:semiHidden/>
    <w:unhideWhenUsed/>
    <w:qFormat/>
    <w:uiPriority w:val="99"/>
    <w:rPr>
      <w:rFonts w:ascii="宋体" w:hAnsi="Courier New" w:cs="Courier New"/>
      <w:sz w:val="22"/>
      <w:szCs w:val="22"/>
    </w:rPr>
  </w:style>
  <w:style w:type="paragraph" w:styleId="46">
    <w:name w:val="List Bullet 5"/>
    <w:basedOn w:val="1"/>
    <w:autoRedefine/>
    <w:semiHidden/>
    <w:unhideWhenUsed/>
    <w:qFormat/>
    <w:uiPriority w:val="99"/>
    <w:pPr>
      <w:numPr>
        <w:ilvl w:val="0"/>
        <w:numId w:val="8"/>
      </w:numPr>
      <w:contextualSpacing/>
    </w:pPr>
  </w:style>
  <w:style w:type="paragraph" w:styleId="47">
    <w:name w:val="List Number 4"/>
    <w:basedOn w:val="1"/>
    <w:autoRedefine/>
    <w:semiHidden/>
    <w:unhideWhenUsed/>
    <w:qFormat/>
    <w:uiPriority w:val="99"/>
    <w:pPr>
      <w:numPr>
        <w:ilvl w:val="0"/>
        <w:numId w:val="9"/>
      </w:numPr>
      <w:contextualSpacing/>
    </w:pPr>
  </w:style>
  <w:style w:type="paragraph" w:styleId="48">
    <w:name w:val="toc 8"/>
    <w:basedOn w:val="1"/>
    <w:next w:val="1"/>
    <w:autoRedefine/>
    <w:qFormat/>
    <w:locked/>
    <w:uiPriority w:val="0"/>
    <w:pPr>
      <w:ind w:left="2940" w:leftChars="1400"/>
    </w:pPr>
  </w:style>
  <w:style w:type="paragraph" w:styleId="49">
    <w:name w:val="index 3"/>
    <w:basedOn w:val="1"/>
    <w:next w:val="1"/>
    <w:autoRedefine/>
    <w:semiHidden/>
    <w:unhideWhenUsed/>
    <w:qFormat/>
    <w:uiPriority w:val="99"/>
    <w:pPr>
      <w:ind w:left="400" w:leftChars="400"/>
    </w:pPr>
  </w:style>
  <w:style w:type="paragraph" w:styleId="50">
    <w:name w:val="Date"/>
    <w:basedOn w:val="1"/>
    <w:next w:val="1"/>
    <w:link w:val="96"/>
    <w:autoRedefine/>
    <w:semiHidden/>
    <w:qFormat/>
    <w:uiPriority w:val="99"/>
    <w:pPr>
      <w:ind w:left="100" w:leftChars="2500"/>
    </w:pPr>
    <w:rPr>
      <w:kern w:val="0"/>
      <w:sz w:val="24"/>
      <w:szCs w:val="24"/>
    </w:rPr>
  </w:style>
  <w:style w:type="paragraph" w:styleId="51">
    <w:name w:val="Body Text Indent 2"/>
    <w:basedOn w:val="1"/>
    <w:link w:val="143"/>
    <w:autoRedefine/>
    <w:semiHidden/>
    <w:unhideWhenUsed/>
    <w:qFormat/>
    <w:uiPriority w:val="99"/>
    <w:pPr>
      <w:spacing w:after="120" w:line="480" w:lineRule="auto"/>
      <w:ind w:left="420" w:leftChars="200"/>
    </w:pPr>
  </w:style>
  <w:style w:type="paragraph" w:styleId="52">
    <w:name w:val="endnote text"/>
    <w:basedOn w:val="1"/>
    <w:link w:val="131"/>
    <w:autoRedefine/>
    <w:semiHidden/>
    <w:unhideWhenUsed/>
    <w:qFormat/>
    <w:uiPriority w:val="99"/>
    <w:pPr>
      <w:snapToGrid w:val="0"/>
      <w:jc w:val="left"/>
    </w:pPr>
  </w:style>
  <w:style w:type="paragraph" w:styleId="53">
    <w:name w:val="List Continue 5"/>
    <w:basedOn w:val="1"/>
    <w:autoRedefine/>
    <w:semiHidden/>
    <w:unhideWhenUsed/>
    <w:qFormat/>
    <w:uiPriority w:val="99"/>
    <w:pPr>
      <w:spacing w:after="120"/>
      <w:ind w:left="2100" w:leftChars="1000"/>
      <w:contextualSpacing/>
    </w:pPr>
  </w:style>
  <w:style w:type="paragraph" w:styleId="54">
    <w:name w:val="Balloon Text"/>
    <w:basedOn w:val="1"/>
    <w:link w:val="126"/>
    <w:autoRedefine/>
    <w:semiHidden/>
    <w:unhideWhenUsed/>
    <w:qFormat/>
    <w:uiPriority w:val="99"/>
    <w:rPr>
      <w:sz w:val="18"/>
      <w:szCs w:val="18"/>
    </w:rPr>
  </w:style>
  <w:style w:type="paragraph" w:styleId="55">
    <w:name w:val="footer"/>
    <w:basedOn w:val="1"/>
    <w:link w:val="97"/>
    <w:autoRedefine/>
    <w:qFormat/>
    <w:uiPriority w:val="99"/>
    <w:pPr>
      <w:tabs>
        <w:tab w:val="center" w:pos="4153"/>
        <w:tab w:val="right" w:pos="8306"/>
      </w:tabs>
      <w:snapToGrid w:val="0"/>
      <w:jc w:val="left"/>
    </w:pPr>
    <w:rPr>
      <w:rFonts w:ascii="等线" w:hAnsi="等线" w:eastAsia="等线" w:cs="等线"/>
      <w:kern w:val="0"/>
      <w:sz w:val="18"/>
      <w:szCs w:val="18"/>
    </w:rPr>
  </w:style>
  <w:style w:type="paragraph" w:styleId="56">
    <w:name w:val="envelope return"/>
    <w:basedOn w:val="1"/>
    <w:autoRedefine/>
    <w:semiHidden/>
    <w:unhideWhenUsed/>
    <w:qFormat/>
    <w:uiPriority w:val="99"/>
    <w:pPr>
      <w:snapToGrid w:val="0"/>
    </w:pPr>
    <w:rPr>
      <w:rFonts w:asciiTheme="majorHAnsi" w:hAnsiTheme="majorHAnsi" w:eastAsiaTheme="majorEastAsia" w:cstheme="majorBidi"/>
    </w:rPr>
  </w:style>
  <w:style w:type="paragraph" w:styleId="57">
    <w:name w:val="header"/>
    <w:basedOn w:val="1"/>
    <w:link w:val="95"/>
    <w:autoRedefine/>
    <w:qFormat/>
    <w:uiPriority w:val="99"/>
    <w:pPr>
      <w:pBdr>
        <w:bottom w:val="single" w:color="auto" w:sz="6" w:space="1"/>
      </w:pBdr>
      <w:tabs>
        <w:tab w:val="center" w:pos="4153"/>
        <w:tab w:val="right" w:pos="8306"/>
      </w:tabs>
      <w:snapToGrid w:val="0"/>
      <w:jc w:val="center"/>
    </w:pPr>
    <w:rPr>
      <w:rFonts w:ascii="等线" w:hAnsi="等线" w:eastAsia="等线" w:cs="等线"/>
      <w:kern w:val="0"/>
      <w:sz w:val="18"/>
      <w:szCs w:val="18"/>
    </w:rPr>
  </w:style>
  <w:style w:type="paragraph" w:styleId="58">
    <w:name w:val="Signature"/>
    <w:basedOn w:val="1"/>
    <w:link w:val="129"/>
    <w:autoRedefine/>
    <w:semiHidden/>
    <w:unhideWhenUsed/>
    <w:qFormat/>
    <w:uiPriority w:val="99"/>
    <w:pPr>
      <w:ind w:left="100" w:leftChars="2100"/>
    </w:pPr>
  </w:style>
  <w:style w:type="paragraph" w:styleId="59">
    <w:name w:val="toc 1"/>
    <w:basedOn w:val="1"/>
    <w:next w:val="1"/>
    <w:autoRedefine/>
    <w:semiHidden/>
    <w:qFormat/>
    <w:uiPriority w:val="99"/>
    <w:pPr>
      <w:widowControl/>
      <w:tabs>
        <w:tab w:val="right" w:leader="dot" w:pos="8296"/>
      </w:tabs>
      <w:spacing w:after="100" w:line="259" w:lineRule="auto"/>
      <w:jc w:val="left"/>
    </w:pPr>
    <w:rPr>
      <w:rFonts w:ascii="宋体" w:hAnsi="宋体" w:cs="宋体"/>
      <w:b/>
      <w:bCs/>
      <w:kern w:val="0"/>
      <w:sz w:val="26"/>
      <w:szCs w:val="26"/>
    </w:rPr>
  </w:style>
  <w:style w:type="paragraph" w:styleId="60">
    <w:name w:val="List Continue 4"/>
    <w:basedOn w:val="1"/>
    <w:autoRedefine/>
    <w:semiHidden/>
    <w:unhideWhenUsed/>
    <w:qFormat/>
    <w:uiPriority w:val="99"/>
    <w:pPr>
      <w:spacing w:after="120"/>
      <w:ind w:left="1680" w:leftChars="800"/>
      <w:contextualSpacing/>
    </w:pPr>
  </w:style>
  <w:style w:type="paragraph" w:styleId="61">
    <w:name w:val="toc 4"/>
    <w:basedOn w:val="1"/>
    <w:next w:val="1"/>
    <w:autoRedefine/>
    <w:qFormat/>
    <w:locked/>
    <w:uiPriority w:val="0"/>
    <w:pPr>
      <w:ind w:left="1260" w:leftChars="600"/>
    </w:pPr>
  </w:style>
  <w:style w:type="paragraph" w:styleId="62">
    <w:name w:val="index heading"/>
    <w:basedOn w:val="1"/>
    <w:next w:val="63"/>
    <w:autoRedefine/>
    <w:semiHidden/>
    <w:unhideWhenUsed/>
    <w:qFormat/>
    <w:uiPriority w:val="99"/>
    <w:rPr>
      <w:rFonts w:asciiTheme="majorHAnsi" w:hAnsiTheme="majorHAnsi" w:eastAsiaTheme="majorEastAsia" w:cstheme="majorBidi"/>
      <w:b/>
      <w:bCs/>
    </w:rPr>
  </w:style>
  <w:style w:type="paragraph" w:styleId="63">
    <w:name w:val="index 1"/>
    <w:basedOn w:val="1"/>
    <w:next w:val="1"/>
    <w:autoRedefine/>
    <w:semiHidden/>
    <w:unhideWhenUsed/>
    <w:qFormat/>
    <w:uiPriority w:val="99"/>
  </w:style>
  <w:style w:type="paragraph" w:styleId="64">
    <w:name w:val="Subtitle"/>
    <w:basedOn w:val="1"/>
    <w:next w:val="1"/>
    <w:link w:val="120"/>
    <w:autoRedefine/>
    <w:qFormat/>
    <w:locked/>
    <w:uiPriority w:val="0"/>
    <w:pPr>
      <w:spacing w:before="240" w:after="60" w:line="312" w:lineRule="auto"/>
      <w:jc w:val="center"/>
      <w:outlineLvl w:val="1"/>
    </w:pPr>
    <w:rPr>
      <w:rFonts w:asciiTheme="majorHAnsi" w:hAnsiTheme="majorHAnsi" w:cstheme="majorBidi"/>
      <w:b/>
      <w:bCs/>
      <w:kern w:val="28"/>
      <w:sz w:val="32"/>
      <w:szCs w:val="32"/>
    </w:rPr>
  </w:style>
  <w:style w:type="paragraph" w:styleId="65">
    <w:name w:val="List Number 5"/>
    <w:basedOn w:val="1"/>
    <w:autoRedefine/>
    <w:semiHidden/>
    <w:unhideWhenUsed/>
    <w:qFormat/>
    <w:uiPriority w:val="99"/>
    <w:pPr>
      <w:numPr>
        <w:ilvl w:val="0"/>
        <w:numId w:val="10"/>
      </w:numPr>
      <w:contextualSpacing/>
    </w:pPr>
  </w:style>
  <w:style w:type="paragraph" w:styleId="66">
    <w:name w:val="List"/>
    <w:basedOn w:val="1"/>
    <w:autoRedefine/>
    <w:semiHidden/>
    <w:unhideWhenUsed/>
    <w:qFormat/>
    <w:uiPriority w:val="99"/>
    <w:pPr>
      <w:ind w:left="200" w:hanging="200" w:hangingChars="200"/>
      <w:contextualSpacing/>
    </w:pPr>
  </w:style>
  <w:style w:type="paragraph" w:styleId="67">
    <w:name w:val="footnote text"/>
    <w:basedOn w:val="1"/>
    <w:link w:val="122"/>
    <w:autoRedefine/>
    <w:semiHidden/>
    <w:unhideWhenUsed/>
    <w:qFormat/>
    <w:uiPriority w:val="99"/>
    <w:pPr>
      <w:snapToGrid w:val="0"/>
      <w:jc w:val="left"/>
    </w:pPr>
    <w:rPr>
      <w:sz w:val="18"/>
      <w:szCs w:val="18"/>
    </w:rPr>
  </w:style>
  <w:style w:type="paragraph" w:styleId="68">
    <w:name w:val="toc 6"/>
    <w:basedOn w:val="1"/>
    <w:next w:val="1"/>
    <w:autoRedefine/>
    <w:qFormat/>
    <w:locked/>
    <w:uiPriority w:val="0"/>
    <w:pPr>
      <w:ind w:left="2100" w:leftChars="1000"/>
    </w:pPr>
  </w:style>
  <w:style w:type="paragraph" w:styleId="69">
    <w:name w:val="List 5"/>
    <w:basedOn w:val="1"/>
    <w:autoRedefine/>
    <w:semiHidden/>
    <w:unhideWhenUsed/>
    <w:qFormat/>
    <w:uiPriority w:val="99"/>
    <w:pPr>
      <w:ind w:left="100" w:leftChars="800" w:hanging="200" w:hangingChars="200"/>
      <w:contextualSpacing/>
    </w:pPr>
  </w:style>
  <w:style w:type="paragraph" w:styleId="70">
    <w:name w:val="Body Text Indent 3"/>
    <w:basedOn w:val="1"/>
    <w:link w:val="144"/>
    <w:autoRedefine/>
    <w:semiHidden/>
    <w:unhideWhenUsed/>
    <w:qFormat/>
    <w:uiPriority w:val="99"/>
    <w:pPr>
      <w:spacing w:after="120"/>
      <w:ind w:left="420" w:leftChars="200"/>
    </w:pPr>
    <w:rPr>
      <w:sz w:val="16"/>
      <w:szCs w:val="16"/>
    </w:rPr>
  </w:style>
  <w:style w:type="paragraph" w:styleId="71">
    <w:name w:val="index 7"/>
    <w:basedOn w:val="1"/>
    <w:next w:val="1"/>
    <w:autoRedefine/>
    <w:semiHidden/>
    <w:unhideWhenUsed/>
    <w:qFormat/>
    <w:uiPriority w:val="99"/>
    <w:pPr>
      <w:ind w:left="1200" w:leftChars="1200"/>
    </w:pPr>
  </w:style>
  <w:style w:type="paragraph" w:styleId="72">
    <w:name w:val="index 9"/>
    <w:basedOn w:val="1"/>
    <w:next w:val="1"/>
    <w:autoRedefine/>
    <w:semiHidden/>
    <w:unhideWhenUsed/>
    <w:qFormat/>
    <w:uiPriority w:val="99"/>
    <w:pPr>
      <w:ind w:left="1600" w:leftChars="1600"/>
    </w:pPr>
  </w:style>
  <w:style w:type="paragraph" w:styleId="73">
    <w:name w:val="table of figures"/>
    <w:basedOn w:val="1"/>
    <w:next w:val="1"/>
    <w:autoRedefine/>
    <w:semiHidden/>
    <w:unhideWhenUsed/>
    <w:qFormat/>
    <w:uiPriority w:val="99"/>
    <w:pPr>
      <w:ind w:leftChars="200" w:hanging="200" w:hangingChars="200"/>
    </w:pPr>
  </w:style>
  <w:style w:type="paragraph" w:styleId="74">
    <w:name w:val="toc 2"/>
    <w:basedOn w:val="1"/>
    <w:next w:val="1"/>
    <w:autoRedefine/>
    <w:semiHidden/>
    <w:qFormat/>
    <w:uiPriority w:val="99"/>
    <w:pPr>
      <w:widowControl/>
      <w:spacing w:after="100" w:line="259" w:lineRule="auto"/>
      <w:ind w:left="220"/>
      <w:jc w:val="left"/>
    </w:pPr>
    <w:rPr>
      <w:rFonts w:ascii="等线" w:hAnsi="等线" w:eastAsia="等线" w:cs="等线"/>
      <w:kern w:val="0"/>
      <w:sz w:val="22"/>
      <w:szCs w:val="22"/>
    </w:rPr>
  </w:style>
  <w:style w:type="paragraph" w:styleId="75">
    <w:name w:val="toc 9"/>
    <w:basedOn w:val="1"/>
    <w:next w:val="1"/>
    <w:autoRedefine/>
    <w:qFormat/>
    <w:locked/>
    <w:uiPriority w:val="0"/>
    <w:pPr>
      <w:ind w:left="3360" w:leftChars="1600"/>
    </w:pPr>
  </w:style>
  <w:style w:type="paragraph" w:styleId="76">
    <w:name w:val="Body Text 2"/>
    <w:basedOn w:val="1"/>
    <w:link w:val="138"/>
    <w:autoRedefine/>
    <w:semiHidden/>
    <w:unhideWhenUsed/>
    <w:qFormat/>
    <w:uiPriority w:val="99"/>
    <w:pPr>
      <w:spacing w:after="120" w:line="480" w:lineRule="auto"/>
    </w:pPr>
  </w:style>
  <w:style w:type="paragraph" w:styleId="77">
    <w:name w:val="List 4"/>
    <w:basedOn w:val="1"/>
    <w:autoRedefine/>
    <w:semiHidden/>
    <w:unhideWhenUsed/>
    <w:qFormat/>
    <w:uiPriority w:val="99"/>
    <w:pPr>
      <w:ind w:left="100" w:leftChars="600" w:hanging="200" w:hangingChars="200"/>
      <w:contextualSpacing/>
    </w:pPr>
  </w:style>
  <w:style w:type="paragraph" w:styleId="78">
    <w:name w:val="List Continue 2"/>
    <w:basedOn w:val="1"/>
    <w:autoRedefine/>
    <w:semiHidden/>
    <w:unhideWhenUsed/>
    <w:qFormat/>
    <w:uiPriority w:val="99"/>
    <w:pPr>
      <w:spacing w:after="120"/>
      <w:ind w:left="840" w:leftChars="400"/>
      <w:contextualSpacing/>
    </w:pPr>
  </w:style>
  <w:style w:type="paragraph" w:styleId="79">
    <w:name w:val="Message Header"/>
    <w:basedOn w:val="1"/>
    <w:link w:val="134"/>
    <w:autoRedefine/>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szCs w:val="24"/>
    </w:rPr>
  </w:style>
  <w:style w:type="paragraph" w:styleId="80">
    <w:name w:val="HTML Preformatted"/>
    <w:basedOn w:val="1"/>
    <w:link w:val="108"/>
    <w:autoRedefine/>
    <w:semiHidden/>
    <w:unhideWhenUsed/>
    <w:qFormat/>
    <w:uiPriority w:val="99"/>
    <w:rPr>
      <w:rFonts w:ascii="Courier New" w:hAnsi="Courier New" w:cs="Courier New"/>
      <w:sz w:val="20"/>
      <w:szCs w:val="20"/>
    </w:rPr>
  </w:style>
  <w:style w:type="paragraph" w:styleId="81">
    <w:name w:val="Normal (Web)"/>
    <w:basedOn w:val="1"/>
    <w:autoRedefine/>
    <w:semiHidden/>
    <w:unhideWhenUsed/>
    <w:qFormat/>
    <w:uiPriority w:val="99"/>
    <w:rPr>
      <w:rFonts w:ascii="Times New Roman" w:hAnsi="Times New Roman" w:cs="Times New Roman"/>
      <w:sz w:val="24"/>
      <w:szCs w:val="24"/>
    </w:rPr>
  </w:style>
  <w:style w:type="paragraph" w:styleId="82">
    <w:name w:val="List Continue 3"/>
    <w:basedOn w:val="1"/>
    <w:autoRedefine/>
    <w:semiHidden/>
    <w:unhideWhenUsed/>
    <w:qFormat/>
    <w:uiPriority w:val="99"/>
    <w:pPr>
      <w:spacing w:after="120"/>
      <w:ind w:left="1260" w:leftChars="600"/>
      <w:contextualSpacing/>
    </w:pPr>
  </w:style>
  <w:style w:type="paragraph" w:styleId="83">
    <w:name w:val="index 2"/>
    <w:basedOn w:val="1"/>
    <w:next w:val="1"/>
    <w:autoRedefine/>
    <w:semiHidden/>
    <w:unhideWhenUsed/>
    <w:qFormat/>
    <w:uiPriority w:val="99"/>
    <w:pPr>
      <w:ind w:left="200" w:leftChars="200"/>
    </w:pPr>
  </w:style>
  <w:style w:type="paragraph" w:styleId="84">
    <w:name w:val="Title"/>
    <w:basedOn w:val="1"/>
    <w:next w:val="1"/>
    <w:link w:val="110"/>
    <w:qFormat/>
    <w:locked/>
    <w:uiPriority w:val="0"/>
    <w:pPr>
      <w:spacing w:before="240" w:after="60"/>
      <w:jc w:val="center"/>
      <w:outlineLvl w:val="0"/>
    </w:pPr>
    <w:rPr>
      <w:rFonts w:asciiTheme="majorHAnsi" w:hAnsiTheme="majorHAnsi" w:cstheme="majorBidi"/>
      <w:b/>
      <w:bCs/>
      <w:sz w:val="32"/>
      <w:szCs w:val="32"/>
    </w:rPr>
  </w:style>
  <w:style w:type="paragraph" w:styleId="85">
    <w:name w:val="annotation subject"/>
    <w:basedOn w:val="28"/>
    <w:next w:val="28"/>
    <w:link w:val="128"/>
    <w:autoRedefine/>
    <w:semiHidden/>
    <w:unhideWhenUsed/>
    <w:qFormat/>
    <w:uiPriority w:val="99"/>
    <w:rPr>
      <w:b/>
      <w:bCs/>
    </w:rPr>
  </w:style>
  <w:style w:type="paragraph" w:styleId="86">
    <w:name w:val="Body Text First Indent"/>
    <w:basedOn w:val="34"/>
    <w:link w:val="140"/>
    <w:autoRedefine/>
    <w:semiHidden/>
    <w:unhideWhenUsed/>
    <w:qFormat/>
    <w:uiPriority w:val="99"/>
    <w:pPr>
      <w:ind w:firstLine="420" w:firstLineChars="100"/>
    </w:pPr>
  </w:style>
  <w:style w:type="paragraph" w:styleId="87">
    <w:name w:val="Body Text First Indent 2"/>
    <w:basedOn w:val="35"/>
    <w:link w:val="142"/>
    <w:autoRedefine/>
    <w:semiHidden/>
    <w:unhideWhenUsed/>
    <w:qFormat/>
    <w:uiPriority w:val="99"/>
    <w:pPr>
      <w:ind w:firstLine="420" w:firstLineChars="200"/>
    </w:pPr>
  </w:style>
  <w:style w:type="table" w:styleId="89">
    <w:name w:val="Table Grid"/>
    <w:basedOn w:val="88"/>
    <w:autoRedefine/>
    <w:qFormat/>
    <w:uiPriority w:val="99"/>
    <w:rPr>
      <w:rFonts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1">
    <w:name w:val="page number"/>
    <w:basedOn w:val="90"/>
    <w:autoRedefine/>
    <w:qFormat/>
    <w:uiPriority w:val="99"/>
  </w:style>
  <w:style w:type="character" w:styleId="92">
    <w:name w:val="Hyperlink"/>
    <w:basedOn w:val="90"/>
    <w:autoRedefine/>
    <w:qFormat/>
    <w:uiPriority w:val="99"/>
    <w:rPr>
      <w:color w:val="0563C1"/>
      <w:u w:val="single"/>
    </w:rPr>
  </w:style>
  <w:style w:type="character" w:customStyle="1" w:styleId="93">
    <w:name w:val="标题 2 字符"/>
    <w:basedOn w:val="90"/>
    <w:link w:val="4"/>
    <w:autoRedefine/>
    <w:qFormat/>
    <w:locked/>
    <w:uiPriority w:val="99"/>
    <w:rPr>
      <w:rFonts w:ascii="等线 Light" w:hAnsi="等线 Light" w:eastAsia="等线 Light" w:cs="等线 Light"/>
      <w:b/>
      <w:bCs/>
      <w:sz w:val="32"/>
      <w:szCs w:val="32"/>
    </w:rPr>
  </w:style>
  <w:style w:type="character" w:customStyle="1" w:styleId="94">
    <w:name w:val="标题 1 字符"/>
    <w:basedOn w:val="90"/>
    <w:link w:val="3"/>
    <w:autoRedefine/>
    <w:qFormat/>
    <w:locked/>
    <w:uiPriority w:val="99"/>
    <w:rPr>
      <w:rFonts w:ascii="Calibri" w:hAnsi="Calibri" w:eastAsia="宋体" w:cs="Calibri"/>
      <w:b/>
      <w:bCs/>
      <w:kern w:val="44"/>
      <w:sz w:val="44"/>
      <w:szCs w:val="44"/>
    </w:rPr>
  </w:style>
  <w:style w:type="character" w:customStyle="1" w:styleId="95">
    <w:name w:val="页眉 字符"/>
    <w:basedOn w:val="90"/>
    <w:link w:val="57"/>
    <w:autoRedefine/>
    <w:qFormat/>
    <w:locked/>
    <w:uiPriority w:val="99"/>
    <w:rPr>
      <w:sz w:val="18"/>
      <w:szCs w:val="18"/>
    </w:rPr>
  </w:style>
  <w:style w:type="character" w:customStyle="1" w:styleId="96">
    <w:name w:val="日期 字符"/>
    <w:basedOn w:val="90"/>
    <w:link w:val="50"/>
    <w:autoRedefine/>
    <w:semiHidden/>
    <w:qFormat/>
    <w:locked/>
    <w:uiPriority w:val="99"/>
    <w:rPr>
      <w:rFonts w:ascii="Calibri" w:hAnsi="Calibri" w:eastAsia="宋体" w:cs="Calibri"/>
      <w:sz w:val="24"/>
      <w:szCs w:val="24"/>
    </w:rPr>
  </w:style>
  <w:style w:type="character" w:customStyle="1" w:styleId="97">
    <w:name w:val="页脚 字符"/>
    <w:basedOn w:val="90"/>
    <w:link w:val="55"/>
    <w:autoRedefine/>
    <w:qFormat/>
    <w:locked/>
    <w:uiPriority w:val="99"/>
    <w:rPr>
      <w:sz w:val="18"/>
      <w:szCs w:val="18"/>
    </w:rPr>
  </w:style>
  <w:style w:type="paragraph" w:customStyle="1" w:styleId="98">
    <w:name w:val="Char"/>
    <w:basedOn w:val="1"/>
    <w:autoRedefine/>
    <w:qFormat/>
    <w:uiPriority w:val="99"/>
    <w:pPr>
      <w:widowControl/>
      <w:spacing w:after="160" w:line="240" w:lineRule="exact"/>
      <w:jc w:val="left"/>
    </w:pPr>
    <w:rPr>
      <w:rFonts w:ascii="Verdana" w:hAnsi="Verdana" w:eastAsia="仿宋_GB2312" w:cs="Verdana"/>
      <w:kern w:val="0"/>
      <w:sz w:val="24"/>
      <w:szCs w:val="24"/>
      <w:lang w:eastAsia="en-US"/>
    </w:rPr>
  </w:style>
  <w:style w:type="paragraph" w:styleId="99">
    <w:name w:val="List Paragraph"/>
    <w:basedOn w:val="1"/>
    <w:autoRedefine/>
    <w:qFormat/>
    <w:uiPriority w:val="99"/>
    <w:pPr>
      <w:ind w:firstLine="420" w:firstLineChars="200"/>
    </w:pPr>
  </w:style>
  <w:style w:type="paragraph" w:customStyle="1" w:styleId="100">
    <w:name w:val="列出段落1"/>
    <w:basedOn w:val="1"/>
    <w:qFormat/>
    <w:uiPriority w:val="99"/>
    <w:pPr>
      <w:ind w:firstLine="420" w:firstLineChars="200"/>
    </w:pPr>
  </w:style>
  <w:style w:type="paragraph" w:customStyle="1" w:styleId="101">
    <w:name w:val="TOC Heading1"/>
    <w:basedOn w:val="3"/>
    <w:next w:val="1"/>
    <w:qFormat/>
    <w:uiPriority w:val="99"/>
    <w:pPr>
      <w:widowControl/>
      <w:spacing w:before="240" w:after="0" w:line="259" w:lineRule="auto"/>
      <w:jc w:val="left"/>
      <w:outlineLvl w:val="9"/>
    </w:pPr>
    <w:rPr>
      <w:rFonts w:ascii="等线 Light" w:hAnsi="等线 Light" w:eastAsia="等线 Light" w:cs="等线 Light"/>
      <w:b w:val="0"/>
      <w:bCs w:val="0"/>
      <w:color w:val="2E74B5"/>
      <w:kern w:val="0"/>
      <w:sz w:val="32"/>
      <w:szCs w:val="32"/>
    </w:rPr>
  </w:style>
  <w:style w:type="paragraph" w:customStyle="1" w:styleId="102">
    <w:name w:val="my正文"/>
    <w:basedOn w:val="1"/>
    <w:link w:val="103"/>
    <w:qFormat/>
    <w:uiPriority w:val="99"/>
    <w:pPr>
      <w:spacing w:line="360" w:lineRule="auto"/>
      <w:ind w:firstLine="480" w:firstLineChars="200"/>
    </w:pPr>
    <w:rPr>
      <w:rFonts w:ascii="Times New Roman" w:hAnsi="Times New Roman" w:cs="Times New Roman"/>
      <w:kern w:val="0"/>
      <w:sz w:val="24"/>
      <w:szCs w:val="24"/>
    </w:rPr>
  </w:style>
  <w:style w:type="character" w:customStyle="1" w:styleId="103">
    <w:name w:val="my正文 Char"/>
    <w:link w:val="102"/>
    <w:autoRedefine/>
    <w:qFormat/>
    <w:locked/>
    <w:uiPriority w:val="99"/>
    <w:rPr>
      <w:rFonts w:ascii="Times New Roman" w:hAnsi="Times New Roman" w:eastAsia="宋体" w:cs="Times New Roman"/>
      <w:sz w:val="24"/>
      <w:szCs w:val="24"/>
    </w:rPr>
  </w:style>
  <w:style w:type="paragraph" w:customStyle="1" w:styleId="104">
    <w:name w:val="Default"/>
    <w:autoRedefine/>
    <w:qFormat/>
    <w:uiPriority w:val="99"/>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character" w:customStyle="1" w:styleId="105">
    <w:name w:val="NormalCharacter"/>
    <w:autoRedefine/>
    <w:semiHidden/>
    <w:qFormat/>
    <w:uiPriority w:val="99"/>
  </w:style>
  <w:style w:type="paragraph" w:customStyle="1" w:styleId="106">
    <w:name w:val="自由格式"/>
    <w:qFormat/>
    <w:uiPriority w:val="99"/>
    <w:pPr>
      <w:spacing w:after="240" w:line="312" w:lineRule="auto"/>
    </w:pPr>
    <w:rPr>
      <w:rFonts w:ascii="Arial Unicode MS" w:hAnsi="Arial Unicode MS" w:eastAsia="等线" w:cs="Arial Unicode MS"/>
      <w:color w:val="222222"/>
      <w:sz w:val="22"/>
      <w:szCs w:val="22"/>
      <w:lang w:val="zh-CN" w:eastAsia="zh-CN" w:bidi="ar-SA"/>
    </w:rPr>
  </w:style>
  <w:style w:type="character" w:customStyle="1" w:styleId="107">
    <w:name w:val="HTML 地址 字符"/>
    <w:basedOn w:val="90"/>
    <w:link w:val="41"/>
    <w:semiHidden/>
    <w:qFormat/>
    <w:uiPriority w:val="99"/>
    <w:rPr>
      <w:rFonts w:ascii="Calibri" w:hAnsi="Calibri" w:cs="Calibri"/>
      <w:i/>
      <w:iCs/>
      <w:kern w:val="2"/>
      <w:sz w:val="21"/>
      <w:szCs w:val="21"/>
    </w:rPr>
  </w:style>
  <w:style w:type="character" w:customStyle="1" w:styleId="108">
    <w:name w:val="HTML 预设格式 字符"/>
    <w:basedOn w:val="90"/>
    <w:link w:val="80"/>
    <w:autoRedefine/>
    <w:semiHidden/>
    <w:qFormat/>
    <w:uiPriority w:val="99"/>
    <w:rPr>
      <w:rFonts w:ascii="Courier New" w:hAnsi="Courier New" w:cs="Courier New"/>
      <w:kern w:val="2"/>
    </w:rPr>
  </w:style>
  <w:style w:type="paragraph" w:customStyle="1" w:styleId="109">
    <w:name w:val="TOC Heading"/>
    <w:basedOn w:val="3"/>
    <w:next w:val="1"/>
    <w:autoRedefine/>
    <w:semiHidden/>
    <w:unhideWhenUsed/>
    <w:qFormat/>
    <w:uiPriority w:val="39"/>
    <w:pPr>
      <w:outlineLvl w:val="9"/>
    </w:pPr>
  </w:style>
  <w:style w:type="character" w:customStyle="1" w:styleId="110">
    <w:name w:val="标题 字符"/>
    <w:basedOn w:val="90"/>
    <w:link w:val="84"/>
    <w:qFormat/>
    <w:uiPriority w:val="0"/>
    <w:rPr>
      <w:rFonts w:asciiTheme="majorHAnsi" w:hAnsiTheme="majorHAnsi" w:cstheme="majorBidi"/>
      <w:b/>
      <w:bCs/>
      <w:kern w:val="2"/>
      <w:sz w:val="32"/>
      <w:szCs w:val="32"/>
    </w:rPr>
  </w:style>
  <w:style w:type="character" w:customStyle="1" w:styleId="111">
    <w:name w:val="标题 4 字符"/>
    <w:basedOn w:val="90"/>
    <w:link w:val="6"/>
    <w:semiHidden/>
    <w:qFormat/>
    <w:uiPriority w:val="0"/>
    <w:rPr>
      <w:rFonts w:asciiTheme="majorHAnsi" w:hAnsiTheme="majorHAnsi" w:eastAsiaTheme="majorEastAsia" w:cstheme="majorBidi"/>
      <w:b/>
      <w:bCs/>
      <w:kern w:val="2"/>
      <w:sz w:val="28"/>
      <w:szCs w:val="28"/>
    </w:rPr>
  </w:style>
  <w:style w:type="character" w:customStyle="1" w:styleId="112">
    <w:name w:val="标题 5 字符"/>
    <w:basedOn w:val="90"/>
    <w:link w:val="7"/>
    <w:semiHidden/>
    <w:qFormat/>
    <w:uiPriority w:val="0"/>
    <w:rPr>
      <w:rFonts w:ascii="Calibri" w:hAnsi="Calibri" w:cs="Calibri"/>
      <w:b/>
      <w:bCs/>
      <w:kern w:val="2"/>
      <w:sz w:val="28"/>
      <w:szCs w:val="28"/>
    </w:rPr>
  </w:style>
  <w:style w:type="character" w:customStyle="1" w:styleId="113">
    <w:name w:val="标题 6 字符"/>
    <w:basedOn w:val="90"/>
    <w:link w:val="8"/>
    <w:autoRedefine/>
    <w:semiHidden/>
    <w:qFormat/>
    <w:uiPriority w:val="0"/>
    <w:rPr>
      <w:rFonts w:asciiTheme="majorHAnsi" w:hAnsiTheme="majorHAnsi" w:eastAsiaTheme="majorEastAsia" w:cstheme="majorBidi"/>
      <w:b/>
      <w:bCs/>
      <w:kern w:val="2"/>
      <w:sz w:val="24"/>
      <w:szCs w:val="24"/>
    </w:rPr>
  </w:style>
  <w:style w:type="character" w:customStyle="1" w:styleId="114">
    <w:name w:val="标题 7 字符"/>
    <w:basedOn w:val="90"/>
    <w:link w:val="9"/>
    <w:semiHidden/>
    <w:qFormat/>
    <w:uiPriority w:val="0"/>
    <w:rPr>
      <w:rFonts w:ascii="Calibri" w:hAnsi="Calibri" w:cs="Calibri"/>
      <w:b/>
      <w:bCs/>
      <w:kern w:val="2"/>
      <w:sz w:val="24"/>
      <w:szCs w:val="24"/>
    </w:rPr>
  </w:style>
  <w:style w:type="character" w:customStyle="1" w:styleId="115">
    <w:name w:val="标题 8 字符"/>
    <w:basedOn w:val="90"/>
    <w:link w:val="10"/>
    <w:autoRedefine/>
    <w:semiHidden/>
    <w:qFormat/>
    <w:uiPriority w:val="0"/>
    <w:rPr>
      <w:rFonts w:asciiTheme="majorHAnsi" w:hAnsiTheme="majorHAnsi" w:eastAsiaTheme="majorEastAsia" w:cstheme="majorBidi"/>
      <w:kern w:val="2"/>
      <w:sz w:val="24"/>
      <w:szCs w:val="24"/>
    </w:rPr>
  </w:style>
  <w:style w:type="character" w:customStyle="1" w:styleId="116">
    <w:name w:val="标题 9 字符"/>
    <w:basedOn w:val="90"/>
    <w:link w:val="11"/>
    <w:autoRedefine/>
    <w:semiHidden/>
    <w:qFormat/>
    <w:uiPriority w:val="0"/>
    <w:rPr>
      <w:rFonts w:asciiTheme="majorHAnsi" w:hAnsiTheme="majorHAnsi" w:eastAsiaTheme="majorEastAsia" w:cstheme="majorBidi"/>
      <w:kern w:val="2"/>
      <w:sz w:val="21"/>
      <w:szCs w:val="21"/>
    </w:rPr>
  </w:style>
  <w:style w:type="character" w:customStyle="1" w:styleId="117">
    <w:name w:val="称呼 字符"/>
    <w:basedOn w:val="90"/>
    <w:link w:val="30"/>
    <w:semiHidden/>
    <w:qFormat/>
    <w:uiPriority w:val="99"/>
    <w:rPr>
      <w:rFonts w:ascii="Calibri" w:hAnsi="Calibri" w:cs="Calibri"/>
      <w:kern w:val="2"/>
      <w:sz w:val="21"/>
      <w:szCs w:val="21"/>
    </w:rPr>
  </w:style>
  <w:style w:type="character" w:customStyle="1" w:styleId="118">
    <w:name w:val="纯文本 字符"/>
    <w:basedOn w:val="90"/>
    <w:link w:val="45"/>
    <w:autoRedefine/>
    <w:semiHidden/>
    <w:qFormat/>
    <w:uiPriority w:val="99"/>
    <w:rPr>
      <w:rFonts w:ascii="宋体" w:hAnsi="Courier New" w:cs="Courier New"/>
      <w:kern w:val="2"/>
      <w:sz w:val="22"/>
      <w:szCs w:val="22"/>
    </w:rPr>
  </w:style>
  <w:style w:type="character" w:customStyle="1" w:styleId="119">
    <w:name w:val="电子邮件签名 字符"/>
    <w:basedOn w:val="90"/>
    <w:link w:val="19"/>
    <w:autoRedefine/>
    <w:semiHidden/>
    <w:qFormat/>
    <w:uiPriority w:val="99"/>
    <w:rPr>
      <w:rFonts w:ascii="Calibri" w:hAnsi="Calibri" w:cs="Calibri"/>
      <w:kern w:val="2"/>
      <w:sz w:val="21"/>
      <w:szCs w:val="21"/>
    </w:rPr>
  </w:style>
  <w:style w:type="character" w:customStyle="1" w:styleId="120">
    <w:name w:val="副标题 字符"/>
    <w:basedOn w:val="90"/>
    <w:link w:val="64"/>
    <w:qFormat/>
    <w:uiPriority w:val="0"/>
    <w:rPr>
      <w:rFonts w:asciiTheme="majorHAnsi" w:hAnsiTheme="majorHAnsi" w:cstheme="majorBidi"/>
      <w:b/>
      <w:bCs/>
      <w:kern w:val="28"/>
      <w:sz w:val="32"/>
      <w:szCs w:val="32"/>
    </w:rPr>
  </w:style>
  <w:style w:type="character" w:customStyle="1" w:styleId="121">
    <w:name w:val="宏文本 字符"/>
    <w:basedOn w:val="90"/>
    <w:link w:val="2"/>
    <w:autoRedefine/>
    <w:semiHidden/>
    <w:qFormat/>
    <w:uiPriority w:val="99"/>
    <w:rPr>
      <w:rFonts w:ascii="Courier New" w:hAnsi="Courier New" w:cs="Courier New"/>
      <w:kern w:val="2"/>
      <w:sz w:val="24"/>
      <w:szCs w:val="24"/>
    </w:rPr>
  </w:style>
  <w:style w:type="character" w:customStyle="1" w:styleId="122">
    <w:name w:val="脚注文本 字符"/>
    <w:basedOn w:val="90"/>
    <w:link w:val="67"/>
    <w:semiHidden/>
    <w:qFormat/>
    <w:uiPriority w:val="99"/>
    <w:rPr>
      <w:rFonts w:ascii="Calibri" w:hAnsi="Calibri" w:cs="Calibri"/>
      <w:kern w:val="2"/>
      <w:sz w:val="18"/>
      <w:szCs w:val="18"/>
    </w:rPr>
  </w:style>
  <w:style w:type="character" w:customStyle="1" w:styleId="123">
    <w:name w:val="结束语 字符"/>
    <w:basedOn w:val="90"/>
    <w:link w:val="32"/>
    <w:autoRedefine/>
    <w:semiHidden/>
    <w:qFormat/>
    <w:uiPriority w:val="99"/>
    <w:rPr>
      <w:rFonts w:ascii="Calibri" w:hAnsi="Calibri" w:cs="Calibri"/>
      <w:kern w:val="2"/>
      <w:sz w:val="21"/>
      <w:szCs w:val="21"/>
    </w:rPr>
  </w:style>
  <w:style w:type="paragraph" w:styleId="124">
    <w:name w:val="Intense Quote"/>
    <w:basedOn w:val="1"/>
    <w:next w:val="1"/>
    <w:link w:val="125"/>
    <w:autoRedefine/>
    <w:semiHidden/>
    <w:unhideWhenUsed/>
    <w:qFormat/>
    <w:uiPriority w:val="99"/>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25">
    <w:name w:val="明显引用 字符"/>
    <w:basedOn w:val="90"/>
    <w:link w:val="124"/>
    <w:autoRedefine/>
    <w:semiHidden/>
    <w:qFormat/>
    <w:uiPriority w:val="99"/>
    <w:rPr>
      <w:rFonts w:ascii="Calibri" w:hAnsi="Calibri" w:cs="Calibri"/>
      <w:i/>
      <w:iCs/>
      <w:color w:val="4F81BD" w:themeColor="accent1"/>
      <w:kern w:val="2"/>
      <w:sz w:val="21"/>
      <w:szCs w:val="21"/>
      <w14:textFill>
        <w14:solidFill>
          <w14:schemeClr w14:val="accent1"/>
        </w14:solidFill>
      </w14:textFill>
    </w:rPr>
  </w:style>
  <w:style w:type="character" w:customStyle="1" w:styleId="126">
    <w:name w:val="批注框文本 字符"/>
    <w:basedOn w:val="90"/>
    <w:link w:val="54"/>
    <w:autoRedefine/>
    <w:semiHidden/>
    <w:qFormat/>
    <w:uiPriority w:val="99"/>
    <w:rPr>
      <w:rFonts w:ascii="Calibri" w:hAnsi="Calibri" w:cs="Calibri"/>
      <w:kern w:val="2"/>
      <w:sz w:val="18"/>
      <w:szCs w:val="18"/>
    </w:rPr>
  </w:style>
  <w:style w:type="character" w:customStyle="1" w:styleId="127">
    <w:name w:val="批注文字 字符"/>
    <w:basedOn w:val="90"/>
    <w:link w:val="28"/>
    <w:autoRedefine/>
    <w:semiHidden/>
    <w:qFormat/>
    <w:uiPriority w:val="99"/>
    <w:rPr>
      <w:rFonts w:ascii="Calibri" w:hAnsi="Calibri" w:cs="Calibri"/>
      <w:kern w:val="2"/>
      <w:sz w:val="21"/>
      <w:szCs w:val="21"/>
    </w:rPr>
  </w:style>
  <w:style w:type="character" w:customStyle="1" w:styleId="128">
    <w:name w:val="批注主题 字符"/>
    <w:basedOn w:val="127"/>
    <w:link w:val="85"/>
    <w:autoRedefine/>
    <w:semiHidden/>
    <w:qFormat/>
    <w:uiPriority w:val="99"/>
    <w:rPr>
      <w:rFonts w:ascii="Calibri" w:hAnsi="Calibri" w:cs="Calibri"/>
      <w:b/>
      <w:bCs/>
      <w:kern w:val="2"/>
      <w:sz w:val="21"/>
      <w:szCs w:val="21"/>
    </w:rPr>
  </w:style>
  <w:style w:type="character" w:customStyle="1" w:styleId="129">
    <w:name w:val="签名 字符"/>
    <w:basedOn w:val="90"/>
    <w:link w:val="58"/>
    <w:autoRedefine/>
    <w:semiHidden/>
    <w:qFormat/>
    <w:uiPriority w:val="99"/>
    <w:rPr>
      <w:rFonts w:ascii="Calibri" w:hAnsi="Calibri" w:cs="Calibri"/>
      <w:kern w:val="2"/>
      <w:sz w:val="21"/>
      <w:szCs w:val="21"/>
    </w:rPr>
  </w:style>
  <w:style w:type="paragraph" w:customStyle="1" w:styleId="130">
    <w:name w:val="Bibliography"/>
    <w:basedOn w:val="1"/>
    <w:next w:val="1"/>
    <w:autoRedefine/>
    <w:semiHidden/>
    <w:unhideWhenUsed/>
    <w:qFormat/>
    <w:uiPriority w:val="37"/>
  </w:style>
  <w:style w:type="character" w:customStyle="1" w:styleId="131">
    <w:name w:val="尾注文本 字符"/>
    <w:basedOn w:val="90"/>
    <w:link w:val="52"/>
    <w:autoRedefine/>
    <w:semiHidden/>
    <w:qFormat/>
    <w:uiPriority w:val="99"/>
    <w:rPr>
      <w:rFonts w:ascii="Calibri" w:hAnsi="Calibri" w:cs="Calibri"/>
      <w:kern w:val="2"/>
      <w:sz w:val="21"/>
      <w:szCs w:val="21"/>
    </w:rPr>
  </w:style>
  <w:style w:type="character" w:customStyle="1" w:styleId="132">
    <w:name w:val="文档结构图 字符"/>
    <w:basedOn w:val="90"/>
    <w:link w:val="26"/>
    <w:autoRedefine/>
    <w:semiHidden/>
    <w:qFormat/>
    <w:uiPriority w:val="99"/>
    <w:rPr>
      <w:rFonts w:ascii="Microsoft YaHei UI" w:hAnsi="Calibri" w:eastAsia="Microsoft YaHei UI" w:cs="Calibri"/>
      <w:kern w:val="2"/>
      <w:sz w:val="18"/>
      <w:szCs w:val="18"/>
    </w:rPr>
  </w:style>
  <w:style w:type="paragraph" w:styleId="133">
    <w:name w:val="No Spacing"/>
    <w:autoRedefine/>
    <w:semiHidden/>
    <w:unhideWhenUsed/>
    <w:qFormat/>
    <w:uiPriority w:val="99"/>
    <w:pPr>
      <w:widowControl w:val="0"/>
      <w:jc w:val="both"/>
    </w:pPr>
    <w:rPr>
      <w:rFonts w:ascii="Calibri" w:hAnsi="Calibri" w:eastAsia="宋体" w:cs="Calibri"/>
      <w:kern w:val="2"/>
      <w:sz w:val="21"/>
      <w:szCs w:val="21"/>
      <w:lang w:val="en-US" w:eastAsia="zh-CN" w:bidi="ar-SA"/>
    </w:rPr>
  </w:style>
  <w:style w:type="character" w:customStyle="1" w:styleId="134">
    <w:name w:val="信息标题 字符"/>
    <w:basedOn w:val="90"/>
    <w:link w:val="79"/>
    <w:autoRedefine/>
    <w:semiHidden/>
    <w:qFormat/>
    <w:uiPriority w:val="99"/>
    <w:rPr>
      <w:rFonts w:asciiTheme="majorHAnsi" w:hAnsiTheme="majorHAnsi" w:eastAsiaTheme="majorEastAsia" w:cstheme="majorBidi"/>
      <w:kern w:val="2"/>
      <w:sz w:val="24"/>
      <w:szCs w:val="24"/>
      <w:shd w:val="pct20" w:color="auto" w:fill="auto"/>
    </w:rPr>
  </w:style>
  <w:style w:type="paragraph" w:styleId="135">
    <w:name w:val="Quote"/>
    <w:basedOn w:val="1"/>
    <w:next w:val="1"/>
    <w:link w:val="136"/>
    <w:autoRedefine/>
    <w:semiHidden/>
    <w:unhideWhenUsed/>
    <w:qFormat/>
    <w:uiPriority w:val="9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36">
    <w:name w:val="引用 字符"/>
    <w:basedOn w:val="90"/>
    <w:link w:val="135"/>
    <w:autoRedefine/>
    <w:semiHidden/>
    <w:qFormat/>
    <w:uiPriority w:val="99"/>
    <w:rPr>
      <w:rFonts w:ascii="Calibri" w:hAnsi="Calibri" w:cs="Calibri"/>
      <w:i/>
      <w:iCs/>
      <w:color w:val="404040" w:themeColor="text1" w:themeTint="BF"/>
      <w:kern w:val="2"/>
      <w:sz w:val="21"/>
      <w:szCs w:val="21"/>
      <w14:textFill>
        <w14:solidFill>
          <w14:schemeClr w14:val="tx1">
            <w14:lumMod w14:val="75000"/>
            <w14:lumOff w14:val="25000"/>
          </w14:schemeClr>
        </w14:solidFill>
      </w14:textFill>
    </w:rPr>
  </w:style>
  <w:style w:type="character" w:customStyle="1" w:styleId="137">
    <w:name w:val="正文文本 字符"/>
    <w:basedOn w:val="90"/>
    <w:link w:val="34"/>
    <w:autoRedefine/>
    <w:semiHidden/>
    <w:qFormat/>
    <w:uiPriority w:val="99"/>
    <w:rPr>
      <w:rFonts w:ascii="Calibri" w:hAnsi="Calibri" w:cs="Calibri"/>
      <w:kern w:val="2"/>
      <w:sz w:val="21"/>
      <w:szCs w:val="21"/>
    </w:rPr>
  </w:style>
  <w:style w:type="character" w:customStyle="1" w:styleId="138">
    <w:name w:val="正文文本 2 字符"/>
    <w:basedOn w:val="90"/>
    <w:link w:val="76"/>
    <w:autoRedefine/>
    <w:semiHidden/>
    <w:qFormat/>
    <w:uiPriority w:val="99"/>
    <w:rPr>
      <w:rFonts w:ascii="Calibri" w:hAnsi="Calibri" w:cs="Calibri"/>
      <w:kern w:val="2"/>
      <w:sz w:val="21"/>
      <w:szCs w:val="21"/>
    </w:rPr>
  </w:style>
  <w:style w:type="character" w:customStyle="1" w:styleId="139">
    <w:name w:val="正文文本 3 字符"/>
    <w:basedOn w:val="90"/>
    <w:link w:val="31"/>
    <w:autoRedefine/>
    <w:semiHidden/>
    <w:qFormat/>
    <w:uiPriority w:val="99"/>
    <w:rPr>
      <w:rFonts w:ascii="Calibri" w:hAnsi="Calibri" w:cs="Calibri"/>
      <w:kern w:val="2"/>
      <w:sz w:val="16"/>
      <w:szCs w:val="16"/>
    </w:rPr>
  </w:style>
  <w:style w:type="character" w:customStyle="1" w:styleId="140">
    <w:name w:val="正文文本首行缩进 字符"/>
    <w:basedOn w:val="137"/>
    <w:link w:val="86"/>
    <w:autoRedefine/>
    <w:semiHidden/>
    <w:qFormat/>
    <w:uiPriority w:val="99"/>
    <w:rPr>
      <w:rFonts w:ascii="Calibri" w:hAnsi="Calibri" w:cs="Calibri"/>
      <w:kern w:val="2"/>
      <w:sz w:val="21"/>
      <w:szCs w:val="21"/>
    </w:rPr>
  </w:style>
  <w:style w:type="character" w:customStyle="1" w:styleId="141">
    <w:name w:val="正文文本缩进 字符"/>
    <w:basedOn w:val="90"/>
    <w:link w:val="35"/>
    <w:autoRedefine/>
    <w:semiHidden/>
    <w:qFormat/>
    <w:uiPriority w:val="99"/>
    <w:rPr>
      <w:rFonts w:ascii="Calibri" w:hAnsi="Calibri" w:cs="Calibri"/>
      <w:kern w:val="2"/>
      <w:sz w:val="21"/>
      <w:szCs w:val="21"/>
    </w:rPr>
  </w:style>
  <w:style w:type="character" w:customStyle="1" w:styleId="142">
    <w:name w:val="正文文本首行缩进 2 字符"/>
    <w:basedOn w:val="141"/>
    <w:link w:val="87"/>
    <w:autoRedefine/>
    <w:semiHidden/>
    <w:qFormat/>
    <w:uiPriority w:val="99"/>
    <w:rPr>
      <w:rFonts w:ascii="Calibri" w:hAnsi="Calibri" w:cs="Calibri"/>
      <w:kern w:val="2"/>
      <w:sz w:val="21"/>
      <w:szCs w:val="21"/>
    </w:rPr>
  </w:style>
  <w:style w:type="character" w:customStyle="1" w:styleId="143">
    <w:name w:val="正文文本缩进 2 字符"/>
    <w:basedOn w:val="90"/>
    <w:link w:val="51"/>
    <w:autoRedefine/>
    <w:semiHidden/>
    <w:qFormat/>
    <w:uiPriority w:val="99"/>
    <w:rPr>
      <w:rFonts w:ascii="Calibri" w:hAnsi="Calibri" w:cs="Calibri"/>
      <w:kern w:val="2"/>
      <w:sz w:val="21"/>
      <w:szCs w:val="21"/>
    </w:rPr>
  </w:style>
  <w:style w:type="character" w:customStyle="1" w:styleId="144">
    <w:name w:val="正文文本缩进 3 字符"/>
    <w:basedOn w:val="90"/>
    <w:link w:val="70"/>
    <w:autoRedefine/>
    <w:semiHidden/>
    <w:qFormat/>
    <w:uiPriority w:val="99"/>
    <w:rPr>
      <w:rFonts w:ascii="Calibri" w:hAnsi="Calibri" w:cs="Calibri"/>
      <w:kern w:val="2"/>
      <w:sz w:val="16"/>
      <w:szCs w:val="16"/>
    </w:rPr>
  </w:style>
  <w:style w:type="character" w:customStyle="1" w:styleId="145">
    <w:name w:val="注释标题 字符"/>
    <w:basedOn w:val="90"/>
    <w:link w:val="16"/>
    <w:autoRedefine/>
    <w:semiHidden/>
    <w:qFormat/>
    <w:uiPriority w:val="99"/>
    <w:rPr>
      <w:rFonts w:ascii="Calibri" w:hAnsi="Calibri" w:cs="Calibri"/>
      <w:kern w:val="2"/>
      <w:sz w:val="21"/>
      <w:szCs w:val="21"/>
    </w:rPr>
  </w:style>
  <w:style w:type="paragraph" w:customStyle="1" w:styleId="146">
    <w:name w:val="Revision"/>
    <w:autoRedefine/>
    <w:hidden/>
    <w:unhideWhenUsed/>
    <w:qFormat/>
    <w:uiPriority w:val="99"/>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5561</Words>
  <Characters>5725</Characters>
  <Lines>207</Lines>
  <Paragraphs>188</Paragraphs>
  <TotalTime>1</TotalTime>
  <ScaleCrop>false</ScaleCrop>
  <LinksUpToDate>false</LinksUpToDate>
  <CharactersWithSpaces>5813</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2025-05-06T13:10:00Z</dcterms:created>
  <dc:creator>houtianai</dc:creator>
  <cp:lastModifiedBy>焦鹏</cp:lastModifiedBy>
  <cp:lastPrinted>2025-08-21T07:21:00Z</cp:lastPrinted>
  <dcterms:modified xsi:type="dcterms:W3CDTF">2025-08-23T04:56:38Z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4018E4F3BA854C51B656FDCF143743C7</vt:lpwstr>
  </property>
  <property fmtid="{D5CDD505-2E9C-101B-9397-08002B2CF9AE}" pid="4" name="KSOTemplateDocerSaveRecord">
    <vt:lpwstr>eyJoZGlkIjoiYmIwMTVmMDYwZDViNDk5YTZlNzNlZDZhZTA5YmQyNmYiLCJ1c2VySWQiOiI0MTQ5MDE5MzIifQ==</vt:lpwstr>
  </property>
</Properties>
</file>