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84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部门整体绩效评价报告</w:t>
      </w:r>
    </w:p>
    <w:p w14:paraId="3FD1F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69A72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一、部门概况</w:t>
      </w:r>
    </w:p>
    <w:p w14:paraId="726EB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（一）机构设置及职责工作任务情况</w:t>
      </w:r>
    </w:p>
    <w:p w14:paraId="39810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北京市人民政府研究室</w:t>
      </w:r>
      <w:r>
        <w:rPr>
          <w:rFonts w:hint="eastAsia" w:ascii="仿宋_GB2312" w:hAnsi="仿宋_GB2312" w:eastAsia="仿宋_GB2312" w:cs="仿宋_GB2312"/>
          <w:sz w:val="32"/>
          <w:szCs w:val="32"/>
        </w:rPr>
        <w:t>（以下简称：市政府研究室）</w:t>
      </w:r>
      <w:r>
        <w:rPr>
          <w:rFonts w:hint="eastAsia" w:ascii="仿宋_GB2312" w:eastAsia="仿宋_GB2312"/>
          <w:sz w:val="32"/>
          <w:szCs w:val="32"/>
        </w:rPr>
        <w:t>包括1个预算单位，即北京市人民政府研究室（本级）。内设11个职能处室和机关党委（工会），分别为办公室（人事处）、综合一处、综合二处、综合三处、经济发展处、对外交往处、科学技术处、文化教育处、社会发展处、城乡建设处、农村发展处和机关党委（工会）。</w:t>
      </w:r>
    </w:p>
    <w:p w14:paraId="0F1CA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政府研究室是承担综合性政策研究和咨询任务的市政府直属机构。主要职责：负责起草《政府工作报告》，牵头组织市政府重要会议的文件起草，参与市委重要会议的文件起草工作；根据市政府领导同志指示，单独或组织、协助有关方面起草、修改市政府有关重要文件和报告，起草市政府领导同志重要讲话等文稿；对首都经济社会发展重大问题进行调查研究，提出政策性建议和咨询意见；收集、分析、整理经济社会发展的重要信息，为市政府领导同志提供参考建议；承办市政府交办的其他事项。</w:t>
      </w:r>
    </w:p>
    <w:p w14:paraId="193D7F0A">
      <w:pPr>
        <w:tabs>
          <w:tab w:val="center" w:pos="6979"/>
        </w:tabs>
        <w:spacing w:line="580" w:lineRule="exact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市政府研究室工作任务主要为起草《政府工作报告》及领导重要讲话、调查研究、重大经济专题分析等。</w:t>
      </w:r>
    </w:p>
    <w:p w14:paraId="25CC0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（二）部门整体绩效目标设立情况</w:t>
      </w:r>
    </w:p>
    <w:p w14:paraId="6BB7B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1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bookmarkStart w:id="0" w:name="_Hlk136922727"/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2024年度部门整体绩效目标的设立依据主要包括部门职能职责、年度主要工作计划。部门整体绩效目标设置与部门职能定位相符，部门整体绩效目标对2024年度计划重点工作内容体现较为全面。设立的部门整体绩效目标如下：</w:t>
      </w:r>
    </w:p>
    <w:p w14:paraId="6EB15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1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完成市政府综合性政策研究和咨询任务，高质量起草《政府工作报告》、市委市政府重要会议文件和市政府领导同志重要讲话稿；对首都经济社会发展重大问题进行调查研究，提出政策性建议和咨询意见；收集、分析、整理经济社会发展的重要信息，为市政府领导同志提供参考建议。</w:t>
      </w:r>
    </w:p>
    <w:p w14:paraId="60252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部门整体绩效目标设置紧密围绕市政府研究室主责主业，指标设定与部门职能任务匹配，符合相关法律法规的要求及部门整体</w:t>
      </w:r>
      <w:r>
        <w:rPr>
          <w:rFonts w:hint="eastAsia" w:eastAsia="仿宋"/>
          <w:sz w:val="32"/>
          <w:szCs w:val="32"/>
        </w:rPr>
        <w:t>支出的客观实际，目标依据充分，具有可操作性和可实现性。</w:t>
      </w:r>
      <w:bookmarkEnd w:id="0"/>
    </w:p>
    <w:p w14:paraId="4F7D5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二、当年预算执行情况</w:t>
      </w:r>
    </w:p>
    <w:p w14:paraId="44BCE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1" w:name="_Hlk105679895"/>
      <w:r>
        <w:rPr>
          <w:rFonts w:hint="eastAsia" w:eastAsia="仿宋"/>
          <w:sz w:val="32"/>
          <w:szCs w:val="32"/>
        </w:rPr>
        <w:t>2024年全年预算数3,201.45万元，支出3,023.90万元，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预算执行率为94.45%。</w:t>
      </w:r>
    </w:p>
    <w:bookmarkEnd w:id="1"/>
    <w:p w14:paraId="15BA1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三、整体绩效目标实现情况</w:t>
      </w:r>
    </w:p>
    <w:p w14:paraId="068E2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bookmarkStart w:id="2" w:name="_Hlk136922804"/>
      <w:r>
        <w:rPr>
          <w:rFonts w:hint="eastAsia" w:ascii="仿宋_GB2312" w:hAnsi="仿宋_GB2312" w:eastAsia="仿宋_GB2312" w:cs="仿宋_GB2312"/>
          <w:sz w:val="32"/>
          <w:szCs w:val="32"/>
        </w:rPr>
        <w:t>2024年，市政府研究室坚持以</w:t>
      </w:r>
      <w:r>
        <w:rPr>
          <w:rFonts w:hint="eastAsia" w:eastAsia="仿宋"/>
          <w:sz w:val="32"/>
          <w:szCs w:val="32"/>
        </w:rPr>
        <w:t>习近平新时代中国特色社会主义思想为指导，深入贯彻党的二十大和二十届二中、三中全会精神，深入贯彻习近平总书记对北京重要讲话精神，按照市委市政府统一部署，紧扣中心大局，积极履职尽责，高标准完成文稿与调研任务，扎实推动各项工作取得新成效，较好地实现了部门整体绩效预期。</w:t>
      </w:r>
    </w:p>
    <w:p w14:paraId="17F2E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（一）产出完成情况分析</w:t>
      </w:r>
    </w:p>
    <w:p w14:paraId="7C937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1.产出数量</w:t>
      </w:r>
    </w:p>
    <w:p w14:paraId="17B2D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年初设定的数量指标：完成市长参阅、专题报告数量≥30篇；交办的重点经济专题问题研究数量≥10件；文件、文稿、材料数量≥800篇。2024年，高位统筹，稳步推进，抢先抓早，多线作战，年初设定的各项产出数量指标均已完成，达到项目预期。</w:t>
      </w:r>
    </w:p>
    <w:p w14:paraId="38AF3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2.产出质量</w:t>
      </w:r>
    </w:p>
    <w:p w14:paraId="1F44D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认真落实市委市政府决策部署，主动适应新形势新变化新要求，坚持围绕中心、服务大局，主动靠前服务，着力提升文稿质效，产出质量符合整体绩效目标要求。</w:t>
      </w:r>
    </w:p>
    <w:p w14:paraId="58F3A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3.产出进度</w:t>
      </w:r>
    </w:p>
    <w:p w14:paraId="0EC90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各项工作任务按照进度计划开展，根据工作实际变化情况及时做出经费预算调整，全力保障重大任务，及时统筹调度人力、物力、财力资源，支出进度与工作进度基本相匹配。产出进度符合整体绩效目标要求。</w:t>
      </w:r>
    </w:p>
    <w:p w14:paraId="0FEEA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4.产出成本</w:t>
      </w:r>
    </w:p>
    <w:p w14:paraId="1001B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2024年度，以严格执行预算为中心，以提高经费使用效率为重点，加强产出成本管理，资金实际支出始终控制在预算之内，产出成本符合整体绩效目标要求。</w:t>
      </w:r>
    </w:p>
    <w:p w14:paraId="01AD0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（二）效果实现情况分析</w:t>
      </w:r>
    </w:p>
    <w:p w14:paraId="2F14B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1.经济效益</w:t>
      </w:r>
    </w:p>
    <w:p w14:paraId="34254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不涉及。</w:t>
      </w:r>
    </w:p>
    <w:p w14:paraId="3189A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2.社会效益</w:t>
      </w:r>
    </w:p>
    <w:p w14:paraId="2CA1A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紧紧围绕首都高质量发展，着力开展重点问题研究，形成了一批高质量决策咨询成果，充分发挥</w:t>
      </w:r>
      <w:r>
        <w:rPr>
          <w:rFonts w:hint="eastAsia" w:eastAsia="仿宋"/>
          <w:sz w:val="32"/>
          <w:szCs w:val="32"/>
          <w:lang w:eastAsia="zh-CN"/>
        </w:rPr>
        <w:t>了</w:t>
      </w:r>
      <w:r>
        <w:rPr>
          <w:rFonts w:hint="eastAsia" w:eastAsia="仿宋"/>
          <w:sz w:val="32"/>
          <w:szCs w:val="32"/>
        </w:rPr>
        <w:t>为市政府提供决策参考及政策建议的职能作用。</w:t>
      </w:r>
    </w:p>
    <w:p w14:paraId="7F484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3.环境效益</w:t>
      </w:r>
    </w:p>
    <w:p w14:paraId="7C38D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不涉及。</w:t>
      </w:r>
    </w:p>
    <w:p w14:paraId="11F0D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4.可持续性影响</w:t>
      </w:r>
    </w:p>
    <w:p w14:paraId="7ED49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坚持问题导向，紧贴领导决策需求，持续提升综合性政策研究和咨询服务水平，为</w:t>
      </w:r>
      <w:bookmarkStart w:id="12" w:name="_GoBack"/>
      <w:bookmarkEnd w:id="12"/>
      <w:r>
        <w:rPr>
          <w:rFonts w:hint="eastAsia" w:eastAsia="仿宋"/>
          <w:sz w:val="32"/>
          <w:szCs w:val="32"/>
        </w:rPr>
        <w:t>市领导综合决策提供重要参考。强化领导批示跟踪落实，会同市</w:t>
      </w:r>
      <w:r>
        <w:rPr>
          <w:rFonts w:hint="eastAsia" w:eastAsia="仿宋"/>
          <w:sz w:val="32"/>
          <w:szCs w:val="32"/>
          <w:lang w:eastAsia="zh-CN"/>
        </w:rPr>
        <w:t>有</w:t>
      </w:r>
      <w:r>
        <w:rPr>
          <w:rFonts w:hint="eastAsia" w:eastAsia="仿宋"/>
          <w:sz w:val="32"/>
          <w:szCs w:val="32"/>
        </w:rPr>
        <w:t>关部门加强与相关职能部门和区沟通，更加详细深入地报告调研观点和举措建议，协助相关部门和区更好理清工作逻辑思路和工作举措，助力相关领域工作高效率高质量开展，把市委市政府决策落实到位。</w:t>
      </w:r>
    </w:p>
    <w:p w14:paraId="7E43E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5.服务对象满意度</w:t>
      </w:r>
    </w:p>
    <w:p w14:paraId="31778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2024年，各项工作达到较高的工作满意度，较好地实现了项目预期。《政府工作报告》于2025年1月18日经北京市第十六届人大三次会议表决通过。《2024年上半年工作总结报告》和《关于全市经济社会发展工作的报告》也得到市领导高度肯定。</w:t>
      </w:r>
    </w:p>
    <w:bookmarkEnd w:id="2"/>
    <w:p w14:paraId="53F3B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四、预算管理情况分析</w:t>
      </w:r>
    </w:p>
    <w:p w14:paraId="45926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3" w:name="_Hlk105680035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（一）财务管理</w:t>
      </w:r>
    </w:p>
    <w:p w14:paraId="3D82E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1.财务管理制度健全性</w:t>
      </w:r>
    </w:p>
    <w:p w14:paraId="26A58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bookmarkStart w:id="4" w:name="_Hlk136922846"/>
      <w:r>
        <w:rPr>
          <w:rFonts w:hint="eastAsia" w:eastAsia="仿宋"/>
          <w:sz w:val="32"/>
          <w:szCs w:val="32"/>
        </w:rPr>
        <w:t>2024年，严格落实“政府过紧日子”要求，健全完善制度体系，制订了《市政府研究室经费使用暂行规定》，修订了《市政府研究室预算管理办法》等制度，根据财政部门的新规定新要求不断调整充实，进一步织紧织密制度笼子，同时扎实开展财务内审工作，做好重点领域和关键环节经济活动风险防控，保证财政资金安全、高效运行。</w:t>
      </w:r>
      <w:bookmarkEnd w:id="4"/>
    </w:p>
    <w:p w14:paraId="74FB9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2.资金使用合规性和安全性</w:t>
      </w:r>
    </w:p>
    <w:p w14:paraId="21F8F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bookmarkStart w:id="5" w:name="_Hlk136922876"/>
      <w:r>
        <w:rPr>
          <w:rFonts w:hint="eastAsia" w:eastAsia="仿宋"/>
          <w:sz w:val="32"/>
          <w:szCs w:val="32"/>
        </w:rPr>
        <w:t>坚持以严格执行预算为中心，以提高经费使用效率为重点，厉行节俭、尽力而为、量力而行，从严把控经费支出，从细落实财政纪律，项目资金专款专用</w:t>
      </w:r>
      <w:r>
        <w:rPr>
          <w:rFonts w:hint="eastAsia" w:eastAsia="仿宋"/>
          <w:sz w:val="32"/>
          <w:szCs w:val="32"/>
          <w:lang w:val="en-US" w:eastAsia="zh-CN"/>
        </w:rPr>
        <w:t>,</w:t>
      </w:r>
      <w:r>
        <w:rPr>
          <w:rFonts w:hint="eastAsia" w:eastAsia="仿宋"/>
          <w:sz w:val="32"/>
          <w:szCs w:val="32"/>
        </w:rPr>
        <w:t>重大项目支出经过室党组集体审议。定期通报支出进度，督促推进有项目的处室项目清单化，按需召开工作推进会。定期开展财务审计，加强对资金使用监管，保障了资金使用的合规性和安全性。</w:t>
      </w:r>
      <w:bookmarkEnd w:id="5"/>
    </w:p>
    <w:p w14:paraId="2010A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3.会计基础信息完善性</w:t>
      </w:r>
    </w:p>
    <w:p w14:paraId="0A917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bookmarkStart w:id="6" w:name="_Hlk136922921"/>
      <w:r>
        <w:rPr>
          <w:rFonts w:hint="eastAsia" w:eastAsia="仿宋"/>
          <w:sz w:val="32"/>
          <w:szCs w:val="32"/>
        </w:rPr>
        <w:t>坚持提质增效，严格执行政府会计准则和政府会计制度规定，强化财务报销内控流程，认真组织开展日常会计核算和报表编制工作，真实地反映单位财务状况，不断提高会计核算工作质量。严格按照财政部门国库集中支付的相关要求，落实各项费用的开支范围和标准，按照进度合理使用资金。强化核算监督工作，积极进行内部核算和分析，加强支出费用的控制、执行力度，加强经济活动分析，为领导决策提供参考依据。严格按照会计档案管理规范要求，及时完成</w:t>
      </w:r>
      <w:r>
        <w:rPr>
          <w:rFonts w:hint="eastAsia" w:eastAsia="仿宋"/>
          <w:sz w:val="32"/>
          <w:szCs w:val="32"/>
          <w:lang w:eastAsia="zh-CN"/>
        </w:rPr>
        <w:t>当</w:t>
      </w:r>
      <w:r>
        <w:rPr>
          <w:rFonts w:hint="eastAsia" w:eastAsia="仿宋"/>
          <w:sz w:val="32"/>
          <w:szCs w:val="32"/>
        </w:rPr>
        <w:t>年度会计凭证装订</w:t>
      </w:r>
      <w:r>
        <w:rPr>
          <w:rFonts w:hint="eastAsia" w:eastAsia="仿宋"/>
          <w:sz w:val="32"/>
          <w:szCs w:val="32"/>
          <w:lang w:eastAsia="zh-CN"/>
        </w:rPr>
        <w:t>、</w:t>
      </w:r>
      <w:r>
        <w:rPr>
          <w:rFonts w:hint="eastAsia" w:eastAsia="仿宋"/>
          <w:sz w:val="32"/>
          <w:szCs w:val="32"/>
        </w:rPr>
        <w:t>会计档案的整理和归档工作。</w:t>
      </w:r>
    </w:p>
    <w:bookmarkEnd w:id="6"/>
    <w:p w14:paraId="511379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（二）资产管理</w:t>
      </w:r>
    </w:p>
    <w:p w14:paraId="50005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bookmarkStart w:id="7" w:name="_Hlk136922948"/>
      <w:r>
        <w:rPr>
          <w:rFonts w:hint="eastAsia" w:eastAsia="仿宋"/>
          <w:sz w:val="32"/>
          <w:szCs w:val="32"/>
        </w:rPr>
        <w:t>坚持建章立制，不断健全管理制度。</w:t>
      </w:r>
      <w:r>
        <w:rPr>
          <w:rFonts w:hint="eastAsia" w:eastAsia="仿宋"/>
          <w:sz w:val="32"/>
          <w:szCs w:val="32"/>
          <w:lang w:eastAsia="zh-CN"/>
        </w:rPr>
        <w:t>落实</w:t>
      </w:r>
      <w:r>
        <w:rPr>
          <w:rFonts w:hint="eastAsia" w:eastAsia="仿宋"/>
          <w:sz w:val="32"/>
          <w:szCs w:val="32"/>
        </w:rPr>
        <w:t>《行政事业性国有资产管理条例》</w:t>
      </w:r>
      <w:r>
        <w:rPr>
          <w:rFonts w:hint="eastAsia" w:eastAsia="仿宋"/>
          <w:sz w:val="32"/>
          <w:szCs w:val="32"/>
          <w:lang w:eastAsia="zh-CN"/>
        </w:rPr>
        <w:t>要求</w:t>
      </w:r>
      <w:r>
        <w:rPr>
          <w:rFonts w:hint="eastAsia" w:eastAsia="仿宋"/>
          <w:sz w:val="32"/>
          <w:szCs w:val="32"/>
        </w:rPr>
        <w:t>，结合工作实际，建立健全资产管理制度，制定日常管理措施，坚持管理与使用相统一原则，分级管理、指定到人，确保资产使用效率，保证资产安全完整。</w:t>
      </w:r>
    </w:p>
    <w:p w14:paraId="733C9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加强日常监管，定期组织人员清查盘点所属资产，拉单列账，逐条核查，做到底数清</w:t>
      </w:r>
      <w:r>
        <w:rPr>
          <w:rFonts w:hint="eastAsia" w:eastAsia="仿宋"/>
          <w:sz w:val="32"/>
          <w:szCs w:val="32"/>
          <w:lang w:eastAsia="zh-CN"/>
        </w:rPr>
        <w:t>、</w:t>
      </w:r>
      <w:r>
        <w:rPr>
          <w:rFonts w:hint="eastAsia" w:eastAsia="仿宋"/>
          <w:sz w:val="32"/>
          <w:szCs w:val="32"/>
        </w:rPr>
        <w:t xml:space="preserve">情况明，为资产管理提供依据。坚持资产全生命周期管理，指定专人负责资产管理信息系统，及时录入新增资产，实行动态监管，确保资产数据全面准确，切实提升资产使用效益。   </w:t>
      </w:r>
    </w:p>
    <w:bookmarkEnd w:id="7"/>
    <w:p w14:paraId="394FA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（三）绩效管理</w:t>
      </w:r>
    </w:p>
    <w:p w14:paraId="5ECE4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bookmarkStart w:id="8" w:name="_Hlk136922976"/>
      <w:r>
        <w:rPr>
          <w:rFonts w:hint="eastAsia" w:eastAsia="仿宋"/>
          <w:sz w:val="32"/>
          <w:szCs w:val="32"/>
        </w:rPr>
        <w:t>2024年，严格落实“政府过紧日子”要求，按照“预算编制有目标、预算执行有监控、预算完成有评价、评价结果有反馈、反馈结果有应用”的预算绩效管理</w:t>
      </w:r>
      <w:r>
        <w:rPr>
          <w:rFonts w:hint="eastAsia" w:eastAsia="仿宋"/>
          <w:sz w:val="32"/>
          <w:szCs w:val="32"/>
          <w:lang w:eastAsia="zh-CN"/>
        </w:rPr>
        <w:t>标准</w:t>
      </w:r>
      <w:r>
        <w:rPr>
          <w:rFonts w:hint="eastAsia" w:eastAsia="仿宋"/>
          <w:sz w:val="32"/>
          <w:szCs w:val="32"/>
        </w:rPr>
        <w:t>，全面开展预算绩效管理工作</w:t>
      </w:r>
      <w:r>
        <w:rPr>
          <w:rFonts w:hint="eastAsia" w:eastAsia="仿宋"/>
          <w:sz w:val="32"/>
          <w:szCs w:val="32"/>
          <w:lang w:eastAsia="zh-CN"/>
        </w:rPr>
        <w:t>。</w:t>
      </w:r>
      <w:r>
        <w:rPr>
          <w:rFonts w:hint="eastAsia" w:eastAsia="仿宋"/>
          <w:sz w:val="32"/>
          <w:szCs w:val="32"/>
        </w:rPr>
        <w:t>年初预算项目设置绩效目标，开展绩效运行监控和事后绩效评价，确保预算支出的经济性、效率性和有效性</w:t>
      </w:r>
      <w:r>
        <w:rPr>
          <w:rFonts w:hint="eastAsia" w:eastAsia="仿宋"/>
          <w:sz w:val="32"/>
          <w:szCs w:val="32"/>
          <w:lang w:eastAsia="zh-CN"/>
        </w:rPr>
        <w:t>。</w:t>
      </w:r>
      <w:r>
        <w:rPr>
          <w:rFonts w:hint="eastAsia" w:eastAsia="仿宋"/>
          <w:sz w:val="32"/>
          <w:szCs w:val="32"/>
        </w:rPr>
        <w:t>日常财务管理工作中，不断强化成本和绩效意识，贯彻落实绩效目标，将绩效理念融入到预算管理全过程，注重绩效评价结果应用，把有限的预算资金用好，用在刀刃上，提高资金使用效益</w:t>
      </w:r>
      <w:bookmarkEnd w:id="8"/>
      <w:r>
        <w:rPr>
          <w:rFonts w:hint="eastAsia" w:eastAsia="仿宋"/>
          <w:sz w:val="32"/>
          <w:szCs w:val="32"/>
        </w:rPr>
        <w:t>。</w:t>
      </w:r>
    </w:p>
    <w:bookmarkEnd w:id="3"/>
    <w:p w14:paraId="41E8C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五、总体评价结论</w:t>
      </w:r>
    </w:p>
    <w:p w14:paraId="386A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（一）评价得分情况</w:t>
      </w:r>
    </w:p>
    <w:p w14:paraId="1CE9E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bookmarkStart w:id="9" w:name="_Hlk136923065"/>
      <w:r>
        <w:rPr>
          <w:rFonts w:hint="eastAsia" w:eastAsia="仿宋"/>
          <w:sz w:val="32"/>
          <w:szCs w:val="32"/>
        </w:rPr>
        <w:t>按照市财政</w:t>
      </w:r>
      <w:r>
        <w:rPr>
          <w:rFonts w:hint="eastAsia" w:eastAsia="仿宋"/>
          <w:sz w:val="32"/>
          <w:szCs w:val="32"/>
          <w:lang w:eastAsia="zh-CN"/>
        </w:rPr>
        <w:t>局</w:t>
      </w:r>
      <w:r>
        <w:rPr>
          <w:rFonts w:hint="eastAsia" w:eastAsia="仿宋"/>
          <w:sz w:val="32"/>
          <w:szCs w:val="32"/>
        </w:rPr>
        <w:t>年初批复并经预算信息公开的市政府研究室《部门整体支出绩效目标表》，结合实际情况，经综合评价后，市政府研究室的部门整体绩效评价综合得分95.39分，绩效级别评定为“优”（详见附件）。有关绩效评价结论，如下表所示：</w:t>
      </w:r>
    </w:p>
    <w:p w14:paraId="0AAAE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</w:p>
    <w:tbl>
      <w:tblPr>
        <w:tblStyle w:val="5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1"/>
        <w:gridCol w:w="2583"/>
        <w:gridCol w:w="3027"/>
      </w:tblGrid>
      <w:tr w14:paraId="48980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</w:tblPrEx>
        <w:trPr>
          <w:trHeight w:val="850" w:hRule="atLeast"/>
          <w:tblHeader/>
        </w:trPr>
        <w:tc>
          <w:tcPr>
            <w:tcW w:w="3451" w:type="dxa"/>
            <w:vAlign w:val="center"/>
          </w:tcPr>
          <w:p w14:paraId="33C65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评价内容</w:t>
            </w:r>
          </w:p>
        </w:tc>
        <w:tc>
          <w:tcPr>
            <w:tcW w:w="2583" w:type="dxa"/>
            <w:vAlign w:val="center"/>
          </w:tcPr>
          <w:p w14:paraId="5FD2E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分值</w:t>
            </w:r>
          </w:p>
        </w:tc>
        <w:tc>
          <w:tcPr>
            <w:tcW w:w="3027" w:type="dxa"/>
            <w:vAlign w:val="center"/>
          </w:tcPr>
          <w:p w14:paraId="01798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评价得分</w:t>
            </w:r>
          </w:p>
        </w:tc>
      </w:tr>
      <w:tr w14:paraId="4BDD2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3451" w:type="dxa"/>
            <w:vAlign w:val="center"/>
          </w:tcPr>
          <w:p w14:paraId="05002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当年预算执行情况</w:t>
            </w:r>
          </w:p>
        </w:tc>
        <w:tc>
          <w:tcPr>
            <w:tcW w:w="2583" w:type="dxa"/>
            <w:vAlign w:val="center"/>
          </w:tcPr>
          <w:p w14:paraId="389CB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20</w:t>
            </w:r>
          </w:p>
        </w:tc>
        <w:tc>
          <w:tcPr>
            <w:tcW w:w="3027" w:type="dxa"/>
            <w:vAlign w:val="center"/>
          </w:tcPr>
          <w:p w14:paraId="41BD3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18.89</w:t>
            </w:r>
          </w:p>
        </w:tc>
      </w:tr>
      <w:tr w14:paraId="6E332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451" w:type="dxa"/>
            <w:vAlign w:val="center"/>
          </w:tcPr>
          <w:p w14:paraId="7CC31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整体绩效目标实现情况</w:t>
            </w:r>
          </w:p>
        </w:tc>
        <w:tc>
          <w:tcPr>
            <w:tcW w:w="2583" w:type="dxa"/>
            <w:vAlign w:val="center"/>
          </w:tcPr>
          <w:p w14:paraId="329DE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60</w:t>
            </w:r>
          </w:p>
        </w:tc>
        <w:tc>
          <w:tcPr>
            <w:tcW w:w="3027" w:type="dxa"/>
            <w:vAlign w:val="center"/>
          </w:tcPr>
          <w:p w14:paraId="00907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57.00</w:t>
            </w:r>
          </w:p>
        </w:tc>
      </w:tr>
      <w:tr w14:paraId="5D8E8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</w:tblPrEx>
        <w:trPr>
          <w:trHeight w:val="850" w:hRule="atLeast"/>
        </w:trPr>
        <w:tc>
          <w:tcPr>
            <w:tcW w:w="3451" w:type="dxa"/>
            <w:vAlign w:val="center"/>
          </w:tcPr>
          <w:p w14:paraId="3CDF8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jc w:val="both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预算管理情况</w:t>
            </w:r>
          </w:p>
        </w:tc>
        <w:tc>
          <w:tcPr>
            <w:tcW w:w="2583" w:type="dxa"/>
            <w:vAlign w:val="center"/>
          </w:tcPr>
          <w:p w14:paraId="1FFE7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20</w:t>
            </w:r>
          </w:p>
        </w:tc>
        <w:tc>
          <w:tcPr>
            <w:tcW w:w="3027" w:type="dxa"/>
            <w:vAlign w:val="center"/>
          </w:tcPr>
          <w:p w14:paraId="137B1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19.50</w:t>
            </w:r>
          </w:p>
        </w:tc>
      </w:tr>
      <w:tr w14:paraId="1D2E6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</w:tblPrEx>
        <w:trPr>
          <w:trHeight w:val="850" w:hRule="atLeast"/>
        </w:trPr>
        <w:tc>
          <w:tcPr>
            <w:tcW w:w="3451" w:type="dxa"/>
            <w:vAlign w:val="center"/>
          </w:tcPr>
          <w:p w14:paraId="7B407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合 计</w:t>
            </w:r>
          </w:p>
        </w:tc>
        <w:tc>
          <w:tcPr>
            <w:tcW w:w="2583" w:type="dxa"/>
            <w:vAlign w:val="center"/>
          </w:tcPr>
          <w:p w14:paraId="00B1C8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100</w:t>
            </w:r>
          </w:p>
        </w:tc>
        <w:tc>
          <w:tcPr>
            <w:tcW w:w="3027" w:type="dxa"/>
            <w:vAlign w:val="center"/>
          </w:tcPr>
          <w:p w14:paraId="0999E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95.39</w:t>
            </w:r>
          </w:p>
        </w:tc>
      </w:tr>
      <w:tr w14:paraId="03AE1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451" w:type="dxa"/>
            <w:vAlign w:val="center"/>
          </w:tcPr>
          <w:p w14:paraId="7EC2F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绩效评定级别</w:t>
            </w:r>
          </w:p>
        </w:tc>
        <w:tc>
          <w:tcPr>
            <w:tcW w:w="5610" w:type="dxa"/>
            <w:gridSpan w:val="2"/>
            <w:vAlign w:val="center"/>
          </w:tcPr>
          <w:p w14:paraId="7E0EA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jc w:val="center"/>
              <w:textAlignment w:val="auto"/>
              <w:rPr>
                <w:rFonts w:hint="eastAsia" w:eastAsia="仿宋"/>
                <w:sz w:val="32"/>
                <w:szCs w:val="32"/>
              </w:rPr>
            </w:pPr>
            <w:r>
              <w:rPr>
                <w:rFonts w:hint="eastAsia" w:eastAsia="仿宋"/>
                <w:sz w:val="32"/>
                <w:szCs w:val="32"/>
              </w:rPr>
              <w:t>优</w:t>
            </w:r>
          </w:p>
        </w:tc>
      </w:tr>
      <w:bookmarkEnd w:id="9"/>
    </w:tbl>
    <w:p w14:paraId="719D9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（二）存在的问题及原因分析</w:t>
      </w:r>
    </w:p>
    <w:p w14:paraId="11B79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bookmarkStart w:id="10" w:name="_Hlk136923104"/>
      <w:r>
        <w:rPr>
          <w:rFonts w:hint="eastAsia" w:eastAsia="仿宋"/>
          <w:sz w:val="32"/>
          <w:szCs w:val="32"/>
        </w:rPr>
        <w:t>部门整体数量指标实际完成数据信息体现不够充分，</w:t>
      </w:r>
      <w:r>
        <w:rPr>
          <w:rFonts w:hint="eastAsia" w:eastAsia="仿宋"/>
          <w:sz w:val="32"/>
          <w:szCs w:val="32"/>
          <w:lang w:eastAsia="zh-CN"/>
        </w:rPr>
        <w:t>个别项目</w:t>
      </w:r>
      <w:r>
        <w:rPr>
          <w:rFonts w:hint="eastAsia" w:eastAsia="仿宋"/>
          <w:sz w:val="32"/>
          <w:szCs w:val="32"/>
        </w:rPr>
        <w:t>预算编制精细化水平有待进一步提高</w:t>
      </w:r>
      <w:r>
        <w:rPr>
          <w:rFonts w:hint="eastAsia" w:eastAsia="仿宋"/>
          <w:sz w:val="32"/>
          <w:szCs w:val="32"/>
          <w:lang w:val="en-US" w:eastAsia="zh-CN"/>
        </w:rPr>
        <w:t>,</w:t>
      </w:r>
      <w:r>
        <w:rPr>
          <w:rFonts w:hint="eastAsia" w:eastAsia="仿宋"/>
          <w:sz w:val="32"/>
          <w:szCs w:val="32"/>
        </w:rPr>
        <w:t>个别项目绩效指标的细化量化程度不足，效益指标设置较为宏观，导致绩效目标实现程度的可衡量性较弱，不能体现项目的直接效果。</w:t>
      </w:r>
    </w:p>
    <w:bookmarkEnd w:id="10"/>
    <w:p w14:paraId="2081B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六、措施建议</w:t>
      </w:r>
    </w:p>
    <w:p w14:paraId="2B354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  <w:bookmarkStart w:id="11" w:name="_Hlk136923125"/>
      <w:r>
        <w:rPr>
          <w:rFonts w:hint="eastAsia" w:eastAsia="仿宋"/>
          <w:sz w:val="32"/>
          <w:szCs w:val="32"/>
        </w:rPr>
        <w:t>加强对部门整体数量指标完成情况的跟踪及统计分析，客观反映实际完成情况</w:t>
      </w:r>
      <w:r>
        <w:rPr>
          <w:rFonts w:hint="eastAsia" w:eastAsia="仿宋"/>
          <w:sz w:val="32"/>
          <w:szCs w:val="32"/>
          <w:lang w:val="en-US" w:eastAsia="zh-CN"/>
        </w:rPr>
        <w:t>;</w:t>
      </w:r>
      <w:r>
        <w:rPr>
          <w:rFonts w:hint="eastAsia" w:eastAsia="仿宋"/>
          <w:sz w:val="32"/>
          <w:szCs w:val="32"/>
        </w:rPr>
        <w:t>加强重点项目预算编制管理，做好项目资金需求预测，进一步提高预算编制的精细化水平</w:t>
      </w:r>
      <w:bookmarkEnd w:id="11"/>
      <w:r>
        <w:rPr>
          <w:rFonts w:hint="eastAsia" w:eastAsia="仿宋"/>
          <w:sz w:val="32"/>
          <w:szCs w:val="32"/>
          <w:lang w:val="en-US" w:eastAsia="zh-CN"/>
        </w:rPr>
        <w:t>;</w:t>
      </w:r>
      <w:r>
        <w:rPr>
          <w:rFonts w:hint="eastAsia" w:eastAsia="仿宋"/>
          <w:sz w:val="32"/>
          <w:szCs w:val="32"/>
        </w:rPr>
        <w:t>加强预算绩效目标管理，科学设定绩效目标及绩效指标，以定量为主、定性为辅，增强定性指标的可衡量性。</w:t>
      </w:r>
    </w:p>
    <w:p w14:paraId="13CCFE21">
      <w:pPr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br w:type="page"/>
      </w:r>
    </w:p>
    <w:p w14:paraId="60F09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"/>
          <w:sz w:val="32"/>
          <w:szCs w:val="32"/>
          <w:lang w:eastAsia="zh-CN"/>
        </w:rPr>
      </w:pPr>
      <w:r>
        <w:rPr>
          <w:rFonts w:hint="eastAsia" w:eastAsia="仿宋"/>
          <w:sz w:val="32"/>
          <w:szCs w:val="32"/>
          <w:lang w:eastAsia="zh-CN"/>
        </w:rPr>
        <w:t>附件：</w:t>
      </w:r>
    </w:p>
    <w:tbl>
      <w:tblPr>
        <w:tblStyle w:val="5"/>
        <w:tblpPr w:leftFromText="180" w:rightFromText="180" w:vertAnchor="text" w:horzAnchor="page" w:tblpX="1720" w:tblpY="827"/>
        <w:tblOverlap w:val="never"/>
        <w:tblW w:w="88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968"/>
        <w:gridCol w:w="1266"/>
        <w:gridCol w:w="1597"/>
        <w:gridCol w:w="1228"/>
        <w:gridCol w:w="886"/>
        <w:gridCol w:w="951"/>
      </w:tblGrid>
      <w:tr w14:paraId="49A23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81" w:hRule="atLeast"/>
        </w:trPr>
        <w:tc>
          <w:tcPr>
            <w:tcW w:w="880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A940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12"/>
                <w:rFonts w:eastAsia="等线"/>
                <w:lang w:val="en-US" w:eastAsia="zh-CN" w:bidi="ar"/>
              </w:rPr>
              <w:t>2024</w:t>
            </w:r>
            <w:r>
              <w:rPr>
                <w:rStyle w:val="13"/>
                <w:lang w:val="en-US" w:eastAsia="zh-CN" w:bidi="ar"/>
              </w:rPr>
              <w:t>年部门整体绩效评价指标体系评分表</w:t>
            </w:r>
          </w:p>
        </w:tc>
      </w:tr>
      <w:tr w14:paraId="1CC79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77502B6"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400A3D4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702E07E"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EC40393"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9DF4346"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8E2208E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FB6A973"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487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89" w:hRule="atLeast"/>
        </w:trPr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268AEEC5"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C60631D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43B62D2"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0C24658B"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47A0FA6"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6838FA8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E4AD124"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2FB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34" w:hRule="atLeast"/>
        </w:trPr>
        <w:tc>
          <w:tcPr>
            <w:tcW w:w="8800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8339660">
            <w:pPr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一、当年预算执行情况（</w:t>
            </w:r>
            <w:r>
              <w:rPr>
                <w:rStyle w:val="15"/>
                <w:rFonts w:eastAsia="等线"/>
                <w:lang w:val="en-US" w:eastAsia="zh-CN" w:bidi="ar"/>
              </w:rPr>
              <w:t>20</w:t>
            </w:r>
            <w:r>
              <w:rPr>
                <w:rStyle w:val="14"/>
                <w:lang w:val="en-US" w:eastAsia="zh-CN" w:bidi="ar"/>
              </w:rPr>
              <w:t>分）</w:t>
            </w:r>
          </w:p>
        </w:tc>
      </w:tr>
      <w:tr w14:paraId="33A33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06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一级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指标　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9B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二级指标　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C6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预算数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（万元）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BE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执行数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（万元）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A4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预算执行率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5B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分值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6E26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得分</w:t>
            </w:r>
          </w:p>
        </w:tc>
      </w:tr>
      <w:tr w14:paraId="2D349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00" w:hRule="atLeast"/>
        </w:trPr>
        <w:tc>
          <w:tcPr>
            <w:tcW w:w="1904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2C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当年预算执行情况（</w:t>
            </w:r>
            <w:r>
              <w:rPr>
                <w:rStyle w:val="17"/>
                <w:rFonts w:eastAsia="等线"/>
                <w:lang w:val="en-US" w:eastAsia="zh-CN" w:bidi="ar"/>
              </w:rPr>
              <w:t>20</w:t>
            </w:r>
            <w:r>
              <w:rPr>
                <w:rStyle w:val="16"/>
                <w:lang w:val="en-US" w:eastAsia="zh-CN" w:bidi="ar"/>
              </w:rPr>
              <w:t>）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AE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资金总体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58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3,201.45 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72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3,023.90 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46B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94.45%</w:t>
            </w:r>
          </w:p>
        </w:tc>
        <w:tc>
          <w:tcPr>
            <w:tcW w:w="8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6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9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576AF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18.89 </w:t>
            </w:r>
          </w:p>
        </w:tc>
      </w:tr>
      <w:tr w14:paraId="7DAC8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00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FB2A0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5633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基本支出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3D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2,986.45 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F8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2,816.55 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70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3AAAF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05F80B">
            <w:pPr>
              <w:jc w:val="right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A89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4CB65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7A2A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项目支出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C5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215.00 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51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207.35 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65F12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239C2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70DA58A">
            <w:pPr>
              <w:jc w:val="right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245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4E176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9E4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其他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B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-   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CA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-   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C579A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6DFA5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A570488">
            <w:pPr>
              <w:jc w:val="right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FED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800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B93A6AA">
            <w:pPr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二、整体绩效目标实现情况（</w:t>
            </w:r>
            <w:r>
              <w:rPr>
                <w:rStyle w:val="15"/>
                <w:rFonts w:eastAsia="等线"/>
                <w:lang w:val="en-US" w:eastAsia="zh-CN" w:bidi="ar"/>
              </w:rPr>
              <w:t>60</w:t>
            </w:r>
            <w:r>
              <w:rPr>
                <w:rStyle w:val="14"/>
                <w:lang w:val="en-US" w:eastAsia="zh-CN" w:bidi="ar"/>
              </w:rPr>
              <w:t>分）</w:t>
            </w:r>
          </w:p>
        </w:tc>
      </w:tr>
      <w:tr w14:paraId="17AEB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CC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一级指标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7F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二级指标　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BD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三级指标　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0F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指标值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00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完成值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0C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分值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1907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得分</w:t>
            </w:r>
          </w:p>
        </w:tc>
      </w:tr>
      <w:tr w14:paraId="5964C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1904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EA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整体绩效目标实现情况（</w:t>
            </w:r>
            <w:r>
              <w:rPr>
                <w:rStyle w:val="17"/>
                <w:rFonts w:eastAsia="等线"/>
                <w:lang w:val="en-US" w:eastAsia="zh-CN" w:bidi="ar"/>
              </w:rPr>
              <w:t>60</w:t>
            </w:r>
            <w:r>
              <w:rPr>
                <w:rStyle w:val="16"/>
                <w:lang w:val="en-US" w:eastAsia="zh-CN" w:bidi="ar"/>
              </w:rPr>
              <w:t>）</w:t>
            </w:r>
          </w:p>
        </w:tc>
        <w:tc>
          <w:tcPr>
            <w:tcW w:w="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30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产出</w:t>
            </w:r>
            <w:r>
              <w:rPr>
                <w:rStyle w:val="16"/>
                <w:lang w:val="en-US" w:eastAsia="zh-CN" w:bidi="ar"/>
              </w:rPr>
              <w:br w:type="textWrapping"/>
            </w:r>
            <w:r>
              <w:rPr>
                <w:rStyle w:val="16"/>
                <w:lang w:val="en-US" w:eastAsia="zh-CN" w:bidi="ar"/>
              </w:rPr>
              <w:t>（</w:t>
            </w:r>
            <w:r>
              <w:rPr>
                <w:rStyle w:val="17"/>
                <w:rFonts w:eastAsia="等线"/>
                <w:lang w:val="en-US" w:eastAsia="zh-CN" w:bidi="ar"/>
              </w:rPr>
              <w:t>30</w:t>
            </w:r>
            <w:r>
              <w:rPr>
                <w:rStyle w:val="16"/>
                <w:lang w:val="en-US" w:eastAsia="zh-CN" w:bidi="ar"/>
              </w:rPr>
              <w:t>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0598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数量指标</w:t>
            </w:r>
            <w:r>
              <w:rPr>
                <w:rStyle w:val="17"/>
                <w:rFonts w:eastAsia="等线"/>
                <w:lang w:val="en-US" w:eastAsia="zh-CN" w:bidi="ar"/>
              </w:rPr>
              <w:t>-</w:t>
            </w:r>
            <w:r>
              <w:rPr>
                <w:rStyle w:val="16"/>
                <w:lang w:val="en-US" w:eastAsia="zh-CN" w:bidi="ar"/>
              </w:rPr>
              <w:t>市长参阅、专题报告数量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DF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≥30篇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70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≥30篇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7B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AC32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</w:tr>
      <w:tr w14:paraId="75C30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FB877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C84E4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9E58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数量指标</w:t>
            </w:r>
            <w:r>
              <w:rPr>
                <w:rStyle w:val="17"/>
                <w:rFonts w:eastAsia="等线"/>
                <w:lang w:val="en-US" w:eastAsia="zh-CN" w:bidi="ar"/>
              </w:rPr>
              <w:t>-</w:t>
            </w:r>
            <w:r>
              <w:rPr>
                <w:rStyle w:val="16"/>
                <w:lang w:val="en-US" w:eastAsia="zh-CN" w:bidi="ar"/>
              </w:rPr>
              <w:t>完成交办的重点经济专题问题研究数量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F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≥10件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4B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≥10件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A1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4DB7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</w:tr>
      <w:tr w14:paraId="2AD13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74E7B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F5E52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3CC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数量指标</w:t>
            </w:r>
            <w:r>
              <w:rPr>
                <w:rStyle w:val="17"/>
                <w:rFonts w:eastAsia="等线"/>
                <w:lang w:val="en-US" w:eastAsia="zh-CN" w:bidi="ar"/>
              </w:rPr>
              <w:t>-</w:t>
            </w:r>
            <w:r>
              <w:rPr>
                <w:rStyle w:val="16"/>
                <w:lang w:val="en-US" w:eastAsia="zh-CN" w:bidi="ar"/>
              </w:rPr>
              <w:t>完成的文件、文稿、材料数量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20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≥800篇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CD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≥800篇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B9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514A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</w:tr>
      <w:tr w14:paraId="6331F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E7FDA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9D10D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93A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质量指标</w:t>
            </w:r>
            <w:r>
              <w:rPr>
                <w:rStyle w:val="17"/>
                <w:rFonts w:eastAsia="等线"/>
                <w:lang w:val="en-US" w:eastAsia="zh-CN" w:bidi="ar"/>
              </w:rPr>
              <w:t>-2024</w:t>
            </w:r>
            <w:r>
              <w:rPr>
                <w:rStyle w:val="16"/>
                <w:lang w:val="en-US" w:eastAsia="zh-CN" w:bidi="ar"/>
              </w:rPr>
              <w:t>年《关于全市经济社会发展工作的报告》发文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F5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定性-优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DD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按要求完成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BD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53D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</w:tr>
      <w:tr w14:paraId="7117E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01576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AB76B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B110D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质量指标</w:t>
            </w:r>
            <w:r>
              <w:rPr>
                <w:rStyle w:val="17"/>
                <w:rFonts w:eastAsia="等线"/>
                <w:lang w:val="en-US" w:eastAsia="zh-CN" w:bidi="ar"/>
              </w:rPr>
              <w:t>-</w:t>
            </w:r>
            <w:r>
              <w:rPr>
                <w:rStyle w:val="16"/>
                <w:lang w:val="en-US" w:eastAsia="zh-CN" w:bidi="ar"/>
              </w:rPr>
              <w:t>《市政府党组</w:t>
            </w:r>
            <w:r>
              <w:rPr>
                <w:rStyle w:val="17"/>
                <w:rFonts w:eastAsia="等线"/>
                <w:lang w:val="en-US" w:eastAsia="zh-CN" w:bidi="ar"/>
              </w:rPr>
              <w:t>2024</w:t>
            </w:r>
            <w:r>
              <w:rPr>
                <w:rStyle w:val="16"/>
                <w:lang w:val="en-US" w:eastAsia="zh-CN" w:bidi="ar"/>
              </w:rPr>
              <w:t>年工作总结和</w:t>
            </w:r>
            <w:r>
              <w:rPr>
                <w:rStyle w:val="17"/>
                <w:rFonts w:eastAsia="等线"/>
                <w:lang w:val="en-US" w:eastAsia="zh-CN" w:bidi="ar"/>
              </w:rPr>
              <w:t>2025</w:t>
            </w:r>
            <w:r>
              <w:rPr>
                <w:rStyle w:val="16"/>
                <w:lang w:val="en-US" w:eastAsia="zh-CN" w:bidi="ar"/>
              </w:rPr>
              <w:t>年工作安排的报告》发文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4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定性-优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1D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_GBK" w:hAnsi="方正书宋_GBK" w:eastAsia="方正书宋_GBK" w:cs="方正书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按要求完成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93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C40B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</w:tr>
      <w:tr w14:paraId="7851C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712ED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B16EF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949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质量指标</w:t>
            </w:r>
            <w:r>
              <w:rPr>
                <w:rStyle w:val="17"/>
                <w:rFonts w:eastAsia="等线"/>
                <w:lang w:val="en-US" w:eastAsia="zh-CN" w:bidi="ar"/>
              </w:rPr>
              <w:t>-2024</w:t>
            </w:r>
            <w:r>
              <w:rPr>
                <w:rStyle w:val="16"/>
                <w:lang w:val="en-US" w:eastAsia="zh-CN" w:bidi="ar"/>
              </w:rPr>
              <w:t>年《市政府党组上半年工作总结和下半年工作安排的报告》发文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96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定性-优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7F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按要求完成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6A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688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</w:tr>
      <w:tr w14:paraId="65E62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3D9A8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A51A7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D2C8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质量指标</w:t>
            </w:r>
            <w:r>
              <w:rPr>
                <w:rStyle w:val="17"/>
                <w:rFonts w:eastAsia="等线"/>
                <w:lang w:val="en-US" w:eastAsia="zh-CN" w:bidi="ar"/>
              </w:rPr>
              <w:t>-2025</w:t>
            </w:r>
            <w:r>
              <w:rPr>
                <w:rStyle w:val="16"/>
                <w:lang w:val="en-US" w:eastAsia="zh-CN" w:bidi="ar"/>
              </w:rPr>
              <w:t>年《政府工作报告》人大会通过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52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DC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30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9AA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</w:tr>
      <w:tr w14:paraId="1E813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400CA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10F76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ABDF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成本指标</w:t>
            </w:r>
            <w:r>
              <w:rPr>
                <w:rStyle w:val="17"/>
                <w:rFonts w:eastAsia="等线"/>
                <w:lang w:val="en-US" w:eastAsia="zh-CN" w:bidi="ar"/>
              </w:rPr>
              <w:t>-</w:t>
            </w:r>
            <w:r>
              <w:rPr>
                <w:rStyle w:val="16"/>
                <w:lang w:val="en-US" w:eastAsia="zh-CN" w:bidi="ar"/>
              </w:rPr>
              <w:t>项目预算成本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8B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≤3,438.225984万元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2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3323.90 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1F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9667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</w:tr>
      <w:tr w14:paraId="51CBC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60925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5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效果</w:t>
            </w:r>
            <w:r>
              <w:rPr>
                <w:rStyle w:val="16"/>
                <w:lang w:val="en-US" w:eastAsia="zh-CN" w:bidi="ar"/>
              </w:rPr>
              <w:br w:type="textWrapping"/>
            </w:r>
            <w:r>
              <w:rPr>
                <w:rStyle w:val="16"/>
                <w:lang w:val="en-US" w:eastAsia="zh-CN" w:bidi="ar"/>
              </w:rPr>
              <w:t>（</w:t>
            </w:r>
            <w:r>
              <w:rPr>
                <w:rStyle w:val="17"/>
                <w:rFonts w:eastAsia="等线"/>
                <w:lang w:val="en-US" w:eastAsia="zh-CN" w:bidi="ar"/>
              </w:rPr>
              <w:t>30</w:t>
            </w:r>
            <w:r>
              <w:rPr>
                <w:rStyle w:val="16"/>
                <w:lang w:val="en-US" w:eastAsia="zh-CN" w:bidi="ar"/>
              </w:rPr>
              <w:t>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7FE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可持续影响指标</w:t>
            </w:r>
            <w:r>
              <w:rPr>
                <w:rStyle w:val="17"/>
                <w:rFonts w:eastAsia="等线"/>
                <w:lang w:val="en-US" w:eastAsia="zh-CN" w:bidi="ar"/>
              </w:rPr>
              <w:t>-</w:t>
            </w:r>
            <w:r>
              <w:rPr>
                <w:rStyle w:val="16"/>
                <w:lang w:val="en-US" w:eastAsia="zh-CN" w:bidi="ar"/>
              </w:rPr>
              <w:t>推动经济社会发展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A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定性</w:t>
            </w:r>
            <w:r>
              <w:rPr>
                <w:rStyle w:val="17"/>
                <w:rFonts w:eastAsia="等线"/>
                <w:lang w:val="en-US" w:eastAsia="zh-CN" w:bidi="ar"/>
              </w:rPr>
              <w:t>-</w:t>
            </w:r>
            <w:r>
              <w:rPr>
                <w:rStyle w:val="16"/>
                <w:lang w:val="en-US" w:eastAsia="zh-CN" w:bidi="ar"/>
              </w:rPr>
              <w:t>好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9A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达到预期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54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5C40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12.50 </w:t>
            </w:r>
          </w:p>
        </w:tc>
      </w:tr>
      <w:tr w14:paraId="10C69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34B95E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6ADA3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DD7B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服务对象满意度指标</w:t>
            </w:r>
            <w:r>
              <w:rPr>
                <w:rStyle w:val="17"/>
                <w:rFonts w:eastAsia="等线"/>
                <w:lang w:val="en-US" w:eastAsia="zh-CN" w:bidi="ar"/>
              </w:rPr>
              <w:t>-</w:t>
            </w:r>
            <w:r>
              <w:rPr>
                <w:rStyle w:val="16"/>
                <w:lang w:val="en-US" w:eastAsia="zh-CN" w:bidi="ar"/>
              </w:rPr>
              <w:t>相关人员的满意度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9C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定性</w:t>
            </w:r>
            <w:r>
              <w:rPr>
                <w:rStyle w:val="17"/>
                <w:rFonts w:eastAsia="等线"/>
                <w:lang w:val="en-US" w:eastAsia="zh-CN" w:bidi="ar"/>
              </w:rPr>
              <w:t>-</w:t>
            </w:r>
            <w:r>
              <w:rPr>
                <w:rStyle w:val="16"/>
                <w:lang w:val="en-US" w:eastAsia="zh-CN" w:bidi="ar"/>
              </w:rPr>
              <w:t>好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94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达到预期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01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D785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14.50 </w:t>
            </w:r>
          </w:p>
        </w:tc>
      </w:tr>
      <w:tr w14:paraId="6DF74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800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63EAD76">
            <w:pPr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三、预算管理情况（</w:t>
            </w:r>
            <w:r>
              <w:rPr>
                <w:rStyle w:val="15"/>
                <w:rFonts w:eastAsia="等线"/>
                <w:lang w:val="en-US" w:eastAsia="zh-CN" w:bidi="ar"/>
              </w:rPr>
              <w:t>20</w:t>
            </w:r>
            <w:r>
              <w:rPr>
                <w:rStyle w:val="14"/>
                <w:lang w:val="en-US" w:eastAsia="zh-CN" w:bidi="ar"/>
              </w:rPr>
              <w:t>分）</w:t>
            </w:r>
          </w:p>
        </w:tc>
      </w:tr>
      <w:tr w14:paraId="2C0DE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EB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一级指标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C5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二级指标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D4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三级指标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2E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指标值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8B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完成值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69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分值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6F7F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得分</w:t>
            </w:r>
          </w:p>
        </w:tc>
      </w:tr>
      <w:tr w14:paraId="69C56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904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B1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预算管理情况（</w:t>
            </w:r>
            <w:r>
              <w:rPr>
                <w:rStyle w:val="17"/>
                <w:rFonts w:eastAsia="等线"/>
                <w:lang w:val="en-US" w:eastAsia="zh-CN" w:bidi="ar"/>
              </w:rPr>
              <w:t>20</w:t>
            </w:r>
            <w:r>
              <w:rPr>
                <w:rStyle w:val="16"/>
                <w:lang w:val="en-US" w:eastAsia="zh-CN" w:bidi="ar"/>
              </w:rPr>
              <w:t>）</w:t>
            </w:r>
          </w:p>
        </w:tc>
        <w:tc>
          <w:tcPr>
            <w:tcW w:w="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E5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财务管理</w:t>
            </w:r>
            <w:r>
              <w:rPr>
                <w:rStyle w:val="16"/>
                <w:lang w:val="en-US" w:eastAsia="zh-CN" w:bidi="ar"/>
              </w:rPr>
              <w:br w:type="textWrapping"/>
            </w:r>
            <w:r>
              <w:rPr>
                <w:rStyle w:val="16"/>
                <w:lang w:val="en-US" w:eastAsia="zh-CN" w:bidi="ar"/>
              </w:rPr>
              <w:t>（</w:t>
            </w:r>
            <w:r>
              <w:rPr>
                <w:rStyle w:val="17"/>
                <w:rFonts w:eastAsia="等线"/>
                <w:lang w:val="en-US" w:eastAsia="zh-CN" w:bidi="ar"/>
              </w:rPr>
              <w:t>4</w:t>
            </w:r>
            <w:r>
              <w:rPr>
                <w:rStyle w:val="16"/>
                <w:lang w:val="en-US" w:eastAsia="zh-CN" w:bidi="ar"/>
              </w:rPr>
              <w:t>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0D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财务管理制度健全性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8D3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健全有效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9F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财务管理制度健全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99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0CC3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</w:tr>
      <w:tr w14:paraId="41CAE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CEEA9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3BBFD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63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资金使用合规性和安全性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489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合规、安全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E815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严格遵守国家财经法规和财务管理制度规定，资金使用合规、安全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66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E00D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2.00 </w:t>
            </w:r>
          </w:p>
        </w:tc>
      </w:tr>
      <w:tr w14:paraId="00B82C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357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497F9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D6B0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BC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会计基础信息完善性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ECF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完善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9BC1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基础数据信息和会计信息资料真实、完整、准确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4A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B9AA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</w:tr>
      <w:tr w14:paraId="7FBDC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9BE5C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2A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资产管理</w:t>
            </w:r>
            <w:r>
              <w:rPr>
                <w:rStyle w:val="16"/>
                <w:lang w:val="en-US" w:eastAsia="zh-CN" w:bidi="ar"/>
              </w:rPr>
              <w:br w:type="textWrapping"/>
            </w:r>
            <w:r>
              <w:rPr>
                <w:rStyle w:val="16"/>
                <w:lang w:val="en-US" w:eastAsia="zh-CN" w:bidi="ar"/>
              </w:rPr>
              <w:t>（</w:t>
            </w:r>
            <w:r>
              <w:rPr>
                <w:rStyle w:val="17"/>
                <w:rFonts w:eastAsia="等线"/>
                <w:lang w:val="en-US" w:eastAsia="zh-CN" w:bidi="ar"/>
              </w:rPr>
              <w:t>4</w:t>
            </w:r>
            <w:r>
              <w:rPr>
                <w:rStyle w:val="16"/>
                <w:lang w:val="en-US" w:eastAsia="zh-CN" w:bidi="ar"/>
              </w:rPr>
              <w:t>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44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资产管理规范性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095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规范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81A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资产管理保持安全完整、合理配置、规范处置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06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19D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</w:tr>
      <w:tr w14:paraId="793CB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29092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37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绩效管理</w:t>
            </w:r>
            <w:r>
              <w:rPr>
                <w:rStyle w:val="16"/>
                <w:lang w:val="en-US" w:eastAsia="zh-CN" w:bidi="ar"/>
              </w:rPr>
              <w:br w:type="textWrapping"/>
            </w:r>
            <w:r>
              <w:rPr>
                <w:rStyle w:val="16"/>
                <w:lang w:val="en-US" w:eastAsia="zh-CN" w:bidi="ar"/>
              </w:rPr>
              <w:t>（</w:t>
            </w:r>
            <w:r>
              <w:rPr>
                <w:rStyle w:val="17"/>
                <w:rFonts w:eastAsia="等线"/>
                <w:lang w:val="en-US" w:eastAsia="zh-CN" w:bidi="ar"/>
              </w:rPr>
              <w:t>4</w:t>
            </w:r>
            <w:r>
              <w:rPr>
                <w:rStyle w:val="16"/>
                <w:lang w:val="en-US" w:eastAsia="zh-CN" w:bidi="ar"/>
              </w:rPr>
              <w:t>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3B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绩效管理情况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516A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绩效管理规范、高效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2D2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绩效信息汇总分析整理、矫正偏差较为及时、有效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2B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0200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3.50 </w:t>
            </w:r>
          </w:p>
        </w:tc>
      </w:tr>
      <w:tr w14:paraId="26D93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8753E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87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指标　</w:t>
            </w:r>
          </w:p>
        </w:tc>
        <w:tc>
          <w:tcPr>
            <w:tcW w:w="28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5C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5"/>
                <w:rFonts w:eastAsia="等线"/>
                <w:lang w:val="en-US" w:eastAsia="zh-CN" w:bidi="ar"/>
              </w:rPr>
              <w:t>2023</w:t>
            </w:r>
            <w:r>
              <w:rPr>
                <w:rStyle w:val="14"/>
                <w:lang w:val="en-US" w:eastAsia="zh-CN" w:bidi="ar"/>
              </w:rPr>
              <w:t>年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1A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5"/>
                <w:rFonts w:eastAsia="等线"/>
                <w:lang w:val="en-US" w:eastAsia="zh-CN" w:bidi="ar"/>
              </w:rPr>
              <w:t>2024</w:t>
            </w:r>
            <w:r>
              <w:rPr>
                <w:rStyle w:val="14"/>
                <w:lang w:val="en-US" w:eastAsia="zh-CN" w:bidi="ar"/>
              </w:rPr>
              <w:t>年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C4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分值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ACBF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得分</w:t>
            </w:r>
          </w:p>
        </w:tc>
      </w:tr>
      <w:tr w14:paraId="4D7DF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F8BE6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A0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结转结余率</w:t>
            </w:r>
            <w:r>
              <w:rPr>
                <w:rStyle w:val="16"/>
                <w:lang w:val="en-US" w:eastAsia="zh-CN" w:bidi="ar"/>
              </w:rPr>
              <w:br w:type="textWrapping"/>
            </w:r>
            <w:r>
              <w:rPr>
                <w:rStyle w:val="16"/>
                <w:lang w:val="en-US" w:eastAsia="zh-CN" w:bidi="ar"/>
              </w:rPr>
              <w:t>（</w:t>
            </w:r>
            <w:r>
              <w:rPr>
                <w:rStyle w:val="17"/>
                <w:rFonts w:eastAsia="等线"/>
                <w:lang w:val="en-US" w:eastAsia="zh-CN" w:bidi="ar"/>
              </w:rPr>
              <w:t>4</w:t>
            </w:r>
            <w:r>
              <w:rPr>
                <w:rStyle w:val="16"/>
                <w:lang w:val="en-US" w:eastAsia="zh-CN" w:bidi="ar"/>
              </w:rPr>
              <w:t>）</w:t>
            </w:r>
          </w:p>
        </w:tc>
        <w:tc>
          <w:tcPr>
            <w:tcW w:w="286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80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7.72%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97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5.55%</w:t>
            </w:r>
          </w:p>
        </w:tc>
        <w:tc>
          <w:tcPr>
            <w:tcW w:w="8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C5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615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</w:tr>
      <w:tr w14:paraId="155EC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5D38F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42F92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932C1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83D26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4FA5A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380F581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BF7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190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7AB51">
            <w:pPr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F8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6"/>
                <w:lang w:val="en-US" w:eastAsia="zh-CN" w:bidi="ar"/>
              </w:rPr>
              <w:t>部门预决算</w:t>
            </w:r>
            <w:r>
              <w:rPr>
                <w:rStyle w:val="16"/>
                <w:lang w:val="en-US" w:eastAsia="zh-CN" w:bidi="ar"/>
              </w:rPr>
              <w:br w:type="textWrapping"/>
            </w:r>
            <w:r>
              <w:rPr>
                <w:rStyle w:val="16"/>
                <w:lang w:val="en-US" w:eastAsia="zh-CN" w:bidi="ar"/>
              </w:rPr>
              <w:t>差异率</w:t>
            </w:r>
            <w:r>
              <w:rPr>
                <w:rStyle w:val="16"/>
                <w:lang w:val="en-US" w:eastAsia="zh-CN" w:bidi="ar"/>
              </w:rPr>
              <w:br w:type="textWrapping"/>
            </w:r>
            <w:r>
              <w:rPr>
                <w:rStyle w:val="16"/>
                <w:lang w:val="en-US" w:eastAsia="zh-CN" w:bidi="ar"/>
              </w:rPr>
              <w:t>（</w:t>
            </w:r>
            <w:r>
              <w:rPr>
                <w:rStyle w:val="17"/>
                <w:rFonts w:eastAsia="等线"/>
                <w:lang w:val="en-US" w:eastAsia="zh-CN" w:bidi="ar"/>
              </w:rPr>
              <w:t>4</w:t>
            </w:r>
            <w:r>
              <w:rPr>
                <w:rStyle w:val="16"/>
                <w:lang w:val="en-US" w:eastAsia="zh-CN" w:bidi="ar"/>
              </w:rPr>
              <w:t>）</w:t>
            </w:r>
          </w:p>
        </w:tc>
        <w:tc>
          <w:tcPr>
            <w:tcW w:w="28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B6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7.72%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72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5.55%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F4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497F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</w:tr>
      <w:tr w14:paraId="43622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6963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378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4"/>
                <w:lang w:val="en-US" w:eastAsia="zh-CN" w:bidi="ar"/>
              </w:rPr>
              <w:t>合计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C6CC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FA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95.39 </w:t>
            </w:r>
          </w:p>
        </w:tc>
      </w:tr>
    </w:tbl>
    <w:p w14:paraId="5AF5A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/>
        <w:jc w:val="both"/>
        <w:textAlignment w:val="auto"/>
        <w:outlineLvl w:val="9"/>
        <w:rPr>
          <w:rFonts w:hint="eastAsia" w:eastAsia="仿宋"/>
          <w:sz w:val="32"/>
          <w:szCs w:val="32"/>
        </w:rPr>
      </w:pPr>
    </w:p>
    <w:sectPr>
      <w:footerReference r:id="rId3" w:type="default"/>
      <w:pgSz w:w="11906" w:h="16838"/>
      <w:pgMar w:top="2268" w:right="1984" w:bottom="2268" w:left="1984" w:header="851" w:footer="850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 Light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EndPr>
      <w:rPr>
        <w:sz w:val="21"/>
        <w:szCs w:val="21"/>
      </w:rPr>
    </w:sdtEndPr>
    <w:sdtContent>
      <w:p w14:paraId="417811CE">
        <w:pPr>
          <w:pStyle w:val="3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2</w:t>
        </w:r>
        <w:r>
          <w:rPr>
            <w:sz w:val="21"/>
            <w:szCs w:val="21"/>
          </w:rPr>
          <w:fldChar w:fldCharType="end"/>
        </w:r>
      </w:p>
    </w:sdtContent>
  </w:sdt>
  <w:p w14:paraId="2562572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B00"/>
    <w:rsid w:val="00001FF7"/>
    <w:rsid w:val="000060C6"/>
    <w:rsid w:val="00013084"/>
    <w:rsid w:val="00031B27"/>
    <w:rsid w:val="00042A4B"/>
    <w:rsid w:val="00065BF6"/>
    <w:rsid w:val="0008038F"/>
    <w:rsid w:val="000A5C4C"/>
    <w:rsid w:val="000B5A09"/>
    <w:rsid w:val="000C2530"/>
    <w:rsid w:val="000D78AC"/>
    <w:rsid w:val="000F2DE9"/>
    <w:rsid w:val="00104A53"/>
    <w:rsid w:val="0014040E"/>
    <w:rsid w:val="001563B6"/>
    <w:rsid w:val="00175F1B"/>
    <w:rsid w:val="00180ED5"/>
    <w:rsid w:val="00184EDA"/>
    <w:rsid w:val="0018631D"/>
    <w:rsid w:val="001870C2"/>
    <w:rsid w:val="001930B4"/>
    <w:rsid w:val="00197F2E"/>
    <w:rsid w:val="001B48EA"/>
    <w:rsid w:val="001C1FB1"/>
    <w:rsid w:val="001D65A2"/>
    <w:rsid w:val="001F40FD"/>
    <w:rsid w:val="00203C44"/>
    <w:rsid w:val="00205EA0"/>
    <w:rsid w:val="00213EA3"/>
    <w:rsid w:val="00217F61"/>
    <w:rsid w:val="0023717F"/>
    <w:rsid w:val="00276E69"/>
    <w:rsid w:val="00290473"/>
    <w:rsid w:val="00296A3C"/>
    <w:rsid w:val="0029732B"/>
    <w:rsid w:val="002A6C4A"/>
    <w:rsid w:val="002B4287"/>
    <w:rsid w:val="002E727D"/>
    <w:rsid w:val="002F0D98"/>
    <w:rsid w:val="0030247A"/>
    <w:rsid w:val="0030522B"/>
    <w:rsid w:val="00305B4A"/>
    <w:rsid w:val="00310502"/>
    <w:rsid w:val="0031154D"/>
    <w:rsid w:val="003116C1"/>
    <w:rsid w:val="0032181F"/>
    <w:rsid w:val="00332A4A"/>
    <w:rsid w:val="00337448"/>
    <w:rsid w:val="003504E4"/>
    <w:rsid w:val="00352CB9"/>
    <w:rsid w:val="003625AB"/>
    <w:rsid w:val="00383DBA"/>
    <w:rsid w:val="00384AB7"/>
    <w:rsid w:val="003923CF"/>
    <w:rsid w:val="0039312B"/>
    <w:rsid w:val="00393499"/>
    <w:rsid w:val="00397D88"/>
    <w:rsid w:val="003C4F20"/>
    <w:rsid w:val="003D1363"/>
    <w:rsid w:val="003D2FC2"/>
    <w:rsid w:val="003E31C6"/>
    <w:rsid w:val="003E402C"/>
    <w:rsid w:val="003F0C00"/>
    <w:rsid w:val="00411840"/>
    <w:rsid w:val="004302AB"/>
    <w:rsid w:val="00445920"/>
    <w:rsid w:val="0045046D"/>
    <w:rsid w:val="0045336D"/>
    <w:rsid w:val="00466161"/>
    <w:rsid w:val="0047374D"/>
    <w:rsid w:val="00474F77"/>
    <w:rsid w:val="00475834"/>
    <w:rsid w:val="00477502"/>
    <w:rsid w:val="004805DD"/>
    <w:rsid w:val="004A5EBC"/>
    <w:rsid w:val="004B0BD8"/>
    <w:rsid w:val="004D5045"/>
    <w:rsid w:val="004E2FE9"/>
    <w:rsid w:val="004E3EFB"/>
    <w:rsid w:val="004E442B"/>
    <w:rsid w:val="004E4444"/>
    <w:rsid w:val="004F261B"/>
    <w:rsid w:val="004F33BB"/>
    <w:rsid w:val="004F600F"/>
    <w:rsid w:val="00503404"/>
    <w:rsid w:val="0052627B"/>
    <w:rsid w:val="00527764"/>
    <w:rsid w:val="00530BB8"/>
    <w:rsid w:val="00574EA9"/>
    <w:rsid w:val="00586BCC"/>
    <w:rsid w:val="005A66D3"/>
    <w:rsid w:val="005C6420"/>
    <w:rsid w:val="005E0643"/>
    <w:rsid w:val="005F0905"/>
    <w:rsid w:val="006065B6"/>
    <w:rsid w:val="00615D96"/>
    <w:rsid w:val="0064627F"/>
    <w:rsid w:val="0065388D"/>
    <w:rsid w:val="006741FF"/>
    <w:rsid w:val="00683C1B"/>
    <w:rsid w:val="00684C55"/>
    <w:rsid w:val="006916FB"/>
    <w:rsid w:val="00692978"/>
    <w:rsid w:val="006A0655"/>
    <w:rsid w:val="006C242A"/>
    <w:rsid w:val="006C28D6"/>
    <w:rsid w:val="006C7430"/>
    <w:rsid w:val="006C7B37"/>
    <w:rsid w:val="006E14C4"/>
    <w:rsid w:val="006F4DA2"/>
    <w:rsid w:val="00716A17"/>
    <w:rsid w:val="007178D3"/>
    <w:rsid w:val="00745D25"/>
    <w:rsid w:val="00752134"/>
    <w:rsid w:val="007721AB"/>
    <w:rsid w:val="0077278A"/>
    <w:rsid w:val="00780C08"/>
    <w:rsid w:val="00783277"/>
    <w:rsid w:val="00784175"/>
    <w:rsid w:val="00795E53"/>
    <w:rsid w:val="007A2F87"/>
    <w:rsid w:val="007C2B00"/>
    <w:rsid w:val="007D754A"/>
    <w:rsid w:val="007F33DB"/>
    <w:rsid w:val="008005F7"/>
    <w:rsid w:val="00806221"/>
    <w:rsid w:val="00833A8C"/>
    <w:rsid w:val="00836CEC"/>
    <w:rsid w:val="00850464"/>
    <w:rsid w:val="0085431F"/>
    <w:rsid w:val="008627A7"/>
    <w:rsid w:val="00876081"/>
    <w:rsid w:val="008768D4"/>
    <w:rsid w:val="00880D54"/>
    <w:rsid w:val="00880E4E"/>
    <w:rsid w:val="008816F5"/>
    <w:rsid w:val="008A1CBD"/>
    <w:rsid w:val="008A668F"/>
    <w:rsid w:val="008C0786"/>
    <w:rsid w:val="008D0F8D"/>
    <w:rsid w:val="008D7D3D"/>
    <w:rsid w:val="008F5D8B"/>
    <w:rsid w:val="00903847"/>
    <w:rsid w:val="0091107E"/>
    <w:rsid w:val="009144C0"/>
    <w:rsid w:val="009149CA"/>
    <w:rsid w:val="00916FEF"/>
    <w:rsid w:val="00924D04"/>
    <w:rsid w:val="00934AAE"/>
    <w:rsid w:val="00942DB9"/>
    <w:rsid w:val="00947739"/>
    <w:rsid w:val="0095675A"/>
    <w:rsid w:val="0096445A"/>
    <w:rsid w:val="00964D35"/>
    <w:rsid w:val="00980E25"/>
    <w:rsid w:val="00983072"/>
    <w:rsid w:val="00983795"/>
    <w:rsid w:val="00991676"/>
    <w:rsid w:val="0099774C"/>
    <w:rsid w:val="009A4073"/>
    <w:rsid w:val="009A5AF4"/>
    <w:rsid w:val="009A5F8C"/>
    <w:rsid w:val="009A7C7C"/>
    <w:rsid w:val="009C305C"/>
    <w:rsid w:val="009D0410"/>
    <w:rsid w:val="009D2E3F"/>
    <w:rsid w:val="009F1267"/>
    <w:rsid w:val="009F5E2F"/>
    <w:rsid w:val="00A01C89"/>
    <w:rsid w:val="00A065F2"/>
    <w:rsid w:val="00A222CE"/>
    <w:rsid w:val="00A235F8"/>
    <w:rsid w:val="00A33A03"/>
    <w:rsid w:val="00A34A3B"/>
    <w:rsid w:val="00A42EBB"/>
    <w:rsid w:val="00A4372B"/>
    <w:rsid w:val="00A453C4"/>
    <w:rsid w:val="00A50A92"/>
    <w:rsid w:val="00A5390B"/>
    <w:rsid w:val="00A6125F"/>
    <w:rsid w:val="00A80BB2"/>
    <w:rsid w:val="00AA1665"/>
    <w:rsid w:val="00AA5AAC"/>
    <w:rsid w:val="00AA7D0A"/>
    <w:rsid w:val="00AF0AB0"/>
    <w:rsid w:val="00AF421D"/>
    <w:rsid w:val="00B20F71"/>
    <w:rsid w:val="00B34125"/>
    <w:rsid w:val="00B34601"/>
    <w:rsid w:val="00B34F03"/>
    <w:rsid w:val="00B35455"/>
    <w:rsid w:val="00B441A9"/>
    <w:rsid w:val="00B55AF9"/>
    <w:rsid w:val="00B80644"/>
    <w:rsid w:val="00B86E62"/>
    <w:rsid w:val="00B93600"/>
    <w:rsid w:val="00BA0F74"/>
    <w:rsid w:val="00BA27A4"/>
    <w:rsid w:val="00BB333B"/>
    <w:rsid w:val="00C1025F"/>
    <w:rsid w:val="00C117F2"/>
    <w:rsid w:val="00C1606C"/>
    <w:rsid w:val="00C21CCA"/>
    <w:rsid w:val="00C35CAF"/>
    <w:rsid w:val="00C5161E"/>
    <w:rsid w:val="00C51CE3"/>
    <w:rsid w:val="00C60F42"/>
    <w:rsid w:val="00C62842"/>
    <w:rsid w:val="00C67971"/>
    <w:rsid w:val="00C70C6A"/>
    <w:rsid w:val="00C805BE"/>
    <w:rsid w:val="00C87A66"/>
    <w:rsid w:val="00CA2AA1"/>
    <w:rsid w:val="00CA2EED"/>
    <w:rsid w:val="00CB22DC"/>
    <w:rsid w:val="00CC1B49"/>
    <w:rsid w:val="00CD6F0D"/>
    <w:rsid w:val="00CD7027"/>
    <w:rsid w:val="00CE7DA8"/>
    <w:rsid w:val="00CF5BB4"/>
    <w:rsid w:val="00D12E12"/>
    <w:rsid w:val="00D23EDC"/>
    <w:rsid w:val="00D3752D"/>
    <w:rsid w:val="00D45DF4"/>
    <w:rsid w:val="00D4605B"/>
    <w:rsid w:val="00D466C1"/>
    <w:rsid w:val="00D478AF"/>
    <w:rsid w:val="00D606A8"/>
    <w:rsid w:val="00D8307B"/>
    <w:rsid w:val="00D90328"/>
    <w:rsid w:val="00DA6A23"/>
    <w:rsid w:val="00DC7A5B"/>
    <w:rsid w:val="00DE131E"/>
    <w:rsid w:val="00DE7B29"/>
    <w:rsid w:val="00E00E69"/>
    <w:rsid w:val="00E047A0"/>
    <w:rsid w:val="00E04846"/>
    <w:rsid w:val="00E12187"/>
    <w:rsid w:val="00E16D35"/>
    <w:rsid w:val="00E2368F"/>
    <w:rsid w:val="00E3124B"/>
    <w:rsid w:val="00E51940"/>
    <w:rsid w:val="00E5448A"/>
    <w:rsid w:val="00E55D51"/>
    <w:rsid w:val="00E606C2"/>
    <w:rsid w:val="00E62E96"/>
    <w:rsid w:val="00E63C48"/>
    <w:rsid w:val="00E6547D"/>
    <w:rsid w:val="00E748F0"/>
    <w:rsid w:val="00E74E72"/>
    <w:rsid w:val="00E75C99"/>
    <w:rsid w:val="00E925FD"/>
    <w:rsid w:val="00EA1639"/>
    <w:rsid w:val="00EA3C50"/>
    <w:rsid w:val="00EA4794"/>
    <w:rsid w:val="00EA57F6"/>
    <w:rsid w:val="00EA5DB3"/>
    <w:rsid w:val="00EC4721"/>
    <w:rsid w:val="00EC7C5D"/>
    <w:rsid w:val="00EE32F9"/>
    <w:rsid w:val="00EE38FB"/>
    <w:rsid w:val="00EF5966"/>
    <w:rsid w:val="00F25EF4"/>
    <w:rsid w:val="00F271A9"/>
    <w:rsid w:val="00F6269F"/>
    <w:rsid w:val="00F7133C"/>
    <w:rsid w:val="00F759B7"/>
    <w:rsid w:val="00F82457"/>
    <w:rsid w:val="00F82B73"/>
    <w:rsid w:val="00F9240E"/>
    <w:rsid w:val="00F95B32"/>
    <w:rsid w:val="00FA393B"/>
    <w:rsid w:val="00FA7C28"/>
    <w:rsid w:val="00FB0BA9"/>
    <w:rsid w:val="00FC7A54"/>
    <w:rsid w:val="00FD0AF0"/>
    <w:rsid w:val="00FF4963"/>
    <w:rsid w:val="00FF6472"/>
    <w:rsid w:val="0E977760"/>
    <w:rsid w:val="11357536"/>
    <w:rsid w:val="19662033"/>
    <w:rsid w:val="1B0714EA"/>
    <w:rsid w:val="1F7C251E"/>
    <w:rsid w:val="20682F03"/>
    <w:rsid w:val="28413F81"/>
    <w:rsid w:val="31313D8C"/>
    <w:rsid w:val="32DF5CF8"/>
    <w:rsid w:val="355C6FAD"/>
    <w:rsid w:val="36DE134F"/>
    <w:rsid w:val="37665929"/>
    <w:rsid w:val="3A700343"/>
    <w:rsid w:val="3BDD568F"/>
    <w:rsid w:val="3E3FB504"/>
    <w:rsid w:val="3EB389DA"/>
    <w:rsid w:val="3EF4130A"/>
    <w:rsid w:val="3FFDC2CD"/>
    <w:rsid w:val="40C350B5"/>
    <w:rsid w:val="48DE470C"/>
    <w:rsid w:val="4B2E32B6"/>
    <w:rsid w:val="5118288C"/>
    <w:rsid w:val="52B612ED"/>
    <w:rsid w:val="57EBF764"/>
    <w:rsid w:val="598F3B3D"/>
    <w:rsid w:val="5C2D0F92"/>
    <w:rsid w:val="5F494D80"/>
    <w:rsid w:val="64A61D24"/>
    <w:rsid w:val="64C25089"/>
    <w:rsid w:val="6B0A5667"/>
    <w:rsid w:val="6FFA7F7C"/>
    <w:rsid w:val="71F7D630"/>
    <w:rsid w:val="76F76310"/>
    <w:rsid w:val="77FF1859"/>
    <w:rsid w:val="7BEFF642"/>
    <w:rsid w:val="7E652E28"/>
    <w:rsid w:val="7FB7CEE6"/>
    <w:rsid w:val="7FEDF754"/>
    <w:rsid w:val="9BDF97ED"/>
    <w:rsid w:val="D6EFBE7C"/>
    <w:rsid w:val="DDFEDD85"/>
    <w:rsid w:val="E995F307"/>
    <w:rsid w:val="F23F420E"/>
    <w:rsid w:val="F5D7EDD0"/>
    <w:rsid w:val="F8D70FA1"/>
    <w:rsid w:val="F9AF6648"/>
    <w:rsid w:val="FEB932F4"/>
    <w:rsid w:val="FF6BE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0" w:beforeAutospacing="1" w:after="100" w:afterAutospacing="1"/>
      <w:outlineLvl w:val="1"/>
    </w:pPr>
    <w:rPr>
      <w:rFonts w:ascii="Cambria" w:hAnsi="Cambria" w:eastAsia="黑体" w:cs="Times New Roman"/>
      <w:b/>
      <w:bCs/>
      <w:kern w:val="0"/>
      <w:sz w:val="36"/>
      <w:szCs w:val="32"/>
      <w:lang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51"/>
    <w:basedOn w:val="7"/>
    <w:qFormat/>
    <w:uiPriority w:val="0"/>
    <w:rPr>
      <w:rFonts w:hint="default" w:ascii="Times New Roman" w:hAnsi="Times New Roman" w:cs="Times New Roman"/>
      <w:b/>
      <w:color w:val="000000"/>
      <w:sz w:val="32"/>
      <w:szCs w:val="32"/>
      <w:u w:val="none"/>
    </w:rPr>
  </w:style>
  <w:style w:type="character" w:customStyle="1" w:styleId="13">
    <w:name w:val="font61"/>
    <w:basedOn w:val="7"/>
    <w:qFormat/>
    <w:uiPriority w:val="0"/>
    <w:rPr>
      <w:rFonts w:ascii="微软雅黑 Light" w:hAnsi="微软雅黑 Light" w:eastAsia="微软雅黑 Light" w:cs="微软雅黑 Light"/>
      <w:b/>
      <w:color w:val="000000"/>
      <w:sz w:val="32"/>
      <w:szCs w:val="32"/>
      <w:u w:val="none"/>
    </w:rPr>
  </w:style>
  <w:style w:type="character" w:customStyle="1" w:styleId="14">
    <w:name w:val="font91"/>
    <w:basedOn w:val="7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5">
    <w:name w:val="font21"/>
    <w:basedOn w:val="7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16">
    <w:name w:val="font1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7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687</Words>
  <Characters>3921</Characters>
  <Lines>32</Lines>
  <Paragraphs>9</Paragraphs>
  <TotalTime>3</TotalTime>
  <ScaleCrop>false</ScaleCrop>
  <LinksUpToDate>false</LinksUpToDate>
  <CharactersWithSpaces>4599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2022-05-10T22:33:00Z</dcterms:created>
  <dc:creator>Panyingkai</dc:creator>
  <cp:lastModifiedBy>yjs</cp:lastModifiedBy>
  <cp:lastPrinted>2025-06-13T19:22:00Z</cp:lastPrinted>
  <dcterms:modified xsi:type="dcterms:W3CDTF">2025-08-27T09:53:57Z</dcterms:modified>
  <cp:revision>179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16FE27F778B427B60CB64666F09AF31F</vt:lpwstr>
  </property>
</Properties>
</file>