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DAB4F2">
      <w:pPr>
        <w:spacing w:line="360" w:lineRule="auto"/>
        <w:ind w:firstLine="883"/>
        <w:jc w:val="center"/>
        <w:outlineLvl w:val="0"/>
        <w:rPr>
          <w:rFonts w:cs="黑体" w:asciiTheme="majorEastAsia" w:hAnsiTheme="majorEastAsia" w:eastAsiaTheme="majorEastAsia"/>
          <w:b/>
          <w:bCs/>
          <w:sz w:val="44"/>
          <w:szCs w:val="44"/>
        </w:rPr>
      </w:pPr>
      <w:bookmarkStart w:id="0" w:name="_Toc13966"/>
      <w:bookmarkStart w:id="1" w:name="_Toc16254"/>
      <w:bookmarkStart w:id="2" w:name="_Toc8629"/>
      <w:bookmarkStart w:id="3" w:name="_Toc4180"/>
      <w:r>
        <w:rPr>
          <w:rFonts w:hint="eastAsia" w:cs="黑体" w:asciiTheme="majorEastAsia" w:hAnsiTheme="majorEastAsia" w:eastAsiaTheme="majorEastAsia"/>
          <w:b/>
          <w:bCs/>
          <w:sz w:val="44"/>
          <w:szCs w:val="44"/>
        </w:rPr>
        <w:t>北京市社会科学院</w:t>
      </w:r>
      <w:bookmarkEnd w:id="0"/>
    </w:p>
    <w:p w14:paraId="215BD454">
      <w:pPr>
        <w:spacing w:line="360" w:lineRule="auto"/>
        <w:ind w:firstLine="883"/>
        <w:jc w:val="center"/>
        <w:outlineLvl w:val="0"/>
        <w:rPr>
          <w:rFonts w:cs="黑体" w:asciiTheme="majorEastAsia" w:hAnsiTheme="majorEastAsia" w:eastAsiaTheme="majorEastAsia"/>
          <w:b/>
          <w:bCs/>
          <w:sz w:val="44"/>
          <w:szCs w:val="44"/>
        </w:rPr>
      </w:pPr>
      <w:r>
        <w:rPr>
          <w:rFonts w:hint="eastAsia" w:cs="黑体" w:asciiTheme="majorEastAsia" w:hAnsiTheme="majorEastAsia" w:eastAsiaTheme="majorEastAsia"/>
          <w:b/>
          <w:bCs/>
          <w:sz w:val="44"/>
          <w:szCs w:val="44"/>
        </w:rPr>
        <w:t>2024年度部门整体绩效评价报告</w:t>
      </w:r>
      <w:bookmarkEnd w:id="1"/>
      <w:bookmarkEnd w:id="2"/>
      <w:bookmarkEnd w:id="3"/>
    </w:p>
    <w:p w14:paraId="6C9C087A">
      <w:pPr>
        <w:jc w:val="center"/>
        <w:rPr>
          <w:rFonts w:ascii="仿宋_GB2312"/>
          <w:szCs w:val="30"/>
        </w:rPr>
      </w:pPr>
    </w:p>
    <w:p w14:paraId="31E4F888">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为全面实施预算绩效管理，切实增强部门支出责任和效率意识，提升财政资金使用效率和政府部门管理水平，依据《中共北京市委 北京市人民政府关于全面实施预算绩效管理的实施意见》《北京市项目支出绩效评价管理办法》等文件规定，北京市社会科学院成立了绩效评价工作组，开展部门整体绩效评价，并形成部门整体绩效评价报告。</w:t>
      </w:r>
    </w:p>
    <w:p w14:paraId="275F6A97">
      <w:pPr>
        <w:spacing w:line="360" w:lineRule="auto"/>
        <w:ind w:firstLine="640" w:firstLineChars="200"/>
        <w:outlineLvl w:val="0"/>
        <w:rPr>
          <w:rFonts w:ascii="仿宋_GB2312" w:hAnsi="仿宋_GB2312" w:eastAsia="仿宋_GB2312" w:cs="仿宋_GB2312"/>
          <w:color w:val="000000"/>
          <w:kern w:val="0"/>
          <w:sz w:val="32"/>
          <w:szCs w:val="32"/>
        </w:rPr>
      </w:pPr>
      <w:bookmarkStart w:id="4" w:name="_Toc10778"/>
      <w:r>
        <w:rPr>
          <w:rFonts w:hint="eastAsia" w:ascii="仿宋_GB2312" w:hAnsi="仿宋_GB2312" w:eastAsia="仿宋_GB2312" w:cs="仿宋_GB2312"/>
          <w:color w:val="000000"/>
          <w:kern w:val="0"/>
          <w:sz w:val="32"/>
          <w:szCs w:val="32"/>
        </w:rPr>
        <w:t>一、部门概况</w:t>
      </w:r>
      <w:bookmarkEnd w:id="4"/>
    </w:p>
    <w:p w14:paraId="0C450DDC">
      <w:pPr>
        <w:spacing w:line="360" w:lineRule="auto"/>
        <w:ind w:firstLine="640" w:firstLineChars="200"/>
        <w:outlineLvl w:val="1"/>
        <w:rPr>
          <w:rFonts w:ascii="仿宋_GB2312" w:hAnsi="仿宋_GB2312" w:eastAsia="仿宋_GB2312" w:cs="仿宋_GB2312"/>
          <w:sz w:val="32"/>
          <w:szCs w:val="32"/>
        </w:rPr>
      </w:pPr>
      <w:bookmarkStart w:id="5" w:name="_Toc7266"/>
      <w:r>
        <w:rPr>
          <w:rFonts w:hint="eastAsia" w:ascii="仿宋_GB2312" w:hAnsi="仿宋_GB2312" w:eastAsia="仿宋_GB2312" w:cs="仿宋_GB2312"/>
          <w:sz w:val="32"/>
          <w:szCs w:val="32"/>
        </w:rPr>
        <w:t>（一）部门职责</w:t>
      </w:r>
      <w:bookmarkEnd w:id="5"/>
    </w:p>
    <w:p w14:paraId="09FE3BF5">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北京市社会科学院（以下简称“社科院”）成立于1978年8月，是北京市政府直属的综合性哲学社会科学研究机构，</w:t>
      </w:r>
      <w:r>
        <w:rPr>
          <w:rFonts w:hint="eastAsia" w:ascii="仿宋_GB2312" w:hAnsi="华文中宋" w:eastAsia="仿宋_GB2312"/>
          <w:sz w:val="32"/>
          <w:szCs w:val="32"/>
        </w:rPr>
        <w:t>市政府直属公益一类事业单位。</w:t>
      </w:r>
    </w:p>
    <w:p w14:paraId="0B866BB4">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展哲学社会科学基础研究、战略研究、应用对策研究，为市委市政府提供决策咨询服务；开展党的创新理论研究、宣传、阐释工作；组织开展党的理论宣讲工作；建设新型高端智库，搭建智库研究基地平台体系；开展国际交流与合作，提升国际学术影响力；完成市委市政府交办的其他工作。</w:t>
      </w:r>
    </w:p>
    <w:p w14:paraId="3AA84A1E">
      <w:pPr>
        <w:spacing w:line="360" w:lineRule="auto"/>
        <w:ind w:firstLine="640" w:firstLineChars="200"/>
        <w:outlineLvl w:val="1"/>
        <w:rPr>
          <w:rFonts w:hint="default" w:ascii="仿宋_GB2312" w:hAnsi="仿宋_GB2312" w:eastAsia="仿宋_GB2312" w:cs="仿宋_GB2312"/>
          <w:color w:val="000000"/>
          <w:kern w:val="0"/>
          <w:sz w:val="32"/>
          <w:szCs w:val="32"/>
          <w:highlight w:val="yellow"/>
          <w:lang w:val="en-US" w:eastAsia="zh-CN"/>
        </w:rPr>
      </w:pPr>
      <w:bookmarkStart w:id="6" w:name="_Toc30067"/>
      <w:r>
        <w:rPr>
          <w:rFonts w:hint="eastAsia" w:ascii="仿宋_GB2312" w:hAnsi="仿宋_GB2312" w:eastAsia="仿宋_GB2312" w:cs="仿宋_GB2312"/>
          <w:sz w:val="32"/>
          <w:szCs w:val="32"/>
        </w:rPr>
        <w:t>（二）部门整体绩效目标设立情况</w:t>
      </w:r>
      <w:bookmarkEnd w:id="6"/>
    </w:p>
    <w:p w14:paraId="45089E33">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1.绩效目标设立依据</w:t>
      </w:r>
    </w:p>
    <w:p w14:paraId="451EA264">
      <w:pPr>
        <w:spacing w:line="360" w:lineRule="auto"/>
        <w:ind w:firstLine="600" w:firstLineChars="200"/>
        <w:rPr>
          <w:rFonts w:ascii="仿宋_GB2312" w:hAnsi="仿宋_GB2312" w:eastAsia="仿宋_GB2312" w:cs="仿宋_GB2312"/>
          <w:sz w:val="32"/>
          <w:szCs w:val="32"/>
        </w:rPr>
      </w:pPr>
      <w:r>
        <w:rPr>
          <w:rFonts w:hint="eastAsia" w:ascii="仿宋_GB2312" w:hAnsi="仿宋_GB2312" w:eastAsia="仿宋_GB2312" w:cs="仿宋_GB2312"/>
          <w:color w:val="000000"/>
          <w:kern w:val="0"/>
          <w:sz w:val="30"/>
          <w:szCs w:val="30"/>
          <w:lang w:val="en-US" w:eastAsia="zh-CN" w:bidi="ar"/>
        </w:rPr>
        <w:t>围绕“决策智囊、学术高地、宣讲平台、社会智库”的办院方针，持续推进“国内一流、国际知名”社科院目标建设。</w:t>
      </w:r>
      <w:r>
        <w:rPr>
          <w:rFonts w:hint="eastAsia" w:ascii="仿宋_GB2312" w:eastAsia="仿宋_GB2312"/>
          <w:sz w:val="30"/>
          <w:szCs w:val="30"/>
        </w:rPr>
        <w:t>坚持首善标准，彰显首都特色，扎实推进“北京社科”新型高端智库建设，打造党的创新理论研究阐释的重要高地、首都哲学社会科学研究的重要基地、首都经济社会发展研究咨询的重要平台、首都新型高端智库建设的重要窗口</w:t>
      </w:r>
      <w:r>
        <w:rPr>
          <w:rFonts w:hint="eastAsia" w:ascii="仿宋_GB2312" w:eastAsia="仿宋_GB2312"/>
          <w:sz w:val="30"/>
          <w:szCs w:val="30"/>
          <w:lang w:eastAsia="zh-CN"/>
        </w:rPr>
        <w:t>，</w:t>
      </w:r>
      <w:r>
        <w:rPr>
          <w:rFonts w:hint="eastAsia" w:ascii="仿宋_GB2312" w:eastAsia="仿宋_GB2312"/>
          <w:sz w:val="30"/>
          <w:szCs w:val="30"/>
        </w:rPr>
        <w:t>制订了《北京市社会科学院</w:t>
      </w:r>
      <w:r>
        <w:rPr>
          <w:rFonts w:hint="eastAsia" w:ascii="仿宋_GB2312" w:eastAsia="仿宋_GB2312"/>
          <w:sz w:val="30"/>
          <w:szCs w:val="30"/>
          <w:lang w:val="en-US" w:eastAsia="zh-CN"/>
        </w:rPr>
        <w:t>2023-2025年发展规划</w:t>
      </w:r>
      <w:r>
        <w:rPr>
          <w:rFonts w:hint="eastAsia" w:ascii="仿宋_GB2312" w:eastAsia="仿宋_GB2312"/>
          <w:sz w:val="30"/>
          <w:szCs w:val="30"/>
        </w:rPr>
        <w:t>》</w:t>
      </w:r>
      <w:r>
        <w:rPr>
          <w:rFonts w:hint="eastAsia" w:ascii="仿宋_GB2312" w:hAnsi="仿宋" w:eastAsia="仿宋_GB2312"/>
          <w:bCs/>
          <w:sz w:val="30"/>
          <w:szCs w:val="30"/>
        </w:rPr>
        <w:t>等一系列战略规划文件</w:t>
      </w:r>
      <w:r>
        <w:rPr>
          <w:rFonts w:hint="eastAsia" w:ascii="仿宋_GB2312" w:hAnsi="仿宋" w:eastAsia="仿宋_GB2312"/>
          <w:bCs/>
          <w:sz w:val="30"/>
          <w:szCs w:val="30"/>
          <w:lang w:eastAsia="zh-CN"/>
        </w:rPr>
        <w:t>。</w:t>
      </w:r>
    </w:p>
    <w:p w14:paraId="06D2910F">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2.目标任务与职责匹配情况</w:t>
      </w:r>
    </w:p>
    <w:p w14:paraId="08421655">
      <w:pPr>
        <w:spacing w:line="360" w:lineRule="auto"/>
        <w:ind w:firstLine="600" w:firstLineChars="200"/>
        <w:rPr>
          <w:rFonts w:hint="eastAsia" w:ascii="仿宋_GB2312" w:eastAsia="仿宋_GB2312" w:cs="宋体" w:hAnsiTheme="minorEastAsia"/>
          <w:color w:val="000000"/>
          <w:kern w:val="0"/>
          <w:sz w:val="32"/>
          <w:szCs w:val="32"/>
          <w:lang w:val="en-US" w:eastAsia="zh-CN"/>
        </w:rPr>
      </w:pPr>
      <w:r>
        <w:rPr>
          <w:rFonts w:hint="eastAsia" w:ascii="仿宋_GB2312" w:hAnsi="仿宋" w:eastAsia="仿宋_GB2312"/>
          <w:bCs/>
          <w:sz w:val="30"/>
          <w:szCs w:val="30"/>
        </w:rPr>
        <w:t>从加快首都新型高端智库建设，更好服务市委市政府重大决策</w:t>
      </w:r>
      <w:r>
        <w:rPr>
          <w:rFonts w:hint="eastAsia" w:ascii="仿宋_GB2312" w:eastAsia="仿宋_GB2312"/>
          <w:sz w:val="30"/>
          <w:szCs w:val="30"/>
        </w:rPr>
        <w:t>，全面提升我院决策影响力、学术影响力和社会影响力出发，</w:t>
      </w:r>
      <w:r>
        <w:rPr>
          <w:rFonts w:hint="eastAsia" w:ascii="仿宋_GB2312" w:eastAsia="仿宋_GB2312"/>
          <w:sz w:val="30"/>
          <w:szCs w:val="30"/>
          <w:lang w:eastAsia="zh-CN"/>
        </w:rPr>
        <w:t>把</w:t>
      </w:r>
      <w:r>
        <w:rPr>
          <w:rFonts w:hint="eastAsia" w:ascii="仿宋_GB2312" w:eastAsia="仿宋_GB2312"/>
          <w:sz w:val="30"/>
          <w:szCs w:val="30"/>
        </w:rPr>
        <w:t>深入推进习近平新时代中国特色社会主义思想学习宣传贯彻、统筹推动新型高端智库建设、提升管理服务保障质量等内容</w:t>
      </w:r>
      <w:r>
        <w:rPr>
          <w:rFonts w:hint="eastAsia" w:ascii="仿宋_GB2312" w:eastAsia="仿宋_GB2312"/>
          <w:sz w:val="30"/>
          <w:szCs w:val="30"/>
          <w:lang w:eastAsia="zh-CN"/>
        </w:rPr>
        <w:t>设立为目标任务，</w:t>
      </w:r>
      <w:r>
        <w:rPr>
          <w:rFonts w:hint="eastAsia" w:ascii="仿宋_GB2312" w:hAnsi="仿宋_GB2312" w:eastAsia="仿宋_GB2312" w:cs="仿宋_GB2312"/>
          <w:sz w:val="32"/>
          <w:szCs w:val="32"/>
          <w:lang w:eastAsia="zh-CN"/>
        </w:rPr>
        <w:t>目标任务与职责</w:t>
      </w:r>
      <w:r>
        <w:rPr>
          <w:rFonts w:hint="eastAsia" w:ascii="仿宋_GB2312" w:hAnsi="仿宋_GB2312" w:eastAsia="仿宋_GB2312" w:cs="仿宋_GB2312"/>
          <w:sz w:val="32"/>
          <w:szCs w:val="32"/>
          <w:lang w:val="en-US" w:eastAsia="zh-CN"/>
        </w:rPr>
        <w:t>匹配较好。</w:t>
      </w:r>
    </w:p>
    <w:p w14:paraId="5416B3CD">
      <w:pPr>
        <w:spacing w:line="360" w:lineRule="auto"/>
        <w:ind w:firstLine="640" w:firstLineChars="200"/>
        <w:rPr>
          <w:rFonts w:hint="eastAsia" w:ascii="仿宋_GB2312" w:eastAsia="仿宋_GB2312" w:cs="宋体" w:hAnsiTheme="minorEastAsia"/>
          <w:color w:val="000000"/>
          <w:kern w:val="0"/>
          <w:sz w:val="32"/>
          <w:szCs w:val="32"/>
          <w:lang w:val="en-US" w:eastAsia="zh-CN"/>
        </w:rPr>
      </w:pPr>
      <w:r>
        <w:rPr>
          <w:rFonts w:hint="eastAsia" w:ascii="仿宋_GB2312" w:eastAsia="仿宋_GB2312" w:cs="宋体" w:hAnsiTheme="minorEastAsia"/>
          <w:color w:val="000000"/>
          <w:kern w:val="0"/>
          <w:sz w:val="32"/>
          <w:szCs w:val="32"/>
          <w:lang w:val="en-US" w:eastAsia="zh-CN"/>
        </w:rPr>
        <w:t>3.目标合理性</w:t>
      </w:r>
    </w:p>
    <w:p w14:paraId="658D82F8">
      <w:pPr>
        <w:numPr>
          <w:ilvl w:val="-1"/>
          <w:numId w:val="0"/>
        </w:numPr>
        <w:spacing w:line="360" w:lineRule="auto"/>
        <w:ind w:firstLine="600" w:firstLineChars="200"/>
        <w:rPr>
          <w:rFonts w:hint="eastAsia" w:ascii="仿宋_GB2312" w:hAnsi="Times New Roman" w:eastAsia="仿宋_GB2312" w:cs="Times New Roman"/>
          <w:kern w:val="2"/>
          <w:sz w:val="30"/>
          <w:szCs w:val="30"/>
          <w:lang w:val="en-US" w:eastAsia="zh-CN" w:bidi="ar-SA"/>
        </w:rPr>
      </w:pPr>
      <w:r>
        <w:rPr>
          <w:rFonts w:hint="eastAsia" w:ascii="仿宋_GB2312" w:eastAsia="仿宋_GB2312"/>
          <w:sz w:val="30"/>
          <w:szCs w:val="30"/>
          <w:lang w:eastAsia="zh-CN"/>
        </w:rPr>
        <w:t>绩效目标设立明确，可量化，合理可行。</w:t>
      </w:r>
      <w:r>
        <w:rPr>
          <w:rFonts w:hint="eastAsia" w:ascii="仿宋_GB2312" w:eastAsia="仿宋_GB2312"/>
          <w:sz w:val="30"/>
          <w:szCs w:val="30"/>
          <w:lang w:val="en-US" w:eastAsia="zh-CN"/>
        </w:rPr>
        <w:t>通过</w:t>
      </w:r>
      <w:r>
        <w:rPr>
          <w:rFonts w:hint="eastAsia" w:ascii="仿宋_GB2312" w:hAnsi="Times New Roman" w:eastAsia="仿宋_GB2312" w:cs="Times New Roman"/>
          <w:kern w:val="2"/>
          <w:sz w:val="30"/>
          <w:szCs w:val="30"/>
          <w:lang w:val="en-US" w:eastAsia="zh-CN" w:bidi="ar-SA"/>
        </w:rPr>
        <w:t>开展项目绩效目标审核、预算</w:t>
      </w:r>
      <w:r>
        <w:rPr>
          <w:rFonts w:hint="eastAsia" w:ascii="仿宋_GB2312" w:eastAsia="仿宋_GB2312" w:cs="Times New Roman"/>
          <w:kern w:val="2"/>
          <w:sz w:val="30"/>
          <w:szCs w:val="30"/>
          <w:lang w:val="en-US" w:eastAsia="zh-CN" w:bidi="ar-SA"/>
        </w:rPr>
        <w:t>立项</w:t>
      </w:r>
      <w:r>
        <w:rPr>
          <w:rFonts w:hint="eastAsia" w:ascii="仿宋_GB2312" w:hAnsi="Times New Roman" w:eastAsia="仿宋_GB2312" w:cs="Times New Roman"/>
          <w:kern w:val="2"/>
          <w:sz w:val="30"/>
          <w:szCs w:val="30"/>
          <w:lang w:val="en-US" w:eastAsia="zh-CN" w:bidi="ar-SA"/>
        </w:rPr>
        <w:t>评审、绩效运行监控和事后绩效评价，实现全过程预算绩效管理的闭环，促进项目执行实现预期绩效成果，支持202</w:t>
      </w:r>
      <w:r>
        <w:rPr>
          <w:rFonts w:hint="eastAsia" w:ascii="仿宋_GB2312" w:eastAsia="仿宋_GB2312" w:cs="Times New Roman"/>
          <w:kern w:val="2"/>
          <w:sz w:val="30"/>
          <w:szCs w:val="30"/>
          <w:lang w:val="en-US" w:eastAsia="zh-CN" w:bidi="ar-SA"/>
        </w:rPr>
        <w:t>4</w:t>
      </w:r>
      <w:r>
        <w:rPr>
          <w:rFonts w:hint="eastAsia" w:ascii="仿宋_GB2312" w:hAnsi="Times New Roman" w:eastAsia="仿宋_GB2312" w:cs="Times New Roman"/>
          <w:kern w:val="2"/>
          <w:sz w:val="30"/>
          <w:szCs w:val="30"/>
          <w:lang w:val="en-US" w:eastAsia="zh-CN" w:bidi="ar-SA"/>
        </w:rPr>
        <w:t>年</w:t>
      </w:r>
      <w:r>
        <w:rPr>
          <w:rFonts w:hint="eastAsia" w:ascii="仿宋_GB2312" w:eastAsia="仿宋_GB2312" w:cs="Times New Roman"/>
          <w:kern w:val="2"/>
          <w:sz w:val="30"/>
          <w:szCs w:val="30"/>
          <w:lang w:val="en-US" w:eastAsia="zh-CN" w:bidi="ar-SA"/>
        </w:rPr>
        <w:t>工作</w:t>
      </w:r>
      <w:r>
        <w:rPr>
          <w:rFonts w:hint="eastAsia" w:ascii="仿宋_GB2312" w:hAnsi="Times New Roman" w:eastAsia="仿宋_GB2312" w:cs="Times New Roman"/>
          <w:kern w:val="2"/>
          <w:sz w:val="30"/>
          <w:szCs w:val="30"/>
          <w:lang w:val="en-US" w:eastAsia="zh-CN" w:bidi="ar-SA"/>
        </w:rPr>
        <w:t>任务的完成。</w:t>
      </w:r>
    </w:p>
    <w:p w14:paraId="67941CB3">
      <w:pPr>
        <w:spacing w:line="360" w:lineRule="auto"/>
        <w:ind w:firstLine="640" w:firstLineChars="200"/>
        <w:outlineLvl w:val="0"/>
        <w:rPr>
          <w:rFonts w:ascii="仿宋_GB2312" w:hAnsi="仿宋_GB2312" w:eastAsia="仿宋_GB2312" w:cs="仿宋_GB2312"/>
          <w:color w:val="000000"/>
          <w:kern w:val="0"/>
          <w:sz w:val="32"/>
          <w:szCs w:val="32"/>
        </w:rPr>
      </w:pPr>
      <w:bookmarkStart w:id="7" w:name="_Toc22063"/>
      <w:r>
        <w:rPr>
          <w:rFonts w:hint="eastAsia" w:ascii="仿宋_GB2312" w:hAnsi="仿宋_GB2312" w:eastAsia="仿宋_GB2312" w:cs="仿宋_GB2312"/>
          <w:color w:val="000000"/>
          <w:kern w:val="0"/>
          <w:sz w:val="32"/>
          <w:szCs w:val="32"/>
        </w:rPr>
        <w:t>二、当年预算执行情况</w:t>
      </w:r>
      <w:bookmarkEnd w:id="7"/>
    </w:p>
    <w:p w14:paraId="4E7F6255">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2024年社科院全年预算收入18,329.31 万元，其中：基本支出12,035.00万元，项目支出6,294.31万元。</w:t>
      </w:r>
    </w:p>
    <w:p w14:paraId="61BCB3AA">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2024年社科院全年决算支出16,667.75万元，其中：基本支出11,887.21万元，项目支出4,780.54万元。预算执行率为90.93%。</w:t>
      </w:r>
    </w:p>
    <w:p w14:paraId="3C020E1A">
      <w:pPr>
        <w:spacing w:line="360" w:lineRule="auto"/>
        <w:ind w:firstLine="640" w:firstLineChars="200"/>
        <w:outlineLvl w:val="0"/>
        <w:rPr>
          <w:rFonts w:ascii="仿宋_GB2312" w:hAnsi="仿宋_GB2312" w:eastAsia="仿宋_GB2312" w:cs="仿宋_GB2312"/>
          <w:color w:val="000000"/>
          <w:kern w:val="0"/>
          <w:sz w:val="32"/>
          <w:szCs w:val="32"/>
        </w:rPr>
      </w:pPr>
      <w:bookmarkStart w:id="8" w:name="_Toc15648"/>
      <w:r>
        <w:rPr>
          <w:rFonts w:hint="eastAsia" w:ascii="仿宋_GB2312" w:hAnsi="仿宋_GB2312" w:eastAsia="仿宋_GB2312" w:cs="仿宋_GB2312"/>
          <w:color w:val="000000"/>
          <w:kern w:val="0"/>
          <w:sz w:val="32"/>
          <w:szCs w:val="32"/>
        </w:rPr>
        <w:t>三、整体绩效目标实现情况</w:t>
      </w:r>
      <w:bookmarkEnd w:id="8"/>
    </w:p>
    <w:p w14:paraId="403817FA">
      <w:pPr>
        <w:ind w:firstLine="640" w:firstLineChars="200"/>
        <w:rPr>
          <w:color w:val="auto"/>
          <w:szCs w:val="21"/>
        </w:rPr>
      </w:pPr>
      <w:r>
        <w:rPr>
          <w:rFonts w:hint="eastAsia" w:ascii="仿宋_GB2312" w:hAnsi="仿宋_GB2312" w:eastAsia="仿宋_GB2312" w:cs="仿宋_GB2312"/>
          <w:sz w:val="32"/>
          <w:szCs w:val="32"/>
        </w:rPr>
        <w:t>2024年社科院坚持以习近平新时代中国特色社会主义思想为指导，</w:t>
      </w:r>
      <w:r>
        <w:rPr>
          <w:rFonts w:hint="eastAsia" w:ascii="仿宋_GB2312" w:hAnsi="仿宋" w:eastAsia="仿宋_GB2312"/>
          <w:color w:val="auto"/>
          <w:sz w:val="32"/>
          <w:szCs w:val="32"/>
        </w:rPr>
        <w:t>锚定“国内一流、国际知名”的社科院发展目标，秉持稳中求进的工作总基调，深耕守正创新之路，扎实有效地开展了党纪学习教育活动，精心筹备并圆满完成北京文化论坛工作任务，深入推进“信仰行”工作，全面加强了科研诚信体系建设</w:t>
      </w:r>
      <w:r>
        <w:rPr>
          <w:rFonts w:hint="eastAsia" w:ascii="仿宋_GB2312" w:hAnsi="仿宋" w:eastAsia="仿宋_GB2312"/>
          <w:color w:val="auto"/>
          <w:sz w:val="32"/>
          <w:szCs w:val="32"/>
          <w:lang w:eastAsia="zh-CN"/>
        </w:rPr>
        <w:t>，较好地实现了年度整体目标</w:t>
      </w:r>
      <w:r>
        <w:rPr>
          <w:rFonts w:hint="eastAsia" w:ascii="仿宋_GB2312" w:hAnsi="仿宋" w:eastAsia="仿宋_GB2312"/>
          <w:color w:val="auto"/>
          <w:sz w:val="32"/>
          <w:szCs w:val="32"/>
        </w:rPr>
        <w:t>。</w:t>
      </w:r>
    </w:p>
    <w:p w14:paraId="1D2E8CAB">
      <w:pPr>
        <w:spacing w:line="360" w:lineRule="auto"/>
        <w:ind w:firstLine="640" w:firstLineChars="200"/>
        <w:outlineLvl w:val="1"/>
        <w:rPr>
          <w:rFonts w:ascii="仿宋_GB2312" w:hAnsi="仿宋_GB2312" w:eastAsia="仿宋_GB2312" w:cs="仿宋_GB2312"/>
          <w:sz w:val="32"/>
          <w:szCs w:val="32"/>
        </w:rPr>
      </w:pPr>
      <w:bookmarkStart w:id="9" w:name="_Toc17937"/>
      <w:r>
        <w:rPr>
          <w:rFonts w:hint="eastAsia" w:ascii="仿宋_GB2312" w:hAnsi="仿宋_GB2312" w:eastAsia="仿宋_GB2312" w:cs="仿宋_GB2312"/>
          <w:sz w:val="32"/>
          <w:szCs w:val="32"/>
        </w:rPr>
        <w:t>（一）产出完成情况分析</w:t>
      </w:r>
      <w:bookmarkEnd w:id="9"/>
    </w:p>
    <w:p w14:paraId="13535943">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lang w:eastAsia="zh-CN"/>
        </w:rPr>
        <w:t>产出数量</w:t>
      </w:r>
    </w:p>
    <w:p w14:paraId="1DC647E2">
      <w:pPr>
        <w:spacing w:line="360" w:lineRule="auto"/>
        <w:ind w:firstLine="640"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2024年度纳入预算管理的项目23个，截至2024年12月31日，均按照计划实施完毕。</w:t>
      </w:r>
    </w:p>
    <w:p w14:paraId="5D48A37A">
      <w:pPr>
        <w:spacing w:line="360" w:lineRule="auto"/>
        <w:ind w:firstLine="640"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highlight w:val="none"/>
          <w:lang w:eastAsia="zh-CN"/>
        </w:rPr>
        <w:t>市社科院</w:t>
      </w:r>
      <w:r>
        <w:rPr>
          <w:rFonts w:hint="eastAsia" w:ascii="仿宋_GB2312" w:hAnsi="仿宋_GB2312" w:eastAsia="仿宋_GB2312" w:cs="仿宋_GB2312"/>
          <w:color w:val="000000"/>
          <w:kern w:val="0"/>
          <w:sz w:val="32"/>
          <w:szCs w:val="32"/>
          <w:highlight w:val="none"/>
          <w:lang w:val="en-US" w:eastAsia="zh-CN"/>
        </w:rPr>
        <w:t>不断</w:t>
      </w:r>
      <w:r>
        <w:rPr>
          <w:rFonts w:hint="eastAsia" w:ascii="仿宋_GB2312" w:hAnsi="仿宋_GB2312" w:eastAsia="仿宋_GB2312" w:cs="仿宋_GB2312"/>
          <w:color w:val="000000"/>
          <w:kern w:val="0"/>
          <w:sz w:val="32"/>
          <w:szCs w:val="32"/>
          <w:highlight w:val="none"/>
          <w:lang w:eastAsia="zh-CN"/>
        </w:rPr>
        <w:t>强化</w:t>
      </w:r>
      <w:r>
        <w:rPr>
          <w:rFonts w:hint="eastAsia" w:ascii="仿宋_GB2312" w:hAnsi="仿宋_GB2312" w:eastAsia="仿宋_GB2312" w:cs="仿宋_GB2312"/>
          <w:color w:val="000000"/>
          <w:kern w:val="0"/>
          <w:sz w:val="32"/>
          <w:szCs w:val="32"/>
          <w:lang w:eastAsia="zh-CN"/>
        </w:rPr>
        <w:t>绩效评价意识，</w:t>
      </w:r>
      <w:r>
        <w:rPr>
          <w:rFonts w:hint="eastAsia" w:ascii="仿宋_GB2312" w:hAnsi="仿宋_GB2312" w:eastAsia="仿宋_GB2312" w:cs="仿宋_GB2312"/>
          <w:color w:val="000000"/>
          <w:kern w:val="0"/>
          <w:sz w:val="32"/>
          <w:szCs w:val="32"/>
        </w:rPr>
        <w:t>将“要我评价”的被动认识转化为“我要评价”的主动实践，高度重视绩效管理工作，深入推进评价工作，提升整体绩效管理水平。</w:t>
      </w:r>
      <w:r>
        <w:rPr>
          <w:rFonts w:hint="eastAsia" w:ascii="仿宋_GB2312" w:hAnsi="仿宋_GB2312" w:eastAsia="仿宋_GB2312" w:cs="仿宋_GB2312"/>
          <w:color w:val="000000"/>
          <w:kern w:val="0"/>
          <w:sz w:val="32"/>
          <w:szCs w:val="32"/>
          <w:lang w:eastAsia="zh-CN"/>
        </w:rPr>
        <w:t>通过项目实施，较好地完成了预期目标，但个别项目资料归档不及时完整，中期跟踪监督不到位，需进一步加强更好地展示项目成果。</w:t>
      </w:r>
    </w:p>
    <w:p w14:paraId="4E6F3924">
      <w:pPr>
        <w:spacing w:line="360" w:lineRule="auto"/>
        <w:ind w:firstLine="640" w:firstLineChars="200"/>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2.</w:t>
      </w:r>
      <w:r>
        <w:rPr>
          <w:rFonts w:hint="eastAsia" w:ascii="仿宋_GB2312" w:hAnsi="仿宋_GB2312" w:eastAsia="仿宋_GB2312" w:cs="仿宋_GB2312"/>
          <w:color w:val="000000"/>
          <w:kern w:val="0"/>
          <w:sz w:val="32"/>
          <w:szCs w:val="32"/>
          <w:lang w:eastAsia="zh-CN"/>
        </w:rPr>
        <w:t>产出质量</w:t>
      </w:r>
    </w:p>
    <w:p w14:paraId="21E03CD5">
      <w:pPr>
        <w:spacing w:line="360" w:lineRule="auto"/>
        <w:ind w:firstLine="640" w:firstLineChars="200"/>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2024年市社科院各项重点工作质量完成较好，项目按照计划开展，严格执行相关政策规定，加强职能处室归口管理，强化项目负责人第一负责意识，采取相应质量控制措施，有效保障了项目产出质量。</w:t>
      </w:r>
    </w:p>
    <w:p w14:paraId="7B1928D3">
      <w:pPr>
        <w:spacing w:line="360" w:lineRule="auto"/>
        <w:ind w:firstLine="640"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3.产出进度</w:t>
      </w:r>
    </w:p>
    <w:p w14:paraId="7B01A531">
      <w:pPr>
        <w:spacing w:line="360" w:lineRule="auto"/>
        <w:ind w:firstLine="640" w:firstLineChars="200"/>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按照财政支出进度要求，结合实际情况，各项目均在年度内实施完毕。建议进一步加强“时间过半进度过半”的意识，尤其是大额的延续性项目，提前谋划提前准备，</w:t>
      </w:r>
      <w:r>
        <w:rPr>
          <w:rFonts w:hint="eastAsia" w:ascii="仿宋_GB2312" w:hAnsi="仿宋_GB2312" w:eastAsia="仿宋_GB2312" w:cs="仿宋_GB2312"/>
          <w:color w:val="000000"/>
          <w:kern w:val="0"/>
          <w:sz w:val="32"/>
          <w:szCs w:val="32"/>
          <w:highlight w:val="none"/>
          <w:lang w:val="en-US" w:eastAsia="zh-CN"/>
        </w:rPr>
        <w:t>有序</w:t>
      </w:r>
      <w:r>
        <w:rPr>
          <w:rFonts w:hint="eastAsia" w:ascii="仿宋_GB2312" w:hAnsi="仿宋_GB2312" w:eastAsia="仿宋_GB2312" w:cs="仿宋_GB2312"/>
          <w:color w:val="000000"/>
          <w:kern w:val="0"/>
          <w:sz w:val="32"/>
          <w:szCs w:val="32"/>
          <w:lang w:val="en-US" w:eastAsia="zh-CN"/>
        </w:rPr>
        <w:t>推进项目实施。</w:t>
      </w:r>
      <w:bookmarkStart w:id="19" w:name="_GoBack"/>
      <w:bookmarkEnd w:id="19"/>
    </w:p>
    <w:p w14:paraId="254938E0">
      <w:pPr>
        <w:spacing w:line="360" w:lineRule="auto"/>
        <w:ind w:firstLine="640" w:firstLineChars="200"/>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4.产出成本</w:t>
      </w:r>
    </w:p>
    <w:p w14:paraId="2D869393">
      <w:pPr>
        <w:spacing w:line="360" w:lineRule="auto"/>
        <w:ind w:firstLine="640" w:firstLineChars="200"/>
        <w:outlineLvl w:val="1"/>
        <w:rPr>
          <w:rFonts w:hint="eastAsia" w:ascii="仿宋_GB2312" w:hAnsi="仿宋_GB2312" w:eastAsia="仿宋_GB2312" w:cs="仿宋_GB2312"/>
          <w:sz w:val="32"/>
          <w:szCs w:val="32"/>
          <w:lang w:eastAsia="zh-CN"/>
        </w:rPr>
      </w:pPr>
      <w:bookmarkStart w:id="10" w:name="_Toc9831"/>
      <w:r>
        <w:rPr>
          <w:rFonts w:hint="eastAsia" w:ascii="仿宋_GB2312" w:hAnsi="仿宋_GB2312" w:eastAsia="仿宋_GB2312" w:cs="仿宋_GB2312"/>
          <w:sz w:val="32"/>
          <w:szCs w:val="32"/>
          <w:lang w:eastAsia="zh-CN"/>
        </w:rPr>
        <w:t>根据《中华人民共和国预算法》《事业单位财务规则》《北京市市级基本支出预算管理办法》《北京市市级项目支出预算管理办法》等文件要求，按照年初部门预算批复的内容控制资金支出，严格履行支出审批流程。项目执行过程中，通过招标采购、三方比价比选等一系列成本控制措施，对项目产出成本进行管理，报销材料齐备，资金使用规范。</w:t>
      </w:r>
    </w:p>
    <w:p w14:paraId="5E61DDE8">
      <w:pPr>
        <w:spacing w:line="360" w:lineRule="auto"/>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（二）效果实现情况分析</w:t>
      </w:r>
      <w:bookmarkEnd w:id="10"/>
    </w:p>
    <w:p w14:paraId="43254FE2">
      <w:pPr>
        <w:spacing w:line="360" w:lineRule="auto"/>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000000"/>
          <w:kern w:val="0"/>
          <w:sz w:val="32"/>
          <w:szCs w:val="32"/>
          <w:highlight w:val="none"/>
        </w:rPr>
        <w:t>1.社会效益</w:t>
      </w:r>
    </w:p>
    <w:p w14:paraId="78ED3A95">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auto"/>
          <w:kern w:val="0"/>
          <w:sz w:val="32"/>
          <w:szCs w:val="32"/>
        </w:rPr>
        <w:t>（1）</w:t>
      </w:r>
      <w:r>
        <w:rPr>
          <w:rFonts w:hint="eastAsia" w:ascii="仿宋_GB2312" w:hAnsi="仿宋_GB2312" w:eastAsia="仿宋_GB2312" w:cs="仿宋_GB2312"/>
          <w:color w:val="auto"/>
          <w:kern w:val="0"/>
          <w:sz w:val="32"/>
          <w:szCs w:val="32"/>
          <w:lang w:val="en-US" w:eastAsia="zh-CN"/>
        </w:rPr>
        <w:t>科研智库工作的开展</w:t>
      </w:r>
      <w:r>
        <w:rPr>
          <w:rFonts w:hint="eastAsia" w:ascii="仿宋_GB2312" w:hAnsi="仿宋_GB2312" w:eastAsia="仿宋_GB2312" w:cs="仿宋_GB2312"/>
          <w:color w:val="000000"/>
          <w:kern w:val="0"/>
          <w:sz w:val="32"/>
          <w:szCs w:val="32"/>
        </w:rPr>
        <w:t>提升了市社科院的学术影响力，扩大了市社科院成果的社会效益，通过论文专著形式向社会宣传正确的理论思想、普及社科知识、提升社会科学的学术影响力，巩固舆论宣传阵地。编著的蓝皮书、集刊和论丛是一系列从各个方面反映北京发展状况的指南，为政府决策提供参考，促进专家学术研究平台建设，丰富了社会智库产品。</w:t>
      </w:r>
    </w:p>
    <w:p w14:paraId="5D77BBB2">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（2）精心组织学习贯彻党的二十届三中全会精神市委宣讲团集中宣讲，“理论微宣讲”市级示范团开展全市巡讲、高校巡讲、云宣讲，“理论+百姓+文艺”特色宣讲，</w:t>
      </w:r>
      <w:r>
        <w:rPr>
          <w:rFonts w:hint="eastAsia" w:ascii="仿宋_GB2312" w:hAnsi="仿宋_GB2312" w:eastAsia="仿宋_GB2312" w:cs="仿宋_GB2312"/>
          <w:color w:val="000000"/>
          <w:kern w:val="0"/>
          <w:sz w:val="32"/>
          <w:szCs w:val="32"/>
          <w:lang w:eastAsia="zh-CN"/>
        </w:rPr>
        <w:t>“强国复兴有我”等</w:t>
      </w:r>
      <w:r>
        <w:rPr>
          <w:rFonts w:hint="eastAsia" w:ascii="仿宋_GB2312" w:hAnsi="仿宋_GB2312" w:eastAsia="仿宋_GB2312" w:cs="仿宋_GB2312"/>
          <w:color w:val="000000"/>
          <w:kern w:val="0"/>
          <w:sz w:val="32"/>
          <w:szCs w:val="32"/>
        </w:rPr>
        <w:t>百姓宣讲</w:t>
      </w:r>
      <w:r>
        <w:rPr>
          <w:rFonts w:hint="eastAsia" w:ascii="仿宋_GB2312" w:hAnsi="仿宋_GB2312" w:eastAsia="仿宋_GB2312" w:cs="仿宋_GB2312"/>
          <w:color w:val="000000"/>
          <w:kern w:val="0"/>
          <w:sz w:val="32"/>
          <w:szCs w:val="32"/>
          <w:lang w:eastAsia="zh-CN"/>
        </w:rPr>
        <w:t>活动，</w:t>
      </w:r>
      <w:r>
        <w:rPr>
          <w:rFonts w:hint="eastAsia" w:ascii="仿宋_GB2312" w:hAnsi="仿宋_GB2312" w:eastAsia="仿宋_GB2312" w:cs="仿宋_GB2312"/>
          <w:color w:val="000000"/>
          <w:kern w:val="0"/>
          <w:sz w:val="32"/>
          <w:szCs w:val="32"/>
        </w:rPr>
        <w:t>成为北京市宣传思想工作的金字招牌，成为首都弘扬社会主义核心价值观的重要抓手，在弘扬主旋律、传播正能量方面发挥着重要作用，被中宣部作为宣传思想工作典型案例向全国推广。</w:t>
      </w:r>
    </w:p>
    <w:p w14:paraId="63228E6B">
      <w:pPr>
        <w:spacing w:line="360" w:lineRule="auto"/>
        <w:ind w:firstLine="640" w:firstLineChars="200"/>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2.可持续影响</w:t>
      </w:r>
    </w:p>
    <w:p w14:paraId="425316CC">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人才引进及职称评审项目的实施，提高了院人才队伍质量，改善了科研团队结构，提升了科研学术能力及科研成果质量；社会化职称评审工作为社会培养了优秀人才，建设人才储备库，不断提升社会影响力。</w:t>
      </w:r>
    </w:p>
    <w:p w14:paraId="033B06A3">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信息化资源和办公设备购置，互联网、政务云、信息系统运维等项目的实施，保障了全院信息系统的稳定，提高无故障运行时段，减少了故障发生次数，节约了公共资源，有效改善了软硬件运行环境，保障了全院工作正常运行。</w:t>
      </w:r>
    </w:p>
    <w:p w14:paraId="3C0CE1D2">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通过开展预算项目评审、内审及档案管理等项目，对年度、资产管理、财政立项、预算收支审计，从制度机制上分析问题、查找原因，提出有针对性、可操作性的建议，促进规范预算管理、财务管理及资产管理等，确保各项资金管理规范，使用合法合规，保障财政资金安全高效使用。</w:t>
      </w:r>
    </w:p>
    <w:p w14:paraId="7706B115">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3.服务对象满意度</w:t>
      </w:r>
    </w:p>
    <w:p w14:paraId="40FF5EFB">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2024年社科院坚持以习近平新时代中国特色社会主义思想为指导，认真落实全市宣传思想文化工作安排，</w:t>
      </w:r>
      <w:r>
        <w:rPr>
          <w:rFonts w:hint="eastAsia" w:ascii="仿宋_GB2312" w:hAnsi="宋体" w:eastAsia="仿宋_GB2312"/>
          <w:sz w:val="32"/>
          <w:szCs w:val="32"/>
          <w:lang w:eastAsia="zh-CN"/>
        </w:rPr>
        <w:t>党纪学习</w:t>
      </w:r>
      <w:r>
        <w:rPr>
          <w:rFonts w:hint="eastAsia" w:ascii="仿宋_GB2312" w:hAnsi="宋体" w:eastAsia="仿宋_GB2312"/>
          <w:sz w:val="32"/>
          <w:szCs w:val="32"/>
        </w:rPr>
        <w:t>教育扎实开展，党的创新理论研究阐释有质有量，科研管理和智库建设深化推进，决策咨询能力水平不断提升，重大主题宣传宣讲创新推进，各类意识形态阵地可管可控，全面从严治党持续发力，为繁荣首都哲学社会科学事业作出新贡献，得到</w:t>
      </w:r>
      <w:r>
        <w:rPr>
          <w:rFonts w:hint="eastAsia" w:ascii="仿宋_GB2312" w:hAnsi="宋体" w:eastAsia="仿宋_GB2312"/>
          <w:sz w:val="32"/>
          <w:szCs w:val="32"/>
          <w:lang w:eastAsia="zh-CN"/>
        </w:rPr>
        <w:t>社会各界</w:t>
      </w:r>
      <w:r>
        <w:rPr>
          <w:rFonts w:hint="eastAsia" w:ascii="仿宋_GB2312" w:hAnsi="宋体" w:eastAsia="仿宋_GB2312"/>
          <w:sz w:val="32"/>
          <w:szCs w:val="32"/>
        </w:rPr>
        <w:t>的认可。</w:t>
      </w:r>
    </w:p>
    <w:p w14:paraId="7283F90E">
      <w:pPr>
        <w:spacing w:line="360" w:lineRule="auto"/>
        <w:ind w:firstLine="640" w:firstLineChars="200"/>
        <w:outlineLvl w:val="0"/>
        <w:rPr>
          <w:rFonts w:ascii="仿宋_GB2312" w:hAnsi="仿宋_GB2312" w:eastAsia="仿宋_GB2312" w:cs="仿宋_GB2312"/>
          <w:color w:val="000000"/>
          <w:kern w:val="0"/>
          <w:sz w:val="32"/>
          <w:szCs w:val="32"/>
        </w:rPr>
      </w:pPr>
      <w:bookmarkStart w:id="11" w:name="_Toc13978"/>
      <w:r>
        <w:rPr>
          <w:rFonts w:hint="eastAsia" w:ascii="仿宋_GB2312" w:hAnsi="仿宋_GB2312" w:eastAsia="仿宋_GB2312" w:cs="仿宋_GB2312"/>
          <w:color w:val="000000"/>
          <w:kern w:val="0"/>
          <w:sz w:val="32"/>
          <w:szCs w:val="32"/>
        </w:rPr>
        <w:t>四、预算管理情况分析</w:t>
      </w:r>
      <w:bookmarkEnd w:id="11"/>
    </w:p>
    <w:p w14:paraId="6008A0EB">
      <w:pPr>
        <w:spacing w:line="360" w:lineRule="auto"/>
        <w:ind w:firstLine="640" w:firstLineChars="200"/>
        <w:outlineLvl w:val="1"/>
        <w:rPr>
          <w:rFonts w:ascii="仿宋_GB2312" w:hAnsi="仿宋_GB2312" w:eastAsia="仿宋_GB2312" w:cs="仿宋_GB2312"/>
          <w:sz w:val="32"/>
          <w:szCs w:val="32"/>
        </w:rPr>
      </w:pPr>
      <w:bookmarkStart w:id="12" w:name="_Toc19024"/>
      <w:r>
        <w:rPr>
          <w:rFonts w:hint="eastAsia" w:ascii="仿宋_GB2312" w:hAnsi="仿宋_GB2312" w:eastAsia="仿宋_GB2312" w:cs="仿宋_GB2312"/>
          <w:sz w:val="32"/>
          <w:szCs w:val="32"/>
        </w:rPr>
        <w:t>（一）财务管理</w:t>
      </w:r>
      <w:bookmarkEnd w:id="12"/>
    </w:p>
    <w:p w14:paraId="675D802D">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1.财务管理制度健全性</w:t>
      </w:r>
    </w:p>
    <w:p w14:paraId="13154B4F">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社科院制定了《北京市社会科学院财政性项目经费使用管理办法（试行）》《北京市社会科学院预算管理办法（试行）》等多项财务管理制度，并更新了《北京市社会科学院财务报销管理办法》。现行各项制度，机制健全、制度合规，覆盖财务、资产、“三重一大”等多个方面并得到有效执行，确保了内部控制和监督的有效性。</w:t>
      </w:r>
    </w:p>
    <w:p w14:paraId="60AF8667">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2.资金使用合规性和安全性</w:t>
      </w:r>
    </w:p>
    <w:p w14:paraId="2637B3B7">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资金使用过程中，社科院遵循合理安排、讲求实效的原则，力求做到当年拨款，当年使用，发挥其经济效益和社会效益，避免资金闲置或浪费；在内部控制方面，严格履行资金审批程序，做到有据可查、有章可循，严格执行“三重一大”管理制度，不存在截留、挤占、挪用情况，保障财政资金的安全和正确使用。</w:t>
      </w:r>
    </w:p>
    <w:p w14:paraId="5F5B05B3">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3.会计基础信息完善性</w:t>
      </w:r>
    </w:p>
    <w:p w14:paraId="6CCFE9E1">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社科院严格遵守国家财经法规和财务制度，确保了会计信息的真实性和准确性。各项会计记录详尽、完整，能够全面、清晰地反映单位的财务状况和预算执行情况。严格按照政府会计制度完善会计工作，加强对预算、财务、采购及管理等专业知识的学习，及时掌握新规定，确保基础数据信息和会计信息资料真实、准确。</w:t>
      </w:r>
    </w:p>
    <w:p w14:paraId="30322A31">
      <w:pPr>
        <w:spacing w:line="360" w:lineRule="auto"/>
        <w:ind w:firstLine="640" w:firstLineChars="200"/>
        <w:outlineLvl w:val="1"/>
        <w:rPr>
          <w:rFonts w:ascii="仿宋_GB2312" w:hAnsi="仿宋_GB2312" w:eastAsia="仿宋_GB2312" w:cs="仿宋_GB2312"/>
          <w:sz w:val="32"/>
          <w:szCs w:val="32"/>
        </w:rPr>
      </w:pPr>
      <w:bookmarkStart w:id="13" w:name="_Toc31341"/>
      <w:r>
        <w:rPr>
          <w:rFonts w:hint="eastAsia" w:ascii="仿宋_GB2312" w:hAnsi="仿宋_GB2312" w:eastAsia="仿宋_GB2312" w:cs="仿宋_GB2312"/>
          <w:sz w:val="32"/>
          <w:szCs w:val="32"/>
        </w:rPr>
        <w:t>（二）资产管理</w:t>
      </w:r>
      <w:bookmarkEnd w:id="13"/>
    </w:p>
    <w:p w14:paraId="651E6106">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1.制度建设</w:t>
      </w:r>
    </w:p>
    <w:p w14:paraId="68F6AF65">
      <w:pPr>
        <w:spacing w:line="360" w:lineRule="auto"/>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为有效贯彻党中央、国务院关于“过紧日子”的要求，有效盘活并高效使用资产，加强固定资产管理，保障固定资产的安全完整，社科院制定了《北京市社会科学院固定资产管理暂行办法》。</w:t>
      </w:r>
    </w:p>
    <w:p w14:paraId="38BD5756">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2.管理体制</w:t>
      </w:r>
    </w:p>
    <w:p w14:paraId="560E43C2">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围绕市社科院履职工作特点和需要，以落实资产管理主体责任制为抓手，以强化资产的日常管理为出发点和落脚点，扎实落实资产管理工作，建立了明确的资产管理体制，行政处负责资产采购及资产管理，财务处负责资产账务管理，各资产使用处室是资产第一责任人，具体负责资产安全和完整。</w:t>
      </w:r>
    </w:p>
    <w:p w14:paraId="2BBDCE49">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3.资产日常管理</w:t>
      </w:r>
    </w:p>
    <w:p w14:paraId="2DD939D5">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新增</w:t>
      </w:r>
      <w:r>
        <w:rPr>
          <w:rFonts w:hint="eastAsia" w:ascii="仿宋_GB2312" w:hAnsi="仿宋_GB2312" w:eastAsia="仿宋_GB2312" w:cs="仿宋_GB2312"/>
          <w:sz w:val="32"/>
          <w:szCs w:val="32"/>
        </w:rPr>
        <w:t>资产时，填写“固定资产入库单”，建立固定资产卡片，做到统一编号、统一命名、统一登记，确保账、物、卡相</w:t>
      </w:r>
      <w:r>
        <w:rPr>
          <w:rFonts w:hint="eastAsia" w:ascii="仿宋_GB2312" w:hAnsi="仿宋_GB2312" w:eastAsia="仿宋_GB2312" w:cs="仿宋_GB2312"/>
          <w:sz w:val="32"/>
          <w:szCs w:val="32"/>
          <w:highlight w:val="none"/>
        </w:rPr>
        <w:t>符。财务处根据合同、验收资料登记入账。</w:t>
      </w:r>
      <w:r>
        <w:rPr>
          <w:rFonts w:hint="eastAsia" w:ascii="仿宋_GB2312" w:hAnsi="仿宋_GB2312" w:eastAsia="仿宋_GB2312" w:cs="仿宋_GB2312"/>
          <w:sz w:val="32"/>
          <w:szCs w:val="32"/>
          <w:highlight w:val="none"/>
          <w:lang w:eastAsia="zh-CN"/>
        </w:rPr>
        <w:t>严格</w:t>
      </w:r>
      <w:r>
        <w:rPr>
          <w:rFonts w:hint="eastAsia" w:ascii="仿宋_GB2312" w:hAnsi="仿宋_GB2312" w:eastAsia="仿宋_GB2312" w:cs="仿宋_GB2312"/>
          <w:sz w:val="32"/>
          <w:szCs w:val="32"/>
          <w:highlight w:val="none"/>
        </w:rPr>
        <w:t>履行报废程序</w:t>
      </w:r>
      <w:r>
        <w:rPr>
          <w:rFonts w:hint="eastAsia" w:ascii="仿宋_GB2312" w:hAnsi="仿宋_GB2312" w:eastAsia="仿宋_GB2312" w:cs="仿宋_GB2312"/>
          <w:sz w:val="32"/>
          <w:szCs w:val="32"/>
          <w:highlight w:val="none"/>
          <w:lang w:eastAsia="zh-CN"/>
        </w:rPr>
        <w:t>，行政处按相关规定执行审批程序，</w:t>
      </w:r>
      <w:r>
        <w:rPr>
          <w:rFonts w:hint="eastAsia" w:ascii="仿宋_GB2312" w:hAnsi="仿宋_GB2312" w:eastAsia="仿宋_GB2312" w:cs="仿宋_GB2312"/>
          <w:sz w:val="32"/>
          <w:szCs w:val="32"/>
          <w:highlight w:val="none"/>
        </w:rPr>
        <w:t>财</w:t>
      </w:r>
      <w:r>
        <w:rPr>
          <w:rFonts w:hint="eastAsia" w:ascii="仿宋_GB2312" w:hAnsi="仿宋_GB2312" w:eastAsia="仿宋_GB2312" w:cs="仿宋_GB2312"/>
          <w:sz w:val="32"/>
          <w:szCs w:val="32"/>
        </w:rPr>
        <w:t>务</w:t>
      </w:r>
      <w:r>
        <w:rPr>
          <w:rFonts w:hint="eastAsia" w:ascii="仿宋_GB2312" w:hAnsi="仿宋_GB2312" w:eastAsia="仿宋_GB2312" w:cs="仿宋_GB2312"/>
          <w:sz w:val="32"/>
          <w:szCs w:val="32"/>
          <w:lang w:eastAsia="zh-CN"/>
        </w:rPr>
        <w:t>处配合及时做好相应账务</w:t>
      </w:r>
      <w:r>
        <w:rPr>
          <w:rFonts w:hint="eastAsia" w:ascii="仿宋_GB2312" w:hAnsi="仿宋_GB2312" w:eastAsia="仿宋_GB2312" w:cs="仿宋_GB2312"/>
          <w:sz w:val="32"/>
          <w:szCs w:val="32"/>
        </w:rPr>
        <w:t>处理。</w:t>
      </w:r>
    </w:p>
    <w:p w14:paraId="34814EBB">
      <w:pPr>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定期对固定资产进行盘点清查，盘点后如有差异，对盘盈、盘亏、损毁的固定资产应当查明原因，写出书面报告，并按管理权限上报有关部门，经批准后按照增置或减损的规定办理手续</w:t>
      </w:r>
      <w:r>
        <w:rPr>
          <w:rFonts w:hint="eastAsia" w:ascii="仿宋_GB2312" w:hAnsi="仿宋_GB2312" w:eastAsia="仿宋_GB2312" w:cs="仿宋_GB2312"/>
          <w:sz w:val="32"/>
          <w:szCs w:val="32"/>
        </w:rPr>
        <w:t>。</w:t>
      </w:r>
    </w:p>
    <w:p w14:paraId="4A3BAE60">
      <w:pPr>
        <w:spacing w:line="360" w:lineRule="auto"/>
        <w:ind w:firstLine="640" w:firstLineChars="200"/>
        <w:outlineLvl w:val="9"/>
        <w:rPr>
          <w:rFonts w:ascii="仿宋_GB2312" w:hAnsi="仿宋_GB2312" w:eastAsia="仿宋_GB2312" w:cs="仿宋_GB2312"/>
          <w:sz w:val="32"/>
          <w:szCs w:val="32"/>
        </w:rPr>
      </w:pPr>
      <w:bookmarkStart w:id="14" w:name="_Toc16330"/>
      <w:r>
        <w:rPr>
          <w:rFonts w:hint="eastAsia" w:ascii="仿宋_GB2312" w:hAnsi="仿宋_GB2312" w:eastAsia="仿宋_GB2312" w:cs="仿宋_GB2312"/>
          <w:sz w:val="32"/>
          <w:szCs w:val="32"/>
        </w:rPr>
        <w:t>（三）绩效管理</w:t>
      </w:r>
      <w:bookmarkEnd w:id="14"/>
    </w:p>
    <w:p w14:paraId="6DD52E70">
      <w:pPr>
        <w:spacing w:line="360" w:lineRule="auto"/>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在党组领导下，社科院成立了由财务处牵头、办公室督办、机关纪委全程监督、其他业务处室积极协同的工作机制，规范工作程序，明确分阶段工作任务，强化预算绩效在预算编制、执行中的全过程管理。</w:t>
      </w:r>
      <w:r>
        <w:rPr>
          <w:rFonts w:hint="eastAsia" w:ascii="仿宋_GB2312" w:hAnsi="仿宋_GB2312" w:eastAsia="仿宋_GB2312" w:cs="仿宋_GB2312"/>
          <w:sz w:val="32"/>
          <w:szCs w:val="32"/>
          <w:lang w:eastAsia="zh-CN"/>
        </w:rPr>
        <w:t>每年</w:t>
      </w:r>
      <w:r>
        <w:rPr>
          <w:rFonts w:hint="eastAsia" w:ascii="仿宋_GB2312" w:hAnsi="仿宋_GB2312" w:eastAsia="仿宋_GB2312" w:cs="仿宋_GB2312"/>
          <w:sz w:val="32"/>
          <w:szCs w:val="32"/>
          <w:lang w:val="en-US" w:eastAsia="zh-CN"/>
        </w:rPr>
        <w:t>5月对上年度绩效情况开展评价，年中对当年绩效实现情况进行跟踪，对存在的问题认真分析原因并制订措施进一步改进。</w:t>
      </w:r>
    </w:p>
    <w:p w14:paraId="355471A7">
      <w:pPr>
        <w:spacing w:line="360" w:lineRule="auto"/>
        <w:ind w:firstLine="640" w:firstLineChars="200"/>
        <w:outlineLvl w:val="1"/>
        <w:rPr>
          <w:rFonts w:ascii="仿宋_GB2312" w:hAnsi="仿宋_GB2312" w:eastAsia="仿宋_GB2312" w:cs="仿宋_GB2312"/>
          <w:sz w:val="32"/>
          <w:szCs w:val="32"/>
          <w:highlight w:val="none"/>
        </w:rPr>
      </w:pPr>
      <w:bookmarkStart w:id="15" w:name="_Toc26699"/>
      <w:r>
        <w:rPr>
          <w:rFonts w:hint="eastAsia" w:ascii="仿宋_GB2312" w:hAnsi="仿宋_GB2312" w:eastAsia="仿宋_GB2312" w:cs="仿宋_GB2312"/>
          <w:sz w:val="32"/>
          <w:szCs w:val="32"/>
          <w:highlight w:val="none"/>
        </w:rPr>
        <w:t>（四）结转结余率</w:t>
      </w:r>
      <w:bookmarkEnd w:id="15"/>
    </w:p>
    <w:p w14:paraId="13616A51">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根据部门决算报表，</w:t>
      </w:r>
      <w:r>
        <w:rPr>
          <w:rFonts w:hint="eastAsia" w:ascii="仿宋_GB2312" w:hAnsi="仿宋_GB2312" w:eastAsia="仿宋_GB2312" w:cs="仿宋_GB2312"/>
          <w:sz w:val="32"/>
          <w:szCs w:val="32"/>
        </w:rPr>
        <w:t>2024年预算年末结转和结余额为5,155.34万元，</w:t>
      </w:r>
      <w:r>
        <w:rPr>
          <w:rFonts w:hint="eastAsia" w:ascii="仿宋_GB2312" w:hAnsi="仿宋_GB2312" w:eastAsia="仿宋_GB2312" w:cs="仿宋_GB2312"/>
          <w:sz w:val="32"/>
          <w:szCs w:val="32"/>
          <w:lang w:eastAsia="zh-CN"/>
        </w:rPr>
        <w:t>全年支出决算数</w:t>
      </w:r>
      <w:r>
        <w:rPr>
          <w:rFonts w:hint="eastAsia" w:ascii="仿宋_GB2312" w:hAnsi="仿宋_GB2312" w:eastAsia="仿宋_GB2312" w:cs="仿宋_GB2312"/>
          <w:sz w:val="32"/>
          <w:szCs w:val="32"/>
        </w:rPr>
        <w:t>18,007.37万元，结转结余率28.63%。</w:t>
      </w:r>
    </w:p>
    <w:p w14:paraId="4D31BD71">
      <w:pPr>
        <w:spacing w:line="360" w:lineRule="auto"/>
        <w:ind w:firstLine="640" w:firstLineChars="200"/>
        <w:outlineLvl w:val="1"/>
        <w:rPr>
          <w:rFonts w:ascii="仿宋_GB2312" w:hAnsi="仿宋_GB2312" w:eastAsia="仿宋_GB2312" w:cs="仿宋_GB2312"/>
          <w:sz w:val="32"/>
          <w:szCs w:val="32"/>
        </w:rPr>
      </w:pPr>
      <w:bookmarkStart w:id="16" w:name="_Toc22511"/>
      <w:r>
        <w:rPr>
          <w:rFonts w:hint="eastAsia" w:ascii="仿宋_GB2312" w:hAnsi="仿宋_GB2312" w:eastAsia="仿宋_GB2312" w:cs="仿宋_GB2312"/>
          <w:sz w:val="32"/>
          <w:szCs w:val="32"/>
        </w:rPr>
        <w:t>（五）部门预决算差异率</w:t>
      </w:r>
      <w:bookmarkEnd w:id="16"/>
    </w:p>
    <w:p w14:paraId="26862AB7">
      <w:pPr>
        <w:spacing w:line="360" w:lineRule="auto"/>
        <w:ind w:firstLine="640" w:firstLineChars="200"/>
        <w:rPr>
          <w:rFonts w:ascii="仿宋_GB2312" w:hAnsi="仿宋_GB2312" w:eastAsia="仿宋_GB2312" w:cs="仿宋_GB2312"/>
          <w:sz w:val="32"/>
          <w:szCs w:val="32"/>
        </w:rPr>
      </w:pPr>
      <w:r>
        <w:rPr>
          <w:rFonts w:hint="eastAsia" w:ascii="仿宋_GB2312" w:eastAsia="仿宋_GB2312" w:hAnsiTheme="minorEastAsia"/>
          <w:sz w:val="32"/>
          <w:szCs w:val="32"/>
        </w:rPr>
        <w:t>2024年社科院</w:t>
      </w:r>
      <w:r>
        <w:rPr>
          <w:rFonts w:hint="eastAsia" w:ascii="仿宋_GB2312" w:eastAsia="仿宋_GB2312" w:hAnsiTheme="minorEastAsia"/>
          <w:sz w:val="32"/>
          <w:szCs w:val="32"/>
          <w:lang w:eastAsia="zh-CN"/>
        </w:rPr>
        <w:t>全年预算</w:t>
      </w:r>
      <w:r>
        <w:rPr>
          <w:rFonts w:hint="eastAsia" w:ascii="仿宋_GB2312" w:eastAsia="仿宋_GB2312" w:hAnsiTheme="minorEastAsia"/>
          <w:sz w:val="32"/>
          <w:szCs w:val="32"/>
        </w:rPr>
        <w:t>支出金额为</w:t>
      </w:r>
      <w:r>
        <w:rPr>
          <w:rFonts w:hint="eastAsia" w:ascii="仿宋_GB2312" w:hAnsi="仿宋_GB2312" w:eastAsia="仿宋_GB2312" w:cs="仿宋_GB2312"/>
          <w:color w:val="000000"/>
          <w:kern w:val="0"/>
          <w:sz w:val="32"/>
          <w:szCs w:val="32"/>
        </w:rPr>
        <w:t>18,329.32</w:t>
      </w:r>
      <w:r>
        <w:rPr>
          <w:rFonts w:ascii="仿宋_GB2312" w:eastAsia="仿宋_GB2312" w:hAnsiTheme="minorEastAsia"/>
          <w:sz w:val="32"/>
          <w:szCs w:val="32"/>
        </w:rPr>
        <w:t>万元</w:t>
      </w:r>
      <w:r>
        <w:rPr>
          <w:rFonts w:hint="eastAsia" w:ascii="仿宋_GB2312" w:eastAsia="仿宋_GB2312" w:hAnsiTheme="minorEastAsia"/>
          <w:sz w:val="32"/>
          <w:szCs w:val="32"/>
        </w:rPr>
        <w:t>，决算支出金额为</w:t>
      </w:r>
      <w:r>
        <w:rPr>
          <w:rFonts w:hint="eastAsia" w:ascii="仿宋_GB2312" w:hAnsi="仿宋_GB2312" w:eastAsia="仿宋_GB2312" w:cs="仿宋_GB2312"/>
          <w:color w:val="000000"/>
          <w:kern w:val="0"/>
          <w:sz w:val="32"/>
          <w:szCs w:val="32"/>
        </w:rPr>
        <w:t>16,667.75</w:t>
      </w:r>
      <w:r>
        <w:rPr>
          <w:rFonts w:hint="eastAsia" w:ascii="仿宋_GB2312" w:eastAsia="仿宋_GB2312" w:hAnsiTheme="minorEastAsia"/>
          <w:sz w:val="32"/>
          <w:szCs w:val="32"/>
        </w:rPr>
        <w:t>万元；部门预决算差异率9.07%。</w:t>
      </w:r>
    </w:p>
    <w:p w14:paraId="6487B774">
      <w:pPr>
        <w:spacing w:line="360" w:lineRule="auto"/>
        <w:ind w:firstLine="640" w:firstLineChars="200"/>
        <w:outlineLvl w:val="0"/>
        <w:rPr>
          <w:rFonts w:ascii="仿宋_GB2312" w:hAnsi="仿宋_GB2312" w:eastAsia="仿宋_GB2312" w:cs="仿宋_GB2312"/>
          <w:sz w:val="32"/>
          <w:szCs w:val="32"/>
        </w:rPr>
      </w:pPr>
      <w:bookmarkStart w:id="17" w:name="_Toc5306"/>
      <w:r>
        <w:rPr>
          <w:rFonts w:hint="eastAsia" w:ascii="仿宋_GB2312" w:hAnsi="仿宋_GB2312" w:eastAsia="仿宋_GB2312" w:cs="仿宋_GB2312"/>
          <w:sz w:val="32"/>
          <w:szCs w:val="32"/>
        </w:rPr>
        <w:t>五、总体评价结论</w:t>
      </w:r>
      <w:bookmarkEnd w:id="17"/>
    </w:p>
    <w:p w14:paraId="1D04FA66">
      <w:pPr>
        <w:spacing w:line="360" w:lineRule="auto"/>
        <w:ind w:firstLine="640" w:firstLineChars="200"/>
        <w:outlineLvl w:val="1"/>
        <w:rPr>
          <w:rFonts w:ascii="仿宋_GB2312" w:hAnsi="仿宋_GB2312" w:eastAsia="仿宋_GB2312" w:cs="仿宋_GB2312"/>
          <w:sz w:val="32"/>
          <w:szCs w:val="32"/>
        </w:rPr>
      </w:pPr>
      <w:bookmarkStart w:id="18" w:name="_Toc9635"/>
      <w:r>
        <w:rPr>
          <w:rFonts w:hint="eastAsia" w:ascii="仿宋_GB2312" w:hAnsi="仿宋_GB2312" w:eastAsia="仿宋_GB2312" w:cs="仿宋_GB2312"/>
          <w:sz w:val="32"/>
          <w:szCs w:val="32"/>
        </w:rPr>
        <w:t>（一）评价得分情况</w:t>
      </w:r>
      <w:bookmarkEnd w:id="18"/>
    </w:p>
    <w:p w14:paraId="297C4B7A">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社科院2024年度部门整体绩效评价得分为92.20分，绩效级别为“优秀”。其中，当年预算执行情况18.20分，整体绩效目标实现情况56.50分，预算管理情况17.50分。</w:t>
      </w:r>
    </w:p>
    <w:p w14:paraId="55599981">
      <w:pPr>
        <w:spacing w:line="360" w:lineRule="auto"/>
        <w:ind w:firstLine="640" w:firstLineChars="200"/>
        <w:outlineLvl w:val="1"/>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（二）存在的问题及原因分析</w:t>
      </w:r>
    </w:p>
    <w:p w14:paraId="4E864133">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1.项目预算编制的准确性、科学性有待进一步提高。预算的测算依据应该更加注重多样化、应综合考虑内外部环境、市场价格以及政策等方面的变化。</w:t>
      </w:r>
    </w:p>
    <w:p w14:paraId="6154EB28">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绩效指标设置和填报的合理性、完整性仍需提高。对绩效指标的量化程度不够，个别项目所设置的指标为不易考核的定性指标，缺乏直观反映绩效目标完成情况的指标。部分项目绩效指标设置不全面，产出指标缺少时效指标和质量指标，效益指标缺少社会效益指标和可持续影响指标，原则上应设置产出数量指标、产出质量指标、产出时效指标、社会效益指标以及可持续影响指标。</w:t>
      </w:r>
    </w:p>
    <w:p w14:paraId="62FF8DA2">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3.对部门整体绩效成果的呈现不够充分，相关绩效成果信息分析和汇总得不够到位。项目执行的绩效资料收集、整理及分析意识还需进一步强化</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项目服务对象满意度调查方案不够完善，未能充分、完整地呈现项目效益效果。</w:t>
      </w:r>
    </w:p>
    <w:p w14:paraId="434337FB">
      <w:pPr>
        <w:spacing w:line="360" w:lineRule="auto"/>
        <w:ind w:firstLine="640" w:firstLineChars="200"/>
        <w:outlineLvl w:val="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六、措施</w:t>
      </w:r>
      <w:r>
        <w:rPr>
          <w:rFonts w:hint="eastAsia" w:ascii="仿宋_GB2312" w:hAnsi="仿宋_GB2312" w:eastAsia="仿宋_GB2312" w:cs="仿宋_GB2312"/>
          <w:sz w:val="32"/>
          <w:szCs w:val="32"/>
        </w:rPr>
        <w:t>建议</w:t>
      </w:r>
    </w:p>
    <w:p w14:paraId="56588FE2">
      <w:pPr>
        <w:spacing w:line="360" w:lineRule="auto"/>
        <w:ind w:firstLine="640" w:firstLineChars="200"/>
        <w:outlineLvl w:val="1"/>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（一）整改措施</w:t>
      </w:r>
    </w:p>
    <w:p w14:paraId="358DA3EC">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强化绩效管理理念，将“要我评价”的被动认识转化为“我要评价”的主动实践，把财政绩效评价作为转变工作作风、促进科学理财的重要工作来抓，高度重视绩效管理工作，不断强化项目负责人、执行人的绩效管理主体责任意识，深入推进评价工作，提升整体绩效管理水平。</w:t>
      </w:r>
    </w:p>
    <w:p w14:paraId="243F1033">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构建绩效管理机制。一是建立科学规范的财政预算绩效目标管理办法以及绩效管理实施方案，明确预算管理部门、资金使用部门的工作责任。二是建立更加全面的预算绩效评价指标体系。应结合财政预算绩效评价要求和项目执行实际情况，设置共性指标和个性指标。三是有效应用预算绩效评价结果。</w:t>
      </w:r>
    </w:p>
    <w:p w14:paraId="039C5D2C">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加强绩效管理培训。只有开展绩效管理培训，努力提高相关人员业务素质，才能真正将绩效管理工作落到实处。既要提高绩效指标填报水平、绩效目标设置质量，又要强化绩效事中监控，客观真实反映指标完成进度，还应注重项目实施后对部门社会效益、可持续影响等效益体现的支撑资料。</w:t>
      </w:r>
    </w:p>
    <w:p w14:paraId="4C05DDE4">
      <w:pPr>
        <w:spacing w:line="360" w:lineRule="auto"/>
        <w:ind w:firstLine="640" w:firstLineChars="200"/>
        <w:outlineLvl w:val="1"/>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（二）下一步工作举措</w:t>
      </w:r>
    </w:p>
    <w:p w14:paraId="592C07CD">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为提高项目管理水平，使财政资金的使用效益得到最大程度的提高。将从以下几方面开展工作：</w:t>
      </w:r>
    </w:p>
    <w:p w14:paraId="5117E566">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1.加强绩效目标论证</w:t>
      </w:r>
    </w:p>
    <w:p w14:paraId="503DE1F8">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进一步提高预算绩效目标规范化水平，加强绩效目标论证，用明确、清晰、可量化的绩效目标体现项目成果的数量和质量、产出和效果，推动预算管理向科学化、精细化转变。</w:t>
      </w:r>
    </w:p>
    <w:p w14:paraId="26CFE4FD">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2.强化项目过程中绩效管理</w:t>
      </w:r>
    </w:p>
    <w:p w14:paraId="085901EC">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进一步加强项目实施的过程管理，结合项目实际情况，制定行之有效的管理措施和实施方案。项目执行过程做到“组织落实、人员落实、责任落实”，提高方案执行的有效性，及时反馈指标完成进度。</w:t>
      </w:r>
    </w:p>
    <w:p w14:paraId="5A02FD84">
      <w:pPr>
        <w:spacing w:line="360" w:lineRule="auto"/>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3.注重绩效资料管理</w:t>
      </w:r>
    </w:p>
    <w:p w14:paraId="2162480C">
      <w:pPr>
        <w:spacing w:line="360" w:lineRule="auto"/>
        <w:ind w:firstLine="640" w:firstLineChars="200"/>
      </w:pPr>
      <w:r>
        <w:rPr>
          <w:rFonts w:hint="eastAsia" w:ascii="仿宋_GB2312" w:hAnsi="仿宋_GB2312" w:eastAsia="仿宋_GB2312" w:cs="仿宋_GB2312"/>
          <w:color w:val="000000"/>
          <w:kern w:val="0"/>
          <w:sz w:val="32"/>
          <w:szCs w:val="32"/>
        </w:rPr>
        <w:t>注重各项工作任务完成过程和项目结束后成果资料的管理，做好各项重点工作效果满意度调查，提高对服务满意度调查重视程度，设立适合项目的满意度调查方案指标，以充分反映服务受众对市社科院工作的满意度。</w:t>
      </w:r>
    </w:p>
    <w:sectPr>
      <w:footerReference r:id="rId3" w:type="default"/>
      <w:pgSz w:w="11906" w:h="16838"/>
      <w:pgMar w:top="1440" w:right="1800" w:bottom="1440" w:left="1800" w:header="851" w:footer="992" w:gutter="0"/>
      <w:pgNumType w:start="1"/>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E6D87">
    <w:pPr>
      <w:pStyle w:val="5"/>
      <w:ind w:firstLine="560"/>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418FB8">
                          <w:pPr>
                            <w:pStyle w:val="5"/>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9418FB8">
                    <w:pPr>
                      <w:pStyle w:val="5"/>
                    </w:pPr>
                    <w:r>
                      <w:fldChar w:fldCharType="begin"/>
                    </w:r>
                    <w:r>
                      <w:instrText xml:space="preserve"> PAGE  \* MERGEFORMAT </w:instrText>
                    </w:r>
                    <w:r>
                      <w:fldChar w:fldCharType="separate"/>
                    </w:r>
                    <w:r>
                      <w:t>14</w:t>
                    </w:r>
                    <w:r>
                      <w:fldChar w:fldCharType="end"/>
                    </w:r>
                  </w:p>
                </w:txbxContent>
              </v:textbox>
            </v:shape>
          </w:pict>
        </mc:Fallback>
      </mc:AlternateContent>
    </w:r>
  </w:p>
  <w:p w14:paraId="3ACF43BA">
    <w:pPr>
      <w:pStyle w:val="5"/>
      <w:ind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jNmY1MmE1MjM1Mjc0YzlmZWRmNjlkZDgzNTkxZTAifQ=="/>
  </w:docVars>
  <w:rsids>
    <w:rsidRoot w:val="00484581"/>
    <w:rsid w:val="00092509"/>
    <w:rsid w:val="001B18D4"/>
    <w:rsid w:val="001E5FD1"/>
    <w:rsid w:val="00285085"/>
    <w:rsid w:val="002C4449"/>
    <w:rsid w:val="00334CE7"/>
    <w:rsid w:val="00484581"/>
    <w:rsid w:val="0055574E"/>
    <w:rsid w:val="007A1813"/>
    <w:rsid w:val="008B5614"/>
    <w:rsid w:val="00950240"/>
    <w:rsid w:val="00B8747F"/>
    <w:rsid w:val="00E625AB"/>
    <w:rsid w:val="00F723BA"/>
    <w:rsid w:val="011E3D92"/>
    <w:rsid w:val="016A0439"/>
    <w:rsid w:val="01766F36"/>
    <w:rsid w:val="018F2EE2"/>
    <w:rsid w:val="01D02219"/>
    <w:rsid w:val="02094A42"/>
    <w:rsid w:val="020967F0"/>
    <w:rsid w:val="02254FCF"/>
    <w:rsid w:val="02331ABF"/>
    <w:rsid w:val="02624152"/>
    <w:rsid w:val="026D3223"/>
    <w:rsid w:val="02A97FD3"/>
    <w:rsid w:val="02B068EF"/>
    <w:rsid w:val="03045209"/>
    <w:rsid w:val="03393105"/>
    <w:rsid w:val="033F6241"/>
    <w:rsid w:val="03B22EB7"/>
    <w:rsid w:val="03B46C2F"/>
    <w:rsid w:val="03DA4F86"/>
    <w:rsid w:val="03F60FF6"/>
    <w:rsid w:val="04463D2B"/>
    <w:rsid w:val="044B28D9"/>
    <w:rsid w:val="049F51EA"/>
    <w:rsid w:val="04B0389B"/>
    <w:rsid w:val="05C869C2"/>
    <w:rsid w:val="06277B8D"/>
    <w:rsid w:val="063858F6"/>
    <w:rsid w:val="064A387B"/>
    <w:rsid w:val="06667CE7"/>
    <w:rsid w:val="067F1777"/>
    <w:rsid w:val="069761AE"/>
    <w:rsid w:val="06D27AF8"/>
    <w:rsid w:val="06E710CA"/>
    <w:rsid w:val="07524795"/>
    <w:rsid w:val="077741FC"/>
    <w:rsid w:val="07B70A9C"/>
    <w:rsid w:val="07D01B5E"/>
    <w:rsid w:val="086E1AA3"/>
    <w:rsid w:val="089B216C"/>
    <w:rsid w:val="089F3E00"/>
    <w:rsid w:val="08A07782"/>
    <w:rsid w:val="08A3561E"/>
    <w:rsid w:val="08A52FEB"/>
    <w:rsid w:val="08D95826"/>
    <w:rsid w:val="08F024B8"/>
    <w:rsid w:val="09A90D29"/>
    <w:rsid w:val="09C83435"/>
    <w:rsid w:val="09FC6C3A"/>
    <w:rsid w:val="0A1026E6"/>
    <w:rsid w:val="0A5D3B7D"/>
    <w:rsid w:val="0A7F75F1"/>
    <w:rsid w:val="0AF50259"/>
    <w:rsid w:val="0B2C17A1"/>
    <w:rsid w:val="0B6D5629"/>
    <w:rsid w:val="0B9510F4"/>
    <w:rsid w:val="0C1C7A68"/>
    <w:rsid w:val="0C1F38F0"/>
    <w:rsid w:val="0C300E1D"/>
    <w:rsid w:val="0CE045F1"/>
    <w:rsid w:val="0CF339BC"/>
    <w:rsid w:val="0D046532"/>
    <w:rsid w:val="0D097FEC"/>
    <w:rsid w:val="0D1D3A97"/>
    <w:rsid w:val="0D437156"/>
    <w:rsid w:val="0D6B035F"/>
    <w:rsid w:val="0D894C89"/>
    <w:rsid w:val="0D921D8F"/>
    <w:rsid w:val="0DD56120"/>
    <w:rsid w:val="0E440BB0"/>
    <w:rsid w:val="0E497E38"/>
    <w:rsid w:val="0E5434E9"/>
    <w:rsid w:val="0ECF491D"/>
    <w:rsid w:val="0EFE5203"/>
    <w:rsid w:val="0F2509E1"/>
    <w:rsid w:val="0F5B515F"/>
    <w:rsid w:val="0F73799F"/>
    <w:rsid w:val="10246EEB"/>
    <w:rsid w:val="108C6F6A"/>
    <w:rsid w:val="109B71AD"/>
    <w:rsid w:val="10BB33AB"/>
    <w:rsid w:val="10D80401"/>
    <w:rsid w:val="10F66AD9"/>
    <w:rsid w:val="10F845FF"/>
    <w:rsid w:val="113D2012"/>
    <w:rsid w:val="11673533"/>
    <w:rsid w:val="11E626AA"/>
    <w:rsid w:val="12435D4E"/>
    <w:rsid w:val="1299596E"/>
    <w:rsid w:val="129E7DA9"/>
    <w:rsid w:val="12DB5F87"/>
    <w:rsid w:val="133E2072"/>
    <w:rsid w:val="138B5F6E"/>
    <w:rsid w:val="140908D1"/>
    <w:rsid w:val="14221993"/>
    <w:rsid w:val="142676D5"/>
    <w:rsid w:val="142D2812"/>
    <w:rsid w:val="143C0BC9"/>
    <w:rsid w:val="145C4EA5"/>
    <w:rsid w:val="14665D24"/>
    <w:rsid w:val="1497412F"/>
    <w:rsid w:val="14FC3F92"/>
    <w:rsid w:val="1534197E"/>
    <w:rsid w:val="154D2A40"/>
    <w:rsid w:val="159B19FD"/>
    <w:rsid w:val="15BD7BC5"/>
    <w:rsid w:val="15D344F1"/>
    <w:rsid w:val="15E0481E"/>
    <w:rsid w:val="16257519"/>
    <w:rsid w:val="163A0879"/>
    <w:rsid w:val="16435340"/>
    <w:rsid w:val="1686445B"/>
    <w:rsid w:val="169052DA"/>
    <w:rsid w:val="16CF5E02"/>
    <w:rsid w:val="16D74CB7"/>
    <w:rsid w:val="172E5F1A"/>
    <w:rsid w:val="17367C2F"/>
    <w:rsid w:val="173B6FF4"/>
    <w:rsid w:val="177469AA"/>
    <w:rsid w:val="178D1819"/>
    <w:rsid w:val="179901BE"/>
    <w:rsid w:val="17B31280"/>
    <w:rsid w:val="18133ACD"/>
    <w:rsid w:val="18290C10"/>
    <w:rsid w:val="188B5D59"/>
    <w:rsid w:val="189A5F9C"/>
    <w:rsid w:val="18A24E51"/>
    <w:rsid w:val="190A3122"/>
    <w:rsid w:val="19265A82"/>
    <w:rsid w:val="192F4936"/>
    <w:rsid w:val="19481E9C"/>
    <w:rsid w:val="194F6EF9"/>
    <w:rsid w:val="195E16BF"/>
    <w:rsid w:val="195F03FF"/>
    <w:rsid w:val="19650358"/>
    <w:rsid w:val="19726F19"/>
    <w:rsid w:val="19A277FE"/>
    <w:rsid w:val="1A0A7151"/>
    <w:rsid w:val="1A0E09F0"/>
    <w:rsid w:val="1A141213"/>
    <w:rsid w:val="1A2702DD"/>
    <w:rsid w:val="1A3B555D"/>
    <w:rsid w:val="1A50725A"/>
    <w:rsid w:val="1AA17AB6"/>
    <w:rsid w:val="1AC47300"/>
    <w:rsid w:val="1AE94FB9"/>
    <w:rsid w:val="1AF851FC"/>
    <w:rsid w:val="1B281A35"/>
    <w:rsid w:val="1B302BE8"/>
    <w:rsid w:val="1B5C578B"/>
    <w:rsid w:val="1B754A9E"/>
    <w:rsid w:val="1BA55384"/>
    <w:rsid w:val="1BDE0896"/>
    <w:rsid w:val="1BDE2644"/>
    <w:rsid w:val="1BEF2AA3"/>
    <w:rsid w:val="1C4306F9"/>
    <w:rsid w:val="1C7D3C0B"/>
    <w:rsid w:val="1CCC06EE"/>
    <w:rsid w:val="1CD04682"/>
    <w:rsid w:val="1CE974F2"/>
    <w:rsid w:val="1D3544E5"/>
    <w:rsid w:val="1D37200B"/>
    <w:rsid w:val="1D436C02"/>
    <w:rsid w:val="1D8E3BF5"/>
    <w:rsid w:val="1D993A50"/>
    <w:rsid w:val="1DB775F0"/>
    <w:rsid w:val="1DC00253"/>
    <w:rsid w:val="1DC51D0D"/>
    <w:rsid w:val="1DD666D0"/>
    <w:rsid w:val="1DF24184"/>
    <w:rsid w:val="1E6C3F37"/>
    <w:rsid w:val="1EDC730E"/>
    <w:rsid w:val="1EFB350D"/>
    <w:rsid w:val="1F4275D2"/>
    <w:rsid w:val="1F664E2A"/>
    <w:rsid w:val="1F7C5B7B"/>
    <w:rsid w:val="1FC150DF"/>
    <w:rsid w:val="1FD47FE6"/>
    <w:rsid w:val="1FF40688"/>
    <w:rsid w:val="1FF468DA"/>
    <w:rsid w:val="20032679"/>
    <w:rsid w:val="20541126"/>
    <w:rsid w:val="20727346"/>
    <w:rsid w:val="20831A0C"/>
    <w:rsid w:val="20855784"/>
    <w:rsid w:val="213A656E"/>
    <w:rsid w:val="216C6E3A"/>
    <w:rsid w:val="219624CF"/>
    <w:rsid w:val="21F030D1"/>
    <w:rsid w:val="220821C8"/>
    <w:rsid w:val="2217240B"/>
    <w:rsid w:val="222D1C2F"/>
    <w:rsid w:val="22456F79"/>
    <w:rsid w:val="224F429B"/>
    <w:rsid w:val="22765384"/>
    <w:rsid w:val="22EE13BE"/>
    <w:rsid w:val="22F453DF"/>
    <w:rsid w:val="231D7342"/>
    <w:rsid w:val="234B4A63"/>
    <w:rsid w:val="23517B9F"/>
    <w:rsid w:val="23A3664D"/>
    <w:rsid w:val="23CE7442"/>
    <w:rsid w:val="23E47645"/>
    <w:rsid w:val="240B2444"/>
    <w:rsid w:val="24172B97"/>
    <w:rsid w:val="242E1C8E"/>
    <w:rsid w:val="243A5657"/>
    <w:rsid w:val="246851A0"/>
    <w:rsid w:val="2489015A"/>
    <w:rsid w:val="24B46637"/>
    <w:rsid w:val="255D0959"/>
    <w:rsid w:val="25867FD4"/>
    <w:rsid w:val="258B55EA"/>
    <w:rsid w:val="25B7693F"/>
    <w:rsid w:val="25F85920"/>
    <w:rsid w:val="25FD7B6A"/>
    <w:rsid w:val="263A0DBE"/>
    <w:rsid w:val="26867B60"/>
    <w:rsid w:val="269E30FB"/>
    <w:rsid w:val="26D44D6F"/>
    <w:rsid w:val="26E72CF4"/>
    <w:rsid w:val="27802801"/>
    <w:rsid w:val="27F3369B"/>
    <w:rsid w:val="283929F6"/>
    <w:rsid w:val="28553C8E"/>
    <w:rsid w:val="28BC1F5F"/>
    <w:rsid w:val="28C53517"/>
    <w:rsid w:val="28CD1A76"/>
    <w:rsid w:val="29541CA7"/>
    <w:rsid w:val="29802F8C"/>
    <w:rsid w:val="29D07A70"/>
    <w:rsid w:val="29E4176D"/>
    <w:rsid w:val="2A385615"/>
    <w:rsid w:val="2A5C1303"/>
    <w:rsid w:val="2A7E571E"/>
    <w:rsid w:val="2AB253C7"/>
    <w:rsid w:val="2AB63109"/>
    <w:rsid w:val="2AE52094"/>
    <w:rsid w:val="2B2A7653"/>
    <w:rsid w:val="2B2D0EF2"/>
    <w:rsid w:val="2B33051E"/>
    <w:rsid w:val="2B34464A"/>
    <w:rsid w:val="2B434959"/>
    <w:rsid w:val="2B4C75CA"/>
    <w:rsid w:val="2B7D59D5"/>
    <w:rsid w:val="2B9E76FA"/>
    <w:rsid w:val="2BAD4BF1"/>
    <w:rsid w:val="2BAE1609"/>
    <w:rsid w:val="2BD30C4F"/>
    <w:rsid w:val="2C365B84"/>
    <w:rsid w:val="2C424529"/>
    <w:rsid w:val="2C4C57BC"/>
    <w:rsid w:val="2C9D5C03"/>
    <w:rsid w:val="2CF55DB6"/>
    <w:rsid w:val="2D517119"/>
    <w:rsid w:val="2D6A3D37"/>
    <w:rsid w:val="2D88240F"/>
    <w:rsid w:val="2D8868B3"/>
    <w:rsid w:val="2DAF5BEE"/>
    <w:rsid w:val="2DBA39DB"/>
    <w:rsid w:val="2DEE4968"/>
    <w:rsid w:val="2E1E4B22"/>
    <w:rsid w:val="2E33681F"/>
    <w:rsid w:val="2E3507E9"/>
    <w:rsid w:val="2E6115DE"/>
    <w:rsid w:val="2E8B21B7"/>
    <w:rsid w:val="2EBF4F35"/>
    <w:rsid w:val="2EC90F31"/>
    <w:rsid w:val="2EDA4EED"/>
    <w:rsid w:val="2EF43E97"/>
    <w:rsid w:val="2F6A2714"/>
    <w:rsid w:val="2FA71273"/>
    <w:rsid w:val="2FE34275"/>
    <w:rsid w:val="2FE778C1"/>
    <w:rsid w:val="2FF10740"/>
    <w:rsid w:val="2FF16992"/>
    <w:rsid w:val="2FFE2E5D"/>
    <w:rsid w:val="30226B4B"/>
    <w:rsid w:val="30517430"/>
    <w:rsid w:val="308E2433"/>
    <w:rsid w:val="30FD4EC2"/>
    <w:rsid w:val="311A3CC6"/>
    <w:rsid w:val="312608BD"/>
    <w:rsid w:val="31280191"/>
    <w:rsid w:val="317A4765"/>
    <w:rsid w:val="318133B2"/>
    <w:rsid w:val="31A3022E"/>
    <w:rsid w:val="31B1462B"/>
    <w:rsid w:val="31E3055C"/>
    <w:rsid w:val="31E760F3"/>
    <w:rsid w:val="31EA3699"/>
    <w:rsid w:val="321D581C"/>
    <w:rsid w:val="32252D28"/>
    <w:rsid w:val="325A6A70"/>
    <w:rsid w:val="327D62BB"/>
    <w:rsid w:val="32821B23"/>
    <w:rsid w:val="329A50BF"/>
    <w:rsid w:val="32AC08B4"/>
    <w:rsid w:val="32CE4D68"/>
    <w:rsid w:val="332C1A8F"/>
    <w:rsid w:val="337F252B"/>
    <w:rsid w:val="3390201E"/>
    <w:rsid w:val="33FB7DDF"/>
    <w:rsid w:val="345E3ECA"/>
    <w:rsid w:val="34CC0F05"/>
    <w:rsid w:val="34F605A6"/>
    <w:rsid w:val="35447564"/>
    <w:rsid w:val="354C42EF"/>
    <w:rsid w:val="357F059C"/>
    <w:rsid w:val="359F479A"/>
    <w:rsid w:val="35F25212"/>
    <w:rsid w:val="360D3DFA"/>
    <w:rsid w:val="36146F36"/>
    <w:rsid w:val="362D624A"/>
    <w:rsid w:val="36533F02"/>
    <w:rsid w:val="365657A0"/>
    <w:rsid w:val="369736C3"/>
    <w:rsid w:val="36AA789A"/>
    <w:rsid w:val="36B50719"/>
    <w:rsid w:val="36CF172B"/>
    <w:rsid w:val="36EC7EB3"/>
    <w:rsid w:val="36FB00F6"/>
    <w:rsid w:val="37F76B0F"/>
    <w:rsid w:val="37F94635"/>
    <w:rsid w:val="3814146F"/>
    <w:rsid w:val="381D755C"/>
    <w:rsid w:val="38284F1B"/>
    <w:rsid w:val="386F66A6"/>
    <w:rsid w:val="387C7014"/>
    <w:rsid w:val="389E7085"/>
    <w:rsid w:val="38DB3D3B"/>
    <w:rsid w:val="394418E0"/>
    <w:rsid w:val="39477622"/>
    <w:rsid w:val="396B1563"/>
    <w:rsid w:val="39B750BD"/>
    <w:rsid w:val="3A372F4A"/>
    <w:rsid w:val="3A39340F"/>
    <w:rsid w:val="3A684EE0"/>
    <w:rsid w:val="3AA27206"/>
    <w:rsid w:val="3AA80595"/>
    <w:rsid w:val="3AA82343"/>
    <w:rsid w:val="3ADE2984"/>
    <w:rsid w:val="3AF85078"/>
    <w:rsid w:val="3B082DE1"/>
    <w:rsid w:val="3B167C0B"/>
    <w:rsid w:val="3B392F9B"/>
    <w:rsid w:val="3B450E4E"/>
    <w:rsid w:val="3BA725FA"/>
    <w:rsid w:val="3BAF23CD"/>
    <w:rsid w:val="3BF05D4F"/>
    <w:rsid w:val="3C200FC1"/>
    <w:rsid w:val="3CA628B2"/>
    <w:rsid w:val="3CAC611A"/>
    <w:rsid w:val="3CAF79B9"/>
    <w:rsid w:val="3CD25455"/>
    <w:rsid w:val="3CF74EBC"/>
    <w:rsid w:val="3D037D04"/>
    <w:rsid w:val="3D233F03"/>
    <w:rsid w:val="3D706468"/>
    <w:rsid w:val="3D826E7B"/>
    <w:rsid w:val="3D874491"/>
    <w:rsid w:val="3D9B618F"/>
    <w:rsid w:val="3DB159B2"/>
    <w:rsid w:val="3DC56D68"/>
    <w:rsid w:val="3DFA4C63"/>
    <w:rsid w:val="3E2E2B5F"/>
    <w:rsid w:val="3E9055C8"/>
    <w:rsid w:val="3E9C21BE"/>
    <w:rsid w:val="3EBE3EE3"/>
    <w:rsid w:val="3EC11C25"/>
    <w:rsid w:val="3F300E51"/>
    <w:rsid w:val="3F4A5777"/>
    <w:rsid w:val="3F4F5483"/>
    <w:rsid w:val="40073668"/>
    <w:rsid w:val="40B3559D"/>
    <w:rsid w:val="40C33A32"/>
    <w:rsid w:val="40E816EB"/>
    <w:rsid w:val="41354204"/>
    <w:rsid w:val="413B181B"/>
    <w:rsid w:val="419E624E"/>
    <w:rsid w:val="41DD28D2"/>
    <w:rsid w:val="41F8002D"/>
    <w:rsid w:val="421F4F76"/>
    <w:rsid w:val="429C09DF"/>
    <w:rsid w:val="43100A85"/>
    <w:rsid w:val="432946E3"/>
    <w:rsid w:val="434370AD"/>
    <w:rsid w:val="4352109E"/>
    <w:rsid w:val="435E3EE6"/>
    <w:rsid w:val="43E02B4D"/>
    <w:rsid w:val="44056110"/>
    <w:rsid w:val="44315157"/>
    <w:rsid w:val="443254E9"/>
    <w:rsid w:val="447D65EE"/>
    <w:rsid w:val="44D2693A"/>
    <w:rsid w:val="4513380A"/>
    <w:rsid w:val="45660E30"/>
    <w:rsid w:val="456F5F37"/>
    <w:rsid w:val="458614D2"/>
    <w:rsid w:val="45AD2F03"/>
    <w:rsid w:val="45CC15DB"/>
    <w:rsid w:val="45F02571"/>
    <w:rsid w:val="45FB5A1D"/>
    <w:rsid w:val="46DF533E"/>
    <w:rsid w:val="46ED1809"/>
    <w:rsid w:val="473A2575"/>
    <w:rsid w:val="473F5DDD"/>
    <w:rsid w:val="474D04FA"/>
    <w:rsid w:val="476E221E"/>
    <w:rsid w:val="47727F60"/>
    <w:rsid w:val="47863A0C"/>
    <w:rsid w:val="479720A6"/>
    <w:rsid w:val="47D209FF"/>
    <w:rsid w:val="47F46BC7"/>
    <w:rsid w:val="480A1F47"/>
    <w:rsid w:val="481D7ECC"/>
    <w:rsid w:val="4837077E"/>
    <w:rsid w:val="484D0086"/>
    <w:rsid w:val="48825F81"/>
    <w:rsid w:val="48966C51"/>
    <w:rsid w:val="48FD7CFE"/>
    <w:rsid w:val="491F7C74"/>
    <w:rsid w:val="49221512"/>
    <w:rsid w:val="49325BF9"/>
    <w:rsid w:val="494B0A69"/>
    <w:rsid w:val="4958156F"/>
    <w:rsid w:val="49811327"/>
    <w:rsid w:val="499A379E"/>
    <w:rsid w:val="4A0F7CE8"/>
    <w:rsid w:val="4A2C089A"/>
    <w:rsid w:val="4A4831FA"/>
    <w:rsid w:val="4A8E50B1"/>
    <w:rsid w:val="4A8F4985"/>
    <w:rsid w:val="4ACE3700"/>
    <w:rsid w:val="4ADF76BB"/>
    <w:rsid w:val="4B0233A9"/>
    <w:rsid w:val="4B217CD3"/>
    <w:rsid w:val="4B797B0F"/>
    <w:rsid w:val="4B9C7DBF"/>
    <w:rsid w:val="4B9D30D2"/>
    <w:rsid w:val="4BCC36DF"/>
    <w:rsid w:val="4C075B69"/>
    <w:rsid w:val="4C416153"/>
    <w:rsid w:val="4C983FC5"/>
    <w:rsid w:val="4CBD032B"/>
    <w:rsid w:val="4DC86B2C"/>
    <w:rsid w:val="4DD23507"/>
    <w:rsid w:val="4E035DB6"/>
    <w:rsid w:val="4E2722D1"/>
    <w:rsid w:val="4E604FB7"/>
    <w:rsid w:val="4E7B3B9E"/>
    <w:rsid w:val="4F361873"/>
    <w:rsid w:val="4F3825FD"/>
    <w:rsid w:val="4F3B332E"/>
    <w:rsid w:val="4F6A776F"/>
    <w:rsid w:val="4F912F4E"/>
    <w:rsid w:val="4FE15C83"/>
    <w:rsid w:val="50354221"/>
    <w:rsid w:val="50650662"/>
    <w:rsid w:val="508B425D"/>
    <w:rsid w:val="509B0528"/>
    <w:rsid w:val="50F6575E"/>
    <w:rsid w:val="50F66814"/>
    <w:rsid w:val="50FC11FB"/>
    <w:rsid w:val="510065DD"/>
    <w:rsid w:val="51383FC9"/>
    <w:rsid w:val="51475FBA"/>
    <w:rsid w:val="51516E38"/>
    <w:rsid w:val="515626A1"/>
    <w:rsid w:val="516934AF"/>
    <w:rsid w:val="5222272C"/>
    <w:rsid w:val="52391DA6"/>
    <w:rsid w:val="52614E59"/>
    <w:rsid w:val="526D37FE"/>
    <w:rsid w:val="527B6FD2"/>
    <w:rsid w:val="52857403"/>
    <w:rsid w:val="52900EEF"/>
    <w:rsid w:val="531A5761"/>
    <w:rsid w:val="532C36B9"/>
    <w:rsid w:val="532F6376"/>
    <w:rsid w:val="534055A7"/>
    <w:rsid w:val="537137C2"/>
    <w:rsid w:val="538E1C7E"/>
    <w:rsid w:val="54686973"/>
    <w:rsid w:val="54880DC3"/>
    <w:rsid w:val="54B971CF"/>
    <w:rsid w:val="550D12C8"/>
    <w:rsid w:val="551E176E"/>
    <w:rsid w:val="554D7917"/>
    <w:rsid w:val="554F18E1"/>
    <w:rsid w:val="559B0682"/>
    <w:rsid w:val="55A51501"/>
    <w:rsid w:val="55B02A26"/>
    <w:rsid w:val="55C776C9"/>
    <w:rsid w:val="55D6244F"/>
    <w:rsid w:val="55E24503"/>
    <w:rsid w:val="55E97640"/>
    <w:rsid w:val="55F869F5"/>
    <w:rsid w:val="5613290E"/>
    <w:rsid w:val="56270168"/>
    <w:rsid w:val="563F3703"/>
    <w:rsid w:val="56424FA2"/>
    <w:rsid w:val="56AF0889"/>
    <w:rsid w:val="56E524FD"/>
    <w:rsid w:val="56F3629C"/>
    <w:rsid w:val="571903F8"/>
    <w:rsid w:val="573E7E5F"/>
    <w:rsid w:val="576D604E"/>
    <w:rsid w:val="57831D16"/>
    <w:rsid w:val="578A2E8A"/>
    <w:rsid w:val="57AC301B"/>
    <w:rsid w:val="57B36157"/>
    <w:rsid w:val="57C739B1"/>
    <w:rsid w:val="57D83E10"/>
    <w:rsid w:val="57DE0CFA"/>
    <w:rsid w:val="57FF139C"/>
    <w:rsid w:val="581D1822"/>
    <w:rsid w:val="584C2108"/>
    <w:rsid w:val="585B1260"/>
    <w:rsid w:val="58BA64F2"/>
    <w:rsid w:val="58D2260D"/>
    <w:rsid w:val="58EB7B73"/>
    <w:rsid w:val="58EE57C4"/>
    <w:rsid w:val="590747AB"/>
    <w:rsid w:val="591A4581"/>
    <w:rsid w:val="592310BA"/>
    <w:rsid w:val="59777658"/>
    <w:rsid w:val="5A184997"/>
    <w:rsid w:val="5A250E62"/>
    <w:rsid w:val="5A31136F"/>
    <w:rsid w:val="5A6F20DD"/>
    <w:rsid w:val="5A8262B5"/>
    <w:rsid w:val="5ADD173D"/>
    <w:rsid w:val="5B2F01EA"/>
    <w:rsid w:val="5B490B80"/>
    <w:rsid w:val="5B5063B8"/>
    <w:rsid w:val="5B5E287E"/>
    <w:rsid w:val="5B5E2DC8"/>
    <w:rsid w:val="5B6B4F9B"/>
    <w:rsid w:val="5B6B6D49"/>
    <w:rsid w:val="5BB331A4"/>
    <w:rsid w:val="5BB406F0"/>
    <w:rsid w:val="5C133668"/>
    <w:rsid w:val="5C89392A"/>
    <w:rsid w:val="5D094416"/>
    <w:rsid w:val="5D0B07E3"/>
    <w:rsid w:val="5D505750"/>
    <w:rsid w:val="5D752101"/>
    <w:rsid w:val="5DF9063C"/>
    <w:rsid w:val="5E062D59"/>
    <w:rsid w:val="5E1C432A"/>
    <w:rsid w:val="5E1E62F4"/>
    <w:rsid w:val="5E7B5776"/>
    <w:rsid w:val="5EAF519E"/>
    <w:rsid w:val="5EC56770"/>
    <w:rsid w:val="5ECB647C"/>
    <w:rsid w:val="5ECC7AFE"/>
    <w:rsid w:val="5ED74E21"/>
    <w:rsid w:val="5F7D704B"/>
    <w:rsid w:val="5FD7780E"/>
    <w:rsid w:val="600F05EB"/>
    <w:rsid w:val="601614EA"/>
    <w:rsid w:val="606326E4"/>
    <w:rsid w:val="60821D7D"/>
    <w:rsid w:val="60E27AAD"/>
    <w:rsid w:val="61204131"/>
    <w:rsid w:val="6142679E"/>
    <w:rsid w:val="61A84853"/>
    <w:rsid w:val="61B56F70"/>
    <w:rsid w:val="61BA6334"/>
    <w:rsid w:val="6231402C"/>
    <w:rsid w:val="624B51DE"/>
    <w:rsid w:val="62AA45FB"/>
    <w:rsid w:val="62B023C6"/>
    <w:rsid w:val="62B80AC5"/>
    <w:rsid w:val="63416D0D"/>
    <w:rsid w:val="63830E60"/>
    <w:rsid w:val="63952BB5"/>
    <w:rsid w:val="63A57A90"/>
    <w:rsid w:val="63C17E4E"/>
    <w:rsid w:val="63D062E3"/>
    <w:rsid w:val="64202DC6"/>
    <w:rsid w:val="64A5674B"/>
    <w:rsid w:val="64D67929"/>
    <w:rsid w:val="64EA6F30"/>
    <w:rsid w:val="64F953C5"/>
    <w:rsid w:val="65060050"/>
    <w:rsid w:val="650E5259"/>
    <w:rsid w:val="651D7306"/>
    <w:rsid w:val="653D08B4"/>
    <w:rsid w:val="653D1756"/>
    <w:rsid w:val="654C423C"/>
    <w:rsid w:val="65B8702E"/>
    <w:rsid w:val="65CB6D62"/>
    <w:rsid w:val="662C3B8C"/>
    <w:rsid w:val="66303069"/>
    <w:rsid w:val="665925BF"/>
    <w:rsid w:val="666176C6"/>
    <w:rsid w:val="666920D7"/>
    <w:rsid w:val="666C11E0"/>
    <w:rsid w:val="66723681"/>
    <w:rsid w:val="66FC6544"/>
    <w:rsid w:val="67317098"/>
    <w:rsid w:val="6747066A"/>
    <w:rsid w:val="674D72CB"/>
    <w:rsid w:val="6759039D"/>
    <w:rsid w:val="67A41618"/>
    <w:rsid w:val="67BD6B7E"/>
    <w:rsid w:val="67D8610C"/>
    <w:rsid w:val="681A18DB"/>
    <w:rsid w:val="684A3FA2"/>
    <w:rsid w:val="6873723D"/>
    <w:rsid w:val="68E65C61"/>
    <w:rsid w:val="68F4037D"/>
    <w:rsid w:val="691F0159"/>
    <w:rsid w:val="69796AD5"/>
    <w:rsid w:val="69951B60"/>
    <w:rsid w:val="69B63885"/>
    <w:rsid w:val="69BD4E08"/>
    <w:rsid w:val="69E71C90"/>
    <w:rsid w:val="6A030522"/>
    <w:rsid w:val="6A1134C2"/>
    <w:rsid w:val="6A136F29"/>
    <w:rsid w:val="6A1A3E14"/>
    <w:rsid w:val="6A55309E"/>
    <w:rsid w:val="6A647785"/>
    <w:rsid w:val="6A6B0B13"/>
    <w:rsid w:val="6A914782"/>
    <w:rsid w:val="6ADE7537"/>
    <w:rsid w:val="6B032AFA"/>
    <w:rsid w:val="6B286A04"/>
    <w:rsid w:val="6B3E3EB5"/>
    <w:rsid w:val="6B457C0B"/>
    <w:rsid w:val="6B4B624F"/>
    <w:rsid w:val="6B833C3B"/>
    <w:rsid w:val="6BD741D2"/>
    <w:rsid w:val="6BFB5D66"/>
    <w:rsid w:val="6C16685D"/>
    <w:rsid w:val="6C4E249B"/>
    <w:rsid w:val="6C53185F"/>
    <w:rsid w:val="6C9C3206"/>
    <w:rsid w:val="6CC344CD"/>
    <w:rsid w:val="6CEB0015"/>
    <w:rsid w:val="6D54763D"/>
    <w:rsid w:val="6D584248"/>
    <w:rsid w:val="6D6B5FE5"/>
    <w:rsid w:val="6D6D6950"/>
    <w:rsid w:val="6DBE0F5A"/>
    <w:rsid w:val="6DD16EDF"/>
    <w:rsid w:val="6E06752A"/>
    <w:rsid w:val="6E0F17B6"/>
    <w:rsid w:val="6E1B63AC"/>
    <w:rsid w:val="6EE964AB"/>
    <w:rsid w:val="6F2B261F"/>
    <w:rsid w:val="6F9845C7"/>
    <w:rsid w:val="6FB40867"/>
    <w:rsid w:val="6FC565D0"/>
    <w:rsid w:val="70253512"/>
    <w:rsid w:val="705A7660"/>
    <w:rsid w:val="7064228D"/>
    <w:rsid w:val="70643377"/>
    <w:rsid w:val="70673B2B"/>
    <w:rsid w:val="706933FF"/>
    <w:rsid w:val="70910BA8"/>
    <w:rsid w:val="709B63C5"/>
    <w:rsid w:val="70BD7BEF"/>
    <w:rsid w:val="70D54F38"/>
    <w:rsid w:val="70DD4F89"/>
    <w:rsid w:val="713A2FED"/>
    <w:rsid w:val="715220E5"/>
    <w:rsid w:val="715B3CAD"/>
    <w:rsid w:val="715E6CDC"/>
    <w:rsid w:val="71C1726B"/>
    <w:rsid w:val="71C72AD3"/>
    <w:rsid w:val="71DD22F7"/>
    <w:rsid w:val="71E80C9B"/>
    <w:rsid w:val="72001B41"/>
    <w:rsid w:val="724F4877"/>
    <w:rsid w:val="727367B7"/>
    <w:rsid w:val="729130E1"/>
    <w:rsid w:val="72DD6326"/>
    <w:rsid w:val="72EE0533"/>
    <w:rsid w:val="73261A7B"/>
    <w:rsid w:val="7346211D"/>
    <w:rsid w:val="738F5872"/>
    <w:rsid w:val="73927111"/>
    <w:rsid w:val="73BE3A62"/>
    <w:rsid w:val="73C3551C"/>
    <w:rsid w:val="73CB43D1"/>
    <w:rsid w:val="740F42BD"/>
    <w:rsid w:val="742C1313"/>
    <w:rsid w:val="7431692A"/>
    <w:rsid w:val="743C0E2B"/>
    <w:rsid w:val="745E5245"/>
    <w:rsid w:val="75172696"/>
    <w:rsid w:val="7530098F"/>
    <w:rsid w:val="755920C8"/>
    <w:rsid w:val="755A1EB0"/>
    <w:rsid w:val="75706FDE"/>
    <w:rsid w:val="7586788F"/>
    <w:rsid w:val="75A44ED9"/>
    <w:rsid w:val="75D94B83"/>
    <w:rsid w:val="75DA08FB"/>
    <w:rsid w:val="75F55735"/>
    <w:rsid w:val="7618145D"/>
    <w:rsid w:val="767848A1"/>
    <w:rsid w:val="76A96C4B"/>
    <w:rsid w:val="76BB072D"/>
    <w:rsid w:val="76C36542"/>
    <w:rsid w:val="778356EE"/>
    <w:rsid w:val="77894387"/>
    <w:rsid w:val="77BF249E"/>
    <w:rsid w:val="77E45A61"/>
    <w:rsid w:val="77EF4B32"/>
    <w:rsid w:val="77FF289B"/>
    <w:rsid w:val="784309DA"/>
    <w:rsid w:val="784A1D68"/>
    <w:rsid w:val="786A065C"/>
    <w:rsid w:val="786D7A4E"/>
    <w:rsid w:val="788541A1"/>
    <w:rsid w:val="788F3C1F"/>
    <w:rsid w:val="78A10A94"/>
    <w:rsid w:val="78A141F4"/>
    <w:rsid w:val="78B611AB"/>
    <w:rsid w:val="78FB3062"/>
    <w:rsid w:val="79112886"/>
    <w:rsid w:val="79240792"/>
    <w:rsid w:val="79346574"/>
    <w:rsid w:val="798B088A"/>
    <w:rsid w:val="7A081EDB"/>
    <w:rsid w:val="7A7B08FF"/>
    <w:rsid w:val="7A995229"/>
    <w:rsid w:val="7A9A34A6"/>
    <w:rsid w:val="7AC676A0"/>
    <w:rsid w:val="7AD766A2"/>
    <w:rsid w:val="7AF10BC1"/>
    <w:rsid w:val="7B0F54EB"/>
    <w:rsid w:val="7B234AF2"/>
    <w:rsid w:val="7B7D2454"/>
    <w:rsid w:val="7B975DAC"/>
    <w:rsid w:val="7B9B28DB"/>
    <w:rsid w:val="7BA7127F"/>
    <w:rsid w:val="7BD76009"/>
    <w:rsid w:val="7BD83B2F"/>
    <w:rsid w:val="7BE40725"/>
    <w:rsid w:val="7BE42CE3"/>
    <w:rsid w:val="7C013085"/>
    <w:rsid w:val="7C10151B"/>
    <w:rsid w:val="7C2A25DC"/>
    <w:rsid w:val="7C7750F6"/>
    <w:rsid w:val="7C896BD7"/>
    <w:rsid w:val="7C921F30"/>
    <w:rsid w:val="7CB400F8"/>
    <w:rsid w:val="7CE34539"/>
    <w:rsid w:val="7D012C11"/>
    <w:rsid w:val="7D0270B5"/>
    <w:rsid w:val="7D0B0712"/>
    <w:rsid w:val="7D2A03BA"/>
    <w:rsid w:val="7D5D078F"/>
    <w:rsid w:val="7D6869EF"/>
    <w:rsid w:val="7DEF6136"/>
    <w:rsid w:val="7E512D47"/>
    <w:rsid w:val="7EAA3560"/>
    <w:rsid w:val="7EC7030B"/>
    <w:rsid w:val="7EEF3736"/>
    <w:rsid w:val="7F0215EE"/>
    <w:rsid w:val="7F0569E9"/>
    <w:rsid w:val="7F0D1D41"/>
    <w:rsid w:val="7F186B69"/>
    <w:rsid w:val="7F5434CC"/>
    <w:rsid w:val="7F6C4CBA"/>
    <w:rsid w:val="7F8C2C66"/>
    <w:rsid w:val="7FD36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alloon Text"/>
    <w:basedOn w:val="1"/>
    <w:link w:val="15"/>
    <w:qFormat/>
    <w:uiPriority w:val="0"/>
    <w:rPr>
      <w:sz w:val="18"/>
      <w:szCs w:val="18"/>
    </w:rPr>
  </w:style>
  <w:style w:type="paragraph" w:styleId="5">
    <w:name w:val="footer"/>
    <w:basedOn w:val="1"/>
    <w:autoRedefine/>
    <w:qFormat/>
    <w:uiPriority w:val="99"/>
    <w:pPr>
      <w:tabs>
        <w:tab w:val="center" w:pos="4153"/>
        <w:tab w:val="right" w:pos="8306"/>
      </w:tabs>
      <w:snapToGrid w:val="0"/>
      <w:jc w:val="left"/>
    </w:pPr>
    <w:rPr>
      <w:sz w:val="18"/>
      <w:szCs w:val="20"/>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autoRedefine/>
    <w:qFormat/>
    <w:uiPriority w:val="0"/>
  </w:style>
  <w:style w:type="paragraph" w:styleId="8">
    <w:name w:val="toc 2"/>
    <w:basedOn w:val="1"/>
    <w:next w:val="1"/>
    <w:autoRedefine/>
    <w:qFormat/>
    <w:uiPriority w:val="0"/>
    <w:pPr>
      <w:ind w:left="420" w:leftChars="200"/>
    </w:p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2">
    <w:name w:val="列出段落1"/>
    <w:basedOn w:val="1"/>
    <w:autoRedefine/>
    <w:qFormat/>
    <w:uiPriority w:val="34"/>
    <w:pPr>
      <w:ind w:firstLine="420" w:firstLineChars="200"/>
    </w:pPr>
    <w:rPr>
      <w:rFonts w:ascii="Calibri" w:hAnsi="Calibri" w:cs="黑体"/>
      <w:szCs w:val="22"/>
    </w:rPr>
  </w:style>
  <w:style w:type="paragraph" w:customStyle="1" w:styleId="13">
    <w:name w:val="WPSOffice手动目录 1"/>
    <w:autoRedefine/>
    <w:qFormat/>
    <w:uiPriority w:val="0"/>
    <w:rPr>
      <w:rFonts w:ascii="Calibri" w:hAnsi="Calibri" w:eastAsia="宋体" w:cs="宋体"/>
      <w:lang w:val="en-US" w:eastAsia="zh-CN" w:bidi="ar-SA"/>
    </w:rPr>
  </w:style>
  <w:style w:type="paragraph" w:customStyle="1" w:styleId="14">
    <w:name w:val="WPSOffice手动目录 2"/>
    <w:autoRedefine/>
    <w:qFormat/>
    <w:uiPriority w:val="0"/>
    <w:pPr>
      <w:ind w:left="200" w:leftChars="200"/>
    </w:pPr>
    <w:rPr>
      <w:rFonts w:ascii="Calibri" w:hAnsi="Calibri" w:eastAsia="宋体" w:cs="宋体"/>
      <w:lang w:val="en-US" w:eastAsia="zh-CN" w:bidi="ar-SA"/>
    </w:rPr>
  </w:style>
  <w:style w:type="character" w:customStyle="1" w:styleId="15">
    <w:name w:val="批注框文本 字符"/>
    <w:basedOn w:val="11"/>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53EB41-1625-4440-B01E-CAFEE3377F56}">
  <ds:schemaRefs/>
</ds:datastoreItem>
</file>

<file path=customXml/itemProps3.xml><?xml version="1.0" encoding="utf-8"?>
<ds:datastoreItem xmlns:ds="http://schemas.openxmlformats.org/officeDocument/2006/customXml" ds:itemID="{8C0F6DA7-D57F-46F3-AB12-6570FFB8601C}">
  <ds:schemaRefs/>
</ds:datastoreItem>
</file>

<file path=customXml/itemProps4.xml><?xml version="1.0" encoding="utf-8"?>
<ds:datastoreItem xmlns:ds="http://schemas.openxmlformats.org/officeDocument/2006/customXml" ds:itemID="{835CF089-A562-446F-91C0-6E2E594DF69B}">
  <ds:schemaRefs/>
</ds:datastoreItem>
</file>

<file path=docProps/app.xml><?xml version="1.0" encoding="utf-8"?>
<Properties xmlns="http://schemas.openxmlformats.org/officeDocument/2006/extended-properties" xmlns:vt="http://schemas.openxmlformats.org/officeDocument/2006/docPropsVTypes">
  <Template>Normal</Template>
  <Pages>11</Pages>
  <Words>4774</Words>
  <Characters>4956</Characters>
  <Lines>101</Lines>
  <Paragraphs>28</Paragraphs>
  <TotalTime>22</TotalTime>
  <ScaleCrop>false</ScaleCrop>
  <LinksUpToDate>false</LinksUpToDate>
  <CharactersWithSpaces>4958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彭亚南</cp:lastModifiedBy>
  <cp:lastPrinted>2025-05-19T10:43:00Z</cp:lastPrinted>
  <dcterms:modified xsi:type="dcterms:W3CDTF">2025-08-28T02:07:08Z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53BA244035334184A3A9BC87694DD38F_13</vt:lpwstr>
  </property>
  <property fmtid="{D5CDD505-2E9C-101B-9397-08002B2CF9AE}" pid="4" name="KSOTemplateDocerSaveRecord">
    <vt:lpwstr>eyJoZGlkIjoiMThlNjZjNzgxMjkzZDllMjI4Y2IwMjE3MTIyMTZkYTciLCJ1c2VySWQiOiI0NDQ1MjkyNTcifQ==</vt:lpwstr>
  </property>
</Properties>
</file>