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8C53D">
      <w:pPr>
        <w:adjustRightInd w:val="0"/>
        <w:snapToGrid w:val="0"/>
        <w:spacing w:line="360" w:lineRule="auto"/>
        <w:rPr>
          <w:rFonts w:hint="eastAsia" w:ascii="方正仿宋_GB2312" w:hAnsi="方正仿宋_GB2312" w:eastAsia="方正仿宋_GB2312" w:cs="方正仿宋_GB2312"/>
          <w:color w:val="auto"/>
          <w:sz w:val="32"/>
          <w:szCs w:val="32"/>
          <w:highlight w:val="none"/>
        </w:rPr>
      </w:pPr>
    </w:p>
    <w:p w14:paraId="5260CC46">
      <w:pPr>
        <w:rPr>
          <w:rFonts w:ascii="Arial Narrow" w:hAnsi="Arial Narrow" w:cs="Arial Narrow"/>
          <w:bCs/>
          <w:color w:val="auto"/>
          <w:sz w:val="36"/>
          <w:szCs w:val="28"/>
          <w:highlight w:val="none"/>
        </w:rPr>
      </w:pPr>
    </w:p>
    <w:p w14:paraId="2C7E5998">
      <w:pPr>
        <w:snapToGrid w:val="0"/>
        <w:spacing w:before="156" w:beforeLines="50" w:line="360" w:lineRule="auto"/>
        <w:jc w:val="center"/>
        <w:rPr>
          <w:rFonts w:hint="eastAsia" w:asciiTheme="majorEastAsia" w:hAnsiTheme="majorEastAsia" w:eastAsiaTheme="majorEastAsia" w:cstheme="majorEastAsia"/>
          <w:b/>
          <w:color w:val="auto"/>
          <w:sz w:val="36"/>
          <w:szCs w:val="36"/>
          <w:highlight w:val="none"/>
        </w:rPr>
      </w:pPr>
      <w:r>
        <w:rPr>
          <w:rFonts w:hint="eastAsia" w:asciiTheme="majorEastAsia" w:hAnsiTheme="majorEastAsia" w:eastAsiaTheme="majorEastAsia" w:cstheme="majorEastAsia"/>
          <w:b/>
          <w:bCs/>
          <w:color w:val="auto"/>
          <w:spacing w:val="-23"/>
          <w:sz w:val="36"/>
          <w:szCs w:val="36"/>
          <w:highlight w:val="none"/>
        </w:rPr>
        <w:t>202</w:t>
      </w:r>
      <w:r>
        <w:rPr>
          <w:rFonts w:hint="eastAsia" w:asciiTheme="majorEastAsia" w:hAnsiTheme="majorEastAsia" w:eastAsiaTheme="majorEastAsia" w:cstheme="majorEastAsia"/>
          <w:b/>
          <w:bCs/>
          <w:color w:val="auto"/>
          <w:spacing w:val="-23"/>
          <w:sz w:val="36"/>
          <w:szCs w:val="36"/>
          <w:highlight w:val="none"/>
          <w:lang w:val="en-US" w:eastAsia="zh-CN"/>
        </w:rPr>
        <w:t>4</w:t>
      </w:r>
      <w:r>
        <w:rPr>
          <w:rFonts w:hint="eastAsia" w:asciiTheme="majorEastAsia" w:hAnsiTheme="majorEastAsia" w:eastAsiaTheme="majorEastAsia" w:cstheme="majorEastAsia"/>
          <w:b/>
          <w:bCs/>
          <w:color w:val="auto"/>
          <w:spacing w:val="-23"/>
          <w:sz w:val="36"/>
          <w:szCs w:val="36"/>
          <w:highlight w:val="none"/>
        </w:rPr>
        <w:t>年度部门整体支出绩效评价报告</w:t>
      </w:r>
    </w:p>
    <w:p w14:paraId="25E0F9D3">
      <w:pPr>
        <w:snapToGrid w:val="0"/>
        <w:spacing w:before="156" w:beforeLines="50" w:line="360" w:lineRule="auto"/>
        <w:rPr>
          <w:rFonts w:ascii="Arial Narrow" w:hAnsi="Arial Narrow" w:eastAsia="黑体" w:cs="Arial Narrow"/>
          <w:b/>
          <w:color w:val="auto"/>
          <w:sz w:val="48"/>
          <w:highlight w:val="none"/>
        </w:rPr>
      </w:pPr>
    </w:p>
    <w:p w14:paraId="4A2324A8">
      <w:pPr>
        <w:snapToGrid w:val="0"/>
        <w:spacing w:before="156" w:beforeLines="50" w:line="360" w:lineRule="auto"/>
        <w:jc w:val="center"/>
        <w:rPr>
          <w:rFonts w:ascii="Arial Narrow" w:hAnsi="Arial Narrow" w:eastAsia="黑体" w:cs="Arial Narrow"/>
          <w:b/>
          <w:color w:val="auto"/>
          <w:sz w:val="48"/>
          <w:highlight w:val="none"/>
        </w:rPr>
      </w:pPr>
    </w:p>
    <w:p w14:paraId="5C5E44CA">
      <w:pPr>
        <w:snapToGrid w:val="0"/>
        <w:spacing w:before="156" w:beforeLines="50" w:line="360" w:lineRule="auto"/>
        <w:jc w:val="center"/>
        <w:rPr>
          <w:rFonts w:ascii="Arial Narrow" w:hAnsi="Arial Narrow" w:eastAsia="黑体" w:cs="Arial Narrow"/>
          <w:b/>
          <w:color w:val="auto"/>
          <w:sz w:val="48"/>
          <w:highlight w:val="none"/>
        </w:rPr>
      </w:pPr>
    </w:p>
    <w:p w14:paraId="798A0018">
      <w:pPr>
        <w:snapToGrid w:val="0"/>
        <w:spacing w:before="156" w:beforeLines="50" w:line="360" w:lineRule="auto"/>
        <w:jc w:val="center"/>
        <w:rPr>
          <w:rFonts w:ascii="Arial Narrow" w:hAnsi="Arial Narrow" w:eastAsia="黑体" w:cs="Arial Narrow"/>
          <w:b/>
          <w:color w:val="auto"/>
          <w:sz w:val="48"/>
          <w:highlight w:val="none"/>
        </w:rPr>
      </w:pPr>
    </w:p>
    <w:p w14:paraId="238491B6">
      <w:pPr>
        <w:snapToGrid w:val="0"/>
        <w:spacing w:before="156" w:beforeLines="50" w:line="360" w:lineRule="auto"/>
        <w:jc w:val="center"/>
        <w:rPr>
          <w:rFonts w:ascii="Arial Narrow" w:hAnsi="Arial Narrow" w:eastAsia="黑体" w:cs="Arial Narrow"/>
          <w:b/>
          <w:color w:val="auto"/>
          <w:sz w:val="48"/>
          <w:highlight w:val="none"/>
        </w:rPr>
      </w:pPr>
    </w:p>
    <w:p w14:paraId="48664D47">
      <w:pPr>
        <w:snapToGrid w:val="0"/>
        <w:spacing w:before="156" w:beforeLines="50" w:after="156" w:afterLines="50"/>
        <w:jc w:val="center"/>
        <w:rPr>
          <w:rFonts w:ascii="Arial Narrow" w:hAnsi="Arial Narrow" w:cs="Arial Narrow"/>
          <w:b/>
          <w:color w:val="auto"/>
          <w:sz w:val="28"/>
          <w:szCs w:val="32"/>
          <w:highlight w:val="none"/>
        </w:rPr>
      </w:pPr>
    </w:p>
    <w:p w14:paraId="6A3EA683">
      <w:pPr>
        <w:pStyle w:val="19"/>
        <w:ind w:left="0" w:leftChars="0" w:firstLine="0" w:firstLineChars="0"/>
        <w:rPr>
          <w:rFonts w:ascii="Arial Narrow" w:hAnsi="Arial Narrow" w:cs="Arial Narrow"/>
          <w:b/>
          <w:color w:val="auto"/>
          <w:sz w:val="28"/>
          <w:szCs w:val="32"/>
          <w:highlight w:val="none"/>
        </w:rPr>
      </w:pPr>
    </w:p>
    <w:p w14:paraId="3ECD05F3">
      <w:pPr>
        <w:snapToGrid w:val="0"/>
        <w:spacing w:before="156" w:beforeLines="50" w:after="156" w:afterLines="50"/>
        <w:jc w:val="center"/>
        <w:rPr>
          <w:rFonts w:ascii="Arial Narrow" w:hAnsi="Arial Narrow" w:cs="Arial Narrow"/>
          <w:b/>
          <w:color w:val="auto"/>
          <w:sz w:val="28"/>
          <w:szCs w:val="32"/>
          <w:highlight w:val="none"/>
        </w:rPr>
      </w:pPr>
      <w:r>
        <w:rPr>
          <w:rFonts w:ascii="Arial Narrow" w:hAnsi="Arial Narrow" w:cs="Arial Narrow"/>
          <w:b/>
          <w:bCs/>
          <w:color w:val="auto"/>
          <w:sz w:val="28"/>
          <w:szCs w:val="32"/>
          <w:highlight w:val="none"/>
        </w:rPr>
        <w:t>中国共产党北京市委员会研究室</w:t>
      </w:r>
    </w:p>
    <w:p w14:paraId="4CEEDA6C">
      <w:pPr>
        <w:snapToGrid w:val="0"/>
        <w:spacing w:before="156" w:beforeLines="50" w:after="156" w:afterLines="50"/>
        <w:jc w:val="center"/>
        <w:rPr>
          <w:rFonts w:ascii="Arial Narrow" w:hAnsi="Arial Narrow" w:eastAsia="仿宋" w:cs="Arial Narrow"/>
          <w:b/>
          <w:color w:val="auto"/>
          <w:sz w:val="32"/>
          <w:szCs w:val="32"/>
          <w:highlight w:val="none"/>
        </w:rPr>
      </w:pPr>
      <w:r>
        <w:rPr>
          <w:rFonts w:ascii="Arial Narrow" w:hAnsi="Arial Narrow" w:cs="Arial Narrow"/>
          <w:b/>
          <w:color w:val="auto"/>
          <w:sz w:val="28"/>
          <w:szCs w:val="32"/>
          <w:highlight w:val="none"/>
        </w:rPr>
        <w:t>二〇二</w:t>
      </w:r>
      <w:r>
        <w:rPr>
          <w:rFonts w:hint="eastAsia" w:ascii="Arial Narrow" w:hAnsi="Arial Narrow" w:cs="Arial Narrow"/>
          <w:b/>
          <w:color w:val="auto"/>
          <w:sz w:val="28"/>
          <w:szCs w:val="32"/>
          <w:highlight w:val="none"/>
          <w:lang w:val="en-US" w:eastAsia="zh-CN"/>
        </w:rPr>
        <w:t>五</w:t>
      </w:r>
      <w:r>
        <w:rPr>
          <w:rFonts w:ascii="Arial Narrow" w:hAnsi="Arial Narrow" w:cs="Arial Narrow"/>
          <w:b/>
          <w:color w:val="auto"/>
          <w:sz w:val="28"/>
          <w:szCs w:val="32"/>
          <w:highlight w:val="none"/>
        </w:rPr>
        <w:t>年</w:t>
      </w:r>
      <w:r>
        <w:rPr>
          <w:rFonts w:hint="eastAsia" w:ascii="Arial Narrow" w:hAnsi="Arial Narrow" w:cs="Arial Narrow"/>
          <w:b/>
          <w:color w:val="auto"/>
          <w:sz w:val="28"/>
          <w:szCs w:val="32"/>
          <w:highlight w:val="none"/>
          <w:lang w:val="en-US" w:eastAsia="zh-CN"/>
        </w:rPr>
        <w:t>六</w:t>
      </w:r>
      <w:r>
        <w:rPr>
          <w:rFonts w:ascii="Arial Narrow" w:hAnsi="Arial Narrow" w:cs="Arial Narrow"/>
          <w:b/>
          <w:color w:val="auto"/>
          <w:sz w:val="28"/>
          <w:szCs w:val="32"/>
          <w:highlight w:val="none"/>
        </w:rPr>
        <w:t>月</w:t>
      </w:r>
    </w:p>
    <w:p w14:paraId="05F2914C">
      <w:pPr>
        <w:spacing w:line="560" w:lineRule="exact"/>
        <w:jc w:val="center"/>
        <w:rPr>
          <w:rFonts w:ascii="Arial Narrow" w:hAnsi="Arial Narrow" w:cs="Arial Narrow"/>
          <w:color w:val="auto"/>
          <w:highlight w:val="none"/>
        </w:rPr>
        <w:sectPr>
          <w:pgSz w:w="11906" w:h="16838"/>
          <w:pgMar w:top="1440" w:right="1800" w:bottom="1440" w:left="1800" w:header="851" w:footer="992" w:gutter="0"/>
          <w:pgNumType w:start="1"/>
          <w:cols w:space="425" w:num="1"/>
          <w:docGrid w:type="lines" w:linePitch="312" w:charSpace="0"/>
        </w:sectPr>
      </w:pPr>
    </w:p>
    <w:p w14:paraId="04762473">
      <w:pPr>
        <w:spacing w:line="480" w:lineRule="auto"/>
        <w:jc w:val="center"/>
        <w:rPr>
          <w:rFonts w:hint="eastAsia" w:asciiTheme="majorEastAsia" w:hAnsiTheme="majorEastAsia" w:eastAsiaTheme="majorEastAsia" w:cstheme="majorEastAsia"/>
          <w:b/>
          <w:bCs/>
          <w:color w:val="auto"/>
          <w:sz w:val="36"/>
          <w:szCs w:val="36"/>
          <w:highlight w:val="none"/>
        </w:rPr>
      </w:pPr>
      <w:bookmarkStart w:id="0" w:name="_Toc14418"/>
      <w:bookmarkStart w:id="1" w:name="_Toc3658"/>
      <w:bookmarkStart w:id="2" w:name="_Toc23156"/>
      <w:r>
        <w:rPr>
          <w:rFonts w:hint="eastAsia" w:asciiTheme="majorEastAsia" w:hAnsiTheme="majorEastAsia" w:eastAsiaTheme="majorEastAsia" w:cstheme="majorEastAsia"/>
          <w:b/>
          <w:bCs/>
          <w:color w:val="auto"/>
          <w:sz w:val="36"/>
          <w:szCs w:val="36"/>
          <w:highlight w:val="none"/>
        </w:rPr>
        <w:t>目</w:t>
      </w:r>
      <w:r>
        <w:rPr>
          <w:rFonts w:hint="eastAsia" w:asciiTheme="majorEastAsia" w:hAnsiTheme="majorEastAsia" w:eastAsiaTheme="majorEastAsia" w:cstheme="majorEastAsia"/>
          <w:b/>
          <w:bCs/>
          <w:color w:val="auto"/>
          <w:sz w:val="36"/>
          <w:szCs w:val="36"/>
          <w:highlight w:val="none"/>
          <w:lang w:val="en-US" w:eastAsia="zh-CN"/>
        </w:rPr>
        <w:t xml:space="preserve"> </w:t>
      </w:r>
      <w:r>
        <w:rPr>
          <w:rFonts w:hint="eastAsia" w:asciiTheme="majorEastAsia" w:hAnsiTheme="majorEastAsia" w:eastAsiaTheme="majorEastAsia" w:cstheme="majorEastAsia"/>
          <w:b/>
          <w:bCs/>
          <w:color w:val="auto"/>
          <w:sz w:val="36"/>
          <w:szCs w:val="36"/>
          <w:highlight w:val="none"/>
        </w:rPr>
        <w:t>录</w:t>
      </w:r>
    </w:p>
    <w:p w14:paraId="793AA470">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color w:val="auto"/>
          <w:sz w:val="24"/>
          <w:szCs w:val="24"/>
          <w:highlight w:val="none"/>
        </w:rPr>
        <w:instrText xml:space="preserve">TOC \o "1-2" \h \u </w:instrText>
      </w:r>
      <w:r>
        <w:rPr>
          <w:rFonts w:hint="eastAsia" w:asciiTheme="majorEastAsia" w:hAnsiTheme="majorEastAsia" w:eastAsiaTheme="majorEastAsia" w:cstheme="majorEastAsia"/>
          <w:color w:val="auto"/>
          <w:sz w:val="24"/>
          <w:szCs w:val="24"/>
          <w:highlight w:val="none"/>
        </w:rPr>
        <w:fldChar w:fldCharType="separate"/>
      </w: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sz w:val="24"/>
          <w:szCs w:val="24"/>
          <w:highlight w:val="none"/>
        </w:rPr>
        <w:instrText xml:space="preserve"> HYPERLINK \l _Toc10421 </w:instrText>
      </w:r>
      <w:r>
        <w:rPr>
          <w:rFonts w:hint="eastAsia" w:ascii="黑体" w:hAnsi="黑体" w:eastAsia="黑体" w:cs="黑体"/>
          <w:b w:val="0"/>
          <w:bCs w:val="0"/>
          <w:sz w:val="24"/>
          <w:szCs w:val="24"/>
          <w:highlight w:val="none"/>
        </w:rPr>
        <w:fldChar w:fldCharType="separate"/>
      </w:r>
      <w:r>
        <w:rPr>
          <w:rFonts w:hint="eastAsia" w:ascii="黑体" w:hAnsi="黑体" w:eastAsia="黑体" w:cs="黑体"/>
          <w:b w:val="0"/>
          <w:bCs w:val="0"/>
          <w:sz w:val="24"/>
          <w:szCs w:val="24"/>
          <w:highlight w:val="none"/>
        </w:rPr>
        <w:t>一、部门概况</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_Toc10421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olor w:val="auto"/>
          <w:sz w:val="24"/>
          <w:szCs w:val="24"/>
          <w:highlight w:val="none"/>
        </w:rPr>
        <w:fldChar w:fldCharType="end"/>
      </w:r>
    </w:p>
    <w:p w14:paraId="2E9016BF">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_Toc32096 </w:instrText>
      </w:r>
      <w:r>
        <w:rPr>
          <w:rFonts w:hint="eastAsia" w:asciiTheme="majorEastAsia" w:hAnsiTheme="majorEastAsia" w:eastAsiaTheme="majorEastAsia" w:cstheme="majorEastAsia"/>
          <w:sz w:val="24"/>
          <w:szCs w:val="24"/>
          <w:highlight w:val="none"/>
        </w:rPr>
        <w:fldChar w:fldCharType="separate"/>
      </w:r>
      <w:r>
        <w:rPr>
          <w:rFonts w:hint="default" w:ascii="Arial Narrow" w:hAnsi="Arial Narrow" w:eastAsia="宋体" w:cs="Arial Narrow"/>
          <w:sz w:val="24"/>
          <w:szCs w:val="24"/>
          <w:highlight w:val="none"/>
        </w:rPr>
        <w:t>（一）</w:t>
      </w:r>
      <w:r>
        <w:rPr>
          <w:rFonts w:hint="eastAsia" w:ascii="Arial Narrow" w:hAnsi="Arial Narrow" w:eastAsia="宋体" w:cs="Arial Narrow"/>
          <w:sz w:val="24"/>
          <w:szCs w:val="24"/>
          <w:highlight w:val="none"/>
          <w:lang w:val="en-US" w:eastAsia="zh-CN"/>
        </w:rPr>
        <w:t>机构设置及职责工作任务情况</w:t>
      </w:r>
      <w:r>
        <w:rPr>
          <w:sz w:val="24"/>
          <w:szCs w:val="24"/>
        </w:rPr>
        <w:tab/>
      </w:r>
      <w:r>
        <w:rPr>
          <w:sz w:val="24"/>
          <w:szCs w:val="24"/>
        </w:rPr>
        <w:fldChar w:fldCharType="begin"/>
      </w:r>
      <w:r>
        <w:rPr>
          <w:sz w:val="24"/>
          <w:szCs w:val="24"/>
        </w:rPr>
        <w:instrText xml:space="preserve"> PAGEREF _Toc32096 \h </w:instrText>
      </w:r>
      <w:r>
        <w:rPr>
          <w:sz w:val="24"/>
          <w:szCs w:val="24"/>
        </w:rPr>
        <w:fldChar w:fldCharType="separate"/>
      </w:r>
      <w:r>
        <w:rPr>
          <w:sz w:val="24"/>
          <w:szCs w:val="24"/>
        </w:rPr>
        <w:t>1</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3AB59711">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_Toc22393 </w:instrText>
      </w:r>
      <w:r>
        <w:rPr>
          <w:rFonts w:hint="eastAsia" w:asciiTheme="majorEastAsia" w:hAnsiTheme="majorEastAsia" w:eastAsiaTheme="majorEastAsia" w:cstheme="majorEastAsia"/>
          <w:sz w:val="24"/>
          <w:szCs w:val="24"/>
          <w:highlight w:val="none"/>
        </w:rPr>
        <w:fldChar w:fldCharType="separate"/>
      </w:r>
      <w:r>
        <w:rPr>
          <w:rFonts w:hint="eastAsia" w:ascii="宋体" w:hAnsi="宋体" w:eastAsia="宋体" w:cs="宋体"/>
          <w:kern w:val="0"/>
          <w:sz w:val="24"/>
          <w:szCs w:val="24"/>
          <w:lang w:val="en-US" w:eastAsia="zh-CN"/>
        </w:rPr>
        <w:t>（二）</w:t>
      </w:r>
      <w:r>
        <w:rPr>
          <w:rFonts w:hint="default" w:ascii="Arial Narrow" w:hAnsi="Arial Narrow" w:eastAsia="宋体" w:cs="Arial Narrow"/>
          <w:sz w:val="24"/>
          <w:szCs w:val="24"/>
          <w:highlight w:val="none"/>
        </w:rPr>
        <w:t>部门整体绩效目标</w:t>
      </w:r>
      <w:r>
        <w:rPr>
          <w:rFonts w:hint="eastAsia" w:ascii="Arial Narrow" w:hAnsi="Arial Narrow" w:eastAsia="宋体" w:cs="Arial Narrow"/>
          <w:sz w:val="24"/>
          <w:szCs w:val="24"/>
          <w:highlight w:val="none"/>
          <w:lang w:val="en-US" w:eastAsia="zh-CN"/>
        </w:rPr>
        <w:t>决策及设立情况</w:t>
      </w:r>
      <w:r>
        <w:rPr>
          <w:sz w:val="24"/>
          <w:szCs w:val="24"/>
        </w:rPr>
        <w:tab/>
      </w:r>
      <w:r>
        <w:rPr>
          <w:sz w:val="24"/>
          <w:szCs w:val="24"/>
        </w:rPr>
        <w:fldChar w:fldCharType="begin"/>
      </w:r>
      <w:r>
        <w:rPr>
          <w:sz w:val="24"/>
          <w:szCs w:val="24"/>
        </w:rPr>
        <w:instrText xml:space="preserve"> PAGEREF _Toc22393 \h </w:instrText>
      </w:r>
      <w:r>
        <w:rPr>
          <w:sz w:val="24"/>
          <w:szCs w:val="24"/>
        </w:rPr>
        <w:fldChar w:fldCharType="separate"/>
      </w:r>
      <w:r>
        <w:rPr>
          <w:sz w:val="24"/>
          <w:szCs w:val="24"/>
        </w:rPr>
        <w:t>2</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4BC3CCDC">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黑体" w:hAnsi="黑体" w:eastAsia="黑体" w:cs="黑体"/>
          <w:b w:val="0"/>
          <w:bCs w:val="0"/>
          <w:color w:val="auto"/>
          <w:sz w:val="24"/>
          <w:szCs w:val="24"/>
          <w:highlight w:val="none"/>
        </w:rPr>
      </w:pP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HYPERLINK \l _Toc3791 </w:instrText>
      </w:r>
      <w:r>
        <w:rPr>
          <w:rFonts w:hint="eastAsia" w:ascii="黑体" w:hAnsi="黑体" w:eastAsia="黑体" w:cs="黑体"/>
          <w:b w:val="0"/>
          <w:bCs w:val="0"/>
          <w:color w:val="auto"/>
          <w:sz w:val="24"/>
          <w:szCs w:val="24"/>
          <w:highlight w:val="none"/>
        </w:rPr>
        <w:fldChar w:fldCharType="separate"/>
      </w:r>
      <w:r>
        <w:rPr>
          <w:rFonts w:hint="default" w:ascii="黑体" w:hAnsi="黑体" w:eastAsia="黑体" w:cs="黑体"/>
          <w:b w:val="0"/>
          <w:bCs w:val="0"/>
          <w:color w:val="auto"/>
          <w:sz w:val="24"/>
          <w:szCs w:val="24"/>
          <w:highlight w:val="none"/>
        </w:rPr>
        <w:t>二、当年预算执行情况</w:t>
      </w:r>
      <w:r>
        <w:rPr>
          <w:rFonts w:hint="eastAsia" w:ascii="黑体" w:hAnsi="黑体" w:eastAsia="黑体" w:cs="黑体"/>
          <w:b w:val="0"/>
          <w:bCs w:val="0"/>
          <w:color w:val="auto"/>
          <w:sz w:val="24"/>
          <w:szCs w:val="24"/>
          <w:highlight w:val="none"/>
        </w:rPr>
        <w:tab/>
      </w: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PAGEREF _Toc3791 \h </w:instrText>
      </w:r>
      <w:r>
        <w:rPr>
          <w:rFonts w:hint="eastAsia" w:ascii="黑体" w:hAnsi="黑体" w:eastAsia="黑体" w:cs="黑体"/>
          <w:b w:val="0"/>
          <w:bCs w:val="0"/>
          <w:color w:val="auto"/>
          <w:sz w:val="24"/>
          <w:szCs w:val="24"/>
          <w:highlight w:val="none"/>
        </w:rPr>
        <w:fldChar w:fldCharType="separate"/>
      </w:r>
      <w:r>
        <w:rPr>
          <w:rFonts w:hint="eastAsia" w:ascii="黑体" w:hAnsi="黑体" w:eastAsia="黑体" w:cs="黑体"/>
          <w:b w:val="0"/>
          <w:bCs w:val="0"/>
          <w:color w:val="auto"/>
          <w:sz w:val="24"/>
          <w:szCs w:val="24"/>
          <w:highlight w:val="none"/>
        </w:rPr>
        <w:t>5</w:t>
      </w:r>
      <w:r>
        <w:rPr>
          <w:rFonts w:hint="eastAsia" w:ascii="黑体" w:hAnsi="黑体" w:eastAsia="黑体" w:cs="黑体"/>
          <w:b w:val="0"/>
          <w:bCs w:val="0"/>
          <w:color w:val="auto"/>
          <w:sz w:val="24"/>
          <w:szCs w:val="24"/>
          <w:highlight w:val="none"/>
        </w:rPr>
        <w:fldChar w:fldCharType="end"/>
      </w:r>
      <w:r>
        <w:rPr>
          <w:rFonts w:hint="eastAsia" w:ascii="黑体" w:hAnsi="黑体" w:eastAsia="黑体" w:cs="黑体"/>
          <w:b w:val="0"/>
          <w:bCs w:val="0"/>
          <w:color w:val="auto"/>
          <w:sz w:val="24"/>
          <w:szCs w:val="24"/>
          <w:highlight w:val="none"/>
        </w:rPr>
        <w:fldChar w:fldCharType="end"/>
      </w:r>
    </w:p>
    <w:p w14:paraId="542E6BB7">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HYPERLINK \l _Toc28188 </w:instrText>
      </w:r>
      <w:r>
        <w:rPr>
          <w:rFonts w:hint="eastAsia" w:ascii="黑体" w:hAnsi="黑体" w:eastAsia="黑体" w:cs="黑体"/>
          <w:b w:val="0"/>
          <w:bCs w:val="0"/>
          <w:color w:val="auto"/>
          <w:sz w:val="24"/>
          <w:szCs w:val="24"/>
          <w:highlight w:val="none"/>
        </w:rPr>
        <w:fldChar w:fldCharType="separate"/>
      </w:r>
      <w:r>
        <w:rPr>
          <w:rFonts w:hint="default" w:ascii="黑体" w:hAnsi="黑体" w:eastAsia="黑体" w:cs="黑体"/>
          <w:b w:val="0"/>
          <w:bCs w:val="0"/>
          <w:color w:val="auto"/>
          <w:sz w:val="24"/>
          <w:szCs w:val="24"/>
          <w:highlight w:val="none"/>
        </w:rPr>
        <w:t>三、整体绩效目标实现情况</w:t>
      </w:r>
      <w:r>
        <w:rPr>
          <w:rFonts w:hint="eastAsia" w:ascii="黑体" w:hAnsi="黑体" w:eastAsia="黑体" w:cs="黑体"/>
          <w:b w:val="0"/>
          <w:bCs w:val="0"/>
          <w:color w:val="auto"/>
          <w:sz w:val="24"/>
          <w:szCs w:val="24"/>
          <w:highlight w:val="none"/>
        </w:rPr>
        <w:tab/>
      </w: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PAGEREF _Toc28188 \h </w:instrText>
      </w:r>
      <w:r>
        <w:rPr>
          <w:rFonts w:hint="eastAsia" w:ascii="黑体" w:hAnsi="黑体" w:eastAsia="黑体" w:cs="黑体"/>
          <w:b w:val="0"/>
          <w:bCs w:val="0"/>
          <w:color w:val="auto"/>
          <w:sz w:val="24"/>
          <w:szCs w:val="24"/>
          <w:highlight w:val="none"/>
        </w:rPr>
        <w:fldChar w:fldCharType="separate"/>
      </w:r>
      <w:r>
        <w:rPr>
          <w:rFonts w:hint="eastAsia" w:ascii="黑体" w:hAnsi="黑体" w:eastAsia="黑体" w:cs="黑体"/>
          <w:b w:val="0"/>
          <w:bCs w:val="0"/>
          <w:color w:val="auto"/>
          <w:sz w:val="24"/>
          <w:szCs w:val="24"/>
          <w:highlight w:val="none"/>
        </w:rPr>
        <w:t>6</w:t>
      </w:r>
      <w:r>
        <w:rPr>
          <w:rFonts w:hint="eastAsia" w:ascii="黑体" w:hAnsi="黑体" w:eastAsia="黑体" w:cs="黑体"/>
          <w:b w:val="0"/>
          <w:bCs w:val="0"/>
          <w:color w:val="auto"/>
          <w:sz w:val="24"/>
          <w:szCs w:val="24"/>
          <w:highlight w:val="none"/>
        </w:rPr>
        <w:fldChar w:fldCharType="end"/>
      </w:r>
      <w:r>
        <w:rPr>
          <w:rFonts w:hint="eastAsia" w:ascii="黑体" w:hAnsi="黑体" w:eastAsia="黑体" w:cs="黑体"/>
          <w:b w:val="0"/>
          <w:bCs w:val="0"/>
          <w:color w:val="auto"/>
          <w:sz w:val="24"/>
          <w:szCs w:val="24"/>
          <w:highlight w:val="none"/>
        </w:rPr>
        <w:fldChar w:fldCharType="end"/>
      </w:r>
    </w:p>
    <w:p w14:paraId="74DAF448">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_Toc32179 </w:instrText>
      </w:r>
      <w:r>
        <w:rPr>
          <w:rFonts w:hint="eastAsia" w:asciiTheme="majorEastAsia" w:hAnsiTheme="majorEastAsia" w:eastAsiaTheme="majorEastAsia" w:cstheme="majorEastAsia"/>
          <w:sz w:val="24"/>
          <w:szCs w:val="24"/>
          <w:highlight w:val="none"/>
        </w:rPr>
        <w:fldChar w:fldCharType="separate"/>
      </w:r>
      <w:r>
        <w:rPr>
          <w:rFonts w:hint="default" w:ascii="Arial Narrow" w:hAnsi="Arial Narrow" w:eastAsia="宋体" w:cs="Arial Narrow"/>
          <w:sz w:val="24"/>
          <w:szCs w:val="24"/>
          <w:highlight w:val="none"/>
        </w:rPr>
        <w:t>（一）产出完成情况分析</w:t>
      </w:r>
      <w:r>
        <w:rPr>
          <w:sz w:val="24"/>
          <w:szCs w:val="24"/>
        </w:rPr>
        <w:tab/>
      </w:r>
      <w:r>
        <w:rPr>
          <w:sz w:val="24"/>
          <w:szCs w:val="24"/>
        </w:rPr>
        <w:fldChar w:fldCharType="begin"/>
      </w:r>
      <w:r>
        <w:rPr>
          <w:sz w:val="24"/>
          <w:szCs w:val="24"/>
        </w:rPr>
        <w:instrText xml:space="preserve"> PAGEREF _Toc32179 \h </w:instrText>
      </w:r>
      <w:r>
        <w:rPr>
          <w:sz w:val="24"/>
          <w:szCs w:val="24"/>
        </w:rPr>
        <w:fldChar w:fldCharType="separate"/>
      </w:r>
      <w:r>
        <w:rPr>
          <w:sz w:val="24"/>
          <w:szCs w:val="24"/>
        </w:rPr>
        <w:t>6</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32711C18">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_Toc20004 </w:instrText>
      </w:r>
      <w:r>
        <w:rPr>
          <w:rFonts w:hint="eastAsia" w:asciiTheme="majorEastAsia" w:hAnsiTheme="majorEastAsia" w:eastAsiaTheme="majorEastAsia" w:cstheme="majorEastAsia"/>
          <w:sz w:val="24"/>
          <w:szCs w:val="24"/>
          <w:highlight w:val="none"/>
        </w:rPr>
        <w:fldChar w:fldCharType="separate"/>
      </w:r>
      <w:r>
        <w:rPr>
          <w:rFonts w:hint="eastAsia" w:ascii="宋体" w:hAnsi="宋体" w:eastAsia="宋体" w:cs="宋体"/>
          <w:sz w:val="24"/>
          <w:szCs w:val="24"/>
        </w:rPr>
        <w:t>（二）效果实现情况分析</w:t>
      </w:r>
      <w:r>
        <w:rPr>
          <w:sz w:val="24"/>
          <w:szCs w:val="24"/>
        </w:rPr>
        <w:tab/>
      </w:r>
      <w:r>
        <w:rPr>
          <w:sz w:val="24"/>
          <w:szCs w:val="24"/>
        </w:rPr>
        <w:fldChar w:fldCharType="begin"/>
      </w:r>
      <w:r>
        <w:rPr>
          <w:sz w:val="24"/>
          <w:szCs w:val="24"/>
        </w:rPr>
        <w:instrText xml:space="preserve"> PAGEREF _Toc20004 \h </w:instrText>
      </w:r>
      <w:r>
        <w:rPr>
          <w:sz w:val="24"/>
          <w:szCs w:val="24"/>
        </w:rPr>
        <w:fldChar w:fldCharType="separate"/>
      </w:r>
      <w:r>
        <w:rPr>
          <w:sz w:val="24"/>
          <w:szCs w:val="24"/>
        </w:rPr>
        <w:t>7</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79E0FDB9">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_Toc2082 </w:instrText>
      </w:r>
      <w:r>
        <w:rPr>
          <w:rFonts w:hint="eastAsia" w:asciiTheme="majorEastAsia" w:hAnsiTheme="majorEastAsia" w:eastAsiaTheme="majorEastAsia" w:cstheme="majorEastAsia"/>
          <w:sz w:val="24"/>
          <w:szCs w:val="24"/>
          <w:highlight w:val="none"/>
        </w:rPr>
        <w:fldChar w:fldCharType="separate"/>
      </w:r>
      <w:r>
        <w:rPr>
          <w:rFonts w:hint="eastAsia" w:ascii="宋体" w:hAnsi="宋体" w:eastAsia="宋体" w:cs="宋体"/>
          <w:sz w:val="24"/>
          <w:szCs w:val="24"/>
          <w:highlight w:val="none"/>
        </w:rPr>
        <w:t>（一）财务管理</w:t>
      </w:r>
      <w:r>
        <w:rPr>
          <w:sz w:val="24"/>
          <w:szCs w:val="24"/>
        </w:rPr>
        <w:tab/>
      </w:r>
      <w:r>
        <w:rPr>
          <w:sz w:val="24"/>
          <w:szCs w:val="24"/>
        </w:rPr>
        <w:fldChar w:fldCharType="begin"/>
      </w:r>
      <w:r>
        <w:rPr>
          <w:sz w:val="24"/>
          <w:szCs w:val="24"/>
        </w:rPr>
        <w:instrText xml:space="preserve"> PAGEREF _Toc2082 \h </w:instrText>
      </w:r>
      <w:r>
        <w:rPr>
          <w:sz w:val="24"/>
          <w:szCs w:val="24"/>
        </w:rPr>
        <w:fldChar w:fldCharType="separate"/>
      </w:r>
      <w:r>
        <w:rPr>
          <w:sz w:val="24"/>
          <w:szCs w:val="24"/>
        </w:rPr>
        <w:t>8</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7FDE6B66">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_Toc7530 </w:instrText>
      </w:r>
      <w:r>
        <w:rPr>
          <w:rFonts w:hint="eastAsia" w:asciiTheme="majorEastAsia" w:hAnsiTheme="majorEastAsia" w:eastAsiaTheme="majorEastAsia" w:cstheme="majorEastAsia"/>
          <w:sz w:val="24"/>
          <w:szCs w:val="24"/>
          <w:highlight w:val="none"/>
        </w:rPr>
        <w:fldChar w:fldCharType="separate"/>
      </w:r>
      <w:r>
        <w:rPr>
          <w:rFonts w:hint="eastAsia" w:ascii="宋体" w:hAnsi="宋体" w:eastAsia="宋体" w:cs="宋体"/>
          <w:sz w:val="24"/>
          <w:szCs w:val="24"/>
          <w:highlight w:val="none"/>
        </w:rPr>
        <w:t>（二）资产管理</w:t>
      </w:r>
      <w:r>
        <w:rPr>
          <w:sz w:val="24"/>
          <w:szCs w:val="24"/>
        </w:rPr>
        <w:tab/>
      </w:r>
      <w:r>
        <w:rPr>
          <w:sz w:val="24"/>
          <w:szCs w:val="24"/>
        </w:rPr>
        <w:fldChar w:fldCharType="begin"/>
      </w:r>
      <w:r>
        <w:rPr>
          <w:sz w:val="24"/>
          <w:szCs w:val="24"/>
        </w:rPr>
        <w:instrText xml:space="preserve"> PAGEREF _Toc7530 \h </w:instrText>
      </w:r>
      <w:r>
        <w:rPr>
          <w:sz w:val="24"/>
          <w:szCs w:val="24"/>
        </w:rPr>
        <w:fldChar w:fldCharType="separate"/>
      </w:r>
      <w:r>
        <w:rPr>
          <w:sz w:val="24"/>
          <w:szCs w:val="24"/>
        </w:rPr>
        <w:t>8</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6147EEBA">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_Toc1086 </w:instrText>
      </w:r>
      <w:r>
        <w:rPr>
          <w:rFonts w:hint="eastAsia" w:asciiTheme="majorEastAsia" w:hAnsiTheme="majorEastAsia" w:eastAsiaTheme="majorEastAsia" w:cstheme="majorEastAsia"/>
          <w:sz w:val="24"/>
          <w:szCs w:val="24"/>
          <w:highlight w:val="none"/>
        </w:rPr>
        <w:fldChar w:fldCharType="separate"/>
      </w:r>
      <w:r>
        <w:rPr>
          <w:rFonts w:hint="default" w:ascii="Arial Narrow" w:hAnsi="Arial Narrow" w:eastAsia="宋体" w:cs="Arial Narrow"/>
          <w:sz w:val="24"/>
          <w:szCs w:val="24"/>
          <w:highlight w:val="none"/>
        </w:rPr>
        <w:t>（三）绩效管理</w:t>
      </w:r>
      <w:r>
        <w:rPr>
          <w:sz w:val="24"/>
          <w:szCs w:val="24"/>
        </w:rPr>
        <w:tab/>
      </w:r>
      <w:r>
        <w:rPr>
          <w:sz w:val="24"/>
          <w:szCs w:val="24"/>
        </w:rPr>
        <w:fldChar w:fldCharType="begin"/>
      </w:r>
      <w:r>
        <w:rPr>
          <w:sz w:val="24"/>
          <w:szCs w:val="24"/>
        </w:rPr>
        <w:instrText xml:space="preserve"> PAGEREF _Toc1086 \h </w:instrText>
      </w:r>
      <w:r>
        <w:rPr>
          <w:sz w:val="24"/>
          <w:szCs w:val="24"/>
        </w:rPr>
        <w:fldChar w:fldCharType="separate"/>
      </w:r>
      <w:r>
        <w:rPr>
          <w:sz w:val="24"/>
          <w:szCs w:val="24"/>
        </w:rPr>
        <w:t>9</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52AEDEFB">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_Toc19054 </w:instrText>
      </w:r>
      <w:r>
        <w:rPr>
          <w:rFonts w:hint="eastAsia" w:asciiTheme="majorEastAsia" w:hAnsiTheme="majorEastAsia" w:eastAsiaTheme="majorEastAsia" w:cstheme="majorEastAsia"/>
          <w:sz w:val="24"/>
          <w:szCs w:val="24"/>
          <w:highlight w:val="none"/>
        </w:rPr>
        <w:fldChar w:fldCharType="separate"/>
      </w:r>
      <w:r>
        <w:rPr>
          <w:rFonts w:hint="default" w:ascii="Arial Narrow" w:hAnsi="Arial Narrow" w:eastAsia="宋体" w:cs="Arial Narrow"/>
          <w:sz w:val="24"/>
          <w:szCs w:val="24"/>
          <w:highlight w:val="none"/>
        </w:rPr>
        <w:t>（四）结转结余率</w:t>
      </w:r>
      <w:r>
        <w:rPr>
          <w:sz w:val="24"/>
          <w:szCs w:val="24"/>
        </w:rPr>
        <w:tab/>
      </w:r>
      <w:r>
        <w:rPr>
          <w:sz w:val="24"/>
          <w:szCs w:val="24"/>
        </w:rPr>
        <w:fldChar w:fldCharType="begin"/>
      </w:r>
      <w:r>
        <w:rPr>
          <w:sz w:val="24"/>
          <w:szCs w:val="24"/>
        </w:rPr>
        <w:instrText xml:space="preserve"> PAGEREF _Toc19054 \h </w:instrText>
      </w:r>
      <w:r>
        <w:rPr>
          <w:sz w:val="24"/>
          <w:szCs w:val="24"/>
        </w:rPr>
        <w:fldChar w:fldCharType="separate"/>
      </w:r>
      <w:r>
        <w:rPr>
          <w:sz w:val="24"/>
          <w:szCs w:val="24"/>
        </w:rPr>
        <w:t>10</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37D87045">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_Toc31688 </w:instrText>
      </w:r>
      <w:r>
        <w:rPr>
          <w:rFonts w:hint="eastAsia" w:asciiTheme="majorEastAsia" w:hAnsiTheme="majorEastAsia" w:eastAsiaTheme="majorEastAsia" w:cstheme="majorEastAsia"/>
          <w:sz w:val="24"/>
          <w:szCs w:val="24"/>
          <w:highlight w:val="none"/>
        </w:rPr>
        <w:fldChar w:fldCharType="separate"/>
      </w:r>
      <w:r>
        <w:rPr>
          <w:rFonts w:hint="eastAsia" w:ascii="Arial Narrow" w:hAnsi="Arial Narrow" w:eastAsia="宋体" w:cs="Arial Narrow"/>
          <w:sz w:val="24"/>
          <w:szCs w:val="24"/>
        </w:rPr>
        <w:t>（五）</w:t>
      </w:r>
      <w:r>
        <w:rPr>
          <w:rFonts w:hint="default" w:ascii="Arial Narrow" w:hAnsi="Arial Narrow" w:eastAsia="宋体" w:cs="Arial Narrow"/>
          <w:sz w:val="24"/>
          <w:szCs w:val="24"/>
          <w:highlight w:val="none"/>
        </w:rPr>
        <w:t>部门预决算差异率</w:t>
      </w:r>
      <w:r>
        <w:rPr>
          <w:sz w:val="24"/>
          <w:szCs w:val="24"/>
        </w:rPr>
        <w:tab/>
      </w:r>
      <w:r>
        <w:rPr>
          <w:sz w:val="24"/>
          <w:szCs w:val="24"/>
        </w:rPr>
        <w:fldChar w:fldCharType="begin"/>
      </w:r>
      <w:r>
        <w:rPr>
          <w:sz w:val="24"/>
          <w:szCs w:val="24"/>
        </w:rPr>
        <w:instrText xml:space="preserve"> PAGEREF _Toc31688 \h </w:instrText>
      </w:r>
      <w:r>
        <w:rPr>
          <w:sz w:val="24"/>
          <w:szCs w:val="24"/>
        </w:rPr>
        <w:fldChar w:fldCharType="separate"/>
      </w:r>
      <w:r>
        <w:rPr>
          <w:sz w:val="24"/>
          <w:szCs w:val="24"/>
        </w:rPr>
        <w:t>10</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2EE4392E">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黑体" w:hAnsi="黑体" w:eastAsia="黑体" w:cs="黑体"/>
          <w:b w:val="0"/>
          <w:bCs w:val="0"/>
          <w:color w:val="auto"/>
          <w:sz w:val="24"/>
          <w:szCs w:val="24"/>
          <w:highlight w:val="none"/>
        </w:rPr>
      </w:pP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HYPERLINK \l _Toc16425 </w:instrText>
      </w:r>
      <w:r>
        <w:rPr>
          <w:rFonts w:hint="eastAsia" w:ascii="黑体" w:hAnsi="黑体" w:eastAsia="黑体" w:cs="黑体"/>
          <w:b w:val="0"/>
          <w:bCs w:val="0"/>
          <w:color w:val="auto"/>
          <w:sz w:val="24"/>
          <w:szCs w:val="24"/>
          <w:highlight w:val="none"/>
        </w:rPr>
        <w:fldChar w:fldCharType="separate"/>
      </w:r>
      <w:r>
        <w:rPr>
          <w:rFonts w:hint="default" w:ascii="黑体" w:hAnsi="黑体" w:eastAsia="黑体" w:cs="黑体"/>
          <w:b w:val="0"/>
          <w:bCs w:val="0"/>
          <w:color w:val="auto"/>
          <w:sz w:val="24"/>
          <w:szCs w:val="24"/>
          <w:highlight w:val="none"/>
        </w:rPr>
        <w:t>五、总体评价结论</w:t>
      </w:r>
      <w:r>
        <w:rPr>
          <w:rFonts w:hint="eastAsia" w:ascii="黑体" w:hAnsi="黑体" w:eastAsia="黑体" w:cs="黑体"/>
          <w:b w:val="0"/>
          <w:bCs w:val="0"/>
          <w:color w:val="auto"/>
          <w:sz w:val="24"/>
          <w:szCs w:val="24"/>
          <w:highlight w:val="none"/>
        </w:rPr>
        <w:tab/>
      </w: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PAGEREF _Toc16425 \h </w:instrText>
      </w:r>
      <w:r>
        <w:rPr>
          <w:rFonts w:hint="eastAsia" w:ascii="黑体" w:hAnsi="黑体" w:eastAsia="黑体" w:cs="黑体"/>
          <w:b w:val="0"/>
          <w:bCs w:val="0"/>
          <w:color w:val="auto"/>
          <w:sz w:val="24"/>
          <w:szCs w:val="24"/>
          <w:highlight w:val="none"/>
        </w:rPr>
        <w:fldChar w:fldCharType="separate"/>
      </w:r>
      <w:r>
        <w:rPr>
          <w:rFonts w:hint="eastAsia" w:ascii="黑体" w:hAnsi="黑体" w:eastAsia="黑体" w:cs="黑体"/>
          <w:b w:val="0"/>
          <w:bCs w:val="0"/>
          <w:color w:val="auto"/>
          <w:sz w:val="24"/>
          <w:szCs w:val="24"/>
          <w:highlight w:val="none"/>
        </w:rPr>
        <w:t>10</w:t>
      </w:r>
      <w:r>
        <w:rPr>
          <w:rFonts w:hint="eastAsia" w:ascii="黑体" w:hAnsi="黑体" w:eastAsia="黑体" w:cs="黑体"/>
          <w:b w:val="0"/>
          <w:bCs w:val="0"/>
          <w:color w:val="auto"/>
          <w:sz w:val="24"/>
          <w:szCs w:val="24"/>
          <w:highlight w:val="none"/>
        </w:rPr>
        <w:fldChar w:fldCharType="end"/>
      </w:r>
      <w:r>
        <w:rPr>
          <w:rFonts w:hint="eastAsia" w:ascii="黑体" w:hAnsi="黑体" w:eastAsia="黑体" w:cs="黑体"/>
          <w:b w:val="0"/>
          <w:bCs w:val="0"/>
          <w:color w:val="auto"/>
          <w:sz w:val="24"/>
          <w:szCs w:val="24"/>
          <w:highlight w:val="none"/>
        </w:rPr>
        <w:fldChar w:fldCharType="end"/>
      </w:r>
    </w:p>
    <w:p w14:paraId="4A4BDAAE">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_Toc32043 </w:instrText>
      </w:r>
      <w:r>
        <w:rPr>
          <w:rFonts w:hint="eastAsia" w:asciiTheme="majorEastAsia" w:hAnsiTheme="majorEastAsia" w:eastAsiaTheme="majorEastAsia" w:cstheme="majorEastAsia"/>
          <w:sz w:val="24"/>
          <w:szCs w:val="24"/>
          <w:highlight w:val="none"/>
        </w:rPr>
        <w:fldChar w:fldCharType="separate"/>
      </w:r>
      <w:r>
        <w:rPr>
          <w:rFonts w:hint="default" w:ascii="Arial Narrow" w:hAnsi="Arial Narrow" w:eastAsia="宋体" w:cs="Arial Narrow"/>
          <w:sz w:val="24"/>
          <w:szCs w:val="24"/>
          <w:highlight w:val="none"/>
        </w:rPr>
        <w:t>（一）评价得分情况</w:t>
      </w:r>
      <w:r>
        <w:rPr>
          <w:sz w:val="24"/>
          <w:szCs w:val="24"/>
        </w:rPr>
        <w:tab/>
      </w:r>
      <w:r>
        <w:rPr>
          <w:sz w:val="24"/>
          <w:szCs w:val="24"/>
        </w:rPr>
        <w:fldChar w:fldCharType="begin"/>
      </w:r>
      <w:r>
        <w:rPr>
          <w:sz w:val="24"/>
          <w:szCs w:val="24"/>
        </w:rPr>
        <w:instrText xml:space="preserve"> PAGEREF _Toc32043 \h </w:instrText>
      </w:r>
      <w:r>
        <w:rPr>
          <w:sz w:val="24"/>
          <w:szCs w:val="24"/>
        </w:rPr>
        <w:fldChar w:fldCharType="separate"/>
      </w:r>
      <w:r>
        <w:rPr>
          <w:sz w:val="24"/>
          <w:szCs w:val="24"/>
        </w:rPr>
        <w:t>10</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14AED239">
      <w:pPr>
        <w:pStyle w:val="13"/>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Theme="majorEastAsia" w:hAnsiTheme="majorEastAsia" w:eastAsiaTheme="majorEastAsia" w:cstheme="majorEastAsia"/>
          <w:color w:val="auto"/>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\l _Toc11619 </w:instrText>
      </w:r>
      <w:r>
        <w:rPr>
          <w:rFonts w:hint="eastAsia" w:asciiTheme="majorEastAsia" w:hAnsiTheme="majorEastAsia" w:eastAsiaTheme="majorEastAsia" w:cstheme="majorEastAsia"/>
          <w:sz w:val="24"/>
          <w:szCs w:val="24"/>
          <w:highlight w:val="none"/>
        </w:rPr>
        <w:fldChar w:fldCharType="separate"/>
      </w:r>
      <w:r>
        <w:rPr>
          <w:rFonts w:hint="default" w:ascii="Arial Narrow" w:hAnsi="Arial Narrow" w:eastAsia="宋体" w:cs="Arial Narrow"/>
          <w:sz w:val="24"/>
          <w:szCs w:val="24"/>
          <w:highlight w:val="none"/>
        </w:rPr>
        <w:t>（二）存在的问题及原因分析</w:t>
      </w:r>
      <w:r>
        <w:rPr>
          <w:sz w:val="24"/>
          <w:szCs w:val="24"/>
        </w:rPr>
        <w:tab/>
      </w:r>
      <w:r>
        <w:rPr>
          <w:sz w:val="24"/>
          <w:szCs w:val="24"/>
        </w:rPr>
        <w:fldChar w:fldCharType="begin"/>
      </w:r>
      <w:r>
        <w:rPr>
          <w:sz w:val="24"/>
          <w:szCs w:val="24"/>
        </w:rPr>
        <w:instrText xml:space="preserve"> PAGEREF _Toc11619 \h </w:instrText>
      </w:r>
      <w:r>
        <w:rPr>
          <w:sz w:val="24"/>
          <w:szCs w:val="24"/>
        </w:rPr>
        <w:fldChar w:fldCharType="separate"/>
      </w:r>
      <w:r>
        <w:rPr>
          <w:sz w:val="24"/>
          <w:szCs w:val="24"/>
        </w:rPr>
        <w:t>10</w:t>
      </w:r>
      <w:r>
        <w:rPr>
          <w:sz w:val="24"/>
          <w:szCs w:val="24"/>
        </w:rPr>
        <w:fldChar w:fldCharType="end"/>
      </w:r>
      <w:r>
        <w:rPr>
          <w:rFonts w:hint="eastAsia" w:asciiTheme="majorEastAsia" w:hAnsiTheme="majorEastAsia" w:eastAsiaTheme="majorEastAsia" w:cstheme="majorEastAsia"/>
          <w:color w:val="auto"/>
          <w:sz w:val="24"/>
          <w:szCs w:val="24"/>
          <w:highlight w:val="none"/>
        </w:rPr>
        <w:fldChar w:fldCharType="end"/>
      </w:r>
    </w:p>
    <w:p w14:paraId="31D75540">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黑体" w:hAnsi="黑体" w:eastAsia="黑体" w:cs="黑体"/>
          <w:b w:val="0"/>
          <w:bCs w:val="0"/>
          <w:color w:val="auto"/>
          <w:sz w:val="24"/>
          <w:szCs w:val="24"/>
          <w:highlight w:val="none"/>
        </w:rPr>
      </w:pP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HYPERLINK \l _Toc5615 </w:instrText>
      </w:r>
      <w:r>
        <w:rPr>
          <w:rFonts w:hint="eastAsia" w:ascii="黑体" w:hAnsi="黑体" w:eastAsia="黑体" w:cs="黑体"/>
          <w:b w:val="0"/>
          <w:bCs w:val="0"/>
          <w:color w:val="auto"/>
          <w:sz w:val="24"/>
          <w:szCs w:val="24"/>
          <w:highlight w:val="none"/>
        </w:rPr>
        <w:fldChar w:fldCharType="separate"/>
      </w:r>
      <w:r>
        <w:rPr>
          <w:rFonts w:hint="default" w:ascii="黑体" w:hAnsi="黑体" w:eastAsia="黑体" w:cs="黑体"/>
          <w:b w:val="0"/>
          <w:bCs w:val="0"/>
          <w:color w:val="auto"/>
          <w:sz w:val="24"/>
          <w:szCs w:val="24"/>
          <w:highlight w:val="none"/>
        </w:rPr>
        <w:t>六、措施建议</w:t>
      </w:r>
      <w:r>
        <w:rPr>
          <w:rFonts w:hint="eastAsia" w:ascii="黑体" w:hAnsi="黑体" w:eastAsia="黑体" w:cs="黑体"/>
          <w:b w:val="0"/>
          <w:bCs w:val="0"/>
          <w:color w:val="auto"/>
          <w:sz w:val="24"/>
          <w:szCs w:val="24"/>
          <w:highlight w:val="none"/>
        </w:rPr>
        <w:tab/>
      </w: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PAGEREF _Toc5615 \h </w:instrText>
      </w:r>
      <w:r>
        <w:rPr>
          <w:rFonts w:hint="eastAsia" w:ascii="黑体" w:hAnsi="黑体" w:eastAsia="黑体" w:cs="黑体"/>
          <w:b w:val="0"/>
          <w:bCs w:val="0"/>
          <w:color w:val="auto"/>
          <w:sz w:val="24"/>
          <w:szCs w:val="24"/>
          <w:highlight w:val="none"/>
        </w:rPr>
        <w:fldChar w:fldCharType="separate"/>
      </w:r>
      <w:r>
        <w:rPr>
          <w:rFonts w:hint="eastAsia" w:ascii="黑体" w:hAnsi="黑体" w:eastAsia="黑体" w:cs="黑体"/>
          <w:b w:val="0"/>
          <w:bCs w:val="0"/>
          <w:color w:val="auto"/>
          <w:sz w:val="24"/>
          <w:szCs w:val="24"/>
          <w:highlight w:val="none"/>
        </w:rPr>
        <w:t>11</w:t>
      </w:r>
      <w:r>
        <w:rPr>
          <w:rFonts w:hint="eastAsia" w:ascii="黑体" w:hAnsi="黑体" w:eastAsia="黑体" w:cs="黑体"/>
          <w:b w:val="0"/>
          <w:bCs w:val="0"/>
          <w:color w:val="auto"/>
          <w:sz w:val="24"/>
          <w:szCs w:val="24"/>
          <w:highlight w:val="none"/>
        </w:rPr>
        <w:fldChar w:fldCharType="end"/>
      </w:r>
      <w:r>
        <w:rPr>
          <w:rFonts w:hint="eastAsia" w:ascii="黑体" w:hAnsi="黑体" w:eastAsia="黑体" w:cs="黑体"/>
          <w:b w:val="0"/>
          <w:bCs w:val="0"/>
          <w:color w:val="auto"/>
          <w:sz w:val="24"/>
          <w:szCs w:val="24"/>
          <w:highlight w:val="none"/>
        </w:rPr>
        <w:fldChar w:fldCharType="end"/>
      </w:r>
    </w:p>
    <w:p w14:paraId="38CBB95A">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黑体" w:hAnsi="黑体" w:eastAsia="黑体" w:cs="黑体"/>
          <w:b w:val="0"/>
          <w:bCs w:val="0"/>
          <w:color w:val="auto"/>
          <w:sz w:val="24"/>
          <w:szCs w:val="24"/>
          <w:highlight w:val="none"/>
        </w:rPr>
      </w:pP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HYPERLINK \l _Toc9186 </w:instrText>
      </w:r>
      <w:r>
        <w:rPr>
          <w:rFonts w:hint="eastAsia" w:ascii="黑体" w:hAnsi="黑体" w:eastAsia="黑体" w:cs="黑体"/>
          <w:b w:val="0"/>
          <w:bCs w:val="0"/>
          <w:color w:val="auto"/>
          <w:sz w:val="24"/>
          <w:szCs w:val="24"/>
          <w:highlight w:val="none"/>
        </w:rPr>
        <w:fldChar w:fldCharType="separate"/>
      </w:r>
      <w:r>
        <w:rPr>
          <w:rFonts w:hint="default" w:ascii="黑体" w:hAnsi="黑体" w:eastAsia="黑体" w:cs="黑体"/>
          <w:b w:val="0"/>
          <w:bCs w:val="0"/>
          <w:color w:val="auto"/>
          <w:sz w:val="24"/>
          <w:szCs w:val="24"/>
          <w:highlight w:val="none"/>
          <w:lang w:val="en-US" w:eastAsia="zh-CN"/>
        </w:rPr>
        <w:t>七、其他需要说明的问题</w:t>
      </w:r>
      <w:r>
        <w:rPr>
          <w:rFonts w:hint="eastAsia" w:ascii="黑体" w:hAnsi="黑体" w:eastAsia="黑体" w:cs="黑体"/>
          <w:b w:val="0"/>
          <w:bCs w:val="0"/>
          <w:color w:val="auto"/>
          <w:sz w:val="24"/>
          <w:szCs w:val="24"/>
          <w:highlight w:val="none"/>
        </w:rPr>
        <w:tab/>
      </w: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PAGEREF _Toc9186 \h </w:instrText>
      </w:r>
      <w:r>
        <w:rPr>
          <w:rFonts w:hint="eastAsia" w:ascii="黑体" w:hAnsi="黑体" w:eastAsia="黑体" w:cs="黑体"/>
          <w:b w:val="0"/>
          <w:bCs w:val="0"/>
          <w:color w:val="auto"/>
          <w:sz w:val="24"/>
          <w:szCs w:val="24"/>
          <w:highlight w:val="none"/>
        </w:rPr>
        <w:fldChar w:fldCharType="separate"/>
      </w:r>
      <w:r>
        <w:rPr>
          <w:rFonts w:hint="eastAsia" w:ascii="黑体" w:hAnsi="黑体" w:eastAsia="黑体" w:cs="黑体"/>
          <w:b w:val="0"/>
          <w:bCs w:val="0"/>
          <w:color w:val="auto"/>
          <w:sz w:val="24"/>
          <w:szCs w:val="24"/>
          <w:highlight w:val="none"/>
        </w:rPr>
        <w:t>12</w:t>
      </w:r>
      <w:r>
        <w:rPr>
          <w:rFonts w:hint="eastAsia" w:ascii="黑体" w:hAnsi="黑体" w:eastAsia="黑体" w:cs="黑体"/>
          <w:b w:val="0"/>
          <w:bCs w:val="0"/>
          <w:color w:val="auto"/>
          <w:sz w:val="24"/>
          <w:szCs w:val="24"/>
          <w:highlight w:val="none"/>
        </w:rPr>
        <w:fldChar w:fldCharType="end"/>
      </w:r>
      <w:r>
        <w:rPr>
          <w:rFonts w:hint="eastAsia" w:ascii="黑体" w:hAnsi="黑体" w:eastAsia="黑体" w:cs="黑体"/>
          <w:b w:val="0"/>
          <w:bCs w:val="0"/>
          <w:color w:val="auto"/>
          <w:sz w:val="24"/>
          <w:szCs w:val="24"/>
          <w:highlight w:val="none"/>
        </w:rPr>
        <w:fldChar w:fldCharType="end"/>
      </w:r>
    </w:p>
    <w:p w14:paraId="70E2719F">
      <w:pPr>
        <w:pStyle w:val="11"/>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sz w:val="24"/>
          <w:szCs w:val="24"/>
        </w:rPr>
      </w:pP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HYPERLINK \l _Toc18868 </w:instrText>
      </w:r>
      <w:r>
        <w:rPr>
          <w:rFonts w:hint="eastAsia" w:ascii="黑体" w:hAnsi="黑体" w:eastAsia="黑体" w:cs="黑体"/>
          <w:b w:val="0"/>
          <w:bCs w:val="0"/>
          <w:color w:val="auto"/>
          <w:sz w:val="24"/>
          <w:szCs w:val="24"/>
          <w:highlight w:val="none"/>
        </w:rPr>
        <w:fldChar w:fldCharType="separate"/>
      </w:r>
      <w:r>
        <w:rPr>
          <w:rFonts w:hint="default" w:ascii="黑体" w:hAnsi="黑体" w:eastAsia="黑体" w:cs="黑体"/>
          <w:b w:val="0"/>
          <w:bCs w:val="0"/>
          <w:color w:val="auto"/>
          <w:sz w:val="24"/>
          <w:szCs w:val="24"/>
          <w:highlight w:val="none"/>
          <w:lang w:val="en-US" w:eastAsia="zh-CN"/>
        </w:rPr>
        <w:t>八、附件</w:t>
      </w:r>
      <w:r>
        <w:rPr>
          <w:rFonts w:hint="eastAsia" w:ascii="黑体" w:hAnsi="黑体" w:eastAsia="黑体" w:cs="黑体"/>
          <w:b w:val="0"/>
          <w:bCs w:val="0"/>
          <w:color w:val="auto"/>
          <w:sz w:val="24"/>
          <w:szCs w:val="24"/>
          <w:highlight w:val="none"/>
        </w:rPr>
        <w:tab/>
      </w:r>
      <w:r>
        <w:rPr>
          <w:rFonts w:hint="eastAsia" w:ascii="黑体" w:hAnsi="黑体" w:eastAsia="黑体" w:cs="黑体"/>
          <w:b w:val="0"/>
          <w:bCs w:val="0"/>
          <w:color w:val="auto"/>
          <w:sz w:val="24"/>
          <w:szCs w:val="24"/>
          <w:highlight w:val="none"/>
        </w:rPr>
        <w:fldChar w:fldCharType="begin"/>
      </w:r>
      <w:r>
        <w:rPr>
          <w:rFonts w:hint="eastAsia" w:ascii="黑体" w:hAnsi="黑体" w:eastAsia="黑体" w:cs="黑体"/>
          <w:b w:val="0"/>
          <w:bCs w:val="0"/>
          <w:color w:val="auto"/>
          <w:sz w:val="24"/>
          <w:szCs w:val="24"/>
          <w:highlight w:val="none"/>
        </w:rPr>
        <w:instrText xml:space="preserve"> PAGEREF _Toc18868 \h </w:instrText>
      </w:r>
      <w:r>
        <w:rPr>
          <w:rFonts w:hint="eastAsia" w:ascii="黑体" w:hAnsi="黑体" w:eastAsia="黑体" w:cs="黑体"/>
          <w:b w:val="0"/>
          <w:bCs w:val="0"/>
          <w:color w:val="auto"/>
          <w:sz w:val="24"/>
          <w:szCs w:val="24"/>
          <w:highlight w:val="none"/>
        </w:rPr>
        <w:fldChar w:fldCharType="separate"/>
      </w:r>
      <w:r>
        <w:rPr>
          <w:rFonts w:hint="eastAsia" w:ascii="黑体" w:hAnsi="黑体" w:eastAsia="黑体" w:cs="黑体"/>
          <w:b w:val="0"/>
          <w:bCs w:val="0"/>
          <w:color w:val="auto"/>
          <w:sz w:val="24"/>
          <w:szCs w:val="24"/>
          <w:highlight w:val="none"/>
        </w:rPr>
        <w:t>12</w:t>
      </w:r>
      <w:r>
        <w:rPr>
          <w:rFonts w:hint="eastAsia" w:ascii="黑体" w:hAnsi="黑体" w:eastAsia="黑体" w:cs="黑体"/>
          <w:b w:val="0"/>
          <w:bCs w:val="0"/>
          <w:color w:val="auto"/>
          <w:sz w:val="24"/>
          <w:szCs w:val="24"/>
          <w:highlight w:val="none"/>
        </w:rPr>
        <w:fldChar w:fldCharType="end"/>
      </w:r>
      <w:r>
        <w:rPr>
          <w:rFonts w:hint="eastAsia" w:ascii="黑体" w:hAnsi="黑体" w:eastAsia="黑体" w:cs="黑体"/>
          <w:b w:val="0"/>
          <w:bCs w:val="0"/>
          <w:color w:val="auto"/>
          <w:sz w:val="24"/>
          <w:szCs w:val="24"/>
          <w:highlight w:val="none"/>
        </w:rPr>
        <w:fldChar w:fldCharType="end"/>
      </w:r>
    </w:p>
    <w:p w14:paraId="650B79A0">
      <w:pPr>
        <w:pStyle w:val="11"/>
        <w:tabs>
          <w:tab w:val="right" w:leader="dot" w:pos="8306"/>
        </w:tabs>
        <w:rPr>
          <w:sz w:val="24"/>
          <w:szCs w:val="24"/>
        </w:rPr>
      </w:pPr>
    </w:p>
    <w:p w14:paraId="7FE60E79">
      <w:pPr>
        <w:spacing w:line="480" w:lineRule="auto"/>
        <w:jc w:val="center"/>
        <w:rPr>
          <w:rFonts w:ascii="Arial Narrow" w:hAnsi="Arial Narrow" w:cs="Arial Narrow"/>
          <w:color w:val="auto"/>
          <w:sz w:val="24"/>
          <w:szCs w:val="24"/>
          <w:highlight w:val="none"/>
        </w:rPr>
      </w:pPr>
      <w:r>
        <w:rPr>
          <w:rFonts w:hint="eastAsia" w:asciiTheme="majorEastAsia" w:hAnsiTheme="majorEastAsia" w:eastAsiaTheme="majorEastAsia" w:cstheme="majorEastAsia"/>
          <w:color w:val="auto"/>
          <w:sz w:val="24"/>
          <w:szCs w:val="24"/>
          <w:highlight w:val="none"/>
        </w:rPr>
        <w:fldChar w:fldCharType="end"/>
      </w:r>
    </w:p>
    <w:p w14:paraId="53BD64D9">
      <w:pPr>
        <w:jc w:val="center"/>
        <w:outlineLvl w:val="0"/>
        <w:rPr>
          <w:rFonts w:ascii="Arial Narrow" w:hAnsi="Arial Narrow" w:eastAsia="仿宋" w:cs="Arial Narrow"/>
          <w:b/>
          <w:bCs/>
          <w:color w:val="auto"/>
          <w:kern w:val="0"/>
          <w:sz w:val="24"/>
          <w:szCs w:val="24"/>
          <w:highlight w:val="none"/>
        </w:rPr>
        <w:sectPr>
          <w:footerReference r:id="rId3" w:type="default"/>
          <w:pgSz w:w="11906" w:h="16838"/>
          <w:pgMar w:top="1440" w:right="1800" w:bottom="1440" w:left="1800" w:header="851" w:footer="992" w:gutter="0"/>
          <w:pgNumType w:start="1"/>
          <w:cols w:space="425" w:num="1"/>
          <w:docGrid w:type="lines" w:linePitch="312" w:charSpace="0"/>
        </w:sectPr>
      </w:pPr>
      <w:bookmarkStart w:id="3" w:name="_Toc2550"/>
      <w:bookmarkStart w:id="4" w:name="_Toc32005"/>
    </w:p>
    <w:p w14:paraId="3B2EB088">
      <w:pPr>
        <w:bidi w:val="0"/>
        <w:jc w:val="center"/>
        <w:rPr>
          <w:rFonts w:hint="eastAsia"/>
          <w:b/>
          <w:bCs/>
          <w:color w:val="auto"/>
          <w:sz w:val="44"/>
          <w:szCs w:val="44"/>
          <w:highlight w:val="none"/>
        </w:rPr>
      </w:pPr>
      <w:bookmarkStart w:id="5" w:name="_Toc5404"/>
      <w:bookmarkStart w:id="6" w:name="_Toc27477"/>
      <w:bookmarkStart w:id="7" w:name="_Toc20050"/>
      <w:bookmarkStart w:id="8" w:name="_Toc18698"/>
      <w:bookmarkStart w:id="9" w:name="_Toc9043"/>
      <w:bookmarkStart w:id="10" w:name="_Toc20815"/>
      <w:bookmarkStart w:id="11" w:name="_Toc14894"/>
      <w:bookmarkStart w:id="12" w:name="_Toc15069"/>
      <w:bookmarkStart w:id="13" w:name="_Toc131804101"/>
      <w:bookmarkStart w:id="14" w:name="_Toc10956"/>
      <w:bookmarkStart w:id="15" w:name="_Toc19630"/>
      <w:r>
        <w:rPr>
          <w:rFonts w:hint="eastAsia"/>
          <w:b/>
          <w:bCs/>
          <w:color w:val="auto"/>
          <w:sz w:val="44"/>
          <w:szCs w:val="44"/>
          <w:highlight w:val="none"/>
        </w:rPr>
        <w:t>绩效评价报告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B5593B1">
      <w:pPr>
        <w:spacing w:line="520" w:lineRule="exact"/>
        <w:ind w:firstLine="420" w:firstLineChars="200"/>
        <w:rPr>
          <w:rFonts w:hint="default" w:ascii="Arial Narrow" w:hAnsi="Arial Narrow" w:eastAsia="宋体" w:cs="Arial Narrow"/>
          <w:color w:val="auto"/>
          <w:kern w:val="44"/>
          <w:sz w:val="21"/>
          <w:szCs w:val="21"/>
          <w:highlight w:val="none"/>
        </w:rPr>
      </w:pPr>
    </w:p>
    <w:p w14:paraId="62097493">
      <w:pPr>
        <w:spacing w:line="520" w:lineRule="exact"/>
        <w:ind w:firstLine="420" w:firstLineChars="200"/>
        <w:rPr>
          <w:rFonts w:hint="default" w:ascii="Arial Narrow" w:hAnsi="Arial Narrow" w:eastAsia="宋体" w:cs="Arial Narrow"/>
          <w:b/>
          <w:bCs/>
          <w:color w:val="auto"/>
          <w:kern w:val="0"/>
          <w:sz w:val="21"/>
          <w:szCs w:val="21"/>
          <w:highlight w:val="none"/>
        </w:rPr>
      </w:pPr>
      <w:r>
        <w:rPr>
          <w:rFonts w:hint="default" w:ascii="Arial Narrow" w:hAnsi="Arial Narrow" w:eastAsia="宋体" w:cs="Arial Narrow"/>
          <w:color w:val="auto"/>
          <w:kern w:val="44"/>
          <w:sz w:val="21"/>
          <w:szCs w:val="21"/>
          <w:highlight w:val="none"/>
        </w:rPr>
        <w:t>为有效提高财政资金使用效率，落实《中共中央国务院关于全面实施预算绩效管理的意见》（中发﹝2018﹞34号）</w:t>
      </w:r>
      <w:r>
        <w:rPr>
          <w:rFonts w:hint="eastAsia" w:ascii="Arial Narrow" w:hAnsi="Arial Narrow" w:cs="Arial Narrow"/>
          <w:color w:val="auto"/>
          <w:kern w:val="44"/>
          <w:sz w:val="21"/>
          <w:szCs w:val="21"/>
          <w:highlight w:val="none"/>
          <w:lang w:eastAsia="zh-CN"/>
        </w:rPr>
        <w:t>“</w:t>
      </w:r>
      <w:r>
        <w:rPr>
          <w:rFonts w:hint="default" w:ascii="Arial Narrow" w:hAnsi="Arial Narrow" w:eastAsia="宋体" w:cs="Arial Narrow"/>
          <w:color w:val="auto"/>
          <w:kern w:val="44"/>
          <w:sz w:val="21"/>
          <w:szCs w:val="21"/>
          <w:highlight w:val="none"/>
        </w:rPr>
        <w:t>加快建成全方位、全过程、全覆盖的预算绩效管理体系</w:t>
      </w:r>
      <w:r>
        <w:rPr>
          <w:rFonts w:hint="eastAsia" w:ascii="Arial Narrow" w:hAnsi="Arial Narrow" w:cs="Arial Narrow"/>
          <w:color w:val="auto"/>
          <w:kern w:val="44"/>
          <w:sz w:val="21"/>
          <w:szCs w:val="21"/>
          <w:highlight w:val="none"/>
          <w:lang w:eastAsia="zh-CN"/>
        </w:rPr>
        <w:t>”</w:t>
      </w:r>
      <w:r>
        <w:rPr>
          <w:rFonts w:hint="default" w:ascii="Arial Narrow" w:hAnsi="Arial Narrow" w:eastAsia="宋体" w:cs="Arial Narrow"/>
          <w:color w:val="auto"/>
          <w:kern w:val="44"/>
          <w:sz w:val="21"/>
          <w:szCs w:val="21"/>
          <w:highlight w:val="none"/>
        </w:rPr>
        <w:t>的要求，依据《北京市预算绩效管理办法》（京财绩效﹝2019﹞2129号）、《北京市项目支出绩效评价管理办法》（京财绩效﹝2020﹞2146号），中国共产党北京市委员会研究室</w:t>
      </w:r>
      <w:r>
        <w:rPr>
          <w:rFonts w:hint="eastAsia" w:ascii="Arial Narrow" w:hAnsi="Arial Narrow" w:cs="Arial Narrow"/>
          <w:color w:val="auto"/>
          <w:kern w:val="44"/>
          <w:sz w:val="21"/>
          <w:szCs w:val="21"/>
          <w:highlight w:val="none"/>
          <w:lang w:eastAsia="zh-CN"/>
        </w:rPr>
        <w:t>（</w:t>
      </w:r>
      <w:r>
        <w:rPr>
          <w:rFonts w:hint="eastAsia" w:ascii="Arial Narrow" w:hAnsi="Arial Narrow" w:cs="Arial Narrow"/>
          <w:color w:val="auto"/>
          <w:kern w:val="44"/>
          <w:sz w:val="21"/>
          <w:szCs w:val="21"/>
          <w:highlight w:val="none"/>
          <w:lang w:val="en-US" w:eastAsia="zh-CN"/>
        </w:rPr>
        <w:t>以下简称“市委研究室”</w:t>
      </w:r>
      <w:r>
        <w:rPr>
          <w:rFonts w:hint="eastAsia" w:ascii="Arial Narrow" w:hAnsi="Arial Narrow" w:cs="Arial Narrow"/>
          <w:color w:val="auto"/>
          <w:kern w:val="44"/>
          <w:sz w:val="21"/>
          <w:szCs w:val="21"/>
          <w:highlight w:val="none"/>
          <w:lang w:eastAsia="zh-CN"/>
        </w:rPr>
        <w:t>）</w:t>
      </w:r>
      <w:r>
        <w:rPr>
          <w:rFonts w:hint="default" w:ascii="Arial Narrow" w:hAnsi="Arial Narrow" w:eastAsia="宋体" w:cs="Arial Narrow"/>
          <w:color w:val="auto"/>
          <w:kern w:val="44"/>
          <w:sz w:val="21"/>
          <w:szCs w:val="21"/>
          <w:highlight w:val="none"/>
        </w:rPr>
        <w:t>成立绩效评价工作组，对</w:t>
      </w:r>
      <w:r>
        <w:rPr>
          <w:rFonts w:hint="default" w:ascii="Arial Narrow" w:hAnsi="Arial Narrow" w:eastAsia="宋体" w:cs="Arial Narrow"/>
          <w:color w:val="auto"/>
          <w:kern w:val="44"/>
          <w:sz w:val="21"/>
          <w:szCs w:val="21"/>
          <w:highlight w:val="none"/>
          <w:lang w:eastAsia="zh-CN"/>
        </w:rPr>
        <w:t>202</w:t>
      </w:r>
      <w:r>
        <w:rPr>
          <w:rFonts w:hint="eastAsia" w:ascii="Arial Narrow" w:hAnsi="Arial Narrow" w:cs="Arial Narrow"/>
          <w:color w:val="auto"/>
          <w:kern w:val="44"/>
          <w:sz w:val="21"/>
          <w:szCs w:val="21"/>
          <w:highlight w:val="none"/>
          <w:lang w:val="en-US" w:eastAsia="zh-CN"/>
        </w:rPr>
        <w:t>4</w:t>
      </w:r>
      <w:r>
        <w:rPr>
          <w:rFonts w:hint="default" w:ascii="Arial Narrow" w:hAnsi="Arial Narrow" w:eastAsia="宋体" w:cs="Arial Narrow"/>
          <w:color w:val="auto"/>
          <w:kern w:val="44"/>
          <w:sz w:val="21"/>
          <w:szCs w:val="21"/>
          <w:highlight w:val="none"/>
          <w:lang w:eastAsia="zh-CN"/>
        </w:rPr>
        <w:t>年度部门整体</w:t>
      </w:r>
      <w:bookmarkStart w:id="16" w:name="_Hlk131687700"/>
      <w:r>
        <w:rPr>
          <w:rFonts w:hint="default" w:ascii="Arial Narrow" w:hAnsi="Arial Narrow" w:cs="Arial Narrow"/>
          <w:color w:val="auto"/>
          <w:kern w:val="44"/>
          <w:sz w:val="21"/>
          <w:szCs w:val="21"/>
          <w:highlight w:val="none"/>
          <w:lang w:val="en-US" w:eastAsia="zh-CN"/>
        </w:rPr>
        <w:t>支出</w:t>
      </w:r>
      <w:r>
        <w:rPr>
          <w:rFonts w:hint="default" w:ascii="Arial Narrow" w:hAnsi="Arial Narrow" w:eastAsia="宋体" w:cs="Arial Narrow"/>
          <w:color w:val="auto"/>
          <w:kern w:val="44"/>
          <w:sz w:val="21"/>
          <w:szCs w:val="21"/>
          <w:highlight w:val="none"/>
        </w:rPr>
        <w:t>开展了绩效评价。具体情况如下：</w:t>
      </w:r>
    </w:p>
    <w:bookmarkEnd w:id="16"/>
    <w:p w14:paraId="1BF9600E">
      <w:pPr>
        <w:pStyle w:val="2"/>
        <w:pageBreakBefore w:val="0"/>
        <w:kinsoku/>
        <w:wordWrap/>
        <w:overflowPunct/>
        <w:topLinePunct w:val="0"/>
        <w:autoSpaceDE/>
        <w:autoSpaceDN/>
        <w:bidi w:val="0"/>
        <w:adjustRightInd/>
        <w:snapToGrid/>
        <w:spacing w:before="0" w:after="0" w:line="520" w:lineRule="exact"/>
        <w:ind w:firstLine="422" w:firstLineChars="200"/>
        <w:rPr>
          <w:rFonts w:hint="default" w:ascii="Arial Narrow" w:hAnsi="Arial Narrow" w:eastAsia="宋体" w:cs="Arial Narrow"/>
          <w:color w:val="auto"/>
          <w:sz w:val="21"/>
          <w:szCs w:val="21"/>
          <w:highlight w:val="none"/>
        </w:rPr>
      </w:pPr>
      <w:bookmarkStart w:id="17" w:name="_Toc11372"/>
      <w:bookmarkStart w:id="18" w:name="_Toc10421"/>
      <w:bookmarkStart w:id="19" w:name="_Toc17849"/>
      <w:bookmarkStart w:id="20" w:name="_Toc11918"/>
      <w:bookmarkStart w:id="21" w:name="_Toc28153"/>
      <w:r>
        <w:rPr>
          <w:rFonts w:hint="default" w:ascii="Arial Narrow" w:hAnsi="Arial Narrow" w:eastAsia="宋体" w:cs="Arial Narrow"/>
          <w:color w:val="auto"/>
          <w:sz w:val="21"/>
          <w:szCs w:val="21"/>
          <w:highlight w:val="none"/>
        </w:rPr>
        <w:t>一、部门概况</w:t>
      </w:r>
      <w:bookmarkEnd w:id="17"/>
      <w:bookmarkEnd w:id="18"/>
      <w:bookmarkEnd w:id="19"/>
      <w:bookmarkEnd w:id="20"/>
      <w:bookmarkEnd w:id="21"/>
    </w:p>
    <w:p w14:paraId="37F1A0EB">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default" w:ascii="Arial Narrow" w:hAnsi="Arial Narrow" w:eastAsia="宋体" w:cs="Arial Narrow"/>
          <w:color w:val="auto"/>
          <w:sz w:val="21"/>
          <w:szCs w:val="21"/>
          <w:highlight w:val="none"/>
        </w:rPr>
      </w:pPr>
      <w:bookmarkStart w:id="22" w:name="_Toc29862"/>
      <w:bookmarkStart w:id="23" w:name="_Toc29114"/>
      <w:bookmarkStart w:id="24" w:name="_Toc18656"/>
      <w:bookmarkStart w:id="25" w:name="_Toc8673"/>
      <w:bookmarkStart w:id="26" w:name="_Toc32096"/>
      <w:r>
        <w:rPr>
          <w:rFonts w:hint="default" w:ascii="Arial Narrow" w:hAnsi="Arial Narrow" w:eastAsia="宋体" w:cs="Arial Narrow"/>
          <w:color w:val="auto"/>
          <w:sz w:val="21"/>
          <w:szCs w:val="21"/>
          <w:highlight w:val="none"/>
        </w:rPr>
        <w:t>（一）</w:t>
      </w:r>
      <w:bookmarkEnd w:id="22"/>
      <w:bookmarkEnd w:id="23"/>
      <w:bookmarkEnd w:id="24"/>
      <w:bookmarkEnd w:id="25"/>
      <w:r>
        <w:rPr>
          <w:rFonts w:hint="eastAsia" w:ascii="Arial Narrow" w:hAnsi="Arial Narrow" w:eastAsia="宋体" w:cs="Arial Narrow"/>
          <w:color w:val="auto"/>
          <w:sz w:val="21"/>
          <w:szCs w:val="21"/>
          <w:highlight w:val="none"/>
          <w:lang w:val="en-US" w:eastAsia="zh-CN"/>
        </w:rPr>
        <w:t>机构设置及职责工作任务情况</w:t>
      </w:r>
      <w:bookmarkEnd w:id="26"/>
    </w:p>
    <w:p w14:paraId="4AB7A510">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Arial Narrow" w:hAnsi="Arial Narrow" w:eastAsia="宋体" w:cs="Arial Narrow"/>
          <w:color w:val="auto"/>
          <w:sz w:val="21"/>
          <w:szCs w:val="21"/>
          <w:highlight w:val="none"/>
        </w:rPr>
      </w:pPr>
      <w:r>
        <w:rPr>
          <w:rFonts w:hint="default" w:ascii="Arial Narrow" w:hAnsi="Arial Narrow" w:eastAsia="宋体" w:cs="Arial Narrow"/>
          <w:color w:val="auto"/>
          <w:sz w:val="21"/>
          <w:szCs w:val="21"/>
          <w:highlight w:val="none"/>
        </w:rPr>
        <w:t>市委研究室是一家行政单位，其主要职责是：</w:t>
      </w:r>
      <w:r>
        <w:rPr>
          <w:rFonts w:hint="default" w:ascii="Arial Narrow" w:hAnsi="Arial Narrow" w:eastAsia="宋体" w:cs="Arial Narrow"/>
          <w:color w:val="auto"/>
          <w:sz w:val="21"/>
          <w:szCs w:val="21"/>
          <w:highlight w:val="none"/>
          <w:lang w:val="en-US" w:eastAsia="zh-CN"/>
        </w:rPr>
        <w:t>（1）</w:t>
      </w:r>
      <w:r>
        <w:rPr>
          <w:rFonts w:hint="default" w:ascii="Arial Narrow" w:hAnsi="Arial Narrow" w:eastAsia="宋体" w:cs="Arial Narrow"/>
          <w:color w:val="auto"/>
          <w:sz w:val="21"/>
          <w:szCs w:val="21"/>
          <w:highlight w:val="none"/>
        </w:rPr>
        <w:t>围绕全市工作大局和市委的工作部署，按照市委的指示和确定的重点课题，开展调查研究，提供决策意见和建议；</w:t>
      </w:r>
      <w:r>
        <w:rPr>
          <w:rFonts w:hint="default" w:ascii="Arial Narrow" w:hAnsi="Arial Narrow" w:eastAsia="宋体" w:cs="Arial Narrow"/>
          <w:color w:val="auto"/>
          <w:sz w:val="21"/>
          <w:szCs w:val="21"/>
          <w:highlight w:val="none"/>
          <w:lang w:val="en-US" w:eastAsia="zh-CN"/>
        </w:rPr>
        <w:t>（2）</w:t>
      </w:r>
      <w:r>
        <w:rPr>
          <w:rFonts w:hint="default" w:ascii="Arial Narrow" w:hAnsi="Arial Narrow" w:eastAsia="宋体" w:cs="Arial Narrow"/>
          <w:color w:val="auto"/>
          <w:sz w:val="21"/>
          <w:szCs w:val="21"/>
          <w:highlight w:val="none"/>
        </w:rPr>
        <w:t>组织撰写市委的重要文件、文稿；</w:t>
      </w:r>
      <w:r>
        <w:rPr>
          <w:rFonts w:hint="default" w:ascii="Arial Narrow" w:hAnsi="Arial Narrow" w:eastAsia="宋体" w:cs="Arial Narrow"/>
          <w:color w:val="auto"/>
          <w:sz w:val="21"/>
          <w:szCs w:val="21"/>
          <w:highlight w:val="none"/>
          <w:lang w:val="en-US" w:eastAsia="zh-CN"/>
        </w:rPr>
        <w:t>（3）</w:t>
      </w:r>
      <w:r>
        <w:rPr>
          <w:rFonts w:hint="default" w:ascii="Arial Narrow" w:hAnsi="Arial Narrow" w:eastAsia="宋体" w:cs="Arial Narrow"/>
          <w:color w:val="auto"/>
          <w:sz w:val="21"/>
          <w:szCs w:val="21"/>
          <w:highlight w:val="none"/>
        </w:rPr>
        <w:t>收集和提供具有重要参考价值的政治、经济和社会发展等方面的信息；</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组织协调全市调查研究工作；</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5</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完成市委交办的其他任务。</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6</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组织开展本市全面深化改革重大问题的政策研究；</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7</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统筹协调有关方面提出的改革工作方案和措施；</w:t>
      </w:r>
      <w:r>
        <w:rPr>
          <w:rFonts w:hint="default" w:ascii="Arial Narrow" w:hAnsi="Arial Narrow" w:eastAsia="宋体" w:cs="Arial Narrow"/>
          <w:color w:val="auto"/>
          <w:sz w:val="21"/>
          <w:szCs w:val="21"/>
          <w:highlight w:val="none"/>
          <w:lang w:val="en-US" w:eastAsia="zh-CN"/>
        </w:rPr>
        <w:t>（8）</w:t>
      </w:r>
      <w:r>
        <w:rPr>
          <w:rFonts w:hint="default" w:ascii="Arial Narrow" w:hAnsi="Arial Narrow" w:eastAsia="宋体" w:cs="Arial Narrow"/>
          <w:color w:val="auto"/>
          <w:sz w:val="21"/>
          <w:szCs w:val="21"/>
          <w:highlight w:val="none"/>
        </w:rPr>
        <w:t>协调督促有关方面落实市委深改委的决定事项、工作部署和要求；</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9</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收集汇总有关改革问题的信息资料；</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10</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联系有关研究机构和专家学者就改革重要问题进行研究和咨询；</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11</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负责市委深改委的会议组织、日常联络、简报编印等工作。</w:t>
      </w:r>
    </w:p>
    <w:p w14:paraId="5BBD510A">
      <w:pPr>
        <w:pageBreakBefore w:val="0"/>
        <w:kinsoku/>
        <w:wordWrap/>
        <w:overflowPunct/>
        <w:topLinePunct w:val="0"/>
        <w:autoSpaceDE/>
        <w:autoSpaceDN/>
        <w:bidi w:val="0"/>
        <w:adjustRightInd/>
        <w:snapToGrid/>
        <w:spacing w:line="520" w:lineRule="exact"/>
        <w:ind w:firstLine="420" w:firstLineChars="200"/>
        <w:rPr>
          <w:rFonts w:hint="eastAsia" w:ascii="Arial Narrow" w:hAnsi="Arial Narrow" w:cs="Arial Narrow"/>
          <w:color w:val="auto"/>
          <w:sz w:val="21"/>
          <w:szCs w:val="21"/>
          <w:highlight w:val="none"/>
          <w:lang w:val="en-US" w:eastAsia="zh-CN"/>
        </w:rPr>
      </w:pPr>
      <w:r>
        <w:rPr>
          <w:rFonts w:hint="eastAsia" w:ascii="Arial Narrow" w:hAnsi="Arial Narrow" w:cs="Arial Narrow"/>
          <w:color w:val="auto"/>
          <w:sz w:val="21"/>
          <w:szCs w:val="21"/>
          <w:highlight w:val="none"/>
          <w:lang w:val="en-US" w:eastAsia="zh-CN"/>
        </w:rPr>
        <w:t>2.工作任务情况</w:t>
      </w:r>
    </w:p>
    <w:p w14:paraId="774CFE5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宋体" w:hAnsi="宋体" w:eastAsia="宋体" w:cs="宋体"/>
          <w:color w:val="auto"/>
          <w:sz w:val="21"/>
          <w:szCs w:val="21"/>
          <w:highlight w:val="none"/>
          <w:lang w:eastAsia="zh-CN"/>
        </w:rPr>
      </w:pPr>
      <w:r>
        <w:rPr>
          <w:rFonts w:hint="default" w:ascii="Arial Narrow" w:hAnsi="Arial Narrow" w:eastAsia="宋体" w:cs="Arial Narrow"/>
          <w:color w:val="auto"/>
          <w:sz w:val="21"/>
          <w:szCs w:val="21"/>
          <w:highlight w:val="none"/>
        </w:rPr>
        <w:t>部门202</w:t>
      </w:r>
      <w:r>
        <w:rPr>
          <w:rFonts w:hint="default" w:ascii="Arial Narrow" w:hAnsi="Arial Narrow" w:eastAsia="宋体"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rPr>
        <w:t>年工作要点</w:t>
      </w:r>
      <w:r>
        <w:rPr>
          <w:rFonts w:hint="default" w:ascii="Arial Narrow" w:hAnsi="Arial Narrow" w:eastAsia="宋体" w:cs="Arial Narrow"/>
          <w:color w:val="auto"/>
          <w:sz w:val="21"/>
          <w:szCs w:val="21"/>
          <w:highlight w:val="none"/>
          <w:lang w:eastAsia="zh-CN"/>
        </w:rPr>
        <w:t>：</w:t>
      </w:r>
    </w:p>
    <w:p w14:paraId="17C0FDE1">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宋体" w:hAnsi="宋体" w:eastAsia="宋体" w:cs="宋体"/>
          <w:color w:val="auto"/>
          <w:sz w:val="21"/>
          <w:szCs w:val="21"/>
          <w:highlight w:val="none"/>
        </w:rPr>
      </w:pPr>
      <w:r>
        <w:rPr>
          <w:rFonts w:hint="default" w:ascii="宋体" w:hAnsi="宋体" w:eastAsia="宋体" w:cs="宋体"/>
          <w:color w:val="auto"/>
          <w:sz w:val="21"/>
          <w:szCs w:val="21"/>
          <w:highlight w:val="none"/>
        </w:rPr>
        <w:t>及时准确领会党中央和市委最新决策部署，切实提升履职尽责的能力本领。坚持“短、实、明”文风，不断锤炼文字、打磨细节、精益求精，提升文稿的思想性、创新性、针对性，力争做到时时创新、件件精品。强化内部工作统筹，用好文稿专班等有效机制，坚持谋划在前，夯实业务基础，提升整体工作效能。不断夯实调查研究基本功，发扬“逢稿必调研”的优良传统，及时将调研成果体现在文稿中，转化为推动工作的实际举措。协助市委主要领导开展对重大问题的研究，统筹谋划完成好市委重点课题。用好“3+X”调查研究工作机制，聚焦事关首都发展长远的战略性、前瞻性问题和群众关心的热点难点问题，拿出更多高质量有分量的研究成果。</w:t>
      </w:r>
    </w:p>
    <w:p w14:paraId="6C607C5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宋体" w:hAnsi="宋体" w:eastAsia="宋体" w:cs="宋体"/>
          <w:color w:val="auto"/>
          <w:sz w:val="21"/>
          <w:szCs w:val="21"/>
          <w:highlight w:val="none"/>
        </w:rPr>
      </w:pPr>
      <w:r>
        <w:rPr>
          <w:rFonts w:hint="default" w:ascii="宋体" w:hAnsi="宋体" w:eastAsia="宋体" w:cs="宋体"/>
          <w:color w:val="auto"/>
          <w:sz w:val="21"/>
          <w:szCs w:val="21"/>
          <w:highlight w:val="none"/>
        </w:rPr>
        <w:t>做好全市主题教育调查研究工作总结，及时梳理经验做法和特色亮点，研究制定调查研究成果转化运用机制。继续坚持大兴调查研究之风，全面落实“深、实、细、准、效”要求和“四下基层”工作制度。拓宽调研渠道、丰富调研手段，推广采用“看现场”“跑工单”“走流程”“蹲点位”等多种方式，察实情听民意。认真履行市调研联席会办公室职责，紧盯关键环节、重要步骤和时间节点，持续抓好全市调研工作统筹。精心组织第十六届全市调查研究先进单位和优秀调研成果评比表彰，举办新一期全市决策研究系统培训班。做好《北京调研》《决策参考》等刊物编辑，加强调研成果交流分享，发挥以策资政作用，推动首都调查研究高质量发展。</w:t>
      </w:r>
    </w:p>
    <w:p w14:paraId="2CDE0959">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rPr>
        <w:t>围绕高质量服务市委深改委，继续把改革作为推动新时代首都发展的重要抓手，履行好“出谋划策、统筹协调、督察落实”工作职责。制定好全市年度改革工作要点，做好规定动作，做实自选动作，鼓励基层探索。保持敏感性和前瞻性，推出一些更有针对性、开创性的改革举措。深入学习贯彻党的二十届三中全会精神，进一步加强对重大改革任务的思考和谋划，持续推动重点领域攻坚，强化改革系统集成，提升督察工作质效，推动我市全面深化改革取得更大突破、展现更大作为。</w:t>
      </w:r>
    </w:p>
    <w:p w14:paraId="1EB84CA1">
      <w:pPr>
        <w:pStyle w:val="3"/>
        <w:pageBreakBefore w:val="0"/>
        <w:numPr>
          <w:ilvl w:val="0"/>
          <w:numId w:val="1"/>
        </w:numPr>
        <w:kinsoku/>
        <w:wordWrap/>
        <w:overflowPunct/>
        <w:topLinePunct w:val="0"/>
        <w:autoSpaceDE/>
        <w:autoSpaceDN/>
        <w:bidi w:val="0"/>
        <w:adjustRightInd/>
        <w:snapToGrid/>
        <w:spacing w:before="0" w:beforeLines="0" w:after="0" w:afterLines="0" w:line="520" w:lineRule="exact"/>
        <w:ind w:firstLine="422" w:firstLineChars="200"/>
        <w:rPr>
          <w:rFonts w:hint="eastAsia" w:ascii="宋体" w:hAnsi="宋体" w:eastAsia="宋体" w:cs="宋体"/>
          <w:color w:val="auto"/>
          <w:kern w:val="0"/>
          <w:sz w:val="21"/>
          <w:szCs w:val="21"/>
          <w:highlight w:val="none"/>
          <w:lang w:val="en-US" w:eastAsia="zh-CN"/>
        </w:rPr>
      </w:pPr>
      <w:bookmarkStart w:id="27" w:name="_Toc740"/>
      <w:bookmarkStart w:id="28" w:name="_Toc23930"/>
      <w:bookmarkStart w:id="29" w:name="_Toc19957"/>
      <w:bookmarkStart w:id="30" w:name="_Toc6970"/>
      <w:bookmarkStart w:id="31" w:name="_Toc22393"/>
      <w:r>
        <w:rPr>
          <w:rFonts w:hint="default" w:ascii="Arial Narrow" w:hAnsi="Arial Narrow" w:eastAsia="宋体" w:cs="Arial Narrow"/>
          <w:color w:val="auto"/>
          <w:sz w:val="21"/>
          <w:szCs w:val="21"/>
          <w:highlight w:val="none"/>
        </w:rPr>
        <w:t>部门整体绩效目标</w:t>
      </w:r>
      <w:bookmarkEnd w:id="27"/>
      <w:bookmarkEnd w:id="28"/>
      <w:bookmarkEnd w:id="29"/>
      <w:bookmarkEnd w:id="30"/>
      <w:r>
        <w:rPr>
          <w:rFonts w:hint="eastAsia" w:ascii="Arial Narrow" w:hAnsi="Arial Narrow" w:eastAsia="宋体" w:cs="Arial Narrow"/>
          <w:color w:val="auto"/>
          <w:sz w:val="21"/>
          <w:szCs w:val="21"/>
          <w:highlight w:val="none"/>
          <w:lang w:val="en-US" w:eastAsia="zh-CN"/>
        </w:rPr>
        <w:t>决策及设立情况</w:t>
      </w:r>
      <w:bookmarkEnd w:id="31"/>
      <w:bookmarkStart w:id="32" w:name="_Toc601"/>
    </w:p>
    <w:p w14:paraId="220AC776">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cs="Arial Narrow"/>
          <w:color w:val="auto"/>
          <w:sz w:val="21"/>
          <w:szCs w:val="21"/>
          <w:highlight w:val="none"/>
          <w:lang w:val="en-US" w:eastAsia="zh-CN"/>
        </w:rPr>
      </w:pPr>
      <w:r>
        <w:rPr>
          <w:rFonts w:hint="eastAsia" w:ascii="Arial Narrow" w:hAnsi="Arial Narrow" w:cs="Arial Narrow"/>
          <w:color w:val="auto"/>
          <w:sz w:val="21"/>
          <w:szCs w:val="21"/>
          <w:highlight w:val="none"/>
          <w:lang w:val="en-US" w:eastAsia="zh-CN"/>
        </w:rPr>
        <w:t>1.绩效总体目标</w:t>
      </w:r>
    </w:p>
    <w:bookmarkEnd w:id="32"/>
    <w:p w14:paraId="73E144F9">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eastAsia="宋体" w:cs="Arial Narrow"/>
          <w:color w:val="auto"/>
          <w:kern w:val="0"/>
          <w:sz w:val="21"/>
          <w:szCs w:val="21"/>
          <w:highlight w:val="none"/>
        </w:rPr>
      </w:pPr>
      <w:r>
        <w:rPr>
          <w:rFonts w:hint="default" w:ascii="Arial Narrow" w:hAnsi="Arial Narrow" w:eastAsia="宋体" w:cs="Arial Narrow"/>
          <w:color w:val="auto"/>
          <w:kern w:val="0"/>
          <w:sz w:val="21"/>
          <w:szCs w:val="21"/>
          <w:highlight w:val="none"/>
        </w:rPr>
        <w:t xml:space="preserve">（1）调查研究方面：继续做好市委重点课题，加强重大问题的持续深入研究，推出更多高质量调研成果。开展好两年一次的全市调查研究先进单位和优秀调研成果评比表彰，促进全市各单位大兴调查研究之风。2024年度计划召开1次全市调查研究工作协调联席会议，研究审议2023年市区两级重点调研课题；举办1次全市决策研究系统干部专题培训班，开展全市调研先进单位和优秀调研成果评比表彰。汇总编辑全市优秀调研课题集、市委重要文稿汇编等；深入开展全市调查研究工作，编辑《北京调研》不低于12期，起草《决策参考》不低于20期。 </w:t>
      </w:r>
    </w:p>
    <w:p w14:paraId="428BF845">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eastAsia="宋体" w:cs="Arial Narrow"/>
          <w:color w:val="auto"/>
          <w:kern w:val="0"/>
          <w:sz w:val="21"/>
          <w:szCs w:val="21"/>
          <w:highlight w:val="none"/>
        </w:rPr>
      </w:pPr>
      <w:r>
        <w:rPr>
          <w:rFonts w:hint="default" w:ascii="Arial Narrow" w:hAnsi="Arial Narrow" w:eastAsia="宋体" w:cs="Arial Narrow"/>
          <w:color w:val="auto"/>
          <w:kern w:val="0"/>
          <w:sz w:val="21"/>
          <w:szCs w:val="21"/>
          <w:highlight w:val="none"/>
        </w:rPr>
        <w:t>（2）深化改革方面：扎实做好服务深改委的各项工作，继续抓好改革督察落实，既要确保落实中央部署的各项改革举措不打折、不走样，又要结合实际、深思善谋、大胆创新，坚持推进具有北京特点的改革。</w:t>
      </w:r>
    </w:p>
    <w:p w14:paraId="35EFC013">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eastAsia="宋体" w:cs="Arial Narrow"/>
          <w:color w:val="auto"/>
          <w:kern w:val="0"/>
          <w:sz w:val="21"/>
          <w:szCs w:val="21"/>
          <w:highlight w:val="none"/>
        </w:rPr>
      </w:pPr>
      <w:r>
        <w:rPr>
          <w:rFonts w:hint="default" w:ascii="Arial Narrow" w:hAnsi="Arial Narrow" w:eastAsia="宋体" w:cs="Arial Narrow"/>
          <w:color w:val="auto"/>
          <w:kern w:val="0"/>
          <w:sz w:val="21"/>
          <w:szCs w:val="21"/>
          <w:highlight w:val="none"/>
        </w:rPr>
        <w:t>（3）信息化系统运维方面：做好办公设备和办公系统的日常维护，保证</w:t>
      </w:r>
      <w:r>
        <w:rPr>
          <w:rFonts w:hint="eastAsia" w:ascii="Arial Narrow" w:hAnsi="Arial Narrow" w:cs="Arial Narrow"/>
          <w:color w:val="auto"/>
          <w:kern w:val="0"/>
          <w:sz w:val="21"/>
          <w:szCs w:val="21"/>
          <w:highlight w:val="none"/>
          <w:lang w:val="en-US" w:eastAsia="zh-CN"/>
        </w:rPr>
        <w:t>市委研究室</w:t>
      </w:r>
      <w:r>
        <w:rPr>
          <w:rFonts w:hint="default" w:ascii="Arial Narrow" w:hAnsi="Arial Narrow" w:eastAsia="宋体" w:cs="Arial Narrow"/>
          <w:color w:val="auto"/>
          <w:kern w:val="0"/>
          <w:sz w:val="21"/>
          <w:szCs w:val="21"/>
          <w:highlight w:val="none"/>
        </w:rPr>
        <w:t>信息系统安全稳定可靠运行，2024年</w:t>
      </w:r>
      <w:r>
        <w:rPr>
          <w:rFonts w:hint="eastAsia" w:ascii="Arial Narrow" w:hAnsi="Arial Narrow" w:cs="Arial Narrow"/>
          <w:color w:val="auto"/>
          <w:kern w:val="0"/>
          <w:sz w:val="21"/>
          <w:szCs w:val="21"/>
          <w:highlight w:val="none"/>
          <w:lang w:val="en-US" w:eastAsia="zh-CN"/>
        </w:rPr>
        <w:t>市委研究室</w:t>
      </w:r>
      <w:r>
        <w:rPr>
          <w:rFonts w:hint="default" w:ascii="Arial Narrow" w:hAnsi="Arial Narrow" w:eastAsia="宋体" w:cs="Arial Narrow"/>
          <w:color w:val="auto"/>
          <w:kern w:val="0"/>
          <w:sz w:val="21"/>
          <w:szCs w:val="21"/>
          <w:highlight w:val="none"/>
        </w:rPr>
        <w:t>针对办公相关基础软、硬件等进行服务保障，满足</w:t>
      </w:r>
      <w:r>
        <w:rPr>
          <w:rFonts w:hint="eastAsia" w:ascii="Arial Narrow" w:hAnsi="Arial Narrow" w:cs="Arial Narrow"/>
          <w:color w:val="auto"/>
          <w:kern w:val="0"/>
          <w:sz w:val="21"/>
          <w:szCs w:val="21"/>
          <w:highlight w:val="none"/>
          <w:lang w:val="en-US" w:eastAsia="zh-CN"/>
        </w:rPr>
        <w:t>市委研究室</w:t>
      </w:r>
      <w:r>
        <w:rPr>
          <w:rFonts w:hint="default" w:ascii="Arial Narrow" w:hAnsi="Arial Narrow" w:eastAsia="宋体" w:cs="Arial Narrow"/>
          <w:color w:val="auto"/>
          <w:kern w:val="0"/>
          <w:sz w:val="21"/>
          <w:szCs w:val="21"/>
          <w:highlight w:val="none"/>
        </w:rPr>
        <w:t>内网业务办公需求。</w:t>
      </w:r>
    </w:p>
    <w:p w14:paraId="1F27106D">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cs="Arial Narrow"/>
          <w:color w:val="auto"/>
          <w:sz w:val="21"/>
          <w:szCs w:val="21"/>
          <w:highlight w:val="none"/>
          <w:lang w:val="en-US" w:eastAsia="zh-CN"/>
        </w:rPr>
      </w:pPr>
      <w:r>
        <w:rPr>
          <w:rFonts w:hint="eastAsia" w:ascii="Arial Narrow" w:hAnsi="Arial Narrow" w:cs="Arial Narrow"/>
          <w:color w:val="auto"/>
          <w:sz w:val="21"/>
          <w:szCs w:val="21"/>
          <w:highlight w:val="none"/>
          <w:lang w:val="en-US" w:eastAsia="zh-CN"/>
        </w:rPr>
        <w:t>2.绩效目标设立依据</w:t>
      </w:r>
    </w:p>
    <w:p w14:paraId="0E0C1A02">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eastAsia="宋体" w:cs="Arial Narrow"/>
          <w:color w:val="auto"/>
          <w:kern w:val="0"/>
          <w:sz w:val="21"/>
          <w:szCs w:val="21"/>
          <w:highlight w:val="none"/>
        </w:rPr>
      </w:pPr>
      <w:r>
        <w:rPr>
          <w:rFonts w:hint="default" w:ascii="Arial Narrow" w:hAnsi="Arial Narrow" w:eastAsia="宋体" w:cs="Arial Narrow"/>
          <w:color w:val="auto"/>
          <w:kern w:val="0"/>
          <w:sz w:val="21"/>
          <w:szCs w:val="21"/>
          <w:highlight w:val="none"/>
        </w:rPr>
        <w:t>市委研究室根据202</w:t>
      </w:r>
      <w:r>
        <w:rPr>
          <w:rFonts w:hint="eastAsia" w:ascii="Arial Narrow" w:hAnsi="Arial Narrow" w:cs="Arial Narrow"/>
          <w:color w:val="auto"/>
          <w:kern w:val="0"/>
          <w:sz w:val="21"/>
          <w:szCs w:val="21"/>
          <w:highlight w:val="none"/>
          <w:lang w:val="en-US" w:eastAsia="zh-CN"/>
        </w:rPr>
        <w:t>4</w:t>
      </w:r>
      <w:r>
        <w:rPr>
          <w:rFonts w:hint="default" w:ascii="Arial Narrow" w:hAnsi="Arial Narrow" w:eastAsia="宋体" w:cs="Arial Narrow"/>
          <w:color w:val="auto"/>
          <w:kern w:val="0"/>
          <w:sz w:val="21"/>
          <w:szCs w:val="21"/>
          <w:highlight w:val="none"/>
        </w:rPr>
        <w:t>年工作要点</w:t>
      </w:r>
      <w:r>
        <w:rPr>
          <w:rFonts w:hint="eastAsia" w:ascii="Arial Narrow" w:hAnsi="Arial Narrow" w:cs="Arial Narrow"/>
          <w:color w:val="auto"/>
          <w:kern w:val="0"/>
          <w:sz w:val="21"/>
          <w:szCs w:val="21"/>
          <w:highlight w:val="none"/>
          <w:lang w:val="en-US" w:eastAsia="zh-CN"/>
        </w:rPr>
        <w:t>及市委研究室的职责设立2024年绩效目标，并</w:t>
      </w:r>
      <w:r>
        <w:rPr>
          <w:rFonts w:hint="default" w:ascii="Arial Narrow" w:hAnsi="Arial Narrow" w:eastAsia="宋体" w:cs="Arial Narrow"/>
          <w:color w:val="auto"/>
          <w:kern w:val="0"/>
          <w:sz w:val="21"/>
          <w:szCs w:val="21"/>
          <w:highlight w:val="none"/>
        </w:rPr>
        <w:t>按照《</w:t>
      </w:r>
      <w:r>
        <w:rPr>
          <w:rFonts w:hint="eastAsia" w:ascii="Arial Narrow" w:hAnsi="Arial Narrow" w:cs="Arial Narrow"/>
          <w:color w:val="auto"/>
          <w:kern w:val="0"/>
          <w:sz w:val="21"/>
          <w:szCs w:val="21"/>
          <w:highlight w:val="none"/>
          <w:lang w:eastAsia="zh-CN"/>
        </w:rPr>
        <w:t>“</w:t>
      </w:r>
      <w:r>
        <w:rPr>
          <w:rFonts w:hint="default" w:ascii="Arial Narrow" w:hAnsi="Arial Narrow" w:eastAsia="宋体" w:cs="Arial Narrow"/>
          <w:color w:val="auto"/>
          <w:kern w:val="0"/>
          <w:sz w:val="21"/>
          <w:szCs w:val="21"/>
          <w:highlight w:val="none"/>
        </w:rPr>
        <w:t>三重一大</w:t>
      </w:r>
      <w:r>
        <w:rPr>
          <w:rFonts w:hint="eastAsia" w:ascii="Arial Narrow" w:hAnsi="Arial Narrow" w:cs="Arial Narrow"/>
          <w:color w:val="auto"/>
          <w:kern w:val="0"/>
          <w:sz w:val="21"/>
          <w:szCs w:val="21"/>
          <w:highlight w:val="none"/>
          <w:lang w:eastAsia="zh-CN"/>
        </w:rPr>
        <w:t>”</w:t>
      </w:r>
      <w:r>
        <w:rPr>
          <w:rFonts w:hint="default" w:ascii="Arial Narrow" w:hAnsi="Arial Narrow" w:eastAsia="宋体" w:cs="Arial Narrow"/>
          <w:color w:val="auto"/>
          <w:kern w:val="0"/>
          <w:sz w:val="21"/>
          <w:szCs w:val="21"/>
          <w:highlight w:val="none"/>
        </w:rPr>
        <w:t>决策实施细则》规定的程序进行决策</w:t>
      </w:r>
      <w:r>
        <w:rPr>
          <w:rFonts w:hint="eastAsia" w:ascii="Arial Narrow" w:hAnsi="Arial Narrow" w:cs="Arial Narrow"/>
          <w:color w:val="auto"/>
          <w:kern w:val="0"/>
          <w:sz w:val="21"/>
          <w:szCs w:val="21"/>
          <w:highlight w:val="none"/>
          <w:lang w:eastAsia="zh-CN"/>
        </w:rPr>
        <w:t>，</w:t>
      </w:r>
      <w:r>
        <w:rPr>
          <w:rFonts w:hint="eastAsia" w:ascii="Arial Narrow" w:hAnsi="Arial Narrow" w:cs="Arial Narrow"/>
          <w:color w:val="auto"/>
          <w:kern w:val="0"/>
          <w:sz w:val="21"/>
          <w:szCs w:val="21"/>
          <w:highlight w:val="none"/>
          <w:lang w:val="en-US" w:eastAsia="zh-CN"/>
        </w:rPr>
        <w:t>保证</w:t>
      </w:r>
      <w:r>
        <w:rPr>
          <w:rFonts w:hint="default" w:ascii="Arial Narrow" w:hAnsi="Arial Narrow" w:eastAsia="宋体" w:cs="Arial Narrow"/>
          <w:color w:val="auto"/>
          <w:kern w:val="0"/>
          <w:sz w:val="21"/>
          <w:szCs w:val="21"/>
          <w:highlight w:val="none"/>
        </w:rPr>
        <w:t>资金使用符合部门职能规定的范围</w:t>
      </w:r>
      <w:r>
        <w:rPr>
          <w:rFonts w:hint="eastAsia" w:ascii="Arial Narrow" w:hAnsi="Arial Narrow" w:cs="Arial Narrow"/>
          <w:color w:val="auto"/>
          <w:kern w:val="0"/>
          <w:sz w:val="21"/>
          <w:szCs w:val="21"/>
          <w:highlight w:val="none"/>
          <w:lang w:eastAsia="zh-CN"/>
        </w:rPr>
        <w:t>，</w:t>
      </w:r>
      <w:r>
        <w:rPr>
          <w:rFonts w:hint="eastAsia" w:ascii="Arial Narrow" w:hAnsi="Arial Narrow" w:cs="Arial Narrow"/>
          <w:color w:val="auto"/>
          <w:kern w:val="0"/>
          <w:sz w:val="21"/>
          <w:szCs w:val="21"/>
          <w:highlight w:val="none"/>
          <w:lang w:val="en-US" w:eastAsia="zh-CN"/>
        </w:rPr>
        <w:t>并</w:t>
      </w:r>
      <w:r>
        <w:rPr>
          <w:rFonts w:hint="default" w:ascii="Arial Narrow" w:hAnsi="Arial Narrow" w:eastAsia="宋体" w:cs="Arial Narrow"/>
          <w:color w:val="auto"/>
          <w:kern w:val="0"/>
          <w:sz w:val="21"/>
          <w:szCs w:val="21"/>
          <w:highlight w:val="none"/>
        </w:rPr>
        <w:t>通过预算调整、责任落实、监督检查等保障年度绩效目</w:t>
      </w:r>
      <w:r>
        <w:rPr>
          <w:rFonts w:hint="eastAsia" w:ascii="Arial Narrow" w:hAnsi="Arial Narrow" w:cs="Arial Narrow"/>
          <w:color w:val="auto"/>
          <w:kern w:val="0"/>
          <w:sz w:val="21"/>
          <w:szCs w:val="21"/>
          <w:highlight w:val="none"/>
          <w:lang w:val="en-US" w:eastAsia="zh-CN"/>
        </w:rPr>
        <w:t>标</w:t>
      </w:r>
      <w:r>
        <w:rPr>
          <w:rFonts w:hint="default" w:ascii="Arial Narrow" w:hAnsi="Arial Narrow" w:eastAsia="宋体" w:cs="Arial Narrow"/>
          <w:color w:val="auto"/>
          <w:kern w:val="0"/>
          <w:sz w:val="21"/>
          <w:szCs w:val="21"/>
          <w:highlight w:val="none"/>
        </w:rPr>
        <w:t>的实现。</w:t>
      </w:r>
    </w:p>
    <w:p w14:paraId="79F949D8">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cs="Arial Narrow"/>
          <w:color w:val="auto"/>
          <w:sz w:val="21"/>
          <w:szCs w:val="21"/>
          <w:highlight w:val="none"/>
          <w:lang w:val="en-US" w:eastAsia="zh-CN"/>
        </w:rPr>
      </w:pPr>
      <w:r>
        <w:rPr>
          <w:rFonts w:hint="eastAsia" w:ascii="Arial Narrow" w:hAnsi="Arial Narrow" w:cs="Arial Narrow"/>
          <w:color w:val="auto"/>
          <w:sz w:val="21"/>
          <w:szCs w:val="21"/>
          <w:highlight w:val="none"/>
          <w:lang w:val="en-US" w:eastAsia="zh-CN"/>
        </w:rPr>
        <w:t>3.目标与职责任务匹配情况及目标合理性</w:t>
      </w:r>
    </w:p>
    <w:p w14:paraId="20103204">
      <w:pPr>
        <w:pageBreakBefore w:val="0"/>
        <w:kinsoku/>
        <w:wordWrap/>
        <w:overflowPunct/>
        <w:topLinePunct w:val="0"/>
        <w:autoSpaceDE/>
        <w:autoSpaceDN/>
        <w:bidi w:val="0"/>
        <w:adjustRightInd/>
        <w:snapToGrid/>
        <w:spacing w:line="520" w:lineRule="exact"/>
        <w:ind w:firstLine="420" w:firstLineChars="200"/>
        <w:rPr>
          <w:rFonts w:hint="eastAsia" w:ascii="Arial Narrow" w:hAnsi="Arial Narrow" w:eastAsia="宋体" w:cs="Arial Narrow"/>
          <w:color w:val="auto"/>
          <w:kern w:val="0"/>
          <w:sz w:val="21"/>
          <w:szCs w:val="21"/>
          <w:highlight w:val="none"/>
          <w:lang w:val="en-US" w:eastAsia="zh-CN"/>
        </w:rPr>
      </w:pPr>
      <w:r>
        <w:rPr>
          <w:rFonts w:hint="eastAsia" w:ascii="Arial Narrow" w:hAnsi="Arial Narrow" w:eastAsia="宋体" w:cs="Arial Narrow"/>
          <w:color w:val="auto"/>
          <w:kern w:val="0"/>
          <w:sz w:val="21"/>
          <w:szCs w:val="21"/>
          <w:highlight w:val="none"/>
          <w:lang w:val="en-US" w:eastAsia="zh-CN"/>
        </w:rPr>
        <w:t>市委研究室根据2024年工作要点及部门职责设立绩效目标，2024年工作要点从强化内部工作统筹，用好文稿专班等有效机制，协助市委主要领导开展对重大问题的研究；做好调查研究工作总结，认真履行市调研联席会议办公室职责，持续抓好全市调研工作统筹；围绕高质量服务市委深改委，履行好“出谋划策、统筹协调、督查落实”的工作职责，提升督察工作质效，推动全市全面深化改革取得更大突破；抓好日常管理工作，做好机要文件、会议服务、安全保密、信息化运维等工作。</w:t>
      </w:r>
    </w:p>
    <w:p w14:paraId="1FDE0E5D">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eastAsia="宋体" w:cs="Arial Narrow"/>
          <w:color w:val="auto"/>
          <w:kern w:val="0"/>
          <w:sz w:val="21"/>
          <w:szCs w:val="21"/>
          <w:highlight w:val="none"/>
          <w:lang w:val="en-US" w:eastAsia="zh-CN"/>
        </w:rPr>
      </w:pPr>
      <w:r>
        <w:rPr>
          <w:rFonts w:hint="eastAsia" w:ascii="Arial Narrow" w:hAnsi="Arial Narrow" w:eastAsia="宋体" w:cs="Arial Narrow"/>
          <w:color w:val="auto"/>
          <w:kern w:val="0"/>
          <w:sz w:val="21"/>
          <w:szCs w:val="21"/>
          <w:highlight w:val="none"/>
          <w:lang w:val="en-US" w:eastAsia="zh-CN"/>
        </w:rPr>
        <w:t>市委研究室绩效目标从</w:t>
      </w:r>
      <w:r>
        <w:rPr>
          <w:rFonts w:hint="default" w:ascii="Arial Narrow" w:hAnsi="Arial Narrow" w:eastAsia="宋体" w:cs="Arial Narrow"/>
          <w:color w:val="auto"/>
          <w:kern w:val="0"/>
          <w:sz w:val="21"/>
          <w:szCs w:val="21"/>
          <w:highlight w:val="none"/>
          <w:lang w:val="en-US" w:eastAsia="zh-CN"/>
        </w:rPr>
        <w:t>调查研究方面</w:t>
      </w:r>
      <w:r>
        <w:rPr>
          <w:rFonts w:hint="eastAsia" w:ascii="Arial Narrow" w:hAnsi="Arial Narrow" w:eastAsia="宋体" w:cs="Arial Narrow"/>
          <w:color w:val="auto"/>
          <w:kern w:val="0"/>
          <w:sz w:val="21"/>
          <w:szCs w:val="21"/>
          <w:highlight w:val="none"/>
          <w:lang w:val="en-US" w:eastAsia="zh-CN"/>
        </w:rPr>
        <w:t>、深化改革和信息系统运维三方面设立，与市委研究室的工作职责及2024年工作要点适配，绩效目标合理性充足。</w:t>
      </w:r>
    </w:p>
    <w:p w14:paraId="737DD890">
      <w:pPr>
        <w:pageBreakBefore w:val="0"/>
        <w:kinsoku/>
        <w:wordWrap/>
        <w:overflowPunct/>
        <w:topLinePunct w:val="0"/>
        <w:autoSpaceDE/>
        <w:autoSpaceDN/>
        <w:bidi w:val="0"/>
        <w:adjustRightInd/>
        <w:snapToGrid/>
        <w:spacing w:line="520" w:lineRule="exact"/>
        <w:ind w:firstLine="420" w:firstLineChars="200"/>
        <w:rPr>
          <w:rFonts w:hint="default" w:ascii="Arial Narrow" w:hAnsi="Arial Narrow" w:cs="Arial Narrow"/>
          <w:color w:val="auto"/>
          <w:sz w:val="21"/>
          <w:szCs w:val="21"/>
          <w:highlight w:val="none"/>
          <w:lang w:val="en-US" w:eastAsia="zh-CN"/>
        </w:rPr>
      </w:pPr>
      <w:r>
        <w:rPr>
          <w:rFonts w:hint="eastAsia" w:ascii="Arial Narrow" w:hAnsi="Arial Narrow" w:cs="Arial Narrow"/>
          <w:color w:val="auto"/>
          <w:sz w:val="21"/>
          <w:szCs w:val="21"/>
          <w:highlight w:val="none"/>
          <w:lang w:val="en-US" w:eastAsia="zh-CN"/>
        </w:rPr>
        <w:t>4.绩效指标</w:t>
      </w:r>
    </w:p>
    <w:p w14:paraId="0205D804">
      <w:pPr>
        <w:pStyle w:val="5"/>
        <w:pageBreakBefore w:val="0"/>
        <w:numPr>
          <w:ilvl w:val="0"/>
          <w:numId w:val="0"/>
        </w:numPr>
        <w:kinsoku/>
        <w:wordWrap/>
        <w:overflowPunct/>
        <w:topLinePunct w:val="0"/>
        <w:autoSpaceDE/>
        <w:autoSpaceDN/>
        <w:bidi w:val="0"/>
        <w:adjustRightInd/>
        <w:snapToGrid/>
        <w:spacing w:line="520" w:lineRule="exact"/>
        <w:ind w:left="0" w:leftChars="0" w:firstLine="0" w:firstLineChars="0"/>
        <w:jc w:val="both"/>
        <w:rPr>
          <w:rFonts w:hint="default" w:ascii="Arial Narrow" w:hAnsi="Arial Narrow" w:eastAsia="宋体" w:cs="Arial Narrow"/>
          <w:color w:val="auto"/>
          <w:sz w:val="21"/>
          <w:szCs w:val="21"/>
          <w:highlight w:val="none"/>
          <w:lang w:val="en-US" w:eastAsia="zh-CN"/>
        </w:rPr>
      </w:pPr>
      <w:r>
        <w:rPr>
          <w:rFonts w:hint="default" w:ascii="Arial Narrow" w:hAnsi="Arial Narrow" w:eastAsia="宋体" w:cs="Arial Narrow"/>
          <w:b/>
          <w:bCs/>
          <w:color w:val="auto"/>
          <w:sz w:val="21"/>
          <w:szCs w:val="21"/>
          <w:highlight w:val="none"/>
        </w:rPr>
        <w:t>表</w:t>
      </w:r>
      <w:r>
        <w:rPr>
          <w:rFonts w:hint="default" w:ascii="Arial Narrow" w:hAnsi="Arial Narrow" w:eastAsia="宋体" w:cs="Arial Narrow"/>
          <w:b/>
          <w:bCs/>
          <w:color w:val="auto"/>
          <w:sz w:val="21"/>
          <w:szCs w:val="21"/>
          <w:highlight w:val="none"/>
          <w:lang w:val="en-US" w:eastAsia="zh-CN"/>
        </w:rPr>
        <w:t>1</w:t>
      </w:r>
      <w:r>
        <w:rPr>
          <w:rFonts w:hint="eastAsia" w:ascii="Arial Narrow" w:hAnsi="Arial Narrow" w:cs="Arial Narrow"/>
          <w:b/>
          <w:bCs/>
          <w:color w:val="auto"/>
          <w:sz w:val="21"/>
          <w:szCs w:val="21"/>
          <w:highlight w:val="none"/>
          <w:lang w:val="en-US" w:eastAsia="zh-CN"/>
        </w:rPr>
        <w:t xml:space="preserve">                </w:t>
      </w:r>
      <w:r>
        <w:rPr>
          <w:rFonts w:hint="default" w:ascii="Arial Narrow" w:hAnsi="Arial Narrow" w:eastAsia="宋体" w:cs="Arial Narrow"/>
          <w:b/>
          <w:bCs/>
          <w:color w:val="auto"/>
          <w:sz w:val="21"/>
          <w:szCs w:val="21"/>
          <w:highlight w:val="none"/>
        </w:rPr>
        <w:t>202</w:t>
      </w:r>
      <w:r>
        <w:rPr>
          <w:rFonts w:hint="eastAsia" w:ascii="Arial Narrow" w:hAnsi="Arial Narrow" w:cs="Arial Narrow"/>
          <w:b/>
          <w:bCs/>
          <w:color w:val="auto"/>
          <w:sz w:val="21"/>
          <w:szCs w:val="21"/>
          <w:highlight w:val="none"/>
          <w:lang w:val="en-US" w:eastAsia="zh-CN"/>
        </w:rPr>
        <w:t>4</w:t>
      </w:r>
      <w:r>
        <w:rPr>
          <w:rFonts w:hint="default" w:ascii="Arial Narrow" w:hAnsi="Arial Narrow" w:eastAsia="宋体" w:cs="Arial Narrow"/>
          <w:b/>
          <w:bCs/>
          <w:color w:val="auto"/>
          <w:sz w:val="21"/>
          <w:szCs w:val="21"/>
          <w:highlight w:val="none"/>
        </w:rPr>
        <w:t>年</w:t>
      </w:r>
      <w:r>
        <w:rPr>
          <w:rFonts w:hint="default" w:ascii="Arial Narrow" w:hAnsi="Arial Narrow" w:eastAsia="宋体" w:cs="Arial Narrow"/>
          <w:b/>
          <w:bCs/>
          <w:color w:val="auto"/>
          <w:sz w:val="21"/>
          <w:szCs w:val="21"/>
          <w:highlight w:val="none"/>
          <w:lang w:eastAsia="zh-CN"/>
        </w:rPr>
        <w:t>市委研究室</w:t>
      </w:r>
      <w:r>
        <w:rPr>
          <w:rFonts w:hint="default" w:ascii="Arial Narrow" w:hAnsi="Arial Narrow" w:eastAsia="宋体" w:cs="Arial Narrow"/>
          <w:b/>
          <w:bCs/>
          <w:color w:val="auto"/>
          <w:sz w:val="21"/>
          <w:szCs w:val="21"/>
          <w:highlight w:val="none"/>
          <w:lang w:val="en-US" w:eastAsia="zh-CN"/>
        </w:rPr>
        <w:t>部门整体绩效指标设置情况</w:t>
      </w:r>
    </w:p>
    <w:tbl>
      <w:tblPr>
        <w:tblStyle w:val="15"/>
        <w:tblW w:w="5049" w:type="pct"/>
        <w:tblInd w:w="-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0"/>
        <w:gridCol w:w="2555"/>
        <w:gridCol w:w="1204"/>
        <w:gridCol w:w="1714"/>
        <w:gridCol w:w="2733"/>
      </w:tblGrid>
      <w:tr w14:paraId="4D3AC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blHeader/>
        </w:trPr>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2ABA6">
            <w:pPr>
              <w:keepNext w:val="0"/>
              <w:keepLines w:val="0"/>
              <w:pageBreakBefore w:val="0"/>
              <w:widowControl/>
              <w:kinsoku/>
              <w:wordWrap/>
              <w:overflowPunct/>
              <w:topLinePunct w:val="0"/>
              <w:autoSpaceDE/>
              <w:autoSpaceDN/>
              <w:bidi w:val="0"/>
              <w:adjustRightInd/>
              <w:snapToGrid/>
              <w:spacing w:line="240" w:lineRule="auto"/>
              <w:ind w:firstLine="0" w:firstLineChars="0"/>
              <w:rPr>
                <w:rFonts w:hint="eastAsia" w:ascii="宋体" w:hAnsi="宋体" w:eastAsia="宋体" w:cs="宋体"/>
                <w:i w:val="0"/>
                <w:iCs w:val="0"/>
                <w:color w:val="000000"/>
                <w:sz w:val="21"/>
                <w:szCs w:val="21"/>
                <w:u w:val="none"/>
              </w:rPr>
            </w:pPr>
            <w:bookmarkStart w:id="33" w:name="_Toc4662"/>
            <w:bookmarkStart w:id="34" w:name="_Toc9288"/>
            <w:bookmarkStart w:id="35" w:name="_Toc17696"/>
            <w:bookmarkStart w:id="36" w:name="_Toc27902"/>
          </w:p>
        </w:tc>
        <w:tc>
          <w:tcPr>
            <w:tcW w:w="1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94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活动</w:t>
            </w:r>
          </w:p>
        </w:tc>
        <w:tc>
          <w:tcPr>
            <w:tcW w:w="6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05F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BB8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B262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具体指标</w:t>
            </w:r>
          </w:p>
        </w:tc>
      </w:tr>
      <w:tr w14:paraId="58AE4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2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C26F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政策研究/调查研究</w:t>
            </w: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234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《北京调研》出版书籍（报刊、杂志）数量</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305B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2E3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74A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出版书籍（报刊、杂志）数量≥</w:t>
            </w:r>
            <w:r>
              <w:rPr>
                <w:rFonts w:hint="default" w:ascii="Arial Narrow" w:hAnsi="Arial Narrow" w:eastAsia="宋体" w:cs="Arial Narrow"/>
                <w:i w:val="0"/>
                <w:iCs w:val="0"/>
                <w:color w:val="000000"/>
                <w:kern w:val="0"/>
                <w:sz w:val="21"/>
                <w:szCs w:val="21"/>
                <w:u w:val="none"/>
                <w:lang w:val="en-US" w:eastAsia="zh-CN" w:bidi="ar"/>
              </w:rPr>
              <w:t>12</w:t>
            </w:r>
            <w:r>
              <w:rPr>
                <w:rFonts w:hint="eastAsia" w:ascii="宋体" w:hAnsi="宋体" w:eastAsia="宋体" w:cs="宋体"/>
                <w:i w:val="0"/>
                <w:iCs w:val="0"/>
                <w:color w:val="000000"/>
                <w:kern w:val="0"/>
                <w:sz w:val="21"/>
                <w:szCs w:val="21"/>
                <w:u w:val="none"/>
                <w:lang w:val="en-US" w:eastAsia="zh-CN" w:bidi="ar"/>
              </w:rPr>
              <w:t>期</w:t>
            </w:r>
          </w:p>
        </w:tc>
      </w:tr>
      <w:tr w14:paraId="07BB6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BC2EA">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0C6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课题研究数量</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598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7A0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D66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课题研究数量≥</w:t>
            </w:r>
            <w:r>
              <w:rPr>
                <w:rFonts w:hint="eastAsia" w:ascii="Arial Narrow" w:hAnsi="Arial Narrow" w:eastAsia="宋体" w:cs="Arial Narrow"/>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个</w:t>
            </w:r>
          </w:p>
        </w:tc>
      </w:tr>
      <w:tr w14:paraId="10EAF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EDC25">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BDC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课题研究委托业务项目中课题成果采用率</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E8C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C48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52E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课题成果采用率≥</w:t>
            </w:r>
            <w:r>
              <w:rPr>
                <w:rFonts w:hint="eastAsia" w:ascii="Arial Narrow" w:hAnsi="Arial Narrow" w:eastAsia="宋体" w:cs="Arial Narrow"/>
                <w:i w:val="0"/>
                <w:iCs w:val="0"/>
                <w:color w:val="000000"/>
                <w:kern w:val="0"/>
                <w:sz w:val="21"/>
                <w:szCs w:val="21"/>
                <w:u w:val="none"/>
                <w:lang w:val="en-US" w:eastAsia="zh-CN" w:bidi="ar"/>
              </w:rPr>
              <w:t>90</w:t>
            </w:r>
            <w:r>
              <w:rPr>
                <w:rFonts w:hint="eastAsia" w:ascii="宋体" w:hAnsi="宋体" w:eastAsia="宋体" w:cs="宋体"/>
                <w:i w:val="0"/>
                <w:iCs w:val="0"/>
                <w:color w:val="000000"/>
                <w:kern w:val="0"/>
                <w:sz w:val="21"/>
                <w:szCs w:val="21"/>
                <w:u w:val="none"/>
                <w:lang w:val="en-US" w:eastAsia="zh-CN" w:bidi="ar"/>
              </w:rPr>
              <w:t>%</w:t>
            </w:r>
          </w:p>
        </w:tc>
      </w:tr>
      <w:tr w14:paraId="52A9D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EEC98">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966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《北京调研》质量指标</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ABF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F16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E86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验收通过</w:t>
            </w:r>
          </w:p>
        </w:tc>
      </w:tr>
      <w:tr w14:paraId="0EDCF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0CB65">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59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课题成果有广泛应用</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F87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6649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可持续影响指标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98E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课题成果广泛应用</w:t>
            </w:r>
          </w:p>
        </w:tc>
      </w:tr>
      <w:tr w14:paraId="38DB8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4"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39FFA">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B1E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9A7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4CE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服务对象满意度指标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152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为科学决策提供有价值的意见和建议，领导对研究成果满意，达到指定效果</w:t>
            </w:r>
          </w:p>
        </w:tc>
      </w:tr>
      <w:tr w14:paraId="0A820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75A62">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AEE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全市调查研究工作项目</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B30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成本指标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6F3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经济成本指标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36A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预算经费控制≤</w:t>
            </w:r>
            <w:r>
              <w:rPr>
                <w:rFonts w:hint="eastAsia" w:ascii="Arial Narrow" w:hAnsi="Arial Narrow" w:eastAsia="宋体" w:cs="Arial Narrow"/>
                <w:i w:val="0"/>
                <w:iCs w:val="0"/>
                <w:color w:val="000000"/>
                <w:kern w:val="0"/>
                <w:sz w:val="21"/>
                <w:szCs w:val="21"/>
                <w:u w:val="none"/>
                <w:lang w:val="en-US" w:eastAsia="zh-CN" w:bidi="ar"/>
              </w:rPr>
              <w:t>82</w:t>
            </w:r>
            <w:r>
              <w:rPr>
                <w:rFonts w:hint="eastAsia" w:ascii="宋体" w:hAnsi="宋体" w:eastAsia="宋体" w:cs="宋体"/>
                <w:i w:val="0"/>
                <w:iCs w:val="0"/>
                <w:color w:val="000000"/>
                <w:kern w:val="0"/>
                <w:sz w:val="21"/>
                <w:szCs w:val="21"/>
                <w:u w:val="none"/>
                <w:lang w:val="en-US" w:eastAsia="zh-CN" w:bidi="ar"/>
              </w:rPr>
              <w:t>万元</w:t>
            </w:r>
          </w:p>
        </w:tc>
      </w:tr>
      <w:tr w14:paraId="32F63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6453C">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675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市级重点课题研究项目</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448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E89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经济成本指标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021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预算经费控制≤</w:t>
            </w:r>
            <w:r>
              <w:rPr>
                <w:rFonts w:hint="eastAsia" w:ascii="Arial Narrow" w:hAnsi="Arial Narrow" w:eastAsia="宋体" w:cs="Arial Narrow"/>
                <w:i w:val="0"/>
                <w:iCs w:val="0"/>
                <w:color w:val="000000"/>
                <w:kern w:val="0"/>
                <w:sz w:val="21"/>
                <w:szCs w:val="21"/>
                <w:u w:val="none"/>
                <w:lang w:val="en-US" w:eastAsia="zh-CN" w:bidi="ar"/>
              </w:rPr>
              <w:t>60</w:t>
            </w:r>
            <w:r>
              <w:rPr>
                <w:rFonts w:hint="eastAsia" w:ascii="宋体" w:hAnsi="宋体" w:eastAsia="宋体" w:cs="宋体"/>
                <w:i w:val="0"/>
                <w:iCs w:val="0"/>
                <w:color w:val="000000"/>
                <w:kern w:val="0"/>
                <w:sz w:val="21"/>
                <w:szCs w:val="21"/>
                <w:u w:val="none"/>
                <w:lang w:val="en-US" w:eastAsia="zh-CN" w:bidi="ar"/>
              </w:rPr>
              <w:t>万元</w:t>
            </w:r>
          </w:p>
        </w:tc>
      </w:tr>
      <w:tr w14:paraId="6469C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52DFB">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47B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市委研究室课题研究委托业务项目</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C5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B7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经济成本指标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63B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预算经费控制≤</w:t>
            </w:r>
            <w:r>
              <w:rPr>
                <w:rFonts w:hint="eastAsia" w:ascii="Arial Narrow" w:hAnsi="Arial Narrow" w:eastAsia="宋体" w:cs="Arial Narrow"/>
                <w:i w:val="0"/>
                <w:iCs w:val="0"/>
                <w:color w:val="000000"/>
                <w:kern w:val="0"/>
                <w:sz w:val="21"/>
                <w:szCs w:val="21"/>
                <w:u w:val="none"/>
                <w:lang w:val="en-US" w:eastAsia="zh-CN" w:bidi="ar"/>
              </w:rPr>
              <w:t>30</w:t>
            </w:r>
            <w:r>
              <w:rPr>
                <w:rFonts w:hint="eastAsia" w:ascii="宋体" w:hAnsi="宋体" w:eastAsia="宋体" w:cs="宋体"/>
                <w:i w:val="0"/>
                <w:iCs w:val="0"/>
                <w:color w:val="000000"/>
                <w:kern w:val="0"/>
                <w:sz w:val="21"/>
                <w:szCs w:val="21"/>
                <w:u w:val="none"/>
                <w:lang w:val="en-US" w:eastAsia="zh-CN" w:bidi="ar"/>
              </w:rPr>
              <w:t>万元</w:t>
            </w:r>
          </w:p>
        </w:tc>
      </w:tr>
      <w:tr w14:paraId="2EB92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8D81F">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88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《北京调研》发行项目</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C90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AB4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经济成本指标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D2C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预算经费控制≤</w:t>
            </w:r>
            <w:r>
              <w:rPr>
                <w:rFonts w:hint="eastAsia" w:ascii="Arial Narrow" w:hAnsi="Arial Narrow" w:eastAsia="宋体" w:cs="Arial Narrow"/>
                <w:i w:val="0"/>
                <w:iCs w:val="0"/>
                <w:color w:val="000000"/>
                <w:kern w:val="0"/>
                <w:sz w:val="21"/>
                <w:szCs w:val="21"/>
                <w:u w:val="none"/>
                <w:lang w:val="en-US" w:eastAsia="zh-CN" w:bidi="ar"/>
              </w:rPr>
              <w:t>55.512</w:t>
            </w:r>
            <w:r>
              <w:rPr>
                <w:rFonts w:hint="eastAsia" w:ascii="宋体" w:hAnsi="宋体" w:eastAsia="宋体" w:cs="宋体"/>
                <w:i w:val="0"/>
                <w:iCs w:val="0"/>
                <w:color w:val="000000"/>
                <w:kern w:val="0"/>
                <w:sz w:val="21"/>
                <w:szCs w:val="21"/>
                <w:u w:val="none"/>
                <w:lang w:val="en-US" w:eastAsia="zh-CN" w:bidi="ar"/>
              </w:rPr>
              <w:t>万元</w:t>
            </w:r>
          </w:p>
        </w:tc>
      </w:tr>
      <w:tr w14:paraId="03512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2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4E4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深化改革/研究提出改革政策</w:t>
            </w: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748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改革督察第三方评估项目完成评估任务数</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37C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6ED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DFA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完成评估任务数≥</w:t>
            </w:r>
            <w:r>
              <w:rPr>
                <w:rFonts w:hint="eastAsia" w:ascii="Arial Narrow" w:hAnsi="Arial Narrow" w:eastAsia="宋体" w:cs="Arial Narrow"/>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个</w:t>
            </w:r>
          </w:p>
        </w:tc>
      </w:tr>
      <w:tr w14:paraId="412F2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CF1C9">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998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改革督察第三方评估项目中调研成果实现转化率</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70E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2D3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A6E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调研成果实现转化率＞</w:t>
            </w:r>
            <w:r>
              <w:rPr>
                <w:rFonts w:hint="eastAsia" w:ascii="Arial Narrow" w:hAnsi="Arial Narrow" w:eastAsia="宋体" w:cs="Arial Narrow"/>
                <w:i w:val="0"/>
                <w:iCs w:val="0"/>
                <w:color w:val="000000"/>
                <w:kern w:val="0"/>
                <w:sz w:val="21"/>
                <w:szCs w:val="21"/>
                <w:u w:val="none"/>
                <w:lang w:val="en-US" w:eastAsia="zh-CN" w:bidi="ar"/>
              </w:rPr>
              <w:t>90</w:t>
            </w:r>
            <w:r>
              <w:rPr>
                <w:rFonts w:hint="eastAsia" w:ascii="宋体" w:hAnsi="宋体" w:eastAsia="宋体" w:cs="宋体"/>
                <w:i w:val="0"/>
                <w:iCs w:val="0"/>
                <w:color w:val="000000"/>
                <w:kern w:val="0"/>
                <w:sz w:val="21"/>
                <w:szCs w:val="21"/>
                <w:u w:val="none"/>
                <w:lang w:val="en-US" w:eastAsia="zh-CN" w:bidi="ar"/>
              </w:rPr>
              <w:t>%</w:t>
            </w:r>
          </w:p>
        </w:tc>
      </w:tr>
      <w:tr w14:paraId="41818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3558D">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B58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改革督察第三方评估项目中调研成果实现转化率</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7F3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7BF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742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评估成果优秀率</w:t>
            </w:r>
            <w:r>
              <w:rPr>
                <w:rFonts w:hint="eastAsia" w:ascii="Arial Narrow" w:hAnsi="Arial Narrow" w:eastAsia="宋体" w:cs="Arial Narrow"/>
                <w:i w:val="0"/>
                <w:iCs w:val="0"/>
                <w:color w:val="000000"/>
                <w:kern w:val="0"/>
                <w:sz w:val="21"/>
                <w:szCs w:val="21"/>
                <w:u w:val="none"/>
                <w:lang w:val="en-US" w:eastAsia="zh-CN" w:bidi="ar"/>
              </w:rPr>
              <w:t>≥90</w:t>
            </w:r>
            <w:r>
              <w:rPr>
                <w:rFonts w:hint="eastAsia" w:ascii="宋体" w:hAnsi="宋体" w:eastAsia="宋体" w:cs="宋体"/>
                <w:i w:val="0"/>
                <w:iCs w:val="0"/>
                <w:color w:val="000000"/>
                <w:kern w:val="0"/>
                <w:sz w:val="21"/>
                <w:szCs w:val="21"/>
                <w:u w:val="none"/>
                <w:lang w:val="en-US" w:eastAsia="zh-CN" w:bidi="ar"/>
              </w:rPr>
              <w:t>%</w:t>
            </w:r>
          </w:p>
        </w:tc>
      </w:tr>
      <w:tr w14:paraId="1AA04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465A3">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0E7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改革督察第三方评估按合同时间完成</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57A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1A8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685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按合同时间完成</w:t>
            </w:r>
          </w:p>
        </w:tc>
      </w:tr>
      <w:tr w14:paraId="51078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B33B2">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B2D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为市委决策提供信息</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5FF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663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BFA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为市委决策提供信息</w:t>
            </w:r>
          </w:p>
        </w:tc>
      </w:tr>
      <w:tr w14:paraId="7512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88592">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A23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市领导对评估成果的满意度</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062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154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服务对象满意度指标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736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评估成果获得市领导肯定</w:t>
            </w:r>
          </w:p>
        </w:tc>
      </w:tr>
      <w:tr w14:paraId="3E507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FD858">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892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改革督察第三方评估项目</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3E1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5B4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经济成本指标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46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预算经费控制≤</w:t>
            </w:r>
            <w:r>
              <w:rPr>
                <w:rFonts w:hint="eastAsia" w:ascii="Arial Narrow" w:hAnsi="Arial Narrow" w:eastAsia="宋体" w:cs="Arial Narrow"/>
                <w:i w:val="0"/>
                <w:iCs w:val="0"/>
                <w:color w:val="000000"/>
                <w:kern w:val="0"/>
                <w:sz w:val="21"/>
                <w:szCs w:val="21"/>
                <w:u w:val="none"/>
                <w:lang w:val="en-US" w:eastAsia="zh-CN" w:bidi="ar"/>
              </w:rPr>
              <w:t>90</w:t>
            </w:r>
            <w:r>
              <w:rPr>
                <w:rFonts w:hint="eastAsia" w:ascii="宋体" w:hAnsi="宋体" w:eastAsia="宋体" w:cs="宋体"/>
                <w:i w:val="0"/>
                <w:iCs w:val="0"/>
                <w:color w:val="000000"/>
                <w:kern w:val="0"/>
                <w:sz w:val="21"/>
                <w:szCs w:val="21"/>
                <w:u w:val="none"/>
                <w:lang w:val="en-US" w:eastAsia="zh-CN" w:bidi="ar"/>
              </w:rPr>
              <w:t>万元</w:t>
            </w:r>
          </w:p>
        </w:tc>
      </w:tr>
      <w:tr w14:paraId="32EEE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trPr>
        <w:tc>
          <w:tcPr>
            <w:tcW w:w="2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8A78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信息化建设/安可项目</w:t>
            </w: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D1A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办公设备维护（打印机、台式机、</w:t>
            </w:r>
            <w:r>
              <w:rPr>
                <w:rFonts w:hint="eastAsia" w:ascii="宋体" w:hAnsi="宋体" w:cs="宋体"/>
                <w:i w:val="0"/>
                <w:iCs w:val="0"/>
                <w:color w:val="000000"/>
                <w:kern w:val="0"/>
                <w:sz w:val="21"/>
                <w:szCs w:val="21"/>
                <w:u w:val="none"/>
                <w:lang w:val="en-US" w:eastAsia="zh-CN" w:bidi="ar"/>
              </w:rPr>
              <w:t>笔记本</w:t>
            </w:r>
            <w:r>
              <w:rPr>
                <w:rFonts w:hint="eastAsia" w:ascii="宋体" w:hAnsi="宋体" w:eastAsia="宋体" w:cs="宋体"/>
                <w:i w:val="0"/>
                <w:iCs w:val="0"/>
                <w:color w:val="000000"/>
                <w:kern w:val="0"/>
                <w:sz w:val="21"/>
                <w:szCs w:val="21"/>
                <w:u w:val="none"/>
                <w:lang w:val="en-US" w:eastAsia="zh-CN" w:bidi="ar"/>
              </w:rPr>
              <w:t>电脑）</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529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E1B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134B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办公设备维护（打印机、台式机、笔记版电脑）≥</w:t>
            </w:r>
            <w:r>
              <w:rPr>
                <w:rFonts w:hint="eastAsia" w:ascii="Arial Narrow" w:hAnsi="Arial Narrow" w:eastAsia="宋体" w:cs="Arial Narrow"/>
                <w:i w:val="0"/>
                <w:iCs w:val="0"/>
                <w:color w:val="000000"/>
                <w:kern w:val="0"/>
                <w:sz w:val="21"/>
                <w:szCs w:val="21"/>
                <w:u w:val="none"/>
                <w:lang w:val="en-US" w:eastAsia="zh-CN" w:bidi="ar"/>
              </w:rPr>
              <w:t>218</w:t>
            </w:r>
            <w:r>
              <w:rPr>
                <w:rFonts w:hint="eastAsia" w:ascii="宋体" w:hAnsi="宋体" w:eastAsia="宋体" w:cs="宋体"/>
                <w:i w:val="0"/>
                <w:iCs w:val="0"/>
                <w:color w:val="000000"/>
                <w:kern w:val="0"/>
                <w:sz w:val="21"/>
                <w:szCs w:val="21"/>
                <w:u w:val="none"/>
                <w:lang w:val="en-US" w:eastAsia="zh-CN" w:bidi="ar"/>
              </w:rPr>
              <w:t>台</w:t>
            </w:r>
          </w:p>
        </w:tc>
      </w:tr>
      <w:tr w14:paraId="0CFE0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35509">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10A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故障响应不超过</w:t>
            </w:r>
            <w:r>
              <w:rPr>
                <w:rFonts w:hint="eastAsia" w:ascii="Arial Narrow" w:hAnsi="Arial Narrow" w:eastAsia="宋体" w:cs="Arial Narrow"/>
                <w:i w:val="0"/>
                <w:iCs w:val="0"/>
                <w:color w:val="000000"/>
                <w:kern w:val="0"/>
                <w:sz w:val="21"/>
                <w:szCs w:val="21"/>
                <w:u w:val="none"/>
                <w:lang w:val="en-US" w:eastAsia="zh-CN" w:bidi="ar"/>
              </w:rPr>
              <w:t>12</w:t>
            </w:r>
            <w:r>
              <w:rPr>
                <w:rFonts w:hint="eastAsia" w:ascii="宋体" w:hAnsi="宋体" w:eastAsia="宋体" w:cs="宋体"/>
                <w:i w:val="0"/>
                <w:iCs w:val="0"/>
                <w:color w:val="000000"/>
                <w:kern w:val="0"/>
                <w:sz w:val="21"/>
                <w:szCs w:val="21"/>
                <w:u w:val="none"/>
                <w:lang w:val="en-US" w:eastAsia="zh-CN" w:bidi="ar"/>
              </w:rPr>
              <w:t>小时</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4E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06F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620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故障响应</w:t>
            </w:r>
            <w:r>
              <w:rPr>
                <w:rFonts w:hint="eastAsia" w:ascii="宋体" w:hAnsi="宋体" w:cs="宋体"/>
                <w:i w:val="0"/>
                <w:iCs w:val="0"/>
                <w:color w:val="000000"/>
                <w:kern w:val="0"/>
                <w:sz w:val="21"/>
                <w:szCs w:val="21"/>
                <w:u w:val="none"/>
                <w:lang w:val="en-US" w:eastAsia="zh-CN" w:bidi="ar"/>
              </w:rPr>
              <w:t>时间</w:t>
            </w:r>
            <w:r>
              <w:rPr>
                <w:rFonts w:hint="eastAsia" w:ascii="宋体" w:hAnsi="宋体" w:eastAsia="宋体" w:cs="宋体"/>
                <w:i w:val="0"/>
                <w:iCs w:val="0"/>
                <w:color w:val="000000"/>
                <w:kern w:val="0"/>
                <w:sz w:val="21"/>
                <w:szCs w:val="21"/>
                <w:u w:val="none"/>
                <w:lang w:val="en-US" w:eastAsia="zh-CN" w:bidi="ar"/>
              </w:rPr>
              <w:t>≤12小时</w:t>
            </w:r>
          </w:p>
        </w:tc>
      </w:tr>
      <w:tr w14:paraId="2F5DD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437AE">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9BF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验收合格率=</w:t>
            </w:r>
            <w:r>
              <w:rPr>
                <w:rFonts w:hint="eastAsia" w:ascii="Arial Narrow" w:hAnsi="Arial Narrow" w:eastAsia="宋体" w:cs="Arial Narrow"/>
                <w:i w:val="0"/>
                <w:iCs w:val="0"/>
                <w:color w:val="000000"/>
                <w:kern w:val="0"/>
                <w:sz w:val="21"/>
                <w:szCs w:val="21"/>
                <w:u w:val="none"/>
                <w:lang w:val="en-US" w:eastAsia="zh-CN" w:bidi="ar"/>
              </w:rPr>
              <w:t>100</w:t>
            </w:r>
            <w:r>
              <w:rPr>
                <w:rFonts w:hint="eastAsia" w:ascii="宋体" w:hAnsi="宋体" w:eastAsia="宋体" w:cs="宋体"/>
                <w:i w:val="0"/>
                <w:iCs w:val="0"/>
                <w:color w:val="000000"/>
                <w:kern w:val="0"/>
                <w:sz w:val="21"/>
                <w:szCs w:val="21"/>
                <w:u w:val="none"/>
                <w:lang w:val="en-US" w:eastAsia="zh-CN" w:bidi="ar"/>
              </w:rPr>
              <w:t>%</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9FD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4E2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7FC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验收合格率=</w:t>
            </w:r>
            <w:r>
              <w:rPr>
                <w:rFonts w:hint="eastAsia" w:ascii="Arial Narrow" w:hAnsi="Arial Narrow" w:eastAsia="宋体" w:cs="Arial Narrow"/>
                <w:i w:val="0"/>
                <w:iCs w:val="0"/>
                <w:color w:val="000000"/>
                <w:kern w:val="0"/>
                <w:sz w:val="21"/>
                <w:szCs w:val="21"/>
                <w:u w:val="none"/>
                <w:lang w:val="en-US" w:eastAsia="zh-CN" w:bidi="ar"/>
              </w:rPr>
              <w:t>100</w:t>
            </w:r>
            <w:r>
              <w:rPr>
                <w:rFonts w:hint="eastAsia" w:ascii="宋体" w:hAnsi="宋体" w:eastAsia="宋体" w:cs="宋体"/>
                <w:i w:val="0"/>
                <w:iCs w:val="0"/>
                <w:color w:val="000000"/>
                <w:kern w:val="0"/>
                <w:sz w:val="21"/>
                <w:szCs w:val="21"/>
                <w:u w:val="none"/>
                <w:lang w:val="en-US" w:eastAsia="zh-CN" w:bidi="ar"/>
              </w:rPr>
              <w:t>%</w:t>
            </w:r>
          </w:p>
        </w:tc>
      </w:tr>
      <w:tr w14:paraId="46A91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9"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69431">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61B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长期稳定运行通过原厂技术支持和系统运维服务，基础软硬件在得到高品质的保养、维修的同时，降低故障发生率，延长设备使用年限。</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BF8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1F96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可持续影响指标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6E4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长期稳定运行通过原厂技术支持和系统运维服务，基础软硬件在得到高品质的保养、维修的同时，降低故障发生率，延长设备使用年限</w:t>
            </w:r>
          </w:p>
        </w:tc>
      </w:tr>
      <w:tr w14:paraId="1AC05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9539E">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15F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提高效率，降低办公成本</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219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17E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经济效益指标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6F3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提高效率，降低办公成本</w:t>
            </w:r>
          </w:p>
        </w:tc>
      </w:tr>
      <w:tr w14:paraId="0635B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EEADD">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910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保障市委研究室各项业务工作的顺利开展，保障市委研究室信息系统安全稳定可靠运行</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5D39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4C0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3300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保障运行</w:t>
            </w:r>
          </w:p>
        </w:tc>
      </w:tr>
      <w:tr w14:paraId="17FAD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F5F5D">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1"/>
                <w:szCs w:val="21"/>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B0A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预算经费控制</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567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236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经济成本指标</w:t>
            </w:r>
          </w:p>
        </w:tc>
        <w:tc>
          <w:tcPr>
            <w:tcW w:w="15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C98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预算经费控制≤</w:t>
            </w:r>
            <w:r>
              <w:rPr>
                <w:rFonts w:hint="eastAsia" w:ascii="Arial Narrow" w:hAnsi="Arial Narrow" w:eastAsia="宋体" w:cs="Arial Narrow"/>
                <w:i w:val="0"/>
                <w:iCs w:val="0"/>
                <w:color w:val="000000"/>
                <w:kern w:val="0"/>
                <w:sz w:val="21"/>
                <w:szCs w:val="21"/>
                <w:u w:val="none"/>
                <w:lang w:val="en-US" w:eastAsia="zh-CN" w:bidi="ar"/>
              </w:rPr>
              <w:t>41.2</w:t>
            </w:r>
            <w:r>
              <w:rPr>
                <w:rFonts w:hint="eastAsia" w:ascii="宋体" w:hAnsi="宋体" w:eastAsia="宋体" w:cs="宋体"/>
                <w:i w:val="0"/>
                <w:iCs w:val="0"/>
                <w:color w:val="000000"/>
                <w:kern w:val="0"/>
                <w:sz w:val="21"/>
                <w:szCs w:val="21"/>
                <w:u w:val="none"/>
                <w:lang w:val="en-US" w:eastAsia="zh-CN" w:bidi="ar"/>
              </w:rPr>
              <w:t>万元</w:t>
            </w:r>
          </w:p>
        </w:tc>
      </w:tr>
    </w:tbl>
    <w:p w14:paraId="4375C856">
      <w:pPr>
        <w:pStyle w:val="2"/>
        <w:pageBreakBefore w:val="0"/>
        <w:kinsoku/>
        <w:wordWrap/>
        <w:overflowPunct/>
        <w:topLinePunct w:val="0"/>
        <w:autoSpaceDE/>
        <w:autoSpaceDN/>
        <w:bidi w:val="0"/>
        <w:adjustRightInd/>
        <w:snapToGrid/>
        <w:spacing w:before="0" w:after="0" w:line="520" w:lineRule="exact"/>
        <w:ind w:firstLine="422" w:firstLineChars="200"/>
        <w:rPr>
          <w:rFonts w:hint="default" w:ascii="Arial Narrow" w:hAnsi="Arial Narrow" w:eastAsia="宋体" w:cs="Arial Narrow"/>
          <w:color w:val="auto"/>
          <w:sz w:val="21"/>
          <w:szCs w:val="21"/>
          <w:highlight w:val="none"/>
        </w:rPr>
      </w:pPr>
      <w:bookmarkStart w:id="37" w:name="_Toc3791"/>
      <w:r>
        <w:rPr>
          <w:rFonts w:hint="default" w:ascii="Arial Narrow" w:hAnsi="Arial Narrow" w:eastAsia="宋体" w:cs="Arial Narrow"/>
          <w:color w:val="auto"/>
          <w:sz w:val="21"/>
          <w:szCs w:val="21"/>
          <w:highlight w:val="none"/>
        </w:rPr>
        <w:t>二、当年预算执行情况</w:t>
      </w:r>
      <w:bookmarkEnd w:id="33"/>
      <w:bookmarkEnd w:id="34"/>
      <w:bookmarkEnd w:id="35"/>
      <w:bookmarkEnd w:id="36"/>
      <w:bookmarkEnd w:id="37"/>
    </w:p>
    <w:p w14:paraId="4F6695C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Arial Narrow" w:hAnsi="Arial Narrow" w:eastAsia="宋体" w:cs="Arial Narrow"/>
          <w:color w:val="auto"/>
          <w:sz w:val="21"/>
          <w:szCs w:val="21"/>
          <w:highlight w:val="none"/>
        </w:rPr>
      </w:pPr>
      <w:r>
        <w:rPr>
          <w:rFonts w:hint="default" w:ascii="Arial Narrow" w:hAnsi="Arial Narrow" w:eastAsia="宋体" w:cs="Arial Narrow"/>
          <w:color w:val="auto"/>
          <w:sz w:val="21"/>
          <w:szCs w:val="21"/>
          <w:highlight w:val="none"/>
        </w:rPr>
        <w:t>市委研究室202</w:t>
      </w:r>
      <w:r>
        <w:rPr>
          <w:rFonts w:hint="default" w:ascii="Arial Narrow" w:hAnsi="Arial Narrow" w:eastAsia="宋体"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rPr>
        <w:t>年年初</w:t>
      </w:r>
      <w:r>
        <w:rPr>
          <w:rFonts w:hint="default" w:ascii="Arial Narrow" w:hAnsi="Arial Narrow" w:eastAsia="宋体" w:cs="Arial Narrow"/>
          <w:color w:val="auto"/>
          <w:sz w:val="21"/>
          <w:szCs w:val="21"/>
          <w:highlight w:val="none"/>
          <w:lang w:val="en-US" w:eastAsia="zh-CN"/>
        </w:rPr>
        <w:t>批复预算数</w:t>
      </w:r>
      <w:r>
        <w:rPr>
          <w:rFonts w:hint="default" w:ascii="Arial Narrow" w:hAnsi="Arial Narrow" w:eastAsia="宋体" w:cs="Arial Narrow"/>
          <w:color w:val="auto"/>
          <w:sz w:val="21"/>
          <w:szCs w:val="21"/>
          <w:highlight w:val="none"/>
        </w:rPr>
        <w:t>4,63</w:t>
      </w:r>
      <w:r>
        <w:rPr>
          <w:rFonts w:hint="eastAsia" w:ascii="Arial Narrow" w:hAnsi="Arial Narrow" w:cs="Arial Narrow"/>
          <w:color w:val="auto"/>
          <w:sz w:val="21"/>
          <w:szCs w:val="21"/>
          <w:highlight w:val="none"/>
          <w:lang w:val="en-US" w:eastAsia="zh-CN"/>
        </w:rPr>
        <w:t>9</w:t>
      </w:r>
      <w:r>
        <w:rPr>
          <w:rFonts w:hint="default" w:ascii="Arial Narrow" w:hAnsi="Arial Narrow" w:eastAsia="宋体" w:cs="Arial Narrow"/>
          <w:color w:val="auto"/>
          <w:sz w:val="21"/>
          <w:szCs w:val="21"/>
          <w:highlight w:val="none"/>
          <w:lang w:val="en-US" w:eastAsia="zh-CN"/>
        </w:rPr>
        <w:t>.</w:t>
      </w:r>
      <w:r>
        <w:rPr>
          <w:rFonts w:hint="eastAsia" w:ascii="Arial Narrow" w:hAnsi="Arial Narrow" w:cs="Arial Narrow"/>
          <w:color w:val="auto"/>
          <w:sz w:val="21"/>
          <w:szCs w:val="21"/>
          <w:highlight w:val="none"/>
          <w:lang w:val="en-US" w:eastAsia="zh-CN"/>
        </w:rPr>
        <w:t>3</w:t>
      </w:r>
      <w:r>
        <w:rPr>
          <w:rFonts w:hint="default" w:ascii="Arial Narrow" w:hAnsi="Arial Narrow" w:eastAsia="宋体" w:cs="Arial Narrow"/>
          <w:color w:val="auto"/>
          <w:sz w:val="21"/>
          <w:szCs w:val="21"/>
          <w:highlight w:val="none"/>
          <w:lang w:val="en-US" w:eastAsia="zh-CN"/>
        </w:rPr>
        <w:t>1</w:t>
      </w:r>
      <w:r>
        <w:rPr>
          <w:rFonts w:hint="default" w:ascii="Arial Narrow" w:hAnsi="Arial Narrow" w:eastAsia="宋体" w:cs="Arial Narrow"/>
          <w:color w:val="auto"/>
          <w:sz w:val="21"/>
          <w:szCs w:val="21"/>
          <w:highlight w:val="none"/>
        </w:rPr>
        <w:t>万</w:t>
      </w:r>
      <w:r>
        <w:rPr>
          <w:rFonts w:hint="default" w:ascii="Arial Narrow" w:hAnsi="Arial Narrow" w:eastAsia="宋体" w:cs="Arial Narrow"/>
          <w:color w:val="auto"/>
          <w:sz w:val="21"/>
          <w:szCs w:val="21"/>
          <w:highlight w:val="none"/>
          <w:lang w:val="en-US" w:eastAsia="zh-CN"/>
        </w:rPr>
        <w:t>元，</w:t>
      </w:r>
      <w:r>
        <w:rPr>
          <w:rFonts w:hint="default" w:ascii="Arial Narrow" w:hAnsi="Arial Narrow" w:eastAsia="宋体" w:cs="Arial Narrow"/>
          <w:color w:val="auto"/>
          <w:sz w:val="21"/>
          <w:szCs w:val="21"/>
          <w:highlight w:val="none"/>
        </w:rPr>
        <w:t>预算调整合计数-476.61万元，</w:t>
      </w:r>
      <w:r>
        <w:rPr>
          <w:rFonts w:hint="default" w:ascii="Arial Narrow" w:hAnsi="Arial Narrow" w:eastAsia="宋体" w:cs="Arial Narrow"/>
          <w:color w:val="auto"/>
          <w:sz w:val="21"/>
          <w:szCs w:val="21"/>
          <w:highlight w:val="none"/>
          <w:lang w:val="en-US" w:eastAsia="zh-CN"/>
        </w:rPr>
        <w:t>全部为调减</w:t>
      </w:r>
      <w:r>
        <w:rPr>
          <w:rFonts w:hint="default" w:ascii="Arial Narrow" w:hAnsi="Arial Narrow" w:eastAsia="宋体" w:cs="Arial Narrow"/>
          <w:color w:val="auto"/>
          <w:sz w:val="21"/>
          <w:szCs w:val="21"/>
          <w:highlight w:val="none"/>
        </w:rPr>
        <w:t>预算。202</w:t>
      </w:r>
      <w:r>
        <w:rPr>
          <w:rFonts w:hint="default" w:ascii="Arial Narrow" w:hAnsi="Arial Narrow" w:eastAsia="宋体"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rPr>
        <w:t>年全年预算数4,1</w:t>
      </w:r>
      <w:r>
        <w:rPr>
          <w:rFonts w:hint="eastAsia" w:ascii="Arial Narrow" w:hAnsi="Arial Narrow" w:cs="Arial Narrow"/>
          <w:color w:val="auto"/>
          <w:sz w:val="21"/>
          <w:szCs w:val="21"/>
          <w:highlight w:val="none"/>
          <w:lang w:val="en-US" w:eastAsia="zh-CN"/>
        </w:rPr>
        <w:t>62.70</w:t>
      </w:r>
      <w:r>
        <w:rPr>
          <w:rFonts w:hint="default" w:ascii="Arial Narrow" w:hAnsi="Arial Narrow" w:eastAsia="宋体" w:cs="Arial Narrow"/>
          <w:color w:val="auto"/>
          <w:sz w:val="21"/>
          <w:szCs w:val="21"/>
          <w:highlight w:val="none"/>
        </w:rPr>
        <w:t>万元</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其中，</w:t>
      </w:r>
      <w:r>
        <w:rPr>
          <w:rFonts w:hint="default" w:ascii="Arial Narrow" w:hAnsi="Arial Narrow" w:eastAsia="宋体" w:cs="Arial Narrow"/>
          <w:color w:val="auto"/>
          <w:sz w:val="21"/>
          <w:szCs w:val="21"/>
          <w:highlight w:val="none"/>
        </w:rPr>
        <w:t>基本支出预算数3,75</w:t>
      </w:r>
      <w:r>
        <w:rPr>
          <w:rFonts w:hint="eastAsia" w:ascii="Arial Narrow" w:hAnsi="Arial Narrow" w:cs="Arial Narrow"/>
          <w:color w:val="auto"/>
          <w:sz w:val="21"/>
          <w:szCs w:val="21"/>
          <w:highlight w:val="none"/>
          <w:lang w:val="en-US" w:eastAsia="zh-CN"/>
        </w:rPr>
        <w:t>7</w:t>
      </w:r>
      <w:r>
        <w:rPr>
          <w:rFonts w:hint="default" w:ascii="Arial Narrow" w:hAnsi="Arial Narrow" w:eastAsia="宋体" w:cs="Arial Narrow"/>
          <w:color w:val="auto"/>
          <w:sz w:val="21"/>
          <w:szCs w:val="21"/>
          <w:highlight w:val="none"/>
        </w:rPr>
        <w:t>.</w:t>
      </w:r>
      <w:r>
        <w:rPr>
          <w:rFonts w:hint="eastAsia" w:ascii="Arial Narrow" w:hAnsi="Arial Narrow" w:cs="Arial Narrow"/>
          <w:color w:val="auto"/>
          <w:sz w:val="21"/>
          <w:szCs w:val="21"/>
          <w:highlight w:val="none"/>
          <w:lang w:val="en-US" w:eastAsia="zh-CN"/>
        </w:rPr>
        <w:t>06</w:t>
      </w:r>
      <w:r>
        <w:rPr>
          <w:rFonts w:hint="default" w:ascii="Arial Narrow" w:hAnsi="Arial Narrow" w:eastAsia="宋体" w:cs="Arial Narrow"/>
          <w:color w:val="auto"/>
          <w:sz w:val="21"/>
          <w:szCs w:val="21"/>
          <w:highlight w:val="none"/>
        </w:rPr>
        <w:t>万元，项目支出预算数405.6</w:t>
      </w:r>
      <w:r>
        <w:rPr>
          <w:rFonts w:hint="eastAsia" w:ascii="Arial Narrow" w:hAnsi="Arial Narrow"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rPr>
        <w:t>万元，其他支出预算数</w:t>
      </w:r>
      <w:r>
        <w:rPr>
          <w:rFonts w:hint="default" w:ascii="Arial Narrow" w:hAnsi="Arial Narrow" w:eastAsia="宋体" w:cs="Arial Narrow"/>
          <w:color w:val="auto"/>
          <w:sz w:val="21"/>
          <w:szCs w:val="21"/>
          <w:highlight w:val="none"/>
          <w:lang w:val="en-US" w:eastAsia="zh-CN"/>
        </w:rPr>
        <w:t>0.00</w:t>
      </w:r>
      <w:r>
        <w:rPr>
          <w:rFonts w:hint="default" w:ascii="Arial Narrow" w:hAnsi="Arial Narrow" w:eastAsia="宋体" w:cs="Arial Narrow"/>
          <w:color w:val="auto"/>
          <w:sz w:val="21"/>
          <w:szCs w:val="21"/>
          <w:highlight w:val="none"/>
        </w:rPr>
        <w:t>万元。</w:t>
      </w:r>
      <w:r>
        <w:rPr>
          <w:rFonts w:hint="default" w:ascii="Arial Narrow" w:hAnsi="Arial Narrow" w:eastAsia="宋体" w:cs="Arial Narrow"/>
          <w:color w:val="auto"/>
          <w:sz w:val="21"/>
          <w:szCs w:val="21"/>
          <w:highlight w:val="none"/>
          <w:lang w:val="en-US" w:eastAsia="zh-CN"/>
        </w:rPr>
        <w:t>2024年度支出总额为</w:t>
      </w:r>
      <w:r>
        <w:rPr>
          <w:rFonts w:hint="default" w:ascii="Arial Narrow" w:hAnsi="Arial Narrow" w:eastAsia="宋体" w:cs="Arial Narrow"/>
          <w:color w:val="auto"/>
          <w:sz w:val="21"/>
          <w:szCs w:val="21"/>
          <w:highlight w:val="none"/>
        </w:rPr>
        <w:t>4,</w:t>
      </w:r>
      <w:r>
        <w:rPr>
          <w:rFonts w:hint="default" w:ascii="Arial Narrow" w:hAnsi="Arial Narrow" w:eastAsia="宋体" w:cs="Arial Narrow"/>
          <w:color w:val="auto"/>
          <w:sz w:val="21"/>
          <w:szCs w:val="21"/>
          <w:highlight w:val="none"/>
          <w:lang w:val="en-US" w:eastAsia="zh-CN"/>
        </w:rPr>
        <w:t>045.65</w:t>
      </w:r>
      <w:r>
        <w:rPr>
          <w:rFonts w:hint="default" w:ascii="Arial Narrow" w:hAnsi="Arial Narrow" w:eastAsia="宋体" w:cs="Arial Narrow"/>
          <w:color w:val="auto"/>
          <w:sz w:val="21"/>
          <w:szCs w:val="21"/>
          <w:highlight w:val="none"/>
        </w:rPr>
        <w:t>万元，其中基本支出3,</w:t>
      </w:r>
      <w:r>
        <w:rPr>
          <w:rFonts w:hint="default" w:ascii="Arial Narrow" w:hAnsi="Arial Narrow" w:eastAsia="宋体" w:cs="Arial Narrow"/>
          <w:color w:val="auto"/>
          <w:sz w:val="21"/>
          <w:szCs w:val="21"/>
          <w:highlight w:val="none"/>
          <w:lang w:val="en-US" w:eastAsia="zh-CN"/>
        </w:rPr>
        <w:t>641.42</w:t>
      </w:r>
      <w:r>
        <w:rPr>
          <w:rFonts w:hint="default" w:ascii="Arial Narrow" w:hAnsi="Arial Narrow" w:eastAsia="宋体" w:cs="Arial Narrow"/>
          <w:color w:val="auto"/>
          <w:sz w:val="21"/>
          <w:szCs w:val="21"/>
          <w:highlight w:val="none"/>
        </w:rPr>
        <w:t>万元，项目支出40</w:t>
      </w:r>
      <w:r>
        <w:rPr>
          <w:rFonts w:hint="default" w:ascii="Arial Narrow" w:hAnsi="Arial Narrow" w:eastAsia="宋体" w:cs="Arial Narrow"/>
          <w:color w:val="auto"/>
          <w:sz w:val="21"/>
          <w:szCs w:val="21"/>
          <w:highlight w:val="none"/>
          <w:lang w:val="en-US" w:eastAsia="zh-CN"/>
        </w:rPr>
        <w:t>4.23</w:t>
      </w:r>
      <w:r>
        <w:rPr>
          <w:rFonts w:hint="default" w:ascii="Arial Narrow" w:hAnsi="Arial Narrow" w:eastAsia="宋体" w:cs="Arial Narrow"/>
          <w:color w:val="auto"/>
          <w:sz w:val="21"/>
          <w:szCs w:val="21"/>
          <w:highlight w:val="none"/>
        </w:rPr>
        <w:t>万元，其他支出</w:t>
      </w:r>
      <w:r>
        <w:rPr>
          <w:rFonts w:hint="default" w:ascii="Arial Narrow" w:hAnsi="Arial Narrow" w:eastAsia="宋体" w:cs="Arial Narrow"/>
          <w:color w:val="auto"/>
          <w:sz w:val="21"/>
          <w:szCs w:val="21"/>
          <w:highlight w:val="none"/>
          <w:lang w:val="en-US" w:eastAsia="zh-CN"/>
        </w:rPr>
        <w:t>0.00</w:t>
      </w:r>
      <w:r>
        <w:rPr>
          <w:rFonts w:hint="default" w:ascii="Arial Narrow" w:hAnsi="Arial Narrow" w:eastAsia="宋体" w:cs="Arial Narrow"/>
          <w:color w:val="auto"/>
          <w:sz w:val="21"/>
          <w:szCs w:val="21"/>
          <w:highlight w:val="none"/>
        </w:rPr>
        <w:t>万元。预算执行率为</w:t>
      </w:r>
      <w:r>
        <w:rPr>
          <w:rFonts w:hint="eastAsia" w:ascii="Arial Narrow" w:hAnsi="Arial Narrow" w:cs="Arial Narrow"/>
          <w:color w:val="auto"/>
          <w:sz w:val="21"/>
          <w:szCs w:val="21"/>
          <w:highlight w:val="none"/>
          <w:lang w:val="en-US" w:eastAsia="zh-CN"/>
        </w:rPr>
        <w:t>97.19</w:t>
      </w:r>
      <w:r>
        <w:rPr>
          <w:rFonts w:hint="default" w:ascii="Arial Narrow" w:hAnsi="Arial Narrow" w:eastAsia="宋体" w:cs="Arial Narrow"/>
          <w:color w:val="auto"/>
          <w:sz w:val="21"/>
          <w:szCs w:val="21"/>
          <w:highlight w:val="none"/>
          <w:lang w:val="en-US" w:eastAsia="zh-CN"/>
        </w:rPr>
        <w:t>%</w:t>
      </w:r>
      <w:r>
        <w:rPr>
          <w:rFonts w:hint="default" w:ascii="Arial Narrow" w:hAnsi="Arial Narrow" w:eastAsia="宋体" w:cs="Arial Narrow"/>
          <w:color w:val="auto"/>
          <w:sz w:val="21"/>
          <w:szCs w:val="21"/>
          <w:highlight w:val="none"/>
        </w:rPr>
        <w:t>。</w:t>
      </w:r>
    </w:p>
    <w:p w14:paraId="68B1F39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Arial Narrow" w:hAnsi="Arial Narrow" w:eastAsia="宋体" w:cs="Arial Narrow"/>
          <w:color w:val="auto"/>
          <w:sz w:val="21"/>
          <w:szCs w:val="21"/>
          <w:highlight w:val="none"/>
          <w:lang w:eastAsia="zh-CN"/>
        </w:rPr>
      </w:pPr>
      <w:r>
        <w:rPr>
          <w:rFonts w:hint="default" w:ascii="Arial Narrow" w:hAnsi="Arial Narrow" w:eastAsia="宋体" w:cs="Arial Narrow"/>
          <w:color w:val="auto"/>
          <w:sz w:val="21"/>
          <w:szCs w:val="21"/>
          <w:highlight w:val="none"/>
          <w:lang w:val="en-US" w:eastAsia="zh-CN"/>
        </w:rPr>
        <w:t>1.</w:t>
      </w:r>
      <w:r>
        <w:rPr>
          <w:rFonts w:hint="default" w:ascii="Arial Narrow" w:hAnsi="Arial Narrow" w:eastAsia="宋体" w:cs="Arial Narrow"/>
          <w:color w:val="auto"/>
          <w:sz w:val="21"/>
          <w:szCs w:val="21"/>
          <w:highlight w:val="none"/>
          <w:lang w:eastAsia="zh-CN"/>
        </w:rPr>
        <w:t>“三公”经费支出情况</w:t>
      </w:r>
    </w:p>
    <w:p w14:paraId="54EA29D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Arial Narrow" w:hAnsi="Arial Narrow" w:eastAsia="宋体" w:cs="Arial Narrow"/>
          <w:color w:val="auto"/>
          <w:sz w:val="21"/>
          <w:szCs w:val="21"/>
          <w:highlight w:val="none"/>
        </w:rPr>
      </w:pPr>
      <w:r>
        <w:rPr>
          <w:rFonts w:hint="default" w:ascii="Arial Narrow" w:hAnsi="Arial Narrow" w:eastAsia="宋体" w:cs="Arial Narrow"/>
          <w:color w:val="auto"/>
          <w:sz w:val="21"/>
          <w:szCs w:val="21"/>
          <w:highlight w:val="none"/>
        </w:rPr>
        <w:t>202</w:t>
      </w:r>
      <w:r>
        <w:rPr>
          <w:rFonts w:hint="default" w:ascii="Arial Narrow" w:hAnsi="Arial Narrow" w:eastAsia="宋体"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rPr>
        <w:t>年</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三公</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经费财政拨款决算数</w:t>
      </w:r>
      <w:r>
        <w:rPr>
          <w:rFonts w:hint="default" w:ascii="Arial Narrow" w:hAnsi="Arial Narrow" w:eastAsia="宋体" w:cs="Arial Narrow"/>
          <w:color w:val="auto"/>
          <w:szCs w:val="21"/>
          <w:highlight w:val="none"/>
          <w:lang w:val="en-US" w:eastAsia="zh-CN"/>
        </w:rPr>
        <w:t>14.21</w:t>
      </w:r>
      <w:r>
        <w:rPr>
          <w:rFonts w:hint="default" w:ascii="Arial Narrow" w:hAnsi="Arial Narrow" w:eastAsia="宋体" w:cs="Arial Narrow"/>
          <w:color w:val="auto"/>
          <w:sz w:val="21"/>
          <w:szCs w:val="21"/>
          <w:highlight w:val="none"/>
        </w:rPr>
        <w:t>万元，比年初预算数</w:t>
      </w:r>
      <w:r>
        <w:rPr>
          <w:rFonts w:hint="default" w:ascii="Arial Narrow" w:hAnsi="Arial Narrow" w:eastAsia="宋体" w:cs="Arial Narrow"/>
          <w:color w:val="auto"/>
          <w:szCs w:val="21"/>
          <w:highlight w:val="none"/>
        </w:rPr>
        <w:t>23</w:t>
      </w:r>
      <w:r>
        <w:rPr>
          <w:rFonts w:hint="default" w:ascii="Arial Narrow" w:hAnsi="Arial Narrow" w:eastAsia="宋体" w:cs="Arial Narrow"/>
          <w:color w:val="auto"/>
          <w:szCs w:val="21"/>
          <w:highlight w:val="none"/>
          <w:lang w:val="en-US" w:eastAsia="zh-CN"/>
        </w:rPr>
        <w:t>.00</w:t>
      </w:r>
      <w:r>
        <w:rPr>
          <w:rFonts w:hint="default" w:ascii="Arial Narrow" w:hAnsi="Arial Narrow" w:eastAsia="宋体" w:cs="Arial Narrow"/>
          <w:color w:val="auto"/>
          <w:sz w:val="21"/>
          <w:szCs w:val="21"/>
          <w:highlight w:val="none"/>
        </w:rPr>
        <w:t>万元</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lang w:val="en-US" w:eastAsia="zh-CN"/>
        </w:rPr>
        <w:t>减少</w:t>
      </w:r>
      <w:r>
        <w:rPr>
          <w:rFonts w:hint="default" w:ascii="Arial Narrow" w:hAnsi="Arial Narrow" w:eastAsia="宋体" w:cs="Arial Narrow"/>
          <w:color w:val="auto"/>
          <w:szCs w:val="21"/>
          <w:highlight w:val="none"/>
          <w:lang w:val="en-US" w:eastAsia="zh-CN"/>
        </w:rPr>
        <w:t>8.59</w:t>
      </w:r>
      <w:r>
        <w:rPr>
          <w:rFonts w:hint="default" w:ascii="Arial Narrow" w:hAnsi="Arial Narrow" w:eastAsia="宋体" w:cs="Arial Narrow"/>
          <w:color w:val="auto"/>
          <w:sz w:val="21"/>
          <w:szCs w:val="21"/>
          <w:highlight w:val="none"/>
        </w:rPr>
        <w:t>万元。其中：</w:t>
      </w:r>
    </w:p>
    <w:p w14:paraId="3DFC57F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Arial Narrow" w:hAnsi="Arial Narrow" w:eastAsia="宋体" w:cs="Arial Narrow"/>
          <w:color w:val="auto"/>
          <w:sz w:val="21"/>
          <w:szCs w:val="21"/>
          <w:highlight w:val="none"/>
        </w:rPr>
      </w:pPr>
      <w:r>
        <w:rPr>
          <w:rFonts w:hint="default" w:ascii="Arial Narrow" w:hAnsi="Arial Narrow" w:eastAsia="宋体" w:cs="Arial Narrow"/>
          <w:color w:val="auto"/>
          <w:sz w:val="21"/>
          <w:szCs w:val="21"/>
          <w:highlight w:val="none"/>
        </w:rPr>
        <w:t>因公出国（境）费用</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202</w:t>
      </w:r>
      <w:r>
        <w:rPr>
          <w:rFonts w:hint="default" w:ascii="Arial Narrow" w:hAnsi="Arial Narrow" w:eastAsia="宋体"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rPr>
        <w:t>年决算数</w:t>
      </w:r>
      <w:r>
        <w:rPr>
          <w:rFonts w:hint="default" w:ascii="Arial Narrow" w:hAnsi="Arial Narrow" w:eastAsia="宋体" w:cs="Arial Narrow"/>
          <w:color w:val="auto"/>
          <w:szCs w:val="21"/>
          <w:highlight w:val="none"/>
          <w:lang w:val="en-US" w:eastAsia="zh-CN"/>
        </w:rPr>
        <w:t>14.21</w:t>
      </w:r>
      <w:r>
        <w:rPr>
          <w:rFonts w:hint="default" w:ascii="Arial Narrow" w:hAnsi="Arial Narrow" w:eastAsia="宋体" w:cs="Arial Narrow"/>
          <w:color w:val="auto"/>
          <w:sz w:val="21"/>
          <w:szCs w:val="21"/>
          <w:highlight w:val="none"/>
        </w:rPr>
        <w:t>万元，比年初预算数22</w:t>
      </w:r>
      <w:r>
        <w:rPr>
          <w:rFonts w:hint="default" w:ascii="Arial Narrow" w:hAnsi="Arial Narrow" w:eastAsia="宋体" w:cs="Arial Narrow"/>
          <w:color w:val="auto"/>
          <w:sz w:val="21"/>
          <w:szCs w:val="21"/>
          <w:highlight w:val="none"/>
          <w:lang w:val="en-US" w:eastAsia="zh-CN"/>
        </w:rPr>
        <w:t>.</w:t>
      </w:r>
      <w:r>
        <w:rPr>
          <w:rFonts w:hint="default" w:ascii="Arial Narrow" w:hAnsi="Arial Narrow" w:eastAsia="宋体" w:cs="Arial Narrow"/>
          <w:color w:val="auto"/>
          <w:sz w:val="21"/>
          <w:szCs w:val="21"/>
          <w:highlight w:val="none"/>
        </w:rPr>
        <w:t>80万元减少</w:t>
      </w:r>
      <w:r>
        <w:rPr>
          <w:rFonts w:hint="default" w:ascii="Arial Narrow" w:hAnsi="Arial Narrow" w:eastAsia="宋体" w:cs="Arial Narrow"/>
          <w:color w:val="auto"/>
          <w:sz w:val="21"/>
          <w:szCs w:val="21"/>
          <w:highlight w:val="none"/>
          <w:lang w:val="en-US" w:eastAsia="zh-CN"/>
        </w:rPr>
        <w:t>8.59</w:t>
      </w:r>
      <w:r>
        <w:rPr>
          <w:rFonts w:hint="default" w:ascii="Arial Narrow" w:hAnsi="Arial Narrow" w:eastAsia="宋体" w:cs="Arial Narrow"/>
          <w:color w:val="auto"/>
          <w:sz w:val="21"/>
          <w:szCs w:val="21"/>
          <w:highlight w:val="none"/>
        </w:rPr>
        <w:t>万元</w:t>
      </w:r>
      <w:r>
        <w:rPr>
          <w:rFonts w:hint="default" w:ascii="Arial Narrow" w:hAnsi="Arial Narrow" w:eastAsia="宋体" w:cs="Arial Narrow"/>
          <w:color w:val="auto"/>
          <w:sz w:val="21"/>
          <w:szCs w:val="21"/>
          <w:highlight w:val="none"/>
          <w:lang w:eastAsia="zh-CN"/>
        </w:rPr>
        <w:t>。</w:t>
      </w:r>
    </w:p>
    <w:p w14:paraId="5533B82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Arial Narrow" w:hAnsi="Arial Narrow" w:eastAsia="宋体" w:cs="Arial Narrow"/>
          <w:color w:val="auto"/>
          <w:sz w:val="21"/>
          <w:szCs w:val="21"/>
          <w:highlight w:val="none"/>
        </w:rPr>
      </w:pPr>
      <w:r>
        <w:rPr>
          <w:rFonts w:hint="default" w:ascii="Arial Narrow" w:hAnsi="Arial Narrow" w:eastAsia="宋体" w:cs="Arial Narrow"/>
          <w:color w:val="auto"/>
          <w:sz w:val="21"/>
          <w:szCs w:val="21"/>
          <w:highlight w:val="none"/>
        </w:rPr>
        <w:t>公务接待费</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202</w:t>
      </w:r>
      <w:r>
        <w:rPr>
          <w:rFonts w:hint="default" w:ascii="Arial Narrow" w:hAnsi="Arial Narrow" w:eastAsia="宋体"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rPr>
        <w:t>年决算数</w:t>
      </w:r>
      <w:r>
        <w:rPr>
          <w:rFonts w:hint="default" w:ascii="Arial Narrow" w:hAnsi="Arial Narrow" w:eastAsia="宋体" w:cs="Arial Narrow"/>
          <w:color w:val="auto"/>
          <w:sz w:val="21"/>
          <w:szCs w:val="21"/>
          <w:highlight w:val="none"/>
          <w:lang w:val="en-US" w:eastAsia="zh-CN"/>
        </w:rPr>
        <w:t>0.00</w:t>
      </w:r>
      <w:r>
        <w:rPr>
          <w:rFonts w:hint="default" w:ascii="Arial Narrow" w:hAnsi="Arial Narrow" w:eastAsia="宋体" w:cs="Arial Narrow"/>
          <w:color w:val="auto"/>
          <w:sz w:val="21"/>
          <w:szCs w:val="21"/>
          <w:highlight w:val="none"/>
        </w:rPr>
        <w:t>万元，比年初预算数0.20万元减少0.20万元，与上年决算数0.00万元持平。</w:t>
      </w:r>
    </w:p>
    <w:p w14:paraId="3E736A57">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color w:val="auto"/>
          <w:sz w:val="21"/>
          <w:szCs w:val="21"/>
          <w:highlight w:val="none"/>
        </w:rPr>
      </w:pPr>
      <w:r>
        <w:rPr>
          <w:rFonts w:hint="default" w:ascii="Arial Narrow" w:hAnsi="Arial Narrow" w:eastAsia="宋体" w:cs="Arial Narrow"/>
          <w:color w:val="auto"/>
          <w:sz w:val="21"/>
          <w:szCs w:val="21"/>
          <w:highlight w:val="none"/>
        </w:rPr>
        <w:t>公务用车购置及运行维护费</w:t>
      </w:r>
      <w:r>
        <w:rPr>
          <w:rFonts w:hint="default" w:ascii="Arial Narrow" w:hAnsi="Arial Narrow" w:eastAsia="宋体" w:cs="Arial Narrow"/>
          <w:color w:val="auto"/>
          <w:sz w:val="21"/>
          <w:szCs w:val="21"/>
          <w:highlight w:val="none"/>
          <w:lang w:eastAsia="zh-CN"/>
        </w:rPr>
        <w:t>：</w:t>
      </w:r>
      <w:r>
        <w:rPr>
          <w:rFonts w:hint="default" w:ascii="Arial Narrow" w:hAnsi="Arial Narrow" w:eastAsia="宋体" w:cs="Arial Narrow"/>
          <w:color w:val="auto"/>
          <w:sz w:val="21"/>
          <w:szCs w:val="21"/>
          <w:highlight w:val="none"/>
        </w:rPr>
        <w:t>2</w:t>
      </w:r>
      <w:r>
        <w:rPr>
          <w:rFonts w:hint="default" w:ascii="Arial Narrow" w:hAnsi="Arial Narrow" w:eastAsia="宋体" w:cs="Arial Narrow"/>
          <w:color w:val="auto"/>
          <w:sz w:val="21"/>
          <w:szCs w:val="21"/>
          <w:highlight w:val="none"/>
          <w:lang w:val="en-US" w:eastAsia="zh-CN"/>
        </w:rPr>
        <w:t>024</w:t>
      </w:r>
      <w:r>
        <w:rPr>
          <w:rFonts w:hint="default" w:ascii="Arial Narrow" w:hAnsi="Arial Narrow" w:eastAsia="宋体" w:cs="Arial Narrow"/>
          <w:color w:val="auto"/>
          <w:sz w:val="21"/>
          <w:szCs w:val="21"/>
          <w:highlight w:val="none"/>
        </w:rPr>
        <w:t>年决算数0.00万元，</w:t>
      </w:r>
      <w:r>
        <w:rPr>
          <w:rFonts w:hint="default" w:ascii="Arial Narrow" w:hAnsi="Arial Narrow" w:eastAsia="宋体" w:cs="Arial Narrow"/>
          <w:color w:val="auto"/>
          <w:sz w:val="21"/>
          <w:szCs w:val="21"/>
          <w:highlight w:val="none"/>
          <w:lang w:val="en-US" w:eastAsia="zh-CN"/>
        </w:rPr>
        <w:t>年初预算数0.00万元</w:t>
      </w:r>
      <w:r>
        <w:rPr>
          <w:rFonts w:hint="default" w:ascii="Arial Narrow" w:hAnsi="Arial Narrow" w:eastAsia="宋体" w:cs="Arial Narrow"/>
          <w:color w:val="auto"/>
          <w:sz w:val="21"/>
          <w:szCs w:val="21"/>
          <w:highlight w:val="none"/>
        </w:rPr>
        <w:t>，与上年决算数0.00万元持平。</w:t>
      </w:r>
    </w:p>
    <w:p w14:paraId="66A505F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Arial Narrow" w:hAnsi="Arial Narrow" w:eastAsia="宋体" w:cs="Arial Narrow"/>
          <w:color w:val="auto"/>
          <w:sz w:val="21"/>
          <w:szCs w:val="21"/>
          <w:highlight w:val="none"/>
          <w:lang w:val="en-US" w:eastAsia="zh-CN"/>
        </w:rPr>
      </w:pPr>
      <w:r>
        <w:rPr>
          <w:rFonts w:hint="eastAsia" w:ascii="Arial Narrow" w:hAnsi="Arial Narrow" w:eastAsia="宋体" w:cs="Arial Narrow"/>
          <w:color w:val="auto"/>
          <w:sz w:val="21"/>
          <w:szCs w:val="21"/>
          <w:highlight w:val="none"/>
          <w:lang w:val="en-US" w:eastAsia="zh-CN"/>
        </w:rPr>
        <w:t>2.项目支出情况</w:t>
      </w:r>
    </w:p>
    <w:p w14:paraId="720A3EE8">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jc w:val="left"/>
        <w:textAlignment w:val="auto"/>
        <w:rPr>
          <w:rFonts w:hint="default" w:ascii="Arial Narrow" w:hAnsi="Arial Narrow" w:eastAsia="宋体" w:cs="Arial Narrow"/>
          <w:b/>
          <w:bCs/>
          <w:color w:val="auto"/>
          <w:sz w:val="21"/>
          <w:szCs w:val="21"/>
          <w:highlight w:val="none"/>
        </w:rPr>
      </w:pPr>
      <w:r>
        <w:rPr>
          <w:rFonts w:hint="default" w:ascii="Arial Narrow" w:hAnsi="Arial Narrow" w:eastAsia="宋体" w:cs="Arial Narrow"/>
          <w:color w:val="auto"/>
          <w:sz w:val="21"/>
          <w:szCs w:val="21"/>
          <w:highlight w:val="none"/>
        </w:rPr>
        <w:t>202</w:t>
      </w:r>
      <w:r>
        <w:rPr>
          <w:rFonts w:hint="default" w:ascii="Arial Narrow" w:hAnsi="Arial Narrow" w:eastAsia="宋体" w:cs="Arial Narrow"/>
          <w:color w:val="auto"/>
          <w:sz w:val="21"/>
          <w:szCs w:val="21"/>
          <w:highlight w:val="none"/>
          <w:lang w:val="en-US" w:eastAsia="zh-CN"/>
        </w:rPr>
        <w:t>4</w:t>
      </w:r>
      <w:r>
        <w:rPr>
          <w:rFonts w:hint="default" w:ascii="Arial Narrow" w:hAnsi="Arial Narrow" w:eastAsia="宋体" w:cs="Arial Narrow"/>
          <w:color w:val="auto"/>
          <w:sz w:val="21"/>
          <w:szCs w:val="21"/>
          <w:highlight w:val="none"/>
        </w:rPr>
        <w:t>年市委研究室财政预算支出项目共计</w:t>
      </w:r>
      <w:r>
        <w:rPr>
          <w:rFonts w:hint="default" w:ascii="Arial Narrow" w:hAnsi="Arial Narrow" w:cs="Arial Narrow"/>
          <w:color w:val="auto"/>
          <w:sz w:val="21"/>
          <w:szCs w:val="21"/>
          <w:highlight w:val="none"/>
          <w:lang w:val="en-US" w:eastAsia="zh-CN"/>
        </w:rPr>
        <w:t>9</w:t>
      </w:r>
      <w:r>
        <w:rPr>
          <w:rFonts w:hint="default" w:ascii="Arial Narrow" w:hAnsi="Arial Narrow" w:eastAsia="宋体" w:cs="Arial Narrow"/>
          <w:color w:val="auto"/>
          <w:sz w:val="21"/>
          <w:szCs w:val="21"/>
          <w:highlight w:val="none"/>
        </w:rPr>
        <w:t>个，项目</w:t>
      </w:r>
      <w:r>
        <w:rPr>
          <w:rFonts w:hint="default" w:ascii="Arial Narrow" w:hAnsi="Arial Narrow" w:eastAsia="宋体" w:cs="Arial Narrow"/>
          <w:b w:val="0"/>
          <w:bCs w:val="0"/>
          <w:color w:val="auto"/>
          <w:sz w:val="21"/>
          <w:szCs w:val="21"/>
          <w:highlight w:val="none"/>
        </w:rPr>
        <w:t>支出预算总额</w:t>
      </w:r>
      <w:r>
        <w:rPr>
          <w:rFonts w:hint="default" w:ascii="Arial Narrow" w:hAnsi="Arial Narrow" w:eastAsia="宋体" w:cs="Arial Narrow"/>
          <w:b w:val="0"/>
          <w:bCs w:val="0"/>
          <w:i w:val="0"/>
          <w:iCs w:val="0"/>
          <w:color w:val="auto"/>
          <w:kern w:val="0"/>
          <w:sz w:val="21"/>
          <w:szCs w:val="21"/>
          <w:highlight w:val="none"/>
          <w:u w:val="none"/>
          <w:lang w:val="en-US" w:eastAsia="zh-CN" w:bidi="ar"/>
        </w:rPr>
        <w:t>405.6</w:t>
      </w:r>
      <w:r>
        <w:rPr>
          <w:rFonts w:hint="eastAsia" w:ascii="Arial Narrow" w:hAnsi="Arial Narrow" w:cs="Arial Narrow"/>
          <w:b w:val="0"/>
          <w:bCs w:val="0"/>
          <w:i w:val="0"/>
          <w:iCs w:val="0"/>
          <w:color w:val="auto"/>
          <w:kern w:val="0"/>
          <w:sz w:val="21"/>
          <w:szCs w:val="21"/>
          <w:highlight w:val="none"/>
          <w:u w:val="none"/>
          <w:lang w:val="en-US" w:eastAsia="zh-CN" w:bidi="ar"/>
        </w:rPr>
        <w:t>4</w:t>
      </w:r>
      <w:r>
        <w:rPr>
          <w:rFonts w:hint="default" w:ascii="Arial Narrow" w:hAnsi="Arial Narrow" w:eastAsia="宋体" w:cs="Arial Narrow"/>
          <w:b w:val="0"/>
          <w:bCs w:val="0"/>
          <w:color w:val="auto"/>
          <w:sz w:val="21"/>
          <w:szCs w:val="21"/>
          <w:highlight w:val="none"/>
        </w:rPr>
        <w:t>万元，截至202</w:t>
      </w:r>
      <w:r>
        <w:rPr>
          <w:rFonts w:hint="default" w:ascii="Arial Narrow" w:hAnsi="Arial Narrow" w:eastAsia="宋体" w:cs="Arial Narrow"/>
          <w:b w:val="0"/>
          <w:bCs w:val="0"/>
          <w:color w:val="auto"/>
          <w:sz w:val="21"/>
          <w:szCs w:val="21"/>
          <w:highlight w:val="none"/>
          <w:lang w:val="en-US" w:eastAsia="zh-CN"/>
        </w:rPr>
        <w:t>4</w:t>
      </w:r>
      <w:r>
        <w:rPr>
          <w:rFonts w:hint="default" w:ascii="Arial Narrow" w:hAnsi="Arial Narrow" w:eastAsia="宋体" w:cs="Arial Narrow"/>
          <w:b w:val="0"/>
          <w:bCs w:val="0"/>
          <w:color w:val="auto"/>
          <w:sz w:val="21"/>
          <w:szCs w:val="21"/>
          <w:highlight w:val="none"/>
        </w:rPr>
        <w:t>年末，项目实际支出</w:t>
      </w:r>
      <w:r>
        <w:rPr>
          <w:rFonts w:hint="default" w:ascii="Arial Narrow" w:hAnsi="Arial Narrow" w:eastAsia="宋体" w:cs="Arial Narrow"/>
          <w:b w:val="0"/>
          <w:bCs w:val="0"/>
          <w:color w:val="auto"/>
          <w:sz w:val="21"/>
          <w:szCs w:val="21"/>
          <w:highlight w:val="none"/>
          <w:lang w:val="en-US" w:eastAsia="zh-CN"/>
        </w:rPr>
        <w:t>404.23</w:t>
      </w:r>
      <w:r>
        <w:rPr>
          <w:rFonts w:hint="default" w:ascii="Arial Narrow" w:hAnsi="Arial Narrow" w:eastAsia="宋体" w:cs="Arial Narrow"/>
          <w:b w:val="0"/>
          <w:bCs w:val="0"/>
          <w:color w:val="auto"/>
          <w:sz w:val="21"/>
          <w:szCs w:val="21"/>
          <w:highlight w:val="none"/>
        </w:rPr>
        <w:t>万元，项目总体预算执行率</w:t>
      </w:r>
      <w:r>
        <w:rPr>
          <w:rFonts w:hint="default" w:ascii="Arial Narrow" w:hAnsi="Arial Narrow" w:eastAsia="宋体" w:cs="Arial Narrow"/>
          <w:b w:val="0"/>
          <w:bCs w:val="0"/>
          <w:i w:val="0"/>
          <w:iCs w:val="0"/>
          <w:color w:val="auto"/>
          <w:kern w:val="0"/>
          <w:sz w:val="21"/>
          <w:szCs w:val="21"/>
          <w:highlight w:val="none"/>
          <w:u w:val="none"/>
          <w:lang w:val="en-US" w:eastAsia="zh-CN" w:bidi="ar"/>
        </w:rPr>
        <w:t>99.65%</w:t>
      </w:r>
      <w:r>
        <w:rPr>
          <w:rFonts w:hint="default" w:ascii="Arial Narrow" w:hAnsi="Arial Narrow" w:eastAsia="宋体" w:cs="Arial Narrow"/>
          <w:b w:val="0"/>
          <w:bCs w:val="0"/>
          <w:color w:val="auto"/>
          <w:sz w:val="21"/>
          <w:szCs w:val="21"/>
          <w:highlight w:val="none"/>
        </w:rPr>
        <w:t>，项</w:t>
      </w:r>
      <w:r>
        <w:rPr>
          <w:rFonts w:hint="default" w:ascii="Arial Narrow" w:hAnsi="Arial Narrow" w:eastAsia="宋体" w:cs="Arial Narrow"/>
          <w:color w:val="auto"/>
          <w:sz w:val="21"/>
          <w:szCs w:val="21"/>
          <w:highlight w:val="none"/>
        </w:rPr>
        <w:t>目预算与执行情况详见表</w:t>
      </w:r>
      <w:r>
        <w:rPr>
          <w:rFonts w:hint="default" w:ascii="Arial Narrow" w:hAnsi="Arial Narrow" w:eastAsia="宋体" w:cs="Arial Narrow"/>
          <w:color w:val="auto"/>
          <w:sz w:val="21"/>
          <w:szCs w:val="21"/>
          <w:highlight w:val="none"/>
          <w:lang w:val="en-US" w:eastAsia="zh-CN"/>
        </w:rPr>
        <w:t>2</w:t>
      </w:r>
      <w:r>
        <w:rPr>
          <w:rFonts w:hint="default" w:ascii="Arial Narrow" w:hAnsi="Arial Narrow" w:eastAsia="宋体" w:cs="Arial Narrow"/>
          <w:color w:val="auto"/>
          <w:sz w:val="21"/>
          <w:szCs w:val="21"/>
          <w:highlight w:val="none"/>
        </w:rPr>
        <w:t>。</w:t>
      </w:r>
    </w:p>
    <w:p w14:paraId="30767B19">
      <w:pPr>
        <w:keepNext w:val="0"/>
        <w:keepLines w:val="0"/>
        <w:pageBreakBefore w:val="0"/>
        <w:widowControl/>
        <w:kinsoku/>
        <w:wordWrap/>
        <w:overflowPunct/>
        <w:topLinePunct w:val="0"/>
        <w:autoSpaceDE/>
        <w:autoSpaceDN/>
        <w:bidi w:val="0"/>
        <w:adjustRightInd/>
        <w:snapToGrid/>
        <w:spacing w:line="520" w:lineRule="exact"/>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表</w:t>
      </w:r>
      <w:r>
        <w:rPr>
          <w:rFonts w:hint="eastAsia" w:ascii="宋体" w:hAnsi="宋体" w:eastAsia="宋体" w:cs="宋体"/>
          <w:b/>
          <w:bCs/>
          <w:color w:val="auto"/>
          <w:sz w:val="21"/>
          <w:szCs w:val="21"/>
          <w:highlight w:val="none"/>
          <w:lang w:val="en-US" w:eastAsia="zh-CN"/>
        </w:rPr>
        <w:t xml:space="preserve">2                 </w:t>
      </w:r>
      <w:r>
        <w:rPr>
          <w:rFonts w:hint="eastAsia" w:ascii="宋体" w:hAnsi="宋体" w:eastAsia="宋体" w:cs="宋体"/>
          <w:b/>
          <w:bCs/>
          <w:color w:val="auto"/>
          <w:sz w:val="21"/>
          <w:szCs w:val="21"/>
          <w:highlight w:val="none"/>
        </w:rPr>
        <w:t>202</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lang w:eastAsia="zh-CN"/>
        </w:rPr>
        <w:t>市委研究室</w:t>
      </w:r>
      <w:r>
        <w:rPr>
          <w:rFonts w:hint="eastAsia" w:ascii="宋体" w:hAnsi="宋体" w:eastAsia="宋体" w:cs="宋体"/>
          <w:b/>
          <w:bCs/>
          <w:color w:val="auto"/>
          <w:sz w:val="21"/>
          <w:szCs w:val="21"/>
          <w:highlight w:val="none"/>
        </w:rPr>
        <w:t>项目预算与执行情况</w:t>
      </w:r>
      <w:r>
        <w:rPr>
          <w:rFonts w:hint="eastAsia" w:ascii="宋体" w:hAnsi="宋体" w:eastAsia="宋体" w:cs="宋体"/>
          <w:b/>
          <w:bCs/>
          <w:color w:val="auto"/>
          <w:sz w:val="21"/>
          <w:szCs w:val="21"/>
          <w:highlight w:val="none"/>
          <w:lang w:val="en-US" w:eastAsia="zh-CN"/>
        </w:rPr>
        <w:t>汇总</w:t>
      </w:r>
      <w:r>
        <w:rPr>
          <w:rFonts w:hint="eastAsia" w:ascii="宋体" w:hAnsi="宋体" w:eastAsia="宋体" w:cs="宋体"/>
          <w:b/>
          <w:bCs/>
          <w:color w:val="auto"/>
          <w:sz w:val="21"/>
          <w:szCs w:val="21"/>
          <w:highlight w:val="none"/>
        </w:rPr>
        <w:t>表</w:t>
      </w:r>
    </w:p>
    <w:p w14:paraId="71FACAE4">
      <w:pPr>
        <w:keepNext w:val="0"/>
        <w:keepLines w:val="0"/>
        <w:pageBreakBefore w:val="0"/>
        <w:widowControl/>
        <w:kinsoku/>
        <w:wordWrap/>
        <w:overflowPunct/>
        <w:topLinePunct w:val="0"/>
        <w:autoSpaceDE/>
        <w:autoSpaceDN/>
        <w:bidi w:val="0"/>
        <w:adjustRightInd/>
        <w:snapToGrid/>
        <w:spacing w:line="520" w:lineRule="exact"/>
        <w:ind w:firstLine="420" w:firstLineChars="200"/>
        <w:jc w:val="right"/>
        <w:textAlignment w:val="auto"/>
        <w:rPr>
          <w:rFonts w:hint="default" w:ascii="Arial Narrow" w:hAnsi="Arial Narrow" w:eastAsia="宋体" w:cs="Arial Narrow"/>
          <w:color w:val="auto"/>
          <w:sz w:val="21"/>
          <w:szCs w:val="21"/>
          <w:highlight w:val="none"/>
        </w:rPr>
      </w:pPr>
      <w:r>
        <w:rPr>
          <w:rFonts w:hint="default" w:ascii="Arial Narrow" w:hAnsi="Arial Narrow" w:eastAsia="宋体" w:cs="Arial Narrow"/>
          <w:color w:val="auto"/>
          <w:sz w:val="21"/>
          <w:szCs w:val="21"/>
          <w:highlight w:val="none"/>
        </w:rPr>
        <w:t>单位：万元</w:t>
      </w:r>
    </w:p>
    <w:tbl>
      <w:tblPr>
        <w:tblStyle w:val="15"/>
        <w:tblpPr w:leftFromText="180" w:rightFromText="180" w:vertAnchor="text" w:horzAnchor="page" w:tblpX="1545" w:tblpY="166"/>
        <w:tblOverlap w:val="never"/>
        <w:tblW w:w="514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9"/>
        <w:gridCol w:w="2072"/>
        <w:gridCol w:w="1424"/>
        <w:gridCol w:w="1410"/>
        <w:gridCol w:w="1090"/>
        <w:gridCol w:w="990"/>
        <w:gridCol w:w="1210"/>
      </w:tblGrid>
      <w:tr w14:paraId="1EC8C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blHeader/>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83F6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left"/>
              <w:textAlignment w:val="bottom"/>
              <w:rPr>
                <w:rFonts w:hint="eastAsia" w:ascii="宋体" w:hAnsi="宋体" w:eastAsia="宋体" w:cs="宋体"/>
                <w:b/>
                <w:bCs/>
                <w:i w:val="0"/>
                <w:iCs w:val="0"/>
                <w:color w:val="000000"/>
                <w:spacing w:val="-17"/>
                <w:sz w:val="20"/>
                <w:szCs w:val="20"/>
                <w:u w:val="none"/>
              </w:rPr>
            </w:pPr>
            <w:r>
              <w:rPr>
                <w:rFonts w:hint="eastAsia" w:ascii="宋体" w:hAnsi="宋体" w:eastAsia="宋体" w:cs="宋体"/>
                <w:b/>
                <w:bCs/>
                <w:i w:val="0"/>
                <w:iCs w:val="0"/>
                <w:snapToGrid w:val="0"/>
                <w:color w:val="000000"/>
                <w:spacing w:val="-17"/>
                <w:kern w:val="0"/>
                <w:sz w:val="20"/>
                <w:szCs w:val="20"/>
                <w:u w:val="none"/>
                <w:lang w:val="en-US" w:eastAsia="zh-CN" w:bidi="ar"/>
              </w:rPr>
              <w:t>序号</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E278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eastAsia" w:ascii="宋体" w:hAnsi="宋体" w:eastAsia="宋体" w:cs="宋体"/>
                <w:b/>
                <w:bCs/>
                <w:i w:val="0"/>
                <w:iCs w:val="0"/>
                <w:color w:val="000000"/>
                <w:spacing w:val="-17"/>
                <w:sz w:val="20"/>
                <w:szCs w:val="20"/>
                <w:u w:val="none"/>
              </w:rPr>
            </w:pPr>
            <w:r>
              <w:rPr>
                <w:rFonts w:hint="eastAsia" w:ascii="宋体" w:hAnsi="宋体" w:eastAsia="宋体" w:cs="宋体"/>
                <w:b/>
                <w:bCs/>
                <w:i w:val="0"/>
                <w:iCs w:val="0"/>
                <w:snapToGrid w:val="0"/>
                <w:color w:val="000000"/>
                <w:spacing w:val="-17"/>
                <w:kern w:val="0"/>
                <w:sz w:val="20"/>
                <w:szCs w:val="20"/>
                <w:u w:val="none"/>
                <w:lang w:val="en-US" w:eastAsia="zh-CN" w:bidi="ar"/>
              </w:rPr>
              <w:t>项目名称</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8395E">
            <w:pPr>
              <w:keepNext w:val="0"/>
              <w:keepLines w:val="0"/>
              <w:pageBreakBefore w:val="0"/>
              <w:widowControl/>
              <w:suppressLineNumbers w:val="0"/>
              <w:wordWrap/>
              <w:overflowPunct/>
              <w:topLinePunct w:val="0"/>
              <w:bidi w:val="0"/>
              <w:spacing w:line="240" w:lineRule="auto"/>
              <w:jc w:val="center"/>
              <w:textAlignment w:val="bottom"/>
              <w:rPr>
                <w:rFonts w:hint="eastAsia" w:ascii="宋体" w:hAnsi="宋体" w:eastAsia="宋体" w:cs="宋体"/>
                <w:b/>
                <w:bCs/>
                <w:i w:val="0"/>
                <w:iCs w:val="0"/>
                <w:snapToGrid w:val="0"/>
                <w:color w:val="000000"/>
                <w:spacing w:val="-11"/>
                <w:kern w:val="0"/>
                <w:sz w:val="20"/>
                <w:szCs w:val="20"/>
                <w:u w:val="none"/>
                <w:lang w:val="en-US" w:eastAsia="zh-CN" w:bidi="ar"/>
              </w:rPr>
            </w:pPr>
            <w:r>
              <w:rPr>
                <w:rFonts w:hint="eastAsia" w:ascii="宋体" w:hAnsi="宋体" w:eastAsia="宋体" w:cs="宋体"/>
                <w:b/>
                <w:bCs/>
                <w:i w:val="0"/>
                <w:iCs w:val="0"/>
                <w:snapToGrid w:val="0"/>
                <w:color w:val="000000"/>
                <w:spacing w:val="-11"/>
                <w:kern w:val="0"/>
                <w:sz w:val="20"/>
                <w:szCs w:val="20"/>
                <w:u w:val="none"/>
                <w:lang w:val="en-US" w:eastAsia="zh-CN" w:bidi="ar"/>
              </w:rPr>
              <w:t>年初结转数</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45AE">
            <w:pPr>
              <w:keepNext w:val="0"/>
              <w:keepLines w:val="0"/>
              <w:pageBreakBefore w:val="0"/>
              <w:widowControl/>
              <w:suppressLineNumbers w:val="0"/>
              <w:wordWrap/>
              <w:overflowPunct/>
              <w:topLinePunct w:val="0"/>
              <w:bidi w:val="0"/>
              <w:spacing w:line="240" w:lineRule="auto"/>
              <w:jc w:val="center"/>
              <w:textAlignment w:val="bottom"/>
              <w:rPr>
                <w:rFonts w:hint="eastAsia" w:ascii="宋体" w:hAnsi="宋体" w:eastAsia="宋体" w:cs="宋体"/>
                <w:b/>
                <w:bCs/>
                <w:i w:val="0"/>
                <w:iCs w:val="0"/>
                <w:color w:val="000000"/>
                <w:spacing w:val="-11"/>
                <w:sz w:val="20"/>
                <w:szCs w:val="20"/>
                <w:u w:val="none"/>
              </w:rPr>
            </w:pPr>
            <w:r>
              <w:rPr>
                <w:rFonts w:hint="eastAsia" w:ascii="宋体" w:hAnsi="宋体" w:eastAsia="宋体" w:cs="宋体"/>
                <w:b/>
                <w:bCs/>
                <w:i w:val="0"/>
                <w:iCs w:val="0"/>
                <w:snapToGrid w:val="0"/>
                <w:color w:val="000000"/>
                <w:spacing w:val="-11"/>
                <w:kern w:val="0"/>
                <w:sz w:val="20"/>
                <w:szCs w:val="20"/>
                <w:u w:val="none"/>
                <w:lang w:val="en-US" w:eastAsia="zh-CN" w:bidi="ar"/>
              </w:rPr>
              <w:t>调整后预算数</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980A7">
            <w:pPr>
              <w:keepNext w:val="0"/>
              <w:keepLines w:val="0"/>
              <w:pageBreakBefore w:val="0"/>
              <w:widowControl/>
              <w:suppressLineNumbers w:val="0"/>
              <w:wordWrap/>
              <w:overflowPunct/>
              <w:topLinePunct w:val="0"/>
              <w:bidi w:val="0"/>
              <w:spacing w:line="240" w:lineRule="auto"/>
              <w:jc w:val="center"/>
              <w:textAlignment w:val="bottom"/>
              <w:rPr>
                <w:rFonts w:hint="eastAsia" w:ascii="宋体" w:hAnsi="宋体" w:eastAsia="宋体" w:cs="宋体"/>
                <w:b/>
                <w:bCs/>
                <w:i w:val="0"/>
                <w:iCs w:val="0"/>
                <w:color w:val="000000"/>
                <w:spacing w:val="-11"/>
                <w:sz w:val="20"/>
                <w:szCs w:val="20"/>
                <w:u w:val="none"/>
              </w:rPr>
            </w:pPr>
            <w:r>
              <w:rPr>
                <w:rFonts w:hint="eastAsia" w:ascii="宋体" w:hAnsi="宋体" w:eastAsia="宋体" w:cs="宋体"/>
                <w:b/>
                <w:bCs/>
                <w:i w:val="0"/>
                <w:iCs w:val="0"/>
                <w:snapToGrid w:val="0"/>
                <w:color w:val="000000"/>
                <w:spacing w:val="-11"/>
                <w:kern w:val="0"/>
                <w:sz w:val="20"/>
                <w:szCs w:val="20"/>
                <w:u w:val="none"/>
                <w:lang w:val="en-US" w:eastAsia="zh-CN" w:bidi="ar"/>
              </w:rPr>
              <w:t>年末结余</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8F543">
            <w:pPr>
              <w:keepNext w:val="0"/>
              <w:keepLines w:val="0"/>
              <w:pageBreakBefore w:val="0"/>
              <w:widowControl/>
              <w:suppressLineNumbers w:val="0"/>
              <w:wordWrap/>
              <w:overflowPunct/>
              <w:topLinePunct w:val="0"/>
              <w:bidi w:val="0"/>
              <w:spacing w:line="240" w:lineRule="auto"/>
              <w:jc w:val="center"/>
              <w:textAlignment w:val="bottom"/>
              <w:rPr>
                <w:rFonts w:hint="eastAsia" w:ascii="宋体" w:hAnsi="宋体" w:eastAsia="宋体" w:cs="宋体"/>
                <w:b/>
                <w:bCs/>
                <w:i w:val="0"/>
                <w:iCs w:val="0"/>
                <w:color w:val="000000"/>
                <w:spacing w:val="-11"/>
                <w:sz w:val="20"/>
                <w:szCs w:val="20"/>
                <w:u w:val="none"/>
              </w:rPr>
            </w:pPr>
            <w:r>
              <w:rPr>
                <w:rFonts w:hint="eastAsia" w:ascii="宋体" w:hAnsi="宋体" w:eastAsia="宋体" w:cs="宋体"/>
                <w:b/>
                <w:bCs/>
                <w:i w:val="0"/>
                <w:iCs w:val="0"/>
                <w:snapToGrid w:val="0"/>
                <w:color w:val="000000"/>
                <w:spacing w:val="-11"/>
                <w:kern w:val="0"/>
                <w:sz w:val="20"/>
                <w:szCs w:val="20"/>
                <w:u w:val="none"/>
                <w:lang w:val="en-US" w:eastAsia="zh-CN" w:bidi="ar"/>
              </w:rPr>
              <w:t>决算数</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BB26">
            <w:pPr>
              <w:keepNext w:val="0"/>
              <w:keepLines w:val="0"/>
              <w:pageBreakBefore w:val="0"/>
              <w:widowControl/>
              <w:suppressLineNumbers w:val="0"/>
              <w:wordWrap/>
              <w:overflowPunct/>
              <w:topLinePunct w:val="0"/>
              <w:bidi w:val="0"/>
              <w:spacing w:line="240" w:lineRule="auto"/>
              <w:jc w:val="center"/>
              <w:textAlignment w:val="bottom"/>
              <w:rPr>
                <w:rFonts w:hint="eastAsia" w:ascii="宋体" w:hAnsi="宋体" w:eastAsia="宋体" w:cs="宋体"/>
                <w:b/>
                <w:bCs/>
                <w:i w:val="0"/>
                <w:iCs w:val="0"/>
                <w:snapToGrid w:val="0"/>
                <w:color w:val="000000"/>
                <w:spacing w:val="-11"/>
                <w:kern w:val="0"/>
                <w:sz w:val="20"/>
                <w:szCs w:val="20"/>
                <w:u w:val="none"/>
                <w:lang w:val="en-US" w:eastAsia="zh-CN" w:bidi="ar"/>
              </w:rPr>
            </w:pPr>
            <w:r>
              <w:rPr>
                <w:rFonts w:hint="eastAsia" w:ascii="宋体" w:hAnsi="宋体" w:eastAsia="宋体" w:cs="宋体"/>
                <w:b/>
                <w:bCs/>
                <w:i w:val="0"/>
                <w:iCs w:val="0"/>
                <w:snapToGrid w:val="0"/>
                <w:color w:val="000000"/>
                <w:spacing w:val="-11"/>
                <w:kern w:val="0"/>
                <w:sz w:val="20"/>
                <w:szCs w:val="20"/>
                <w:u w:val="none"/>
                <w:lang w:val="en-US" w:eastAsia="zh-CN" w:bidi="ar"/>
              </w:rPr>
              <w:t>预算执行率</w:t>
            </w:r>
          </w:p>
        </w:tc>
      </w:tr>
      <w:tr w14:paraId="6BE22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FDF0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1</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FD9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信息系统运维类项目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C317D">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A503">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eastAsia="宋体" w:cs="Arial Narrow"/>
                <w:i w:val="0"/>
                <w:iCs w:val="0"/>
                <w:snapToGrid w:val="0"/>
                <w:color w:val="000000"/>
                <w:spacing w:val="-11"/>
                <w:kern w:val="0"/>
                <w:sz w:val="20"/>
                <w:szCs w:val="20"/>
                <w:u w:val="none"/>
                <w:lang w:val="en-US" w:eastAsia="zh-CN" w:bidi="ar"/>
              </w:rPr>
              <w:t>34</w:t>
            </w:r>
            <w:r>
              <w:rPr>
                <w:rFonts w:hint="eastAsia" w:ascii="Arial Narrow" w:hAnsi="Arial Narrow" w:cs="Arial Narrow"/>
                <w:i w:val="0"/>
                <w:iCs w:val="0"/>
                <w:snapToGrid w:val="0"/>
                <w:color w:val="000000"/>
                <w:spacing w:val="-11"/>
                <w:kern w:val="0"/>
                <w:sz w:val="20"/>
                <w:szCs w:val="20"/>
                <w:u w:val="none"/>
                <w:lang w:val="en-US" w:eastAsia="zh-CN" w:bidi="ar"/>
              </w:rPr>
              <w:t>.00</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4F087">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rPr>
            </w:pPr>
            <w:r>
              <w:rPr>
                <w:rFonts w:hint="default" w:ascii="Arial Narrow" w:hAnsi="Arial Narrow" w:eastAsia="宋体" w:cs="Arial Narrow"/>
                <w:i w:val="0"/>
                <w:iCs w:val="0"/>
                <w:snapToGrid w:val="0"/>
                <w:color w:val="000000"/>
                <w:spacing w:val="-11"/>
                <w:kern w:val="0"/>
                <w:sz w:val="20"/>
                <w:szCs w:val="20"/>
                <w:u w:val="none"/>
                <w:lang w:val="en-US" w:eastAsia="zh-CN" w:bidi="ar"/>
              </w:rPr>
              <w:t>-</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22061">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rPr>
            </w:pPr>
            <w:r>
              <w:rPr>
                <w:rFonts w:hint="default" w:ascii="Arial Narrow" w:hAnsi="Arial Narrow" w:eastAsia="宋体" w:cs="Arial Narrow"/>
                <w:i w:val="0"/>
                <w:iCs w:val="0"/>
                <w:snapToGrid w:val="0"/>
                <w:color w:val="000000"/>
                <w:spacing w:val="-11"/>
                <w:kern w:val="0"/>
                <w:sz w:val="20"/>
                <w:szCs w:val="20"/>
                <w:u w:val="none"/>
                <w:lang w:val="en-US" w:eastAsia="zh-CN" w:bidi="ar"/>
              </w:rPr>
              <w:t>34</w:t>
            </w:r>
            <w:r>
              <w:rPr>
                <w:rFonts w:hint="eastAsia" w:ascii="Arial Narrow" w:hAnsi="Arial Narrow" w:cs="Arial Narrow"/>
                <w:i w:val="0"/>
                <w:iCs w:val="0"/>
                <w:snapToGrid w:val="0"/>
                <w:color w:val="000000"/>
                <w:spacing w:val="-11"/>
                <w:kern w:val="0"/>
                <w:sz w:val="20"/>
                <w:szCs w:val="20"/>
                <w:u w:val="none"/>
                <w:lang w:val="en-US" w:eastAsia="zh-CN" w:bidi="ar"/>
              </w:rPr>
              <w:t>.00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A2260">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100%</w:t>
            </w:r>
          </w:p>
        </w:tc>
      </w:tr>
      <w:tr w14:paraId="0FA4E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CB39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2</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F6EC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市级重点课题研究项目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2E65">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EAFFA">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eastAsia="宋体" w:cs="Arial Narrow"/>
                <w:i w:val="0"/>
                <w:iCs w:val="0"/>
                <w:snapToGrid w:val="0"/>
                <w:color w:val="000000"/>
                <w:spacing w:val="-11"/>
                <w:kern w:val="0"/>
                <w:sz w:val="20"/>
                <w:szCs w:val="20"/>
                <w:u w:val="none"/>
                <w:lang w:val="en-US" w:eastAsia="zh-CN" w:bidi="ar"/>
              </w:rPr>
              <w:t>49</w:t>
            </w:r>
            <w:r>
              <w:rPr>
                <w:rFonts w:hint="eastAsia" w:ascii="Arial Narrow" w:hAnsi="Arial Narrow" w:cs="Arial Narrow"/>
                <w:i w:val="0"/>
                <w:iCs w:val="0"/>
                <w:snapToGrid w:val="0"/>
                <w:color w:val="000000"/>
                <w:spacing w:val="-11"/>
                <w:kern w:val="0"/>
                <w:sz w:val="20"/>
                <w:szCs w:val="20"/>
                <w:u w:val="none"/>
                <w:lang w:val="en-US" w:eastAsia="zh-CN" w:bidi="ar"/>
              </w:rPr>
              <w:t>.00</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F5FE3">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rPr>
            </w:pPr>
            <w:r>
              <w:rPr>
                <w:rFonts w:hint="default" w:ascii="Arial Narrow" w:hAnsi="Arial Narrow" w:eastAsia="宋体" w:cs="Arial Narrow"/>
                <w:i w:val="0"/>
                <w:iCs w:val="0"/>
                <w:snapToGrid w:val="0"/>
                <w:color w:val="000000"/>
                <w:spacing w:val="-11"/>
                <w:kern w:val="0"/>
                <w:sz w:val="20"/>
                <w:szCs w:val="20"/>
                <w:u w:val="none"/>
                <w:lang w:val="en-US" w:eastAsia="zh-CN" w:bidi="ar"/>
              </w:rPr>
              <w:t>-</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3F0C">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eastAsia="宋体" w:cs="Arial Narrow"/>
                <w:i w:val="0"/>
                <w:iCs w:val="0"/>
                <w:snapToGrid w:val="0"/>
                <w:color w:val="000000"/>
                <w:spacing w:val="-11"/>
                <w:kern w:val="0"/>
                <w:sz w:val="20"/>
                <w:szCs w:val="20"/>
                <w:u w:val="none"/>
                <w:lang w:val="en-US" w:eastAsia="zh-CN" w:bidi="ar"/>
              </w:rPr>
              <w:t>49</w:t>
            </w:r>
            <w:r>
              <w:rPr>
                <w:rFonts w:hint="eastAsia" w:ascii="Arial Narrow" w:hAnsi="Arial Narrow" w:cs="Arial Narrow"/>
                <w:i w:val="0"/>
                <w:iCs w:val="0"/>
                <w:snapToGrid w:val="0"/>
                <w:color w:val="000000"/>
                <w:spacing w:val="-11"/>
                <w:kern w:val="0"/>
                <w:sz w:val="20"/>
                <w:szCs w:val="20"/>
                <w:u w:val="none"/>
                <w:lang w:val="en-US" w:eastAsia="zh-CN" w:bidi="ar"/>
              </w:rPr>
              <w:t>.00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FF85">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100%</w:t>
            </w:r>
          </w:p>
        </w:tc>
      </w:tr>
      <w:tr w14:paraId="3AC29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AD8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3</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4110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市委研究室课题研究委托业务项目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BA9F">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21FA">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eastAsia="宋体" w:cs="Arial Narrow"/>
                <w:i w:val="0"/>
                <w:iCs w:val="0"/>
                <w:snapToGrid w:val="0"/>
                <w:color w:val="000000"/>
                <w:spacing w:val="-11"/>
                <w:kern w:val="0"/>
                <w:sz w:val="20"/>
                <w:szCs w:val="20"/>
                <w:u w:val="none"/>
                <w:lang w:val="en-US" w:eastAsia="zh-CN" w:bidi="ar"/>
              </w:rPr>
              <w:t>7.5</w:t>
            </w:r>
            <w:r>
              <w:rPr>
                <w:rFonts w:hint="default" w:ascii="Arial Narrow" w:hAnsi="Arial Narrow" w:cs="Arial Narrow"/>
                <w:i w:val="0"/>
                <w:iCs w:val="0"/>
                <w:snapToGrid w:val="0"/>
                <w:color w:val="000000"/>
                <w:spacing w:val="-11"/>
                <w:kern w:val="0"/>
                <w:sz w:val="20"/>
                <w:szCs w:val="20"/>
                <w:u w:val="none"/>
                <w:lang w:val="en-US" w:eastAsia="zh-CN" w:bidi="ar"/>
              </w:rPr>
              <w:t>0</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FFCA4">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rPr>
            </w:pPr>
            <w:r>
              <w:rPr>
                <w:rFonts w:hint="default" w:ascii="Arial Narrow" w:hAnsi="Arial Narrow" w:eastAsia="宋体" w:cs="Arial Narrow"/>
                <w:i w:val="0"/>
                <w:iCs w:val="0"/>
                <w:snapToGrid w:val="0"/>
                <w:color w:val="000000"/>
                <w:spacing w:val="-11"/>
                <w:kern w:val="0"/>
                <w:sz w:val="20"/>
                <w:szCs w:val="20"/>
                <w:u w:val="none"/>
                <w:lang w:val="en-US" w:eastAsia="zh-CN" w:bidi="ar"/>
              </w:rPr>
              <w:t>-</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D6349">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cs="Arial Narrow"/>
                <w:i w:val="0"/>
                <w:iCs w:val="0"/>
                <w:snapToGrid w:val="0"/>
                <w:color w:val="000000"/>
                <w:spacing w:val="-11"/>
                <w:kern w:val="0"/>
                <w:sz w:val="20"/>
                <w:szCs w:val="20"/>
                <w:u w:val="none"/>
                <w:lang w:val="en-US" w:eastAsia="zh-CN" w:bidi="ar"/>
              </w:rPr>
              <w:t>7.50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C1D7F">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100%</w:t>
            </w:r>
          </w:p>
        </w:tc>
      </w:tr>
      <w:tr w14:paraId="300C8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6C1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4</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5DA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改革督察第三方评估项目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AF7E7">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FD0E">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eastAsia="宋体" w:cs="Arial Narrow"/>
                <w:i w:val="0"/>
                <w:iCs w:val="0"/>
                <w:snapToGrid w:val="0"/>
                <w:color w:val="000000"/>
                <w:spacing w:val="-11"/>
                <w:kern w:val="0"/>
                <w:sz w:val="20"/>
                <w:szCs w:val="20"/>
                <w:u w:val="none"/>
                <w:lang w:val="en-US" w:eastAsia="zh-CN" w:bidi="ar"/>
              </w:rPr>
              <w:t>88.5</w:t>
            </w:r>
            <w:r>
              <w:rPr>
                <w:rFonts w:hint="default" w:ascii="Arial Narrow" w:hAnsi="Arial Narrow" w:cs="Arial Narrow"/>
                <w:i w:val="0"/>
                <w:iCs w:val="0"/>
                <w:snapToGrid w:val="0"/>
                <w:color w:val="000000"/>
                <w:spacing w:val="-11"/>
                <w:kern w:val="0"/>
                <w:sz w:val="20"/>
                <w:szCs w:val="20"/>
                <w:u w:val="none"/>
                <w:lang w:val="en-US" w:eastAsia="zh-CN" w:bidi="ar"/>
              </w:rPr>
              <w:t>0</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1739E">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rPr>
            </w:pPr>
            <w:r>
              <w:rPr>
                <w:rFonts w:hint="default" w:ascii="Arial Narrow" w:hAnsi="Arial Narrow" w:eastAsia="宋体" w:cs="Arial Narrow"/>
                <w:i w:val="0"/>
                <w:iCs w:val="0"/>
                <w:snapToGrid w:val="0"/>
                <w:color w:val="000000"/>
                <w:spacing w:val="-11"/>
                <w:kern w:val="0"/>
                <w:sz w:val="20"/>
                <w:szCs w:val="20"/>
                <w:u w:val="none"/>
                <w:lang w:val="en-US" w:eastAsia="zh-CN" w:bidi="ar"/>
              </w:rPr>
              <w:t>-</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8CF4A">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cs="Arial Narrow"/>
                <w:i w:val="0"/>
                <w:iCs w:val="0"/>
                <w:snapToGrid w:val="0"/>
                <w:color w:val="000000"/>
                <w:spacing w:val="-11"/>
                <w:kern w:val="0"/>
                <w:sz w:val="20"/>
                <w:szCs w:val="20"/>
                <w:u w:val="none"/>
                <w:lang w:val="en-US" w:eastAsia="zh-CN" w:bidi="ar"/>
              </w:rPr>
              <w:t>88.50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11C82">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100%</w:t>
            </w:r>
          </w:p>
        </w:tc>
      </w:tr>
      <w:tr w14:paraId="48BB0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8AB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5</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9AC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i w:val="0"/>
                <w:iCs w:val="0"/>
                <w:color w:val="000000"/>
                <w:spacing w:val="-17"/>
                <w:sz w:val="20"/>
                <w:szCs w:val="20"/>
                <w:u w:val="none"/>
              </w:rPr>
            </w:pPr>
            <w:r>
              <w:rPr>
                <w:rFonts w:hint="default" w:ascii="Arial Narrow" w:hAnsi="Arial Narrow" w:eastAsia="宋体" w:cs="Arial Narrow"/>
                <w:i w:val="0"/>
                <w:iCs w:val="0"/>
                <w:snapToGrid w:val="0"/>
                <w:color w:val="000000"/>
                <w:spacing w:val="-17"/>
                <w:kern w:val="0"/>
                <w:sz w:val="20"/>
                <w:szCs w:val="20"/>
                <w:u w:val="none"/>
                <w:lang w:val="en-US" w:eastAsia="zh-CN" w:bidi="ar"/>
              </w:rPr>
              <w:t>绩效及审计类项目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D070">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367C">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eastAsia="宋体" w:cs="Arial Narrow"/>
                <w:i w:val="0"/>
                <w:iCs w:val="0"/>
                <w:snapToGrid w:val="0"/>
                <w:color w:val="000000"/>
                <w:spacing w:val="-11"/>
                <w:kern w:val="0"/>
                <w:sz w:val="20"/>
                <w:szCs w:val="20"/>
                <w:u w:val="none"/>
                <w:lang w:val="en-US" w:eastAsia="zh-CN" w:bidi="ar"/>
              </w:rPr>
              <w:t>25.7</w:t>
            </w:r>
            <w:r>
              <w:rPr>
                <w:rFonts w:hint="default" w:ascii="Arial Narrow" w:hAnsi="Arial Narrow" w:cs="Arial Narrow"/>
                <w:i w:val="0"/>
                <w:iCs w:val="0"/>
                <w:snapToGrid w:val="0"/>
                <w:color w:val="000000"/>
                <w:spacing w:val="-11"/>
                <w:kern w:val="0"/>
                <w:sz w:val="20"/>
                <w:szCs w:val="20"/>
                <w:u w:val="none"/>
                <w:lang w:val="en-US" w:eastAsia="zh-CN" w:bidi="ar"/>
              </w:rPr>
              <w:t>0</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3B652">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i w:val="0"/>
                <w:iCs w:val="0"/>
                <w:color w:val="000000"/>
                <w:spacing w:val="-11"/>
                <w:sz w:val="20"/>
                <w:szCs w:val="20"/>
                <w:u w:val="none"/>
              </w:rPr>
            </w:pPr>
            <w:r>
              <w:rPr>
                <w:rFonts w:hint="default" w:ascii="Arial Narrow" w:hAnsi="Arial Narrow" w:eastAsia="宋体" w:cs="Arial Narrow"/>
                <w:i w:val="0"/>
                <w:iCs w:val="0"/>
                <w:snapToGrid w:val="0"/>
                <w:color w:val="000000"/>
                <w:spacing w:val="-11"/>
                <w:kern w:val="0"/>
                <w:sz w:val="20"/>
                <w:szCs w:val="20"/>
                <w:u w:val="none"/>
                <w:lang w:val="en-US" w:eastAsia="zh-CN" w:bidi="ar"/>
              </w:rPr>
              <w:t>-</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D17BD">
            <w:pPr>
              <w:keepNext w:val="0"/>
              <w:keepLines w:val="0"/>
              <w:pageBreakBefore w:val="0"/>
              <w:widowControl/>
              <w:suppressLineNumbers w:val="0"/>
              <w:wordWrap/>
              <w:overflowPunct/>
              <w:topLinePunct w:val="0"/>
              <w:bidi w:val="0"/>
              <w:spacing w:line="240" w:lineRule="auto"/>
              <w:jc w:val="right"/>
              <w:textAlignment w:val="center"/>
              <w:rPr>
                <w:rFonts w:hint="default" w:ascii="Arial Narrow" w:hAnsi="Arial Narrow" w:eastAsia="宋体" w:cs="Arial Narrow"/>
                <w:i w:val="0"/>
                <w:iCs w:val="0"/>
                <w:color w:val="000000"/>
                <w:spacing w:val="-11"/>
                <w:sz w:val="20"/>
                <w:szCs w:val="20"/>
                <w:u w:val="none"/>
                <w:lang w:val="en-US"/>
              </w:rPr>
            </w:pPr>
            <w:r>
              <w:rPr>
                <w:rFonts w:hint="default" w:ascii="Arial Narrow" w:hAnsi="Arial Narrow" w:cs="Arial Narrow"/>
                <w:i w:val="0"/>
                <w:iCs w:val="0"/>
                <w:snapToGrid w:val="0"/>
                <w:color w:val="000000"/>
                <w:spacing w:val="-11"/>
                <w:kern w:val="0"/>
                <w:sz w:val="20"/>
                <w:szCs w:val="20"/>
                <w:u w:val="none"/>
                <w:lang w:val="en-US" w:eastAsia="zh-CN" w:bidi="ar"/>
              </w:rPr>
              <w:t>25.70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EE363">
            <w:pPr>
              <w:keepNext w:val="0"/>
              <w:keepLines w:val="0"/>
              <w:pageBreakBefore w:val="0"/>
              <w:widowControl/>
              <w:suppressLineNumbers w:val="0"/>
              <w:wordWrap/>
              <w:overflowPunct/>
              <w:topLinePunct w:val="0"/>
              <w:bidi w:val="0"/>
              <w:spacing w:line="240" w:lineRule="auto"/>
              <w:jc w:val="right"/>
              <w:textAlignment w:val="center"/>
              <w:rPr>
                <w:rFonts w:hint="default" w:ascii="Arial Narrow" w:hAnsi="Arial Narrow" w:eastAsia="宋体" w:cs="Arial Narrow"/>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100%</w:t>
            </w:r>
          </w:p>
        </w:tc>
      </w:tr>
      <w:tr w14:paraId="59801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3030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6</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856A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center"/>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后勤综合服务保障项目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3E3DD">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B4EB0">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98.4</w:t>
            </w:r>
            <w:r>
              <w:rPr>
                <w:rFonts w:hint="eastAsia" w:ascii="Arial Narrow" w:hAnsi="Arial Narrow" w:cs="Arial Narrow"/>
                <w:b w:val="0"/>
                <w:bCs w:val="0"/>
                <w:i w:val="0"/>
                <w:iCs w:val="0"/>
                <w:snapToGrid w:val="0"/>
                <w:color w:val="000000"/>
                <w:spacing w:val="-11"/>
                <w:kern w:val="0"/>
                <w:sz w:val="20"/>
                <w:szCs w:val="20"/>
                <w:u w:val="none"/>
                <w:lang w:val="en-US" w:eastAsia="zh-CN" w:bidi="ar"/>
              </w:rPr>
              <w:t>1</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E431F">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0.26</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7B6BB">
            <w:pPr>
              <w:keepNext w:val="0"/>
              <w:keepLines w:val="0"/>
              <w:pageBreakBefore w:val="0"/>
              <w:widowControl/>
              <w:suppressLineNumbers w:val="0"/>
              <w:wordWrap/>
              <w:overflowPunct/>
              <w:topLinePunct w:val="0"/>
              <w:bidi w:val="0"/>
              <w:spacing w:line="240" w:lineRule="auto"/>
              <w:jc w:val="right"/>
              <w:textAlignment w:val="center"/>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98.1</w:t>
            </w:r>
            <w:r>
              <w:rPr>
                <w:rFonts w:hint="eastAsia" w:ascii="Arial Narrow" w:hAnsi="Arial Narrow" w:cs="Arial Narrow"/>
                <w:b w:val="0"/>
                <w:bCs w:val="0"/>
                <w:i w:val="0"/>
                <w:iCs w:val="0"/>
                <w:snapToGrid w:val="0"/>
                <w:color w:val="000000"/>
                <w:spacing w:val="-11"/>
                <w:kern w:val="0"/>
                <w:sz w:val="20"/>
                <w:szCs w:val="20"/>
                <w:u w:val="none"/>
                <w:lang w:val="en-US" w:eastAsia="zh-CN" w:bidi="ar"/>
              </w:rPr>
              <w:t>5</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0EAB">
            <w:pPr>
              <w:keepNext w:val="0"/>
              <w:keepLines w:val="0"/>
              <w:pageBreakBefore w:val="0"/>
              <w:widowControl/>
              <w:suppressLineNumbers w:val="0"/>
              <w:wordWrap/>
              <w:overflowPunct/>
              <w:topLinePunct w:val="0"/>
              <w:bidi w:val="0"/>
              <w:spacing w:line="240" w:lineRule="auto"/>
              <w:jc w:val="right"/>
              <w:textAlignment w:val="cente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99.74%</w:t>
            </w:r>
          </w:p>
        </w:tc>
      </w:tr>
      <w:tr w14:paraId="45471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31FD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center"/>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7</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2B86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center"/>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市委改革办年度会议及宣传工作项目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8A839">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1D865">
            <w:pPr>
              <w:keepNext w:val="0"/>
              <w:keepLines w:val="0"/>
              <w:pageBreakBefore w:val="0"/>
              <w:widowControl/>
              <w:suppressLineNumbers w:val="0"/>
              <w:wordWrap/>
              <w:overflowPunct/>
              <w:topLinePunct w:val="0"/>
              <w:bidi w:val="0"/>
              <w:spacing w:line="240" w:lineRule="auto"/>
              <w:jc w:val="right"/>
              <w:textAlignment w:val="center"/>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32.80</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4A354">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3C73">
            <w:pPr>
              <w:keepNext w:val="0"/>
              <w:keepLines w:val="0"/>
              <w:pageBreakBefore w:val="0"/>
              <w:widowControl/>
              <w:suppressLineNumbers w:val="0"/>
              <w:wordWrap/>
              <w:overflowPunct/>
              <w:topLinePunct w:val="0"/>
              <w:bidi w:val="0"/>
              <w:spacing w:line="240" w:lineRule="auto"/>
              <w:jc w:val="right"/>
              <w:textAlignment w:val="center"/>
              <w:rPr>
                <w:rFonts w:hint="default" w:ascii="Arial Narrow" w:hAnsi="Arial Narrow" w:eastAsia="宋体" w:cs="Arial Narrow"/>
                <w:b w:val="0"/>
                <w:bCs w:val="0"/>
                <w:i w:val="0"/>
                <w:iCs w:val="0"/>
                <w:color w:val="000000"/>
                <w:spacing w:val="-11"/>
                <w:sz w:val="20"/>
                <w:szCs w:val="20"/>
                <w:u w:val="none"/>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32.80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ED04B">
            <w:pPr>
              <w:keepNext w:val="0"/>
              <w:keepLines w:val="0"/>
              <w:pageBreakBefore w:val="0"/>
              <w:widowControl/>
              <w:suppressLineNumbers w:val="0"/>
              <w:wordWrap/>
              <w:overflowPunct/>
              <w:topLinePunct w:val="0"/>
              <w:bidi w:val="0"/>
              <w:spacing w:line="240" w:lineRule="auto"/>
              <w:jc w:val="right"/>
              <w:textAlignment w:val="cente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100%</w:t>
            </w:r>
          </w:p>
        </w:tc>
      </w:tr>
      <w:tr w14:paraId="4C70D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C60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8</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A6F5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《北京调研》《决策参考》发行项目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1A21">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92919">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55.512</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9634F">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1.15</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7C384">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54.36</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86B29">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97.93%</w:t>
            </w:r>
          </w:p>
        </w:tc>
      </w:tr>
      <w:tr w14:paraId="328D5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7C3A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9</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4A37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全市调查研究工作项目</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798F4">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A22D">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14.2</w:t>
            </w:r>
            <w:r>
              <w:rPr>
                <w:rFonts w:hint="eastAsia" w:ascii="Arial Narrow" w:hAnsi="Arial Narrow" w:cs="Arial Narrow"/>
                <w:b w:val="0"/>
                <w:bCs w:val="0"/>
                <w:i w:val="0"/>
                <w:iCs w:val="0"/>
                <w:snapToGrid w:val="0"/>
                <w:color w:val="000000"/>
                <w:spacing w:val="-11"/>
                <w:kern w:val="0"/>
                <w:sz w:val="20"/>
                <w:szCs w:val="20"/>
                <w:u w:val="none"/>
                <w:lang w:val="en-US" w:eastAsia="zh-CN" w:bidi="ar"/>
              </w:rPr>
              <w:t>2</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DB67">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9CBE">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14.2</w:t>
            </w:r>
            <w:r>
              <w:rPr>
                <w:rFonts w:hint="eastAsia" w:ascii="Arial Narrow" w:hAnsi="Arial Narrow" w:cs="Arial Narrow"/>
                <w:b w:val="0"/>
                <w:bCs w:val="0"/>
                <w:i w:val="0"/>
                <w:iCs w:val="0"/>
                <w:snapToGrid w:val="0"/>
                <w:color w:val="000000"/>
                <w:spacing w:val="-11"/>
                <w:kern w:val="0"/>
                <w:sz w:val="20"/>
                <w:szCs w:val="20"/>
                <w:u w:val="none"/>
                <w:lang w:val="en-US" w:eastAsia="zh-CN" w:bidi="ar"/>
              </w:rPr>
              <w:t>2</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66410">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100%</w:t>
            </w:r>
          </w:p>
        </w:tc>
      </w:tr>
      <w:tr w14:paraId="42B02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51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D6CE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ottom"/>
              <w:rPr>
                <w:rFonts w:hint="default" w:ascii="Arial Narrow" w:hAnsi="Arial Narrow" w:eastAsia="宋体" w:cs="Arial Narrow"/>
                <w:b w:val="0"/>
                <w:bCs w:val="0"/>
                <w:i w:val="0"/>
                <w:iCs w:val="0"/>
                <w:color w:val="000000"/>
                <w:spacing w:val="-17"/>
                <w:sz w:val="20"/>
                <w:szCs w:val="20"/>
                <w:u w:val="none"/>
              </w:rPr>
            </w:pPr>
            <w:r>
              <w:rPr>
                <w:rFonts w:hint="default" w:ascii="Arial Narrow" w:hAnsi="Arial Narrow" w:eastAsia="宋体" w:cs="Arial Narrow"/>
                <w:b w:val="0"/>
                <w:bCs w:val="0"/>
                <w:i w:val="0"/>
                <w:iCs w:val="0"/>
                <w:snapToGrid w:val="0"/>
                <w:color w:val="000000"/>
                <w:spacing w:val="-17"/>
                <w:kern w:val="0"/>
                <w:sz w:val="20"/>
                <w:szCs w:val="20"/>
                <w:u w:val="none"/>
                <w:lang w:val="en-US" w:eastAsia="zh-CN" w:bidi="ar"/>
              </w:rPr>
              <w:t>合计</w:t>
            </w:r>
          </w:p>
        </w:tc>
        <w:tc>
          <w:tcPr>
            <w:tcW w:w="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0FA4E">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i w:val="0"/>
                <w:iCs w:val="0"/>
                <w:snapToGrid w:val="0"/>
                <w:color w:val="000000"/>
                <w:spacing w:val="-11"/>
                <w:kern w:val="0"/>
                <w:sz w:val="20"/>
                <w:szCs w:val="20"/>
                <w:u w:val="none"/>
                <w:lang w:val="en-US" w:eastAsia="zh-CN" w:bidi="ar"/>
              </w:rPr>
              <w:t>0.00</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D6872">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405.6</w:t>
            </w:r>
            <w:r>
              <w:rPr>
                <w:rFonts w:hint="eastAsia" w:ascii="Arial Narrow" w:hAnsi="Arial Narrow" w:cs="Arial Narrow"/>
                <w:b w:val="0"/>
                <w:bCs w:val="0"/>
                <w:i w:val="0"/>
                <w:iCs w:val="0"/>
                <w:snapToGrid w:val="0"/>
                <w:color w:val="000000"/>
                <w:spacing w:val="-11"/>
                <w:kern w:val="0"/>
                <w:sz w:val="20"/>
                <w:szCs w:val="20"/>
                <w:u w:val="none"/>
                <w:lang w:val="en-US" w:eastAsia="zh-CN" w:bidi="ar"/>
              </w:rPr>
              <w:t>4</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CED00">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1.41</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8C24F">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color w:val="000000"/>
                <w:spacing w:val="-11"/>
                <w:sz w:val="20"/>
                <w:szCs w:val="20"/>
                <w:u w:val="none"/>
                <w:lang w:val="en-US"/>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404.23</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70503">
            <w:pPr>
              <w:keepNext w:val="0"/>
              <w:keepLines w:val="0"/>
              <w:pageBreakBefore w:val="0"/>
              <w:widowControl/>
              <w:suppressLineNumbers w:val="0"/>
              <w:wordWrap/>
              <w:overflowPunct/>
              <w:topLinePunct w:val="0"/>
              <w:bidi w:val="0"/>
              <w:spacing w:line="240" w:lineRule="auto"/>
              <w:jc w:val="right"/>
              <w:textAlignment w:val="bottom"/>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pPr>
            <w:r>
              <w:rPr>
                <w:rFonts w:hint="default" w:ascii="Arial Narrow" w:hAnsi="Arial Narrow" w:eastAsia="宋体" w:cs="Arial Narrow"/>
                <w:b w:val="0"/>
                <w:bCs w:val="0"/>
                <w:i w:val="0"/>
                <w:iCs w:val="0"/>
                <w:snapToGrid w:val="0"/>
                <w:color w:val="000000"/>
                <w:spacing w:val="-11"/>
                <w:kern w:val="0"/>
                <w:sz w:val="20"/>
                <w:szCs w:val="20"/>
                <w:u w:val="none"/>
                <w:lang w:val="en-US" w:eastAsia="zh-CN" w:bidi="ar"/>
              </w:rPr>
              <w:t>99.65%</w:t>
            </w:r>
          </w:p>
        </w:tc>
      </w:tr>
    </w:tbl>
    <w:p w14:paraId="67A005C1">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Arial Narrow" w:hAnsi="Arial Narrow" w:eastAsia="宋体" w:cs="Arial Narrow"/>
          <w:color w:val="auto"/>
          <w:sz w:val="21"/>
          <w:szCs w:val="21"/>
          <w:highlight w:val="none"/>
          <w:lang w:val="en-US" w:eastAsia="zh-CN"/>
        </w:rPr>
      </w:pPr>
      <w:r>
        <w:rPr>
          <w:rFonts w:hint="default" w:ascii="Arial Narrow" w:hAnsi="Arial Narrow" w:eastAsia="宋体" w:cs="Arial Narrow"/>
          <w:color w:val="auto"/>
          <w:sz w:val="21"/>
          <w:szCs w:val="21"/>
          <w:highlight w:val="none"/>
        </w:rPr>
        <w:t>市委研究室按照年初计划、年中追加项目调整后的绩效目标和相关规定开展工作，整体绩效目标完成情况良好</w:t>
      </w:r>
      <w:r>
        <w:rPr>
          <w:rFonts w:hint="default" w:ascii="Arial Narrow" w:hAnsi="Arial Narrow" w:eastAsia="宋体" w:cs="Arial Narrow"/>
          <w:color w:val="auto"/>
          <w:sz w:val="21"/>
          <w:szCs w:val="21"/>
          <w:highlight w:val="none"/>
          <w:lang w:eastAsia="zh-CN"/>
        </w:rPr>
        <w:t>。</w:t>
      </w:r>
    </w:p>
    <w:p w14:paraId="3F7A8F3E">
      <w:pPr>
        <w:pStyle w:val="2"/>
        <w:pageBreakBefore w:val="0"/>
        <w:kinsoku/>
        <w:wordWrap/>
        <w:overflowPunct/>
        <w:topLinePunct w:val="0"/>
        <w:autoSpaceDE/>
        <w:autoSpaceDN/>
        <w:bidi w:val="0"/>
        <w:adjustRightInd/>
        <w:snapToGrid/>
        <w:spacing w:before="0" w:after="0" w:line="520" w:lineRule="exact"/>
        <w:ind w:firstLine="422" w:firstLineChars="200"/>
        <w:rPr>
          <w:rFonts w:hint="default" w:ascii="Arial Narrow" w:hAnsi="Arial Narrow" w:eastAsia="宋体" w:cs="Arial Narrow"/>
          <w:color w:val="auto"/>
          <w:sz w:val="21"/>
          <w:szCs w:val="21"/>
          <w:highlight w:val="none"/>
        </w:rPr>
      </w:pPr>
      <w:bookmarkStart w:id="38" w:name="_Toc7595"/>
      <w:bookmarkStart w:id="39" w:name="_Toc28188"/>
      <w:bookmarkStart w:id="40" w:name="_Toc17454"/>
      <w:bookmarkStart w:id="41" w:name="_Toc17863"/>
      <w:bookmarkStart w:id="42" w:name="_Toc29591"/>
      <w:r>
        <w:rPr>
          <w:rFonts w:hint="default" w:ascii="Arial Narrow" w:hAnsi="Arial Narrow" w:eastAsia="宋体" w:cs="Arial Narrow"/>
          <w:color w:val="auto"/>
          <w:sz w:val="21"/>
          <w:szCs w:val="21"/>
          <w:highlight w:val="none"/>
        </w:rPr>
        <w:t>三、整体绩效目标实现情况</w:t>
      </w:r>
      <w:bookmarkEnd w:id="38"/>
      <w:bookmarkEnd w:id="39"/>
      <w:bookmarkEnd w:id="40"/>
      <w:bookmarkEnd w:id="41"/>
      <w:bookmarkEnd w:id="42"/>
    </w:p>
    <w:p w14:paraId="270CBBBE">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default" w:ascii="Arial Narrow" w:hAnsi="Arial Narrow" w:eastAsia="宋体" w:cs="Arial Narrow"/>
          <w:color w:val="auto"/>
          <w:sz w:val="21"/>
          <w:szCs w:val="21"/>
          <w:highlight w:val="none"/>
        </w:rPr>
      </w:pPr>
      <w:bookmarkStart w:id="43" w:name="_Toc2857"/>
      <w:bookmarkStart w:id="44" w:name="_Toc29956"/>
      <w:bookmarkStart w:id="45" w:name="_Toc24312"/>
      <w:bookmarkStart w:id="46" w:name="_Toc32179"/>
      <w:bookmarkStart w:id="47" w:name="_Toc31409"/>
      <w:r>
        <w:rPr>
          <w:rFonts w:hint="default" w:ascii="Arial Narrow" w:hAnsi="Arial Narrow" w:eastAsia="宋体" w:cs="Arial Narrow"/>
          <w:color w:val="auto"/>
          <w:sz w:val="21"/>
          <w:szCs w:val="21"/>
          <w:highlight w:val="none"/>
        </w:rPr>
        <w:t>（一）产出完成情况分析</w:t>
      </w:r>
      <w:bookmarkEnd w:id="43"/>
      <w:bookmarkEnd w:id="44"/>
      <w:bookmarkEnd w:id="45"/>
      <w:bookmarkEnd w:id="46"/>
      <w:bookmarkEnd w:id="47"/>
    </w:p>
    <w:p w14:paraId="37311DB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jc w:val="both"/>
        <w:textAlignment w:val="auto"/>
        <w:rPr>
          <w:rFonts w:hint="default" w:ascii="宋体" w:hAnsi="宋体" w:cs="宋体"/>
          <w:lang w:val="en-US" w:eastAsia="zh-CN"/>
        </w:rPr>
      </w:pPr>
      <w:r>
        <w:rPr>
          <w:rFonts w:hint="default" w:ascii="Arial Narrow" w:hAnsi="Arial Narrow" w:eastAsia="宋体" w:cs="Arial Narrow"/>
          <w:i w:val="0"/>
          <w:iCs w:val="0"/>
          <w:color w:val="000000"/>
          <w:kern w:val="0"/>
          <w:sz w:val="21"/>
          <w:szCs w:val="21"/>
          <w:u w:val="none"/>
          <w:lang w:val="en-US" w:eastAsia="zh-CN" w:bidi="ar"/>
        </w:rPr>
        <w:t>市委研究室项目支出</w:t>
      </w:r>
      <w:r>
        <w:rPr>
          <w:rFonts w:hint="default" w:ascii="Arial Narrow" w:hAnsi="Arial Narrow" w:cs="Arial Narrow"/>
          <w:i w:val="0"/>
          <w:iCs w:val="0"/>
          <w:color w:val="000000"/>
          <w:kern w:val="0"/>
          <w:sz w:val="21"/>
          <w:szCs w:val="21"/>
          <w:u w:val="none"/>
          <w:lang w:val="en-US" w:eastAsia="zh-CN" w:bidi="ar"/>
        </w:rPr>
        <w:t>大部分为</w:t>
      </w:r>
      <w:r>
        <w:rPr>
          <w:rFonts w:hint="default" w:ascii="Arial Narrow" w:hAnsi="Arial Narrow" w:eastAsia="宋体" w:cs="Arial Narrow"/>
          <w:i w:val="0"/>
          <w:iCs w:val="0"/>
          <w:color w:val="000000"/>
          <w:kern w:val="0"/>
          <w:sz w:val="21"/>
          <w:szCs w:val="21"/>
          <w:u w:val="none"/>
          <w:lang w:val="en-US" w:eastAsia="zh-CN" w:bidi="ar"/>
        </w:rPr>
        <w:t>政府购买服务，质量指标为验收通过</w:t>
      </w:r>
      <w:r>
        <w:rPr>
          <w:rFonts w:hint="default" w:ascii="Arial Narrow" w:hAnsi="Arial Narrow" w:cs="Arial Narrow"/>
          <w:i w:val="0"/>
          <w:iCs w:val="0"/>
          <w:color w:val="000000"/>
          <w:kern w:val="0"/>
          <w:sz w:val="21"/>
          <w:szCs w:val="21"/>
          <w:u w:val="none"/>
          <w:lang w:val="en-US" w:eastAsia="zh-CN" w:bidi="ar"/>
        </w:rPr>
        <w:t>：改革督查第三方评估项目为评估成果优秀率和成果转化率，</w:t>
      </w:r>
      <w:r>
        <w:rPr>
          <w:rFonts w:hint="eastAsia" w:ascii="Arial Narrow" w:hAnsi="Arial Narrow" w:cs="Arial Narrow"/>
          <w:i w:val="0"/>
          <w:iCs w:val="0"/>
          <w:color w:val="000000"/>
          <w:kern w:val="0"/>
          <w:sz w:val="21"/>
          <w:szCs w:val="21"/>
          <w:u w:val="none"/>
          <w:lang w:val="en-US" w:eastAsia="zh-CN" w:bidi="ar"/>
        </w:rPr>
        <w:t>所有</w:t>
      </w:r>
      <w:r>
        <w:rPr>
          <w:rFonts w:hint="default" w:ascii="Arial Narrow" w:hAnsi="Arial Narrow" w:cs="Arial Narrow"/>
          <w:i w:val="0"/>
          <w:iCs w:val="0"/>
          <w:color w:val="000000"/>
          <w:kern w:val="0"/>
          <w:sz w:val="21"/>
          <w:szCs w:val="21"/>
          <w:u w:val="none"/>
          <w:lang w:val="en-US" w:eastAsia="zh-CN" w:bidi="ar"/>
        </w:rPr>
        <w:t>项目已经结项评审，成果优秀，形成督察整改意见，上报市委深改委；信息化运维项目质量指标系统故障修复率、主机托管故障次数、系统集成完成率、技术支持、故障相应均达到相应的标准，服务提供商满足市委研究室的需求</w:t>
      </w:r>
      <w:r>
        <w:rPr>
          <w:rFonts w:hint="default" w:ascii="Arial Narrow" w:hAnsi="Arial Narrow" w:cs="Arial Narrow"/>
          <w:lang w:val="en-US" w:eastAsia="zh-CN"/>
        </w:rPr>
        <w:t>；市级重点课题研究完成一级课题和二级课题的研究，并得到市领导的认可；完成</w:t>
      </w:r>
      <w:r>
        <w:rPr>
          <w:rFonts w:hint="default" w:ascii="Arial Narrow" w:hAnsi="Arial Narrow" w:eastAsia="宋体" w:cs="Arial Narrow"/>
          <w:color w:val="auto"/>
          <w:kern w:val="0"/>
          <w:sz w:val="21"/>
          <w:szCs w:val="21"/>
          <w:highlight w:val="none"/>
          <w:lang w:val="en-US" w:eastAsia="zh-CN"/>
        </w:rPr>
        <w:t>《北京调研》《决策参考》</w:t>
      </w:r>
      <w:r>
        <w:rPr>
          <w:rFonts w:hint="default" w:ascii="Arial Narrow" w:hAnsi="Arial Narrow" w:cs="Arial Narrow"/>
          <w:color w:val="auto"/>
          <w:kern w:val="0"/>
          <w:sz w:val="21"/>
          <w:szCs w:val="21"/>
          <w:highlight w:val="none"/>
          <w:lang w:val="en-US" w:eastAsia="zh-CN"/>
        </w:rPr>
        <w:t>的印刷，达到刊物标准。</w:t>
      </w:r>
    </w:p>
    <w:p w14:paraId="06FC5FAD">
      <w:pPr>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default" w:ascii="Arial Narrow" w:hAnsi="Arial Narrow" w:eastAsia="宋体" w:cs="Arial Narrow"/>
          <w:color w:val="auto"/>
          <w:kern w:val="0"/>
          <w:sz w:val="21"/>
          <w:szCs w:val="21"/>
          <w:highlight w:val="none"/>
          <w:lang w:val="en-US" w:eastAsia="zh-CN"/>
        </w:rPr>
      </w:pPr>
      <w:r>
        <w:rPr>
          <w:rFonts w:hint="default" w:ascii="Arial Narrow" w:hAnsi="Arial Narrow" w:eastAsia="宋体" w:cs="Arial Narrow"/>
          <w:color w:val="auto"/>
          <w:kern w:val="0"/>
          <w:sz w:val="21"/>
          <w:szCs w:val="21"/>
          <w:highlight w:val="none"/>
          <w:lang w:val="en-US" w:eastAsia="zh-CN"/>
        </w:rPr>
        <w:t>项目支出404.23万元（包括：《北京调研》《决策参考》发行经费54.36万元，市委改革办年度会议及宣传工作经费32.80万元，绩效及审计类经费25.70万元，改革督察第三方评估经费88.50万元，后勤综合服务保障经费98.1</w:t>
      </w:r>
      <w:r>
        <w:rPr>
          <w:rFonts w:hint="eastAsia" w:ascii="Arial Narrow" w:hAnsi="Arial Narrow" w:cs="Arial Narrow"/>
          <w:color w:val="auto"/>
          <w:kern w:val="0"/>
          <w:sz w:val="21"/>
          <w:szCs w:val="21"/>
          <w:highlight w:val="none"/>
          <w:lang w:val="en-US" w:eastAsia="zh-CN"/>
        </w:rPr>
        <w:t>5</w:t>
      </w:r>
      <w:r>
        <w:rPr>
          <w:rFonts w:hint="default" w:ascii="Arial Narrow" w:hAnsi="Arial Narrow" w:eastAsia="宋体" w:cs="Arial Narrow"/>
          <w:color w:val="auto"/>
          <w:kern w:val="0"/>
          <w:sz w:val="21"/>
          <w:szCs w:val="21"/>
          <w:highlight w:val="none"/>
          <w:lang w:val="en-US" w:eastAsia="zh-CN"/>
        </w:rPr>
        <w:t>万元，全市调查研究工作项目14.2</w:t>
      </w:r>
      <w:r>
        <w:rPr>
          <w:rFonts w:hint="eastAsia" w:ascii="Arial Narrow" w:hAnsi="Arial Narrow" w:cs="Arial Narrow"/>
          <w:color w:val="auto"/>
          <w:kern w:val="0"/>
          <w:sz w:val="21"/>
          <w:szCs w:val="21"/>
          <w:highlight w:val="none"/>
          <w:lang w:val="en-US" w:eastAsia="zh-CN"/>
        </w:rPr>
        <w:t>2</w:t>
      </w:r>
      <w:r>
        <w:rPr>
          <w:rFonts w:hint="default" w:ascii="Arial Narrow" w:hAnsi="Arial Narrow" w:eastAsia="宋体" w:cs="Arial Narrow"/>
          <w:color w:val="auto"/>
          <w:kern w:val="0"/>
          <w:sz w:val="21"/>
          <w:szCs w:val="21"/>
          <w:highlight w:val="none"/>
          <w:lang w:val="en-US" w:eastAsia="zh-CN"/>
        </w:rPr>
        <w:t>万元，市级重点课题研究项目49</w:t>
      </w:r>
      <w:r>
        <w:rPr>
          <w:rFonts w:hint="eastAsia" w:ascii="Arial Narrow" w:hAnsi="Arial Narrow" w:cs="Arial Narrow"/>
          <w:color w:val="auto"/>
          <w:kern w:val="0"/>
          <w:sz w:val="21"/>
          <w:szCs w:val="21"/>
          <w:highlight w:val="none"/>
          <w:lang w:val="en-US" w:eastAsia="zh-CN"/>
        </w:rPr>
        <w:t>.00</w:t>
      </w:r>
      <w:r>
        <w:rPr>
          <w:rFonts w:hint="default" w:ascii="Arial Narrow" w:hAnsi="Arial Narrow" w:eastAsia="宋体" w:cs="Arial Narrow"/>
          <w:color w:val="auto"/>
          <w:kern w:val="0"/>
          <w:sz w:val="21"/>
          <w:szCs w:val="21"/>
          <w:highlight w:val="none"/>
          <w:lang w:val="en-US" w:eastAsia="zh-CN"/>
        </w:rPr>
        <w:t>万元</w:t>
      </w:r>
      <w:r>
        <w:rPr>
          <w:rFonts w:hint="default" w:ascii="Arial Narrow" w:hAnsi="Arial Narrow" w:cs="Arial Narrow"/>
          <w:color w:val="auto"/>
          <w:kern w:val="0"/>
          <w:sz w:val="21"/>
          <w:szCs w:val="21"/>
          <w:highlight w:val="none"/>
          <w:lang w:val="en-US" w:eastAsia="zh-CN"/>
        </w:rPr>
        <w:t>，</w:t>
      </w:r>
      <w:r>
        <w:rPr>
          <w:rFonts w:hint="default" w:ascii="Arial Narrow" w:hAnsi="Arial Narrow" w:eastAsia="宋体" w:cs="Arial Narrow"/>
          <w:color w:val="auto"/>
          <w:kern w:val="0"/>
          <w:sz w:val="21"/>
          <w:szCs w:val="21"/>
          <w:highlight w:val="none"/>
          <w:lang w:val="en-US" w:eastAsia="zh-CN"/>
        </w:rPr>
        <w:t>市委研究室课题研究委托业务项目7.50万元，信息化运维服务项目3</w:t>
      </w:r>
      <w:r>
        <w:rPr>
          <w:rFonts w:hint="eastAsia" w:ascii="Arial Narrow" w:hAnsi="Arial Narrow" w:cs="Arial Narrow"/>
          <w:color w:val="auto"/>
          <w:kern w:val="0"/>
          <w:sz w:val="21"/>
          <w:szCs w:val="21"/>
          <w:highlight w:val="none"/>
          <w:lang w:val="en-US" w:eastAsia="zh-CN"/>
        </w:rPr>
        <w:t>4.00</w:t>
      </w:r>
      <w:r>
        <w:rPr>
          <w:rFonts w:hint="default" w:ascii="Arial Narrow" w:hAnsi="Arial Narrow" w:eastAsia="宋体" w:cs="Arial Narrow"/>
          <w:color w:val="auto"/>
          <w:kern w:val="0"/>
          <w:sz w:val="21"/>
          <w:szCs w:val="21"/>
          <w:highlight w:val="none"/>
          <w:lang w:val="en-US" w:eastAsia="zh-CN"/>
        </w:rPr>
        <w:t>万元），预算支出完成率99.65%。</w:t>
      </w:r>
    </w:p>
    <w:p w14:paraId="0F7AC183">
      <w:pPr>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总体来看，市委研究室基本支出和项目</w:t>
      </w:r>
      <w:r>
        <w:rPr>
          <w:rFonts w:hint="eastAsia" w:ascii="宋体" w:hAnsi="宋体" w:cs="宋体"/>
          <w:color w:val="auto"/>
          <w:kern w:val="0"/>
          <w:sz w:val="21"/>
          <w:szCs w:val="21"/>
          <w:highlight w:val="none"/>
          <w:lang w:val="en-US" w:eastAsia="zh-CN"/>
        </w:rPr>
        <w:t>支出的</w:t>
      </w:r>
      <w:r>
        <w:rPr>
          <w:rFonts w:hint="eastAsia" w:ascii="宋体" w:hAnsi="宋体" w:eastAsia="宋体" w:cs="宋体"/>
          <w:color w:val="auto"/>
          <w:kern w:val="0"/>
          <w:sz w:val="21"/>
          <w:szCs w:val="21"/>
          <w:highlight w:val="none"/>
          <w:lang w:val="en-US" w:eastAsia="zh-CN"/>
        </w:rPr>
        <w:t>成本控制在预算范围内，未超预算支出。</w:t>
      </w:r>
    </w:p>
    <w:p w14:paraId="026F2E9B">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eastAsia" w:ascii="宋体" w:hAnsi="宋体" w:eastAsia="宋体" w:cs="宋体"/>
          <w:sz w:val="21"/>
          <w:szCs w:val="21"/>
          <w:lang w:eastAsia="zh-CN"/>
        </w:rPr>
      </w:pPr>
      <w:bookmarkStart w:id="48" w:name="_Toc9541"/>
      <w:bookmarkStart w:id="49" w:name="_Toc20004"/>
      <w:bookmarkStart w:id="50" w:name="_Toc15186"/>
      <w:r>
        <w:rPr>
          <w:rFonts w:hint="eastAsia" w:ascii="宋体" w:hAnsi="宋体" w:eastAsia="宋体" w:cs="宋体"/>
          <w:sz w:val="21"/>
          <w:szCs w:val="21"/>
        </w:rPr>
        <w:t>（二）效果实现情况分析</w:t>
      </w:r>
      <w:bookmarkEnd w:id="48"/>
      <w:bookmarkEnd w:id="49"/>
      <w:bookmarkEnd w:id="50"/>
    </w:p>
    <w:p w14:paraId="105F08DB">
      <w:pPr>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由于市委研究室服务于市委机关内部，经济效益、社会效益、可持续影响没有直观数据可供参考</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但是可以从市委研究室作出的成绩来衡量效益效果。</w:t>
      </w:r>
    </w:p>
    <w:p w14:paraId="4320D59E">
      <w:pPr>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市委研究室从调查研究、改革督察、信息化运维三方面设置绩效目标及产出指标。根据《部门绩效目标完成情况对比表》市委研究室全部完成预设的绩效目标，达到相应的效果，其中市级重点课题研究获得市领导的批示，改革督察方面形成督察意见上报市委深改委，由市领导采用。</w:t>
      </w:r>
      <w:bookmarkStart w:id="51" w:name="_Toc3419"/>
      <w:bookmarkStart w:id="52" w:name="_Toc14505"/>
      <w:bookmarkStart w:id="53" w:name="_Toc25129"/>
      <w:bookmarkStart w:id="54" w:name="_Toc17346"/>
    </w:p>
    <w:p w14:paraId="7F944C54">
      <w:pPr>
        <w:pageBreakBefore w:val="0"/>
        <w:widowControl w:val="0"/>
        <w:kinsoku/>
        <w:wordWrap/>
        <w:overflowPunct/>
        <w:topLinePunct w:val="0"/>
        <w:autoSpaceDE/>
        <w:autoSpaceDN/>
        <w:bidi w:val="0"/>
        <w:adjustRightInd/>
        <w:snapToGrid/>
        <w:spacing w:line="520" w:lineRule="exact"/>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四、预算管理情况分析</w:t>
      </w:r>
      <w:bookmarkEnd w:id="51"/>
      <w:bookmarkEnd w:id="52"/>
      <w:bookmarkEnd w:id="53"/>
      <w:bookmarkEnd w:id="54"/>
    </w:p>
    <w:p w14:paraId="112EE7F0">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eastAsia" w:ascii="宋体" w:hAnsi="宋体" w:eastAsia="宋体" w:cs="宋体"/>
          <w:color w:val="auto"/>
          <w:sz w:val="21"/>
          <w:szCs w:val="21"/>
          <w:highlight w:val="none"/>
        </w:rPr>
      </w:pPr>
      <w:bookmarkStart w:id="55" w:name="_Toc15880"/>
      <w:bookmarkStart w:id="56" w:name="_Toc2082"/>
      <w:bookmarkStart w:id="57" w:name="_Toc3274"/>
      <w:bookmarkStart w:id="58" w:name="_Toc14402"/>
      <w:bookmarkStart w:id="59" w:name="_Toc21036"/>
      <w:r>
        <w:rPr>
          <w:rFonts w:hint="eastAsia" w:ascii="宋体" w:hAnsi="宋体" w:eastAsia="宋体" w:cs="宋体"/>
          <w:color w:val="auto"/>
          <w:sz w:val="21"/>
          <w:szCs w:val="21"/>
          <w:highlight w:val="none"/>
        </w:rPr>
        <w:t>（一）财务管理</w:t>
      </w:r>
      <w:bookmarkEnd w:id="55"/>
      <w:bookmarkEnd w:id="56"/>
      <w:bookmarkEnd w:id="57"/>
      <w:bookmarkEnd w:id="58"/>
      <w:bookmarkEnd w:id="59"/>
    </w:p>
    <w:p w14:paraId="7CAA5D29">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default" w:ascii="Arial Narrow" w:hAnsi="Arial Narrow" w:eastAsia="宋体" w:cs="Arial Narrow"/>
          <w:color w:val="auto"/>
          <w:kern w:val="0"/>
          <w:sz w:val="21"/>
          <w:szCs w:val="21"/>
          <w:highlight w:val="none"/>
        </w:rPr>
      </w:pPr>
      <w:r>
        <w:rPr>
          <w:rFonts w:hint="default" w:ascii="Arial Narrow" w:hAnsi="Arial Narrow" w:eastAsia="宋体" w:cs="Arial Narrow"/>
          <w:color w:val="auto"/>
          <w:kern w:val="0"/>
          <w:sz w:val="21"/>
          <w:szCs w:val="21"/>
          <w:highlight w:val="none"/>
          <w:lang w:val="en-US" w:eastAsia="zh-CN"/>
        </w:rPr>
        <w:t>1</w:t>
      </w:r>
      <w:r>
        <w:rPr>
          <w:rFonts w:hint="default" w:ascii="Arial Narrow" w:hAnsi="Arial Narrow" w:cs="Arial Narrow"/>
          <w:color w:val="auto"/>
          <w:kern w:val="0"/>
          <w:sz w:val="21"/>
          <w:szCs w:val="21"/>
          <w:highlight w:val="none"/>
          <w:lang w:val="en-US" w:eastAsia="zh-CN"/>
        </w:rPr>
        <w:t>.</w:t>
      </w:r>
      <w:r>
        <w:rPr>
          <w:rFonts w:hint="default" w:ascii="Arial Narrow" w:hAnsi="Arial Narrow" w:eastAsia="宋体" w:cs="Arial Narrow"/>
          <w:color w:val="auto"/>
          <w:kern w:val="0"/>
          <w:sz w:val="21"/>
          <w:szCs w:val="21"/>
          <w:highlight w:val="none"/>
        </w:rPr>
        <w:t>财务管理制度健全性</w:t>
      </w:r>
    </w:p>
    <w:p w14:paraId="5C4F0A53">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市委研究室为加强预算绩效管理，规范财务行为，制定了《市委研究室“三重一大”决策制度实施办法》《预算管理制度》《财务管理制度》《资金支出管理办法》《课题经费管理实施细则》《固定资产管理办法》《采购管理办法》《合同管理办法》《银行账户管理办法》《内部控制自我评价管理办法》等管理制度并执行。</w:t>
      </w:r>
    </w:p>
    <w:p w14:paraId="7209E4E4">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eastAsia" w:ascii="宋体" w:hAnsi="宋体" w:eastAsia="宋体" w:cs="宋体"/>
          <w:color w:val="auto"/>
          <w:kern w:val="0"/>
          <w:sz w:val="21"/>
          <w:szCs w:val="21"/>
          <w:highlight w:val="none"/>
        </w:rPr>
      </w:pPr>
      <w:r>
        <w:rPr>
          <w:rFonts w:hint="eastAsia" w:ascii="Arial Narrow" w:hAnsi="Arial Narrow" w:eastAsia="宋体" w:cs="Arial Narrow"/>
          <w:color w:val="auto"/>
          <w:kern w:val="0"/>
          <w:sz w:val="21"/>
          <w:szCs w:val="21"/>
          <w:highlight w:val="none"/>
          <w:lang w:val="en-US" w:eastAsia="zh-CN"/>
        </w:rPr>
        <w:t>2.资金使用合规性和安全性</w:t>
      </w:r>
    </w:p>
    <w:p w14:paraId="595C55F1">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default" w:ascii="Arial Narrow" w:hAnsi="Arial Narrow" w:eastAsia="宋体" w:cs="Arial Narrow"/>
          <w:color w:val="auto"/>
          <w:kern w:val="0"/>
          <w:sz w:val="21"/>
          <w:szCs w:val="21"/>
          <w:highlight w:val="none"/>
        </w:rPr>
      </w:pPr>
      <w:r>
        <w:rPr>
          <w:rFonts w:hint="eastAsia" w:ascii="宋体" w:hAnsi="宋体" w:eastAsia="宋体" w:cs="宋体"/>
          <w:color w:val="auto"/>
          <w:kern w:val="0"/>
          <w:sz w:val="21"/>
          <w:szCs w:val="21"/>
          <w:highlight w:val="none"/>
        </w:rPr>
        <w:t>现金管理</w:t>
      </w:r>
      <w:r>
        <w:rPr>
          <w:rFonts w:hint="eastAsia" w:ascii="宋体" w:hAnsi="宋体" w:eastAsia="宋体" w:cs="宋体"/>
          <w:color w:val="auto"/>
          <w:kern w:val="0"/>
          <w:sz w:val="21"/>
          <w:szCs w:val="21"/>
          <w:highlight w:val="none"/>
          <w:lang w:val="en-US" w:eastAsia="zh-CN"/>
        </w:rPr>
        <w:t>具有</w:t>
      </w:r>
      <w:r>
        <w:rPr>
          <w:rFonts w:hint="eastAsia" w:ascii="宋体" w:hAnsi="宋体" w:eastAsia="宋体" w:cs="宋体"/>
          <w:color w:val="auto"/>
          <w:kern w:val="0"/>
          <w:sz w:val="21"/>
          <w:szCs w:val="21"/>
          <w:highlight w:val="none"/>
        </w:rPr>
        <w:t>规范性，科目余额表显示现金科目期初、期末余额</w:t>
      </w:r>
      <w:r>
        <w:rPr>
          <w:rFonts w:hint="default" w:ascii="Arial Narrow" w:hAnsi="Arial Narrow" w:eastAsia="宋体" w:cs="Arial Narrow"/>
          <w:color w:val="auto"/>
          <w:kern w:val="0"/>
          <w:sz w:val="21"/>
          <w:szCs w:val="21"/>
          <w:highlight w:val="none"/>
        </w:rPr>
        <w:t>均为</w:t>
      </w:r>
      <w:r>
        <w:rPr>
          <w:rFonts w:hint="default" w:ascii="Arial Narrow" w:hAnsi="Arial Narrow" w:eastAsia="宋体" w:cs="Arial Narrow"/>
          <w:color w:val="auto"/>
          <w:kern w:val="0"/>
          <w:sz w:val="21"/>
          <w:szCs w:val="21"/>
          <w:highlight w:val="none"/>
          <w:lang w:val="en-US" w:eastAsia="zh-CN"/>
        </w:rPr>
        <w:t>0.00</w:t>
      </w:r>
      <w:r>
        <w:rPr>
          <w:rFonts w:hint="default" w:ascii="Arial Narrow" w:hAnsi="Arial Narrow" w:eastAsia="宋体" w:cs="Arial Narrow"/>
          <w:color w:val="auto"/>
          <w:kern w:val="0"/>
          <w:sz w:val="21"/>
          <w:szCs w:val="21"/>
          <w:highlight w:val="none"/>
        </w:rPr>
        <w:t>万元。</w:t>
      </w:r>
    </w:p>
    <w:p w14:paraId="77D49CBE">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eastAsia" w:ascii="宋体" w:hAnsi="宋体" w:eastAsia="宋体" w:cs="宋体"/>
          <w:color w:val="auto"/>
          <w:kern w:val="0"/>
          <w:sz w:val="21"/>
          <w:szCs w:val="21"/>
          <w:highlight w:val="none"/>
        </w:rPr>
      </w:pPr>
      <w:r>
        <w:rPr>
          <w:rFonts w:hint="eastAsia" w:ascii="Arial Narrow" w:hAnsi="Arial Narrow" w:eastAsia="宋体" w:cs="Arial Narrow"/>
          <w:color w:val="auto"/>
          <w:kern w:val="0"/>
          <w:sz w:val="21"/>
          <w:szCs w:val="21"/>
          <w:highlight w:val="none"/>
          <w:lang w:val="en-US" w:eastAsia="zh-CN"/>
        </w:rPr>
        <w:t>3.会计基础信息完善性</w:t>
      </w:r>
    </w:p>
    <w:p w14:paraId="42E1148F">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建立了财务信息系统，会计凭证按规定装订成册并统一保管，</w:t>
      </w:r>
      <w:r>
        <w:rPr>
          <w:rFonts w:hint="eastAsia" w:ascii="宋体" w:hAnsi="宋体" w:eastAsia="宋体" w:cs="宋体"/>
          <w:color w:val="auto"/>
          <w:kern w:val="0"/>
          <w:sz w:val="21"/>
          <w:szCs w:val="21"/>
          <w:highlight w:val="none"/>
        </w:rPr>
        <w:t>会计信息资料未发现失真失实的情况。</w:t>
      </w:r>
    </w:p>
    <w:p w14:paraId="5A58A296">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eastAsia" w:ascii="宋体" w:hAnsi="宋体" w:eastAsia="宋体" w:cs="宋体"/>
          <w:color w:val="auto"/>
          <w:sz w:val="21"/>
          <w:szCs w:val="21"/>
          <w:highlight w:val="none"/>
        </w:rPr>
      </w:pPr>
      <w:bookmarkStart w:id="60" w:name="_Toc2860"/>
      <w:bookmarkStart w:id="61" w:name="_Toc7530"/>
      <w:bookmarkStart w:id="62" w:name="_Toc23469"/>
      <w:bookmarkStart w:id="63" w:name="_Toc25455"/>
      <w:bookmarkStart w:id="64" w:name="_Toc28263"/>
      <w:r>
        <w:rPr>
          <w:rFonts w:hint="eastAsia" w:ascii="宋体" w:hAnsi="宋体" w:eastAsia="宋体" w:cs="宋体"/>
          <w:color w:val="auto"/>
          <w:sz w:val="21"/>
          <w:szCs w:val="21"/>
          <w:highlight w:val="none"/>
        </w:rPr>
        <w:t>（二）资产管理</w:t>
      </w:r>
      <w:bookmarkEnd w:id="60"/>
      <w:bookmarkEnd w:id="61"/>
      <w:bookmarkEnd w:id="62"/>
      <w:bookmarkEnd w:id="63"/>
      <w:bookmarkEnd w:id="64"/>
    </w:p>
    <w:p w14:paraId="26EF9203">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市委研究室制定了《市委研究室固定资产管理办法》，明确了固定资产管理机构及职责、固定资产配置原则，以及采购、维修保养、清查盘点等固定资产管理流程。</w:t>
      </w:r>
    </w:p>
    <w:p w14:paraId="158B680B">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default" w:ascii="Arial Narrow" w:hAnsi="Arial Narrow" w:eastAsia="宋体" w:cs="Arial Narrow"/>
          <w:color w:val="auto"/>
          <w:sz w:val="21"/>
          <w:szCs w:val="21"/>
          <w:highlight w:val="none"/>
        </w:rPr>
      </w:pPr>
      <w:bookmarkStart w:id="65" w:name="_Toc28321"/>
      <w:bookmarkStart w:id="66" w:name="_Toc1086"/>
      <w:bookmarkStart w:id="67" w:name="_Toc23831"/>
      <w:bookmarkStart w:id="68" w:name="_Toc15197"/>
      <w:bookmarkStart w:id="69" w:name="_Toc13283"/>
      <w:r>
        <w:rPr>
          <w:rFonts w:hint="default" w:ascii="Arial Narrow" w:hAnsi="Arial Narrow" w:eastAsia="宋体" w:cs="Arial Narrow"/>
          <w:color w:val="auto"/>
          <w:sz w:val="21"/>
          <w:szCs w:val="21"/>
          <w:highlight w:val="none"/>
        </w:rPr>
        <w:t>（三）绩效管理</w:t>
      </w:r>
      <w:bookmarkEnd w:id="65"/>
      <w:bookmarkEnd w:id="66"/>
      <w:bookmarkEnd w:id="67"/>
      <w:bookmarkEnd w:id="68"/>
      <w:bookmarkEnd w:id="69"/>
    </w:p>
    <w:p w14:paraId="459F586A">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default" w:ascii="Arial Narrow" w:hAnsi="Arial Narrow" w:eastAsia="宋体" w:cs="Arial Narrow"/>
          <w:color w:val="auto"/>
          <w:kern w:val="0"/>
          <w:sz w:val="21"/>
          <w:szCs w:val="21"/>
          <w:highlight w:val="none"/>
          <w:lang w:val="en-US" w:eastAsia="zh-CN"/>
        </w:rPr>
      </w:pPr>
      <w:r>
        <w:rPr>
          <w:rFonts w:hint="default" w:ascii="Arial Narrow" w:hAnsi="Arial Narrow" w:eastAsia="宋体" w:cs="Arial Narrow"/>
          <w:color w:val="auto"/>
          <w:kern w:val="0"/>
          <w:sz w:val="21"/>
          <w:szCs w:val="21"/>
          <w:highlight w:val="none"/>
          <w:lang w:val="en-US" w:eastAsia="zh-CN"/>
        </w:rPr>
        <w:t>按照财政要求对市委研究室切实推动财政资金使用开展绩效评价，组织完成2024年度部门预算项目评价工作，评价项目9个，占部门财政预算项目总数的100.00%。</w:t>
      </w:r>
    </w:p>
    <w:p w14:paraId="09867D9B">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default" w:ascii="Arial Narrow" w:hAnsi="Arial Narrow" w:eastAsia="宋体" w:cs="Arial Narrow"/>
          <w:color w:val="auto"/>
          <w:sz w:val="21"/>
          <w:szCs w:val="21"/>
          <w:highlight w:val="none"/>
        </w:rPr>
      </w:pPr>
      <w:bookmarkStart w:id="70" w:name="_Toc2695"/>
      <w:bookmarkStart w:id="71" w:name="_Toc3005"/>
      <w:bookmarkStart w:id="72" w:name="_Toc31649"/>
      <w:bookmarkStart w:id="73" w:name="_Toc19054"/>
      <w:bookmarkStart w:id="74" w:name="_Toc31803"/>
      <w:r>
        <w:rPr>
          <w:rFonts w:hint="default" w:ascii="Arial Narrow" w:hAnsi="Arial Narrow" w:eastAsia="宋体" w:cs="Arial Narrow"/>
          <w:color w:val="auto"/>
          <w:sz w:val="21"/>
          <w:szCs w:val="21"/>
          <w:highlight w:val="none"/>
        </w:rPr>
        <w:t>（四）结转结余率</w:t>
      </w:r>
      <w:bookmarkEnd w:id="70"/>
      <w:bookmarkEnd w:id="71"/>
      <w:bookmarkEnd w:id="72"/>
      <w:bookmarkEnd w:id="73"/>
      <w:bookmarkEnd w:id="74"/>
    </w:p>
    <w:p w14:paraId="5F29C0C1">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default" w:ascii="Arial Narrow" w:hAnsi="Arial Narrow" w:eastAsia="宋体" w:cs="Arial Narrow"/>
          <w:color w:val="auto"/>
          <w:kern w:val="0"/>
          <w:sz w:val="21"/>
          <w:szCs w:val="21"/>
          <w:highlight w:val="none"/>
          <w:lang w:val="en-US" w:eastAsia="zh-CN"/>
        </w:rPr>
      </w:pPr>
      <w:r>
        <w:rPr>
          <w:rFonts w:hint="default" w:ascii="Arial Narrow" w:hAnsi="Arial Narrow" w:eastAsia="宋体" w:cs="Arial Narrow"/>
          <w:color w:val="auto"/>
          <w:kern w:val="0"/>
          <w:sz w:val="21"/>
          <w:szCs w:val="21"/>
          <w:highlight w:val="none"/>
          <w:lang w:val="en-US" w:eastAsia="zh-CN"/>
        </w:rPr>
        <w:t>市委研究室2024年年初结转结余资金3.22万元，2024年年末结转结余资金117.05万元，其中，基本支出结转115.64万元，项目支出结转1.41万元。结转结余变动金额113.83万元，其中，基本支出结转变动112.42万元，项目支出结转变动1.4</w:t>
      </w:r>
      <w:r>
        <w:rPr>
          <w:rFonts w:hint="eastAsia" w:ascii="Arial Narrow" w:hAnsi="Arial Narrow" w:cs="Arial Narrow"/>
          <w:color w:val="auto"/>
          <w:kern w:val="0"/>
          <w:sz w:val="21"/>
          <w:szCs w:val="21"/>
          <w:highlight w:val="none"/>
          <w:lang w:val="en-US" w:eastAsia="zh-CN"/>
        </w:rPr>
        <w:t>1</w:t>
      </w:r>
      <w:r>
        <w:rPr>
          <w:rFonts w:hint="default" w:ascii="Arial Narrow" w:hAnsi="Arial Narrow" w:eastAsia="宋体" w:cs="Arial Narrow"/>
          <w:color w:val="auto"/>
          <w:kern w:val="0"/>
          <w:sz w:val="21"/>
          <w:szCs w:val="21"/>
          <w:highlight w:val="none"/>
          <w:lang w:val="en-US" w:eastAsia="zh-CN"/>
        </w:rPr>
        <w:t>万元。2024年结转结余率</w:t>
      </w:r>
      <w:r>
        <w:rPr>
          <w:rFonts w:hint="eastAsia" w:ascii="Arial Narrow" w:hAnsi="Arial Narrow" w:cs="Arial Narrow"/>
          <w:color w:val="auto"/>
          <w:kern w:val="0"/>
          <w:sz w:val="21"/>
          <w:szCs w:val="21"/>
          <w:highlight w:val="none"/>
          <w:lang w:val="en-US" w:eastAsia="zh-CN"/>
        </w:rPr>
        <w:t>2</w:t>
      </w:r>
      <w:r>
        <w:rPr>
          <w:rFonts w:hint="default" w:ascii="Arial Narrow" w:hAnsi="Arial Narrow" w:eastAsia="宋体" w:cs="Arial Narrow"/>
          <w:color w:val="auto"/>
          <w:kern w:val="0"/>
          <w:sz w:val="21"/>
          <w:szCs w:val="21"/>
          <w:highlight w:val="none"/>
          <w:lang w:val="en-US" w:eastAsia="zh-CN"/>
        </w:rPr>
        <w:t>.81%。</w:t>
      </w:r>
    </w:p>
    <w:p w14:paraId="2E512985">
      <w:pPr>
        <w:pStyle w:val="3"/>
        <w:pageBreakBefore w:val="0"/>
        <w:numPr>
          <w:ilvl w:val="0"/>
          <w:numId w:val="2"/>
        </w:numPr>
        <w:kinsoku/>
        <w:wordWrap/>
        <w:overflowPunct/>
        <w:topLinePunct w:val="0"/>
        <w:autoSpaceDE/>
        <w:autoSpaceDN/>
        <w:bidi w:val="0"/>
        <w:adjustRightInd/>
        <w:snapToGrid/>
        <w:spacing w:before="0" w:beforeLines="0" w:after="0" w:afterLines="0" w:line="520" w:lineRule="exact"/>
        <w:ind w:firstLine="422" w:firstLineChars="200"/>
        <w:rPr>
          <w:rFonts w:hint="default" w:ascii="Arial Narrow" w:hAnsi="Arial Narrow" w:eastAsia="宋体" w:cs="Arial Narrow"/>
          <w:color w:val="auto"/>
          <w:sz w:val="21"/>
          <w:szCs w:val="21"/>
          <w:highlight w:val="none"/>
        </w:rPr>
      </w:pPr>
      <w:bookmarkStart w:id="75" w:name="_Toc29942"/>
      <w:bookmarkStart w:id="76" w:name="_Toc18177"/>
      <w:bookmarkStart w:id="77" w:name="_Toc8332"/>
      <w:bookmarkStart w:id="78" w:name="_Toc31688"/>
      <w:bookmarkStart w:id="79" w:name="_Toc2788"/>
      <w:r>
        <w:rPr>
          <w:rFonts w:hint="default" w:ascii="Arial Narrow" w:hAnsi="Arial Narrow" w:eastAsia="宋体" w:cs="Arial Narrow"/>
          <w:color w:val="auto"/>
          <w:sz w:val="21"/>
          <w:szCs w:val="21"/>
          <w:highlight w:val="none"/>
        </w:rPr>
        <w:t>部门预决算差异率</w:t>
      </w:r>
      <w:bookmarkEnd w:id="75"/>
      <w:bookmarkEnd w:id="76"/>
      <w:bookmarkEnd w:id="77"/>
      <w:bookmarkEnd w:id="78"/>
      <w:bookmarkEnd w:id="79"/>
    </w:p>
    <w:p w14:paraId="6B4C6A0B">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default" w:ascii="Arial Narrow" w:hAnsi="Arial Narrow" w:eastAsia="宋体" w:cs="Arial Narrow"/>
          <w:color w:val="auto"/>
          <w:kern w:val="0"/>
          <w:sz w:val="21"/>
          <w:szCs w:val="21"/>
          <w:highlight w:val="none"/>
          <w:lang w:val="en-US" w:eastAsia="zh-CN"/>
        </w:rPr>
      </w:pPr>
      <w:bookmarkStart w:id="80" w:name="_Toc5291"/>
      <w:bookmarkStart w:id="81" w:name="_Toc22197"/>
      <w:r>
        <w:rPr>
          <w:rFonts w:hint="default" w:ascii="Arial Narrow" w:hAnsi="Arial Narrow" w:eastAsia="宋体" w:cs="Arial Narrow"/>
          <w:color w:val="auto"/>
          <w:kern w:val="0"/>
          <w:sz w:val="21"/>
          <w:szCs w:val="21"/>
          <w:highlight w:val="none"/>
          <w:lang w:val="en-US" w:eastAsia="zh-CN"/>
        </w:rPr>
        <w:t>市委研究室2024年决算支出4,045.65万元，年初预算支出</w:t>
      </w:r>
      <w:r>
        <w:rPr>
          <w:rFonts w:hint="eastAsia" w:ascii="Arial Narrow" w:hAnsi="Arial Narrow" w:cs="Arial Narrow"/>
          <w:color w:val="auto"/>
          <w:kern w:val="0"/>
          <w:sz w:val="21"/>
          <w:szCs w:val="21"/>
          <w:highlight w:val="none"/>
          <w:lang w:val="en-US" w:eastAsia="zh-CN"/>
        </w:rPr>
        <w:t>4</w:t>
      </w:r>
      <w:r>
        <w:rPr>
          <w:rFonts w:hint="default" w:ascii="Arial Narrow" w:hAnsi="Arial Narrow" w:eastAsia="宋体" w:cs="Arial Narrow"/>
          <w:color w:val="auto"/>
          <w:kern w:val="0"/>
          <w:sz w:val="21"/>
          <w:szCs w:val="21"/>
          <w:highlight w:val="none"/>
          <w:lang w:val="en-US" w:eastAsia="zh-CN"/>
        </w:rPr>
        <w:t>,</w:t>
      </w:r>
      <w:r>
        <w:rPr>
          <w:rFonts w:hint="eastAsia" w:ascii="Arial Narrow" w:hAnsi="Arial Narrow" w:cs="Arial Narrow"/>
          <w:color w:val="auto"/>
          <w:kern w:val="0"/>
          <w:sz w:val="21"/>
          <w:szCs w:val="21"/>
          <w:highlight w:val="none"/>
          <w:lang w:val="en-US" w:eastAsia="zh-CN"/>
        </w:rPr>
        <w:t>639.31</w:t>
      </w:r>
      <w:r>
        <w:rPr>
          <w:rFonts w:hint="default" w:ascii="Arial Narrow" w:hAnsi="Arial Narrow" w:eastAsia="宋体" w:cs="Arial Narrow"/>
          <w:color w:val="auto"/>
          <w:kern w:val="0"/>
          <w:sz w:val="21"/>
          <w:szCs w:val="21"/>
          <w:highlight w:val="none"/>
          <w:lang w:val="en-US" w:eastAsia="zh-CN"/>
        </w:rPr>
        <w:t>万元，部门预决算差异率</w:t>
      </w:r>
      <w:r>
        <w:rPr>
          <w:rFonts w:hint="eastAsia" w:ascii="Arial Narrow" w:hAnsi="Arial Narrow" w:cs="Arial Narrow"/>
          <w:color w:val="auto"/>
          <w:kern w:val="0"/>
          <w:sz w:val="21"/>
          <w:szCs w:val="21"/>
          <w:highlight w:val="none"/>
          <w:lang w:val="en-US" w:eastAsia="zh-CN"/>
        </w:rPr>
        <w:t>12.80</w:t>
      </w:r>
      <w:r>
        <w:rPr>
          <w:rFonts w:hint="default" w:ascii="Arial Narrow" w:hAnsi="Arial Narrow" w:eastAsia="宋体" w:cs="Arial Narrow"/>
          <w:color w:val="auto"/>
          <w:kern w:val="0"/>
          <w:sz w:val="21"/>
          <w:szCs w:val="21"/>
          <w:highlight w:val="none"/>
          <w:lang w:val="en-US" w:eastAsia="zh-CN"/>
        </w:rPr>
        <w:t>%。</w:t>
      </w:r>
    </w:p>
    <w:p w14:paraId="099FEE14">
      <w:pPr>
        <w:pStyle w:val="2"/>
        <w:pageBreakBefore w:val="0"/>
        <w:kinsoku/>
        <w:wordWrap/>
        <w:overflowPunct/>
        <w:topLinePunct w:val="0"/>
        <w:autoSpaceDE/>
        <w:autoSpaceDN/>
        <w:bidi w:val="0"/>
        <w:adjustRightInd/>
        <w:snapToGrid/>
        <w:spacing w:before="0" w:after="0" w:line="520" w:lineRule="exact"/>
        <w:ind w:firstLine="422" w:firstLineChars="200"/>
        <w:rPr>
          <w:rFonts w:hint="default" w:ascii="Arial Narrow" w:hAnsi="Arial Narrow" w:eastAsia="宋体" w:cs="Arial Narrow"/>
          <w:color w:val="auto"/>
          <w:sz w:val="21"/>
          <w:szCs w:val="21"/>
          <w:highlight w:val="none"/>
        </w:rPr>
      </w:pPr>
      <w:bookmarkStart w:id="82" w:name="_Toc9291"/>
      <w:bookmarkStart w:id="83" w:name="_Toc12656"/>
      <w:bookmarkStart w:id="84" w:name="_Toc16425"/>
      <w:r>
        <w:rPr>
          <w:rFonts w:hint="default" w:ascii="Arial Narrow" w:hAnsi="Arial Narrow" w:eastAsia="宋体" w:cs="Arial Narrow"/>
          <w:color w:val="auto"/>
          <w:sz w:val="21"/>
          <w:szCs w:val="21"/>
          <w:highlight w:val="none"/>
        </w:rPr>
        <w:t>五、总体评价结论</w:t>
      </w:r>
      <w:bookmarkEnd w:id="80"/>
      <w:bookmarkEnd w:id="81"/>
      <w:bookmarkEnd w:id="82"/>
      <w:bookmarkEnd w:id="83"/>
      <w:bookmarkEnd w:id="84"/>
    </w:p>
    <w:p w14:paraId="34724178">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default" w:ascii="Arial Narrow" w:hAnsi="Arial Narrow" w:eastAsia="宋体" w:cs="Arial Narrow"/>
          <w:color w:val="auto"/>
          <w:sz w:val="21"/>
          <w:szCs w:val="21"/>
          <w:highlight w:val="none"/>
        </w:rPr>
      </w:pPr>
      <w:bookmarkStart w:id="85" w:name="_Toc5804"/>
      <w:bookmarkStart w:id="86" w:name="_Toc12126"/>
      <w:bookmarkStart w:id="87" w:name="_Toc6070"/>
      <w:bookmarkStart w:id="88" w:name="_Toc3163"/>
      <w:bookmarkStart w:id="89" w:name="_Toc32043"/>
      <w:r>
        <w:rPr>
          <w:rFonts w:hint="default" w:ascii="Arial Narrow" w:hAnsi="Arial Narrow" w:eastAsia="宋体" w:cs="Arial Narrow"/>
          <w:color w:val="auto"/>
          <w:sz w:val="21"/>
          <w:szCs w:val="21"/>
          <w:highlight w:val="none"/>
        </w:rPr>
        <w:t>（一）评价得分情况</w:t>
      </w:r>
      <w:bookmarkEnd w:id="85"/>
      <w:bookmarkEnd w:id="86"/>
      <w:bookmarkEnd w:id="87"/>
      <w:bookmarkEnd w:id="88"/>
      <w:bookmarkEnd w:id="89"/>
    </w:p>
    <w:p w14:paraId="1043EFDC">
      <w:pPr>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textAlignment w:val="auto"/>
        <w:rPr>
          <w:rFonts w:hint="default" w:ascii="Arial Narrow" w:hAnsi="Arial Narrow" w:eastAsia="宋体" w:cs="Arial Narrow"/>
          <w:color w:val="auto"/>
          <w:kern w:val="0"/>
          <w:sz w:val="21"/>
          <w:szCs w:val="21"/>
          <w:highlight w:val="none"/>
          <w:lang w:val="en-US" w:eastAsia="zh-CN"/>
        </w:rPr>
      </w:pPr>
      <w:bookmarkStart w:id="90" w:name="_Toc16017"/>
      <w:bookmarkStart w:id="91" w:name="_Toc26024"/>
      <w:bookmarkStart w:id="92" w:name="_Toc20594"/>
      <w:r>
        <w:rPr>
          <w:rFonts w:hint="default" w:ascii="Arial Narrow" w:hAnsi="Arial Narrow" w:eastAsia="宋体" w:cs="Arial Narrow"/>
          <w:color w:val="auto"/>
          <w:kern w:val="0"/>
          <w:sz w:val="21"/>
          <w:szCs w:val="21"/>
          <w:highlight w:val="none"/>
          <w:lang w:val="en-US" w:eastAsia="zh-CN"/>
        </w:rPr>
        <w:t>经过专家函评，市委研究室2024年部门整体支出综合评价得分90.18分，其中：部门决策13.33分，部门管理34.92分，部门绩效41.93分，综合绩效评定结论为“优”。</w:t>
      </w:r>
      <w:bookmarkEnd w:id="90"/>
      <w:bookmarkEnd w:id="91"/>
      <w:bookmarkEnd w:id="92"/>
    </w:p>
    <w:p w14:paraId="61D588FC">
      <w:pPr>
        <w:keepNext w:val="0"/>
        <w:keepLines w:val="0"/>
        <w:pageBreakBefore w:val="0"/>
        <w:kinsoku/>
        <w:wordWrap/>
        <w:overflowPunct/>
        <w:topLinePunct w:val="0"/>
        <w:autoSpaceDE/>
        <w:autoSpaceDN/>
        <w:bidi w:val="0"/>
        <w:adjustRightInd/>
        <w:snapToGrid/>
        <w:spacing w:line="520" w:lineRule="exact"/>
        <w:ind w:left="0" w:leftChars="0" w:firstLine="0" w:firstLineChars="0"/>
        <w:jc w:val="left"/>
        <w:outlineLvl w:val="9"/>
        <w:rPr>
          <w:rFonts w:hint="default" w:ascii="Arial Narrow" w:hAnsi="Arial Narrow" w:eastAsia="宋体" w:cs="Arial Narrow"/>
          <w:color w:val="auto"/>
          <w:sz w:val="21"/>
          <w:szCs w:val="21"/>
          <w:highlight w:val="none"/>
        </w:rPr>
      </w:pPr>
      <w:bookmarkStart w:id="93" w:name="_Toc30482"/>
      <w:r>
        <w:rPr>
          <w:rFonts w:hint="default" w:ascii="Arial Narrow" w:hAnsi="Arial Narrow" w:eastAsia="宋体" w:cs="Arial Narrow"/>
          <w:b/>
          <w:bCs/>
          <w:color w:val="auto"/>
          <w:sz w:val="21"/>
          <w:szCs w:val="21"/>
          <w:highlight w:val="none"/>
          <w:lang w:val="en-US" w:eastAsia="zh-CN"/>
        </w:rPr>
        <w:t>表3</w:t>
      </w:r>
      <w:r>
        <w:rPr>
          <w:rFonts w:hint="eastAsia" w:ascii="Arial Narrow" w:hAnsi="Arial Narrow" w:cs="Arial Narrow"/>
          <w:b/>
          <w:bCs/>
          <w:color w:val="auto"/>
          <w:sz w:val="21"/>
          <w:szCs w:val="21"/>
          <w:highlight w:val="none"/>
          <w:lang w:val="en-US" w:eastAsia="zh-CN"/>
        </w:rPr>
        <w:t xml:space="preserve">                             </w:t>
      </w:r>
      <w:r>
        <w:rPr>
          <w:rFonts w:hint="default" w:ascii="Arial Narrow" w:hAnsi="Arial Narrow" w:eastAsia="宋体" w:cs="Arial Narrow"/>
          <w:b/>
          <w:bCs/>
          <w:color w:val="auto"/>
          <w:sz w:val="21"/>
          <w:szCs w:val="21"/>
          <w:highlight w:val="none"/>
          <w:lang w:val="en-US" w:eastAsia="zh-CN"/>
        </w:rPr>
        <w:t>绩效指标得分简表</w:t>
      </w:r>
      <w:bookmarkEnd w:id="93"/>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2526"/>
        <w:gridCol w:w="1828"/>
        <w:gridCol w:w="2093"/>
      </w:tblGrid>
      <w:tr w14:paraId="7E7D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881" w:type="dxa"/>
            <w:noWrap w:val="0"/>
            <w:vAlign w:val="center"/>
          </w:tcPr>
          <w:p w14:paraId="4B4657F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一级指标</w:t>
            </w:r>
          </w:p>
        </w:tc>
        <w:tc>
          <w:tcPr>
            <w:tcW w:w="2526" w:type="dxa"/>
            <w:noWrap w:val="0"/>
            <w:vAlign w:val="center"/>
          </w:tcPr>
          <w:p w14:paraId="10FDA24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二级指标</w:t>
            </w:r>
          </w:p>
        </w:tc>
        <w:tc>
          <w:tcPr>
            <w:tcW w:w="1828" w:type="dxa"/>
            <w:noWrap w:val="0"/>
            <w:vAlign w:val="center"/>
          </w:tcPr>
          <w:p w14:paraId="1C23B5D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分值</w:t>
            </w:r>
          </w:p>
        </w:tc>
        <w:tc>
          <w:tcPr>
            <w:tcW w:w="2093" w:type="dxa"/>
            <w:noWrap w:val="0"/>
            <w:vAlign w:val="center"/>
          </w:tcPr>
          <w:p w14:paraId="2DC3925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得分</w:t>
            </w:r>
          </w:p>
        </w:tc>
      </w:tr>
      <w:tr w14:paraId="2CDF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81" w:type="dxa"/>
            <w:vMerge w:val="restart"/>
            <w:noWrap w:val="0"/>
            <w:vAlign w:val="center"/>
          </w:tcPr>
          <w:p w14:paraId="050B6E6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bookmarkStart w:id="94" w:name="OLE_LINK2" w:colFirst="3" w:colLast="3"/>
            <w:bookmarkStart w:id="95" w:name="OLE_LINK3" w:colFirst="3" w:colLast="3"/>
            <w:r>
              <w:rPr>
                <w:rFonts w:hint="default" w:ascii="Arial Narrow" w:hAnsi="Arial Narrow" w:eastAsia="宋体" w:cs="Arial Narrow"/>
                <w:i w:val="0"/>
                <w:iCs w:val="0"/>
                <w:color w:val="auto"/>
                <w:kern w:val="0"/>
                <w:sz w:val="21"/>
                <w:szCs w:val="21"/>
                <w:highlight w:val="none"/>
                <w:u w:val="none"/>
                <w:lang w:val="en-US" w:eastAsia="zh-CN" w:bidi="ar"/>
              </w:rPr>
              <w:t>部门决策</w:t>
            </w:r>
          </w:p>
          <w:p w14:paraId="52A1BC4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（15分）</w:t>
            </w:r>
          </w:p>
        </w:tc>
        <w:tc>
          <w:tcPr>
            <w:tcW w:w="2526" w:type="dxa"/>
            <w:noWrap w:val="0"/>
            <w:vAlign w:val="center"/>
          </w:tcPr>
          <w:p w14:paraId="3486DFA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Style w:val="29"/>
                <w:rFonts w:hint="default" w:ascii="Arial Narrow" w:hAnsi="Arial Narrow" w:eastAsia="宋体" w:cs="Arial Narrow"/>
                <w:color w:val="auto"/>
                <w:sz w:val="21"/>
                <w:szCs w:val="21"/>
                <w:highlight w:val="none"/>
                <w:lang w:val="en-US" w:eastAsia="zh-CN" w:bidi="ar"/>
              </w:rPr>
              <w:t>目标设定　</w:t>
            </w:r>
          </w:p>
        </w:tc>
        <w:tc>
          <w:tcPr>
            <w:tcW w:w="1828" w:type="dxa"/>
            <w:noWrap w:val="0"/>
            <w:vAlign w:val="center"/>
          </w:tcPr>
          <w:p w14:paraId="4597948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6</w:t>
            </w:r>
          </w:p>
        </w:tc>
        <w:tc>
          <w:tcPr>
            <w:tcW w:w="2093" w:type="dxa"/>
            <w:noWrap w:val="0"/>
            <w:vAlign w:val="center"/>
          </w:tcPr>
          <w:p w14:paraId="3E07942A">
            <w:pPr>
              <w:keepNext w:val="0"/>
              <w:keepLines w:val="0"/>
              <w:widowControl/>
              <w:suppressLineNumbers w:val="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Arial Narrow" w:cs="Arial Narrow"/>
                <w:i w:val="0"/>
                <w:iCs w:val="0"/>
                <w:color w:val="auto"/>
                <w:kern w:val="0"/>
                <w:sz w:val="21"/>
                <w:szCs w:val="21"/>
                <w:highlight w:val="none"/>
                <w:u w:val="none"/>
                <w:lang w:val="en-US" w:eastAsia="zh-CN" w:bidi="ar"/>
              </w:rPr>
              <w:t>4.9</w:t>
            </w:r>
            <w:r>
              <w:rPr>
                <w:rFonts w:hint="eastAsia" w:ascii="Arial Narrow" w:hAnsi="Arial Narrow" w:eastAsia="Arial Narrow" w:cs="Arial Narrow"/>
                <w:i w:val="0"/>
                <w:iCs w:val="0"/>
                <w:color w:val="auto"/>
                <w:kern w:val="0"/>
                <w:sz w:val="21"/>
                <w:szCs w:val="21"/>
                <w:highlight w:val="none"/>
                <w:u w:val="none"/>
                <w:lang w:val="en-US" w:eastAsia="zh-CN" w:bidi="ar"/>
              </w:rPr>
              <w:t>7</w:t>
            </w:r>
          </w:p>
        </w:tc>
      </w:tr>
      <w:tr w14:paraId="0C261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81" w:type="dxa"/>
            <w:vMerge w:val="continue"/>
            <w:noWrap w:val="0"/>
            <w:vAlign w:val="center"/>
          </w:tcPr>
          <w:p w14:paraId="08951250">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default" w:ascii="Arial Narrow" w:hAnsi="Arial Narrow" w:eastAsia="宋体" w:cs="Arial Narrow"/>
                <w:i w:val="0"/>
                <w:iCs w:val="0"/>
                <w:color w:val="auto"/>
                <w:sz w:val="21"/>
                <w:szCs w:val="21"/>
                <w:highlight w:val="none"/>
                <w:u w:val="none"/>
              </w:rPr>
            </w:pPr>
          </w:p>
        </w:tc>
        <w:tc>
          <w:tcPr>
            <w:tcW w:w="2526" w:type="dxa"/>
            <w:noWrap w:val="0"/>
            <w:vAlign w:val="center"/>
          </w:tcPr>
          <w:p w14:paraId="5DB8D1C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Style w:val="29"/>
                <w:rFonts w:hint="default" w:ascii="Arial Narrow" w:hAnsi="Arial Narrow" w:eastAsia="宋体" w:cs="Arial Narrow"/>
                <w:color w:val="auto"/>
                <w:sz w:val="21"/>
                <w:szCs w:val="21"/>
                <w:highlight w:val="none"/>
                <w:lang w:val="en-US" w:eastAsia="zh-CN" w:bidi="ar"/>
              </w:rPr>
              <w:t>决策过程　</w:t>
            </w:r>
          </w:p>
        </w:tc>
        <w:tc>
          <w:tcPr>
            <w:tcW w:w="1828" w:type="dxa"/>
            <w:noWrap w:val="0"/>
            <w:vAlign w:val="center"/>
          </w:tcPr>
          <w:p w14:paraId="23FB14B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3</w:t>
            </w:r>
          </w:p>
        </w:tc>
        <w:tc>
          <w:tcPr>
            <w:tcW w:w="2093" w:type="dxa"/>
            <w:noWrap w:val="0"/>
            <w:vAlign w:val="center"/>
          </w:tcPr>
          <w:p w14:paraId="1D318B80">
            <w:pPr>
              <w:keepNext w:val="0"/>
              <w:keepLines w:val="0"/>
              <w:widowControl/>
              <w:suppressLineNumbers w:val="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Arial Narrow" w:cs="Arial Narrow"/>
                <w:i w:val="0"/>
                <w:iCs w:val="0"/>
                <w:color w:val="auto"/>
                <w:kern w:val="0"/>
                <w:sz w:val="21"/>
                <w:szCs w:val="21"/>
                <w:highlight w:val="none"/>
                <w:u w:val="none"/>
                <w:lang w:val="en-US" w:eastAsia="zh-CN" w:bidi="ar"/>
              </w:rPr>
              <w:t>2.</w:t>
            </w:r>
            <w:r>
              <w:rPr>
                <w:rFonts w:hint="eastAsia" w:ascii="Arial Narrow" w:hAnsi="Arial Narrow" w:eastAsia="Arial Narrow" w:cs="Arial Narrow"/>
                <w:i w:val="0"/>
                <w:iCs w:val="0"/>
                <w:color w:val="auto"/>
                <w:kern w:val="0"/>
                <w:sz w:val="21"/>
                <w:szCs w:val="21"/>
                <w:highlight w:val="none"/>
                <w:u w:val="none"/>
                <w:lang w:val="en-US" w:eastAsia="zh-CN" w:bidi="ar"/>
              </w:rPr>
              <w:t>73</w:t>
            </w:r>
          </w:p>
        </w:tc>
      </w:tr>
      <w:tr w14:paraId="27FF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81" w:type="dxa"/>
            <w:vMerge w:val="continue"/>
            <w:noWrap w:val="0"/>
            <w:vAlign w:val="center"/>
          </w:tcPr>
          <w:p w14:paraId="5150FFB2">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default" w:ascii="Arial Narrow" w:hAnsi="Arial Narrow" w:eastAsia="宋体" w:cs="Arial Narrow"/>
                <w:i w:val="0"/>
                <w:iCs w:val="0"/>
                <w:color w:val="auto"/>
                <w:sz w:val="21"/>
                <w:szCs w:val="21"/>
                <w:highlight w:val="none"/>
                <w:u w:val="none"/>
              </w:rPr>
            </w:pPr>
          </w:p>
        </w:tc>
        <w:tc>
          <w:tcPr>
            <w:tcW w:w="2526" w:type="dxa"/>
            <w:noWrap w:val="0"/>
            <w:vAlign w:val="center"/>
          </w:tcPr>
          <w:p w14:paraId="3ABEA24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Style w:val="29"/>
                <w:rFonts w:hint="default" w:ascii="Arial Narrow" w:hAnsi="Arial Narrow" w:eastAsia="宋体" w:cs="Arial Narrow"/>
                <w:color w:val="auto"/>
                <w:sz w:val="21"/>
                <w:szCs w:val="21"/>
                <w:highlight w:val="none"/>
                <w:lang w:val="en-US" w:eastAsia="zh-CN" w:bidi="ar"/>
              </w:rPr>
              <w:t>资金分配</w:t>
            </w:r>
          </w:p>
        </w:tc>
        <w:tc>
          <w:tcPr>
            <w:tcW w:w="1828" w:type="dxa"/>
            <w:noWrap w:val="0"/>
            <w:vAlign w:val="center"/>
          </w:tcPr>
          <w:p w14:paraId="125F76E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6</w:t>
            </w:r>
          </w:p>
        </w:tc>
        <w:tc>
          <w:tcPr>
            <w:tcW w:w="2093" w:type="dxa"/>
            <w:noWrap w:val="0"/>
            <w:vAlign w:val="center"/>
          </w:tcPr>
          <w:p w14:paraId="0834A3B6">
            <w:pPr>
              <w:keepNext w:val="0"/>
              <w:keepLines w:val="0"/>
              <w:widowControl/>
              <w:suppressLineNumbers w:val="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Arial Narrow" w:cs="Arial Narrow"/>
                <w:i w:val="0"/>
                <w:iCs w:val="0"/>
                <w:color w:val="auto"/>
                <w:kern w:val="0"/>
                <w:sz w:val="21"/>
                <w:szCs w:val="21"/>
                <w:highlight w:val="none"/>
                <w:u w:val="none"/>
                <w:lang w:val="en-US" w:eastAsia="zh-CN" w:bidi="ar"/>
              </w:rPr>
              <w:t>5.</w:t>
            </w:r>
            <w:r>
              <w:rPr>
                <w:rFonts w:hint="eastAsia" w:ascii="Arial Narrow" w:hAnsi="Arial Narrow" w:eastAsia="Arial Narrow" w:cs="Arial Narrow"/>
                <w:i w:val="0"/>
                <w:iCs w:val="0"/>
                <w:color w:val="auto"/>
                <w:kern w:val="0"/>
                <w:sz w:val="21"/>
                <w:szCs w:val="21"/>
                <w:highlight w:val="none"/>
                <w:u w:val="none"/>
                <w:lang w:val="en-US" w:eastAsia="zh-CN" w:bidi="ar"/>
              </w:rPr>
              <w:t>63</w:t>
            </w:r>
          </w:p>
        </w:tc>
      </w:tr>
      <w:tr w14:paraId="4834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81" w:type="dxa"/>
            <w:vMerge w:val="restart"/>
            <w:noWrap w:val="0"/>
            <w:vAlign w:val="center"/>
          </w:tcPr>
          <w:p w14:paraId="7199EE4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部门管理</w:t>
            </w:r>
          </w:p>
          <w:p w14:paraId="1A2B820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（40分）</w:t>
            </w:r>
          </w:p>
        </w:tc>
        <w:tc>
          <w:tcPr>
            <w:tcW w:w="2526" w:type="dxa"/>
            <w:noWrap w:val="0"/>
            <w:vAlign w:val="center"/>
          </w:tcPr>
          <w:p w14:paraId="3C39A73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Style w:val="29"/>
                <w:rFonts w:hint="default" w:ascii="Arial Narrow" w:hAnsi="Arial Narrow" w:eastAsia="宋体" w:cs="Arial Narrow"/>
                <w:color w:val="auto"/>
                <w:sz w:val="21"/>
                <w:szCs w:val="21"/>
                <w:highlight w:val="none"/>
                <w:lang w:val="en-US" w:eastAsia="zh-CN" w:bidi="ar"/>
              </w:rPr>
              <w:t>预算执行</w:t>
            </w:r>
          </w:p>
        </w:tc>
        <w:tc>
          <w:tcPr>
            <w:tcW w:w="1828" w:type="dxa"/>
            <w:noWrap w:val="0"/>
            <w:vAlign w:val="center"/>
          </w:tcPr>
          <w:p w14:paraId="5462527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15</w:t>
            </w:r>
          </w:p>
        </w:tc>
        <w:tc>
          <w:tcPr>
            <w:tcW w:w="2093" w:type="dxa"/>
            <w:noWrap w:val="0"/>
            <w:vAlign w:val="center"/>
          </w:tcPr>
          <w:p w14:paraId="0962A86C">
            <w:pPr>
              <w:keepNext w:val="0"/>
              <w:keepLines w:val="0"/>
              <w:widowControl/>
              <w:suppressLineNumbers w:val="0"/>
              <w:jc w:val="center"/>
              <w:textAlignment w:val="center"/>
              <w:rPr>
                <w:rFonts w:hint="default" w:ascii="Arial Narrow" w:hAnsi="Arial Narrow" w:eastAsia="Arial Narrow" w:cs="Arial Narrow"/>
                <w:i w:val="0"/>
                <w:iCs w:val="0"/>
                <w:color w:val="auto"/>
                <w:kern w:val="0"/>
                <w:sz w:val="21"/>
                <w:szCs w:val="21"/>
                <w:highlight w:val="none"/>
                <w:u w:val="none"/>
                <w:lang w:val="en-US" w:eastAsia="zh-CN" w:bidi="ar"/>
              </w:rPr>
            </w:pPr>
            <w:r>
              <w:rPr>
                <w:rFonts w:hint="eastAsia" w:ascii="Arial Narrow" w:hAnsi="Arial Narrow" w:eastAsia="Arial Narrow" w:cs="Arial Narrow"/>
                <w:i w:val="0"/>
                <w:iCs w:val="0"/>
                <w:color w:val="auto"/>
                <w:kern w:val="0"/>
                <w:sz w:val="21"/>
                <w:szCs w:val="21"/>
                <w:highlight w:val="none"/>
                <w:u w:val="none"/>
                <w:lang w:val="en-US" w:eastAsia="zh-CN" w:bidi="ar"/>
              </w:rPr>
              <w:t>12.58</w:t>
            </w:r>
          </w:p>
        </w:tc>
      </w:tr>
      <w:tr w14:paraId="3763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81" w:type="dxa"/>
            <w:vMerge w:val="continue"/>
            <w:noWrap w:val="0"/>
            <w:vAlign w:val="center"/>
          </w:tcPr>
          <w:p w14:paraId="47A14309">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default" w:ascii="Arial Narrow" w:hAnsi="Arial Narrow" w:eastAsia="宋体" w:cs="Arial Narrow"/>
                <w:i w:val="0"/>
                <w:iCs w:val="0"/>
                <w:color w:val="auto"/>
                <w:sz w:val="21"/>
                <w:szCs w:val="21"/>
                <w:highlight w:val="none"/>
                <w:u w:val="none"/>
              </w:rPr>
            </w:pPr>
          </w:p>
        </w:tc>
        <w:tc>
          <w:tcPr>
            <w:tcW w:w="2526" w:type="dxa"/>
            <w:noWrap w:val="0"/>
            <w:vAlign w:val="center"/>
          </w:tcPr>
          <w:p w14:paraId="77C0CFC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Style w:val="29"/>
                <w:rFonts w:hint="default" w:ascii="Arial Narrow" w:hAnsi="Arial Narrow" w:eastAsia="宋体" w:cs="Arial Narrow"/>
                <w:color w:val="auto"/>
                <w:sz w:val="21"/>
                <w:szCs w:val="21"/>
                <w:highlight w:val="none"/>
                <w:lang w:val="en-US" w:eastAsia="zh-CN" w:bidi="ar"/>
              </w:rPr>
              <w:t>预算管理</w:t>
            </w:r>
          </w:p>
        </w:tc>
        <w:tc>
          <w:tcPr>
            <w:tcW w:w="1828" w:type="dxa"/>
            <w:noWrap w:val="0"/>
            <w:vAlign w:val="center"/>
          </w:tcPr>
          <w:p w14:paraId="64DD059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15</w:t>
            </w:r>
          </w:p>
        </w:tc>
        <w:tc>
          <w:tcPr>
            <w:tcW w:w="2093" w:type="dxa"/>
            <w:noWrap w:val="0"/>
            <w:vAlign w:val="center"/>
          </w:tcPr>
          <w:p w14:paraId="22F594B2">
            <w:pPr>
              <w:keepNext w:val="0"/>
              <w:keepLines w:val="0"/>
              <w:widowControl/>
              <w:suppressLineNumbers w:val="0"/>
              <w:jc w:val="center"/>
              <w:textAlignment w:val="center"/>
              <w:rPr>
                <w:rFonts w:hint="default" w:ascii="Arial Narrow" w:hAnsi="Arial Narrow" w:eastAsia="Arial Narrow" w:cs="Arial Narrow"/>
                <w:i w:val="0"/>
                <w:iCs w:val="0"/>
                <w:color w:val="auto"/>
                <w:kern w:val="0"/>
                <w:sz w:val="21"/>
                <w:szCs w:val="21"/>
                <w:highlight w:val="none"/>
                <w:u w:val="none"/>
                <w:lang w:val="en-US" w:eastAsia="zh-CN" w:bidi="ar"/>
              </w:rPr>
            </w:pPr>
            <w:r>
              <w:rPr>
                <w:rFonts w:hint="eastAsia" w:ascii="Arial Narrow" w:hAnsi="Arial Narrow" w:eastAsia="Arial Narrow" w:cs="Arial Narrow"/>
                <w:i w:val="0"/>
                <w:iCs w:val="0"/>
                <w:color w:val="auto"/>
                <w:kern w:val="0"/>
                <w:sz w:val="21"/>
                <w:szCs w:val="21"/>
                <w:highlight w:val="none"/>
                <w:u w:val="none"/>
                <w:lang w:val="en-US" w:eastAsia="zh-CN" w:bidi="ar"/>
              </w:rPr>
              <w:t>13.57</w:t>
            </w:r>
          </w:p>
        </w:tc>
      </w:tr>
      <w:tr w14:paraId="0D9B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881" w:type="dxa"/>
            <w:vMerge w:val="continue"/>
            <w:noWrap w:val="0"/>
            <w:vAlign w:val="center"/>
          </w:tcPr>
          <w:p w14:paraId="775B78DA">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default" w:ascii="Arial Narrow" w:hAnsi="Arial Narrow" w:eastAsia="宋体" w:cs="Arial Narrow"/>
                <w:i w:val="0"/>
                <w:iCs w:val="0"/>
                <w:color w:val="auto"/>
                <w:sz w:val="21"/>
                <w:szCs w:val="21"/>
                <w:highlight w:val="none"/>
                <w:u w:val="none"/>
              </w:rPr>
            </w:pPr>
          </w:p>
        </w:tc>
        <w:tc>
          <w:tcPr>
            <w:tcW w:w="2526" w:type="dxa"/>
            <w:noWrap w:val="0"/>
            <w:vAlign w:val="center"/>
          </w:tcPr>
          <w:p w14:paraId="7C69D0D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Style w:val="29"/>
                <w:rFonts w:hint="default" w:ascii="Arial Narrow" w:hAnsi="Arial Narrow" w:eastAsia="宋体" w:cs="Arial Narrow"/>
                <w:color w:val="auto"/>
                <w:sz w:val="21"/>
                <w:szCs w:val="21"/>
                <w:highlight w:val="none"/>
                <w:lang w:val="en-US" w:eastAsia="zh-CN" w:bidi="ar"/>
              </w:rPr>
              <w:t>绩效管理</w:t>
            </w:r>
          </w:p>
        </w:tc>
        <w:tc>
          <w:tcPr>
            <w:tcW w:w="1828" w:type="dxa"/>
            <w:noWrap w:val="0"/>
            <w:vAlign w:val="center"/>
          </w:tcPr>
          <w:p w14:paraId="335A0EE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5</w:t>
            </w:r>
          </w:p>
        </w:tc>
        <w:tc>
          <w:tcPr>
            <w:tcW w:w="2093" w:type="dxa"/>
            <w:noWrap w:val="0"/>
            <w:vAlign w:val="center"/>
          </w:tcPr>
          <w:p w14:paraId="26131BAD">
            <w:pPr>
              <w:keepNext w:val="0"/>
              <w:keepLines w:val="0"/>
              <w:widowControl/>
              <w:suppressLineNumbers w:val="0"/>
              <w:jc w:val="center"/>
              <w:textAlignment w:val="center"/>
              <w:rPr>
                <w:rFonts w:hint="default" w:ascii="Arial Narrow" w:hAnsi="Arial Narrow" w:eastAsia="Arial Narrow" w:cs="Arial Narrow"/>
                <w:i w:val="0"/>
                <w:iCs w:val="0"/>
                <w:color w:val="auto"/>
                <w:kern w:val="0"/>
                <w:sz w:val="21"/>
                <w:szCs w:val="21"/>
                <w:highlight w:val="none"/>
                <w:u w:val="none"/>
                <w:lang w:val="en-US" w:eastAsia="zh-CN" w:bidi="ar"/>
              </w:rPr>
            </w:pPr>
            <w:r>
              <w:rPr>
                <w:rFonts w:hint="eastAsia" w:ascii="Arial Narrow" w:hAnsi="Arial Narrow" w:eastAsia="Arial Narrow" w:cs="Arial Narrow"/>
                <w:i w:val="0"/>
                <w:iCs w:val="0"/>
                <w:color w:val="auto"/>
                <w:kern w:val="0"/>
                <w:sz w:val="21"/>
                <w:szCs w:val="21"/>
                <w:highlight w:val="none"/>
                <w:u w:val="none"/>
                <w:lang w:val="en-US" w:eastAsia="zh-CN" w:bidi="ar"/>
              </w:rPr>
              <w:t>4.27</w:t>
            </w:r>
          </w:p>
        </w:tc>
      </w:tr>
      <w:tr w14:paraId="1E0D1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881" w:type="dxa"/>
            <w:vMerge w:val="continue"/>
            <w:noWrap w:val="0"/>
            <w:vAlign w:val="center"/>
          </w:tcPr>
          <w:p w14:paraId="11530AD7">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default" w:ascii="Arial Narrow" w:hAnsi="Arial Narrow" w:eastAsia="宋体" w:cs="Arial Narrow"/>
                <w:i w:val="0"/>
                <w:iCs w:val="0"/>
                <w:color w:val="auto"/>
                <w:sz w:val="21"/>
                <w:szCs w:val="21"/>
                <w:highlight w:val="none"/>
                <w:u w:val="none"/>
              </w:rPr>
            </w:pPr>
          </w:p>
        </w:tc>
        <w:tc>
          <w:tcPr>
            <w:tcW w:w="2526" w:type="dxa"/>
            <w:noWrap w:val="0"/>
            <w:vAlign w:val="center"/>
          </w:tcPr>
          <w:p w14:paraId="5565310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Style w:val="29"/>
                <w:rFonts w:hint="default" w:ascii="Arial Narrow" w:hAnsi="Arial Narrow" w:eastAsia="宋体" w:cs="Arial Narrow"/>
                <w:color w:val="auto"/>
                <w:sz w:val="21"/>
                <w:szCs w:val="21"/>
                <w:highlight w:val="none"/>
                <w:lang w:val="en-US" w:eastAsia="zh-CN" w:bidi="ar"/>
              </w:rPr>
              <w:t>资产管理</w:t>
            </w:r>
          </w:p>
        </w:tc>
        <w:tc>
          <w:tcPr>
            <w:tcW w:w="1828" w:type="dxa"/>
            <w:noWrap w:val="0"/>
            <w:vAlign w:val="center"/>
          </w:tcPr>
          <w:p w14:paraId="5FA3200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5</w:t>
            </w:r>
          </w:p>
        </w:tc>
        <w:tc>
          <w:tcPr>
            <w:tcW w:w="2093" w:type="dxa"/>
            <w:noWrap w:val="0"/>
            <w:vAlign w:val="center"/>
          </w:tcPr>
          <w:p w14:paraId="74C0F8C5">
            <w:pPr>
              <w:keepNext w:val="0"/>
              <w:keepLines w:val="0"/>
              <w:widowControl/>
              <w:suppressLineNumbers w:val="0"/>
              <w:jc w:val="center"/>
              <w:textAlignment w:val="center"/>
              <w:rPr>
                <w:rFonts w:hint="default" w:ascii="Arial Narrow" w:hAnsi="Arial Narrow" w:eastAsia="Arial Narrow" w:cs="Arial Narrow"/>
                <w:i w:val="0"/>
                <w:iCs w:val="0"/>
                <w:color w:val="auto"/>
                <w:kern w:val="0"/>
                <w:sz w:val="21"/>
                <w:szCs w:val="21"/>
                <w:highlight w:val="none"/>
                <w:u w:val="none"/>
                <w:lang w:val="en-US" w:eastAsia="zh-CN" w:bidi="ar"/>
              </w:rPr>
            </w:pPr>
            <w:r>
              <w:rPr>
                <w:rFonts w:hint="eastAsia" w:ascii="Arial Narrow" w:hAnsi="Arial Narrow" w:eastAsia="Arial Narrow" w:cs="Arial Narrow"/>
                <w:i w:val="0"/>
                <w:iCs w:val="0"/>
                <w:color w:val="auto"/>
                <w:kern w:val="0"/>
                <w:sz w:val="21"/>
                <w:szCs w:val="21"/>
                <w:highlight w:val="none"/>
                <w:u w:val="none"/>
                <w:lang w:val="en-US" w:eastAsia="zh-CN" w:bidi="ar"/>
              </w:rPr>
              <w:t>4.50</w:t>
            </w:r>
          </w:p>
        </w:tc>
      </w:tr>
      <w:tr w14:paraId="34A6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881" w:type="dxa"/>
            <w:vMerge w:val="restart"/>
            <w:noWrap w:val="0"/>
            <w:vAlign w:val="center"/>
          </w:tcPr>
          <w:p w14:paraId="6C5B13A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部门绩效</w:t>
            </w:r>
          </w:p>
          <w:p w14:paraId="56CAA08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（45分）</w:t>
            </w:r>
          </w:p>
        </w:tc>
        <w:tc>
          <w:tcPr>
            <w:tcW w:w="2526" w:type="dxa"/>
            <w:noWrap w:val="0"/>
            <w:vAlign w:val="center"/>
          </w:tcPr>
          <w:p w14:paraId="337A65D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Style w:val="29"/>
                <w:rFonts w:hint="default" w:ascii="Arial Narrow" w:hAnsi="Arial Narrow" w:eastAsia="宋体" w:cs="Arial Narrow"/>
                <w:color w:val="auto"/>
                <w:sz w:val="21"/>
                <w:szCs w:val="21"/>
                <w:highlight w:val="none"/>
                <w:lang w:val="en-US" w:eastAsia="zh-CN" w:bidi="ar"/>
              </w:rPr>
              <w:t>产出</w:t>
            </w:r>
          </w:p>
        </w:tc>
        <w:tc>
          <w:tcPr>
            <w:tcW w:w="1828" w:type="dxa"/>
            <w:noWrap w:val="0"/>
            <w:vAlign w:val="center"/>
          </w:tcPr>
          <w:p w14:paraId="50A1262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20</w:t>
            </w:r>
          </w:p>
        </w:tc>
        <w:tc>
          <w:tcPr>
            <w:tcW w:w="2093" w:type="dxa"/>
            <w:noWrap w:val="0"/>
            <w:vAlign w:val="center"/>
          </w:tcPr>
          <w:p w14:paraId="7AECE48E">
            <w:pPr>
              <w:keepNext w:val="0"/>
              <w:keepLines w:val="0"/>
              <w:widowControl/>
              <w:suppressLineNumbers w:val="0"/>
              <w:jc w:val="center"/>
              <w:textAlignment w:val="center"/>
              <w:rPr>
                <w:rFonts w:hint="default" w:ascii="Arial Narrow" w:hAnsi="Arial Narrow" w:eastAsia="Arial Narrow" w:cs="Arial Narrow"/>
                <w:i w:val="0"/>
                <w:iCs w:val="0"/>
                <w:color w:val="auto"/>
                <w:kern w:val="0"/>
                <w:sz w:val="21"/>
                <w:szCs w:val="21"/>
                <w:highlight w:val="none"/>
                <w:u w:val="none"/>
                <w:lang w:val="en-US" w:eastAsia="zh-CN" w:bidi="ar"/>
              </w:rPr>
            </w:pPr>
            <w:r>
              <w:rPr>
                <w:rFonts w:hint="eastAsia" w:ascii="Arial Narrow" w:hAnsi="Arial Narrow" w:eastAsia="Arial Narrow" w:cs="Arial Narrow"/>
                <w:i w:val="0"/>
                <w:iCs w:val="0"/>
                <w:color w:val="auto"/>
                <w:kern w:val="0"/>
                <w:sz w:val="21"/>
                <w:szCs w:val="21"/>
                <w:highlight w:val="none"/>
                <w:u w:val="none"/>
                <w:lang w:val="en-US" w:eastAsia="zh-CN" w:bidi="ar"/>
              </w:rPr>
              <w:t>19.57</w:t>
            </w:r>
          </w:p>
        </w:tc>
      </w:tr>
      <w:tr w14:paraId="3D7F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881" w:type="dxa"/>
            <w:vMerge w:val="continue"/>
            <w:noWrap w:val="0"/>
            <w:vAlign w:val="center"/>
          </w:tcPr>
          <w:p w14:paraId="6FEED8C6">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Arial Narrow" w:hAnsi="Arial Narrow" w:eastAsia="宋体" w:cs="Arial Narrow"/>
                <w:i w:val="0"/>
                <w:iCs w:val="0"/>
                <w:color w:val="auto"/>
                <w:sz w:val="21"/>
                <w:szCs w:val="21"/>
                <w:highlight w:val="none"/>
                <w:u w:val="none"/>
              </w:rPr>
            </w:pPr>
          </w:p>
        </w:tc>
        <w:tc>
          <w:tcPr>
            <w:tcW w:w="2526" w:type="dxa"/>
            <w:noWrap w:val="0"/>
            <w:vAlign w:val="center"/>
          </w:tcPr>
          <w:p w14:paraId="37BDA32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效果</w:t>
            </w:r>
          </w:p>
        </w:tc>
        <w:tc>
          <w:tcPr>
            <w:tcW w:w="1828" w:type="dxa"/>
            <w:noWrap w:val="0"/>
            <w:vAlign w:val="center"/>
          </w:tcPr>
          <w:p w14:paraId="191E7E0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25</w:t>
            </w:r>
          </w:p>
        </w:tc>
        <w:tc>
          <w:tcPr>
            <w:tcW w:w="2093" w:type="dxa"/>
            <w:noWrap w:val="0"/>
            <w:vAlign w:val="center"/>
          </w:tcPr>
          <w:p w14:paraId="1EFF174F">
            <w:pPr>
              <w:keepNext w:val="0"/>
              <w:keepLines w:val="0"/>
              <w:widowControl/>
              <w:suppressLineNumbers w:val="0"/>
              <w:jc w:val="center"/>
              <w:textAlignment w:val="center"/>
              <w:rPr>
                <w:rFonts w:hint="default" w:ascii="Arial Narrow" w:hAnsi="Arial Narrow" w:eastAsia="Arial Narrow" w:cs="Arial Narrow"/>
                <w:i w:val="0"/>
                <w:iCs w:val="0"/>
                <w:color w:val="auto"/>
                <w:kern w:val="0"/>
                <w:sz w:val="21"/>
                <w:szCs w:val="21"/>
                <w:highlight w:val="none"/>
                <w:u w:val="none"/>
                <w:lang w:val="en-US" w:eastAsia="zh-CN" w:bidi="ar"/>
              </w:rPr>
            </w:pPr>
            <w:r>
              <w:rPr>
                <w:rFonts w:hint="eastAsia" w:ascii="Arial Narrow" w:hAnsi="Arial Narrow" w:eastAsia="Arial Narrow" w:cs="Arial Narrow"/>
                <w:i w:val="0"/>
                <w:iCs w:val="0"/>
                <w:color w:val="auto"/>
                <w:kern w:val="0"/>
                <w:sz w:val="21"/>
                <w:szCs w:val="21"/>
                <w:highlight w:val="none"/>
                <w:u w:val="none"/>
                <w:lang w:val="en-US" w:eastAsia="zh-CN" w:bidi="ar"/>
              </w:rPr>
              <w:t>22.36</w:t>
            </w:r>
          </w:p>
        </w:tc>
      </w:tr>
      <w:tr w14:paraId="340C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4407" w:type="dxa"/>
            <w:gridSpan w:val="2"/>
            <w:noWrap w:val="0"/>
            <w:vAlign w:val="center"/>
          </w:tcPr>
          <w:p w14:paraId="7C48B4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宋体" w:cs="Arial Narrow"/>
                <w:i w:val="0"/>
                <w:iCs w:val="0"/>
                <w:color w:val="auto"/>
                <w:sz w:val="21"/>
                <w:szCs w:val="21"/>
                <w:highlight w:val="none"/>
                <w:u w:val="none"/>
              </w:rPr>
            </w:pPr>
            <w:r>
              <w:rPr>
                <w:rFonts w:hint="default" w:ascii="Arial Narrow" w:hAnsi="Arial Narrow" w:eastAsia="宋体" w:cs="Arial Narrow"/>
                <w:i w:val="0"/>
                <w:iCs w:val="0"/>
                <w:color w:val="auto"/>
                <w:kern w:val="0"/>
                <w:sz w:val="21"/>
                <w:szCs w:val="21"/>
                <w:highlight w:val="none"/>
                <w:u w:val="none"/>
                <w:lang w:val="en-US" w:eastAsia="zh-CN" w:bidi="ar"/>
              </w:rPr>
              <w:t>总计</w:t>
            </w:r>
          </w:p>
        </w:tc>
        <w:tc>
          <w:tcPr>
            <w:tcW w:w="1828" w:type="dxa"/>
            <w:noWrap w:val="0"/>
            <w:vAlign w:val="center"/>
          </w:tcPr>
          <w:p w14:paraId="3016E0F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default" w:ascii="Arial Narrow" w:hAnsi="Arial Narrow" w:eastAsia="宋体" w:cs="Arial Narrow"/>
                <w:i w:val="0"/>
                <w:iCs w:val="0"/>
                <w:color w:val="auto"/>
                <w:kern w:val="0"/>
                <w:sz w:val="21"/>
                <w:szCs w:val="21"/>
                <w:highlight w:val="none"/>
                <w:u w:val="none"/>
                <w:lang w:val="en-US" w:eastAsia="zh-CN" w:bidi="ar"/>
              </w:rPr>
            </w:pPr>
            <w:r>
              <w:rPr>
                <w:rFonts w:hint="default" w:ascii="Arial Narrow" w:hAnsi="Arial Narrow" w:eastAsia="宋体" w:cs="Arial Narrow"/>
                <w:i w:val="0"/>
                <w:iCs w:val="0"/>
                <w:color w:val="auto"/>
                <w:kern w:val="0"/>
                <w:sz w:val="21"/>
                <w:szCs w:val="21"/>
                <w:highlight w:val="none"/>
                <w:u w:val="none"/>
                <w:lang w:val="en-US" w:eastAsia="zh-CN" w:bidi="ar"/>
              </w:rPr>
              <w:t>100</w:t>
            </w:r>
          </w:p>
        </w:tc>
        <w:tc>
          <w:tcPr>
            <w:tcW w:w="2093" w:type="dxa"/>
            <w:noWrap w:val="0"/>
            <w:vAlign w:val="center"/>
          </w:tcPr>
          <w:p w14:paraId="464FB7E7">
            <w:pPr>
              <w:keepNext w:val="0"/>
              <w:keepLines w:val="0"/>
              <w:widowControl/>
              <w:suppressLineNumbers w:val="0"/>
              <w:jc w:val="center"/>
              <w:textAlignment w:val="center"/>
              <w:rPr>
                <w:rFonts w:hint="default" w:ascii="Arial Narrow" w:hAnsi="Arial Narrow" w:eastAsia="Arial Narrow" w:cs="Arial Narrow"/>
                <w:i w:val="0"/>
                <w:iCs w:val="0"/>
                <w:color w:val="auto"/>
                <w:kern w:val="0"/>
                <w:sz w:val="21"/>
                <w:szCs w:val="21"/>
                <w:highlight w:val="none"/>
                <w:u w:val="none"/>
                <w:lang w:val="en-US" w:eastAsia="zh-CN" w:bidi="ar"/>
              </w:rPr>
            </w:pPr>
            <w:r>
              <w:rPr>
                <w:rFonts w:hint="default" w:ascii="Arial Narrow" w:hAnsi="Arial Narrow" w:eastAsia="Arial Narrow" w:cs="Arial Narrow"/>
                <w:i w:val="0"/>
                <w:iCs w:val="0"/>
                <w:color w:val="auto"/>
                <w:kern w:val="0"/>
                <w:sz w:val="21"/>
                <w:szCs w:val="21"/>
                <w:highlight w:val="none"/>
                <w:u w:val="none"/>
                <w:lang w:val="en-US" w:eastAsia="zh-CN" w:bidi="ar"/>
              </w:rPr>
              <w:t>90.</w:t>
            </w:r>
            <w:r>
              <w:rPr>
                <w:rFonts w:hint="eastAsia" w:ascii="Arial Narrow" w:hAnsi="Arial Narrow" w:eastAsia="Arial Narrow" w:cs="Arial Narrow"/>
                <w:i w:val="0"/>
                <w:iCs w:val="0"/>
                <w:color w:val="auto"/>
                <w:kern w:val="0"/>
                <w:sz w:val="21"/>
                <w:szCs w:val="21"/>
                <w:highlight w:val="none"/>
                <w:u w:val="none"/>
                <w:lang w:val="en-US" w:eastAsia="zh-CN" w:bidi="ar"/>
              </w:rPr>
              <w:t>18</w:t>
            </w:r>
          </w:p>
        </w:tc>
      </w:tr>
      <w:bookmarkEnd w:id="94"/>
      <w:bookmarkEnd w:id="95"/>
    </w:tbl>
    <w:p w14:paraId="02D8930B">
      <w:pPr>
        <w:pStyle w:val="3"/>
        <w:pageBreakBefore w:val="0"/>
        <w:kinsoku/>
        <w:wordWrap/>
        <w:overflowPunct/>
        <w:topLinePunct w:val="0"/>
        <w:autoSpaceDE/>
        <w:autoSpaceDN/>
        <w:bidi w:val="0"/>
        <w:adjustRightInd/>
        <w:snapToGrid/>
        <w:spacing w:before="0" w:beforeLines="0" w:after="0" w:afterLines="0" w:line="520" w:lineRule="exact"/>
        <w:ind w:firstLine="422" w:firstLineChars="200"/>
        <w:rPr>
          <w:rFonts w:hint="default" w:ascii="Arial Narrow" w:hAnsi="Arial Narrow" w:eastAsia="宋体" w:cs="Arial Narrow"/>
          <w:color w:val="auto"/>
          <w:sz w:val="21"/>
          <w:szCs w:val="21"/>
          <w:highlight w:val="none"/>
        </w:rPr>
      </w:pPr>
      <w:bookmarkStart w:id="96" w:name="_Toc6043"/>
      <w:bookmarkStart w:id="97" w:name="_Toc2063"/>
      <w:bookmarkStart w:id="98" w:name="_Toc29455"/>
      <w:bookmarkStart w:id="99" w:name="_Toc11619"/>
      <w:bookmarkStart w:id="100" w:name="_Toc1478"/>
      <w:r>
        <w:rPr>
          <w:rFonts w:hint="default" w:ascii="Arial Narrow" w:hAnsi="Arial Narrow" w:eastAsia="宋体" w:cs="Arial Narrow"/>
          <w:color w:val="auto"/>
          <w:sz w:val="21"/>
          <w:szCs w:val="21"/>
          <w:highlight w:val="none"/>
        </w:rPr>
        <w:t>（二）存在的问题及原因分析</w:t>
      </w:r>
      <w:bookmarkEnd w:id="96"/>
      <w:bookmarkEnd w:id="97"/>
      <w:bookmarkEnd w:id="98"/>
      <w:bookmarkEnd w:id="99"/>
      <w:bookmarkEnd w:id="100"/>
    </w:p>
    <w:p w14:paraId="727F95D1">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default" w:ascii="Arial Narrow" w:hAnsi="Arial Narrow" w:eastAsia="宋体" w:cs="Arial Narrow"/>
          <w:color w:val="auto"/>
          <w:kern w:val="0"/>
          <w:sz w:val="21"/>
          <w:szCs w:val="21"/>
          <w:highlight w:val="none"/>
          <w:lang w:val="en-US" w:eastAsia="zh-CN"/>
        </w:rPr>
        <w:t>1.部</w:t>
      </w:r>
      <w:r>
        <w:rPr>
          <w:rFonts w:hint="eastAsia" w:ascii="宋体" w:hAnsi="宋体" w:eastAsia="宋体" w:cs="宋体"/>
          <w:color w:val="auto"/>
          <w:kern w:val="0"/>
          <w:sz w:val="21"/>
          <w:szCs w:val="21"/>
          <w:highlight w:val="none"/>
          <w:lang w:val="en-US" w:eastAsia="zh-CN"/>
        </w:rPr>
        <w:t>门决策方面</w:t>
      </w:r>
    </w:p>
    <w:p w14:paraId="5AA94F39">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w:t>
      </w:r>
      <w:r>
        <w:rPr>
          <w:rFonts w:hint="default" w:ascii="Arial Narrow" w:hAnsi="Arial Narrow" w:eastAsia="宋体" w:cs="Arial Narrow"/>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）部分绩效指标清晰度不足：绩效目标表针对调查研究、深化改革、信息化建设等</w:t>
      </w:r>
      <w:r>
        <w:rPr>
          <w:rFonts w:hint="default" w:ascii="Arial Narrow" w:hAnsi="Arial Narrow" w:eastAsia="宋体" w:cs="Arial Narrow"/>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个方面工作分别设置了产出和效益指标。但调查研究方面，未设置社会效益指标；深化改革方面，时效指标细化不足，未就项目实施进度进行设置，且未设置可持续影响指标；信息化建设方面，未设置时效指标，且效益指标量化不足。</w:t>
      </w:r>
    </w:p>
    <w:p w14:paraId="3FFAAEC0">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w:t>
      </w:r>
      <w:r>
        <w:rPr>
          <w:rFonts w:hint="default" w:ascii="Arial Narrow" w:hAnsi="Arial Narrow" w:eastAsia="宋体" w:cs="Arial Narrow"/>
          <w:color w:val="auto"/>
          <w:kern w:val="0"/>
          <w:sz w:val="21"/>
          <w:szCs w:val="21"/>
          <w:highlight w:val="none"/>
          <w:lang w:val="en-US" w:eastAsia="zh-CN"/>
        </w:rPr>
        <w:t>2</w:t>
      </w:r>
      <w:r>
        <w:rPr>
          <w:rFonts w:hint="eastAsia" w:ascii="宋体" w:hAnsi="宋体" w:eastAsia="宋体" w:cs="宋体"/>
          <w:color w:val="auto"/>
          <w:kern w:val="0"/>
          <w:sz w:val="21"/>
          <w:szCs w:val="21"/>
          <w:highlight w:val="none"/>
          <w:lang w:val="en-US" w:eastAsia="zh-CN"/>
        </w:rPr>
        <w:t>）基本支出占比超过88%</w:t>
      </w:r>
      <w:r>
        <w:rPr>
          <w:rFonts w:hint="eastAsia" w:ascii="宋体" w:hAnsi="宋体" w:cs="宋体"/>
          <w:color w:val="auto"/>
          <w:kern w:val="0"/>
          <w:sz w:val="21"/>
          <w:szCs w:val="21"/>
          <w:highlight w:val="none"/>
          <w:lang w:val="en-US" w:eastAsia="zh-CN"/>
        </w:rPr>
        <w:t>，建议增加</w:t>
      </w:r>
      <w:r>
        <w:rPr>
          <w:rFonts w:hint="eastAsia" w:ascii="宋体" w:hAnsi="宋体" w:eastAsia="宋体" w:cs="宋体"/>
          <w:color w:val="auto"/>
          <w:kern w:val="0"/>
          <w:sz w:val="21"/>
          <w:szCs w:val="21"/>
          <w:highlight w:val="none"/>
          <w:lang w:val="en-US" w:eastAsia="zh-CN"/>
        </w:rPr>
        <w:t>保障基本运转的产出指标。</w:t>
      </w:r>
    </w:p>
    <w:p w14:paraId="4BA32AC0">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w:t>
      </w:r>
      <w:r>
        <w:rPr>
          <w:rFonts w:hint="eastAsia" w:ascii="Arial Narrow" w:hAnsi="Arial Narrow" w:eastAsia="宋体" w:cs="Arial Narrow"/>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）整体绩效目标中的成本指标现只设置部分项目的预算控制，应设置各类预算的控制要求。</w:t>
      </w:r>
    </w:p>
    <w:p w14:paraId="3192E207">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w:t>
      </w:r>
      <w:r>
        <w:rPr>
          <w:rFonts w:hint="eastAsia" w:ascii="Arial Narrow" w:hAnsi="Arial Narrow" w:eastAsia="宋体" w:cs="Arial Narrow"/>
          <w:color w:val="auto"/>
          <w:kern w:val="0"/>
          <w:sz w:val="21"/>
          <w:szCs w:val="21"/>
          <w:highlight w:val="none"/>
          <w:lang w:val="en-US" w:eastAsia="zh-CN"/>
        </w:rPr>
        <w:t>4</w:t>
      </w:r>
      <w:r>
        <w:rPr>
          <w:rFonts w:hint="eastAsia" w:ascii="宋体" w:hAnsi="宋体" w:eastAsia="宋体" w:cs="宋体"/>
          <w:color w:val="auto"/>
          <w:kern w:val="0"/>
          <w:sz w:val="21"/>
          <w:szCs w:val="21"/>
          <w:highlight w:val="none"/>
          <w:lang w:val="en-US" w:eastAsia="zh-CN"/>
        </w:rPr>
        <w:t>）项目支出绩效目标申报表也有一定的问题，如质量指标、数量指标设置不全面；时效指标细化不足，应明确项目实施关键环节时间节点；成本指标缺少成本分项控制数；部分指标不全面，如未设置可持续影响指标，社会效益指标设置较宏观。</w:t>
      </w:r>
    </w:p>
    <w:p w14:paraId="755753F1">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Arial Narrow" w:hAnsi="Arial Narrow" w:cs="Arial Narrow"/>
          <w:color w:val="auto"/>
          <w:kern w:val="0"/>
          <w:sz w:val="21"/>
          <w:szCs w:val="21"/>
          <w:highlight w:val="none"/>
          <w:lang w:val="en-US" w:eastAsia="zh-CN"/>
        </w:rPr>
        <w:t>2</w:t>
      </w:r>
      <w:r>
        <w:rPr>
          <w:rFonts w:hint="eastAsia" w:ascii="Arial Narrow" w:hAnsi="Arial Narrow" w:eastAsia="宋体" w:cs="Arial Narrow"/>
          <w:color w:val="auto"/>
          <w:kern w:val="0"/>
          <w:sz w:val="21"/>
          <w:szCs w:val="21"/>
          <w:highlight w:val="none"/>
          <w:lang w:val="en-US" w:eastAsia="zh-CN"/>
        </w:rPr>
        <w:t>.部门产</w:t>
      </w:r>
      <w:r>
        <w:rPr>
          <w:rFonts w:hint="eastAsia" w:ascii="宋体" w:hAnsi="宋体" w:eastAsia="宋体" w:cs="宋体"/>
          <w:color w:val="auto"/>
          <w:kern w:val="0"/>
          <w:sz w:val="21"/>
          <w:szCs w:val="21"/>
          <w:highlight w:val="none"/>
          <w:lang w:val="en-US" w:eastAsia="zh-CN"/>
        </w:rPr>
        <w:t>出方面</w:t>
      </w:r>
    </w:p>
    <w:p w14:paraId="4B2E719D">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w:t>
      </w:r>
      <w:r>
        <w:rPr>
          <w:rFonts w:hint="eastAsia" w:ascii="Arial Narrow" w:hAnsi="Arial Narrow" w:eastAsia="宋体" w:cs="Arial Narrow"/>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）验收不足：根据《政府购买服务预算绩效管理办法》第十五条，市级财政部门应于年度预算执行后，组织指导政府购买服务项目绩效评价工作。市级财政部门对部分重大项目开展财政评价。</w:t>
      </w:r>
    </w:p>
    <w:p w14:paraId="10E8F667">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市级预算部门应于政府购买服务项目完成并验收合格后组织部门本级和所属单位自行或委托第三方评价机构对政府购买服务项目进行绩效评价</w:t>
      </w:r>
      <w:r>
        <w:rPr>
          <w:rFonts w:hint="eastAsia" w:ascii="宋体" w:hAnsi="宋体" w:cs="宋体"/>
          <w:color w:val="auto"/>
          <w:kern w:val="0"/>
          <w:sz w:val="21"/>
          <w:szCs w:val="21"/>
          <w:highlight w:val="none"/>
          <w:lang w:val="en-US" w:eastAsia="zh-CN"/>
        </w:rPr>
        <w:t>，但</w:t>
      </w:r>
      <w:r>
        <w:rPr>
          <w:rFonts w:hint="eastAsia" w:ascii="宋体" w:hAnsi="宋体" w:eastAsia="宋体" w:cs="宋体"/>
          <w:color w:val="auto"/>
          <w:kern w:val="0"/>
          <w:sz w:val="21"/>
          <w:szCs w:val="21"/>
          <w:highlight w:val="none"/>
          <w:lang w:val="en-US" w:eastAsia="zh-CN"/>
        </w:rPr>
        <w:t>个别子项目合同缺少对验收标准的详细约定，验收规范性不足。</w:t>
      </w:r>
    </w:p>
    <w:p w14:paraId="67C4A21D">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w:t>
      </w:r>
      <w:r>
        <w:rPr>
          <w:rFonts w:hint="default" w:ascii="Arial Narrow" w:hAnsi="Arial Narrow" w:cs="Arial Narrow"/>
          <w:color w:val="auto"/>
          <w:kern w:val="0"/>
          <w:sz w:val="21"/>
          <w:szCs w:val="21"/>
          <w:highlight w:val="none"/>
          <w:lang w:val="en-US" w:eastAsia="zh-CN"/>
        </w:rPr>
        <w:t>2</w:t>
      </w:r>
      <w:r>
        <w:rPr>
          <w:rFonts w:hint="eastAsia" w:ascii="宋体" w:hAnsi="宋体" w:eastAsia="宋体" w:cs="宋体"/>
          <w:color w:val="auto"/>
          <w:kern w:val="0"/>
          <w:sz w:val="21"/>
          <w:szCs w:val="21"/>
          <w:highlight w:val="none"/>
          <w:lang w:val="en-US" w:eastAsia="zh-CN"/>
        </w:rPr>
        <w:t>）个别子项目质量监控资料呈现不足。</w:t>
      </w:r>
    </w:p>
    <w:p w14:paraId="578B8852">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w:t>
      </w:r>
      <w:r>
        <w:rPr>
          <w:rFonts w:hint="eastAsia" w:ascii="Arial Narrow" w:hAnsi="Arial Narrow" w:cs="Arial Narrow"/>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）产出效益相关支撑资料提供不足，满意度问卷设计不够合理。</w:t>
      </w:r>
      <w:bookmarkStart w:id="101" w:name="_Toc22986"/>
      <w:bookmarkStart w:id="102" w:name="_Toc7961"/>
      <w:bookmarkStart w:id="103" w:name="_Toc3345"/>
      <w:bookmarkStart w:id="104" w:name="_Toc5615"/>
      <w:bookmarkStart w:id="105" w:name="_Toc10240"/>
    </w:p>
    <w:p w14:paraId="344BBB9A">
      <w:pPr>
        <w:pageBreakBefore w:val="0"/>
        <w:numPr>
          <w:ilvl w:val="0"/>
          <w:numId w:val="0"/>
        </w:numPr>
        <w:kinsoku/>
        <w:wordWrap/>
        <w:overflowPunct/>
        <w:topLinePunct w:val="0"/>
        <w:autoSpaceDE/>
        <w:autoSpaceDN/>
        <w:bidi w:val="0"/>
        <w:adjustRightInd/>
        <w:snapToGrid/>
        <w:spacing w:line="520" w:lineRule="exact"/>
        <w:ind w:left="0" w:leftChars="0" w:firstLine="422" w:firstLineChars="200"/>
        <w:rPr>
          <w:rFonts w:hint="default" w:ascii="Arial Narrow" w:hAnsi="Arial Narrow" w:eastAsia="宋体" w:cs="Arial Narrow"/>
          <w:b/>
          <w:bCs/>
          <w:color w:val="auto"/>
          <w:sz w:val="21"/>
          <w:szCs w:val="21"/>
          <w:highlight w:val="none"/>
        </w:rPr>
      </w:pPr>
      <w:r>
        <w:rPr>
          <w:rFonts w:hint="default" w:ascii="Arial Narrow" w:hAnsi="Arial Narrow" w:eastAsia="宋体" w:cs="Arial Narrow"/>
          <w:b/>
          <w:bCs/>
          <w:color w:val="auto"/>
          <w:sz w:val="21"/>
          <w:szCs w:val="21"/>
          <w:highlight w:val="none"/>
        </w:rPr>
        <w:t>六、措施建议</w:t>
      </w:r>
      <w:bookmarkEnd w:id="101"/>
      <w:bookmarkEnd w:id="102"/>
      <w:bookmarkEnd w:id="103"/>
      <w:bookmarkEnd w:id="104"/>
      <w:bookmarkEnd w:id="105"/>
    </w:p>
    <w:p w14:paraId="3A05E205">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bookmarkStart w:id="106" w:name="_Toc5293"/>
      <w:r>
        <w:rPr>
          <w:rFonts w:hint="eastAsia" w:ascii="Arial Narrow" w:hAnsi="Arial Narrow" w:cs="Arial Narrow"/>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科学设定部门整体绩效目标及指标，保证指标的明确性、合理性及细化、量化、可考核性。在指标设置上应进一步突出部门职责、中长期规划、与年度工作计划的关联性，保证目标的可考量性，提高绩效目标的导向性作用与可评价性。</w:t>
      </w:r>
    </w:p>
    <w:p w14:paraId="49BBD431">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Arial Narrow" w:hAnsi="Arial Narrow" w:cs="Arial Narrow"/>
          <w:color w:val="auto"/>
          <w:kern w:val="0"/>
          <w:sz w:val="21"/>
          <w:szCs w:val="21"/>
          <w:highlight w:val="none"/>
          <w:lang w:val="en-US" w:eastAsia="zh-CN"/>
        </w:rPr>
        <w:t>2.进一步提高预算编制的准确性，科学测算资金需求，预算批复后严格执行，发挥财政资金的使用效</w:t>
      </w:r>
      <w:r>
        <w:rPr>
          <w:rFonts w:hint="eastAsia" w:ascii="宋体" w:hAnsi="宋体" w:eastAsia="宋体" w:cs="宋体"/>
          <w:color w:val="auto"/>
          <w:kern w:val="0"/>
          <w:sz w:val="21"/>
          <w:szCs w:val="21"/>
          <w:highlight w:val="none"/>
          <w:lang w:val="en-US" w:eastAsia="zh-CN"/>
        </w:rPr>
        <w:t>率。</w:t>
      </w:r>
    </w:p>
    <w:p w14:paraId="1E498980">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eastAsia" w:ascii="宋体" w:hAnsi="宋体" w:eastAsia="宋体" w:cs="宋体"/>
          <w:color w:val="auto"/>
          <w:kern w:val="0"/>
          <w:sz w:val="21"/>
          <w:szCs w:val="21"/>
          <w:highlight w:val="none"/>
          <w:lang w:val="en-US" w:eastAsia="zh-CN"/>
        </w:rPr>
      </w:pPr>
      <w:r>
        <w:rPr>
          <w:rFonts w:hint="eastAsia" w:ascii="Arial Narrow" w:hAnsi="Arial Narrow" w:cs="Arial Narrow"/>
          <w:color w:val="auto"/>
          <w:kern w:val="0"/>
          <w:sz w:val="21"/>
          <w:szCs w:val="21"/>
          <w:highlight w:val="none"/>
          <w:lang w:val="en-US" w:eastAsia="zh-CN"/>
        </w:rPr>
        <w:t>3.规</w:t>
      </w:r>
      <w:r>
        <w:rPr>
          <w:rFonts w:hint="eastAsia" w:ascii="宋体" w:hAnsi="宋体" w:eastAsia="宋体" w:cs="宋体"/>
          <w:color w:val="auto"/>
          <w:kern w:val="0"/>
          <w:sz w:val="21"/>
          <w:szCs w:val="21"/>
          <w:highlight w:val="none"/>
          <w:lang w:val="en-US" w:eastAsia="zh-CN"/>
        </w:rPr>
        <w:t>范项目验收要求‌。在合同条款中明确项目验收要求，包括验收标准、验收流程和验收报告等。确保最后一笔尾款支付的先决条件得到明确约定。</w:t>
      </w:r>
    </w:p>
    <w:p w14:paraId="275085E0">
      <w:pPr>
        <w:pageBreakBefore w:val="0"/>
        <w:numPr>
          <w:ilvl w:val="0"/>
          <w:numId w:val="0"/>
        </w:numPr>
        <w:kinsoku/>
        <w:wordWrap/>
        <w:overflowPunct/>
        <w:topLinePunct w:val="0"/>
        <w:autoSpaceDE/>
        <w:autoSpaceDN/>
        <w:bidi w:val="0"/>
        <w:adjustRightInd/>
        <w:snapToGrid/>
        <w:spacing w:line="520" w:lineRule="exact"/>
        <w:ind w:left="0" w:leftChars="0" w:firstLine="420" w:firstLineChars="200"/>
        <w:rPr>
          <w:rFonts w:hint="default"/>
          <w:lang w:val="en-US" w:eastAsia="zh-CN"/>
        </w:rPr>
      </w:pPr>
      <w:r>
        <w:rPr>
          <w:rFonts w:hint="eastAsia" w:ascii="Arial Narrow" w:hAnsi="Arial Narrow" w:cs="Arial Narrow"/>
          <w:color w:val="auto"/>
          <w:kern w:val="0"/>
          <w:sz w:val="21"/>
          <w:szCs w:val="21"/>
          <w:highlight w:val="none"/>
          <w:lang w:val="en-US" w:eastAsia="zh-CN"/>
        </w:rPr>
        <w:t>4.提升</w:t>
      </w:r>
      <w:r>
        <w:rPr>
          <w:rFonts w:hint="eastAsia" w:ascii="宋体" w:hAnsi="宋体" w:eastAsia="宋体" w:cs="宋体"/>
          <w:color w:val="auto"/>
          <w:kern w:val="0"/>
          <w:sz w:val="21"/>
          <w:szCs w:val="21"/>
          <w:highlight w:val="none"/>
          <w:lang w:val="en-US" w:eastAsia="zh-CN"/>
        </w:rPr>
        <w:t>绩效意识，注重体现项目绩效的支撑资料的收集整理和呈现。同时完善满意度调查方案，扩大服务群体覆盖面，了解服务群体的真实需求。</w:t>
      </w:r>
    </w:p>
    <w:p w14:paraId="3A3BEE03">
      <w:pPr>
        <w:pStyle w:val="2"/>
        <w:keepNext/>
        <w:keepLines/>
        <w:pageBreakBefore w:val="0"/>
        <w:widowControl w:val="0"/>
        <w:kinsoku/>
        <w:wordWrap/>
        <w:overflowPunct/>
        <w:topLinePunct w:val="0"/>
        <w:autoSpaceDE/>
        <w:autoSpaceDN/>
        <w:bidi w:val="0"/>
        <w:adjustRightInd/>
        <w:snapToGrid/>
        <w:spacing w:before="0" w:after="0" w:line="520" w:lineRule="exact"/>
        <w:ind w:firstLine="422" w:firstLineChars="200"/>
        <w:textAlignment w:val="auto"/>
        <w:rPr>
          <w:rFonts w:hint="default" w:ascii="Arial Narrow" w:hAnsi="Arial Narrow" w:eastAsia="宋体" w:cs="Arial Narrow"/>
          <w:color w:val="auto"/>
          <w:sz w:val="21"/>
          <w:szCs w:val="21"/>
          <w:highlight w:val="none"/>
          <w:lang w:val="en-US" w:eastAsia="zh-CN"/>
        </w:rPr>
      </w:pPr>
      <w:bookmarkStart w:id="107" w:name="_Toc9186"/>
      <w:bookmarkStart w:id="108" w:name="_Toc7356"/>
      <w:bookmarkStart w:id="109" w:name="_Toc9681"/>
      <w:r>
        <w:rPr>
          <w:rFonts w:hint="default" w:ascii="Arial Narrow" w:hAnsi="Arial Narrow" w:eastAsia="宋体" w:cs="Arial Narrow"/>
          <w:color w:val="auto"/>
          <w:sz w:val="21"/>
          <w:szCs w:val="21"/>
          <w:highlight w:val="none"/>
          <w:lang w:val="en-US" w:eastAsia="zh-CN"/>
        </w:rPr>
        <w:t>七、其他需要说明的问题</w:t>
      </w:r>
      <w:bookmarkEnd w:id="106"/>
      <w:bookmarkEnd w:id="107"/>
      <w:bookmarkEnd w:id="108"/>
      <w:bookmarkEnd w:id="109"/>
    </w:p>
    <w:p w14:paraId="3F2420D2">
      <w:pPr>
        <w:pStyle w:val="19"/>
        <w:keepNext w:val="0"/>
        <w:keepLines w:val="0"/>
        <w:pageBreakBefore w:val="0"/>
        <w:widowControl w:val="0"/>
        <w:kinsoku/>
        <w:wordWrap/>
        <w:overflowPunct/>
        <w:topLinePunct w:val="0"/>
        <w:autoSpaceDE/>
        <w:autoSpaceDN/>
        <w:bidi w:val="0"/>
        <w:spacing w:line="520" w:lineRule="exact"/>
        <w:ind w:left="0" w:leftChars="0" w:firstLine="640"/>
        <w:textAlignment w:val="auto"/>
        <w:rPr>
          <w:rFonts w:hint="default" w:ascii="Arial Narrow" w:hAnsi="Arial Narrow" w:eastAsia="宋体" w:cs="Arial Narrow"/>
          <w:color w:val="auto"/>
          <w:sz w:val="21"/>
          <w:szCs w:val="21"/>
          <w:highlight w:val="none"/>
        </w:rPr>
      </w:pPr>
      <w:r>
        <w:rPr>
          <w:rFonts w:hint="default" w:ascii="Arial Narrow" w:hAnsi="Arial Narrow" w:eastAsia="宋体" w:cs="Arial Narrow"/>
          <w:color w:val="auto"/>
          <w:sz w:val="21"/>
          <w:szCs w:val="21"/>
          <w:highlight w:val="none"/>
        </w:rPr>
        <w:t>本报告仅用于市委研究室内部进行绩效评价使用。</w:t>
      </w:r>
    </w:p>
    <w:p w14:paraId="78911F5A">
      <w:pPr>
        <w:pStyle w:val="2"/>
        <w:keepNext/>
        <w:keepLines/>
        <w:pageBreakBefore w:val="0"/>
        <w:widowControl w:val="0"/>
        <w:kinsoku/>
        <w:wordWrap/>
        <w:overflowPunct/>
        <w:topLinePunct w:val="0"/>
        <w:autoSpaceDE/>
        <w:autoSpaceDN/>
        <w:bidi w:val="0"/>
        <w:adjustRightInd/>
        <w:snapToGrid/>
        <w:spacing w:before="0" w:after="0" w:line="520" w:lineRule="exact"/>
        <w:ind w:firstLine="422" w:firstLineChars="200"/>
        <w:textAlignment w:val="auto"/>
        <w:rPr>
          <w:rFonts w:hint="default" w:ascii="Arial Narrow" w:hAnsi="Arial Narrow" w:eastAsia="宋体" w:cs="Arial Narrow"/>
          <w:color w:val="auto"/>
          <w:sz w:val="21"/>
          <w:szCs w:val="21"/>
          <w:highlight w:val="none"/>
          <w:lang w:val="en-US" w:eastAsia="zh-CN"/>
        </w:rPr>
      </w:pPr>
      <w:bookmarkStart w:id="110" w:name="_Toc12177"/>
      <w:bookmarkStart w:id="111" w:name="_Toc18868"/>
      <w:bookmarkStart w:id="112" w:name="_Toc16475"/>
      <w:bookmarkStart w:id="113" w:name="_Toc28187"/>
      <w:r>
        <w:rPr>
          <w:rFonts w:hint="default" w:ascii="Arial Narrow" w:hAnsi="Arial Narrow" w:eastAsia="宋体" w:cs="Arial Narrow"/>
          <w:color w:val="auto"/>
          <w:sz w:val="21"/>
          <w:szCs w:val="21"/>
          <w:highlight w:val="none"/>
          <w:lang w:val="en-US" w:eastAsia="zh-CN"/>
        </w:rPr>
        <w:t>八、附件</w:t>
      </w:r>
      <w:bookmarkEnd w:id="110"/>
      <w:bookmarkEnd w:id="111"/>
      <w:bookmarkEnd w:id="112"/>
      <w:bookmarkEnd w:id="113"/>
    </w:p>
    <w:p w14:paraId="21FEF99D">
      <w:pPr>
        <w:pStyle w:val="5"/>
        <w:pageBreakBefore w:val="0"/>
        <w:widowControl w:val="0"/>
        <w:numPr>
          <w:ilvl w:val="0"/>
          <w:numId w:val="0"/>
        </w:numPr>
        <w:kinsoku/>
        <w:wordWrap/>
        <w:overflowPunct/>
        <w:topLinePunct w:val="0"/>
        <w:autoSpaceDE/>
        <w:autoSpaceDN/>
        <w:bidi w:val="0"/>
        <w:spacing w:line="520" w:lineRule="exact"/>
        <w:ind w:leftChars="200"/>
        <w:textAlignment w:val="auto"/>
        <w:rPr>
          <w:rFonts w:hint="eastAsia" w:ascii="Arial Narrow" w:hAnsi="Arial Narrow" w:eastAsia="宋体" w:cs="Arial Narrow"/>
          <w:color w:val="auto"/>
          <w:kern w:val="0"/>
          <w:sz w:val="21"/>
          <w:szCs w:val="21"/>
          <w:highlight w:val="none"/>
          <w:lang w:val="en-US" w:eastAsia="zh-CN" w:bidi="ar-SA"/>
        </w:rPr>
      </w:pPr>
      <w:r>
        <w:rPr>
          <w:rFonts w:hint="eastAsia" w:ascii="Arial Narrow" w:hAnsi="Arial Narrow" w:eastAsia="宋体" w:cs="Arial Narrow"/>
          <w:color w:val="auto"/>
          <w:kern w:val="0"/>
          <w:sz w:val="21"/>
          <w:szCs w:val="21"/>
          <w:highlight w:val="none"/>
          <w:lang w:val="en-US" w:eastAsia="zh-CN" w:bidi="ar-SA"/>
        </w:rPr>
        <w:t>1.指标体系及打分情况表</w:t>
      </w:r>
    </w:p>
    <w:p w14:paraId="36C84003">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0" w:firstLineChars="0"/>
        <w:textAlignment w:val="auto"/>
        <w:rPr>
          <w:rFonts w:hint="default" w:ascii="Arial Narrow" w:hAnsi="Arial Narrow" w:eastAsia="宋体" w:cs="Arial Narrow"/>
          <w:b w:val="0"/>
          <w:bCs w:val="0"/>
          <w:color w:val="auto"/>
          <w:sz w:val="28"/>
          <w:szCs w:val="28"/>
          <w:highlight w:val="none"/>
          <w:lang w:val="en-US" w:eastAsia="zh-CN"/>
        </w:rPr>
      </w:pPr>
    </w:p>
    <w:p w14:paraId="32D1C878">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0" w:firstLineChars="0"/>
        <w:textAlignment w:val="auto"/>
        <w:rPr>
          <w:rFonts w:hint="default" w:ascii="Arial Narrow" w:hAnsi="Arial Narrow" w:eastAsia="宋体" w:cs="Arial Narrow"/>
          <w:b w:val="0"/>
          <w:bCs w:val="0"/>
          <w:color w:val="auto"/>
          <w:sz w:val="28"/>
          <w:szCs w:val="28"/>
          <w:highlight w:val="none"/>
          <w:lang w:val="en-US" w:eastAsia="zh-CN"/>
        </w:rPr>
      </w:pPr>
    </w:p>
    <w:p w14:paraId="0DD9A893">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0" w:firstLineChars="0"/>
        <w:textAlignment w:val="auto"/>
        <w:rPr>
          <w:rFonts w:hint="default" w:ascii="Arial Narrow" w:hAnsi="Arial Narrow" w:eastAsia="宋体" w:cs="Arial Narrow"/>
          <w:b w:val="0"/>
          <w:bCs w:val="0"/>
          <w:color w:val="auto"/>
          <w:sz w:val="28"/>
          <w:szCs w:val="28"/>
          <w:highlight w:val="none"/>
          <w:lang w:val="en-US" w:eastAsia="zh-CN"/>
        </w:rPr>
      </w:pPr>
    </w:p>
    <w:p w14:paraId="76572C26">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0" w:firstLineChars="0"/>
        <w:textAlignment w:val="auto"/>
        <w:rPr>
          <w:rFonts w:hint="default" w:ascii="Arial Narrow" w:hAnsi="Arial Narrow" w:eastAsia="宋体" w:cs="Arial Narrow"/>
          <w:b w:val="0"/>
          <w:bCs w:val="0"/>
          <w:color w:val="auto"/>
          <w:sz w:val="28"/>
          <w:szCs w:val="28"/>
          <w:highlight w:val="none"/>
          <w:lang w:val="en-US" w:eastAsia="zh-CN"/>
        </w:rPr>
      </w:pPr>
    </w:p>
    <w:p w14:paraId="5DC3788C">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0" w:firstLineChars="0"/>
        <w:textAlignment w:val="auto"/>
        <w:rPr>
          <w:rFonts w:hint="default" w:ascii="Arial Narrow" w:hAnsi="Arial Narrow" w:eastAsia="宋体" w:cs="Arial Narrow"/>
          <w:b w:val="0"/>
          <w:bCs w:val="0"/>
          <w:color w:val="auto"/>
          <w:kern w:val="0"/>
          <w:sz w:val="28"/>
          <w:szCs w:val="28"/>
          <w:highlight w:val="none"/>
          <w:lang w:val="en-US" w:eastAsia="zh-CN"/>
        </w:rPr>
      </w:pPr>
      <w:r>
        <w:rPr>
          <w:rFonts w:hint="default" w:ascii="Arial Narrow" w:hAnsi="Arial Narrow" w:eastAsia="宋体" w:cs="Arial Narrow"/>
          <w:b w:val="0"/>
          <w:bCs w:val="0"/>
          <w:color w:val="auto"/>
          <w:sz w:val="28"/>
          <w:szCs w:val="28"/>
          <w:highlight w:val="none"/>
          <w:lang w:val="en-US" w:eastAsia="zh-CN"/>
        </w:rPr>
        <w:t>附件1</w:t>
      </w:r>
    </w:p>
    <w:p w14:paraId="17D76B3B">
      <w:pPr>
        <w:spacing w:before="100" w:beforeAutospacing="1" w:after="100" w:afterAutospacing="1" w:line="264" w:lineRule="auto"/>
        <w:jc w:val="center"/>
        <w:rPr>
          <w:rFonts w:hint="eastAsia" w:ascii="宋体" w:hAnsi="宋体" w:cs="宋体"/>
          <w:b/>
          <w:bCs/>
          <w:color w:val="auto"/>
          <w:kern w:val="0"/>
          <w:sz w:val="30"/>
          <w:szCs w:val="30"/>
          <w:highlight w:val="none"/>
        </w:rPr>
      </w:pPr>
      <w:r>
        <w:rPr>
          <w:rFonts w:hint="eastAsia" w:ascii="宋体" w:hAnsi="宋体" w:cs="宋体"/>
          <w:b/>
          <w:bCs/>
          <w:color w:val="auto"/>
          <w:kern w:val="0"/>
          <w:sz w:val="30"/>
          <w:szCs w:val="30"/>
          <w:highlight w:val="none"/>
        </w:rPr>
        <w:t>指标体系及评分情况表</w:t>
      </w:r>
    </w:p>
    <w:p w14:paraId="5A46E8A4">
      <w:pPr>
        <w:pStyle w:val="23"/>
        <w:spacing w:line="264" w:lineRule="auto"/>
        <w:ind w:firstLine="0" w:firstLineChars="0"/>
        <w:jc w:val="left"/>
        <w:rPr>
          <w:rFonts w:ascii="宋体"/>
          <w:color w:val="auto"/>
          <w:kern w:val="0"/>
          <w:sz w:val="24"/>
          <w:szCs w:val="24"/>
          <w:highlight w:val="none"/>
        </w:rPr>
      </w:pPr>
      <w:r>
        <w:rPr>
          <w:rFonts w:hint="eastAsia" w:ascii="宋体" w:hAnsi="宋体" w:cs="宋体"/>
          <w:color w:val="auto"/>
          <w:kern w:val="0"/>
          <w:sz w:val="24"/>
          <w:szCs w:val="24"/>
          <w:highlight w:val="none"/>
        </w:rPr>
        <w:t>部门名称：中国共产党北京市委员会研究室</w:t>
      </w:r>
    </w:p>
    <w:tbl>
      <w:tblPr>
        <w:tblStyle w:val="15"/>
        <w:tblpPr w:leftFromText="180" w:rightFromText="180" w:vertAnchor="text" w:horzAnchor="page" w:tblpX="1864" w:tblpY="354"/>
        <w:tblOverlap w:val="never"/>
        <w:tblW w:w="83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7"/>
        <w:gridCol w:w="883"/>
        <w:gridCol w:w="1075"/>
        <w:gridCol w:w="2658"/>
        <w:gridCol w:w="792"/>
        <w:gridCol w:w="850"/>
        <w:gridCol w:w="1325"/>
      </w:tblGrid>
      <w:tr w14:paraId="1A1F6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0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6B7135">
            <w:pPr>
              <w:keepNext w:val="0"/>
              <w:keepLines w:val="0"/>
              <w:widowControl/>
              <w:suppressLineNumbers w:val="0"/>
              <w:ind w:right="111" w:rightChars="53"/>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一级指标</w:t>
            </w:r>
          </w:p>
        </w:tc>
        <w:tc>
          <w:tcPr>
            <w:tcW w:w="88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35BB4">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二级</w:t>
            </w:r>
          </w:p>
          <w:p w14:paraId="2010F91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指标</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8DDBB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三级指标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A6093">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四级指标</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17335">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highlight w:val="none"/>
                <w:u w:val="none"/>
                <w:lang w:val="en-US" w:eastAsia="zh-CN" w:bidi="ar"/>
              </w:rPr>
              <w:t>分值</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87B65">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highlight w:val="none"/>
                <w:u w:val="none"/>
                <w:lang w:val="en-US" w:eastAsia="zh-CN" w:bidi="ar"/>
              </w:rPr>
              <w:t>评价得分</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BD20FF">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highlight w:val="none"/>
                <w:u w:val="none"/>
                <w:lang w:val="en-US" w:eastAsia="zh-CN" w:bidi="ar"/>
              </w:rPr>
              <w:t>扣分原因</w:t>
            </w:r>
          </w:p>
        </w:tc>
      </w:tr>
      <w:tr w14:paraId="7461C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50EB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部门决策</w:t>
            </w:r>
          </w:p>
          <w:p w14:paraId="2DA75D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（15分）</w:t>
            </w:r>
          </w:p>
        </w:tc>
        <w:tc>
          <w:tcPr>
            <w:tcW w:w="88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2131F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目标设定</w:t>
            </w:r>
          </w:p>
          <w:p w14:paraId="7E6661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（6分）　</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055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目标依据充分性</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660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绩效目标与国家法律法规、北京市国民经济和社会发展总体规划相符性、绩效目标与部门履职的相符性、绩效目标与部门制定的中长期实施规划的相符性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D327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E504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1.70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BA6A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部门年度工作统筹不足</w:t>
            </w:r>
          </w:p>
        </w:tc>
      </w:tr>
      <w:tr w14:paraId="5C45B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D3B735">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6E4BDF">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7935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绩效目标合理性</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3E4C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绩效目标与部门年度任务或计划对应性、绩效目标可操作性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315C6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B58A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1.70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F8D034">
            <w:pPr>
              <w:keepNext w:val="0"/>
              <w:keepLines w:val="0"/>
              <w:widowControl/>
              <w:suppressLineNumbers w:val="0"/>
              <w:jc w:val="both"/>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目标的完整性不足</w:t>
            </w:r>
          </w:p>
        </w:tc>
      </w:tr>
      <w:tr w14:paraId="5E355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01D476">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AED923B">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4318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绩效指标明确性</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AC7C1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绩效指标清晰、细化、量化程度</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939D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3CB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1.57</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A76E2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清晰度不足</w:t>
            </w:r>
          </w:p>
        </w:tc>
      </w:tr>
      <w:tr w14:paraId="277EC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6F0BA0">
            <w:pPr>
              <w:jc w:val="center"/>
              <w:rPr>
                <w:rFonts w:hint="eastAsia" w:ascii="宋体" w:hAnsi="宋体" w:eastAsia="宋体" w:cs="宋体"/>
                <w:i w:val="0"/>
                <w:iCs w:val="0"/>
                <w:color w:val="auto"/>
                <w:sz w:val="20"/>
                <w:szCs w:val="20"/>
                <w:highlight w:val="none"/>
                <w:u w:val="none"/>
              </w:rPr>
            </w:pPr>
          </w:p>
        </w:tc>
        <w:tc>
          <w:tcPr>
            <w:tcW w:w="88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B6CD36">
            <w:pPr>
              <w:keepNext w:val="0"/>
              <w:keepLines w:val="0"/>
              <w:widowControl/>
              <w:suppressLineNumbers w:val="0"/>
              <w:jc w:val="center"/>
              <w:textAlignment w:val="center"/>
              <w:rPr>
                <w:rStyle w:val="27"/>
                <w:color w:val="auto"/>
                <w:highlight w:val="none"/>
                <w:lang w:val="en-US" w:eastAsia="zh-CN" w:bidi="ar"/>
              </w:rPr>
            </w:pPr>
            <w:r>
              <w:rPr>
                <w:rStyle w:val="27"/>
                <w:color w:val="auto"/>
                <w:highlight w:val="none"/>
                <w:lang w:val="en-US" w:eastAsia="zh-CN" w:bidi="ar"/>
              </w:rPr>
              <w:t>决策过程</w:t>
            </w:r>
          </w:p>
          <w:p w14:paraId="639BA7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Style w:val="27"/>
                <w:color w:val="auto"/>
                <w:highlight w:val="none"/>
                <w:lang w:val="en-US" w:eastAsia="zh-CN" w:bidi="ar"/>
              </w:rPr>
              <w:t>（3分）</w:t>
            </w:r>
            <w:r>
              <w:rPr>
                <w:rStyle w:val="24"/>
                <w:color w:val="auto"/>
                <w:highlight w:val="none"/>
                <w:lang w:val="en-US" w:eastAsia="zh-CN" w:bidi="ar"/>
              </w:rPr>
              <w:t>　</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A727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决策程序</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07CC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决策程序明确规范性、决策依据充分性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62CEE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E09C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2.73</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D72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需求分析不足</w:t>
            </w:r>
          </w:p>
        </w:tc>
      </w:tr>
      <w:tr w14:paraId="0C730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2A0C2C">
            <w:pPr>
              <w:jc w:val="center"/>
              <w:rPr>
                <w:rFonts w:hint="eastAsia" w:ascii="宋体" w:hAnsi="宋体" w:eastAsia="宋体" w:cs="宋体"/>
                <w:i w:val="0"/>
                <w:iCs w:val="0"/>
                <w:color w:val="auto"/>
                <w:sz w:val="20"/>
                <w:szCs w:val="20"/>
                <w:highlight w:val="none"/>
                <w:u w:val="none"/>
              </w:rPr>
            </w:pPr>
          </w:p>
        </w:tc>
        <w:tc>
          <w:tcPr>
            <w:tcW w:w="88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04F0E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资金分配</w:t>
            </w:r>
          </w:p>
          <w:p w14:paraId="1B27F0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（6分）</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8A85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分配依据</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D88C6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预算编制、分配依据充分性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F01F4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7B3B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1.7</w:t>
            </w:r>
            <w:r>
              <w:rPr>
                <w:rFonts w:hint="eastAsia" w:ascii="宋体" w:hAnsi="宋体" w:cs="宋体"/>
                <w:i w:val="0"/>
                <w:iCs w:val="0"/>
                <w:color w:val="000000"/>
                <w:kern w:val="0"/>
                <w:sz w:val="20"/>
                <w:szCs w:val="20"/>
                <w:u w:val="none"/>
                <w:lang w:val="en-US" w:eastAsia="zh-CN" w:bidi="ar"/>
              </w:rPr>
              <w:t>1</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7030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预算编制准确性不足</w:t>
            </w:r>
          </w:p>
        </w:tc>
      </w:tr>
      <w:tr w14:paraId="201CC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E14E1E">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DAB88A">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3F7C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分配结果</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58F0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与绩效目标的一致</w:t>
            </w:r>
            <w:r>
              <w:rPr>
                <w:rFonts w:hint="eastAsia" w:ascii="宋体" w:hAnsi="宋体" w:cs="宋体"/>
                <w:i w:val="0"/>
                <w:iCs w:val="0"/>
                <w:color w:val="auto"/>
                <w:kern w:val="0"/>
                <w:sz w:val="20"/>
                <w:szCs w:val="20"/>
                <w:highlight w:val="none"/>
                <w:u w:val="none"/>
                <w:lang w:val="en-US" w:eastAsia="zh-CN" w:bidi="ar"/>
              </w:rPr>
              <w:t>性</w:t>
            </w:r>
            <w:r>
              <w:rPr>
                <w:rFonts w:hint="eastAsia" w:ascii="宋体" w:hAnsi="宋体" w:eastAsia="宋体" w:cs="宋体"/>
                <w:i w:val="0"/>
                <w:iCs w:val="0"/>
                <w:color w:val="auto"/>
                <w:kern w:val="0"/>
                <w:sz w:val="20"/>
                <w:szCs w:val="20"/>
                <w:highlight w:val="none"/>
                <w:u w:val="none"/>
                <w:lang w:val="en-US" w:eastAsia="zh-CN" w:bidi="ar"/>
              </w:rPr>
              <w:t>，分配结果合理性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FC9A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799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1.93</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FD29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A181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C997D6">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39CC20">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559D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重点支出保障率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7CFE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重点支出保障率=（重点项目支出/项目总支出）×100%</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8FB2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CEF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1.99</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DD3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2FC3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07" w:type="dxa"/>
            <w:vMerge w:val="restart"/>
            <w:tcBorders>
              <w:top w:val="single" w:color="000000" w:sz="8" w:space="0"/>
              <w:left w:val="single" w:color="000000" w:sz="8" w:space="0"/>
              <w:right w:val="single" w:color="000000" w:sz="8" w:space="0"/>
            </w:tcBorders>
            <w:shd w:val="clear" w:color="auto" w:fill="auto"/>
            <w:vAlign w:val="center"/>
          </w:tcPr>
          <w:p w14:paraId="023201D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部门管理</w:t>
            </w:r>
          </w:p>
          <w:p w14:paraId="2B2AA4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（40分）</w:t>
            </w:r>
          </w:p>
        </w:tc>
        <w:tc>
          <w:tcPr>
            <w:tcW w:w="88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55C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预算执行</w:t>
            </w:r>
          </w:p>
          <w:p w14:paraId="6AD9F0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（15分）</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CCC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非税收入预算完成率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A915E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部门（单位）本年度非税收入预算执行数与非税收入预算数的比率</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785A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A99B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2.00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B4A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2BBC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2EF61E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88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1A7CD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预算执行</w:t>
            </w:r>
          </w:p>
          <w:p w14:paraId="6005C5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（15分）</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6A5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支出预算执行率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5C4A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支出预算完成率=（支出预算执行数/支出预算下达数）×100%</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3EDE6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B2B2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2.91</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1F6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837D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3E079A11">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17B291">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F4E5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支出预算调整率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BE6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支出预算调整率=（支出预算调整数/支出预算数）×100%</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207D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5214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2.69</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D0C8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预算有</w:t>
            </w:r>
            <w:r>
              <w:rPr>
                <w:rFonts w:hint="eastAsia" w:ascii="宋体" w:hAnsi="宋体" w:eastAsia="宋体" w:cs="宋体"/>
                <w:i w:val="0"/>
                <w:iCs w:val="0"/>
                <w:color w:val="auto"/>
                <w:kern w:val="0"/>
                <w:sz w:val="20"/>
                <w:szCs w:val="20"/>
                <w:highlight w:val="none"/>
                <w:u w:val="none"/>
                <w:lang w:val="en-US" w:eastAsia="zh-CN" w:bidi="ar"/>
              </w:rPr>
              <w:t>调整</w:t>
            </w:r>
          </w:p>
        </w:tc>
      </w:tr>
      <w:tr w14:paraId="1D2DF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12A64CD6">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E40C60">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010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结转结余率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B4FA7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结转结余率=结转结余总额/支出预算数×100%</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AA5D6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BC50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1.98</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A31C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BF5A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74FA14D8">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E3DF71">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E12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结转结余变动率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591D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结转结余变动率=[（本年度结转结余资金总额-上年度结转结余资金总额）/上年度结转结余资金总额]×100%</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4EAD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18F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D33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F5C1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746A28B9">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455396">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340F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政府采购执行率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C027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政府采购执行率=（实际政府采购金额/政府采购预算数）×100%</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C9748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FC03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3.00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458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4BF2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07" w:type="dxa"/>
            <w:vMerge w:val="continue"/>
            <w:tcBorders>
              <w:left w:val="single" w:color="000000" w:sz="8" w:space="0"/>
              <w:right w:val="single" w:color="000000" w:sz="8" w:space="0"/>
            </w:tcBorders>
            <w:shd w:val="clear" w:color="auto" w:fill="auto"/>
            <w:vAlign w:val="center"/>
          </w:tcPr>
          <w:p w14:paraId="46F29F52">
            <w:pPr>
              <w:jc w:val="center"/>
              <w:rPr>
                <w:rFonts w:hint="eastAsia" w:ascii="宋体" w:hAnsi="宋体" w:eastAsia="宋体" w:cs="宋体"/>
                <w:i w:val="0"/>
                <w:iCs w:val="0"/>
                <w:color w:val="auto"/>
                <w:sz w:val="20"/>
                <w:szCs w:val="20"/>
                <w:highlight w:val="none"/>
                <w:u w:val="none"/>
              </w:rPr>
            </w:pPr>
          </w:p>
        </w:tc>
        <w:tc>
          <w:tcPr>
            <w:tcW w:w="88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5D30C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预算管理</w:t>
            </w:r>
          </w:p>
          <w:p w14:paraId="54F6F3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（15分）</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D8E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三公经费控制情况</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2E78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总体支出与当年控制要求相符性、支出标准与管理制度的相符性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C585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6AD9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2.83</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A3E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5E2A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65A83FD9">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A1C56E">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00B2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管理制度健全性</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582B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为加强预算绩效管理、规范财务行为而制定的管理制度是否健全完整</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B21C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0BF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2.17</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5CDA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内控制度仍在修订中</w:t>
            </w:r>
          </w:p>
        </w:tc>
      </w:tr>
      <w:tr w14:paraId="1AB56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07" w:type="dxa"/>
            <w:vMerge w:val="continue"/>
            <w:tcBorders>
              <w:left w:val="single" w:color="000000" w:sz="8" w:space="0"/>
              <w:right w:val="single" w:color="000000" w:sz="8" w:space="0"/>
            </w:tcBorders>
            <w:shd w:val="clear" w:color="auto" w:fill="auto"/>
            <w:vAlign w:val="center"/>
          </w:tcPr>
          <w:p w14:paraId="44E5DA4A">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92CF46">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C57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资金使用合规性和安全性</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7EA3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使用预算资金是否符合相关的预算财务管理制度的规定，符合相关规定的开支范围</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9FE9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585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2.73</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A059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个别重点项目预算与支出脱节</w:t>
            </w:r>
          </w:p>
        </w:tc>
      </w:tr>
      <w:tr w14:paraId="053E0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27ED13C4">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6775C5">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3F6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预算信息公开性</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4AF6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按照规定的内容公开预算信息、按照规定时限公开预算信息</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BF280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A61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3.00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736B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D57C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0D4086E5">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03B5ED">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E83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会计基础信息完善性</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3D9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会计基础信息资料的真实性、完整性、准确性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4AEF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EB7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2.83</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619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内部结算使用资金往来发票作为支出凭证</w:t>
            </w:r>
          </w:p>
        </w:tc>
      </w:tr>
      <w:tr w14:paraId="6FD3C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00A5C8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88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D06DC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绩效管理</w:t>
            </w:r>
          </w:p>
          <w:p w14:paraId="50D540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（5分）</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E8CA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组织管理机构设立情况</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C0C6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组织管理机构健全性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24CC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4DD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1.37</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BC47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CFF5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78EE07D3">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621E7B">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228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绩效信息收集情况</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E1E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绩效信息收集、汇总分析及上报的及时性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3A46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C75B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2.90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5B7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D76F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right w:val="single" w:color="000000" w:sz="8" w:space="0"/>
            </w:tcBorders>
            <w:shd w:val="clear" w:color="auto" w:fill="auto"/>
            <w:vAlign w:val="center"/>
          </w:tcPr>
          <w:p w14:paraId="0C5119B8">
            <w:pPr>
              <w:jc w:val="center"/>
              <w:rPr>
                <w:rFonts w:hint="eastAsia" w:ascii="宋体" w:hAnsi="宋体" w:eastAsia="宋体" w:cs="宋体"/>
                <w:i w:val="0"/>
                <w:iCs w:val="0"/>
                <w:color w:val="auto"/>
                <w:sz w:val="20"/>
                <w:szCs w:val="20"/>
                <w:highlight w:val="none"/>
                <w:u w:val="none"/>
              </w:rPr>
            </w:pPr>
          </w:p>
        </w:tc>
        <w:tc>
          <w:tcPr>
            <w:tcW w:w="88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74019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资产管理</w:t>
            </w:r>
          </w:p>
          <w:p w14:paraId="1D5FA3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（5分）</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F1F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资产管理规范性</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3F9E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资产的安全性、完整性、资产配置的合理性、资产使用和处置的规范性</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7D45F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E9C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2.50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C24F5">
            <w:pPr>
              <w:keepNext w:val="0"/>
              <w:keepLines w:val="0"/>
              <w:widowControl/>
              <w:suppressLineNumbers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2"/>
                <w:sz w:val="20"/>
                <w:szCs w:val="20"/>
                <w:highlight w:val="none"/>
                <w:u w:val="none"/>
                <w:lang w:val="en-US" w:eastAsia="zh-CN" w:bidi="ar-SA"/>
              </w:rPr>
              <w:t>规范性不足</w:t>
            </w:r>
          </w:p>
        </w:tc>
      </w:tr>
      <w:tr w14:paraId="0E242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left w:val="single" w:color="000000" w:sz="8" w:space="0"/>
              <w:bottom w:val="single" w:color="000000" w:sz="8" w:space="0"/>
              <w:right w:val="single" w:color="000000" w:sz="8" w:space="0"/>
            </w:tcBorders>
            <w:shd w:val="clear" w:color="auto" w:fill="auto"/>
            <w:vAlign w:val="center"/>
          </w:tcPr>
          <w:p w14:paraId="31DCB54E">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1CB60F">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8BF8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固定资产利用率</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AB5D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固定资产利用率=（实际在用固定资产总额/所有固定资产总额）</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B1A9D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85F6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2.00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93A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4D3E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91B4B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部门绩效（45分）</w:t>
            </w:r>
          </w:p>
        </w:tc>
        <w:tc>
          <w:tcPr>
            <w:tcW w:w="88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DAF7B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产出</w:t>
            </w:r>
          </w:p>
          <w:p w14:paraId="0265FE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（20分）</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73CA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产出数量</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489D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部门产出数量是否达到绩效目标</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E260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2952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5.00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13C3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p>
        </w:tc>
      </w:tr>
      <w:tr w14:paraId="44BBA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01E2BD">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C80F9C">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B37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产出质量</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899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部门产出质量提升及标准达成</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8423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4267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4.73</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DED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C21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8BC53A">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B04DDC">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5D09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产出时效</w:t>
            </w:r>
          </w:p>
        </w:tc>
        <w:tc>
          <w:tcPr>
            <w:tcW w:w="2658" w:type="dxa"/>
            <w:tcBorders>
              <w:top w:val="single" w:color="000000" w:sz="8" w:space="0"/>
              <w:left w:val="single" w:color="000000" w:sz="8" w:space="0"/>
              <w:bottom w:val="single" w:color="auto" w:sz="8" w:space="0"/>
              <w:right w:val="single" w:color="000000" w:sz="8" w:space="0"/>
            </w:tcBorders>
            <w:shd w:val="clear" w:color="auto" w:fill="auto"/>
            <w:vAlign w:val="center"/>
          </w:tcPr>
          <w:p w14:paraId="4D5E09D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部门产出时效是否达到绩效目标</w:t>
            </w:r>
          </w:p>
        </w:tc>
        <w:tc>
          <w:tcPr>
            <w:tcW w:w="792" w:type="dxa"/>
            <w:tcBorders>
              <w:top w:val="single" w:color="000000" w:sz="8" w:space="0"/>
              <w:left w:val="single" w:color="000000" w:sz="8" w:space="0"/>
              <w:bottom w:val="single" w:color="auto" w:sz="8" w:space="0"/>
              <w:right w:val="single" w:color="000000" w:sz="8" w:space="0"/>
            </w:tcBorders>
            <w:shd w:val="clear" w:color="auto" w:fill="auto"/>
            <w:vAlign w:val="center"/>
          </w:tcPr>
          <w:p w14:paraId="7BD069D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850" w:type="dxa"/>
            <w:tcBorders>
              <w:top w:val="single" w:color="000000" w:sz="8" w:space="0"/>
              <w:left w:val="single" w:color="000000" w:sz="8" w:space="0"/>
              <w:bottom w:val="single" w:color="auto" w:sz="8" w:space="0"/>
              <w:right w:val="single" w:color="000000" w:sz="8" w:space="0"/>
            </w:tcBorders>
            <w:shd w:val="clear" w:color="auto" w:fill="auto"/>
            <w:vAlign w:val="center"/>
          </w:tcPr>
          <w:p w14:paraId="574B40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5.00</w:t>
            </w:r>
          </w:p>
        </w:tc>
        <w:tc>
          <w:tcPr>
            <w:tcW w:w="1325" w:type="dxa"/>
            <w:tcBorders>
              <w:top w:val="single" w:color="000000" w:sz="8" w:space="0"/>
              <w:left w:val="single" w:color="000000" w:sz="8" w:space="0"/>
              <w:bottom w:val="single" w:color="auto" w:sz="8" w:space="0"/>
              <w:right w:val="single" w:color="000000" w:sz="8" w:space="0"/>
            </w:tcBorders>
            <w:shd w:val="clear" w:color="auto" w:fill="auto"/>
            <w:vAlign w:val="center"/>
          </w:tcPr>
          <w:p w14:paraId="7474E8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BDB1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58E159">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84F2A0">
            <w:pPr>
              <w:jc w:val="center"/>
              <w:rPr>
                <w:rFonts w:hint="eastAsia" w:ascii="宋体" w:hAnsi="宋体" w:eastAsia="宋体" w:cs="宋体"/>
                <w:i w:val="0"/>
                <w:iCs w:val="0"/>
                <w:color w:val="auto"/>
                <w:sz w:val="20"/>
                <w:szCs w:val="20"/>
                <w:highlight w:val="none"/>
                <w:u w:val="none"/>
              </w:rPr>
            </w:pPr>
          </w:p>
        </w:tc>
        <w:tc>
          <w:tcPr>
            <w:tcW w:w="1075" w:type="dxa"/>
            <w:vMerge w:val="restart"/>
            <w:tcBorders>
              <w:top w:val="single" w:color="000000" w:sz="8" w:space="0"/>
              <w:left w:val="single" w:color="000000" w:sz="8" w:space="0"/>
              <w:right w:val="single" w:color="auto" w:sz="8" w:space="0"/>
            </w:tcBorders>
            <w:shd w:val="clear" w:color="auto" w:fill="auto"/>
            <w:vAlign w:val="center"/>
          </w:tcPr>
          <w:p w14:paraId="2C5ABE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产出成本</w:t>
            </w:r>
          </w:p>
        </w:tc>
        <w:tc>
          <w:tcPr>
            <w:tcW w:w="2658" w:type="dxa"/>
            <w:tcBorders>
              <w:top w:val="single" w:color="auto" w:sz="8" w:space="0"/>
              <w:left w:val="single" w:color="auto" w:sz="8" w:space="0"/>
              <w:bottom w:val="single" w:color="auto" w:sz="8" w:space="0"/>
              <w:right w:val="single" w:color="auto" w:sz="8" w:space="0"/>
            </w:tcBorders>
            <w:shd w:val="clear" w:color="auto" w:fill="auto"/>
            <w:vAlign w:val="center"/>
          </w:tcPr>
          <w:p w14:paraId="0E44B0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公用经费支出不超出预算批复范围</w:t>
            </w:r>
          </w:p>
        </w:tc>
        <w:tc>
          <w:tcPr>
            <w:tcW w:w="792" w:type="dxa"/>
            <w:tcBorders>
              <w:top w:val="single" w:color="auto" w:sz="8" w:space="0"/>
              <w:left w:val="single" w:color="auto" w:sz="8" w:space="0"/>
              <w:bottom w:val="single" w:color="auto" w:sz="8" w:space="0"/>
              <w:right w:val="single" w:color="auto" w:sz="8" w:space="0"/>
            </w:tcBorders>
            <w:shd w:val="clear" w:color="auto" w:fill="auto"/>
            <w:vAlign w:val="center"/>
          </w:tcPr>
          <w:p w14:paraId="52A5838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2.5</w:t>
            </w:r>
          </w:p>
        </w:tc>
        <w:tc>
          <w:tcPr>
            <w:tcW w:w="850" w:type="dxa"/>
            <w:tcBorders>
              <w:top w:val="single" w:color="auto" w:sz="8" w:space="0"/>
              <w:left w:val="single" w:color="auto" w:sz="8" w:space="0"/>
              <w:bottom w:val="single" w:color="auto" w:sz="8" w:space="0"/>
              <w:right w:val="single" w:color="auto" w:sz="8" w:space="0"/>
            </w:tcBorders>
            <w:shd w:val="clear" w:color="auto" w:fill="auto"/>
            <w:vAlign w:val="center"/>
          </w:tcPr>
          <w:p w14:paraId="145227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2.50</w:t>
            </w:r>
          </w:p>
        </w:tc>
        <w:tc>
          <w:tcPr>
            <w:tcW w:w="1325" w:type="dxa"/>
            <w:tcBorders>
              <w:top w:val="single" w:color="auto" w:sz="8" w:space="0"/>
              <w:left w:val="single" w:color="auto" w:sz="8" w:space="0"/>
              <w:bottom w:val="single" w:color="auto" w:sz="8" w:space="0"/>
              <w:right w:val="single" w:color="auto" w:sz="8" w:space="0"/>
            </w:tcBorders>
            <w:shd w:val="clear" w:color="auto" w:fill="auto"/>
            <w:vAlign w:val="center"/>
          </w:tcPr>
          <w:p w14:paraId="026A9F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8DDB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07" w:type="dxa"/>
            <w:vMerge w:val="continue"/>
            <w:tcBorders>
              <w:left w:val="single" w:color="000000" w:sz="8" w:space="0"/>
              <w:bottom w:val="single" w:color="000000" w:sz="8" w:space="0"/>
              <w:right w:val="single" w:color="000000" w:sz="8" w:space="0"/>
            </w:tcBorders>
            <w:shd w:val="clear" w:color="auto" w:fill="auto"/>
            <w:vAlign w:val="center"/>
          </w:tcPr>
          <w:p w14:paraId="2DD2B866">
            <w:pPr>
              <w:keepNext w:val="0"/>
              <w:keepLines w:val="0"/>
              <w:widowControl/>
              <w:suppressLineNumbers w:val="0"/>
              <w:jc w:val="center"/>
              <w:textAlignment w:val="center"/>
              <w:rPr>
                <w:color w:val="auto"/>
                <w:highlight w:val="none"/>
              </w:rPr>
            </w:pPr>
          </w:p>
        </w:tc>
        <w:tc>
          <w:tcPr>
            <w:tcW w:w="883" w:type="dxa"/>
            <w:vMerge w:val="continue"/>
            <w:tcBorders>
              <w:left w:val="single" w:color="000000" w:sz="8" w:space="0"/>
              <w:bottom w:val="single" w:color="000000" w:sz="8" w:space="0"/>
              <w:right w:val="single" w:color="000000" w:sz="8" w:space="0"/>
            </w:tcBorders>
            <w:shd w:val="clear" w:color="auto" w:fill="auto"/>
            <w:vAlign w:val="center"/>
          </w:tcPr>
          <w:p w14:paraId="62CEF9D8">
            <w:pPr>
              <w:keepNext w:val="0"/>
              <w:keepLines w:val="0"/>
              <w:widowControl/>
              <w:suppressLineNumbers w:val="0"/>
              <w:jc w:val="center"/>
              <w:textAlignment w:val="center"/>
              <w:rPr>
                <w:color w:val="auto"/>
                <w:highlight w:val="none"/>
              </w:rPr>
            </w:pPr>
          </w:p>
        </w:tc>
        <w:tc>
          <w:tcPr>
            <w:tcW w:w="1075" w:type="dxa"/>
            <w:vMerge w:val="continue"/>
            <w:tcBorders>
              <w:left w:val="single" w:color="000000" w:sz="8" w:space="0"/>
              <w:bottom w:val="single" w:color="000000" w:sz="8" w:space="0"/>
              <w:right w:val="single" w:color="auto" w:sz="8" w:space="0"/>
            </w:tcBorders>
            <w:shd w:val="clear" w:color="auto" w:fill="auto"/>
            <w:vAlign w:val="center"/>
          </w:tcPr>
          <w:p w14:paraId="3DFA9EB8">
            <w:pPr>
              <w:keepNext w:val="0"/>
              <w:keepLines w:val="0"/>
              <w:widowControl/>
              <w:suppressLineNumbers w:val="0"/>
              <w:jc w:val="center"/>
              <w:textAlignment w:val="center"/>
              <w:rPr>
                <w:color w:val="auto"/>
                <w:highlight w:val="none"/>
              </w:rPr>
            </w:pPr>
          </w:p>
        </w:tc>
        <w:tc>
          <w:tcPr>
            <w:tcW w:w="2658" w:type="dxa"/>
            <w:tcBorders>
              <w:top w:val="single" w:color="auto" w:sz="8" w:space="0"/>
              <w:left w:val="single" w:color="auto" w:sz="8" w:space="0"/>
              <w:bottom w:val="single" w:color="auto" w:sz="8" w:space="0"/>
              <w:right w:val="single" w:color="auto" w:sz="8" w:space="0"/>
            </w:tcBorders>
            <w:shd w:val="clear" w:color="auto" w:fill="auto"/>
            <w:vAlign w:val="center"/>
          </w:tcPr>
          <w:p w14:paraId="3BB6277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项目经费支出不超出预算批复范围</w:t>
            </w:r>
          </w:p>
        </w:tc>
        <w:tc>
          <w:tcPr>
            <w:tcW w:w="792" w:type="dxa"/>
            <w:tcBorders>
              <w:top w:val="single" w:color="auto" w:sz="8" w:space="0"/>
              <w:left w:val="single" w:color="auto" w:sz="8" w:space="0"/>
              <w:bottom w:val="single" w:color="auto" w:sz="8" w:space="0"/>
              <w:right w:val="single" w:color="auto" w:sz="8" w:space="0"/>
            </w:tcBorders>
            <w:shd w:val="clear" w:color="auto" w:fill="auto"/>
            <w:vAlign w:val="center"/>
          </w:tcPr>
          <w:p w14:paraId="1E2A095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2.5</w:t>
            </w:r>
          </w:p>
        </w:tc>
        <w:tc>
          <w:tcPr>
            <w:tcW w:w="850" w:type="dxa"/>
            <w:tcBorders>
              <w:top w:val="single" w:color="auto" w:sz="8" w:space="0"/>
              <w:left w:val="single" w:color="auto" w:sz="8" w:space="0"/>
              <w:bottom w:val="single" w:color="auto" w:sz="8" w:space="0"/>
              <w:right w:val="single" w:color="auto" w:sz="8" w:space="0"/>
            </w:tcBorders>
            <w:shd w:val="clear" w:color="auto" w:fill="auto"/>
            <w:vAlign w:val="center"/>
          </w:tcPr>
          <w:p w14:paraId="591FD30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2.3</w:t>
            </w:r>
            <w:r>
              <w:rPr>
                <w:rFonts w:hint="eastAsia" w:ascii="宋体" w:hAnsi="宋体" w:cs="宋体"/>
                <w:i w:val="0"/>
                <w:iCs w:val="0"/>
                <w:color w:val="000000"/>
                <w:kern w:val="0"/>
                <w:sz w:val="20"/>
                <w:szCs w:val="20"/>
                <w:u w:val="none"/>
                <w:lang w:val="en-US" w:eastAsia="zh-CN" w:bidi="ar"/>
              </w:rPr>
              <w:t>4</w:t>
            </w:r>
          </w:p>
        </w:tc>
        <w:tc>
          <w:tcPr>
            <w:tcW w:w="1325" w:type="dxa"/>
            <w:tcBorders>
              <w:top w:val="single" w:color="auto" w:sz="8" w:space="0"/>
              <w:left w:val="single" w:color="auto" w:sz="8" w:space="0"/>
              <w:bottom w:val="single" w:color="auto" w:sz="8" w:space="0"/>
              <w:right w:val="single" w:color="auto" w:sz="8" w:space="0"/>
            </w:tcBorders>
            <w:shd w:val="clear" w:color="auto" w:fill="auto"/>
            <w:vAlign w:val="center"/>
          </w:tcPr>
          <w:p w14:paraId="7D99F844">
            <w:pPr>
              <w:keepNext w:val="0"/>
              <w:keepLines w:val="0"/>
              <w:widowControl/>
              <w:suppressLineNumbers w:val="0"/>
              <w:jc w:val="both"/>
              <w:textAlignment w:val="center"/>
              <w:rPr>
                <w:rFonts w:hint="default" w:ascii="宋体" w:hAnsi="宋体" w:eastAsia="宋体" w:cs="宋体"/>
                <w:i w:val="0"/>
                <w:iCs w:val="0"/>
                <w:color w:val="auto"/>
                <w:kern w:val="0"/>
                <w:sz w:val="20"/>
                <w:szCs w:val="20"/>
                <w:highlight w:val="none"/>
                <w:u w:val="none"/>
                <w:lang w:val="en-US" w:eastAsia="zh-CN" w:bidi="ar"/>
              </w:rPr>
            </w:pPr>
          </w:p>
        </w:tc>
      </w:tr>
      <w:tr w14:paraId="1B520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574B1B">
            <w:pPr>
              <w:jc w:val="center"/>
              <w:rPr>
                <w:rFonts w:hint="eastAsia" w:ascii="宋体" w:hAnsi="宋体" w:eastAsia="宋体" w:cs="宋体"/>
                <w:i w:val="0"/>
                <w:iCs w:val="0"/>
                <w:color w:val="auto"/>
                <w:sz w:val="20"/>
                <w:szCs w:val="20"/>
                <w:highlight w:val="none"/>
                <w:u w:val="none"/>
              </w:rPr>
            </w:pPr>
          </w:p>
        </w:tc>
        <w:tc>
          <w:tcPr>
            <w:tcW w:w="88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D13D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效果</w:t>
            </w:r>
          </w:p>
          <w:p w14:paraId="71BB69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（25分）　</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759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w:t>
            </w:r>
          </w:p>
        </w:tc>
        <w:tc>
          <w:tcPr>
            <w:tcW w:w="2658" w:type="dxa"/>
            <w:tcBorders>
              <w:top w:val="single" w:color="auto" w:sz="8" w:space="0"/>
              <w:left w:val="single" w:color="000000" w:sz="8" w:space="0"/>
              <w:bottom w:val="single" w:color="000000" w:sz="8" w:space="0"/>
              <w:right w:val="single" w:color="000000" w:sz="8" w:space="0"/>
            </w:tcBorders>
            <w:shd w:val="clear" w:color="auto" w:fill="auto"/>
            <w:vAlign w:val="center"/>
          </w:tcPr>
          <w:p w14:paraId="1F64D89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部门（单位）履行职责对社会发展所带来的直接或间接影响</w:t>
            </w:r>
          </w:p>
        </w:tc>
        <w:tc>
          <w:tcPr>
            <w:tcW w:w="792" w:type="dxa"/>
            <w:tcBorders>
              <w:top w:val="single" w:color="auto" w:sz="8" w:space="0"/>
              <w:left w:val="single" w:color="000000" w:sz="8" w:space="0"/>
              <w:bottom w:val="single" w:color="000000" w:sz="8" w:space="0"/>
              <w:right w:val="single" w:color="000000" w:sz="8" w:space="0"/>
            </w:tcBorders>
            <w:shd w:val="clear" w:color="auto" w:fill="auto"/>
            <w:vAlign w:val="center"/>
          </w:tcPr>
          <w:p w14:paraId="570236E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10</w:t>
            </w:r>
          </w:p>
        </w:tc>
        <w:tc>
          <w:tcPr>
            <w:tcW w:w="850" w:type="dxa"/>
            <w:tcBorders>
              <w:top w:val="single" w:color="auto" w:sz="8" w:space="0"/>
              <w:left w:val="single" w:color="000000" w:sz="8" w:space="0"/>
              <w:bottom w:val="single" w:color="000000" w:sz="8" w:space="0"/>
              <w:right w:val="single" w:color="000000" w:sz="8" w:space="0"/>
            </w:tcBorders>
            <w:shd w:val="clear" w:color="auto" w:fill="auto"/>
            <w:vAlign w:val="center"/>
          </w:tcPr>
          <w:p w14:paraId="35A4C2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8.67</w:t>
            </w:r>
          </w:p>
        </w:tc>
        <w:tc>
          <w:tcPr>
            <w:tcW w:w="1325" w:type="dxa"/>
            <w:tcBorders>
              <w:top w:val="single" w:color="auto" w:sz="8" w:space="0"/>
              <w:left w:val="single" w:color="000000" w:sz="8" w:space="0"/>
              <w:bottom w:val="single" w:color="000000" w:sz="8" w:space="0"/>
              <w:right w:val="single" w:color="000000" w:sz="8" w:space="0"/>
            </w:tcBorders>
            <w:shd w:val="clear" w:color="auto" w:fill="auto"/>
            <w:vAlign w:val="center"/>
          </w:tcPr>
          <w:p w14:paraId="5E92F2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D64A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51532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部门绩效（45分）</w:t>
            </w:r>
          </w:p>
        </w:tc>
        <w:tc>
          <w:tcPr>
            <w:tcW w:w="88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F6F3A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效果</w:t>
            </w:r>
          </w:p>
          <w:p w14:paraId="0A6018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（25分）　</w:t>
            </w: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E916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环境效益</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BE75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部门（单位）履行职责对环境所带来的直接或间接影响</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F6973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1845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4.90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408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7524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09AED8">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006349">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184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可持续影响</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BB0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部门绩效目标实现的长效机制建设情况，部门工作效率提升措施的创新</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A2B5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F19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4.40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C58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357A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510D2E">
            <w:pPr>
              <w:jc w:val="center"/>
              <w:rPr>
                <w:rFonts w:hint="eastAsia" w:ascii="宋体" w:hAnsi="宋体" w:eastAsia="宋体" w:cs="宋体"/>
                <w:i w:val="0"/>
                <w:iCs w:val="0"/>
                <w:color w:val="auto"/>
                <w:sz w:val="20"/>
                <w:szCs w:val="20"/>
                <w:highlight w:val="none"/>
                <w:u w:val="none"/>
              </w:rPr>
            </w:pPr>
          </w:p>
        </w:tc>
        <w:tc>
          <w:tcPr>
            <w:tcW w:w="88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10D5FC">
            <w:pPr>
              <w:jc w:val="center"/>
              <w:rPr>
                <w:rFonts w:hint="eastAsia" w:ascii="宋体" w:hAnsi="宋体" w:eastAsia="宋体" w:cs="宋体"/>
                <w:i w:val="0"/>
                <w:iCs w:val="0"/>
                <w:color w:val="auto"/>
                <w:sz w:val="20"/>
                <w:szCs w:val="20"/>
                <w:highlight w:val="none"/>
                <w:u w:val="none"/>
              </w:rPr>
            </w:pPr>
          </w:p>
        </w:tc>
        <w:tc>
          <w:tcPr>
            <w:tcW w:w="10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0FA0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26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24D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部门（单位）的服务对象对部门履职效果的满意程度</w:t>
            </w:r>
          </w:p>
        </w:tc>
        <w:tc>
          <w:tcPr>
            <w:tcW w:w="79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A1E2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E2F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4.40</w:t>
            </w:r>
          </w:p>
        </w:tc>
        <w:tc>
          <w:tcPr>
            <w:tcW w:w="13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0D8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支撑资料不够充分</w:t>
            </w:r>
          </w:p>
        </w:tc>
      </w:tr>
      <w:tr w14:paraId="511A6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23" w:type="dxa"/>
            <w:gridSpan w:val="4"/>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CDAB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合计</w:t>
            </w:r>
          </w:p>
        </w:tc>
        <w:tc>
          <w:tcPr>
            <w:tcW w:w="79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C4472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100</w:t>
            </w:r>
          </w:p>
        </w:tc>
        <w:tc>
          <w:tcPr>
            <w:tcW w:w="8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E36C0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90.18</w:t>
            </w:r>
          </w:p>
        </w:tc>
        <w:tc>
          <w:tcPr>
            <w:tcW w:w="132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CAD7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14:paraId="058C6283">
      <w:pPr>
        <w:rPr>
          <w:rFonts w:hint="default" w:eastAsia="宋体" w:cs="Times New Roman"/>
          <w:color w:val="auto"/>
          <w:highlight w:val="none"/>
          <w:lang w:val="en-US" w:eastAsia="zh-CN"/>
        </w:rPr>
      </w:pPr>
      <w:bookmarkStart w:id="114" w:name="_GoBack"/>
      <w:bookmarkEnd w:id="114"/>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9FE7F2-B1AE-4283-AF27-93DE7C4FFE5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仿宋_GB2312">
    <w:panose1 w:val="02000000000000000000"/>
    <w:charset w:val="86"/>
    <w:family w:val="auto"/>
    <w:pitch w:val="default"/>
    <w:sig w:usb0="A00002BF" w:usb1="184F6CFA" w:usb2="00000012" w:usb3="00000000" w:csb0="00040001" w:csb1="00000000"/>
    <w:embedRegular r:id="rId2" w:fontKey="{42E15238-3B35-4C86-BAED-12EB9639AA83}"/>
  </w:font>
  <w:font w:name="Arial Narrow">
    <w:panose1 w:val="020B0606020202030204"/>
    <w:charset w:val="00"/>
    <w:family w:val="swiss"/>
    <w:pitch w:val="default"/>
    <w:sig w:usb0="00000287" w:usb1="00000800" w:usb2="00000000" w:usb3="00000000" w:csb0="2000009F" w:csb1="DFD70000"/>
    <w:embedRegular r:id="rId3" w:fontKey="{4299653C-3DF8-4CE3-BF6C-0848A56F866C}"/>
  </w:font>
  <w:font w:name="仿宋">
    <w:panose1 w:val="02010609060101010101"/>
    <w:charset w:val="86"/>
    <w:family w:val="modern"/>
    <w:pitch w:val="default"/>
    <w:sig w:usb0="800002BF" w:usb1="38CF7CFA" w:usb2="00000016" w:usb3="00000000" w:csb0="00040001" w:csb1="00000000"/>
    <w:embedRegular r:id="rId4" w:fontKey="{233FD2FA-D7F9-4B90-849B-574DFD5B4738}"/>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5C4E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3B5C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940A98">
                          <w:pPr>
                            <w:pStyle w:val="9"/>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F940A98">
                    <w:pPr>
                      <w:pStyle w:val="9"/>
                    </w:pPr>
                    <w:r>
                      <w:fldChar w:fldCharType="begin"/>
                    </w:r>
                    <w:r>
                      <w:instrText xml:space="preserve"> PAGE  \* MERGEFORMAT </w:instrText>
                    </w:r>
                    <w:r>
                      <w:fldChar w:fldCharType="separate"/>
                    </w:r>
                    <w:r>
                      <w:t>19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F6D36">
    <w:pPr>
      <w:pStyle w:val="10"/>
      <w:pBdr>
        <w:bottom w:val="none" w:color="auto" w:sz="0" w:space="1"/>
      </w:pBdr>
      <w:rPr>
        <w:rFonts w:ascii="宋体" w:cs="Times New Roman"/>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7319AB"/>
    <w:multiLevelType w:val="singleLevel"/>
    <w:tmpl w:val="B97319AB"/>
    <w:lvl w:ilvl="0" w:tentative="0">
      <w:start w:val="5"/>
      <w:numFmt w:val="chineseCounting"/>
      <w:suff w:val="nothing"/>
      <w:lvlText w:val="（%1）"/>
      <w:lvlJc w:val="left"/>
      <w:rPr>
        <w:rFonts w:hint="eastAsia"/>
      </w:rPr>
    </w:lvl>
  </w:abstractNum>
  <w:abstractNum w:abstractNumId="1">
    <w:nsid w:val="3D467084"/>
    <w:multiLevelType w:val="singleLevel"/>
    <w:tmpl w:val="3D46708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kN2NiMjFjMWRiYjY0YTA3ZWY3N2FhMzcyOTE1OWYifQ=="/>
  </w:docVars>
  <w:rsids>
    <w:rsidRoot w:val="00050E67"/>
    <w:rsid w:val="000365EE"/>
    <w:rsid w:val="00050E67"/>
    <w:rsid w:val="000930D4"/>
    <w:rsid w:val="000A3C0C"/>
    <w:rsid w:val="000B6747"/>
    <w:rsid w:val="000D03AC"/>
    <w:rsid w:val="000D2DEA"/>
    <w:rsid w:val="000F683E"/>
    <w:rsid w:val="0011727A"/>
    <w:rsid w:val="00117AAB"/>
    <w:rsid w:val="00182253"/>
    <w:rsid w:val="001D2FAD"/>
    <w:rsid w:val="001E29B6"/>
    <w:rsid w:val="001E3556"/>
    <w:rsid w:val="00282A11"/>
    <w:rsid w:val="00284798"/>
    <w:rsid w:val="002F77C0"/>
    <w:rsid w:val="003711B9"/>
    <w:rsid w:val="00371327"/>
    <w:rsid w:val="003B6613"/>
    <w:rsid w:val="003C2366"/>
    <w:rsid w:val="003D118C"/>
    <w:rsid w:val="00403707"/>
    <w:rsid w:val="004406AB"/>
    <w:rsid w:val="00441E56"/>
    <w:rsid w:val="00446675"/>
    <w:rsid w:val="004C065F"/>
    <w:rsid w:val="004C50AF"/>
    <w:rsid w:val="004C5DC3"/>
    <w:rsid w:val="004E6D58"/>
    <w:rsid w:val="004F3E51"/>
    <w:rsid w:val="00565752"/>
    <w:rsid w:val="005B3B42"/>
    <w:rsid w:val="005F3ECD"/>
    <w:rsid w:val="00613D40"/>
    <w:rsid w:val="00620B65"/>
    <w:rsid w:val="00623635"/>
    <w:rsid w:val="00632AC4"/>
    <w:rsid w:val="0064167E"/>
    <w:rsid w:val="006B4A3C"/>
    <w:rsid w:val="006B7C66"/>
    <w:rsid w:val="007074EA"/>
    <w:rsid w:val="0074412F"/>
    <w:rsid w:val="007507E7"/>
    <w:rsid w:val="00751D25"/>
    <w:rsid w:val="007710A8"/>
    <w:rsid w:val="007931BB"/>
    <w:rsid w:val="00816543"/>
    <w:rsid w:val="00824406"/>
    <w:rsid w:val="00852862"/>
    <w:rsid w:val="008F7BCB"/>
    <w:rsid w:val="00922675"/>
    <w:rsid w:val="00951028"/>
    <w:rsid w:val="00956DC8"/>
    <w:rsid w:val="009C5580"/>
    <w:rsid w:val="00A00A86"/>
    <w:rsid w:val="00A150FA"/>
    <w:rsid w:val="00A25A8D"/>
    <w:rsid w:val="00A40483"/>
    <w:rsid w:val="00A7175C"/>
    <w:rsid w:val="00A90411"/>
    <w:rsid w:val="00A905C1"/>
    <w:rsid w:val="00A95409"/>
    <w:rsid w:val="00AB7A52"/>
    <w:rsid w:val="00AC3284"/>
    <w:rsid w:val="00AD0A71"/>
    <w:rsid w:val="00AE17E2"/>
    <w:rsid w:val="00AE18D1"/>
    <w:rsid w:val="00B47F34"/>
    <w:rsid w:val="00BA1A69"/>
    <w:rsid w:val="00BC35B0"/>
    <w:rsid w:val="00BE4B4D"/>
    <w:rsid w:val="00C4440F"/>
    <w:rsid w:val="00C5107B"/>
    <w:rsid w:val="00D319E3"/>
    <w:rsid w:val="00D621A9"/>
    <w:rsid w:val="00D95DF2"/>
    <w:rsid w:val="00DB62B5"/>
    <w:rsid w:val="00DC1A3D"/>
    <w:rsid w:val="00DF06F4"/>
    <w:rsid w:val="00DF3269"/>
    <w:rsid w:val="00E119F1"/>
    <w:rsid w:val="00E47283"/>
    <w:rsid w:val="00E967D4"/>
    <w:rsid w:val="00F37A77"/>
    <w:rsid w:val="00F432EE"/>
    <w:rsid w:val="00F53C43"/>
    <w:rsid w:val="00F62E7C"/>
    <w:rsid w:val="00FF060F"/>
    <w:rsid w:val="00FF3001"/>
    <w:rsid w:val="01232B56"/>
    <w:rsid w:val="01406E90"/>
    <w:rsid w:val="01411327"/>
    <w:rsid w:val="01605C59"/>
    <w:rsid w:val="01853B7D"/>
    <w:rsid w:val="019A05BD"/>
    <w:rsid w:val="01B302FF"/>
    <w:rsid w:val="01BD420B"/>
    <w:rsid w:val="01F34E1B"/>
    <w:rsid w:val="021C34B2"/>
    <w:rsid w:val="024D7D3C"/>
    <w:rsid w:val="025D08EA"/>
    <w:rsid w:val="026414D5"/>
    <w:rsid w:val="026920FE"/>
    <w:rsid w:val="027062E6"/>
    <w:rsid w:val="02980712"/>
    <w:rsid w:val="02986B0E"/>
    <w:rsid w:val="029F0F02"/>
    <w:rsid w:val="02A1578F"/>
    <w:rsid w:val="02CF1D1A"/>
    <w:rsid w:val="03125B78"/>
    <w:rsid w:val="03140C25"/>
    <w:rsid w:val="031A4A2D"/>
    <w:rsid w:val="0335253C"/>
    <w:rsid w:val="03463FB1"/>
    <w:rsid w:val="03767109"/>
    <w:rsid w:val="03867A99"/>
    <w:rsid w:val="03B21EC6"/>
    <w:rsid w:val="03E25BCA"/>
    <w:rsid w:val="03E8603E"/>
    <w:rsid w:val="03F82FC0"/>
    <w:rsid w:val="040102C2"/>
    <w:rsid w:val="04022F00"/>
    <w:rsid w:val="04132C5D"/>
    <w:rsid w:val="041E5D94"/>
    <w:rsid w:val="041F7BAA"/>
    <w:rsid w:val="04377146"/>
    <w:rsid w:val="0442358C"/>
    <w:rsid w:val="044C041F"/>
    <w:rsid w:val="04747F4B"/>
    <w:rsid w:val="048A1E60"/>
    <w:rsid w:val="04913170"/>
    <w:rsid w:val="04934A97"/>
    <w:rsid w:val="049A024B"/>
    <w:rsid w:val="04B30C95"/>
    <w:rsid w:val="04C17856"/>
    <w:rsid w:val="04D03F28"/>
    <w:rsid w:val="04E13A54"/>
    <w:rsid w:val="04E92909"/>
    <w:rsid w:val="04F35535"/>
    <w:rsid w:val="050A451E"/>
    <w:rsid w:val="051412EB"/>
    <w:rsid w:val="051F05D2"/>
    <w:rsid w:val="05237BC9"/>
    <w:rsid w:val="052956F6"/>
    <w:rsid w:val="053848CA"/>
    <w:rsid w:val="053E0E5E"/>
    <w:rsid w:val="05544226"/>
    <w:rsid w:val="05551447"/>
    <w:rsid w:val="055B6CA3"/>
    <w:rsid w:val="056512EB"/>
    <w:rsid w:val="058479BE"/>
    <w:rsid w:val="059A6F51"/>
    <w:rsid w:val="05A422C9"/>
    <w:rsid w:val="05A54A04"/>
    <w:rsid w:val="05F04C1F"/>
    <w:rsid w:val="060A5550"/>
    <w:rsid w:val="06324600"/>
    <w:rsid w:val="06380EFC"/>
    <w:rsid w:val="06475B39"/>
    <w:rsid w:val="06515A1E"/>
    <w:rsid w:val="06691C27"/>
    <w:rsid w:val="066B4250"/>
    <w:rsid w:val="06715FD9"/>
    <w:rsid w:val="067D155B"/>
    <w:rsid w:val="06816C84"/>
    <w:rsid w:val="069529B0"/>
    <w:rsid w:val="069D0E91"/>
    <w:rsid w:val="06A32A81"/>
    <w:rsid w:val="06A45A95"/>
    <w:rsid w:val="06A51751"/>
    <w:rsid w:val="06A61AD8"/>
    <w:rsid w:val="06B23CDF"/>
    <w:rsid w:val="06B4674F"/>
    <w:rsid w:val="06BE78F6"/>
    <w:rsid w:val="06C5541F"/>
    <w:rsid w:val="06C835F1"/>
    <w:rsid w:val="06FB0E77"/>
    <w:rsid w:val="06FC54BF"/>
    <w:rsid w:val="06FE6CD9"/>
    <w:rsid w:val="0709560C"/>
    <w:rsid w:val="07375BAD"/>
    <w:rsid w:val="077E1E05"/>
    <w:rsid w:val="07822E61"/>
    <w:rsid w:val="079C3C62"/>
    <w:rsid w:val="07B62F76"/>
    <w:rsid w:val="07D07BFF"/>
    <w:rsid w:val="07D32521"/>
    <w:rsid w:val="07F70F27"/>
    <w:rsid w:val="080B179E"/>
    <w:rsid w:val="080E7243"/>
    <w:rsid w:val="0858227F"/>
    <w:rsid w:val="086374FE"/>
    <w:rsid w:val="086F7C6E"/>
    <w:rsid w:val="087C3B74"/>
    <w:rsid w:val="089F0071"/>
    <w:rsid w:val="08A179CA"/>
    <w:rsid w:val="08B915CA"/>
    <w:rsid w:val="08CE3D4B"/>
    <w:rsid w:val="09144F07"/>
    <w:rsid w:val="092C64D0"/>
    <w:rsid w:val="092F2E3D"/>
    <w:rsid w:val="093A66D9"/>
    <w:rsid w:val="094548F0"/>
    <w:rsid w:val="09626409"/>
    <w:rsid w:val="09630E4F"/>
    <w:rsid w:val="09696588"/>
    <w:rsid w:val="097E5C87"/>
    <w:rsid w:val="097F2DFD"/>
    <w:rsid w:val="09880942"/>
    <w:rsid w:val="098F1CD1"/>
    <w:rsid w:val="09C1716F"/>
    <w:rsid w:val="0A002467"/>
    <w:rsid w:val="0A3A760B"/>
    <w:rsid w:val="0A50531D"/>
    <w:rsid w:val="0AA20321"/>
    <w:rsid w:val="0AB87005"/>
    <w:rsid w:val="0B0F1FB5"/>
    <w:rsid w:val="0B301291"/>
    <w:rsid w:val="0B3017F8"/>
    <w:rsid w:val="0B565328"/>
    <w:rsid w:val="0B597BDF"/>
    <w:rsid w:val="0B5A630E"/>
    <w:rsid w:val="0B695659"/>
    <w:rsid w:val="0B743580"/>
    <w:rsid w:val="0B756CA4"/>
    <w:rsid w:val="0B7955E3"/>
    <w:rsid w:val="0BC573A9"/>
    <w:rsid w:val="0BD7795F"/>
    <w:rsid w:val="0BE07254"/>
    <w:rsid w:val="0BE35734"/>
    <w:rsid w:val="0C051769"/>
    <w:rsid w:val="0C3B7EEE"/>
    <w:rsid w:val="0C4A6FC7"/>
    <w:rsid w:val="0C523051"/>
    <w:rsid w:val="0C5251A8"/>
    <w:rsid w:val="0C595904"/>
    <w:rsid w:val="0C6F1945"/>
    <w:rsid w:val="0C6F21CB"/>
    <w:rsid w:val="0C786312"/>
    <w:rsid w:val="0C8065E4"/>
    <w:rsid w:val="0C8A5BA0"/>
    <w:rsid w:val="0C924C4D"/>
    <w:rsid w:val="0C937D2A"/>
    <w:rsid w:val="0CEE31B2"/>
    <w:rsid w:val="0D1920CF"/>
    <w:rsid w:val="0D2936B9"/>
    <w:rsid w:val="0D352B8F"/>
    <w:rsid w:val="0D3861DB"/>
    <w:rsid w:val="0D5F741F"/>
    <w:rsid w:val="0D6166C0"/>
    <w:rsid w:val="0D7C626A"/>
    <w:rsid w:val="0D9A64F3"/>
    <w:rsid w:val="0E317F99"/>
    <w:rsid w:val="0E3B0A8E"/>
    <w:rsid w:val="0E60131D"/>
    <w:rsid w:val="0E6A22ED"/>
    <w:rsid w:val="0E8536A2"/>
    <w:rsid w:val="0EB22C25"/>
    <w:rsid w:val="0EC437A4"/>
    <w:rsid w:val="0EDE3908"/>
    <w:rsid w:val="0EE66682"/>
    <w:rsid w:val="0EF16F8A"/>
    <w:rsid w:val="0EF87F05"/>
    <w:rsid w:val="0F032819"/>
    <w:rsid w:val="0F4848A5"/>
    <w:rsid w:val="0F4946D0"/>
    <w:rsid w:val="0F4955EB"/>
    <w:rsid w:val="0F515C7A"/>
    <w:rsid w:val="0F63651B"/>
    <w:rsid w:val="0F713DEF"/>
    <w:rsid w:val="0F9C6EF5"/>
    <w:rsid w:val="0FAA281B"/>
    <w:rsid w:val="0FAD7426"/>
    <w:rsid w:val="0FB26F77"/>
    <w:rsid w:val="0FC23960"/>
    <w:rsid w:val="0FDD3F4B"/>
    <w:rsid w:val="0FDF5E03"/>
    <w:rsid w:val="0FF02664"/>
    <w:rsid w:val="0FFC7787"/>
    <w:rsid w:val="1028372D"/>
    <w:rsid w:val="10426E7F"/>
    <w:rsid w:val="10542077"/>
    <w:rsid w:val="106A5D5C"/>
    <w:rsid w:val="107F288F"/>
    <w:rsid w:val="108C73D0"/>
    <w:rsid w:val="1094439A"/>
    <w:rsid w:val="10A046FD"/>
    <w:rsid w:val="10B01155"/>
    <w:rsid w:val="10B57268"/>
    <w:rsid w:val="10B75A40"/>
    <w:rsid w:val="10DC2066"/>
    <w:rsid w:val="10DF765C"/>
    <w:rsid w:val="1122076F"/>
    <w:rsid w:val="113732B7"/>
    <w:rsid w:val="113A28C2"/>
    <w:rsid w:val="114E27F2"/>
    <w:rsid w:val="11827D93"/>
    <w:rsid w:val="11967974"/>
    <w:rsid w:val="119B5F96"/>
    <w:rsid w:val="119E6938"/>
    <w:rsid w:val="11B00BD4"/>
    <w:rsid w:val="11B0324E"/>
    <w:rsid w:val="11C00514"/>
    <w:rsid w:val="11DA299C"/>
    <w:rsid w:val="11EA3CBF"/>
    <w:rsid w:val="11EE03DD"/>
    <w:rsid w:val="11F755A9"/>
    <w:rsid w:val="12040D82"/>
    <w:rsid w:val="12255DA3"/>
    <w:rsid w:val="124442B0"/>
    <w:rsid w:val="124D7795"/>
    <w:rsid w:val="12537BEB"/>
    <w:rsid w:val="1259127D"/>
    <w:rsid w:val="12A06CFD"/>
    <w:rsid w:val="12A60030"/>
    <w:rsid w:val="12B146FF"/>
    <w:rsid w:val="12B44FD5"/>
    <w:rsid w:val="12DB7297"/>
    <w:rsid w:val="12E736C6"/>
    <w:rsid w:val="12FC699D"/>
    <w:rsid w:val="13004446"/>
    <w:rsid w:val="133426AD"/>
    <w:rsid w:val="134C6A15"/>
    <w:rsid w:val="13503613"/>
    <w:rsid w:val="135E3A22"/>
    <w:rsid w:val="1367781A"/>
    <w:rsid w:val="13777540"/>
    <w:rsid w:val="138934EB"/>
    <w:rsid w:val="139A0D1D"/>
    <w:rsid w:val="13B13D62"/>
    <w:rsid w:val="13C82EBD"/>
    <w:rsid w:val="13D14930"/>
    <w:rsid w:val="13DA4490"/>
    <w:rsid w:val="13E9328B"/>
    <w:rsid w:val="13FD64FA"/>
    <w:rsid w:val="14190109"/>
    <w:rsid w:val="141C6F74"/>
    <w:rsid w:val="14385BE0"/>
    <w:rsid w:val="14501579"/>
    <w:rsid w:val="14527C9A"/>
    <w:rsid w:val="1475321D"/>
    <w:rsid w:val="148619C8"/>
    <w:rsid w:val="14957BBC"/>
    <w:rsid w:val="14A94C3F"/>
    <w:rsid w:val="14D51E96"/>
    <w:rsid w:val="14FC21E4"/>
    <w:rsid w:val="14FC3FB5"/>
    <w:rsid w:val="15062182"/>
    <w:rsid w:val="15131A5D"/>
    <w:rsid w:val="152139F9"/>
    <w:rsid w:val="152176DF"/>
    <w:rsid w:val="158F676B"/>
    <w:rsid w:val="15936F17"/>
    <w:rsid w:val="159D39C7"/>
    <w:rsid w:val="159E1571"/>
    <w:rsid w:val="15B41C1A"/>
    <w:rsid w:val="15C12218"/>
    <w:rsid w:val="15D3795C"/>
    <w:rsid w:val="15E74C0F"/>
    <w:rsid w:val="15FE4BB5"/>
    <w:rsid w:val="1625086F"/>
    <w:rsid w:val="16262432"/>
    <w:rsid w:val="16472BC0"/>
    <w:rsid w:val="16587AC7"/>
    <w:rsid w:val="165F7CF0"/>
    <w:rsid w:val="1684272B"/>
    <w:rsid w:val="168A7AAE"/>
    <w:rsid w:val="16B5194E"/>
    <w:rsid w:val="16DB7D61"/>
    <w:rsid w:val="16E442C5"/>
    <w:rsid w:val="16E5323D"/>
    <w:rsid w:val="16F6630A"/>
    <w:rsid w:val="17033CFE"/>
    <w:rsid w:val="17225240"/>
    <w:rsid w:val="172A34AD"/>
    <w:rsid w:val="173C0FBE"/>
    <w:rsid w:val="175005C5"/>
    <w:rsid w:val="17571C87"/>
    <w:rsid w:val="17990328"/>
    <w:rsid w:val="17A54A14"/>
    <w:rsid w:val="17BE31C5"/>
    <w:rsid w:val="17C622B7"/>
    <w:rsid w:val="17D8171B"/>
    <w:rsid w:val="17D9680D"/>
    <w:rsid w:val="17F226D7"/>
    <w:rsid w:val="181B49A8"/>
    <w:rsid w:val="184071A5"/>
    <w:rsid w:val="18475E6C"/>
    <w:rsid w:val="18645C61"/>
    <w:rsid w:val="186936F3"/>
    <w:rsid w:val="189746FE"/>
    <w:rsid w:val="189E3CDE"/>
    <w:rsid w:val="18B70AFE"/>
    <w:rsid w:val="18CF3D2C"/>
    <w:rsid w:val="19053D5D"/>
    <w:rsid w:val="19075F9D"/>
    <w:rsid w:val="190A51E9"/>
    <w:rsid w:val="19345FF8"/>
    <w:rsid w:val="193D10C7"/>
    <w:rsid w:val="195F4D30"/>
    <w:rsid w:val="19627AF2"/>
    <w:rsid w:val="19730285"/>
    <w:rsid w:val="1977452F"/>
    <w:rsid w:val="19786CFB"/>
    <w:rsid w:val="198A1BB6"/>
    <w:rsid w:val="19B6603F"/>
    <w:rsid w:val="19CA70FB"/>
    <w:rsid w:val="19D54333"/>
    <w:rsid w:val="19DD22A2"/>
    <w:rsid w:val="19FC2CC0"/>
    <w:rsid w:val="1A06439A"/>
    <w:rsid w:val="1A113949"/>
    <w:rsid w:val="1A9F5AEC"/>
    <w:rsid w:val="1AA77EA3"/>
    <w:rsid w:val="1AEE0821"/>
    <w:rsid w:val="1AFE1403"/>
    <w:rsid w:val="1AFF34A8"/>
    <w:rsid w:val="1B1E2C59"/>
    <w:rsid w:val="1B506DE6"/>
    <w:rsid w:val="1B645FEE"/>
    <w:rsid w:val="1B8B458A"/>
    <w:rsid w:val="1BA333BA"/>
    <w:rsid w:val="1BE634D8"/>
    <w:rsid w:val="1C0235D7"/>
    <w:rsid w:val="1C10322D"/>
    <w:rsid w:val="1C2F5649"/>
    <w:rsid w:val="1C3969FA"/>
    <w:rsid w:val="1C526670"/>
    <w:rsid w:val="1C534190"/>
    <w:rsid w:val="1C6012AB"/>
    <w:rsid w:val="1C7D392E"/>
    <w:rsid w:val="1C822C06"/>
    <w:rsid w:val="1C9571A6"/>
    <w:rsid w:val="1CDB1CF3"/>
    <w:rsid w:val="1CEE2D5A"/>
    <w:rsid w:val="1D1226B1"/>
    <w:rsid w:val="1D334337"/>
    <w:rsid w:val="1D3764AF"/>
    <w:rsid w:val="1D456CB0"/>
    <w:rsid w:val="1D5229B9"/>
    <w:rsid w:val="1D794BBD"/>
    <w:rsid w:val="1D8D4C22"/>
    <w:rsid w:val="1D8E3BF5"/>
    <w:rsid w:val="1D91390D"/>
    <w:rsid w:val="1D9D4DA7"/>
    <w:rsid w:val="1D9E36A1"/>
    <w:rsid w:val="1DBC4C07"/>
    <w:rsid w:val="1DD81962"/>
    <w:rsid w:val="1DF20628"/>
    <w:rsid w:val="1E034679"/>
    <w:rsid w:val="1E336936"/>
    <w:rsid w:val="1E51534F"/>
    <w:rsid w:val="1EA46B47"/>
    <w:rsid w:val="1EAB38BB"/>
    <w:rsid w:val="1EBB45C5"/>
    <w:rsid w:val="1EBF050A"/>
    <w:rsid w:val="1EC778B2"/>
    <w:rsid w:val="1EDF295B"/>
    <w:rsid w:val="1EE359BC"/>
    <w:rsid w:val="1EF83A1C"/>
    <w:rsid w:val="1EFF5FF8"/>
    <w:rsid w:val="1F1053C0"/>
    <w:rsid w:val="1F2A479D"/>
    <w:rsid w:val="1F513AEB"/>
    <w:rsid w:val="1F5A6485"/>
    <w:rsid w:val="1F612128"/>
    <w:rsid w:val="1F642E60"/>
    <w:rsid w:val="1F6B699B"/>
    <w:rsid w:val="1F8A4FBC"/>
    <w:rsid w:val="1FA31BDA"/>
    <w:rsid w:val="1FB62834"/>
    <w:rsid w:val="1FBE22D6"/>
    <w:rsid w:val="1FC35DD8"/>
    <w:rsid w:val="1FCA5A5B"/>
    <w:rsid w:val="1FF43155"/>
    <w:rsid w:val="1FFC4890"/>
    <w:rsid w:val="20356CE7"/>
    <w:rsid w:val="20363EFC"/>
    <w:rsid w:val="204437AE"/>
    <w:rsid w:val="20586E69"/>
    <w:rsid w:val="206872BD"/>
    <w:rsid w:val="207B3A21"/>
    <w:rsid w:val="208633BF"/>
    <w:rsid w:val="2099402A"/>
    <w:rsid w:val="209B6DF3"/>
    <w:rsid w:val="20D76900"/>
    <w:rsid w:val="20DD736E"/>
    <w:rsid w:val="20E66C35"/>
    <w:rsid w:val="212B3FDE"/>
    <w:rsid w:val="212F7D7B"/>
    <w:rsid w:val="213773B5"/>
    <w:rsid w:val="213A6C01"/>
    <w:rsid w:val="213B5E42"/>
    <w:rsid w:val="216544B1"/>
    <w:rsid w:val="21BF6A73"/>
    <w:rsid w:val="21CB01E8"/>
    <w:rsid w:val="21CD2598"/>
    <w:rsid w:val="21D503C9"/>
    <w:rsid w:val="21D94F0B"/>
    <w:rsid w:val="21EB0988"/>
    <w:rsid w:val="220B1CB9"/>
    <w:rsid w:val="221049D7"/>
    <w:rsid w:val="22195562"/>
    <w:rsid w:val="221D4B64"/>
    <w:rsid w:val="221F0640"/>
    <w:rsid w:val="223851C6"/>
    <w:rsid w:val="22442742"/>
    <w:rsid w:val="225D2F78"/>
    <w:rsid w:val="22AA08B3"/>
    <w:rsid w:val="22C67E4B"/>
    <w:rsid w:val="22CD34A6"/>
    <w:rsid w:val="22D20428"/>
    <w:rsid w:val="22E3185B"/>
    <w:rsid w:val="22FB5508"/>
    <w:rsid w:val="23103A2A"/>
    <w:rsid w:val="231D79D9"/>
    <w:rsid w:val="2338088B"/>
    <w:rsid w:val="234C4337"/>
    <w:rsid w:val="23544BA5"/>
    <w:rsid w:val="236753D9"/>
    <w:rsid w:val="236D3DEE"/>
    <w:rsid w:val="2371756C"/>
    <w:rsid w:val="238924D2"/>
    <w:rsid w:val="23912A92"/>
    <w:rsid w:val="23A57504"/>
    <w:rsid w:val="23B14DF5"/>
    <w:rsid w:val="23BF2D5B"/>
    <w:rsid w:val="23C95987"/>
    <w:rsid w:val="23CE1F9C"/>
    <w:rsid w:val="24273096"/>
    <w:rsid w:val="242A21EA"/>
    <w:rsid w:val="248A0B1D"/>
    <w:rsid w:val="249574DC"/>
    <w:rsid w:val="249D7283"/>
    <w:rsid w:val="24B43181"/>
    <w:rsid w:val="24BA6B36"/>
    <w:rsid w:val="24BD373E"/>
    <w:rsid w:val="24F4697B"/>
    <w:rsid w:val="24F86524"/>
    <w:rsid w:val="24FE03CD"/>
    <w:rsid w:val="250803D4"/>
    <w:rsid w:val="250824DF"/>
    <w:rsid w:val="250E0105"/>
    <w:rsid w:val="25150A16"/>
    <w:rsid w:val="253C1C92"/>
    <w:rsid w:val="25635461"/>
    <w:rsid w:val="25695674"/>
    <w:rsid w:val="256A5F2E"/>
    <w:rsid w:val="25707F51"/>
    <w:rsid w:val="257806D6"/>
    <w:rsid w:val="258953C7"/>
    <w:rsid w:val="2593449F"/>
    <w:rsid w:val="259B3353"/>
    <w:rsid w:val="25A22934"/>
    <w:rsid w:val="25C11B17"/>
    <w:rsid w:val="25C94E04"/>
    <w:rsid w:val="25C97EC1"/>
    <w:rsid w:val="25E614EA"/>
    <w:rsid w:val="25ED1E01"/>
    <w:rsid w:val="25EF6AF4"/>
    <w:rsid w:val="25F018F1"/>
    <w:rsid w:val="260307BD"/>
    <w:rsid w:val="26097D41"/>
    <w:rsid w:val="26244AF5"/>
    <w:rsid w:val="263775B8"/>
    <w:rsid w:val="26454E83"/>
    <w:rsid w:val="265B48A0"/>
    <w:rsid w:val="26655E3B"/>
    <w:rsid w:val="267C3A0E"/>
    <w:rsid w:val="26A6577E"/>
    <w:rsid w:val="26CC6256"/>
    <w:rsid w:val="26D44F4A"/>
    <w:rsid w:val="26DA3FFB"/>
    <w:rsid w:val="26F54EB0"/>
    <w:rsid w:val="26F6557C"/>
    <w:rsid w:val="26F72B6D"/>
    <w:rsid w:val="271C2272"/>
    <w:rsid w:val="272C0707"/>
    <w:rsid w:val="27323F87"/>
    <w:rsid w:val="274A4A09"/>
    <w:rsid w:val="2794417C"/>
    <w:rsid w:val="27952F55"/>
    <w:rsid w:val="27B506FD"/>
    <w:rsid w:val="27C74D73"/>
    <w:rsid w:val="27CB2818"/>
    <w:rsid w:val="27D57E7D"/>
    <w:rsid w:val="27E13B97"/>
    <w:rsid w:val="27E169B1"/>
    <w:rsid w:val="27E73829"/>
    <w:rsid w:val="27EB6614"/>
    <w:rsid w:val="27EE4785"/>
    <w:rsid w:val="27FC5C17"/>
    <w:rsid w:val="28245C6F"/>
    <w:rsid w:val="284C4696"/>
    <w:rsid w:val="285E7C01"/>
    <w:rsid w:val="286869F0"/>
    <w:rsid w:val="287D05DD"/>
    <w:rsid w:val="28A16ED3"/>
    <w:rsid w:val="28A349F9"/>
    <w:rsid w:val="28B25505"/>
    <w:rsid w:val="28BE0FC0"/>
    <w:rsid w:val="28E82034"/>
    <w:rsid w:val="28F35569"/>
    <w:rsid w:val="290339E0"/>
    <w:rsid w:val="290D7B91"/>
    <w:rsid w:val="29130132"/>
    <w:rsid w:val="29265EBC"/>
    <w:rsid w:val="29706A5F"/>
    <w:rsid w:val="297659FF"/>
    <w:rsid w:val="297D0A4E"/>
    <w:rsid w:val="298B3D1F"/>
    <w:rsid w:val="29927630"/>
    <w:rsid w:val="29AF03DD"/>
    <w:rsid w:val="29D22091"/>
    <w:rsid w:val="29DA5A3F"/>
    <w:rsid w:val="29FB14CE"/>
    <w:rsid w:val="2A004AA9"/>
    <w:rsid w:val="2A06717D"/>
    <w:rsid w:val="2A283D07"/>
    <w:rsid w:val="2A2A487C"/>
    <w:rsid w:val="2A30050E"/>
    <w:rsid w:val="2AA15D83"/>
    <w:rsid w:val="2AAC1CD9"/>
    <w:rsid w:val="2ACB0237"/>
    <w:rsid w:val="2AEA1743"/>
    <w:rsid w:val="2AFA2727"/>
    <w:rsid w:val="2AFF6AE9"/>
    <w:rsid w:val="2AFF76A9"/>
    <w:rsid w:val="2B24238E"/>
    <w:rsid w:val="2B285689"/>
    <w:rsid w:val="2B2B0B8D"/>
    <w:rsid w:val="2B2F7663"/>
    <w:rsid w:val="2B3B716B"/>
    <w:rsid w:val="2B563FA5"/>
    <w:rsid w:val="2B5E72FD"/>
    <w:rsid w:val="2B822813"/>
    <w:rsid w:val="2B86506D"/>
    <w:rsid w:val="2B987B6F"/>
    <w:rsid w:val="2BA50A88"/>
    <w:rsid w:val="2BBC33B7"/>
    <w:rsid w:val="2BC360B7"/>
    <w:rsid w:val="2BD33847"/>
    <w:rsid w:val="2BFF5FB2"/>
    <w:rsid w:val="2C0F4556"/>
    <w:rsid w:val="2C29018D"/>
    <w:rsid w:val="2C744F9D"/>
    <w:rsid w:val="2C7474BE"/>
    <w:rsid w:val="2C9317EF"/>
    <w:rsid w:val="2CAD198E"/>
    <w:rsid w:val="2CB745C8"/>
    <w:rsid w:val="2CDE6947"/>
    <w:rsid w:val="2CE31673"/>
    <w:rsid w:val="2CE97CB6"/>
    <w:rsid w:val="2D0618E9"/>
    <w:rsid w:val="2D342127"/>
    <w:rsid w:val="2D614E83"/>
    <w:rsid w:val="2D662499"/>
    <w:rsid w:val="2D8A7030"/>
    <w:rsid w:val="2DAB20CC"/>
    <w:rsid w:val="2DBB6DD3"/>
    <w:rsid w:val="2DBF6AF2"/>
    <w:rsid w:val="2DED3344"/>
    <w:rsid w:val="2DF654CB"/>
    <w:rsid w:val="2DFD1A8E"/>
    <w:rsid w:val="2E026666"/>
    <w:rsid w:val="2E0A0309"/>
    <w:rsid w:val="2E163EBF"/>
    <w:rsid w:val="2E2247E3"/>
    <w:rsid w:val="2E237A26"/>
    <w:rsid w:val="2E307A37"/>
    <w:rsid w:val="2E4F2F2D"/>
    <w:rsid w:val="2E5C5D76"/>
    <w:rsid w:val="2E6151E6"/>
    <w:rsid w:val="2E6860F6"/>
    <w:rsid w:val="2E6C3ADF"/>
    <w:rsid w:val="2E70289C"/>
    <w:rsid w:val="2E772D71"/>
    <w:rsid w:val="2E912B2F"/>
    <w:rsid w:val="2E9710EB"/>
    <w:rsid w:val="2EBB3F8C"/>
    <w:rsid w:val="2EBC05C2"/>
    <w:rsid w:val="2EF42F35"/>
    <w:rsid w:val="2F071E1E"/>
    <w:rsid w:val="2F1B2025"/>
    <w:rsid w:val="2F227ECD"/>
    <w:rsid w:val="2F251F1B"/>
    <w:rsid w:val="2F3A7984"/>
    <w:rsid w:val="2F6D7B0F"/>
    <w:rsid w:val="2F8C5C82"/>
    <w:rsid w:val="2F9F427B"/>
    <w:rsid w:val="2FD5699B"/>
    <w:rsid w:val="2FEC7D48"/>
    <w:rsid w:val="2FED3DE1"/>
    <w:rsid w:val="30012B4B"/>
    <w:rsid w:val="30274161"/>
    <w:rsid w:val="303A2294"/>
    <w:rsid w:val="306C4543"/>
    <w:rsid w:val="30842A29"/>
    <w:rsid w:val="308570DA"/>
    <w:rsid w:val="308F6D22"/>
    <w:rsid w:val="30A75E08"/>
    <w:rsid w:val="30AE03DF"/>
    <w:rsid w:val="30B83A39"/>
    <w:rsid w:val="30B96A8E"/>
    <w:rsid w:val="30BF25EC"/>
    <w:rsid w:val="30C12AD5"/>
    <w:rsid w:val="30C776F3"/>
    <w:rsid w:val="30CB5037"/>
    <w:rsid w:val="30F372B9"/>
    <w:rsid w:val="30FF6E8C"/>
    <w:rsid w:val="313F0DC4"/>
    <w:rsid w:val="314566A8"/>
    <w:rsid w:val="314F01D8"/>
    <w:rsid w:val="316E4396"/>
    <w:rsid w:val="318040B9"/>
    <w:rsid w:val="31840098"/>
    <w:rsid w:val="318E3668"/>
    <w:rsid w:val="319D6E12"/>
    <w:rsid w:val="31A37348"/>
    <w:rsid w:val="31A678B6"/>
    <w:rsid w:val="31E20388"/>
    <w:rsid w:val="31FF311C"/>
    <w:rsid w:val="324F3FCC"/>
    <w:rsid w:val="32621352"/>
    <w:rsid w:val="32784C6F"/>
    <w:rsid w:val="327C0B0D"/>
    <w:rsid w:val="327E5A47"/>
    <w:rsid w:val="32812D1D"/>
    <w:rsid w:val="32972671"/>
    <w:rsid w:val="32A52289"/>
    <w:rsid w:val="32AC3044"/>
    <w:rsid w:val="32B23C1A"/>
    <w:rsid w:val="32D77FE2"/>
    <w:rsid w:val="32F7527F"/>
    <w:rsid w:val="33117FCE"/>
    <w:rsid w:val="331C3D26"/>
    <w:rsid w:val="333472C1"/>
    <w:rsid w:val="33384A32"/>
    <w:rsid w:val="33435FC7"/>
    <w:rsid w:val="334C1C13"/>
    <w:rsid w:val="334E1F54"/>
    <w:rsid w:val="335F389B"/>
    <w:rsid w:val="33617E93"/>
    <w:rsid w:val="33A856D4"/>
    <w:rsid w:val="33E12233"/>
    <w:rsid w:val="33FD40C7"/>
    <w:rsid w:val="33FD5326"/>
    <w:rsid w:val="340847B2"/>
    <w:rsid w:val="341502D3"/>
    <w:rsid w:val="342509B8"/>
    <w:rsid w:val="34367F1F"/>
    <w:rsid w:val="343D1A03"/>
    <w:rsid w:val="3448336B"/>
    <w:rsid w:val="344F1312"/>
    <w:rsid w:val="346D3D51"/>
    <w:rsid w:val="349132F7"/>
    <w:rsid w:val="349314F1"/>
    <w:rsid w:val="34971D47"/>
    <w:rsid w:val="349D2C44"/>
    <w:rsid w:val="34A55F9D"/>
    <w:rsid w:val="34B777B3"/>
    <w:rsid w:val="34BE410B"/>
    <w:rsid w:val="34BE77EE"/>
    <w:rsid w:val="34E86A5C"/>
    <w:rsid w:val="350E153A"/>
    <w:rsid w:val="352C3FC8"/>
    <w:rsid w:val="35360CFF"/>
    <w:rsid w:val="35415FC3"/>
    <w:rsid w:val="355C792C"/>
    <w:rsid w:val="35665E72"/>
    <w:rsid w:val="35904557"/>
    <w:rsid w:val="35A84148"/>
    <w:rsid w:val="35A85D44"/>
    <w:rsid w:val="35B269A1"/>
    <w:rsid w:val="35CC333E"/>
    <w:rsid w:val="35CE6C72"/>
    <w:rsid w:val="35D4672E"/>
    <w:rsid w:val="35E81457"/>
    <w:rsid w:val="35FE0E7B"/>
    <w:rsid w:val="36094FFE"/>
    <w:rsid w:val="36337248"/>
    <w:rsid w:val="363A1361"/>
    <w:rsid w:val="363B34A8"/>
    <w:rsid w:val="36430346"/>
    <w:rsid w:val="364B4C0F"/>
    <w:rsid w:val="3659703F"/>
    <w:rsid w:val="36875622"/>
    <w:rsid w:val="368E63FC"/>
    <w:rsid w:val="36A529EE"/>
    <w:rsid w:val="36A62065"/>
    <w:rsid w:val="36BC38A8"/>
    <w:rsid w:val="36CF458A"/>
    <w:rsid w:val="36D05B66"/>
    <w:rsid w:val="36D44735"/>
    <w:rsid w:val="36DA7387"/>
    <w:rsid w:val="3747336C"/>
    <w:rsid w:val="376B702A"/>
    <w:rsid w:val="376E2676"/>
    <w:rsid w:val="37756180"/>
    <w:rsid w:val="37AB72AF"/>
    <w:rsid w:val="37F97FDD"/>
    <w:rsid w:val="38074C9A"/>
    <w:rsid w:val="381033F4"/>
    <w:rsid w:val="38621FBC"/>
    <w:rsid w:val="387431A0"/>
    <w:rsid w:val="387463B2"/>
    <w:rsid w:val="38B907F1"/>
    <w:rsid w:val="38BB22E5"/>
    <w:rsid w:val="38BE762D"/>
    <w:rsid w:val="39131727"/>
    <w:rsid w:val="392A38E9"/>
    <w:rsid w:val="39365797"/>
    <w:rsid w:val="394964EB"/>
    <w:rsid w:val="39734676"/>
    <w:rsid w:val="39795027"/>
    <w:rsid w:val="397E7671"/>
    <w:rsid w:val="39A31993"/>
    <w:rsid w:val="39EB26A4"/>
    <w:rsid w:val="39ED240B"/>
    <w:rsid w:val="3A214719"/>
    <w:rsid w:val="3A2B528C"/>
    <w:rsid w:val="3A347BA7"/>
    <w:rsid w:val="3A43428E"/>
    <w:rsid w:val="3A557B1D"/>
    <w:rsid w:val="3A6A4FCC"/>
    <w:rsid w:val="3A865F28"/>
    <w:rsid w:val="3AB873C1"/>
    <w:rsid w:val="3ADF34E7"/>
    <w:rsid w:val="3AEA73C8"/>
    <w:rsid w:val="3AED7D56"/>
    <w:rsid w:val="3AEF0F2C"/>
    <w:rsid w:val="3AF0680C"/>
    <w:rsid w:val="3B0357CB"/>
    <w:rsid w:val="3B121A9F"/>
    <w:rsid w:val="3B15037B"/>
    <w:rsid w:val="3B1B4D70"/>
    <w:rsid w:val="3B283FEC"/>
    <w:rsid w:val="3B371C5F"/>
    <w:rsid w:val="3B5424B6"/>
    <w:rsid w:val="3B6A3603"/>
    <w:rsid w:val="3B7D051D"/>
    <w:rsid w:val="3B9D177C"/>
    <w:rsid w:val="3BA174BE"/>
    <w:rsid w:val="3BAD7054"/>
    <w:rsid w:val="3BF96B4A"/>
    <w:rsid w:val="3BFB1F35"/>
    <w:rsid w:val="3C021F2B"/>
    <w:rsid w:val="3C1339D0"/>
    <w:rsid w:val="3C232C54"/>
    <w:rsid w:val="3C37397E"/>
    <w:rsid w:val="3C526A0A"/>
    <w:rsid w:val="3C543BC9"/>
    <w:rsid w:val="3C7B7D0F"/>
    <w:rsid w:val="3C88242C"/>
    <w:rsid w:val="3CBB2717"/>
    <w:rsid w:val="3CBE4137"/>
    <w:rsid w:val="3CC572D4"/>
    <w:rsid w:val="3CCC2A79"/>
    <w:rsid w:val="3CCD613A"/>
    <w:rsid w:val="3CCE1BFC"/>
    <w:rsid w:val="3CE04016"/>
    <w:rsid w:val="3CF37FC1"/>
    <w:rsid w:val="3CF91D50"/>
    <w:rsid w:val="3D010512"/>
    <w:rsid w:val="3D06621D"/>
    <w:rsid w:val="3D2364E9"/>
    <w:rsid w:val="3D241BE1"/>
    <w:rsid w:val="3D2C7E10"/>
    <w:rsid w:val="3D3663D3"/>
    <w:rsid w:val="3D92235B"/>
    <w:rsid w:val="3DA16013"/>
    <w:rsid w:val="3DAD18F0"/>
    <w:rsid w:val="3DB334D8"/>
    <w:rsid w:val="3DC34A93"/>
    <w:rsid w:val="3DC56E93"/>
    <w:rsid w:val="3DC96897"/>
    <w:rsid w:val="3DCC459A"/>
    <w:rsid w:val="3DD343B5"/>
    <w:rsid w:val="3DDB7277"/>
    <w:rsid w:val="3DF77869"/>
    <w:rsid w:val="3E086128"/>
    <w:rsid w:val="3E1F291C"/>
    <w:rsid w:val="3E371111"/>
    <w:rsid w:val="3E7443E7"/>
    <w:rsid w:val="3E7A5DA4"/>
    <w:rsid w:val="3E7E03EB"/>
    <w:rsid w:val="3E7F1C5A"/>
    <w:rsid w:val="3E807B6D"/>
    <w:rsid w:val="3E81672C"/>
    <w:rsid w:val="3EB03F1C"/>
    <w:rsid w:val="3EB71E7C"/>
    <w:rsid w:val="3EC32D70"/>
    <w:rsid w:val="3EC86B10"/>
    <w:rsid w:val="3EDC25BB"/>
    <w:rsid w:val="3EF773F5"/>
    <w:rsid w:val="3F291D71"/>
    <w:rsid w:val="3F332028"/>
    <w:rsid w:val="3F593C0C"/>
    <w:rsid w:val="3F7E3A42"/>
    <w:rsid w:val="3F8F7487"/>
    <w:rsid w:val="3FA456C0"/>
    <w:rsid w:val="3FD512CA"/>
    <w:rsid w:val="3FD958AF"/>
    <w:rsid w:val="402406BD"/>
    <w:rsid w:val="402E1220"/>
    <w:rsid w:val="404E11E0"/>
    <w:rsid w:val="40691F99"/>
    <w:rsid w:val="40A67324"/>
    <w:rsid w:val="40A70DB3"/>
    <w:rsid w:val="40EB11DB"/>
    <w:rsid w:val="40EE65D6"/>
    <w:rsid w:val="40F0196C"/>
    <w:rsid w:val="40F1154A"/>
    <w:rsid w:val="40F16542"/>
    <w:rsid w:val="40F6528E"/>
    <w:rsid w:val="410D60A6"/>
    <w:rsid w:val="41244B5C"/>
    <w:rsid w:val="41536D07"/>
    <w:rsid w:val="415477E0"/>
    <w:rsid w:val="41885E1C"/>
    <w:rsid w:val="41C30196"/>
    <w:rsid w:val="41C61F46"/>
    <w:rsid w:val="41D04378"/>
    <w:rsid w:val="41D842D1"/>
    <w:rsid w:val="41F41BEF"/>
    <w:rsid w:val="41F52311"/>
    <w:rsid w:val="4224577A"/>
    <w:rsid w:val="422A600B"/>
    <w:rsid w:val="422D1C9F"/>
    <w:rsid w:val="424152F4"/>
    <w:rsid w:val="42662E57"/>
    <w:rsid w:val="427E5E44"/>
    <w:rsid w:val="42872BF3"/>
    <w:rsid w:val="42BC698B"/>
    <w:rsid w:val="42C11153"/>
    <w:rsid w:val="42D24401"/>
    <w:rsid w:val="42D809B6"/>
    <w:rsid w:val="42DC0DDB"/>
    <w:rsid w:val="42E62432"/>
    <w:rsid w:val="42EE6E0C"/>
    <w:rsid w:val="4303280C"/>
    <w:rsid w:val="430702EC"/>
    <w:rsid w:val="431274B4"/>
    <w:rsid w:val="43165578"/>
    <w:rsid w:val="43331A3C"/>
    <w:rsid w:val="434F3750"/>
    <w:rsid w:val="43563FD2"/>
    <w:rsid w:val="43A35254"/>
    <w:rsid w:val="43B35024"/>
    <w:rsid w:val="43C65630"/>
    <w:rsid w:val="43DD605B"/>
    <w:rsid w:val="441A182C"/>
    <w:rsid w:val="443B22AF"/>
    <w:rsid w:val="4441387C"/>
    <w:rsid w:val="44447FE9"/>
    <w:rsid w:val="445D7CFA"/>
    <w:rsid w:val="445F5F6D"/>
    <w:rsid w:val="446C1A20"/>
    <w:rsid w:val="44846E18"/>
    <w:rsid w:val="448E07FB"/>
    <w:rsid w:val="44A47300"/>
    <w:rsid w:val="44B632E8"/>
    <w:rsid w:val="44B76313"/>
    <w:rsid w:val="44BA7AF6"/>
    <w:rsid w:val="4503396F"/>
    <w:rsid w:val="45336767"/>
    <w:rsid w:val="456D4053"/>
    <w:rsid w:val="457E1223"/>
    <w:rsid w:val="45800740"/>
    <w:rsid w:val="45841225"/>
    <w:rsid w:val="45952483"/>
    <w:rsid w:val="45AF0A29"/>
    <w:rsid w:val="45B30B7F"/>
    <w:rsid w:val="45CB4854"/>
    <w:rsid w:val="45DE26F0"/>
    <w:rsid w:val="461D61C2"/>
    <w:rsid w:val="46532948"/>
    <w:rsid w:val="469C7200"/>
    <w:rsid w:val="46A73B43"/>
    <w:rsid w:val="46AF776C"/>
    <w:rsid w:val="46C87FF5"/>
    <w:rsid w:val="46F4261E"/>
    <w:rsid w:val="4702556E"/>
    <w:rsid w:val="47197F6D"/>
    <w:rsid w:val="471B0E17"/>
    <w:rsid w:val="472471F5"/>
    <w:rsid w:val="472F7BB2"/>
    <w:rsid w:val="473677DB"/>
    <w:rsid w:val="474A2BC6"/>
    <w:rsid w:val="476D270A"/>
    <w:rsid w:val="477D1FDF"/>
    <w:rsid w:val="47960534"/>
    <w:rsid w:val="47A53558"/>
    <w:rsid w:val="47B52F18"/>
    <w:rsid w:val="47BA3C1F"/>
    <w:rsid w:val="47F411CE"/>
    <w:rsid w:val="480A07A2"/>
    <w:rsid w:val="48101722"/>
    <w:rsid w:val="481D611E"/>
    <w:rsid w:val="482E032B"/>
    <w:rsid w:val="483B47F6"/>
    <w:rsid w:val="48425B85"/>
    <w:rsid w:val="4847319B"/>
    <w:rsid w:val="48496F13"/>
    <w:rsid w:val="48757678"/>
    <w:rsid w:val="487D6DAB"/>
    <w:rsid w:val="48945819"/>
    <w:rsid w:val="48A31F61"/>
    <w:rsid w:val="48AE530E"/>
    <w:rsid w:val="490525B3"/>
    <w:rsid w:val="49114DFE"/>
    <w:rsid w:val="49181B40"/>
    <w:rsid w:val="49282FCC"/>
    <w:rsid w:val="4944592C"/>
    <w:rsid w:val="494B1868"/>
    <w:rsid w:val="496F0BFB"/>
    <w:rsid w:val="49B07C94"/>
    <w:rsid w:val="49D04036"/>
    <w:rsid w:val="49D93823"/>
    <w:rsid w:val="49E14F29"/>
    <w:rsid w:val="49F03F8B"/>
    <w:rsid w:val="4A172EBA"/>
    <w:rsid w:val="4A425DE8"/>
    <w:rsid w:val="4A56386B"/>
    <w:rsid w:val="4A682655"/>
    <w:rsid w:val="4A823688"/>
    <w:rsid w:val="4A892814"/>
    <w:rsid w:val="4AA5114D"/>
    <w:rsid w:val="4AA62C60"/>
    <w:rsid w:val="4AAA755B"/>
    <w:rsid w:val="4ABC2A1D"/>
    <w:rsid w:val="4ABD5996"/>
    <w:rsid w:val="4ACA3BC0"/>
    <w:rsid w:val="4AD82993"/>
    <w:rsid w:val="4AE167FB"/>
    <w:rsid w:val="4AE705E9"/>
    <w:rsid w:val="4AFF610E"/>
    <w:rsid w:val="4B324F9C"/>
    <w:rsid w:val="4B3A0632"/>
    <w:rsid w:val="4B3C0BB6"/>
    <w:rsid w:val="4B4E2A92"/>
    <w:rsid w:val="4B7A3887"/>
    <w:rsid w:val="4BBF3D1F"/>
    <w:rsid w:val="4BCD34F0"/>
    <w:rsid w:val="4BE807F1"/>
    <w:rsid w:val="4BF71265"/>
    <w:rsid w:val="4C0D7839"/>
    <w:rsid w:val="4C1A4723"/>
    <w:rsid w:val="4C2F01CE"/>
    <w:rsid w:val="4C3B4DC5"/>
    <w:rsid w:val="4C5440D8"/>
    <w:rsid w:val="4C6048FF"/>
    <w:rsid w:val="4C8B43FC"/>
    <w:rsid w:val="4CB11A8D"/>
    <w:rsid w:val="4CBD1C7E"/>
    <w:rsid w:val="4CC052CA"/>
    <w:rsid w:val="4CD55F31"/>
    <w:rsid w:val="4CE56DD0"/>
    <w:rsid w:val="4CF32C8A"/>
    <w:rsid w:val="4D281599"/>
    <w:rsid w:val="4D4E6D7A"/>
    <w:rsid w:val="4D50664E"/>
    <w:rsid w:val="4D5123C6"/>
    <w:rsid w:val="4D626754"/>
    <w:rsid w:val="4D793D18"/>
    <w:rsid w:val="4DB50AF0"/>
    <w:rsid w:val="4DBF4B1C"/>
    <w:rsid w:val="4DD3102D"/>
    <w:rsid w:val="4DD951BC"/>
    <w:rsid w:val="4DEB1272"/>
    <w:rsid w:val="4DF711BF"/>
    <w:rsid w:val="4E0A5928"/>
    <w:rsid w:val="4E1C4782"/>
    <w:rsid w:val="4E200BB7"/>
    <w:rsid w:val="4E3A559D"/>
    <w:rsid w:val="4E43266E"/>
    <w:rsid w:val="4E5A768B"/>
    <w:rsid w:val="4E5E209A"/>
    <w:rsid w:val="4E6F6E6E"/>
    <w:rsid w:val="4E881E17"/>
    <w:rsid w:val="4E8C399E"/>
    <w:rsid w:val="4E92679C"/>
    <w:rsid w:val="4EA56D62"/>
    <w:rsid w:val="4ECA2430"/>
    <w:rsid w:val="4EEB1C0E"/>
    <w:rsid w:val="4EF81F40"/>
    <w:rsid w:val="4F087B93"/>
    <w:rsid w:val="4F0C71D9"/>
    <w:rsid w:val="4F312DC3"/>
    <w:rsid w:val="4F36345D"/>
    <w:rsid w:val="4F513A51"/>
    <w:rsid w:val="4F52425C"/>
    <w:rsid w:val="4F660DEF"/>
    <w:rsid w:val="4F77213B"/>
    <w:rsid w:val="4F7A0C94"/>
    <w:rsid w:val="4F950C90"/>
    <w:rsid w:val="4F9E5242"/>
    <w:rsid w:val="4FCA55C8"/>
    <w:rsid w:val="4FE261E1"/>
    <w:rsid w:val="4FF72155"/>
    <w:rsid w:val="50393775"/>
    <w:rsid w:val="505B6D7A"/>
    <w:rsid w:val="508C5498"/>
    <w:rsid w:val="50AC4924"/>
    <w:rsid w:val="50BF445C"/>
    <w:rsid w:val="50CC1FD0"/>
    <w:rsid w:val="50E35906"/>
    <w:rsid w:val="50EC2B32"/>
    <w:rsid w:val="5101194F"/>
    <w:rsid w:val="510906F2"/>
    <w:rsid w:val="511D6345"/>
    <w:rsid w:val="512247A5"/>
    <w:rsid w:val="512C5624"/>
    <w:rsid w:val="51316E81"/>
    <w:rsid w:val="513D14E1"/>
    <w:rsid w:val="51674B4F"/>
    <w:rsid w:val="518127FA"/>
    <w:rsid w:val="51A702DD"/>
    <w:rsid w:val="51A87E92"/>
    <w:rsid w:val="51A96C75"/>
    <w:rsid w:val="51BA2446"/>
    <w:rsid w:val="51BF0246"/>
    <w:rsid w:val="51EB4E7B"/>
    <w:rsid w:val="51FA0821"/>
    <w:rsid w:val="52306A50"/>
    <w:rsid w:val="52421D16"/>
    <w:rsid w:val="526861E8"/>
    <w:rsid w:val="526F0D72"/>
    <w:rsid w:val="52735AD4"/>
    <w:rsid w:val="52796E0D"/>
    <w:rsid w:val="527F1FFB"/>
    <w:rsid w:val="52847055"/>
    <w:rsid w:val="529C0774"/>
    <w:rsid w:val="52B2641B"/>
    <w:rsid w:val="52CA6EA2"/>
    <w:rsid w:val="52D24853"/>
    <w:rsid w:val="52DE46FC"/>
    <w:rsid w:val="52E51F00"/>
    <w:rsid w:val="52E632F4"/>
    <w:rsid w:val="52E7699A"/>
    <w:rsid w:val="52F7627C"/>
    <w:rsid w:val="53095C1D"/>
    <w:rsid w:val="530C583B"/>
    <w:rsid w:val="53253BF3"/>
    <w:rsid w:val="532D0B8B"/>
    <w:rsid w:val="53356B91"/>
    <w:rsid w:val="5362436F"/>
    <w:rsid w:val="538661F3"/>
    <w:rsid w:val="53923D96"/>
    <w:rsid w:val="5396290B"/>
    <w:rsid w:val="53980D4F"/>
    <w:rsid w:val="53B62384"/>
    <w:rsid w:val="53BA0D71"/>
    <w:rsid w:val="53DC0C66"/>
    <w:rsid w:val="53F32D7A"/>
    <w:rsid w:val="54322F51"/>
    <w:rsid w:val="54361766"/>
    <w:rsid w:val="54897D14"/>
    <w:rsid w:val="54907C78"/>
    <w:rsid w:val="54DF40CF"/>
    <w:rsid w:val="54E05EB0"/>
    <w:rsid w:val="54EC75C9"/>
    <w:rsid w:val="54FA35FD"/>
    <w:rsid w:val="550A17D8"/>
    <w:rsid w:val="550B45CD"/>
    <w:rsid w:val="55452810"/>
    <w:rsid w:val="55780FBF"/>
    <w:rsid w:val="557F2B43"/>
    <w:rsid w:val="55866B69"/>
    <w:rsid w:val="55BE037B"/>
    <w:rsid w:val="55C622EF"/>
    <w:rsid w:val="55D70AD8"/>
    <w:rsid w:val="55E02539"/>
    <w:rsid w:val="55E573AA"/>
    <w:rsid w:val="55EB39DD"/>
    <w:rsid w:val="56130B60"/>
    <w:rsid w:val="562A77C0"/>
    <w:rsid w:val="564B6784"/>
    <w:rsid w:val="56750D81"/>
    <w:rsid w:val="56753D27"/>
    <w:rsid w:val="567D5979"/>
    <w:rsid w:val="5694679C"/>
    <w:rsid w:val="56AD68BF"/>
    <w:rsid w:val="56BC2FA6"/>
    <w:rsid w:val="56BD287A"/>
    <w:rsid w:val="56DF4855"/>
    <w:rsid w:val="56E35943"/>
    <w:rsid w:val="572E4E2E"/>
    <w:rsid w:val="573226B5"/>
    <w:rsid w:val="57327033"/>
    <w:rsid w:val="57392130"/>
    <w:rsid w:val="574266F3"/>
    <w:rsid w:val="5789746A"/>
    <w:rsid w:val="57935416"/>
    <w:rsid w:val="57A139D5"/>
    <w:rsid w:val="57AE083C"/>
    <w:rsid w:val="57D91936"/>
    <w:rsid w:val="57FE1394"/>
    <w:rsid w:val="581F5EFA"/>
    <w:rsid w:val="58414B7C"/>
    <w:rsid w:val="584709FE"/>
    <w:rsid w:val="58541708"/>
    <w:rsid w:val="58595D50"/>
    <w:rsid w:val="586236D9"/>
    <w:rsid w:val="58652860"/>
    <w:rsid w:val="58773B14"/>
    <w:rsid w:val="587F072F"/>
    <w:rsid w:val="58871392"/>
    <w:rsid w:val="58873A24"/>
    <w:rsid w:val="589B10AB"/>
    <w:rsid w:val="58D75CBB"/>
    <w:rsid w:val="58EA204C"/>
    <w:rsid w:val="58F92E30"/>
    <w:rsid w:val="58FB42AA"/>
    <w:rsid w:val="58FE6788"/>
    <w:rsid w:val="58FE7F05"/>
    <w:rsid w:val="59030A18"/>
    <w:rsid w:val="591A3905"/>
    <w:rsid w:val="59431B6C"/>
    <w:rsid w:val="597555AC"/>
    <w:rsid w:val="59822285"/>
    <w:rsid w:val="598C4EB2"/>
    <w:rsid w:val="599B3945"/>
    <w:rsid w:val="599D030C"/>
    <w:rsid w:val="59A815C0"/>
    <w:rsid w:val="59B33629"/>
    <w:rsid w:val="59B73327"/>
    <w:rsid w:val="59BF7092"/>
    <w:rsid w:val="59C76CEA"/>
    <w:rsid w:val="59D927BD"/>
    <w:rsid w:val="59E71C5B"/>
    <w:rsid w:val="59E72ECE"/>
    <w:rsid w:val="59F64744"/>
    <w:rsid w:val="5A137381"/>
    <w:rsid w:val="5A17684A"/>
    <w:rsid w:val="5A2D1EDF"/>
    <w:rsid w:val="5A322476"/>
    <w:rsid w:val="5A39306E"/>
    <w:rsid w:val="5A3B472D"/>
    <w:rsid w:val="5A4A7A3D"/>
    <w:rsid w:val="5A633F84"/>
    <w:rsid w:val="5A722D1D"/>
    <w:rsid w:val="5A7871E4"/>
    <w:rsid w:val="5A8C0EE1"/>
    <w:rsid w:val="5A964593"/>
    <w:rsid w:val="5A9749DF"/>
    <w:rsid w:val="5AA50168"/>
    <w:rsid w:val="5AA62720"/>
    <w:rsid w:val="5AAE184C"/>
    <w:rsid w:val="5ABF3451"/>
    <w:rsid w:val="5AFD1DD6"/>
    <w:rsid w:val="5B0743BF"/>
    <w:rsid w:val="5B174C4F"/>
    <w:rsid w:val="5B280C0A"/>
    <w:rsid w:val="5B296730"/>
    <w:rsid w:val="5B520DE9"/>
    <w:rsid w:val="5B615ECA"/>
    <w:rsid w:val="5B943004"/>
    <w:rsid w:val="5BA7290D"/>
    <w:rsid w:val="5BAD110F"/>
    <w:rsid w:val="5BBB3C92"/>
    <w:rsid w:val="5BBB4007"/>
    <w:rsid w:val="5BC43CE5"/>
    <w:rsid w:val="5BC90CC1"/>
    <w:rsid w:val="5BE1122E"/>
    <w:rsid w:val="5BE26CC2"/>
    <w:rsid w:val="5C0A0310"/>
    <w:rsid w:val="5C0A3DDF"/>
    <w:rsid w:val="5C0A6489"/>
    <w:rsid w:val="5C374661"/>
    <w:rsid w:val="5C4F0ECD"/>
    <w:rsid w:val="5C772AB6"/>
    <w:rsid w:val="5C7F41C5"/>
    <w:rsid w:val="5C8129E0"/>
    <w:rsid w:val="5C853E3A"/>
    <w:rsid w:val="5C934968"/>
    <w:rsid w:val="5C9D41BE"/>
    <w:rsid w:val="5CB27C88"/>
    <w:rsid w:val="5CC56DB2"/>
    <w:rsid w:val="5CD64696"/>
    <w:rsid w:val="5CEB4B51"/>
    <w:rsid w:val="5CF54B1C"/>
    <w:rsid w:val="5CF66AC5"/>
    <w:rsid w:val="5D116681"/>
    <w:rsid w:val="5D2D5681"/>
    <w:rsid w:val="5D4E74CD"/>
    <w:rsid w:val="5D6C2ACD"/>
    <w:rsid w:val="5D7F237D"/>
    <w:rsid w:val="5DB821E5"/>
    <w:rsid w:val="5DCA5FA9"/>
    <w:rsid w:val="5DD927B7"/>
    <w:rsid w:val="5DDC7A8A"/>
    <w:rsid w:val="5DFE0D6F"/>
    <w:rsid w:val="5E031BEA"/>
    <w:rsid w:val="5E166880"/>
    <w:rsid w:val="5E2A2EEB"/>
    <w:rsid w:val="5E367C19"/>
    <w:rsid w:val="5E5665F1"/>
    <w:rsid w:val="5E5F2523"/>
    <w:rsid w:val="5E7F4FE5"/>
    <w:rsid w:val="5EA5263A"/>
    <w:rsid w:val="5EAC6E9D"/>
    <w:rsid w:val="5EB3156B"/>
    <w:rsid w:val="5ED41219"/>
    <w:rsid w:val="5EE62EF9"/>
    <w:rsid w:val="5EF363B1"/>
    <w:rsid w:val="5EF7101F"/>
    <w:rsid w:val="5F182B0A"/>
    <w:rsid w:val="5F1F40D2"/>
    <w:rsid w:val="5F203EFB"/>
    <w:rsid w:val="5F220AF4"/>
    <w:rsid w:val="5F2D6797"/>
    <w:rsid w:val="5F49114F"/>
    <w:rsid w:val="5F7909EA"/>
    <w:rsid w:val="5F8C4104"/>
    <w:rsid w:val="5FC035BD"/>
    <w:rsid w:val="5FE772A7"/>
    <w:rsid w:val="6008100A"/>
    <w:rsid w:val="60123C37"/>
    <w:rsid w:val="60176DBD"/>
    <w:rsid w:val="60313293"/>
    <w:rsid w:val="604430C7"/>
    <w:rsid w:val="60447ABB"/>
    <w:rsid w:val="605F76D2"/>
    <w:rsid w:val="606E3563"/>
    <w:rsid w:val="606F3FC8"/>
    <w:rsid w:val="60785FA6"/>
    <w:rsid w:val="607B7A2E"/>
    <w:rsid w:val="608A1A1F"/>
    <w:rsid w:val="60987908"/>
    <w:rsid w:val="609C67F5"/>
    <w:rsid w:val="60D837CD"/>
    <w:rsid w:val="60EB39B2"/>
    <w:rsid w:val="60FB3234"/>
    <w:rsid w:val="6116008A"/>
    <w:rsid w:val="61322627"/>
    <w:rsid w:val="613C5251"/>
    <w:rsid w:val="613F7C33"/>
    <w:rsid w:val="61585C82"/>
    <w:rsid w:val="615E2181"/>
    <w:rsid w:val="61731BD4"/>
    <w:rsid w:val="61745D25"/>
    <w:rsid w:val="617A193B"/>
    <w:rsid w:val="61902713"/>
    <w:rsid w:val="619646CC"/>
    <w:rsid w:val="61A87804"/>
    <w:rsid w:val="61AA54B2"/>
    <w:rsid w:val="61B75835"/>
    <w:rsid w:val="61C251E9"/>
    <w:rsid w:val="61C96577"/>
    <w:rsid w:val="61CA2A1B"/>
    <w:rsid w:val="61D84318"/>
    <w:rsid w:val="61DA1B57"/>
    <w:rsid w:val="61DD36E8"/>
    <w:rsid w:val="61F02210"/>
    <w:rsid w:val="61F07FA8"/>
    <w:rsid w:val="61F22B81"/>
    <w:rsid w:val="62100CC0"/>
    <w:rsid w:val="621E4B15"/>
    <w:rsid w:val="622F09A3"/>
    <w:rsid w:val="623C2AB6"/>
    <w:rsid w:val="6253009C"/>
    <w:rsid w:val="62691609"/>
    <w:rsid w:val="626A2977"/>
    <w:rsid w:val="62A52173"/>
    <w:rsid w:val="62F87114"/>
    <w:rsid w:val="62FF08F7"/>
    <w:rsid w:val="630334CD"/>
    <w:rsid w:val="63502830"/>
    <w:rsid w:val="63744E80"/>
    <w:rsid w:val="637D586B"/>
    <w:rsid w:val="63844ED8"/>
    <w:rsid w:val="63C0081F"/>
    <w:rsid w:val="643513B1"/>
    <w:rsid w:val="646E79CA"/>
    <w:rsid w:val="64772BA6"/>
    <w:rsid w:val="648245A8"/>
    <w:rsid w:val="648732E6"/>
    <w:rsid w:val="64BA0C3C"/>
    <w:rsid w:val="64BE7EEF"/>
    <w:rsid w:val="64D47437"/>
    <w:rsid w:val="64E8140A"/>
    <w:rsid w:val="65000502"/>
    <w:rsid w:val="65444539"/>
    <w:rsid w:val="65505903"/>
    <w:rsid w:val="655255F1"/>
    <w:rsid w:val="655B398A"/>
    <w:rsid w:val="655C3A40"/>
    <w:rsid w:val="65683A8E"/>
    <w:rsid w:val="657621EA"/>
    <w:rsid w:val="657D17CF"/>
    <w:rsid w:val="658C22FD"/>
    <w:rsid w:val="65982E30"/>
    <w:rsid w:val="65B35771"/>
    <w:rsid w:val="65CF3CDB"/>
    <w:rsid w:val="65D52C6F"/>
    <w:rsid w:val="65E120E1"/>
    <w:rsid w:val="65ED36C3"/>
    <w:rsid w:val="66010C3A"/>
    <w:rsid w:val="661C353B"/>
    <w:rsid w:val="662B15AE"/>
    <w:rsid w:val="663C182F"/>
    <w:rsid w:val="664137AC"/>
    <w:rsid w:val="664A14B8"/>
    <w:rsid w:val="664F7993"/>
    <w:rsid w:val="66666A8A"/>
    <w:rsid w:val="66773629"/>
    <w:rsid w:val="667A23D7"/>
    <w:rsid w:val="66907567"/>
    <w:rsid w:val="66927FDD"/>
    <w:rsid w:val="66C479C4"/>
    <w:rsid w:val="66D25685"/>
    <w:rsid w:val="66D734E4"/>
    <w:rsid w:val="66E96ADE"/>
    <w:rsid w:val="66FB7376"/>
    <w:rsid w:val="673426E5"/>
    <w:rsid w:val="674403EC"/>
    <w:rsid w:val="6748701B"/>
    <w:rsid w:val="67581DAF"/>
    <w:rsid w:val="675A5111"/>
    <w:rsid w:val="67643CFA"/>
    <w:rsid w:val="676B2723"/>
    <w:rsid w:val="677738D0"/>
    <w:rsid w:val="677D22DE"/>
    <w:rsid w:val="67B37182"/>
    <w:rsid w:val="67BC3040"/>
    <w:rsid w:val="67C13779"/>
    <w:rsid w:val="68166F8C"/>
    <w:rsid w:val="683001FF"/>
    <w:rsid w:val="68583379"/>
    <w:rsid w:val="685F200C"/>
    <w:rsid w:val="68673617"/>
    <w:rsid w:val="686867C9"/>
    <w:rsid w:val="68AD6BF3"/>
    <w:rsid w:val="68B27662"/>
    <w:rsid w:val="68B65AA7"/>
    <w:rsid w:val="68B715C1"/>
    <w:rsid w:val="68CF779D"/>
    <w:rsid w:val="690F6F65"/>
    <w:rsid w:val="692F44ED"/>
    <w:rsid w:val="693A6FA1"/>
    <w:rsid w:val="69437006"/>
    <w:rsid w:val="69596E33"/>
    <w:rsid w:val="695D2A0A"/>
    <w:rsid w:val="698A5B8E"/>
    <w:rsid w:val="69B819BB"/>
    <w:rsid w:val="69BF6BDD"/>
    <w:rsid w:val="6A024D1C"/>
    <w:rsid w:val="6A042842"/>
    <w:rsid w:val="6A143D0F"/>
    <w:rsid w:val="6A6634FD"/>
    <w:rsid w:val="6AA322D5"/>
    <w:rsid w:val="6AB457DB"/>
    <w:rsid w:val="6ACA583A"/>
    <w:rsid w:val="6ACD53F8"/>
    <w:rsid w:val="6AD01841"/>
    <w:rsid w:val="6AD71D05"/>
    <w:rsid w:val="6ADA35A3"/>
    <w:rsid w:val="6B035D68"/>
    <w:rsid w:val="6B065AB0"/>
    <w:rsid w:val="6B1B0C6A"/>
    <w:rsid w:val="6B1C45DB"/>
    <w:rsid w:val="6B293C87"/>
    <w:rsid w:val="6B5875B3"/>
    <w:rsid w:val="6B633598"/>
    <w:rsid w:val="6B641500"/>
    <w:rsid w:val="6B76134C"/>
    <w:rsid w:val="6B797260"/>
    <w:rsid w:val="6B9D22CE"/>
    <w:rsid w:val="6BA11E44"/>
    <w:rsid w:val="6BA4763C"/>
    <w:rsid w:val="6BAB7E9F"/>
    <w:rsid w:val="6BCF46BE"/>
    <w:rsid w:val="6BE65D3A"/>
    <w:rsid w:val="6BF75619"/>
    <w:rsid w:val="6BFD2B3F"/>
    <w:rsid w:val="6C0B610A"/>
    <w:rsid w:val="6C2B6F38"/>
    <w:rsid w:val="6C45711C"/>
    <w:rsid w:val="6C5222CC"/>
    <w:rsid w:val="6C5850C7"/>
    <w:rsid w:val="6C5A5E71"/>
    <w:rsid w:val="6C643A6C"/>
    <w:rsid w:val="6C6770B8"/>
    <w:rsid w:val="6C6A134C"/>
    <w:rsid w:val="6C705F34"/>
    <w:rsid w:val="6C7A503E"/>
    <w:rsid w:val="6C7A7E07"/>
    <w:rsid w:val="6C874037"/>
    <w:rsid w:val="6C890F6F"/>
    <w:rsid w:val="6C8E2897"/>
    <w:rsid w:val="6C8F4E2F"/>
    <w:rsid w:val="6C971AA7"/>
    <w:rsid w:val="6C9B2D6E"/>
    <w:rsid w:val="6CB6007E"/>
    <w:rsid w:val="6CC41E8A"/>
    <w:rsid w:val="6CC664D5"/>
    <w:rsid w:val="6CD544EB"/>
    <w:rsid w:val="6CDE6478"/>
    <w:rsid w:val="6CEE2341"/>
    <w:rsid w:val="6D062D75"/>
    <w:rsid w:val="6D090DD1"/>
    <w:rsid w:val="6D0C7302"/>
    <w:rsid w:val="6D2D2E06"/>
    <w:rsid w:val="6D2F7BD6"/>
    <w:rsid w:val="6D367F37"/>
    <w:rsid w:val="6D3A293D"/>
    <w:rsid w:val="6D556F0F"/>
    <w:rsid w:val="6D557F48"/>
    <w:rsid w:val="6D5931B9"/>
    <w:rsid w:val="6D5E2618"/>
    <w:rsid w:val="6D706304"/>
    <w:rsid w:val="6D8E13C8"/>
    <w:rsid w:val="6DA00AD4"/>
    <w:rsid w:val="6DAA51C6"/>
    <w:rsid w:val="6DDA2320"/>
    <w:rsid w:val="6DEB6518"/>
    <w:rsid w:val="6DF34F6B"/>
    <w:rsid w:val="6E5673E4"/>
    <w:rsid w:val="6E6D5985"/>
    <w:rsid w:val="6E784CDD"/>
    <w:rsid w:val="6E8E45B3"/>
    <w:rsid w:val="6EC9021E"/>
    <w:rsid w:val="6ECC6DD2"/>
    <w:rsid w:val="6EDA24DF"/>
    <w:rsid w:val="6F06002B"/>
    <w:rsid w:val="6F2B0871"/>
    <w:rsid w:val="6F3A696E"/>
    <w:rsid w:val="6F685621"/>
    <w:rsid w:val="6F6959D7"/>
    <w:rsid w:val="6F8A2A07"/>
    <w:rsid w:val="6F9C6A7A"/>
    <w:rsid w:val="6FA21660"/>
    <w:rsid w:val="6FA80114"/>
    <w:rsid w:val="6FB91AD6"/>
    <w:rsid w:val="6FBF7561"/>
    <w:rsid w:val="6FC34F4E"/>
    <w:rsid w:val="6FE92B95"/>
    <w:rsid w:val="701748B0"/>
    <w:rsid w:val="703108BA"/>
    <w:rsid w:val="70480C1E"/>
    <w:rsid w:val="704F058F"/>
    <w:rsid w:val="705853C4"/>
    <w:rsid w:val="7089547B"/>
    <w:rsid w:val="70A6198F"/>
    <w:rsid w:val="70B7697B"/>
    <w:rsid w:val="70C12558"/>
    <w:rsid w:val="70CF465A"/>
    <w:rsid w:val="70DC63A0"/>
    <w:rsid w:val="70F03B20"/>
    <w:rsid w:val="71025312"/>
    <w:rsid w:val="71175551"/>
    <w:rsid w:val="71357FCE"/>
    <w:rsid w:val="71533559"/>
    <w:rsid w:val="715E3B56"/>
    <w:rsid w:val="716C1E71"/>
    <w:rsid w:val="716F1042"/>
    <w:rsid w:val="71712319"/>
    <w:rsid w:val="717F7AC6"/>
    <w:rsid w:val="719D1726"/>
    <w:rsid w:val="71AC091A"/>
    <w:rsid w:val="71C66EAB"/>
    <w:rsid w:val="71C805F9"/>
    <w:rsid w:val="71D10666"/>
    <w:rsid w:val="71D64AC4"/>
    <w:rsid w:val="71D77E17"/>
    <w:rsid w:val="71DA3C13"/>
    <w:rsid w:val="71E2790D"/>
    <w:rsid w:val="71EA4A14"/>
    <w:rsid w:val="72133F6A"/>
    <w:rsid w:val="722A12B4"/>
    <w:rsid w:val="723B456E"/>
    <w:rsid w:val="72564544"/>
    <w:rsid w:val="72A95C86"/>
    <w:rsid w:val="72B379B0"/>
    <w:rsid w:val="72B943AE"/>
    <w:rsid w:val="72CF2DA4"/>
    <w:rsid w:val="72D11B08"/>
    <w:rsid w:val="72D66D46"/>
    <w:rsid w:val="72DF6DC6"/>
    <w:rsid w:val="72E651DB"/>
    <w:rsid w:val="72F8373C"/>
    <w:rsid w:val="730833A3"/>
    <w:rsid w:val="731F1CCB"/>
    <w:rsid w:val="733F6699"/>
    <w:rsid w:val="73440AA9"/>
    <w:rsid w:val="734F7728"/>
    <w:rsid w:val="73521EEA"/>
    <w:rsid w:val="73523040"/>
    <w:rsid w:val="73532145"/>
    <w:rsid w:val="736C10FE"/>
    <w:rsid w:val="736D467B"/>
    <w:rsid w:val="73703785"/>
    <w:rsid w:val="737F2F3A"/>
    <w:rsid w:val="73A265DA"/>
    <w:rsid w:val="73A60E52"/>
    <w:rsid w:val="73A8492A"/>
    <w:rsid w:val="73AD4ED5"/>
    <w:rsid w:val="73B11451"/>
    <w:rsid w:val="73B42DF4"/>
    <w:rsid w:val="73CC1319"/>
    <w:rsid w:val="73D47363"/>
    <w:rsid w:val="73DA72CE"/>
    <w:rsid w:val="740F0732"/>
    <w:rsid w:val="742A3C2D"/>
    <w:rsid w:val="743A56DB"/>
    <w:rsid w:val="74457095"/>
    <w:rsid w:val="74462DC6"/>
    <w:rsid w:val="745165A4"/>
    <w:rsid w:val="745E248B"/>
    <w:rsid w:val="745F295B"/>
    <w:rsid w:val="745F4C48"/>
    <w:rsid w:val="746024F4"/>
    <w:rsid w:val="746D73E6"/>
    <w:rsid w:val="747618F4"/>
    <w:rsid w:val="74821681"/>
    <w:rsid w:val="74882FB4"/>
    <w:rsid w:val="748C3B60"/>
    <w:rsid w:val="749B6F5B"/>
    <w:rsid w:val="74CD70CE"/>
    <w:rsid w:val="75180C97"/>
    <w:rsid w:val="753373D5"/>
    <w:rsid w:val="75422471"/>
    <w:rsid w:val="755A5A0C"/>
    <w:rsid w:val="7586345F"/>
    <w:rsid w:val="75A95A68"/>
    <w:rsid w:val="75C768A9"/>
    <w:rsid w:val="75E672A0"/>
    <w:rsid w:val="75E9149F"/>
    <w:rsid w:val="763134E1"/>
    <w:rsid w:val="763E70DC"/>
    <w:rsid w:val="76777447"/>
    <w:rsid w:val="76A80000"/>
    <w:rsid w:val="76BE412A"/>
    <w:rsid w:val="76C16267"/>
    <w:rsid w:val="76C43A85"/>
    <w:rsid w:val="76CB454E"/>
    <w:rsid w:val="76D75A84"/>
    <w:rsid w:val="76ED2FB7"/>
    <w:rsid w:val="76F512CF"/>
    <w:rsid w:val="76FE2EF0"/>
    <w:rsid w:val="77056037"/>
    <w:rsid w:val="772939C2"/>
    <w:rsid w:val="7748210A"/>
    <w:rsid w:val="77483874"/>
    <w:rsid w:val="774B0EF4"/>
    <w:rsid w:val="774E544A"/>
    <w:rsid w:val="77531B01"/>
    <w:rsid w:val="77691AE0"/>
    <w:rsid w:val="776C1A27"/>
    <w:rsid w:val="776D12CB"/>
    <w:rsid w:val="77704238"/>
    <w:rsid w:val="7780248F"/>
    <w:rsid w:val="77CA7DF6"/>
    <w:rsid w:val="77D1503E"/>
    <w:rsid w:val="77DD1030"/>
    <w:rsid w:val="77EB6A9A"/>
    <w:rsid w:val="77F26238"/>
    <w:rsid w:val="784604CA"/>
    <w:rsid w:val="78497E6A"/>
    <w:rsid w:val="78715547"/>
    <w:rsid w:val="78774B27"/>
    <w:rsid w:val="7879590A"/>
    <w:rsid w:val="7887031E"/>
    <w:rsid w:val="78EF259F"/>
    <w:rsid w:val="78F85C68"/>
    <w:rsid w:val="790039BB"/>
    <w:rsid w:val="79095FAE"/>
    <w:rsid w:val="7912545F"/>
    <w:rsid w:val="793C6FBA"/>
    <w:rsid w:val="795838F0"/>
    <w:rsid w:val="796E5B52"/>
    <w:rsid w:val="79931B73"/>
    <w:rsid w:val="79D77D63"/>
    <w:rsid w:val="79FA77BE"/>
    <w:rsid w:val="7A0208DC"/>
    <w:rsid w:val="7A2C5F9D"/>
    <w:rsid w:val="7A664E53"/>
    <w:rsid w:val="7A6907D1"/>
    <w:rsid w:val="7A6C0BDC"/>
    <w:rsid w:val="7A70182E"/>
    <w:rsid w:val="7A70551C"/>
    <w:rsid w:val="7A796935"/>
    <w:rsid w:val="7A7E65CE"/>
    <w:rsid w:val="7AAD6C62"/>
    <w:rsid w:val="7AD03651"/>
    <w:rsid w:val="7AD868D5"/>
    <w:rsid w:val="7AFE32DE"/>
    <w:rsid w:val="7B034EA1"/>
    <w:rsid w:val="7B04683F"/>
    <w:rsid w:val="7B1B3D5D"/>
    <w:rsid w:val="7B295F5E"/>
    <w:rsid w:val="7B2D6DD6"/>
    <w:rsid w:val="7BD302C6"/>
    <w:rsid w:val="7BE20509"/>
    <w:rsid w:val="7BF40209"/>
    <w:rsid w:val="7BFA33C9"/>
    <w:rsid w:val="7C1C7F3F"/>
    <w:rsid w:val="7C4F2A27"/>
    <w:rsid w:val="7C57260A"/>
    <w:rsid w:val="7C5F6B73"/>
    <w:rsid w:val="7C6905AF"/>
    <w:rsid w:val="7C69174A"/>
    <w:rsid w:val="7C977C13"/>
    <w:rsid w:val="7C9F0C3C"/>
    <w:rsid w:val="7CBB3234"/>
    <w:rsid w:val="7CC14D10"/>
    <w:rsid w:val="7CC876FF"/>
    <w:rsid w:val="7CF00062"/>
    <w:rsid w:val="7D023410"/>
    <w:rsid w:val="7D407BDD"/>
    <w:rsid w:val="7D4D59F3"/>
    <w:rsid w:val="7D6C2983"/>
    <w:rsid w:val="7D8C697F"/>
    <w:rsid w:val="7D943A85"/>
    <w:rsid w:val="7D970686"/>
    <w:rsid w:val="7DB12889"/>
    <w:rsid w:val="7DB421C6"/>
    <w:rsid w:val="7DDB550F"/>
    <w:rsid w:val="7DFF1847"/>
    <w:rsid w:val="7E105802"/>
    <w:rsid w:val="7E130091"/>
    <w:rsid w:val="7E315C08"/>
    <w:rsid w:val="7E3C0336"/>
    <w:rsid w:val="7E480E52"/>
    <w:rsid w:val="7E533B57"/>
    <w:rsid w:val="7E821F32"/>
    <w:rsid w:val="7ED36915"/>
    <w:rsid w:val="7EFB0260"/>
    <w:rsid w:val="7F1E478B"/>
    <w:rsid w:val="7F482D79"/>
    <w:rsid w:val="7F623E3B"/>
    <w:rsid w:val="7F8A3354"/>
    <w:rsid w:val="7FAB3B99"/>
    <w:rsid w:val="7FC468A4"/>
    <w:rsid w:val="7FC82743"/>
    <w:rsid w:val="7FCB7F71"/>
    <w:rsid w:val="7FD540C6"/>
    <w:rsid w:val="7FDE4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szCs w:val="20"/>
    </w:rPr>
  </w:style>
  <w:style w:type="paragraph" w:styleId="6">
    <w:name w:val="annotation text"/>
    <w:basedOn w:val="1"/>
    <w:autoRedefine/>
    <w:qFormat/>
    <w:uiPriority w:val="0"/>
    <w:pPr>
      <w:jc w:val="left"/>
    </w:pPr>
  </w:style>
  <w:style w:type="paragraph" w:styleId="7">
    <w:name w:val="Body Text Indent"/>
    <w:basedOn w:val="1"/>
    <w:autoRedefine/>
    <w:qFormat/>
    <w:uiPriority w:val="0"/>
    <w:pPr>
      <w:ind w:firstLine="645"/>
    </w:pPr>
    <w:rPr>
      <w:rFonts w:ascii="仿宋_GB2312" w:eastAsia="仿宋_GB2312"/>
      <w:sz w:val="32"/>
      <w:szCs w:val="32"/>
    </w:rPr>
  </w:style>
  <w:style w:type="paragraph" w:styleId="8">
    <w:name w:val="Body Text Indent 2"/>
    <w:basedOn w:val="1"/>
    <w:autoRedefine/>
    <w:qFormat/>
    <w:uiPriority w:val="0"/>
    <w:pPr>
      <w:spacing w:after="120" w:line="480" w:lineRule="auto"/>
      <w:ind w:left="420" w:leftChars="200"/>
    </w:pPr>
  </w:style>
  <w:style w:type="paragraph" w:styleId="9">
    <w:name w:val="footer"/>
    <w:basedOn w:val="1"/>
    <w:link w:val="28"/>
    <w:autoRedefine/>
    <w:qFormat/>
    <w:uiPriority w:val="99"/>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autoRedefine/>
    <w:qFormat/>
    <w:uiPriority w:val="39"/>
  </w:style>
  <w:style w:type="paragraph" w:styleId="12">
    <w:name w:val="Subtitle"/>
    <w:basedOn w:val="1"/>
    <w:next w:val="1"/>
    <w:autoRedefine/>
    <w:qFormat/>
    <w:uiPriority w:val="99"/>
    <w:pPr>
      <w:ind w:firstLine="200" w:firstLineChars="200"/>
      <w:jc w:val="left"/>
      <w:outlineLvl w:val="2"/>
    </w:pPr>
    <w:rPr>
      <w:rFonts w:ascii="Cambria" w:hAnsi="Cambria" w:eastAsia="黑体" w:cs="Cambria"/>
      <w:kern w:val="28"/>
      <w:sz w:val="28"/>
      <w:szCs w:val="28"/>
    </w:rPr>
  </w:style>
  <w:style w:type="paragraph" w:styleId="13">
    <w:name w:val="toc 2"/>
    <w:basedOn w:val="1"/>
    <w:next w:val="1"/>
    <w:autoRedefine/>
    <w:qFormat/>
    <w:uiPriority w:val="39"/>
    <w:pPr>
      <w:ind w:left="420" w:leftChars="200"/>
    </w:pPr>
  </w:style>
  <w:style w:type="paragraph" w:styleId="14">
    <w:name w:val="Title"/>
    <w:basedOn w:val="1"/>
    <w:next w:val="1"/>
    <w:qFormat/>
    <w:uiPriority w:val="10"/>
    <w:pPr>
      <w:spacing w:line="0" w:lineRule="atLeast"/>
      <w:jc w:val="center"/>
    </w:pPr>
    <w:rPr>
      <w:rFonts w:ascii="Arial" w:hAnsi="Arial" w:eastAsia="黑体"/>
      <w:sz w:val="52"/>
    </w:rPr>
  </w:style>
  <w:style w:type="table" w:styleId="16">
    <w:name w:val="Table Grid"/>
    <w:basedOn w:val="15"/>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Hyperlink"/>
    <w:basedOn w:val="17"/>
    <w:autoRedefine/>
    <w:unhideWhenUsed/>
    <w:qFormat/>
    <w:uiPriority w:val="99"/>
    <w:rPr>
      <w:color w:val="0563C1" w:themeColor="hyperlink"/>
      <w:u w:val="single"/>
      <w14:textFill>
        <w14:solidFill>
          <w14:schemeClr w14:val="hlink"/>
        </w14:solidFill>
      </w14:textFill>
    </w:rPr>
  </w:style>
  <w:style w:type="paragraph" w:customStyle="1" w:styleId="19">
    <w:name w:val="正文+缩进"/>
    <w:basedOn w:val="1"/>
    <w:autoRedefine/>
    <w:qFormat/>
    <w:uiPriority w:val="0"/>
    <w:pPr>
      <w:ind w:firstLine="200" w:firstLineChars="200"/>
    </w:pPr>
  </w:style>
  <w:style w:type="paragraph" w:customStyle="1" w:styleId="20">
    <w:name w:val="WPSOffice手动目录 1"/>
    <w:autoRedefine/>
    <w:qFormat/>
    <w:uiPriority w:val="0"/>
    <w:rPr>
      <w:rFonts w:ascii="Times New Roman" w:hAnsi="Times New Roman" w:eastAsia="宋体" w:cs="Times New Roman"/>
      <w:lang w:val="en-US" w:eastAsia="zh-CN" w:bidi="ar-SA"/>
    </w:rPr>
  </w:style>
  <w:style w:type="paragraph" w:customStyle="1" w:styleId="21">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styleId="22">
    <w:name w:val="List Paragraph"/>
    <w:basedOn w:val="1"/>
    <w:autoRedefine/>
    <w:unhideWhenUsed/>
    <w:qFormat/>
    <w:uiPriority w:val="99"/>
    <w:pPr>
      <w:ind w:firstLine="420" w:firstLineChars="200"/>
    </w:pPr>
  </w:style>
  <w:style w:type="paragraph" w:customStyle="1" w:styleId="23">
    <w:name w:val="列出段落1"/>
    <w:basedOn w:val="1"/>
    <w:autoRedefine/>
    <w:unhideWhenUsed/>
    <w:qFormat/>
    <w:uiPriority w:val="99"/>
    <w:pPr>
      <w:ind w:firstLine="420" w:firstLineChars="200"/>
    </w:pPr>
  </w:style>
  <w:style w:type="character" w:customStyle="1" w:styleId="24">
    <w:name w:val="font21"/>
    <w:basedOn w:val="17"/>
    <w:autoRedefine/>
    <w:qFormat/>
    <w:uiPriority w:val="0"/>
    <w:rPr>
      <w:rFonts w:hint="default" w:ascii="Times New Roman" w:hAnsi="Times New Roman" w:cs="Times New Roman"/>
      <w:color w:val="000000"/>
      <w:sz w:val="24"/>
      <w:szCs w:val="24"/>
      <w:u w:val="none"/>
    </w:rPr>
  </w:style>
  <w:style w:type="character" w:customStyle="1" w:styleId="25">
    <w:name w:val="font61"/>
    <w:basedOn w:val="17"/>
    <w:autoRedefine/>
    <w:qFormat/>
    <w:uiPriority w:val="0"/>
    <w:rPr>
      <w:rFonts w:hint="eastAsia" w:ascii="宋体" w:hAnsi="宋体" w:eastAsia="宋体" w:cs="宋体"/>
      <w:b/>
      <w:color w:val="000000"/>
      <w:sz w:val="20"/>
      <w:szCs w:val="20"/>
      <w:u w:val="none"/>
    </w:rPr>
  </w:style>
  <w:style w:type="character" w:customStyle="1" w:styleId="26">
    <w:name w:val="font51"/>
    <w:basedOn w:val="17"/>
    <w:autoRedefine/>
    <w:qFormat/>
    <w:uiPriority w:val="0"/>
    <w:rPr>
      <w:rFonts w:hint="default" w:ascii="等线" w:hAnsi="等线" w:eastAsia="等线" w:cs="等线"/>
      <w:b/>
      <w:color w:val="000000"/>
      <w:sz w:val="20"/>
      <w:szCs w:val="20"/>
      <w:u w:val="none"/>
    </w:rPr>
  </w:style>
  <w:style w:type="character" w:customStyle="1" w:styleId="27">
    <w:name w:val="font31"/>
    <w:basedOn w:val="17"/>
    <w:autoRedefine/>
    <w:qFormat/>
    <w:uiPriority w:val="0"/>
    <w:rPr>
      <w:rFonts w:hint="eastAsia" w:ascii="宋体" w:hAnsi="宋体" w:eastAsia="宋体" w:cs="宋体"/>
      <w:color w:val="000000"/>
      <w:sz w:val="20"/>
      <w:szCs w:val="20"/>
      <w:u w:val="none"/>
    </w:rPr>
  </w:style>
  <w:style w:type="character" w:customStyle="1" w:styleId="28">
    <w:name w:val="页脚 字符"/>
    <w:basedOn w:val="17"/>
    <w:link w:val="9"/>
    <w:autoRedefine/>
    <w:qFormat/>
    <w:uiPriority w:val="99"/>
    <w:rPr>
      <w:rFonts w:ascii="Times New Roman" w:hAnsi="Times New Roman"/>
      <w:kern w:val="2"/>
      <w:sz w:val="18"/>
      <w:szCs w:val="24"/>
    </w:rPr>
  </w:style>
  <w:style w:type="character" w:customStyle="1" w:styleId="29">
    <w:name w:val="font11"/>
    <w:basedOn w:val="17"/>
    <w:autoRedefine/>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4E4ED-EB24-4676-9B15-439FCF3CA65C}">
  <ds:schemaRefs/>
</ds:datastoreItem>
</file>

<file path=docProps/app.xml><?xml version="1.0" encoding="utf-8"?>
<Properties xmlns="http://schemas.openxmlformats.org/officeDocument/2006/extended-properties" xmlns:vt="http://schemas.openxmlformats.org/officeDocument/2006/docPropsVTypes">
  <Template>Normal</Template>
  <Pages>14</Pages>
  <Words>7666</Words>
  <Characters>8403</Characters>
  <Lines>64</Lines>
  <Paragraphs>18</Paragraphs>
  <TotalTime>25</TotalTime>
  <ScaleCrop>false</ScaleCrop>
  <LinksUpToDate>false</LinksUpToDate>
  <CharactersWithSpaces>8491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2020-09-22T01:45:00Z</dcterms:created>
  <dc:creator>user</dc:creator>
  <cp:lastModifiedBy>梦向成壹</cp:lastModifiedBy>
  <cp:lastPrinted>2025-07-11T05:12:00Z</cp:lastPrinted>
  <dcterms:modified xsi:type="dcterms:W3CDTF">2025-08-27T07:54:17Z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185E72ACC60041DC9D4DC8DB1750A9EF_13</vt:lpwstr>
  </property>
  <property fmtid="{D5CDD505-2E9C-101B-9397-08002B2CF9AE}" pid="4" name="KSOTemplateDocerSaveRecord">
    <vt:lpwstr>eyJoZGlkIjoiY2YzNTkxZmEyMzdjNTgwNjAxMGY2OTQ3NTc5OThjNmMiLCJ1c2VySWQiOiI1OTc4MDM1ODAifQ==</vt:lpwstr>
  </property>
</Properties>
</file>