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DA2" w:rsidRDefault="00A31DA2">
      <w:pPr>
        <w:pStyle w:val="20"/>
        <w:ind w:firstLine="880"/>
        <w:rPr>
          <w:rFonts w:ascii="方正小标宋简体" w:eastAsia="方正小标宋简体" w:hAnsi="方正小标宋简体" w:cs="方正小标宋简体" w:hint="eastAsia"/>
          <w:bCs/>
          <w:sz w:val="44"/>
          <w:szCs w:val="44"/>
        </w:rPr>
      </w:pPr>
    </w:p>
    <w:p w:rsidR="00A31DA2" w:rsidRDefault="00A31DA2">
      <w:pPr>
        <w:pStyle w:val="20"/>
        <w:ind w:firstLine="880"/>
        <w:rPr>
          <w:rFonts w:ascii="方正小标宋简体" w:eastAsia="方正小标宋简体" w:hAnsi="方正小标宋简体" w:cs="方正小标宋简体"/>
          <w:bCs/>
          <w:sz w:val="44"/>
          <w:szCs w:val="44"/>
        </w:rPr>
      </w:pPr>
    </w:p>
    <w:p w:rsidR="00A31DA2" w:rsidRDefault="00A31DA2">
      <w:pPr>
        <w:pStyle w:val="20"/>
        <w:ind w:firstLine="880"/>
        <w:rPr>
          <w:rFonts w:ascii="方正小标宋简体" w:eastAsia="方正小标宋简体" w:hAnsi="方正小标宋简体" w:cs="方正小标宋简体"/>
          <w:bCs/>
          <w:sz w:val="44"/>
          <w:szCs w:val="44"/>
        </w:rPr>
      </w:pPr>
    </w:p>
    <w:p w:rsidR="00A31DA2" w:rsidRDefault="007233ED">
      <w:pPr>
        <w:jc w:val="center"/>
        <w:rPr>
          <w:b/>
          <w:bCs/>
          <w:sz w:val="52"/>
          <w:szCs w:val="52"/>
        </w:rPr>
      </w:pPr>
      <w:r>
        <w:rPr>
          <w:rFonts w:hint="eastAsia"/>
          <w:b/>
          <w:bCs/>
          <w:sz w:val="52"/>
          <w:szCs w:val="52"/>
        </w:rPr>
        <w:t>北京市人民检察院</w:t>
      </w:r>
    </w:p>
    <w:p w:rsidR="00A31DA2" w:rsidRDefault="00A31DA2">
      <w:pPr>
        <w:jc w:val="center"/>
        <w:rPr>
          <w:b/>
          <w:bCs/>
          <w:sz w:val="52"/>
          <w:szCs w:val="52"/>
        </w:rPr>
      </w:pPr>
    </w:p>
    <w:p w:rsidR="00A31DA2" w:rsidRDefault="007233ED">
      <w:pPr>
        <w:jc w:val="center"/>
        <w:rPr>
          <w:b/>
          <w:bCs/>
          <w:sz w:val="52"/>
          <w:szCs w:val="52"/>
        </w:rPr>
      </w:pPr>
      <w:r>
        <w:rPr>
          <w:rFonts w:hint="eastAsia"/>
          <w:b/>
          <w:bCs/>
          <w:sz w:val="52"/>
          <w:szCs w:val="52"/>
        </w:rPr>
        <w:t>2024</w:t>
      </w:r>
      <w:r>
        <w:rPr>
          <w:rFonts w:hint="eastAsia"/>
          <w:b/>
          <w:bCs/>
          <w:sz w:val="52"/>
          <w:szCs w:val="52"/>
        </w:rPr>
        <w:t>年度部门整体绩效评价报告</w:t>
      </w:r>
    </w:p>
    <w:p w:rsidR="00A31DA2" w:rsidRDefault="00A31DA2">
      <w:pPr>
        <w:ind w:firstLine="1040"/>
        <w:jc w:val="center"/>
        <w:rPr>
          <w:b/>
          <w:bCs/>
          <w:sz w:val="52"/>
        </w:rPr>
      </w:pPr>
    </w:p>
    <w:p w:rsidR="00A31DA2" w:rsidRDefault="00A31DA2">
      <w:pPr>
        <w:ind w:firstLine="602"/>
        <w:rPr>
          <w:rFonts w:eastAsia="黑体"/>
          <w:sz w:val="30"/>
        </w:rPr>
      </w:pPr>
    </w:p>
    <w:p w:rsidR="00A31DA2" w:rsidRDefault="00A31DA2">
      <w:pPr>
        <w:ind w:firstLine="602"/>
        <w:rPr>
          <w:rFonts w:eastAsia="黑体"/>
          <w:sz w:val="30"/>
        </w:rPr>
      </w:pPr>
    </w:p>
    <w:p w:rsidR="00A31DA2" w:rsidRDefault="00A31DA2">
      <w:pPr>
        <w:ind w:firstLine="602"/>
        <w:jc w:val="center"/>
        <w:rPr>
          <w:rFonts w:eastAsia="黑体"/>
          <w:sz w:val="30"/>
        </w:rPr>
      </w:pPr>
    </w:p>
    <w:p w:rsidR="00A31DA2" w:rsidRDefault="00A31DA2">
      <w:pPr>
        <w:ind w:firstLine="602"/>
        <w:jc w:val="center"/>
        <w:rPr>
          <w:rFonts w:eastAsia="黑体"/>
          <w:sz w:val="30"/>
        </w:rPr>
      </w:pPr>
    </w:p>
    <w:p w:rsidR="00A31DA2" w:rsidRDefault="00A31DA2">
      <w:pPr>
        <w:ind w:firstLine="602"/>
        <w:jc w:val="center"/>
        <w:rPr>
          <w:rFonts w:eastAsia="黑体"/>
          <w:sz w:val="30"/>
        </w:rPr>
      </w:pPr>
    </w:p>
    <w:p w:rsidR="00A31DA2" w:rsidRDefault="00A31DA2">
      <w:pPr>
        <w:pStyle w:val="20"/>
        <w:ind w:firstLine="600"/>
        <w:rPr>
          <w:rFonts w:eastAsia="黑体"/>
          <w:sz w:val="30"/>
        </w:rPr>
      </w:pPr>
    </w:p>
    <w:p w:rsidR="00A31DA2" w:rsidRDefault="00A31DA2">
      <w:pPr>
        <w:pStyle w:val="20"/>
        <w:ind w:firstLine="600"/>
        <w:rPr>
          <w:rFonts w:eastAsia="黑体"/>
          <w:sz w:val="30"/>
        </w:rPr>
      </w:pPr>
    </w:p>
    <w:p w:rsidR="00A31DA2" w:rsidRDefault="007233ED">
      <w:pPr>
        <w:ind w:firstLine="723"/>
        <w:jc w:val="center"/>
        <w:rPr>
          <w:rFonts w:ascii="宋体" w:hAnsi="宋体" w:cs="宋体"/>
          <w:bCs/>
          <w:sz w:val="36"/>
          <w:szCs w:val="36"/>
        </w:rPr>
      </w:pPr>
      <w:r>
        <w:rPr>
          <w:rFonts w:ascii="宋体" w:hAnsi="宋体" w:cs="宋体" w:hint="eastAsia"/>
          <w:bCs/>
          <w:sz w:val="36"/>
          <w:szCs w:val="36"/>
        </w:rPr>
        <w:t>二〇二五年五月</w:t>
      </w:r>
    </w:p>
    <w:p w:rsidR="00A31DA2" w:rsidRDefault="00A31DA2">
      <w:pPr>
        <w:spacing w:line="560" w:lineRule="exact"/>
        <w:ind w:firstLine="723"/>
        <w:jc w:val="center"/>
        <w:outlineLvl w:val="0"/>
        <w:rPr>
          <w:rFonts w:ascii="方正小标宋简体" w:eastAsia="方正小标宋简体"/>
          <w:sz w:val="36"/>
          <w:szCs w:val="36"/>
        </w:rPr>
        <w:sectPr w:rsidR="00A31DA2">
          <w:pgSz w:w="11906" w:h="16838"/>
          <w:pgMar w:top="2098" w:right="1474" w:bottom="1984" w:left="1587" w:header="851" w:footer="992" w:gutter="0"/>
          <w:cols w:space="425"/>
          <w:docGrid w:type="lines" w:linePitch="312"/>
        </w:sectPr>
      </w:pPr>
    </w:p>
    <w:p w:rsidR="00A31DA2" w:rsidRDefault="007233ED">
      <w:pPr>
        <w:spacing w:line="560" w:lineRule="exact"/>
        <w:ind w:firstLine="723"/>
        <w:jc w:val="center"/>
        <w:outlineLvl w:val="0"/>
        <w:rPr>
          <w:rFonts w:ascii="方正小标宋简体" w:eastAsia="方正小标宋简体"/>
          <w:sz w:val="36"/>
          <w:szCs w:val="36"/>
        </w:rPr>
      </w:pPr>
      <w:r>
        <w:rPr>
          <w:rFonts w:ascii="方正小标宋简体" w:eastAsia="方正小标宋简体" w:hint="eastAsia"/>
          <w:sz w:val="36"/>
          <w:szCs w:val="36"/>
        </w:rPr>
        <w:lastRenderedPageBreak/>
        <w:t>北京市人民检察院</w:t>
      </w:r>
    </w:p>
    <w:p w:rsidR="00A31DA2" w:rsidRDefault="007233ED">
      <w:pPr>
        <w:spacing w:line="560" w:lineRule="exact"/>
        <w:ind w:firstLine="723"/>
        <w:jc w:val="center"/>
        <w:outlineLvl w:val="0"/>
        <w:rPr>
          <w:rFonts w:ascii="方正小标宋简体" w:eastAsia="方正小标宋简体"/>
          <w:szCs w:val="21"/>
        </w:rPr>
      </w:pPr>
      <w:r>
        <w:rPr>
          <w:rFonts w:ascii="方正小标宋简体" w:eastAsia="方正小标宋简体" w:hint="eastAsia"/>
          <w:sz w:val="36"/>
          <w:szCs w:val="36"/>
        </w:rPr>
        <w:t>2024年度部门整体绩效评价报告</w:t>
      </w:r>
    </w:p>
    <w:p w:rsidR="00A31DA2" w:rsidRDefault="00A31DA2">
      <w:pPr>
        <w:spacing w:line="560" w:lineRule="exact"/>
        <w:jc w:val="center"/>
        <w:rPr>
          <w:rFonts w:ascii="方正小标宋简体" w:eastAsia="方正小标宋简体"/>
          <w:szCs w:val="21"/>
        </w:rPr>
      </w:pP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为进一步加强预算绩效管理，强化支出责任，提高财政资金使用效益和部门综合管理水平，根据《中共北京市委 北京市人民政府关于全面实施预算绩效管理的实施意见》（京发〔2019〕12号）《北京市项目支出绩效评价管理办法》（京财绩效〔2020〕2146号）等要求，结合</w:t>
      </w:r>
      <w:r>
        <w:rPr>
          <w:rFonts w:ascii="仿宋_GB2312" w:eastAsia="仿宋_GB2312" w:hAnsi="仿宋_GB2312" w:cs="仿宋_GB2312" w:hint="eastAsia"/>
          <w:sz w:val="32"/>
        </w:rPr>
        <w:t>北京市财政局</w:t>
      </w:r>
      <w:r>
        <w:rPr>
          <w:rFonts w:ascii="仿宋_GB2312" w:eastAsia="仿宋_GB2312" w:hAnsi="楷体" w:hint="eastAsia"/>
          <w:bCs/>
          <w:kern w:val="0"/>
          <w:sz w:val="32"/>
          <w:szCs w:val="28"/>
        </w:rPr>
        <w:t>《关于2025年预算绩效管理工作的通知》</w:t>
      </w:r>
      <w:r>
        <w:rPr>
          <w:rFonts w:ascii="仿宋_GB2312" w:eastAsia="仿宋_GB2312" w:hAnsi="仿宋_GB2312" w:cs="仿宋_GB2312" w:hint="eastAsia"/>
          <w:sz w:val="32"/>
        </w:rPr>
        <w:t>的工作安排</w:t>
      </w:r>
      <w:r>
        <w:rPr>
          <w:rFonts w:ascii="仿宋_GB2312" w:eastAsia="仿宋_GB2312" w:hAnsi="仿宋_GB2312" w:cs="仿宋_GB2312" w:hint="eastAsia"/>
          <w:sz w:val="32"/>
          <w:szCs w:val="32"/>
        </w:rPr>
        <w:t>，北京市人民检察院（以下简称“市检察院”）组建绩效评价工作组，对2024年度部门整体实施绩效评价，形成本绩效评价报告。</w:t>
      </w:r>
    </w:p>
    <w:p w:rsidR="00A31DA2" w:rsidRDefault="007233ED">
      <w:pPr>
        <w:spacing w:line="56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A31DA2" w:rsidRDefault="007233ED">
      <w:pPr>
        <w:spacing w:line="560" w:lineRule="exact"/>
        <w:ind w:firstLineChars="200" w:firstLine="640"/>
        <w:outlineLvl w:val="1"/>
        <w:rPr>
          <w:rFonts w:ascii="楷体_GB2312" w:eastAsia="楷体_GB2312"/>
          <w:sz w:val="32"/>
          <w:szCs w:val="32"/>
        </w:rPr>
      </w:pPr>
      <w:r>
        <w:rPr>
          <w:rFonts w:ascii="楷体_GB2312" w:eastAsia="楷体_GB2312" w:hint="eastAsia"/>
          <w:sz w:val="32"/>
          <w:szCs w:val="32"/>
        </w:rPr>
        <w:t>（一）机构设置及职责工作任务情况</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1.部门机构设置</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单位性质为国家的法律监督机关。根据北京市委全面深化改革委员会审议通过的《北京市检察机关内设机构改革方案》及《中共北京市委机构编制委员会办公室关于设立市检察院数字检察部的批复》等文件批复，</w:t>
      </w:r>
      <w:r>
        <w:rPr>
          <w:rFonts w:ascii="仿宋_GB2312" w:eastAsia="仿宋_GB2312" w:hAnsi="仿宋_GB2312" w:cs="仿宋_GB2312"/>
          <w:sz w:val="32"/>
          <w:szCs w:val="32"/>
        </w:rPr>
        <w:t>北京市人民检察院设置第一检察部、第二检察部、第三检察部、第四检察部、第五检察部、第六检察部、第七检察部、第八检察部、第九检察部、第十检察部、第十一检察部、第十二检察部（检察技术部）、法律政策研究室</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办公室、检务督察部（巡视工作领导小组办公室）、行政事务管</w:t>
      </w:r>
      <w:r>
        <w:rPr>
          <w:rFonts w:ascii="仿宋_GB2312" w:eastAsia="仿宋_GB2312" w:hAnsi="仿宋_GB2312" w:cs="仿宋_GB2312"/>
          <w:sz w:val="32"/>
          <w:szCs w:val="32"/>
        </w:rPr>
        <w:lastRenderedPageBreak/>
        <w:t>理部</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政治部、机关党委（党建工作处）、机关纪委</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数字检察部</w:t>
      </w:r>
      <w:r>
        <w:rPr>
          <w:rFonts w:ascii="仿宋_GB2312" w:eastAsia="仿宋_GB2312" w:hAnsi="仿宋_GB2312" w:cs="仿宋_GB2312" w:hint="eastAsia"/>
          <w:sz w:val="32"/>
          <w:szCs w:val="32"/>
        </w:rPr>
        <w:t>等部门。</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2.部门职能和工作任务情况</w:t>
      </w:r>
    </w:p>
    <w:p w:rsidR="00A31DA2" w:rsidRDefault="007233ED">
      <w:pPr>
        <w:numPr>
          <w:ilvl w:val="255"/>
          <w:numId w:val="0"/>
        </w:numPr>
        <w:spacing w:line="560" w:lineRule="exact"/>
        <w:ind w:firstLineChars="200" w:firstLine="640"/>
        <w:rPr>
          <w:rFonts w:ascii="仿宋_GB2312" w:eastAsia="仿宋_GB2312" w:hAnsi="仿宋_GB2312" w:cs="仿宋_GB2312"/>
          <w:sz w:val="32"/>
        </w:rPr>
      </w:pPr>
      <w:r>
        <w:rPr>
          <w:rFonts w:ascii="仿宋_GB2312" w:eastAsia="仿宋_GB2312" w:hAnsi="仿宋" w:hint="eastAsia"/>
          <w:sz w:val="32"/>
          <w:szCs w:val="32"/>
        </w:rPr>
        <w:t>部门职责：</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（1）深入贯彻习近平新时代中国特色社会主义思想，深入贯彻党的路线方针政策和决策部署，统一检察机关思想和行动，坚持党对检察工作的绝对领导，坚决维护习近平总书记党中央的核心、全党</w:t>
      </w:r>
      <w:r w:rsidR="00D178E6">
        <w:rPr>
          <w:rFonts w:ascii="仿宋_GB2312" w:eastAsia="仿宋_GB2312" w:hAnsi="仿宋_GB2312" w:cs="仿宋_GB2312" w:hint="eastAsia"/>
          <w:sz w:val="32"/>
          <w:szCs w:val="32"/>
        </w:rPr>
        <w:t>的核心</w:t>
      </w:r>
      <w:r w:rsidR="00D178E6">
        <w:rPr>
          <w:rFonts w:ascii="仿宋_GB2312" w:eastAsia="仿宋_GB2312" w:hAnsi="仿宋_GB2312" w:cs="仿宋_GB2312"/>
          <w:sz w:val="32"/>
          <w:szCs w:val="32"/>
        </w:rPr>
        <w:t>地位</w:t>
      </w:r>
      <w:r>
        <w:rPr>
          <w:rFonts w:ascii="仿宋_GB2312" w:eastAsia="仿宋_GB2312" w:hAnsi="仿宋_GB2312" w:cs="仿宋_GB2312" w:hint="eastAsia"/>
          <w:sz w:val="32"/>
          <w:szCs w:val="32"/>
        </w:rPr>
        <w:t>，坚决维护党中央权威和集中统一领导；</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（2）领导全市各级人民检察院的工作。对下级检察院相关业务进行指导，根据中央、北京市委、最高人民检察院的要求，制定检察工作方针、总体规划，部署检察工作任务；</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（3）依照法律规定对由市检察院直接受理的刑事案件行使侦查权，领导全市各级人民检察院开展对依照法律规定由人民检察院直接受理的刑事案件的侦查工作；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对全市性的重大刑事案件依法进行审查，批准或者决定是否逮捕犯罪嫌疑人，决定是否提起公诉，对提起公诉的案件支持公诉，领导全市各级人民检察院开展对刑事犯罪案件的审查批准逮捕、决定逮捕、提起公诉等相关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负责应由市检察院承办的刑事、民事、行政诉讼活动及刑事、民事、行政判决和裁定等生效法律文书执行的法律监督工作，领导全市各级人民检察院对刑事、民事、行政诉讼活动及判决裁定等生效法律文书执行的法律监督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（6）负责应由市检察院承办的提起公益诉讼工作，领导全市各级人民检察院开展提起公益诉讼工作；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（7）负责应由市检察院承办的对监狱、看守所等执法活动的法律监督工作，领导全市各级人民检察院开展对监狱、看守所、社区矫正机构执法活动的法律监督工作；</w:t>
      </w:r>
    </w:p>
    <w:p w:rsidR="00A31DA2" w:rsidRDefault="007233ED">
      <w:pPr>
        <w:spacing w:line="560" w:lineRule="exact"/>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（8）受理向市检察院的控告申诉，领导全市各级人民检察院的控告申诉检察工作；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（9）对下级人民检察院在行使检察权中作出的决定进行审查，纠正错误决定；</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（10）开展理论研究并指导全市检察机关相关工作；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负责检察机关队伍建设和思想政治工作。领导全市各级人民检察院依法管理检察官及其他检察人员的工作，协同北京市主管部门管理人民检察院的内设机构设置及人员编制，制定相关人员管理办法，组织指导检察机关教育培训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（12）领导全市各级人民检察院的检务督察工作；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（13）规划和指导全市检察机关的财务装备工作，指导全市检察机关的检察技术信息工作；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（14）在党中央、北京市委和最高人民检察院的领导下开展对外交流合作，开展有关国际司法协助工作；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（15）其他应当由市检察院承办的事项。</w:t>
      </w:r>
    </w:p>
    <w:p w:rsidR="00A31DA2" w:rsidRDefault="007233ED">
      <w:pPr>
        <w:spacing w:line="560" w:lineRule="exact"/>
        <w:ind w:firstLineChars="200" w:firstLine="640"/>
        <w:rPr>
          <w:rFonts w:ascii="仿宋_GB2312" w:eastAsia="仿宋_GB2312" w:hAnsi="仿宋"/>
          <w:sz w:val="32"/>
        </w:rPr>
      </w:pPr>
      <w:r>
        <w:rPr>
          <w:rFonts w:ascii="仿宋_GB2312" w:eastAsia="仿宋_GB2312" w:hAnsi="仿宋" w:hint="eastAsia"/>
          <w:sz w:val="32"/>
        </w:rPr>
        <w:t>工作任务情况：</w:t>
      </w:r>
    </w:p>
    <w:p w:rsidR="00A31DA2" w:rsidRDefault="007233ED">
      <w:pPr>
        <w:spacing w:line="560" w:lineRule="exact"/>
        <w:ind w:firstLineChars="200" w:firstLine="640"/>
        <w:rPr>
          <w:rFonts w:ascii="仿宋_GB2312" w:eastAsia="仿宋_GB2312" w:hAnsi="仿宋"/>
          <w:sz w:val="32"/>
        </w:rPr>
      </w:pPr>
      <w:r>
        <w:rPr>
          <w:rFonts w:ascii="仿宋_GB2312" w:eastAsia="仿宋_GB2312" w:hAnsi="仿宋" w:hint="eastAsia"/>
          <w:sz w:val="32"/>
        </w:rPr>
        <w:t>2024年，市检察院在市委、最高检坚强领导下，坚持以习</w:t>
      </w:r>
      <w:r>
        <w:rPr>
          <w:rFonts w:ascii="仿宋_GB2312" w:eastAsia="仿宋_GB2312" w:hAnsi="仿宋" w:hint="eastAsia"/>
          <w:sz w:val="32"/>
        </w:rPr>
        <w:lastRenderedPageBreak/>
        <w:t>近平新时代中国特色社会主义思想为指导，全面贯彻党的二十大和二十届二中、三中全会精神，深入学习贯彻习近平法治思想，坚定拥护“两个确立”、坚决做到“两个维护”，坚持党的领导、人民当家作主、依法治国有机统一，在为大局服务、为人民司法、为法治担当中守正创新，以推进检察工作现代化服务首都现代化建设。</w:t>
      </w:r>
    </w:p>
    <w:p w:rsidR="00A31DA2" w:rsidRDefault="007233ED">
      <w:pPr>
        <w:spacing w:line="560" w:lineRule="exact"/>
        <w:ind w:firstLineChars="200" w:firstLine="640"/>
        <w:rPr>
          <w:rFonts w:ascii="仿宋_GB2312" w:eastAsia="仿宋_GB2312" w:hAnsi="仿宋"/>
          <w:sz w:val="32"/>
        </w:rPr>
      </w:pPr>
      <w:r>
        <w:rPr>
          <w:rFonts w:ascii="仿宋_GB2312" w:eastAsia="仿宋_GB2312" w:hAnsi="仿宋" w:hint="eastAsia"/>
          <w:sz w:val="32"/>
        </w:rPr>
        <w:t>（1）坚持党对检察工作的绝对领导，严格执行政法工作条例，坚持以贯彻《中共中央关于加强新时代检察机关法律监督工作的意见》及市委实施意见引领和保障检察工作，向市委及其政法委请示报告重大事项。坚持不懈用党的创新理论凝心铸魂，增强“第一议题”、理论中心组学习制度执行力。服务保障“国之大者”的首都实践，以首都城市战略定位和履行首都职责要求为牵引，落实统筹发展和安全要求，通过发挥检察职能作用，服务保障北京“四个中心”建设、京津冀协同发展国家重大战略实施。深化全面从严治党治检，健全全面从严治党治检体系，完善检察党建领导工作机制，把开展党纪学习教育与接受最高检党组常规巡视有机结合起来。</w:t>
      </w:r>
    </w:p>
    <w:p w:rsidR="00A31DA2" w:rsidRDefault="007233ED">
      <w:pPr>
        <w:spacing w:line="560" w:lineRule="exact"/>
        <w:ind w:firstLineChars="200" w:firstLine="640"/>
        <w:rPr>
          <w:rFonts w:ascii="仿宋_GB2312" w:eastAsia="仿宋_GB2312" w:hAnsi="仿宋"/>
          <w:sz w:val="32"/>
        </w:rPr>
      </w:pPr>
      <w:r>
        <w:rPr>
          <w:rFonts w:ascii="仿宋_GB2312" w:eastAsia="仿宋_GB2312" w:hAnsi="仿宋" w:hint="eastAsia"/>
          <w:sz w:val="32"/>
        </w:rPr>
        <w:t>（2）以保障首都经济高质量发展筑民生之基，助力营造法治化营商环境，惩治破坏社会主义市场经济秩序犯罪，积极挽回人民经济损失；以办好检察为民实事护民生之利，加强人民群众生命财产权益保护，起诉危害人民群众生命财产安全犯罪；加强重点领域民生检察，办理食品药品安全等领域公益诉讼案件；加</w:t>
      </w:r>
      <w:r>
        <w:rPr>
          <w:rFonts w:ascii="仿宋_GB2312" w:eastAsia="仿宋_GB2312" w:hAnsi="仿宋" w:hint="eastAsia"/>
          <w:sz w:val="32"/>
        </w:rPr>
        <w:lastRenderedPageBreak/>
        <w:t>强妇女、老年人、残疾人等特定群体权益保护；加强国防和军队建设检察保障。保障人民群众实质性参与和监督检察工作，自觉接受人大监督、民主监督、社会监督，向市人大及其常委会报告年度工作及专题工作；邀请代表、委员视察检察工作。</w:t>
      </w:r>
    </w:p>
    <w:p w:rsidR="00F76002" w:rsidRDefault="007233ED" w:rsidP="00F76002">
      <w:pPr>
        <w:spacing w:line="560" w:lineRule="exact"/>
        <w:ind w:firstLineChars="200" w:firstLine="640"/>
        <w:rPr>
          <w:rFonts w:ascii="仿宋_GB2312" w:eastAsia="仿宋_GB2312" w:hAnsi="仿宋" w:hint="eastAsia"/>
          <w:sz w:val="32"/>
        </w:rPr>
      </w:pPr>
      <w:r>
        <w:rPr>
          <w:rFonts w:ascii="仿宋_GB2312" w:eastAsia="仿宋_GB2312" w:hAnsi="仿宋" w:hint="eastAsia"/>
          <w:sz w:val="32"/>
        </w:rPr>
        <w:t>（3）着力塑造法律监督新业态，持续推动法律监督向主动塑造转变，持续推动“四大检察”全面协调充分发展，持续推动法律监督与各类监督贯通协调，紧紧依靠党委领导，形成监督合力，增强监督效能。着力塑造检察履职新</w:t>
      </w:r>
      <w:r w:rsidR="00D178E6">
        <w:rPr>
          <w:rFonts w:ascii="仿宋_GB2312" w:eastAsia="仿宋_GB2312" w:hAnsi="仿宋" w:hint="eastAsia"/>
          <w:sz w:val="32"/>
        </w:rPr>
        <w:t>形</w:t>
      </w:r>
      <w:r>
        <w:rPr>
          <w:rFonts w:ascii="仿宋_GB2312" w:eastAsia="仿宋_GB2312" w:hAnsi="仿宋" w:hint="eastAsia"/>
          <w:sz w:val="32"/>
        </w:rPr>
        <w:t>态，深化检察履职“统分结合”机制变革，强化技术性辅助、穿透式审查、实质性监督，推动法律监督向更多解决深层次违法犯罪问题转变；深化检察履职“由案到治”机制变革，推动检察履职“个案办理—类案监督—溯源治理”方式创新。</w:t>
      </w:r>
      <w:r w:rsidR="00F76002">
        <w:rPr>
          <w:rFonts w:ascii="仿宋_GB2312" w:eastAsia="仿宋_GB2312" w:hAnsi="仿宋" w:hint="eastAsia"/>
          <w:sz w:val="32"/>
        </w:rPr>
        <w:t>着力塑造检察业务新质态，</w:t>
      </w:r>
      <w:bookmarkStart w:id="0" w:name="_GoBack"/>
      <w:bookmarkEnd w:id="0"/>
      <w:r w:rsidR="00F76002" w:rsidRPr="00F76002">
        <w:rPr>
          <w:rFonts w:ascii="仿宋_GB2312" w:eastAsia="仿宋_GB2312" w:hAnsi="仿宋" w:hint="eastAsia"/>
          <w:sz w:val="32"/>
        </w:rPr>
        <w:t>强化管理、制度、数据要素功能，推动检察业务管理的宏观质效分析与微观案件评查有机统一，研制推进检察“数智枫桥”信访法治化等工作，加强数字检察在监督线索发现、监督案件办理中的贡献率。</w:t>
      </w:r>
    </w:p>
    <w:p w:rsidR="00A31DA2" w:rsidRDefault="007233ED">
      <w:pPr>
        <w:spacing w:line="560" w:lineRule="exact"/>
        <w:ind w:firstLineChars="200" w:firstLine="640"/>
        <w:outlineLvl w:val="1"/>
        <w:rPr>
          <w:rFonts w:ascii="楷体_GB2312" w:eastAsia="楷体_GB2312"/>
          <w:sz w:val="32"/>
          <w:szCs w:val="32"/>
        </w:rPr>
      </w:pPr>
      <w:r>
        <w:rPr>
          <w:rFonts w:ascii="楷体_GB2312" w:eastAsia="楷体_GB2312" w:hint="eastAsia"/>
          <w:sz w:val="32"/>
          <w:szCs w:val="32"/>
        </w:rPr>
        <w:t>（二）部门整体绩效目标设立情况</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1.绩效目标设立依据</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（1）《中国</w:t>
      </w:r>
      <w:r>
        <w:rPr>
          <w:rFonts w:ascii="仿宋_GB2312" w:eastAsia="仿宋_GB2312" w:hAnsi="仿宋_GB2312" w:cs="仿宋_GB2312"/>
          <w:sz w:val="32"/>
          <w:szCs w:val="32"/>
        </w:rPr>
        <w:t>共产党政法工作条例</w:t>
      </w:r>
      <w:r>
        <w:rPr>
          <w:rFonts w:ascii="仿宋_GB2312" w:eastAsia="仿宋_GB2312" w:hAnsi="仿宋_GB2312" w:cs="仿宋_GB2312" w:hint="eastAsia"/>
          <w:sz w:val="32"/>
          <w:szCs w:val="32"/>
        </w:rPr>
        <w:t>》</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bookmarkStart w:id="1" w:name="OLE_LINK3"/>
      <w:bookmarkStart w:id="2" w:name="OLE_LINK4"/>
      <w:r>
        <w:rPr>
          <w:rFonts w:ascii="仿宋_GB2312" w:eastAsia="仿宋_GB2312" w:hAnsi="仿宋_GB2312" w:cs="仿宋_GB2312" w:hint="eastAsia"/>
          <w:sz w:val="32"/>
          <w:szCs w:val="32"/>
        </w:rPr>
        <w:t>《</w:t>
      </w:r>
      <w:bookmarkStart w:id="3" w:name="OLE_LINK1"/>
      <w:r>
        <w:rPr>
          <w:rFonts w:ascii="仿宋_GB2312" w:eastAsia="仿宋_GB2312" w:hAnsi="仿宋_GB2312" w:cs="仿宋_GB2312" w:hint="eastAsia"/>
          <w:sz w:val="32"/>
          <w:szCs w:val="32"/>
        </w:rPr>
        <w:t>中共中央关于加强新时代检察机关法律监督工作的意见</w:t>
      </w:r>
      <w:bookmarkEnd w:id="3"/>
      <w:r>
        <w:rPr>
          <w:rFonts w:ascii="仿宋_GB2312" w:eastAsia="仿宋_GB2312" w:hAnsi="仿宋_GB2312" w:cs="仿宋_GB2312" w:hint="eastAsia"/>
          <w:sz w:val="32"/>
          <w:szCs w:val="32"/>
        </w:rPr>
        <w:t>》</w:t>
      </w:r>
    </w:p>
    <w:bookmarkEnd w:id="1"/>
    <w:bookmarkEnd w:id="2"/>
    <w:p w:rsidR="00317053" w:rsidRDefault="007233ED">
      <w:pPr>
        <w:pStyle w:val="a7"/>
        <w:spacing w:line="560" w:lineRule="exact"/>
        <w:ind w:firstLine="640"/>
        <w:rPr>
          <w:rFonts w:ascii="仿宋_GB2312" w:hAnsi="仿宋_GB2312" w:cs="仿宋_GB2312"/>
          <w:szCs w:val="32"/>
        </w:rPr>
      </w:pPr>
      <w:r>
        <w:rPr>
          <w:rFonts w:ascii="仿宋_GB2312" w:hAnsi="仿宋_GB2312" w:cs="仿宋_GB2312" w:hint="eastAsia"/>
          <w:szCs w:val="32"/>
        </w:rPr>
        <w:t>（3）</w:t>
      </w:r>
      <w:bookmarkStart w:id="4" w:name="OLE_LINK2"/>
      <w:r w:rsidR="00317053">
        <w:rPr>
          <w:rFonts w:ascii="仿宋_GB2312" w:hAnsi="仿宋_GB2312" w:cs="仿宋_GB2312" w:hint="eastAsia"/>
          <w:szCs w:val="32"/>
        </w:rPr>
        <w:t>《</w:t>
      </w:r>
      <w:r w:rsidR="00317053" w:rsidRPr="00317053">
        <w:rPr>
          <w:rFonts w:ascii="仿宋_GB2312" w:hAnsi="仿宋_GB2312" w:cs="仿宋_GB2312" w:hint="eastAsia"/>
          <w:szCs w:val="32"/>
        </w:rPr>
        <w:t>中共北京市委贯彻</w:t>
      </w:r>
      <w:r w:rsidR="00317053">
        <w:rPr>
          <w:rFonts w:ascii="仿宋_GB2312" w:hAnsi="仿宋_GB2312" w:cs="仿宋_GB2312" w:hint="eastAsia"/>
          <w:szCs w:val="32"/>
        </w:rPr>
        <w:t>&lt;</w:t>
      </w:r>
      <w:r w:rsidR="00317053" w:rsidRPr="00317053">
        <w:rPr>
          <w:rFonts w:ascii="仿宋_GB2312" w:hAnsi="仿宋_GB2312" w:cs="仿宋_GB2312" w:hint="eastAsia"/>
          <w:szCs w:val="32"/>
        </w:rPr>
        <w:t>中共中央关于加强新时代检察机关法律监督工作的意见</w:t>
      </w:r>
      <w:r w:rsidR="00317053">
        <w:rPr>
          <w:rFonts w:ascii="仿宋_GB2312" w:hAnsi="仿宋_GB2312" w:cs="仿宋_GB2312" w:hint="eastAsia"/>
          <w:szCs w:val="32"/>
        </w:rPr>
        <w:t>&gt;</w:t>
      </w:r>
      <w:r w:rsidR="00317053" w:rsidRPr="00317053">
        <w:rPr>
          <w:rFonts w:ascii="仿宋_GB2312" w:hAnsi="仿宋_GB2312" w:cs="仿宋_GB2312" w:hint="eastAsia"/>
          <w:szCs w:val="32"/>
        </w:rPr>
        <w:t>的实施意见</w:t>
      </w:r>
      <w:r w:rsidR="00317053">
        <w:rPr>
          <w:rFonts w:ascii="仿宋_GB2312" w:hAnsi="仿宋_GB2312" w:cs="仿宋_GB2312" w:hint="eastAsia"/>
          <w:szCs w:val="32"/>
        </w:rPr>
        <w:t>》</w:t>
      </w:r>
    </w:p>
    <w:p w:rsidR="00A31DA2" w:rsidRDefault="00317053">
      <w:pPr>
        <w:pStyle w:val="a7"/>
        <w:spacing w:line="560" w:lineRule="exact"/>
        <w:ind w:firstLine="640"/>
        <w:rPr>
          <w:rFonts w:ascii="仿宋_GB2312" w:hAnsi="仿宋_GB2312" w:cs="仿宋_GB2312"/>
          <w:szCs w:val="32"/>
        </w:rPr>
      </w:pPr>
      <w:r>
        <w:rPr>
          <w:rFonts w:ascii="仿宋_GB2312" w:hAnsi="仿宋_GB2312" w:cs="仿宋_GB2312" w:hint="eastAsia"/>
          <w:szCs w:val="32"/>
        </w:rPr>
        <w:lastRenderedPageBreak/>
        <w:t>（</w:t>
      </w:r>
      <w:r>
        <w:rPr>
          <w:rFonts w:ascii="仿宋_GB2312" w:hAnsi="仿宋_GB2312" w:cs="仿宋_GB2312"/>
          <w:szCs w:val="32"/>
        </w:rPr>
        <w:t>4</w:t>
      </w:r>
      <w:r>
        <w:rPr>
          <w:rFonts w:ascii="仿宋_GB2312" w:hAnsi="仿宋_GB2312" w:cs="仿宋_GB2312" w:hint="eastAsia"/>
          <w:szCs w:val="32"/>
        </w:rPr>
        <w:t>）</w:t>
      </w:r>
      <w:r w:rsidR="00D178E6">
        <w:rPr>
          <w:rFonts w:ascii="仿宋_GB2312" w:hAnsi="仿宋_GB2312" w:cs="仿宋_GB2312" w:hint="eastAsia"/>
          <w:szCs w:val="32"/>
        </w:rPr>
        <w:t>北京市人民检察院主要职责</w:t>
      </w:r>
    </w:p>
    <w:bookmarkEnd w:id="4"/>
    <w:p w:rsidR="00A31DA2" w:rsidRDefault="007233ED">
      <w:pPr>
        <w:pStyle w:val="a7"/>
        <w:numPr>
          <w:ilvl w:val="255"/>
          <w:numId w:val="0"/>
        </w:numPr>
        <w:spacing w:line="560" w:lineRule="exact"/>
        <w:ind w:firstLineChars="200" w:firstLine="640"/>
        <w:rPr>
          <w:rFonts w:ascii="仿宋_GB2312" w:hAnsi="仿宋_GB2312" w:cs="仿宋_GB2312"/>
          <w:szCs w:val="32"/>
        </w:rPr>
      </w:pPr>
      <w:r>
        <w:rPr>
          <w:rFonts w:ascii="仿宋_GB2312" w:hAnsi="仿宋_GB2312" w:cs="仿宋_GB2312" w:hint="eastAsia"/>
          <w:szCs w:val="32"/>
        </w:rPr>
        <w:t>（</w:t>
      </w:r>
      <w:r w:rsidR="00317053">
        <w:rPr>
          <w:rFonts w:ascii="仿宋_GB2312" w:hAnsi="仿宋_GB2312" w:cs="仿宋_GB2312"/>
          <w:szCs w:val="32"/>
        </w:rPr>
        <w:t>5</w:t>
      </w:r>
      <w:r>
        <w:rPr>
          <w:rFonts w:ascii="仿宋_GB2312" w:hAnsi="仿宋_GB2312" w:cs="仿宋_GB2312" w:hint="eastAsia"/>
          <w:szCs w:val="32"/>
        </w:rPr>
        <w:t>）</w:t>
      </w:r>
      <w:r w:rsidR="00D178E6">
        <w:rPr>
          <w:rFonts w:ascii="仿宋_GB2312" w:hAnsi="仿宋_GB2312" w:cs="仿宋_GB2312" w:hint="eastAsia"/>
          <w:szCs w:val="32"/>
        </w:rPr>
        <w:t>《“十四五”时期检务保障工作发展规划》</w:t>
      </w:r>
    </w:p>
    <w:p w:rsidR="00D178E6" w:rsidRDefault="00D178E6">
      <w:pPr>
        <w:pStyle w:val="a7"/>
        <w:numPr>
          <w:ilvl w:val="255"/>
          <w:numId w:val="0"/>
        </w:numPr>
        <w:spacing w:line="560" w:lineRule="exact"/>
        <w:ind w:firstLineChars="200" w:firstLine="640"/>
        <w:rPr>
          <w:rFonts w:ascii="仿宋_GB2312" w:hAnsi="仿宋_GB2312" w:cs="仿宋_GB2312"/>
          <w:szCs w:val="32"/>
        </w:rPr>
      </w:pPr>
      <w:r>
        <w:rPr>
          <w:rFonts w:ascii="仿宋_GB2312" w:hAnsi="仿宋_GB2312" w:cs="仿宋_GB2312" w:hint="eastAsia"/>
          <w:szCs w:val="32"/>
        </w:rPr>
        <w:t>（</w:t>
      </w:r>
      <w:r w:rsidR="00317053">
        <w:rPr>
          <w:rFonts w:ascii="仿宋_GB2312" w:hAnsi="仿宋_GB2312" w:cs="仿宋_GB2312"/>
          <w:szCs w:val="32"/>
        </w:rPr>
        <w:t>6</w:t>
      </w:r>
      <w:r>
        <w:rPr>
          <w:rFonts w:ascii="仿宋_GB2312" w:hAnsi="仿宋_GB2312" w:cs="仿宋_GB2312" w:hint="eastAsia"/>
          <w:szCs w:val="32"/>
        </w:rPr>
        <w:t>）《</w:t>
      </w:r>
      <w:bookmarkStart w:id="5" w:name="OLE_LINK7"/>
      <w:r>
        <w:rPr>
          <w:rFonts w:ascii="仿宋_GB2312" w:hAnsi="仿宋_GB2312" w:cs="仿宋_GB2312" w:hint="eastAsia"/>
          <w:szCs w:val="32"/>
        </w:rPr>
        <w:t>人民</w:t>
      </w:r>
      <w:r>
        <w:rPr>
          <w:rFonts w:ascii="仿宋_GB2312" w:hAnsi="仿宋_GB2312" w:cs="仿宋_GB2312"/>
          <w:szCs w:val="32"/>
        </w:rPr>
        <w:t>检察院办理网络犯罪案件规定</w:t>
      </w:r>
      <w:r>
        <w:rPr>
          <w:rFonts w:ascii="仿宋_GB2312" w:hAnsi="仿宋_GB2312" w:cs="仿宋_GB2312" w:hint="eastAsia"/>
          <w:szCs w:val="32"/>
        </w:rPr>
        <w:t>》</w:t>
      </w:r>
      <w:bookmarkEnd w:id="5"/>
    </w:p>
    <w:p w:rsidR="00317053" w:rsidRDefault="00317053">
      <w:pPr>
        <w:pStyle w:val="a7"/>
        <w:numPr>
          <w:ilvl w:val="255"/>
          <w:numId w:val="0"/>
        </w:numPr>
        <w:spacing w:line="560" w:lineRule="exact"/>
        <w:ind w:firstLineChars="200" w:firstLine="640"/>
        <w:rPr>
          <w:rFonts w:ascii="仿宋_GB2312" w:hAnsi="仿宋_GB2312" w:cs="仿宋_GB2312"/>
          <w:szCs w:val="32"/>
        </w:rPr>
      </w:pPr>
      <w:bookmarkStart w:id="6" w:name="OLE_LINK5"/>
      <w:bookmarkStart w:id="7" w:name="OLE_LINK6"/>
      <w:r>
        <w:rPr>
          <w:rFonts w:ascii="仿宋_GB2312" w:hAnsi="仿宋_GB2312" w:cs="仿宋_GB2312" w:hint="eastAsia"/>
          <w:szCs w:val="32"/>
        </w:rPr>
        <w:t>（</w:t>
      </w:r>
      <w:r>
        <w:rPr>
          <w:rFonts w:ascii="仿宋_GB2312" w:hAnsi="仿宋_GB2312" w:cs="仿宋_GB2312"/>
          <w:szCs w:val="32"/>
        </w:rPr>
        <w:t>7</w:t>
      </w:r>
      <w:r>
        <w:rPr>
          <w:rFonts w:ascii="仿宋_GB2312" w:hAnsi="仿宋_GB2312" w:cs="仿宋_GB2312" w:hint="eastAsia"/>
          <w:szCs w:val="32"/>
        </w:rPr>
        <w:t>）</w:t>
      </w:r>
      <w:bookmarkEnd w:id="6"/>
      <w:bookmarkEnd w:id="7"/>
      <w:r>
        <w:rPr>
          <w:rFonts w:ascii="仿宋_GB2312" w:hAnsi="仿宋_GB2312" w:cs="仿宋_GB2312" w:hint="eastAsia"/>
          <w:szCs w:val="32"/>
        </w:rPr>
        <w:t>《北京市</w:t>
      </w:r>
      <w:r>
        <w:rPr>
          <w:rFonts w:ascii="仿宋_GB2312" w:hAnsi="仿宋_GB2312" w:cs="仿宋_GB2312"/>
          <w:szCs w:val="32"/>
        </w:rPr>
        <w:t>人民检察院关于</w:t>
      </w:r>
      <w:r>
        <w:rPr>
          <w:rFonts w:ascii="仿宋_GB2312" w:hAnsi="仿宋_GB2312" w:cs="仿宋_GB2312" w:hint="eastAsia"/>
          <w:szCs w:val="32"/>
        </w:rPr>
        <w:t>2024年</w:t>
      </w:r>
      <w:r>
        <w:rPr>
          <w:rFonts w:ascii="仿宋_GB2312" w:hAnsi="仿宋_GB2312" w:cs="仿宋_GB2312"/>
          <w:szCs w:val="32"/>
        </w:rPr>
        <w:t>全市检察长会议部署重点任务分工方案</w:t>
      </w:r>
      <w:r>
        <w:rPr>
          <w:rFonts w:ascii="仿宋_GB2312" w:hAnsi="仿宋_GB2312" w:cs="仿宋_GB2312" w:hint="eastAsia"/>
          <w:szCs w:val="32"/>
        </w:rPr>
        <w:t>》</w:t>
      </w:r>
    </w:p>
    <w:p w:rsidR="00A31DA2" w:rsidRDefault="007233ED">
      <w:pPr>
        <w:pStyle w:val="a7"/>
        <w:numPr>
          <w:ilvl w:val="255"/>
          <w:numId w:val="0"/>
        </w:numPr>
        <w:spacing w:line="560" w:lineRule="exact"/>
        <w:ind w:firstLineChars="200" w:firstLine="640"/>
        <w:rPr>
          <w:rFonts w:ascii="仿宋_GB2312" w:hAnsi="仿宋_GB2312" w:cs="仿宋_GB2312"/>
          <w:szCs w:val="32"/>
        </w:rPr>
      </w:pPr>
      <w:r>
        <w:rPr>
          <w:rFonts w:ascii="仿宋_GB2312" w:hAnsi="仿宋_GB2312" w:cs="仿宋_GB2312" w:hint="eastAsia"/>
          <w:szCs w:val="32"/>
        </w:rPr>
        <w:t>（</w:t>
      </w:r>
      <w:r w:rsidR="00E37A29">
        <w:rPr>
          <w:rFonts w:ascii="仿宋_GB2312" w:hAnsi="仿宋_GB2312" w:cs="仿宋_GB2312"/>
          <w:szCs w:val="32"/>
        </w:rPr>
        <w:t>8</w:t>
      </w:r>
      <w:r>
        <w:rPr>
          <w:rFonts w:ascii="仿宋_GB2312" w:hAnsi="仿宋_GB2312" w:cs="仿宋_GB2312" w:hint="eastAsia"/>
          <w:szCs w:val="32"/>
        </w:rPr>
        <w:t>）国家相关法律法规和规章制度</w:t>
      </w:r>
    </w:p>
    <w:p w:rsidR="00A31DA2" w:rsidRDefault="007233ED">
      <w:pPr>
        <w:pStyle w:val="a7"/>
        <w:numPr>
          <w:ilvl w:val="255"/>
          <w:numId w:val="0"/>
        </w:numPr>
        <w:spacing w:line="560" w:lineRule="exact"/>
        <w:ind w:firstLineChars="200" w:firstLine="640"/>
        <w:rPr>
          <w:rFonts w:ascii="仿宋_GB2312" w:hAnsi="仿宋_GB2312" w:cs="仿宋_GB2312"/>
          <w:szCs w:val="32"/>
        </w:rPr>
      </w:pPr>
      <w:r>
        <w:rPr>
          <w:rFonts w:ascii="仿宋_GB2312" w:hAnsi="仿宋_GB2312" w:cs="仿宋_GB2312" w:hint="eastAsia"/>
          <w:szCs w:val="32"/>
        </w:rPr>
        <w:t>（</w:t>
      </w:r>
      <w:r w:rsidR="00E37A29">
        <w:rPr>
          <w:rFonts w:ascii="仿宋_GB2312" w:hAnsi="仿宋_GB2312" w:cs="仿宋_GB2312"/>
          <w:szCs w:val="32"/>
        </w:rPr>
        <w:t>9</w:t>
      </w:r>
      <w:r>
        <w:rPr>
          <w:rFonts w:ascii="仿宋_GB2312" w:hAnsi="仿宋_GB2312" w:cs="仿宋_GB2312" w:hint="eastAsia"/>
          <w:szCs w:val="32"/>
        </w:rPr>
        <w:t>）北京市相关法规、规章制度等</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2.目标设置情况</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市检察院根据单位职责，结合“十四五”规划和年度任务计划设置了部门整体绩效目标，整体绩效目标设置较为全面，具体情况如下：</w:t>
      </w:r>
    </w:p>
    <w:p w:rsidR="00A31DA2" w:rsidRDefault="007233ED">
      <w:pPr>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整体绩效目标：</w:t>
      </w:r>
    </w:p>
    <w:p w:rsidR="00000663" w:rsidRPr="00000663" w:rsidRDefault="00000663">
      <w:pPr>
        <w:snapToGrid w:val="0"/>
        <w:spacing w:line="560" w:lineRule="exact"/>
        <w:ind w:firstLineChars="200" w:firstLine="640"/>
        <w:rPr>
          <w:rFonts w:ascii="仿宋_GB2312" w:eastAsia="仿宋_GB2312" w:hAnsi="仿宋_GB2312" w:cs="仿宋_GB2312"/>
          <w:sz w:val="32"/>
          <w:szCs w:val="32"/>
        </w:rPr>
      </w:pPr>
      <w:r w:rsidRPr="00000663">
        <w:rPr>
          <w:rFonts w:ascii="仿宋_GB2312" w:eastAsia="仿宋_GB2312" w:hAnsi="仿宋_GB2312" w:cs="仿宋_GB2312" w:hint="eastAsia"/>
          <w:sz w:val="32"/>
          <w:szCs w:val="32"/>
        </w:rPr>
        <w:t>坚持以习近平新时代中国特色社会主义思想为指导，全面贯彻党的二十大和二十届二中全会精神，深刻领悟</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两个确立</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的决定性意义、增强</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四个意识</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、坚定</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四个自信</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、做到</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两个维护</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，坚持以党的政治建设统领检察工作，立足法律监督定位，聚焦主责主业履职，突出</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高质效办好每一个案件</w:t>
      </w:r>
      <w:r>
        <w:rPr>
          <w:rFonts w:ascii="仿宋_GB2312" w:eastAsia="仿宋_GB2312" w:hAnsi="仿宋_GB2312" w:cs="仿宋_GB2312" w:hint="eastAsia"/>
          <w:sz w:val="32"/>
          <w:szCs w:val="32"/>
        </w:rPr>
        <w:t>”</w:t>
      </w:r>
      <w:r w:rsidRPr="00000663">
        <w:rPr>
          <w:rFonts w:ascii="仿宋_GB2312" w:eastAsia="仿宋_GB2312" w:hAnsi="仿宋_GB2312" w:cs="仿宋_GB2312" w:hint="eastAsia"/>
          <w:sz w:val="32"/>
          <w:szCs w:val="32"/>
        </w:rPr>
        <w:t>，更加有力为大局服务、为人民司法、为法治担当，北京率先基本实现社会主义现代化提供检察保障。</w:t>
      </w:r>
    </w:p>
    <w:p w:rsidR="00A31DA2" w:rsidRDefault="007233ED">
      <w:pPr>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绩效指标：</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（1）不断强化检察工作的政治引领和政治保障。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（2）找准把握检察履职担当的切入点和着力点，不断增强</w:t>
      </w:r>
      <w:r>
        <w:rPr>
          <w:rFonts w:ascii="仿宋_GB2312" w:eastAsia="仿宋_GB2312" w:hAnsi="仿宋_GB2312" w:cs="仿宋_GB2312" w:hint="eastAsia"/>
          <w:sz w:val="32"/>
          <w:szCs w:val="32"/>
        </w:rPr>
        <w:lastRenderedPageBreak/>
        <w:t>检察供给体系与新时代首都发展需求的适配性，为北京率先基本实现社会主义现代化提供更加优质的检察服务保障。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（3）做好检察办案“数量、质量、效率、效果与公平正义价值取向有机统一”。</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（4）抓好深化检察办案供给侧结构性改革、实施数字检察战略、推动检察履职向引导和疏导端溯源治理发力等具有标志性、基础性和重大牵引力的重点工作。</w:t>
      </w:r>
    </w:p>
    <w:p w:rsidR="00A31DA2" w:rsidRDefault="007233ED">
      <w:pPr>
        <w:spacing w:line="56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2024年全年预算数31,497.05万元，其中，基本支出预算数25,182.59万元，项目支出预算数6,314.46万元。资金总体支出30,046.56万元，其中，基本支出24,191.86万元，项目支出</w:t>
      </w:r>
      <w:r>
        <w:rPr>
          <w:rFonts w:ascii="仿宋_GB2312" w:eastAsia="仿宋_GB2312" w:hAnsi="仿宋_GB2312" w:cs="仿宋_GB2312"/>
          <w:sz w:val="32"/>
          <w:szCs w:val="32"/>
        </w:rPr>
        <w:t>5,854.70</w:t>
      </w:r>
      <w:r>
        <w:rPr>
          <w:rFonts w:ascii="仿宋_GB2312" w:eastAsia="仿宋_GB2312" w:hAnsi="仿宋_GB2312" w:cs="仿宋_GB2312" w:hint="eastAsia"/>
          <w:sz w:val="32"/>
          <w:szCs w:val="32"/>
        </w:rPr>
        <w:t>万元。预算执行率为</w:t>
      </w:r>
      <w:r>
        <w:rPr>
          <w:rFonts w:ascii="仿宋_GB2312" w:eastAsia="仿宋_GB2312" w:hAnsi="仿宋_GB2312" w:cs="仿宋_GB2312"/>
          <w:sz w:val="32"/>
          <w:szCs w:val="32"/>
        </w:rPr>
        <w:t>95.39%</w:t>
      </w:r>
      <w:r>
        <w:rPr>
          <w:rFonts w:ascii="仿宋_GB2312" w:eastAsia="仿宋_GB2312" w:hAnsi="仿宋_GB2312" w:cs="仿宋_GB2312" w:hint="eastAsia"/>
          <w:sz w:val="32"/>
          <w:szCs w:val="32"/>
        </w:rPr>
        <w:t>。</w:t>
      </w:r>
    </w:p>
    <w:p w:rsidR="00A31DA2" w:rsidRDefault="007233ED">
      <w:pPr>
        <w:spacing w:line="56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（一）产出完成情况分析</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1.产出数量</w:t>
      </w:r>
    </w:p>
    <w:p w:rsidR="00A31DA2" w:rsidRDefault="007233ED">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shd w:val="clear" w:color="auto" w:fill="FFFFFF"/>
        </w:rPr>
        <w:t>全年受理</w:t>
      </w:r>
      <w:r>
        <w:rPr>
          <w:rFonts w:ascii="仿宋_GB2312" w:eastAsia="仿宋_GB2312" w:hAnsi="仿宋_GB2312" w:cs="仿宋_GB2312" w:hint="eastAsia"/>
          <w:sz w:val="32"/>
          <w:szCs w:val="32"/>
        </w:rPr>
        <w:t>刑事、民事、行政、公益诉讼</w:t>
      </w:r>
      <w:r>
        <w:rPr>
          <w:rFonts w:ascii="仿宋_GB2312" w:eastAsia="仿宋_GB2312" w:hAnsi="仿宋_GB2312" w:cs="仿宋_GB2312" w:hint="eastAsia"/>
          <w:sz w:val="32"/>
          <w:szCs w:val="32"/>
          <w:shd w:val="clear" w:color="auto" w:fill="FFFFFF"/>
        </w:rPr>
        <w:t>“四大检察”案件133420件，办结124804件，同比下降6.7%、8.3%，</w:t>
      </w:r>
      <w:r>
        <w:rPr>
          <w:rFonts w:ascii="仿宋_GB2312" w:eastAsia="仿宋_GB2312" w:hAnsi="仿宋_GB2312" w:cs="仿宋_GB2312" w:hint="eastAsia"/>
          <w:sz w:val="32"/>
          <w:szCs w:val="32"/>
        </w:rPr>
        <w:t>办结率达到95.54%。受理</w:t>
      </w:r>
      <w:r>
        <w:rPr>
          <w:rFonts w:ascii="仿宋_GB2312" w:eastAsia="仿宋_GB2312" w:hAnsi="仿宋_GB2312" w:cs="仿宋_GB2312" w:hint="eastAsia"/>
          <w:sz w:val="32"/>
          <w:szCs w:val="32"/>
          <w:shd w:val="clear" w:color="auto" w:fill="FFFFFF"/>
        </w:rPr>
        <w:t>刑事、民事、行政、公益诉讼检察案件分别为80628件、27798件、20410件、4584件。</w:t>
      </w:r>
    </w:p>
    <w:p w:rsidR="00A31DA2" w:rsidRDefault="007233ED">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rPr>
        <w:t>（2）落实市委市政府《关于加强行政执法与刑事司法衔接工作的意见》，监督行政执法机关移送涉嫌犯罪案件100件，反向移送涉刑未罚案件3263件。加强与党委政法委执法司法监督</w:t>
      </w:r>
      <w:r>
        <w:rPr>
          <w:rFonts w:ascii="仿宋_GB2312" w:eastAsia="仿宋_GB2312" w:hAnsi="仿宋_GB2312" w:cs="仿宋_GB2312" w:hint="eastAsia"/>
          <w:sz w:val="32"/>
          <w:szCs w:val="32"/>
        </w:rPr>
        <w:lastRenderedPageBreak/>
        <w:t>衔接，开展大标的额民商事审判案件专项监督，提出监督意见481件，已采纳415件。加强监检衔接，向纪委监委移送履职发现的违纪违法线索112件179人，“一案双查”占检察侦查案件的40.9%。</w:t>
      </w:r>
    </w:p>
    <w:p w:rsidR="00A31DA2" w:rsidRDefault="007233ED">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强化技术性辅助、穿透式审查、实质性监督，推动法律监督向更多解决深层次违法犯罪问题转变。向公安机关移送依职权发现的各类犯罪线索296条，纠正漏捕漏诉1405人。密云院运用资金穿透技术办理一起网络赌博犯罪案件，追诉的犯罪嫌疑人由2人关联到72人。</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2.产出质量</w:t>
      </w:r>
    </w:p>
    <w:p w:rsidR="00A31DA2" w:rsidRDefault="007233ED">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rPr>
        <w:t>（1）坚守“法定职责必须为”的法治原则，立足法律监督定位、聚焦主责主业履职，发挥法律监督在法治体系中的重要作用。办理监督案件83805件、司法案件49615件，监督办案比重由2020年的24.9%上升至2024年的62.8%，依职权监督办案比重由7.4%上升至52%，形成法律监督属性和监督主动性不断增强新常态。</w:t>
      </w:r>
      <w:r>
        <w:rPr>
          <w:rFonts w:ascii="仿宋_GB2312" w:eastAsia="仿宋_GB2312" w:hAnsi="仿宋_GB2312" w:cs="仿宋_GB2312" w:hint="eastAsia"/>
          <w:sz w:val="32"/>
          <w:szCs w:val="32"/>
          <w:shd w:val="clear" w:color="auto" w:fill="FFFFFF"/>
        </w:rPr>
        <w:t>民事、行政、公益诉讼检察业务比重由2020年的9.1%上升至2024年的39.6%，形成“四大检察”法律监督实践新格局。</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（2）研制推进检察“数智枫桥”信访法治化等工作指引68件，编发业务指导的参考性案例11批47个，27个案例入选最高检典型案例。</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（3）立足检察事业欣逢最好发展时期、检察履职正处在大</w:t>
      </w:r>
      <w:r>
        <w:rPr>
          <w:rFonts w:ascii="仿宋_GB2312" w:eastAsia="仿宋_GB2312" w:hAnsi="仿宋_GB2312" w:cs="仿宋_GB2312" w:hint="eastAsia"/>
          <w:sz w:val="32"/>
          <w:szCs w:val="32"/>
        </w:rPr>
        <w:lastRenderedPageBreak/>
        <w:t>有可为的新时代，一体推进从严管理监督和鼓励担当作为，加强“北京榜样·检察英才”等品牌建设，25个集体和42名个人获市级以上表彰奖励；通州院“党建引领护航副中心高质量发展”获评全国检察机关党建与业务深度融合典型事例。北京在全国检察机关推广和应用的大数据法律监督模型数量位列各省区市第一，海淀院取得“双榜首”佳绩。</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3.产出进度</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市检察院工作贯穿全年，按照年初预算批复及年中追加、核减调整预算，2024年末完成了各项检察工作。</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4.产出成本</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2024年，市检察院预算安排严格落</w:t>
      </w:r>
      <w:r w:rsidR="00A70DF9">
        <w:rPr>
          <w:rFonts w:ascii="仿宋_GB2312" w:eastAsia="仿宋_GB2312" w:hAnsi="仿宋_GB2312" w:cs="仿宋_GB2312" w:hint="eastAsia"/>
          <w:sz w:val="32"/>
          <w:szCs w:val="32"/>
        </w:rPr>
        <w:t>实“过紧日子”要求，厉行勤俭节约压缩行政支出，着力保基本保运转。</w:t>
      </w:r>
      <w:r>
        <w:rPr>
          <w:rFonts w:ascii="仿宋_GB2312" w:eastAsia="仿宋_GB2312" w:hAnsi="仿宋_GB2312" w:cs="仿宋_GB2312" w:hint="eastAsia"/>
          <w:sz w:val="32"/>
          <w:szCs w:val="32"/>
        </w:rPr>
        <w:t>一方面，加强源头管控，严控一般性支出，尤其“三公”经费及会议、培训支出持续得到有效地控制。另一方面，在预算资金总规模收紧情况下，加强资源合理统筹和精细分配，优化支出结构，注重精细化管理，将有限的资源花在刀刃上，真正做到提质增效，提升预算执行效能。</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2024年，基本支出24,191.86万元，项目支出5,854.70万元，部门整体支出30,046.56万元，有效控制在预算批复内。</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1.社会效益</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2024年，市检察院坚持以习近平新时代中国特色社会主义</w:t>
      </w:r>
      <w:r>
        <w:rPr>
          <w:rFonts w:ascii="仿宋_GB2312" w:eastAsia="仿宋_GB2312" w:hAnsi="仿宋_GB2312" w:cs="仿宋_GB2312" w:hint="eastAsia"/>
          <w:sz w:val="32"/>
          <w:szCs w:val="32"/>
        </w:rPr>
        <w:lastRenderedPageBreak/>
        <w:t>思想为指导，全面贯彻党的二十大和二十届二中、三中全会精神，深入学习贯彻习近平法治思想，坚定拥护“两个确立”、坚决做到“两个维护”，坚持党的领导、人民当家作主、依法治国有机统一，在为大局服务、为人民司法、为法治担当中守正创新，以推进检察工作现代化服务首都现代化建设。</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着力塑造法律监督新业态。坚守“法定职责必须为”的法治原则，立足法律监督定位、聚焦主责主业履职，发挥法律监督在法治体系中的重要作用。着力塑造检察履职新形态。立足各类案件法律关系日趋复杂、矛盾问题关联性不断增强实际，内向强化“四大检察”一体履职综合履职，外向带动职能部门联动履职协同履职。着力塑造检察业务新质态。强化“高质效办好每一个案件”的价值追求，注重以新质生产力理论指导检察实践、以创新性配置检察发展的管理、制度、数据要素推动检察业务质量变革。</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2.可持续性影响</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落实“全面推进国家各方面工作法治化”要求，推动检察机关法律监督事业发展向新而行、以质图强。坚守“法定职责必须为”的法治原则，立足法律监督定位、聚焦主责主业履职，发挥法律监督在法治体系中的重要作用。注重以新质生产力理论指导检察实践、以创新性配置检察发展的管理、制度、数据要素推动检察业务质量变革，以实施数字赋能检察战略为支撑，推动法律监督由零散、人力监督向系统、智能监督转变，推进检察业务数据模型应用场景的体系化建设，推动法律监督向有形覆盖和有效</w:t>
      </w:r>
      <w:r>
        <w:rPr>
          <w:rFonts w:ascii="仿宋_GB2312" w:eastAsia="仿宋_GB2312" w:hAnsi="仿宋_GB2312" w:cs="仿宋_GB2312" w:hint="eastAsia"/>
          <w:sz w:val="32"/>
          <w:szCs w:val="32"/>
        </w:rPr>
        <w:lastRenderedPageBreak/>
        <w:t>覆盖转变。</w:t>
      </w:r>
    </w:p>
    <w:p w:rsidR="00A31DA2" w:rsidRDefault="007233ED">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3.服务对象满意度</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2025年1月18日上午，在北京市第十六届人民代表大会第三次会议上，与会代表对《关于北京市人民检察院工作报告的决议》等进行表决，北京市人民检察院工作报告以高票通过，体现了人民群众对于北京市检察机关2024年整体工作较高的满意度。</w:t>
      </w:r>
    </w:p>
    <w:p w:rsidR="00A31DA2" w:rsidRDefault="007233ED">
      <w:pPr>
        <w:spacing w:line="56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（一）财务管理</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1.财务管理制度健全性</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加强组织领导，树立责任意识，落实行政事业单位内部控制规范要求，制定了《北京市人民检察院内控手册》，对预算业务、收支业务、政府采购业务等均进行了规定，部门财务管理制度较健全。同时，强化财务审批和内部管理控制流程，增强部门预算执行力度，提高资金使用效益。</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2.资金使用合规性和安全性</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2024年，市检察院在预算编制阶段，认真落实财政部门预算编制要求，加强项目预算评审，合理测算预算需求，进一步提高预算编制的准确性。</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费支出严格按照各项制度和相关要求执行，资金使用合规，资金管理安全。资金支出按照市财政预算批复执行，严格把关每一笔支出，资金支出过程更加规范。经抽查部分项目会计凭证，市检察院资金支出按照内部管理制度执行，未发现资金支出有超</w:t>
      </w:r>
      <w:r>
        <w:rPr>
          <w:rFonts w:ascii="仿宋_GB2312" w:eastAsia="仿宋_GB2312" w:hAnsi="仿宋_GB2312" w:cs="仿宋_GB2312" w:hint="eastAsia"/>
          <w:sz w:val="32"/>
          <w:szCs w:val="32"/>
        </w:rPr>
        <w:lastRenderedPageBreak/>
        <w:t>范围、超标准的情况，审批手续严格执行相关制度。</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3.会计基础信息完善性</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按照《财政部关于贯彻实施政府会计准则制度的通知》和高检院的相关要求，继续稳步推进各项改革工作任务，在管理意识、业务流程和会计核算规则等方面得到落实，确保政府会计准则制度有效实施。通过梳理固定资产台账、重点项目支出会计凭证及会计账簿、财务报告等基础信息，市检察院会计基础信息和会计信息管理工作较为规范。</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（二）资产管理</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1.资产总体情况</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截至2024年12月31日，资产总额</w:t>
      </w:r>
      <w:r>
        <w:rPr>
          <w:rFonts w:ascii="仿宋_GB2312" w:eastAsia="仿宋_GB2312" w:hAnsi="仿宋_GB2312" w:cs="仿宋_GB2312"/>
          <w:sz w:val="32"/>
          <w:szCs w:val="32"/>
        </w:rPr>
        <w:t>98,121.32</w:t>
      </w:r>
      <w:r>
        <w:rPr>
          <w:rFonts w:ascii="仿宋_GB2312" w:eastAsia="仿宋_GB2312" w:hAnsi="仿宋_GB2312" w:cs="仿宋_GB2312" w:hint="eastAsia"/>
          <w:sz w:val="32"/>
          <w:szCs w:val="32"/>
        </w:rPr>
        <w:t>万元。</w:t>
      </w:r>
    </w:p>
    <w:p w:rsidR="00A31DA2" w:rsidRDefault="007233ED">
      <w:pPr>
        <w:spacing w:line="56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2.资产管理制度及过程管理情况</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按照《北京市人民检察院固定资产管理规定》，对固定资产进行管理，明确了固定资产使用、管理与维护、固定资产的处置、清查盘点、信息管理与报告等内容。资产的购置、配置、领用、转移、调拨和处置等环节，严格按照国家及财政有关国有资产管理要求执行。市检察院固定资产由行政事务管理部实行统一归口管理，统一组织实施采购工作，会同资产需求部门共同完成验收，特殊资产组织有关技术人员参与。资产管理过程中领用、调拨、处置等程序执行规范，经查阅市检察院固定资产台账，固定资产台账中资产名称、入账日期、资产价值、存放部门等资产相关信息记录完整，各项资产账账相符。</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lastRenderedPageBreak/>
        <w:t>（三）绩效管理</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市检察院严格执行北京市财政局关于全面预算绩效管理的要求，按照“预算编制有目标、预算执行有监控、预算完成有评价、评价结果有反馈、反馈结果有应用”的总体目标，深入推进全面预算绩效管理工作。</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将所有预算资金均纳入部门预算绩效管理范围，按照市财政要求对2024年度全部立项批复项目积极开展全过程预算绩效监控，从预算资金执行、过程管理以及绩效目标完成等情况进行分析，进一步加强预算绩效运行监控管理，深入推进预算绩效管理一体化。</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按照北京市财政局《关于2025年预算绩效管理工作的通知》要求，对2024年度部门预算项目实施绩效自评工作，首都检察版“接诉即办”系统升级改造项目采用部门评价方式开展，出具绩效评价报告；其他项目采用单位自评方式进行评价，出具项目支出绩效自评表。总体评价结果来看，各项目能够较好地按照预算编制要求完成，绩效目标设定较为合理，各项绩效目标及指标的完成情况较好，项目执行过程符合相关制度要求，项目执行金额能够控制在全年预算范围内，项目效果基本达到预定目标。</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通过开展绩效监控和绩效评价工作，全面、客观地反映了项目实施的工作成效，对项目决策、项目过程、项目产出、项目效益方面存在的不足提出了合理化建议，使预算管理更加科学、合</w:t>
      </w:r>
      <w:r>
        <w:rPr>
          <w:rFonts w:ascii="仿宋_GB2312" w:eastAsia="仿宋_GB2312" w:hAnsi="仿宋_GB2312" w:cs="仿宋_GB2312" w:hint="eastAsia"/>
          <w:sz w:val="32"/>
          <w:szCs w:val="32"/>
        </w:rPr>
        <w:lastRenderedPageBreak/>
        <w:t>理，强化了项目实施部门预算成本控制、完善了绩效管理工作，规范了资金的使用管理，提升了市检察院预算绩效管理水平。</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（四）结转结余率</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市检察院2024年年末结转结余1,450.48万元，全年预算数31,497.05万元，结转结余率为4.61%，较上年结转结余率10.17%下降5.56%。</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（五）部门预决算差异率</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2024年，年初部门预算31,885.81万元，年度部门决算30,046.56万元，部门预决算差异率为5.77%。</w:t>
      </w:r>
    </w:p>
    <w:p w:rsidR="00A31DA2" w:rsidRDefault="007233ED">
      <w:pPr>
        <w:spacing w:line="560" w:lineRule="exact"/>
        <w:ind w:leftChars="50" w:left="105" w:firstLineChars="150" w:firstLine="480"/>
        <w:outlineLvl w:val="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经评价，市检察院2024年度部门整体支出绩效评价总得分94.08分，评价结果为“优秀”。其中当年预算执行情况得分为19.08分；整体绩效目标实现情况得分为55.00分；预算管理情况得分20.00分。</w:t>
      </w:r>
    </w:p>
    <w:p w:rsidR="00A31DA2" w:rsidRDefault="007233ED">
      <w:pPr>
        <w:spacing w:line="560" w:lineRule="exact"/>
        <w:ind w:leftChars="50" w:left="105" w:firstLineChars="150" w:firstLine="480"/>
        <w:outlineLvl w:val="1"/>
        <w:rPr>
          <w:rFonts w:ascii="楷体_GB2312" w:eastAsia="楷体_GB2312"/>
          <w:sz w:val="32"/>
          <w:szCs w:val="32"/>
        </w:rPr>
      </w:pPr>
      <w:r>
        <w:rPr>
          <w:rFonts w:ascii="楷体_GB2312" w:eastAsia="楷体_GB2312" w:hint="eastAsia"/>
          <w:sz w:val="32"/>
          <w:szCs w:val="32"/>
        </w:rPr>
        <w:t>（二）存在的问题</w:t>
      </w:r>
    </w:p>
    <w:p w:rsidR="00A31DA2" w:rsidRDefault="007233E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分项目绩效证明资料归集缺少系统性，如“积极参与社会治理创新，努力把矛盾风险化解在萌芽状态”；“服务区域大局，维护区域稳定”；“保障工作正常、有序开展，维护我院安全稳定”的相关证明材料不够充分。</w:t>
      </w:r>
    </w:p>
    <w:p w:rsidR="00A31DA2" w:rsidRDefault="007233ED">
      <w:pPr>
        <w:spacing w:line="560" w:lineRule="exact"/>
        <w:ind w:firstLineChars="200" w:firstLine="640"/>
        <w:outlineLvl w:val="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A31DA2" w:rsidRDefault="007233ED">
      <w:pPr>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注重项目效益、效果资料的归集整理，保障绩效产出证明材</w:t>
      </w:r>
      <w:r>
        <w:rPr>
          <w:rFonts w:ascii="仿宋_GB2312" w:eastAsia="仿宋_GB2312" w:hAnsi="仿宋_GB2312" w:cs="仿宋_GB2312" w:hint="eastAsia"/>
          <w:sz w:val="32"/>
          <w:szCs w:val="32"/>
        </w:rPr>
        <w:lastRenderedPageBreak/>
        <w:t>料的充分性和完整性。</w:t>
      </w:r>
      <w:r>
        <w:rPr>
          <w:rFonts w:ascii="仿宋_GB2312" w:eastAsia="仿宋_GB2312" w:hAnsi="仿宋_GB2312" w:cs="仿宋_GB2312" w:hint="eastAsia"/>
          <w:color w:val="000000"/>
          <w:kern w:val="0"/>
          <w:sz w:val="32"/>
          <w:szCs w:val="32"/>
        </w:rPr>
        <w:t>针对实施周期较长的项目，探索建立绩效信息的跟踪机制，加强对绩效成果数据的跟踪及统计分析。</w:t>
      </w:r>
    </w:p>
    <w:p w:rsidR="00A31DA2" w:rsidRDefault="007233ED">
      <w:pPr>
        <w:widowControl/>
        <w:spacing w:line="560" w:lineRule="exact"/>
        <w:ind w:firstLineChars="200" w:firstLine="640"/>
        <w:jc w:val="left"/>
        <w:outlineLvl w:val="0"/>
      </w:pPr>
      <w:r>
        <w:rPr>
          <w:rFonts w:ascii="黑体" w:eastAsia="黑体" w:hAnsi="黑体" w:cs="宋体" w:hint="eastAsia"/>
          <w:color w:val="000000"/>
          <w:kern w:val="0"/>
          <w:sz w:val="32"/>
          <w:szCs w:val="32"/>
        </w:rPr>
        <w:t>七、附件</w:t>
      </w:r>
    </w:p>
    <w:p w:rsidR="00A31DA2" w:rsidRDefault="007233ED">
      <w:pPr>
        <w:spacing w:line="560" w:lineRule="exact"/>
        <w:ind w:firstLineChars="200" w:firstLine="640"/>
        <w:outlineLvl w:val="0"/>
        <w:rPr>
          <w:rFonts w:ascii="仿宋_GB2312" w:eastAsia="仿宋_GB2312" w:hAnsi="宋体"/>
          <w:bCs/>
          <w:kern w:val="0"/>
          <w:sz w:val="32"/>
          <w:szCs w:val="28"/>
        </w:rPr>
      </w:pPr>
      <w:r>
        <w:rPr>
          <w:rFonts w:ascii="仿宋_GB2312" w:eastAsia="仿宋_GB2312" w:hAnsi="宋体" w:hint="eastAsia"/>
          <w:bCs/>
          <w:kern w:val="0"/>
          <w:sz w:val="32"/>
          <w:szCs w:val="28"/>
        </w:rPr>
        <w:t>2024年部门整体绩效评价指标体系评分表</w:t>
      </w:r>
    </w:p>
    <w:p w:rsidR="00A31DA2" w:rsidRDefault="007233ED">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br w:type="page"/>
      </w:r>
    </w:p>
    <w:p w:rsidR="00A31DA2" w:rsidRDefault="00A31DA2">
      <w:pPr>
        <w:ind w:firstLineChars="200" w:firstLine="640"/>
        <w:rPr>
          <w:rFonts w:ascii="仿宋_GB2312" w:eastAsia="仿宋_GB2312" w:hAnsi="宋体" w:cs="宋体"/>
          <w:color w:val="000000"/>
          <w:kern w:val="0"/>
          <w:sz w:val="32"/>
          <w:szCs w:val="32"/>
        </w:rPr>
        <w:sectPr w:rsidR="00A31DA2">
          <w:footerReference w:type="default" r:id="rId9"/>
          <w:pgSz w:w="11906" w:h="16838"/>
          <w:pgMar w:top="2098" w:right="1474" w:bottom="1984" w:left="1587" w:header="851" w:footer="992" w:gutter="0"/>
          <w:pgNumType w:start="1"/>
          <w:cols w:space="425"/>
          <w:docGrid w:type="lines" w:linePitch="312"/>
        </w:sect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313"/>
        <w:gridCol w:w="1450"/>
        <w:gridCol w:w="4975"/>
        <w:gridCol w:w="2817"/>
        <w:gridCol w:w="1231"/>
        <w:gridCol w:w="1251"/>
      </w:tblGrid>
      <w:tr w:rsidR="00A31DA2">
        <w:trPr>
          <w:cantSplit/>
          <w:trHeight w:val="90"/>
        </w:trPr>
        <w:tc>
          <w:tcPr>
            <w:tcW w:w="5000" w:type="pct"/>
            <w:gridSpan w:val="7"/>
            <w:tcBorders>
              <w:top w:val="nil"/>
              <w:left w:val="nil"/>
              <w:right w:val="nil"/>
            </w:tcBorders>
            <w:noWrap/>
            <w:vAlign w:val="bottom"/>
          </w:tcPr>
          <w:p w:rsidR="00A31DA2" w:rsidRDefault="007233ED">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lastRenderedPageBreak/>
              <w:t>2024年部门整体绩效评价指标体系评分表</w:t>
            </w:r>
          </w:p>
        </w:tc>
      </w:tr>
      <w:tr w:rsidR="00A31DA2">
        <w:trPr>
          <w:cantSplit/>
          <w:trHeight w:val="625"/>
        </w:trPr>
        <w:tc>
          <w:tcPr>
            <w:tcW w:w="5000" w:type="pct"/>
            <w:gridSpan w:val="7"/>
            <w:tcBorders>
              <w:tl2br w:val="nil"/>
              <w:tr2bl w:val="nil"/>
            </w:tcBorders>
            <w:vAlign w:val="center"/>
          </w:tcPr>
          <w:p w:rsidR="00A31DA2" w:rsidRDefault="007233ED">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A31DA2">
        <w:trPr>
          <w:cantSplit/>
          <w:trHeight w:val="660"/>
        </w:trPr>
        <w:tc>
          <w:tcPr>
            <w:tcW w:w="362"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r>
      <w:tr w:rsidR="00A31DA2">
        <w:trPr>
          <w:cantSplit/>
          <w:trHeight w:val="739"/>
        </w:trPr>
        <w:tc>
          <w:tcPr>
            <w:tcW w:w="362" w:type="pct"/>
            <w:vMerge w:val="restar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31,497.05</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30,046.56</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95.39%</w:t>
            </w:r>
          </w:p>
        </w:tc>
        <w:tc>
          <w:tcPr>
            <w:tcW w:w="438" w:type="pct"/>
            <w:vMerge w:val="restar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443" w:type="pct"/>
            <w:vMerge w:val="restart"/>
            <w:tcBorders>
              <w:tl2br w:val="nil"/>
              <w:tr2bl w:val="nil"/>
            </w:tcBorders>
            <w:noWrap/>
            <w:vAlign w:val="center"/>
          </w:tcPr>
          <w:p w:rsidR="00A31DA2" w:rsidRDefault="007233ED">
            <w:pPr>
              <w:widowControl/>
              <w:ind w:firstLineChars="100" w:firstLine="200"/>
              <w:rPr>
                <w:rFonts w:ascii="宋体" w:hAnsi="宋体" w:cs="宋体"/>
                <w:color w:val="000000"/>
                <w:kern w:val="0"/>
                <w:sz w:val="20"/>
                <w:szCs w:val="20"/>
              </w:rPr>
            </w:pPr>
            <w:r>
              <w:rPr>
                <w:rFonts w:ascii="宋体" w:hAnsi="宋体" w:cs="宋体" w:hint="eastAsia"/>
                <w:color w:val="000000"/>
                <w:kern w:val="0"/>
                <w:sz w:val="20"/>
                <w:szCs w:val="20"/>
              </w:rPr>
              <w:t>19.08</w:t>
            </w:r>
          </w:p>
        </w:tc>
      </w:tr>
      <w:tr w:rsidR="00A31DA2">
        <w:trPr>
          <w:cantSplit/>
          <w:trHeight w:val="792"/>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25,182.59</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24,191.86</w:t>
            </w:r>
          </w:p>
        </w:tc>
        <w:tc>
          <w:tcPr>
            <w:tcW w:w="1001" w:type="pct"/>
            <w:vMerge w:val="restar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438"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43"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r>
      <w:tr w:rsidR="00A31DA2">
        <w:trPr>
          <w:cantSplit/>
          <w:trHeight w:val="835"/>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6,314.46</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5,854.70</w:t>
            </w:r>
          </w:p>
        </w:tc>
        <w:tc>
          <w:tcPr>
            <w:tcW w:w="1001"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38"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43"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r>
      <w:tr w:rsidR="00A31DA2">
        <w:trPr>
          <w:cantSplit/>
          <w:trHeight w:val="739"/>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516" w:type="pct"/>
            <w:tcBorders>
              <w:tl2br w:val="nil"/>
              <w:tr2bl w:val="nil"/>
            </w:tcBorders>
            <w:vAlign w:val="center"/>
          </w:tcPr>
          <w:p w:rsidR="00A31DA2" w:rsidRDefault="00A31DA2">
            <w:pPr>
              <w:widowControl/>
              <w:jc w:val="center"/>
              <w:rPr>
                <w:rFonts w:ascii="宋体" w:hAnsi="宋体" w:cs="宋体"/>
                <w:color w:val="000000"/>
                <w:kern w:val="0"/>
                <w:sz w:val="20"/>
                <w:szCs w:val="20"/>
              </w:rPr>
            </w:pPr>
          </w:p>
        </w:tc>
        <w:tc>
          <w:tcPr>
            <w:tcW w:w="1770" w:type="pct"/>
            <w:tcBorders>
              <w:tl2br w:val="nil"/>
              <w:tr2bl w:val="nil"/>
            </w:tcBorders>
            <w:vAlign w:val="center"/>
          </w:tcPr>
          <w:p w:rsidR="00A31DA2" w:rsidRDefault="00A31DA2">
            <w:pPr>
              <w:widowControl/>
              <w:jc w:val="center"/>
              <w:rPr>
                <w:rFonts w:ascii="宋体" w:hAnsi="宋体" w:cs="宋体"/>
                <w:color w:val="000000"/>
                <w:kern w:val="0"/>
                <w:sz w:val="20"/>
                <w:szCs w:val="20"/>
              </w:rPr>
            </w:pPr>
          </w:p>
        </w:tc>
        <w:tc>
          <w:tcPr>
            <w:tcW w:w="1001"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38"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43"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r>
      <w:tr w:rsidR="00A31DA2">
        <w:trPr>
          <w:cantSplit/>
          <w:trHeight w:val="479"/>
        </w:trPr>
        <w:tc>
          <w:tcPr>
            <w:tcW w:w="5000" w:type="pct"/>
            <w:gridSpan w:val="7"/>
            <w:tcBorders>
              <w:tl2br w:val="nil"/>
              <w:tr2bl w:val="nil"/>
            </w:tcBorders>
            <w:vAlign w:val="center"/>
          </w:tcPr>
          <w:p w:rsidR="00A31DA2" w:rsidRDefault="007233ED">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A31DA2">
        <w:trPr>
          <w:cantSplit/>
          <w:trHeight w:val="499"/>
        </w:trPr>
        <w:tc>
          <w:tcPr>
            <w:tcW w:w="362"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r>
      <w:tr w:rsidR="00A31DA2">
        <w:trPr>
          <w:cantSplit/>
          <w:trHeight w:val="862"/>
        </w:trPr>
        <w:tc>
          <w:tcPr>
            <w:tcW w:w="362" w:type="pct"/>
            <w:vMerge w:val="restar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467" w:type="pct"/>
            <w:vMerge w:val="restart"/>
            <w:tcBorders>
              <w:tl2br w:val="nil"/>
              <w:tr2bl w:val="nil"/>
            </w:tcBorders>
            <w:vAlign w:val="center"/>
          </w:tcPr>
          <w:p w:rsidR="00A31DA2" w:rsidRDefault="00A31DA2">
            <w:pPr>
              <w:widowControl/>
              <w:jc w:val="center"/>
              <w:rPr>
                <w:rFonts w:ascii="宋体" w:hAnsi="宋体" w:cs="宋体"/>
                <w:color w:val="000000"/>
                <w:kern w:val="0"/>
                <w:sz w:val="20"/>
                <w:szCs w:val="20"/>
              </w:rPr>
            </w:pPr>
          </w:p>
          <w:p w:rsidR="00A31DA2" w:rsidRDefault="007233ED">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516" w:type="pct"/>
            <w:tcBorders>
              <w:tl2br w:val="nil"/>
              <w:tr2bl w:val="nil"/>
            </w:tcBorders>
            <w:vAlign w:val="center"/>
          </w:tcPr>
          <w:p w:rsidR="00A31DA2" w:rsidRDefault="007233ED">
            <w:pPr>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1770" w:type="pct"/>
            <w:tcBorders>
              <w:tl2br w:val="nil"/>
              <w:tr2bl w:val="nil"/>
            </w:tcBorders>
            <w:vAlign w:val="center"/>
          </w:tcPr>
          <w:p w:rsidR="00A31DA2" w:rsidRDefault="007233ED">
            <w:pPr>
              <w:jc w:val="center"/>
              <w:rPr>
                <w:rFonts w:ascii="宋体" w:hAnsi="宋体" w:cs="宋体"/>
                <w:color w:val="000000"/>
                <w:kern w:val="0"/>
                <w:sz w:val="20"/>
                <w:szCs w:val="20"/>
              </w:rPr>
            </w:pPr>
            <w:r>
              <w:rPr>
                <w:rFonts w:ascii="宋体" w:hAnsi="宋体" w:cs="宋体" w:hint="eastAsia"/>
                <w:color w:val="000000"/>
                <w:kern w:val="0"/>
                <w:sz w:val="20"/>
                <w:szCs w:val="20"/>
              </w:rPr>
              <w:t>宣传接待人数等业务指标</w:t>
            </w:r>
          </w:p>
        </w:tc>
        <w:tc>
          <w:tcPr>
            <w:tcW w:w="1001" w:type="pct"/>
            <w:tcBorders>
              <w:tl2br w:val="nil"/>
              <w:tr2bl w:val="nil"/>
            </w:tcBorders>
            <w:vAlign w:val="center"/>
          </w:tcPr>
          <w:p w:rsidR="00A31DA2" w:rsidRDefault="007233ED">
            <w:pPr>
              <w:rPr>
                <w:rFonts w:ascii="宋体" w:hAnsi="宋体" w:cs="宋体"/>
                <w:color w:val="000000"/>
                <w:kern w:val="0"/>
                <w:sz w:val="20"/>
                <w:szCs w:val="20"/>
              </w:rPr>
            </w:pPr>
            <w:r>
              <w:rPr>
                <w:rFonts w:ascii="宋体" w:hAnsi="宋体" w:cs="宋体"/>
                <w:color w:val="000000"/>
                <w:kern w:val="0"/>
                <w:sz w:val="20"/>
                <w:szCs w:val="20"/>
              </w:rPr>
              <w:t>部门产出数量与绩效目标相符</w:t>
            </w:r>
          </w:p>
        </w:tc>
        <w:tc>
          <w:tcPr>
            <w:tcW w:w="438" w:type="pct"/>
            <w:tcBorders>
              <w:tl2br w:val="nil"/>
              <w:tr2bl w:val="nil"/>
            </w:tcBorders>
            <w:vAlign w:val="center"/>
          </w:tcPr>
          <w:p w:rsidR="00A31DA2" w:rsidRDefault="007233ED">
            <w:pPr>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43" w:type="pct"/>
            <w:tcBorders>
              <w:tl2br w:val="nil"/>
              <w:tr2bl w:val="nil"/>
            </w:tcBorders>
            <w:vAlign w:val="center"/>
          </w:tcPr>
          <w:p w:rsidR="00A31DA2" w:rsidRDefault="007233ED">
            <w:pPr>
              <w:adjustRightInd w:val="0"/>
              <w:jc w:val="center"/>
              <w:rPr>
                <w:rFonts w:ascii="宋体" w:hAnsi="宋体" w:cs="宋体"/>
                <w:color w:val="000000"/>
                <w:kern w:val="0"/>
                <w:sz w:val="20"/>
                <w:szCs w:val="20"/>
              </w:rPr>
            </w:pPr>
            <w:r>
              <w:rPr>
                <w:rFonts w:ascii="宋体" w:hAnsi="宋体" w:cs="宋体" w:hint="eastAsia"/>
                <w:color w:val="000000"/>
                <w:kern w:val="0"/>
                <w:sz w:val="20"/>
                <w:szCs w:val="20"/>
              </w:rPr>
              <w:t>10</w:t>
            </w:r>
          </w:p>
        </w:tc>
      </w:tr>
      <w:tr w:rsidR="00A31DA2">
        <w:trPr>
          <w:cantSplit/>
          <w:trHeight w:val="772"/>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办理案件结审率等业务指标</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部门产出质量提升及达到标准</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A31DA2">
        <w:trPr>
          <w:cantSplit/>
          <w:trHeight w:val="944"/>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进度指标</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完成全年项目</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02</w:t>
            </w:r>
            <w:r>
              <w:rPr>
                <w:rFonts w:ascii="宋体" w:hAnsi="宋体" w:cs="宋体" w:hint="eastAsia"/>
                <w:color w:val="000000"/>
                <w:kern w:val="0"/>
                <w:sz w:val="20"/>
                <w:szCs w:val="20"/>
              </w:rPr>
              <w:t>4年全年执行，个别项目执行率过低</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r>
      <w:tr w:rsidR="00A31DA2">
        <w:trPr>
          <w:cantSplit/>
          <w:trHeight w:val="819"/>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成本指标</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部门成本控制在预算批复内</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年度预算执行30,046.56万元</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r>
      <w:tr w:rsidR="00A31DA2">
        <w:trPr>
          <w:cantSplit/>
          <w:trHeight w:val="748"/>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val="restar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提升政治思想，打造品牌建设，完善办案机制</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达到预期目标</w:t>
            </w:r>
          </w:p>
        </w:tc>
        <w:tc>
          <w:tcPr>
            <w:tcW w:w="438"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A31DA2">
        <w:trPr>
          <w:cantSplit/>
          <w:trHeight w:val="1230"/>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可持续影响</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推进检察高质量发展，强化检察发展行稳致远战略支撑</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达到预期目标</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A31DA2">
        <w:trPr>
          <w:cantSplit/>
          <w:trHeight w:val="1684"/>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服务对象满意度9</w:t>
            </w:r>
            <w:r>
              <w:rPr>
                <w:rFonts w:ascii="宋体" w:hAnsi="宋体" w:cs="宋体"/>
                <w:color w:val="000000"/>
                <w:kern w:val="0"/>
                <w:sz w:val="20"/>
                <w:szCs w:val="20"/>
              </w:rPr>
              <w:t>0</w:t>
            </w:r>
            <w:r>
              <w:rPr>
                <w:rFonts w:ascii="宋体" w:hAnsi="宋体" w:cs="宋体" w:hint="eastAsia"/>
                <w:color w:val="000000"/>
                <w:kern w:val="0"/>
                <w:sz w:val="20"/>
                <w:szCs w:val="20"/>
              </w:rPr>
              <w:t>分以上</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人大会议上市检察工作报告高票通过</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A31DA2">
        <w:trPr>
          <w:cantSplit/>
          <w:trHeight w:val="487"/>
        </w:trPr>
        <w:tc>
          <w:tcPr>
            <w:tcW w:w="5000" w:type="pct"/>
            <w:gridSpan w:val="7"/>
            <w:tcBorders>
              <w:tl2br w:val="nil"/>
              <w:tr2bl w:val="nil"/>
            </w:tcBorders>
            <w:vAlign w:val="center"/>
          </w:tcPr>
          <w:p w:rsidR="00A31DA2" w:rsidRDefault="007233ED">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A31DA2">
        <w:trPr>
          <w:cantSplit/>
          <w:trHeight w:val="702"/>
        </w:trPr>
        <w:tc>
          <w:tcPr>
            <w:tcW w:w="362"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438"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r>
      <w:tr w:rsidR="00A31DA2">
        <w:trPr>
          <w:cantSplit/>
          <w:trHeight w:val="851"/>
        </w:trPr>
        <w:tc>
          <w:tcPr>
            <w:tcW w:w="362" w:type="pct"/>
            <w:vMerge w:val="restar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467" w:type="pct"/>
            <w:vMerge w:val="restar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完整</w:t>
            </w:r>
          </w:p>
        </w:tc>
        <w:tc>
          <w:tcPr>
            <w:tcW w:w="438"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r>
      <w:tr w:rsidR="00A31DA2">
        <w:trPr>
          <w:cantSplit/>
          <w:trHeight w:val="782"/>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规范</w:t>
            </w:r>
          </w:p>
        </w:tc>
        <w:tc>
          <w:tcPr>
            <w:tcW w:w="438"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r>
      <w:tr w:rsidR="00A31DA2">
        <w:trPr>
          <w:cantSplit/>
          <w:trHeight w:val="410"/>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会计基础信息真实、完整、准确</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规范</w:t>
            </w:r>
          </w:p>
        </w:tc>
        <w:tc>
          <w:tcPr>
            <w:tcW w:w="438"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443" w:type="pct"/>
            <w:tcBorders>
              <w:tl2br w:val="nil"/>
              <w:tr2bl w:val="nil"/>
            </w:tcBorders>
            <w:noWrap/>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r>
      <w:tr w:rsidR="00A31DA2">
        <w:trPr>
          <w:cantSplit/>
          <w:trHeight w:val="910"/>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资产制度健全管理规范</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规范</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r>
      <w:tr w:rsidR="00A31DA2">
        <w:trPr>
          <w:cantSplit/>
          <w:trHeight w:val="928"/>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516"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1770"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绩效管理规范，未发生目标偏离</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规范</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r>
      <w:tr w:rsidR="00A31DA2">
        <w:trPr>
          <w:cantSplit/>
          <w:trHeight w:val="394"/>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p>
        </w:tc>
        <w:tc>
          <w:tcPr>
            <w:tcW w:w="2286" w:type="pct"/>
            <w:gridSpan w:val="2"/>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2023年</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2024年</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r>
      <w:tr w:rsidR="00A31DA2">
        <w:trPr>
          <w:cantSplit/>
          <w:trHeight w:val="678"/>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2286" w:type="pct"/>
            <w:gridSpan w:val="2"/>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10.17%</w:t>
            </w:r>
          </w:p>
        </w:tc>
        <w:tc>
          <w:tcPr>
            <w:tcW w:w="1001"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4.61%</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r>
      <w:tr w:rsidR="00A31DA2">
        <w:trPr>
          <w:cantSplit/>
          <w:trHeight w:val="90"/>
        </w:trPr>
        <w:tc>
          <w:tcPr>
            <w:tcW w:w="362" w:type="pct"/>
            <w:vMerge/>
            <w:tcBorders>
              <w:tl2br w:val="nil"/>
              <w:tr2bl w:val="nil"/>
            </w:tcBorders>
            <w:vAlign w:val="center"/>
          </w:tcPr>
          <w:p w:rsidR="00A31DA2" w:rsidRDefault="00A31DA2">
            <w:pPr>
              <w:widowControl/>
              <w:jc w:val="left"/>
              <w:rPr>
                <w:rFonts w:ascii="宋体" w:hAnsi="宋体" w:cs="宋体"/>
                <w:color w:val="000000"/>
                <w:kern w:val="0"/>
                <w:sz w:val="20"/>
                <w:szCs w:val="20"/>
              </w:rPr>
            </w:pPr>
          </w:p>
        </w:tc>
        <w:tc>
          <w:tcPr>
            <w:tcW w:w="467" w:type="pct"/>
            <w:tcBorders>
              <w:tl2br w:val="nil"/>
              <w:tr2bl w:val="nil"/>
            </w:tcBorders>
            <w:vAlign w:val="center"/>
          </w:tcPr>
          <w:p w:rsidR="00A31DA2" w:rsidRDefault="007233ED">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2286" w:type="pct"/>
            <w:gridSpan w:val="2"/>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1001" w:type="pct"/>
            <w:tcBorders>
              <w:tl2br w:val="nil"/>
              <w:tr2bl w:val="nil"/>
            </w:tcBorders>
            <w:shd w:val="clear" w:color="auto" w:fill="auto"/>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lang w:bidi="ar"/>
              </w:rPr>
              <w:t>5.77%</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r>
      <w:tr w:rsidR="00A31DA2">
        <w:trPr>
          <w:cantSplit/>
          <w:trHeight w:val="612"/>
        </w:trPr>
        <w:tc>
          <w:tcPr>
            <w:tcW w:w="4117" w:type="pct"/>
            <w:gridSpan w:val="5"/>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438"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43" w:type="pct"/>
            <w:tcBorders>
              <w:tl2br w:val="nil"/>
              <w:tr2bl w:val="nil"/>
            </w:tcBorders>
            <w:vAlign w:val="center"/>
          </w:tcPr>
          <w:p w:rsidR="00A31DA2" w:rsidRDefault="007233ED">
            <w:pPr>
              <w:widowControl/>
              <w:jc w:val="center"/>
              <w:rPr>
                <w:rFonts w:ascii="宋体" w:hAnsi="宋体" w:cs="宋体"/>
                <w:color w:val="000000"/>
                <w:kern w:val="0"/>
                <w:sz w:val="20"/>
                <w:szCs w:val="20"/>
              </w:rPr>
            </w:pPr>
            <w:r>
              <w:rPr>
                <w:rFonts w:ascii="宋体" w:hAnsi="宋体" w:cs="宋体" w:hint="eastAsia"/>
                <w:color w:val="000000"/>
                <w:kern w:val="0"/>
                <w:sz w:val="20"/>
                <w:szCs w:val="20"/>
              </w:rPr>
              <w:t>94.08</w:t>
            </w:r>
          </w:p>
        </w:tc>
      </w:tr>
    </w:tbl>
    <w:p w:rsidR="00A31DA2" w:rsidRDefault="00A31DA2">
      <w:pPr>
        <w:rPr>
          <w:rFonts w:ascii="仿宋_GB2312" w:eastAsia="仿宋_GB2312" w:hAnsi="宋体" w:cs="宋体"/>
          <w:color w:val="000000"/>
          <w:kern w:val="0"/>
          <w:sz w:val="32"/>
          <w:szCs w:val="32"/>
        </w:rPr>
      </w:pPr>
    </w:p>
    <w:sectPr w:rsidR="00A31DA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805" w:rsidRDefault="00230805">
      <w:r>
        <w:separator/>
      </w:r>
    </w:p>
  </w:endnote>
  <w:endnote w:type="continuationSeparator" w:id="0">
    <w:p w:rsidR="00230805" w:rsidRDefault="0023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3A201170-4024-4F3D-9DC3-C11D1B2BDB13}"/>
  </w:font>
  <w:font w:name="仿宋_GB2312">
    <w:panose1 w:val="02010609030101010101"/>
    <w:charset w:val="86"/>
    <w:family w:val="modern"/>
    <w:pitch w:val="fixed"/>
    <w:sig w:usb0="00000001" w:usb1="080E0000" w:usb2="00000010" w:usb3="00000000" w:csb0="00040000" w:csb1="00000000"/>
    <w:embedRegular r:id="rId2" w:subsetted="1" w:fontKey="{56200DB6-EF22-4B4B-8112-075ABCCBD4AC}"/>
    <w:embedBold r:id="rId3" w:subsetted="1" w:fontKey="{847A5522-EDF3-456E-8FFF-F0845D49749F}"/>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embedRegular r:id="rId4" w:subsetted="1" w:fontKey="{BD90D82E-7DCF-4E90-B433-1E6828CD784B}"/>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DA2" w:rsidRDefault="007233ED">
    <w:pPr>
      <w:pStyle w:val="aa"/>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31DA2" w:rsidRDefault="007233ED">
                          <w:pPr>
                            <w:pStyle w:val="aa"/>
                          </w:pPr>
                          <w:r>
                            <w:fldChar w:fldCharType="begin"/>
                          </w:r>
                          <w:r>
                            <w:instrText xml:space="preserve"> PAGE  \* MERGEFORMAT </w:instrText>
                          </w:r>
                          <w:r>
                            <w:fldChar w:fldCharType="separate"/>
                          </w:r>
                          <w:r w:rsidR="00F76002">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31DA2" w:rsidRDefault="007233ED">
                    <w:pPr>
                      <w:pStyle w:val="aa"/>
                    </w:pPr>
                    <w:r>
                      <w:fldChar w:fldCharType="begin"/>
                    </w:r>
                    <w:r>
                      <w:instrText xml:space="preserve"> PAGE  \* MERGEFORMAT </w:instrText>
                    </w:r>
                    <w:r>
                      <w:fldChar w:fldCharType="separate"/>
                    </w:r>
                    <w:r w:rsidR="00F76002">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805" w:rsidRDefault="00230805">
      <w:r>
        <w:separator/>
      </w:r>
    </w:p>
  </w:footnote>
  <w:footnote w:type="continuationSeparator" w:id="0">
    <w:p w:rsidR="00230805" w:rsidRDefault="00230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742AD7"/>
    <w:multiLevelType w:val="multilevel"/>
    <w:tmpl w:val="5B742AD7"/>
    <w:lvl w:ilvl="0">
      <w:start w:val="1"/>
      <w:numFmt w:val="chineseCountingThousand"/>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2ZjJiNmRlMGExZTRhZDNmYTFkYmY0ODhhNTVkYzIifQ=="/>
  </w:docVars>
  <w:rsids>
    <w:rsidRoot w:val="258A5D24"/>
    <w:rsid w:val="00000663"/>
    <w:rsid w:val="000012C5"/>
    <w:rsid w:val="000C3DAB"/>
    <w:rsid w:val="000E2CD3"/>
    <w:rsid w:val="000E5158"/>
    <w:rsid w:val="000F068A"/>
    <w:rsid w:val="001233AB"/>
    <w:rsid w:val="0017198B"/>
    <w:rsid w:val="001D00B4"/>
    <w:rsid w:val="001D6362"/>
    <w:rsid w:val="001E4C65"/>
    <w:rsid w:val="002228D0"/>
    <w:rsid w:val="00230805"/>
    <w:rsid w:val="002902A8"/>
    <w:rsid w:val="002A0545"/>
    <w:rsid w:val="002F1B57"/>
    <w:rsid w:val="00306A57"/>
    <w:rsid w:val="00317053"/>
    <w:rsid w:val="0042433D"/>
    <w:rsid w:val="00491ACE"/>
    <w:rsid w:val="00497078"/>
    <w:rsid w:val="004B1D14"/>
    <w:rsid w:val="00616278"/>
    <w:rsid w:val="00637E39"/>
    <w:rsid w:val="00656197"/>
    <w:rsid w:val="006C1F98"/>
    <w:rsid w:val="006D58E6"/>
    <w:rsid w:val="007233ED"/>
    <w:rsid w:val="007B1F69"/>
    <w:rsid w:val="007D3275"/>
    <w:rsid w:val="008225DB"/>
    <w:rsid w:val="0083077D"/>
    <w:rsid w:val="00875AC8"/>
    <w:rsid w:val="00884C50"/>
    <w:rsid w:val="008C0E9A"/>
    <w:rsid w:val="008F3D35"/>
    <w:rsid w:val="00911870"/>
    <w:rsid w:val="00920827"/>
    <w:rsid w:val="00937AE8"/>
    <w:rsid w:val="00955171"/>
    <w:rsid w:val="00977991"/>
    <w:rsid w:val="00982C07"/>
    <w:rsid w:val="009C542F"/>
    <w:rsid w:val="009D4DAF"/>
    <w:rsid w:val="00A032DB"/>
    <w:rsid w:val="00A114D1"/>
    <w:rsid w:val="00A31DA2"/>
    <w:rsid w:val="00A326F5"/>
    <w:rsid w:val="00A70DF9"/>
    <w:rsid w:val="00A949CF"/>
    <w:rsid w:val="00AE50DE"/>
    <w:rsid w:val="00B12294"/>
    <w:rsid w:val="00B333BE"/>
    <w:rsid w:val="00B91D14"/>
    <w:rsid w:val="00BA412D"/>
    <w:rsid w:val="00BC5577"/>
    <w:rsid w:val="00BF3D35"/>
    <w:rsid w:val="00C01754"/>
    <w:rsid w:val="00C23066"/>
    <w:rsid w:val="00C6288D"/>
    <w:rsid w:val="00C923E6"/>
    <w:rsid w:val="00CD0BAA"/>
    <w:rsid w:val="00CE07D2"/>
    <w:rsid w:val="00D178E6"/>
    <w:rsid w:val="00D25444"/>
    <w:rsid w:val="00D4215B"/>
    <w:rsid w:val="00D66B38"/>
    <w:rsid w:val="00DA08DE"/>
    <w:rsid w:val="00DC25F0"/>
    <w:rsid w:val="00DD1509"/>
    <w:rsid w:val="00E01A9D"/>
    <w:rsid w:val="00E378EB"/>
    <w:rsid w:val="00E37A29"/>
    <w:rsid w:val="00E96C6C"/>
    <w:rsid w:val="00F15F94"/>
    <w:rsid w:val="00F44172"/>
    <w:rsid w:val="00F67F14"/>
    <w:rsid w:val="00F76002"/>
    <w:rsid w:val="00F85A72"/>
    <w:rsid w:val="00FC7D85"/>
    <w:rsid w:val="02255F65"/>
    <w:rsid w:val="02AC34C4"/>
    <w:rsid w:val="02B50726"/>
    <w:rsid w:val="03BE7AAE"/>
    <w:rsid w:val="04356DA1"/>
    <w:rsid w:val="04D101BA"/>
    <w:rsid w:val="04E377CC"/>
    <w:rsid w:val="056A185E"/>
    <w:rsid w:val="06CA650C"/>
    <w:rsid w:val="0A0F3D42"/>
    <w:rsid w:val="0A9A66A6"/>
    <w:rsid w:val="0B344073"/>
    <w:rsid w:val="0B7A7999"/>
    <w:rsid w:val="0BF8006F"/>
    <w:rsid w:val="0D386AE9"/>
    <w:rsid w:val="0D4A5F0F"/>
    <w:rsid w:val="0E4702A1"/>
    <w:rsid w:val="0E586793"/>
    <w:rsid w:val="0ECA4906"/>
    <w:rsid w:val="0FD332EF"/>
    <w:rsid w:val="103B083A"/>
    <w:rsid w:val="10560F3F"/>
    <w:rsid w:val="107E7068"/>
    <w:rsid w:val="12BC3C29"/>
    <w:rsid w:val="14DD53DE"/>
    <w:rsid w:val="150238E0"/>
    <w:rsid w:val="17822E75"/>
    <w:rsid w:val="184C5FE5"/>
    <w:rsid w:val="1871678F"/>
    <w:rsid w:val="192A2DBD"/>
    <w:rsid w:val="1A58215E"/>
    <w:rsid w:val="1AE166B9"/>
    <w:rsid w:val="1B1B722A"/>
    <w:rsid w:val="1B3C3F60"/>
    <w:rsid w:val="1C1B456E"/>
    <w:rsid w:val="1CCE4466"/>
    <w:rsid w:val="1CE972DC"/>
    <w:rsid w:val="1CF629EE"/>
    <w:rsid w:val="1DA51597"/>
    <w:rsid w:val="1E055A18"/>
    <w:rsid w:val="1F8F5E92"/>
    <w:rsid w:val="1FA458C2"/>
    <w:rsid w:val="21680FA4"/>
    <w:rsid w:val="21A460DD"/>
    <w:rsid w:val="22714A1A"/>
    <w:rsid w:val="23EA7872"/>
    <w:rsid w:val="25115838"/>
    <w:rsid w:val="25293326"/>
    <w:rsid w:val="258A5D24"/>
    <w:rsid w:val="286A584F"/>
    <w:rsid w:val="2A471960"/>
    <w:rsid w:val="2A644B1E"/>
    <w:rsid w:val="2A9817E1"/>
    <w:rsid w:val="2BB92785"/>
    <w:rsid w:val="2BFD4C22"/>
    <w:rsid w:val="2E711937"/>
    <w:rsid w:val="2F845829"/>
    <w:rsid w:val="32AB7E02"/>
    <w:rsid w:val="340230DB"/>
    <w:rsid w:val="35D50EB7"/>
    <w:rsid w:val="36257395"/>
    <w:rsid w:val="36F45D80"/>
    <w:rsid w:val="3796167F"/>
    <w:rsid w:val="388F0AF6"/>
    <w:rsid w:val="3A99047D"/>
    <w:rsid w:val="3ABE3C19"/>
    <w:rsid w:val="3ACB54EA"/>
    <w:rsid w:val="3AD3639A"/>
    <w:rsid w:val="3B3E6DAB"/>
    <w:rsid w:val="3B9D5939"/>
    <w:rsid w:val="3C4C0112"/>
    <w:rsid w:val="3C8173A8"/>
    <w:rsid w:val="3D4661A0"/>
    <w:rsid w:val="3DEF418B"/>
    <w:rsid w:val="3F44357D"/>
    <w:rsid w:val="3F553825"/>
    <w:rsid w:val="40175B14"/>
    <w:rsid w:val="40C804CB"/>
    <w:rsid w:val="40D93256"/>
    <w:rsid w:val="41C47B30"/>
    <w:rsid w:val="445F0F8D"/>
    <w:rsid w:val="44996380"/>
    <w:rsid w:val="45BD3146"/>
    <w:rsid w:val="46AA41BF"/>
    <w:rsid w:val="498224EC"/>
    <w:rsid w:val="4AAC3C0A"/>
    <w:rsid w:val="4C7B0B8A"/>
    <w:rsid w:val="4CE627DD"/>
    <w:rsid w:val="4F8F164D"/>
    <w:rsid w:val="54A1461E"/>
    <w:rsid w:val="54A3767E"/>
    <w:rsid w:val="55232F29"/>
    <w:rsid w:val="55724B38"/>
    <w:rsid w:val="55883B37"/>
    <w:rsid w:val="59A54F46"/>
    <w:rsid w:val="5A096502"/>
    <w:rsid w:val="5B97497E"/>
    <w:rsid w:val="5B9907BF"/>
    <w:rsid w:val="5C304B21"/>
    <w:rsid w:val="5F5358FE"/>
    <w:rsid w:val="6060478C"/>
    <w:rsid w:val="613D2F35"/>
    <w:rsid w:val="626263E7"/>
    <w:rsid w:val="629B49C0"/>
    <w:rsid w:val="63234D97"/>
    <w:rsid w:val="65AD18A5"/>
    <w:rsid w:val="66100C66"/>
    <w:rsid w:val="6747066A"/>
    <w:rsid w:val="68C36416"/>
    <w:rsid w:val="68E87C2B"/>
    <w:rsid w:val="699D27C3"/>
    <w:rsid w:val="6A6458FD"/>
    <w:rsid w:val="6BEF1EFA"/>
    <w:rsid w:val="6C96503D"/>
    <w:rsid w:val="6D676147"/>
    <w:rsid w:val="6E2164C1"/>
    <w:rsid w:val="6F936823"/>
    <w:rsid w:val="71C41A82"/>
    <w:rsid w:val="72A31327"/>
    <w:rsid w:val="72A82F38"/>
    <w:rsid w:val="73137663"/>
    <w:rsid w:val="769542B6"/>
    <w:rsid w:val="76DA2684"/>
    <w:rsid w:val="77414717"/>
    <w:rsid w:val="78557894"/>
    <w:rsid w:val="790A1574"/>
    <w:rsid w:val="797F5A41"/>
    <w:rsid w:val="79E95E87"/>
    <w:rsid w:val="7C525FC5"/>
    <w:rsid w:val="7CD662C0"/>
    <w:rsid w:val="7F364350"/>
    <w:rsid w:val="7F9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2DEC2"/>
  <w15:docId w15:val="{69B8B99D-B103-4439-B250-E9CCC4A8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2"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2">
    <w:name w:val="heading 2"/>
    <w:basedOn w:val="a"/>
    <w:next w:val="a"/>
    <w:autoRedefine/>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autoRedefine/>
    <w:qFormat/>
    <w:pPr>
      <w:keepNext/>
      <w:keepLines/>
      <w:numPr>
        <w:ilvl w:val="3"/>
        <w:numId w:val="1"/>
      </w:numPr>
      <w:spacing w:before="280" w:after="290" w:line="374" w:lineRule="auto"/>
      <w:outlineLvl w:val="3"/>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pPr>
      <w:jc w:val="left"/>
    </w:pPr>
  </w:style>
  <w:style w:type="paragraph" w:styleId="a5">
    <w:name w:val="Body Text"/>
    <w:basedOn w:val="a"/>
    <w:next w:val="a"/>
    <w:autoRedefine/>
    <w:qFormat/>
    <w:pPr>
      <w:spacing w:after="120"/>
    </w:pPr>
  </w:style>
  <w:style w:type="paragraph" w:styleId="a6">
    <w:name w:val="Body Text Indent"/>
    <w:basedOn w:val="a"/>
    <w:next w:val="a"/>
    <w:autoRedefine/>
    <w:qFormat/>
    <w:pPr>
      <w:spacing w:line="540" w:lineRule="exact"/>
      <w:ind w:firstLineChars="200" w:firstLine="640"/>
    </w:pPr>
    <w:rPr>
      <w:rFonts w:ascii="仿宋_GB2312" w:eastAsia="仿宋_GB2312"/>
      <w:sz w:val="32"/>
    </w:rPr>
  </w:style>
  <w:style w:type="paragraph" w:styleId="a7">
    <w:name w:val="Block Text"/>
    <w:basedOn w:val="a"/>
    <w:autoRedefine/>
    <w:qFormat/>
    <w:pPr>
      <w:ind w:firstLineChars="200" w:firstLine="200"/>
    </w:pPr>
    <w:rPr>
      <w:rFonts w:ascii="Calibri" w:eastAsia="仿宋_GB2312" w:hAnsi="Calibri"/>
      <w:sz w:val="32"/>
      <w:szCs w:val="22"/>
    </w:rPr>
  </w:style>
  <w:style w:type="paragraph" w:styleId="a8">
    <w:name w:val="Balloon Text"/>
    <w:basedOn w:val="a"/>
    <w:link w:val="a9"/>
    <w:autoRedefine/>
    <w:qFormat/>
    <w:rPr>
      <w:sz w:val="18"/>
      <w:szCs w:val="18"/>
    </w:rPr>
  </w:style>
  <w:style w:type="paragraph" w:styleId="aa">
    <w:name w:val="footer"/>
    <w:basedOn w:val="a"/>
    <w:qFormat/>
    <w:pPr>
      <w:tabs>
        <w:tab w:val="center" w:pos="4153"/>
        <w:tab w:val="right" w:pos="8306"/>
      </w:tabs>
      <w:snapToGrid w:val="0"/>
      <w:jc w:val="left"/>
    </w:pPr>
    <w:rPr>
      <w:sz w:val="18"/>
    </w:rPr>
  </w:style>
  <w:style w:type="paragraph" w:styleId="ab">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c">
    <w:name w:val="Normal (Web)"/>
    <w:basedOn w:val="a"/>
    <w:autoRedefine/>
    <w:qFormat/>
    <w:pPr>
      <w:spacing w:beforeAutospacing="1" w:afterAutospacing="1"/>
      <w:jc w:val="left"/>
    </w:pPr>
    <w:rPr>
      <w:kern w:val="0"/>
      <w:sz w:val="24"/>
    </w:rPr>
  </w:style>
  <w:style w:type="paragraph" w:styleId="ad">
    <w:name w:val="Title"/>
    <w:basedOn w:val="a"/>
    <w:next w:val="a6"/>
    <w:qFormat/>
    <w:pPr>
      <w:spacing w:before="240" w:after="60"/>
      <w:jc w:val="center"/>
      <w:outlineLvl w:val="0"/>
    </w:pPr>
    <w:rPr>
      <w:rFonts w:ascii="Cambria" w:hAnsi="Cambria"/>
      <w:b/>
      <w:bCs/>
      <w:sz w:val="32"/>
      <w:szCs w:val="32"/>
    </w:rPr>
  </w:style>
  <w:style w:type="paragraph" w:styleId="ae">
    <w:name w:val="annotation subject"/>
    <w:basedOn w:val="a3"/>
    <w:next w:val="a3"/>
    <w:link w:val="af"/>
    <w:autoRedefine/>
    <w:qFormat/>
    <w:rPr>
      <w:b/>
      <w:bCs/>
    </w:rPr>
  </w:style>
  <w:style w:type="paragraph" w:styleId="20">
    <w:name w:val="Body Text First Indent 2"/>
    <w:basedOn w:val="a6"/>
    <w:next w:val="a"/>
    <w:qFormat/>
    <w:pPr>
      <w:spacing w:after="120" w:line="240" w:lineRule="auto"/>
      <w:ind w:leftChars="200" w:left="420" w:firstLine="420"/>
    </w:pPr>
    <w:rPr>
      <w:rFonts w:ascii="Times New Roman" w:eastAsia="宋体"/>
      <w:sz w:val="21"/>
    </w:rPr>
  </w:style>
  <w:style w:type="table" w:styleId="af0">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autoRedefine/>
    <w:qFormat/>
    <w:rPr>
      <w:sz w:val="21"/>
      <w:szCs w:val="21"/>
    </w:rPr>
  </w:style>
  <w:style w:type="character" w:customStyle="1" w:styleId="a9">
    <w:name w:val="批注框文本 字符"/>
    <w:basedOn w:val="a0"/>
    <w:link w:val="a8"/>
    <w:autoRedefine/>
    <w:qFormat/>
    <w:rPr>
      <w:kern w:val="2"/>
      <w:sz w:val="18"/>
      <w:szCs w:val="18"/>
    </w:rPr>
  </w:style>
  <w:style w:type="character" w:customStyle="1" w:styleId="a4">
    <w:name w:val="批注文字 字符"/>
    <w:basedOn w:val="a0"/>
    <w:link w:val="a3"/>
    <w:autoRedefine/>
    <w:qFormat/>
    <w:rPr>
      <w:kern w:val="2"/>
      <w:sz w:val="21"/>
      <w:szCs w:val="24"/>
    </w:rPr>
  </w:style>
  <w:style w:type="character" w:customStyle="1" w:styleId="af">
    <w:name w:val="批注主题 字符"/>
    <w:basedOn w:val="a4"/>
    <w:link w:val="ae"/>
    <w:autoRedefine/>
    <w:qFormat/>
    <w:rPr>
      <w:b/>
      <w:bCs/>
      <w:kern w:val="2"/>
      <w:sz w:val="21"/>
      <w:szCs w:val="24"/>
    </w:rPr>
  </w:style>
  <w:style w:type="paragraph" w:styleId="af2">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EEA6D-230D-4D40-8300-DBE662B6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19</Pages>
  <Words>1236</Words>
  <Characters>7050</Characters>
  <Application>Microsoft Office Word</Application>
  <DocSecurity>0</DocSecurity>
  <Lines>58</Lines>
  <Paragraphs>16</Paragraphs>
  <ScaleCrop>false</ScaleCrop>
  <Company>Microsoft</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工作组</dc:creator>
  <cp:lastModifiedBy>user</cp:lastModifiedBy>
  <cp:revision>39</cp:revision>
  <cp:lastPrinted>2025-08-21T02:47:00Z</cp:lastPrinted>
  <dcterms:created xsi:type="dcterms:W3CDTF">2023-05-17T02:13:00Z</dcterms:created>
  <dcterms:modified xsi:type="dcterms:W3CDTF">2025-08-28T04:53:00Z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A60BA6E1187C4E2988F0A547881CF4EA_13</vt:lpwstr>
  </property>
  <property fmtid="{D5CDD505-2E9C-101B-9397-08002B2CF9AE}" pid="4" name="KSOTemplateDocerSaveRecord">
    <vt:lpwstr>eyJoZGlkIjoiODBiM2IwNmU4ZTdkNjgyODYwY2RlYmJlYmU2YmZjMWMiLCJ1c2VySWQiOiI1NjUwOTYxOTcifQ==</vt:lpwstr>
  </property>
</Properties>
</file>