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3C12" w:rsidRDefault="006A3C12">
      <w:pPr>
        <w:rPr>
          <w:b/>
          <w:bCs/>
          <w:sz w:val="52"/>
          <w:szCs w:val="52"/>
        </w:rPr>
      </w:pPr>
    </w:p>
    <w:p w:rsidR="006A3C12" w:rsidRDefault="00244ACC">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北京市农林科学院</w:t>
      </w:r>
    </w:p>
    <w:p w:rsidR="006A3C12" w:rsidRDefault="00244ACC">
      <w:pPr>
        <w:spacing w:line="560" w:lineRule="exact"/>
        <w:jc w:val="center"/>
        <w:rPr>
          <w:rFonts w:ascii="方正小标宋简体" w:eastAsia="方正小标宋简体"/>
          <w:sz w:val="36"/>
          <w:szCs w:val="36"/>
        </w:rPr>
      </w:pPr>
      <w:bookmarkStart w:id="0" w:name="_Toc22521"/>
      <w:bookmarkStart w:id="1" w:name="_Toc4021"/>
      <w:r>
        <w:rPr>
          <w:rFonts w:ascii="方正小标宋简体" w:eastAsia="方正小标宋简体" w:hint="eastAsia"/>
          <w:sz w:val="36"/>
          <w:szCs w:val="36"/>
        </w:rPr>
        <w:t>部门整体绩效评价报告</w:t>
      </w:r>
      <w:bookmarkEnd w:id="0"/>
      <w:bookmarkEnd w:id="1"/>
    </w:p>
    <w:p w:rsidR="006A3C12" w:rsidRDefault="006A3C12">
      <w:pPr>
        <w:spacing w:line="600" w:lineRule="exact"/>
        <w:rPr>
          <w:rFonts w:ascii="黑体" w:eastAsia="黑体" w:hAnsi="黑体" w:cs="宋体"/>
          <w:color w:val="000000"/>
          <w:kern w:val="0"/>
          <w:sz w:val="32"/>
          <w:szCs w:val="32"/>
        </w:rPr>
      </w:pPr>
    </w:p>
    <w:p w:rsidR="006A3C12" w:rsidRDefault="00244ACC">
      <w:pPr>
        <w:spacing w:line="600" w:lineRule="exact"/>
        <w:outlineLvl w:val="0"/>
        <w:rPr>
          <w:rFonts w:ascii="黑体" w:eastAsia="黑体" w:hAnsi="黑体" w:cs="宋体"/>
          <w:color w:val="000000"/>
          <w:kern w:val="0"/>
          <w:sz w:val="32"/>
          <w:szCs w:val="32"/>
        </w:rPr>
      </w:pPr>
      <w:bookmarkStart w:id="2" w:name="_Toc2768"/>
      <w:bookmarkStart w:id="3" w:name="_Toc5755"/>
      <w:r>
        <w:rPr>
          <w:rFonts w:ascii="黑体" w:eastAsia="黑体" w:hAnsi="黑体" w:cs="宋体" w:hint="eastAsia"/>
          <w:color w:val="000000"/>
          <w:kern w:val="0"/>
          <w:sz w:val="32"/>
          <w:szCs w:val="32"/>
        </w:rPr>
        <w:t>一、部门概况</w:t>
      </w:r>
      <w:bookmarkEnd w:id="2"/>
      <w:bookmarkEnd w:id="3"/>
    </w:p>
    <w:p w:rsidR="006A3C12" w:rsidRDefault="00244ACC">
      <w:pPr>
        <w:spacing w:line="600" w:lineRule="exact"/>
        <w:ind w:firstLineChars="200" w:firstLine="640"/>
        <w:outlineLvl w:val="1"/>
        <w:rPr>
          <w:rFonts w:ascii="楷体_GB2312" w:eastAsia="楷体_GB2312"/>
          <w:sz w:val="32"/>
          <w:szCs w:val="32"/>
        </w:rPr>
      </w:pPr>
      <w:bookmarkStart w:id="4" w:name="_Toc9783"/>
      <w:r>
        <w:rPr>
          <w:rFonts w:ascii="楷体_GB2312" w:eastAsia="楷体_GB2312" w:hint="eastAsia"/>
          <w:sz w:val="32"/>
          <w:szCs w:val="32"/>
        </w:rPr>
        <w:t>（一）机构设置及职责工作任务情况</w:t>
      </w:r>
      <w:bookmarkEnd w:id="4"/>
    </w:p>
    <w:p w:rsidR="006A3C12" w:rsidRDefault="00244ACC">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北京市农林科学院（</w:t>
      </w:r>
      <w:r>
        <w:rPr>
          <w:rFonts w:ascii="仿宋_GB2312" w:eastAsia="仿宋_GB2312" w:hint="eastAsia"/>
          <w:sz w:val="32"/>
          <w:szCs w:val="32"/>
        </w:rPr>
        <w:t>以下</w:t>
      </w:r>
      <w:r>
        <w:rPr>
          <w:rFonts w:ascii="仿宋_GB2312" w:eastAsia="仿宋_GB2312" w:hAnsi="宋体" w:cs="宋体" w:hint="eastAsia"/>
          <w:color w:val="000000"/>
          <w:kern w:val="0"/>
          <w:sz w:val="32"/>
          <w:szCs w:val="32"/>
        </w:rPr>
        <w:t>简称市农科院）是市政府直属公益一类事业单位，机构规格为正局级，下属</w:t>
      </w: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个正处级公益一类事业单位，为北京市农林科学院信息技术研究中心和北京市农林科学院智能装备技术研究中心。市农科院主要职责是：</w:t>
      </w:r>
    </w:p>
    <w:p w:rsidR="006A3C12" w:rsidRDefault="00244ACC">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开展动植物和微生物种质资源的收集保存、鉴定评价、新品种选育、育种理论方法和种养殖技术研究。</w:t>
      </w:r>
    </w:p>
    <w:p w:rsidR="006A3C12" w:rsidRDefault="00244ACC">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开展植物保护和营养调控、动物疫病防控等理论和应用技术研究。</w:t>
      </w:r>
    </w:p>
    <w:p w:rsidR="006A3C12" w:rsidRDefault="00244ACC">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开展农产品质量标准、安全检测、风险评估与控制以及农产品采后保鲜、流通、加工、营养健康等理论和应用技术研究。</w:t>
      </w:r>
    </w:p>
    <w:p w:rsidR="006A3C12" w:rsidRDefault="00244ACC">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4</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开展农林渔业生态与资源环境保护、土壤污染修复与</w:t>
      </w:r>
      <w:r>
        <w:rPr>
          <w:rFonts w:ascii="仿宋_GB2312" w:eastAsia="仿宋_GB2312" w:hAnsi="宋体" w:cs="宋体" w:hint="eastAsia"/>
          <w:color w:val="000000"/>
          <w:kern w:val="0"/>
          <w:sz w:val="32"/>
          <w:szCs w:val="32"/>
        </w:rPr>
        <w:t>耕地质量提升等理论和应用技术研究。</w:t>
      </w:r>
    </w:p>
    <w:p w:rsidR="006A3C12" w:rsidRDefault="00244ACC">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5</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开展农业生物技术、农业信息技术、农业智能装备、农业信息服务等理论和应用技术研究。</w:t>
      </w:r>
    </w:p>
    <w:p w:rsidR="006A3C12" w:rsidRDefault="00244ACC">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6</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开展农业规划、农业经济、农村发展、农业科技情报</w:t>
      </w:r>
      <w:r>
        <w:rPr>
          <w:rFonts w:ascii="仿宋_GB2312" w:eastAsia="仿宋_GB2312" w:hAnsi="宋体" w:cs="宋体" w:hint="eastAsia"/>
          <w:color w:val="000000"/>
          <w:kern w:val="0"/>
          <w:sz w:val="32"/>
          <w:szCs w:val="32"/>
        </w:rPr>
        <w:lastRenderedPageBreak/>
        <w:t>等理论和应用研究，建设北京乡村振兴智库。</w:t>
      </w:r>
    </w:p>
    <w:p w:rsidR="006A3C12" w:rsidRDefault="00244ACC">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7</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开展国际与区域科技交流合作、科技成果转化、示范推广等工作，提供相关技术服务。</w:t>
      </w:r>
    </w:p>
    <w:p w:rsidR="006A3C12" w:rsidRDefault="00244ACC">
      <w:pPr>
        <w:spacing w:line="600" w:lineRule="exact"/>
        <w:ind w:firstLineChars="200" w:firstLine="640"/>
        <w:outlineLvl w:val="1"/>
        <w:rPr>
          <w:rFonts w:ascii="楷体_GB2312" w:eastAsia="楷体_GB2312"/>
          <w:sz w:val="32"/>
          <w:szCs w:val="32"/>
        </w:rPr>
      </w:pPr>
      <w:bookmarkStart w:id="5" w:name="_Toc25385"/>
      <w:r>
        <w:rPr>
          <w:rFonts w:ascii="楷体_GB2312" w:eastAsia="楷体_GB2312" w:hint="eastAsia"/>
          <w:sz w:val="32"/>
          <w:szCs w:val="32"/>
        </w:rPr>
        <w:t>（二）部门整体绩效目标设立情况</w:t>
      </w:r>
      <w:bookmarkEnd w:id="5"/>
    </w:p>
    <w:p w:rsidR="006A3C12" w:rsidRDefault="00244ACC">
      <w:pPr>
        <w:spacing w:line="560" w:lineRule="exact"/>
        <w:ind w:firstLineChars="200" w:firstLine="643"/>
        <w:outlineLvl w:val="2"/>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绩效目标设立依据</w:t>
      </w:r>
    </w:p>
    <w:p w:rsidR="006A3C12" w:rsidRPr="000F3259" w:rsidRDefault="00244ACC" w:rsidP="000F3259">
      <w:pPr>
        <w:spacing w:line="560" w:lineRule="exact"/>
        <w:ind w:firstLineChars="200" w:firstLine="640"/>
        <w:outlineLvl w:val="2"/>
        <w:rPr>
          <w:rFonts w:ascii="仿宋_GB2312" w:eastAsia="仿宋_GB2312" w:hAnsi="仿宋_GB2312" w:cs="仿宋_GB2312"/>
          <w:sz w:val="32"/>
          <w:szCs w:val="32"/>
        </w:rPr>
      </w:pPr>
      <w:r w:rsidRPr="000F3259">
        <w:rPr>
          <w:rFonts w:ascii="仿宋_GB2312" w:eastAsia="仿宋_GB2312" w:hAnsi="仿宋_GB2312" w:cs="仿宋_GB2312" w:hint="eastAsia"/>
          <w:sz w:val="32"/>
          <w:szCs w:val="32"/>
        </w:rPr>
        <w:t>以加强思想建设为引领，提升政治素养和业务能力；从提高工作质量出发，优化工作流程，强化责任落实，注重成果实效；</w:t>
      </w:r>
      <w:r>
        <w:rPr>
          <w:rFonts w:ascii="仿宋_GB2312" w:eastAsia="仿宋_GB2312" w:hAnsi="仿宋_GB2312" w:cs="仿宋_GB2312" w:hint="eastAsia"/>
          <w:sz w:val="32"/>
          <w:szCs w:val="32"/>
        </w:rPr>
        <w:t>强化科研创新意识</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优化科研管理流程，完善考核机制，推动成果转化</w:t>
      </w:r>
      <w:r>
        <w:rPr>
          <w:rFonts w:ascii="仿宋_GB2312" w:eastAsia="仿宋_GB2312" w:hAnsi="仿宋_GB2312" w:cs="仿宋_GB2312" w:hint="eastAsia"/>
          <w:sz w:val="32"/>
          <w:szCs w:val="32"/>
        </w:rPr>
        <w:t>；</w:t>
      </w:r>
      <w:r w:rsidRPr="000F3259">
        <w:rPr>
          <w:rFonts w:ascii="仿宋_GB2312" w:eastAsia="仿宋_GB2312" w:hAnsi="仿宋_GB2312" w:cs="仿宋_GB2312" w:hint="eastAsia"/>
          <w:sz w:val="32"/>
          <w:szCs w:val="32"/>
        </w:rPr>
        <w:t>通过定期总结分析，提炼经验方法，持续改进提升，确保各项工作高效推进、取得实效。</w:t>
      </w:r>
    </w:p>
    <w:p w:rsidR="006A3C12" w:rsidRDefault="00244ACC">
      <w:pPr>
        <w:spacing w:line="560" w:lineRule="exact"/>
        <w:ind w:firstLineChars="200" w:firstLine="643"/>
        <w:outlineLvl w:val="2"/>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w:t>
      </w:r>
      <w:r>
        <w:rPr>
          <w:rFonts w:ascii="仿宋_GB2312" w:eastAsia="仿宋_GB2312" w:hAnsi="仿宋_GB2312" w:cs="仿宋_GB2312" w:hint="eastAsia"/>
          <w:b/>
          <w:bCs/>
          <w:sz w:val="32"/>
          <w:szCs w:val="32"/>
        </w:rPr>
        <w:t>目标</w:t>
      </w:r>
      <w:r>
        <w:rPr>
          <w:rFonts w:ascii="仿宋_GB2312" w:eastAsia="仿宋_GB2312" w:hAnsi="仿宋_GB2312" w:cs="仿宋_GB2312" w:hint="eastAsia"/>
          <w:b/>
          <w:bCs/>
          <w:sz w:val="32"/>
          <w:szCs w:val="32"/>
        </w:rPr>
        <w:t>与职责</w:t>
      </w:r>
      <w:r>
        <w:rPr>
          <w:rFonts w:ascii="仿宋_GB2312" w:eastAsia="仿宋_GB2312" w:hAnsi="仿宋_GB2312" w:cs="仿宋_GB2312" w:hint="eastAsia"/>
          <w:b/>
          <w:bCs/>
          <w:sz w:val="32"/>
          <w:szCs w:val="32"/>
        </w:rPr>
        <w:t>任务匹配情况</w:t>
      </w:r>
    </w:p>
    <w:p w:rsidR="006A3C12" w:rsidRDefault="00244ACC">
      <w:pPr>
        <w:spacing w:line="560" w:lineRule="exact"/>
        <w:ind w:firstLineChars="200" w:firstLine="640"/>
        <w:rPr>
          <w:rFonts w:ascii="仿宋_GB2312" w:eastAsia="仿宋_GB2312" w:hAnsi="仿宋_GB2312" w:cs="仿宋_GB2312"/>
          <w:sz w:val="32"/>
          <w:szCs w:val="32"/>
        </w:rPr>
      </w:pPr>
      <w:r>
        <w:rPr>
          <w:rFonts w:ascii="仿宋_GB2312" w:eastAsia="仿宋_GB2312" w:hAnsi="宋体" w:cs="宋体" w:hint="eastAsia"/>
          <w:color w:val="000000"/>
          <w:kern w:val="0"/>
          <w:sz w:val="32"/>
          <w:szCs w:val="32"/>
        </w:rPr>
        <w:t>市农科院根据部门工作职责、市农科院事业发展规划及</w:t>
      </w:r>
      <w:r>
        <w:rPr>
          <w:rFonts w:ascii="仿宋_GB2312" w:eastAsia="仿宋_GB2312" w:hAnsi="宋体" w:cs="宋体" w:hint="eastAsia"/>
          <w:color w:val="000000"/>
          <w:kern w:val="0"/>
          <w:sz w:val="32"/>
          <w:szCs w:val="32"/>
        </w:rPr>
        <w:t>2024</w:t>
      </w:r>
      <w:r>
        <w:rPr>
          <w:rFonts w:ascii="仿宋_GB2312" w:eastAsia="仿宋_GB2312" w:hAnsi="宋体" w:cs="宋体" w:hint="eastAsia"/>
          <w:color w:val="000000"/>
          <w:kern w:val="0"/>
          <w:sz w:val="32"/>
          <w:szCs w:val="32"/>
        </w:rPr>
        <w:t>年度工作任务要求</w:t>
      </w:r>
      <w:r>
        <w:rPr>
          <w:rFonts w:ascii="仿宋_GB2312" w:eastAsia="仿宋_GB2312" w:hAnsi="仿宋_GB2312" w:cs="仿宋_GB2312" w:hint="eastAsia"/>
          <w:sz w:val="32"/>
          <w:szCs w:val="32"/>
        </w:rPr>
        <w:t>设置了部门整体绩效目标</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并</w:t>
      </w:r>
      <w:r>
        <w:rPr>
          <w:rFonts w:ascii="仿宋_GB2312" w:eastAsia="仿宋_GB2312" w:hAnsi="宋体" w:cs="宋体" w:hint="eastAsia"/>
          <w:color w:val="000000"/>
          <w:kern w:val="0"/>
          <w:sz w:val="32"/>
          <w:szCs w:val="32"/>
        </w:rPr>
        <w:t>将部门整体绩效目标进行了分解</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形成了</w:t>
      </w:r>
      <w:r>
        <w:rPr>
          <w:rFonts w:ascii="仿宋_GB2312" w:eastAsia="仿宋_GB2312" w:hAnsi="宋体" w:cs="宋体" w:hint="eastAsia"/>
          <w:color w:val="000000"/>
          <w:kern w:val="0"/>
          <w:sz w:val="32"/>
          <w:szCs w:val="32"/>
        </w:rPr>
        <w:t>61</w:t>
      </w:r>
      <w:r>
        <w:rPr>
          <w:rFonts w:ascii="仿宋_GB2312" w:eastAsia="仿宋_GB2312" w:hAnsi="宋体" w:cs="宋体" w:hint="eastAsia"/>
          <w:color w:val="000000"/>
          <w:kern w:val="0"/>
          <w:sz w:val="32"/>
          <w:szCs w:val="32"/>
        </w:rPr>
        <w:t>项</w:t>
      </w:r>
      <w:r>
        <w:rPr>
          <w:rFonts w:ascii="仿宋_GB2312" w:eastAsia="仿宋_GB2312" w:hAnsi="宋体" w:cs="宋体" w:hint="eastAsia"/>
          <w:color w:val="000000"/>
          <w:kern w:val="0"/>
          <w:sz w:val="32"/>
          <w:szCs w:val="32"/>
        </w:rPr>
        <w:t>绩效指标</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设置</w:t>
      </w:r>
      <w:r>
        <w:rPr>
          <w:rFonts w:ascii="仿宋_GB2312" w:eastAsia="仿宋_GB2312" w:hAnsi="仿宋_GB2312" w:cs="仿宋_GB2312" w:hint="eastAsia"/>
          <w:sz w:val="32"/>
          <w:szCs w:val="32"/>
        </w:rPr>
        <w:t>与</w:t>
      </w:r>
      <w:r>
        <w:rPr>
          <w:rFonts w:ascii="仿宋_GB2312" w:eastAsia="仿宋_GB2312" w:hAnsi="仿宋_GB2312" w:cs="仿宋_GB2312" w:hint="eastAsia"/>
          <w:sz w:val="32"/>
          <w:szCs w:val="32"/>
        </w:rPr>
        <w:t>“</w:t>
      </w:r>
      <w:r>
        <w:rPr>
          <w:rFonts w:ascii="仿宋_GB2312" w:eastAsia="仿宋_GB2312" w:hAnsi="宋体" w:cs="宋体" w:hint="eastAsia"/>
          <w:color w:val="000000"/>
          <w:kern w:val="0"/>
          <w:sz w:val="32"/>
          <w:szCs w:val="32"/>
        </w:rPr>
        <w:t>开展</w:t>
      </w:r>
      <w:r>
        <w:rPr>
          <w:rFonts w:ascii="仿宋_GB2312" w:eastAsia="仿宋_GB2312" w:hAnsi="宋体" w:cs="宋体" w:hint="eastAsia"/>
          <w:color w:val="000000"/>
          <w:kern w:val="0"/>
          <w:sz w:val="32"/>
          <w:szCs w:val="32"/>
        </w:rPr>
        <w:t>动植物</w:t>
      </w:r>
      <w:r w:rsidRPr="000F3259">
        <w:rPr>
          <w:rFonts w:ascii="仿宋_GB2312" w:eastAsia="仿宋_GB2312" w:hAnsi="仿宋_GB2312" w:cs="仿宋_GB2312" w:hint="eastAsia"/>
          <w:sz w:val="32"/>
          <w:szCs w:val="32"/>
        </w:rPr>
        <w:t>理论和应用技术研究</w:t>
      </w:r>
      <w:r>
        <w:rPr>
          <w:rFonts w:ascii="仿宋_GB2312" w:eastAsia="仿宋_GB2312" w:hAnsi="仿宋_GB2312" w:cs="仿宋_GB2312" w:hint="eastAsia"/>
          <w:sz w:val="32"/>
          <w:szCs w:val="32"/>
        </w:rPr>
        <w:t>”“</w:t>
      </w:r>
      <w:r>
        <w:rPr>
          <w:rFonts w:ascii="仿宋_GB2312" w:eastAsia="仿宋_GB2312" w:hAnsi="宋体" w:cs="宋体" w:hint="eastAsia"/>
          <w:color w:val="000000"/>
          <w:kern w:val="0"/>
          <w:sz w:val="32"/>
          <w:szCs w:val="32"/>
        </w:rPr>
        <w:t>开展国际与区域科技交流合作、科技成果转化、示范推广等工作，提供相关技术服务</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职责</w:t>
      </w:r>
      <w:r>
        <w:rPr>
          <w:rFonts w:ascii="仿宋_GB2312" w:eastAsia="仿宋_GB2312" w:hAnsi="仿宋_GB2312" w:cs="仿宋_GB2312" w:hint="eastAsia"/>
          <w:sz w:val="32"/>
          <w:szCs w:val="32"/>
        </w:rPr>
        <w:t>定位完全契合</w:t>
      </w:r>
      <w:r w:rsidRPr="000F3259">
        <w:rPr>
          <w:rFonts w:ascii="仿宋_GB2312" w:eastAsia="仿宋_GB2312" w:hAnsi="仿宋_GB2312" w:cs="仿宋_GB2312" w:hint="eastAsia"/>
          <w:sz w:val="32"/>
          <w:szCs w:val="32"/>
        </w:rPr>
        <w:t>。</w:t>
      </w:r>
    </w:p>
    <w:p w:rsidR="006A3C12" w:rsidRDefault="00244ACC" w:rsidP="000F3259">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仿宋_GB2312" w:cs="仿宋_GB2312" w:hint="eastAsia"/>
          <w:sz w:val="32"/>
          <w:szCs w:val="32"/>
        </w:rPr>
        <w:t>整体绩效目标</w:t>
      </w:r>
      <w:r>
        <w:rPr>
          <w:rFonts w:ascii="仿宋_GB2312" w:eastAsia="仿宋_GB2312" w:hAnsi="仿宋_GB2312" w:cs="仿宋_GB2312" w:hint="eastAsia"/>
          <w:sz w:val="32"/>
          <w:szCs w:val="32"/>
        </w:rPr>
        <w:t>：</w:t>
      </w:r>
      <w:r>
        <w:rPr>
          <w:rFonts w:ascii="仿宋_GB2312" w:eastAsia="仿宋_GB2312" w:hAnsi="宋体" w:cs="宋体" w:hint="eastAsia"/>
          <w:color w:val="000000"/>
          <w:kern w:val="0"/>
          <w:sz w:val="32"/>
          <w:szCs w:val="32"/>
        </w:rPr>
        <w:t>开展农业科学研究，加强科技成果展示和转化，提高科技创新能力和科技服务能力，为都市型农业、区域农业、绿色农业发展，提供科技支撑，促进农业发展。在农业生物遗传育种、农业绿色发展、农产品贮运加工与营养健康、智慧农业与数字乡村、农业发展与乡村振兴等研究领域获得一批新品种、新技术等成果；在人才培养方面，提升科研人员能力；在科技示范推广与转化方面，加快成果转</w:t>
      </w:r>
      <w:r>
        <w:rPr>
          <w:rFonts w:ascii="仿宋_GB2312" w:eastAsia="仿宋_GB2312" w:hAnsi="宋体" w:cs="宋体" w:hint="eastAsia"/>
          <w:color w:val="000000"/>
          <w:kern w:val="0"/>
          <w:sz w:val="32"/>
          <w:szCs w:val="32"/>
        </w:rPr>
        <w:lastRenderedPageBreak/>
        <w:t>化；在科研平台建设、科研设施设备建设等方面提升科研保障能力</w:t>
      </w:r>
      <w:proofErr w:type="gramStart"/>
      <w:r>
        <w:rPr>
          <w:rFonts w:ascii="仿宋_GB2312" w:eastAsia="仿宋_GB2312" w:hAnsi="宋体" w:cs="宋体" w:hint="eastAsia"/>
          <w:color w:val="000000"/>
          <w:kern w:val="0"/>
          <w:sz w:val="32"/>
          <w:szCs w:val="32"/>
        </w:rPr>
        <w:t>”</w:t>
      </w:r>
      <w:proofErr w:type="gramEnd"/>
      <w:r>
        <w:rPr>
          <w:rFonts w:ascii="仿宋_GB2312" w:eastAsia="仿宋_GB2312" w:hAnsi="宋体" w:cs="宋体" w:hint="eastAsia"/>
          <w:color w:val="000000"/>
          <w:kern w:val="0"/>
          <w:sz w:val="32"/>
          <w:szCs w:val="32"/>
        </w:rPr>
        <w:t>。</w:t>
      </w:r>
    </w:p>
    <w:p w:rsidR="006A3C12" w:rsidRDefault="00244ACC">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具体指标设定情况见表</w:t>
      </w: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w:t>
      </w:r>
    </w:p>
    <w:p w:rsidR="006A3C12" w:rsidRDefault="00244ACC">
      <w:pPr>
        <w:spacing w:line="600" w:lineRule="exact"/>
        <w:jc w:val="center"/>
        <w:rPr>
          <w:rFonts w:ascii="黑体" w:eastAsia="黑体" w:hAnsi="黑体" w:cs="黑体"/>
          <w:color w:val="000000"/>
          <w:kern w:val="0"/>
          <w:sz w:val="28"/>
          <w:szCs w:val="28"/>
        </w:rPr>
      </w:pPr>
      <w:r>
        <w:rPr>
          <w:rFonts w:ascii="黑体" w:eastAsia="黑体" w:hAnsi="黑体" w:cs="黑体" w:hint="eastAsia"/>
          <w:color w:val="000000"/>
          <w:kern w:val="0"/>
          <w:sz w:val="28"/>
          <w:szCs w:val="28"/>
        </w:rPr>
        <w:t>表</w:t>
      </w:r>
      <w:r>
        <w:rPr>
          <w:rFonts w:ascii="黑体" w:eastAsia="黑体" w:hAnsi="黑体" w:cs="黑体" w:hint="eastAsia"/>
          <w:color w:val="000000"/>
          <w:kern w:val="0"/>
          <w:sz w:val="28"/>
          <w:szCs w:val="28"/>
        </w:rPr>
        <w:t xml:space="preserve">1  </w:t>
      </w:r>
      <w:r>
        <w:rPr>
          <w:rFonts w:ascii="黑体" w:eastAsia="黑体" w:hAnsi="黑体" w:cs="黑体" w:hint="eastAsia"/>
          <w:color w:val="000000"/>
          <w:kern w:val="0"/>
          <w:sz w:val="28"/>
          <w:szCs w:val="28"/>
        </w:rPr>
        <w:t>部门整体绩效指标设定情况表</w:t>
      </w:r>
    </w:p>
    <w:tbl>
      <w:tblPr>
        <w:tblW w:w="8496" w:type="dxa"/>
        <w:tblInd w:w="98" w:type="dxa"/>
        <w:tblLook w:val="04A0" w:firstRow="1" w:lastRow="0" w:firstColumn="1" w:lastColumn="0" w:noHBand="0" w:noVBand="1"/>
      </w:tblPr>
      <w:tblGrid>
        <w:gridCol w:w="2221"/>
        <w:gridCol w:w="3313"/>
        <w:gridCol w:w="1100"/>
        <w:gridCol w:w="825"/>
        <w:gridCol w:w="1037"/>
      </w:tblGrid>
      <w:tr w:rsidR="006A3C12">
        <w:trPr>
          <w:trHeight w:val="280"/>
          <w:tblHeader/>
        </w:trPr>
        <w:tc>
          <w:tcPr>
            <w:tcW w:w="2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活动</w:t>
            </w:r>
          </w:p>
        </w:tc>
        <w:tc>
          <w:tcPr>
            <w:tcW w:w="3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绩效指标</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指标性质</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指标值</w:t>
            </w:r>
          </w:p>
        </w:tc>
        <w:tc>
          <w:tcPr>
            <w:tcW w:w="10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度量单位</w:t>
            </w:r>
          </w:p>
        </w:tc>
      </w:tr>
      <w:tr w:rsidR="006A3C12">
        <w:trPr>
          <w:trHeight w:val="720"/>
        </w:trPr>
        <w:tc>
          <w:tcPr>
            <w:tcW w:w="2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科技人才培养</w:t>
            </w:r>
          </w:p>
        </w:tc>
        <w:tc>
          <w:tcPr>
            <w:tcW w:w="3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产出指标数量指标引进人才</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30</w:t>
            </w:r>
          </w:p>
        </w:tc>
        <w:tc>
          <w:tcPr>
            <w:tcW w:w="10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名</w:t>
            </w:r>
          </w:p>
        </w:tc>
      </w:tr>
      <w:tr w:rsidR="006A3C12">
        <w:trPr>
          <w:trHeight w:val="720"/>
        </w:trPr>
        <w:tc>
          <w:tcPr>
            <w:tcW w:w="2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科技人才培养</w:t>
            </w:r>
          </w:p>
        </w:tc>
        <w:tc>
          <w:tcPr>
            <w:tcW w:w="3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产出指标数量指标培养人才</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60</w:t>
            </w:r>
          </w:p>
        </w:tc>
        <w:tc>
          <w:tcPr>
            <w:tcW w:w="10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名</w:t>
            </w:r>
          </w:p>
        </w:tc>
      </w:tr>
      <w:tr w:rsidR="006A3C12">
        <w:trPr>
          <w:trHeight w:val="960"/>
        </w:trPr>
        <w:tc>
          <w:tcPr>
            <w:tcW w:w="2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科技咨询与培训</w:t>
            </w:r>
          </w:p>
        </w:tc>
        <w:tc>
          <w:tcPr>
            <w:tcW w:w="3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产出指标数量指标提供政策咨询报告</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15</w:t>
            </w:r>
          </w:p>
        </w:tc>
        <w:tc>
          <w:tcPr>
            <w:tcW w:w="10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次</w:t>
            </w:r>
          </w:p>
        </w:tc>
      </w:tr>
      <w:tr w:rsidR="006A3C12">
        <w:trPr>
          <w:trHeight w:val="960"/>
        </w:trPr>
        <w:tc>
          <w:tcPr>
            <w:tcW w:w="2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科技咨询与培训</w:t>
            </w:r>
          </w:p>
        </w:tc>
        <w:tc>
          <w:tcPr>
            <w:tcW w:w="3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产出指标数量指标组织技术培训</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130</w:t>
            </w:r>
          </w:p>
        </w:tc>
        <w:tc>
          <w:tcPr>
            <w:tcW w:w="10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次</w:t>
            </w:r>
          </w:p>
        </w:tc>
      </w:tr>
      <w:tr w:rsidR="006A3C12">
        <w:trPr>
          <w:trHeight w:val="720"/>
        </w:trPr>
        <w:tc>
          <w:tcPr>
            <w:tcW w:w="2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农业生物遗传育种</w:t>
            </w:r>
          </w:p>
        </w:tc>
        <w:tc>
          <w:tcPr>
            <w:tcW w:w="3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产出指标数量指标论文</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220</w:t>
            </w:r>
          </w:p>
        </w:tc>
        <w:tc>
          <w:tcPr>
            <w:tcW w:w="10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篇</w:t>
            </w:r>
          </w:p>
        </w:tc>
      </w:tr>
      <w:tr w:rsidR="006A3C12">
        <w:trPr>
          <w:trHeight w:val="720"/>
        </w:trPr>
        <w:tc>
          <w:tcPr>
            <w:tcW w:w="2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农业发展与乡村振兴</w:t>
            </w:r>
          </w:p>
        </w:tc>
        <w:tc>
          <w:tcPr>
            <w:tcW w:w="3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产出指标数量指标研究报告</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10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篇</w:t>
            </w:r>
          </w:p>
        </w:tc>
      </w:tr>
      <w:tr w:rsidR="006A3C12">
        <w:trPr>
          <w:trHeight w:val="720"/>
        </w:trPr>
        <w:tc>
          <w:tcPr>
            <w:tcW w:w="2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农业发展与乡村振兴</w:t>
            </w:r>
          </w:p>
        </w:tc>
        <w:tc>
          <w:tcPr>
            <w:tcW w:w="3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产出指标数量指标论文</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18</w:t>
            </w:r>
          </w:p>
        </w:tc>
        <w:tc>
          <w:tcPr>
            <w:tcW w:w="10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篇</w:t>
            </w:r>
          </w:p>
        </w:tc>
      </w:tr>
      <w:tr w:rsidR="006A3C12">
        <w:trPr>
          <w:trHeight w:val="720"/>
        </w:trPr>
        <w:tc>
          <w:tcPr>
            <w:tcW w:w="2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智慧农业与数字乡村</w:t>
            </w:r>
          </w:p>
        </w:tc>
        <w:tc>
          <w:tcPr>
            <w:tcW w:w="3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产出指标数量指标论文</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125</w:t>
            </w:r>
          </w:p>
        </w:tc>
        <w:tc>
          <w:tcPr>
            <w:tcW w:w="10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篇</w:t>
            </w:r>
          </w:p>
        </w:tc>
      </w:tr>
      <w:tr w:rsidR="006A3C12">
        <w:trPr>
          <w:trHeight w:val="960"/>
        </w:trPr>
        <w:tc>
          <w:tcPr>
            <w:tcW w:w="2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农产品贮运、加工与营养健康</w:t>
            </w:r>
          </w:p>
        </w:tc>
        <w:tc>
          <w:tcPr>
            <w:tcW w:w="3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产出指标数量指标论文</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35</w:t>
            </w:r>
          </w:p>
        </w:tc>
        <w:tc>
          <w:tcPr>
            <w:tcW w:w="10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篇</w:t>
            </w:r>
          </w:p>
        </w:tc>
      </w:tr>
      <w:tr w:rsidR="006A3C12">
        <w:trPr>
          <w:trHeight w:val="720"/>
        </w:trPr>
        <w:tc>
          <w:tcPr>
            <w:tcW w:w="2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农业绿色发展</w:t>
            </w:r>
          </w:p>
        </w:tc>
        <w:tc>
          <w:tcPr>
            <w:tcW w:w="3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产出指标数量指标论文</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65</w:t>
            </w:r>
          </w:p>
        </w:tc>
        <w:tc>
          <w:tcPr>
            <w:tcW w:w="10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篇</w:t>
            </w:r>
          </w:p>
        </w:tc>
      </w:tr>
      <w:tr w:rsidR="006A3C12">
        <w:trPr>
          <w:trHeight w:val="720"/>
        </w:trPr>
        <w:tc>
          <w:tcPr>
            <w:tcW w:w="2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农业生物遗传育种</w:t>
            </w:r>
          </w:p>
        </w:tc>
        <w:tc>
          <w:tcPr>
            <w:tcW w:w="3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产出指标数量指标标准</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10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项</w:t>
            </w:r>
          </w:p>
        </w:tc>
      </w:tr>
      <w:tr w:rsidR="006A3C12">
        <w:trPr>
          <w:trHeight w:val="720"/>
        </w:trPr>
        <w:tc>
          <w:tcPr>
            <w:tcW w:w="2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农业生物遗传育种</w:t>
            </w:r>
          </w:p>
        </w:tc>
        <w:tc>
          <w:tcPr>
            <w:tcW w:w="3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产出指标数量指标专利</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19</w:t>
            </w:r>
          </w:p>
        </w:tc>
        <w:tc>
          <w:tcPr>
            <w:tcW w:w="10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项</w:t>
            </w:r>
          </w:p>
        </w:tc>
      </w:tr>
      <w:tr w:rsidR="006A3C12">
        <w:trPr>
          <w:trHeight w:val="720"/>
        </w:trPr>
        <w:tc>
          <w:tcPr>
            <w:tcW w:w="2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智慧农业与数字乡村</w:t>
            </w:r>
          </w:p>
        </w:tc>
        <w:tc>
          <w:tcPr>
            <w:tcW w:w="3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产出指标数量指标专利</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66</w:t>
            </w:r>
          </w:p>
        </w:tc>
        <w:tc>
          <w:tcPr>
            <w:tcW w:w="10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项</w:t>
            </w:r>
          </w:p>
        </w:tc>
      </w:tr>
      <w:tr w:rsidR="006A3C12">
        <w:trPr>
          <w:trHeight w:val="960"/>
        </w:trPr>
        <w:tc>
          <w:tcPr>
            <w:tcW w:w="2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智慧农业与数字乡村</w:t>
            </w:r>
          </w:p>
        </w:tc>
        <w:tc>
          <w:tcPr>
            <w:tcW w:w="3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产出指标数量指标新技术新产品</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58</w:t>
            </w:r>
          </w:p>
        </w:tc>
        <w:tc>
          <w:tcPr>
            <w:tcW w:w="10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项</w:t>
            </w:r>
          </w:p>
        </w:tc>
      </w:tr>
      <w:tr w:rsidR="006A3C12">
        <w:trPr>
          <w:trHeight w:val="960"/>
        </w:trPr>
        <w:tc>
          <w:tcPr>
            <w:tcW w:w="2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lastRenderedPageBreak/>
              <w:t>智慧农业与数字乡村</w:t>
            </w:r>
          </w:p>
        </w:tc>
        <w:tc>
          <w:tcPr>
            <w:tcW w:w="3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产出指标数量指标软件著作权</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0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项</w:t>
            </w:r>
          </w:p>
        </w:tc>
      </w:tr>
      <w:tr w:rsidR="006A3C12">
        <w:trPr>
          <w:trHeight w:val="720"/>
        </w:trPr>
        <w:tc>
          <w:tcPr>
            <w:tcW w:w="2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智慧农业与数字乡村</w:t>
            </w:r>
          </w:p>
        </w:tc>
        <w:tc>
          <w:tcPr>
            <w:tcW w:w="3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产出指标数量指标标准</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w:t>
            </w:r>
          </w:p>
        </w:tc>
        <w:tc>
          <w:tcPr>
            <w:tcW w:w="10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项</w:t>
            </w:r>
          </w:p>
        </w:tc>
      </w:tr>
      <w:tr w:rsidR="006A3C12">
        <w:trPr>
          <w:trHeight w:val="960"/>
        </w:trPr>
        <w:tc>
          <w:tcPr>
            <w:tcW w:w="2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农产品贮运、加工与营养健康</w:t>
            </w:r>
          </w:p>
        </w:tc>
        <w:tc>
          <w:tcPr>
            <w:tcW w:w="3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产出指标数量指标软件著作权</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10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项</w:t>
            </w:r>
          </w:p>
        </w:tc>
      </w:tr>
      <w:tr w:rsidR="006A3C12">
        <w:trPr>
          <w:trHeight w:val="960"/>
        </w:trPr>
        <w:tc>
          <w:tcPr>
            <w:tcW w:w="2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农产品贮运、加工与营养健康</w:t>
            </w:r>
          </w:p>
        </w:tc>
        <w:tc>
          <w:tcPr>
            <w:tcW w:w="3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产出指标数量指标软件著作权</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10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项</w:t>
            </w:r>
          </w:p>
        </w:tc>
      </w:tr>
      <w:tr w:rsidR="006A3C12">
        <w:trPr>
          <w:trHeight w:val="960"/>
        </w:trPr>
        <w:tc>
          <w:tcPr>
            <w:tcW w:w="2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农业绿色发展</w:t>
            </w:r>
          </w:p>
        </w:tc>
        <w:tc>
          <w:tcPr>
            <w:tcW w:w="3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产出指标数量指标专利、新技术等</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25</w:t>
            </w:r>
          </w:p>
        </w:tc>
        <w:tc>
          <w:tcPr>
            <w:tcW w:w="10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项</w:t>
            </w:r>
          </w:p>
        </w:tc>
      </w:tr>
      <w:tr w:rsidR="006A3C12">
        <w:trPr>
          <w:trHeight w:val="960"/>
        </w:trPr>
        <w:tc>
          <w:tcPr>
            <w:tcW w:w="2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农业绿色发展</w:t>
            </w:r>
          </w:p>
        </w:tc>
        <w:tc>
          <w:tcPr>
            <w:tcW w:w="3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产出指标数量指标新技术新产品</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45</w:t>
            </w:r>
          </w:p>
        </w:tc>
        <w:tc>
          <w:tcPr>
            <w:tcW w:w="10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项</w:t>
            </w:r>
          </w:p>
        </w:tc>
      </w:tr>
      <w:tr w:rsidR="006A3C12">
        <w:trPr>
          <w:trHeight w:val="960"/>
        </w:trPr>
        <w:tc>
          <w:tcPr>
            <w:tcW w:w="2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农业绿色发展</w:t>
            </w:r>
          </w:p>
        </w:tc>
        <w:tc>
          <w:tcPr>
            <w:tcW w:w="3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产出指标数量指标软件著作权</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10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项</w:t>
            </w:r>
          </w:p>
        </w:tc>
      </w:tr>
      <w:tr w:rsidR="006A3C12">
        <w:trPr>
          <w:trHeight w:val="720"/>
        </w:trPr>
        <w:tc>
          <w:tcPr>
            <w:tcW w:w="2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农业绿色发展</w:t>
            </w:r>
          </w:p>
        </w:tc>
        <w:tc>
          <w:tcPr>
            <w:tcW w:w="3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产出指标数量指标标准</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10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项</w:t>
            </w:r>
          </w:p>
        </w:tc>
      </w:tr>
      <w:tr w:rsidR="006A3C12">
        <w:trPr>
          <w:trHeight w:val="960"/>
        </w:trPr>
        <w:tc>
          <w:tcPr>
            <w:tcW w:w="2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科技成果示范推广</w:t>
            </w:r>
          </w:p>
        </w:tc>
        <w:tc>
          <w:tcPr>
            <w:tcW w:w="3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产出指标数量指标示范推广优新技术</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35</w:t>
            </w:r>
          </w:p>
        </w:tc>
        <w:tc>
          <w:tcPr>
            <w:tcW w:w="10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项</w:t>
            </w:r>
          </w:p>
        </w:tc>
      </w:tr>
      <w:tr w:rsidR="006A3C12">
        <w:trPr>
          <w:trHeight w:val="960"/>
        </w:trPr>
        <w:tc>
          <w:tcPr>
            <w:tcW w:w="2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科技成果示范推广</w:t>
            </w:r>
          </w:p>
        </w:tc>
        <w:tc>
          <w:tcPr>
            <w:tcW w:w="3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产出指标数量指标科技成果转让许可</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35</w:t>
            </w:r>
          </w:p>
        </w:tc>
        <w:tc>
          <w:tcPr>
            <w:tcW w:w="10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项</w:t>
            </w:r>
          </w:p>
        </w:tc>
      </w:tr>
      <w:tr w:rsidR="006A3C12">
        <w:trPr>
          <w:trHeight w:val="1200"/>
        </w:trPr>
        <w:tc>
          <w:tcPr>
            <w:tcW w:w="2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科技成果示范推广</w:t>
            </w:r>
          </w:p>
        </w:tc>
        <w:tc>
          <w:tcPr>
            <w:tcW w:w="3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产出指标数量指标技术服务技术开发技术咨询</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170</w:t>
            </w:r>
          </w:p>
        </w:tc>
        <w:tc>
          <w:tcPr>
            <w:tcW w:w="10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项</w:t>
            </w:r>
          </w:p>
        </w:tc>
      </w:tr>
      <w:tr w:rsidR="006A3C12">
        <w:trPr>
          <w:trHeight w:val="1115"/>
        </w:trPr>
        <w:tc>
          <w:tcPr>
            <w:tcW w:w="2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科研设备设施条件建设</w:t>
            </w:r>
          </w:p>
        </w:tc>
        <w:tc>
          <w:tcPr>
            <w:tcW w:w="3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产出指标数量指标科研设备设施条件建设项目</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20</w:t>
            </w:r>
          </w:p>
        </w:tc>
        <w:tc>
          <w:tcPr>
            <w:tcW w:w="10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项</w:t>
            </w:r>
          </w:p>
        </w:tc>
      </w:tr>
      <w:tr w:rsidR="006A3C12">
        <w:trPr>
          <w:trHeight w:val="720"/>
        </w:trPr>
        <w:tc>
          <w:tcPr>
            <w:tcW w:w="2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农业生物遗传育种</w:t>
            </w:r>
          </w:p>
        </w:tc>
        <w:tc>
          <w:tcPr>
            <w:tcW w:w="3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产出指标数量指标选育品种</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40</w:t>
            </w:r>
          </w:p>
        </w:tc>
        <w:tc>
          <w:tcPr>
            <w:tcW w:w="10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proofErr w:type="gramStart"/>
            <w:r>
              <w:rPr>
                <w:rFonts w:ascii="宋体" w:hAnsi="宋体" w:cs="宋体" w:hint="eastAsia"/>
                <w:color w:val="000000"/>
                <w:kern w:val="0"/>
                <w:sz w:val="18"/>
                <w:szCs w:val="18"/>
                <w:lang w:bidi="ar"/>
              </w:rPr>
              <w:t>个</w:t>
            </w:r>
            <w:proofErr w:type="gramEnd"/>
          </w:p>
        </w:tc>
      </w:tr>
      <w:tr w:rsidR="006A3C12">
        <w:trPr>
          <w:trHeight w:val="720"/>
        </w:trPr>
        <w:tc>
          <w:tcPr>
            <w:tcW w:w="2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农业生物遗传育种</w:t>
            </w:r>
          </w:p>
        </w:tc>
        <w:tc>
          <w:tcPr>
            <w:tcW w:w="3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产出指标数量指标新品种权</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20</w:t>
            </w:r>
          </w:p>
        </w:tc>
        <w:tc>
          <w:tcPr>
            <w:tcW w:w="10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proofErr w:type="gramStart"/>
            <w:r>
              <w:rPr>
                <w:rFonts w:ascii="宋体" w:hAnsi="宋体" w:cs="宋体" w:hint="eastAsia"/>
                <w:color w:val="000000"/>
                <w:kern w:val="0"/>
                <w:sz w:val="18"/>
                <w:szCs w:val="18"/>
                <w:lang w:bidi="ar"/>
              </w:rPr>
              <w:t>个</w:t>
            </w:r>
            <w:proofErr w:type="gramEnd"/>
          </w:p>
        </w:tc>
      </w:tr>
      <w:tr w:rsidR="006A3C12">
        <w:trPr>
          <w:trHeight w:val="960"/>
        </w:trPr>
        <w:tc>
          <w:tcPr>
            <w:tcW w:w="2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lastRenderedPageBreak/>
              <w:t>科技成果示范推广</w:t>
            </w:r>
          </w:p>
        </w:tc>
        <w:tc>
          <w:tcPr>
            <w:tcW w:w="3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产出指标数量指标示范推广优新品种</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60</w:t>
            </w:r>
          </w:p>
        </w:tc>
        <w:tc>
          <w:tcPr>
            <w:tcW w:w="10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proofErr w:type="gramStart"/>
            <w:r>
              <w:rPr>
                <w:rFonts w:ascii="宋体" w:hAnsi="宋体" w:cs="宋体" w:hint="eastAsia"/>
                <w:color w:val="000000"/>
                <w:kern w:val="0"/>
                <w:sz w:val="18"/>
                <w:szCs w:val="18"/>
                <w:lang w:bidi="ar"/>
              </w:rPr>
              <w:t>个</w:t>
            </w:r>
            <w:proofErr w:type="gramEnd"/>
          </w:p>
        </w:tc>
      </w:tr>
      <w:tr w:rsidR="006A3C12">
        <w:trPr>
          <w:trHeight w:val="1680"/>
        </w:trPr>
        <w:tc>
          <w:tcPr>
            <w:tcW w:w="2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科研保障条件建设</w:t>
            </w:r>
          </w:p>
        </w:tc>
        <w:tc>
          <w:tcPr>
            <w:tcW w:w="3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产出指标数量指标重点实验室、工程技术研究中心等运维</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40</w:t>
            </w:r>
          </w:p>
        </w:tc>
        <w:tc>
          <w:tcPr>
            <w:tcW w:w="10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proofErr w:type="gramStart"/>
            <w:r>
              <w:rPr>
                <w:rFonts w:ascii="宋体" w:hAnsi="宋体" w:cs="宋体" w:hint="eastAsia"/>
                <w:color w:val="000000"/>
                <w:kern w:val="0"/>
                <w:sz w:val="18"/>
                <w:szCs w:val="18"/>
                <w:lang w:bidi="ar"/>
              </w:rPr>
              <w:t>个</w:t>
            </w:r>
            <w:proofErr w:type="gramEnd"/>
          </w:p>
        </w:tc>
      </w:tr>
      <w:tr w:rsidR="006A3C12">
        <w:trPr>
          <w:trHeight w:val="1200"/>
        </w:trPr>
        <w:tc>
          <w:tcPr>
            <w:tcW w:w="2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农业生物遗传育种</w:t>
            </w:r>
          </w:p>
        </w:tc>
        <w:tc>
          <w:tcPr>
            <w:tcW w:w="3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产出指标数量指标新增动植物种质资源</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500</w:t>
            </w:r>
          </w:p>
        </w:tc>
        <w:tc>
          <w:tcPr>
            <w:tcW w:w="10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份</w:t>
            </w:r>
          </w:p>
        </w:tc>
      </w:tr>
      <w:tr w:rsidR="006A3C12">
        <w:trPr>
          <w:trHeight w:val="1200"/>
        </w:trPr>
        <w:tc>
          <w:tcPr>
            <w:tcW w:w="2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农业生物遗传育种</w:t>
            </w:r>
          </w:p>
        </w:tc>
        <w:tc>
          <w:tcPr>
            <w:tcW w:w="3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产出指标数量指标保存动植物种质资源</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60000</w:t>
            </w:r>
          </w:p>
        </w:tc>
        <w:tc>
          <w:tcPr>
            <w:tcW w:w="10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份</w:t>
            </w:r>
          </w:p>
        </w:tc>
      </w:tr>
      <w:tr w:rsidR="006A3C12">
        <w:trPr>
          <w:trHeight w:val="960"/>
        </w:trPr>
        <w:tc>
          <w:tcPr>
            <w:tcW w:w="2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农业生物遗传育种</w:t>
            </w:r>
          </w:p>
        </w:tc>
        <w:tc>
          <w:tcPr>
            <w:tcW w:w="3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产出指标质量指标品种综合表现</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定性</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优</w:t>
            </w:r>
          </w:p>
        </w:tc>
        <w:tc>
          <w:tcPr>
            <w:tcW w:w="10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其他</w:t>
            </w:r>
          </w:p>
        </w:tc>
      </w:tr>
      <w:tr w:rsidR="006A3C12">
        <w:trPr>
          <w:trHeight w:val="960"/>
        </w:trPr>
        <w:tc>
          <w:tcPr>
            <w:tcW w:w="2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农业生物遗传育种</w:t>
            </w:r>
          </w:p>
        </w:tc>
        <w:tc>
          <w:tcPr>
            <w:tcW w:w="3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产出指标质量指标核心期刊以上论文</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180</w:t>
            </w:r>
          </w:p>
        </w:tc>
        <w:tc>
          <w:tcPr>
            <w:tcW w:w="10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篇</w:t>
            </w:r>
          </w:p>
        </w:tc>
      </w:tr>
      <w:tr w:rsidR="006A3C12">
        <w:trPr>
          <w:trHeight w:val="960"/>
        </w:trPr>
        <w:tc>
          <w:tcPr>
            <w:tcW w:w="2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智慧农业与数字乡村</w:t>
            </w:r>
          </w:p>
        </w:tc>
        <w:tc>
          <w:tcPr>
            <w:tcW w:w="3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产出指标质量指标核心期刊以上论文</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95</w:t>
            </w:r>
          </w:p>
        </w:tc>
        <w:tc>
          <w:tcPr>
            <w:tcW w:w="10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篇</w:t>
            </w:r>
          </w:p>
        </w:tc>
      </w:tr>
      <w:tr w:rsidR="006A3C12">
        <w:trPr>
          <w:trHeight w:val="960"/>
        </w:trPr>
        <w:tc>
          <w:tcPr>
            <w:tcW w:w="2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农产品贮运、加工与营养健康</w:t>
            </w:r>
          </w:p>
        </w:tc>
        <w:tc>
          <w:tcPr>
            <w:tcW w:w="3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产出指标质量指标核心期刊以上论文</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28</w:t>
            </w:r>
          </w:p>
        </w:tc>
        <w:tc>
          <w:tcPr>
            <w:tcW w:w="10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篇</w:t>
            </w:r>
          </w:p>
        </w:tc>
      </w:tr>
      <w:tr w:rsidR="006A3C12">
        <w:trPr>
          <w:trHeight w:val="960"/>
        </w:trPr>
        <w:tc>
          <w:tcPr>
            <w:tcW w:w="2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农业绿色发展</w:t>
            </w:r>
          </w:p>
        </w:tc>
        <w:tc>
          <w:tcPr>
            <w:tcW w:w="3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产出指标质量指标核心期刊以上论文</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140</w:t>
            </w:r>
          </w:p>
        </w:tc>
        <w:tc>
          <w:tcPr>
            <w:tcW w:w="10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篇</w:t>
            </w:r>
          </w:p>
        </w:tc>
      </w:tr>
      <w:tr w:rsidR="006A3C12">
        <w:trPr>
          <w:trHeight w:val="960"/>
        </w:trPr>
        <w:tc>
          <w:tcPr>
            <w:tcW w:w="2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农业发展与乡村振兴</w:t>
            </w:r>
          </w:p>
        </w:tc>
        <w:tc>
          <w:tcPr>
            <w:tcW w:w="3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产出指标质量指标核心期刊以上论文</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12</w:t>
            </w:r>
          </w:p>
        </w:tc>
        <w:tc>
          <w:tcPr>
            <w:tcW w:w="10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篇</w:t>
            </w:r>
          </w:p>
        </w:tc>
      </w:tr>
      <w:tr w:rsidR="006A3C12">
        <w:trPr>
          <w:trHeight w:val="720"/>
        </w:trPr>
        <w:tc>
          <w:tcPr>
            <w:tcW w:w="2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农业生物遗传育种</w:t>
            </w:r>
          </w:p>
        </w:tc>
        <w:tc>
          <w:tcPr>
            <w:tcW w:w="3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产出指标质量指标发明专利</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11</w:t>
            </w:r>
          </w:p>
        </w:tc>
        <w:tc>
          <w:tcPr>
            <w:tcW w:w="10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项</w:t>
            </w:r>
          </w:p>
        </w:tc>
      </w:tr>
      <w:tr w:rsidR="006A3C12">
        <w:trPr>
          <w:trHeight w:val="720"/>
        </w:trPr>
        <w:tc>
          <w:tcPr>
            <w:tcW w:w="2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智慧农业与数字乡村</w:t>
            </w:r>
          </w:p>
        </w:tc>
        <w:tc>
          <w:tcPr>
            <w:tcW w:w="3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产出指标质量指标发明专利</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52</w:t>
            </w:r>
          </w:p>
        </w:tc>
        <w:tc>
          <w:tcPr>
            <w:tcW w:w="10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项</w:t>
            </w:r>
          </w:p>
        </w:tc>
      </w:tr>
      <w:tr w:rsidR="006A3C12">
        <w:trPr>
          <w:trHeight w:val="960"/>
        </w:trPr>
        <w:tc>
          <w:tcPr>
            <w:tcW w:w="2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农产品贮运、加工与营养健康</w:t>
            </w:r>
          </w:p>
        </w:tc>
        <w:tc>
          <w:tcPr>
            <w:tcW w:w="3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产出指标质量指标发明专利</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w:t>
            </w:r>
          </w:p>
        </w:tc>
        <w:tc>
          <w:tcPr>
            <w:tcW w:w="10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项</w:t>
            </w:r>
          </w:p>
        </w:tc>
      </w:tr>
      <w:tr w:rsidR="006A3C12">
        <w:trPr>
          <w:trHeight w:val="720"/>
        </w:trPr>
        <w:tc>
          <w:tcPr>
            <w:tcW w:w="2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lastRenderedPageBreak/>
              <w:t>农业绿色发展</w:t>
            </w:r>
          </w:p>
        </w:tc>
        <w:tc>
          <w:tcPr>
            <w:tcW w:w="3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产出指标质量指标发明专利</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45</w:t>
            </w:r>
          </w:p>
        </w:tc>
        <w:tc>
          <w:tcPr>
            <w:tcW w:w="10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项</w:t>
            </w:r>
          </w:p>
        </w:tc>
      </w:tr>
      <w:tr w:rsidR="006A3C12">
        <w:trPr>
          <w:trHeight w:val="960"/>
        </w:trPr>
        <w:tc>
          <w:tcPr>
            <w:tcW w:w="2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科技人才培养</w:t>
            </w:r>
          </w:p>
        </w:tc>
        <w:tc>
          <w:tcPr>
            <w:tcW w:w="3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产出指标质量指标</w:t>
            </w:r>
            <w:proofErr w:type="gramStart"/>
            <w:r>
              <w:rPr>
                <w:rFonts w:ascii="宋体" w:hAnsi="宋体" w:cs="宋体" w:hint="eastAsia"/>
                <w:color w:val="000000"/>
                <w:kern w:val="0"/>
                <w:sz w:val="18"/>
                <w:szCs w:val="18"/>
                <w:lang w:bidi="ar"/>
              </w:rPr>
              <w:t>获人才</w:t>
            </w:r>
            <w:proofErr w:type="gramEnd"/>
            <w:r>
              <w:rPr>
                <w:rFonts w:ascii="宋体" w:hAnsi="宋体" w:cs="宋体" w:hint="eastAsia"/>
                <w:color w:val="000000"/>
                <w:kern w:val="0"/>
                <w:sz w:val="18"/>
                <w:szCs w:val="18"/>
                <w:lang w:bidi="ar"/>
              </w:rPr>
              <w:t>计划资助</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20</w:t>
            </w:r>
          </w:p>
        </w:tc>
        <w:tc>
          <w:tcPr>
            <w:tcW w:w="10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项</w:t>
            </w:r>
          </w:p>
        </w:tc>
      </w:tr>
      <w:tr w:rsidR="006A3C12">
        <w:trPr>
          <w:trHeight w:val="960"/>
        </w:trPr>
        <w:tc>
          <w:tcPr>
            <w:tcW w:w="2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农业绿色发展</w:t>
            </w:r>
          </w:p>
        </w:tc>
        <w:tc>
          <w:tcPr>
            <w:tcW w:w="3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产出指标质量指标完成及时率</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0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r>
      <w:tr w:rsidR="006A3C12">
        <w:trPr>
          <w:trHeight w:val="960"/>
        </w:trPr>
        <w:tc>
          <w:tcPr>
            <w:tcW w:w="2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农业生物遗传育种</w:t>
            </w:r>
          </w:p>
        </w:tc>
        <w:tc>
          <w:tcPr>
            <w:tcW w:w="3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产出指标时效指标新增资源的特异性</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定性</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优</w:t>
            </w:r>
          </w:p>
        </w:tc>
        <w:tc>
          <w:tcPr>
            <w:tcW w:w="10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其他</w:t>
            </w:r>
          </w:p>
        </w:tc>
      </w:tr>
      <w:tr w:rsidR="006A3C12">
        <w:trPr>
          <w:trHeight w:val="960"/>
        </w:trPr>
        <w:tc>
          <w:tcPr>
            <w:tcW w:w="2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智慧农业与数字乡村</w:t>
            </w:r>
          </w:p>
        </w:tc>
        <w:tc>
          <w:tcPr>
            <w:tcW w:w="3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产出指标时效指标完成及时率</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0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r>
      <w:tr w:rsidR="006A3C12">
        <w:trPr>
          <w:trHeight w:val="960"/>
        </w:trPr>
        <w:tc>
          <w:tcPr>
            <w:tcW w:w="2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农产品贮运、加工与营养健康</w:t>
            </w:r>
          </w:p>
        </w:tc>
        <w:tc>
          <w:tcPr>
            <w:tcW w:w="3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产出指标时效指标完成及时率</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0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r>
      <w:tr w:rsidR="006A3C12">
        <w:trPr>
          <w:trHeight w:val="960"/>
        </w:trPr>
        <w:tc>
          <w:tcPr>
            <w:tcW w:w="2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科技成果示范推广</w:t>
            </w:r>
          </w:p>
        </w:tc>
        <w:tc>
          <w:tcPr>
            <w:tcW w:w="3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产出指标时效指标完成及时率</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0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r>
      <w:tr w:rsidR="006A3C12">
        <w:trPr>
          <w:trHeight w:val="960"/>
        </w:trPr>
        <w:tc>
          <w:tcPr>
            <w:tcW w:w="2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科研保障条件建设</w:t>
            </w:r>
          </w:p>
        </w:tc>
        <w:tc>
          <w:tcPr>
            <w:tcW w:w="3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产出指标时效指标完成及时率</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0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r>
      <w:tr w:rsidR="006A3C12">
        <w:trPr>
          <w:trHeight w:val="960"/>
        </w:trPr>
        <w:tc>
          <w:tcPr>
            <w:tcW w:w="2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科研设备设施条件建设</w:t>
            </w:r>
          </w:p>
        </w:tc>
        <w:tc>
          <w:tcPr>
            <w:tcW w:w="3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产出指标时效指标完成及时率</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0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r>
      <w:tr w:rsidR="006A3C12">
        <w:trPr>
          <w:trHeight w:val="960"/>
        </w:trPr>
        <w:tc>
          <w:tcPr>
            <w:tcW w:w="2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农业发展与乡村振兴</w:t>
            </w:r>
          </w:p>
        </w:tc>
        <w:tc>
          <w:tcPr>
            <w:tcW w:w="3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产出指标时效指标完成及时率</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0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r>
      <w:tr w:rsidR="006A3C12">
        <w:trPr>
          <w:trHeight w:val="960"/>
        </w:trPr>
        <w:tc>
          <w:tcPr>
            <w:tcW w:w="2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科技人才培养</w:t>
            </w:r>
          </w:p>
        </w:tc>
        <w:tc>
          <w:tcPr>
            <w:tcW w:w="3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产出指标时效指标完成及时率</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0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r>
      <w:tr w:rsidR="006A3C12">
        <w:trPr>
          <w:trHeight w:val="960"/>
        </w:trPr>
        <w:tc>
          <w:tcPr>
            <w:tcW w:w="2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远程教育平台建设运维</w:t>
            </w:r>
          </w:p>
        </w:tc>
        <w:tc>
          <w:tcPr>
            <w:tcW w:w="3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产出指标时效指标完成及时率</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0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r>
      <w:tr w:rsidR="006A3C12">
        <w:trPr>
          <w:trHeight w:val="960"/>
        </w:trPr>
        <w:tc>
          <w:tcPr>
            <w:tcW w:w="2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科技咨询与培训</w:t>
            </w:r>
          </w:p>
        </w:tc>
        <w:tc>
          <w:tcPr>
            <w:tcW w:w="3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产出指标时效指标完成及时率</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0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r>
      <w:tr w:rsidR="006A3C12">
        <w:trPr>
          <w:trHeight w:val="960"/>
        </w:trPr>
        <w:tc>
          <w:tcPr>
            <w:tcW w:w="2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农业生物遗传育种</w:t>
            </w:r>
          </w:p>
        </w:tc>
        <w:tc>
          <w:tcPr>
            <w:tcW w:w="3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成本指标经济成本指标成本控制率</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0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r>
      <w:tr w:rsidR="006A3C12">
        <w:trPr>
          <w:trHeight w:val="1200"/>
        </w:trPr>
        <w:tc>
          <w:tcPr>
            <w:tcW w:w="2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lastRenderedPageBreak/>
              <w:t>远程教育平台建设运维</w:t>
            </w:r>
          </w:p>
        </w:tc>
        <w:tc>
          <w:tcPr>
            <w:tcW w:w="3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效益指标社会效益指标支撑党员干部远程教育</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定性</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优</w:t>
            </w:r>
          </w:p>
        </w:tc>
        <w:tc>
          <w:tcPr>
            <w:tcW w:w="10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其他</w:t>
            </w:r>
          </w:p>
        </w:tc>
      </w:tr>
      <w:tr w:rsidR="006A3C12">
        <w:trPr>
          <w:trHeight w:val="2160"/>
        </w:trPr>
        <w:tc>
          <w:tcPr>
            <w:tcW w:w="2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农业生物遗传育种</w:t>
            </w:r>
          </w:p>
        </w:tc>
        <w:tc>
          <w:tcPr>
            <w:tcW w:w="3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效益指标可持续影响指标为种质创新及育种产业的可持续发展提供了</w:t>
            </w:r>
            <w:proofErr w:type="gramStart"/>
            <w:r>
              <w:rPr>
                <w:rFonts w:ascii="宋体" w:hAnsi="宋体" w:cs="宋体" w:hint="eastAsia"/>
                <w:color w:val="000000"/>
                <w:kern w:val="0"/>
                <w:sz w:val="18"/>
                <w:szCs w:val="18"/>
                <w:lang w:bidi="ar"/>
              </w:rPr>
              <w:t>最</w:t>
            </w:r>
            <w:proofErr w:type="gramEnd"/>
            <w:r>
              <w:rPr>
                <w:rFonts w:ascii="宋体" w:hAnsi="宋体" w:cs="宋体" w:hint="eastAsia"/>
                <w:color w:val="000000"/>
                <w:kern w:val="0"/>
                <w:sz w:val="18"/>
                <w:szCs w:val="18"/>
                <w:lang w:bidi="ar"/>
              </w:rPr>
              <w:t>基础的保障</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定性</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优</w:t>
            </w:r>
          </w:p>
        </w:tc>
        <w:tc>
          <w:tcPr>
            <w:tcW w:w="10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其他</w:t>
            </w:r>
          </w:p>
        </w:tc>
      </w:tr>
      <w:tr w:rsidR="006A3C12">
        <w:trPr>
          <w:trHeight w:val="960"/>
        </w:trPr>
        <w:tc>
          <w:tcPr>
            <w:tcW w:w="2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农业生物遗传育种</w:t>
            </w:r>
          </w:p>
        </w:tc>
        <w:tc>
          <w:tcPr>
            <w:tcW w:w="3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效益指标可持续影响指标完成及时率</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0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r>
      <w:tr w:rsidR="006A3C12">
        <w:trPr>
          <w:trHeight w:val="1440"/>
        </w:trPr>
        <w:tc>
          <w:tcPr>
            <w:tcW w:w="2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农业生物遗传育种</w:t>
            </w:r>
          </w:p>
        </w:tc>
        <w:tc>
          <w:tcPr>
            <w:tcW w:w="3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满意度指标服务对象满意度指标服务对象满意度</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定性</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优</w:t>
            </w:r>
          </w:p>
        </w:tc>
        <w:tc>
          <w:tcPr>
            <w:tcW w:w="10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其他</w:t>
            </w:r>
          </w:p>
        </w:tc>
      </w:tr>
      <w:tr w:rsidR="006A3C12">
        <w:trPr>
          <w:trHeight w:val="1440"/>
        </w:trPr>
        <w:tc>
          <w:tcPr>
            <w:tcW w:w="2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科研保障条件建设</w:t>
            </w:r>
          </w:p>
        </w:tc>
        <w:tc>
          <w:tcPr>
            <w:tcW w:w="3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满意度指标服务对象满意度指标科研人员满意度</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定性</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优</w:t>
            </w:r>
          </w:p>
        </w:tc>
        <w:tc>
          <w:tcPr>
            <w:tcW w:w="10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其他</w:t>
            </w:r>
          </w:p>
        </w:tc>
      </w:tr>
      <w:tr w:rsidR="006A3C12">
        <w:trPr>
          <w:trHeight w:val="1440"/>
        </w:trPr>
        <w:tc>
          <w:tcPr>
            <w:tcW w:w="2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科技咨询与培训</w:t>
            </w:r>
          </w:p>
        </w:tc>
        <w:tc>
          <w:tcPr>
            <w:tcW w:w="3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满意度指标服务对象满意度指标服务对象满意度</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定性</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优</w:t>
            </w:r>
          </w:p>
        </w:tc>
        <w:tc>
          <w:tcPr>
            <w:tcW w:w="10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C12" w:rsidRDefault="00244AC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其他</w:t>
            </w:r>
          </w:p>
        </w:tc>
      </w:tr>
    </w:tbl>
    <w:p w:rsidR="006A3C12" w:rsidRDefault="00244ACC">
      <w:pPr>
        <w:numPr>
          <w:ilvl w:val="255"/>
          <w:numId w:val="0"/>
        </w:numPr>
        <w:spacing w:line="560" w:lineRule="exact"/>
        <w:ind w:firstLineChars="200" w:firstLine="643"/>
        <w:outlineLvl w:val="2"/>
        <w:rPr>
          <w:rFonts w:ascii="仿宋_GB2312" w:eastAsia="仿宋_GB2312" w:hAnsi="仿宋_GB2312" w:cs="仿宋_GB2312"/>
          <w:b/>
          <w:bCs/>
          <w:sz w:val="32"/>
          <w:szCs w:val="32"/>
        </w:rPr>
      </w:pPr>
      <w:bookmarkStart w:id="6" w:name="_Toc15888"/>
      <w:bookmarkStart w:id="7" w:name="_Toc13885"/>
      <w:r>
        <w:rPr>
          <w:rFonts w:ascii="仿宋_GB2312" w:eastAsia="仿宋_GB2312" w:hAnsi="仿宋_GB2312" w:cs="仿宋_GB2312" w:hint="eastAsia"/>
          <w:b/>
          <w:bCs/>
          <w:sz w:val="32"/>
          <w:szCs w:val="32"/>
        </w:rPr>
        <w:t>3.</w:t>
      </w:r>
      <w:r>
        <w:rPr>
          <w:rFonts w:ascii="仿宋_GB2312" w:eastAsia="仿宋_GB2312" w:hAnsi="仿宋_GB2312" w:cs="仿宋_GB2312" w:hint="eastAsia"/>
          <w:b/>
          <w:bCs/>
          <w:sz w:val="32"/>
          <w:szCs w:val="32"/>
        </w:rPr>
        <w:t>目标</w:t>
      </w:r>
      <w:r>
        <w:rPr>
          <w:rFonts w:ascii="仿宋_GB2312" w:eastAsia="仿宋_GB2312" w:hAnsi="仿宋_GB2312" w:cs="仿宋_GB2312" w:hint="eastAsia"/>
          <w:b/>
          <w:bCs/>
          <w:sz w:val="32"/>
          <w:szCs w:val="32"/>
        </w:rPr>
        <w:t>设置</w:t>
      </w:r>
      <w:r>
        <w:rPr>
          <w:rFonts w:ascii="仿宋_GB2312" w:eastAsia="仿宋_GB2312" w:hAnsi="仿宋_GB2312" w:cs="仿宋_GB2312" w:hint="eastAsia"/>
          <w:b/>
          <w:bCs/>
          <w:sz w:val="32"/>
          <w:szCs w:val="32"/>
        </w:rPr>
        <w:t>合理性</w:t>
      </w:r>
    </w:p>
    <w:p w:rsidR="006A3C12" w:rsidRDefault="00244ACC" w:rsidP="000F3259">
      <w:pPr>
        <w:spacing w:line="600" w:lineRule="exact"/>
        <w:ind w:firstLineChars="200" w:firstLine="640"/>
        <w:rPr>
          <w:rFonts w:ascii="仿宋_GB2312" w:eastAsia="仿宋_GB2312" w:hAnsi="宋体" w:cs="宋体"/>
          <w:color w:val="000000"/>
          <w:kern w:val="0"/>
          <w:sz w:val="32"/>
          <w:szCs w:val="32"/>
        </w:rPr>
      </w:pPr>
      <w:r w:rsidRPr="000F3259">
        <w:rPr>
          <w:rFonts w:ascii="仿宋_GB2312" w:eastAsia="仿宋_GB2312" w:hAnsi="宋体" w:cs="宋体" w:hint="eastAsia"/>
          <w:color w:val="000000"/>
          <w:kern w:val="0"/>
          <w:sz w:val="32"/>
          <w:szCs w:val="32"/>
        </w:rPr>
        <w:t>市农科院部门绩效目标设定科学合理，</w:t>
      </w:r>
      <w:r>
        <w:rPr>
          <w:rFonts w:ascii="仿宋_GB2312" w:eastAsia="仿宋_GB2312" w:hAnsi="宋体" w:cs="宋体" w:hint="eastAsia"/>
          <w:color w:val="000000"/>
          <w:kern w:val="0"/>
          <w:sz w:val="32"/>
          <w:szCs w:val="32"/>
        </w:rPr>
        <w:t>主要体现在</w:t>
      </w:r>
      <w:r w:rsidRPr="000F3259">
        <w:rPr>
          <w:rFonts w:ascii="仿宋_GB2312" w:eastAsia="仿宋_GB2312" w:hAnsi="宋体" w:cs="宋体" w:hint="eastAsia"/>
          <w:color w:val="000000"/>
          <w:kern w:val="0"/>
          <w:sz w:val="32"/>
          <w:szCs w:val="32"/>
        </w:rPr>
        <w:t>覆盖农业科技创新全链条，体现“</w:t>
      </w:r>
      <w:proofErr w:type="gramStart"/>
      <w:r w:rsidRPr="000F3259">
        <w:rPr>
          <w:rFonts w:ascii="仿宋_GB2312" w:eastAsia="仿宋_GB2312" w:hAnsi="宋体" w:cs="宋体" w:hint="eastAsia"/>
          <w:color w:val="000000"/>
          <w:kern w:val="0"/>
          <w:sz w:val="32"/>
          <w:szCs w:val="32"/>
        </w:rPr>
        <w:t>研</w:t>
      </w:r>
      <w:proofErr w:type="gramEnd"/>
      <w:r w:rsidRPr="000F3259">
        <w:rPr>
          <w:rFonts w:ascii="仿宋_GB2312" w:eastAsia="仿宋_GB2312" w:hAnsi="宋体" w:cs="宋体" w:hint="eastAsia"/>
          <w:color w:val="000000"/>
          <w:kern w:val="0"/>
          <w:sz w:val="32"/>
          <w:szCs w:val="32"/>
        </w:rPr>
        <w:t>-</w:t>
      </w:r>
      <w:r w:rsidRPr="000F3259">
        <w:rPr>
          <w:rFonts w:ascii="仿宋_GB2312" w:eastAsia="仿宋_GB2312" w:hAnsi="宋体" w:cs="宋体" w:hint="eastAsia"/>
          <w:color w:val="000000"/>
          <w:kern w:val="0"/>
          <w:sz w:val="32"/>
          <w:szCs w:val="32"/>
        </w:rPr>
        <w:t>产</w:t>
      </w:r>
      <w:r w:rsidRPr="000F3259">
        <w:rPr>
          <w:rFonts w:ascii="仿宋_GB2312" w:eastAsia="仿宋_GB2312" w:hAnsi="宋体" w:cs="宋体" w:hint="eastAsia"/>
          <w:color w:val="000000"/>
          <w:kern w:val="0"/>
          <w:sz w:val="32"/>
          <w:szCs w:val="32"/>
        </w:rPr>
        <w:t>-</w:t>
      </w:r>
      <w:r w:rsidRPr="000F3259">
        <w:rPr>
          <w:rFonts w:ascii="仿宋_GB2312" w:eastAsia="仿宋_GB2312" w:hAnsi="宋体" w:cs="宋体" w:hint="eastAsia"/>
          <w:color w:val="000000"/>
          <w:kern w:val="0"/>
          <w:sz w:val="32"/>
          <w:szCs w:val="32"/>
        </w:rPr>
        <w:t>用”协同布局。纵向贯通基础研究与应用转化，横向统筹硬件、人才、服务等要素</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从</w:t>
      </w:r>
      <w:r w:rsidRPr="000F3259">
        <w:rPr>
          <w:rFonts w:ascii="仿宋_GB2312" w:eastAsia="仿宋_GB2312" w:hAnsi="宋体" w:cs="宋体" w:hint="eastAsia"/>
          <w:color w:val="000000"/>
          <w:kern w:val="0"/>
          <w:sz w:val="32"/>
          <w:szCs w:val="32"/>
        </w:rPr>
        <w:t>“投入</w:t>
      </w:r>
      <w:r w:rsidRPr="000F3259">
        <w:rPr>
          <w:rFonts w:ascii="仿宋_GB2312" w:eastAsia="仿宋_GB2312" w:hAnsi="宋体" w:cs="宋体" w:hint="eastAsia"/>
          <w:color w:val="000000"/>
          <w:kern w:val="0"/>
          <w:sz w:val="32"/>
          <w:szCs w:val="32"/>
        </w:rPr>
        <w:t>-</w:t>
      </w:r>
      <w:r w:rsidRPr="000F3259">
        <w:rPr>
          <w:rFonts w:ascii="仿宋_GB2312" w:eastAsia="仿宋_GB2312" w:hAnsi="宋体" w:cs="宋体" w:hint="eastAsia"/>
          <w:color w:val="000000"/>
          <w:kern w:val="0"/>
          <w:sz w:val="32"/>
          <w:szCs w:val="32"/>
        </w:rPr>
        <w:t>过程</w:t>
      </w:r>
      <w:r w:rsidRPr="000F3259">
        <w:rPr>
          <w:rFonts w:ascii="仿宋_GB2312" w:eastAsia="仿宋_GB2312" w:hAnsi="宋体" w:cs="宋体" w:hint="eastAsia"/>
          <w:color w:val="000000"/>
          <w:kern w:val="0"/>
          <w:sz w:val="32"/>
          <w:szCs w:val="32"/>
        </w:rPr>
        <w:t>-</w:t>
      </w:r>
      <w:r w:rsidRPr="000F3259">
        <w:rPr>
          <w:rFonts w:ascii="仿宋_GB2312" w:eastAsia="仿宋_GB2312" w:hAnsi="宋体" w:cs="宋体" w:hint="eastAsia"/>
          <w:color w:val="000000"/>
          <w:kern w:val="0"/>
          <w:sz w:val="32"/>
          <w:szCs w:val="32"/>
        </w:rPr>
        <w:t>产出</w:t>
      </w:r>
      <w:r w:rsidRPr="000F3259">
        <w:rPr>
          <w:rFonts w:ascii="仿宋_GB2312" w:eastAsia="仿宋_GB2312" w:hAnsi="宋体" w:cs="宋体" w:hint="eastAsia"/>
          <w:color w:val="000000"/>
          <w:kern w:val="0"/>
          <w:sz w:val="32"/>
          <w:szCs w:val="32"/>
        </w:rPr>
        <w:t>-</w:t>
      </w:r>
      <w:r w:rsidRPr="000F3259">
        <w:rPr>
          <w:rFonts w:ascii="仿宋_GB2312" w:eastAsia="仿宋_GB2312" w:hAnsi="宋体" w:cs="宋体" w:hint="eastAsia"/>
          <w:color w:val="000000"/>
          <w:kern w:val="0"/>
          <w:sz w:val="32"/>
          <w:szCs w:val="32"/>
        </w:rPr>
        <w:t>效益”四</w:t>
      </w:r>
      <w:r>
        <w:rPr>
          <w:rFonts w:ascii="仿宋_GB2312" w:eastAsia="仿宋_GB2312" w:hAnsi="宋体" w:cs="宋体" w:hint="eastAsia"/>
          <w:color w:val="000000"/>
          <w:kern w:val="0"/>
          <w:sz w:val="32"/>
          <w:szCs w:val="32"/>
        </w:rPr>
        <w:t>个层次</w:t>
      </w:r>
      <w:r w:rsidRPr="000F3259">
        <w:rPr>
          <w:rFonts w:ascii="仿宋_GB2312" w:eastAsia="仿宋_GB2312" w:hAnsi="宋体" w:cs="宋体" w:hint="eastAsia"/>
          <w:color w:val="000000"/>
          <w:kern w:val="0"/>
          <w:sz w:val="32"/>
          <w:szCs w:val="32"/>
        </w:rPr>
        <w:t>细化</w:t>
      </w:r>
      <w:r>
        <w:rPr>
          <w:rFonts w:ascii="仿宋_GB2312" w:eastAsia="仿宋_GB2312" w:hAnsi="宋体" w:cs="宋体" w:hint="eastAsia"/>
          <w:color w:val="000000"/>
          <w:kern w:val="0"/>
          <w:sz w:val="32"/>
          <w:szCs w:val="32"/>
        </w:rPr>
        <w:t>出</w:t>
      </w:r>
      <w:r w:rsidRPr="000F3259">
        <w:rPr>
          <w:rFonts w:ascii="仿宋_GB2312" w:eastAsia="仿宋_GB2312" w:hAnsi="宋体" w:cs="宋体"/>
          <w:color w:val="000000"/>
          <w:kern w:val="0"/>
          <w:sz w:val="32"/>
          <w:szCs w:val="32"/>
        </w:rPr>
        <w:t>6</w:t>
      </w:r>
      <w:r>
        <w:rPr>
          <w:rFonts w:ascii="仿宋_GB2312" w:eastAsia="仿宋_GB2312" w:hAnsi="宋体" w:cs="宋体" w:hint="eastAsia"/>
          <w:color w:val="000000"/>
          <w:kern w:val="0"/>
          <w:sz w:val="32"/>
          <w:szCs w:val="32"/>
        </w:rPr>
        <w:t>1</w:t>
      </w:r>
      <w:r w:rsidRPr="000F3259">
        <w:rPr>
          <w:rFonts w:ascii="仿宋_GB2312" w:eastAsia="仿宋_GB2312" w:hAnsi="宋体" w:cs="宋体" w:hint="eastAsia"/>
          <w:color w:val="000000"/>
          <w:kern w:val="0"/>
          <w:sz w:val="32"/>
          <w:szCs w:val="32"/>
        </w:rPr>
        <w:t>项三级指标，全面评价科研成效，确保目标可衡量、可达成。</w:t>
      </w:r>
    </w:p>
    <w:p w:rsidR="006A3C12" w:rsidRDefault="00244ACC">
      <w:pPr>
        <w:spacing w:line="600" w:lineRule="exact"/>
        <w:ind w:firstLineChars="200" w:firstLine="640"/>
        <w:outlineLvl w:val="0"/>
        <w:rPr>
          <w:rFonts w:ascii="黑体" w:eastAsia="黑体" w:hAnsi="黑体" w:cs="宋体"/>
          <w:color w:val="000000"/>
          <w:kern w:val="0"/>
          <w:sz w:val="32"/>
          <w:szCs w:val="32"/>
        </w:rPr>
      </w:pPr>
      <w:r>
        <w:rPr>
          <w:rFonts w:ascii="黑体" w:eastAsia="黑体" w:hAnsi="黑体" w:cs="宋体" w:hint="eastAsia"/>
          <w:color w:val="000000"/>
          <w:kern w:val="0"/>
          <w:sz w:val="32"/>
          <w:szCs w:val="32"/>
        </w:rPr>
        <w:t>二</w:t>
      </w:r>
      <w:r>
        <w:rPr>
          <w:rFonts w:ascii="黑体" w:eastAsia="黑体" w:hAnsi="黑体" w:cs="宋体"/>
          <w:color w:val="000000"/>
          <w:kern w:val="0"/>
          <w:sz w:val="32"/>
          <w:szCs w:val="32"/>
        </w:rPr>
        <w:t>、</w:t>
      </w:r>
      <w:r>
        <w:rPr>
          <w:rFonts w:ascii="黑体" w:eastAsia="黑体" w:hAnsi="黑体" w:cs="宋体" w:hint="eastAsia"/>
          <w:color w:val="000000"/>
          <w:kern w:val="0"/>
          <w:sz w:val="32"/>
          <w:szCs w:val="32"/>
        </w:rPr>
        <w:t>当年</w:t>
      </w:r>
      <w:r>
        <w:rPr>
          <w:rFonts w:ascii="黑体" w:eastAsia="黑体" w:hAnsi="黑体" w:cs="宋体"/>
          <w:color w:val="000000"/>
          <w:kern w:val="0"/>
          <w:sz w:val="32"/>
          <w:szCs w:val="32"/>
        </w:rPr>
        <w:t>预算执行情况</w:t>
      </w:r>
      <w:bookmarkEnd w:id="6"/>
      <w:bookmarkEnd w:id="7"/>
    </w:p>
    <w:p w:rsidR="006A3C12" w:rsidRDefault="00244ACC">
      <w:pPr>
        <w:spacing w:line="600" w:lineRule="exact"/>
        <w:ind w:firstLineChars="200" w:firstLine="640"/>
        <w:outlineLvl w:val="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2024</w:t>
      </w:r>
      <w:r>
        <w:rPr>
          <w:rFonts w:ascii="仿宋_GB2312" w:eastAsia="仿宋_GB2312" w:hAnsi="宋体" w:cs="宋体" w:hint="eastAsia"/>
          <w:color w:val="000000"/>
          <w:kern w:val="0"/>
          <w:sz w:val="32"/>
          <w:szCs w:val="32"/>
        </w:rPr>
        <w:t>年全年预算数</w:t>
      </w:r>
      <w:r>
        <w:rPr>
          <w:rFonts w:ascii="仿宋_GB2312" w:eastAsia="仿宋_GB2312" w:hAnsi="宋体" w:cs="宋体" w:hint="eastAsia"/>
          <w:color w:val="000000"/>
          <w:kern w:val="0"/>
          <w:sz w:val="32"/>
          <w:szCs w:val="32"/>
        </w:rPr>
        <w:t>187,026.37</w:t>
      </w:r>
      <w:r>
        <w:rPr>
          <w:rFonts w:ascii="仿宋_GB2312" w:eastAsia="仿宋_GB2312" w:hAnsi="宋体" w:cs="宋体" w:hint="eastAsia"/>
          <w:color w:val="000000"/>
          <w:kern w:val="0"/>
          <w:sz w:val="32"/>
          <w:szCs w:val="32"/>
        </w:rPr>
        <w:t>万元</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其中</w:t>
      </w:r>
      <w:r>
        <w:rPr>
          <w:rFonts w:ascii="仿宋_GB2312" w:eastAsia="仿宋_GB2312" w:hAnsi="宋体" w:cs="宋体"/>
          <w:color w:val="000000"/>
          <w:kern w:val="0"/>
          <w:sz w:val="32"/>
          <w:szCs w:val="32"/>
        </w:rPr>
        <w:t>，基本</w:t>
      </w:r>
      <w:r>
        <w:rPr>
          <w:rFonts w:ascii="仿宋_GB2312" w:eastAsia="仿宋_GB2312" w:hAnsi="宋体" w:cs="宋体" w:hint="eastAsia"/>
          <w:color w:val="000000"/>
          <w:kern w:val="0"/>
          <w:sz w:val="32"/>
          <w:szCs w:val="32"/>
        </w:rPr>
        <w:t>支出</w:t>
      </w:r>
      <w:r>
        <w:rPr>
          <w:rFonts w:ascii="仿宋_GB2312" w:eastAsia="仿宋_GB2312" w:hAnsi="宋体" w:cs="宋体"/>
          <w:color w:val="000000"/>
          <w:kern w:val="0"/>
          <w:sz w:val="32"/>
          <w:szCs w:val="32"/>
        </w:rPr>
        <w:lastRenderedPageBreak/>
        <w:t>预算数</w:t>
      </w:r>
      <w:r>
        <w:rPr>
          <w:rFonts w:ascii="仿宋_GB2312" w:eastAsia="仿宋_GB2312" w:hAnsi="宋体" w:cs="宋体" w:hint="eastAsia"/>
          <w:color w:val="000000"/>
          <w:kern w:val="0"/>
          <w:sz w:val="32"/>
          <w:szCs w:val="32"/>
        </w:rPr>
        <w:t>86,707.78</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项目支出预算数</w:t>
      </w:r>
      <w:r>
        <w:rPr>
          <w:rFonts w:ascii="仿宋_GB2312" w:eastAsia="仿宋_GB2312" w:hAnsi="宋体" w:cs="宋体" w:hint="eastAsia"/>
          <w:color w:val="000000"/>
          <w:kern w:val="0"/>
          <w:sz w:val="32"/>
          <w:szCs w:val="32"/>
        </w:rPr>
        <w:t>100,318.59</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。全年支出</w:t>
      </w:r>
      <w:r>
        <w:rPr>
          <w:rFonts w:ascii="仿宋_GB2312" w:eastAsia="仿宋_GB2312" w:hAnsi="宋体" w:cs="宋体" w:hint="eastAsia"/>
          <w:color w:val="000000"/>
          <w:kern w:val="0"/>
          <w:sz w:val="32"/>
          <w:szCs w:val="32"/>
        </w:rPr>
        <w:t>152,090.36</w:t>
      </w:r>
      <w:r>
        <w:rPr>
          <w:rFonts w:ascii="仿宋_GB2312" w:eastAsia="仿宋_GB2312" w:hAnsi="宋体" w:cs="宋体"/>
          <w:color w:val="000000"/>
          <w:kern w:val="0"/>
          <w:sz w:val="32"/>
          <w:szCs w:val="32"/>
        </w:rPr>
        <w:t>万元，其中，基本支出</w:t>
      </w:r>
      <w:r>
        <w:rPr>
          <w:rFonts w:ascii="仿宋_GB2312" w:eastAsia="仿宋_GB2312" w:hAnsi="宋体" w:cs="宋体" w:hint="eastAsia"/>
          <w:color w:val="000000"/>
          <w:kern w:val="0"/>
          <w:sz w:val="32"/>
          <w:szCs w:val="32"/>
        </w:rPr>
        <w:t xml:space="preserve"> 83,577.80 </w:t>
      </w:r>
      <w:r>
        <w:rPr>
          <w:rFonts w:ascii="仿宋_GB2312" w:eastAsia="仿宋_GB2312" w:hAnsi="宋体" w:cs="宋体"/>
          <w:color w:val="000000"/>
          <w:kern w:val="0"/>
          <w:sz w:val="32"/>
          <w:szCs w:val="32"/>
        </w:rPr>
        <w:t>万元，项目</w:t>
      </w:r>
      <w:r>
        <w:rPr>
          <w:rFonts w:ascii="仿宋_GB2312" w:eastAsia="仿宋_GB2312" w:hAnsi="宋体" w:cs="宋体" w:hint="eastAsia"/>
          <w:color w:val="000000"/>
          <w:kern w:val="0"/>
          <w:sz w:val="32"/>
          <w:szCs w:val="32"/>
        </w:rPr>
        <w:t>支出</w:t>
      </w:r>
      <w:r>
        <w:rPr>
          <w:rFonts w:ascii="仿宋_GB2312" w:eastAsia="仿宋_GB2312" w:hAnsi="宋体" w:cs="宋体" w:hint="eastAsia"/>
          <w:color w:val="000000"/>
          <w:kern w:val="0"/>
          <w:sz w:val="32"/>
          <w:szCs w:val="32"/>
        </w:rPr>
        <w:t>68,512.56</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预算</w:t>
      </w:r>
      <w:r>
        <w:rPr>
          <w:rFonts w:ascii="仿宋_GB2312" w:eastAsia="仿宋_GB2312" w:hAnsi="宋体" w:cs="宋体"/>
          <w:color w:val="000000"/>
          <w:kern w:val="0"/>
          <w:sz w:val="32"/>
          <w:szCs w:val="32"/>
        </w:rPr>
        <w:t>执行率为</w:t>
      </w:r>
      <w:r>
        <w:rPr>
          <w:rFonts w:ascii="仿宋_GB2312" w:eastAsia="仿宋_GB2312" w:hAnsi="宋体" w:cs="宋体" w:hint="eastAsia"/>
          <w:color w:val="000000"/>
          <w:kern w:val="0"/>
          <w:sz w:val="32"/>
          <w:szCs w:val="32"/>
        </w:rPr>
        <w:t>81.32%</w:t>
      </w:r>
      <w:r>
        <w:rPr>
          <w:rFonts w:ascii="仿宋_GB2312" w:eastAsia="仿宋_GB2312" w:hAnsi="宋体" w:cs="宋体" w:hint="eastAsia"/>
          <w:color w:val="000000"/>
          <w:kern w:val="0"/>
          <w:sz w:val="32"/>
          <w:szCs w:val="32"/>
        </w:rPr>
        <w:t>。</w:t>
      </w:r>
      <w:bookmarkStart w:id="8" w:name="_Toc31377"/>
      <w:bookmarkStart w:id="9" w:name="_Toc14120"/>
    </w:p>
    <w:p w:rsidR="006A3C12" w:rsidRDefault="00244ACC">
      <w:pPr>
        <w:spacing w:line="600" w:lineRule="exact"/>
        <w:ind w:firstLineChars="200" w:firstLine="640"/>
        <w:outlineLvl w:val="0"/>
        <w:rPr>
          <w:rFonts w:ascii="黑体" w:eastAsia="黑体" w:hAnsi="黑体" w:cs="宋体"/>
          <w:color w:val="000000"/>
          <w:kern w:val="0"/>
          <w:sz w:val="32"/>
          <w:szCs w:val="32"/>
        </w:rPr>
      </w:pPr>
      <w:r>
        <w:rPr>
          <w:rFonts w:ascii="黑体" w:eastAsia="黑体" w:hAnsi="黑体" w:cs="宋体" w:hint="eastAsia"/>
          <w:color w:val="000000"/>
          <w:kern w:val="0"/>
          <w:sz w:val="32"/>
          <w:szCs w:val="32"/>
        </w:rPr>
        <w:t>三</w:t>
      </w:r>
      <w:r>
        <w:rPr>
          <w:rFonts w:ascii="黑体" w:eastAsia="黑体" w:hAnsi="黑体" w:cs="宋体"/>
          <w:color w:val="000000"/>
          <w:kern w:val="0"/>
          <w:sz w:val="32"/>
          <w:szCs w:val="32"/>
        </w:rPr>
        <w:t>、整体绩效目标实现情况</w:t>
      </w:r>
      <w:bookmarkEnd w:id="8"/>
      <w:bookmarkEnd w:id="9"/>
      <w:r>
        <w:rPr>
          <w:rFonts w:ascii="黑体" w:eastAsia="黑体" w:hAnsi="黑体" w:cs="宋体" w:hint="eastAsia"/>
          <w:color w:val="000000"/>
          <w:kern w:val="0"/>
          <w:sz w:val="32"/>
          <w:szCs w:val="32"/>
        </w:rPr>
        <w:t xml:space="preserve"> </w:t>
      </w:r>
    </w:p>
    <w:p w:rsidR="006A3C12" w:rsidRDefault="00244ACC">
      <w:pPr>
        <w:spacing w:line="600" w:lineRule="exact"/>
        <w:ind w:firstLineChars="200" w:firstLine="640"/>
        <w:outlineLvl w:val="1"/>
        <w:rPr>
          <w:rFonts w:ascii="楷体_GB2312" w:eastAsia="楷体_GB2312"/>
          <w:sz w:val="32"/>
          <w:szCs w:val="32"/>
        </w:rPr>
      </w:pPr>
      <w:bookmarkStart w:id="10" w:name="_Toc5659"/>
      <w:r>
        <w:rPr>
          <w:rFonts w:ascii="楷体_GB2312" w:eastAsia="楷体_GB2312" w:hint="eastAsia"/>
          <w:sz w:val="32"/>
          <w:szCs w:val="32"/>
        </w:rPr>
        <w:t>（一）产出完成情况分析</w:t>
      </w:r>
      <w:bookmarkEnd w:id="10"/>
    </w:p>
    <w:p w:rsidR="006A3C12" w:rsidRDefault="00244ACC">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产出数量</w:t>
      </w:r>
    </w:p>
    <w:p w:rsidR="006A3C12" w:rsidRDefault="00244ACC" w:rsidP="000F3259">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该项指标分值</w:t>
      </w:r>
      <w:r>
        <w:rPr>
          <w:rFonts w:ascii="仿宋_GB2312" w:eastAsia="仿宋_GB2312" w:hAnsi="宋体" w:cs="宋体" w:hint="eastAsia"/>
          <w:color w:val="000000"/>
          <w:kern w:val="0"/>
          <w:sz w:val="32"/>
          <w:szCs w:val="32"/>
        </w:rPr>
        <w:t>10.00</w:t>
      </w:r>
      <w:r>
        <w:rPr>
          <w:rFonts w:ascii="仿宋_GB2312" w:eastAsia="仿宋_GB2312" w:hAnsi="宋体" w:cs="宋体" w:hint="eastAsia"/>
          <w:color w:val="000000"/>
          <w:kern w:val="0"/>
          <w:sz w:val="32"/>
          <w:szCs w:val="32"/>
        </w:rPr>
        <w:t>分，评价得分</w:t>
      </w:r>
      <w:r>
        <w:rPr>
          <w:rFonts w:ascii="仿宋_GB2312" w:eastAsia="仿宋_GB2312" w:hAnsi="宋体" w:cs="宋体" w:hint="eastAsia"/>
          <w:color w:val="000000"/>
          <w:kern w:val="0"/>
          <w:sz w:val="32"/>
          <w:szCs w:val="32"/>
        </w:rPr>
        <w:t>9.75</w:t>
      </w:r>
      <w:r>
        <w:rPr>
          <w:rFonts w:ascii="仿宋_GB2312" w:eastAsia="仿宋_GB2312" w:hAnsi="宋体" w:cs="宋体" w:hint="eastAsia"/>
          <w:color w:val="000000"/>
          <w:kern w:val="0"/>
          <w:sz w:val="32"/>
          <w:szCs w:val="32"/>
        </w:rPr>
        <w:t>分。市农林科学院</w:t>
      </w:r>
      <w:r>
        <w:rPr>
          <w:rFonts w:ascii="仿宋_GB2312" w:eastAsia="仿宋_GB2312" w:hAnsi="宋体" w:cs="宋体" w:hint="eastAsia"/>
          <w:color w:val="000000"/>
          <w:kern w:val="0"/>
          <w:sz w:val="32"/>
          <w:szCs w:val="32"/>
        </w:rPr>
        <w:t>2024</w:t>
      </w:r>
      <w:r>
        <w:rPr>
          <w:rFonts w:ascii="仿宋_GB2312" w:eastAsia="仿宋_GB2312" w:hAnsi="宋体" w:cs="宋体" w:hint="eastAsia"/>
          <w:color w:val="000000"/>
          <w:kern w:val="0"/>
          <w:sz w:val="32"/>
          <w:szCs w:val="32"/>
        </w:rPr>
        <w:t>年度计划落实</w:t>
      </w:r>
      <w:r>
        <w:rPr>
          <w:rFonts w:ascii="仿宋_GB2312" w:eastAsia="仿宋_GB2312" w:hAnsi="宋体" w:cs="宋体" w:hint="eastAsia"/>
          <w:color w:val="000000"/>
          <w:kern w:val="0"/>
          <w:sz w:val="32"/>
          <w:szCs w:val="32"/>
        </w:rPr>
        <w:t>31</w:t>
      </w:r>
      <w:r>
        <w:rPr>
          <w:rFonts w:ascii="仿宋_GB2312" w:eastAsia="仿宋_GB2312" w:hAnsi="宋体" w:cs="宋体" w:hint="eastAsia"/>
          <w:color w:val="000000"/>
          <w:kern w:val="0"/>
          <w:sz w:val="32"/>
          <w:szCs w:val="32"/>
        </w:rPr>
        <w:t>项指标。其中</w:t>
      </w:r>
      <w:r>
        <w:rPr>
          <w:rFonts w:ascii="仿宋_GB2312" w:eastAsia="仿宋_GB2312" w:hAnsi="宋体" w:cs="宋体" w:hint="eastAsia"/>
          <w:color w:val="000000"/>
          <w:kern w:val="0"/>
          <w:sz w:val="32"/>
          <w:szCs w:val="32"/>
        </w:rPr>
        <w:t>28</w:t>
      </w:r>
      <w:r>
        <w:rPr>
          <w:rFonts w:ascii="仿宋_GB2312" w:eastAsia="仿宋_GB2312" w:hAnsi="宋体" w:cs="宋体" w:hint="eastAsia"/>
          <w:color w:val="000000"/>
          <w:kern w:val="0"/>
          <w:sz w:val="32"/>
          <w:szCs w:val="32"/>
        </w:rPr>
        <w:t>项目已完成且部分指标超额完成，较好实现了年度绩效任务和预期绩效目标；</w:t>
      </w:r>
      <w:r>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项未完成</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主要是</w:t>
      </w:r>
      <w:r w:rsidRPr="000F3259">
        <w:rPr>
          <w:rFonts w:ascii="仿宋_GB2312" w:eastAsia="仿宋_GB2312" w:hAnsi="宋体" w:cs="宋体" w:hint="eastAsia"/>
          <w:kern w:val="0"/>
          <w:sz w:val="32"/>
          <w:szCs w:val="32"/>
        </w:rPr>
        <w:t>科研设备设施条件建设项目</w:t>
      </w:r>
      <w:r w:rsidRPr="000F3259">
        <w:rPr>
          <w:rFonts w:ascii="仿宋_GB2312" w:eastAsia="仿宋_GB2312" w:hAnsi="宋体" w:cs="宋体" w:hint="eastAsia"/>
          <w:kern w:val="0"/>
          <w:sz w:val="32"/>
          <w:szCs w:val="32"/>
        </w:rPr>
        <w:t>产出数量</w:t>
      </w:r>
      <w:r>
        <w:rPr>
          <w:rFonts w:ascii="仿宋_GB2312" w:eastAsia="仿宋_GB2312" w:hAnsi="宋体" w:cs="宋体" w:hint="eastAsia"/>
          <w:kern w:val="0"/>
          <w:sz w:val="32"/>
          <w:szCs w:val="32"/>
        </w:rPr>
        <w:t>指标设定为“</w:t>
      </w:r>
      <w:r w:rsidRPr="000F3259">
        <w:rPr>
          <w:rFonts w:ascii="仿宋_GB2312" w:eastAsia="仿宋_GB2312" w:hAnsi="宋体" w:cs="宋体" w:hint="eastAsia"/>
          <w:kern w:val="0"/>
          <w:sz w:val="32"/>
          <w:szCs w:val="32"/>
        </w:rPr>
        <w:t>≥</w:t>
      </w:r>
      <w:r w:rsidRPr="000F3259">
        <w:rPr>
          <w:rFonts w:ascii="仿宋_GB2312" w:eastAsia="仿宋_GB2312" w:hAnsi="宋体" w:cs="宋体" w:hint="eastAsia"/>
          <w:kern w:val="0"/>
          <w:sz w:val="32"/>
          <w:szCs w:val="32"/>
        </w:rPr>
        <w:t>20</w:t>
      </w:r>
      <w:r w:rsidRPr="000F3259">
        <w:rPr>
          <w:rFonts w:ascii="仿宋_GB2312" w:eastAsia="仿宋_GB2312" w:hAnsi="宋体" w:cs="宋体" w:hint="eastAsia"/>
          <w:kern w:val="0"/>
          <w:sz w:val="32"/>
          <w:szCs w:val="32"/>
        </w:rPr>
        <w:t>项</w:t>
      </w:r>
      <w:r>
        <w:rPr>
          <w:rFonts w:ascii="仿宋_GB2312" w:eastAsia="仿宋_GB2312" w:hAnsi="宋体" w:cs="宋体" w:hint="eastAsia"/>
          <w:kern w:val="0"/>
          <w:sz w:val="32"/>
          <w:szCs w:val="32"/>
        </w:rPr>
        <w:t>”</w:t>
      </w:r>
      <w:r w:rsidRPr="000F3259">
        <w:rPr>
          <w:rFonts w:ascii="仿宋_GB2312" w:eastAsia="仿宋_GB2312" w:hAnsi="宋体" w:cs="宋体"/>
          <w:kern w:val="0"/>
          <w:sz w:val="32"/>
          <w:szCs w:val="32"/>
        </w:rPr>
        <w:t>,</w:t>
      </w:r>
      <w:r>
        <w:rPr>
          <w:rFonts w:ascii="仿宋_GB2312" w:eastAsia="仿宋_GB2312" w:hAnsi="宋体" w:cs="宋体" w:hint="eastAsia"/>
          <w:kern w:val="0"/>
          <w:sz w:val="32"/>
          <w:szCs w:val="32"/>
        </w:rPr>
        <w:t>实际</w:t>
      </w:r>
      <w:r w:rsidRPr="000F3259">
        <w:rPr>
          <w:rFonts w:ascii="仿宋_GB2312" w:eastAsia="仿宋_GB2312" w:hAnsi="宋体" w:cs="宋体" w:hint="eastAsia"/>
          <w:kern w:val="0"/>
          <w:sz w:val="32"/>
          <w:szCs w:val="32"/>
        </w:rPr>
        <w:t>完成</w:t>
      </w:r>
      <w:r w:rsidRPr="000F3259">
        <w:rPr>
          <w:rFonts w:ascii="仿宋_GB2312" w:eastAsia="仿宋_GB2312" w:hAnsi="宋体" w:cs="宋体" w:hint="eastAsia"/>
          <w:kern w:val="0"/>
          <w:sz w:val="32"/>
          <w:szCs w:val="32"/>
        </w:rPr>
        <w:t>15</w:t>
      </w:r>
      <w:r w:rsidRPr="000F3259">
        <w:rPr>
          <w:rFonts w:ascii="仿宋_GB2312" w:eastAsia="仿宋_GB2312" w:hAnsi="宋体" w:cs="宋体" w:hint="eastAsia"/>
          <w:kern w:val="0"/>
          <w:sz w:val="32"/>
          <w:szCs w:val="32"/>
        </w:rPr>
        <w:t>项</w:t>
      </w:r>
      <w:r>
        <w:rPr>
          <w:rFonts w:ascii="仿宋_GB2312" w:eastAsia="仿宋_GB2312" w:hAnsi="宋体" w:cs="宋体" w:hint="eastAsia"/>
          <w:kern w:val="0"/>
          <w:sz w:val="32"/>
          <w:szCs w:val="32"/>
        </w:rPr>
        <w:t>；</w:t>
      </w:r>
      <w:r w:rsidRPr="000F3259">
        <w:rPr>
          <w:rFonts w:ascii="仿宋_GB2312" w:eastAsia="仿宋_GB2312" w:hAnsi="宋体" w:cs="宋体" w:hint="eastAsia"/>
          <w:kern w:val="0"/>
          <w:sz w:val="32"/>
          <w:szCs w:val="32"/>
        </w:rPr>
        <w:t>农业生物遗传育种论文</w:t>
      </w:r>
      <w:r>
        <w:rPr>
          <w:rFonts w:ascii="仿宋_GB2312" w:eastAsia="仿宋_GB2312" w:hAnsi="宋体" w:cs="宋体" w:hint="eastAsia"/>
          <w:kern w:val="0"/>
          <w:sz w:val="32"/>
          <w:szCs w:val="32"/>
        </w:rPr>
        <w:t>产出数量</w:t>
      </w:r>
      <w:r>
        <w:rPr>
          <w:rFonts w:ascii="仿宋_GB2312" w:eastAsia="仿宋_GB2312" w:hAnsi="宋体" w:cs="宋体" w:hint="eastAsia"/>
          <w:kern w:val="0"/>
          <w:sz w:val="32"/>
          <w:szCs w:val="32"/>
        </w:rPr>
        <w:t>指标设定为“</w:t>
      </w:r>
      <w:r w:rsidRPr="000F3259">
        <w:rPr>
          <w:rFonts w:ascii="仿宋_GB2312" w:eastAsia="仿宋_GB2312" w:hAnsi="宋体" w:cs="宋体" w:hint="eastAsia"/>
          <w:kern w:val="0"/>
          <w:sz w:val="32"/>
          <w:szCs w:val="32"/>
        </w:rPr>
        <w:t>≥</w:t>
      </w:r>
      <w:r w:rsidRPr="000F3259">
        <w:rPr>
          <w:rFonts w:ascii="仿宋_GB2312" w:eastAsia="仿宋_GB2312" w:hAnsi="宋体" w:cs="宋体" w:hint="eastAsia"/>
          <w:kern w:val="0"/>
          <w:sz w:val="32"/>
          <w:szCs w:val="32"/>
        </w:rPr>
        <w:t>220</w:t>
      </w:r>
      <w:r w:rsidRPr="000F3259">
        <w:rPr>
          <w:rFonts w:ascii="仿宋_GB2312" w:eastAsia="仿宋_GB2312" w:hAnsi="宋体" w:cs="宋体" w:hint="eastAsia"/>
          <w:kern w:val="0"/>
          <w:sz w:val="32"/>
          <w:szCs w:val="32"/>
        </w:rPr>
        <w:t>篇</w:t>
      </w:r>
      <w:r>
        <w:rPr>
          <w:rFonts w:ascii="仿宋_GB2312" w:eastAsia="仿宋_GB2312" w:hAnsi="宋体" w:cs="宋体" w:hint="eastAsia"/>
          <w:kern w:val="0"/>
          <w:sz w:val="32"/>
          <w:szCs w:val="32"/>
        </w:rPr>
        <w:t>”</w:t>
      </w:r>
      <w:r w:rsidRPr="000F3259">
        <w:rPr>
          <w:rFonts w:ascii="仿宋_GB2312" w:eastAsia="仿宋_GB2312" w:hAnsi="宋体" w:cs="宋体"/>
          <w:kern w:val="0"/>
          <w:sz w:val="32"/>
          <w:szCs w:val="32"/>
        </w:rPr>
        <w:t>,</w:t>
      </w:r>
      <w:r>
        <w:rPr>
          <w:rFonts w:ascii="仿宋_GB2312" w:eastAsia="仿宋_GB2312" w:hAnsi="宋体" w:cs="宋体" w:hint="eastAsia"/>
          <w:kern w:val="0"/>
          <w:sz w:val="32"/>
          <w:szCs w:val="32"/>
        </w:rPr>
        <w:t>实际</w:t>
      </w:r>
      <w:r w:rsidRPr="000F3259">
        <w:rPr>
          <w:rFonts w:ascii="仿宋_GB2312" w:eastAsia="仿宋_GB2312" w:hAnsi="宋体" w:cs="宋体" w:hint="eastAsia"/>
          <w:kern w:val="0"/>
          <w:sz w:val="32"/>
          <w:szCs w:val="32"/>
        </w:rPr>
        <w:t>完成</w:t>
      </w:r>
      <w:r w:rsidRPr="000F3259">
        <w:rPr>
          <w:rFonts w:ascii="仿宋_GB2312" w:eastAsia="仿宋_GB2312" w:hAnsi="宋体" w:cs="宋体" w:hint="eastAsia"/>
          <w:kern w:val="0"/>
          <w:sz w:val="32"/>
          <w:szCs w:val="32"/>
        </w:rPr>
        <w:t>215</w:t>
      </w:r>
      <w:r w:rsidRPr="000F3259">
        <w:rPr>
          <w:rFonts w:ascii="仿宋_GB2312" w:eastAsia="仿宋_GB2312" w:hAnsi="宋体" w:cs="宋体" w:hint="eastAsia"/>
          <w:kern w:val="0"/>
          <w:sz w:val="32"/>
          <w:szCs w:val="32"/>
        </w:rPr>
        <w:t>篇</w:t>
      </w:r>
      <w:r>
        <w:rPr>
          <w:rFonts w:ascii="仿宋_GB2312" w:eastAsia="仿宋_GB2312" w:hAnsi="宋体" w:cs="宋体" w:hint="eastAsia"/>
          <w:kern w:val="0"/>
          <w:sz w:val="32"/>
          <w:szCs w:val="32"/>
        </w:rPr>
        <w:t>；</w:t>
      </w:r>
      <w:r w:rsidRPr="000F3259">
        <w:rPr>
          <w:rFonts w:ascii="仿宋_GB2312" w:eastAsia="仿宋_GB2312" w:hAnsi="宋体" w:cs="宋体" w:hint="eastAsia"/>
          <w:kern w:val="0"/>
          <w:sz w:val="32"/>
          <w:szCs w:val="32"/>
        </w:rPr>
        <w:t>农业生物遗传育种专利</w:t>
      </w:r>
      <w:r>
        <w:rPr>
          <w:rFonts w:ascii="仿宋_GB2312" w:eastAsia="仿宋_GB2312" w:hAnsi="宋体" w:cs="宋体" w:hint="eastAsia"/>
          <w:kern w:val="0"/>
          <w:sz w:val="32"/>
          <w:szCs w:val="32"/>
        </w:rPr>
        <w:t>产出数量</w:t>
      </w:r>
      <w:r>
        <w:rPr>
          <w:rFonts w:ascii="仿宋_GB2312" w:eastAsia="仿宋_GB2312" w:hAnsi="宋体" w:cs="宋体" w:hint="eastAsia"/>
          <w:kern w:val="0"/>
          <w:sz w:val="32"/>
          <w:szCs w:val="32"/>
        </w:rPr>
        <w:t>指标设定为“</w:t>
      </w:r>
      <w:r w:rsidRPr="000F3259">
        <w:rPr>
          <w:rFonts w:ascii="仿宋_GB2312" w:eastAsia="仿宋_GB2312" w:hAnsi="宋体" w:cs="宋体" w:hint="eastAsia"/>
          <w:kern w:val="0"/>
          <w:sz w:val="32"/>
          <w:szCs w:val="32"/>
        </w:rPr>
        <w:t>≥</w:t>
      </w:r>
      <w:r w:rsidRPr="000F3259">
        <w:rPr>
          <w:rFonts w:ascii="仿宋_GB2312" w:eastAsia="仿宋_GB2312" w:hAnsi="宋体" w:cs="宋体" w:hint="eastAsia"/>
          <w:kern w:val="0"/>
          <w:sz w:val="32"/>
          <w:szCs w:val="32"/>
        </w:rPr>
        <w:t>19</w:t>
      </w:r>
      <w:r w:rsidRPr="000F3259">
        <w:rPr>
          <w:rFonts w:ascii="仿宋_GB2312" w:eastAsia="仿宋_GB2312" w:hAnsi="宋体" w:cs="宋体" w:hint="eastAsia"/>
          <w:kern w:val="0"/>
          <w:sz w:val="32"/>
          <w:szCs w:val="32"/>
        </w:rPr>
        <w:t>项</w:t>
      </w:r>
      <w:r>
        <w:rPr>
          <w:rFonts w:ascii="仿宋_GB2312" w:eastAsia="仿宋_GB2312" w:hAnsi="宋体" w:cs="宋体" w:hint="eastAsia"/>
          <w:kern w:val="0"/>
          <w:sz w:val="32"/>
          <w:szCs w:val="32"/>
        </w:rPr>
        <w:t>”</w:t>
      </w:r>
      <w:r w:rsidRPr="000F3259">
        <w:rPr>
          <w:rFonts w:ascii="仿宋_GB2312" w:eastAsia="仿宋_GB2312" w:hAnsi="宋体" w:cs="宋体"/>
          <w:kern w:val="0"/>
          <w:sz w:val="32"/>
          <w:szCs w:val="32"/>
        </w:rPr>
        <w:t>,</w:t>
      </w:r>
      <w:r>
        <w:rPr>
          <w:rFonts w:ascii="仿宋_GB2312" w:eastAsia="仿宋_GB2312" w:hAnsi="宋体" w:cs="宋体" w:hint="eastAsia"/>
          <w:kern w:val="0"/>
          <w:sz w:val="32"/>
          <w:szCs w:val="32"/>
        </w:rPr>
        <w:t>实际</w:t>
      </w:r>
      <w:r w:rsidRPr="000F3259">
        <w:rPr>
          <w:rFonts w:ascii="仿宋_GB2312" w:eastAsia="仿宋_GB2312" w:hAnsi="宋体" w:cs="宋体" w:hint="eastAsia"/>
          <w:kern w:val="0"/>
          <w:sz w:val="32"/>
          <w:szCs w:val="32"/>
        </w:rPr>
        <w:t>完成</w:t>
      </w:r>
      <w:r w:rsidRPr="000F3259">
        <w:rPr>
          <w:rFonts w:ascii="仿宋_GB2312" w:eastAsia="仿宋_GB2312" w:hAnsi="宋体" w:cs="宋体" w:hint="eastAsia"/>
          <w:kern w:val="0"/>
          <w:sz w:val="32"/>
          <w:szCs w:val="32"/>
        </w:rPr>
        <w:t>18</w:t>
      </w:r>
      <w:r w:rsidRPr="000F3259">
        <w:rPr>
          <w:rFonts w:ascii="仿宋_GB2312" w:eastAsia="仿宋_GB2312" w:hAnsi="宋体" w:cs="宋体" w:hint="eastAsia"/>
          <w:kern w:val="0"/>
          <w:sz w:val="32"/>
          <w:szCs w:val="32"/>
        </w:rPr>
        <w:t>项。</w:t>
      </w:r>
    </w:p>
    <w:p w:rsidR="006A3C12" w:rsidRDefault="00244ACC">
      <w:pPr>
        <w:pStyle w:val="a0"/>
        <w:ind w:firstLineChars="200" w:firstLine="640"/>
      </w:pPr>
      <w:r>
        <w:rPr>
          <w:rFonts w:ascii="仿宋_GB2312" w:eastAsia="仿宋_GB2312" w:hAnsi="宋体" w:cs="宋体" w:hint="eastAsia"/>
          <w:color w:val="000000"/>
          <w:kern w:val="0"/>
          <w:sz w:val="32"/>
          <w:szCs w:val="32"/>
        </w:rPr>
        <w:t>综上，</w:t>
      </w:r>
      <w:r>
        <w:rPr>
          <w:rFonts w:ascii="仿宋_GB2312" w:eastAsia="仿宋_GB2312" w:hAnsi="宋体" w:cs="宋体" w:hint="eastAsia"/>
          <w:color w:val="000000"/>
          <w:kern w:val="0"/>
          <w:sz w:val="32"/>
          <w:szCs w:val="32"/>
        </w:rPr>
        <w:t>除</w:t>
      </w:r>
      <w:r>
        <w:rPr>
          <w:rFonts w:ascii="仿宋_GB2312" w:eastAsia="仿宋_GB2312" w:hAnsi="宋体" w:cs="宋体" w:hint="eastAsia"/>
          <w:color w:val="000000"/>
          <w:kern w:val="0"/>
          <w:sz w:val="32"/>
          <w:szCs w:val="32"/>
        </w:rPr>
        <w:t>上述</w:t>
      </w:r>
      <w:r>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项</w:t>
      </w:r>
      <w:r>
        <w:rPr>
          <w:rFonts w:ascii="仿宋_GB2312" w:eastAsia="仿宋_GB2312" w:hAnsi="宋体" w:cs="宋体" w:hint="eastAsia"/>
          <w:color w:val="000000"/>
          <w:kern w:val="0"/>
          <w:sz w:val="32"/>
          <w:szCs w:val="32"/>
        </w:rPr>
        <w:t>外，市农林科学院较好地完成了</w:t>
      </w:r>
      <w:r>
        <w:rPr>
          <w:rFonts w:ascii="仿宋_GB2312" w:eastAsia="仿宋_GB2312" w:hAnsi="宋体" w:cs="宋体" w:hint="eastAsia"/>
          <w:color w:val="000000"/>
          <w:kern w:val="0"/>
          <w:sz w:val="32"/>
          <w:szCs w:val="32"/>
        </w:rPr>
        <w:t>2024</w:t>
      </w:r>
      <w:r>
        <w:rPr>
          <w:rFonts w:ascii="仿宋_GB2312" w:eastAsia="仿宋_GB2312" w:hAnsi="宋体" w:cs="宋体" w:hint="eastAsia"/>
          <w:color w:val="000000"/>
          <w:kern w:val="0"/>
          <w:sz w:val="32"/>
          <w:szCs w:val="32"/>
        </w:rPr>
        <w:t>年各项产出数量指标的要求。</w:t>
      </w:r>
    </w:p>
    <w:p w:rsidR="006A3C12" w:rsidRDefault="00244ACC">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产出质量</w:t>
      </w:r>
    </w:p>
    <w:p w:rsidR="006A3C12" w:rsidRDefault="00244ACC">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该项指标分值</w:t>
      </w:r>
      <w:r>
        <w:rPr>
          <w:rFonts w:ascii="仿宋_GB2312" w:eastAsia="仿宋_GB2312" w:hAnsi="宋体" w:cs="宋体" w:hint="eastAsia"/>
          <w:color w:val="000000"/>
          <w:kern w:val="0"/>
          <w:sz w:val="32"/>
          <w:szCs w:val="32"/>
        </w:rPr>
        <w:t>10.00</w:t>
      </w:r>
      <w:r>
        <w:rPr>
          <w:rFonts w:ascii="仿宋_GB2312" w:eastAsia="仿宋_GB2312" w:hAnsi="宋体" w:cs="宋体" w:hint="eastAsia"/>
          <w:color w:val="000000"/>
          <w:kern w:val="0"/>
          <w:sz w:val="32"/>
          <w:szCs w:val="32"/>
        </w:rPr>
        <w:t>分，评价得分</w:t>
      </w:r>
      <w:r>
        <w:rPr>
          <w:rFonts w:ascii="仿宋_GB2312" w:eastAsia="仿宋_GB2312" w:hAnsi="宋体" w:cs="宋体" w:hint="eastAsia"/>
          <w:color w:val="000000"/>
          <w:kern w:val="0"/>
          <w:sz w:val="32"/>
          <w:szCs w:val="32"/>
        </w:rPr>
        <w:t>10.00</w:t>
      </w:r>
      <w:r>
        <w:rPr>
          <w:rFonts w:ascii="仿宋_GB2312" w:eastAsia="仿宋_GB2312" w:hAnsi="宋体" w:cs="宋体" w:hint="eastAsia"/>
          <w:color w:val="000000"/>
          <w:kern w:val="0"/>
          <w:sz w:val="32"/>
          <w:szCs w:val="32"/>
        </w:rPr>
        <w:t>分，</w:t>
      </w:r>
      <w:r>
        <w:rPr>
          <w:rFonts w:ascii="仿宋_GB2312" w:eastAsia="仿宋_GB2312" w:hAnsi="宋体" w:cs="宋体" w:hint="eastAsia"/>
          <w:color w:val="000000"/>
          <w:kern w:val="0"/>
          <w:sz w:val="32"/>
          <w:szCs w:val="32"/>
        </w:rPr>
        <w:t>13</w:t>
      </w:r>
      <w:r>
        <w:rPr>
          <w:rFonts w:ascii="仿宋_GB2312" w:eastAsia="仿宋_GB2312" w:hAnsi="宋体" w:cs="宋体" w:hint="eastAsia"/>
          <w:color w:val="000000"/>
          <w:kern w:val="0"/>
          <w:sz w:val="32"/>
          <w:szCs w:val="32"/>
        </w:rPr>
        <w:t>个分项任务指标均按计划完成</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特别是</w:t>
      </w:r>
      <w:r>
        <w:rPr>
          <w:rFonts w:ascii="仿宋_GB2312" w:eastAsia="仿宋_GB2312" w:hAnsi="宋体" w:cs="宋体" w:hint="eastAsia"/>
          <w:kern w:val="0"/>
          <w:sz w:val="32"/>
          <w:szCs w:val="32"/>
        </w:rPr>
        <w:t>人才计划资助、农业绿色发展</w:t>
      </w: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智慧农业</w:t>
      </w: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农产品加工领域</w:t>
      </w:r>
      <w:r>
        <w:rPr>
          <w:rFonts w:ascii="仿宋_GB2312" w:eastAsia="仿宋_GB2312" w:hAnsi="宋体" w:cs="宋体" w:hint="eastAsia"/>
          <w:kern w:val="0"/>
          <w:sz w:val="32"/>
          <w:szCs w:val="32"/>
        </w:rPr>
        <w:t>等</w:t>
      </w:r>
      <w:r>
        <w:rPr>
          <w:rFonts w:ascii="仿宋_GB2312" w:eastAsia="仿宋_GB2312" w:hAnsi="宋体" w:cs="宋体" w:hint="eastAsia"/>
          <w:kern w:val="0"/>
          <w:sz w:val="32"/>
          <w:szCs w:val="32"/>
        </w:rPr>
        <w:t>完成质量优异，彰</w:t>
      </w:r>
      <w:proofErr w:type="gramStart"/>
      <w:r>
        <w:rPr>
          <w:rFonts w:ascii="仿宋_GB2312" w:eastAsia="仿宋_GB2312" w:hAnsi="宋体" w:cs="宋体" w:hint="eastAsia"/>
          <w:kern w:val="0"/>
          <w:sz w:val="32"/>
          <w:szCs w:val="32"/>
        </w:rPr>
        <w:t>显科研</w:t>
      </w:r>
      <w:proofErr w:type="gramEnd"/>
      <w:r>
        <w:rPr>
          <w:rFonts w:ascii="仿宋_GB2312" w:eastAsia="仿宋_GB2312" w:hAnsi="宋体" w:cs="宋体" w:hint="eastAsia"/>
          <w:kern w:val="0"/>
          <w:sz w:val="32"/>
          <w:szCs w:val="32"/>
        </w:rPr>
        <w:t>创新实力。</w:t>
      </w:r>
    </w:p>
    <w:p w:rsidR="006A3C12" w:rsidRDefault="00244ACC">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产出</w:t>
      </w:r>
      <w:r>
        <w:rPr>
          <w:rFonts w:ascii="仿宋_GB2312" w:eastAsia="仿宋_GB2312" w:hAnsi="宋体" w:cs="宋体"/>
          <w:color w:val="000000"/>
          <w:kern w:val="0"/>
          <w:sz w:val="32"/>
          <w:szCs w:val="32"/>
        </w:rPr>
        <w:t>进度</w:t>
      </w:r>
    </w:p>
    <w:p w:rsidR="006A3C12" w:rsidRDefault="00244ACC">
      <w:pPr>
        <w:numPr>
          <w:ilvl w:val="255"/>
          <w:numId w:val="0"/>
        </w:numPr>
        <w:spacing w:line="600" w:lineRule="exact"/>
        <w:ind w:firstLineChars="200" w:firstLine="640"/>
        <w:rPr>
          <w:rFonts w:ascii="仿宋_GB2312" w:eastAsia="仿宋_GB2312" w:hAnsi="仿宋_GB2312" w:cs="仿宋_GB2312"/>
          <w:sz w:val="32"/>
          <w:szCs w:val="32"/>
        </w:rPr>
      </w:pPr>
      <w:r>
        <w:rPr>
          <w:rFonts w:ascii="仿宋_GB2312" w:eastAsia="仿宋_GB2312" w:hAnsi="宋体" w:cs="宋体" w:hint="eastAsia"/>
          <w:color w:val="000000"/>
          <w:kern w:val="0"/>
          <w:sz w:val="32"/>
          <w:szCs w:val="32"/>
        </w:rPr>
        <w:t>该项指标分值</w:t>
      </w:r>
      <w:r>
        <w:rPr>
          <w:rFonts w:ascii="仿宋_GB2312" w:eastAsia="仿宋_GB2312" w:hAnsi="宋体" w:cs="宋体" w:hint="eastAsia"/>
          <w:color w:val="000000"/>
          <w:kern w:val="0"/>
          <w:sz w:val="32"/>
          <w:szCs w:val="32"/>
        </w:rPr>
        <w:t>5.00</w:t>
      </w:r>
      <w:r>
        <w:rPr>
          <w:rFonts w:ascii="仿宋_GB2312" w:eastAsia="仿宋_GB2312" w:hAnsi="宋体" w:cs="宋体" w:hint="eastAsia"/>
          <w:color w:val="000000"/>
          <w:kern w:val="0"/>
          <w:sz w:val="32"/>
          <w:szCs w:val="32"/>
        </w:rPr>
        <w:t>分，评价得分</w:t>
      </w:r>
      <w:r>
        <w:rPr>
          <w:rFonts w:ascii="仿宋_GB2312" w:eastAsia="仿宋_GB2312" w:hAnsi="宋体" w:cs="宋体" w:hint="eastAsia"/>
          <w:color w:val="000000"/>
          <w:kern w:val="0"/>
          <w:sz w:val="32"/>
          <w:szCs w:val="32"/>
        </w:rPr>
        <w:t>4.90</w:t>
      </w:r>
      <w:r>
        <w:rPr>
          <w:rFonts w:ascii="仿宋_GB2312" w:eastAsia="仿宋_GB2312" w:hAnsi="宋体" w:cs="宋体" w:hint="eastAsia"/>
          <w:color w:val="000000"/>
          <w:kern w:val="0"/>
          <w:sz w:val="32"/>
          <w:szCs w:val="32"/>
        </w:rPr>
        <w:t>分。一共有</w:t>
      </w:r>
      <w:r>
        <w:rPr>
          <w:rFonts w:ascii="仿宋_GB2312" w:eastAsia="仿宋_GB2312" w:hAnsi="宋体" w:cs="宋体" w:hint="eastAsia"/>
          <w:color w:val="000000"/>
          <w:kern w:val="0"/>
          <w:sz w:val="32"/>
          <w:szCs w:val="32"/>
        </w:rPr>
        <w:t>10</w:t>
      </w:r>
      <w:r>
        <w:rPr>
          <w:rFonts w:ascii="仿宋_GB2312" w:eastAsia="仿宋_GB2312" w:hAnsi="宋体" w:cs="宋体" w:hint="eastAsia"/>
          <w:color w:val="000000"/>
          <w:kern w:val="0"/>
          <w:sz w:val="32"/>
          <w:szCs w:val="32"/>
        </w:rPr>
        <w:lastRenderedPageBreak/>
        <w:t>个分项，其中</w:t>
      </w:r>
      <w:r>
        <w:rPr>
          <w:rFonts w:ascii="仿宋_GB2312" w:eastAsia="仿宋_GB2312" w:hAnsi="宋体" w:cs="宋体" w:hint="eastAsia"/>
          <w:color w:val="000000"/>
          <w:kern w:val="0"/>
          <w:sz w:val="32"/>
          <w:szCs w:val="32"/>
        </w:rPr>
        <w:t>9</w:t>
      </w:r>
      <w:r>
        <w:rPr>
          <w:rFonts w:ascii="仿宋_GB2312" w:eastAsia="仿宋_GB2312" w:hAnsi="宋体" w:cs="宋体" w:hint="eastAsia"/>
          <w:color w:val="000000"/>
          <w:kern w:val="0"/>
          <w:sz w:val="32"/>
          <w:szCs w:val="32"/>
        </w:rPr>
        <w:t>个分项任务指标及时完成，</w:t>
      </w: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个分项完成时间略有延迟。</w:t>
      </w:r>
      <w:r>
        <w:rPr>
          <w:rFonts w:ascii="仿宋_GB2312" w:eastAsia="仿宋_GB2312" w:hAnsi="宋体" w:cs="宋体" w:hint="eastAsia"/>
          <w:color w:val="000000"/>
          <w:kern w:val="0"/>
          <w:sz w:val="32"/>
          <w:szCs w:val="32"/>
        </w:rPr>
        <w:t>除市农林科学院数字电话线路建设项目外，市农科院</w:t>
      </w:r>
      <w:r>
        <w:rPr>
          <w:rFonts w:ascii="仿宋_GB2312" w:eastAsia="仿宋_GB2312" w:hAnsi="仿宋_GB2312" w:cs="仿宋_GB2312" w:hint="eastAsia"/>
          <w:sz w:val="32"/>
          <w:szCs w:val="32"/>
        </w:rPr>
        <w:t>按照</w:t>
      </w:r>
      <w:r>
        <w:rPr>
          <w:rFonts w:ascii="仿宋_GB2312" w:eastAsia="仿宋_GB2312" w:hAnsi="仿宋_GB2312" w:cs="仿宋_GB2312" w:hint="eastAsia"/>
          <w:sz w:val="32"/>
          <w:szCs w:val="32"/>
        </w:rPr>
        <w:t>2024</w:t>
      </w:r>
      <w:r>
        <w:rPr>
          <w:rFonts w:ascii="仿宋_GB2312" w:eastAsia="仿宋_GB2312" w:hAnsi="仿宋_GB2312" w:cs="仿宋_GB2312" w:hint="eastAsia"/>
          <w:sz w:val="32"/>
          <w:szCs w:val="32"/>
        </w:rPr>
        <w:t>年度主要工作任务和计划进度安排，有序实施各项工作，完成了</w:t>
      </w:r>
      <w:r>
        <w:rPr>
          <w:rFonts w:ascii="仿宋_GB2312" w:eastAsia="仿宋_GB2312" w:hAnsi="宋体" w:cs="宋体" w:hint="eastAsia"/>
          <w:color w:val="000000"/>
          <w:kern w:val="0"/>
          <w:sz w:val="32"/>
          <w:szCs w:val="32"/>
        </w:rPr>
        <w:t>2024</w:t>
      </w:r>
      <w:r>
        <w:rPr>
          <w:rFonts w:ascii="仿宋_GB2312" w:eastAsia="仿宋_GB2312" w:hAnsi="宋体" w:cs="宋体" w:hint="eastAsia"/>
          <w:color w:val="000000"/>
          <w:kern w:val="0"/>
          <w:sz w:val="32"/>
          <w:szCs w:val="32"/>
        </w:rPr>
        <w:t>年</w:t>
      </w:r>
      <w:r>
        <w:rPr>
          <w:rFonts w:ascii="仿宋_GB2312" w:eastAsia="仿宋_GB2312" w:hAnsi="仿宋_GB2312" w:cs="仿宋_GB2312" w:hint="eastAsia"/>
          <w:sz w:val="32"/>
          <w:szCs w:val="32"/>
        </w:rPr>
        <w:t>各项目产出进度指标的要求。</w:t>
      </w:r>
    </w:p>
    <w:p w:rsidR="006A3C12" w:rsidRDefault="00244ACC">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4.</w:t>
      </w:r>
      <w:r>
        <w:rPr>
          <w:rFonts w:ascii="仿宋_GB2312" w:eastAsia="仿宋_GB2312" w:hAnsi="宋体" w:cs="宋体" w:hint="eastAsia"/>
          <w:color w:val="000000"/>
          <w:kern w:val="0"/>
          <w:sz w:val="32"/>
          <w:szCs w:val="32"/>
        </w:rPr>
        <w:t>产出</w:t>
      </w:r>
      <w:r>
        <w:rPr>
          <w:rFonts w:ascii="仿宋_GB2312" w:eastAsia="仿宋_GB2312" w:hAnsi="宋体" w:cs="宋体"/>
          <w:color w:val="000000"/>
          <w:kern w:val="0"/>
          <w:sz w:val="32"/>
          <w:szCs w:val="32"/>
        </w:rPr>
        <w:t>成本</w:t>
      </w:r>
    </w:p>
    <w:p w:rsidR="006A3C12" w:rsidRDefault="00244ACC">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该项指标分值</w:t>
      </w:r>
      <w:r>
        <w:rPr>
          <w:rFonts w:ascii="仿宋_GB2312" w:eastAsia="仿宋_GB2312" w:hAnsi="宋体" w:cs="宋体" w:hint="eastAsia"/>
          <w:color w:val="000000"/>
          <w:kern w:val="0"/>
          <w:sz w:val="32"/>
          <w:szCs w:val="32"/>
        </w:rPr>
        <w:t>5.00</w:t>
      </w:r>
      <w:r>
        <w:rPr>
          <w:rFonts w:ascii="仿宋_GB2312" w:eastAsia="仿宋_GB2312" w:hAnsi="宋体" w:cs="宋体" w:hint="eastAsia"/>
          <w:color w:val="000000"/>
          <w:kern w:val="0"/>
          <w:sz w:val="32"/>
          <w:szCs w:val="32"/>
        </w:rPr>
        <w:t>分，评价得分</w:t>
      </w:r>
      <w:r>
        <w:rPr>
          <w:rFonts w:ascii="仿宋_GB2312" w:eastAsia="仿宋_GB2312" w:hAnsi="宋体" w:cs="宋体" w:hint="eastAsia"/>
          <w:color w:val="000000"/>
          <w:kern w:val="0"/>
          <w:sz w:val="32"/>
          <w:szCs w:val="32"/>
        </w:rPr>
        <w:t>5.00</w:t>
      </w:r>
      <w:r>
        <w:rPr>
          <w:rFonts w:ascii="仿宋_GB2312" w:eastAsia="仿宋_GB2312" w:hAnsi="宋体" w:cs="宋体" w:hint="eastAsia"/>
          <w:color w:val="000000"/>
          <w:kern w:val="0"/>
          <w:sz w:val="32"/>
          <w:szCs w:val="32"/>
        </w:rPr>
        <w:t>分。</w:t>
      </w:r>
    </w:p>
    <w:p w:rsidR="006A3C12" w:rsidRDefault="00244ACC">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市农林院</w:t>
      </w:r>
      <w:r>
        <w:rPr>
          <w:rFonts w:ascii="仿宋_GB2312" w:eastAsia="仿宋_GB2312" w:hAnsi="宋体" w:cs="宋体" w:hint="eastAsia"/>
          <w:color w:val="000000"/>
          <w:kern w:val="0"/>
          <w:sz w:val="32"/>
          <w:szCs w:val="32"/>
        </w:rPr>
        <w:t>2024</w:t>
      </w:r>
      <w:r>
        <w:rPr>
          <w:rFonts w:ascii="仿宋_GB2312" w:eastAsia="仿宋_GB2312" w:hAnsi="宋体" w:cs="宋体" w:hint="eastAsia"/>
          <w:color w:val="000000"/>
          <w:kern w:val="0"/>
          <w:sz w:val="32"/>
          <w:szCs w:val="32"/>
        </w:rPr>
        <w:t>年工作任务实施成本能够按照预期绩效目标进行控制；</w:t>
      </w:r>
      <w:r>
        <w:rPr>
          <w:rFonts w:ascii="仿宋_GB2312" w:eastAsia="仿宋_GB2312" w:hAnsi="宋体" w:cs="宋体" w:hint="eastAsia"/>
          <w:color w:val="000000"/>
          <w:kern w:val="0"/>
          <w:sz w:val="32"/>
          <w:szCs w:val="32"/>
        </w:rPr>
        <w:t>严格按照全年预算控制各项支出，同时按照政府采购程序执行，落实过“紧日子”要求，细化各项开支标准和范围</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成本控制措施比较到位。</w:t>
      </w:r>
    </w:p>
    <w:p w:rsidR="006A3C12" w:rsidRDefault="00244ACC">
      <w:pPr>
        <w:spacing w:line="600" w:lineRule="exact"/>
        <w:ind w:firstLineChars="200" w:firstLine="640"/>
        <w:outlineLvl w:val="1"/>
        <w:rPr>
          <w:rFonts w:ascii="楷体_GB2312" w:eastAsia="楷体_GB2312"/>
          <w:sz w:val="32"/>
          <w:szCs w:val="32"/>
        </w:rPr>
      </w:pPr>
      <w:bookmarkStart w:id="11" w:name="_Toc26184"/>
      <w:r>
        <w:rPr>
          <w:rFonts w:ascii="楷体_GB2312" w:eastAsia="楷体_GB2312" w:hint="eastAsia"/>
          <w:sz w:val="32"/>
          <w:szCs w:val="32"/>
        </w:rPr>
        <w:t>（二）效果</w:t>
      </w:r>
      <w:r>
        <w:rPr>
          <w:rFonts w:ascii="楷体_GB2312" w:eastAsia="楷体_GB2312"/>
          <w:sz w:val="32"/>
          <w:szCs w:val="32"/>
        </w:rPr>
        <w:t>实现情况分析</w:t>
      </w:r>
      <w:bookmarkEnd w:id="11"/>
    </w:p>
    <w:p w:rsidR="000F3259" w:rsidRDefault="00244ACC">
      <w:pPr>
        <w:spacing w:line="600" w:lineRule="exact"/>
        <w:ind w:firstLineChars="200" w:firstLine="640"/>
        <w:rPr>
          <w:rFonts w:ascii="仿宋_GB2312" w:eastAsia="仿宋_GB2312" w:hAnsi="仿宋_GB2312" w:cs="仿宋_GB2312" w:hint="eastAsia"/>
          <w:color w:val="000000"/>
          <w:kern w:val="0"/>
          <w:sz w:val="32"/>
          <w:szCs w:val="32"/>
        </w:rPr>
      </w:pPr>
      <w:r>
        <w:rPr>
          <w:rFonts w:ascii="仿宋_GB2312" w:eastAsia="仿宋_GB2312" w:hAnsi="仿宋_GB2312" w:cs="仿宋_GB2312" w:hint="eastAsia"/>
          <w:color w:val="000000"/>
          <w:kern w:val="0"/>
          <w:sz w:val="32"/>
          <w:szCs w:val="32"/>
        </w:rPr>
        <w:t>1.</w:t>
      </w:r>
      <w:r>
        <w:rPr>
          <w:rFonts w:ascii="仿宋_GB2312" w:eastAsia="仿宋_GB2312" w:hAnsi="仿宋_GB2312" w:cs="仿宋_GB2312" w:hint="eastAsia"/>
          <w:color w:val="000000"/>
          <w:kern w:val="0"/>
          <w:sz w:val="32"/>
          <w:szCs w:val="32"/>
        </w:rPr>
        <w:t>社会效益</w:t>
      </w:r>
      <w:bookmarkStart w:id="12" w:name="_Hlk103340210"/>
    </w:p>
    <w:p w:rsidR="006A3C12" w:rsidRDefault="00244ACC">
      <w:pPr>
        <w:spacing w:line="60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该项指标分值</w:t>
      </w:r>
      <w:r>
        <w:rPr>
          <w:rFonts w:ascii="仿宋_GB2312" w:eastAsia="仿宋_GB2312" w:hAnsi="仿宋_GB2312" w:cs="仿宋_GB2312" w:hint="eastAsia"/>
          <w:color w:val="000000"/>
          <w:kern w:val="0"/>
          <w:sz w:val="32"/>
          <w:szCs w:val="32"/>
        </w:rPr>
        <w:t>10.00</w:t>
      </w:r>
      <w:r>
        <w:rPr>
          <w:rFonts w:ascii="仿宋_GB2312" w:eastAsia="仿宋_GB2312" w:hAnsi="仿宋_GB2312" w:cs="仿宋_GB2312" w:hint="eastAsia"/>
          <w:color w:val="000000"/>
          <w:kern w:val="0"/>
          <w:sz w:val="32"/>
          <w:szCs w:val="32"/>
        </w:rPr>
        <w:t>分，评价得分</w:t>
      </w:r>
      <w:r>
        <w:rPr>
          <w:rFonts w:ascii="仿宋_GB2312" w:eastAsia="仿宋_GB2312" w:hAnsi="仿宋_GB2312" w:cs="仿宋_GB2312" w:hint="eastAsia"/>
          <w:color w:val="000000"/>
          <w:kern w:val="0"/>
          <w:sz w:val="32"/>
          <w:szCs w:val="32"/>
        </w:rPr>
        <w:t>9.30</w:t>
      </w:r>
      <w:r>
        <w:rPr>
          <w:rFonts w:ascii="仿宋_GB2312" w:eastAsia="仿宋_GB2312" w:hAnsi="仿宋_GB2312" w:cs="仿宋_GB2312" w:hint="eastAsia"/>
          <w:color w:val="000000"/>
          <w:kern w:val="0"/>
          <w:sz w:val="32"/>
          <w:szCs w:val="32"/>
        </w:rPr>
        <w:t>分。</w:t>
      </w:r>
      <w:bookmarkEnd w:id="12"/>
    </w:p>
    <w:p w:rsidR="006A3C12" w:rsidRDefault="00244ACC">
      <w:pPr>
        <w:spacing w:line="60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市农科院充分发挥农业科技创新引领作用，各项工作取得显著成效。在科技支撑方面，为全市党员干部现代远程教育提供稳定可靠的技术保障，农业科技网络课堂辐射全国多个省市，服务</w:t>
      </w:r>
      <w:proofErr w:type="gramStart"/>
      <w:r>
        <w:rPr>
          <w:rFonts w:ascii="仿宋_GB2312" w:eastAsia="仿宋_GB2312" w:hAnsi="仿宋_GB2312" w:cs="仿宋_GB2312" w:hint="eastAsia"/>
          <w:color w:val="000000"/>
          <w:kern w:val="0"/>
          <w:sz w:val="32"/>
          <w:szCs w:val="32"/>
        </w:rPr>
        <w:t>基层超</w:t>
      </w:r>
      <w:proofErr w:type="gramEnd"/>
      <w:r>
        <w:rPr>
          <w:rFonts w:ascii="仿宋_GB2312" w:eastAsia="仿宋_GB2312" w:hAnsi="仿宋_GB2312" w:cs="仿宋_GB2312" w:hint="eastAsia"/>
          <w:color w:val="000000"/>
          <w:kern w:val="0"/>
          <w:sz w:val="32"/>
          <w:szCs w:val="32"/>
        </w:rPr>
        <w:t>60</w:t>
      </w:r>
      <w:r>
        <w:rPr>
          <w:rFonts w:ascii="仿宋_GB2312" w:eastAsia="仿宋_GB2312" w:hAnsi="仿宋_GB2312" w:cs="仿宋_GB2312" w:hint="eastAsia"/>
          <w:color w:val="000000"/>
          <w:kern w:val="0"/>
          <w:sz w:val="32"/>
          <w:szCs w:val="32"/>
        </w:rPr>
        <w:t>万人次。在育种创新领域</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现代农业信息技术研发</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农业技术应用</w:t>
      </w:r>
      <w:r>
        <w:rPr>
          <w:rFonts w:ascii="仿宋_GB2312" w:eastAsia="仿宋_GB2312" w:hAnsi="仿宋_GB2312" w:cs="仿宋_GB2312" w:hint="eastAsia"/>
          <w:color w:val="000000"/>
          <w:kern w:val="0"/>
          <w:sz w:val="32"/>
          <w:szCs w:val="32"/>
        </w:rPr>
        <w:t>方面</w:t>
      </w:r>
      <w:r>
        <w:rPr>
          <w:rFonts w:ascii="仿宋_GB2312" w:eastAsia="仿宋_GB2312" w:hAnsi="仿宋_GB2312" w:cs="仿宋_GB2312" w:hint="eastAsia"/>
          <w:color w:val="000000"/>
          <w:kern w:val="0"/>
          <w:sz w:val="32"/>
          <w:szCs w:val="32"/>
        </w:rPr>
        <w:t>成效显著。通过全年工作的扎实推进，有效促进了农业科技成果转化应用，为现代农业发展和乡村振兴提供了强有力的科技支撑，社会效益显著。</w:t>
      </w:r>
    </w:p>
    <w:p w:rsidR="006A3C12" w:rsidRDefault="00244ACC">
      <w:pPr>
        <w:spacing w:line="60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2.</w:t>
      </w:r>
      <w:r>
        <w:rPr>
          <w:rFonts w:ascii="仿宋_GB2312" w:eastAsia="仿宋_GB2312" w:hAnsi="仿宋_GB2312" w:cs="仿宋_GB2312" w:hint="eastAsia"/>
          <w:color w:val="000000"/>
          <w:kern w:val="0"/>
          <w:sz w:val="32"/>
          <w:szCs w:val="32"/>
        </w:rPr>
        <w:t>可持续性影响</w:t>
      </w:r>
    </w:p>
    <w:p w:rsidR="006A3C12" w:rsidRDefault="00244ACC">
      <w:pPr>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该项指标分值</w:t>
      </w:r>
      <w:r>
        <w:rPr>
          <w:rFonts w:ascii="仿宋_GB2312" w:eastAsia="仿宋_GB2312" w:hAnsi="仿宋_GB2312" w:cs="仿宋_GB2312" w:hint="eastAsia"/>
          <w:color w:val="000000"/>
          <w:kern w:val="0"/>
          <w:sz w:val="32"/>
          <w:szCs w:val="32"/>
        </w:rPr>
        <w:t>10.00</w:t>
      </w:r>
      <w:r>
        <w:rPr>
          <w:rFonts w:ascii="仿宋_GB2312" w:eastAsia="仿宋_GB2312" w:hAnsi="仿宋_GB2312" w:cs="仿宋_GB2312" w:hint="eastAsia"/>
          <w:color w:val="000000"/>
          <w:kern w:val="0"/>
          <w:sz w:val="32"/>
          <w:szCs w:val="32"/>
        </w:rPr>
        <w:t>分，评价得分</w:t>
      </w:r>
      <w:r>
        <w:rPr>
          <w:rFonts w:ascii="仿宋_GB2312" w:eastAsia="仿宋_GB2312" w:hAnsi="仿宋_GB2312" w:cs="仿宋_GB2312" w:hint="eastAsia"/>
          <w:color w:val="000000"/>
          <w:kern w:val="0"/>
          <w:sz w:val="32"/>
          <w:szCs w:val="32"/>
        </w:rPr>
        <w:t>9.80</w:t>
      </w:r>
      <w:r>
        <w:rPr>
          <w:rFonts w:ascii="仿宋_GB2312" w:eastAsia="仿宋_GB2312" w:hAnsi="仿宋_GB2312" w:cs="仿宋_GB2312" w:hint="eastAsia"/>
          <w:color w:val="000000"/>
          <w:kern w:val="0"/>
          <w:sz w:val="32"/>
          <w:szCs w:val="32"/>
        </w:rPr>
        <w:t>分。</w:t>
      </w:r>
    </w:p>
    <w:p w:rsidR="006A3C12" w:rsidRDefault="00244ACC">
      <w:pPr>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lastRenderedPageBreak/>
        <w:t>市农科院持续深化科技兴农战略，充分发挥农业科技创新引领作用。通过构建多层级科技示范服务体系，加速科技成果转化应用。</w:t>
      </w:r>
      <w:r>
        <w:rPr>
          <w:rFonts w:ascii="仿宋_GB2312" w:eastAsia="仿宋_GB2312" w:hAnsi="仿宋_GB2312" w:cs="仿宋_GB2312" w:hint="eastAsia"/>
          <w:color w:val="000000"/>
          <w:kern w:val="0"/>
          <w:sz w:val="32"/>
          <w:szCs w:val="32"/>
        </w:rPr>
        <w:t>充分发挥</w:t>
      </w:r>
      <w:r>
        <w:rPr>
          <w:rFonts w:ascii="仿宋_GB2312" w:eastAsia="仿宋_GB2312" w:hAnsi="仿宋_GB2312" w:cs="仿宋_GB2312" w:hint="eastAsia"/>
          <w:color w:val="000000"/>
          <w:kern w:val="0"/>
          <w:sz w:val="32"/>
          <w:szCs w:val="32"/>
        </w:rPr>
        <w:t>科普教育功能，为农业现代化和乡村振兴提供了</w:t>
      </w:r>
      <w:proofErr w:type="gramStart"/>
      <w:r>
        <w:rPr>
          <w:rFonts w:ascii="仿宋_GB2312" w:eastAsia="仿宋_GB2312" w:hAnsi="仿宋_GB2312" w:cs="仿宋_GB2312" w:hint="eastAsia"/>
          <w:color w:val="000000"/>
          <w:kern w:val="0"/>
          <w:sz w:val="32"/>
          <w:szCs w:val="32"/>
        </w:rPr>
        <w:t>有力科技</w:t>
      </w:r>
      <w:proofErr w:type="gramEnd"/>
      <w:r>
        <w:rPr>
          <w:rFonts w:ascii="仿宋_GB2312" w:eastAsia="仿宋_GB2312" w:hAnsi="仿宋_GB2312" w:cs="仿宋_GB2312" w:hint="eastAsia"/>
          <w:color w:val="000000"/>
          <w:kern w:val="0"/>
          <w:sz w:val="32"/>
          <w:szCs w:val="32"/>
        </w:rPr>
        <w:t>支撑，产生了良好的可持续影响。</w:t>
      </w:r>
    </w:p>
    <w:p w:rsidR="006A3C12" w:rsidRDefault="00244ACC">
      <w:pPr>
        <w:spacing w:line="60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3.</w:t>
      </w:r>
      <w:r>
        <w:rPr>
          <w:rFonts w:ascii="仿宋_GB2312" w:eastAsia="仿宋_GB2312" w:hAnsi="仿宋_GB2312" w:cs="仿宋_GB2312" w:hint="eastAsia"/>
          <w:color w:val="000000"/>
          <w:kern w:val="0"/>
          <w:sz w:val="32"/>
          <w:szCs w:val="32"/>
        </w:rPr>
        <w:t>服务对象满意度</w:t>
      </w:r>
    </w:p>
    <w:p w:rsidR="006A3C12" w:rsidRDefault="00244ACC">
      <w:pPr>
        <w:spacing w:line="60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该项指标分值</w:t>
      </w:r>
      <w:r>
        <w:rPr>
          <w:rFonts w:ascii="仿宋_GB2312" w:eastAsia="仿宋_GB2312" w:hAnsi="仿宋_GB2312" w:cs="仿宋_GB2312" w:hint="eastAsia"/>
          <w:color w:val="000000"/>
          <w:kern w:val="0"/>
          <w:sz w:val="32"/>
          <w:szCs w:val="32"/>
        </w:rPr>
        <w:t>10.00</w:t>
      </w:r>
      <w:r>
        <w:rPr>
          <w:rFonts w:ascii="仿宋_GB2312" w:eastAsia="仿宋_GB2312" w:hAnsi="仿宋_GB2312" w:cs="仿宋_GB2312" w:hint="eastAsia"/>
          <w:color w:val="000000"/>
          <w:kern w:val="0"/>
          <w:sz w:val="32"/>
          <w:szCs w:val="32"/>
        </w:rPr>
        <w:t>分，评价得分</w:t>
      </w:r>
      <w:r>
        <w:rPr>
          <w:rFonts w:ascii="仿宋_GB2312" w:eastAsia="仿宋_GB2312" w:hAnsi="仿宋_GB2312" w:cs="仿宋_GB2312" w:hint="eastAsia"/>
          <w:color w:val="000000"/>
          <w:kern w:val="0"/>
          <w:sz w:val="32"/>
          <w:szCs w:val="32"/>
        </w:rPr>
        <w:t>9.12</w:t>
      </w:r>
      <w:r>
        <w:rPr>
          <w:rFonts w:ascii="仿宋_GB2312" w:eastAsia="仿宋_GB2312" w:hAnsi="仿宋_GB2312" w:cs="仿宋_GB2312" w:hint="eastAsia"/>
          <w:color w:val="000000"/>
          <w:kern w:val="0"/>
          <w:sz w:val="32"/>
          <w:szCs w:val="32"/>
        </w:rPr>
        <w:t>分。市农科院对</w:t>
      </w:r>
      <w:proofErr w:type="gramStart"/>
      <w:r>
        <w:rPr>
          <w:rFonts w:ascii="仿宋_GB2312" w:eastAsia="仿宋_GB2312" w:hAnsi="仿宋_GB2312" w:cs="仿宋_GB2312" w:hint="eastAsia"/>
          <w:color w:val="000000"/>
          <w:kern w:val="0"/>
          <w:sz w:val="32"/>
          <w:szCs w:val="32"/>
        </w:rPr>
        <w:t>各项目受众</w:t>
      </w:r>
      <w:proofErr w:type="gramEnd"/>
      <w:r>
        <w:rPr>
          <w:rFonts w:ascii="仿宋_GB2312" w:eastAsia="仿宋_GB2312" w:hAnsi="仿宋_GB2312" w:cs="仿宋_GB2312" w:hint="eastAsia"/>
          <w:color w:val="000000"/>
          <w:kern w:val="0"/>
          <w:sz w:val="32"/>
          <w:szCs w:val="32"/>
        </w:rPr>
        <w:t>群体开展了满意度调查，但服务对象满意度支撑资料有待进一步完善。</w:t>
      </w:r>
    </w:p>
    <w:p w:rsidR="006A3C12" w:rsidRDefault="00244ACC">
      <w:pPr>
        <w:spacing w:line="600" w:lineRule="exact"/>
        <w:ind w:firstLineChars="200" w:firstLine="640"/>
        <w:outlineLvl w:val="0"/>
        <w:rPr>
          <w:rFonts w:ascii="黑体" w:eastAsia="黑体" w:hAnsi="黑体" w:cs="宋体"/>
          <w:color w:val="000000"/>
          <w:kern w:val="0"/>
          <w:sz w:val="32"/>
          <w:szCs w:val="32"/>
        </w:rPr>
      </w:pPr>
      <w:bookmarkStart w:id="13" w:name="_Toc24191"/>
      <w:bookmarkStart w:id="14" w:name="_Toc2964"/>
      <w:r>
        <w:rPr>
          <w:rFonts w:ascii="黑体" w:eastAsia="黑体" w:hAnsi="黑体" w:cs="宋体" w:hint="eastAsia"/>
          <w:color w:val="000000"/>
          <w:kern w:val="0"/>
          <w:sz w:val="32"/>
          <w:szCs w:val="32"/>
        </w:rPr>
        <w:t>四</w:t>
      </w:r>
      <w:r>
        <w:rPr>
          <w:rFonts w:ascii="黑体" w:eastAsia="黑体" w:hAnsi="黑体" w:cs="宋体"/>
          <w:color w:val="000000"/>
          <w:kern w:val="0"/>
          <w:sz w:val="32"/>
          <w:szCs w:val="32"/>
        </w:rPr>
        <w:t>、预算管理</w:t>
      </w:r>
      <w:r>
        <w:rPr>
          <w:rFonts w:ascii="黑体" w:eastAsia="黑体" w:hAnsi="黑体" w:cs="宋体" w:hint="eastAsia"/>
          <w:color w:val="000000"/>
          <w:kern w:val="0"/>
          <w:sz w:val="32"/>
          <w:szCs w:val="32"/>
        </w:rPr>
        <w:t>情况分</w:t>
      </w:r>
      <w:r>
        <w:rPr>
          <w:rFonts w:ascii="黑体" w:eastAsia="黑体" w:hAnsi="黑体" w:cs="宋体"/>
          <w:color w:val="000000"/>
          <w:kern w:val="0"/>
          <w:sz w:val="32"/>
          <w:szCs w:val="32"/>
        </w:rPr>
        <w:t>析</w:t>
      </w:r>
      <w:bookmarkEnd w:id="13"/>
      <w:bookmarkEnd w:id="14"/>
    </w:p>
    <w:p w:rsidR="006A3C12" w:rsidRDefault="00244ACC">
      <w:pPr>
        <w:spacing w:line="600" w:lineRule="exact"/>
        <w:ind w:firstLineChars="200" w:firstLine="640"/>
        <w:outlineLvl w:val="1"/>
        <w:rPr>
          <w:rFonts w:ascii="楷体_GB2312" w:eastAsia="楷体_GB2312"/>
          <w:sz w:val="32"/>
          <w:szCs w:val="32"/>
        </w:rPr>
      </w:pPr>
      <w:bookmarkStart w:id="15" w:name="_Toc8103"/>
      <w:r>
        <w:rPr>
          <w:rFonts w:ascii="楷体_GB2312" w:eastAsia="楷体_GB2312" w:hint="eastAsia"/>
          <w:sz w:val="32"/>
          <w:szCs w:val="32"/>
        </w:rPr>
        <w:t>（一）财务管理</w:t>
      </w:r>
      <w:bookmarkEnd w:id="15"/>
    </w:p>
    <w:p w:rsidR="006A3C12" w:rsidRDefault="00244ACC">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财务</w:t>
      </w:r>
      <w:r>
        <w:rPr>
          <w:rFonts w:ascii="仿宋_GB2312" w:eastAsia="仿宋_GB2312" w:hAnsi="宋体" w:cs="宋体"/>
          <w:color w:val="000000"/>
          <w:kern w:val="0"/>
          <w:sz w:val="32"/>
          <w:szCs w:val="32"/>
        </w:rPr>
        <w:t>管理制度健全性</w:t>
      </w:r>
    </w:p>
    <w:p w:rsidR="006A3C12" w:rsidRDefault="00244ACC">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该项指标分值</w:t>
      </w:r>
      <w:r>
        <w:rPr>
          <w:rFonts w:ascii="仿宋_GB2312" w:eastAsia="仿宋_GB2312" w:hAnsi="宋体" w:cs="宋体" w:hint="eastAsia"/>
          <w:color w:val="000000"/>
          <w:kern w:val="0"/>
          <w:sz w:val="32"/>
          <w:szCs w:val="32"/>
        </w:rPr>
        <w:t>1.00</w:t>
      </w:r>
      <w:r>
        <w:rPr>
          <w:rFonts w:ascii="仿宋_GB2312" w:eastAsia="仿宋_GB2312" w:hAnsi="宋体" w:cs="宋体" w:hint="eastAsia"/>
          <w:color w:val="000000"/>
          <w:kern w:val="0"/>
          <w:sz w:val="32"/>
          <w:szCs w:val="32"/>
        </w:rPr>
        <w:t>分，评价得分</w:t>
      </w:r>
      <w:r>
        <w:rPr>
          <w:rFonts w:ascii="仿宋_GB2312" w:eastAsia="仿宋_GB2312" w:hAnsi="宋体" w:cs="宋体" w:hint="eastAsia"/>
          <w:color w:val="000000"/>
          <w:kern w:val="0"/>
          <w:sz w:val="32"/>
          <w:szCs w:val="32"/>
        </w:rPr>
        <w:t>1.00</w:t>
      </w:r>
      <w:r>
        <w:rPr>
          <w:rFonts w:ascii="仿宋_GB2312" w:eastAsia="仿宋_GB2312" w:hAnsi="宋体" w:cs="宋体" w:hint="eastAsia"/>
          <w:color w:val="000000"/>
          <w:kern w:val="0"/>
          <w:sz w:val="32"/>
          <w:szCs w:val="32"/>
        </w:rPr>
        <w:t>分。市农科院已建立了《北京市农林科学院内部控制手册》《财务工作管理规定》《财政项目管理办法》《财务业务实施规范》《国有资产管理办法》《差旅费管理办法》《会议费管理办法》《材料及易耗品、低值品管理办法》《统计工作管理办法》《采购管理办法》《北京市农林科学院院级科研课题管理办法》《北京市农林科学院北京市科技新星计划经费使用“包干制”管理办法》等财务管理制度文件，单位财务管理制度健全、完整，且下属二级单位依据现实情况均设立相关管理制度</w:t>
      </w:r>
      <w:r>
        <w:rPr>
          <w:rFonts w:ascii="仿宋_GB2312" w:eastAsia="仿宋_GB2312" w:hAnsi="宋体" w:cs="宋体" w:hint="eastAsia"/>
          <w:color w:val="000000"/>
          <w:kern w:val="0"/>
          <w:sz w:val="32"/>
          <w:szCs w:val="32"/>
        </w:rPr>
        <w:t>办法规定。</w:t>
      </w:r>
    </w:p>
    <w:p w:rsidR="006A3C12" w:rsidRDefault="00244ACC">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资金使用合</w:t>
      </w:r>
      <w:proofErr w:type="gramStart"/>
      <w:r>
        <w:rPr>
          <w:rFonts w:ascii="仿宋_GB2312" w:eastAsia="仿宋_GB2312" w:hAnsi="宋体" w:cs="宋体" w:hint="eastAsia"/>
          <w:color w:val="000000"/>
          <w:kern w:val="0"/>
          <w:sz w:val="32"/>
          <w:szCs w:val="32"/>
        </w:rPr>
        <w:t>规</w:t>
      </w:r>
      <w:proofErr w:type="gramEnd"/>
      <w:r>
        <w:rPr>
          <w:rFonts w:ascii="仿宋_GB2312" w:eastAsia="仿宋_GB2312" w:hAnsi="宋体" w:cs="宋体" w:hint="eastAsia"/>
          <w:color w:val="000000"/>
          <w:kern w:val="0"/>
          <w:sz w:val="32"/>
          <w:szCs w:val="32"/>
        </w:rPr>
        <w:t>性</w:t>
      </w:r>
      <w:r>
        <w:rPr>
          <w:rFonts w:ascii="仿宋_GB2312" w:eastAsia="仿宋_GB2312" w:hAnsi="宋体" w:cs="宋体"/>
          <w:color w:val="000000"/>
          <w:kern w:val="0"/>
          <w:sz w:val="32"/>
          <w:szCs w:val="32"/>
        </w:rPr>
        <w:t>和安全性</w:t>
      </w:r>
    </w:p>
    <w:p w:rsidR="006A3C12" w:rsidRDefault="00244ACC">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该项指标分值</w:t>
      </w:r>
      <w:r>
        <w:rPr>
          <w:rFonts w:ascii="仿宋_GB2312" w:eastAsia="仿宋_GB2312" w:hAnsi="宋体" w:cs="宋体" w:hint="eastAsia"/>
          <w:color w:val="000000"/>
          <w:kern w:val="0"/>
          <w:sz w:val="32"/>
          <w:szCs w:val="32"/>
        </w:rPr>
        <w:t>2.00</w:t>
      </w:r>
      <w:r>
        <w:rPr>
          <w:rFonts w:ascii="仿宋_GB2312" w:eastAsia="仿宋_GB2312" w:hAnsi="宋体" w:cs="宋体" w:hint="eastAsia"/>
          <w:color w:val="000000"/>
          <w:kern w:val="0"/>
          <w:sz w:val="32"/>
          <w:szCs w:val="32"/>
        </w:rPr>
        <w:t>分，评价得分</w:t>
      </w:r>
      <w:r>
        <w:rPr>
          <w:rFonts w:ascii="仿宋_GB2312" w:eastAsia="仿宋_GB2312" w:hAnsi="宋体" w:cs="宋体" w:hint="eastAsia"/>
          <w:color w:val="000000"/>
          <w:kern w:val="0"/>
          <w:sz w:val="32"/>
          <w:szCs w:val="32"/>
        </w:rPr>
        <w:t>2.00</w:t>
      </w:r>
      <w:r>
        <w:rPr>
          <w:rFonts w:ascii="仿宋_GB2312" w:eastAsia="仿宋_GB2312" w:hAnsi="宋体" w:cs="宋体" w:hint="eastAsia"/>
          <w:color w:val="000000"/>
          <w:kern w:val="0"/>
          <w:sz w:val="32"/>
          <w:szCs w:val="32"/>
        </w:rPr>
        <w:t>分。在资金使用</w:t>
      </w:r>
      <w:r>
        <w:rPr>
          <w:rFonts w:ascii="仿宋_GB2312" w:eastAsia="仿宋_GB2312" w:hAnsi="宋体" w:cs="宋体" w:hint="eastAsia"/>
          <w:color w:val="000000"/>
          <w:kern w:val="0"/>
          <w:sz w:val="32"/>
          <w:szCs w:val="32"/>
        </w:rPr>
        <w:lastRenderedPageBreak/>
        <w:t>管理方面，市农科院资金使用符合国家财经法规和财务管理制度规定以及有关专项资金管理办法的规定。资金的拨付有完整的审批程序和手续。项目的重大开支经过评估论证，并严格执行《“三重一大”决策制度实施办法》。资金使用符合部门预算批复的用途，不存在截留、挤占、挪用情况。资金使用符合政府采购的程序和流程。资金使用符合公务卡结算相关制度和规定。</w:t>
      </w:r>
    </w:p>
    <w:p w:rsidR="006A3C12" w:rsidRDefault="00244ACC">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3.</w:t>
      </w:r>
      <w:r>
        <w:rPr>
          <w:rFonts w:ascii="仿宋_GB2312" w:eastAsia="仿宋_GB2312" w:hAnsi="宋体" w:cs="宋体" w:hint="eastAsia"/>
          <w:color w:val="000000"/>
          <w:kern w:val="0"/>
          <w:sz w:val="32"/>
          <w:szCs w:val="32"/>
        </w:rPr>
        <w:t>会计</w:t>
      </w:r>
      <w:r>
        <w:rPr>
          <w:rFonts w:ascii="仿宋_GB2312" w:eastAsia="仿宋_GB2312" w:hAnsi="宋体" w:cs="宋体"/>
          <w:color w:val="000000"/>
          <w:kern w:val="0"/>
          <w:sz w:val="32"/>
          <w:szCs w:val="32"/>
        </w:rPr>
        <w:t>基础信息完善性</w:t>
      </w:r>
    </w:p>
    <w:p w:rsidR="006A3C12" w:rsidRDefault="00244ACC">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该项指标分值</w:t>
      </w:r>
      <w:r>
        <w:rPr>
          <w:rFonts w:ascii="仿宋_GB2312" w:eastAsia="仿宋_GB2312" w:hAnsi="宋体" w:cs="宋体" w:hint="eastAsia"/>
          <w:color w:val="000000"/>
          <w:kern w:val="0"/>
          <w:sz w:val="32"/>
          <w:szCs w:val="32"/>
        </w:rPr>
        <w:t>1.00</w:t>
      </w:r>
      <w:r>
        <w:rPr>
          <w:rFonts w:ascii="仿宋_GB2312" w:eastAsia="仿宋_GB2312" w:hAnsi="宋体" w:cs="宋体" w:hint="eastAsia"/>
          <w:color w:val="000000"/>
          <w:kern w:val="0"/>
          <w:sz w:val="32"/>
          <w:szCs w:val="32"/>
        </w:rPr>
        <w:t>分，评价得分</w:t>
      </w:r>
      <w:r>
        <w:rPr>
          <w:rFonts w:ascii="仿宋_GB2312" w:eastAsia="仿宋_GB2312" w:hAnsi="宋体" w:cs="宋体" w:hint="eastAsia"/>
          <w:color w:val="000000"/>
          <w:kern w:val="0"/>
          <w:sz w:val="32"/>
          <w:szCs w:val="32"/>
        </w:rPr>
        <w:t>1.00</w:t>
      </w:r>
      <w:r>
        <w:rPr>
          <w:rFonts w:ascii="仿宋_GB2312" w:eastAsia="仿宋_GB2312" w:hAnsi="宋体" w:cs="宋体" w:hint="eastAsia"/>
          <w:color w:val="000000"/>
          <w:kern w:val="0"/>
          <w:sz w:val="32"/>
          <w:szCs w:val="32"/>
        </w:rPr>
        <w:t>分。市农科院基础数据信</w:t>
      </w:r>
      <w:r>
        <w:rPr>
          <w:rFonts w:ascii="仿宋_GB2312" w:eastAsia="仿宋_GB2312" w:hAnsi="宋体" w:cs="宋体" w:hint="eastAsia"/>
          <w:color w:val="000000"/>
          <w:kern w:val="0"/>
          <w:sz w:val="32"/>
          <w:szCs w:val="32"/>
        </w:rPr>
        <w:t>息和会计信息资料真实；基础数据信息和会计信息资料完整；基础数据信息和会计信息资料准确。</w:t>
      </w:r>
    </w:p>
    <w:p w:rsidR="006A3C12" w:rsidRDefault="00244ACC">
      <w:pPr>
        <w:spacing w:line="600" w:lineRule="exact"/>
        <w:ind w:firstLineChars="200" w:firstLine="640"/>
        <w:outlineLvl w:val="1"/>
        <w:rPr>
          <w:rFonts w:ascii="楷体_GB2312" w:eastAsia="楷体_GB2312"/>
          <w:sz w:val="32"/>
          <w:szCs w:val="32"/>
        </w:rPr>
      </w:pPr>
      <w:bookmarkStart w:id="16" w:name="_Toc18230"/>
      <w:r>
        <w:rPr>
          <w:rFonts w:ascii="楷体_GB2312" w:eastAsia="楷体_GB2312" w:hint="eastAsia"/>
          <w:sz w:val="32"/>
          <w:szCs w:val="32"/>
        </w:rPr>
        <w:t>（二）资产管理</w:t>
      </w:r>
      <w:bookmarkEnd w:id="16"/>
    </w:p>
    <w:p w:rsidR="006A3C12" w:rsidRDefault="00244ACC">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该项指标分值</w:t>
      </w:r>
      <w:r>
        <w:rPr>
          <w:rFonts w:ascii="仿宋_GB2312" w:eastAsia="仿宋_GB2312" w:hAnsi="宋体" w:cs="宋体" w:hint="eastAsia"/>
          <w:color w:val="000000"/>
          <w:kern w:val="0"/>
          <w:sz w:val="32"/>
          <w:szCs w:val="32"/>
        </w:rPr>
        <w:t>4.00</w:t>
      </w:r>
      <w:r>
        <w:rPr>
          <w:rFonts w:ascii="仿宋_GB2312" w:eastAsia="仿宋_GB2312" w:hAnsi="宋体" w:cs="宋体" w:hint="eastAsia"/>
          <w:color w:val="000000"/>
          <w:kern w:val="0"/>
          <w:sz w:val="32"/>
          <w:szCs w:val="32"/>
        </w:rPr>
        <w:t>分，评价得分</w:t>
      </w:r>
      <w:r>
        <w:rPr>
          <w:rFonts w:ascii="仿宋_GB2312" w:eastAsia="仿宋_GB2312" w:hAnsi="宋体" w:cs="宋体" w:hint="eastAsia"/>
          <w:color w:val="000000"/>
          <w:kern w:val="0"/>
          <w:sz w:val="32"/>
          <w:szCs w:val="32"/>
        </w:rPr>
        <w:t>4.00</w:t>
      </w:r>
      <w:r>
        <w:rPr>
          <w:rFonts w:ascii="仿宋_GB2312" w:eastAsia="仿宋_GB2312" w:hAnsi="宋体" w:cs="宋体" w:hint="eastAsia"/>
          <w:color w:val="000000"/>
          <w:kern w:val="0"/>
          <w:sz w:val="32"/>
          <w:szCs w:val="32"/>
        </w:rPr>
        <w:t>分。</w:t>
      </w:r>
    </w:p>
    <w:p w:rsidR="006A3C12" w:rsidRDefault="00244ACC">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市农科院严格贯彻落实《行政单位国有资产管理暂行办法》《事业单位国有资产管理暂行办法》等资产管理制度，认真履行国有资产管理职责，强化资产管理水平。在资产日常管理中，坚持将</w:t>
      </w:r>
      <w:r>
        <w:rPr>
          <w:rFonts w:ascii="仿宋_GB2312" w:eastAsia="仿宋_GB2312" w:hAnsi="仿宋_GB2312" w:cs="仿宋_GB2312" w:hint="eastAsia"/>
          <w:kern w:val="0"/>
          <w:sz w:val="32"/>
          <w:szCs w:val="32"/>
        </w:rPr>
        <w:t>实物与卡片相结合、</w:t>
      </w:r>
      <w:proofErr w:type="gramStart"/>
      <w:r>
        <w:rPr>
          <w:rFonts w:ascii="仿宋_GB2312" w:eastAsia="仿宋_GB2312" w:hAnsi="仿宋_GB2312" w:cs="仿宋_GB2312" w:hint="eastAsia"/>
          <w:kern w:val="0"/>
          <w:sz w:val="32"/>
          <w:szCs w:val="32"/>
        </w:rPr>
        <w:t>实物账与财务</w:t>
      </w:r>
      <w:proofErr w:type="gramEnd"/>
      <w:r>
        <w:rPr>
          <w:rFonts w:ascii="仿宋_GB2312" w:eastAsia="仿宋_GB2312" w:hAnsi="仿宋_GB2312" w:cs="仿宋_GB2312" w:hint="eastAsia"/>
          <w:kern w:val="0"/>
          <w:sz w:val="32"/>
          <w:szCs w:val="32"/>
        </w:rPr>
        <w:t>账相结合，同时</w:t>
      </w:r>
      <w:r>
        <w:rPr>
          <w:rFonts w:ascii="仿宋_GB2312" w:eastAsia="仿宋_GB2312" w:hAnsi="宋体" w:cs="宋体" w:hint="eastAsia"/>
          <w:color w:val="000000"/>
          <w:kern w:val="0"/>
          <w:sz w:val="32"/>
          <w:szCs w:val="32"/>
        </w:rPr>
        <w:t>严格按照固定资产的配置、录入、流转、处置等要求执行，不断提升资产管理水平，在</w:t>
      </w:r>
      <w:r>
        <w:rPr>
          <w:rFonts w:ascii="仿宋_GB2312" w:eastAsia="仿宋_GB2312" w:hAnsi="仿宋_GB2312" w:cs="仿宋_GB2312" w:hint="eastAsia"/>
          <w:kern w:val="0"/>
          <w:sz w:val="32"/>
          <w:szCs w:val="32"/>
        </w:rPr>
        <w:t>提高资产使用效益的同时降低行政成本。</w:t>
      </w:r>
    </w:p>
    <w:p w:rsidR="006A3C12" w:rsidRDefault="00244ACC">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2024</w:t>
      </w:r>
      <w:r>
        <w:rPr>
          <w:rFonts w:ascii="仿宋_GB2312" w:eastAsia="仿宋_GB2312" w:hAnsi="宋体" w:cs="宋体" w:hint="eastAsia"/>
          <w:color w:val="000000"/>
          <w:kern w:val="0"/>
          <w:sz w:val="32"/>
          <w:szCs w:val="32"/>
        </w:rPr>
        <w:t>年市农科院未有因管理不当发生</w:t>
      </w:r>
      <w:r>
        <w:rPr>
          <w:rFonts w:ascii="仿宋_GB2312" w:eastAsia="仿宋_GB2312" w:hAnsi="宋体" w:cs="宋体" w:hint="eastAsia"/>
          <w:color w:val="000000"/>
          <w:kern w:val="0"/>
          <w:sz w:val="32"/>
          <w:szCs w:val="32"/>
        </w:rPr>
        <w:t>严重资产损失和丢失的情况；不存在超标准配置资产；资产处置规范，不存在不按要求进行报批或资产不公开处置行为。</w:t>
      </w:r>
    </w:p>
    <w:p w:rsidR="006A3C12" w:rsidRDefault="00244ACC">
      <w:pPr>
        <w:spacing w:line="600" w:lineRule="exact"/>
        <w:ind w:firstLineChars="200" w:firstLine="640"/>
        <w:outlineLvl w:val="1"/>
        <w:rPr>
          <w:rFonts w:ascii="楷体_GB2312" w:eastAsia="楷体_GB2312"/>
          <w:sz w:val="32"/>
          <w:szCs w:val="32"/>
        </w:rPr>
      </w:pPr>
      <w:bookmarkStart w:id="17" w:name="_Toc5667"/>
      <w:r>
        <w:rPr>
          <w:rFonts w:ascii="楷体_GB2312" w:eastAsia="楷体_GB2312" w:hint="eastAsia"/>
          <w:sz w:val="32"/>
          <w:szCs w:val="32"/>
        </w:rPr>
        <w:lastRenderedPageBreak/>
        <w:t>（三）绩效</w:t>
      </w:r>
      <w:r>
        <w:rPr>
          <w:rFonts w:ascii="楷体_GB2312" w:eastAsia="楷体_GB2312"/>
          <w:sz w:val="32"/>
          <w:szCs w:val="32"/>
        </w:rPr>
        <w:t>管理</w:t>
      </w:r>
      <w:bookmarkEnd w:id="17"/>
    </w:p>
    <w:p w:rsidR="006A3C12" w:rsidRDefault="00244ACC">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该项指标分值</w:t>
      </w:r>
      <w:r>
        <w:rPr>
          <w:rFonts w:ascii="仿宋_GB2312" w:eastAsia="仿宋_GB2312" w:hAnsi="宋体" w:cs="宋体" w:hint="eastAsia"/>
          <w:color w:val="000000"/>
          <w:kern w:val="0"/>
          <w:sz w:val="32"/>
          <w:szCs w:val="32"/>
        </w:rPr>
        <w:t>4.00</w:t>
      </w:r>
      <w:r>
        <w:rPr>
          <w:rFonts w:ascii="仿宋_GB2312" w:eastAsia="仿宋_GB2312" w:hAnsi="宋体" w:cs="宋体" w:hint="eastAsia"/>
          <w:color w:val="000000"/>
          <w:kern w:val="0"/>
          <w:sz w:val="32"/>
          <w:szCs w:val="32"/>
        </w:rPr>
        <w:t>分，评价得分</w:t>
      </w:r>
      <w:r>
        <w:rPr>
          <w:rFonts w:ascii="仿宋_GB2312" w:eastAsia="仿宋_GB2312" w:hAnsi="宋体" w:cs="宋体" w:hint="eastAsia"/>
          <w:color w:val="000000"/>
          <w:kern w:val="0"/>
          <w:sz w:val="32"/>
          <w:szCs w:val="32"/>
        </w:rPr>
        <w:t>4.00</w:t>
      </w:r>
      <w:r>
        <w:rPr>
          <w:rFonts w:ascii="仿宋_GB2312" w:eastAsia="仿宋_GB2312" w:hAnsi="宋体" w:cs="宋体" w:hint="eastAsia"/>
          <w:color w:val="000000"/>
          <w:kern w:val="0"/>
          <w:sz w:val="32"/>
          <w:szCs w:val="32"/>
        </w:rPr>
        <w:t>分。</w:t>
      </w:r>
    </w:p>
    <w:p w:rsidR="006A3C12" w:rsidRPr="004C1167" w:rsidRDefault="00244ACC" w:rsidP="004C1167">
      <w:pPr>
        <w:widowControl/>
        <w:spacing w:line="560" w:lineRule="exact"/>
        <w:ind w:right="84"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sz w:val="32"/>
          <w:szCs w:val="32"/>
        </w:rPr>
        <w:t>根据《北京市项目支出绩效评价管理办法》和</w:t>
      </w:r>
      <w:r>
        <w:rPr>
          <w:rFonts w:ascii="仿宋_GB2312" w:eastAsia="仿宋_GB2312" w:hAnsi="楷体" w:hint="eastAsia"/>
          <w:bCs/>
          <w:kern w:val="0"/>
          <w:sz w:val="32"/>
          <w:szCs w:val="28"/>
        </w:rPr>
        <w:t>《北京市财政局关于</w:t>
      </w:r>
      <w:r>
        <w:rPr>
          <w:rFonts w:ascii="仿宋_GB2312" w:eastAsia="仿宋_GB2312" w:hAnsi="楷体" w:hint="eastAsia"/>
          <w:bCs/>
          <w:kern w:val="0"/>
          <w:sz w:val="32"/>
          <w:szCs w:val="28"/>
        </w:rPr>
        <w:t>2025</w:t>
      </w:r>
      <w:r>
        <w:rPr>
          <w:rFonts w:ascii="仿宋_GB2312" w:eastAsia="仿宋_GB2312" w:hAnsi="楷体" w:hint="eastAsia"/>
          <w:bCs/>
          <w:kern w:val="0"/>
          <w:sz w:val="32"/>
          <w:szCs w:val="28"/>
        </w:rPr>
        <w:t>年预算绩效管理工作的通知》</w:t>
      </w:r>
      <w:r>
        <w:rPr>
          <w:rFonts w:ascii="仿宋_GB2312" w:eastAsia="仿宋_GB2312" w:hAnsi="仿宋_GB2312" w:cs="仿宋_GB2312" w:hint="eastAsia"/>
          <w:sz w:val="32"/>
          <w:szCs w:val="32"/>
        </w:rPr>
        <w:t>，</w:t>
      </w:r>
      <w:r>
        <w:rPr>
          <w:rFonts w:ascii="仿宋_GB2312" w:eastAsia="仿宋_GB2312" w:hAnsi="宋体" w:cs="宋体" w:hint="eastAsia"/>
          <w:color w:val="000000"/>
          <w:kern w:val="0"/>
          <w:sz w:val="32"/>
          <w:szCs w:val="32"/>
        </w:rPr>
        <w:t>市农科院</w:t>
      </w:r>
      <w:r>
        <w:rPr>
          <w:rFonts w:ascii="仿宋_GB2312" w:eastAsia="仿宋_GB2312" w:hAnsi="仿宋_GB2312" w:cs="仿宋_GB2312" w:hint="eastAsia"/>
          <w:sz w:val="32"/>
          <w:szCs w:val="32"/>
        </w:rPr>
        <w:t>组织开展绩效评价工作，包括：部门整体绩效评价、重点项目绩效评价、成本绩效分析、单位自评、</w:t>
      </w:r>
      <w:r>
        <w:rPr>
          <w:rFonts w:ascii="仿宋_GB2312" w:eastAsia="仿宋_GB2312" w:hAnsi="宋体" w:cs="宋体" w:hint="eastAsia"/>
          <w:color w:val="000000"/>
          <w:kern w:val="0"/>
          <w:sz w:val="32"/>
          <w:szCs w:val="32"/>
        </w:rPr>
        <w:t>中期运行监控和全年绩效跟踪</w:t>
      </w:r>
      <w:r>
        <w:rPr>
          <w:rFonts w:ascii="仿宋_GB2312" w:eastAsia="仿宋_GB2312" w:hAnsi="仿宋_GB2312" w:cs="仿宋_GB2312" w:hint="eastAsia"/>
          <w:color w:val="000000" w:themeColor="text1"/>
          <w:sz w:val="32"/>
          <w:szCs w:val="32"/>
        </w:rPr>
        <w:t>。</w:t>
      </w:r>
      <w:r>
        <w:rPr>
          <w:rFonts w:ascii="仿宋_GB2312" w:eastAsia="仿宋_GB2312" w:hAnsi="宋体" w:cs="宋体" w:hint="eastAsia"/>
          <w:color w:val="000000"/>
          <w:kern w:val="0"/>
          <w:sz w:val="32"/>
          <w:szCs w:val="32"/>
        </w:rPr>
        <w:t>市农科院</w:t>
      </w:r>
      <w:r>
        <w:rPr>
          <w:rFonts w:ascii="仿宋_GB2312" w:eastAsia="仿宋_GB2312" w:hAnsi="仿宋_GB2312" w:cs="仿宋_GB2312" w:hint="eastAsia"/>
          <w:sz w:val="32"/>
          <w:szCs w:val="32"/>
        </w:rPr>
        <w:t>开展评价项目共计</w:t>
      </w:r>
      <w:r>
        <w:rPr>
          <w:rFonts w:ascii="仿宋_GB2312" w:eastAsia="仿宋_GB2312" w:hAnsi="仿宋_GB2312" w:cs="仿宋_GB2312" w:hint="eastAsia"/>
          <w:sz w:val="32"/>
          <w:szCs w:val="32"/>
        </w:rPr>
        <w:t>163</w:t>
      </w:r>
      <w:r>
        <w:rPr>
          <w:rFonts w:ascii="仿宋_GB2312" w:eastAsia="仿宋_GB2312" w:hAnsi="仿宋_GB2312" w:cs="仿宋_GB2312" w:hint="eastAsia"/>
          <w:sz w:val="32"/>
          <w:szCs w:val="32"/>
        </w:rPr>
        <w:t>个，</w:t>
      </w:r>
      <w:r>
        <w:rPr>
          <w:rFonts w:ascii="仿宋_GB2312" w:eastAsia="仿宋_GB2312" w:hAnsi="宋体" w:cs="宋体" w:hint="eastAsia"/>
          <w:color w:val="000000"/>
          <w:kern w:val="0"/>
          <w:sz w:val="32"/>
          <w:szCs w:val="32"/>
        </w:rPr>
        <w:t>市农科院</w:t>
      </w:r>
      <w:r>
        <w:rPr>
          <w:rFonts w:ascii="仿宋_GB2312" w:eastAsia="仿宋_GB2312" w:hAnsi="仿宋_GB2312" w:cs="仿宋_GB2312" w:hint="eastAsia"/>
          <w:sz w:val="32"/>
          <w:szCs w:val="32"/>
        </w:rPr>
        <w:t>开展成本绩效分析项目</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个，为创新能力建设农产品加工与营养健康创新研究，形成</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个定额。</w:t>
      </w:r>
    </w:p>
    <w:p w:rsidR="006A3C12" w:rsidRDefault="00244ACC">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同时市农科院通过部门绩效中期运行监控的方式及时对绩效信息进行汇总分析整理，掌握各个项目执行情况，并对绩效目标偏离情况及时进行矫正，执行了绩效目标调整程序。在项目执行完毕后，通过全年绩效跟踪的方式梳理掌握了部门年度绩效目标的实现情况。市农科院部门绩效管理措施健全，执行有效。</w:t>
      </w:r>
    </w:p>
    <w:p w:rsidR="006A3C12" w:rsidRDefault="00244ACC">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从总体评价结果来看，各项目资金使用较为规范，预算执行金额控制在预算批复范围内，绩效管理规范，绩效产出和效益指标完成度较高。</w:t>
      </w:r>
    </w:p>
    <w:p w:rsidR="006A3C12" w:rsidRDefault="00244ACC">
      <w:pPr>
        <w:spacing w:line="600" w:lineRule="exact"/>
        <w:ind w:firstLineChars="200" w:firstLine="640"/>
        <w:outlineLvl w:val="1"/>
        <w:rPr>
          <w:rFonts w:ascii="楷体_GB2312" w:eastAsia="楷体_GB2312"/>
          <w:sz w:val="32"/>
          <w:szCs w:val="32"/>
        </w:rPr>
      </w:pPr>
      <w:bookmarkStart w:id="18" w:name="_Toc17854"/>
      <w:r>
        <w:rPr>
          <w:rFonts w:ascii="楷体_GB2312" w:eastAsia="楷体_GB2312" w:hint="eastAsia"/>
          <w:sz w:val="32"/>
          <w:szCs w:val="32"/>
        </w:rPr>
        <w:t>（四）结转结余率</w:t>
      </w:r>
      <w:bookmarkEnd w:id="18"/>
    </w:p>
    <w:p w:rsidR="006A3C12" w:rsidRDefault="00244ACC">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该项指标分值</w:t>
      </w:r>
      <w:r>
        <w:rPr>
          <w:rFonts w:ascii="仿宋_GB2312" w:eastAsia="仿宋_GB2312" w:hAnsi="宋体" w:cs="宋体" w:hint="eastAsia"/>
          <w:color w:val="000000"/>
          <w:kern w:val="0"/>
          <w:sz w:val="32"/>
          <w:szCs w:val="32"/>
        </w:rPr>
        <w:t>4.00</w:t>
      </w:r>
      <w:r>
        <w:rPr>
          <w:rFonts w:ascii="仿宋_GB2312" w:eastAsia="仿宋_GB2312" w:hAnsi="宋体" w:cs="宋体" w:hint="eastAsia"/>
          <w:color w:val="000000"/>
          <w:kern w:val="0"/>
          <w:sz w:val="32"/>
          <w:szCs w:val="32"/>
        </w:rPr>
        <w:t>分，评价得分</w:t>
      </w:r>
      <w:r>
        <w:rPr>
          <w:rFonts w:ascii="仿宋_GB2312" w:eastAsia="仿宋_GB2312" w:hAnsi="宋体" w:cs="宋体" w:hint="eastAsia"/>
          <w:color w:val="000000"/>
          <w:kern w:val="0"/>
          <w:sz w:val="32"/>
          <w:szCs w:val="32"/>
        </w:rPr>
        <w:t>4.00</w:t>
      </w:r>
      <w:r>
        <w:rPr>
          <w:rFonts w:ascii="仿宋_GB2312" w:eastAsia="仿宋_GB2312" w:hAnsi="宋体" w:cs="宋体" w:hint="eastAsia"/>
          <w:color w:val="000000"/>
          <w:kern w:val="0"/>
          <w:sz w:val="32"/>
          <w:szCs w:val="32"/>
        </w:rPr>
        <w:t>分。</w:t>
      </w:r>
      <w:r>
        <w:rPr>
          <w:rFonts w:ascii="仿宋_GB2312" w:eastAsia="仿宋_GB2312" w:hAnsi="宋体" w:cs="宋体" w:hint="eastAsia"/>
          <w:color w:val="000000"/>
          <w:kern w:val="0"/>
          <w:sz w:val="32"/>
          <w:szCs w:val="32"/>
        </w:rPr>
        <w:t>根据部门决算报表，</w:t>
      </w:r>
      <w:r>
        <w:rPr>
          <w:rFonts w:ascii="仿宋_GB2312" w:eastAsia="仿宋_GB2312" w:hAnsi="宋体" w:cs="宋体" w:hint="eastAsia"/>
          <w:color w:val="000000"/>
          <w:kern w:val="0"/>
          <w:sz w:val="32"/>
          <w:szCs w:val="32"/>
        </w:rPr>
        <w:t>2024</w:t>
      </w:r>
      <w:r>
        <w:rPr>
          <w:rFonts w:ascii="仿宋_GB2312" w:eastAsia="仿宋_GB2312" w:hAnsi="宋体" w:cs="宋体" w:hint="eastAsia"/>
          <w:color w:val="000000"/>
          <w:kern w:val="0"/>
          <w:sz w:val="32"/>
          <w:szCs w:val="32"/>
        </w:rPr>
        <w:t>年度结余结转资金</w:t>
      </w:r>
      <w:r w:rsidRPr="000F3259">
        <w:rPr>
          <w:rFonts w:ascii="仿宋_GB2312" w:eastAsia="仿宋_GB2312" w:hAnsi="宋体" w:cs="宋体"/>
          <w:color w:val="000000"/>
          <w:kern w:val="0"/>
          <w:sz w:val="32"/>
          <w:szCs w:val="32"/>
        </w:rPr>
        <w:t>132,598.39</w:t>
      </w:r>
      <w:r>
        <w:rPr>
          <w:rFonts w:ascii="仿宋_GB2312" w:eastAsia="仿宋_GB2312" w:hAnsi="宋体" w:cs="宋体" w:hint="eastAsia"/>
          <w:color w:val="000000"/>
          <w:kern w:val="0"/>
          <w:sz w:val="32"/>
          <w:szCs w:val="32"/>
        </w:rPr>
        <w:t>万元，</w:t>
      </w:r>
      <w:r>
        <w:rPr>
          <w:rFonts w:ascii="仿宋_GB2312" w:eastAsia="仿宋_GB2312" w:hAnsi="宋体" w:cs="宋体" w:hint="eastAsia"/>
          <w:color w:val="000000"/>
          <w:kern w:val="0"/>
          <w:sz w:val="32"/>
          <w:szCs w:val="32"/>
        </w:rPr>
        <w:t>2024</w:t>
      </w:r>
      <w:r>
        <w:rPr>
          <w:rFonts w:ascii="仿宋_GB2312" w:eastAsia="仿宋_GB2312" w:hAnsi="宋体" w:cs="宋体" w:hint="eastAsia"/>
          <w:color w:val="000000"/>
          <w:kern w:val="0"/>
          <w:sz w:val="32"/>
          <w:szCs w:val="32"/>
        </w:rPr>
        <w:t>年全年支出预算数</w:t>
      </w:r>
      <w:r w:rsidRPr="000F3259">
        <w:rPr>
          <w:rFonts w:ascii="仿宋_GB2312" w:eastAsia="仿宋_GB2312" w:hAnsi="宋体" w:cs="宋体"/>
          <w:color w:val="000000"/>
          <w:kern w:val="0"/>
          <w:sz w:val="32"/>
          <w:szCs w:val="32"/>
        </w:rPr>
        <w:t>187</w:t>
      </w:r>
      <w:r>
        <w:rPr>
          <w:rFonts w:ascii="仿宋_GB2312" w:eastAsia="仿宋_GB2312" w:hAnsi="宋体" w:cs="宋体" w:hint="eastAsia"/>
          <w:color w:val="000000"/>
          <w:kern w:val="0"/>
          <w:sz w:val="32"/>
          <w:szCs w:val="32"/>
        </w:rPr>
        <w:t>,</w:t>
      </w:r>
      <w:r w:rsidRPr="000F3259">
        <w:rPr>
          <w:rFonts w:ascii="仿宋_GB2312" w:eastAsia="仿宋_GB2312" w:hAnsi="宋体" w:cs="宋体"/>
          <w:color w:val="000000"/>
          <w:kern w:val="0"/>
          <w:sz w:val="32"/>
          <w:szCs w:val="32"/>
        </w:rPr>
        <w:t>026</w:t>
      </w:r>
      <w:r>
        <w:rPr>
          <w:rFonts w:ascii="仿宋_GB2312" w:eastAsia="仿宋_GB2312" w:hAnsi="宋体" w:cs="宋体" w:hint="eastAsia"/>
          <w:color w:val="000000"/>
          <w:kern w:val="0"/>
          <w:sz w:val="32"/>
          <w:szCs w:val="32"/>
        </w:rPr>
        <w:t>.</w:t>
      </w:r>
      <w:r w:rsidRPr="000F3259">
        <w:rPr>
          <w:rFonts w:ascii="仿宋_GB2312" w:eastAsia="仿宋_GB2312" w:hAnsi="宋体" w:cs="宋体"/>
          <w:color w:val="000000"/>
          <w:kern w:val="0"/>
          <w:sz w:val="32"/>
          <w:szCs w:val="32"/>
        </w:rPr>
        <w:t>3</w:t>
      </w:r>
      <w:r>
        <w:rPr>
          <w:rFonts w:ascii="仿宋_GB2312" w:eastAsia="仿宋_GB2312" w:hAnsi="宋体" w:cs="宋体" w:hint="eastAsia"/>
          <w:color w:val="000000"/>
          <w:kern w:val="0"/>
          <w:sz w:val="32"/>
          <w:szCs w:val="32"/>
        </w:rPr>
        <w:t>7</w:t>
      </w:r>
      <w:r>
        <w:rPr>
          <w:rFonts w:ascii="仿宋_GB2312" w:eastAsia="仿宋_GB2312" w:hAnsi="宋体" w:cs="宋体" w:hint="eastAsia"/>
          <w:color w:val="000000"/>
          <w:kern w:val="0"/>
          <w:sz w:val="32"/>
          <w:szCs w:val="32"/>
        </w:rPr>
        <w:t>万元</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2</w:t>
      </w:r>
      <w:r>
        <w:rPr>
          <w:rFonts w:ascii="仿宋_GB2312" w:eastAsia="仿宋_GB2312" w:hAnsi="宋体" w:cs="宋体"/>
          <w:color w:val="000000"/>
          <w:kern w:val="0"/>
          <w:sz w:val="32"/>
          <w:szCs w:val="32"/>
        </w:rPr>
        <w:t>02</w:t>
      </w:r>
      <w:r>
        <w:rPr>
          <w:rFonts w:ascii="仿宋_GB2312" w:eastAsia="仿宋_GB2312" w:hAnsi="宋体" w:cs="宋体" w:hint="eastAsia"/>
          <w:color w:val="000000"/>
          <w:kern w:val="0"/>
          <w:sz w:val="32"/>
          <w:szCs w:val="32"/>
        </w:rPr>
        <w:t>4</w:t>
      </w:r>
      <w:r>
        <w:rPr>
          <w:rFonts w:ascii="仿宋_GB2312" w:eastAsia="仿宋_GB2312" w:hAnsi="宋体" w:cs="宋体" w:hint="eastAsia"/>
          <w:color w:val="000000"/>
          <w:kern w:val="0"/>
          <w:sz w:val="32"/>
          <w:szCs w:val="32"/>
        </w:rPr>
        <w:t>年度结转结余率为</w:t>
      </w:r>
      <w:r>
        <w:rPr>
          <w:rFonts w:ascii="仿宋_GB2312" w:eastAsia="仿宋_GB2312" w:hAnsi="宋体" w:cs="宋体" w:hint="eastAsia"/>
          <w:color w:val="000000"/>
          <w:kern w:val="0"/>
          <w:sz w:val="32"/>
          <w:szCs w:val="32"/>
        </w:rPr>
        <w:t>7.30%</w:t>
      </w:r>
      <w:r>
        <w:rPr>
          <w:rFonts w:ascii="仿宋_GB2312" w:eastAsia="仿宋_GB2312" w:hAnsi="宋体" w:cs="宋体" w:hint="eastAsia"/>
          <w:color w:val="000000"/>
          <w:kern w:val="0"/>
          <w:sz w:val="32"/>
          <w:szCs w:val="32"/>
        </w:rPr>
        <w:t>。</w:t>
      </w:r>
    </w:p>
    <w:p w:rsidR="006A3C12" w:rsidRDefault="00244ACC">
      <w:pPr>
        <w:spacing w:line="600" w:lineRule="exact"/>
        <w:ind w:firstLineChars="200" w:firstLine="640"/>
        <w:outlineLvl w:val="1"/>
        <w:rPr>
          <w:rFonts w:ascii="楷体_GB2312" w:eastAsia="楷体_GB2312"/>
          <w:sz w:val="32"/>
          <w:szCs w:val="32"/>
        </w:rPr>
      </w:pPr>
      <w:bookmarkStart w:id="19" w:name="_Toc23093"/>
      <w:r>
        <w:rPr>
          <w:rFonts w:ascii="楷体_GB2312" w:eastAsia="楷体_GB2312" w:hint="eastAsia"/>
          <w:sz w:val="32"/>
          <w:szCs w:val="32"/>
        </w:rPr>
        <w:lastRenderedPageBreak/>
        <w:t>（五）部门</w:t>
      </w:r>
      <w:r>
        <w:rPr>
          <w:rFonts w:ascii="楷体_GB2312" w:eastAsia="楷体_GB2312"/>
          <w:sz w:val="32"/>
          <w:szCs w:val="32"/>
        </w:rPr>
        <w:t>预决算差异率</w:t>
      </w:r>
      <w:bookmarkEnd w:id="19"/>
    </w:p>
    <w:p w:rsidR="006A3C12" w:rsidRDefault="00244ACC">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该项指标分值</w:t>
      </w:r>
      <w:r>
        <w:rPr>
          <w:rFonts w:ascii="仿宋_GB2312" w:eastAsia="仿宋_GB2312" w:hAnsi="宋体" w:cs="宋体" w:hint="eastAsia"/>
          <w:color w:val="000000"/>
          <w:kern w:val="0"/>
          <w:sz w:val="32"/>
          <w:szCs w:val="32"/>
        </w:rPr>
        <w:t>4.00</w:t>
      </w:r>
      <w:r>
        <w:rPr>
          <w:rFonts w:ascii="仿宋_GB2312" w:eastAsia="仿宋_GB2312" w:hAnsi="宋体" w:cs="宋体" w:hint="eastAsia"/>
          <w:color w:val="000000"/>
          <w:kern w:val="0"/>
          <w:sz w:val="32"/>
          <w:szCs w:val="32"/>
        </w:rPr>
        <w:t>分，评价得分</w:t>
      </w:r>
      <w:r>
        <w:rPr>
          <w:rFonts w:ascii="仿宋_GB2312" w:eastAsia="仿宋_GB2312" w:hAnsi="宋体" w:cs="宋体" w:hint="eastAsia"/>
          <w:color w:val="000000"/>
          <w:kern w:val="0"/>
          <w:sz w:val="32"/>
          <w:szCs w:val="32"/>
        </w:rPr>
        <w:t>4.00</w:t>
      </w:r>
      <w:r>
        <w:rPr>
          <w:rFonts w:ascii="仿宋_GB2312" w:eastAsia="仿宋_GB2312" w:hAnsi="宋体" w:cs="宋体" w:hint="eastAsia"/>
          <w:color w:val="000000"/>
          <w:kern w:val="0"/>
          <w:sz w:val="32"/>
          <w:szCs w:val="32"/>
        </w:rPr>
        <w:t>分。市农科院</w:t>
      </w:r>
      <w:r>
        <w:rPr>
          <w:rFonts w:ascii="仿宋_GB2312" w:eastAsia="仿宋_GB2312" w:hAnsi="宋体" w:cs="宋体" w:hint="eastAsia"/>
          <w:color w:val="000000"/>
          <w:kern w:val="0"/>
          <w:sz w:val="32"/>
          <w:szCs w:val="32"/>
        </w:rPr>
        <w:t>2024</w:t>
      </w:r>
      <w:r>
        <w:rPr>
          <w:rFonts w:ascii="仿宋_GB2312" w:eastAsia="仿宋_GB2312" w:hAnsi="宋体" w:cs="宋体" w:hint="eastAsia"/>
          <w:color w:val="000000"/>
          <w:kern w:val="0"/>
          <w:sz w:val="32"/>
          <w:szCs w:val="32"/>
        </w:rPr>
        <w:t>年支出预算数</w:t>
      </w:r>
      <w:r>
        <w:rPr>
          <w:rFonts w:ascii="仿宋_GB2312" w:eastAsia="仿宋_GB2312" w:hAnsi="宋体" w:cs="宋体" w:hint="eastAsia"/>
          <w:color w:val="000000"/>
          <w:kern w:val="0"/>
          <w:sz w:val="32"/>
          <w:szCs w:val="32"/>
        </w:rPr>
        <w:t>187,026.37</w:t>
      </w:r>
      <w:r>
        <w:rPr>
          <w:rFonts w:ascii="仿宋_GB2312" w:eastAsia="仿宋_GB2312" w:hAnsi="宋体" w:cs="宋体" w:hint="eastAsia"/>
          <w:color w:val="000000"/>
          <w:kern w:val="0"/>
          <w:sz w:val="32"/>
          <w:szCs w:val="32"/>
        </w:rPr>
        <w:t>万元，支出决算数</w:t>
      </w:r>
      <w:r>
        <w:rPr>
          <w:rFonts w:ascii="仿宋_GB2312" w:eastAsia="仿宋_GB2312" w:hAnsi="宋体" w:cs="宋体" w:hint="eastAsia"/>
          <w:color w:val="000000"/>
          <w:kern w:val="0"/>
          <w:sz w:val="32"/>
          <w:szCs w:val="32"/>
        </w:rPr>
        <w:t>152,090.36</w:t>
      </w:r>
      <w:r>
        <w:rPr>
          <w:rFonts w:ascii="仿宋_GB2312" w:eastAsia="仿宋_GB2312" w:hAnsi="宋体" w:cs="宋体" w:hint="eastAsia"/>
          <w:color w:val="000000"/>
          <w:kern w:val="0"/>
          <w:sz w:val="32"/>
          <w:szCs w:val="32"/>
        </w:rPr>
        <w:t>万元，</w:t>
      </w:r>
      <w:r>
        <w:rPr>
          <w:rFonts w:ascii="仿宋_GB2312" w:eastAsia="仿宋_GB2312" w:hAnsi="宋体" w:cs="宋体" w:hint="eastAsia"/>
          <w:color w:val="000000"/>
          <w:kern w:val="0"/>
          <w:sz w:val="32"/>
          <w:szCs w:val="32"/>
        </w:rPr>
        <w:t>部门预决算差异率</w:t>
      </w:r>
      <w:r>
        <w:rPr>
          <w:rFonts w:ascii="仿宋_GB2312" w:eastAsia="仿宋_GB2312" w:hAnsi="宋体" w:cs="宋体" w:hint="eastAsia"/>
          <w:color w:val="000000"/>
          <w:kern w:val="0"/>
          <w:sz w:val="32"/>
          <w:szCs w:val="32"/>
        </w:rPr>
        <w:t>18.68%</w:t>
      </w:r>
      <w:bookmarkStart w:id="20" w:name="_Toc18981"/>
      <w:bookmarkStart w:id="21" w:name="_Toc2479"/>
      <w:r>
        <w:rPr>
          <w:rFonts w:ascii="仿宋_GB2312" w:eastAsia="仿宋_GB2312" w:hAnsi="宋体" w:cs="宋体" w:hint="eastAsia"/>
          <w:color w:val="000000"/>
          <w:kern w:val="0"/>
          <w:sz w:val="32"/>
          <w:szCs w:val="32"/>
        </w:rPr>
        <w:t>。</w:t>
      </w:r>
    </w:p>
    <w:p w:rsidR="006A3C12" w:rsidRDefault="00244ACC">
      <w:pPr>
        <w:spacing w:line="600" w:lineRule="exact"/>
        <w:ind w:firstLineChars="200" w:firstLine="640"/>
        <w:rPr>
          <w:rFonts w:ascii="黑体" w:eastAsia="黑体" w:hAnsi="黑体"/>
          <w:sz w:val="32"/>
          <w:szCs w:val="32"/>
        </w:rPr>
      </w:pPr>
      <w:r>
        <w:rPr>
          <w:rFonts w:ascii="黑体" w:eastAsia="黑体" w:hAnsi="黑体" w:hint="eastAsia"/>
          <w:sz w:val="32"/>
          <w:szCs w:val="32"/>
        </w:rPr>
        <w:t>五、总体</w:t>
      </w:r>
      <w:r>
        <w:rPr>
          <w:rFonts w:ascii="黑体" w:eastAsia="黑体" w:hAnsi="黑体"/>
          <w:sz w:val="32"/>
          <w:szCs w:val="32"/>
        </w:rPr>
        <w:t>评价结论</w:t>
      </w:r>
      <w:bookmarkEnd w:id="20"/>
      <w:bookmarkEnd w:id="21"/>
    </w:p>
    <w:p w:rsidR="006A3C12" w:rsidRDefault="00244ACC">
      <w:pPr>
        <w:spacing w:line="600" w:lineRule="exact"/>
        <w:ind w:firstLineChars="200" w:firstLine="640"/>
        <w:outlineLvl w:val="1"/>
        <w:rPr>
          <w:rFonts w:ascii="楷体_GB2312" w:eastAsia="楷体_GB2312"/>
          <w:sz w:val="32"/>
          <w:szCs w:val="32"/>
        </w:rPr>
      </w:pPr>
      <w:bookmarkStart w:id="22" w:name="_Toc28822"/>
      <w:r>
        <w:rPr>
          <w:rFonts w:ascii="楷体_GB2312" w:eastAsia="楷体_GB2312" w:hint="eastAsia"/>
          <w:sz w:val="32"/>
          <w:szCs w:val="32"/>
        </w:rPr>
        <w:t>（一）评价</w:t>
      </w:r>
      <w:r>
        <w:rPr>
          <w:rFonts w:ascii="楷体_GB2312" w:eastAsia="楷体_GB2312"/>
          <w:sz w:val="32"/>
          <w:szCs w:val="32"/>
        </w:rPr>
        <w:t>得分</w:t>
      </w:r>
      <w:r>
        <w:rPr>
          <w:rFonts w:ascii="楷体_GB2312" w:eastAsia="楷体_GB2312" w:hint="eastAsia"/>
          <w:sz w:val="32"/>
          <w:szCs w:val="32"/>
        </w:rPr>
        <w:t>情况</w:t>
      </w:r>
      <w:bookmarkEnd w:id="22"/>
    </w:p>
    <w:p w:rsidR="006A3C12" w:rsidRDefault="00244ACC">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市农科院</w:t>
      </w:r>
      <w:r>
        <w:rPr>
          <w:rFonts w:ascii="仿宋_GB2312" w:eastAsia="仿宋_GB2312" w:hAnsi="宋体" w:cs="宋体" w:hint="eastAsia"/>
          <w:color w:val="000000"/>
          <w:kern w:val="0"/>
          <w:sz w:val="32"/>
          <w:szCs w:val="32"/>
        </w:rPr>
        <w:t>2024</w:t>
      </w:r>
      <w:r>
        <w:rPr>
          <w:rFonts w:ascii="仿宋_GB2312" w:eastAsia="仿宋_GB2312" w:hAnsi="宋体" w:cs="宋体" w:hint="eastAsia"/>
          <w:color w:val="000000"/>
          <w:kern w:val="0"/>
          <w:sz w:val="32"/>
          <w:szCs w:val="32"/>
        </w:rPr>
        <w:t>年部门整体评价得分</w:t>
      </w:r>
      <w:r>
        <w:rPr>
          <w:rFonts w:ascii="仿宋_GB2312" w:eastAsia="仿宋_GB2312" w:hAnsi="宋体" w:cs="宋体" w:hint="eastAsia"/>
          <w:color w:val="000000"/>
          <w:kern w:val="0"/>
          <w:sz w:val="32"/>
          <w:szCs w:val="32"/>
        </w:rPr>
        <w:t>94.13</w:t>
      </w:r>
      <w:r>
        <w:rPr>
          <w:rFonts w:ascii="仿宋_GB2312" w:eastAsia="仿宋_GB2312" w:hAnsi="宋体" w:cs="宋体" w:hint="eastAsia"/>
          <w:color w:val="000000"/>
          <w:kern w:val="0"/>
          <w:sz w:val="32"/>
          <w:szCs w:val="32"/>
        </w:rPr>
        <w:t>分，其中当年预算执行情况得分</w:t>
      </w:r>
      <w:r>
        <w:rPr>
          <w:rFonts w:ascii="仿宋_GB2312" w:eastAsia="仿宋_GB2312" w:hAnsi="宋体" w:cs="宋体" w:hint="eastAsia"/>
          <w:color w:val="000000"/>
          <w:kern w:val="0"/>
          <w:sz w:val="32"/>
          <w:szCs w:val="32"/>
        </w:rPr>
        <w:t>16.26</w:t>
      </w:r>
      <w:r>
        <w:rPr>
          <w:rFonts w:ascii="仿宋_GB2312" w:eastAsia="仿宋_GB2312" w:hAnsi="宋体" w:cs="宋体" w:hint="eastAsia"/>
          <w:color w:val="000000"/>
          <w:kern w:val="0"/>
          <w:sz w:val="32"/>
          <w:szCs w:val="32"/>
        </w:rPr>
        <w:t>分，整体绩效目标实现情况得分</w:t>
      </w:r>
      <w:r>
        <w:rPr>
          <w:rFonts w:ascii="仿宋_GB2312" w:eastAsia="仿宋_GB2312" w:hAnsi="宋体" w:cs="宋体" w:hint="eastAsia"/>
          <w:color w:val="000000"/>
          <w:kern w:val="0"/>
          <w:sz w:val="32"/>
          <w:szCs w:val="32"/>
        </w:rPr>
        <w:t>57.87</w:t>
      </w:r>
      <w:r>
        <w:rPr>
          <w:rFonts w:ascii="仿宋_GB2312" w:eastAsia="仿宋_GB2312" w:hAnsi="宋体" w:cs="宋体" w:hint="eastAsia"/>
          <w:color w:val="000000"/>
          <w:kern w:val="0"/>
          <w:sz w:val="32"/>
          <w:szCs w:val="32"/>
        </w:rPr>
        <w:t>分，预算管理情况得分</w:t>
      </w:r>
      <w:r>
        <w:rPr>
          <w:rFonts w:ascii="仿宋_GB2312" w:eastAsia="仿宋_GB2312" w:hAnsi="宋体" w:cs="宋体" w:hint="eastAsia"/>
          <w:color w:val="000000"/>
          <w:kern w:val="0"/>
          <w:sz w:val="32"/>
          <w:szCs w:val="32"/>
        </w:rPr>
        <w:t>20</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0</w:t>
      </w:r>
      <w:r>
        <w:rPr>
          <w:rFonts w:ascii="仿宋_GB2312" w:eastAsia="仿宋_GB2312" w:hAnsi="宋体" w:cs="宋体"/>
          <w:color w:val="000000"/>
          <w:kern w:val="0"/>
          <w:sz w:val="32"/>
          <w:szCs w:val="32"/>
        </w:rPr>
        <w:t>0</w:t>
      </w:r>
      <w:r>
        <w:rPr>
          <w:rFonts w:ascii="仿宋_GB2312" w:eastAsia="仿宋_GB2312" w:hAnsi="宋体" w:cs="宋体" w:hint="eastAsia"/>
          <w:color w:val="000000"/>
          <w:kern w:val="0"/>
          <w:sz w:val="32"/>
          <w:szCs w:val="32"/>
        </w:rPr>
        <w:t>分，部门整体评价等级为“优”。</w:t>
      </w:r>
    </w:p>
    <w:p w:rsidR="006A3C12" w:rsidRDefault="00244ACC">
      <w:pPr>
        <w:spacing w:line="600" w:lineRule="exact"/>
        <w:ind w:firstLineChars="200" w:firstLine="640"/>
        <w:outlineLvl w:val="1"/>
        <w:rPr>
          <w:rFonts w:ascii="楷体_GB2312" w:eastAsia="楷体_GB2312"/>
          <w:sz w:val="32"/>
          <w:szCs w:val="32"/>
        </w:rPr>
      </w:pPr>
      <w:bookmarkStart w:id="23" w:name="_Toc26639"/>
      <w:r>
        <w:rPr>
          <w:rFonts w:ascii="楷体_GB2312" w:eastAsia="楷体_GB2312" w:hint="eastAsia"/>
          <w:sz w:val="32"/>
          <w:szCs w:val="32"/>
        </w:rPr>
        <w:t>（二）存在的问题及原因分析</w:t>
      </w:r>
      <w:bookmarkEnd w:id="23"/>
    </w:p>
    <w:p w:rsidR="006A3C12" w:rsidRDefault="00244ACC">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个别项目绩效目标设置不够合理，绩效管理意识有待进一步加强</w:t>
      </w:r>
    </w:p>
    <w:p w:rsidR="006A3C12" w:rsidRDefault="00244ACC">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部门整体绩效目标中的个别产出指标值年初设定偏低，如：产出数量年初指标“组织技术培训≥</w:t>
      </w:r>
      <w:r>
        <w:rPr>
          <w:rFonts w:ascii="仿宋_GB2312" w:eastAsia="仿宋_GB2312" w:hAnsi="宋体" w:cs="宋体" w:hint="eastAsia"/>
          <w:color w:val="000000"/>
          <w:kern w:val="0"/>
          <w:sz w:val="32"/>
          <w:szCs w:val="32"/>
        </w:rPr>
        <w:t>130</w:t>
      </w:r>
      <w:r>
        <w:rPr>
          <w:rFonts w:ascii="仿宋_GB2312" w:eastAsia="仿宋_GB2312" w:hAnsi="宋体" w:cs="宋体" w:hint="eastAsia"/>
          <w:color w:val="000000"/>
          <w:kern w:val="0"/>
          <w:sz w:val="32"/>
          <w:szCs w:val="32"/>
        </w:rPr>
        <w:t>次”，绩效指标完成</w:t>
      </w:r>
      <w:r>
        <w:rPr>
          <w:rFonts w:ascii="仿宋_GB2312" w:eastAsia="仿宋_GB2312" w:hAnsi="宋体" w:cs="宋体" w:hint="eastAsia"/>
          <w:color w:val="000000"/>
          <w:kern w:val="0"/>
          <w:sz w:val="32"/>
          <w:szCs w:val="32"/>
        </w:rPr>
        <w:t>213</w:t>
      </w:r>
      <w:r>
        <w:rPr>
          <w:rFonts w:ascii="仿宋_GB2312" w:eastAsia="仿宋_GB2312" w:hAnsi="宋体" w:cs="宋体" w:hint="eastAsia"/>
          <w:color w:val="000000"/>
          <w:kern w:val="0"/>
          <w:sz w:val="32"/>
          <w:szCs w:val="32"/>
        </w:rPr>
        <w:t>次。</w:t>
      </w:r>
    </w:p>
    <w:p w:rsidR="006A3C12" w:rsidRDefault="00244ACC">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w:t>
      </w:r>
      <w:r w:rsidR="004C1167">
        <w:rPr>
          <w:rFonts w:ascii="仿宋_GB2312" w:eastAsia="仿宋_GB2312" w:hAnsi="宋体" w:cs="宋体" w:hint="eastAsia"/>
          <w:color w:val="000000"/>
          <w:kern w:val="0"/>
          <w:sz w:val="32"/>
          <w:szCs w:val="32"/>
        </w:rPr>
        <w:t>需要进一步加强项目执行过程管理、</w:t>
      </w:r>
      <w:bookmarkStart w:id="24" w:name="_GoBack"/>
      <w:bookmarkEnd w:id="24"/>
      <w:r>
        <w:rPr>
          <w:rFonts w:ascii="仿宋_GB2312" w:eastAsia="仿宋_GB2312" w:hAnsi="宋体" w:cs="宋体" w:hint="eastAsia"/>
          <w:color w:val="000000"/>
          <w:kern w:val="0"/>
          <w:sz w:val="32"/>
          <w:szCs w:val="32"/>
        </w:rPr>
        <w:t>深化项目协同与资源调配</w:t>
      </w:r>
    </w:p>
    <w:p w:rsidR="006A3C12" w:rsidRDefault="00244ACC">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项目统筹进度管理存在薄弱环节，应进一步加强各项目的执行进度</w:t>
      </w:r>
      <w:r>
        <w:rPr>
          <w:rFonts w:ascii="仿宋_GB2312" w:eastAsia="仿宋_GB2312" w:hAnsi="宋体" w:cs="宋体" w:hint="eastAsia"/>
          <w:color w:val="000000"/>
          <w:kern w:val="0"/>
          <w:sz w:val="32"/>
          <w:szCs w:val="32"/>
        </w:rPr>
        <w:t>统筹管理、质量控制。同时进一步完善资源管理台账，通过系统自动匹配资源需求与库存数据，提升资源调配精准度。</w:t>
      </w:r>
    </w:p>
    <w:p w:rsidR="006A3C12" w:rsidRDefault="00244ACC">
      <w:pPr>
        <w:spacing w:line="600" w:lineRule="exact"/>
        <w:ind w:firstLineChars="200" w:firstLine="640"/>
        <w:outlineLvl w:val="0"/>
        <w:rPr>
          <w:rFonts w:ascii="仿宋_GB2312" w:eastAsia="仿宋_GB2312" w:hAnsi="宋体" w:cs="宋体"/>
          <w:color w:val="000000"/>
          <w:kern w:val="0"/>
          <w:sz w:val="32"/>
          <w:szCs w:val="32"/>
        </w:rPr>
      </w:pPr>
      <w:bookmarkStart w:id="25" w:name="_Toc613"/>
      <w:bookmarkStart w:id="26" w:name="_Toc6276"/>
      <w:r>
        <w:rPr>
          <w:rFonts w:ascii="黑体" w:eastAsia="黑体" w:hAnsi="黑体" w:cs="宋体" w:hint="eastAsia"/>
          <w:color w:val="000000"/>
          <w:kern w:val="0"/>
          <w:sz w:val="32"/>
          <w:szCs w:val="32"/>
        </w:rPr>
        <w:t>六、措施建议</w:t>
      </w:r>
      <w:bookmarkEnd w:id="25"/>
      <w:bookmarkEnd w:id="26"/>
    </w:p>
    <w:p w:rsidR="006A3C12" w:rsidRDefault="00244ACC">
      <w:pPr>
        <w:pStyle w:val="aa"/>
        <w:outlineLvl w:val="9"/>
        <w:rPr>
          <w:rFonts w:hint="default"/>
        </w:rPr>
      </w:pPr>
      <w:r>
        <w:rPr>
          <w:rFonts w:ascii="仿宋_GB2312" w:eastAsia="仿宋_GB2312" w:hAnsi="宋体" w:cs="宋体"/>
          <w:color w:val="000000"/>
        </w:rPr>
        <w:lastRenderedPageBreak/>
        <w:t>（一）</w:t>
      </w:r>
      <w:r>
        <w:t>明确绩效目标，提升绩效管理水平</w:t>
      </w:r>
    </w:p>
    <w:p w:rsidR="006A3C12" w:rsidRDefault="00244ACC">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仿宋" w:hint="eastAsia"/>
          <w:bCs/>
          <w:kern w:val="32"/>
          <w:sz w:val="32"/>
          <w:szCs w:val="32"/>
        </w:rPr>
        <w:t>在考虑可实现性的基础上，合理设置具体数量指标值，推动绩效管理从合</w:t>
      </w:r>
      <w:proofErr w:type="gramStart"/>
      <w:r>
        <w:rPr>
          <w:rFonts w:ascii="仿宋_GB2312" w:eastAsia="仿宋_GB2312" w:hAnsi="仿宋" w:hint="eastAsia"/>
          <w:bCs/>
          <w:kern w:val="32"/>
          <w:sz w:val="32"/>
          <w:szCs w:val="32"/>
        </w:rPr>
        <w:t>规</w:t>
      </w:r>
      <w:proofErr w:type="gramEnd"/>
      <w:r>
        <w:rPr>
          <w:rFonts w:ascii="仿宋_GB2312" w:eastAsia="仿宋_GB2312" w:hAnsi="仿宋" w:hint="eastAsia"/>
          <w:bCs/>
          <w:kern w:val="32"/>
          <w:sz w:val="32"/>
          <w:szCs w:val="32"/>
        </w:rPr>
        <w:t>性导向</w:t>
      </w:r>
      <w:proofErr w:type="gramStart"/>
      <w:r>
        <w:rPr>
          <w:rFonts w:ascii="仿宋_GB2312" w:eastAsia="仿宋_GB2312" w:hAnsi="仿宋" w:hint="eastAsia"/>
          <w:bCs/>
          <w:kern w:val="32"/>
          <w:sz w:val="32"/>
          <w:szCs w:val="32"/>
        </w:rPr>
        <w:t>向</w:t>
      </w:r>
      <w:proofErr w:type="gramEnd"/>
      <w:r>
        <w:rPr>
          <w:rFonts w:ascii="仿宋_GB2312" w:eastAsia="仿宋_GB2312" w:hAnsi="仿宋" w:hint="eastAsia"/>
          <w:bCs/>
          <w:kern w:val="32"/>
          <w:sz w:val="32"/>
          <w:szCs w:val="32"/>
        </w:rPr>
        <w:t>实效性导向转变，真正实现财政资源配置效率提升。</w:t>
      </w:r>
    </w:p>
    <w:p w:rsidR="006A3C12" w:rsidRDefault="00244ACC">
      <w:pPr>
        <w:spacing w:line="600" w:lineRule="exact"/>
        <w:ind w:firstLineChars="200" w:firstLine="640"/>
        <w:rPr>
          <w:rFonts w:ascii="楷体_GB2312" w:eastAsia="楷体_GB2312" w:hAnsi="楷体_GB2312" w:cs="楷体_GB2312"/>
          <w:kern w:val="0"/>
          <w:sz w:val="32"/>
          <w:szCs w:val="32"/>
        </w:rPr>
      </w:pPr>
      <w:r>
        <w:rPr>
          <w:rFonts w:ascii="仿宋_GB2312" w:eastAsia="仿宋_GB2312" w:hAnsi="宋体" w:cs="宋体" w:hint="eastAsia"/>
          <w:color w:val="000000"/>
          <w:kern w:val="0"/>
          <w:sz w:val="32"/>
          <w:szCs w:val="32"/>
        </w:rPr>
        <w:t>（二）</w:t>
      </w:r>
      <w:r>
        <w:rPr>
          <w:rFonts w:ascii="楷体_GB2312" w:eastAsia="楷体_GB2312" w:hAnsi="楷体_GB2312" w:cs="楷体_GB2312" w:hint="eastAsia"/>
          <w:kern w:val="0"/>
          <w:sz w:val="32"/>
          <w:szCs w:val="32"/>
        </w:rPr>
        <w:t>细化实施方案，协助指导项目单位加强项目执行过程管理</w:t>
      </w:r>
    </w:p>
    <w:p w:rsidR="006A3C12" w:rsidRDefault="00244ACC">
      <w:pPr>
        <w:pStyle w:val="a0"/>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仿宋"/>
          <w:kern w:val="0"/>
          <w:sz w:val="32"/>
          <w:szCs w:val="32"/>
          <w:lang w:bidi="en-US"/>
        </w:rPr>
        <w:t>进一步</w:t>
      </w:r>
      <w:r>
        <w:rPr>
          <w:rFonts w:ascii="仿宋_GB2312" w:eastAsia="仿宋_GB2312" w:hAnsi="仿宋" w:hint="eastAsia"/>
          <w:kern w:val="0"/>
          <w:sz w:val="32"/>
          <w:szCs w:val="32"/>
          <w:lang w:bidi="en-US"/>
        </w:rPr>
        <w:t>细化项目实施</w:t>
      </w:r>
      <w:r>
        <w:rPr>
          <w:rFonts w:ascii="仿宋_GB2312" w:eastAsia="仿宋_GB2312" w:hAnsi="仿宋"/>
          <w:kern w:val="0"/>
          <w:sz w:val="32"/>
          <w:szCs w:val="32"/>
          <w:lang w:bidi="en-US"/>
        </w:rPr>
        <w:t>方案，</w:t>
      </w:r>
      <w:r>
        <w:rPr>
          <w:rFonts w:ascii="仿宋_GB2312" w:eastAsia="仿宋_GB2312" w:hAnsi="仿宋" w:hint="eastAsia"/>
          <w:kern w:val="0"/>
          <w:sz w:val="32"/>
          <w:szCs w:val="32"/>
          <w:lang w:bidi="en-US"/>
        </w:rPr>
        <w:t>加强项目责任人的相关培训指导，建立联席会议制度，积极协调解决执行中的重复交叉问题，强化成本效益分析，优化人力、资金等资源配置优先级，避免资源闲置或重复投入。</w:t>
      </w:r>
    </w:p>
    <w:p w:rsidR="006A3C12" w:rsidRDefault="006A3C12">
      <w:pPr>
        <w:spacing w:line="600" w:lineRule="exact"/>
        <w:ind w:firstLineChars="200" w:firstLine="640"/>
        <w:rPr>
          <w:rFonts w:ascii="仿宋_GB2312" w:eastAsia="仿宋_GB2312" w:hAnsi="宋体" w:cs="宋体"/>
          <w:color w:val="000000"/>
          <w:kern w:val="0"/>
          <w:sz w:val="32"/>
          <w:szCs w:val="32"/>
        </w:rPr>
      </w:pPr>
    </w:p>
    <w:p w:rsidR="006A3C12" w:rsidRDefault="00244ACC">
      <w:pPr>
        <w:spacing w:line="60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附件：</w:t>
      </w:r>
      <w:r>
        <w:rPr>
          <w:rFonts w:ascii="仿宋_GB2312" w:eastAsia="仿宋_GB2312" w:hAnsi="宋体" w:cs="宋体" w:hint="eastAsia"/>
          <w:kern w:val="0"/>
          <w:sz w:val="32"/>
          <w:szCs w:val="32"/>
        </w:rPr>
        <w:t>2024</w:t>
      </w:r>
      <w:r>
        <w:rPr>
          <w:rFonts w:ascii="仿宋_GB2312" w:eastAsia="仿宋_GB2312" w:hAnsi="宋体" w:cs="宋体" w:hint="eastAsia"/>
          <w:kern w:val="0"/>
          <w:sz w:val="32"/>
          <w:szCs w:val="32"/>
        </w:rPr>
        <w:t>年部门整体绩效评价指标体系评分表</w:t>
      </w:r>
    </w:p>
    <w:p w:rsidR="006A3C12" w:rsidRDefault="006A3C12">
      <w:pPr>
        <w:spacing w:line="600" w:lineRule="exact"/>
        <w:ind w:firstLineChars="200" w:firstLine="640"/>
        <w:rPr>
          <w:rFonts w:ascii="仿宋_GB2312" w:eastAsia="仿宋_GB2312" w:hAnsi="宋体" w:cs="宋体"/>
          <w:color w:val="000000"/>
          <w:kern w:val="0"/>
          <w:sz w:val="32"/>
          <w:szCs w:val="32"/>
        </w:rPr>
      </w:pPr>
    </w:p>
    <w:p w:rsidR="006A3C12" w:rsidRDefault="006A3C12">
      <w:pPr>
        <w:spacing w:line="600" w:lineRule="exact"/>
        <w:ind w:firstLineChars="200" w:firstLine="640"/>
        <w:rPr>
          <w:rFonts w:ascii="仿宋_GB2312" w:eastAsia="仿宋_GB2312" w:hAnsi="宋体" w:cs="宋体"/>
          <w:color w:val="000000"/>
          <w:kern w:val="0"/>
          <w:sz w:val="32"/>
          <w:szCs w:val="32"/>
        </w:rPr>
      </w:pPr>
    </w:p>
    <w:p w:rsidR="006A3C12" w:rsidRDefault="006A3C12">
      <w:pPr>
        <w:spacing w:line="600" w:lineRule="exact"/>
        <w:ind w:firstLineChars="200" w:firstLine="640"/>
        <w:rPr>
          <w:rFonts w:ascii="仿宋_GB2312" w:eastAsia="仿宋_GB2312" w:hAnsi="宋体" w:cs="宋体"/>
          <w:color w:val="000000"/>
          <w:kern w:val="0"/>
          <w:sz w:val="32"/>
          <w:szCs w:val="32"/>
        </w:rPr>
      </w:pPr>
    </w:p>
    <w:p w:rsidR="006A3C12" w:rsidRDefault="006A3C12">
      <w:pPr>
        <w:spacing w:line="600" w:lineRule="exact"/>
        <w:ind w:firstLineChars="200" w:firstLine="640"/>
        <w:rPr>
          <w:rFonts w:ascii="仿宋_GB2312" w:eastAsia="仿宋_GB2312" w:hAnsi="宋体" w:cs="宋体"/>
          <w:color w:val="000000"/>
          <w:kern w:val="0"/>
          <w:sz w:val="32"/>
          <w:szCs w:val="32"/>
        </w:rPr>
      </w:pPr>
    </w:p>
    <w:p w:rsidR="006A3C12" w:rsidRDefault="006A3C12">
      <w:pPr>
        <w:spacing w:line="600" w:lineRule="exact"/>
        <w:ind w:firstLineChars="200" w:firstLine="640"/>
        <w:rPr>
          <w:rFonts w:ascii="仿宋_GB2312" w:eastAsia="仿宋_GB2312" w:hAnsi="宋体" w:cs="宋体"/>
          <w:color w:val="000000"/>
          <w:kern w:val="0"/>
          <w:sz w:val="32"/>
          <w:szCs w:val="32"/>
        </w:rPr>
      </w:pPr>
    </w:p>
    <w:p w:rsidR="006A3C12" w:rsidRDefault="006A3C12">
      <w:pPr>
        <w:spacing w:line="600" w:lineRule="exact"/>
        <w:ind w:firstLineChars="200" w:firstLine="640"/>
        <w:rPr>
          <w:rFonts w:ascii="仿宋_GB2312" w:eastAsia="仿宋_GB2312" w:hAnsi="宋体" w:cs="宋体"/>
          <w:color w:val="000000"/>
          <w:kern w:val="0"/>
          <w:sz w:val="32"/>
          <w:szCs w:val="32"/>
        </w:rPr>
      </w:pPr>
    </w:p>
    <w:p w:rsidR="006A3C12" w:rsidRDefault="006A3C12">
      <w:pPr>
        <w:spacing w:line="600" w:lineRule="exact"/>
        <w:ind w:firstLineChars="200" w:firstLine="640"/>
        <w:rPr>
          <w:rFonts w:ascii="仿宋_GB2312" w:eastAsia="仿宋_GB2312" w:hAnsi="宋体" w:cs="宋体"/>
          <w:color w:val="000000"/>
          <w:kern w:val="0"/>
          <w:sz w:val="32"/>
          <w:szCs w:val="32"/>
        </w:rPr>
      </w:pPr>
    </w:p>
    <w:p w:rsidR="006A3C12" w:rsidRDefault="006A3C12">
      <w:pPr>
        <w:spacing w:line="600" w:lineRule="exact"/>
        <w:ind w:firstLineChars="200" w:firstLine="640"/>
        <w:rPr>
          <w:rFonts w:ascii="仿宋_GB2312" w:eastAsia="仿宋_GB2312" w:hAnsi="宋体" w:cs="宋体"/>
          <w:color w:val="000000"/>
          <w:kern w:val="0"/>
          <w:sz w:val="32"/>
          <w:szCs w:val="32"/>
        </w:rPr>
      </w:pPr>
    </w:p>
    <w:p w:rsidR="006A3C12" w:rsidRDefault="006A3C12">
      <w:pPr>
        <w:spacing w:line="600" w:lineRule="exact"/>
        <w:ind w:firstLineChars="200" w:firstLine="640"/>
        <w:rPr>
          <w:rFonts w:ascii="仿宋_GB2312" w:eastAsia="仿宋_GB2312" w:hAnsi="宋体" w:cs="宋体"/>
          <w:color w:val="000000"/>
          <w:kern w:val="0"/>
          <w:sz w:val="32"/>
          <w:szCs w:val="32"/>
        </w:rPr>
      </w:pPr>
    </w:p>
    <w:p w:rsidR="006A3C12" w:rsidRDefault="006A3C12">
      <w:pPr>
        <w:spacing w:line="600" w:lineRule="exact"/>
        <w:ind w:firstLineChars="200" w:firstLine="640"/>
        <w:rPr>
          <w:rFonts w:ascii="仿宋_GB2312" w:eastAsia="仿宋_GB2312" w:hAnsi="宋体" w:cs="宋体"/>
          <w:color w:val="000000"/>
          <w:kern w:val="0"/>
          <w:sz w:val="32"/>
          <w:szCs w:val="32"/>
        </w:rPr>
      </w:pPr>
    </w:p>
    <w:p w:rsidR="006A3C12" w:rsidRDefault="00244ACC">
      <w:pPr>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br w:type="page"/>
      </w:r>
    </w:p>
    <w:p w:rsidR="006A3C12" w:rsidRDefault="006A3C12">
      <w:pPr>
        <w:spacing w:line="600" w:lineRule="exact"/>
        <w:ind w:firstLineChars="200" w:firstLine="640"/>
        <w:rPr>
          <w:rFonts w:ascii="仿宋_GB2312" w:eastAsia="仿宋_GB2312" w:hAnsi="宋体" w:cs="宋体"/>
          <w:color w:val="000000"/>
          <w:kern w:val="0"/>
          <w:sz w:val="32"/>
          <w:szCs w:val="32"/>
        </w:rPr>
        <w:sectPr w:rsidR="006A3C12">
          <w:footerReference w:type="default" r:id="rId8"/>
          <w:pgSz w:w="11906" w:h="16838"/>
          <w:pgMar w:top="1440" w:right="1800" w:bottom="1440" w:left="1800" w:header="851" w:footer="992" w:gutter="0"/>
          <w:pgNumType w:start="1"/>
          <w:cols w:space="425"/>
          <w:docGrid w:type="lines" w:linePitch="312"/>
        </w:sectPr>
      </w:pPr>
    </w:p>
    <w:p w:rsidR="006A3C12" w:rsidRDefault="00244ACC">
      <w:pPr>
        <w:spacing w:line="600" w:lineRule="exact"/>
        <w:ind w:firstLineChars="200" w:firstLine="420"/>
        <w:rPr>
          <w:rFonts w:ascii="仿宋_GB2312" w:eastAsia="仿宋_GB2312" w:hAnsi="宋体" w:cs="宋体"/>
          <w:color w:val="000000"/>
          <w:kern w:val="0"/>
          <w:sz w:val="32"/>
          <w:szCs w:val="32"/>
        </w:rPr>
      </w:pPr>
      <w:r>
        <w:rPr>
          <w:noProof/>
        </w:rPr>
        <w:lastRenderedPageBreak/>
        <w:drawing>
          <wp:anchor distT="0" distB="0" distL="114300" distR="114300" simplePos="0" relativeHeight="251659264" behindDoc="1" locked="0" layoutInCell="1" allowOverlap="1">
            <wp:simplePos x="0" y="0"/>
            <wp:positionH relativeFrom="column">
              <wp:posOffset>139700</wp:posOffset>
            </wp:positionH>
            <wp:positionV relativeFrom="paragraph">
              <wp:posOffset>-97790</wp:posOffset>
            </wp:positionV>
            <wp:extent cx="8850630" cy="5981065"/>
            <wp:effectExtent l="0" t="0" r="1270" b="635"/>
            <wp:wrapTight wrapText="bothSides">
              <wp:wrapPolygon edited="0">
                <wp:start x="0" y="0"/>
                <wp:lineTo x="0" y="21556"/>
                <wp:lineTo x="21572" y="21556"/>
                <wp:lineTo x="21572" y="0"/>
                <wp:lineTo x="0" y="0"/>
              </wp:wrapPolygon>
            </wp:wrapTight>
            <wp:docPr id="1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
                    <pic:cNvPicPr>
                      <a:picLocks noChangeAspect="1"/>
                    </pic:cNvPicPr>
                  </pic:nvPicPr>
                  <pic:blipFill>
                    <a:blip r:embed="rId9"/>
                    <a:stretch>
                      <a:fillRect/>
                    </a:stretch>
                  </pic:blipFill>
                  <pic:spPr>
                    <a:xfrm>
                      <a:off x="0" y="0"/>
                      <a:ext cx="8850630" cy="5981065"/>
                    </a:xfrm>
                    <a:prstGeom prst="rect">
                      <a:avLst/>
                    </a:prstGeom>
                    <a:noFill/>
                    <a:ln>
                      <a:noFill/>
                    </a:ln>
                  </pic:spPr>
                </pic:pic>
              </a:graphicData>
            </a:graphic>
          </wp:anchor>
        </w:drawing>
      </w:r>
    </w:p>
    <w:p w:rsidR="006A3C12" w:rsidRDefault="00244ACC">
      <w:pPr>
        <w:spacing w:line="600" w:lineRule="exact"/>
        <w:ind w:firstLineChars="200" w:firstLine="420"/>
        <w:rPr>
          <w:rFonts w:ascii="仿宋_GB2312" w:eastAsia="仿宋_GB2312" w:hAnsi="宋体" w:cs="宋体"/>
          <w:color w:val="000000"/>
          <w:kern w:val="0"/>
          <w:sz w:val="32"/>
          <w:szCs w:val="32"/>
        </w:rPr>
      </w:pPr>
      <w:r>
        <w:rPr>
          <w:noProof/>
        </w:rPr>
        <w:lastRenderedPageBreak/>
        <w:drawing>
          <wp:anchor distT="0" distB="0" distL="114300" distR="114300" simplePos="0" relativeHeight="251660288" behindDoc="1" locked="0" layoutInCell="1" allowOverlap="1">
            <wp:simplePos x="0" y="0"/>
            <wp:positionH relativeFrom="column">
              <wp:posOffset>-107950</wp:posOffset>
            </wp:positionH>
            <wp:positionV relativeFrom="paragraph">
              <wp:posOffset>400050</wp:posOffset>
            </wp:positionV>
            <wp:extent cx="8863330" cy="4982210"/>
            <wp:effectExtent l="0" t="0" r="1270" b="8890"/>
            <wp:wrapTight wrapText="bothSides">
              <wp:wrapPolygon edited="0">
                <wp:start x="0" y="0"/>
                <wp:lineTo x="0" y="21528"/>
                <wp:lineTo x="21572" y="21528"/>
                <wp:lineTo x="21572" y="0"/>
                <wp:lineTo x="0" y="0"/>
              </wp:wrapPolygon>
            </wp:wrapTight>
            <wp:docPr id="1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4"/>
                    <pic:cNvPicPr>
                      <a:picLocks noChangeAspect="1"/>
                    </pic:cNvPicPr>
                  </pic:nvPicPr>
                  <pic:blipFill>
                    <a:blip r:embed="rId10"/>
                    <a:stretch>
                      <a:fillRect/>
                    </a:stretch>
                  </pic:blipFill>
                  <pic:spPr>
                    <a:xfrm>
                      <a:off x="0" y="0"/>
                      <a:ext cx="8863330" cy="4982210"/>
                    </a:xfrm>
                    <a:prstGeom prst="rect">
                      <a:avLst/>
                    </a:prstGeom>
                    <a:noFill/>
                    <a:ln>
                      <a:noFill/>
                    </a:ln>
                  </pic:spPr>
                </pic:pic>
              </a:graphicData>
            </a:graphic>
          </wp:anchor>
        </w:drawing>
      </w:r>
    </w:p>
    <w:p w:rsidR="006A3C12" w:rsidRDefault="006A3C12">
      <w:pPr>
        <w:spacing w:line="600" w:lineRule="exact"/>
        <w:rPr>
          <w:rFonts w:ascii="仿宋_GB2312" w:eastAsia="仿宋_GB2312" w:hAnsi="宋体" w:cs="宋体"/>
          <w:color w:val="000000"/>
          <w:kern w:val="0"/>
          <w:sz w:val="32"/>
          <w:szCs w:val="32"/>
        </w:rPr>
        <w:sectPr w:rsidR="006A3C12">
          <w:pgSz w:w="16838" w:h="11906" w:orient="landscape"/>
          <w:pgMar w:top="1800" w:right="1440" w:bottom="1800" w:left="1440" w:header="851" w:footer="992" w:gutter="0"/>
          <w:cols w:space="425"/>
          <w:docGrid w:type="lines" w:linePitch="312"/>
        </w:sectPr>
      </w:pPr>
    </w:p>
    <w:p w:rsidR="006A3C12" w:rsidRDefault="00244ACC">
      <w:pPr>
        <w:spacing w:line="600" w:lineRule="exact"/>
        <w:ind w:firstLineChars="200" w:firstLine="420"/>
        <w:rPr>
          <w:rFonts w:ascii="仿宋_GB2312" w:eastAsia="仿宋_GB2312" w:hAnsi="宋体" w:cs="宋体"/>
          <w:color w:val="000000"/>
          <w:kern w:val="0"/>
          <w:sz w:val="32"/>
          <w:szCs w:val="32"/>
        </w:rPr>
      </w:pPr>
      <w:r>
        <w:rPr>
          <w:noProof/>
        </w:rPr>
        <w:lastRenderedPageBreak/>
        <w:drawing>
          <wp:anchor distT="0" distB="0" distL="114300" distR="114300" simplePos="0" relativeHeight="251661312" behindDoc="1" locked="0" layoutInCell="1" allowOverlap="1">
            <wp:simplePos x="0" y="0"/>
            <wp:positionH relativeFrom="column">
              <wp:posOffset>-38100</wp:posOffset>
            </wp:positionH>
            <wp:positionV relativeFrom="paragraph">
              <wp:posOffset>241300</wp:posOffset>
            </wp:positionV>
            <wp:extent cx="8858250" cy="3907155"/>
            <wp:effectExtent l="0" t="0" r="6350" b="0"/>
            <wp:wrapTight wrapText="bothSides">
              <wp:wrapPolygon edited="0">
                <wp:start x="0" y="0"/>
                <wp:lineTo x="0" y="21554"/>
                <wp:lineTo x="21585" y="21554"/>
                <wp:lineTo x="21585" y="0"/>
                <wp:lineTo x="0" y="0"/>
              </wp:wrapPolygon>
            </wp:wrapTight>
            <wp:docPr id="1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5"/>
                    <pic:cNvPicPr>
                      <a:picLocks noChangeAspect="1"/>
                    </pic:cNvPicPr>
                  </pic:nvPicPr>
                  <pic:blipFill>
                    <a:blip r:embed="rId11"/>
                    <a:stretch>
                      <a:fillRect/>
                    </a:stretch>
                  </pic:blipFill>
                  <pic:spPr>
                    <a:xfrm>
                      <a:off x="0" y="0"/>
                      <a:ext cx="8858250" cy="3907155"/>
                    </a:xfrm>
                    <a:prstGeom prst="rect">
                      <a:avLst/>
                    </a:prstGeom>
                    <a:noFill/>
                    <a:ln>
                      <a:noFill/>
                    </a:ln>
                  </pic:spPr>
                </pic:pic>
              </a:graphicData>
            </a:graphic>
          </wp:anchor>
        </w:drawing>
      </w:r>
      <w:r>
        <w:rPr>
          <w:noProof/>
        </w:rPr>
        <w:drawing>
          <wp:inline distT="0" distB="0" distL="114300" distR="114300">
            <wp:extent cx="8862695" cy="3079115"/>
            <wp:effectExtent l="0" t="0" r="1905" b="6985"/>
            <wp:docPr id="1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
                    <pic:cNvPicPr>
                      <a:picLocks noChangeAspect="1"/>
                    </pic:cNvPicPr>
                  </pic:nvPicPr>
                  <pic:blipFill>
                    <a:blip r:embed="rId12"/>
                    <a:stretch>
                      <a:fillRect/>
                    </a:stretch>
                  </pic:blipFill>
                  <pic:spPr>
                    <a:xfrm>
                      <a:off x="0" y="0"/>
                      <a:ext cx="8862695" cy="3079115"/>
                    </a:xfrm>
                    <a:prstGeom prst="rect">
                      <a:avLst/>
                    </a:prstGeom>
                    <a:noFill/>
                    <a:ln>
                      <a:noFill/>
                    </a:ln>
                  </pic:spPr>
                </pic:pic>
              </a:graphicData>
            </a:graphic>
          </wp:inline>
        </w:drawing>
      </w:r>
    </w:p>
    <w:p w:rsidR="006A3C12" w:rsidRDefault="006A3C12">
      <w:pPr>
        <w:rPr>
          <w:rFonts w:ascii="仿宋_GB2312" w:eastAsia="仿宋_GB2312" w:hAnsi="宋体" w:cs="宋体"/>
          <w:color w:val="000000"/>
          <w:kern w:val="0"/>
          <w:sz w:val="32"/>
          <w:szCs w:val="32"/>
        </w:rPr>
      </w:pPr>
    </w:p>
    <w:sectPr w:rsidR="006A3C12">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4ACC" w:rsidRDefault="00244ACC">
      <w:r>
        <w:separator/>
      </w:r>
    </w:p>
  </w:endnote>
  <w:endnote w:type="continuationSeparator" w:id="0">
    <w:p w:rsidR="00244ACC" w:rsidRDefault="00244A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楷体_GB2312">
    <w:panose1 w:val="02010609030101010101"/>
    <w:charset w:val="86"/>
    <w:family w:val="modern"/>
    <w:pitch w:val="fixed"/>
    <w:sig w:usb0="00000001" w:usb1="080E0000" w:usb2="00000010" w:usb3="00000000" w:csb0="00040000" w:csb1="00000000"/>
    <w:embedRegular r:id="rId1" w:subsetted="1" w:fontKey="{2B803901-D521-4A63-A39F-8D4DF90EBA58}"/>
  </w:font>
  <w:font w:name="方正小标宋简体">
    <w:panose1 w:val="03000509000000000000"/>
    <w:charset w:val="86"/>
    <w:family w:val="script"/>
    <w:pitch w:val="fixed"/>
    <w:sig w:usb0="00000001" w:usb1="080E0000" w:usb2="00000010" w:usb3="00000000" w:csb0="00040000" w:csb1="00000000"/>
    <w:embedRegular r:id="rId2" w:subsetted="1" w:fontKey="{BA42D60E-5F5F-4630-AA52-BED2BDE182A2}"/>
  </w:font>
  <w:font w:name="黑体">
    <w:altName w:val="SimHei"/>
    <w:panose1 w:val="02010609060101010101"/>
    <w:charset w:val="86"/>
    <w:family w:val="modern"/>
    <w:pitch w:val="fixed"/>
    <w:sig w:usb0="800002BF" w:usb1="38CF7CFA" w:usb2="00000016" w:usb3="00000000" w:csb0="00040001" w:csb1="00000000"/>
    <w:embedRegular r:id="rId3" w:subsetted="1" w:fontKey="{91C7CC0A-A03E-480A-BAFC-79AAC27E91BB}"/>
  </w:font>
  <w:font w:name="仿宋_GB2312">
    <w:panose1 w:val="02010609030101010101"/>
    <w:charset w:val="86"/>
    <w:family w:val="modern"/>
    <w:pitch w:val="fixed"/>
    <w:sig w:usb0="00000001" w:usb1="080E0000" w:usb2="00000010" w:usb3="00000000" w:csb0="00040000" w:csb1="00000000"/>
    <w:embedRegular r:id="rId4" w:subsetted="1" w:fontKey="{AB19DD5F-F9F8-4202-84BC-D7140AB2F02E}"/>
    <w:embedBold r:id="rId5" w:subsetted="1" w:fontKey="{E173CFA6-F575-41B0-8575-A033F71E4369}"/>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5330524"/>
    </w:sdtPr>
    <w:sdtEndPr/>
    <w:sdtContent>
      <w:p w:rsidR="006A3C12" w:rsidRDefault="00244ACC">
        <w:pPr>
          <w:pStyle w:val="a6"/>
          <w:jc w:val="center"/>
        </w:pPr>
        <w:r>
          <w:fldChar w:fldCharType="begin"/>
        </w:r>
        <w:r>
          <w:instrText>PAGE   \* MERGEFORMAT</w:instrText>
        </w:r>
        <w:r>
          <w:fldChar w:fldCharType="separate"/>
        </w:r>
        <w:r w:rsidR="004C1167" w:rsidRPr="004C1167">
          <w:rPr>
            <w:noProof/>
            <w:lang w:val="zh-CN"/>
          </w:rPr>
          <w:t>15</w:t>
        </w:r>
        <w:r>
          <w:fldChar w:fldCharType="end"/>
        </w:r>
      </w:p>
    </w:sdtContent>
  </w:sdt>
  <w:p w:rsidR="006A3C12" w:rsidRDefault="006A3C1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4ACC" w:rsidRDefault="00244ACC">
      <w:r>
        <w:separator/>
      </w:r>
    </w:p>
  </w:footnote>
  <w:footnote w:type="continuationSeparator" w:id="0">
    <w:p w:rsidR="00244ACC" w:rsidRDefault="00244A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F1DD3B3"/>
    <w:multiLevelType w:val="singleLevel"/>
    <w:tmpl w:val="BF1DD3B3"/>
    <w:lvl w:ilvl="0">
      <w:start w:val="1"/>
      <w:numFmt w:val="decimal"/>
      <w:suff w:val="nothing"/>
      <w:lvlText w:val="（%1）"/>
      <w:lvlJc w:val="left"/>
      <w:pPr>
        <w:ind w:left="-10"/>
      </w:pPr>
    </w:lvl>
  </w:abstractNum>
  <w:abstractNum w:abstractNumId="1">
    <w:nsid w:val="F3D95ADE"/>
    <w:multiLevelType w:val="singleLevel"/>
    <w:tmpl w:val="F3D95ADE"/>
    <w:lvl w:ilvl="0">
      <w:start w:val="1"/>
      <w:numFmt w:val="decimal"/>
      <w:suff w:val="nothing"/>
      <w:lvlText w:val="（%1）"/>
      <w:lvlJc w:val="left"/>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静">
    <w15:presenceInfo w15:providerId="WPS Office" w15:userId="1680348358"/>
  </w15:person>
  <w15:person w15:author="gao runhong">
    <w15:presenceInfo w15:providerId="None" w15:userId="gao runho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xODQ0YjcyMTlhNDg2YmRkOWUxZDFhZTU1MzQ0M2QifQ=="/>
  </w:docVars>
  <w:rsids>
    <w:rsidRoot w:val="00755388"/>
    <w:rsid w:val="00065B19"/>
    <w:rsid w:val="00071BE4"/>
    <w:rsid w:val="00072016"/>
    <w:rsid w:val="00096D5C"/>
    <w:rsid w:val="000A1A3A"/>
    <w:rsid w:val="000B00B5"/>
    <w:rsid w:val="000D622E"/>
    <w:rsid w:val="000D65E1"/>
    <w:rsid w:val="000F3259"/>
    <w:rsid w:val="001056BE"/>
    <w:rsid w:val="00105FC9"/>
    <w:rsid w:val="00116403"/>
    <w:rsid w:val="00116B06"/>
    <w:rsid w:val="001277E9"/>
    <w:rsid w:val="0013192C"/>
    <w:rsid w:val="00132FD5"/>
    <w:rsid w:val="00190055"/>
    <w:rsid w:val="001966F4"/>
    <w:rsid w:val="001C27F2"/>
    <w:rsid w:val="001E4AF2"/>
    <w:rsid w:val="00210811"/>
    <w:rsid w:val="00223702"/>
    <w:rsid w:val="00242BEB"/>
    <w:rsid w:val="00244ACC"/>
    <w:rsid w:val="002847EC"/>
    <w:rsid w:val="002A7D8C"/>
    <w:rsid w:val="002B28AF"/>
    <w:rsid w:val="002D7775"/>
    <w:rsid w:val="00312BA2"/>
    <w:rsid w:val="00326935"/>
    <w:rsid w:val="00331E73"/>
    <w:rsid w:val="00353555"/>
    <w:rsid w:val="0035619C"/>
    <w:rsid w:val="00364185"/>
    <w:rsid w:val="00365DBF"/>
    <w:rsid w:val="00386BB2"/>
    <w:rsid w:val="003973BD"/>
    <w:rsid w:val="003D7682"/>
    <w:rsid w:val="003E199D"/>
    <w:rsid w:val="00423F49"/>
    <w:rsid w:val="00426455"/>
    <w:rsid w:val="00427A13"/>
    <w:rsid w:val="00432F66"/>
    <w:rsid w:val="00442FB0"/>
    <w:rsid w:val="004779DE"/>
    <w:rsid w:val="004837CB"/>
    <w:rsid w:val="00492BDF"/>
    <w:rsid w:val="004A3E48"/>
    <w:rsid w:val="004C1167"/>
    <w:rsid w:val="004C66F1"/>
    <w:rsid w:val="004D0AA9"/>
    <w:rsid w:val="004E4BDA"/>
    <w:rsid w:val="004F30AA"/>
    <w:rsid w:val="00504B6E"/>
    <w:rsid w:val="00530DFF"/>
    <w:rsid w:val="00530FFD"/>
    <w:rsid w:val="00551ED5"/>
    <w:rsid w:val="00561578"/>
    <w:rsid w:val="00563A63"/>
    <w:rsid w:val="00571C51"/>
    <w:rsid w:val="005D3337"/>
    <w:rsid w:val="005F1A58"/>
    <w:rsid w:val="00636831"/>
    <w:rsid w:val="00653488"/>
    <w:rsid w:val="00660077"/>
    <w:rsid w:val="00665B81"/>
    <w:rsid w:val="006864C1"/>
    <w:rsid w:val="00691A3F"/>
    <w:rsid w:val="006A3C12"/>
    <w:rsid w:val="006B229B"/>
    <w:rsid w:val="006C0B81"/>
    <w:rsid w:val="006F7010"/>
    <w:rsid w:val="00704481"/>
    <w:rsid w:val="00712401"/>
    <w:rsid w:val="00716562"/>
    <w:rsid w:val="00724AAF"/>
    <w:rsid w:val="007267FB"/>
    <w:rsid w:val="00732ED0"/>
    <w:rsid w:val="00751BAB"/>
    <w:rsid w:val="00755388"/>
    <w:rsid w:val="00756D89"/>
    <w:rsid w:val="007629ED"/>
    <w:rsid w:val="00776BED"/>
    <w:rsid w:val="00794314"/>
    <w:rsid w:val="007B0ABB"/>
    <w:rsid w:val="007B5048"/>
    <w:rsid w:val="007E76E0"/>
    <w:rsid w:val="00812B49"/>
    <w:rsid w:val="00812CC3"/>
    <w:rsid w:val="00834195"/>
    <w:rsid w:val="00836E7F"/>
    <w:rsid w:val="00861B31"/>
    <w:rsid w:val="00864B49"/>
    <w:rsid w:val="00887FE5"/>
    <w:rsid w:val="00895874"/>
    <w:rsid w:val="008A2FAA"/>
    <w:rsid w:val="008A5C17"/>
    <w:rsid w:val="008C37C0"/>
    <w:rsid w:val="008F6D16"/>
    <w:rsid w:val="00900E04"/>
    <w:rsid w:val="009144BB"/>
    <w:rsid w:val="00923858"/>
    <w:rsid w:val="00927701"/>
    <w:rsid w:val="0093366C"/>
    <w:rsid w:val="00943A56"/>
    <w:rsid w:val="009446A3"/>
    <w:rsid w:val="00976E69"/>
    <w:rsid w:val="009865BA"/>
    <w:rsid w:val="009872DE"/>
    <w:rsid w:val="00990AD2"/>
    <w:rsid w:val="009913D2"/>
    <w:rsid w:val="009958E1"/>
    <w:rsid w:val="009A1D8B"/>
    <w:rsid w:val="009A5D90"/>
    <w:rsid w:val="009C0BA3"/>
    <w:rsid w:val="009E09EF"/>
    <w:rsid w:val="00A578F1"/>
    <w:rsid w:val="00A7547E"/>
    <w:rsid w:val="00AA2BC0"/>
    <w:rsid w:val="00AA749B"/>
    <w:rsid w:val="00AD1E68"/>
    <w:rsid w:val="00AE1C7F"/>
    <w:rsid w:val="00AE68AB"/>
    <w:rsid w:val="00AF1CD0"/>
    <w:rsid w:val="00AF229F"/>
    <w:rsid w:val="00AF3F10"/>
    <w:rsid w:val="00B04554"/>
    <w:rsid w:val="00B04731"/>
    <w:rsid w:val="00B07860"/>
    <w:rsid w:val="00B42E84"/>
    <w:rsid w:val="00B56CE2"/>
    <w:rsid w:val="00B733F9"/>
    <w:rsid w:val="00B91529"/>
    <w:rsid w:val="00BA3449"/>
    <w:rsid w:val="00BA402F"/>
    <w:rsid w:val="00BA4BC7"/>
    <w:rsid w:val="00BB5394"/>
    <w:rsid w:val="00BC6AC2"/>
    <w:rsid w:val="00BD5F07"/>
    <w:rsid w:val="00C13B9F"/>
    <w:rsid w:val="00C13F02"/>
    <w:rsid w:val="00C33019"/>
    <w:rsid w:val="00C664C7"/>
    <w:rsid w:val="00C73F05"/>
    <w:rsid w:val="00C95F7C"/>
    <w:rsid w:val="00CA0CCA"/>
    <w:rsid w:val="00D12EB1"/>
    <w:rsid w:val="00D24ACE"/>
    <w:rsid w:val="00D337F9"/>
    <w:rsid w:val="00D3464B"/>
    <w:rsid w:val="00D35AA0"/>
    <w:rsid w:val="00D43A01"/>
    <w:rsid w:val="00D54174"/>
    <w:rsid w:val="00D71740"/>
    <w:rsid w:val="00D7703B"/>
    <w:rsid w:val="00D77DEA"/>
    <w:rsid w:val="00DB3052"/>
    <w:rsid w:val="00DC2FA5"/>
    <w:rsid w:val="00DD13F2"/>
    <w:rsid w:val="00DE35B3"/>
    <w:rsid w:val="00E06AEE"/>
    <w:rsid w:val="00E131C6"/>
    <w:rsid w:val="00E1661E"/>
    <w:rsid w:val="00E43FBC"/>
    <w:rsid w:val="00E5142A"/>
    <w:rsid w:val="00E547C8"/>
    <w:rsid w:val="00E60758"/>
    <w:rsid w:val="00E7084A"/>
    <w:rsid w:val="00E75AF1"/>
    <w:rsid w:val="00E85666"/>
    <w:rsid w:val="00EA6266"/>
    <w:rsid w:val="00EB0B83"/>
    <w:rsid w:val="00EC4DF9"/>
    <w:rsid w:val="00EE4B56"/>
    <w:rsid w:val="00F07F56"/>
    <w:rsid w:val="00F12B9D"/>
    <w:rsid w:val="00F15E44"/>
    <w:rsid w:val="00F15EEF"/>
    <w:rsid w:val="00F36AEB"/>
    <w:rsid w:val="00F51977"/>
    <w:rsid w:val="00F533EF"/>
    <w:rsid w:val="00F62031"/>
    <w:rsid w:val="00F762E1"/>
    <w:rsid w:val="00FE4673"/>
    <w:rsid w:val="00FE4EB9"/>
    <w:rsid w:val="01415CD2"/>
    <w:rsid w:val="01973B44"/>
    <w:rsid w:val="01F128CB"/>
    <w:rsid w:val="02337D11"/>
    <w:rsid w:val="023F66B6"/>
    <w:rsid w:val="025263E9"/>
    <w:rsid w:val="02867E41"/>
    <w:rsid w:val="02A62B0D"/>
    <w:rsid w:val="02B92EB7"/>
    <w:rsid w:val="03154F72"/>
    <w:rsid w:val="03251E0A"/>
    <w:rsid w:val="036B6A09"/>
    <w:rsid w:val="045C1923"/>
    <w:rsid w:val="04DB6FEA"/>
    <w:rsid w:val="053D20EA"/>
    <w:rsid w:val="06FC3701"/>
    <w:rsid w:val="073202F2"/>
    <w:rsid w:val="073F34C4"/>
    <w:rsid w:val="07A019A5"/>
    <w:rsid w:val="07D95667"/>
    <w:rsid w:val="082762AA"/>
    <w:rsid w:val="088711D5"/>
    <w:rsid w:val="08AE04A4"/>
    <w:rsid w:val="09026E1D"/>
    <w:rsid w:val="09067F2D"/>
    <w:rsid w:val="092E4E98"/>
    <w:rsid w:val="09797CA7"/>
    <w:rsid w:val="0995305F"/>
    <w:rsid w:val="09C86F91"/>
    <w:rsid w:val="0A3E168D"/>
    <w:rsid w:val="0A605B56"/>
    <w:rsid w:val="0B197AFE"/>
    <w:rsid w:val="0BC027C4"/>
    <w:rsid w:val="0BDC6D23"/>
    <w:rsid w:val="0BDE1546"/>
    <w:rsid w:val="0C601702"/>
    <w:rsid w:val="0C8E2713"/>
    <w:rsid w:val="0CA97D54"/>
    <w:rsid w:val="0CBB2DDD"/>
    <w:rsid w:val="0D5F5BC0"/>
    <w:rsid w:val="0DD647B8"/>
    <w:rsid w:val="0DE87C01"/>
    <w:rsid w:val="0E0B38F0"/>
    <w:rsid w:val="0E1C45B5"/>
    <w:rsid w:val="0E990EFC"/>
    <w:rsid w:val="0F1113DA"/>
    <w:rsid w:val="0F4B48EC"/>
    <w:rsid w:val="0F544FE0"/>
    <w:rsid w:val="105509F5"/>
    <w:rsid w:val="10945E1E"/>
    <w:rsid w:val="11052878"/>
    <w:rsid w:val="11E80A2A"/>
    <w:rsid w:val="12543AB7"/>
    <w:rsid w:val="125E66E4"/>
    <w:rsid w:val="12B17ACF"/>
    <w:rsid w:val="131E7C21"/>
    <w:rsid w:val="141259D8"/>
    <w:rsid w:val="143F0797"/>
    <w:rsid w:val="149B1096"/>
    <w:rsid w:val="150F431F"/>
    <w:rsid w:val="155362A8"/>
    <w:rsid w:val="15D942D4"/>
    <w:rsid w:val="1669755E"/>
    <w:rsid w:val="16AE74F4"/>
    <w:rsid w:val="1767428D"/>
    <w:rsid w:val="17CE657E"/>
    <w:rsid w:val="185B0D53"/>
    <w:rsid w:val="1872043E"/>
    <w:rsid w:val="19033DE6"/>
    <w:rsid w:val="193408F6"/>
    <w:rsid w:val="19584459"/>
    <w:rsid w:val="19C42073"/>
    <w:rsid w:val="1A664770"/>
    <w:rsid w:val="1AEB0D31"/>
    <w:rsid w:val="1AF22EF0"/>
    <w:rsid w:val="1B041BC6"/>
    <w:rsid w:val="1B854CE1"/>
    <w:rsid w:val="1CCC0A5F"/>
    <w:rsid w:val="1D465B98"/>
    <w:rsid w:val="1D6D1ED1"/>
    <w:rsid w:val="1E1F2025"/>
    <w:rsid w:val="1F134CFA"/>
    <w:rsid w:val="1F37249F"/>
    <w:rsid w:val="1F553D69"/>
    <w:rsid w:val="1F9C6A9E"/>
    <w:rsid w:val="20743577"/>
    <w:rsid w:val="21B32CD9"/>
    <w:rsid w:val="223905D4"/>
    <w:rsid w:val="224A458F"/>
    <w:rsid w:val="236644AB"/>
    <w:rsid w:val="2393640A"/>
    <w:rsid w:val="23BD0515"/>
    <w:rsid w:val="23F60CD6"/>
    <w:rsid w:val="23F96DA4"/>
    <w:rsid w:val="244D6BBB"/>
    <w:rsid w:val="2454477C"/>
    <w:rsid w:val="24977834"/>
    <w:rsid w:val="24B21041"/>
    <w:rsid w:val="251C1B30"/>
    <w:rsid w:val="2610789E"/>
    <w:rsid w:val="261D561A"/>
    <w:rsid w:val="261E020C"/>
    <w:rsid w:val="267E514F"/>
    <w:rsid w:val="26FE3B9A"/>
    <w:rsid w:val="27B60FDE"/>
    <w:rsid w:val="280131BD"/>
    <w:rsid w:val="28D92B11"/>
    <w:rsid w:val="28F50475"/>
    <w:rsid w:val="294C2A46"/>
    <w:rsid w:val="29FC5426"/>
    <w:rsid w:val="2A64465C"/>
    <w:rsid w:val="2ABD4BEF"/>
    <w:rsid w:val="2B3E2C73"/>
    <w:rsid w:val="2BF15218"/>
    <w:rsid w:val="2CFD3384"/>
    <w:rsid w:val="2D287BC3"/>
    <w:rsid w:val="2D720E3E"/>
    <w:rsid w:val="2DA90CEA"/>
    <w:rsid w:val="2DAD7F8D"/>
    <w:rsid w:val="2DC02BD7"/>
    <w:rsid w:val="2DD77E5C"/>
    <w:rsid w:val="2E861045"/>
    <w:rsid w:val="2ECB5BFB"/>
    <w:rsid w:val="2F6A2714"/>
    <w:rsid w:val="2F7E3ACA"/>
    <w:rsid w:val="2FA86D99"/>
    <w:rsid w:val="2FD57720"/>
    <w:rsid w:val="300C557A"/>
    <w:rsid w:val="30B32228"/>
    <w:rsid w:val="31981F9D"/>
    <w:rsid w:val="31CA0640"/>
    <w:rsid w:val="32537490"/>
    <w:rsid w:val="3273368E"/>
    <w:rsid w:val="32AE2918"/>
    <w:rsid w:val="32BC647D"/>
    <w:rsid w:val="330A27F9"/>
    <w:rsid w:val="337A6C9E"/>
    <w:rsid w:val="33B6497D"/>
    <w:rsid w:val="33B702F2"/>
    <w:rsid w:val="33D97013"/>
    <w:rsid w:val="33ED255F"/>
    <w:rsid w:val="342509B2"/>
    <w:rsid w:val="34EC597A"/>
    <w:rsid w:val="35E93C67"/>
    <w:rsid w:val="36371C43"/>
    <w:rsid w:val="36504621"/>
    <w:rsid w:val="368340BC"/>
    <w:rsid w:val="36CD7502"/>
    <w:rsid w:val="37394029"/>
    <w:rsid w:val="37DF17C6"/>
    <w:rsid w:val="3810124E"/>
    <w:rsid w:val="38202E91"/>
    <w:rsid w:val="382A2A41"/>
    <w:rsid w:val="3837515E"/>
    <w:rsid w:val="38D62BC9"/>
    <w:rsid w:val="39101ED4"/>
    <w:rsid w:val="3950578E"/>
    <w:rsid w:val="398269DD"/>
    <w:rsid w:val="3A114EB9"/>
    <w:rsid w:val="3A541FF7"/>
    <w:rsid w:val="3A726DB7"/>
    <w:rsid w:val="3A8960CB"/>
    <w:rsid w:val="3AF9494C"/>
    <w:rsid w:val="3B0C0A17"/>
    <w:rsid w:val="3B0E3534"/>
    <w:rsid w:val="3B675D5A"/>
    <w:rsid w:val="3B963B0D"/>
    <w:rsid w:val="3CC50F8A"/>
    <w:rsid w:val="3CE328B6"/>
    <w:rsid w:val="3D1065CF"/>
    <w:rsid w:val="3D394B3F"/>
    <w:rsid w:val="3D826E7B"/>
    <w:rsid w:val="3DFC1D39"/>
    <w:rsid w:val="3E3A59A8"/>
    <w:rsid w:val="3EDB621D"/>
    <w:rsid w:val="3F0B2EA0"/>
    <w:rsid w:val="3F3E52D2"/>
    <w:rsid w:val="3F780205"/>
    <w:rsid w:val="3FA96941"/>
    <w:rsid w:val="3FB67E66"/>
    <w:rsid w:val="4000409F"/>
    <w:rsid w:val="40640ABA"/>
    <w:rsid w:val="412F538C"/>
    <w:rsid w:val="41440BA6"/>
    <w:rsid w:val="419B675D"/>
    <w:rsid w:val="42640B4C"/>
    <w:rsid w:val="42BF7498"/>
    <w:rsid w:val="432F6734"/>
    <w:rsid w:val="439F57A4"/>
    <w:rsid w:val="43F14D5A"/>
    <w:rsid w:val="43FD007D"/>
    <w:rsid w:val="44570A04"/>
    <w:rsid w:val="44D51F86"/>
    <w:rsid w:val="44D86954"/>
    <w:rsid w:val="452E537C"/>
    <w:rsid w:val="455C26A8"/>
    <w:rsid w:val="458F65D9"/>
    <w:rsid w:val="45901F42"/>
    <w:rsid w:val="45AD1122"/>
    <w:rsid w:val="46276812"/>
    <w:rsid w:val="46C07AC9"/>
    <w:rsid w:val="478C4FF2"/>
    <w:rsid w:val="48207076"/>
    <w:rsid w:val="482074E7"/>
    <w:rsid w:val="483B7750"/>
    <w:rsid w:val="485C0463"/>
    <w:rsid w:val="4898728F"/>
    <w:rsid w:val="48CF3F41"/>
    <w:rsid w:val="48FA020D"/>
    <w:rsid w:val="49675177"/>
    <w:rsid w:val="49C2053A"/>
    <w:rsid w:val="4A4831FA"/>
    <w:rsid w:val="4A62250E"/>
    <w:rsid w:val="4AA21D66"/>
    <w:rsid w:val="4B2F48DD"/>
    <w:rsid w:val="4BD1670D"/>
    <w:rsid w:val="4C37727A"/>
    <w:rsid w:val="4C4A325A"/>
    <w:rsid w:val="4C6360CA"/>
    <w:rsid w:val="4C7F39AC"/>
    <w:rsid w:val="4CB309FF"/>
    <w:rsid w:val="4D0133CE"/>
    <w:rsid w:val="4D0573C0"/>
    <w:rsid w:val="4D6E4D26"/>
    <w:rsid w:val="4D6F00D0"/>
    <w:rsid w:val="4DBC3CE3"/>
    <w:rsid w:val="4E170FAF"/>
    <w:rsid w:val="4EC76DE4"/>
    <w:rsid w:val="4F953EBA"/>
    <w:rsid w:val="4FF15FDA"/>
    <w:rsid w:val="503F3258"/>
    <w:rsid w:val="514C1EE5"/>
    <w:rsid w:val="52A64F62"/>
    <w:rsid w:val="52C35B14"/>
    <w:rsid w:val="52D27D60"/>
    <w:rsid w:val="52DF5398"/>
    <w:rsid w:val="53330219"/>
    <w:rsid w:val="535054D1"/>
    <w:rsid w:val="539302DA"/>
    <w:rsid w:val="53F817ED"/>
    <w:rsid w:val="542C37DE"/>
    <w:rsid w:val="54C905DB"/>
    <w:rsid w:val="55C23E61"/>
    <w:rsid w:val="565C42B5"/>
    <w:rsid w:val="56721153"/>
    <w:rsid w:val="569B35A1"/>
    <w:rsid w:val="56F20776"/>
    <w:rsid w:val="56F73FDE"/>
    <w:rsid w:val="57032983"/>
    <w:rsid w:val="576B3A27"/>
    <w:rsid w:val="57DB3900"/>
    <w:rsid w:val="5885275C"/>
    <w:rsid w:val="58A95339"/>
    <w:rsid w:val="58AE691E"/>
    <w:rsid w:val="59421A8C"/>
    <w:rsid w:val="594B1686"/>
    <w:rsid w:val="59A321FB"/>
    <w:rsid w:val="59BC725E"/>
    <w:rsid w:val="59F17FB6"/>
    <w:rsid w:val="5A0A2094"/>
    <w:rsid w:val="5A3E31F1"/>
    <w:rsid w:val="5AC85246"/>
    <w:rsid w:val="5AF70A51"/>
    <w:rsid w:val="5B644313"/>
    <w:rsid w:val="5B6930CD"/>
    <w:rsid w:val="5B736A42"/>
    <w:rsid w:val="5BA152D2"/>
    <w:rsid w:val="5BA30291"/>
    <w:rsid w:val="5BA37A09"/>
    <w:rsid w:val="5BF3116B"/>
    <w:rsid w:val="5DFF6326"/>
    <w:rsid w:val="5E2D4789"/>
    <w:rsid w:val="5EA47D28"/>
    <w:rsid w:val="5EAF1395"/>
    <w:rsid w:val="5EE74938"/>
    <w:rsid w:val="5EF66F04"/>
    <w:rsid w:val="5F2D7436"/>
    <w:rsid w:val="5F322F1C"/>
    <w:rsid w:val="5FCB7EFF"/>
    <w:rsid w:val="6013524C"/>
    <w:rsid w:val="615C0C89"/>
    <w:rsid w:val="61671D60"/>
    <w:rsid w:val="6197060F"/>
    <w:rsid w:val="61ED1051"/>
    <w:rsid w:val="62563693"/>
    <w:rsid w:val="62A900FA"/>
    <w:rsid w:val="63A70B3A"/>
    <w:rsid w:val="63AD43A2"/>
    <w:rsid w:val="63B769B5"/>
    <w:rsid w:val="63DE39EA"/>
    <w:rsid w:val="6468651B"/>
    <w:rsid w:val="6481138B"/>
    <w:rsid w:val="652C579B"/>
    <w:rsid w:val="655C6080"/>
    <w:rsid w:val="65705687"/>
    <w:rsid w:val="65A34629"/>
    <w:rsid w:val="65A50946"/>
    <w:rsid w:val="65AD56E3"/>
    <w:rsid w:val="65DE3607"/>
    <w:rsid w:val="66AB3091"/>
    <w:rsid w:val="66B13929"/>
    <w:rsid w:val="66BF7A4D"/>
    <w:rsid w:val="66F916AD"/>
    <w:rsid w:val="68002A58"/>
    <w:rsid w:val="6811257E"/>
    <w:rsid w:val="68263E9E"/>
    <w:rsid w:val="68532717"/>
    <w:rsid w:val="689123B7"/>
    <w:rsid w:val="68D75A1D"/>
    <w:rsid w:val="69E46644"/>
    <w:rsid w:val="6A95793E"/>
    <w:rsid w:val="6AA14DBB"/>
    <w:rsid w:val="6B2D5DC9"/>
    <w:rsid w:val="6C0A78C3"/>
    <w:rsid w:val="6CD510BC"/>
    <w:rsid w:val="6D892AE3"/>
    <w:rsid w:val="6E0B1247"/>
    <w:rsid w:val="6E8421A4"/>
    <w:rsid w:val="6E9338D0"/>
    <w:rsid w:val="6EB72813"/>
    <w:rsid w:val="6F1A48B6"/>
    <w:rsid w:val="6FD5047A"/>
    <w:rsid w:val="71436346"/>
    <w:rsid w:val="71C127E2"/>
    <w:rsid w:val="71FE226D"/>
    <w:rsid w:val="72476323"/>
    <w:rsid w:val="7295497F"/>
    <w:rsid w:val="736512B3"/>
    <w:rsid w:val="74281823"/>
    <w:rsid w:val="7476258E"/>
    <w:rsid w:val="74EC48F1"/>
    <w:rsid w:val="74FA6D1C"/>
    <w:rsid w:val="750F715F"/>
    <w:rsid w:val="761978C5"/>
    <w:rsid w:val="76436771"/>
    <w:rsid w:val="768B4EA0"/>
    <w:rsid w:val="772A5FF7"/>
    <w:rsid w:val="775165BF"/>
    <w:rsid w:val="77A15A09"/>
    <w:rsid w:val="77A2369A"/>
    <w:rsid w:val="786A240A"/>
    <w:rsid w:val="78F27AB6"/>
    <w:rsid w:val="79112886"/>
    <w:rsid w:val="79615280"/>
    <w:rsid w:val="79CB512B"/>
    <w:rsid w:val="7A592008"/>
    <w:rsid w:val="7A737EFA"/>
    <w:rsid w:val="7A7A4749"/>
    <w:rsid w:val="7A8B419B"/>
    <w:rsid w:val="7A8E6483"/>
    <w:rsid w:val="7AA7799B"/>
    <w:rsid w:val="7B1306B3"/>
    <w:rsid w:val="7B962E62"/>
    <w:rsid w:val="7BA10B65"/>
    <w:rsid w:val="7BA11C20"/>
    <w:rsid w:val="7BC4609C"/>
    <w:rsid w:val="7BFC02E1"/>
    <w:rsid w:val="7C23124E"/>
    <w:rsid w:val="7C2F7BF3"/>
    <w:rsid w:val="7CAE55D2"/>
    <w:rsid w:val="7CB579CC"/>
    <w:rsid w:val="7CE73894"/>
    <w:rsid w:val="7CF76237"/>
    <w:rsid w:val="7D6A30B0"/>
    <w:rsid w:val="7DC73E5B"/>
    <w:rsid w:val="7DE23A87"/>
    <w:rsid w:val="7E627FE1"/>
    <w:rsid w:val="7EBE525E"/>
    <w:rsid w:val="7EE527EB"/>
    <w:rsid w:val="7F315A30"/>
    <w:rsid w:val="7F6C2F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8" w:qFormat="1"/>
    <w:lsdException w:name="Normal Indent" w:uiPriority="99" w:qFormat="1"/>
    <w:lsdException w:name="annotation text" w:qFormat="1"/>
    <w:lsdException w:name="header" w:qFormat="1"/>
    <w:lsdException w:name="footer" w:uiPriority="99"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autoRedefine/>
    <w:qFormat/>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next w:val="8"/>
    <w:autoRedefine/>
    <w:uiPriority w:val="99"/>
    <w:qFormat/>
    <w:pPr>
      <w:ind w:firstLine="420"/>
    </w:pPr>
    <w:rPr>
      <w:szCs w:val="20"/>
    </w:rPr>
  </w:style>
  <w:style w:type="paragraph" w:styleId="8">
    <w:name w:val="toc 8"/>
    <w:basedOn w:val="a"/>
    <w:next w:val="a"/>
    <w:qFormat/>
    <w:pPr>
      <w:ind w:left="1470"/>
      <w:jc w:val="left"/>
    </w:pPr>
    <w:rPr>
      <w:sz w:val="20"/>
      <w:szCs w:val="20"/>
    </w:rPr>
  </w:style>
  <w:style w:type="paragraph" w:styleId="a4">
    <w:name w:val="annotation text"/>
    <w:basedOn w:val="a"/>
    <w:link w:val="Char"/>
    <w:autoRedefine/>
    <w:qFormat/>
    <w:pPr>
      <w:jc w:val="left"/>
    </w:pPr>
  </w:style>
  <w:style w:type="paragraph" w:styleId="a5">
    <w:name w:val="Balloon Text"/>
    <w:basedOn w:val="a"/>
    <w:link w:val="Char0"/>
    <w:qFormat/>
    <w:rPr>
      <w:sz w:val="18"/>
      <w:szCs w:val="18"/>
    </w:rPr>
  </w:style>
  <w:style w:type="paragraph" w:styleId="a6">
    <w:name w:val="footer"/>
    <w:basedOn w:val="a"/>
    <w:link w:val="Char1"/>
    <w:autoRedefine/>
    <w:uiPriority w:val="99"/>
    <w:qFormat/>
    <w:pPr>
      <w:tabs>
        <w:tab w:val="center" w:pos="4153"/>
        <w:tab w:val="right" w:pos="8306"/>
      </w:tabs>
      <w:snapToGrid w:val="0"/>
      <w:jc w:val="left"/>
    </w:pPr>
    <w:rPr>
      <w:sz w:val="18"/>
    </w:rPr>
  </w:style>
  <w:style w:type="paragraph" w:styleId="a7">
    <w:name w:val="header"/>
    <w:basedOn w:val="a"/>
    <w:autoRedefine/>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autoRedefine/>
    <w:qFormat/>
  </w:style>
  <w:style w:type="paragraph" w:styleId="a8">
    <w:name w:val="annotation subject"/>
    <w:basedOn w:val="a4"/>
    <w:next w:val="a4"/>
    <w:link w:val="Char2"/>
    <w:autoRedefine/>
    <w:qFormat/>
    <w:rPr>
      <w:b/>
      <w:bCs/>
    </w:rPr>
  </w:style>
  <w:style w:type="character" w:styleId="a9">
    <w:name w:val="annotation reference"/>
    <w:basedOn w:val="a1"/>
    <w:autoRedefine/>
    <w:qFormat/>
    <w:rPr>
      <w:sz w:val="21"/>
      <w:szCs w:val="21"/>
    </w:rPr>
  </w:style>
  <w:style w:type="paragraph" w:customStyle="1" w:styleId="WPSOffice1">
    <w:name w:val="WPSOffice手动目录 1"/>
    <w:autoRedefine/>
    <w:qFormat/>
    <w:rPr>
      <w:rFonts w:asciiTheme="minorHAnsi" w:eastAsiaTheme="minorEastAsia" w:hAnsiTheme="minorHAnsi" w:cstheme="minorBidi"/>
    </w:rPr>
  </w:style>
  <w:style w:type="paragraph" w:customStyle="1" w:styleId="WPSOffice2">
    <w:name w:val="WPSOffice手动目录 2"/>
    <w:autoRedefine/>
    <w:qFormat/>
    <w:pPr>
      <w:ind w:leftChars="200" w:left="200"/>
    </w:pPr>
    <w:rPr>
      <w:rFonts w:asciiTheme="minorHAnsi" w:eastAsiaTheme="minorEastAsia" w:hAnsiTheme="minorHAnsi" w:cstheme="minorBidi"/>
    </w:rPr>
  </w:style>
  <w:style w:type="character" w:customStyle="1" w:styleId="Char1">
    <w:name w:val="页脚 Char"/>
    <w:basedOn w:val="a1"/>
    <w:link w:val="a6"/>
    <w:autoRedefine/>
    <w:uiPriority w:val="99"/>
    <w:qFormat/>
    <w:rPr>
      <w:rFonts w:ascii="Times New Roman" w:eastAsia="宋体" w:hAnsi="Times New Roman" w:cs="Times New Roman"/>
      <w:kern w:val="2"/>
      <w:sz w:val="18"/>
      <w:szCs w:val="24"/>
    </w:rPr>
  </w:style>
  <w:style w:type="paragraph" w:customStyle="1" w:styleId="10">
    <w:name w:val="修订1"/>
    <w:autoRedefine/>
    <w:hidden/>
    <w:uiPriority w:val="99"/>
    <w:semiHidden/>
    <w:qFormat/>
    <w:rPr>
      <w:kern w:val="2"/>
      <w:sz w:val="21"/>
      <w:szCs w:val="24"/>
    </w:rPr>
  </w:style>
  <w:style w:type="character" w:customStyle="1" w:styleId="Char">
    <w:name w:val="批注文字 Char"/>
    <w:basedOn w:val="a1"/>
    <w:link w:val="a4"/>
    <w:autoRedefine/>
    <w:qFormat/>
    <w:rPr>
      <w:kern w:val="2"/>
      <w:sz w:val="21"/>
      <w:szCs w:val="24"/>
    </w:rPr>
  </w:style>
  <w:style w:type="character" w:customStyle="1" w:styleId="Char2">
    <w:name w:val="批注主题 Char"/>
    <w:basedOn w:val="Char"/>
    <w:link w:val="a8"/>
    <w:autoRedefine/>
    <w:qFormat/>
    <w:rPr>
      <w:b/>
      <w:bCs/>
      <w:kern w:val="2"/>
      <w:sz w:val="21"/>
      <w:szCs w:val="24"/>
    </w:rPr>
  </w:style>
  <w:style w:type="paragraph" w:customStyle="1" w:styleId="2">
    <w:name w:val="修订2"/>
    <w:autoRedefine/>
    <w:hidden/>
    <w:uiPriority w:val="99"/>
    <w:semiHidden/>
    <w:qFormat/>
    <w:rPr>
      <w:kern w:val="2"/>
      <w:sz w:val="21"/>
      <w:szCs w:val="24"/>
    </w:rPr>
  </w:style>
  <w:style w:type="paragraph" w:customStyle="1" w:styleId="3">
    <w:name w:val="修订3"/>
    <w:autoRedefine/>
    <w:hidden/>
    <w:uiPriority w:val="99"/>
    <w:semiHidden/>
    <w:qFormat/>
    <w:rPr>
      <w:kern w:val="2"/>
      <w:sz w:val="21"/>
      <w:szCs w:val="24"/>
    </w:rPr>
  </w:style>
  <w:style w:type="paragraph" w:customStyle="1" w:styleId="4">
    <w:name w:val="修订4"/>
    <w:autoRedefine/>
    <w:hidden/>
    <w:uiPriority w:val="99"/>
    <w:semiHidden/>
    <w:qFormat/>
    <w:rPr>
      <w:kern w:val="2"/>
      <w:sz w:val="21"/>
      <w:szCs w:val="24"/>
    </w:rPr>
  </w:style>
  <w:style w:type="paragraph" w:customStyle="1" w:styleId="5">
    <w:name w:val="修订5"/>
    <w:autoRedefine/>
    <w:hidden/>
    <w:uiPriority w:val="99"/>
    <w:semiHidden/>
    <w:qFormat/>
    <w:rPr>
      <w:kern w:val="2"/>
      <w:sz w:val="21"/>
      <w:szCs w:val="24"/>
    </w:rPr>
  </w:style>
  <w:style w:type="character" w:customStyle="1" w:styleId="font21">
    <w:name w:val="font21"/>
    <w:basedOn w:val="a1"/>
    <w:autoRedefine/>
    <w:qFormat/>
    <w:rPr>
      <w:rFonts w:ascii="宋体" w:eastAsia="宋体" w:hAnsi="宋体" w:cs="宋体" w:hint="eastAsia"/>
      <w:color w:val="000000"/>
      <w:sz w:val="18"/>
      <w:szCs w:val="18"/>
      <w:u w:val="none"/>
    </w:rPr>
  </w:style>
  <w:style w:type="character" w:customStyle="1" w:styleId="font31">
    <w:name w:val="font31"/>
    <w:basedOn w:val="a1"/>
    <w:autoRedefine/>
    <w:qFormat/>
    <w:rPr>
      <w:rFonts w:ascii="宋体" w:eastAsia="宋体" w:hAnsi="宋体" w:cs="宋体" w:hint="eastAsia"/>
      <w:color w:val="000000"/>
      <w:sz w:val="18"/>
      <w:szCs w:val="18"/>
      <w:u w:val="none"/>
    </w:rPr>
  </w:style>
  <w:style w:type="paragraph" w:customStyle="1" w:styleId="aa">
    <w:name w:val="二级标题"/>
    <w:basedOn w:val="a"/>
    <w:autoRedefine/>
    <w:qFormat/>
    <w:pPr>
      <w:spacing w:line="560" w:lineRule="exact"/>
      <w:ind w:firstLineChars="200" w:firstLine="640"/>
      <w:outlineLvl w:val="1"/>
    </w:pPr>
    <w:rPr>
      <w:rFonts w:ascii="楷体_GB2312" w:eastAsia="楷体_GB2312" w:hAnsi="楷体_GB2312" w:cs="楷体_GB2312" w:hint="eastAsia"/>
      <w:kern w:val="0"/>
      <w:sz w:val="32"/>
      <w:szCs w:val="32"/>
    </w:rPr>
  </w:style>
  <w:style w:type="character" w:customStyle="1" w:styleId="font41">
    <w:name w:val="font41"/>
    <w:basedOn w:val="a1"/>
    <w:qFormat/>
    <w:rPr>
      <w:rFonts w:ascii="宋体" w:eastAsia="宋体" w:hAnsi="宋体" w:cs="宋体" w:hint="eastAsia"/>
      <w:color w:val="000000"/>
      <w:sz w:val="18"/>
      <w:szCs w:val="18"/>
      <w:u w:val="none"/>
    </w:rPr>
  </w:style>
  <w:style w:type="character" w:customStyle="1" w:styleId="Char0">
    <w:name w:val="批注框文本 Char"/>
    <w:basedOn w:val="a1"/>
    <w:link w:val="a5"/>
    <w:qFormat/>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8" w:qFormat="1"/>
    <w:lsdException w:name="Normal Indent" w:uiPriority="99" w:qFormat="1"/>
    <w:lsdException w:name="annotation text" w:qFormat="1"/>
    <w:lsdException w:name="header" w:qFormat="1"/>
    <w:lsdException w:name="footer" w:uiPriority="99"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autoRedefine/>
    <w:qFormat/>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next w:val="8"/>
    <w:autoRedefine/>
    <w:uiPriority w:val="99"/>
    <w:qFormat/>
    <w:pPr>
      <w:ind w:firstLine="420"/>
    </w:pPr>
    <w:rPr>
      <w:szCs w:val="20"/>
    </w:rPr>
  </w:style>
  <w:style w:type="paragraph" w:styleId="8">
    <w:name w:val="toc 8"/>
    <w:basedOn w:val="a"/>
    <w:next w:val="a"/>
    <w:qFormat/>
    <w:pPr>
      <w:ind w:left="1470"/>
      <w:jc w:val="left"/>
    </w:pPr>
    <w:rPr>
      <w:sz w:val="20"/>
      <w:szCs w:val="20"/>
    </w:rPr>
  </w:style>
  <w:style w:type="paragraph" w:styleId="a4">
    <w:name w:val="annotation text"/>
    <w:basedOn w:val="a"/>
    <w:link w:val="Char"/>
    <w:autoRedefine/>
    <w:qFormat/>
    <w:pPr>
      <w:jc w:val="left"/>
    </w:pPr>
  </w:style>
  <w:style w:type="paragraph" w:styleId="a5">
    <w:name w:val="Balloon Text"/>
    <w:basedOn w:val="a"/>
    <w:link w:val="Char0"/>
    <w:qFormat/>
    <w:rPr>
      <w:sz w:val="18"/>
      <w:szCs w:val="18"/>
    </w:rPr>
  </w:style>
  <w:style w:type="paragraph" w:styleId="a6">
    <w:name w:val="footer"/>
    <w:basedOn w:val="a"/>
    <w:link w:val="Char1"/>
    <w:autoRedefine/>
    <w:uiPriority w:val="99"/>
    <w:qFormat/>
    <w:pPr>
      <w:tabs>
        <w:tab w:val="center" w:pos="4153"/>
        <w:tab w:val="right" w:pos="8306"/>
      </w:tabs>
      <w:snapToGrid w:val="0"/>
      <w:jc w:val="left"/>
    </w:pPr>
    <w:rPr>
      <w:sz w:val="18"/>
    </w:rPr>
  </w:style>
  <w:style w:type="paragraph" w:styleId="a7">
    <w:name w:val="header"/>
    <w:basedOn w:val="a"/>
    <w:autoRedefine/>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autoRedefine/>
    <w:qFormat/>
  </w:style>
  <w:style w:type="paragraph" w:styleId="a8">
    <w:name w:val="annotation subject"/>
    <w:basedOn w:val="a4"/>
    <w:next w:val="a4"/>
    <w:link w:val="Char2"/>
    <w:autoRedefine/>
    <w:qFormat/>
    <w:rPr>
      <w:b/>
      <w:bCs/>
    </w:rPr>
  </w:style>
  <w:style w:type="character" w:styleId="a9">
    <w:name w:val="annotation reference"/>
    <w:basedOn w:val="a1"/>
    <w:autoRedefine/>
    <w:qFormat/>
    <w:rPr>
      <w:sz w:val="21"/>
      <w:szCs w:val="21"/>
    </w:rPr>
  </w:style>
  <w:style w:type="paragraph" w:customStyle="1" w:styleId="WPSOffice1">
    <w:name w:val="WPSOffice手动目录 1"/>
    <w:autoRedefine/>
    <w:qFormat/>
    <w:rPr>
      <w:rFonts w:asciiTheme="minorHAnsi" w:eastAsiaTheme="minorEastAsia" w:hAnsiTheme="minorHAnsi" w:cstheme="minorBidi"/>
    </w:rPr>
  </w:style>
  <w:style w:type="paragraph" w:customStyle="1" w:styleId="WPSOffice2">
    <w:name w:val="WPSOffice手动目录 2"/>
    <w:autoRedefine/>
    <w:qFormat/>
    <w:pPr>
      <w:ind w:leftChars="200" w:left="200"/>
    </w:pPr>
    <w:rPr>
      <w:rFonts w:asciiTheme="minorHAnsi" w:eastAsiaTheme="minorEastAsia" w:hAnsiTheme="minorHAnsi" w:cstheme="minorBidi"/>
    </w:rPr>
  </w:style>
  <w:style w:type="character" w:customStyle="1" w:styleId="Char1">
    <w:name w:val="页脚 Char"/>
    <w:basedOn w:val="a1"/>
    <w:link w:val="a6"/>
    <w:autoRedefine/>
    <w:uiPriority w:val="99"/>
    <w:qFormat/>
    <w:rPr>
      <w:rFonts w:ascii="Times New Roman" w:eastAsia="宋体" w:hAnsi="Times New Roman" w:cs="Times New Roman"/>
      <w:kern w:val="2"/>
      <w:sz w:val="18"/>
      <w:szCs w:val="24"/>
    </w:rPr>
  </w:style>
  <w:style w:type="paragraph" w:customStyle="1" w:styleId="10">
    <w:name w:val="修订1"/>
    <w:autoRedefine/>
    <w:hidden/>
    <w:uiPriority w:val="99"/>
    <w:semiHidden/>
    <w:qFormat/>
    <w:rPr>
      <w:kern w:val="2"/>
      <w:sz w:val="21"/>
      <w:szCs w:val="24"/>
    </w:rPr>
  </w:style>
  <w:style w:type="character" w:customStyle="1" w:styleId="Char">
    <w:name w:val="批注文字 Char"/>
    <w:basedOn w:val="a1"/>
    <w:link w:val="a4"/>
    <w:autoRedefine/>
    <w:qFormat/>
    <w:rPr>
      <w:kern w:val="2"/>
      <w:sz w:val="21"/>
      <w:szCs w:val="24"/>
    </w:rPr>
  </w:style>
  <w:style w:type="character" w:customStyle="1" w:styleId="Char2">
    <w:name w:val="批注主题 Char"/>
    <w:basedOn w:val="Char"/>
    <w:link w:val="a8"/>
    <w:autoRedefine/>
    <w:qFormat/>
    <w:rPr>
      <w:b/>
      <w:bCs/>
      <w:kern w:val="2"/>
      <w:sz w:val="21"/>
      <w:szCs w:val="24"/>
    </w:rPr>
  </w:style>
  <w:style w:type="paragraph" w:customStyle="1" w:styleId="2">
    <w:name w:val="修订2"/>
    <w:autoRedefine/>
    <w:hidden/>
    <w:uiPriority w:val="99"/>
    <w:semiHidden/>
    <w:qFormat/>
    <w:rPr>
      <w:kern w:val="2"/>
      <w:sz w:val="21"/>
      <w:szCs w:val="24"/>
    </w:rPr>
  </w:style>
  <w:style w:type="paragraph" w:customStyle="1" w:styleId="3">
    <w:name w:val="修订3"/>
    <w:autoRedefine/>
    <w:hidden/>
    <w:uiPriority w:val="99"/>
    <w:semiHidden/>
    <w:qFormat/>
    <w:rPr>
      <w:kern w:val="2"/>
      <w:sz w:val="21"/>
      <w:szCs w:val="24"/>
    </w:rPr>
  </w:style>
  <w:style w:type="paragraph" w:customStyle="1" w:styleId="4">
    <w:name w:val="修订4"/>
    <w:autoRedefine/>
    <w:hidden/>
    <w:uiPriority w:val="99"/>
    <w:semiHidden/>
    <w:qFormat/>
    <w:rPr>
      <w:kern w:val="2"/>
      <w:sz w:val="21"/>
      <w:szCs w:val="24"/>
    </w:rPr>
  </w:style>
  <w:style w:type="paragraph" w:customStyle="1" w:styleId="5">
    <w:name w:val="修订5"/>
    <w:autoRedefine/>
    <w:hidden/>
    <w:uiPriority w:val="99"/>
    <w:semiHidden/>
    <w:qFormat/>
    <w:rPr>
      <w:kern w:val="2"/>
      <w:sz w:val="21"/>
      <w:szCs w:val="24"/>
    </w:rPr>
  </w:style>
  <w:style w:type="character" w:customStyle="1" w:styleId="font21">
    <w:name w:val="font21"/>
    <w:basedOn w:val="a1"/>
    <w:autoRedefine/>
    <w:qFormat/>
    <w:rPr>
      <w:rFonts w:ascii="宋体" w:eastAsia="宋体" w:hAnsi="宋体" w:cs="宋体" w:hint="eastAsia"/>
      <w:color w:val="000000"/>
      <w:sz w:val="18"/>
      <w:szCs w:val="18"/>
      <w:u w:val="none"/>
    </w:rPr>
  </w:style>
  <w:style w:type="character" w:customStyle="1" w:styleId="font31">
    <w:name w:val="font31"/>
    <w:basedOn w:val="a1"/>
    <w:autoRedefine/>
    <w:qFormat/>
    <w:rPr>
      <w:rFonts w:ascii="宋体" w:eastAsia="宋体" w:hAnsi="宋体" w:cs="宋体" w:hint="eastAsia"/>
      <w:color w:val="000000"/>
      <w:sz w:val="18"/>
      <w:szCs w:val="18"/>
      <w:u w:val="none"/>
    </w:rPr>
  </w:style>
  <w:style w:type="paragraph" w:customStyle="1" w:styleId="aa">
    <w:name w:val="二级标题"/>
    <w:basedOn w:val="a"/>
    <w:autoRedefine/>
    <w:qFormat/>
    <w:pPr>
      <w:spacing w:line="560" w:lineRule="exact"/>
      <w:ind w:firstLineChars="200" w:firstLine="640"/>
      <w:outlineLvl w:val="1"/>
    </w:pPr>
    <w:rPr>
      <w:rFonts w:ascii="楷体_GB2312" w:eastAsia="楷体_GB2312" w:hAnsi="楷体_GB2312" w:cs="楷体_GB2312" w:hint="eastAsia"/>
      <w:kern w:val="0"/>
      <w:sz w:val="32"/>
      <w:szCs w:val="32"/>
    </w:rPr>
  </w:style>
  <w:style w:type="character" w:customStyle="1" w:styleId="font41">
    <w:name w:val="font41"/>
    <w:basedOn w:val="a1"/>
    <w:qFormat/>
    <w:rPr>
      <w:rFonts w:ascii="宋体" w:eastAsia="宋体" w:hAnsi="宋体" w:cs="宋体" w:hint="eastAsia"/>
      <w:color w:val="000000"/>
      <w:sz w:val="18"/>
      <w:szCs w:val="18"/>
      <w:u w:val="none"/>
    </w:rPr>
  </w:style>
  <w:style w:type="character" w:customStyle="1" w:styleId="Char0">
    <w:name w:val="批注框文本 Char"/>
    <w:basedOn w:val="a1"/>
    <w:link w:val="a5"/>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17</Pages>
  <Words>961</Words>
  <Characters>5480</Characters>
  <Application>Microsoft Office Word</Application>
  <DocSecurity>0</DocSecurity>
  <Lines>45</Lines>
  <Paragraphs>12</Paragraphs>
  <ScaleCrop>false</ScaleCrop>
  <Company/>
  <LinksUpToDate>false</LinksUpToDate>
  <CharactersWithSpaces>6429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gao runhong</cp:lastModifiedBy>
  <cp:revision>3</cp:revision>
  <cp:lastPrinted>2025-05-28T02:54:00Z</cp:lastPrinted>
  <dcterms:created xsi:type="dcterms:W3CDTF">2025-08-23T07:33:00Z</dcterms:created>
  <dcterms:modified xsi:type="dcterms:W3CDTF">2025-08-23T07:34:00Z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B688FE78DDFD40C088218C8A92C12D92_13</vt:lpwstr>
  </property>
  <property fmtid="{D5CDD505-2E9C-101B-9397-08002B2CF9AE}" pid="4" name="KSOTemplateDocerSaveRecord">
    <vt:lpwstr>eyJoZGlkIjoiOGI5NzM5ODU5Y2ZlN2Q0MTNhYTQwNGY3YmNmNGY3MjQiLCJ1c2VySWQiOiIzNzQ4NzE4NjEifQ==</vt:lpwstr>
  </property>
</Properties>
</file>