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36304F">
      <w:bookmarkStart w:id="0" w:name="_Toc2502"/>
      <w:bookmarkStart w:id="1" w:name="_Toc27325"/>
    </w:p>
    <w:p w14:paraId="41E809E9">
      <w:pPr>
        <w:rPr>
          <w:rFonts w:hint="eastAsia" w:ascii="宋体" w:hAnsi="宋体" w:cs="宋体"/>
          <w:b/>
          <w:bCs/>
          <w:sz w:val="44"/>
          <w:szCs w:val="44"/>
        </w:rPr>
      </w:pPr>
    </w:p>
    <w:p w14:paraId="7DD106DC">
      <w:pPr>
        <w:spacing w:line="360" w:lineRule="auto"/>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北京市财政支出项目</w:t>
      </w:r>
    </w:p>
    <w:p w14:paraId="5701103E">
      <w:pPr>
        <w:spacing w:line="360" w:lineRule="auto"/>
        <w:jc w:val="center"/>
        <w:rPr>
          <w:rFonts w:hint="eastAsia" w:ascii="宋体" w:hAnsi="宋体" w:cs="宋体"/>
          <w:b/>
          <w:bCs/>
          <w:sz w:val="44"/>
          <w:szCs w:val="44"/>
        </w:rPr>
      </w:pPr>
      <w:r>
        <w:rPr>
          <w:rFonts w:hint="eastAsia" w:ascii="方正小标宋简体" w:hAnsi="方正小标宋简体" w:eastAsia="方正小标宋简体" w:cs="方正小标宋简体"/>
          <w:b/>
          <w:bCs/>
          <w:sz w:val="44"/>
          <w:szCs w:val="44"/>
        </w:rPr>
        <w:t>绩效评价报告</w:t>
      </w:r>
      <w:bookmarkEnd w:id="0"/>
      <w:bookmarkEnd w:id="1"/>
    </w:p>
    <w:p w14:paraId="5ED91122">
      <w:pPr>
        <w:spacing w:before="100" w:beforeAutospacing="1" w:after="100" w:afterAutospacing="1" w:line="360" w:lineRule="auto"/>
        <w:rPr>
          <w:rFonts w:hint="eastAsia" w:ascii="宋体" w:hAnsi="宋体"/>
          <w:b/>
          <w:sz w:val="36"/>
          <w:szCs w:val="36"/>
        </w:rPr>
      </w:pPr>
    </w:p>
    <w:p w14:paraId="487333CC">
      <w:pPr>
        <w:pStyle w:val="14"/>
        <w:ind w:firstLine="640"/>
      </w:pPr>
    </w:p>
    <w:p w14:paraId="0696E8E9">
      <w:pPr>
        <w:snapToGrid w:val="0"/>
        <w:spacing w:after="240" w:line="360" w:lineRule="auto"/>
        <w:ind w:firstLine="640" w:firstLineChars="200"/>
        <w:rPr>
          <w:rFonts w:hint="eastAsia" w:ascii="楷体" w:hAnsi="楷体" w:eastAsia="楷体" w:cs="仿宋_GB2312"/>
          <w:sz w:val="32"/>
          <w:szCs w:val="32"/>
          <w:u w:val="single"/>
        </w:rPr>
      </w:pPr>
      <w:r>
        <w:rPr>
          <w:rFonts w:hint="eastAsia" w:ascii="楷体" w:hAnsi="楷体" w:eastAsia="楷体" w:cs="仿宋_GB2312"/>
          <w:sz w:val="32"/>
          <w:szCs w:val="32"/>
        </w:rPr>
        <w:t>主管部门：</w:t>
      </w:r>
      <w:r>
        <w:rPr>
          <w:rFonts w:hint="eastAsia" w:ascii="楷体" w:hAnsi="楷体" w:eastAsia="楷体" w:cs="仿宋_GB2312"/>
          <w:sz w:val="32"/>
          <w:szCs w:val="32"/>
          <w:u w:val="single"/>
        </w:rPr>
        <w:t xml:space="preserve">北京市人民检察院第三分院       </w:t>
      </w:r>
    </w:p>
    <w:p w14:paraId="6671F747">
      <w:pPr>
        <w:snapToGrid w:val="0"/>
        <w:spacing w:after="240" w:line="360" w:lineRule="auto"/>
        <w:ind w:firstLine="640" w:firstLineChars="200"/>
        <w:rPr>
          <w:rFonts w:hint="eastAsia" w:ascii="楷体" w:hAnsi="楷体" w:eastAsia="楷体" w:cs="仿宋_GB2312"/>
          <w:sz w:val="32"/>
          <w:szCs w:val="32"/>
          <w:u w:val="single"/>
        </w:rPr>
      </w:pPr>
      <w:r>
        <w:rPr>
          <w:rFonts w:hint="eastAsia" w:ascii="楷体" w:hAnsi="楷体" w:eastAsia="楷体" w:cs="仿宋_GB2312"/>
          <w:sz w:val="32"/>
          <w:szCs w:val="32"/>
        </w:rPr>
        <w:t>部门名称：</w:t>
      </w:r>
      <w:r>
        <w:rPr>
          <w:rFonts w:hint="eastAsia" w:ascii="楷体" w:hAnsi="楷体" w:eastAsia="楷体" w:cs="仿宋_GB2312"/>
          <w:sz w:val="32"/>
          <w:szCs w:val="32"/>
          <w:u w:val="single"/>
        </w:rPr>
        <w:t>北京市人民检察院第三分院（本级）</w:t>
      </w:r>
    </w:p>
    <w:p w14:paraId="3D284752">
      <w:pPr>
        <w:snapToGrid w:val="0"/>
        <w:spacing w:after="240" w:line="360" w:lineRule="auto"/>
        <w:ind w:firstLine="640" w:firstLineChars="200"/>
        <w:rPr>
          <w:rFonts w:hint="eastAsia" w:ascii="楷体" w:hAnsi="楷体" w:eastAsia="楷体" w:cs="仿宋_GB2312"/>
          <w:sz w:val="32"/>
          <w:szCs w:val="32"/>
        </w:rPr>
      </w:pPr>
      <w:r>
        <w:rPr>
          <w:rFonts w:hint="eastAsia" w:ascii="楷体" w:hAnsi="楷体" w:eastAsia="楷体" w:cs="仿宋_GB2312"/>
          <w:sz w:val="32"/>
          <w:szCs w:val="32"/>
        </w:rPr>
        <w:t>项目名称：</w:t>
      </w:r>
      <w:r>
        <w:rPr>
          <w:rFonts w:hint="eastAsia" w:ascii="楷体" w:hAnsi="楷体" w:eastAsia="楷体" w:cs="仿宋_GB2312"/>
          <w:sz w:val="30"/>
          <w:szCs w:val="30"/>
          <w:u w:val="single"/>
        </w:rPr>
        <w:t>安保安检工作经费</w:t>
      </w:r>
      <w:r>
        <w:rPr>
          <w:rFonts w:hint="eastAsia" w:ascii="楷体" w:hAnsi="楷体" w:eastAsia="楷体" w:cs="仿宋_GB2312"/>
          <w:sz w:val="28"/>
          <w:szCs w:val="28"/>
          <w:u w:val="single"/>
        </w:rPr>
        <w:t xml:space="preserve">                  </w:t>
      </w:r>
      <w:r>
        <w:rPr>
          <w:rFonts w:hint="eastAsia" w:ascii="楷体" w:hAnsi="楷体" w:eastAsia="楷体" w:cs="仿宋_GB2312"/>
          <w:sz w:val="32"/>
          <w:szCs w:val="32"/>
        </w:rPr>
        <w:t xml:space="preserve"> </w:t>
      </w:r>
    </w:p>
    <w:p w14:paraId="4D44D72D">
      <w:pPr>
        <w:snapToGrid w:val="0"/>
        <w:spacing w:after="240" w:line="360" w:lineRule="auto"/>
        <w:ind w:firstLine="640" w:firstLineChars="200"/>
        <w:rPr>
          <w:rFonts w:hint="eastAsia" w:ascii="楷体" w:hAnsi="楷体" w:eastAsia="楷体" w:cs="仿宋_GB2312"/>
          <w:sz w:val="32"/>
          <w:szCs w:val="32"/>
        </w:rPr>
      </w:pPr>
      <w:r>
        <w:rPr>
          <w:rFonts w:hint="eastAsia" w:ascii="楷体" w:hAnsi="楷体" w:eastAsia="楷体" w:cs="仿宋_GB2312"/>
          <w:sz w:val="32"/>
          <w:szCs w:val="32"/>
        </w:rPr>
        <w:t>评价单位：</w:t>
      </w:r>
      <w:r>
        <w:rPr>
          <w:rFonts w:hint="eastAsia" w:ascii="楷体" w:hAnsi="楷体" w:eastAsia="楷体" w:cs="仿宋_GB2312"/>
          <w:sz w:val="32"/>
          <w:szCs w:val="32"/>
          <w:u w:val="single"/>
        </w:rPr>
        <w:t xml:space="preserve">北京市人民检察院第三分院       </w:t>
      </w:r>
    </w:p>
    <w:p w14:paraId="65589D47">
      <w:pPr>
        <w:rPr>
          <w:rFonts w:hint="eastAsia" w:ascii="宋体" w:hAnsi="宋体"/>
          <w:sz w:val="36"/>
          <w:szCs w:val="36"/>
        </w:rPr>
      </w:pPr>
    </w:p>
    <w:p w14:paraId="7D9A25AE">
      <w:pPr>
        <w:rPr>
          <w:rFonts w:hint="eastAsia" w:ascii="宋体" w:hAnsi="宋体"/>
          <w:sz w:val="36"/>
          <w:szCs w:val="36"/>
        </w:rPr>
      </w:pPr>
    </w:p>
    <w:p w14:paraId="4BE02399">
      <w:pPr>
        <w:rPr>
          <w:rFonts w:hint="eastAsia" w:ascii="宋体" w:hAnsi="宋体"/>
          <w:sz w:val="36"/>
          <w:szCs w:val="36"/>
        </w:rPr>
      </w:pPr>
    </w:p>
    <w:p w14:paraId="723652DC">
      <w:pPr>
        <w:rPr>
          <w:rFonts w:hint="eastAsia" w:ascii="宋体" w:hAnsi="宋体"/>
          <w:sz w:val="36"/>
          <w:szCs w:val="36"/>
        </w:rPr>
      </w:pPr>
    </w:p>
    <w:p w14:paraId="139694A6">
      <w:pPr>
        <w:rPr>
          <w:rFonts w:hint="eastAsia" w:ascii="宋体" w:hAnsi="宋体"/>
          <w:b/>
          <w:bCs/>
          <w:szCs w:val="32"/>
        </w:rPr>
      </w:pPr>
    </w:p>
    <w:p w14:paraId="12D14E58">
      <w:pPr>
        <w:jc w:val="center"/>
        <w:rPr>
          <w:rFonts w:hint="eastAsia" w:ascii="仿宋" w:hAnsi="仿宋" w:eastAsia="仿宋" w:cs="仿宋"/>
          <w:b/>
          <w:sz w:val="32"/>
          <w:szCs w:val="32"/>
        </w:rPr>
      </w:pPr>
      <w:r>
        <w:rPr>
          <w:rFonts w:hint="eastAsia" w:ascii="仿宋" w:hAnsi="仿宋" w:eastAsia="仿宋" w:cs="仿宋"/>
          <w:b/>
          <w:sz w:val="32"/>
          <w:szCs w:val="32"/>
        </w:rPr>
        <w:t>北京市人民检察院第三分院</w:t>
      </w:r>
    </w:p>
    <w:p w14:paraId="02B735A1">
      <w:pPr>
        <w:jc w:val="center"/>
        <w:rPr>
          <w:rFonts w:hint="eastAsia" w:ascii="仿宋" w:hAnsi="仿宋" w:eastAsia="仿宋" w:cs="仿宋"/>
          <w:b/>
          <w:sz w:val="32"/>
          <w:szCs w:val="32"/>
        </w:rPr>
      </w:pPr>
      <w:r>
        <w:rPr>
          <w:rFonts w:hint="eastAsia" w:ascii="仿宋" w:hAnsi="仿宋" w:eastAsia="仿宋" w:cs="仿宋"/>
          <w:b/>
          <w:sz w:val="32"/>
          <w:szCs w:val="32"/>
        </w:rPr>
        <w:t>二〇二五年五月</w:t>
      </w:r>
    </w:p>
    <w:p w14:paraId="57F712FB">
      <w:pPr>
        <w:jc w:val="center"/>
        <w:rPr>
          <w:rFonts w:hint="eastAsia" w:ascii="仿宋" w:hAnsi="仿宋" w:eastAsia="仿宋" w:cs="仿宋"/>
          <w:b/>
          <w:sz w:val="32"/>
          <w:szCs w:val="32"/>
        </w:rPr>
        <w:sectPr>
          <w:footerReference r:id="rId3" w:type="default"/>
          <w:pgSz w:w="11906" w:h="16838"/>
          <w:pgMar w:top="1440" w:right="1800" w:bottom="1440" w:left="1800" w:header="851" w:footer="992" w:gutter="0"/>
          <w:pgNumType w:fmt="numberInDash"/>
          <w:cols w:space="425" w:num="1"/>
          <w:titlePg/>
          <w:docGrid w:type="lines" w:linePitch="312" w:charSpace="0"/>
        </w:sectPr>
      </w:pPr>
    </w:p>
    <w:sdt>
      <w:sdtPr>
        <w:rPr>
          <w:rFonts w:ascii="Times New Roman" w:hAnsi="Times New Roman" w:eastAsia="宋体" w:cs="Times New Roman"/>
          <w:color w:val="auto"/>
          <w:kern w:val="2"/>
          <w:sz w:val="21"/>
          <w:szCs w:val="24"/>
          <w:lang w:val="zh-CN"/>
        </w:rPr>
        <w:id w:val="-1887712123"/>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5B20B8F5">
          <w:pPr>
            <w:pStyle w:val="27"/>
            <w:spacing w:line="360" w:lineRule="auto"/>
            <w:jc w:val="center"/>
            <w:rPr>
              <w:b/>
              <w:color w:val="auto"/>
            </w:rPr>
          </w:pPr>
          <w:r>
            <w:rPr>
              <w:b/>
              <w:color w:val="auto"/>
              <w:lang w:val="zh-CN"/>
            </w:rPr>
            <w:t>目</w:t>
          </w:r>
          <w:r>
            <w:rPr>
              <w:rFonts w:hint="eastAsia"/>
              <w:b/>
              <w:color w:val="auto"/>
              <w:lang w:val="zh-CN"/>
            </w:rPr>
            <w:t xml:space="preserve"> </w:t>
          </w:r>
          <w:r>
            <w:rPr>
              <w:b/>
              <w:color w:val="auto"/>
              <w:lang w:val="zh-CN"/>
            </w:rPr>
            <w:t xml:space="preserve"> 录</w:t>
          </w:r>
        </w:p>
        <w:p w14:paraId="52D1153D">
          <w:pPr>
            <w:pStyle w:val="12"/>
            <w:tabs>
              <w:tab w:val="right" w:leader="dot" w:pos="8296"/>
            </w:tabs>
            <w:spacing w:line="360" w:lineRule="auto"/>
            <w:rPr>
              <w:rFonts w:asciiTheme="minorHAnsi" w:hAnsiTheme="minorHAnsi" w:eastAsiaTheme="minorEastAsia" w:cstheme="minorBidi"/>
              <w:sz w:val="24"/>
              <w14:ligatures w14:val="standardContextual"/>
            </w:rPr>
          </w:pPr>
          <w:r>
            <w:rPr>
              <w:b/>
              <w:bCs/>
              <w:sz w:val="24"/>
              <w:lang w:val="zh-CN"/>
            </w:rPr>
            <w:fldChar w:fldCharType="begin"/>
          </w:r>
          <w:r>
            <w:rPr>
              <w:b/>
              <w:bCs/>
              <w:sz w:val="24"/>
              <w:lang w:val="zh-CN"/>
            </w:rPr>
            <w:instrText xml:space="preserve"> TOC \o "1-3" \h \z \u </w:instrText>
          </w:r>
          <w:r>
            <w:rPr>
              <w:b/>
              <w:bCs/>
              <w:sz w:val="24"/>
              <w:lang w:val="zh-CN"/>
            </w:rPr>
            <w:fldChar w:fldCharType="separate"/>
          </w:r>
          <w:r>
            <w:fldChar w:fldCharType="begin"/>
          </w:r>
          <w:r>
            <w:instrText xml:space="preserve"> HYPERLINK \l "_Toc198193475" </w:instrText>
          </w:r>
          <w:r>
            <w:fldChar w:fldCharType="separate"/>
          </w:r>
          <w:r>
            <w:rPr>
              <w:rStyle w:val="18"/>
              <w:rFonts w:hint="eastAsia" w:ascii="黑体" w:hAnsi="黑体" w:eastAsia="黑体" w:cs="黑体"/>
              <w:sz w:val="24"/>
            </w:rPr>
            <w:t>一、基本情况</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_Toc198193475 \h</w:instrText>
          </w:r>
          <w:r>
            <w:rPr>
              <w:rFonts w:hint="eastAsia"/>
              <w:sz w:val="24"/>
            </w:rPr>
            <w:instrText xml:space="preserve"> </w:instrText>
          </w:r>
          <w:r>
            <w:rPr>
              <w:rFonts w:hint="eastAsia"/>
              <w:sz w:val="24"/>
            </w:rPr>
            <w:fldChar w:fldCharType="separate"/>
          </w:r>
          <w:r>
            <w:rPr>
              <w:sz w:val="24"/>
            </w:rPr>
            <w:t>- 1 -</w:t>
          </w:r>
          <w:r>
            <w:rPr>
              <w:rFonts w:hint="eastAsia"/>
              <w:sz w:val="24"/>
            </w:rPr>
            <w:fldChar w:fldCharType="end"/>
          </w:r>
          <w:r>
            <w:rPr>
              <w:rFonts w:hint="eastAsia"/>
              <w:sz w:val="24"/>
            </w:rPr>
            <w:fldChar w:fldCharType="end"/>
          </w:r>
        </w:p>
        <w:p w14:paraId="3A28A9F0">
          <w:pPr>
            <w:pStyle w:val="13"/>
            <w:tabs>
              <w:tab w:val="right" w:leader="dot" w:pos="8296"/>
            </w:tabs>
            <w:spacing w:line="360" w:lineRule="auto"/>
            <w:rPr>
              <w:rFonts w:asciiTheme="minorHAnsi" w:hAnsiTheme="minorHAnsi" w:eastAsiaTheme="minorEastAsia" w:cstheme="minorBidi"/>
              <w:sz w:val="24"/>
              <w14:ligatures w14:val="standardContextual"/>
            </w:rPr>
          </w:pPr>
          <w:r>
            <w:fldChar w:fldCharType="begin"/>
          </w:r>
          <w:r>
            <w:instrText xml:space="preserve"> HYPERLINK \l "_Toc198193476" </w:instrText>
          </w:r>
          <w:r>
            <w:fldChar w:fldCharType="separate"/>
          </w:r>
          <w:r>
            <w:rPr>
              <w:rStyle w:val="18"/>
              <w:rFonts w:hint="eastAsia" w:ascii="楷体_GB2312" w:hAnsi="楷体_GB2312" w:eastAsia="楷体_GB2312" w:cs="楷体_GB2312"/>
              <w:sz w:val="24"/>
            </w:rPr>
            <w:t>（一）项目概况</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_Toc198193476 \h</w:instrText>
          </w:r>
          <w:r>
            <w:rPr>
              <w:rFonts w:hint="eastAsia"/>
              <w:sz w:val="24"/>
            </w:rPr>
            <w:instrText xml:space="preserve"> </w:instrText>
          </w:r>
          <w:r>
            <w:rPr>
              <w:rFonts w:hint="eastAsia"/>
              <w:sz w:val="24"/>
            </w:rPr>
            <w:fldChar w:fldCharType="separate"/>
          </w:r>
          <w:r>
            <w:rPr>
              <w:sz w:val="24"/>
            </w:rPr>
            <w:t>- 1 -</w:t>
          </w:r>
          <w:r>
            <w:rPr>
              <w:rFonts w:hint="eastAsia"/>
              <w:sz w:val="24"/>
            </w:rPr>
            <w:fldChar w:fldCharType="end"/>
          </w:r>
          <w:r>
            <w:rPr>
              <w:rFonts w:hint="eastAsia"/>
              <w:sz w:val="24"/>
            </w:rPr>
            <w:fldChar w:fldCharType="end"/>
          </w:r>
        </w:p>
        <w:p w14:paraId="450C41CA">
          <w:pPr>
            <w:pStyle w:val="13"/>
            <w:tabs>
              <w:tab w:val="right" w:leader="dot" w:pos="8296"/>
            </w:tabs>
            <w:spacing w:line="360" w:lineRule="auto"/>
            <w:rPr>
              <w:rFonts w:asciiTheme="minorHAnsi" w:hAnsiTheme="minorHAnsi" w:eastAsiaTheme="minorEastAsia" w:cstheme="minorBidi"/>
              <w:sz w:val="24"/>
              <w14:ligatures w14:val="standardContextual"/>
            </w:rPr>
          </w:pPr>
          <w:r>
            <w:fldChar w:fldCharType="begin"/>
          </w:r>
          <w:r>
            <w:instrText xml:space="preserve"> HYPERLINK \l "_Toc198193477" </w:instrText>
          </w:r>
          <w:r>
            <w:fldChar w:fldCharType="separate"/>
          </w:r>
          <w:r>
            <w:rPr>
              <w:rStyle w:val="18"/>
              <w:rFonts w:hint="eastAsia" w:ascii="楷体_GB2312" w:hAnsi="楷体_GB2312" w:eastAsia="楷体_GB2312" w:cs="楷体_GB2312"/>
              <w:sz w:val="24"/>
            </w:rPr>
            <w:t>（二）项目绩效目标</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_Toc198193477 \h</w:instrText>
          </w:r>
          <w:r>
            <w:rPr>
              <w:rFonts w:hint="eastAsia"/>
              <w:sz w:val="24"/>
            </w:rPr>
            <w:instrText xml:space="preserve"> </w:instrText>
          </w:r>
          <w:r>
            <w:rPr>
              <w:rFonts w:hint="eastAsia"/>
              <w:sz w:val="24"/>
            </w:rPr>
            <w:fldChar w:fldCharType="separate"/>
          </w:r>
          <w:r>
            <w:rPr>
              <w:sz w:val="24"/>
            </w:rPr>
            <w:t>- 3 -</w:t>
          </w:r>
          <w:r>
            <w:rPr>
              <w:rFonts w:hint="eastAsia"/>
              <w:sz w:val="24"/>
            </w:rPr>
            <w:fldChar w:fldCharType="end"/>
          </w:r>
          <w:r>
            <w:rPr>
              <w:rFonts w:hint="eastAsia"/>
              <w:sz w:val="24"/>
            </w:rPr>
            <w:fldChar w:fldCharType="end"/>
          </w:r>
        </w:p>
        <w:p w14:paraId="0244C7EA">
          <w:pPr>
            <w:pStyle w:val="12"/>
            <w:tabs>
              <w:tab w:val="right" w:leader="dot" w:pos="8296"/>
            </w:tabs>
            <w:spacing w:line="360" w:lineRule="auto"/>
            <w:rPr>
              <w:rFonts w:asciiTheme="minorHAnsi" w:hAnsiTheme="minorHAnsi" w:eastAsiaTheme="minorEastAsia" w:cstheme="minorBidi"/>
              <w:sz w:val="24"/>
              <w14:ligatures w14:val="standardContextual"/>
            </w:rPr>
          </w:pPr>
          <w:r>
            <w:fldChar w:fldCharType="begin"/>
          </w:r>
          <w:r>
            <w:instrText xml:space="preserve"> HYPERLINK \l "_Toc198193478" </w:instrText>
          </w:r>
          <w:r>
            <w:fldChar w:fldCharType="separate"/>
          </w:r>
          <w:r>
            <w:rPr>
              <w:rStyle w:val="18"/>
              <w:rFonts w:hint="eastAsia" w:ascii="黑体" w:hAnsi="黑体" w:eastAsia="黑体" w:cs="黑体"/>
              <w:sz w:val="24"/>
            </w:rPr>
            <w:t>二、绩效评价工作开展情况</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_Toc198193478 \h</w:instrText>
          </w:r>
          <w:r>
            <w:rPr>
              <w:rFonts w:hint="eastAsia"/>
              <w:sz w:val="24"/>
            </w:rPr>
            <w:instrText xml:space="preserve"> </w:instrText>
          </w:r>
          <w:r>
            <w:rPr>
              <w:rFonts w:hint="eastAsia"/>
              <w:sz w:val="24"/>
            </w:rPr>
            <w:fldChar w:fldCharType="separate"/>
          </w:r>
          <w:r>
            <w:rPr>
              <w:sz w:val="24"/>
            </w:rPr>
            <w:t>- 3 -</w:t>
          </w:r>
          <w:r>
            <w:rPr>
              <w:rFonts w:hint="eastAsia"/>
              <w:sz w:val="24"/>
            </w:rPr>
            <w:fldChar w:fldCharType="end"/>
          </w:r>
          <w:r>
            <w:rPr>
              <w:rFonts w:hint="eastAsia"/>
              <w:sz w:val="24"/>
            </w:rPr>
            <w:fldChar w:fldCharType="end"/>
          </w:r>
        </w:p>
        <w:p w14:paraId="23B61435">
          <w:pPr>
            <w:pStyle w:val="13"/>
            <w:tabs>
              <w:tab w:val="right" w:leader="dot" w:pos="8296"/>
            </w:tabs>
            <w:spacing w:line="360" w:lineRule="auto"/>
            <w:rPr>
              <w:rFonts w:asciiTheme="minorHAnsi" w:hAnsiTheme="minorHAnsi" w:eastAsiaTheme="minorEastAsia" w:cstheme="minorBidi"/>
              <w:sz w:val="24"/>
              <w14:ligatures w14:val="standardContextual"/>
            </w:rPr>
          </w:pPr>
          <w:r>
            <w:fldChar w:fldCharType="begin"/>
          </w:r>
          <w:r>
            <w:instrText xml:space="preserve"> HYPERLINK \l "_Toc198193479" </w:instrText>
          </w:r>
          <w:r>
            <w:fldChar w:fldCharType="separate"/>
          </w:r>
          <w:r>
            <w:rPr>
              <w:rStyle w:val="18"/>
              <w:rFonts w:hint="eastAsia" w:ascii="楷体" w:hAnsi="楷体" w:eastAsia="楷体" w:cs="楷体"/>
              <w:sz w:val="24"/>
            </w:rPr>
            <w:t>（一）绩效评价目的、对象和范围</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_Toc198193479 \h</w:instrText>
          </w:r>
          <w:r>
            <w:rPr>
              <w:rFonts w:hint="eastAsia"/>
              <w:sz w:val="24"/>
            </w:rPr>
            <w:instrText xml:space="preserve"> </w:instrText>
          </w:r>
          <w:r>
            <w:rPr>
              <w:rFonts w:hint="eastAsia"/>
              <w:sz w:val="24"/>
            </w:rPr>
            <w:fldChar w:fldCharType="separate"/>
          </w:r>
          <w:r>
            <w:rPr>
              <w:sz w:val="24"/>
            </w:rPr>
            <w:t>- 3 -</w:t>
          </w:r>
          <w:r>
            <w:rPr>
              <w:rFonts w:hint="eastAsia"/>
              <w:sz w:val="24"/>
            </w:rPr>
            <w:fldChar w:fldCharType="end"/>
          </w:r>
          <w:r>
            <w:rPr>
              <w:rFonts w:hint="eastAsia"/>
              <w:sz w:val="24"/>
            </w:rPr>
            <w:fldChar w:fldCharType="end"/>
          </w:r>
        </w:p>
        <w:p w14:paraId="1B31F193">
          <w:pPr>
            <w:pStyle w:val="13"/>
            <w:tabs>
              <w:tab w:val="right" w:leader="dot" w:pos="8296"/>
            </w:tabs>
            <w:spacing w:line="360" w:lineRule="auto"/>
            <w:rPr>
              <w:rFonts w:asciiTheme="minorHAnsi" w:hAnsiTheme="minorHAnsi" w:eastAsiaTheme="minorEastAsia" w:cstheme="minorBidi"/>
              <w:sz w:val="24"/>
              <w14:ligatures w14:val="standardContextual"/>
            </w:rPr>
          </w:pPr>
          <w:r>
            <w:fldChar w:fldCharType="begin"/>
          </w:r>
          <w:r>
            <w:instrText xml:space="preserve"> HYPERLINK \l "_Toc198193480" </w:instrText>
          </w:r>
          <w:r>
            <w:fldChar w:fldCharType="separate"/>
          </w:r>
          <w:r>
            <w:rPr>
              <w:rStyle w:val="18"/>
              <w:rFonts w:hint="eastAsia" w:ascii="楷体" w:hAnsi="楷体" w:eastAsia="楷体" w:cs="楷体"/>
              <w:sz w:val="24"/>
            </w:rPr>
            <w:t>（二）绩效评价原则、评价指标体系、评价方法、评价标准等</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_Toc198193480 \h</w:instrText>
          </w:r>
          <w:r>
            <w:rPr>
              <w:rFonts w:hint="eastAsia"/>
              <w:sz w:val="24"/>
            </w:rPr>
            <w:instrText xml:space="preserve"> </w:instrText>
          </w:r>
          <w:r>
            <w:rPr>
              <w:rFonts w:hint="eastAsia"/>
              <w:sz w:val="24"/>
            </w:rPr>
            <w:fldChar w:fldCharType="separate"/>
          </w:r>
          <w:r>
            <w:rPr>
              <w:sz w:val="24"/>
            </w:rPr>
            <w:t>- 4 -</w:t>
          </w:r>
          <w:r>
            <w:rPr>
              <w:rFonts w:hint="eastAsia"/>
              <w:sz w:val="24"/>
            </w:rPr>
            <w:fldChar w:fldCharType="end"/>
          </w:r>
          <w:r>
            <w:rPr>
              <w:rFonts w:hint="eastAsia"/>
              <w:sz w:val="24"/>
            </w:rPr>
            <w:fldChar w:fldCharType="end"/>
          </w:r>
        </w:p>
        <w:p w14:paraId="660D6759">
          <w:pPr>
            <w:pStyle w:val="13"/>
            <w:tabs>
              <w:tab w:val="right" w:leader="dot" w:pos="8296"/>
            </w:tabs>
            <w:spacing w:line="360" w:lineRule="auto"/>
            <w:rPr>
              <w:rFonts w:asciiTheme="minorHAnsi" w:hAnsiTheme="minorHAnsi" w:eastAsiaTheme="minorEastAsia" w:cstheme="minorBidi"/>
              <w:sz w:val="24"/>
              <w14:ligatures w14:val="standardContextual"/>
            </w:rPr>
          </w:pPr>
          <w:r>
            <w:fldChar w:fldCharType="begin"/>
          </w:r>
          <w:r>
            <w:instrText xml:space="preserve"> HYPERLINK \l "_Toc198193481" </w:instrText>
          </w:r>
          <w:r>
            <w:fldChar w:fldCharType="separate"/>
          </w:r>
          <w:r>
            <w:rPr>
              <w:rStyle w:val="18"/>
              <w:rFonts w:hint="eastAsia" w:ascii="楷体" w:hAnsi="楷体" w:eastAsia="楷体" w:cs="楷体"/>
              <w:sz w:val="24"/>
            </w:rPr>
            <w:t>（三）绩效评价工作过程</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_Toc198193481 \h</w:instrText>
          </w:r>
          <w:r>
            <w:rPr>
              <w:rFonts w:hint="eastAsia"/>
              <w:sz w:val="24"/>
            </w:rPr>
            <w:instrText xml:space="preserve"> </w:instrText>
          </w:r>
          <w:r>
            <w:rPr>
              <w:rFonts w:hint="eastAsia"/>
              <w:sz w:val="24"/>
            </w:rPr>
            <w:fldChar w:fldCharType="separate"/>
          </w:r>
          <w:r>
            <w:rPr>
              <w:sz w:val="24"/>
            </w:rPr>
            <w:t>- 6 -</w:t>
          </w:r>
          <w:r>
            <w:rPr>
              <w:rFonts w:hint="eastAsia"/>
              <w:sz w:val="24"/>
            </w:rPr>
            <w:fldChar w:fldCharType="end"/>
          </w:r>
          <w:r>
            <w:rPr>
              <w:rFonts w:hint="eastAsia"/>
              <w:sz w:val="24"/>
            </w:rPr>
            <w:fldChar w:fldCharType="end"/>
          </w:r>
        </w:p>
        <w:p w14:paraId="2B429E18">
          <w:pPr>
            <w:pStyle w:val="12"/>
            <w:tabs>
              <w:tab w:val="right" w:leader="dot" w:pos="8296"/>
            </w:tabs>
            <w:spacing w:line="360" w:lineRule="auto"/>
            <w:rPr>
              <w:rFonts w:asciiTheme="minorHAnsi" w:hAnsiTheme="minorHAnsi" w:eastAsiaTheme="minorEastAsia" w:cstheme="minorBidi"/>
              <w:sz w:val="24"/>
              <w14:ligatures w14:val="standardContextual"/>
            </w:rPr>
          </w:pPr>
          <w:r>
            <w:fldChar w:fldCharType="begin"/>
          </w:r>
          <w:r>
            <w:instrText xml:space="preserve"> HYPERLINK \l "_Toc198193482" </w:instrText>
          </w:r>
          <w:r>
            <w:fldChar w:fldCharType="separate"/>
          </w:r>
          <w:r>
            <w:rPr>
              <w:rStyle w:val="18"/>
              <w:rFonts w:hint="eastAsia" w:ascii="黑体" w:hAnsi="黑体" w:eastAsia="黑体" w:cs="黑体"/>
              <w:sz w:val="24"/>
            </w:rPr>
            <w:t>三、综合评价情况及评价结论</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_Toc198193482 \h</w:instrText>
          </w:r>
          <w:r>
            <w:rPr>
              <w:rFonts w:hint="eastAsia"/>
              <w:sz w:val="24"/>
            </w:rPr>
            <w:instrText xml:space="preserve"> </w:instrText>
          </w:r>
          <w:r>
            <w:rPr>
              <w:rFonts w:hint="eastAsia"/>
              <w:sz w:val="24"/>
            </w:rPr>
            <w:fldChar w:fldCharType="separate"/>
          </w:r>
          <w:r>
            <w:rPr>
              <w:sz w:val="24"/>
            </w:rPr>
            <w:t>- 6 -</w:t>
          </w:r>
          <w:r>
            <w:rPr>
              <w:rFonts w:hint="eastAsia"/>
              <w:sz w:val="24"/>
            </w:rPr>
            <w:fldChar w:fldCharType="end"/>
          </w:r>
          <w:r>
            <w:rPr>
              <w:rFonts w:hint="eastAsia"/>
              <w:sz w:val="24"/>
            </w:rPr>
            <w:fldChar w:fldCharType="end"/>
          </w:r>
        </w:p>
        <w:p w14:paraId="35B7D39D">
          <w:pPr>
            <w:pStyle w:val="12"/>
            <w:tabs>
              <w:tab w:val="right" w:leader="dot" w:pos="8296"/>
            </w:tabs>
            <w:spacing w:line="360" w:lineRule="auto"/>
            <w:rPr>
              <w:rFonts w:asciiTheme="minorHAnsi" w:hAnsiTheme="minorHAnsi" w:eastAsiaTheme="minorEastAsia" w:cstheme="minorBidi"/>
              <w:sz w:val="24"/>
              <w14:ligatures w14:val="standardContextual"/>
            </w:rPr>
          </w:pPr>
          <w:r>
            <w:fldChar w:fldCharType="begin"/>
          </w:r>
          <w:r>
            <w:instrText xml:space="preserve"> HYPERLINK \l "_Toc198193483" </w:instrText>
          </w:r>
          <w:r>
            <w:fldChar w:fldCharType="separate"/>
          </w:r>
          <w:r>
            <w:rPr>
              <w:rStyle w:val="18"/>
              <w:rFonts w:hint="eastAsia" w:ascii="黑体" w:hAnsi="黑体" w:eastAsia="黑体" w:cs="黑体"/>
              <w:sz w:val="24"/>
            </w:rPr>
            <w:t>四、绩效评价指标分析</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_Toc198193483 \h</w:instrText>
          </w:r>
          <w:r>
            <w:rPr>
              <w:rFonts w:hint="eastAsia"/>
              <w:sz w:val="24"/>
            </w:rPr>
            <w:instrText xml:space="preserve"> </w:instrText>
          </w:r>
          <w:r>
            <w:rPr>
              <w:rFonts w:hint="eastAsia"/>
              <w:sz w:val="24"/>
            </w:rPr>
            <w:fldChar w:fldCharType="separate"/>
          </w:r>
          <w:r>
            <w:rPr>
              <w:sz w:val="24"/>
            </w:rPr>
            <w:t>- 7 -</w:t>
          </w:r>
          <w:r>
            <w:rPr>
              <w:rFonts w:hint="eastAsia"/>
              <w:sz w:val="24"/>
            </w:rPr>
            <w:fldChar w:fldCharType="end"/>
          </w:r>
          <w:r>
            <w:rPr>
              <w:rFonts w:hint="eastAsia"/>
              <w:sz w:val="24"/>
            </w:rPr>
            <w:fldChar w:fldCharType="end"/>
          </w:r>
        </w:p>
        <w:p w14:paraId="683E0028">
          <w:pPr>
            <w:pStyle w:val="12"/>
            <w:tabs>
              <w:tab w:val="right" w:leader="dot" w:pos="8296"/>
            </w:tabs>
            <w:spacing w:line="360" w:lineRule="auto"/>
            <w:rPr>
              <w:rFonts w:asciiTheme="minorHAnsi" w:hAnsiTheme="minorHAnsi" w:eastAsiaTheme="minorEastAsia" w:cstheme="minorBidi"/>
              <w:sz w:val="24"/>
              <w14:ligatures w14:val="standardContextual"/>
            </w:rPr>
          </w:pPr>
          <w:r>
            <w:fldChar w:fldCharType="begin"/>
          </w:r>
          <w:r>
            <w:instrText xml:space="preserve"> HYPERLINK \l "_Toc198193484" </w:instrText>
          </w:r>
          <w:r>
            <w:fldChar w:fldCharType="separate"/>
          </w:r>
          <w:r>
            <w:rPr>
              <w:rStyle w:val="18"/>
              <w:rFonts w:hint="eastAsia" w:ascii="黑体" w:hAnsi="黑体" w:eastAsia="黑体" w:cs="黑体"/>
              <w:sz w:val="24"/>
            </w:rPr>
            <w:t>五、主要经验及做法、存在的问题及原因分析</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_Toc198193484 \h</w:instrText>
          </w:r>
          <w:r>
            <w:rPr>
              <w:rFonts w:hint="eastAsia"/>
              <w:sz w:val="24"/>
            </w:rPr>
            <w:instrText xml:space="preserve"> </w:instrText>
          </w:r>
          <w:r>
            <w:rPr>
              <w:rFonts w:hint="eastAsia"/>
              <w:sz w:val="24"/>
            </w:rPr>
            <w:fldChar w:fldCharType="separate"/>
          </w:r>
          <w:r>
            <w:rPr>
              <w:sz w:val="24"/>
            </w:rPr>
            <w:t>- 11 -</w:t>
          </w:r>
          <w:r>
            <w:rPr>
              <w:rFonts w:hint="eastAsia"/>
              <w:sz w:val="24"/>
            </w:rPr>
            <w:fldChar w:fldCharType="end"/>
          </w:r>
          <w:r>
            <w:rPr>
              <w:rFonts w:hint="eastAsia"/>
              <w:sz w:val="24"/>
            </w:rPr>
            <w:fldChar w:fldCharType="end"/>
          </w:r>
        </w:p>
        <w:p w14:paraId="2D98DB5E">
          <w:pPr>
            <w:pStyle w:val="12"/>
            <w:tabs>
              <w:tab w:val="right" w:leader="dot" w:pos="8296"/>
            </w:tabs>
            <w:spacing w:line="360" w:lineRule="auto"/>
            <w:rPr>
              <w:rFonts w:asciiTheme="minorHAnsi" w:hAnsiTheme="minorHAnsi" w:eastAsiaTheme="minorEastAsia" w:cstheme="minorBidi"/>
              <w:sz w:val="24"/>
              <w14:ligatures w14:val="standardContextual"/>
            </w:rPr>
          </w:pPr>
          <w:r>
            <w:fldChar w:fldCharType="begin"/>
          </w:r>
          <w:r>
            <w:instrText xml:space="preserve"> HYPERLINK \l "_Toc198193485" </w:instrText>
          </w:r>
          <w:r>
            <w:fldChar w:fldCharType="separate"/>
          </w:r>
          <w:r>
            <w:rPr>
              <w:rStyle w:val="18"/>
              <w:rFonts w:hint="eastAsia" w:ascii="黑体" w:hAnsi="黑体" w:eastAsia="黑体" w:cs="黑体"/>
              <w:sz w:val="24"/>
            </w:rPr>
            <w:t>六、有关建议</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_Toc198193485 \h</w:instrText>
          </w:r>
          <w:r>
            <w:rPr>
              <w:rFonts w:hint="eastAsia"/>
              <w:sz w:val="24"/>
            </w:rPr>
            <w:instrText xml:space="preserve"> </w:instrText>
          </w:r>
          <w:r>
            <w:rPr>
              <w:rFonts w:hint="eastAsia"/>
              <w:sz w:val="24"/>
            </w:rPr>
            <w:fldChar w:fldCharType="separate"/>
          </w:r>
          <w:r>
            <w:rPr>
              <w:sz w:val="24"/>
            </w:rPr>
            <w:t>- 11 -</w:t>
          </w:r>
          <w:r>
            <w:rPr>
              <w:rFonts w:hint="eastAsia"/>
              <w:sz w:val="24"/>
            </w:rPr>
            <w:fldChar w:fldCharType="end"/>
          </w:r>
          <w:r>
            <w:rPr>
              <w:rFonts w:hint="eastAsia"/>
              <w:sz w:val="24"/>
            </w:rPr>
            <w:fldChar w:fldCharType="end"/>
          </w:r>
        </w:p>
        <w:p w14:paraId="5C248102">
          <w:pPr>
            <w:pStyle w:val="12"/>
            <w:tabs>
              <w:tab w:val="right" w:leader="dot" w:pos="8296"/>
            </w:tabs>
            <w:spacing w:line="360" w:lineRule="auto"/>
            <w:rPr>
              <w:rFonts w:asciiTheme="minorHAnsi" w:hAnsiTheme="minorHAnsi" w:eastAsiaTheme="minorEastAsia" w:cstheme="minorBidi"/>
              <w:sz w:val="24"/>
              <w14:ligatures w14:val="standardContextual"/>
            </w:rPr>
          </w:pPr>
          <w:r>
            <w:fldChar w:fldCharType="begin"/>
          </w:r>
          <w:r>
            <w:instrText xml:space="preserve"> HYPERLINK \l "_Toc198193486" </w:instrText>
          </w:r>
          <w:r>
            <w:fldChar w:fldCharType="separate"/>
          </w:r>
          <w:r>
            <w:rPr>
              <w:rStyle w:val="18"/>
              <w:rFonts w:hint="eastAsia" w:ascii="黑体" w:hAnsi="黑体" w:eastAsia="黑体" w:cs="黑体"/>
              <w:sz w:val="24"/>
            </w:rPr>
            <w:t>七、其他需要说明的问题</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_Toc198193486 \h</w:instrText>
          </w:r>
          <w:r>
            <w:rPr>
              <w:rFonts w:hint="eastAsia"/>
              <w:sz w:val="24"/>
            </w:rPr>
            <w:instrText xml:space="preserve"> </w:instrText>
          </w:r>
          <w:r>
            <w:rPr>
              <w:rFonts w:hint="eastAsia"/>
              <w:sz w:val="24"/>
            </w:rPr>
            <w:fldChar w:fldCharType="separate"/>
          </w:r>
          <w:r>
            <w:rPr>
              <w:sz w:val="24"/>
            </w:rPr>
            <w:t>- 11 -</w:t>
          </w:r>
          <w:r>
            <w:rPr>
              <w:rFonts w:hint="eastAsia"/>
              <w:sz w:val="24"/>
            </w:rPr>
            <w:fldChar w:fldCharType="end"/>
          </w:r>
          <w:r>
            <w:rPr>
              <w:rFonts w:hint="eastAsia"/>
              <w:sz w:val="24"/>
            </w:rPr>
            <w:fldChar w:fldCharType="end"/>
          </w:r>
        </w:p>
        <w:p w14:paraId="1213B166">
          <w:pPr>
            <w:spacing w:line="360" w:lineRule="auto"/>
            <w:jc w:val="center"/>
          </w:pPr>
          <w:r>
            <w:rPr>
              <w:b/>
              <w:bCs/>
              <w:sz w:val="24"/>
              <w:lang w:val="zh-CN"/>
            </w:rPr>
            <w:fldChar w:fldCharType="end"/>
          </w:r>
        </w:p>
      </w:sdtContent>
    </w:sdt>
    <w:p w14:paraId="7C75F19B">
      <w:pPr>
        <w:widowControl/>
        <w:spacing w:line="360" w:lineRule="auto"/>
        <w:jc w:val="left"/>
        <w:rPr>
          <w:rFonts w:ascii="方正小标宋简体" w:eastAsia="方正小标宋简体"/>
          <w:sz w:val="36"/>
          <w:szCs w:val="36"/>
        </w:rPr>
        <w:sectPr>
          <w:pgSz w:w="11906" w:h="16838"/>
          <w:pgMar w:top="1440" w:right="1800" w:bottom="1440" w:left="1800" w:header="851" w:footer="992" w:gutter="0"/>
          <w:pgNumType w:fmt="numberInDash" w:start="1"/>
          <w:cols w:space="425" w:num="1"/>
          <w:docGrid w:type="lines" w:linePitch="312" w:charSpace="0"/>
        </w:sectPr>
      </w:pPr>
    </w:p>
    <w:p w14:paraId="71298EDD">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北京市人民检察院第三分院</w:t>
      </w:r>
    </w:p>
    <w:p w14:paraId="625A9FF5">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安保安检工作经费项目绩效评价报告</w:t>
      </w:r>
    </w:p>
    <w:p w14:paraId="49B75498">
      <w:pPr>
        <w:spacing w:line="560" w:lineRule="exact"/>
        <w:jc w:val="center"/>
        <w:rPr>
          <w:rFonts w:ascii="方正小标宋简体" w:eastAsia="方正小标宋简体"/>
          <w:sz w:val="36"/>
          <w:szCs w:val="36"/>
        </w:rPr>
      </w:pPr>
    </w:p>
    <w:p w14:paraId="193515DA">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为进一步推进预算绩效管理工作，提升财政资金使用效率和部门绩效管理水平，根据《中共北京市委北京市人民政府关于全面实施预算绩效管理的实施意见》(京发〔2019〕12号)、《北京市预算绩效管理办法》(京财绩效〔2019〕2129号)和《北京市项目支出绩效评价管理办法》(京财绩效〔2020〕2146号)等制度规范，</w:t>
      </w:r>
      <w:bookmarkStart w:id="2" w:name="OLE_LINK1"/>
      <w:r>
        <w:rPr>
          <w:rFonts w:hint="eastAsia" w:ascii="仿宋" w:hAnsi="仿宋" w:eastAsia="仿宋" w:cs="仿宋"/>
          <w:color w:val="000000"/>
          <w:kern w:val="0"/>
          <w:sz w:val="32"/>
          <w:szCs w:val="32"/>
        </w:rPr>
        <w:t>《</w:t>
      </w:r>
      <w:bookmarkStart w:id="3" w:name="OLE_LINK2"/>
      <w:r>
        <w:rPr>
          <w:rFonts w:hint="eastAsia" w:ascii="仿宋" w:hAnsi="仿宋" w:eastAsia="仿宋" w:cs="仿宋"/>
          <w:color w:val="000000"/>
          <w:kern w:val="0"/>
          <w:sz w:val="32"/>
          <w:szCs w:val="32"/>
        </w:rPr>
        <w:t>北京市财政局关于2025年预算绩效管理工作的通知</w:t>
      </w:r>
      <w:bookmarkEnd w:id="3"/>
      <w:r>
        <w:rPr>
          <w:rFonts w:hint="eastAsia" w:ascii="仿宋" w:hAnsi="仿宋" w:eastAsia="仿宋" w:cs="仿宋"/>
          <w:color w:val="000000"/>
          <w:kern w:val="0"/>
          <w:sz w:val="32"/>
          <w:szCs w:val="32"/>
        </w:rPr>
        <w:t>》（京财绩效(2025)245号）</w:t>
      </w:r>
      <w:bookmarkEnd w:id="2"/>
      <w:r>
        <w:rPr>
          <w:rFonts w:hint="eastAsia" w:ascii="仿宋" w:hAnsi="仿宋" w:eastAsia="仿宋" w:cs="仿宋"/>
          <w:color w:val="000000"/>
          <w:kern w:val="0"/>
          <w:sz w:val="32"/>
          <w:szCs w:val="32"/>
        </w:rPr>
        <w:t>工作安排，北京市人民检察院第三分院（以下简称“</w:t>
      </w:r>
      <w:bookmarkStart w:id="4" w:name="OLE_LINK14"/>
      <w:r>
        <w:rPr>
          <w:rFonts w:hint="eastAsia" w:ascii="仿宋" w:hAnsi="仿宋" w:eastAsia="仿宋" w:cs="仿宋"/>
          <w:color w:val="000000"/>
          <w:kern w:val="0"/>
          <w:sz w:val="32"/>
          <w:szCs w:val="32"/>
        </w:rPr>
        <w:t>市检三分院</w:t>
      </w:r>
      <w:bookmarkEnd w:id="4"/>
      <w:r>
        <w:rPr>
          <w:rFonts w:hint="eastAsia" w:ascii="仿宋" w:hAnsi="仿宋" w:eastAsia="仿宋" w:cs="仿宋"/>
          <w:color w:val="000000"/>
          <w:kern w:val="0"/>
          <w:sz w:val="32"/>
          <w:szCs w:val="32"/>
        </w:rPr>
        <w:t>”）组建绩效评价工作组，开展对2024年度安保安检工作经费项目（以下简称“该项目”）的绩效情况实施绩效评价，形成本绩效评价报告。</w:t>
      </w:r>
    </w:p>
    <w:p w14:paraId="2493FC60">
      <w:pPr>
        <w:spacing w:line="600" w:lineRule="exact"/>
        <w:ind w:firstLine="640" w:firstLineChars="200"/>
        <w:outlineLvl w:val="0"/>
        <w:rPr>
          <w:rFonts w:hint="eastAsia" w:ascii="黑体" w:hAnsi="黑体" w:eastAsia="黑体" w:cs="黑体"/>
          <w:sz w:val="32"/>
          <w:szCs w:val="32"/>
        </w:rPr>
      </w:pPr>
      <w:bookmarkStart w:id="5" w:name="_Toc198193475"/>
      <w:r>
        <w:rPr>
          <w:rFonts w:hint="eastAsia" w:ascii="黑体" w:hAnsi="黑体" w:eastAsia="黑体" w:cs="黑体"/>
          <w:sz w:val="32"/>
          <w:szCs w:val="32"/>
        </w:rPr>
        <w:t>一、基本情况</w:t>
      </w:r>
      <w:bookmarkEnd w:id="5"/>
    </w:p>
    <w:p w14:paraId="5C45C0D8">
      <w:pPr>
        <w:spacing w:line="600" w:lineRule="exact"/>
        <w:ind w:firstLine="640" w:firstLineChars="200"/>
        <w:outlineLvl w:val="1"/>
        <w:rPr>
          <w:rFonts w:hint="eastAsia" w:ascii="楷体_GB2312" w:hAnsi="楷体_GB2312" w:eastAsia="楷体_GB2312" w:cs="楷体_GB2312"/>
          <w:sz w:val="32"/>
          <w:szCs w:val="32"/>
        </w:rPr>
      </w:pPr>
      <w:bookmarkStart w:id="6" w:name="_Toc198193476"/>
      <w:r>
        <w:rPr>
          <w:rFonts w:hint="eastAsia" w:ascii="楷体_GB2312" w:hAnsi="楷体_GB2312" w:eastAsia="楷体_GB2312" w:cs="楷体_GB2312"/>
          <w:sz w:val="32"/>
          <w:szCs w:val="32"/>
        </w:rPr>
        <w:t>（一）项目概况</w:t>
      </w:r>
      <w:bookmarkEnd w:id="6"/>
    </w:p>
    <w:p w14:paraId="7B0413BA">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1.项目背景</w:t>
      </w:r>
    </w:p>
    <w:p w14:paraId="2EA339A0">
      <w:pPr>
        <w:spacing w:line="600" w:lineRule="exact"/>
        <w:ind w:firstLine="640" w:firstLineChars="200"/>
        <w:rPr>
          <w:rFonts w:hint="eastAsia" w:ascii="仿宋_GB2312" w:hAnsi="宋体" w:eastAsia="仿宋_GB2312" w:cs="宋体"/>
          <w:color w:val="000000"/>
          <w:kern w:val="0"/>
          <w:sz w:val="32"/>
          <w:szCs w:val="32"/>
        </w:rPr>
      </w:pPr>
      <w:r>
        <w:rPr>
          <w:rFonts w:hint="eastAsia" w:ascii="仿宋" w:hAnsi="仿宋" w:eastAsia="仿宋" w:cs="仿宋"/>
          <w:color w:val="000000"/>
          <w:kern w:val="0"/>
          <w:sz w:val="32"/>
          <w:szCs w:val="32"/>
        </w:rPr>
        <w:t>北京市人民检察院第三分院属于法律监督机关。管辖北京市朝阳区、通州区、顺义区、怀柔区、平谷区、密云区地域内依法律规定由其办理的案件。市检三分院下设办公室、第一检察部、第二检察部、第三检察部、第四检察部、第五检察部、第六检察部、第七检察部、第八检察部、第九检察部（法律政策研究室）、检务督察部、行政事务管理部、政治部、机关党委（党建工作处）、机关纪委共计15个内设机构。</w:t>
      </w:r>
    </w:p>
    <w:p w14:paraId="6675D109">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为了保障市检三分院检察工作正常有序开展，维护首都安全稳定，通过采购安检安保服务，委托安保公司为市检三分院提供各项安保服务。</w:t>
      </w:r>
    </w:p>
    <w:p w14:paraId="50E139E2">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2.主要内容及实施情况</w:t>
      </w:r>
    </w:p>
    <w:p w14:paraId="6B76775A">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（1）安保安检主要内容</w:t>
      </w:r>
    </w:p>
    <w:p w14:paraId="3ACDB93F">
      <w:pPr>
        <w:spacing w:line="600" w:lineRule="exact"/>
        <w:ind w:firstLine="640" w:firstLineChars="200"/>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市检三分院委托安保公司，</w:t>
      </w:r>
      <w:r>
        <w:rPr>
          <w:rFonts w:hint="eastAsia" w:ascii="仿宋" w:hAnsi="仿宋" w:eastAsia="仿宋" w:cs="仿宋"/>
          <w:color w:val="000000"/>
          <w:kern w:val="0"/>
          <w:sz w:val="32"/>
          <w:szCs w:val="32"/>
          <w:lang w:eastAsia="zh-CN"/>
        </w:rPr>
        <w:t>负责</w:t>
      </w:r>
      <w:r>
        <w:rPr>
          <w:rFonts w:hint="eastAsia" w:ascii="仿宋" w:hAnsi="仿宋" w:eastAsia="仿宋" w:cs="仿宋"/>
          <w:color w:val="000000"/>
          <w:kern w:val="0"/>
          <w:sz w:val="32"/>
          <w:szCs w:val="32"/>
        </w:rPr>
        <w:t>维护机关大门及院墙以内、机关办公楼区域安全，查验出入大门人员和车辆的证件</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保障接待群众来访场所的秩序和安全，参与处置突发事件</w:t>
      </w:r>
      <w:r>
        <w:rPr>
          <w:rFonts w:hint="eastAsia" w:ascii="仿宋" w:hAnsi="仿宋" w:eastAsia="仿宋" w:cs="仿宋"/>
          <w:color w:val="000000"/>
          <w:kern w:val="0"/>
          <w:sz w:val="32"/>
          <w:szCs w:val="32"/>
          <w:lang w:eastAsia="zh-CN"/>
        </w:rPr>
        <w:t>等工作。</w:t>
      </w:r>
    </w:p>
    <w:p w14:paraId="014881FA">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（2）2024年项目实施情况</w:t>
      </w:r>
    </w:p>
    <w:p w14:paraId="4CA87DE0">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2024年为切实保障市检三分院办公安全与秩序，从多方面强化安全管理工作。紧盯楼宇安全管理，关注关键时间节点，树立预防为主理念；完善应急预案，增加技防力量，加强巡查并做好隐患整改，强化24小时值班值守；通过多平台开展安全教育，定期组织学习；2024年多次进行教育提醒，周五及节假日前发布51次安全提示通知，确保安全稳定。</w:t>
      </w:r>
    </w:p>
    <w:p w14:paraId="381390A2">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3.项目资金情况</w:t>
      </w:r>
    </w:p>
    <w:p w14:paraId="61A07BC7">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北京市财政局批复该项目2024年度预算82.56万元。</w:t>
      </w:r>
    </w:p>
    <w:p w14:paraId="64B974D5">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2024年该项目实际到位资金82.56万元，实际支出资金82.56万元，结余资金0.00万元，预算执行率100.00%。</w:t>
      </w:r>
    </w:p>
    <w:p w14:paraId="39C3ECAA">
      <w:pPr>
        <w:spacing w:line="600" w:lineRule="exact"/>
        <w:ind w:firstLine="640" w:firstLineChars="200"/>
        <w:outlineLvl w:val="1"/>
        <w:rPr>
          <w:rFonts w:hint="eastAsia" w:ascii="楷体_GB2312" w:hAnsi="楷体_GB2312" w:eastAsia="楷体_GB2312" w:cs="楷体_GB2312"/>
          <w:sz w:val="32"/>
          <w:szCs w:val="32"/>
        </w:rPr>
      </w:pPr>
      <w:bookmarkStart w:id="7" w:name="_Toc198193477"/>
      <w:r>
        <w:rPr>
          <w:rFonts w:hint="eastAsia" w:ascii="楷体_GB2312" w:hAnsi="楷体_GB2312" w:eastAsia="楷体_GB2312" w:cs="楷体_GB2312"/>
          <w:sz w:val="32"/>
          <w:szCs w:val="32"/>
        </w:rPr>
        <w:t>（二）项目绩效目标</w:t>
      </w:r>
      <w:bookmarkEnd w:id="7"/>
    </w:p>
    <w:p w14:paraId="2C5B1511">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1.总体绩效目标</w:t>
      </w:r>
    </w:p>
    <w:p w14:paraId="3D4408D0">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保障检察服务大厅安检安保、信访接待引导、秩序维护、机关门岗执勤、消防应急处突等；保障市检三分院检察工作正常有序开展，维护首都安全稳定。</w:t>
      </w:r>
    </w:p>
    <w:p w14:paraId="7612F305">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2.具体绩效指标</w:t>
      </w:r>
      <w:r>
        <w:rPr>
          <w:rFonts w:hint="eastAsia" w:ascii="楷体" w:hAnsi="楷体" w:eastAsia="楷体" w:cs="楷体"/>
          <w:sz w:val="32"/>
          <w:szCs w:val="32"/>
        </w:rPr>
        <w:tab/>
      </w:r>
    </w:p>
    <w:p w14:paraId="5001F064">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w:t>
      </w:r>
      <w:r>
        <w:rPr>
          <w:rFonts w:ascii="仿宋_GB2312" w:hAnsi="宋体" w:eastAsia="仿宋_GB2312" w:cs="宋体"/>
          <w:color w:val="000000"/>
          <w:kern w:val="0"/>
          <w:sz w:val="32"/>
          <w:szCs w:val="32"/>
        </w:rPr>
        <w:t>指标：</w:t>
      </w:r>
    </w:p>
    <w:p w14:paraId="5E9CA1DD">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质量指标：安保服务标准高。</w:t>
      </w:r>
    </w:p>
    <w:p w14:paraId="2594FC5B">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数量指标：岗位需求</w:t>
      </w:r>
      <w:r>
        <w:rPr>
          <w:rFonts w:hint="eastAsia" w:ascii="仿宋" w:hAnsi="仿宋" w:eastAsia="仿宋" w:cs="仿宋"/>
          <w:color w:val="000000"/>
          <w:kern w:val="0"/>
          <w:sz w:val="32"/>
          <w:szCs w:val="32"/>
          <w:lang w:eastAsia="zh-CN"/>
        </w:rPr>
        <w:t>匹配</w:t>
      </w:r>
      <w:r>
        <w:rPr>
          <w:rFonts w:hint="eastAsia" w:ascii="仿宋" w:hAnsi="仿宋" w:eastAsia="仿宋" w:cs="仿宋"/>
          <w:color w:val="000000"/>
          <w:kern w:val="0"/>
          <w:sz w:val="32"/>
          <w:szCs w:val="32"/>
        </w:rPr>
        <w:t>。</w:t>
      </w:r>
    </w:p>
    <w:p w14:paraId="38ABC36C">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（2）成本</w:t>
      </w:r>
      <w:r>
        <w:rPr>
          <w:rFonts w:ascii="仿宋_GB2312" w:hAnsi="宋体" w:eastAsia="仿宋_GB2312" w:cs="宋体"/>
          <w:color w:val="000000"/>
          <w:kern w:val="0"/>
          <w:sz w:val="32"/>
          <w:szCs w:val="32"/>
        </w:rPr>
        <w:t>指标：</w:t>
      </w:r>
    </w:p>
    <w:p w14:paraId="3074DFC6">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经济成本指标：项目支出≤82.56万元。</w:t>
      </w:r>
    </w:p>
    <w:p w14:paraId="4F7D4B8C">
      <w:pPr>
        <w:spacing w:line="600" w:lineRule="exact"/>
        <w:ind w:firstLine="640" w:firstLineChars="200"/>
        <w:rPr>
          <w:rFonts w:hint="eastAsia" w:ascii="仿宋_GB2312" w:hAnsi="宋体" w:eastAsia="仿宋_GB2312" w:cs="宋体"/>
          <w:color w:val="000000"/>
          <w:kern w:val="0"/>
          <w:sz w:val="32"/>
          <w:szCs w:val="32"/>
        </w:rPr>
      </w:pP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3</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效益</w:t>
      </w:r>
      <w:r>
        <w:rPr>
          <w:rFonts w:ascii="仿宋_GB2312" w:hAnsi="宋体" w:eastAsia="仿宋_GB2312" w:cs="宋体"/>
          <w:color w:val="000000"/>
          <w:kern w:val="0"/>
          <w:sz w:val="32"/>
          <w:szCs w:val="32"/>
        </w:rPr>
        <w:t>指标：</w:t>
      </w:r>
    </w:p>
    <w:p w14:paraId="5479037B">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社会效益指标：良好、安全、有序水平高。</w:t>
      </w:r>
    </w:p>
    <w:p w14:paraId="0E72FC8D">
      <w:pPr>
        <w:spacing w:line="600" w:lineRule="exact"/>
        <w:ind w:firstLine="640" w:firstLineChars="200"/>
        <w:rPr>
          <w:rFonts w:hint="eastAsia" w:ascii="仿宋_GB2312" w:hAnsi="宋体" w:eastAsia="仿宋_GB2312" w:cs="宋体"/>
          <w:color w:val="000000"/>
          <w:kern w:val="0"/>
          <w:sz w:val="32"/>
          <w:szCs w:val="32"/>
        </w:rPr>
      </w:pP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4</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满意度指标</w:t>
      </w:r>
      <w:r>
        <w:rPr>
          <w:rFonts w:ascii="仿宋_GB2312" w:hAnsi="宋体" w:eastAsia="仿宋_GB2312" w:cs="宋体"/>
          <w:color w:val="000000"/>
          <w:kern w:val="0"/>
          <w:sz w:val="32"/>
          <w:szCs w:val="32"/>
        </w:rPr>
        <w:t>：</w:t>
      </w:r>
    </w:p>
    <w:p w14:paraId="661F1BFC">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服务对象满意度指标：满意度≥90%。</w:t>
      </w:r>
    </w:p>
    <w:p w14:paraId="3D62B782">
      <w:pPr>
        <w:spacing w:line="600" w:lineRule="exact"/>
        <w:ind w:firstLine="640" w:firstLineChars="200"/>
        <w:outlineLvl w:val="0"/>
        <w:rPr>
          <w:rFonts w:hint="eastAsia" w:ascii="黑体" w:hAnsi="黑体" w:eastAsia="黑体" w:cs="黑体"/>
          <w:sz w:val="32"/>
          <w:szCs w:val="32"/>
        </w:rPr>
      </w:pPr>
      <w:bookmarkStart w:id="8" w:name="_Toc198193478"/>
      <w:r>
        <w:rPr>
          <w:rFonts w:hint="eastAsia" w:ascii="黑体" w:hAnsi="黑体" w:eastAsia="黑体" w:cs="黑体"/>
          <w:sz w:val="32"/>
          <w:szCs w:val="32"/>
        </w:rPr>
        <w:t>二、绩效评价工作开展情况</w:t>
      </w:r>
      <w:bookmarkEnd w:id="8"/>
    </w:p>
    <w:p w14:paraId="0F26D145">
      <w:pPr>
        <w:spacing w:line="600" w:lineRule="exact"/>
        <w:ind w:firstLine="640" w:firstLineChars="200"/>
        <w:outlineLvl w:val="1"/>
        <w:rPr>
          <w:rFonts w:hint="eastAsia" w:ascii="楷体" w:hAnsi="楷体" w:eastAsia="楷体" w:cs="楷体"/>
          <w:sz w:val="32"/>
          <w:szCs w:val="32"/>
        </w:rPr>
      </w:pPr>
      <w:bookmarkStart w:id="9" w:name="_Toc198193479"/>
      <w:r>
        <w:rPr>
          <w:rFonts w:hint="eastAsia" w:ascii="楷体" w:hAnsi="楷体" w:eastAsia="楷体" w:cs="楷体"/>
          <w:sz w:val="32"/>
          <w:szCs w:val="32"/>
        </w:rPr>
        <w:t>（一）绩效评价目的、对象和范围</w:t>
      </w:r>
      <w:bookmarkEnd w:id="9"/>
    </w:p>
    <w:p w14:paraId="5F36EBC7">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1.绩效评价目的</w:t>
      </w:r>
    </w:p>
    <w:p w14:paraId="59001579">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通过绩效评价，衡量和考核市检三分院使用财政资金的绩效实现情况，了解、分析和检验资金使用是否达到预期目标，资金管理是否规范，资金使用是否有效，通过总结经验，分析问题，采取切实措施进一步改进和加强财政支出项目管理，提高财政资金使用效益。</w:t>
      </w:r>
    </w:p>
    <w:p w14:paraId="7344972C">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2.绩效评价对象及范围</w:t>
      </w:r>
    </w:p>
    <w:p w14:paraId="2968797B">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对市检三分院2024年度“安保安检工作经费”项目预算资金82.56万元支出情况开展绩效评价。</w:t>
      </w:r>
    </w:p>
    <w:p w14:paraId="28093F53">
      <w:pPr>
        <w:spacing w:line="600" w:lineRule="exact"/>
        <w:ind w:firstLine="640" w:firstLineChars="200"/>
        <w:outlineLvl w:val="1"/>
        <w:rPr>
          <w:rFonts w:hint="eastAsia" w:ascii="楷体" w:hAnsi="楷体" w:eastAsia="楷体" w:cs="楷体"/>
          <w:sz w:val="32"/>
          <w:szCs w:val="32"/>
        </w:rPr>
      </w:pPr>
      <w:bookmarkStart w:id="10" w:name="_Toc198193480"/>
      <w:r>
        <w:rPr>
          <w:rFonts w:hint="eastAsia" w:ascii="楷体" w:hAnsi="楷体" w:eastAsia="楷体" w:cs="楷体"/>
          <w:sz w:val="32"/>
          <w:szCs w:val="32"/>
        </w:rPr>
        <w:t>（二）绩效评价原则、评价指标体系、评价方法、评价标准等</w:t>
      </w:r>
      <w:bookmarkEnd w:id="10"/>
    </w:p>
    <w:p w14:paraId="05CF0C40">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1.绩效评价原则及评价方法</w:t>
      </w:r>
    </w:p>
    <w:p w14:paraId="7315B675">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本次绩效评价遵循“客观、公正、科学、规范”的原则，结合项目的特点，采用比较法、因素分析法、评价组评议法等方法开展评价工作。</w:t>
      </w:r>
    </w:p>
    <w:p w14:paraId="2305A416">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2.绩效评价指标体系</w:t>
      </w:r>
    </w:p>
    <w:p w14:paraId="2A74A3F4">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绩效评价指标体系主要包括项目决策、项目过程、项目产出、项目效益4个方面，满分100分。一是决策指标(15分)，主要评价项目立项、绩效目标、资金投入等内容；二是过程指标(20分)，主要评价资金管理和组织实施等内容；三是产出指标(34分)，主要评价项目产出数量、产出质量、产出时效和产出成本等内容；四是效益指标（31分），主要评价实施效益和满意度等内容。具体内容见下表：</w:t>
      </w:r>
    </w:p>
    <w:p w14:paraId="57C297D0">
      <w:pPr>
        <w:keepNext/>
        <w:spacing w:after="156" w:afterLines="50" w:line="560" w:lineRule="exact"/>
        <w:ind w:firstLine="562" w:firstLineChars="200"/>
        <w:jc w:val="center"/>
        <w:rPr>
          <w:rFonts w:hint="eastAsia" w:ascii="楷体" w:hAnsi="楷体" w:eastAsia="楷体" w:cs="宋体"/>
          <w:b/>
          <w:bCs/>
          <w:kern w:val="0"/>
          <w:sz w:val="28"/>
          <w:szCs w:val="28"/>
        </w:rPr>
      </w:pPr>
      <w:r>
        <w:rPr>
          <w:rFonts w:hint="eastAsia" w:ascii="楷体" w:hAnsi="楷体" w:eastAsia="楷体" w:cs="宋体"/>
          <w:b/>
          <w:bCs/>
          <w:kern w:val="0"/>
          <w:sz w:val="28"/>
          <w:szCs w:val="28"/>
        </w:rPr>
        <w:t>2024年度“安保安检工作经费”项目绩效评价指标体系表</w:t>
      </w:r>
    </w:p>
    <w:tbl>
      <w:tblPr>
        <w:tblStyle w:val="15"/>
        <w:tblW w:w="9056" w:type="dxa"/>
        <w:tblInd w:w="0" w:type="dxa"/>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947"/>
        <w:gridCol w:w="1288"/>
        <w:gridCol w:w="1748"/>
        <w:gridCol w:w="648"/>
        <w:gridCol w:w="4425"/>
      </w:tblGrid>
      <w:tr w14:paraId="447AE955">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62" w:hRule="atLeast"/>
          <w:tblHeader/>
        </w:trPr>
        <w:tc>
          <w:tcPr>
            <w:tcW w:w="947" w:type="dxa"/>
            <w:tcBorders>
              <w:tl2br w:val="nil"/>
              <w:tr2bl w:val="nil"/>
            </w:tcBorders>
            <w:vAlign w:val="center"/>
          </w:tcPr>
          <w:p w14:paraId="5F46EE09">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一级</w:t>
            </w:r>
          </w:p>
        </w:tc>
        <w:tc>
          <w:tcPr>
            <w:tcW w:w="1288" w:type="dxa"/>
            <w:tcBorders>
              <w:tl2br w:val="nil"/>
              <w:tr2bl w:val="nil"/>
            </w:tcBorders>
            <w:vAlign w:val="center"/>
          </w:tcPr>
          <w:p w14:paraId="3F26C98E">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二级</w:t>
            </w:r>
          </w:p>
        </w:tc>
        <w:tc>
          <w:tcPr>
            <w:tcW w:w="1748" w:type="dxa"/>
            <w:tcBorders>
              <w:tl2br w:val="nil"/>
              <w:tr2bl w:val="nil"/>
            </w:tcBorders>
            <w:vAlign w:val="center"/>
          </w:tcPr>
          <w:p w14:paraId="4E0F10D8">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三级</w:t>
            </w:r>
          </w:p>
        </w:tc>
        <w:tc>
          <w:tcPr>
            <w:tcW w:w="648" w:type="dxa"/>
            <w:tcBorders>
              <w:tl2br w:val="nil"/>
              <w:tr2bl w:val="nil"/>
            </w:tcBorders>
            <w:vAlign w:val="center"/>
          </w:tcPr>
          <w:p w14:paraId="33061A84">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分值</w:t>
            </w:r>
          </w:p>
        </w:tc>
        <w:tc>
          <w:tcPr>
            <w:tcW w:w="4425" w:type="dxa"/>
            <w:tcBorders>
              <w:tl2br w:val="nil"/>
              <w:tr2bl w:val="nil"/>
            </w:tcBorders>
            <w:vAlign w:val="center"/>
          </w:tcPr>
          <w:p w14:paraId="0C3410F3">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指标解释</w:t>
            </w:r>
          </w:p>
        </w:tc>
      </w:tr>
      <w:tr w14:paraId="307DC6FB">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42" w:hRule="atLeast"/>
        </w:trPr>
        <w:tc>
          <w:tcPr>
            <w:tcW w:w="947" w:type="dxa"/>
            <w:vMerge w:val="restart"/>
            <w:tcBorders>
              <w:tl2br w:val="nil"/>
              <w:tr2bl w:val="nil"/>
            </w:tcBorders>
            <w:vAlign w:val="center"/>
          </w:tcPr>
          <w:p w14:paraId="3A563E6B">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项目决策（</w:t>
            </w:r>
            <w:r>
              <w:rPr>
                <w:rFonts w:ascii="楷体" w:hAnsi="楷体" w:eastAsia="楷体" w:cs="宋体"/>
                <w:color w:val="000000"/>
                <w:kern w:val="0"/>
                <w:szCs w:val="21"/>
                <w:lang w:bidi="ar"/>
              </w:rPr>
              <w:t>15</w:t>
            </w:r>
            <w:r>
              <w:rPr>
                <w:rFonts w:hint="eastAsia" w:ascii="楷体" w:hAnsi="楷体" w:eastAsia="楷体" w:cs="宋体"/>
                <w:color w:val="000000"/>
                <w:kern w:val="0"/>
                <w:szCs w:val="21"/>
                <w:lang w:bidi="ar"/>
              </w:rPr>
              <w:t>分）</w:t>
            </w:r>
          </w:p>
        </w:tc>
        <w:tc>
          <w:tcPr>
            <w:tcW w:w="1288" w:type="dxa"/>
            <w:vMerge w:val="restart"/>
            <w:tcBorders>
              <w:tl2br w:val="nil"/>
              <w:tr2bl w:val="nil"/>
            </w:tcBorders>
            <w:vAlign w:val="center"/>
          </w:tcPr>
          <w:p w14:paraId="19A54EDD">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项目立项（</w:t>
            </w:r>
            <w:r>
              <w:rPr>
                <w:rFonts w:ascii="楷体" w:hAnsi="楷体" w:eastAsia="楷体" w:cs="宋体"/>
                <w:color w:val="000000"/>
                <w:kern w:val="0"/>
                <w:szCs w:val="21"/>
                <w:lang w:bidi="ar"/>
              </w:rPr>
              <w:t>5</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14:paraId="75CF2C67">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立项依据充分性</w:t>
            </w:r>
          </w:p>
        </w:tc>
        <w:tc>
          <w:tcPr>
            <w:tcW w:w="648" w:type="dxa"/>
            <w:tcBorders>
              <w:tl2br w:val="nil"/>
              <w:tr2bl w:val="nil"/>
            </w:tcBorders>
            <w:vAlign w:val="center"/>
          </w:tcPr>
          <w:p w14:paraId="27E76D7F">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3</w:t>
            </w:r>
          </w:p>
        </w:tc>
        <w:tc>
          <w:tcPr>
            <w:tcW w:w="4425" w:type="dxa"/>
            <w:tcBorders>
              <w:tl2br w:val="nil"/>
              <w:tr2bl w:val="nil"/>
            </w:tcBorders>
            <w:vAlign w:val="center"/>
          </w:tcPr>
          <w:p w14:paraId="74606133">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项目立项是否符合法律法规、相关政策、发展规划以及部门职责，用以反映和考核项目立项依据情况。</w:t>
            </w:r>
          </w:p>
        </w:tc>
      </w:tr>
      <w:tr w14:paraId="6689922D">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90" w:hRule="atLeast"/>
        </w:trPr>
        <w:tc>
          <w:tcPr>
            <w:tcW w:w="947" w:type="dxa"/>
            <w:vMerge w:val="continue"/>
            <w:tcBorders>
              <w:tl2br w:val="nil"/>
              <w:tr2bl w:val="nil"/>
            </w:tcBorders>
            <w:vAlign w:val="center"/>
          </w:tcPr>
          <w:p w14:paraId="644762EC">
            <w:pPr>
              <w:jc w:val="center"/>
              <w:rPr>
                <w:rFonts w:hint="eastAsia" w:ascii="楷体" w:hAnsi="楷体" w:eastAsia="楷体" w:cs="宋体"/>
                <w:color w:val="000000"/>
                <w:szCs w:val="21"/>
              </w:rPr>
            </w:pPr>
          </w:p>
        </w:tc>
        <w:tc>
          <w:tcPr>
            <w:tcW w:w="1288" w:type="dxa"/>
            <w:vMerge w:val="continue"/>
            <w:tcBorders>
              <w:tl2br w:val="nil"/>
              <w:tr2bl w:val="nil"/>
            </w:tcBorders>
            <w:vAlign w:val="center"/>
          </w:tcPr>
          <w:p w14:paraId="21AAEC7A">
            <w:pPr>
              <w:jc w:val="center"/>
              <w:rPr>
                <w:rFonts w:hint="eastAsia" w:ascii="楷体" w:hAnsi="楷体" w:eastAsia="楷体" w:cs="宋体"/>
                <w:color w:val="000000"/>
                <w:szCs w:val="21"/>
              </w:rPr>
            </w:pPr>
          </w:p>
        </w:tc>
        <w:tc>
          <w:tcPr>
            <w:tcW w:w="1748" w:type="dxa"/>
            <w:tcBorders>
              <w:tl2br w:val="nil"/>
              <w:tr2bl w:val="nil"/>
            </w:tcBorders>
            <w:vAlign w:val="center"/>
          </w:tcPr>
          <w:p w14:paraId="353EB7A6">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立项程序规范性</w:t>
            </w:r>
          </w:p>
        </w:tc>
        <w:tc>
          <w:tcPr>
            <w:tcW w:w="648" w:type="dxa"/>
            <w:tcBorders>
              <w:tl2br w:val="nil"/>
              <w:tr2bl w:val="nil"/>
            </w:tcBorders>
            <w:vAlign w:val="center"/>
          </w:tcPr>
          <w:p w14:paraId="42181F0A">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w:t>
            </w:r>
          </w:p>
        </w:tc>
        <w:tc>
          <w:tcPr>
            <w:tcW w:w="4425" w:type="dxa"/>
            <w:tcBorders>
              <w:tl2br w:val="nil"/>
              <w:tr2bl w:val="nil"/>
            </w:tcBorders>
            <w:vAlign w:val="center"/>
          </w:tcPr>
          <w:p w14:paraId="326BA444">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项目申请、设立过程是否符合相关要求，用以反映和考核项目立项的规范情况。</w:t>
            </w:r>
          </w:p>
        </w:tc>
      </w:tr>
      <w:tr w14:paraId="4DF15A13">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08" w:hRule="atLeast"/>
        </w:trPr>
        <w:tc>
          <w:tcPr>
            <w:tcW w:w="947" w:type="dxa"/>
            <w:vMerge w:val="continue"/>
            <w:tcBorders>
              <w:tl2br w:val="nil"/>
              <w:tr2bl w:val="nil"/>
            </w:tcBorders>
            <w:vAlign w:val="center"/>
          </w:tcPr>
          <w:p w14:paraId="46B9C182">
            <w:pPr>
              <w:jc w:val="center"/>
              <w:rPr>
                <w:rFonts w:hint="eastAsia" w:ascii="楷体" w:hAnsi="楷体" w:eastAsia="楷体" w:cs="宋体"/>
                <w:color w:val="000000"/>
                <w:szCs w:val="21"/>
              </w:rPr>
            </w:pPr>
          </w:p>
        </w:tc>
        <w:tc>
          <w:tcPr>
            <w:tcW w:w="1288" w:type="dxa"/>
            <w:vMerge w:val="restart"/>
            <w:tcBorders>
              <w:tl2br w:val="nil"/>
              <w:tr2bl w:val="nil"/>
            </w:tcBorders>
            <w:vAlign w:val="center"/>
          </w:tcPr>
          <w:p w14:paraId="5F41670D">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绩效目标（</w:t>
            </w:r>
            <w:r>
              <w:rPr>
                <w:rFonts w:ascii="楷体" w:hAnsi="楷体" w:eastAsia="楷体" w:cs="宋体"/>
                <w:color w:val="000000"/>
                <w:kern w:val="0"/>
                <w:szCs w:val="21"/>
                <w:lang w:bidi="ar"/>
              </w:rPr>
              <w:t>6</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14:paraId="6B1B3ADB">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绩效目标合理性</w:t>
            </w:r>
          </w:p>
        </w:tc>
        <w:tc>
          <w:tcPr>
            <w:tcW w:w="648" w:type="dxa"/>
            <w:tcBorders>
              <w:tl2br w:val="nil"/>
              <w:tr2bl w:val="nil"/>
            </w:tcBorders>
            <w:vAlign w:val="center"/>
          </w:tcPr>
          <w:p w14:paraId="0EADDB4C">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3</w:t>
            </w:r>
          </w:p>
        </w:tc>
        <w:tc>
          <w:tcPr>
            <w:tcW w:w="4425" w:type="dxa"/>
            <w:tcBorders>
              <w:tl2br w:val="nil"/>
              <w:tr2bl w:val="nil"/>
            </w:tcBorders>
            <w:vAlign w:val="center"/>
          </w:tcPr>
          <w:p w14:paraId="3EC2B047">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项目所设定的绩效目标是否依据充分，是否符合客观实际，用以反映和考核项目绩效目标与项目实施的相符情况。</w:t>
            </w:r>
          </w:p>
        </w:tc>
      </w:tr>
      <w:tr w14:paraId="027C74C2">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947" w:type="dxa"/>
            <w:vMerge w:val="continue"/>
            <w:tcBorders>
              <w:tl2br w:val="nil"/>
              <w:tr2bl w:val="nil"/>
            </w:tcBorders>
            <w:vAlign w:val="center"/>
          </w:tcPr>
          <w:p w14:paraId="3F197347">
            <w:pPr>
              <w:jc w:val="center"/>
              <w:rPr>
                <w:rFonts w:hint="eastAsia" w:ascii="楷体" w:hAnsi="楷体" w:eastAsia="楷体" w:cs="宋体"/>
                <w:color w:val="000000"/>
                <w:szCs w:val="21"/>
              </w:rPr>
            </w:pPr>
          </w:p>
        </w:tc>
        <w:tc>
          <w:tcPr>
            <w:tcW w:w="1288" w:type="dxa"/>
            <w:vMerge w:val="continue"/>
            <w:tcBorders>
              <w:tl2br w:val="nil"/>
              <w:tr2bl w:val="nil"/>
            </w:tcBorders>
            <w:vAlign w:val="center"/>
          </w:tcPr>
          <w:p w14:paraId="4E68459B">
            <w:pPr>
              <w:jc w:val="center"/>
              <w:rPr>
                <w:rFonts w:hint="eastAsia" w:ascii="楷体" w:hAnsi="楷体" w:eastAsia="楷体" w:cs="宋体"/>
                <w:color w:val="000000"/>
                <w:szCs w:val="21"/>
              </w:rPr>
            </w:pPr>
          </w:p>
        </w:tc>
        <w:tc>
          <w:tcPr>
            <w:tcW w:w="1748" w:type="dxa"/>
            <w:tcBorders>
              <w:tl2br w:val="nil"/>
              <w:tr2bl w:val="nil"/>
            </w:tcBorders>
            <w:vAlign w:val="center"/>
          </w:tcPr>
          <w:p w14:paraId="11432AD8">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绩效指标明确性</w:t>
            </w:r>
          </w:p>
        </w:tc>
        <w:tc>
          <w:tcPr>
            <w:tcW w:w="648" w:type="dxa"/>
            <w:tcBorders>
              <w:tl2br w:val="nil"/>
              <w:tr2bl w:val="nil"/>
            </w:tcBorders>
            <w:vAlign w:val="center"/>
          </w:tcPr>
          <w:p w14:paraId="58CF6AA6">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3</w:t>
            </w:r>
          </w:p>
        </w:tc>
        <w:tc>
          <w:tcPr>
            <w:tcW w:w="4425" w:type="dxa"/>
            <w:tcBorders>
              <w:tl2br w:val="nil"/>
              <w:tr2bl w:val="nil"/>
            </w:tcBorders>
            <w:vAlign w:val="center"/>
          </w:tcPr>
          <w:p w14:paraId="283B3567">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依据绩效目标设定的绩效指标是否清晰、细化、可衡量等，用以反映和考核项目绩效目标的明细化情况。</w:t>
            </w:r>
          </w:p>
        </w:tc>
      </w:tr>
      <w:tr w14:paraId="02293AE5">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82" w:hRule="atLeast"/>
        </w:trPr>
        <w:tc>
          <w:tcPr>
            <w:tcW w:w="947" w:type="dxa"/>
            <w:vMerge w:val="continue"/>
            <w:tcBorders>
              <w:tl2br w:val="nil"/>
              <w:tr2bl w:val="nil"/>
            </w:tcBorders>
            <w:vAlign w:val="center"/>
          </w:tcPr>
          <w:p w14:paraId="7B97DCC3">
            <w:pPr>
              <w:jc w:val="center"/>
              <w:rPr>
                <w:rFonts w:hint="eastAsia" w:ascii="楷体" w:hAnsi="楷体" w:eastAsia="楷体" w:cs="宋体"/>
                <w:color w:val="000000"/>
                <w:szCs w:val="21"/>
              </w:rPr>
            </w:pPr>
          </w:p>
        </w:tc>
        <w:tc>
          <w:tcPr>
            <w:tcW w:w="1288" w:type="dxa"/>
            <w:vMerge w:val="restart"/>
            <w:tcBorders>
              <w:tl2br w:val="nil"/>
              <w:tr2bl w:val="nil"/>
            </w:tcBorders>
            <w:vAlign w:val="center"/>
          </w:tcPr>
          <w:p w14:paraId="0BFD1E14">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资金投入（</w:t>
            </w:r>
            <w:r>
              <w:rPr>
                <w:rFonts w:ascii="楷体" w:hAnsi="楷体" w:eastAsia="楷体" w:cs="宋体"/>
                <w:color w:val="000000"/>
                <w:kern w:val="0"/>
                <w:szCs w:val="21"/>
                <w:lang w:bidi="ar"/>
              </w:rPr>
              <w:t>4</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14:paraId="0877ABC7">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预算编制科学性</w:t>
            </w:r>
          </w:p>
        </w:tc>
        <w:tc>
          <w:tcPr>
            <w:tcW w:w="648" w:type="dxa"/>
            <w:tcBorders>
              <w:tl2br w:val="nil"/>
              <w:tr2bl w:val="nil"/>
            </w:tcBorders>
            <w:vAlign w:val="center"/>
          </w:tcPr>
          <w:p w14:paraId="7205A1D8">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w:t>
            </w:r>
          </w:p>
        </w:tc>
        <w:tc>
          <w:tcPr>
            <w:tcW w:w="4425" w:type="dxa"/>
            <w:tcBorders>
              <w:tl2br w:val="nil"/>
              <w:tr2bl w:val="nil"/>
            </w:tcBorders>
            <w:vAlign w:val="center"/>
          </w:tcPr>
          <w:p w14:paraId="5D1ED048">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项目预算编制是否经过科学论证、有明确标准，资金额度与年度目标是否相适应，用以反映和考核项目预算编制的科学性、合理性情况。</w:t>
            </w:r>
          </w:p>
        </w:tc>
      </w:tr>
      <w:tr w14:paraId="46AA8FBD">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182" w:hRule="atLeast"/>
        </w:trPr>
        <w:tc>
          <w:tcPr>
            <w:tcW w:w="947" w:type="dxa"/>
            <w:vMerge w:val="continue"/>
            <w:tcBorders>
              <w:tl2br w:val="nil"/>
              <w:tr2bl w:val="nil"/>
            </w:tcBorders>
            <w:vAlign w:val="center"/>
          </w:tcPr>
          <w:p w14:paraId="02C5036A">
            <w:pPr>
              <w:jc w:val="center"/>
              <w:rPr>
                <w:rFonts w:hint="eastAsia" w:ascii="楷体" w:hAnsi="楷体" w:eastAsia="楷体" w:cs="宋体"/>
                <w:color w:val="000000"/>
                <w:szCs w:val="21"/>
              </w:rPr>
            </w:pPr>
          </w:p>
        </w:tc>
        <w:tc>
          <w:tcPr>
            <w:tcW w:w="1288" w:type="dxa"/>
            <w:vMerge w:val="continue"/>
            <w:tcBorders>
              <w:tl2br w:val="nil"/>
              <w:tr2bl w:val="nil"/>
            </w:tcBorders>
            <w:vAlign w:val="center"/>
          </w:tcPr>
          <w:p w14:paraId="5B20B108">
            <w:pPr>
              <w:jc w:val="center"/>
              <w:rPr>
                <w:rFonts w:hint="eastAsia" w:ascii="楷体" w:hAnsi="楷体" w:eastAsia="楷体" w:cs="宋体"/>
                <w:color w:val="000000"/>
                <w:szCs w:val="21"/>
              </w:rPr>
            </w:pPr>
          </w:p>
        </w:tc>
        <w:tc>
          <w:tcPr>
            <w:tcW w:w="1748" w:type="dxa"/>
            <w:tcBorders>
              <w:tl2br w:val="nil"/>
              <w:tr2bl w:val="nil"/>
            </w:tcBorders>
            <w:vAlign w:val="center"/>
          </w:tcPr>
          <w:p w14:paraId="1034613D">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资金分配合理性</w:t>
            </w:r>
          </w:p>
        </w:tc>
        <w:tc>
          <w:tcPr>
            <w:tcW w:w="648" w:type="dxa"/>
            <w:tcBorders>
              <w:tl2br w:val="nil"/>
              <w:tr2bl w:val="nil"/>
            </w:tcBorders>
            <w:vAlign w:val="center"/>
          </w:tcPr>
          <w:p w14:paraId="44830B1F">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w:t>
            </w:r>
          </w:p>
        </w:tc>
        <w:tc>
          <w:tcPr>
            <w:tcW w:w="4425" w:type="dxa"/>
            <w:tcBorders>
              <w:tl2br w:val="nil"/>
              <w:tr2bl w:val="nil"/>
            </w:tcBorders>
            <w:vAlign w:val="center"/>
          </w:tcPr>
          <w:p w14:paraId="724E734F">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项目预算资金分配是否有测算依据，与补助单位或地方实际是否相适应，用以反映和考核项目预算资金分配的科学性、合理性情况。</w:t>
            </w:r>
          </w:p>
        </w:tc>
      </w:tr>
      <w:tr w14:paraId="0245CC81">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47" w:type="dxa"/>
            <w:vMerge w:val="restart"/>
            <w:tcBorders>
              <w:tl2br w:val="nil"/>
              <w:tr2bl w:val="nil"/>
            </w:tcBorders>
            <w:vAlign w:val="center"/>
          </w:tcPr>
          <w:p w14:paraId="1859312F">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项目过程（</w:t>
            </w:r>
            <w:r>
              <w:rPr>
                <w:rFonts w:ascii="楷体" w:hAnsi="楷体" w:eastAsia="楷体" w:cs="宋体"/>
                <w:color w:val="000000"/>
                <w:kern w:val="0"/>
                <w:szCs w:val="21"/>
                <w:lang w:bidi="ar"/>
              </w:rPr>
              <w:t>20</w:t>
            </w:r>
            <w:r>
              <w:rPr>
                <w:rFonts w:hint="eastAsia" w:ascii="楷体" w:hAnsi="楷体" w:eastAsia="楷体" w:cs="宋体"/>
                <w:color w:val="000000"/>
                <w:kern w:val="0"/>
                <w:szCs w:val="21"/>
                <w:lang w:bidi="ar"/>
              </w:rPr>
              <w:t>分）</w:t>
            </w:r>
          </w:p>
        </w:tc>
        <w:tc>
          <w:tcPr>
            <w:tcW w:w="1288" w:type="dxa"/>
            <w:vMerge w:val="restart"/>
            <w:tcBorders>
              <w:tl2br w:val="nil"/>
              <w:tr2bl w:val="nil"/>
            </w:tcBorders>
            <w:vAlign w:val="center"/>
          </w:tcPr>
          <w:p w14:paraId="30C0A4A7">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资金管理（</w:t>
            </w:r>
            <w:r>
              <w:rPr>
                <w:rFonts w:ascii="楷体" w:hAnsi="楷体" w:eastAsia="楷体" w:cs="宋体"/>
                <w:color w:val="000000"/>
                <w:kern w:val="0"/>
                <w:szCs w:val="21"/>
                <w:lang w:bidi="ar"/>
              </w:rPr>
              <w:t>8</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14:paraId="69796691">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资金到位率</w:t>
            </w:r>
          </w:p>
        </w:tc>
        <w:tc>
          <w:tcPr>
            <w:tcW w:w="648" w:type="dxa"/>
            <w:tcBorders>
              <w:tl2br w:val="nil"/>
              <w:tr2bl w:val="nil"/>
            </w:tcBorders>
            <w:vAlign w:val="center"/>
          </w:tcPr>
          <w:p w14:paraId="7160C8F3">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w:t>
            </w:r>
          </w:p>
        </w:tc>
        <w:tc>
          <w:tcPr>
            <w:tcW w:w="4425" w:type="dxa"/>
            <w:tcBorders>
              <w:tl2br w:val="nil"/>
              <w:tr2bl w:val="nil"/>
            </w:tcBorders>
            <w:vAlign w:val="center"/>
          </w:tcPr>
          <w:p w14:paraId="290A1148">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实际到位资金与预算资金的比率，用以反映和考核资金落实情况对项目实施的总体保障程度。</w:t>
            </w:r>
          </w:p>
        </w:tc>
      </w:tr>
      <w:tr w14:paraId="0295C622">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14" w:hRule="atLeast"/>
        </w:trPr>
        <w:tc>
          <w:tcPr>
            <w:tcW w:w="947" w:type="dxa"/>
            <w:vMerge w:val="continue"/>
            <w:tcBorders>
              <w:tl2br w:val="nil"/>
              <w:tr2bl w:val="nil"/>
            </w:tcBorders>
            <w:vAlign w:val="center"/>
          </w:tcPr>
          <w:p w14:paraId="4AC32011">
            <w:pPr>
              <w:jc w:val="center"/>
              <w:rPr>
                <w:rFonts w:hint="eastAsia" w:ascii="楷体" w:hAnsi="楷体" w:eastAsia="楷体" w:cs="宋体"/>
                <w:color w:val="000000"/>
                <w:szCs w:val="21"/>
              </w:rPr>
            </w:pPr>
          </w:p>
        </w:tc>
        <w:tc>
          <w:tcPr>
            <w:tcW w:w="1288" w:type="dxa"/>
            <w:vMerge w:val="continue"/>
            <w:tcBorders>
              <w:tl2br w:val="nil"/>
              <w:tr2bl w:val="nil"/>
            </w:tcBorders>
            <w:vAlign w:val="center"/>
          </w:tcPr>
          <w:p w14:paraId="3AB216A7">
            <w:pPr>
              <w:jc w:val="center"/>
              <w:rPr>
                <w:rFonts w:hint="eastAsia" w:ascii="楷体" w:hAnsi="楷体" w:eastAsia="楷体" w:cs="宋体"/>
                <w:color w:val="000000"/>
                <w:szCs w:val="21"/>
              </w:rPr>
            </w:pPr>
          </w:p>
        </w:tc>
        <w:tc>
          <w:tcPr>
            <w:tcW w:w="1748" w:type="dxa"/>
            <w:tcBorders>
              <w:tl2br w:val="nil"/>
              <w:tr2bl w:val="nil"/>
            </w:tcBorders>
            <w:vAlign w:val="center"/>
          </w:tcPr>
          <w:p w14:paraId="5D1BD36B">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预算执行率</w:t>
            </w:r>
          </w:p>
        </w:tc>
        <w:tc>
          <w:tcPr>
            <w:tcW w:w="648" w:type="dxa"/>
            <w:tcBorders>
              <w:tl2br w:val="nil"/>
              <w:tr2bl w:val="nil"/>
            </w:tcBorders>
            <w:vAlign w:val="center"/>
          </w:tcPr>
          <w:p w14:paraId="0F8A860B">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w:t>
            </w:r>
          </w:p>
        </w:tc>
        <w:tc>
          <w:tcPr>
            <w:tcW w:w="4425" w:type="dxa"/>
            <w:tcBorders>
              <w:tl2br w:val="nil"/>
              <w:tr2bl w:val="nil"/>
            </w:tcBorders>
            <w:vAlign w:val="center"/>
          </w:tcPr>
          <w:p w14:paraId="50450320">
            <w:pPr>
              <w:rPr>
                <w:rFonts w:hint="eastAsia" w:ascii="楷体" w:hAnsi="楷体" w:eastAsia="楷体" w:cs="宋体"/>
                <w:color w:val="000000"/>
                <w:szCs w:val="21"/>
              </w:rPr>
            </w:pPr>
            <w:r>
              <w:rPr>
                <w:rFonts w:hint="eastAsia" w:ascii="楷体" w:hAnsi="楷体" w:eastAsia="楷体" w:cs="宋体"/>
                <w:color w:val="000000"/>
                <w:kern w:val="0"/>
                <w:szCs w:val="21"/>
                <w:lang w:bidi="ar"/>
              </w:rPr>
              <w:t>项目预算资金是否按照计划执行，用以反映或考核项目预算执行情况。</w:t>
            </w:r>
          </w:p>
        </w:tc>
      </w:tr>
      <w:tr w14:paraId="4D6201E9">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1011" w:hRule="atLeast"/>
        </w:trPr>
        <w:tc>
          <w:tcPr>
            <w:tcW w:w="947" w:type="dxa"/>
            <w:vMerge w:val="continue"/>
            <w:tcBorders>
              <w:tl2br w:val="nil"/>
              <w:tr2bl w:val="nil"/>
            </w:tcBorders>
            <w:vAlign w:val="center"/>
          </w:tcPr>
          <w:p w14:paraId="46DEC238">
            <w:pPr>
              <w:jc w:val="center"/>
              <w:rPr>
                <w:rFonts w:hint="eastAsia" w:ascii="楷体" w:hAnsi="楷体" w:eastAsia="楷体" w:cs="宋体"/>
                <w:color w:val="000000"/>
                <w:szCs w:val="21"/>
              </w:rPr>
            </w:pPr>
          </w:p>
        </w:tc>
        <w:tc>
          <w:tcPr>
            <w:tcW w:w="1288" w:type="dxa"/>
            <w:vMerge w:val="continue"/>
            <w:tcBorders>
              <w:tl2br w:val="nil"/>
              <w:tr2bl w:val="nil"/>
            </w:tcBorders>
            <w:vAlign w:val="center"/>
          </w:tcPr>
          <w:p w14:paraId="6ACDBD34">
            <w:pPr>
              <w:jc w:val="center"/>
              <w:rPr>
                <w:rFonts w:hint="eastAsia" w:ascii="楷体" w:hAnsi="楷体" w:eastAsia="楷体" w:cs="宋体"/>
                <w:color w:val="000000"/>
                <w:szCs w:val="21"/>
              </w:rPr>
            </w:pPr>
          </w:p>
        </w:tc>
        <w:tc>
          <w:tcPr>
            <w:tcW w:w="1748" w:type="dxa"/>
            <w:tcBorders>
              <w:tl2br w:val="nil"/>
              <w:tr2bl w:val="nil"/>
            </w:tcBorders>
            <w:vAlign w:val="center"/>
          </w:tcPr>
          <w:p w14:paraId="71E06315">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资金使用合规性</w:t>
            </w:r>
          </w:p>
        </w:tc>
        <w:tc>
          <w:tcPr>
            <w:tcW w:w="648" w:type="dxa"/>
            <w:tcBorders>
              <w:tl2br w:val="nil"/>
              <w:tr2bl w:val="nil"/>
            </w:tcBorders>
            <w:vAlign w:val="center"/>
          </w:tcPr>
          <w:p w14:paraId="48460BBF">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4</w:t>
            </w:r>
          </w:p>
        </w:tc>
        <w:tc>
          <w:tcPr>
            <w:tcW w:w="4425" w:type="dxa"/>
            <w:tcBorders>
              <w:tl2br w:val="nil"/>
              <w:tr2bl w:val="nil"/>
            </w:tcBorders>
            <w:vAlign w:val="center"/>
          </w:tcPr>
          <w:p w14:paraId="423D869D">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项目资金使用是否符合相关的财务管理制度规定，用以反映和考核项目资金的规范运行情况。</w:t>
            </w:r>
          </w:p>
        </w:tc>
      </w:tr>
      <w:tr w14:paraId="621FEB29">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20" w:hRule="atLeast"/>
        </w:trPr>
        <w:tc>
          <w:tcPr>
            <w:tcW w:w="947" w:type="dxa"/>
            <w:vMerge w:val="continue"/>
            <w:tcBorders>
              <w:tl2br w:val="nil"/>
              <w:tr2bl w:val="nil"/>
            </w:tcBorders>
            <w:vAlign w:val="center"/>
          </w:tcPr>
          <w:p w14:paraId="43F02F6C">
            <w:pPr>
              <w:jc w:val="center"/>
              <w:rPr>
                <w:rFonts w:hint="eastAsia" w:ascii="楷体" w:hAnsi="楷体" w:eastAsia="楷体" w:cs="宋体"/>
                <w:color w:val="000000"/>
                <w:szCs w:val="21"/>
              </w:rPr>
            </w:pPr>
          </w:p>
        </w:tc>
        <w:tc>
          <w:tcPr>
            <w:tcW w:w="1288" w:type="dxa"/>
            <w:vMerge w:val="restart"/>
            <w:tcBorders>
              <w:tl2br w:val="nil"/>
              <w:tr2bl w:val="nil"/>
            </w:tcBorders>
            <w:vAlign w:val="center"/>
          </w:tcPr>
          <w:p w14:paraId="70580BA9">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组织实施（</w:t>
            </w:r>
            <w:r>
              <w:rPr>
                <w:rFonts w:ascii="楷体" w:hAnsi="楷体" w:eastAsia="楷体" w:cs="宋体"/>
                <w:color w:val="000000"/>
                <w:kern w:val="0"/>
                <w:szCs w:val="21"/>
                <w:lang w:bidi="ar"/>
              </w:rPr>
              <w:t>12</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14:paraId="7CC452E5">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管理制度健全性</w:t>
            </w:r>
          </w:p>
        </w:tc>
        <w:tc>
          <w:tcPr>
            <w:tcW w:w="648" w:type="dxa"/>
            <w:tcBorders>
              <w:tl2br w:val="nil"/>
              <w:tr2bl w:val="nil"/>
            </w:tcBorders>
            <w:vAlign w:val="center"/>
          </w:tcPr>
          <w:p w14:paraId="12AD08D1">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4</w:t>
            </w:r>
          </w:p>
        </w:tc>
        <w:tc>
          <w:tcPr>
            <w:tcW w:w="4425" w:type="dxa"/>
            <w:tcBorders>
              <w:tl2br w:val="nil"/>
              <w:tr2bl w:val="nil"/>
            </w:tcBorders>
            <w:vAlign w:val="center"/>
          </w:tcPr>
          <w:p w14:paraId="1337E384">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项目实施单位的财务和业务管理制度是否健全，用以反映和考核财务和业务管理制度对项目顺利实施的保障情况。</w:t>
            </w:r>
          </w:p>
        </w:tc>
      </w:tr>
      <w:tr w14:paraId="2E3A05C0">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42" w:hRule="atLeast"/>
        </w:trPr>
        <w:tc>
          <w:tcPr>
            <w:tcW w:w="947" w:type="dxa"/>
            <w:vMerge w:val="continue"/>
            <w:tcBorders>
              <w:tl2br w:val="nil"/>
              <w:tr2bl w:val="nil"/>
            </w:tcBorders>
            <w:vAlign w:val="center"/>
          </w:tcPr>
          <w:p w14:paraId="7D8D642D">
            <w:pPr>
              <w:jc w:val="center"/>
              <w:rPr>
                <w:rFonts w:hint="eastAsia" w:ascii="楷体" w:hAnsi="楷体" w:eastAsia="楷体" w:cs="宋体"/>
                <w:color w:val="000000"/>
                <w:szCs w:val="21"/>
              </w:rPr>
            </w:pPr>
          </w:p>
        </w:tc>
        <w:tc>
          <w:tcPr>
            <w:tcW w:w="1288" w:type="dxa"/>
            <w:vMerge w:val="continue"/>
            <w:tcBorders>
              <w:tl2br w:val="nil"/>
              <w:tr2bl w:val="nil"/>
            </w:tcBorders>
            <w:vAlign w:val="center"/>
          </w:tcPr>
          <w:p w14:paraId="3448FBD9">
            <w:pPr>
              <w:jc w:val="center"/>
              <w:rPr>
                <w:rFonts w:hint="eastAsia" w:ascii="楷体" w:hAnsi="楷体" w:eastAsia="楷体" w:cs="宋体"/>
                <w:color w:val="000000"/>
                <w:szCs w:val="21"/>
              </w:rPr>
            </w:pPr>
          </w:p>
        </w:tc>
        <w:tc>
          <w:tcPr>
            <w:tcW w:w="1748" w:type="dxa"/>
            <w:tcBorders>
              <w:tl2br w:val="nil"/>
              <w:tr2bl w:val="nil"/>
            </w:tcBorders>
            <w:vAlign w:val="center"/>
          </w:tcPr>
          <w:p w14:paraId="6EF28414">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制度实施有效性</w:t>
            </w:r>
          </w:p>
        </w:tc>
        <w:tc>
          <w:tcPr>
            <w:tcW w:w="648" w:type="dxa"/>
            <w:tcBorders>
              <w:tl2br w:val="nil"/>
              <w:tr2bl w:val="nil"/>
            </w:tcBorders>
            <w:vAlign w:val="center"/>
          </w:tcPr>
          <w:p w14:paraId="68C1E1B5">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8</w:t>
            </w:r>
          </w:p>
        </w:tc>
        <w:tc>
          <w:tcPr>
            <w:tcW w:w="4425" w:type="dxa"/>
            <w:tcBorders>
              <w:tl2br w:val="nil"/>
              <w:tr2bl w:val="nil"/>
            </w:tcBorders>
            <w:vAlign w:val="center"/>
          </w:tcPr>
          <w:p w14:paraId="70FCD310">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项目实施是否符合相关管理规定，用以反映和考核相关管理制度的有效执行情况。</w:t>
            </w:r>
          </w:p>
        </w:tc>
      </w:tr>
      <w:tr w14:paraId="798640E6">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47" w:type="dxa"/>
            <w:vMerge w:val="restart"/>
            <w:tcBorders>
              <w:tl2br w:val="nil"/>
              <w:tr2bl w:val="nil"/>
            </w:tcBorders>
            <w:vAlign w:val="center"/>
          </w:tcPr>
          <w:p w14:paraId="02FB50D3">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项目产出（</w:t>
            </w:r>
            <w:r>
              <w:rPr>
                <w:rFonts w:ascii="楷体" w:hAnsi="楷体" w:eastAsia="楷体" w:cs="宋体"/>
                <w:color w:val="000000"/>
                <w:kern w:val="0"/>
                <w:szCs w:val="21"/>
                <w:lang w:bidi="ar"/>
              </w:rPr>
              <w:t>34</w:t>
            </w:r>
            <w:r>
              <w:rPr>
                <w:rFonts w:hint="eastAsia" w:ascii="楷体" w:hAnsi="楷体" w:eastAsia="楷体" w:cs="宋体"/>
                <w:color w:val="000000"/>
                <w:kern w:val="0"/>
                <w:szCs w:val="21"/>
                <w:lang w:bidi="ar"/>
              </w:rPr>
              <w:t>分）</w:t>
            </w:r>
          </w:p>
        </w:tc>
        <w:tc>
          <w:tcPr>
            <w:tcW w:w="1288" w:type="dxa"/>
            <w:tcBorders>
              <w:tl2br w:val="nil"/>
              <w:tr2bl w:val="nil"/>
            </w:tcBorders>
            <w:vAlign w:val="center"/>
          </w:tcPr>
          <w:p w14:paraId="7E58595C">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产出数量（</w:t>
            </w:r>
            <w:r>
              <w:rPr>
                <w:rFonts w:ascii="楷体" w:hAnsi="楷体" w:eastAsia="楷体" w:cs="宋体"/>
                <w:color w:val="000000"/>
                <w:kern w:val="0"/>
                <w:szCs w:val="21"/>
                <w:lang w:bidi="ar"/>
              </w:rPr>
              <w:t>8</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14:paraId="1E690CCC">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实际完成率</w:t>
            </w:r>
          </w:p>
        </w:tc>
        <w:tc>
          <w:tcPr>
            <w:tcW w:w="648" w:type="dxa"/>
            <w:tcBorders>
              <w:tl2br w:val="nil"/>
              <w:tr2bl w:val="nil"/>
            </w:tcBorders>
            <w:vAlign w:val="center"/>
          </w:tcPr>
          <w:p w14:paraId="3F1CA794">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szCs w:val="21"/>
              </w:rPr>
              <w:t>8</w:t>
            </w:r>
          </w:p>
        </w:tc>
        <w:tc>
          <w:tcPr>
            <w:tcW w:w="4425" w:type="dxa"/>
            <w:tcBorders>
              <w:tl2br w:val="nil"/>
              <w:tr2bl w:val="nil"/>
            </w:tcBorders>
            <w:vAlign w:val="center"/>
          </w:tcPr>
          <w:p w14:paraId="4955BED1">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项目实施的实际产出数与计划产出数的比率，用以反映和考核项目产出数量目标的实现程度。</w:t>
            </w:r>
          </w:p>
        </w:tc>
      </w:tr>
      <w:tr w14:paraId="3B90C396">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47" w:type="dxa"/>
            <w:vMerge w:val="continue"/>
            <w:tcBorders>
              <w:tl2br w:val="nil"/>
              <w:tr2bl w:val="nil"/>
            </w:tcBorders>
            <w:vAlign w:val="center"/>
          </w:tcPr>
          <w:p w14:paraId="2E74A3C1">
            <w:pPr>
              <w:jc w:val="center"/>
              <w:rPr>
                <w:rFonts w:hint="eastAsia" w:ascii="楷体" w:hAnsi="楷体" w:eastAsia="楷体" w:cs="宋体"/>
                <w:color w:val="000000"/>
                <w:szCs w:val="21"/>
              </w:rPr>
            </w:pPr>
          </w:p>
        </w:tc>
        <w:tc>
          <w:tcPr>
            <w:tcW w:w="1288" w:type="dxa"/>
            <w:tcBorders>
              <w:tl2br w:val="nil"/>
              <w:tr2bl w:val="nil"/>
            </w:tcBorders>
            <w:vAlign w:val="center"/>
          </w:tcPr>
          <w:p w14:paraId="4BBAE1AE">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产出质量（</w:t>
            </w:r>
            <w:r>
              <w:rPr>
                <w:rFonts w:ascii="楷体" w:hAnsi="楷体" w:eastAsia="楷体" w:cs="宋体"/>
                <w:color w:val="000000"/>
                <w:kern w:val="0"/>
                <w:szCs w:val="21"/>
                <w:lang w:bidi="ar"/>
              </w:rPr>
              <w:t>12</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14:paraId="5B709D63">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质量达标率</w:t>
            </w:r>
          </w:p>
        </w:tc>
        <w:tc>
          <w:tcPr>
            <w:tcW w:w="648" w:type="dxa"/>
            <w:tcBorders>
              <w:tl2br w:val="nil"/>
              <w:tr2bl w:val="nil"/>
            </w:tcBorders>
            <w:vAlign w:val="center"/>
          </w:tcPr>
          <w:p w14:paraId="0A52BC41">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szCs w:val="21"/>
              </w:rPr>
              <w:t>12</w:t>
            </w:r>
          </w:p>
        </w:tc>
        <w:tc>
          <w:tcPr>
            <w:tcW w:w="4425" w:type="dxa"/>
            <w:tcBorders>
              <w:tl2br w:val="nil"/>
              <w:tr2bl w:val="nil"/>
            </w:tcBorders>
            <w:vAlign w:val="center"/>
          </w:tcPr>
          <w:p w14:paraId="230CC290">
            <w:pPr>
              <w:rPr>
                <w:rFonts w:hint="eastAsia" w:ascii="楷体" w:hAnsi="楷体" w:eastAsia="楷体" w:cs="宋体"/>
                <w:color w:val="000000"/>
                <w:szCs w:val="21"/>
              </w:rPr>
            </w:pPr>
            <w:r>
              <w:rPr>
                <w:rFonts w:hint="eastAsia" w:ascii="楷体" w:hAnsi="楷体" w:eastAsia="楷体" w:cs="宋体"/>
                <w:color w:val="000000"/>
                <w:kern w:val="0"/>
                <w:szCs w:val="21"/>
                <w:lang w:bidi="ar"/>
              </w:rPr>
              <w:t>项目完成的质量达标产出数与实际产出数的比率，用以反映和考核项目产出质量目标的实现程度。</w:t>
            </w:r>
          </w:p>
        </w:tc>
      </w:tr>
      <w:tr w14:paraId="4A4E18AE">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36" w:hRule="atLeast"/>
        </w:trPr>
        <w:tc>
          <w:tcPr>
            <w:tcW w:w="947" w:type="dxa"/>
            <w:vMerge w:val="continue"/>
            <w:tcBorders>
              <w:tl2br w:val="nil"/>
              <w:tr2bl w:val="nil"/>
            </w:tcBorders>
            <w:vAlign w:val="center"/>
          </w:tcPr>
          <w:p w14:paraId="3BAC30F4">
            <w:pPr>
              <w:jc w:val="center"/>
              <w:rPr>
                <w:rFonts w:hint="eastAsia" w:ascii="楷体" w:hAnsi="楷体" w:eastAsia="楷体" w:cs="宋体"/>
                <w:color w:val="000000"/>
                <w:szCs w:val="21"/>
              </w:rPr>
            </w:pPr>
          </w:p>
        </w:tc>
        <w:tc>
          <w:tcPr>
            <w:tcW w:w="1288" w:type="dxa"/>
            <w:tcBorders>
              <w:tl2br w:val="nil"/>
              <w:tr2bl w:val="nil"/>
            </w:tcBorders>
            <w:vAlign w:val="center"/>
          </w:tcPr>
          <w:p w14:paraId="57DEC3DA">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产出时效（</w:t>
            </w:r>
            <w:r>
              <w:rPr>
                <w:rFonts w:ascii="楷体" w:hAnsi="楷体" w:eastAsia="楷体" w:cs="宋体"/>
                <w:color w:val="000000"/>
                <w:kern w:val="0"/>
                <w:szCs w:val="21"/>
                <w:lang w:bidi="ar"/>
              </w:rPr>
              <w:t>8</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14:paraId="180C596A">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完成及时性</w:t>
            </w:r>
          </w:p>
        </w:tc>
        <w:tc>
          <w:tcPr>
            <w:tcW w:w="648" w:type="dxa"/>
            <w:tcBorders>
              <w:tl2br w:val="nil"/>
              <w:tr2bl w:val="nil"/>
            </w:tcBorders>
            <w:vAlign w:val="center"/>
          </w:tcPr>
          <w:p w14:paraId="2CCEFB78">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szCs w:val="21"/>
              </w:rPr>
              <w:t>8</w:t>
            </w:r>
          </w:p>
        </w:tc>
        <w:tc>
          <w:tcPr>
            <w:tcW w:w="4425" w:type="dxa"/>
            <w:tcBorders>
              <w:tl2br w:val="nil"/>
              <w:tr2bl w:val="nil"/>
            </w:tcBorders>
            <w:vAlign w:val="center"/>
          </w:tcPr>
          <w:p w14:paraId="1B91FAC5">
            <w:pPr>
              <w:rPr>
                <w:rFonts w:hint="eastAsia" w:ascii="楷体" w:hAnsi="楷体" w:eastAsia="楷体" w:cs="宋体"/>
                <w:color w:val="000000"/>
                <w:szCs w:val="21"/>
              </w:rPr>
            </w:pPr>
            <w:r>
              <w:rPr>
                <w:rFonts w:hint="eastAsia" w:ascii="楷体" w:hAnsi="楷体" w:eastAsia="楷体" w:cs="宋体"/>
                <w:color w:val="000000"/>
                <w:kern w:val="0"/>
                <w:szCs w:val="21"/>
                <w:lang w:bidi="ar"/>
              </w:rPr>
              <w:t>项目实际完成时间与计划完成时间的比较，用以反映和考核项目产出时效目标的实现程度。</w:t>
            </w:r>
          </w:p>
        </w:tc>
      </w:tr>
      <w:tr w14:paraId="57E2A86E">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47" w:type="dxa"/>
            <w:vMerge w:val="continue"/>
            <w:tcBorders>
              <w:tl2br w:val="nil"/>
              <w:tr2bl w:val="nil"/>
            </w:tcBorders>
            <w:vAlign w:val="center"/>
          </w:tcPr>
          <w:p w14:paraId="31159F22">
            <w:pPr>
              <w:jc w:val="center"/>
              <w:rPr>
                <w:rFonts w:hint="eastAsia" w:ascii="楷体" w:hAnsi="楷体" w:eastAsia="楷体" w:cs="宋体"/>
                <w:color w:val="000000"/>
                <w:szCs w:val="21"/>
              </w:rPr>
            </w:pPr>
          </w:p>
        </w:tc>
        <w:tc>
          <w:tcPr>
            <w:tcW w:w="1288" w:type="dxa"/>
            <w:tcBorders>
              <w:tl2br w:val="nil"/>
              <w:tr2bl w:val="nil"/>
            </w:tcBorders>
            <w:vAlign w:val="center"/>
          </w:tcPr>
          <w:p w14:paraId="25869F9D">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产出成本（</w:t>
            </w:r>
            <w:r>
              <w:rPr>
                <w:rFonts w:ascii="楷体" w:hAnsi="楷体" w:eastAsia="楷体" w:cs="宋体"/>
                <w:color w:val="000000"/>
                <w:kern w:val="0"/>
                <w:szCs w:val="21"/>
                <w:lang w:bidi="ar"/>
              </w:rPr>
              <w:t>6</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14:paraId="38A60FB8">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成本节约率</w:t>
            </w:r>
          </w:p>
        </w:tc>
        <w:tc>
          <w:tcPr>
            <w:tcW w:w="648" w:type="dxa"/>
            <w:tcBorders>
              <w:tl2br w:val="nil"/>
              <w:tr2bl w:val="nil"/>
            </w:tcBorders>
            <w:vAlign w:val="center"/>
          </w:tcPr>
          <w:p w14:paraId="55B5DCD6">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szCs w:val="21"/>
              </w:rPr>
              <w:t>6</w:t>
            </w:r>
          </w:p>
        </w:tc>
        <w:tc>
          <w:tcPr>
            <w:tcW w:w="4425" w:type="dxa"/>
            <w:tcBorders>
              <w:tl2br w:val="nil"/>
              <w:tr2bl w:val="nil"/>
            </w:tcBorders>
            <w:vAlign w:val="center"/>
          </w:tcPr>
          <w:p w14:paraId="3CE5D329">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完成项目计划工作目标的实际节约成本与计划成本的比率，用以反映和考核项目的成本节约程度。</w:t>
            </w:r>
          </w:p>
        </w:tc>
      </w:tr>
      <w:tr w14:paraId="235FC435">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47" w:type="dxa"/>
            <w:vMerge w:val="restart"/>
            <w:tcBorders>
              <w:tl2br w:val="nil"/>
              <w:tr2bl w:val="nil"/>
            </w:tcBorders>
            <w:vAlign w:val="center"/>
          </w:tcPr>
          <w:p w14:paraId="2D646A50">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项目效益（</w:t>
            </w:r>
            <w:r>
              <w:rPr>
                <w:rFonts w:ascii="楷体" w:hAnsi="楷体" w:eastAsia="楷体" w:cs="宋体"/>
                <w:color w:val="000000"/>
                <w:kern w:val="0"/>
                <w:szCs w:val="21"/>
                <w:lang w:bidi="ar"/>
              </w:rPr>
              <w:t>31</w:t>
            </w:r>
            <w:r>
              <w:rPr>
                <w:rFonts w:hint="eastAsia" w:ascii="楷体" w:hAnsi="楷体" w:eastAsia="楷体" w:cs="宋体"/>
                <w:color w:val="000000"/>
                <w:kern w:val="0"/>
                <w:szCs w:val="21"/>
                <w:lang w:bidi="ar"/>
              </w:rPr>
              <w:t>分）</w:t>
            </w:r>
          </w:p>
        </w:tc>
        <w:tc>
          <w:tcPr>
            <w:tcW w:w="1288" w:type="dxa"/>
            <w:vMerge w:val="restart"/>
            <w:tcBorders>
              <w:tl2br w:val="nil"/>
              <w:tr2bl w:val="nil"/>
            </w:tcBorders>
            <w:vAlign w:val="center"/>
          </w:tcPr>
          <w:p w14:paraId="004F5D8D">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项目效益（</w:t>
            </w:r>
            <w:r>
              <w:rPr>
                <w:rFonts w:ascii="楷体" w:hAnsi="楷体" w:eastAsia="楷体" w:cs="宋体"/>
                <w:color w:val="000000"/>
                <w:kern w:val="0"/>
                <w:szCs w:val="21"/>
                <w:lang w:bidi="ar"/>
              </w:rPr>
              <w:t>31</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14:paraId="7FC49F91">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实施效益</w:t>
            </w:r>
          </w:p>
        </w:tc>
        <w:tc>
          <w:tcPr>
            <w:tcW w:w="648" w:type="dxa"/>
            <w:tcBorders>
              <w:tl2br w:val="nil"/>
              <w:tr2bl w:val="nil"/>
            </w:tcBorders>
            <w:vAlign w:val="center"/>
          </w:tcPr>
          <w:p w14:paraId="352A8A78">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20</w:t>
            </w:r>
          </w:p>
        </w:tc>
        <w:tc>
          <w:tcPr>
            <w:tcW w:w="4425" w:type="dxa"/>
            <w:tcBorders>
              <w:tl2br w:val="nil"/>
              <w:tr2bl w:val="nil"/>
            </w:tcBorders>
            <w:vAlign w:val="center"/>
          </w:tcPr>
          <w:p w14:paraId="3C0EEB25">
            <w:pPr>
              <w:widowControl/>
              <w:textAlignment w:val="center"/>
              <w:rPr>
                <w:rFonts w:hint="eastAsia" w:ascii="楷体" w:hAnsi="楷体" w:eastAsia="楷体" w:cs="宋体"/>
                <w:color w:val="000000"/>
                <w:szCs w:val="21"/>
              </w:rPr>
            </w:pPr>
            <w:r>
              <w:rPr>
                <w:rFonts w:hint="eastAsia" w:ascii="楷体" w:hAnsi="楷体" w:eastAsia="楷体" w:cs="宋体"/>
                <w:color w:val="000000"/>
                <w:szCs w:val="21"/>
              </w:rPr>
              <w:t>项目实施所产生的效益。</w:t>
            </w:r>
          </w:p>
        </w:tc>
      </w:tr>
      <w:tr w14:paraId="4E00B2F0">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47" w:type="dxa"/>
            <w:vMerge w:val="continue"/>
            <w:tcBorders>
              <w:tl2br w:val="nil"/>
              <w:tr2bl w:val="nil"/>
            </w:tcBorders>
            <w:vAlign w:val="center"/>
          </w:tcPr>
          <w:p w14:paraId="2BF6EFF5">
            <w:pPr>
              <w:jc w:val="center"/>
              <w:rPr>
                <w:rFonts w:hint="eastAsia" w:ascii="楷体" w:hAnsi="楷体" w:eastAsia="楷体" w:cs="宋体"/>
                <w:color w:val="000000"/>
                <w:szCs w:val="21"/>
              </w:rPr>
            </w:pPr>
          </w:p>
        </w:tc>
        <w:tc>
          <w:tcPr>
            <w:tcW w:w="1288" w:type="dxa"/>
            <w:vMerge w:val="continue"/>
            <w:tcBorders>
              <w:tl2br w:val="nil"/>
              <w:tr2bl w:val="nil"/>
            </w:tcBorders>
            <w:vAlign w:val="center"/>
          </w:tcPr>
          <w:p w14:paraId="3B606784">
            <w:pPr>
              <w:jc w:val="center"/>
              <w:rPr>
                <w:rFonts w:hint="eastAsia" w:ascii="楷体" w:hAnsi="楷体" w:eastAsia="楷体" w:cs="宋体"/>
                <w:color w:val="000000"/>
                <w:szCs w:val="21"/>
              </w:rPr>
            </w:pPr>
          </w:p>
        </w:tc>
        <w:tc>
          <w:tcPr>
            <w:tcW w:w="1748" w:type="dxa"/>
            <w:tcBorders>
              <w:tl2br w:val="nil"/>
              <w:tr2bl w:val="nil"/>
            </w:tcBorders>
            <w:vAlign w:val="center"/>
          </w:tcPr>
          <w:p w14:paraId="7C7000CD">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满意度</w:t>
            </w:r>
          </w:p>
        </w:tc>
        <w:tc>
          <w:tcPr>
            <w:tcW w:w="648" w:type="dxa"/>
            <w:tcBorders>
              <w:tl2br w:val="nil"/>
              <w:tr2bl w:val="nil"/>
            </w:tcBorders>
            <w:vAlign w:val="center"/>
          </w:tcPr>
          <w:p w14:paraId="6FDBAE1C">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1</w:t>
            </w:r>
            <w:r>
              <w:rPr>
                <w:rFonts w:ascii="楷体" w:hAnsi="楷体" w:eastAsia="楷体" w:cs="宋体"/>
                <w:color w:val="000000"/>
                <w:kern w:val="0"/>
                <w:szCs w:val="21"/>
                <w:lang w:bidi="ar"/>
              </w:rPr>
              <w:t>1</w:t>
            </w:r>
          </w:p>
        </w:tc>
        <w:tc>
          <w:tcPr>
            <w:tcW w:w="4425" w:type="dxa"/>
            <w:tcBorders>
              <w:tl2br w:val="nil"/>
              <w:tr2bl w:val="nil"/>
            </w:tcBorders>
            <w:vAlign w:val="center"/>
          </w:tcPr>
          <w:p w14:paraId="59B348E7">
            <w:pPr>
              <w:widowControl/>
              <w:textAlignment w:val="center"/>
              <w:rPr>
                <w:rFonts w:hint="eastAsia" w:ascii="楷体" w:hAnsi="楷体" w:eastAsia="楷体" w:cs="宋体"/>
                <w:color w:val="000000"/>
                <w:szCs w:val="21"/>
              </w:rPr>
            </w:pPr>
            <w:r>
              <w:rPr>
                <w:rFonts w:hint="eastAsia" w:ascii="楷体" w:hAnsi="楷体" w:eastAsia="楷体" w:cs="宋体"/>
                <w:color w:val="000000"/>
                <w:szCs w:val="21"/>
              </w:rPr>
              <w:t>社会公众或服务对象对项目实施效果的满意程度。</w:t>
            </w:r>
          </w:p>
        </w:tc>
      </w:tr>
      <w:tr w14:paraId="3935288B">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983" w:type="dxa"/>
            <w:gridSpan w:val="3"/>
            <w:tcBorders>
              <w:tl2br w:val="nil"/>
              <w:tr2bl w:val="nil"/>
            </w:tcBorders>
            <w:vAlign w:val="center"/>
          </w:tcPr>
          <w:p w14:paraId="0BDD860B">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合计</w:t>
            </w:r>
          </w:p>
        </w:tc>
        <w:tc>
          <w:tcPr>
            <w:tcW w:w="648" w:type="dxa"/>
            <w:tcBorders>
              <w:tl2br w:val="nil"/>
              <w:tr2bl w:val="nil"/>
            </w:tcBorders>
            <w:vAlign w:val="center"/>
          </w:tcPr>
          <w:p w14:paraId="4C6C1A34">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100</w:t>
            </w:r>
          </w:p>
        </w:tc>
        <w:tc>
          <w:tcPr>
            <w:tcW w:w="4425" w:type="dxa"/>
            <w:tcBorders>
              <w:tl2br w:val="nil"/>
              <w:tr2bl w:val="nil"/>
            </w:tcBorders>
            <w:vAlign w:val="center"/>
          </w:tcPr>
          <w:p w14:paraId="6A361E4C">
            <w:pPr>
              <w:jc w:val="center"/>
              <w:rPr>
                <w:rFonts w:hint="eastAsia" w:ascii="楷体" w:hAnsi="楷体" w:eastAsia="楷体" w:cs="宋体"/>
                <w:b/>
                <w:bCs/>
                <w:color w:val="000000"/>
                <w:szCs w:val="21"/>
              </w:rPr>
            </w:pPr>
          </w:p>
        </w:tc>
      </w:tr>
    </w:tbl>
    <w:p w14:paraId="47613BA8">
      <w:pPr>
        <w:spacing w:line="600" w:lineRule="exact"/>
        <w:ind w:firstLine="640" w:firstLineChars="200"/>
        <w:outlineLvl w:val="1"/>
        <w:rPr>
          <w:rFonts w:hint="eastAsia" w:ascii="楷体" w:hAnsi="楷体" w:eastAsia="楷体" w:cs="楷体"/>
          <w:sz w:val="32"/>
          <w:szCs w:val="32"/>
        </w:rPr>
      </w:pPr>
      <w:bookmarkStart w:id="11" w:name="_Toc198193481"/>
      <w:r>
        <w:rPr>
          <w:rFonts w:hint="eastAsia" w:ascii="楷体" w:hAnsi="楷体" w:eastAsia="楷体" w:cs="楷体"/>
          <w:sz w:val="32"/>
          <w:szCs w:val="32"/>
        </w:rPr>
        <w:t>（三）绩效评价工作过程</w:t>
      </w:r>
      <w:bookmarkEnd w:id="11"/>
    </w:p>
    <w:p w14:paraId="783A69BB">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绩效评价工作小组通过现场对项目资料逐一进行核实，了解项目资金的使用和取得的效益情况，最终根据评价前期调研及收集资料情况，征求专家意见后，完成绩效评价报告撰写。</w:t>
      </w:r>
    </w:p>
    <w:p w14:paraId="73F712A2">
      <w:pPr>
        <w:keepNext/>
        <w:spacing w:line="600" w:lineRule="exact"/>
        <w:ind w:firstLine="640" w:firstLineChars="200"/>
        <w:outlineLvl w:val="0"/>
        <w:rPr>
          <w:rFonts w:hint="eastAsia" w:ascii="黑体" w:hAnsi="黑体" w:eastAsia="黑体" w:cs="黑体"/>
          <w:sz w:val="32"/>
          <w:szCs w:val="32"/>
        </w:rPr>
      </w:pPr>
      <w:bookmarkStart w:id="12" w:name="_Toc198193482"/>
      <w:r>
        <w:rPr>
          <w:rFonts w:hint="eastAsia" w:ascii="黑体" w:hAnsi="黑体" w:eastAsia="黑体" w:cs="黑体"/>
          <w:sz w:val="32"/>
          <w:szCs w:val="32"/>
        </w:rPr>
        <w:t>三、综合评价情况及评价结论</w:t>
      </w:r>
      <w:bookmarkEnd w:id="12"/>
    </w:p>
    <w:p w14:paraId="6892B9AD">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市检三分院2024年度“安保安检工作经费”项目，项目绩效评价综合得分91.50分，其中项目决策13.50分、项目过程20.00分、项目产出31.00分，项目效益27.00分，绩效评定结论为“优”。</w:t>
      </w:r>
    </w:p>
    <w:p w14:paraId="5FEA002E">
      <w:pPr>
        <w:spacing w:after="156" w:afterLines="50" w:line="560" w:lineRule="exact"/>
        <w:jc w:val="center"/>
        <w:rPr>
          <w:rFonts w:hint="eastAsia" w:ascii="楷体" w:hAnsi="楷体" w:eastAsia="楷体" w:cs="宋体"/>
          <w:b/>
          <w:sz w:val="28"/>
          <w:szCs w:val="28"/>
        </w:rPr>
      </w:pPr>
      <w:r>
        <w:rPr>
          <w:rFonts w:hint="eastAsia" w:ascii="楷体" w:hAnsi="楷体" w:eastAsia="楷体" w:cs="宋体"/>
          <w:b/>
          <w:sz w:val="28"/>
          <w:szCs w:val="28"/>
        </w:rPr>
        <w:t>2024年度“安保安检工作经费”项目</w:t>
      </w:r>
    </w:p>
    <w:p w14:paraId="2F15D8DA">
      <w:pPr>
        <w:spacing w:after="156" w:afterLines="50" w:line="560" w:lineRule="exact"/>
        <w:jc w:val="center"/>
        <w:rPr>
          <w:rFonts w:hint="eastAsia" w:ascii="楷体" w:hAnsi="楷体" w:eastAsia="楷体" w:cs="宋体"/>
          <w:b/>
          <w:sz w:val="28"/>
          <w:szCs w:val="28"/>
        </w:rPr>
      </w:pPr>
      <w:r>
        <w:rPr>
          <w:rFonts w:hint="eastAsia" w:ascii="楷体" w:hAnsi="楷体" w:eastAsia="楷体" w:cs="宋体"/>
          <w:b/>
          <w:sz w:val="28"/>
          <w:szCs w:val="28"/>
        </w:rPr>
        <w:t>绩效评价结论一览表</w:t>
      </w:r>
    </w:p>
    <w:tbl>
      <w:tblPr>
        <w:tblStyle w:val="15"/>
        <w:tblW w:w="8505" w:type="dxa"/>
        <w:tblInd w:w="108"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
      <w:tblGrid>
        <w:gridCol w:w="3381"/>
        <w:gridCol w:w="2899"/>
        <w:gridCol w:w="2225"/>
      </w:tblGrid>
      <w:tr w14:paraId="3766E56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14:paraId="742CEB80">
            <w:pPr>
              <w:widowControl/>
              <w:jc w:val="center"/>
              <w:rPr>
                <w:rFonts w:hint="eastAsia" w:ascii="楷体" w:hAnsi="楷体" w:eastAsia="楷体" w:cs="宋体"/>
                <w:b/>
                <w:bCs/>
                <w:kern w:val="0"/>
                <w:szCs w:val="21"/>
              </w:rPr>
            </w:pPr>
            <w:r>
              <w:rPr>
                <w:rFonts w:hint="eastAsia" w:ascii="楷体" w:hAnsi="楷体" w:eastAsia="楷体" w:cs="宋体"/>
                <w:b/>
                <w:bCs/>
                <w:kern w:val="0"/>
                <w:szCs w:val="21"/>
              </w:rPr>
              <w:t>评价内容</w:t>
            </w:r>
          </w:p>
        </w:tc>
        <w:tc>
          <w:tcPr>
            <w:tcW w:w="2899" w:type="dxa"/>
            <w:tcBorders>
              <w:tl2br w:val="nil"/>
              <w:tr2bl w:val="nil"/>
            </w:tcBorders>
            <w:shd w:val="clear" w:color="000000" w:fill="auto"/>
            <w:vAlign w:val="center"/>
          </w:tcPr>
          <w:p w14:paraId="7A537233">
            <w:pPr>
              <w:widowControl/>
              <w:jc w:val="center"/>
              <w:rPr>
                <w:rFonts w:hint="eastAsia" w:ascii="楷体" w:hAnsi="楷体" w:eastAsia="楷体" w:cs="宋体"/>
                <w:b/>
                <w:bCs/>
                <w:kern w:val="0"/>
                <w:szCs w:val="21"/>
              </w:rPr>
            </w:pPr>
            <w:r>
              <w:rPr>
                <w:rFonts w:hint="eastAsia" w:ascii="楷体" w:hAnsi="楷体" w:eastAsia="楷体" w:cs="宋体"/>
                <w:b/>
                <w:bCs/>
                <w:kern w:val="0"/>
                <w:szCs w:val="21"/>
              </w:rPr>
              <w:t>分值</w:t>
            </w:r>
          </w:p>
        </w:tc>
        <w:tc>
          <w:tcPr>
            <w:tcW w:w="2225" w:type="dxa"/>
            <w:tcBorders>
              <w:tl2br w:val="nil"/>
              <w:tr2bl w:val="nil"/>
            </w:tcBorders>
            <w:shd w:val="clear" w:color="000000" w:fill="auto"/>
            <w:vAlign w:val="center"/>
          </w:tcPr>
          <w:p w14:paraId="6E511386">
            <w:pPr>
              <w:widowControl/>
              <w:jc w:val="center"/>
              <w:rPr>
                <w:rFonts w:hint="eastAsia" w:ascii="楷体" w:hAnsi="楷体" w:eastAsia="楷体" w:cs="宋体"/>
                <w:b/>
                <w:bCs/>
                <w:kern w:val="0"/>
                <w:szCs w:val="21"/>
              </w:rPr>
            </w:pPr>
            <w:r>
              <w:rPr>
                <w:rFonts w:hint="eastAsia" w:ascii="楷体" w:hAnsi="楷体" w:eastAsia="楷体" w:cs="宋体"/>
                <w:b/>
                <w:bCs/>
                <w:kern w:val="0"/>
                <w:szCs w:val="21"/>
              </w:rPr>
              <w:t>评价得分</w:t>
            </w:r>
          </w:p>
        </w:tc>
      </w:tr>
      <w:tr w14:paraId="26CFD95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14:paraId="017B85A6">
            <w:pPr>
              <w:widowControl/>
              <w:jc w:val="center"/>
              <w:rPr>
                <w:rFonts w:hint="eastAsia" w:ascii="楷体" w:hAnsi="楷体" w:eastAsia="楷体" w:cs="宋体"/>
                <w:kern w:val="0"/>
                <w:szCs w:val="21"/>
              </w:rPr>
            </w:pPr>
            <w:r>
              <w:rPr>
                <w:rFonts w:hint="eastAsia" w:ascii="楷体" w:hAnsi="楷体" w:eastAsia="楷体" w:cs="宋体"/>
                <w:kern w:val="0"/>
                <w:szCs w:val="21"/>
              </w:rPr>
              <w:t>项目决策</w:t>
            </w:r>
          </w:p>
        </w:tc>
        <w:tc>
          <w:tcPr>
            <w:tcW w:w="2899" w:type="dxa"/>
            <w:tcBorders>
              <w:tl2br w:val="nil"/>
              <w:tr2bl w:val="nil"/>
            </w:tcBorders>
            <w:shd w:val="clear" w:color="000000" w:fill="auto"/>
            <w:vAlign w:val="center"/>
          </w:tcPr>
          <w:p w14:paraId="7AC2F3FD">
            <w:pPr>
              <w:widowControl/>
              <w:jc w:val="center"/>
              <w:rPr>
                <w:rFonts w:hint="eastAsia" w:ascii="楷体" w:hAnsi="楷体" w:eastAsia="楷体" w:cs="宋体"/>
                <w:kern w:val="0"/>
                <w:szCs w:val="21"/>
              </w:rPr>
            </w:pPr>
            <w:r>
              <w:rPr>
                <w:rFonts w:hint="eastAsia" w:ascii="楷体" w:hAnsi="楷体" w:eastAsia="楷体" w:cs="宋体"/>
                <w:kern w:val="0"/>
                <w:szCs w:val="21"/>
              </w:rPr>
              <w:t>15.00</w:t>
            </w:r>
          </w:p>
        </w:tc>
        <w:tc>
          <w:tcPr>
            <w:tcW w:w="2225" w:type="dxa"/>
            <w:tcBorders>
              <w:tl2br w:val="nil"/>
              <w:tr2bl w:val="nil"/>
            </w:tcBorders>
            <w:shd w:val="clear" w:color="000000" w:fill="auto"/>
            <w:vAlign w:val="center"/>
          </w:tcPr>
          <w:p w14:paraId="24172414">
            <w:pPr>
              <w:widowControl/>
              <w:jc w:val="center"/>
              <w:rPr>
                <w:rFonts w:hint="eastAsia" w:ascii="楷体" w:hAnsi="楷体" w:eastAsia="楷体" w:cs="宋体"/>
                <w:kern w:val="0"/>
                <w:szCs w:val="21"/>
              </w:rPr>
            </w:pPr>
            <w:r>
              <w:rPr>
                <w:rFonts w:ascii="楷体" w:hAnsi="楷体" w:eastAsia="楷体" w:cs="宋体"/>
                <w:kern w:val="0"/>
                <w:szCs w:val="21"/>
              </w:rPr>
              <w:t>1</w:t>
            </w:r>
            <w:r>
              <w:rPr>
                <w:rFonts w:hint="eastAsia" w:ascii="楷体" w:hAnsi="楷体" w:eastAsia="楷体" w:cs="宋体"/>
                <w:kern w:val="0"/>
                <w:szCs w:val="21"/>
              </w:rPr>
              <w:t>3</w:t>
            </w:r>
            <w:r>
              <w:rPr>
                <w:rFonts w:ascii="楷体" w:hAnsi="楷体" w:eastAsia="楷体" w:cs="宋体"/>
                <w:kern w:val="0"/>
                <w:szCs w:val="21"/>
              </w:rPr>
              <w:t>.</w:t>
            </w:r>
            <w:r>
              <w:rPr>
                <w:rFonts w:hint="eastAsia" w:ascii="楷体" w:hAnsi="楷体" w:eastAsia="楷体" w:cs="宋体"/>
                <w:kern w:val="0"/>
                <w:szCs w:val="21"/>
              </w:rPr>
              <w:t>5</w:t>
            </w:r>
            <w:r>
              <w:rPr>
                <w:rFonts w:ascii="楷体" w:hAnsi="楷体" w:eastAsia="楷体" w:cs="宋体"/>
                <w:kern w:val="0"/>
                <w:szCs w:val="21"/>
              </w:rPr>
              <w:t>0</w:t>
            </w:r>
          </w:p>
        </w:tc>
      </w:tr>
      <w:tr w14:paraId="5B7CA55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14:paraId="0ED118A0">
            <w:pPr>
              <w:widowControl/>
              <w:jc w:val="center"/>
              <w:rPr>
                <w:rFonts w:hint="eastAsia" w:ascii="楷体" w:hAnsi="楷体" w:eastAsia="楷体" w:cs="宋体"/>
                <w:kern w:val="0"/>
                <w:szCs w:val="21"/>
              </w:rPr>
            </w:pPr>
            <w:r>
              <w:rPr>
                <w:rFonts w:hint="eastAsia" w:ascii="楷体" w:hAnsi="楷体" w:eastAsia="楷体" w:cs="宋体"/>
                <w:kern w:val="0"/>
                <w:szCs w:val="21"/>
              </w:rPr>
              <w:t>项目过程</w:t>
            </w:r>
          </w:p>
        </w:tc>
        <w:tc>
          <w:tcPr>
            <w:tcW w:w="2899" w:type="dxa"/>
            <w:tcBorders>
              <w:tl2br w:val="nil"/>
              <w:tr2bl w:val="nil"/>
            </w:tcBorders>
            <w:shd w:val="clear" w:color="000000" w:fill="auto"/>
            <w:vAlign w:val="center"/>
          </w:tcPr>
          <w:p w14:paraId="06AA72F1">
            <w:pPr>
              <w:widowControl/>
              <w:jc w:val="center"/>
              <w:rPr>
                <w:rFonts w:hint="eastAsia" w:ascii="楷体" w:hAnsi="楷体" w:eastAsia="楷体" w:cs="宋体"/>
                <w:kern w:val="0"/>
                <w:szCs w:val="21"/>
              </w:rPr>
            </w:pPr>
            <w:r>
              <w:rPr>
                <w:rFonts w:hint="eastAsia" w:ascii="楷体" w:hAnsi="楷体" w:eastAsia="楷体" w:cs="宋体"/>
                <w:kern w:val="0"/>
                <w:szCs w:val="21"/>
              </w:rPr>
              <w:t>20.00</w:t>
            </w:r>
          </w:p>
        </w:tc>
        <w:tc>
          <w:tcPr>
            <w:tcW w:w="2225" w:type="dxa"/>
            <w:tcBorders>
              <w:tl2br w:val="nil"/>
              <w:tr2bl w:val="nil"/>
            </w:tcBorders>
            <w:shd w:val="clear" w:color="000000" w:fill="auto"/>
            <w:vAlign w:val="center"/>
          </w:tcPr>
          <w:p w14:paraId="54083F99">
            <w:pPr>
              <w:widowControl/>
              <w:jc w:val="center"/>
              <w:rPr>
                <w:rFonts w:hint="eastAsia" w:ascii="楷体" w:hAnsi="楷体" w:eastAsia="楷体" w:cs="宋体"/>
                <w:kern w:val="0"/>
                <w:szCs w:val="21"/>
              </w:rPr>
            </w:pPr>
            <w:r>
              <w:rPr>
                <w:rFonts w:hint="eastAsia" w:ascii="楷体" w:hAnsi="楷体" w:eastAsia="楷体" w:cs="宋体"/>
                <w:kern w:val="0"/>
                <w:szCs w:val="21"/>
              </w:rPr>
              <w:t>20</w:t>
            </w:r>
            <w:r>
              <w:rPr>
                <w:rFonts w:ascii="楷体" w:hAnsi="楷体" w:eastAsia="楷体" w:cs="宋体"/>
                <w:kern w:val="0"/>
                <w:szCs w:val="21"/>
              </w:rPr>
              <w:t>.</w:t>
            </w:r>
            <w:r>
              <w:rPr>
                <w:rFonts w:hint="eastAsia" w:ascii="楷体" w:hAnsi="楷体" w:eastAsia="楷体" w:cs="宋体"/>
                <w:kern w:val="0"/>
                <w:szCs w:val="21"/>
              </w:rPr>
              <w:t>0</w:t>
            </w:r>
            <w:r>
              <w:rPr>
                <w:rFonts w:ascii="楷体" w:hAnsi="楷体" w:eastAsia="楷体" w:cs="宋体"/>
                <w:kern w:val="0"/>
                <w:szCs w:val="21"/>
              </w:rPr>
              <w:t>0</w:t>
            </w:r>
          </w:p>
        </w:tc>
      </w:tr>
      <w:tr w14:paraId="5A73AFC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14:paraId="57DF4BB3">
            <w:pPr>
              <w:widowControl/>
              <w:jc w:val="center"/>
              <w:rPr>
                <w:rFonts w:hint="eastAsia" w:ascii="楷体" w:hAnsi="楷体" w:eastAsia="楷体" w:cs="宋体"/>
                <w:kern w:val="0"/>
                <w:szCs w:val="21"/>
              </w:rPr>
            </w:pPr>
            <w:r>
              <w:rPr>
                <w:rFonts w:hint="eastAsia" w:ascii="楷体" w:hAnsi="楷体" w:eastAsia="楷体" w:cs="宋体"/>
                <w:kern w:val="0"/>
                <w:szCs w:val="21"/>
              </w:rPr>
              <w:t>项目产出</w:t>
            </w:r>
          </w:p>
        </w:tc>
        <w:tc>
          <w:tcPr>
            <w:tcW w:w="2899" w:type="dxa"/>
            <w:tcBorders>
              <w:tl2br w:val="nil"/>
              <w:tr2bl w:val="nil"/>
            </w:tcBorders>
            <w:shd w:val="clear" w:color="000000" w:fill="auto"/>
            <w:vAlign w:val="center"/>
          </w:tcPr>
          <w:p w14:paraId="2C67F71B">
            <w:pPr>
              <w:widowControl/>
              <w:jc w:val="center"/>
              <w:rPr>
                <w:rFonts w:hint="eastAsia" w:ascii="楷体" w:hAnsi="楷体" w:eastAsia="楷体" w:cs="宋体"/>
                <w:kern w:val="0"/>
                <w:szCs w:val="21"/>
              </w:rPr>
            </w:pPr>
            <w:r>
              <w:rPr>
                <w:rFonts w:hint="eastAsia" w:ascii="楷体" w:hAnsi="楷体" w:eastAsia="楷体" w:cs="宋体"/>
                <w:kern w:val="0"/>
                <w:szCs w:val="21"/>
              </w:rPr>
              <w:t>34.00</w:t>
            </w:r>
          </w:p>
        </w:tc>
        <w:tc>
          <w:tcPr>
            <w:tcW w:w="2225" w:type="dxa"/>
            <w:tcBorders>
              <w:tl2br w:val="nil"/>
              <w:tr2bl w:val="nil"/>
            </w:tcBorders>
            <w:shd w:val="clear" w:color="000000" w:fill="auto"/>
            <w:vAlign w:val="center"/>
          </w:tcPr>
          <w:p w14:paraId="2B7FA1EC">
            <w:pPr>
              <w:widowControl/>
              <w:jc w:val="center"/>
              <w:rPr>
                <w:rFonts w:hint="eastAsia" w:ascii="楷体" w:hAnsi="楷体" w:eastAsia="楷体" w:cs="宋体"/>
                <w:kern w:val="0"/>
                <w:szCs w:val="21"/>
              </w:rPr>
            </w:pPr>
            <w:r>
              <w:rPr>
                <w:rFonts w:ascii="楷体" w:hAnsi="楷体" w:eastAsia="楷体" w:cs="宋体"/>
                <w:kern w:val="0"/>
                <w:szCs w:val="21"/>
              </w:rPr>
              <w:t>3</w:t>
            </w:r>
            <w:r>
              <w:rPr>
                <w:rFonts w:hint="eastAsia" w:ascii="楷体" w:hAnsi="楷体" w:eastAsia="楷体" w:cs="宋体"/>
                <w:kern w:val="0"/>
                <w:szCs w:val="21"/>
              </w:rPr>
              <w:t>1.00</w:t>
            </w:r>
          </w:p>
        </w:tc>
      </w:tr>
      <w:tr w14:paraId="021C0819">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14:paraId="232B455A">
            <w:pPr>
              <w:widowControl/>
              <w:jc w:val="center"/>
              <w:rPr>
                <w:rFonts w:hint="eastAsia" w:ascii="楷体" w:hAnsi="楷体" w:eastAsia="楷体" w:cs="宋体"/>
                <w:kern w:val="0"/>
                <w:szCs w:val="21"/>
              </w:rPr>
            </w:pPr>
            <w:r>
              <w:rPr>
                <w:rFonts w:hint="eastAsia" w:ascii="楷体" w:hAnsi="楷体" w:eastAsia="楷体" w:cs="宋体"/>
                <w:bCs/>
                <w:szCs w:val="21"/>
              </w:rPr>
              <w:t>项目效益</w:t>
            </w:r>
          </w:p>
        </w:tc>
        <w:tc>
          <w:tcPr>
            <w:tcW w:w="2899" w:type="dxa"/>
            <w:tcBorders>
              <w:tl2br w:val="nil"/>
              <w:tr2bl w:val="nil"/>
            </w:tcBorders>
            <w:shd w:val="clear" w:color="000000" w:fill="auto"/>
            <w:vAlign w:val="center"/>
          </w:tcPr>
          <w:p w14:paraId="4E10624A">
            <w:pPr>
              <w:widowControl/>
              <w:jc w:val="center"/>
              <w:rPr>
                <w:rFonts w:hint="eastAsia" w:ascii="楷体" w:hAnsi="楷体" w:eastAsia="楷体" w:cs="宋体"/>
                <w:kern w:val="0"/>
                <w:szCs w:val="21"/>
              </w:rPr>
            </w:pPr>
            <w:r>
              <w:rPr>
                <w:rFonts w:hint="eastAsia" w:ascii="楷体" w:hAnsi="楷体" w:eastAsia="楷体" w:cs="宋体"/>
                <w:kern w:val="0"/>
                <w:szCs w:val="21"/>
              </w:rPr>
              <w:t>31.00</w:t>
            </w:r>
          </w:p>
        </w:tc>
        <w:tc>
          <w:tcPr>
            <w:tcW w:w="2225" w:type="dxa"/>
            <w:tcBorders>
              <w:tl2br w:val="nil"/>
              <w:tr2bl w:val="nil"/>
            </w:tcBorders>
            <w:shd w:val="clear" w:color="000000" w:fill="auto"/>
            <w:vAlign w:val="center"/>
          </w:tcPr>
          <w:p w14:paraId="65978D7E">
            <w:pPr>
              <w:widowControl/>
              <w:jc w:val="center"/>
              <w:rPr>
                <w:rFonts w:hint="eastAsia" w:ascii="楷体" w:hAnsi="楷体" w:eastAsia="楷体" w:cs="宋体"/>
                <w:kern w:val="0"/>
                <w:szCs w:val="21"/>
              </w:rPr>
            </w:pPr>
            <w:r>
              <w:rPr>
                <w:rFonts w:ascii="楷体" w:hAnsi="楷体" w:eastAsia="楷体" w:cs="宋体"/>
                <w:kern w:val="0"/>
                <w:szCs w:val="21"/>
              </w:rPr>
              <w:t>2</w:t>
            </w:r>
            <w:r>
              <w:rPr>
                <w:rFonts w:hint="eastAsia" w:ascii="楷体" w:hAnsi="楷体" w:eastAsia="楷体" w:cs="宋体"/>
                <w:kern w:val="0"/>
                <w:szCs w:val="21"/>
              </w:rPr>
              <w:t>7.00</w:t>
            </w:r>
          </w:p>
        </w:tc>
      </w:tr>
      <w:tr w14:paraId="717F0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14:paraId="086F5B16">
            <w:pPr>
              <w:widowControl/>
              <w:jc w:val="center"/>
              <w:rPr>
                <w:rFonts w:hint="eastAsia" w:ascii="楷体" w:hAnsi="楷体" w:eastAsia="楷体" w:cs="宋体"/>
                <w:kern w:val="0"/>
                <w:szCs w:val="21"/>
              </w:rPr>
            </w:pPr>
            <w:r>
              <w:rPr>
                <w:rFonts w:hint="eastAsia" w:ascii="楷体" w:hAnsi="楷体" w:eastAsia="楷体" w:cs="宋体"/>
                <w:kern w:val="0"/>
                <w:szCs w:val="21"/>
              </w:rPr>
              <w:t>综合得分</w:t>
            </w:r>
          </w:p>
        </w:tc>
        <w:tc>
          <w:tcPr>
            <w:tcW w:w="2899" w:type="dxa"/>
            <w:tcBorders>
              <w:tl2br w:val="nil"/>
              <w:tr2bl w:val="nil"/>
            </w:tcBorders>
            <w:shd w:val="clear" w:color="000000" w:fill="auto"/>
            <w:vAlign w:val="center"/>
          </w:tcPr>
          <w:p w14:paraId="330610B8">
            <w:pPr>
              <w:widowControl/>
              <w:jc w:val="center"/>
              <w:rPr>
                <w:rFonts w:hint="eastAsia" w:ascii="楷体" w:hAnsi="楷体" w:eastAsia="楷体" w:cs="宋体"/>
                <w:kern w:val="0"/>
                <w:szCs w:val="21"/>
              </w:rPr>
            </w:pPr>
            <w:r>
              <w:rPr>
                <w:rFonts w:hint="eastAsia" w:ascii="楷体" w:hAnsi="楷体" w:eastAsia="楷体" w:cs="宋体"/>
                <w:kern w:val="0"/>
                <w:szCs w:val="21"/>
              </w:rPr>
              <w:t>100.00</w:t>
            </w:r>
          </w:p>
        </w:tc>
        <w:tc>
          <w:tcPr>
            <w:tcW w:w="2225" w:type="dxa"/>
            <w:tcBorders>
              <w:tl2br w:val="nil"/>
              <w:tr2bl w:val="nil"/>
            </w:tcBorders>
            <w:shd w:val="clear" w:color="000000" w:fill="auto"/>
            <w:vAlign w:val="center"/>
          </w:tcPr>
          <w:p w14:paraId="0ABC3662">
            <w:pPr>
              <w:widowControl/>
              <w:jc w:val="center"/>
              <w:rPr>
                <w:rFonts w:hint="eastAsia" w:ascii="楷体" w:hAnsi="楷体" w:eastAsia="楷体" w:cs="宋体"/>
                <w:kern w:val="0"/>
                <w:szCs w:val="21"/>
              </w:rPr>
            </w:pPr>
            <w:r>
              <w:rPr>
                <w:rFonts w:hint="eastAsia" w:ascii="楷体" w:hAnsi="楷体" w:eastAsia="楷体" w:cs="宋体"/>
                <w:kern w:val="0"/>
                <w:szCs w:val="21"/>
              </w:rPr>
              <w:fldChar w:fldCharType="begin"/>
            </w:r>
            <w:r>
              <w:rPr>
                <w:rFonts w:hint="eastAsia" w:ascii="楷体" w:hAnsi="楷体" w:eastAsia="楷体" w:cs="宋体"/>
                <w:kern w:val="0"/>
                <w:szCs w:val="21"/>
              </w:rPr>
              <w:instrText xml:space="preserve"> =SUM(ABOVE) \# "#,##0.00" </w:instrText>
            </w:r>
            <w:r>
              <w:rPr>
                <w:rFonts w:hint="eastAsia" w:ascii="楷体" w:hAnsi="楷体" w:eastAsia="楷体" w:cs="宋体"/>
                <w:kern w:val="0"/>
                <w:szCs w:val="21"/>
              </w:rPr>
              <w:fldChar w:fldCharType="separate"/>
            </w:r>
            <w:r>
              <w:rPr>
                <w:rFonts w:hint="eastAsia" w:ascii="楷体" w:hAnsi="楷体" w:eastAsia="楷体" w:cs="宋体"/>
                <w:kern w:val="0"/>
                <w:szCs w:val="21"/>
              </w:rPr>
              <w:t>91.50</w:t>
            </w:r>
            <w:r>
              <w:rPr>
                <w:rFonts w:hint="eastAsia" w:ascii="楷体" w:hAnsi="楷体" w:eastAsia="楷体" w:cs="宋体"/>
                <w:kern w:val="0"/>
                <w:szCs w:val="21"/>
              </w:rPr>
              <w:fldChar w:fldCharType="end"/>
            </w:r>
          </w:p>
        </w:tc>
      </w:tr>
      <w:tr w14:paraId="389C769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14:paraId="311B3536">
            <w:pPr>
              <w:widowControl/>
              <w:jc w:val="center"/>
              <w:rPr>
                <w:rFonts w:hint="eastAsia" w:ascii="楷体" w:hAnsi="楷体" w:eastAsia="楷体" w:cs="宋体"/>
                <w:kern w:val="0"/>
                <w:szCs w:val="21"/>
              </w:rPr>
            </w:pPr>
            <w:r>
              <w:rPr>
                <w:rFonts w:hint="eastAsia" w:ascii="楷体" w:hAnsi="楷体" w:eastAsia="楷体" w:cs="宋体"/>
                <w:kern w:val="0"/>
                <w:szCs w:val="21"/>
              </w:rPr>
              <w:t>绩效评定级别</w:t>
            </w:r>
          </w:p>
        </w:tc>
        <w:tc>
          <w:tcPr>
            <w:tcW w:w="5124" w:type="dxa"/>
            <w:gridSpan w:val="2"/>
            <w:tcBorders>
              <w:tl2br w:val="nil"/>
              <w:tr2bl w:val="nil"/>
            </w:tcBorders>
            <w:shd w:val="clear" w:color="000000" w:fill="auto"/>
            <w:vAlign w:val="center"/>
          </w:tcPr>
          <w:p w14:paraId="7BD5153B">
            <w:pPr>
              <w:widowControl/>
              <w:jc w:val="center"/>
              <w:rPr>
                <w:rFonts w:hint="eastAsia" w:ascii="楷体" w:hAnsi="楷体" w:eastAsia="楷体" w:cs="宋体"/>
                <w:kern w:val="0"/>
                <w:szCs w:val="21"/>
              </w:rPr>
            </w:pPr>
            <w:r>
              <w:rPr>
                <w:rFonts w:hint="eastAsia" w:ascii="楷体" w:hAnsi="楷体" w:eastAsia="楷体" w:cs="宋体"/>
                <w:kern w:val="0"/>
                <w:szCs w:val="21"/>
              </w:rPr>
              <w:t>优</w:t>
            </w:r>
          </w:p>
        </w:tc>
      </w:tr>
    </w:tbl>
    <w:p w14:paraId="657F3A60">
      <w:pPr>
        <w:keepNext/>
        <w:spacing w:line="600" w:lineRule="exact"/>
        <w:ind w:firstLine="640" w:firstLineChars="200"/>
        <w:outlineLvl w:val="0"/>
        <w:rPr>
          <w:rFonts w:hint="eastAsia" w:ascii="黑体" w:hAnsi="黑体" w:eastAsia="黑体" w:cs="黑体"/>
          <w:sz w:val="32"/>
          <w:szCs w:val="32"/>
        </w:rPr>
      </w:pPr>
      <w:bookmarkStart w:id="13" w:name="_Toc198193483"/>
      <w:r>
        <w:rPr>
          <w:rFonts w:hint="eastAsia" w:ascii="黑体" w:hAnsi="黑体" w:eastAsia="黑体" w:cs="黑体"/>
          <w:sz w:val="32"/>
          <w:szCs w:val="32"/>
        </w:rPr>
        <w:t>四、绩效评价指标分析</w:t>
      </w:r>
      <w:bookmarkEnd w:id="13"/>
    </w:p>
    <w:p w14:paraId="5CEF70CE">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（一）项目决策情况</w:t>
      </w:r>
    </w:p>
    <w:p w14:paraId="68C7794F">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1.项目立项</w:t>
      </w:r>
    </w:p>
    <w:p w14:paraId="4785A9CF">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（1）立项依据充分性评价分析</w:t>
      </w:r>
    </w:p>
    <w:p w14:paraId="6DD0496E">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该项目立项依据较充分</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为维护三分院正常办公秩序，维护公民合法权益，切实保障相关检察业务的开展，申请安保安检费用82.56万元，保障检察服务大厅安检安保、信访接待引导、秩序维护、机关门岗执勤、消防应急处突等</w:t>
      </w:r>
      <w:r>
        <w:rPr>
          <w:rFonts w:hint="eastAsia" w:ascii="仿宋" w:hAnsi="仿宋" w:eastAsia="仿宋" w:cs="仿宋"/>
          <w:color w:val="000000"/>
          <w:kern w:val="0"/>
          <w:sz w:val="32"/>
          <w:szCs w:val="32"/>
          <w:lang w:eastAsia="zh-CN"/>
        </w:rPr>
        <w:t>工作</w:t>
      </w:r>
      <w:r>
        <w:rPr>
          <w:rFonts w:hint="eastAsia" w:ascii="仿宋" w:hAnsi="仿宋" w:eastAsia="仿宋" w:cs="仿宋"/>
          <w:color w:val="000000"/>
          <w:kern w:val="0"/>
          <w:sz w:val="32"/>
          <w:szCs w:val="32"/>
        </w:rPr>
        <w:t>。</w:t>
      </w:r>
    </w:p>
    <w:p w14:paraId="6A9DFBFE">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（2）立项程序规范性评价分析</w:t>
      </w:r>
    </w:p>
    <w:p w14:paraId="49D92301">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该项目立项程序较规范，严格按照规定的立项程序执行预算编制工作。</w:t>
      </w:r>
    </w:p>
    <w:p w14:paraId="2A20AE23">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2.绩效目标</w:t>
      </w:r>
    </w:p>
    <w:p w14:paraId="42C54736">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（1）绩效目标合理性评价分析</w:t>
      </w:r>
    </w:p>
    <w:p w14:paraId="2549BBEF">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该项目绩效目标基本合理，市检三分院在申报2024年预算时填制了“项目支出绩效目标申报表”，设立了该项目的相应绩效目标。</w:t>
      </w:r>
    </w:p>
    <w:p w14:paraId="18BB8715">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（2）绩效指标明确性评价分析</w:t>
      </w:r>
    </w:p>
    <w:p w14:paraId="6D3A0080">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该项目绩效指标较为明确、细化，具有可衡量性。该项目将绩效目标按照产出指标、成本指标等一级指标以及质量、数量、经济成本、社会效益、服务对象满意度等二级指标进行细化分解。</w:t>
      </w:r>
    </w:p>
    <w:p w14:paraId="65322077">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3.资金投入</w:t>
      </w:r>
    </w:p>
    <w:p w14:paraId="4F1459B5">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（1）预算编制科学性评价分析</w:t>
      </w:r>
    </w:p>
    <w:p w14:paraId="5AC264D8">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该项目预算编制较为科学，对项目的支出按照市财政对预算的要求进行了二级项目的划分，进一步保障了项目预算编制的科学性。</w:t>
      </w:r>
    </w:p>
    <w:p w14:paraId="6EA3A87A">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（2）资金分配合理性评价分析</w:t>
      </w:r>
    </w:p>
    <w:p w14:paraId="178353BF">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该项目预算资金分配基本合理，分配情况如下：安保安检费用82.56万元，与实际支出情况基本相符。</w:t>
      </w:r>
    </w:p>
    <w:p w14:paraId="243090F1">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（二）项目过程情况</w:t>
      </w:r>
    </w:p>
    <w:p w14:paraId="76353D1F">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1.资金管理</w:t>
      </w:r>
    </w:p>
    <w:p w14:paraId="7376CAB7">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（1）资金到位率评价分析</w:t>
      </w:r>
    </w:p>
    <w:p w14:paraId="2F4BC372">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该项目的资金到位率为100.00%。</w:t>
      </w:r>
    </w:p>
    <w:p w14:paraId="0895B4B9">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资金到位率=（实际到位资金/预算资金）×100%=（82.56万元/82.56万元）×100%=100.00%。</w:t>
      </w:r>
    </w:p>
    <w:p w14:paraId="7242DB8B">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（2）预算执行率评价分析</w:t>
      </w:r>
    </w:p>
    <w:p w14:paraId="09ED687F">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该项目的预算执行率为100.00%。</w:t>
      </w:r>
    </w:p>
    <w:p w14:paraId="73CE937F">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预算执行率=（实际支出资金/实际到位资金）×100%=（82.56万元/82.56万元）×100%=</w:t>
      </w:r>
      <w:bookmarkStart w:id="14" w:name="_Hlk195563964"/>
      <w:r>
        <w:rPr>
          <w:rFonts w:hint="eastAsia" w:ascii="仿宋" w:hAnsi="仿宋" w:eastAsia="仿宋" w:cs="仿宋"/>
          <w:color w:val="000000"/>
          <w:kern w:val="0"/>
          <w:sz w:val="32"/>
          <w:szCs w:val="32"/>
        </w:rPr>
        <w:t>100.00%</w:t>
      </w:r>
      <w:bookmarkEnd w:id="14"/>
      <w:r>
        <w:rPr>
          <w:rFonts w:hint="eastAsia" w:ascii="仿宋" w:hAnsi="仿宋" w:eastAsia="仿宋" w:cs="仿宋"/>
          <w:color w:val="000000"/>
          <w:kern w:val="0"/>
          <w:sz w:val="32"/>
          <w:szCs w:val="32"/>
        </w:rPr>
        <w:t>。</w:t>
      </w:r>
    </w:p>
    <w:p w14:paraId="56FD544A">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（3）资金使用合规性</w:t>
      </w:r>
    </w:p>
    <w:p w14:paraId="4F977D1D">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该项目资金使用符合国家财经法规和财务管理制度的规定，严格按照预算批复及市检三分院财务管理</w:t>
      </w:r>
      <w:r>
        <w:rPr>
          <w:rFonts w:hint="eastAsia" w:ascii="仿宋" w:hAnsi="仿宋" w:eastAsia="仿宋" w:cs="仿宋"/>
          <w:color w:val="000000"/>
          <w:kern w:val="0"/>
          <w:sz w:val="32"/>
          <w:szCs w:val="32"/>
          <w:lang w:eastAsia="zh-CN"/>
        </w:rPr>
        <w:t>办法</w:t>
      </w:r>
      <w:r>
        <w:rPr>
          <w:rFonts w:hint="eastAsia" w:ascii="仿宋" w:hAnsi="仿宋" w:eastAsia="仿宋" w:cs="仿宋"/>
          <w:color w:val="000000"/>
          <w:kern w:val="0"/>
          <w:sz w:val="32"/>
          <w:szCs w:val="32"/>
        </w:rPr>
        <w:t>的规定执行，且每笔支出均有完整的审批程序和手续。</w:t>
      </w:r>
    </w:p>
    <w:p w14:paraId="01A7A066">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2.组织实施</w:t>
      </w:r>
    </w:p>
    <w:p w14:paraId="16C11AE3">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（1）管理制度健全性评价分析</w:t>
      </w:r>
    </w:p>
    <w:p w14:paraId="093121EE">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该项目涉及的管理制度，包括《北京市人民检察院第三分院财务管理暂行办法》、《北京市人民检察院第三分院预算项目管理办法》等制度，对项目顺利实施提供了一定保障。</w:t>
      </w:r>
    </w:p>
    <w:p w14:paraId="3CEF4D90">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（2）制度执行有效性评价分析</w:t>
      </w:r>
    </w:p>
    <w:p w14:paraId="437F61F2">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该项目执行过程中，均严格遵守相关法律法规和相关管理规定，项目支出手续均完备，项目中涉及的合同、安保服务项目绩效考核表、安保安检工作年度总结等资料均齐全并及时归档，项目实施的人员条件、场地设备、信息支撑等均落实到位。</w:t>
      </w:r>
    </w:p>
    <w:p w14:paraId="08DD4DCB">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（三）项目产出情况</w:t>
      </w:r>
    </w:p>
    <w:p w14:paraId="2CFE2629">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1.产出质量</w:t>
      </w:r>
    </w:p>
    <w:p w14:paraId="0FE7964B">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安检安保人员紧盯楼宇安全管理，紧盯关键时间节点安全，牢固树立“预防重于救灾，责任重于泰山”理念，建立楼宇安全风险台账，加强每日巡视巡查。坚持预防与应急相结合，抓好对落实安全措施、会议精神及安全知识的宣传教育，抓好极端天气防范的提示提醒，确保检察人员增强安全意识。</w:t>
      </w:r>
    </w:p>
    <w:p w14:paraId="7F5D496B">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2.产出数量</w:t>
      </w:r>
    </w:p>
    <w:p w14:paraId="59A5CEE1">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安保岗位</w:t>
      </w:r>
      <w:r>
        <w:rPr>
          <w:rFonts w:hint="eastAsia" w:ascii="仿宋" w:hAnsi="仿宋" w:eastAsia="仿宋" w:cs="仿宋"/>
          <w:color w:val="000000"/>
          <w:kern w:val="0"/>
          <w:sz w:val="32"/>
          <w:szCs w:val="32"/>
          <w:lang w:eastAsia="zh-CN"/>
        </w:rPr>
        <w:t>满足实际需求</w:t>
      </w:r>
      <w:r>
        <w:rPr>
          <w:rFonts w:hint="eastAsia" w:ascii="仿宋" w:hAnsi="仿宋" w:eastAsia="仿宋" w:cs="仿宋"/>
          <w:color w:val="000000"/>
          <w:kern w:val="0"/>
          <w:sz w:val="32"/>
          <w:szCs w:val="32"/>
        </w:rPr>
        <w:t>。</w:t>
      </w:r>
    </w:p>
    <w:p w14:paraId="427D826E">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3.产出时效</w:t>
      </w:r>
    </w:p>
    <w:p w14:paraId="286CDA60">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全年365天提供安保安检服务。</w:t>
      </w:r>
    </w:p>
    <w:p w14:paraId="7302528A">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4.产出成本</w:t>
      </w:r>
    </w:p>
    <w:p w14:paraId="24980ED2">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项目预算控制数≤82.56万元，实际支出82.56万元。</w:t>
      </w:r>
    </w:p>
    <w:p w14:paraId="787D50AC">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（四）项目效益情况</w:t>
      </w:r>
    </w:p>
    <w:p w14:paraId="7A8CD423">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1.实施效益评价分析</w:t>
      </w:r>
    </w:p>
    <w:p w14:paraId="00E1DCBB">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加强消防安全管理，紧盯弱电室、水井间、空调机房、中控室、配电室等机房重地、防火重点区域的安全情况；紧盯办公楼内违规使用电器情况，严禁在办公楼内使用非办公电器，严禁电瓶车电池进入楼内，严禁乱拉电线、乱接电源和使用大功率电器</w:t>
      </w:r>
      <w:r>
        <w:rPr>
          <w:rFonts w:hint="eastAsia" w:ascii="仿宋" w:hAnsi="仿宋" w:eastAsia="仿宋" w:cs="仿宋"/>
          <w:color w:val="000000"/>
          <w:kern w:val="0"/>
          <w:sz w:val="32"/>
          <w:szCs w:val="32"/>
          <w:lang w:val="en-US" w:eastAsia="zh-CN"/>
        </w:rPr>
        <w:t>,</w:t>
      </w:r>
      <w:r>
        <w:rPr>
          <w:rFonts w:hint="eastAsia" w:ascii="仿宋" w:hAnsi="仿宋" w:eastAsia="仿宋" w:cs="仿宋"/>
          <w:color w:val="000000"/>
          <w:kern w:val="0"/>
          <w:sz w:val="32"/>
          <w:szCs w:val="32"/>
        </w:rPr>
        <w:t>加强楼宇出入管理。</w:t>
      </w:r>
    </w:p>
    <w:p w14:paraId="73DD8FE7">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2.满意度评价分析</w:t>
      </w:r>
    </w:p>
    <w:p w14:paraId="15E683F0">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三分院就本院的安保安检工作对院内各部门开展了满意度调查，满意度达到90%。</w:t>
      </w:r>
    </w:p>
    <w:p w14:paraId="35897984">
      <w:pPr>
        <w:spacing w:line="600" w:lineRule="exact"/>
        <w:ind w:firstLine="640" w:firstLineChars="200"/>
        <w:outlineLvl w:val="0"/>
        <w:rPr>
          <w:rFonts w:hint="eastAsia" w:ascii="黑体" w:hAnsi="黑体" w:eastAsia="黑体" w:cs="黑体"/>
          <w:sz w:val="32"/>
          <w:szCs w:val="32"/>
        </w:rPr>
      </w:pPr>
      <w:bookmarkStart w:id="15" w:name="_Toc198193484"/>
      <w:r>
        <w:rPr>
          <w:rFonts w:hint="eastAsia" w:ascii="黑体" w:hAnsi="黑体" w:eastAsia="黑体" w:cs="黑体"/>
          <w:sz w:val="32"/>
          <w:szCs w:val="32"/>
        </w:rPr>
        <w:t>五、主要经验及做法、存在的问题及原因分析</w:t>
      </w:r>
      <w:bookmarkEnd w:id="15"/>
    </w:p>
    <w:p w14:paraId="6DBE8FDE">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1.绩效目标设置细化程度有待进一步提升。项目绩效指标设置不够全面、完整，可考核性不强。</w:t>
      </w:r>
    </w:p>
    <w:p w14:paraId="35D0F41C">
      <w:pPr>
        <w:spacing w:line="600" w:lineRule="exact"/>
        <w:ind w:firstLine="640" w:firstLineChars="200"/>
      </w:pPr>
      <w:r>
        <w:rPr>
          <w:rFonts w:hint="eastAsia" w:ascii="仿宋" w:hAnsi="仿宋" w:eastAsia="仿宋" w:cs="仿宋"/>
          <w:color w:val="000000"/>
          <w:kern w:val="0"/>
          <w:sz w:val="32"/>
          <w:szCs w:val="32"/>
        </w:rPr>
        <w:t>2</w:t>
      </w:r>
      <w:bookmarkStart w:id="16" w:name="OLE_LINK3"/>
      <w:r>
        <w:rPr>
          <w:rFonts w:hint="eastAsia" w:ascii="仿宋" w:hAnsi="仿宋" w:eastAsia="仿宋" w:cs="仿宋"/>
          <w:color w:val="000000"/>
          <w:kern w:val="0"/>
          <w:sz w:val="32"/>
          <w:szCs w:val="32"/>
        </w:rPr>
        <w:t>.</w:t>
      </w:r>
      <w:bookmarkEnd w:id="16"/>
      <w:r>
        <w:rPr>
          <w:rFonts w:hint="eastAsia" w:ascii="仿宋" w:hAnsi="仿宋" w:eastAsia="仿宋" w:cs="仿宋"/>
          <w:color w:val="000000"/>
          <w:kern w:val="0"/>
          <w:sz w:val="32"/>
          <w:szCs w:val="32"/>
        </w:rPr>
        <w:t>项目服务对象满意度调查资料呈现不足，</w:t>
      </w:r>
      <w:bookmarkStart w:id="19" w:name="_GoBack"/>
      <w:bookmarkEnd w:id="19"/>
      <w:r>
        <w:rPr>
          <w:rFonts w:hint="eastAsia" w:ascii="仿宋" w:hAnsi="仿宋" w:eastAsia="仿宋" w:cs="仿宋"/>
          <w:color w:val="000000"/>
          <w:kern w:val="0"/>
          <w:sz w:val="32"/>
          <w:szCs w:val="32"/>
        </w:rPr>
        <w:t>无法体现项目整体的服务对象满意程度。</w:t>
      </w:r>
    </w:p>
    <w:p w14:paraId="4937C9DD">
      <w:pPr>
        <w:spacing w:line="600" w:lineRule="exact"/>
        <w:ind w:firstLine="640" w:firstLineChars="200"/>
        <w:outlineLvl w:val="0"/>
        <w:rPr>
          <w:rFonts w:hint="eastAsia" w:ascii="黑体" w:hAnsi="黑体" w:eastAsia="黑体" w:cs="黑体"/>
          <w:sz w:val="32"/>
          <w:szCs w:val="32"/>
        </w:rPr>
      </w:pPr>
      <w:bookmarkStart w:id="17" w:name="_Toc198193485"/>
      <w:r>
        <w:rPr>
          <w:rFonts w:hint="eastAsia" w:ascii="黑体" w:hAnsi="黑体" w:eastAsia="黑体" w:cs="黑体"/>
          <w:sz w:val="32"/>
          <w:szCs w:val="32"/>
        </w:rPr>
        <w:t>六、有关建议</w:t>
      </w:r>
      <w:bookmarkEnd w:id="17"/>
    </w:p>
    <w:p w14:paraId="69B3DB3F">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1.建议科学、合理设置绩效目标及指标，提高财政资金预算绩效管理意识。绩效指标应尽量采用量化指标，做到可衡量、可考核。</w:t>
      </w:r>
    </w:p>
    <w:p w14:paraId="6FC6B1CE">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2.建议根据项目服务对象范围，选择适当的方式、方法，开展服务对象满意度调查，注重满意度等效果资料分析，充分反映项目实施绩效。</w:t>
      </w:r>
    </w:p>
    <w:p w14:paraId="62503FBE">
      <w:pPr>
        <w:keepNext/>
        <w:spacing w:line="600" w:lineRule="exact"/>
        <w:ind w:firstLine="640" w:firstLineChars="200"/>
        <w:outlineLvl w:val="0"/>
        <w:rPr>
          <w:rFonts w:hint="eastAsia" w:ascii="黑体" w:hAnsi="黑体" w:eastAsia="黑体" w:cs="黑体"/>
          <w:sz w:val="32"/>
          <w:szCs w:val="32"/>
        </w:rPr>
      </w:pPr>
      <w:bookmarkStart w:id="18" w:name="_Toc198193486"/>
      <w:r>
        <w:rPr>
          <w:rFonts w:hint="eastAsia" w:ascii="黑体" w:hAnsi="黑体" w:eastAsia="黑体" w:cs="黑体"/>
          <w:sz w:val="32"/>
          <w:szCs w:val="32"/>
        </w:rPr>
        <w:t>七、其他需要说明的问题</w:t>
      </w:r>
      <w:bookmarkEnd w:id="18"/>
    </w:p>
    <w:p w14:paraId="3BAA430D">
      <w:pPr>
        <w:spacing w:line="60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无。</w:t>
      </w:r>
    </w:p>
    <w:p w14:paraId="2C7BA985">
      <w:pPr>
        <w:suppressAutoHyphens/>
        <w:spacing w:line="560" w:lineRule="exact"/>
        <w:ind w:firstLine="640" w:firstLineChars="200"/>
        <w:rPr>
          <w:rFonts w:hint="eastAsia" w:ascii="仿宋_GB2312" w:hAnsi="宋体" w:eastAsia="仿宋_GB2312" w:cs="宋体"/>
          <w:color w:val="000000"/>
          <w:kern w:val="0"/>
          <w:sz w:val="32"/>
          <w:szCs w:val="32"/>
          <w:highlight w:val="yellow"/>
        </w:rPr>
      </w:pPr>
    </w:p>
    <w:sectPr>
      <w:footerReference r:id="rId4"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F9B74">
    <w:pPr>
      <w:pStyle w:val="10"/>
      <w:jc w:val="right"/>
      <w:rPr>
        <w:rFonts w:hint="eastAsia" w:ascii="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9F402">
    <w:pPr>
      <w:pStyle w:val="10"/>
      <w:jc w:val="right"/>
      <w:rPr>
        <w:rFonts w:hint="eastAsia"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38392099" name="文本框 2383920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CE551C">
                          <w:pPr>
                            <w:pStyle w:val="10"/>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zszqRzUCAABlBAAADgAAAAAAAAABACAAAAAfAQAAZHJzL2Uyb0RvYy54bWxQ&#10;SwUGAAAAAAYABgBZAQAAxgUAAAAA&#10;">
              <v:fill on="f" focussize="0,0"/>
              <v:stroke on="f" weight="0.5pt"/>
              <v:imagedata o:title=""/>
              <o:lock v:ext="edit" aspectratio="f"/>
              <v:textbox inset="0mm,0mm,0mm,0mm" style="mso-fit-shape-to-text:t;">
                <w:txbxContent>
                  <w:p w14:paraId="13CE551C">
                    <w:pPr>
                      <w:pStyle w:val="10"/>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1MDE2YTI2YWQwYzljNTY3NjA0OTIyMjJiYTQ3ZjAifQ=="/>
  </w:docVars>
  <w:rsids>
    <w:rsidRoot w:val="F77F09F4"/>
    <w:rsid w:val="0001654B"/>
    <w:rsid w:val="000467CB"/>
    <w:rsid w:val="000A4315"/>
    <w:rsid w:val="000B0B30"/>
    <w:rsid w:val="000D654C"/>
    <w:rsid w:val="000E0DD9"/>
    <w:rsid w:val="000F7BB5"/>
    <w:rsid w:val="001038FF"/>
    <w:rsid w:val="00103D7E"/>
    <w:rsid w:val="00104C93"/>
    <w:rsid w:val="00120C15"/>
    <w:rsid w:val="00133130"/>
    <w:rsid w:val="001427A3"/>
    <w:rsid w:val="00144231"/>
    <w:rsid w:val="00146223"/>
    <w:rsid w:val="001518DD"/>
    <w:rsid w:val="00165180"/>
    <w:rsid w:val="0018432F"/>
    <w:rsid w:val="001C4D11"/>
    <w:rsid w:val="001C56A0"/>
    <w:rsid w:val="001C5750"/>
    <w:rsid w:val="001D165E"/>
    <w:rsid w:val="001E553B"/>
    <w:rsid w:val="001F60CE"/>
    <w:rsid w:val="00220CDF"/>
    <w:rsid w:val="00246FEA"/>
    <w:rsid w:val="00267BD4"/>
    <w:rsid w:val="00295185"/>
    <w:rsid w:val="002A58A4"/>
    <w:rsid w:val="002E04FA"/>
    <w:rsid w:val="002E4981"/>
    <w:rsid w:val="00302D68"/>
    <w:rsid w:val="0036327F"/>
    <w:rsid w:val="00367613"/>
    <w:rsid w:val="00374F09"/>
    <w:rsid w:val="00393444"/>
    <w:rsid w:val="003C220B"/>
    <w:rsid w:val="003E01F0"/>
    <w:rsid w:val="003F2DED"/>
    <w:rsid w:val="0040591C"/>
    <w:rsid w:val="00427B7F"/>
    <w:rsid w:val="004655B2"/>
    <w:rsid w:val="00474627"/>
    <w:rsid w:val="004813C7"/>
    <w:rsid w:val="004A18A4"/>
    <w:rsid w:val="004A2785"/>
    <w:rsid w:val="004B1297"/>
    <w:rsid w:val="004B251E"/>
    <w:rsid w:val="004C10D6"/>
    <w:rsid w:val="004E58F4"/>
    <w:rsid w:val="0051048B"/>
    <w:rsid w:val="005343F3"/>
    <w:rsid w:val="005574D0"/>
    <w:rsid w:val="00570A8D"/>
    <w:rsid w:val="00582D7E"/>
    <w:rsid w:val="00583CF3"/>
    <w:rsid w:val="005843B2"/>
    <w:rsid w:val="005C114D"/>
    <w:rsid w:val="005C3EDD"/>
    <w:rsid w:val="005C65BB"/>
    <w:rsid w:val="005E015B"/>
    <w:rsid w:val="005E0B2A"/>
    <w:rsid w:val="006638C3"/>
    <w:rsid w:val="0068175C"/>
    <w:rsid w:val="006973A9"/>
    <w:rsid w:val="006A0274"/>
    <w:rsid w:val="006B26A2"/>
    <w:rsid w:val="006C7C41"/>
    <w:rsid w:val="006D4D8B"/>
    <w:rsid w:val="006E4D41"/>
    <w:rsid w:val="00710112"/>
    <w:rsid w:val="00752D4C"/>
    <w:rsid w:val="00753AA6"/>
    <w:rsid w:val="007A42FF"/>
    <w:rsid w:val="007A4E0A"/>
    <w:rsid w:val="007A645D"/>
    <w:rsid w:val="007B3F6F"/>
    <w:rsid w:val="007C026B"/>
    <w:rsid w:val="007C2568"/>
    <w:rsid w:val="007D575A"/>
    <w:rsid w:val="007D66CA"/>
    <w:rsid w:val="007E07CC"/>
    <w:rsid w:val="007E3026"/>
    <w:rsid w:val="007E739F"/>
    <w:rsid w:val="007F238A"/>
    <w:rsid w:val="008107EF"/>
    <w:rsid w:val="00813C23"/>
    <w:rsid w:val="008C35E8"/>
    <w:rsid w:val="009113FA"/>
    <w:rsid w:val="0092269D"/>
    <w:rsid w:val="00946650"/>
    <w:rsid w:val="00963068"/>
    <w:rsid w:val="00974B54"/>
    <w:rsid w:val="009847F4"/>
    <w:rsid w:val="009A5EE0"/>
    <w:rsid w:val="009B23CD"/>
    <w:rsid w:val="009B4538"/>
    <w:rsid w:val="009B69DD"/>
    <w:rsid w:val="009C194D"/>
    <w:rsid w:val="009D7B09"/>
    <w:rsid w:val="009F2367"/>
    <w:rsid w:val="00A008DD"/>
    <w:rsid w:val="00A3210A"/>
    <w:rsid w:val="00A5523C"/>
    <w:rsid w:val="00A6477A"/>
    <w:rsid w:val="00A80392"/>
    <w:rsid w:val="00A80A14"/>
    <w:rsid w:val="00A83CE8"/>
    <w:rsid w:val="00AA644D"/>
    <w:rsid w:val="00AC4696"/>
    <w:rsid w:val="00AE3726"/>
    <w:rsid w:val="00AF65AC"/>
    <w:rsid w:val="00AF65B7"/>
    <w:rsid w:val="00B11CAF"/>
    <w:rsid w:val="00B1546D"/>
    <w:rsid w:val="00B16D7B"/>
    <w:rsid w:val="00B31657"/>
    <w:rsid w:val="00B50865"/>
    <w:rsid w:val="00B52151"/>
    <w:rsid w:val="00B62670"/>
    <w:rsid w:val="00B67E28"/>
    <w:rsid w:val="00B960CB"/>
    <w:rsid w:val="00B96F2B"/>
    <w:rsid w:val="00B971CF"/>
    <w:rsid w:val="00B9755B"/>
    <w:rsid w:val="00BA2E79"/>
    <w:rsid w:val="00BB287E"/>
    <w:rsid w:val="00BD3DCD"/>
    <w:rsid w:val="00BD5C49"/>
    <w:rsid w:val="00BE436A"/>
    <w:rsid w:val="00C051A3"/>
    <w:rsid w:val="00C225AE"/>
    <w:rsid w:val="00C229EF"/>
    <w:rsid w:val="00C27998"/>
    <w:rsid w:val="00C50559"/>
    <w:rsid w:val="00C57290"/>
    <w:rsid w:val="00C62D6A"/>
    <w:rsid w:val="00C643FE"/>
    <w:rsid w:val="00C66768"/>
    <w:rsid w:val="00CA5CD7"/>
    <w:rsid w:val="00CE79EB"/>
    <w:rsid w:val="00CF7137"/>
    <w:rsid w:val="00D10301"/>
    <w:rsid w:val="00D12038"/>
    <w:rsid w:val="00D34516"/>
    <w:rsid w:val="00D416B7"/>
    <w:rsid w:val="00D54D93"/>
    <w:rsid w:val="00D74FCD"/>
    <w:rsid w:val="00DA66D3"/>
    <w:rsid w:val="00DD171E"/>
    <w:rsid w:val="00DD7B09"/>
    <w:rsid w:val="00DE1561"/>
    <w:rsid w:val="00DE646B"/>
    <w:rsid w:val="00E138F8"/>
    <w:rsid w:val="00E16BB8"/>
    <w:rsid w:val="00E24C66"/>
    <w:rsid w:val="00E32C4F"/>
    <w:rsid w:val="00E460F9"/>
    <w:rsid w:val="00E55977"/>
    <w:rsid w:val="00EA170D"/>
    <w:rsid w:val="00ED3867"/>
    <w:rsid w:val="00EF184A"/>
    <w:rsid w:val="00F145BB"/>
    <w:rsid w:val="00F27CC6"/>
    <w:rsid w:val="00F30996"/>
    <w:rsid w:val="00F56015"/>
    <w:rsid w:val="00F6229D"/>
    <w:rsid w:val="00FC1169"/>
    <w:rsid w:val="00FD52EF"/>
    <w:rsid w:val="00FE25F3"/>
    <w:rsid w:val="01D54D19"/>
    <w:rsid w:val="0BEA58E4"/>
    <w:rsid w:val="0D773672"/>
    <w:rsid w:val="0ECF9C51"/>
    <w:rsid w:val="143A62A9"/>
    <w:rsid w:val="15664323"/>
    <w:rsid w:val="1874384B"/>
    <w:rsid w:val="1F2C2717"/>
    <w:rsid w:val="217A5F54"/>
    <w:rsid w:val="22E2053C"/>
    <w:rsid w:val="236A6B0E"/>
    <w:rsid w:val="285F629A"/>
    <w:rsid w:val="2CE657FC"/>
    <w:rsid w:val="2D3061C5"/>
    <w:rsid w:val="2DB557FA"/>
    <w:rsid w:val="33F22CD8"/>
    <w:rsid w:val="34F10EAE"/>
    <w:rsid w:val="37173543"/>
    <w:rsid w:val="3BC211E2"/>
    <w:rsid w:val="3D8C6660"/>
    <w:rsid w:val="3F953302"/>
    <w:rsid w:val="3FF76880"/>
    <w:rsid w:val="425D18FC"/>
    <w:rsid w:val="42F0224E"/>
    <w:rsid w:val="465B27FB"/>
    <w:rsid w:val="46C61000"/>
    <w:rsid w:val="48926A36"/>
    <w:rsid w:val="4D721DED"/>
    <w:rsid w:val="4D9C1759"/>
    <w:rsid w:val="4F7B197C"/>
    <w:rsid w:val="5094673E"/>
    <w:rsid w:val="53D678A9"/>
    <w:rsid w:val="564502EC"/>
    <w:rsid w:val="599042AB"/>
    <w:rsid w:val="59BF4FD4"/>
    <w:rsid w:val="5A0C7DA1"/>
    <w:rsid w:val="5B0976CA"/>
    <w:rsid w:val="5FC17C15"/>
    <w:rsid w:val="61BF2475"/>
    <w:rsid w:val="630062FA"/>
    <w:rsid w:val="643B748B"/>
    <w:rsid w:val="65CE758C"/>
    <w:rsid w:val="66A54CF8"/>
    <w:rsid w:val="67077B0A"/>
    <w:rsid w:val="68E00D76"/>
    <w:rsid w:val="69E413D2"/>
    <w:rsid w:val="6B2153A9"/>
    <w:rsid w:val="6B735D1B"/>
    <w:rsid w:val="6C2B17D2"/>
    <w:rsid w:val="6D5835D1"/>
    <w:rsid w:val="70EF34C4"/>
    <w:rsid w:val="716C6DC1"/>
    <w:rsid w:val="726C58D8"/>
    <w:rsid w:val="727A179E"/>
    <w:rsid w:val="7669689F"/>
    <w:rsid w:val="776E579F"/>
    <w:rsid w:val="79A63514"/>
    <w:rsid w:val="7AB7FF50"/>
    <w:rsid w:val="7AEB49B2"/>
    <w:rsid w:val="7BBF7C9A"/>
    <w:rsid w:val="7BFEB0DB"/>
    <w:rsid w:val="7FFF3306"/>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5">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40" w:line="276" w:lineRule="auto"/>
    </w:pPr>
  </w:style>
  <w:style w:type="paragraph" w:styleId="3">
    <w:name w:val="Plain Text"/>
    <w:basedOn w:val="1"/>
    <w:next w:val="1"/>
    <w:qFormat/>
    <w:uiPriority w:val="0"/>
    <w:rPr>
      <w:rFonts w:ascii="宋体" w:hAnsi="Courier New" w:cs="宋体"/>
      <w:szCs w:val="21"/>
    </w:rPr>
  </w:style>
  <w:style w:type="paragraph" w:styleId="6">
    <w:name w:val="annotation text"/>
    <w:basedOn w:val="1"/>
    <w:semiHidden/>
    <w:unhideWhenUsed/>
    <w:qFormat/>
    <w:uiPriority w:val="0"/>
    <w:pPr>
      <w:jc w:val="left"/>
    </w:pPr>
  </w:style>
  <w:style w:type="paragraph" w:styleId="7">
    <w:name w:val="Body Text Indent"/>
    <w:basedOn w:val="1"/>
    <w:link w:val="21"/>
    <w:autoRedefine/>
    <w:semiHidden/>
    <w:unhideWhenUsed/>
    <w:qFormat/>
    <w:uiPriority w:val="0"/>
    <w:pPr>
      <w:spacing w:after="120"/>
      <w:ind w:left="420" w:leftChars="200"/>
    </w:pPr>
  </w:style>
  <w:style w:type="paragraph" w:styleId="8">
    <w:name w:val="toc 3"/>
    <w:basedOn w:val="1"/>
    <w:next w:val="1"/>
    <w:autoRedefine/>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9">
    <w:name w:val="Balloon Text"/>
    <w:basedOn w:val="1"/>
    <w:link w:val="26"/>
    <w:semiHidden/>
    <w:unhideWhenUsed/>
    <w:qFormat/>
    <w:uiPriority w:val="0"/>
    <w:rPr>
      <w:sz w:val="18"/>
      <w:szCs w:val="18"/>
    </w:rPr>
  </w:style>
  <w:style w:type="paragraph" w:styleId="10">
    <w:name w:val="footer"/>
    <w:basedOn w:val="1"/>
    <w:qFormat/>
    <w:uiPriority w:val="99"/>
    <w:pPr>
      <w:tabs>
        <w:tab w:val="center" w:pos="4153"/>
        <w:tab w:val="right" w:pos="8306"/>
      </w:tabs>
      <w:snapToGrid w:val="0"/>
      <w:jc w:val="left"/>
    </w:pPr>
    <w:rPr>
      <w:sz w:val="18"/>
      <w:szCs w:val="20"/>
    </w:rPr>
  </w:style>
  <w:style w:type="paragraph" w:styleId="11">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autoRedefine/>
    <w:unhideWhenUsed/>
    <w:qFormat/>
    <w:uiPriority w:val="39"/>
  </w:style>
  <w:style w:type="paragraph" w:styleId="13">
    <w:name w:val="toc 2"/>
    <w:basedOn w:val="1"/>
    <w:next w:val="1"/>
    <w:autoRedefine/>
    <w:unhideWhenUsed/>
    <w:qFormat/>
    <w:uiPriority w:val="39"/>
    <w:pPr>
      <w:ind w:left="420" w:leftChars="200"/>
    </w:pPr>
  </w:style>
  <w:style w:type="paragraph" w:styleId="14">
    <w:name w:val="Body Text First Indent 2"/>
    <w:basedOn w:val="7"/>
    <w:link w:val="22"/>
    <w:autoRedefine/>
    <w:qFormat/>
    <w:uiPriority w:val="99"/>
    <w:pPr>
      <w:spacing w:after="360"/>
      <w:ind w:left="0" w:leftChars="0" w:firstLine="420" w:firstLineChars="200"/>
    </w:pPr>
    <w:rPr>
      <w:rFonts w:eastAsia="仿宋_GB2312"/>
      <w:kern w:val="1"/>
      <w:sz w:val="32"/>
      <w:szCs w:val="20"/>
    </w:rPr>
  </w:style>
  <w:style w:type="character" w:styleId="17">
    <w:name w:val="page number"/>
    <w:basedOn w:val="16"/>
    <w:autoRedefine/>
    <w:qFormat/>
    <w:uiPriority w:val="0"/>
  </w:style>
  <w:style w:type="character" w:styleId="18">
    <w:name w:val="Hyperlink"/>
    <w:basedOn w:val="16"/>
    <w:unhideWhenUsed/>
    <w:qFormat/>
    <w:uiPriority w:val="99"/>
    <w:rPr>
      <w:color w:val="0563C1" w:themeColor="hyperlink"/>
      <w:u w:val="single"/>
      <w14:textFill>
        <w14:solidFill>
          <w14:schemeClr w14:val="hlink"/>
        </w14:solidFill>
      </w14:textFill>
    </w:rPr>
  </w:style>
  <w:style w:type="character" w:styleId="19">
    <w:name w:val="annotation reference"/>
    <w:basedOn w:val="16"/>
    <w:semiHidden/>
    <w:unhideWhenUsed/>
    <w:qFormat/>
    <w:uiPriority w:val="0"/>
    <w:rPr>
      <w:sz w:val="21"/>
      <w:szCs w:val="21"/>
    </w:rPr>
  </w:style>
  <w:style w:type="paragraph" w:customStyle="1" w:styleId="20">
    <w:name w:val="列出段落1"/>
    <w:basedOn w:val="1"/>
    <w:qFormat/>
    <w:uiPriority w:val="34"/>
    <w:pPr>
      <w:ind w:firstLine="420" w:firstLineChars="200"/>
    </w:pPr>
    <w:rPr>
      <w:rFonts w:ascii="Calibri" w:hAnsi="Calibri" w:cs="黑体"/>
      <w:szCs w:val="22"/>
    </w:rPr>
  </w:style>
  <w:style w:type="character" w:customStyle="1" w:styleId="21">
    <w:name w:val="正文文本缩进 字符"/>
    <w:basedOn w:val="16"/>
    <w:link w:val="7"/>
    <w:autoRedefine/>
    <w:semiHidden/>
    <w:qFormat/>
    <w:uiPriority w:val="0"/>
    <w:rPr>
      <w:rFonts w:ascii="Times New Roman" w:hAnsi="Times New Roman" w:eastAsia="宋体" w:cs="Times New Roman"/>
      <w:kern w:val="2"/>
      <w:sz w:val="21"/>
      <w:szCs w:val="24"/>
    </w:rPr>
  </w:style>
  <w:style w:type="character" w:customStyle="1" w:styleId="22">
    <w:name w:val="正文文本首行缩进 2 字符"/>
    <w:basedOn w:val="21"/>
    <w:link w:val="14"/>
    <w:autoRedefine/>
    <w:qFormat/>
    <w:uiPriority w:val="99"/>
    <w:rPr>
      <w:rFonts w:ascii="Times New Roman" w:hAnsi="Times New Roman" w:eastAsia="仿宋_GB2312" w:cs="Times New Roman"/>
      <w:kern w:val="1"/>
      <w:sz w:val="32"/>
      <w:szCs w:val="24"/>
    </w:rPr>
  </w:style>
  <w:style w:type="paragraph" w:styleId="23">
    <w:name w:val="List Paragraph"/>
    <w:basedOn w:val="1"/>
    <w:autoRedefine/>
    <w:unhideWhenUsed/>
    <w:qFormat/>
    <w:uiPriority w:val="99"/>
    <w:pPr>
      <w:ind w:firstLine="420" w:firstLineChars="200"/>
    </w:pPr>
  </w:style>
  <w:style w:type="character" w:customStyle="1" w:styleId="24">
    <w:name w:val="标题 1 字符"/>
    <w:basedOn w:val="16"/>
    <w:link w:val="4"/>
    <w:autoRedefine/>
    <w:qFormat/>
    <w:uiPriority w:val="0"/>
    <w:rPr>
      <w:rFonts w:ascii="Times New Roman" w:hAnsi="Times New Roman" w:eastAsia="宋体" w:cs="Times New Roman"/>
      <w:b/>
      <w:bCs/>
      <w:kern w:val="44"/>
      <w:sz w:val="44"/>
      <w:szCs w:val="44"/>
    </w:rPr>
  </w:style>
  <w:style w:type="paragraph" w:customStyle="1" w:styleId="25">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6">
    <w:name w:val="批注框文本 字符"/>
    <w:basedOn w:val="16"/>
    <w:link w:val="9"/>
    <w:autoRedefine/>
    <w:semiHidden/>
    <w:qFormat/>
    <w:uiPriority w:val="0"/>
    <w:rPr>
      <w:rFonts w:ascii="Times New Roman" w:hAnsi="Times New Roman" w:eastAsia="宋体" w:cs="Times New Roman"/>
      <w:kern w:val="2"/>
      <w:sz w:val="18"/>
      <w:szCs w:val="18"/>
    </w:rPr>
  </w:style>
  <w:style w:type="paragraph" w:customStyle="1" w:styleId="27">
    <w:name w:val="TOC 标题2"/>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28">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275A40-D743-4E0D-B825-F449185783A8}">
  <ds:schemaRefs/>
</ds:datastoreItem>
</file>

<file path=docProps/app.xml><?xml version="1.0" encoding="utf-8"?>
<Properties xmlns="http://schemas.openxmlformats.org/officeDocument/2006/extended-properties" xmlns:vt="http://schemas.openxmlformats.org/officeDocument/2006/docPropsVTypes">
  <Template>Normal</Template>
  <Pages>12</Pages>
  <Words>4598</Words>
  <Characters>4881</Characters>
  <Lines>49</Lines>
  <Paragraphs>13</Paragraphs>
  <TotalTime>19</TotalTime>
  <ScaleCrop>false</ScaleCrop>
  <LinksUpToDate>false</LinksUpToDate>
  <CharactersWithSpaces>4977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2025-04-13T04:30:00Z</dcterms:created>
  <dc:creator>user</dc:creator>
  <cp:lastModifiedBy>Ars Nova</cp:lastModifiedBy>
  <cp:lastPrinted>2024-06-05T09:04:00Z</cp:lastPrinted>
  <dcterms:modified xsi:type="dcterms:W3CDTF">2025-08-26T06:29:43Z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C1B4F57D0E0345879994EE44349098ED_12</vt:lpwstr>
  </property>
  <property fmtid="{D5CDD505-2E9C-101B-9397-08002B2CF9AE}" pid="4" name="KSOTemplateDocerSaveRecord">
    <vt:lpwstr>eyJoZGlkIjoiNGEwY2EwNTc5NDhlYjQwMmJmY2Q4YWYxZjJkMGJhNzciLCJ1c2VySWQiOiI3MDg0MzE3MzIifQ==</vt:lpwstr>
  </property>
</Properties>
</file>