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E3D73">
      <w:pPr>
        <w:spacing w:before="1560" w:beforeLines="500"/>
        <w:jc w:val="center"/>
        <w:rPr>
          <w:rFonts w:hint="eastAsia" w:ascii="方正小标宋简体" w:hAnsi="宋体" w:eastAsia="方正小标宋简体" w:cs="宋体"/>
          <w:b/>
          <w:bCs/>
          <w:sz w:val="44"/>
          <w:szCs w:val="44"/>
        </w:rPr>
      </w:pPr>
      <w:r>
        <w:rPr>
          <w:rFonts w:hint="eastAsia" w:ascii="方正小标宋简体" w:hAnsi="宋体" w:eastAsia="方正小标宋简体" w:cs="宋体"/>
          <w:b/>
          <w:bCs/>
          <w:sz w:val="44"/>
          <w:szCs w:val="44"/>
        </w:rPr>
        <w:t>北京市人民检察院第三分院</w:t>
      </w:r>
    </w:p>
    <w:p w14:paraId="4D75D226">
      <w:pPr>
        <w:jc w:val="center"/>
        <w:rPr>
          <w:rFonts w:hint="eastAsia" w:ascii="宋体" w:hAnsi="宋体" w:cs="宋体"/>
          <w:b/>
          <w:bCs/>
          <w:sz w:val="44"/>
          <w:szCs w:val="44"/>
        </w:rPr>
      </w:pPr>
      <w:r>
        <w:rPr>
          <w:rFonts w:hint="eastAsia" w:ascii="方正小标宋简体" w:hAnsi="宋体" w:eastAsia="方正小标宋简体" w:cs="宋体"/>
          <w:b/>
          <w:bCs/>
          <w:sz w:val="44"/>
          <w:szCs w:val="44"/>
        </w:rPr>
        <w:t>2024年度部门整体绩效评价报告</w:t>
      </w:r>
    </w:p>
    <w:p w14:paraId="3C0BE198">
      <w:pPr>
        <w:spacing w:line="560" w:lineRule="exact"/>
        <w:ind w:firstLine="720"/>
        <w:jc w:val="center"/>
        <w:rPr>
          <w:rFonts w:ascii="方正小标宋简体" w:eastAsia="方正小标宋简体"/>
          <w:sz w:val="36"/>
          <w:szCs w:val="36"/>
        </w:rPr>
      </w:pPr>
    </w:p>
    <w:p w14:paraId="2EDA5106">
      <w:pPr>
        <w:pStyle w:val="12"/>
        <w:ind w:firstLine="720"/>
        <w:rPr>
          <w:rFonts w:ascii="方正小标宋简体" w:eastAsia="方正小标宋简体"/>
          <w:sz w:val="36"/>
          <w:szCs w:val="36"/>
        </w:rPr>
      </w:pPr>
    </w:p>
    <w:p w14:paraId="08630DA1">
      <w:pPr>
        <w:pStyle w:val="12"/>
        <w:ind w:firstLine="720"/>
        <w:rPr>
          <w:rFonts w:ascii="方正小标宋简体" w:eastAsia="方正小标宋简体"/>
          <w:sz w:val="36"/>
          <w:szCs w:val="36"/>
        </w:rPr>
      </w:pPr>
    </w:p>
    <w:p w14:paraId="5B0E80AD">
      <w:pPr>
        <w:pStyle w:val="12"/>
        <w:ind w:firstLine="720"/>
        <w:rPr>
          <w:rFonts w:ascii="方正小标宋简体" w:eastAsia="方正小标宋简体"/>
          <w:sz w:val="36"/>
          <w:szCs w:val="36"/>
        </w:rPr>
      </w:pPr>
    </w:p>
    <w:p w14:paraId="566B469C">
      <w:pPr>
        <w:pStyle w:val="12"/>
        <w:ind w:firstLine="720"/>
        <w:rPr>
          <w:rFonts w:ascii="方正小标宋简体" w:eastAsia="方正小标宋简体"/>
          <w:sz w:val="36"/>
          <w:szCs w:val="36"/>
        </w:rPr>
      </w:pPr>
    </w:p>
    <w:p w14:paraId="6C80BFBC">
      <w:pPr>
        <w:pStyle w:val="12"/>
        <w:ind w:firstLine="720"/>
        <w:rPr>
          <w:rFonts w:ascii="方正小标宋简体" w:eastAsia="方正小标宋简体"/>
          <w:sz w:val="36"/>
          <w:szCs w:val="36"/>
        </w:rPr>
      </w:pPr>
    </w:p>
    <w:p w14:paraId="6A833974">
      <w:pPr>
        <w:pStyle w:val="12"/>
        <w:ind w:firstLine="720"/>
        <w:rPr>
          <w:rFonts w:ascii="方正小标宋简体" w:eastAsia="方正小标宋简体"/>
          <w:sz w:val="36"/>
          <w:szCs w:val="36"/>
        </w:rPr>
      </w:pPr>
    </w:p>
    <w:p w14:paraId="7E037CB6">
      <w:pPr>
        <w:pStyle w:val="12"/>
        <w:ind w:firstLine="720"/>
        <w:rPr>
          <w:rFonts w:ascii="方正小标宋简体" w:eastAsia="方正小标宋简体"/>
          <w:sz w:val="36"/>
          <w:szCs w:val="36"/>
        </w:rPr>
      </w:pPr>
    </w:p>
    <w:p w14:paraId="7AC9EEB0">
      <w:pPr>
        <w:jc w:val="center"/>
        <w:rPr>
          <w:rFonts w:hint="eastAsia" w:ascii="方正小标宋简体" w:hAnsi="宋体" w:eastAsia="方正小标宋简体" w:cs="宋体"/>
          <w:b/>
          <w:bCs/>
          <w:sz w:val="44"/>
          <w:szCs w:val="44"/>
        </w:rPr>
        <w:sectPr>
          <w:footerReference r:id="rId3" w:type="default"/>
          <w:pgSz w:w="11906" w:h="16838"/>
          <w:pgMar w:top="1440" w:right="1800" w:bottom="1440" w:left="1800" w:header="851" w:footer="567" w:gutter="0"/>
          <w:pgNumType w:fmt="numberInDash"/>
          <w:cols w:space="425" w:num="1"/>
          <w:titlePg/>
          <w:docGrid w:type="lines" w:linePitch="312" w:charSpace="0"/>
        </w:sectPr>
      </w:pPr>
      <w:r>
        <w:rPr>
          <w:rFonts w:hint="eastAsia" w:ascii="方正小标宋简体" w:hAnsi="宋体" w:eastAsia="方正小标宋简体" w:cs="宋体"/>
          <w:b/>
          <w:bCs/>
          <w:sz w:val="44"/>
          <w:szCs w:val="44"/>
        </w:rPr>
        <w:t>2025年5月</w:t>
      </w:r>
    </w:p>
    <w:sdt>
      <w:sdtPr>
        <w:rPr>
          <w:rFonts w:ascii="宋体" w:hAnsi="宋体"/>
        </w:rPr>
        <w:id w:val="147473636"/>
        <w:docPartObj>
          <w:docPartGallery w:val="Table of Contents"/>
          <w:docPartUnique/>
        </w:docPartObj>
      </w:sdtPr>
      <w:sdtEndPr>
        <w:rPr>
          <w:rFonts w:hint="eastAsia" w:ascii="仿宋_GB2312" w:hAnsi="仿宋_GB2312" w:eastAsia="仿宋_GB2312" w:cs="仿宋_GB2312"/>
          <w:bCs/>
          <w:kern w:val="0"/>
          <w:sz w:val="28"/>
          <w:szCs w:val="28"/>
        </w:rPr>
      </w:sdtEndPr>
      <w:sdtContent>
        <w:p w14:paraId="7EB8FD03">
          <w:pPr>
            <w:spacing w:line="480" w:lineRule="auto"/>
            <w:ind w:left="160" w:firstLine="420"/>
            <w:jc w:val="center"/>
            <w:rPr>
              <w:rFonts w:ascii="仿宋_GB2312" w:eastAsia="仿宋_GB2312"/>
              <w:sz w:val="44"/>
              <w:szCs w:val="44"/>
              <w:lang w:val="zh-CN"/>
            </w:rPr>
          </w:pPr>
          <w:r>
            <w:rPr>
              <w:rFonts w:ascii="仿宋_GB2312" w:eastAsia="仿宋_GB2312"/>
              <w:sz w:val="44"/>
              <w:szCs w:val="44"/>
              <w:lang w:val="zh-CN"/>
            </w:rPr>
            <w:t>目</w:t>
          </w:r>
          <w:r>
            <w:rPr>
              <w:rFonts w:hint="eastAsia" w:ascii="仿宋_GB2312" w:eastAsia="仿宋_GB2312"/>
              <w:sz w:val="44"/>
              <w:szCs w:val="44"/>
              <w:lang w:val="zh-CN"/>
            </w:rPr>
            <w:t xml:space="preserve">  </w:t>
          </w:r>
          <w:r>
            <w:rPr>
              <w:rFonts w:ascii="仿宋_GB2312" w:eastAsia="仿宋_GB2312"/>
              <w:sz w:val="44"/>
              <w:szCs w:val="44"/>
              <w:lang w:val="zh-CN"/>
            </w:rPr>
            <w:t>录</w:t>
          </w:r>
        </w:p>
        <w:p w14:paraId="18A39562">
          <w:pPr>
            <w:pStyle w:val="10"/>
            <w:tabs>
              <w:tab w:val="right" w:leader="dot" w:pos="8296"/>
            </w:tabs>
            <w:ind w:firstLine="480"/>
            <w:rPr>
              <w:rFonts w:asciiTheme="minorHAnsi" w:hAnsiTheme="minorHAnsi" w:eastAsiaTheme="minorEastAsia" w:cstheme="minorBidi"/>
              <w:sz w:val="24"/>
              <w14:ligatures w14:val="standardContextual"/>
            </w:rPr>
          </w:pPr>
          <w:r>
            <w:rPr>
              <w:rFonts w:hint="eastAsia" w:ascii="仿宋_GB2312" w:hAnsi="仿宋_GB2312" w:eastAsia="仿宋_GB2312" w:cs="仿宋_GB2312"/>
              <w:b/>
              <w:bCs/>
              <w:kern w:val="0"/>
              <w:sz w:val="24"/>
            </w:rPr>
            <w:fldChar w:fldCharType="begin"/>
          </w:r>
          <w:r>
            <w:rPr>
              <w:rStyle w:val="17"/>
              <w:rFonts w:hint="eastAsia" w:ascii="仿宋_GB2312" w:hAnsi="仿宋_GB2312" w:eastAsia="仿宋_GB2312" w:cs="仿宋_GB2312"/>
              <w:b/>
              <w:bCs/>
              <w:color w:val="auto"/>
              <w:kern w:val="0"/>
              <w:sz w:val="24"/>
            </w:rPr>
            <w:instrText xml:space="preserve"> TOC \o "1-3" \h \z \u </w:instrText>
          </w:r>
          <w:r>
            <w:rPr>
              <w:rFonts w:hint="eastAsia" w:ascii="仿宋_GB2312" w:hAnsi="仿宋_GB2312" w:eastAsia="仿宋_GB2312" w:cs="仿宋_GB2312"/>
              <w:b/>
              <w:bCs/>
              <w:kern w:val="0"/>
              <w:sz w:val="24"/>
            </w:rPr>
            <w:fldChar w:fldCharType="separate"/>
          </w:r>
          <w:r>
            <w:fldChar w:fldCharType="begin"/>
          </w:r>
          <w:r>
            <w:instrText xml:space="preserve"> HYPERLINK \l "_Toc195560255" </w:instrText>
          </w:r>
          <w:r>
            <w:fldChar w:fldCharType="separate"/>
          </w:r>
          <w:r>
            <w:rPr>
              <w:rStyle w:val="17"/>
              <w:rFonts w:hint="eastAsia" w:ascii="黑体" w:hAnsi="黑体" w:eastAsia="黑体" w:cs="宋体"/>
              <w:kern w:val="0"/>
              <w:sz w:val="24"/>
            </w:rPr>
            <w:t>一、部门概况</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_Toc195560255 \h</w:instrText>
          </w:r>
          <w:r>
            <w:rPr>
              <w:rFonts w:hint="eastAsia"/>
              <w:sz w:val="24"/>
            </w:rPr>
            <w:instrText xml:space="preserve"> </w:instrText>
          </w:r>
          <w:r>
            <w:rPr>
              <w:rFonts w:hint="eastAsia"/>
              <w:sz w:val="24"/>
            </w:rPr>
            <w:fldChar w:fldCharType="separate"/>
          </w:r>
          <w:r>
            <w:rPr>
              <w:sz w:val="24"/>
            </w:rPr>
            <w:t>- 1 -</w:t>
          </w:r>
          <w:r>
            <w:rPr>
              <w:rFonts w:hint="eastAsia"/>
              <w:sz w:val="24"/>
            </w:rPr>
            <w:fldChar w:fldCharType="end"/>
          </w:r>
          <w:r>
            <w:rPr>
              <w:rFonts w:hint="eastAsia"/>
              <w:sz w:val="24"/>
            </w:rPr>
            <w:fldChar w:fldCharType="end"/>
          </w:r>
        </w:p>
        <w:p w14:paraId="56A69E73">
          <w:pPr>
            <w:pStyle w:val="11"/>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"_Toc195560256" </w:instrText>
          </w:r>
          <w:r>
            <w:fldChar w:fldCharType="separate"/>
          </w:r>
          <w:r>
            <w:rPr>
              <w:rStyle w:val="17"/>
              <w:rFonts w:hint="eastAsia" w:ascii="楷体_GB2312" w:eastAsia="楷体_GB2312"/>
              <w:sz w:val="24"/>
            </w:rPr>
            <w:t>（一）机构设置及职责工作任务情况</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_Toc195560256 \h</w:instrText>
          </w:r>
          <w:r>
            <w:rPr>
              <w:rFonts w:hint="eastAsia"/>
              <w:sz w:val="24"/>
            </w:rPr>
            <w:instrText xml:space="preserve"> </w:instrText>
          </w:r>
          <w:r>
            <w:rPr>
              <w:rFonts w:hint="eastAsia"/>
              <w:sz w:val="24"/>
            </w:rPr>
            <w:fldChar w:fldCharType="separate"/>
          </w:r>
          <w:r>
            <w:rPr>
              <w:sz w:val="24"/>
            </w:rPr>
            <w:t>- 1 -</w:t>
          </w:r>
          <w:r>
            <w:rPr>
              <w:rFonts w:hint="eastAsia"/>
              <w:sz w:val="24"/>
            </w:rPr>
            <w:fldChar w:fldCharType="end"/>
          </w:r>
          <w:r>
            <w:rPr>
              <w:rFonts w:hint="eastAsia"/>
              <w:sz w:val="24"/>
            </w:rPr>
            <w:fldChar w:fldCharType="end"/>
          </w:r>
        </w:p>
        <w:p w14:paraId="5119976A">
          <w:pPr>
            <w:pStyle w:val="11"/>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"_Toc195560257" </w:instrText>
          </w:r>
          <w:r>
            <w:fldChar w:fldCharType="separate"/>
          </w:r>
          <w:r>
            <w:rPr>
              <w:rStyle w:val="17"/>
              <w:rFonts w:hint="eastAsia" w:ascii="楷体_GB2312" w:eastAsia="楷体_GB2312"/>
              <w:sz w:val="24"/>
            </w:rPr>
            <w:t>（二）部门整体绩效目标设立情况</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_Toc195560257 \h</w:instrText>
          </w:r>
          <w:r>
            <w:rPr>
              <w:rFonts w:hint="eastAsia"/>
              <w:sz w:val="24"/>
            </w:rPr>
            <w:instrText xml:space="preserve"> </w:instrText>
          </w:r>
          <w:r>
            <w:rPr>
              <w:rFonts w:hint="eastAsia"/>
              <w:sz w:val="24"/>
            </w:rPr>
            <w:fldChar w:fldCharType="separate"/>
          </w:r>
          <w:r>
            <w:rPr>
              <w:sz w:val="24"/>
            </w:rPr>
            <w:t>- 3 -</w:t>
          </w:r>
          <w:r>
            <w:rPr>
              <w:rFonts w:hint="eastAsia"/>
              <w:sz w:val="24"/>
            </w:rPr>
            <w:fldChar w:fldCharType="end"/>
          </w:r>
          <w:r>
            <w:rPr>
              <w:rFonts w:hint="eastAsia"/>
              <w:sz w:val="24"/>
            </w:rPr>
            <w:fldChar w:fldCharType="end"/>
          </w:r>
        </w:p>
        <w:p w14:paraId="5DD29E17">
          <w:pPr>
            <w:pStyle w:val="10"/>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"_Toc195560258" </w:instrText>
          </w:r>
          <w:r>
            <w:fldChar w:fldCharType="separate"/>
          </w:r>
          <w:r>
            <w:rPr>
              <w:rStyle w:val="17"/>
              <w:rFonts w:hint="eastAsia" w:ascii="黑体" w:hAnsi="黑体" w:eastAsia="黑体" w:cs="宋体"/>
              <w:kern w:val="0"/>
              <w:sz w:val="24"/>
            </w:rPr>
            <w:t>二、当年预算执行情况</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_Toc195560258 \h</w:instrText>
          </w:r>
          <w:r>
            <w:rPr>
              <w:rFonts w:hint="eastAsia"/>
              <w:sz w:val="24"/>
            </w:rPr>
            <w:instrText xml:space="preserve"> </w:instrText>
          </w:r>
          <w:r>
            <w:rPr>
              <w:rFonts w:hint="eastAsia"/>
              <w:sz w:val="24"/>
            </w:rPr>
            <w:fldChar w:fldCharType="separate"/>
          </w:r>
          <w:r>
            <w:rPr>
              <w:sz w:val="24"/>
            </w:rPr>
            <w:t>- 4 -</w:t>
          </w:r>
          <w:r>
            <w:rPr>
              <w:rFonts w:hint="eastAsia"/>
              <w:sz w:val="24"/>
            </w:rPr>
            <w:fldChar w:fldCharType="end"/>
          </w:r>
          <w:r>
            <w:rPr>
              <w:rFonts w:hint="eastAsia"/>
              <w:sz w:val="24"/>
            </w:rPr>
            <w:fldChar w:fldCharType="end"/>
          </w:r>
        </w:p>
        <w:p w14:paraId="7407B75D">
          <w:pPr>
            <w:pStyle w:val="10"/>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"_Toc195560259" </w:instrText>
          </w:r>
          <w:r>
            <w:fldChar w:fldCharType="separate"/>
          </w:r>
          <w:r>
            <w:rPr>
              <w:rStyle w:val="17"/>
              <w:rFonts w:hint="eastAsia" w:ascii="黑体" w:hAnsi="黑体" w:eastAsia="黑体" w:cs="宋体"/>
              <w:kern w:val="0"/>
              <w:sz w:val="24"/>
            </w:rPr>
            <w:t>三、整体绩效目标实现情况</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_Toc195560259 \h</w:instrText>
          </w:r>
          <w:r>
            <w:rPr>
              <w:rFonts w:hint="eastAsia"/>
              <w:sz w:val="24"/>
            </w:rPr>
            <w:instrText xml:space="preserve"> </w:instrText>
          </w:r>
          <w:r>
            <w:rPr>
              <w:rFonts w:hint="eastAsia"/>
              <w:sz w:val="24"/>
            </w:rPr>
            <w:fldChar w:fldCharType="separate"/>
          </w:r>
          <w:r>
            <w:rPr>
              <w:sz w:val="24"/>
            </w:rPr>
            <w:t>- 4 -</w:t>
          </w:r>
          <w:r>
            <w:rPr>
              <w:rFonts w:hint="eastAsia"/>
              <w:sz w:val="24"/>
            </w:rPr>
            <w:fldChar w:fldCharType="end"/>
          </w:r>
          <w:r>
            <w:rPr>
              <w:rFonts w:hint="eastAsia"/>
              <w:sz w:val="24"/>
            </w:rPr>
            <w:fldChar w:fldCharType="end"/>
          </w:r>
        </w:p>
        <w:p w14:paraId="671250E9">
          <w:pPr>
            <w:pStyle w:val="11"/>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"_Toc195560260" </w:instrText>
          </w:r>
          <w:r>
            <w:fldChar w:fldCharType="separate"/>
          </w:r>
          <w:r>
            <w:rPr>
              <w:rStyle w:val="17"/>
              <w:rFonts w:hint="eastAsia" w:ascii="楷体_GB2312" w:eastAsia="楷体_GB2312"/>
              <w:sz w:val="24"/>
            </w:rPr>
            <w:t>（一）产出完成情况分析</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_Toc195560260 \h</w:instrText>
          </w:r>
          <w:r>
            <w:rPr>
              <w:rFonts w:hint="eastAsia"/>
              <w:sz w:val="24"/>
            </w:rPr>
            <w:instrText xml:space="preserve"> </w:instrText>
          </w:r>
          <w:r>
            <w:rPr>
              <w:rFonts w:hint="eastAsia"/>
              <w:sz w:val="24"/>
            </w:rPr>
            <w:fldChar w:fldCharType="separate"/>
          </w:r>
          <w:r>
            <w:rPr>
              <w:sz w:val="24"/>
            </w:rPr>
            <w:t>- 4 -</w:t>
          </w:r>
          <w:r>
            <w:rPr>
              <w:rFonts w:hint="eastAsia"/>
              <w:sz w:val="24"/>
            </w:rPr>
            <w:fldChar w:fldCharType="end"/>
          </w:r>
          <w:r>
            <w:rPr>
              <w:rFonts w:hint="eastAsia"/>
              <w:sz w:val="24"/>
            </w:rPr>
            <w:fldChar w:fldCharType="end"/>
          </w:r>
        </w:p>
        <w:p w14:paraId="44B6EAAA">
          <w:pPr>
            <w:pStyle w:val="11"/>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"_Toc195560261" </w:instrText>
          </w:r>
          <w:r>
            <w:fldChar w:fldCharType="separate"/>
          </w:r>
          <w:r>
            <w:rPr>
              <w:rStyle w:val="17"/>
              <w:rFonts w:hint="eastAsia" w:ascii="楷体_GB2312" w:eastAsia="楷体_GB2312"/>
              <w:sz w:val="24"/>
            </w:rPr>
            <w:t>（二）效果实现情况分析</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_Toc195560261 \h</w:instrText>
          </w:r>
          <w:r>
            <w:rPr>
              <w:rFonts w:hint="eastAsia"/>
              <w:sz w:val="24"/>
            </w:rPr>
            <w:instrText xml:space="preserve"> </w:instrText>
          </w:r>
          <w:r>
            <w:rPr>
              <w:rFonts w:hint="eastAsia"/>
              <w:sz w:val="24"/>
            </w:rPr>
            <w:fldChar w:fldCharType="separate"/>
          </w:r>
          <w:r>
            <w:rPr>
              <w:sz w:val="24"/>
            </w:rPr>
            <w:t>- 7 -</w:t>
          </w:r>
          <w:r>
            <w:rPr>
              <w:rFonts w:hint="eastAsia"/>
              <w:sz w:val="24"/>
            </w:rPr>
            <w:fldChar w:fldCharType="end"/>
          </w:r>
          <w:r>
            <w:rPr>
              <w:rFonts w:hint="eastAsia"/>
              <w:sz w:val="24"/>
            </w:rPr>
            <w:fldChar w:fldCharType="end"/>
          </w:r>
        </w:p>
        <w:p w14:paraId="38554470">
          <w:pPr>
            <w:pStyle w:val="10"/>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"_Toc195560262" </w:instrText>
          </w:r>
          <w:r>
            <w:fldChar w:fldCharType="separate"/>
          </w:r>
          <w:r>
            <w:rPr>
              <w:rStyle w:val="17"/>
              <w:rFonts w:hint="eastAsia" w:ascii="黑体" w:hAnsi="黑体" w:eastAsia="黑体" w:cs="宋体"/>
              <w:kern w:val="0"/>
              <w:sz w:val="24"/>
            </w:rPr>
            <w:t>四、预算管理情况分析</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_Toc195560262 \h</w:instrText>
          </w:r>
          <w:r>
            <w:rPr>
              <w:rFonts w:hint="eastAsia"/>
              <w:sz w:val="24"/>
            </w:rPr>
            <w:instrText xml:space="preserve"> </w:instrText>
          </w:r>
          <w:r>
            <w:rPr>
              <w:rFonts w:hint="eastAsia"/>
              <w:sz w:val="24"/>
            </w:rPr>
            <w:fldChar w:fldCharType="separate"/>
          </w:r>
          <w:r>
            <w:rPr>
              <w:sz w:val="24"/>
            </w:rPr>
            <w:t>- 9 -</w:t>
          </w:r>
          <w:r>
            <w:rPr>
              <w:rFonts w:hint="eastAsia"/>
              <w:sz w:val="24"/>
            </w:rPr>
            <w:fldChar w:fldCharType="end"/>
          </w:r>
          <w:r>
            <w:rPr>
              <w:rFonts w:hint="eastAsia"/>
              <w:sz w:val="24"/>
            </w:rPr>
            <w:fldChar w:fldCharType="end"/>
          </w:r>
        </w:p>
        <w:p w14:paraId="3A2F5DDF">
          <w:pPr>
            <w:pStyle w:val="11"/>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"_Toc195560263" </w:instrText>
          </w:r>
          <w:r>
            <w:fldChar w:fldCharType="separate"/>
          </w:r>
          <w:r>
            <w:rPr>
              <w:rStyle w:val="17"/>
              <w:rFonts w:hint="eastAsia" w:ascii="楷体_GB2312" w:eastAsia="楷体_GB2312"/>
              <w:sz w:val="24"/>
            </w:rPr>
            <w:t>（一）财务管理</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_Toc195560263 \h</w:instrText>
          </w:r>
          <w:r>
            <w:rPr>
              <w:rFonts w:hint="eastAsia"/>
              <w:sz w:val="24"/>
            </w:rPr>
            <w:instrText xml:space="preserve"> </w:instrText>
          </w:r>
          <w:r>
            <w:rPr>
              <w:rFonts w:hint="eastAsia"/>
              <w:sz w:val="24"/>
            </w:rPr>
            <w:fldChar w:fldCharType="separate"/>
          </w:r>
          <w:r>
            <w:rPr>
              <w:sz w:val="24"/>
            </w:rPr>
            <w:t>- 9 -</w:t>
          </w:r>
          <w:r>
            <w:rPr>
              <w:rFonts w:hint="eastAsia"/>
              <w:sz w:val="24"/>
            </w:rPr>
            <w:fldChar w:fldCharType="end"/>
          </w:r>
          <w:r>
            <w:rPr>
              <w:rFonts w:hint="eastAsia"/>
              <w:sz w:val="24"/>
            </w:rPr>
            <w:fldChar w:fldCharType="end"/>
          </w:r>
        </w:p>
        <w:p w14:paraId="4630FE0A">
          <w:pPr>
            <w:pStyle w:val="11"/>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"_Toc195560264" </w:instrText>
          </w:r>
          <w:r>
            <w:fldChar w:fldCharType="separate"/>
          </w:r>
          <w:r>
            <w:rPr>
              <w:rStyle w:val="17"/>
              <w:rFonts w:hint="eastAsia" w:ascii="楷体_GB2312" w:eastAsia="楷体_GB2312"/>
              <w:sz w:val="24"/>
            </w:rPr>
            <w:t>（二）资产管理</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_Toc195560264 \h</w:instrText>
          </w:r>
          <w:r>
            <w:rPr>
              <w:rFonts w:hint="eastAsia"/>
              <w:sz w:val="24"/>
            </w:rPr>
            <w:instrText xml:space="preserve"> </w:instrText>
          </w:r>
          <w:r>
            <w:rPr>
              <w:rFonts w:hint="eastAsia"/>
              <w:sz w:val="24"/>
            </w:rPr>
            <w:fldChar w:fldCharType="separate"/>
          </w:r>
          <w:r>
            <w:rPr>
              <w:sz w:val="24"/>
            </w:rPr>
            <w:t>- 10 -</w:t>
          </w:r>
          <w:r>
            <w:rPr>
              <w:rFonts w:hint="eastAsia"/>
              <w:sz w:val="24"/>
            </w:rPr>
            <w:fldChar w:fldCharType="end"/>
          </w:r>
          <w:r>
            <w:rPr>
              <w:rFonts w:hint="eastAsia"/>
              <w:sz w:val="24"/>
            </w:rPr>
            <w:fldChar w:fldCharType="end"/>
          </w:r>
        </w:p>
        <w:p w14:paraId="608EB127">
          <w:pPr>
            <w:pStyle w:val="11"/>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"_Toc195560265" </w:instrText>
          </w:r>
          <w:r>
            <w:fldChar w:fldCharType="separate"/>
          </w:r>
          <w:r>
            <w:rPr>
              <w:rStyle w:val="17"/>
              <w:rFonts w:hint="eastAsia" w:ascii="楷体_GB2312" w:eastAsia="楷体_GB2312"/>
              <w:sz w:val="24"/>
            </w:rPr>
            <w:t>（三）绩效管理</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_Toc195560265 \h</w:instrText>
          </w:r>
          <w:r>
            <w:rPr>
              <w:rFonts w:hint="eastAsia"/>
              <w:sz w:val="24"/>
            </w:rPr>
            <w:instrText xml:space="preserve"> </w:instrText>
          </w:r>
          <w:r>
            <w:rPr>
              <w:rFonts w:hint="eastAsia"/>
              <w:sz w:val="24"/>
            </w:rPr>
            <w:fldChar w:fldCharType="separate"/>
          </w:r>
          <w:r>
            <w:rPr>
              <w:sz w:val="24"/>
            </w:rPr>
            <w:t>- 10 -</w:t>
          </w:r>
          <w:r>
            <w:rPr>
              <w:rFonts w:hint="eastAsia"/>
              <w:sz w:val="24"/>
            </w:rPr>
            <w:fldChar w:fldCharType="end"/>
          </w:r>
          <w:r>
            <w:rPr>
              <w:rFonts w:hint="eastAsia"/>
              <w:sz w:val="24"/>
            </w:rPr>
            <w:fldChar w:fldCharType="end"/>
          </w:r>
        </w:p>
        <w:p w14:paraId="5D2F181B">
          <w:pPr>
            <w:pStyle w:val="11"/>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"_Toc195560266" </w:instrText>
          </w:r>
          <w:r>
            <w:fldChar w:fldCharType="separate"/>
          </w:r>
          <w:r>
            <w:rPr>
              <w:rStyle w:val="17"/>
              <w:rFonts w:hint="eastAsia" w:ascii="楷体_GB2312" w:eastAsia="楷体_GB2312"/>
              <w:sz w:val="24"/>
            </w:rPr>
            <w:t>（四）结转结余率</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_Toc195560266 \h</w:instrText>
          </w:r>
          <w:r>
            <w:rPr>
              <w:rFonts w:hint="eastAsia"/>
              <w:sz w:val="24"/>
            </w:rPr>
            <w:instrText xml:space="preserve"> </w:instrText>
          </w:r>
          <w:r>
            <w:rPr>
              <w:rFonts w:hint="eastAsia"/>
              <w:sz w:val="24"/>
            </w:rPr>
            <w:fldChar w:fldCharType="separate"/>
          </w:r>
          <w:r>
            <w:rPr>
              <w:sz w:val="24"/>
            </w:rPr>
            <w:t>- 11 -</w:t>
          </w:r>
          <w:r>
            <w:rPr>
              <w:rFonts w:hint="eastAsia"/>
              <w:sz w:val="24"/>
            </w:rPr>
            <w:fldChar w:fldCharType="end"/>
          </w:r>
          <w:r>
            <w:rPr>
              <w:rFonts w:hint="eastAsia"/>
              <w:sz w:val="24"/>
            </w:rPr>
            <w:fldChar w:fldCharType="end"/>
          </w:r>
        </w:p>
        <w:p w14:paraId="72BCB612">
          <w:pPr>
            <w:pStyle w:val="11"/>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"_Toc195560267" </w:instrText>
          </w:r>
          <w:r>
            <w:fldChar w:fldCharType="separate"/>
          </w:r>
          <w:r>
            <w:rPr>
              <w:rStyle w:val="17"/>
              <w:rFonts w:hint="eastAsia" w:ascii="楷体_GB2312" w:eastAsia="楷体_GB2312"/>
              <w:sz w:val="24"/>
            </w:rPr>
            <w:t>（五）部门预决算差异率</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_Toc195560267 \h</w:instrText>
          </w:r>
          <w:r>
            <w:rPr>
              <w:rFonts w:hint="eastAsia"/>
              <w:sz w:val="24"/>
            </w:rPr>
            <w:instrText xml:space="preserve"> </w:instrText>
          </w:r>
          <w:r>
            <w:rPr>
              <w:rFonts w:hint="eastAsia"/>
              <w:sz w:val="24"/>
            </w:rPr>
            <w:fldChar w:fldCharType="separate"/>
          </w:r>
          <w:r>
            <w:rPr>
              <w:sz w:val="24"/>
            </w:rPr>
            <w:t>- 12 -</w:t>
          </w:r>
          <w:r>
            <w:rPr>
              <w:rFonts w:hint="eastAsia"/>
              <w:sz w:val="24"/>
            </w:rPr>
            <w:fldChar w:fldCharType="end"/>
          </w:r>
          <w:r>
            <w:rPr>
              <w:rFonts w:hint="eastAsia"/>
              <w:sz w:val="24"/>
            </w:rPr>
            <w:fldChar w:fldCharType="end"/>
          </w:r>
        </w:p>
        <w:p w14:paraId="4CA1D0D1">
          <w:pPr>
            <w:pStyle w:val="10"/>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"_Toc195560268" </w:instrText>
          </w:r>
          <w:r>
            <w:fldChar w:fldCharType="separate"/>
          </w:r>
          <w:r>
            <w:rPr>
              <w:rStyle w:val="17"/>
              <w:rFonts w:hint="eastAsia" w:ascii="黑体" w:hAnsi="黑体" w:eastAsia="黑体" w:cs="宋体"/>
              <w:kern w:val="0"/>
              <w:sz w:val="24"/>
            </w:rPr>
            <w:t>五、总体评价结论</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_Toc195560268 \h</w:instrText>
          </w:r>
          <w:r>
            <w:rPr>
              <w:rFonts w:hint="eastAsia"/>
              <w:sz w:val="24"/>
            </w:rPr>
            <w:instrText xml:space="preserve"> </w:instrText>
          </w:r>
          <w:r>
            <w:rPr>
              <w:rFonts w:hint="eastAsia"/>
              <w:sz w:val="24"/>
            </w:rPr>
            <w:fldChar w:fldCharType="separate"/>
          </w:r>
          <w:r>
            <w:rPr>
              <w:sz w:val="24"/>
            </w:rPr>
            <w:t>- 12 -</w:t>
          </w:r>
          <w:r>
            <w:rPr>
              <w:rFonts w:hint="eastAsia"/>
              <w:sz w:val="24"/>
            </w:rPr>
            <w:fldChar w:fldCharType="end"/>
          </w:r>
          <w:r>
            <w:rPr>
              <w:rFonts w:hint="eastAsia"/>
              <w:sz w:val="24"/>
            </w:rPr>
            <w:fldChar w:fldCharType="end"/>
          </w:r>
        </w:p>
        <w:p w14:paraId="76D4BA90">
          <w:pPr>
            <w:pStyle w:val="11"/>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"_Toc195560269" </w:instrText>
          </w:r>
          <w:r>
            <w:fldChar w:fldCharType="separate"/>
          </w:r>
          <w:r>
            <w:rPr>
              <w:rStyle w:val="17"/>
              <w:rFonts w:hint="eastAsia" w:ascii="楷体_GB2312" w:eastAsia="楷体_GB2312"/>
              <w:sz w:val="24"/>
            </w:rPr>
            <w:t>（一）评价得分情况</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_Toc195560269 \h</w:instrText>
          </w:r>
          <w:r>
            <w:rPr>
              <w:rFonts w:hint="eastAsia"/>
              <w:sz w:val="24"/>
            </w:rPr>
            <w:instrText xml:space="preserve"> </w:instrText>
          </w:r>
          <w:r>
            <w:rPr>
              <w:rFonts w:hint="eastAsia"/>
              <w:sz w:val="24"/>
            </w:rPr>
            <w:fldChar w:fldCharType="separate"/>
          </w:r>
          <w:r>
            <w:rPr>
              <w:sz w:val="24"/>
            </w:rPr>
            <w:t>- 12 -</w:t>
          </w:r>
          <w:r>
            <w:rPr>
              <w:rFonts w:hint="eastAsia"/>
              <w:sz w:val="24"/>
            </w:rPr>
            <w:fldChar w:fldCharType="end"/>
          </w:r>
          <w:r>
            <w:rPr>
              <w:rFonts w:hint="eastAsia"/>
              <w:sz w:val="24"/>
            </w:rPr>
            <w:fldChar w:fldCharType="end"/>
          </w:r>
        </w:p>
        <w:p w14:paraId="5A0621F1">
          <w:pPr>
            <w:pStyle w:val="11"/>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"_Toc195560270" </w:instrText>
          </w:r>
          <w:r>
            <w:fldChar w:fldCharType="separate"/>
          </w:r>
          <w:r>
            <w:rPr>
              <w:rStyle w:val="17"/>
              <w:rFonts w:hint="eastAsia" w:ascii="楷体_GB2312" w:eastAsia="楷体_GB2312"/>
              <w:sz w:val="24"/>
            </w:rPr>
            <w:t>（二）存在的问题及原因分析</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_Toc195560270 \h</w:instrText>
          </w:r>
          <w:r>
            <w:rPr>
              <w:rFonts w:hint="eastAsia"/>
              <w:sz w:val="24"/>
            </w:rPr>
            <w:instrText xml:space="preserve"> </w:instrText>
          </w:r>
          <w:r>
            <w:rPr>
              <w:rFonts w:hint="eastAsia"/>
              <w:sz w:val="24"/>
            </w:rPr>
            <w:fldChar w:fldCharType="separate"/>
          </w:r>
          <w:r>
            <w:rPr>
              <w:sz w:val="24"/>
            </w:rPr>
            <w:t>- 12 -</w:t>
          </w:r>
          <w:r>
            <w:rPr>
              <w:rFonts w:hint="eastAsia"/>
              <w:sz w:val="24"/>
            </w:rPr>
            <w:fldChar w:fldCharType="end"/>
          </w:r>
          <w:r>
            <w:rPr>
              <w:rFonts w:hint="eastAsia"/>
              <w:sz w:val="24"/>
            </w:rPr>
            <w:fldChar w:fldCharType="end"/>
          </w:r>
        </w:p>
        <w:p w14:paraId="38510FAA">
          <w:pPr>
            <w:pStyle w:val="10"/>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"_Toc195560271" </w:instrText>
          </w:r>
          <w:r>
            <w:fldChar w:fldCharType="separate"/>
          </w:r>
          <w:r>
            <w:rPr>
              <w:rStyle w:val="17"/>
              <w:rFonts w:hint="eastAsia" w:ascii="黑体" w:hAnsi="黑体" w:eastAsia="黑体" w:cs="宋体"/>
              <w:kern w:val="0"/>
              <w:sz w:val="24"/>
            </w:rPr>
            <w:t>六、措施建议（整改措施、下一步工作举措）</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_Toc195560271 \h</w:instrText>
          </w:r>
          <w:r>
            <w:rPr>
              <w:rFonts w:hint="eastAsia"/>
              <w:sz w:val="24"/>
            </w:rPr>
            <w:instrText xml:space="preserve"> </w:instrText>
          </w:r>
          <w:r>
            <w:rPr>
              <w:rFonts w:hint="eastAsia"/>
              <w:sz w:val="24"/>
            </w:rPr>
            <w:fldChar w:fldCharType="separate"/>
          </w:r>
          <w:r>
            <w:rPr>
              <w:sz w:val="24"/>
            </w:rPr>
            <w:t>- 13 -</w:t>
          </w:r>
          <w:r>
            <w:rPr>
              <w:rFonts w:hint="eastAsia"/>
              <w:sz w:val="24"/>
            </w:rPr>
            <w:fldChar w:fldCharType="end"/>
          </w:r>
          <w:r>
            <w:rPr>
              <w:rFonts w:hint="eastAsia"/>
              <w:sz w:val="24"/>
            </w:rPr>
            <w:fldChar w:fldCharType="end"/>
          </w:r>
        </w:p>
        <w:p w14:paraId="15D15F56">
          <w:pPr>
            <w:spacing w:line="560" w:lineRule="exact"/>
            <w:ind w:left="160" w:firstLine="480"/>
            <w:jc w:val="center"/>
            <w:rPr>
              <w:rFonts w:ascii="方正小标宋简体" w:eastAsia="方正小标宋简体"/>
              <w:color w:val="000000" w:themeColor="text1"/>
              <w:sz w:val="36"/>
              <w:szCs w:val="36"/>
              <w14:textFill>
                <w14:solidFill>
                  <w14:schemeClr w14:val="tx1"/>
                </w14:solidFill>
              </w14:textFill>
            </w:rPr>
          </w:pPr>
          <w:r>
            <w:rPr>
              <w:rFonts w:hint="eastAsia" w:ascii="仿宋_GB2312" w:hAnsi="仿宋_GB2312" w:eastAsia="仿宋_GB2312" w:cs="仿宋_GB2312"/>
              <w:bCs/>
              <w:kern w:val="0"/>
              <w:sz w:val="24"/>
            </w:rPr>
            <w:fldChar w:fldCharType="end"/>
          </w:r>
        </w:p>
      </w:sdtContent>
    </w:sdt>
    <w:p w14:paraId="59A62B32">
      <w:pPr>
        <w:ind w:firstLine="883"/>
        <w:jc w:val="center"/>
        <w:rPr>
          <w:rFonts w:hint="eastAsia" w:ascii="宋体" w:hAnsi="宋体" w:cs="宋体"/>
          <w:b/>
          <w:bCs/>
          <w:sz w:val="44"/>
          <w:szCs w:val="44"/>
        </w:rPr>
        <w:sectPr>
          <w:footerReference r:id="rId4" w:type="default"/>
          <w:pgSz w:w="11906" w:h="16838"/>
          <w:pgMar w:top="1440" w:right="1800" w:bottom="1440" w:left="1800" w:header="851" w:footer="992" w:gutter="0"/>
          <w:pgNumType w:fmt="numberInDash" w:start="0"/>
          <w:cols w:space="425" w:num="1"/>
          <w:titlePg/>
          <w:docGrid w:type="lines" w:linePitch="312" w:charSpace="0"/>
        </w:sectPr>
      </w:pPr>
    </w:p>
    <w:p w14:paraId="15036198">
      <w:pPr>
        <w:jc w:val="center"/>
        <w:rPr>
          <w:rFonts w:hint="eastAsia" w:ascii="方正小标宋简体" w:hAnsi="宋体" w:eastAsia="方正小标宋简体" w:cs="宋体"/>
          <w:b/>
          <w:bCs/>
          <w:sz w:val="36"/>
          <w:szCs w:val="36"/>
        </w:rPr>
      </w:pPr>
      <w:r>
        <w:rPr>
          <w:rFonts w:hint="eastAsia" w:ascii="方正小标宋简体" w:hAnsi="宋体" w:eastAsia="方正小标宋简体" w:cs="宋体"/>
          <w:b/>
          <w:bCs/>
          <w:sz w:val="36"/>
          <w:szCs w:val="36"/>
        </w:rPr>
        <w:t>北京市人民检察院第三分院</w:t>
      </w:r>
    </w:p>
    <w:p w14:paraId="3DC3BAFE">
      <w:pPr>
        <w:jc w:val="center"/>
        <w:rPr>
          <w:rFonts w:hint="eastAsia" w:ascii="方正小标宋简体" w:hAnsi="宋体" w:eastAsia="方正小标宋简体" w:cs="宋体"/>
          <w:b/>
          <w:bCs/>
          <w:sz w:val="36"/>
          <w:szCs w:val="36"/>
        </w:rPr>
      </w:pPr>
      <w:r>
        <w:rPr>
          <w:rFonts w:hint="eastAsia" w:ascii="方正小标宋简体" w:hAnsi="宋体" w:eastAsia="方正小标宋简体" w:cs="宋体"/>
          <w:b/>
          <w:bCs/>
          <w:sz w:val="36"/>
          <w:szCs w:val="36"/>
        </w:rPr>
        <w:t>2024年度部门整体绩效评价报告</w:t>
      </w:r>
    </w:p>
    <w:p w14:paraId="40D33AFA">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为进一步加强预算绩效管理，强化支出责任，提高财政资金使用效益，考核财政支出效率和综合效果，根据《中共北京市委 北京市人民政府关于全面实施预算绩效管理的实施意见》（京发〔2019〕12号）、《北京市项目支出绩效评价管理办法》（京财绩效〔2020〕2146号），结合《北京市财政局关于2025年预算绩效管理工作的通知》（京财绩效〔2025〕245号）等要求，北京市人民检察院第三分院（以下简称“市检三分院”或“本院”）组建绩效评价工作组，对2024年度部门整体实施绩效评价，形成本绩效评价报告。</w:t>
      </w:r>
    </w:p>
    <w:p w14:paraId="4F0664D2">
      <w:pPr>
        <w:spacing w:line="600" w:lineRule="exact"/>
        <w:ind w:firstLine="640" w:firstLineChars="200"/>
        <w:outlineLvl w:val="0"/>
        <w:rPr>
          <w:rFonts w:hint="eastAsia" w:ascii="黑体" w:hAnsi="黑体" w:eastAsia="黑体" w:cs="宋体"/>
          <w:color w:val="000000" w:themeColor="text1"/>
          <w:kern w:val="0"/>
          <w:sz w:val="32"/>
          <w:szCs w:val="32"/>
          <w14:textFill>
            <w14:solidFill>
              <w14:schemeClr w14:val="tx1"/>
            </w14:solidFill>
          </w14:textFill>
        </w:rPr>
      </w:pPr>
      <w:bookmarkStart w:id="0" w:name="_Toc195560255"/>
      <w:r>
        <w:rPr>
          <w:rFonts w:hint="eastAsia" w:ascii="黑体" w:hAnsi="黑体" w:eastAsia="黑体" w:cs="宋体"/>
          <w:color w:val="000000" w:themeColor="text1"/>
          <w:kern w:val="0"/>
          <w:sz w:val="32"/>
          <w:szCs w:val="32"/>
          <w14:textFill>
            <w14:solidFill>
              <w14:schemeClr w14:val="tx1"/>
            </w14:solidFill>
          </w14:textFill>
        </w:rPr>
        <w:t>一、部门概况</w:t>
      </w:r>
      <w:bookmarkEnd w:id="0"/>
    </w:p>
    <w:p w14:paraId="4356AB00">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1" w:name="_Toc195560256"/>
      <w:r>
        <w:rPr>
          <w:rFonts w:hint="eastAsia" w:ascii="楷体_GB2312" w:eastAsia="楷体_GB2312"/>
          <w:color w:val="000000" w:themeColor="text1"/>
          <w:sz w:val="32"/>
          <w:szCs w:val="32"/>
          <w14:textFill>
            <w14:solidFill>
              <w14:schemeClr w14:val="tx1"/>
            </w14:solidFill>
          </w14:textFill>
        </w:rPr>
        <w:t>（一）机构设置及职责工作任务情况</w:t>
      </w:r>
      <w:bookmarkEnd w:id="1"/>
    </w:p>
    <w:p w14:paraId="5C146232">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1.机构设置</w:t>
      </w:r>
    </w:p>
    <w:p w14:paraId="6EEAE940">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北京市人民检察院第三分院属于法律监督机关。管辖北京市朝阳区、通州区、顺义区、怀柔区、平谷区、密云区地域内依法律规定由其办理的案件。按照《北京市检察机关内设机构改革方案》要求，市检三分院下设办公室、第一检察部、第二检察部、第三检察部、第四检察部、第五检察部、第六检察部、第七检察部、第八检察部、第九检察部（法律政策研究室）、检务督察部、行政事务管理部、政治部、机关党委（党建工作处）、机关纪委共计15个内设机构。</w:t>
      </w:r>
    </w:p>
    <w:p w14:paraId="1F66EFE2">
      <w:pPr>
        <w:keepNext/>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2.机构职责</w:t>
      </w:r>
    </w:p>
    <w:p w14:paraId="57B53AEC">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市检三分院的主要职责包括：负责受理审查属本院管辖提请逮捕的案件；负责受理属本院管辖提起公诉的案件，并出庭支持公诉；负责公安机关不服区人民检察院不捕决定而提请复核的案件；负责对案件管辖范围内刑事上诉、抗诉案件和基层法院已发生法律效力判决的监督；负责受理案件管辖范围内公民和法人的检举、控告、申诉案件；负责对案件管辖范围内的民事、经济、行政诉讼判决的监督；受理案件管辖范围内的涉外案件；负责对管辖范围内公安机关侦查工作的法律监督；负责对管辖范围内监管场所收押人犯、罪犯改造工作的监督；负责对应由分院管辖的国家赔偿案件的审查及不服区人民检察院处理的赔偿案件的复议；负责本院的队伍建设和权限内的干部人事管理工作；负责本院纪律检查和行政监察工作；负责本院的后勤管理和物资装备工作；负责市人民检察院交办的有关工作。</w:t>
      </w:r>
    </w:p>
    <w:p w14:paraId="0F4C7377">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3.工作任务情况</w:t>
      </w:r>
    </w:p>
    <w:p w14:paraId="02F656C1">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2024年，在市委、市院坚强领导下，本院坚持以习近平新时代中国特色社会主义思想为指导，全面贯彻落实党的二十大和二十届二中、三中全会精神，以“四院”建设目标为牵引，主动服务首都高质量发展大局，积极融入全面深化检察改革全局，忠实履行法律监督职责，各项工作取得新进展。</w:t>
      </w:r>
    </w:p>
    <w:p w14:paraId="6085CE41">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2" w:name="_Toc195560257"/>
      <w:r>
        <w:rPr>
          <w:rFonts w:hint="eastAsia" w:ascii="楷体_GB2312" w:eastAsia="楷体_GB2312"/>
          <w:color w:val="000000" w:themeColor="text1"/>
          <w:sz w:val="32"/>
          <w:szCs w:val="32"/>
          <w14:textFill>
            <w14:solidFill>
              <w14:schemeClr w14:val="tx1"/>
            </w14:solidFill>
          </w14:textFill>
        </w:rPr>
        <w:t>（二）部门整体绩效目标设立情况</w:t>
      </w:r>
      <w:bookmarkEnd w:id="2"/>
    </w:p>
    <w:p w14:paraId="37FF5AC0">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1</w:t>
      </w:r>
      <w:bookmarkStart w:id="3" w:name="OLE_LINK4"/>
      <w:r>
        <w:rPr>
          <w:rFonts w:hint="eastAsia" w:ascii="仿宋_GB2312" w:hAnsi="仿宋" w:eastAsia="仿宋_GB2312" w:cs="仿宋"/>
          <w:color w:val="000000" w:themeColor="text1"/>
          <w:kern w:val="0"/>
          <w:sz w:val="32"/>
          <w:szCs w:val="32"/>
          <w14:textFill>
            <w14:solidFill>
              <w14:schemeClr w14:val="tx1"/>
            </w14:solidFill>
          </w14:textFill>
        </w:rPr>
        <w:t>.</w:t>
      </w:r>
      <w:bookmarkEnd w:id="3"/>
      <w:r>
        <w:rPr>
          <w:rFonts w:hint="eastAsia" w:ascii="仿宋_GB2312" w:hAnsi="仿宋" w:eastAsia="仿宋_GB2312" w:cs="仿宋"/>
          <w:color w:val="000000" w:themeColor="text1"/>
          <w:kern w:val="0"/>
          <w:sz w:val="32"/>
          <w:szCs w:val="32"/>
          <w14:textFill>
            <w14:solidFill>
              <w14:schemeClr w14:val="tx1"/>
            </w14:solidFill>
          </w14:textFill>
        </w:rPr>
        <w:t>绩效目标设立依据</w:t>
      </w:r>
    </w:p>
    <w:p w14:paraId="160916E8">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（1）《中国共产党政法工作条例》；</w:t>
      </w:r>
    </w:p>
    <w:p w14:paraId="75C09154">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（2）中共北京市委贯彻《中共中央关于加强新时代检察机关法律监督工作的意见》的实施意见；</w:t>
      </w:r>
    </w:p>
    <w:p w14:paraId="7794358E">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（3）“十四五”时期检务保障工作发展规划；</w:t>
      </w:r>
    </w:p>
    <w:p w14:paraId="0BD7741D">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（4）北京市人民检察院第三分院单位职能；</w:t>
      </w:r>
    </w:p>
    <w:p w14:paraId="638E22D2">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（5）北京市人民检察院第三分院年度工作计划；</w:t>
      </w:r>
    </w:p>
    <w:p w14:paraId="5EDACB85">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（6）北京市人民检察院第三分院单位内部控制制度；</w:t>
      </w:r>
    </w:p>
    <w:p w14:paraId="0ABEA97A">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（7）国家和北京市相关法规、规章制度；</w:t>
      </w:r>
    </w:p>
    <w:p w14:paraId="62A4666B">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（8）相关历史数据、行业标准、计划标准等。</w:t>
      </w:r>
    </w:p>
    <w:p w14:paraId="7FBCFFDD">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2.目标设置情况</w:t>
      </w:r>
    </w:p>
    <w:p w14:paraId="10B0AC5C">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北京市人民检察院第三分院部门整体绩效目标紧紧围绕2024年度重点任务及责任分工等要求制定，既充分体现了职责职能和常规工作任务，也结合特殊重要时点，突出体现了年度新增特色重点工作内容。</w:t>
      </w:r>
    </w:p>
    <w:p w14:paraId="08467BEB">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整体绩效目标：深入学习贯彻和习近平法治思想，始终坚持过紧日子思想，以分院检察职能的充分履行，全力以赴抓好全年检察工作任务完成。（1）抓好学习贯彻。（2）抓好全面从严治党主体责任落实。（3）依法履职全力服务首都工作大局。（4）强化执法司法制约监督体系建设。（5）严字当头强化队伍管理。</w:t>
      </w:r>
    </w:p>
    <w:p w14:paraId="403858D7">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绩效指标：（1）规范单位内部管理要求，提高财务部门日常工作效率和质量。（2）安全使用租赁的办公楼；安检安保服务标准高；信息化系统建设和运维项目系统正常运行率等于100%。（3）网络连接稳定，信息化系统建设和运维软件、硬件维护数量500项；保障全年开展检察工作检察工作300项以上。（4）满意度大于等于95%。</w:t>
      </w:r>
    </w:p>
    <w:p w14:paraId="285231F4">
      <w:pPr>
        <w:spacing w:line="600" w:lineRule="exact"/>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3.目标合理性：根据上述绩效目标设立依据和目标与职责任务匹配情况分析，设立的</w:t>
      </w:r>
      <w:r>
        <w:rPr>
          <w:rFonts w:hint="eastAsia" w:ascii="仿宋_GB2312" w:hAnsi="仿宋" w:eastAsia="仿宋_GB2312" w:cs="仿宋"/>
          <w:color w:val="000000" w:themeColor="text1"/>
          <w:kern w:val="0"/>
          <w:sz w:val="32"/>
          <w:szCs w:val="32"/>
          <w:lang w:eastAsia="zh-CN"/>
          <w14:textFill>
            <w14:solidFill>
              <w14:schemeClr w14:val="tx1"/>
            </w14:solidFill>
          </w14:textFill>
        </w:rPr>
        <w:t>绩效</w:t>
      </w:r>
      <w:r>
        <w:rPr>
          <w:rFonts w:hint="eastAsia" w:ascii="仿宋_GB2312" w:hAnsi="仿宋" w:eastAsia="仿宋_GB2312" w:cs="仿宋"/>
          <w:color w:val="000000" w:themeColor="text1"/>
          <w:kern w:val="0"/>
          <w:sz w:val="32"/>
          <w:szCs w:val="32"/>
          <w14:textFill>
            <w14:solidFill>
              <w14:schemeClr w14:val="tx1"/>
            </w14:solidFill>
          </w14:textFill>
        </w:rPr>
        <w:t>目标</w:t>
      </w:r>
      <w:r>
        <w:rPr>
          <w:rFonts w:hint="eastAsia" w:ascii="仿宋_GB2312" w:hAnsi="仿宋" w:eastAsia="仿宋_GB2312" w:cs="仿宋"/>
          <w:color w:val="000000" w:themeColor="text1"/>
          <w:kern w:val="0"/>
          <w:sz w:val="32"/>
          <w:szCs w:val="32"/>
          <w:lang w:eastAsia="zh-CN"/>
          <w14:textFill>
            <w14:solidFill>
              <w14:schemeClr w14:val="tx1"/>
            </w14:solidFill>
          </w14:textFill>
        </w:rPr>
        <w:t>科学</w:t>
      </w:r>
      <w:r>
        <w:rPr>
          <w:rFonts w:hint="eastAsia" w:ascii="仿宋_GB2312" w:hAnsi="仿宋" w:eastAsia="仿宋_GB2312" w:cs="仿宋"/>
          <w:color w:val="000000" w:themeColor="text1"/>
          <w:kern w:val="0"/>
          <w:sz w:val="32"/>
          <w:szCs w:val="32"/>
          <w14:textFill>
            <w14:solidFill>
              <w14:schemeClr w14:val="tx1"/>
            </w14:solidFill>
          </w14:textFill>
        </w:rPr>
        <w:t>合理。</w:t>
      </w:r>
    </w:p>
    <w:p w14:paraId="7453233F">
      <w:pPr>
        <w:spacing w:line="600" w:lineRule="exact"/>
        <w:ind w:firstLine="640" w:firstLineChars="200"/>
        <w:outlineLvl w:val="0"/>
        <w:rPr>
          <w:rFonts w:hint="eastAsia" w:ascii="黑体" w:hAnsi="黑体" w:eastAsia="黑体" w:cs="宋体"/>
          <w:color w:val="000000" w:themeColor="text1"/>
          <w:kern w:val="0"/>
          <w:sz w:val="32"/>
          <w:szCs w:val="32"/>
          <w14:textFill>
            <w14:solidFill>
              <w14:schemeClr w14:val="tx1"/>
            </w14:solidFill>
          </w14:textFill>
        </w:rPr>
      </w:pPr>
      <w:bookmarkStart w:id="4" w:name="_Toc195560258"/>
      <w:r>
        <w:rPr>
          <w:rFonts w:hint="eastAsia" w:ascii="黑体" w:hAnsi="黑体" w:eastAsia="黑体" w:cs="宋体"/>
          <w:color w:val="000000" w:themeColor="text1"/>
          <w:kern w:val="0"/>
          <w:sz w:val="32"/>
          <w:szCs w:val="32"/>
          <w14:textFill>
            <w14:solidFill>
              <w14:schemeClr w14:val="tx1"/>
            </w14:solidFill>
          </w14:textFill>
        </w:rPr>
        <w:t>二</w:t>
      </w:r>
      <w:r>
        <w:rPr>
          <w:rFonts w:ascii="黑体" w:hAnsi="黑体" w:eastAsia="黑体" w:cs="宋体"/>
          <w:color w:val="000000" w:themeColor="text1"/>
          <w:kern w:val="0"/>
          <w:sz w:val="32"/>
          <w:szCs w:val="32"/>
          <w14:textFill>
            <w14:solidFill>
              <w14:schemeClr w14:val="tx1"/>
            </w14:solidFill>
          </w14:textFill>
        </w:rPr>
        <w:t>、</w:t>
      </w:r>
      <w:r>
        <w:rPr>
          <w:rFonts w:hint="eastAsia" w:ascii="黑体" w:hAnsi="黑体" w:eastAsia="黑体" w:cs="宋体"/>
          <w:color w:val="000000" w:themeColor="text1"/>
          <w:kern w:val="0"/>
          <w:sz w:val="32"/>
          <w:szCs w:val="32"/>
          <w14:textFill>
            <w14:solidFill>
              <w14:schemeClr w14:val="tx1"/>
            </w14:solidFill>
          </w14:textFill>
        </w:rPr>
        <w:t>当年</w:t>
      </w:r>
      <w:r>
        <w:rPr>
          <w:rFonts w:ascii="黑体" w:hAnsi="黑体" w:eastAsia="黑体" w:cs="宋体"/>
          <w:color w:val="000000" w:themeColor="text1"/>
          <w:kern w:val="0"/>
          <w:sz w:val="32"/>
          <w:szCs w:val="32"/>
          <w14:textFill>
            <w14:solidFill>
              <w14:schemeClr w14:val="tx1"/>
            </w14:solidFill>
          </w14:textFill>
        </w:rPr>
        <w:t>预算执行情况</w:t>
      </w:r>
      <w:bookmarkEnd w:id="4"/>
    </w:p>
    <w:p w14:paraId="347C1E46">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2024年全年预算数23,891.13万元，资金总体支出22,014.94万元，预算执行率为92.15%。</w:t>
      </w:r>
    </w:p>
    <w:p w14:paraId="18A23CF9">
      <w:pPr>
        <w:spacing w:line="600" w:lineRule="exact"/>
        <w:ind w:firstLine="640" w:firstLineChars="200"/>
        <w:outlineLvl w:val="0"/>
        <w:rPr>
          <w:rFonts w:hint="eastAsia" w:ascii="黑体" w:hAnsi="黑体" w:eastAsia="黑体" w:cs="宋体"/>
          <w:color w:val="000000" w:themeColor="text1"/>
          <w:kern w:val="0"/>
          <w:sz w:val="32"/>
          <w:szCs w:val="32"/>
          <w14:textFill>
            <w14:solidFill>
              <w14:schemeClr w14:val="tx1"/>
            </w14:solidFill>
          </w14:textFill>
        </w:rPr>
      </w:pPr>
      <w:bookmarkStart w:id="5" w:name="_Toc195560259"/>
      <w:r>
        <w:rPr>
          <w:rFonts w:hint="eastAsia" w:ascii="黑体" w:hAnsi="黑体" w:eastAsia="黑体" w:cs="宋体"/>
          <w:color w:val="000000" w:themeColor="text1"/>
          <w:kern w:val="0"/>
          <w:sz w:val="32"/>
          <w:szCs w:val="32"/>
          <w14:textFill>
            <w14:solidFill>
              <w14:schemeClr w14:val="tx1"/>
            </w14:solidFill>
          </w14:textFill>
        </w:rPr>
        <w:t>三</w:t>
      </w:r>
      <w:r>
        <w:rPr>
          <w:rFonts w:ascii="黑体" w:hAnsi="黑体" w:eastAsia="黑体" w:cs="宋体"/>
          <w:color w:val="000000" w:themeColor="text1"/>
          <w:kern w:val="0"/>
          <w:sz w:val="32"/>
          <w:szCs w:val="32"/>
          <w14:textFill>
            <w14:solidFill>
              <w14:schemeClr w14:val="tx1"/>
            </w14:solidFill>
          </w14:textFill>
        </w:rPr>
        <w:t>、整体绩效目标实现情况</w:t>
      </w:r>
      <w:bookmarkEnd w:id="5"/>
    </w:p>
    <w:p w14:paraId="2309D242">
      <w:pPr>
        <w:spacing w:line="600" w:lineRule="exact"/>
        <w:ind w:firstLine="640" w:firstLineChars="200"/>
        <w:outlineLvl w:val="1"/>
        <w:rPr>
          <w:rFonts w:ascii="楷体_GB2312" w:eastAsia="楷体_GB2312"/>
          <w:color w:val="000000" w:themeColor="text1"/>
          <w:sz w:val="32"/>
          <w:szCs w:val="32"/>
          <w:highlight w:val="none"/>
          <w14:textFill>
            <w14:solidFill>
              <w14:schemeClr w14:val="tx1"/>
            </w14:solidFill>
          </w14:textFill>
        </w:rPr>
      </w:pPr>
      <w:bookmarkStart w:id="6" w:name="_Toc195560260"/>
      <w:r>
        <w:rPr>
          <w:rFonts w:hint="eastAsia" w:ascii="楷体_GB2312" w:eastAsia="楷体_GB2312"/>
          <w:color w:val="000000" w:themeColor="text1"/>
          <w:sz w:val="32"/>
          <w:szCs w:val="32"/>
          <w:highlight w:val="none"/>
          <w14:textFill>
            <w14:solidFill>
              <w14:schemeClr w14:val="tx1"/>
            </w14:solidFill>
          </w14:textFill>
        </w:rPr>
        <w:t>（一）产出完成情况分析</w:t>
      </w:r>
      <w:bookmarkEnd w:id="6"/>
    </w:p>
    <w:p w14:paraId="4C9A8C80">
      <w:pPr>
        <w:spacing w:line="600" w:lineRule="exact"/>
        <w:ind w:firstLine="640" w:firstLineChars="200"/>
        <w:rPr>
          <w:rFonts w:hint="eastAsia" w:ascii="仿宋_GB2312" w:hAnsi="仿宋" w:eastAsia="仿宋_GB2312" w:cs="仿宋"/>
          <w:color w:val="000000" w:themeColor="text1"/>
          <w:kern w:val="0"/>
          <w:sz w:val="32"/>
          <w:szCs w:val="32"/>
          <w:highlight w:val="none"/>
          <w:lang w:eastAsia="zh-CN"/>
          <w14:textFill>
            <w14:solidFill>
              <w14:schemeClr w14:val="tx1"/>
            </w14:solidFill>
          </w14:textFill>
        </w:rPr>
      </w:pPr>
      <w:r>
        <w:rPr>
          <w:rFonts w:hint="eastAsia" w:ascii="仿宋_GB2312" w:hAnsi="仿宋" w:eastAsia="仿宋_GB2312" w:cs="仿宋"/>
          <w:color w:val="000000" w:themeColor="text1"/>
          <w:kern w:val="0"/>
          <w:sz w:val="32"/>
          <w:szCs w:val="32"/>
          <w:highlight w:val="none"/>
          <w14:textFill>
            <w14:solidFill>
              <w14:schemeClr w14:val="tx1"/>
            </w14:solidFill>
          </w14:textFill>
        </w:rPr>
        <w:t>全年受理四大检察案件3994件，审结3848件，审结率96.34%。27个案例入选、获评市级以上典型案例</w:t>
      </w:r>
      <w:r>
        <w:rPr>
          <w:rFonts w:hint="eastAsia" w:ascii="仿宋_GB2312" w:hAnsi="仿宋" w:eastAsia="仿宋_GB2312" w:cs="仿宋"/>
          <w:color w:val="000000" w:themeColor="text1"/>
          <w:kern w:val="0"/>
          <w:sz w:val="32"/>
          <w:szCs w:val="32"/>
          <w:highlight w:val="none"/>
          <w:lang w:eastAsia="zh-CN"/>
          <w14:textFill>
            <w14:solidFill>
              <w14:schemeClr w14:val="tx1"/>
            </w14:solidFill>
          </w14:textFill>
        </w:rPr>
        <w:t>。</w:t>
      </w:r>
    </w:p>
    <w:p w14:paraId="4AD3F17D">
      <w:pPr>
        <w:spacing w:line="600" w:lineRule="exact"/>
        <w:ind w:firstLine="640" w:firstLineChars="200"/>
        <w:rPr>
          <w:rFonts w:hint="eastAsia" w:ascii="仿宋_GB2312" w:hAnsi="仿宋" w:eastAsia="仿宋_GB2312" w:cs="仿宋"/>
          <w:color w:val="000000" w:themeColor="text1"/>
          <w:kern w:val="0"/>
          <w:sz w:val="32"/>
          <w:szCs w:val="32"/>
          <w:highlight w:val="none"/>
          <w14:textFill>
            <w14:solidFill>
              <w14:schemeClr w14:val="tx1"/>
            </w14:solidFill>
          </w14:textFill>
        </w:rPr>
      </w:pPr>
      <w:r>
        <w:rPr>
          <w:rFonts w:hint="eastAsia" w:ascii="仿宋_GB2312" w:hAnsi="仿宋" w:eastAsia="仿宋_GB2312" w:cs="仿宋"/>
          <w:color w:val="000000" w:themeColor="text1"/>
          <w:kern w:val="0"/>
          <w:sz w:val="32"/>
          <w:szCs w:val="32"/>
          <w:highlight w:val="none"/>
          <w14:textFill>
            <w14:solidFill>
              <w14:schemeClr w14:val="tx1"/>
            </w14:solidFill>
          </w14:textFill>
        </w:rPr>
        <w:t>1.产出数量</w:t>
      </w:r>
    </w:p>
    <w:p w14:paraId="488A2703">
      <w:pPr>
        <w:spacing w:line="600" w:lineRule="exact"/>
        <w:ind w:firstLine="640" w:firstLineChars="200"/>
        <w:rPr>
          <w:rFonts w:hint="eastAsia" w:ascii="仿宋_GB2312" w:hAnsi="仿宋" w:eastAsia="仿宋_GB2312" w:cs="仿宋"/>
          <w:color w:val="000000" w:themeColor="text1"/>
          <w:kern w:val="0"/>
          <w:sz w:val="32"/>
          <w:szCs w:val="32"/>
          <w:highlight w:val="none"/>
          <w14:textFill>
            <w14:solidFill>
              <w14:schemeClr w14:val="tx1"/>
            </w14:solidFill>
          </w14:textFill>
        </w:rPr>
      </w:pPr>
      <w:r>
        <w:rPr>
          <w:rFonts w:hint="eastAsia" w:ascii="仿宋_GB2312" w:hAnsi="仿宋" w:eastAsia="仿宋_GB2312" w:cs="仿宋"/>
          <w:color w:val="000000" w:themeColor="text1"/>
          <w:kern w:val="0"/>
          <w:sz w:val="32"/>
          <w:szCs w:val="32"/>
          <w:highlight w:val="none"/>
          <w14:textFill>
            <w14:solidFill>
              <w14:schemeClr w14:val="tx1"/>
            </w14:solidFill>
          </w14:textFill>
        </w:rPr>
        <w:t>全年受理四大检察案件3994件，审结3848件。</w:t>
      </w:r>
    </w:p>
    <w:p w14:paraId="6CFF058A">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2.产出质量</w:t>
      </w:r>
    </w:p>
    <w:p w14:paraId="52EDB0CC">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（1）坚持党对检察工作的绝对领导</w:t>
      </w:r>
    </w:p>
    <w:p w14:paraId="63373CE6">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认真贯彻落实《中国共产党政法工作条例》，严格执行重大事项请示报告制度，向市委、市院请示报告重大事项，</w:t>
      </w:r>
      <w:r>
        <w:rPr>
          <w:rFonts w:hint="eastAsia" w:ascii="仿宋_GB2312" w:hAnsi="仿宋" w:eastAsia="仿宋_GB2312" w:cs="仿宋"/>
          <w:color w:val="000000" w:themeColor="text1"/>
          <w:kern w:val="0"/>
          <w:sz w:val="32"/>
          <w:szCs w:val="32"/>
          <w:lang w:eastAsia="zh-CN"/>
          <w14:textFill>
            <w14:solidFill>
              <w14:schemeClr w14:val="tx1"/>
            </w14:solidFill>
          </w14:textFill>
        </w:rPr>
        <w:t>多</w:t>
      </w:r>
      <w:r>
        <w:rPr>
          <w:rFonts w:hint="eastAsia" w:ascii="仿宋_GB2312" w:hAnsi="仿宋" w:eastAsia="仿宋_GB2312" w:cs="仿宋"/>
          <w:color w:val="000000" w:themeColor="text1"/>
          <w:kern w:val="0"/>
          <w:sz w:val="32"/>
          <w:szCs w:val="32"/>
          <w14:textFill>
            <w14:solidFill>
              <w14:schemeClr w14:val="tx1"/>
            </w14:solidFill>
          </w14:textFill>
        </w:rPr>
        <w:t>份报告获市院主要领导批示。</w:t>
      </w:r>
    </w:p>
    <w:p w14:paraId="1FE09269">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（2）强化“思想要素”核心功能</w:t>
      </w:r>
    </w:p>
    <w:p w14:paraId="6794DE9F">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严格执行“第一议题”制度，组织学习44次，构建院党组、联合总支部、党支部上下联动学习格局，切实以理论清醒保证政治坚定。</w:t>
      </w:r>
    </w:p>
    <w:p w14:paraId="1E21A65D">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（3）增强党组织政治功能和组织功能</w:t>
      </w:r>
    </w:p>
    <w:p w14:paraId="42806436">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做实市院出台的党组成员兼任分管部门联合总支部书记机制，制定联合总支部书记履职工作指引、工作规范、工作台账，提升履职效能。强化党建引领，打造“‘四院’领航”院级党建品牌，牵引各支部品牌迭代升级形成党建品牌矩阵，2个党建品牌在市院文化品牌、党建业务融合等评比中获奖。</w:t>
      </w:r>
    </w:p>
    <w:p w14:paraId="05F82D00">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4</w:t>
      </w:r>
      <w:r>
        <w:rPr>
          <w:rFonts w:hint="eastAsia" w:ascii="仿宋_GB2312" w:hAnsi="仿宋" w:eastAsia="仿宋_GB2312" w:cs="仿宋"/>
          <w:color w:val="000000" w:themeColor="text1"/>
          <w:kern w:val="0"/>
          <w:sz w:val="32"/>
          <w:szCs w:val="32"/>
          <w14:textFill>
            <w14:solidFill>
              <w14:schemeClr w14:val="tx1"/>
            </w14:solidFill>
          </w14:textFill>
        </w:rPr>
        <w:t>）建设专业化高素质人才队伍</w:t>
      </w:r>
    </w:p>
    <w:p w14:paraId="57607BEB">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坚持党管干部，激发检察人员干事创业内生动力，多人获评市级以上表彰奖励，2名干警获市直机关工委“两优一先”表彰，1名干警获评“北京榜样·检察英才”荣誉称号，5名干警分别获评全国、北京市检察机关业务竞赛标兵。</w:t>
      </w:r>
    </w:p>
    <w:p w14:paraId="0C1A40D9">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3.产出进度</w:t>
      </w:r>
    </w:p>
    <w:p w14:paraId="164332DA">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按照年初预算批复及年中追加调整预算批复，不断提升重点工作效率，2024年按计划完成了各项检察工作。</w:t>
      </w:r>
    </w:p>
    <w:p w14:paraId="1E867A86">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7" w:name="_Toc195560261"/>
      <w:bookmarkStart w:id="22" w:name="_GoBack"/>
      <w:bookmarkEnd w:id="22"/>
      <w:r>
        <w:rPr>
          <w:rFonts w:hint="eastAsia" w:ascii="楷体_GB2312" w:eastAsia="楷体_GB2312"/>
          <w:color w:val="000000" w:themeColor="text1"/>
          <w:sz w:val="32"/>
          <w:szCs w:val="32"/>
          <w14:textFill>
            <w14:solidFill>
              <w14:schemeClr w14:val="tx1"/>
            </w14:solidFill>
          </w14:textFill>
        </w:rPr>
        <w:t>（二）效果实现情况分析</w:t>
      </w:r>
      <w:bookmarkEnd w:id="7"/>
    </w:p>
    <w:p w14:paraId="2817361B">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1.经济效益：</w:t>
      </w:r>
    </w:p>
    <w:p w14:paraId="34C146A8">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细化落实服务保障京津冀协同发展十项举措，主办京津冀数字未检工作交流会，与天津、河北、内蒙古等地签署互促共建议定书，同频共振塑造发展新动能。深度参与城市副中心社会治理，定期召开新闻发布会发布典型案例，开展近五年涉副中心案件专项调研。主动赴东六区院调研问需，组织辖区院召开服务保障区域高质量发展座谈会，有效服务保障各区落实一区一策。</w:t>
      </w:r>
    </w:p>
    <w:p w14:paraId="27590FC4">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2.社会效益：</w:t>
      </w:r>
    </w:p>
    <w:p w14:paraId="49D8CD7F">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加强特殊群体权益保障，开展妇女、儿童、老年人权益保护等“小专项”，就涉残疾人、住房等民生领域案件提请抗诉。</w:t>
      </w:r>
    </w:p>
    <w:p w14:paraId="5F31D58A">
      <w:pPr>
        <w:spacing w:line="600" w:lineRule="exact"/>
        <w:ind w:firstLine="640" w:firstLineChars="200"/>
        <w:rPr>
          <w:rFonts w:hint="eastAsia" w:ascii="仿宋" w:hAnsi="仿宋" w:eastAsia="仿宋" w:cs="仿宋"/>
          <w:color w:val="000000" w:themeColor="text1"/>
          <w:kern w:val="0"/>
          <w:sz w:val="32"/>
          <w:szCs w:val="32"/>
          <w14:textFill>
            <w14:solidFill>
              <w14:schemeClr w14:val="tx1"/>
            </w14:solidFill>
          </w14:textFill>
        </w:rPr>
      </w:pPr>
      <w:bookmarkStart w:id="8" w:name="_Hlk195561882"/>
      <w:r>
        <w:rPr>
          <w:rFonts w:hint="eastAsia" w:ascii="仿宋_GB2312" w:hAnsi="仿宋" w:eastAsia="仿宋_GB2312" w:cs="仿宋"/>
          <w:color w:val="000000" w:themeColor="text1"/>
          <w:kern w:val="0"/>
          <w:sz w:val="32"/>
          <w:szCs w:val="32"/>
          <w14:textFill>
            <w14:solidFill>
              <w14:schemeClr w14:val="tx1"/>
            </w14:solidFill>
          </w14:textFill>
        </w:rPr>
        <w:t>3.服务对象满意度：满意度高于95%。</w:t>
      </w:r>
      <w:bookmarkEnd w:id="8"/>
    </w:p>
    <w:p w14:paraId="15DA0A65">
      <w:pPr>
        <w:spacing w:line="600" w:lineRule="exact"/>
        <w:ind w:firstLine="640" w:firstLineChars="200"/>
        <w:outlineLvl w:val="0"/>
        <w:rPr>
          <w:rFonts w:hint="eastAsia" w:ascii="黑体" w:hAnsi="黑体" w:eastAsia="黑体" w:cs="宋体"/>
          <w:color w:val="000000" w:themeColor="text1"/>
          <w:kern w:val="0"/>
          <w:sz w:val="32"/>
          <w:szCs w:val="32"/>
          <w14:textFill>
            <w14:solidFill>
              <w14:schemeClr w14:val="tx1"/>
            </w14:solidFill>
          </w14:textFill>
        </w:rPr>
      </w:pPr>
      <w:bookmarkStart w:id="9" w:name="_Toc195560262"/>
      <w:r>
        <w:rPr>
          <w:rFonts w:hint="eastAsia" w:ascii="黑体" w:hAnsi="黑体" w:eastAsia="黑体" w:cs="宋体"/>
          <w:color w:val="000000" w:themeColor="text1"/>
          <w:kern w:val="0"/>
          <w:sz w:val="32"/>
          <w:szCs w:val="32"/>
          <w14:textFill>
            <w14:solidFill>
              <w14:schemeClr w14:val="tx1"/>
            </w14:solidFill>
          </w14:textFill>
        </w:rPr>
        <w:t>四</w:t>
      </w:r>
      <w:r>
        <w:rPr>
          <w:rFonts w:ascii="黑体" w:hAnsi="黑体" w:eastAsia="黑体" w:cs="宋体"/>
          <w:color w:val="000000" w:themeColor="text1"/>
          <w:kern w:val="0"/>
          <w:sz w:val="32"/>
          <w:szCs w:val="32"/>
          <w14:textFill>
            <w14:solidFill>
              <w14:schemeClr w14:val="tx1"/>
            </w14:solidFill>
          </w14:textFill>
        </w:rPr>
        <w:t>、预算管理</w:t>
      </w:r>
      <w:r>
        <w:rPr>
          <w:rFonts w:hint="eastAsia" w:ascii="黑体" w:hAnsi="黑体" w:eastAsia="黑体" w:cs="宋体"/>
          <w:color w:val="000000" w:themeColor="text1"/>
          <w:kern w:val="0"/>
          <w:sz w:val="32"/>
          <w:szCs w:val="32"/>
          <w14:textFill>
            <w14:solidFill>
              <w14:schemeClr w14:val="tx1"/>
            </w14:solidFill>
          </w14:textFill>
        </w:rPr>
        <w:t>情况分</w:t>
      </w:r>
      <w:r>
        <w:rPr>
          <w:rFonts w:ascii="黑体" w:hAnsi="黑体" w:eastAsia="黑体" w:cs="宋体"/>
          <w:color w:val="000000" w:themeColor="text1"/>
          <w:kern w:val="0"/>
          <w:sz w:val="32"/>
          <w:szCs w:val="32"/>
          <w14:textFill>
            <w14:solidFill>
              <w14:schemeClr w14:val="tx1"/>
            </w14:solidFill>
          </w14:textFill>
        </w:rPr>
        <w:t>析</w:t>
      </w:r>
      <w:bookmarkEnd w:id="9"/>
    </w:p>
    <w:p w14:paraId="68CD7073">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10" w:name="_Toc195560263"/>
      <w:r>
        <w:rPr>
          <w:rFonts w:hint="eastAsia" w:ascii="楷体_GB2312" w:eastAsia="楷体_GB2312"/>
          <w:color w:val="000000" w:themeColor="text1"/>
          <w:sz w:val="32"/>
          <w:szCs w:val="32"/>
          <w14:textFill>
            <w14:solidFill>
              <w14:schemeClr w14:val="tx1"/>
            </w14:solidFill>
          </w14:textFill>
        </w:rPr>
        <w:t>（一）财务管理</w:t>
      </w:r>
      <w:bookmarkEnd w:id="10"/>
    </w:p>
    <w:p w14:paraId="04829D0A">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1.财务管理制度健全性</w:t>
      </w:r>
    </w:p>
    <w:p w14:paraId="616FEB90">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市检三分院制定了相关财务管理制度，对预算业务、收支业务、政府采购、资产管理业务等均明确了控制流程和措施，部门财务管理制度较健全，各项规定合法、合规，具有一定可操作性。</w:t>
      </w:r>
    </w:p>
    <w:p w14:paraId="37657462">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2.资金使用合规性和安全性</w:t>
      </w:r>
    </w:p>
    <w:p w14:paraId="062C9D03">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市检三分院资金支出按照市财政预算批复执行，2024年经费支出控制在预算批复范围内，各项资金支出均参照国家、北京市相关制度及本单位已制定的财务制度执行，资金支出审批程序齐全，资金使用合规、安全。经抽查部分项目会计凭证，资金支出按照内部管理制度执行，未发现资金有超范围、超标准支出的情况，审批手续严格规范。</w:t>
      </w:r>
    </w:p>
    <w:p w14:paraId="762E5D6A">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3.会计基础信息完善性</w:t>
      </w:r>
    </w:p>
    <w:p w14:paraId="23CEE78F">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2024年市检三分院严格按照《财政部关于贯彻实施政府会计准则制度的通知》和高检院的相关要求，严格按照《财政部关于贯彻实施政府会计准则制度的通知》和市检察院、高检院的相关要求，开展会计和财务管理工作。通过梳理项目支出会计凭证及会计账簿、财务报告等基础信息，市检三分院会计基础信息和会计信息管理工作较为规范。</w:t>
      </w:r>
    </w:p>
    <w:p w14:paraId="53960FDF">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11" w:name="_Toc195560264"/>
      <w:r>
        <w:rPr>
          <w:rFonts w:hint="eastAsia" w:ascii="楷体_GB2312" w:eastAsia="楷体_GB2312"/>
          <w:color w:val="000000" w:themeColor="text1"/>
          <w:sz w:val="32"/>
          <w:szCs w:val="32"/>
          <w14:textFill>
            <w14:solidFill>
              <w14:schemeClr w14:val="tx1"/>
            </w14:solidFill>
          </w14:textFill>
        </w:rPr>
        <w:t>（二）资产管理</w:t>
      </w:r>
      <w:bookmarkEnd w:id="11"/>
    </w:p>
    <w:p w14:paraId="049DBDD6">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1.资产总体情况</w:t>
      </w:r>
    </w:p>
    <w:p w14:paraId="03971122">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bookmarkStart w:id="12" w:name="OLE_LINK2"/>
      <w:r>
        <w:rPr>
          <w:rFonts w:hint="eastAsia" w:ascii="仿宋_GB2312" w:hAnsi="仿宋" w:eastAsia="仿宋_GB2312" w:cs="仿宋"/>
          <w:color w:val="000000" w:themeColor="text1"/>
          <w:kern w:val="0"/>
          <w:sz w:val="32"/>
          <w:szCs w:val="32"/>
          <w14:textFill>
            <w14:solidFill>
              <w14:schemeClr w14:val="tx1"/>
            </w14:solidFill>
          </w14:textFill>
        </w:rPr>
        <w:t>截至2024年12月31日，资产总额10,575.08万元，包括：货币资金237.86万元，占资产总额2.25%；财政应返还额度1,750.81万元，占资产总额16.56%；其他应收款净额2.00万元，占资产总额0.02%；固定资产净值943.30万元，占资产总额8.92%；无形资产净值214.36万元，占资产总额2.03%；在建工程7,426.40万元，占资产总额70.22%。</w:t>
      </w:r>
    </w:p>
    <w:p w14:paraId="6BDF9633">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固定资产中，设备563.64万元，占59.75%；家具和用具379.66万元，占40.25%。</w:t>
      </w:r>
    </w:p>
    <w:bookmarkEnd w:id="12"/>
    <w:p w14:paraId="5B384B58">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2.资产管理制度及管理过程情况</w:t>
      </w:r>
    </w:p>
    <w:p w14:paraId="3EEBBD52">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市检三分院制定了《</w:t>
      </w:r>
      <w:bookmarkStart w:id="13" w:name="OLE_LINK13"/>
      <w:r>
        <w:rPr>
          <w:rFonts w:hint="eastAsia" w:ascii="仿宋_GB2312" w:hAnsi="仿宋" w:eastAsia="仿宋_GB2312" w:cs="仿宋"/>
          <w:color w:val="000000" w:themeColor="text1"/>
          <w:kern w:val="0"/>
          <w:sz w:val="32"/>
          <w:szCs w:val="32"/>
          <w14:textFill>
            <w14:solidFill>
              <w14:schemeClr w14:val="tx1"/>
            </w14:solidFill>
          </w14:textFill>
        </w:rPr>
        <w:t>北京市人民检察院第三分院固定资产管理办法</w:t>
      </w:r>
      <w:bookmarkEnd w:id="13"/>
      <w:r>
        <w:rPr>
          <w:rFonts w:hint="eastAsia" w:ascii="仿宋_GB2312" w:hAnsi="仿宋" w:eastAsia="仿宋_GB2312" w:cs="仿宋"/>
          <w:color w:val="000000" w:themeColor="text1"/>
          <w:kern w:val="0"/>
          <w:sz w:val="32"/>
          <w:szCs w:val="32"/>
          <w14:textFill>
            <w14:solidFill>
              <w14:schemeClr w14:val="tx1"/>
            </w14:solidFill>
          </w14:textFill>
        </w:rPr>
        <w:t>》，资产的购置、配置、领用、转移、调拨和处置等执行环节，严格按照国家及上级单位有关国有资产管理的规定和《北京市人民检察院第三分院固定资产管理办法》执行。</w:t>
      </w:r>
    </w:p>
    <w:p w14:paraId="74CACE6C">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14" w:name="_Toc195560265"/>
      <w:r>
        <w:rPr>
          <w:rFonts w:hint="eastAsia" w:ascii="楷体_GB2312" w:eastAsia="楷体_GB2312"/>
          <w:color w:val="000000" w:themeColor="text1"/>
          <w:sz w:val="32"/>
          <w:szCs w:val="32"/>
          <w14:textFill>
            <w14:solidFill>
              <w14:schemeClr w14:val="tx1"/>
            </w14:solidFill>
          </w14:textFill>
        </w:rPr>
        <w:t>（三）绩效管理</w:t>
      </w:r>
      <w:bookmarkEnd w:id="14"/>
    </w:p>
    <w:p w14:paraId="56ACCE09">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市检三分院根据北京市关于预算绩效管理的要求，按照“预算编制有目标、预算执行有监控、预算完成有评价、评价结果有反馈、反馈结果有应用”的总体目标，深化推进全面预算绩效管理工作。将所有预算资金纳入部门预算绩效管理工作。</w:t>
      </w:r>
    </w:p>
    <w:p w14:paraId="3E690D88">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2024年，按照要求对全部立项批复项目开展预算绩效监控工作，从预算资金执行、管理以及绩效目标完成等情况进行分析，进一步加强了预算绩效运行监控管理。</w:t>
      </w:r>
    </w:p>
    <w:p w14:paraId="5F38E136">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市检三分院对2024年度部门预算项目实施绩效自评工作，对“安保安检工作经费”项目采用部门评价方式开展，出具绩效评价报告；7个项目采用单位自评方式进行评价，出具项目支出绩效自评表。从总体评价结果来看，能够较好地按照年初预算目标完成各项工作，绩效目标设定较为合理，各项目标及指标的完成情况较好，项目执行过程比较规范，符合相关制度要求，项目执行金额能够控制在预算范围内，项目效果基本达到预定目标。</w:t>
      </w:r>
    </w:p>
    <w:p w14:paraId="235E0B0F">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通过开展绩效监控和绩效评价工作，全面、客观地反映了项目实施的工作成效，对项目决策、项目过程、项目产出、项目效益方面存在的不足提出合理化建议，使预算管理更加科学、完善，进而规范资金的使用管理，强化项目实施部门预算成本控制，完善绩效管理工作，进一步提升市检三分院预算绩效管理水平。</w:t>
      </w:r>
    </w:p>
    <w:p w14:paraId="69DB01CF">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15" w:name="_Toc195560266"/>
      <w:r>
        <w:rPr>
          <w:rFonts w:hint="eastAsia" w:ascii="楷体_GB2312" w:eastAsia="楷体_GB2312"/>
          <w:color w:val="000000" w:themeColor="text1"/>
          <w:sz w:val="32"/>
          <w:szCs w:val="32"/>
          <w14:textFill>
            <w14:solidFill>
              <w14:schemeClr w14:val="tx1"/>
            </w14:solidFill>
          </w14:textFill>
        </w:rPr>
        <w:t>（四）结转结余率</w:t>
      </w:r>
      <w:bookmarkEnd w:id="15"/>
    </w:p>
    <w:p w14:paraId="11E1475B">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 xml:space="preserve">2023年结转结余率=结转结余总额/支出预算数×100%= </w:t>
      </w:r>
      <w:bookmarkStart w:id="16" w:name="OLE_LINK5"/>
      <w:r>
        <w:rPr>
          <w:rFonts w:hint="eastAsia" w:ascii="仿宋_GB2312" w:hAnsi="仿宋" w:eastAsia="仿宋_GB2312" w:cs="仿宋"/>
          <w:color w:val="000000" w:themeColor="text1"/>
          <w:kern w:val="0"/>
          <w:sz w:val="32"/>
          <w:szCs w:val="32"/>
          <w14:textFill>
            <w14:solidFill>
              <w14:schemeClr w14:val="tx1"/>
            </w14:solidFill>
          </w14:textFill>
        </w:rPr>
        <w:t>163.17</w:t>
      </w:r>
      <w:bookmarkEnd w:id="16"/>
      <w:r>
        <w:rPr>
          <w:rFonts w:hint="eastAsia" w:ascii="仿宋_GB2312" w:hAnsi="仿宋" w:eastAsia="仿宋_GB2312" w:cs="仿宋"/>
          <w:color w:val="000000" w:themeColor="text1"/>
          <w:kern w:val="0"/>
          <w:sz w:val="32"/>
          <w:szCs w:val="32"/>
          <w14:textFill>
            <w14:solidFill>
              <w14:schemeClr w14:val="tx1"/>
            </w14:solidFill>
          </w14:textFill>
        </w:rPr>
        <w:t>万元/14,566.12万元×100%=1.12%。</w:t>
      </w:r>
    </w:p>
    <w:p w14:paraId="0A7B29C8">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2024年结转结余率=结转结余总额/支出预算数×100%=1,876.19万元/23,891.13万元×100%=7.85%。</w:t>
      </w:r>
    </w:p>
    <w:p w14:paraId="31FE8837">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2024年结转结余率比2023年结转结余率高6.73%。</w:t>
      </w:r>
    </w:p>
    <w:p w14:paraId="0CBC866B">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17" w:name="_Toc195560267"/>
      <w:r>
        <w:rPr>
          <w:rFonts w:hint="eastAsia" w:ascii="楷体_GB2312" w:eastAsia="楷体_GB2312"/>
          <w:color w:val="000000" w:themeColor="text1"/>
          <w:sz w:val="32"/>
          <w:szCs w:val="32"/>
          <w14:textFill>
            <w14:solidFill>
              <w14:schemeClr w14:val="tx1"/>
            </w14:solidFill>
          </w14:textFill>
        </w:rPr>
        <w:t>（五）部门预决算差异率</w:t>
      </w:r>
      <w:bookmarkEnd w:id="17"/>
    </w:p>
    <w:p w14:paraId="377D6195">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部门预决算差异率=（年度部门决算-年初部门预算）/年初部门预算×100%=（22,014.94万元-14,996.20万元）/14,996.20万元×100%=46.80%。</w:t>
      </w:r>
    </w:p>
    <w:p w14:paraId="60155922">
      <w:pPr>
        <w:spacing w:line="600" w:lineRule="exact"/>
        <w:ind w:firstLine="640" w:firstLineChars="200"/>
        <w:outlineLvl w:val="0"/>
        <w:rPr>
          <w:rFonts w:hint="eastAsia" w:ascii="黑体" w:hAnsi="黑体" w:eastAsia="黑体" w:cs="宋体"/>
          <w:color w:val="000000" w:themeColor="text1"/>
          <w:kern w:val="0"/>
          <w:sz w:val="32"/>
          <w:szCs w:val="32"/>
          <w14:textFill>
            <w14:solidFill>
              <w14:schemeClr w14:val="tx1"/>
            </w14:solidFill>
          </w14:textFill>
        </w:rPr>
      </w:pPr>
      <w:bookmarkStart w:id="18" w:name="_Toc195560268"/>
      <w:r>
        <w:rPr>
          <w:rFonts w:hint="eastAsia" w:ascii="黑体" w:hAnsi="黑体" w:eastAsia="黑体" w:cs="宋体"/>
          <w:color w:val="000000" w:themeColor="text1"/>
          <w:kern w:val="0"/>
          <w:sz w:val="32"/>
          <w:szCs w:val="32"/>
          <w14:textFill>
            <w14:solidFill>
              <w14:schemeClr w14:val="tx1"/>
            </w14:solidFill>
          </w14:textFill>
        </w:rPr>
        <w:t>五、总体</w:t>
      </w:r>
      <w:r>
        <w:rPr>
          <w:rFonts w:ascii="黑体" w:hAnsi="黑体" w:eastAsia="黑体" w:cs="宋体"/>
          <w:color w:val="000000" w:themeColor="text1"/>
          <w:kern w:val="0"/>
          <w:sz w:val="32"/>
          <w:szCs w:val="32"/>
          <w14:textFill>
            <w14:solidFill>
              <w14:schemeClr w14:val="tx1"/>
            </w14:solidFill>
          </w14:textFill>
        </w:rPr>
        <w:t>评价结论</w:t>
      </w:r>
      <w:bookmarkEnd w:id="18"/>
    </w:p>
    <w:p w14:paraId="2E095C8C">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19" w:name="_Toc195560269"/>
      <w:r>
        <w:rPr>
          <w:rFonts w:hint="eastAsia" w:ascii="楷体_GB2312" w:eastAsia="楷体_GB2312"/>
          <w:color w:val="000000" w:themeColor="text1"/>
          <w:sz w:val="32"/>
          <w:szCs w:val="32"/>
          <w14:textFill>
            <w14:solidFill>
              <w14:schemeClr w14:val="tx1"/>
            </w14:solidFill>
          </w14:textFill>
        </w:rPr>
        <w:t>（一）评价得分情况</w:t>
      </w:r>
      <w:bookmarkEnd w:id="19"/>
    </w:p>
    <w:tbl>
      <w:tblPr>
        <w:tblStyle w:val="14"/>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6"/>
        <w:gridCol w:w="2126"/>
        <w:gridCol w:w="2489"/>
      </w:tblGrid>
      <w:tr w14:paraId="693BE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576" w:type="dxa"/>
          </w:tcPr>
          <w:p w14:paraId="38302F9E">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评价内容</w:t>
            </w:r>
          </w:p>
        </w:tc>
        <w:tc>
          <w:tcPr>
            <w:tcW w:w="2126" w:type="dxa"/>
          </w:tcPr>
          <w:p w14:paraId="2B9F8230">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分值</w:t>
            </w:r>
          </w:p>
        </w:tc>
        <w:tc>
          <w:tcPr>
            <w:tcW w:w="2489" w:type="dxa"/>
          </w:tcPr>
          <w:p w14:paraId="21523159">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评价得分</w:t>
            </w:r>
          </w:p>
        </w:tc>
      </w:tr>
      <w:tr w14:paraId="0466B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6" w:type="dxa"/>
            <w:vAlign w:val="center"/>
          </w:tcPr>
          <w:p w14:paraId="3A6155B4">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当年预算执行情况</w:t>
            </w:r>
          </w:p>
        </w:tc>
        <w:tc>
          <w:tcPr>
            <w:tcW w:w="2126" w:type="dxa"/>
          </w:tcPr>
          <w:p w14:paraId="4321B80D">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20.00</w:t>
            </w:r>
          </w:p>
        </w:tc>
        <w:tc>
          <w:tcPr>
            <w:tcW w:w="2489" w:type="dxa"/>
          </w:tcPr>
          <w:p w14:paraId="7F9EA682">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18.43</w:t>
            </w:r>
          </w:p>
        </w:tc>
      </w:tr>
      <w:tr w14:paraId="485C9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6" w:type="dxa"/>
            <w:vAlign w:val="center"/>
          </w:tcPr>
          <w:p w14:paraId="7378D317">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整体绩效目标实现情况</w:t>
            </w:r>
          </w:p>
        </w:tc>
        <w:tc>
          <w:tcPr>
            <w:tcW w:w="2126" w:type="dxa"/>
          </w:tcPr>
          <w:p w14:paraId="7D4717AE">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60.00</w:t>
            </w:r>
          </w:p>
        </w:tc>
        <w:tc>
          <w:tcPr>
            <w:tcW w:w="2489" w:type="dxa"/>
          </w:tcPr>
          <w:p w14:paraId="2B647801">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56.00</w:t>
            </w:r>
          </w:p>
        </w:tc>
      </w:tr>
      <w:tr w14:paraId="7A3A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6" w:type="dxa"/>
            <w:vAlign w:val="center"/>
          </w:tcPr>
          <w:p w14:paraId="238151FA">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预算管理情况</w:t>
            </w:r>
          </w:p>
        </w:tc>
        <w:tc>
          <w:tcPr>
            <w:tcW w:w="2126" w:type="dxa"/>
          </w:tcPr>
          <w:p w14:paraId="3332B784">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20.00</w:t>
            </w:r>
          </w:p>
        </w:tc>
        <w:tc>
          <w:tcPr>
            <w:tcW w:w="2489" w:type="dxa"/>
          </w:tcPr>
          <w:p w14:paraId="3BB718AC">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15.57</w:t>
            </w:r>
          </w:p>
        </w:tc>
      </w:tr>
      <w:tr w14:paraId="0A952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6" w:type="dxa"/>
            <w:vAlign w:val="center"/>
          </w:tcPr>
          <w:p w14:paraId="2A304747">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综合得分</w:t>
            </w:r>
          </w:p>
        </w:tc>
        <w:tc>
          <w:tcPr>
            <w:tcW w:w="2126" w:type="dxa"/>
          </w:tcPr>
          <w:p w14:paraId="192B2891">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100.00</w:t>
            </w:r>
          </w:p>
        </w:tc>
        <w:tc>
          <w:tcPr>
            <w:tcW w:w="2489" w:type="dxa"/>
          </w:tcPr>
          <w:p w14:paraId="27BFF7E0">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90.00</w:t>
            </w:r>
          </w:p>
        </w:tc>
      </w:tr>
      <w:tr w14:paraId="68E94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6" w:type="dxa"/>
            <w:vAlign w:val="center"/>
          </w:tcPr>
          <w:p w14:paraId="16B41FFC">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绩效评定级别</w:t>
            </w:r>
          </w:p>
        </w:tc>
        <w:tc>
          <w:tcPr>
            <w:tcW w:w="4615" w:type="dxa"/>
            <w:gridSpan w:val="2"/>
          </w:tcPr>
          <w:p w14:paraId="173BB707">
            <w:pPr>
              <w:spacing w:line="600" w:lineRule="exact"/>
              <w:ind w:left="16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优</w:t>
            </w:r>
          </w:p>
        </w:tc>
      </w:tr>
    </w:tbl>
    <w:p w14:paraId="59897DF5">
      <w:pPr>
        <w:keepNext/>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20" w:name="_Toc195560270"/>
      <w:r>
        <w:rPr>
          <w:rFonts w:hint="eastAsia" w:ascii="楷体_GB2312" w:eastAsia="楷体_GB2312"/>
          <w:color w:val="000000" w:themeColor="text1"/>
          <w:sz w:val="32"/>
          <w:szCs w:val="32"/>
          <w14:textFill>
            <w14:solidFill>
              <w14:schemeClr w14:val="tx1"/>
            </w14:solidFill>
          </w14:textFill>
        </w:rPr>
        <w:t>（二）存在的问题及原因分析</w:t>
      </w:r>
      <w:bookmarkEnd w:id="20"/>
    </w:p>
    <w:p w14:paraId="0AB2059C">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1.部门整体绩效目标设置不够细化量化。</w:t>
      </w:r>
    </w:p>
    <w:p w14:paraId="6A8DF0D6">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2</w:t>
      </w:r>
      <w:r>
        <w:rPr>
          <w:rFonts w:hint="eastAsia" w:ascii="仿宋_GB2312" w:hAnsi="仿宋" w:eastAsia="仿宋_GB2312" w:cs="仿宋"/>
          <w:color w:val="000000" w:themeColor="text1"/>
          <w:kern w:val="0"/>
          <w:sz w:val="32"/>
          <w:szCs w:val="32"/>
          <w14:textFill>
            <w14:solidFill>
              <w14:schemeClr w14:val="tx1"/>
            </w14:solidFill>
          </w14:textFill>
        </w:rPr>
        <w:t>.个别项目未制定项目实施方案，缺少对项目的统筹管理，缺少项目实施主体对人员组织分工、实施节点、监管措施、考核要求及风险防控措施等内容，不利于项目的实施，事后对项目的考核或验收报告等资料不够充分，无法体现项目执行监督管理的效果，项目管理机制有待完善。</w:t>
      </w:r>
    </w:p>
    <w:p w14:paraId="625D204D">
      <w:pPr>
        <w:spacing w:line="600" w:lineRule="exact"/>
        <w:ind w:firstLine="640" w:firstLineChars="200"/>
        <w:outlineLvl w:val="0"/>
        <w:rPr>
          <w:rFonts w:hint="eastAsia" w:ascii="黑体" w:hAnsi="黑体" w:eastAsia="黑体" w:cs="宋体"/>
          <w:color w:val="000000" w:themeColor="text1"/>
          <w:kern w:val="0"/>
          <w:sz w:val="32"/>
          <w:szCs w:val="32"/>
          <w14:textFill>
            <w14:solidFill>
              <w14:schemeClr w14:val="tx1"/>
            </w14:solidFill>
          </w14:textFill>
        </w:rPr>
      </w:pPr>
      <w:bookmarkStart w:id="21" w:name="_Toc195560271"/>
      <w:r>
        <w:rPr>
          <w:rFonts w:hint="eastAsia" w:ascii="黑体" w:hAnsi="黑体" w:eastAsia="黑体" w:cs="宋体"/>
          <w:color w:val="000000" w:themeColor="text1"/>
          <w:kern w:val="0"/>
          <w:sz w:val="32"/>
          <w:szCs w:val="32"/>
          <w14:textFill>
            <w14:solidFill>
              <w14:schemeClr w14:val="tx1"/>
            </w14:solidFill>
          </w14:textFill>
        </w:rPr>
        <w:t>六、措施建议（整改措施、下一步工作举措）</w:t>
      </w:r>
      <w:bookmarkEnd w:id="21"/>
    </w:p>
    <w:p w14:paraId="29AD0CA8">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1.科学设置绩效目标，提高预算绩效管理意识。</w:t>
      </w:r>
    </w:p>
    <w:p w14:paraId="686297FF">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进一步增强绩效管理意识，加强绩效目标管理，绩效目标设置与部门职责职能和预算、重点工作任务紧密结合。充分结合实际业务、预算内容，科学、完整地设置绩效目标与绩效指标，并保障绩效目标与绩效指标的对应关系，各项指标设置做到细化、量化、可衡量。</w:t>
      </w:r>
    </w:p>
    <w:p w14:paraId="0721EA4A">
      <w:pPr>
        <w:spacing w:line="600" w:lineRule="exact"/>
        <w:ind w:firstLine="640" w:firstLineChars="200"/>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2</w:t>
      </w:r>
      <w:r>
        <w:rPr>
          <w:rFonts w:hint="eastAsia" w:ascii="仿宋_GB2312" w:hAnsi="仿宋" w:eastAsia="仿宋_GB2312" w:cs="仿宋"/>
          <w:color w:val="000000" w:themeColor="text1"/>
          <w:kern w:val="0"/>
          <w:sz w:val="32"/>
          <w:szCs w:val="32"/>
          <w14:textFill>
            <w14:solidFill>
              <w14:schemeClr w14:val="tx1"/>
            </w14:solidFill>
          </w14:textFill>
        </w:rPr>
        <w:t>.完善项目实施方案，规范项目过程管理。</w:t>
      </w:r>
    </w:p>
    <w:p w14:paraId="1150D91B">
      <w:pPr>
        <w:spacing w:line="600" w:lineRule="exact"/>
        <w:ind w:firstLine="640" w:firstLineChars="200"/>
        <w:rPr>
          <w:rFonts w:hint="eastAsia" w:ascii="黑体" w:hAnsi="黑体" w:eastAsia="黑体" w:cs="宋体"/>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完善项目实施方案，明确项目组织机构、人员分工、执行进度安排、项目质量监控及验收程序等内容。开展日常抽查、绩效考核等，认真收集项目效果资料并进一步整理分析，充分反映项目实施绩效。</w:t>
      </w:r>
    </w:p>
    <w:sectPr>
      <w:footerReference r:id="rId5"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3002052"/>
    </w:sdtPr>
    <w:sdtContent>
      <w:p w14:paraId="0FD5FAE1">
        <w:pPr>
          <w:pStyle w:val="8"/>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p w14:paraId="0829EF70">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9B1EE">
    <w:pPr>
      <w:pStyle w:val="8"/>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35786328"/>
    </w:sdtPr>
    <w:sdtContent>
      <w:p w14:paraId="26245522">
        <w:pPr>
          <w:pStyle w:val="8"/>
          <w:ind w:firstLine="360"/>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1MDE2YTI2YWQwYzljNTY3NjA0OTIyMjJiYTQ3ZjAifQ=="/>
  </w:docVars>
  <w:rsids>
    <w:rsidRoot w:val="F77F09F4"/>
    <w:rsid w:val="00005E1E"/>
    <w:rsid w:val="00023AC2"/>
    <w:rsid w:val="00046049"/>
    <w:rsid w:val="000467CB"/>
    <w:rsid w:val="0007321F"/>
    <w:rsid w:val="0007660A"/>
    <w:rsid w:val="00090BD2"/>
    <w:rsid w:val="0009205E"/>
    <w:rsid w:val="000952FB"/>
    <w:rsid w:val="000A0F1F"/>
    <w:rsid w:val="000B2997"/>
    <w:rsid w:val="000C7E89"/>
    <w:rsid w:val="000D6198"/>
    <w:rsid w:val="000D666A"/>
    <w:rsid w:val="000F7331"/>
    <w:rsid w:val="00137FA2"/>
    <w:rsid w:val="001534C9"/>
    <w:rsid w:val="00153BEE"/>
    <w:rsid w:val="001B4A58"/>
    <w:rsid w:val="001C0AAE"/>
    <w:rsid w:val="001C56A0"/>
    <w:rsid w:val="001E1E9D"/>
    <w:rsid w:val="002202E6"/>
    <w:rsid w:val="0022708C"/>
    <w:rsid w:val="00237FE6"/>
    <w:rsid w:val="00253DA4"/>
    <w:rsid w:val="00270DFA"/>
    <w:rsid w:val="00272368"/>
    <w:rsid w:val="00276818"/>
    <w:rsid w:val="00277B53"/>
    <w:rsid w:val="00283A51"/>
    <w:rsid w:val="00287144"/>
    <w:rsid w:val="00294905"/>
    <w:rsid w:val="0029640B"/>
    <w:rsid w:val="002977D0"/>
    <w:rsid w:val="002A016B"/>
    <w:rsid w:val="002A4DF4"/>
    <w:rsid w:val="002C6585"/>
    <w:rsid w:val="002C7463"/>
    <w:rsid w:val="002E1394"/>
    <w:rsid w:val="002F3F32"/>
    <w:rsid w:val="003459C5"/>
    <w:rsid w:val="00352C6E"/>
    <w:rsid w:val="003613ED"/>
    <w:rsid w:val="00367118"/>
    <w:rsid w:val="00386989"/>
    <w:rsid w:val="0039554C"/>
    <w:rsid w:val="003B57F9"/>
    <w:rsid w:val="004131DE"/>
    <w:rsid w:val="004156A3"/>
    <w:rsid w:val="00454545"/>
    <w:rsid w:val="0046357F"/>
    <w:rsid w:val="0046549E"/>
    <w:rsid w:val="00477175"/>
    <w:rsid w:val="004B1297"/>
    <w:rsid w:val="004B7C76"/>
    <w:rsid w:val="004C26F7"/>
    <w:rsid w:val="004E4896"/>
    <w:rsid w:val="004E4DB3"/>
    <w:rsid w:val="004F780B"/>
    <w:rsid w:val="005303D7"/>
    <w:rsid w:val="00537DA9"/>
    <w:rsid w:val="005536D2"/>
    <w:rsid w:val="00556250"/>
    <w:rsid w:val="00580F78"/>
    <w:rsid w:val="0058594D"/>
    <w:rsid w:val="00592117"/>
    <w:rsid w:val="00597414"/>
    <w:rsid w:val="005A22E7"/>
    <w:rsid w:val="005C658D"/>
    <w:rsid w:val="005F0283"/>
    <w:rsid w:val="006314CB"/>
    <w:rsid w:val="006415E7"/>
    <w:rsid w:val="006511FC"/>
    <w:rsid w:val="00651FBD"/>
    <w:rsid w:val="0068175C"/>
    <w:rsid w:val="0068637A"/>
    <w:rsid w:val="006C5FB1"/>
    <w:rsid w:val="006D0E52"/>
    <w:rsid w:val="0070545C"/>
    <w:rsid w:val="00742D8F"/>
    <w:rsid w:val="007475C7"/>
    <w:rsid w:val="0074771B"/>
    <w:rsid w:val="007674D8"/>
    <w:rsid w:val="00771025"/>
    <w:rsid w:val="007A0688"/>
    <w:rsid w:val="007A193D"/>
    <w:rsid w:val="007B3F6F"/>
    <w:rsid w:val="007C25E9"/>
    <w:rsid w:val="007D1070"/>
    <w:rsid w:val="007D13FA"/>
    <w:rsid w:val="007E256B"/>
    <w:rsid w:val="007E2DBF"/>
    <w:rsid w:val="008008A2"/>
    <w:rsid w:val="008036AA"/>
    <w:rsid w:val="00865425"/>
    <w:rsid w:val="00870624"/>
    <w:rsid w:val="00881C7F"/>
    <w:rsid w:val="00881FAC"/>
    <w:rsid w:val="008820E1"/>
    <w:rsid w:val="0088768C"/>
    <w:rsid w:val="00893A58"/>
    <w:rsid w:val="008B4DD5"/>
    <w:rsid w:val="008E49EA"/>
    <w:rsid w:val="008E7D93"/>
    <w:rsid w:val="009027EC"/>
    <w:rsid w:val="00913190"/>
    <w:rsid w:val="0093578B"/>
    <w:rsid w:val="00965354"/>
    <w:rsid w:val="0097423A"/>
    <w:rsid w:val="00992C5A"/>
    <w:rsid w:val="009A39C2"/>
    <w:rsid w:val="009C1ADE"/>
    <w:rsid w:val="009C7B3B"/>
    <w:rsid w:val="009E3759"/>
    <w:rsid w:val="00A07755"/>
    <w:rsid w:val="00A3520A"/>
    <w:rsid w:val="00A37F5A"/>
    <w:rsid w:val="00A55FEE"/>
    <w:rsid w:val="00A6477A"/>
    <w:rsid w:val="00A76D03"/>
    <w:rsid w:val="00A80392"/>
    <w:rsid w:val="00A93725"/>
    <w:rsid w:val="00A94088"/>
    <w:rsid w:val="00A95AF4"/>
    <w:rsid w:val="00A96E92"/>
    <w:rsid w:val="00AB4AF1"/>
    <w:rsid w:val="00AB7FEC"/>
    <w:rsid w:val="00AC007D"/>
    <w:rsid w:val="00AC1310"/>
    <w:rsid w:val="00AC329F"/>
    <w:rsid w:val="00AC5368"/>
    <w:rsid w:val="00AE6276"/>
    <w:rsid w:val="00AF4463"/>
    <w:rsid w:val="00B1151A"/>
    <w:rsid w:val="00B124FA"/>
    <w:rsid w:val="00B23B6F"/>
    <w:rsid w:val="00B368F9"/>
    <w:rsid w:val="00B41FD1"/>
    <w:rsid w:val="00B43A32"/>
    <w:rsid w:val="00B50104"/>
    <w:rsid w:val="00B56D4E"/>
    <w:rsid w:val="00B67C2C"/>
    <w:rsid w:val="00B76BF2"/>
    <w:rsid w:val="00B869A9"/>
    <w:rsid w:val="00B93578"/>
    <w:rsid w:val="00BA250B"/>
    <w:rsid w:val="00BB2578"/>
    <w:rsid w:val="00BD6F44"/>
    <w:rsid w:val="00BE49D8"/>
    <w:rsid w:val="00BF222A"/>
    <w:rsid w:val="00C06211"/>
    <w:rsid w:val="00C06858"/>
    <w:rsid w:val="00C4171A"/>
    <w:rsid w:val="00C50A98"/>
    <w:rsid w:val="00C81BA9"/>
    <w:rsid w:val="00C9327E"/>
    <w:rsid w:val="00C96E3A"/>
    <w:rsid w:val="00CC7B95"/>
    <w:rsid w:val="00CF18F5"/>
    <w:rsid w:val="00D105F4"/>
    <w:rsid w:val="00D210EE"/>
    <w:rsid w:val="00D21275"/>
    <w:rsid w:val="00D22684"/>
    <w:rsid w:val="00D24C1E"/>
    <w:rsid w:val="00D27738"/>
    <w:rsid w:val="00D56B68"/>
    <w:rsid w:val="00D57B4B"/>
    <w:rsid w:val="00D62CD8"/>
    <w:rsid w:val="00D65886"/>
    <w:rsid w:val="00D80BFE"/>
    <w:rsid w:val="00DA0FDA"/>
    <w:rsid w:val="00DC063F"/>
    <w:rsid w:val="00DC2B66"/>
    <w:rsid w:val="00DE0807"/>
    <w:rsid w:val="00E27BCA"/>
    <w:rsid w:val="00E41EF4"/>
    <w:rsid w:val="00E4585E"/>
    <w:rsid w:val="00E675C0"/>
    <w:rsid w:val="00E74444"/>
    <w:rsid w:val="00E86237"/>
    <w:rsid w:val="00EA0610"/>
    <w:rsid w:val="00EB4770"/>
    <w:rsid w:val="00ED1AAD"/>
    <w:rsid w:val="00F16D10"/>
    <w:rsid w:val="00F224F8"/>
    <w:rsid w:val="00F23A3F"/>
    <w:rsid w:val="00F248EE"/>
    <w:rsid w:val="00F3126E"/>
    <w:rsid w:val="00F3653B"/>
    <w:rsid w:val="00F438BF"/>
    <w:rsid w:val="00F5046E"/>
    <w:rsid w:val="00F528DF"/>
    <w:rsid w:val="00F76AA3"/>
    <w:rsid w:val="00F81A23"/>
    <w:rsid w:val="00F82E2E"/>
    <w:rsid w:val="00F934F2"/>
    <w:rsid w:val="00FB2740"/>
    <w:rsid w:val="00FE6012"/>
    <w:rsid w:val="00FF4437"/>
    <w:rsid w:val="00FF548F"/>
    <w:rsid w:val="02441F1E"/>
    <w:rsid w:val="03425C39"/>
    <w:rsid w:val="04982B2B"/>
    <w:rsid w:val="06DE4E6F"/>
    <w:rsid w:val="0ECF9C51"/>
    <w:rsid w:val="0F7D2E84"/>
    <w:rsid w:val="114356CC"/>
    <w:rsid w:val="15E758E5"/>
    <w:rsid w:val="17440BDE"/>
    <w:rsid w:val="19E25E4D"/>
    <w:rsid w:val="1CAC5DC4"/>
    <w:rsid w:val="21700E40"/>
    <w:rsid w:val="23D71597"/>
    <w:rsid w:val="23D74C25"/>
    <w:rsid w:val="244C3795"/>
    <w:rsid w:val="26213859"/>
    <w:rsid w:val="288A0F97"/>
    <w:rsid w:val="29A02003"/>
    <w:rsid w:val="2CC24D5E"/>
    <w:rsid w:val="2D506494"/>
    <w:rsid w:val="2DBF665F"/>
    <w:rsid w:val="2EA96B0F"/>
    <w:rsid w:val="2F9130C3"/>
    <w:rsid w:val="32280C48"/>
    <w:rsid w:val="33496F05"/>
    <w:rsid w:val="36E8434B"/>
    <w:rsid w:val="37173543"/>
    <w:rsid w:val="37B726A1"/>
    <w:rsid w:val="39833969"/>
    <w:rsid w:val="3FF76880"/>
    <w:rsid w:val="40153FD6"/>
    <w:rsid w:val="42397C59"/>
    <w:rsid w:val="44516613"/>
    <w:rsid w:val="44A616A1"/>
    <w:rsid w:val="47777325"/>
    <w:rsid w:val="4E8C50A8"/>
    <w:rsid w:val="50670C63"/>
    <w:rsid w:val="53D678A9"/>
    <w:rsid w:val="5A0F49D2"/>
    <w:rsid w:val="5A8A5B64"/>
    <w:rsid w:val="5B262DEE"/>
    <w:rsid w:val="5BCE0160"/>
    <w:rsid w:val="640B35D5"/>
    <w:rsid w:val="641A130C"/>
    <w:rsid w:val="67564D51"/>
    <w:rsid w:val="675D45D3"/>
    <w:rsid w:val="69886D8E"/>
    <w:rsid w:val="6A753740"/>
    <w:rsid w:val="6D242084"/>
    <w:rsid w:val="6EF959BC"/>
    <w:rsid w:val="770025E3"/>
    <w:rsid w:val="78DC3CAB"/>
    <w:rsid w:val="7AB7FF50"/>
    <w:rsid w:val="7BFEB0DB"/>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qFormat="1" w:unhideWhenUsed="0"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5"/>
    <w:qFormat/>
    <w:uiPriority w:val="99"/>
    <w:pPr>
      <w:spacing w:after="140" w:line="276" w:lineRule="auto"/>
    </w:pPr>
  </w:style>
  <w:style w:type="paragraph" w:styleId="3">
    <w:name w:val="Plain Text"/>
    <w:basedOn w:val="1"/>
    <w:next w:val="1"/>
    <w:qFormat/>
    <w:uiPriority w:val="0"/>
    <w:rPr>
      <w:rFonts w:ascii="宋体" w:hAnsi="Courier New" w:cs="宋体"/>
      <w:szCs w:val="21"/>
    </w:rPr>
  </w:style>
  <w:style w:type="paragraph" w:styleId="5">
    <w:name w:val="annotation text"/>
    <w:basedOn w:val="1"/>
    <w:semiHidden/>
    <w:unhideWhenUsed/>
    <w:qFormat/>
    <w:uiPriority w:val="0"/>
    <w:pPr>
      <w:jc w:val="left"/>
    </w:pPr>
  </w:style>
  <w:style w:type="paragraph" w:styleId="6">
    <w:name w:val="Body Text Indent"/>
    <w:basedOn w:val="1"/>
    <w:link w:val="21"/>
    <w:semiHidden/>
    <w:unhideWhenUsed/>
    <w:qFormat/>
    <w:uiPriority w:val="0"/>
    <w:pPr>
      <w:spacing w:after="120"/>
      <w:ind w:left="420" w:leftChars="200"/>
    </w:pPr>
  </w:style>
  <w:style w:type="paragraph" w:styleId="7">
    <w:name w:val="Date"/>
    <w:basedOn w:val="1"/>
    <w:next w:val="1"/>
    <w:link w:val="23"/>
    <w:semiHidden/>
    <w:unhideWhenUsed/>
    <w:qFormat/>
    <w:uiPriority w:val="0"/>
    <w:pPr>
      <w:ind w:left="100" w:leftChars="2500"/>
    </w:pPr>
  </w:style>
  <w:style w:type="paragraph" w:styleId="8">
    <w:name w:val="footer"/>
    <w:basedOn w:val="1"/>
    <w:link w:val="24"/>
    <w:autoRedefine/>
    <w:qFormat/>
    <w:uiPriority w:val="99"/>
    <w:pPr>
      <w:tabs>
        <w:tab w:val="center" w:pos="4153"/>
        <w:tab w:val="right" w:pos="8306"/>
      </w:tabs>
      <w:snapToGrid w:val="0"/>
      <w:jc w:val="left"/>
    </w:pPr>
    <w:rPr>
      <w:sz w:val="18"/>
      <w:szCs w:val="20"/>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39"/>
    <w:pPr>
      <w:spacing w:after="160" w:line="278" w:lineRule="auto"/>
    </w:pPr>
  </w:style>
  <w:style w:type="paragraph" w:styleId="11">
    <w:name w:val="toc 2"/>
    <w:basedOn w:val="1"/>
    <w:next w:val="1"/>
    <w:qFormat/>
    <w:uiPriority w:val="39"/>
    <w:pPr>
      <w:spacing w:after="160" w:line="278" w:lineRule="auto"/>
      <w:ind w:left="420" w:leftChars="200"/>
    </w:pPr>
  </w:style>
  <w:style w:type="paragraph" w:styleId="12">
    <w:name w:val="Body Text First Indent 2"/>
    <w:basedOn w:val="6"/>
    <w:link w:val="22"/>
    <w:qFormat/>
    <w:uiPriority w:val="99"/>
    <w:pPr>
      <w:spacing w:after="360" w:line="278" w:lineRule="auto"/>
      <w:ind w:left="0" w:leftChars="0" w:firstLine="420" w:firstLineChars="200"/>
    </w:pPr>
    <w:rPr>
      <w:rFonts w:eastAsia="仿宋_GB2312"/>
      <w:kern w:val="1"/>
      <w:sz w:val="32"/>
      <w:szCs w:val="20"/>
    </w:rPr>
  </w:style>
  <w:style w:type="table" w:styleId="14">
    <w:name w:val="Table Grid"/>
    <w:basedOn w:val="13"/>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autoRedefine/>
    <w:qFormat/>
    <w:uiPriority w:val="0"/>
  </w:style>
  <w:style w:type="character" w:styleId="17">
    <w:name w:val="Hyperlink"/>
    <w:unhideWhenUsed/>
    <w:qFormat/>
    <w:uiPriority w:val="99"/>
    <w:rPr>
      <w:color w:val="0000FF"/>
      <w:u w:val="single"/>
    </w:rPr>
  </w:style>
  <w:style w:type="character" w:styleId="18">
    <w:name w:val="annotation reference"/>
    <w:basedOn w:val="15"/>
    <w:semiHidden/>
    <w:unhideWhenUsed/>
    <w:qFormat/>
    <w:uiPriority w:val="0"/>
    <w:rPr>
      <w:sz w:val="21"/>
      <w:szCs w:val="21"/>
    </w:rPr>
  </w:style>
  <w:style w:type="paragraph" w:customStyle="1" w:styleId="19">
    <w:name w:val="列出段落1"/>
    <w:basedOn w:val="1"/>
    <w:autoRedefine/>
    <w:qFormat/>
    <w:uiPriority w:val="34"/>
    <w:pPr>
      <w:ind w:firstLine="420" w:firstLineChars="200"/>
    </w:pPr>
    <w:rPr>
      <w:rFonts w:ascii="Calibri" w:hAnsi="Calibri" w:cs="黑体"/>
      <w:szCs w:val="22"/>
    </w:rPr>
  </w:style>
  <w:style w:type="paragraph" w:customStyle="1" w:styleId="20">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1">
    <w:name w:val="正文文本缩进 字符"/>
    <w:basedOn w:val="15"/>
    <w:link w:val="6"/>
    <w:semiHidden/>
    <w:qFormat/>
    <w:uiPriority w:val="0"/>
    <w:rPr>
      <w:kern w:val="2"/>
      <w:sz w:val="21"/>
      <w:szCs w:val="24"/>
    </w:rPr>
  </w:style>
  <w:style w:type="character" w:customStyle="1" w:styleId="22">
    <w:name w:val="正文文本首行缩进 2 字符"/>
    <w:basedOn w:val="21"/>
    <w:link w:val="12"/>
    <w:qFormat/>
    <w:uiPriority w:val="99"/>
    <w:rPr>
      <w:rFonts w:eastAsia="仿宋_GB2312"/>
      <w:kern w:val="1"/>
      <w:sz w:val="32"/>
      <w:szCs w:val="24"/>
    </w:rPr>
  </w:style>
  <w:style w:type="character" w:customStyle="1" w:styleId="23">
    <w:name w:val="日期 字符"/>
    <w:basedOn w:val="15"/>
    <w:link w:val="7"/>
    <w:semiHidden/>
    <w:qFormat/>
    <w:uiPriority w:val="0"/>
    <w:rPr>
      <w:kern w:val="2"/>
      <w:sz w:val="21"/>
      <w:szCs w:val="24"/>
    </w:rPr>
  </w:style>
  <w:style w:type="character" w:customStyle="1" w:styleId="24">
    <w:name w:val="页脚 字符"/>
    <w:basedOn w:val="15"/>
    <w:link w:val="8"/>
    <w:qFormat/>
    <w:uiPriority w:val="99"/>
    <w:rPr>
      <w:kern w:val="2"/>
      <w:sz w:val="18"/>
    </w:rPr>
  </w:style>
  <w:style w:type="character" w:customStyle="1" w:styleId="25">
    <w:name w:val="正文文本 字符"/>
    <w:basedOn w:val="15"/>
    <w:link w:val="2"/>
    <w:qFormat/>
    <w:uiPriority w:val="99"/>
    <w:rPr>
      <w:kern w:val="2"/>
      <w:sz w:val="21"/>
      <w:szCs w:val="24"/>
    </w:rPr>
  </w:style>
  <w:style w:type="paragraph" w:styleId="2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33A91-A1ED-41E5-84CF-CD06C4720592}">
  <ds:schemaRefs/>
</ds:datastoreItem>
</file>

<file path=docProps/app.xml><?xml version="1.0" encoding="utf-8"?>
<Properties xmlns="http://schemas.openxmlformats.org/officeDocument/2006/extended-properties" xmlns:vt="http://schemas.openxmlformats.org/officeDocument/2006/docPropsVTypes">
  <Template>Normal</Template>
  <Pages>12</Pages>
  <Words>4631</Words>
  <Characters>5020</Characters>
  <Lines>58</Lines>
  <Paragraphs>16</Paragraphs>
  <TotalTime>18</TotalTime>
  <ScaleCrop>false</ScaleCrop>
  <LinksUpToDate>false</LinksUpToDate>
  <CharactersWithSpaces>5109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2025-04-05T01:59:00Z</dcterms:created>
  <dc:creator>user</dc:creator>
  <cp:lastModifiedBy>Ars Nova</cp:lastModifiedBy>
  <dcterms:modified xsi:type="dcterms:W3CDTF">2025-08-26T07:23:37Z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E07878206A614E5280DAE0BADB59E1FC_12</vt:lpwstr>
  </property>
  <property fmtid="{D5CDD505-2E9C-101B-9397-08002B2CF9AE}" pid="4" name="KSOTemplateDocerSaveRecord">
    <vt:lpwstr>eyJoZGlkIjoiNGEwY2EwNTc5NDhlYjQwMmJmY2Q4YWYxZjJkMGJhNzciLCJ1c2VySWQiOiI3MDg0MzE3MzIifQ==</vt:lpwstr>
  </property>
</Properties>
</file>