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5"/>
        <w:ind w:firstLine="810"/>
        <w:rPr>
          <w:rFonts w:hint="eastAsia"/>
        </w:rPr>
      </w:pPr>
    </w:p>
    <w:p>
      <w:pPr>
        <w:pStyle w:val="85"/>
        <w:ind w:firstLine="810"/>
        <w:rPr>
          <w:rFonts w:hint="eastAsia"/>
        </w:rPr>
      </w:pPr>
    </w:p>
    <w:p>
      <w:pPr>
        <w:pStyle w:val="85"/>
        <w:ind w:firstLine="810"/>
        <w:rPr>
          <w:rFonts w:hint="eastAsia"/>
        </w:rPr>
      </w:pPr>
    </w:p>
    <w:p>
      <w:pPr>
        <w:pStyle w:val="85"/>
        <w:ind w:firstLine="0" w:firstLineChars="0"/>
        <w:rPr>
          <w:rFonts w:hint="eastAsia"/>
        </w:rPr>
      </w:pPr>
      <w:r>
        <w:rPr>
          <w:rFonts w:hint="eastAsia"/>
        </w:rPr>
        <w:t>北京市团校</w:t>
      </w:r>
    </w:p>
    <w:p>
      <w:pPr>
        <w:ind w:firstLine="0" w:firstLineChars="0"/>
        <w:jc w:val="center"/>
        <w:rPr>
          <w:rFonts w:hint="eastAsia"/>
        </w:rPr>
      </w:pPr>
      <w:r>
        <w:rPr>
          <w:rFonts w:hint="eastAsia"/>
        </w:rPr>
        <w:t>2024年度部门整体绩效评价报告</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ascii="方正黑体_GBK" w:hAnsi="方正黑体_GBK" w:eastAsia="方正黑体_GBK" w:cs="方正黑体_GBK"/>
        </w:rPr>
      </w:pPr>
      <w:r>
        <w:rPr>
          <w:rFonts w:hint="eastAsia" w:ascii="方正黑体_GBK" w:hAnsi="方正黑体_GBK" w:eastAsia="方正黑体_GBK" w:cs="方正黑体_GBK"/>
        </w:rPr>
        <w:t>2025年5月</w:t>
      </w:r>
    </w:p>
    <w:p>
      <w:pPr>
        <w:rPr>
          <w:rFonts w:hint="eastAsia"/>
        </w:rPr>
      </w:pPr>
    </w:p>
    <w:p>
      <w:pPr>
        <w:rPr>
          <w:rFonts w:hint="eastAsia"/>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3"/>
        <w:rPr>
          <w:rFonts w:hint="eastAsia"/>
        </w:rPr>
      </w:pPr>
      <w:r>
        <w:rPr>
          <w:rFonts w:hint="eastAsia"/>
        </w:rPr>
        <w:t>一、部门概况</w:t>
      </w:r>
    </w:p>
    <w:p>
      <w:pPr>
        <w:pStyle w:val="5"/>
        <w:ind w:firstLine="640" w:firstLineChars="200"/>
        <w:rPr>
          <w:rFonts w:hint="eastAsia"/>
        </w:rPr>
      </w:pPr>
      <w:r>
        <w:rPr>
          <w:rFonts w:hint="eastAsia"/>
        </w:rPr>
        <w:t>（一）机构设置及职责工作任务情况</w:t>
      </w:r>
    </w:p>
    <w:p>
      <w:pPr>
        <w:pStyle w:val="6"/>
        <w:ind w:left="0" w:leftChars="0" w:firstLine="640" w:firstLineChars="200"/>
        <w:rPr>
          <w:rFonts w:hint="eastAsia" w:eastAsia="仿宋_GB2312"/>
          <w:lang w:val="en-US" w:eastAsia="zh-CN"/>
        </w:rPr>
      </w:pPr>
      <w:r>
        <w:rPr>
          <w:rFonts w:hint="eastAsia"/>
        </w:rPr>
        <w:t>1．</w:t>
      </w:r>
      <w:r>
        <w:rPr>
          <w:rFonts w:hint="eastAsia"/>
          <w:lang w:eastAsia="zh-CN"/>
        </w:rPr>
        <w:t>机构设置情况</w:t>
      </w:r>
    </w:p>
    <w:p>
      <w:pPr>
        <w:pStyle w:val="6"/>
        <w:ind w:left="0" w:leftChars="0" w:firstLine="640" w:firstLineChars="200"/>
        <w:rPr>
          <w:rFonts w:hint="eastAsia" w:ascii="Times New Roman" w:hAnsi="Times New Roman" w:cs="Times New Roman"/>
        </w:rPr>
      </w:pPr>
      <w:r>
        <w:rPr>
          <w:rFonts w:hint="eastAsia" w:ascii="Times New Roman" w:hAnsi="Times New Roman" w:cs="Times New Roman"/>
        </w:rPr>
        <w:t>北京市团校是党在青年工作领域特色鲜明的政治学校，是团市委所属公益一类事业单位，为副局级，内设办公室、教务处、科研处、培训处、马克思主义理论教研部、青少年思想政治教育教研部、党的群众工作教研部、组织人事处8个机构。</w:t>
      </w:r>
    </w:p>
    <w:p>
      <w:pPr>
        <w:pStyle w:val="6"/>
        <w:ind w:left="0" w:leftChars="0" w:firstLine="640" w:firstLineChars="200"/>
        <w:rPr>
          <w:rFonts w:hint="eastAsia" w:eastAsia="仿宋_GB2312"/>
          <w:lang w:eastAsia="zh-CN"/>
        </w:rPr>
      </w:pPr>
      <w:r>
        <w:rPr>
          <w:rFonts w:hint="eastAsia"/>
        </w:rPr>
        <w:t>2．</w:t>
      </w:r>
      <w:r>
        <w:rPr>
          <w:rFonts w:hint="eastAsia"/>
          <w:lang w:eastAsia="zh-CN"/>
        </w:rPr>
        <w:t>部门职责</w:t>
      </w:r>
    </w:p>
    <w:p>
      <w:pPr>
        <w:ind w:firstLine="640" w:firstLineChars="200"/>
        <w:rPr>
          <w:rFonts w:hint="eastAsia"/>
        </w:rPr>
      </w:pPr>
      <w:r>
        <w:rPr>
          <w:rFonts w:hint="eastAsia"/>
        </w:rPr>
        <w:t>北京市团校的根本定位是聚焦团干部教育主责主业，突出政治培训，为新时代党的青年群众工作和共青团建设提供人才智力支持。主要职责是：</w:t>
      </w:r>
    </w:p>
    <w:p>
      <w:pPr>
        <w:ind w:firstLine="640" w:firstLineChars="200"/>
        <w:rPr>
          <w:rFonts w:hint="eastAsia"/>
        </w:rPr>
      </w:pPr>
      <w:r>
        <w:rPr>
          <w:rFonts w:hint="eastAsia"/>
        </w:rPr>
        <w:t>（1）承担共青团干部、青少年工作者、青年骨干的培训工作。</w:t>
      </w:r>
    </w:p>
    <w:p>
      <w:pPr>
        <w:ind w:firstLine="640" w:firstLineChars="200"/>
        <w:rPr>
          <w:rFonts w:hint="eastAsia"/>
        </w:rPr>
      </w:pPr>
      <w:r>
        <w:rPr>
          <w:rFonts w:hint="eastAsia"/>
        </w:rPr>
        <w:t>（2）对学员进行马克思列宁主义、毛泽东思想、邓小平理论、“三个代表”重要思想、科学发展观、习近平新时代中国特色社会主义思想教育和党性教育，引领学员深刻领悟“两个确立”的决定性意义，增强“四个意识”、坚定“四个自信”、做到“两个维护”。</w:t>
      </w:r>
    </w:p>
    <w:p>
      <w:pPr>
        <w:ind w:firstLine="640" w:firstLineChars="200"/>
        <w:rPr>
          <w:rFonts w:hint="eastAsia"/>
        </w:rPr>
      </w:pPr>
      <w:r>
        <w:rPr>
          <w:rFonts w:hint="eastAsia"/>
        </w:rPr>
        <w:t>（3）开展青年工作研究，建设首都共青团工作智库，为市委、市政府提供决策咨询服务。</w:t>
      </w:r>
    </w:p>
    <w:p>
      <w:pPr>
        <w:ind w:firstLine="640" w:firstLineChars="200"/>
        <w:rPr>
          <w:rFonts w:hint="eastAsia"/>
        </w:rPr>
      </w:pPr>
      <w:r>
        <w:rPr>
          <w:rFonts w:hint="eastAsia"/>
        </w:rPr>
        <w:t>（4）开展青少年学术交流。</w:t>
      </w:r>
    </w:p>
    <w:p>
      <w:pPr>
        <w:ind w:firstLine="640" w:firstLineChars="200"/>
        <w:rPr>
          <w:rFonts w:hint="eastAsia"/>
        </w:rPr>
      </w:pPr>
      <w:r>
        <w:rPr>
          <w:rFonts w:hint="eastAsia"/>
        </w:rPr>
        <w:t>（5）完成团市委交办的其他任务。</w:t>
      </w:r>
    </w:p>
    <w:p>
      <w:pPr>
        <w:pStyle w:val="5"/>
        <w:ind w:firstLine="640" w:firstLineChars="200"/>
        <w:rPr>
          <w:rFonts w:hint="eastAsia"/>
        </w:rPr>
      </w:pPr>
      <w:r>
        <w:rPr>
          <w:rFonts w:hint="eastAsia"/>
        </w:rPr>
        <w:t>（二）部门整体绩效目标设立情况</w:t>
      </w:r>
    </w:p>
    <w:p>
      <w:pPr>
        <w:ind w:firstLine="640" w:firstLineChars="200"/>
        <w:rPr>
          <w:rFonts w:hint="eastAsia"/>
        </w:rPr>
      </w:pPr>
      <w:r>
        <w:t>202</w:t>
      </w:r>
      <w:r>
        <w:rPr>
          <w:rFonts w:hint="eastAsia"/>
        </w:rPr>
        <w:t>4</w:t>
      </w:r>
      <w:r>
        <w:t>年</w:t>
      </w:r>
      <w:r>
        <w:rPr>
          <w:rFonts w:hint="eastAsia"/>
        </w:rPr>
        <w:t>市团校</w:t>
      </w:r>
      <w:r>
        <w:t>工作的总体思路是：</w:t>
      </w:r>
      <w:r>
        <w:rPr>
          <w:rFonts w:hint="eastAsia"/>
        </w:rPr>
        <w:t>以习近平新时代中国特色社会主义思想为指导，全面贯彻落实党的二十大和二十届二中全会精神，深入贯彻习近平总书记关于青年工作的重要思想和对北京重要讲话精神，贯彻落实团十九大、团十九届二中全会、共青团十九届中央常务委员会第二次（</w:t>
      </w:r>
      <w:r>
        <w:t>扩大</w:t>
      </w:r>
      <w:r>
        <w:rPr>
          <w:rFonts w:hint="eastAsia"/>
        </w:rPr>
        <w:t>）</w:t>
      </w:r>
      <w:r>
        <w:t>会议</w:t>
      </w:r>
      <w:r>
        <w:rPr>
          <w:rFonts w:hint="eastAsia"/>
        </w:rPr>
        <w:t>精神，扎实落实市第十三次党代会和市委十三届二次、三次、四次全会工作部署，深刻领悟“两个确立”的决定性意义，增强“四个意识”、坚定“四个自信”、做到“两个维护”，坚持不懈用习近平新时代中国特色社会主义思想武装头脑、指导实践、推动工作，紧紧围绕新时代首都发展和北京共青团“新时代青春北京行动”要求，立足建设党在青年工作领域特色鲜明的政治学校这一根本定位，以全面实施“先锋教育”为统领，全力推进深化改革各项工作，聚焦四个“革新”，实现教育培训展特色，科研智库出成果，人才建设稳提升，深化改革见成效。</w:t>
      </w:r>
    </w:p>
    <w:p>
      <w:pPr>
        <w:pStyle w:val="6"/>
        <w:keepNext/>
        <w:ind w:left="0" w:leftChars="0" w:firstLine="640" w:firstLineChars="200"/>
        <w:rPr>
          <w:rFonts w:hint="eastAsia"/>
        </w:rPr>
      </w:pPr>
      <w:r>
        <w:rPr>
          <w:rFonts w:hint="eastAsia"/>
        </w:rPr>
        <w:t>1．部门中长期绩效目标</w:t>
      </w:r>
    </w:p>
    <w:p>
      <w:pPr>
        <w:ind w:firstLine="640" w:firstLineChars="200"/>
        <w:rPr>
          <w:rFonts w:hint="eastAsia"/>
        </w:rPr>
      </w:pPr>
      <w:r>
        <w:t>在团市委的坚强领导下，市团校坚持以习近平新时代中国特色社会主义思想为指导，全面贯彻落实党的二十大精神，深入学习贯彻习近平总书记关于青年工作的重要思想和对北京一系列重要讲话精神，主动对标首都高质量发展需求，主动适应新时代政治院校发展要求，立足建设全国一流团校的目标，聚焦为党育才、为党献策的初心使命和主责主业，秉持“体制内创业”“一张白纸绘蓝图”“背包办学”开拓进取精神，以“先锋教育”为统领，推进建设党在青年工作领域特色鲜明的政治学校。</w:t>
      </w:r>
    </w:p>
    <w:p>
      <w:pPr>
        <w:pStyle w:val="6"/>
        <w:ind w:left="0" w:leftChars="0" w:firstLine="640" w:firstLineChars="200"/>
        <w:rPr>
          <w:rFonts w:hint="eastAsia"/>
        </w:rPr>
      </w:pPr>
      <w:r>
        <w:rPr>
          <w:rFonts w:hint="eastAsia"/>
        </w:rPr>
        <w:t>2．年度绩效目标</w:t>
      </w:r>
    </w:p>
    <w:p>
      <w:pPr>
        <w:ind w:firstLine="640" w:firstLineChars="200"/>
        <w:rPr>
          <w:rFonts w:hint="eastAsia"/>
        </w:rPr>
      </w:pPr>
      <w:r>
        <w:rPr>
          <w:rFonts w:hint="eastAsia"/>
        </w:rPr>
        <w:t>整体目标：北京市团校以建设成党在青年工作领域特色鲜明的政治学校为目标，聚焦团干部教育主责主业，突出政治培训，通过举办北京共青团系统各领域、各战线培训班次，不断提升首都从事青年工作领域干部的政治素养和工作能力。2024年度校级课题选题内容涉及习近平总书记关于青年工作的重要思想研究、百年青运史、习近平文化思想对当代青年的价值选择和信仰塑造研究等34个重点方向，以促进教研人员对重大理论和现实问题的研究，提高教学科研咨询一体化水平，为市委、市政府提供决策咨询服务。组织各类学术交流活动，强化市团校学术水平建设，有序推进首都青年工作和共青团工作智库各项工作开展。《北京青年工作研究》杂志是展示共青团和青少年工作领域理论研究与实践成果的交流平台，力求为党在青年工作领域特色鲜明的政治学校建设服务，为新时代党的青年群众工作和共青团建设提供经验整合、智力支持和学术参考。推进团干部教育培训课程和教材建设。结合组织需求、事业需求、岗位需求和团干部能力素质需求，以着力解决共青团思想引领领域的现实问题、政策倡导的基础问题、社会倡导的逻辑问题和总结共青团历史经验教训为主要方向，研究制定全国团干部教有培训课程和教材的建设规划。</w:t>
      </w:r>
    </w:p>
    <w:p>
      <w:pPr>
        <w:ind w:firstLine="640" w:firstLineChars="200"/>
        <w:rPr>
          <w:rFonts w:hint="eastAsia"/>
        </w:rPr>
      </w:pPr>
      <w:r>
        <w:rPr>
          <w:rFonts w:hint="eastAsia"/>
        </w:rPr>
        <w:t>市团校在确立2024年重点工作基础以及整体绩效目标基础上，设置2024年度10个预算项目包括：团干部教育培训项目、教学管理及教材建设、行政运行保障项目、科研工作与智库建设、北京青年工作研究、宣传展示及相关材料设计制作、课题类项目、办公设备购置项目、因公出国、国际青年及青年组织思想动态调查研究项目。各项目2024年度的绩效目标及预算金额如下：</w:t>
      </w:r>
    </w:p>
    <w:tbl>
      <w:tblPr>
        <w:tblStyle w:val="91"/>
        <w:tblW w:w="8364" w:type="dxa"/>
        <w:tblInd w:w="0" w:type="dxa"/>
        <w:tblBorders>
          <w:top w:val="single" w:color="auto" w:sz="8" w:space="0"/>
          <w:left w:val="none" w:color="auto" w:sz="0" w:space="0"/>
          <w:bottom w:val="single" w:color="auto" w:sz="8"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426"/>
        <w:gridCol w:w="1275"/>
        <w:gridCol w:w="5511"/>
        <w:gridCol w:w="1152"/>
      </w:tblGrid>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blHeader/>
        </w:trPr>
        <w:tc>
          <w:tcPr>
            <w:tcW w:w="426" w:type="dxa"/>
            <w:tcBorders>
              <w:top w:val="single" w:color="auto" w:sz="8" w:space="0"/>
              <w:bottom w:val="single" w:color="auto" w:sz="4" w:space="0"/>
            </w:tcBorders>
            <w:vAlign w:val="center"/>
          </w:tcPr>
          <w:p>
            <w:pPr>
              <w:widowControl/>
              <w:adjustRightInd w:val="0"/>
              <w:snapToGrid w:val="0"/>
              <w:spacing w:line="240" w:lineRule="auto"/>
              <w:ind w:firstLine="0" w:firstLineChars="0"/>
              <w:jc w:val="center"/>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序号</w:t>
            </w:r>
          </w:p>
        </w:tc>
        <w:tc>
          <w:tcPr>
            <w:tcW w:w="1275" w:type="dxa"/>
            <w:tcBorders>
              <w:top w:val="single" w:color="auto" w:sz="8" w:space="0"/>
              <w:bottom w:val="single" w:color="auto" w:sz="4" w:space="0"/>
            </w:tcBorders>
            <w:shd w:val="clear" w:color="auto" w:fill="auto"/>
            <w:noWrap/>
            <w:vAlign w:val="center"/>
          </w:tcPr>
          <w:p>
            <w:pPr>
              <w:widowControl/>
              <w:adjustRightInd w:val="0"/>
              <w:snapToGrid w:val="0"/>
              <w:spacing w:line="240" w:lineRule="auto"/>
              <w:ind w:firstLine="0" w:firstLineChars="0"/>
              <w:jc w:val="center"/>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项目名称</w:t>
            </w:r>
          </w:p>
        </w:tc>
        <w:tc>
          <w:tcPr>
            <w:tcW w:w="5529" w:type="dxa"/>
            <w:tcBorders>
              <w:top w:val="single" w:color="auto" w:sz="8" w:space="0"/>
              <w:bottom w:val="single" w:color="auto" w:sz="4" w:space="0"/>
            </w:tcBorders>
            <w:shd w:val="clear" w:color="auto" w:fill="auto"/>
            <w:vAlign w:val="center"/>
          </w:tcPr>
          <w:p>
            <w:pPr>
              <w:widowControl/>
              <w:adjustRightInd w:val="0"/>
              <w:snapToGrid w:val="0"/>
              <w:spacing w:line="240" w:lineRule="auto"/>
              <w:ind w:firstLine="0" w:firstLineChars="0"/>
              <w:jc w:val="center"/>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主要绩效目标</w:t>
            </w:r>
          </w:p>
        </w:tc>
        <w:tc>
          <w:tcPr>
            <w:tcW w:w="1134" w:type="dxa"/>
            <w:tcBorders>
              <w:top w:val="single" w:color="auto" w:sz="8" w:space="0"/>
              <w:bottom w:val="single" w:color="auto" w:sz="4" w:space="0"/>
            </w:tcBorders>
            <w:vAlign w:val="center"/>
          </w:tcPr>
          <w:p>
            <w:pPr>
              <w:widowControl/>
              <w:adjustRightInd w:val="0"/>
              <w:snapToGrid w:val="0"/>
              <w:spacing w:line="240" w:lineRule="auto"/>
              <w:ind w:firstLine="0" w:firstLineChars="0"/>
              <w:jc w:val="center"/>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预算金额</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426" w:type="dxa"/>
            <w:tcBorders>
              <w:top w:val="single" w:color="auto" w:sz="4" w:space="0"/>
            </w:tcBorders>
            <w:vAlign w:val="center"/>
          </w:tcPr>
          <w:p>
            <w:pPr>
              <w:pStyle w:val="263"/>
              <w:widowControl/>
              <w:numPr>
                <w:ilvl w:val="0"/>
                <w:numId w:val="11"/>
              </w:numPr>
              <w:adjustRightInd w:val="0"/>
              <w:snapToGrid w:val="0"/>
              <w:spacing w:line="240" w:lineRule="auto"/>
              <w:ind w:firstLineChars="0"/>
              <w:rPr>
                <w:rFonts w:ascii="Arial Narrow" w:hAnsi="Arial Narrow" w:eastAsia="仿宋"/>
                <w:snapToGrid w:val="0"/>
                <w:sz w:val="21"/>
                <w:szCs w:val="22"/>
                <w14:ligatures w14:val="none"/>
              </w:rPr>
            </w:pPr>
          </w:p>
        </w:tc>
        <w:tc>
          <w:tcPr>
            <w:tcW w:w="1275" w:type="dxa"/>
            <w:tcBorders>
              <w:top w:val="single" w:color="auto" w:sz="4" w:space="0"/>
            </w:tcBorders>
            <w:shd w:val="clear" w:color="auto" w:fill="auto"/>
            <w:noWrap/>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团干部教育培训项目</w:t>
            </w:r>
          </w:p>
        </w:tc>
        <w:tc>
          <w:tcPr>
            <w:tcW w:w="5529" w:type="dxa"/>
            <w:tcBorders>
              <w:top w:val="single" w:color="auto" w:sz="4" w:space="0"/>
            </w:tcBorders>
            <w:shd w:val="clear" w:color="auto" w:fill="auto"/>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北京市团校以建设成党在青年工作领域特色鲜明的政治学校为目标，聚焦团干部教育主责主业，突出政治培训，通过举办北京共青团系统各领域、各战线培训班次，不断提升首都从事青年工作领域干部的政治素养和工作能力。计划2024年举办北京共青团系统各战线、北京市青年骨干及涉外人员相关培训班34期，培训量为18449人天。教育引导广大团干部自觉做习近平新时代中国特色社会主义思想的坚定信仰者和忠实实践者，不断增强“四个意识”、坚定“四个自信”、做到“两个维护”。</w:t>
            </w:r>
          </w:p>
        </w:tc>
        <w:tc>
          <w:tcPr>
            <w:tcW w:w="1134" w:type="dxa"/>
            <w:tcBorders>
              <w:top w:val="single" w:color="auto" w:sz="4" w:space="0"/>
            </w:tcBorders>
            <w:vAlign w:val="center"/>
          </w:tcPr>
          <w:p>
            <w:pPr>
              <w:widowControl/>
              <w:adjustRightInd w:val="0"/>
              <w:snapToGrid w:val="0"/>
              <w:spacing w:line="240" w:lineRule="auto"/>
              <w:ind w:firstLine="0" w:firstLineChars="0"/>
              <w:jc w:val="righ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1,172.78</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426" w:type="dxa"/>
            <w:vAlign w:val="center"/>
          </w:tcPr>
          <w:p>
            <w:pPr>
              <w:pStyle w:val="263"/>
              <w:widowControl/>
              <w:numPr>
                <w:ilvl w:val="0"/>
                <w:numId w:val="11"/>
              </w:numPr>
              <w:adjustRightInd w:val="0"/>
              <w:snapToGrid w:val="0"/>
              <w:spacing w:line="240" w:lineRule="auto"/>
              <w:ind w:firstLineChars="0"/>
              <w:rPr>
                <w:rFonts w:ascii="Arial Narrow" w:hAnsi="Arial Narrow" w:eastAsia="仿宋"/>
                <w:snapToGrid w:val="0"/>
                <w:sz w:val="21"/>
                <w:szCs w:val="22"/>
                <w14:ligatures w14:val="none"/>
              </w:rPr>
            </w:pPr>
          </w:p>
        </w:tc>
        <w:tc>
          <w:tcPr>
            <w:tcW w:w="1275" w:type="dxa"/>
            <w:shd w:val="clear" w:color="auto" w:fill="auto"/>
            <w:noWrap/>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教学管理及教材建设</w:t>
            </w:r>
          </w:p>
        </w:tc>
        <w:tc>
          <w:tcPr>
            <w:tcW w:w="5529" w:type="dxa"/>
            <w:shd w:val="clear" w:color="auto" w:fill="auto"/>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北京市团校紧紧围绕建设党在青年工作领域特色鲜明的政治学校这一根本定位，聚集主责主业,立足教学实际，不断探索教学方式方法创新，从教学实践基地建设入手，把红色资源利用好、红色传统发扬好、红色基因传承好，切实推动团干部教育培训质效提升,进一步持续推进北京市团校教学实践基地建设工作。同时，统筹推进团干部教育培训课程和教材建设。结合组织需求、事业需求、岗位需求和团干部能力素质需求，以着力解决共青团思想引领领域的现实问题、政策倡导的基础问题、社会倡导的逻辑问题和总结共青团历史经验教训为主要方向，研究制定全国团干部教有培训课程和教材的建设规划。</w:t>
            </w:r>
          </w:p>
        </w:tc>
        <w:tc>
          <w:tcPr>
            <w:tcW w:w="1134" w:type="dxa"/>
            <w:vAlign w:val="center"/>
          </w:tcPr>
          <w:p>
            <w:pPr>
              <w:widowControl/>
              <w:adjustRightInd w:val="0"/>
              <w:snapToGrid w:val="0"/>
              <w:spacing w:line="240" w:lineRule="auto"/>
              <w:ind w:firstLine="0" w:firstLineChars="0"/>
              <w:jc w:val="righ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315.79</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426" w:type="dxa"/>
            <w:vAlign w:val="center"/>
          </w:tcPr>
          <w:p>
            <w:pPr>
              <w:pStyle w:val="263"/>
              <w:widowControl/>
              <w:numPr>
                <w:ilvl w:val="0"/>
                <w:numId w:val="11"/>
              </w:numPr>
              <w:adjustRightInd w:val="0"/>
              <w:snapToGrid w:val="0"/>
              <w:spacing w:line="240" w:lineRule="auto"/>
              <w:ind w:firstLineChars="0"/>
              <w:rPr>
                <w:rFonts w:ascii="Arial Narrow" w:hAnsi="Arial Narrow" w:eastAsia="仿宋"/>
                <w:snapToGrid w:val="0"/>
                <w:sz w:val="21"/>
                <w:szCs w:val="22"/>
                <w14:ligatures w14:val="none"/>
              </w:rPr>
            </w:pPr>
          </w:p>
        </w:tc>
        <w:tc>
          <w:tcPr>
            <w:tcW w:w="1275" w:type="dxa"/>
            <w:shd w:val="clear" w:color="auto" w:fill="auto"/>
            <w:noWrap/>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行政运行保障项目</w:t>
            </w:r>
          </w:p>
        </w:tc>
        <w:tc>
          <w:tcPr>
            <w:tcW w:w="5529" w:type="dxa"/>
            <w:shd w:val="clear" w:color="auto" w:fill="auto"/>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严格按照国家相关法律法规，以及《财政部关于委托第三方机构参与预算绩效管理的指导意见》（财预〔2021〕6号）、《第三方机构预算绩效评价业务监督管理暂行办法》（财监〔2021〕４号）、《北京市市级财政支出成本预算绩效分析操作流程》（京财绩效〔2020〕893号）、《北京市预算绩效目标管理办法》（京财绩效〔2020〕2137号）、《北京市项目支出绩效评价管理办法》（京财绩效〔2020〕2146号）、《北京市市级财政支出事前绩效评估管理办法》（京财绩效〔2021〕1837号）等文件精神开展相关工作，合理使用资金购买相关服务，保障市团校具备履行党和政府赋予的各项职责职能的能力，提高市团校合法、合规、高效、平稳开展各项工作的能力。</w:t>
            </w:r>
          </w:p>
        </w:tc>
        <w:tc>
          <w:tcPr>
            <w:tcW w:w="1134" w:type="dxa"/>
            <w:vAlign w:val="center"/>
          </w:tcPr>
          <w:p>
            <w:pPr>
              <w:widowControl/>
              <w:adjustRightInd w:val="0"/>
              <w:snapToGrid w:val="0"/>
              <w:spacing w:line="240" w:lineRule="auto"/>
              <w:ind w:firstLine="0" w:firstLineChars="0"/>
              <w:jc w:val="righ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178.79</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426" w:type="dxa"/>
            <w:vAlign w:val="center"/>
          </w:tcPr>
          <w:p>
            <w:pPr>
              <w:pStyle w:val="263"/>
              <w:widowControl/>
              <w:numPr>
                <w:ilvl w:val="0"/>
                <w:numId w:val="11"/>
              </w:numPr>
              <w:adjustRightInd w:val="0"/>
              <w:snapToGrid w:val="0"/>
              <w:spacing w:line="240" w:lineRule="auto"/>
              <w:ind w:firstLineChars="0"/>
              <w:rPr>
                <w:rFonts w:ascii="Arial Narrow" w:hAnsi="Arial Narrow" w:eastAsia="仿宋"/>
                <w:snapToGrid w:val="0"/>
                <w:sz w:val="21"/>
                <w:szCs w:val="22"/>
                <w14:ligatures w14:val="none"/>
              </w:rPr>
            </w:pPr>
          </w:p>
        </w:tc>
        <w:tc>
          <w:tcPr>
            <w:tcW w:w="1275" w:type="dxa"/>
            <w:shd w:val="clear" w:color="auto" w:fill="auto"/>
            <w:noWrap/>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科研工作与智库建设</w:t>
            </w:r>
          </w:p>
        </w:tc>
        <w:tc>
          <w:tcPr>
            <w:tcW w:w="5529" w:type="dxa"/>
            <w:shd w:val="clear" w:color="auto" w:fill="auto"/>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组织各类学术交流活动，强化市团校学术水平建设；作为智库秘书处，有序推进首都青年工作和共青团工作智库各项工作开展，确保智库平稳运行；履行“图书文献、信息的采集整理和开发”职能，为市团校全体教职人员提供全面、便捷的文献资料与信息查询功能；同时，出版首都青年工作研究成果集，充分展现市团校教研人员科研成果。</w:t>
            </w:r>
          </w:p>
        </w:tc>
        <w:tc>
          <w:tcPr>
            <w:tcW w:w="1134" w:type="dxa"/>
            <w:vAlign w:val="center"/>
          </w:tcPr>
          <w:p>
            <w:pPr>
              <w:widowControl/>
              <w:adjustRightInd w:val="0"/>
              <w:snapToGrid w:val="0"/>
              <w:spacing w:line="240" w:lineRule="auto"/>
              <w:ind w:firstLine="0" w:firstLineChars="0"/>
              <w:jc w:val="righ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77.31</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426" w:type="dxa"/>
            <w:vAlign w:val="center"/>
          </w:tcPr>
          <w:p>
            <w:pPr>
              <w:pStyle w:val="263"/>
              <w:widowControl/>
              <w:numPr>
                <w:ilvl w:val="0"/>
                <w:numId w:val="11"/>
              </w:numPr>
              <w:adjustRightInd w:val="0"/>
              <w:snapToGrid w:val="0"/>
              <w:spacing w:line="240" w:lineRule="auto"/>
              <w:ind w:firstLineChars="0"/>
              <w:rPr>
                <w:rFonts w:ascii="Arial Narrow" w:hAnsi="Arial Narrow" w:eastAsia="仿宋"/>
                <w:snapToGrid w:val="0"/>
                <w:sz w:val="21"/>
                <w:szCs w:val="22"/>
                <w14:ligatures w14:val="none"/>
              </w:rPr>
            </w:pPr>
          </w:p>
        </w:tc>
        <w:tc>
          <w:tcPr>
            <w:tcW w:w="1275" w:type="dxa"/>
            <w:shd w:val="clear" w:color="auto" w:fill="auto"/>
            <w:noWrap/>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北京青年工作研究</w:t>
            </w:r>
          </w:p>
        </w:tc>
        <w:tc>
          <w:tcPr>
            <w:tcW w:w="5529" w:type="dxa"/>
            <w:shd w:val="clear" w:color="auto" w:fill="auto"/>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北京青年工作研究》杂志是展示共青团和青少年工作领域理论研究与实践成果的交流平台，力求为党在青年工作领域特色鲜明的政治学校建设服务，为新时代党的青年群众工作和共青团建设提供经验整合、智力支持和学术参考。以“学术交流、启迪思想、探索经验、服务决策”为办刊宗旨，集工作指导与理论研究于一体，用于呈现首都各界在青年工作领域理论研究的最新成果和实践探索的有益经验，助力首都青年和共青团工作创新发展，为做好新时代党的青年工作提供经验整合、智力支持和学术参考，力争在全国青年工作研究领域形成具有首都青年工作特色的示范引领效应。</w:t>
            </w:r>
          </w:p>
        </w:tc>
        <w:tc>
          <w:tcPr>
            <w:tcW w:w="1134" w:type="dxa"/>
            <w:vAlign w:val="center"/>
          </w:tcPr>
          <w:p>
            <w:pPr>
              <w:widowControl/>
              <w:adjustRightInd w:val="0"/>
              <w:snapToGrid w:val="0"/>
              <w:spacing w:line="240" w:lineRule="auto"/>
              <w:ind w:firstLine="0" w:firstLineChars="0"/>
              <w:jc w:val="righ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38.40</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426" w:type="dxa"/>
            <w:vAlign w:val="center"/>
          </w:tcPr>
          <w:p>
            <w:pPr>
              <w:pStyle w:val="263"/>
              <w:widowControl/>
              <w:numPr>
                <w:ilvl w:val="0"/>
                <w:numId w:val="11"/>
              </w:numPr>
              <w:adjustRightInd w:val="0"/>
              <w:snapToGrid w:val="0"/>
              <w:spacing w:line="240" w:lineRule="auto"/>
              <w:ind w:firstLineChars="0"/>
              <w:rPr>
                <w:rFonts w:ascii="Arial Narrow" w:hAnsi="Arial Narrow" w:eastAsia="仿宋"/>
                <w:snapToGrid w:val="0"/>
                <w:sz w:val="21"/>
                <w:szCs w:val="22"/>
                <w14:ligatures w14:val="none"/>
              </w:rPr>
            </w:pPr>
          </w:p>
        </w:tc>
        <w:tc>
          <w:tcPr>
            <w:tcW w:w="1275" w:type="dxa"/>
            <w:shd w:val="clear" w:color="auto" w:fill="auto"/>
            <w:noWrap/>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宣传展示及相关材料设计制作</w:t>
            </w:r>
          </w:p>
        </w:tc>
        <w:tc>
          <w:tcPr>
            <w:tcW w:w="5529" w:type="dxa"/>
            <w:shd w:val="clear" w:color="auto" w:fill="auto"/>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为营造良好办公办公环境，充分发挥宣传作用，拟设计制作宣传展板及相关宣传材料。</w:t>
            </w:r>
          </w:p>
        </w:tc>
        <w:tc>
          <w:tcPr>
            <w:tcW w:w="1134" w:type="dxa"/>
            <w:vAlign w:val="center"/>
          </w:tcPr>
          <w:p>
            <w:pPr>
              <w:widowControl/>
              <w:adjustRightInd w:val="0"/>
              <w:snapToGrid w:val="0"/>
              <w:spacing w:line="240" w:lineRule="auto"/>
              <w:ind w:firstLine="0" w:firstLineChars="0"/>
              <w:jc w:val="righ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25.32</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426" w:type="dxa"/>
            <w:vAlign w:val="center"/>
          </w:tcPr>
          <w:p>
            <w:pPr>
              <w:pStyle w:val="263"/>
              <w:widowControl/>
              <w:numPr>
                <w:ilvl w:val="0"/>
                <w:numId w:val="11"/>
              </w:numPr>
              <w:adjustRightInd w:val="0"/>
              <w:snapToGrid w:val="0"/>
              <w:spacing w:line="240" w:lineRule="auto"/>
              <w:ind w:firstLineChars="0"/>
              <w:rPr>
                <w:rFonts w:ascii="Arial Narrow" w:hAnsi="Arial Narrow" w:eastAsia="仿宋"/>
                <w:snapToGrid w:val="0"/>
                <w:sz w:val="21"/>
                <w:szCs w:val="22"/>
                <w14:ligatures w14:val="none"/>
              </w:rPr>
            </w:pPr>
          </w:p>
        </w:tc>
        <w:tc>
          <w:tcPr>
            <w:tcW w:w="1275" w:type="dxa"/>
            <w:shd w:val="clear" w:color="auto" w:fill="auto"/>
            <w:noWrap/>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课题类项目</w:t>
            </w:r>
          </w:p>
        </w:tc>
        <w:tc>
          <w:tcPr>
            <w:tcW w:w="5529" w:type="dxa"/>
            <w:shd w:val="clear" w:color="auto" w:fill="auto"/>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本年度预计申请校级科研项目</w:t>
            </w:r>
            <w:r>
              <w:rPr>
                <w:rFonts w:hint="eastAsia" w:ascii="Arial Narrow" w:hAnsi="Arial Narrow" w:eastAsia="仿宋"/>
                <w:snapToGrid w:val="0"/>
                <w:sz w:val="21"/>
                <w:szCs w:val="22"/>
                <w:highlight w:val="none"/>
                <w14:ligatures w14:val="none"/>
              </w:rPr>
              <w:t>8个，</w:t>
            </w:r>
            <w:r>
              <w:rPr>
                <w:rFonts w:hint="eastAsia" w:ascii="Arial Narrow" w:hAnsi="Arial Narrow" w:eastAsia="仿宋"/>
                <w:snapToGrid w:val="0"/>
                <w:sz w:val="21"/>
                <w:szCs w:val="22"/>
                <w14:ligatures w14:val="none"/>
              </w:rPr>
              <w:t>预计形成8篇及以上相关领域调研报告，课题评审合格率和结题率100%，项目成本控制在19.5万元以内，预计公开发表文章2篇及以上。研究成果将呈现青年工作领域理论研究的最新成果和实践探索的有益经验，助力首都青年和共青团工作创新发展，为做好新时代党的青年工作提供经验整合、智力支持和学术参考。也助于把握好新时代青年工作的核心要义、理论源泉、重要原则、实践路径，提高党的青年工作理论和实务研究水平，推动首都青年工作向纵深发展。</w:t>
            </w:r>
          </w:p>
        </w:tc>
        <w:tc>
          <w:tcPr>
            <w:tcW w:w="1134" w:type="dxa"/>
            <w:vAlign w:val="center"/>
          </w:tcPr>
          <w:p>
            <w:pPr>
              <w:widowControl/>
              <w:adjustRightInd w:val="0"/>
              <w:snapToGrid w:val="0"/>
              <w:spacing w:line="240" w:lineRule="auto"/>
              <w:ind w:firstLine="0" w:firstLineChars="0"/>
              <w:jc w:val="righ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19.50</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426" w:type="dxa"/>
            <w:vAlign w:val="center"/>
          </w:tcPr>
          <w:p>
            <w:pPr>
              <w:pStyle w:val="263"/>
              <w:widowControl/>
              <w:numPr>
                <w:ilvl w:val="0"/>
                <w:numId w:val="11"/>
              </w:numPr>
              <w:adjustRightInd w:val="0"/>
              <w:snapToGrid w:val="0"/>
              <w:spacing w:line="240" w:lineRule="auto"/>
              <w:ind w:firstLineChars="0"/>
              <w:rPr>
                <w:rFonts w:ascii="Arial Narrow" w:hAnsi="Arial Narrow" w:eastAsia="仿宋"/>
                <w:snapToGrid w:val="0"/>
                <w:sz w:val="21"/>
                <w:szCs w:val="22"/>
                <w14:ligatures w14:val="none"/>
              </w:rPr>
            </w:pPr>
          </w:p>
        </w:tc>
        <w:tc>
          <w:tcPr>
            <w:tcW w:w="1275" w:type="dxa"/>
            <w:shd w:val="clear" w:color="auto" w:fill="auto"/>
            <w:noWrap/>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办公设备购置项目</w:t>
            </w:r>
          </w:p>
        </w:tc>
        <w:tc>
          <w:tcPr>
            <w:tcW w:w="5529" w:type="dxa"/>
            <w:shd w:val="clear" w:color="auto" w:fill="auto"/>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1.根据京财会[2020]603号转发财政部 国家档案局关于规范电子会计凭证报销入账归档的通知，拟采购会计档案数字化及扫描服务；2.根据京财资产〔2020〕1877号附件：财政部关于加强行政事业单位固定资产管理的通知（财资〔2020〕97号）加强资产管理工作，拟采购国有实物资产智能管理系统APP及耗材；3.为满足办公基本需求，拟采购小册子装订机1台。</w:t>
            </w:r>
          </w:p>
        </w:tc>
        <w:tc>
          <w:tcPr>
            <w:tcW w:w="1134" w:type="dxa"/>
            <w:vAlign w:val="center"/>
          </w:tcPr>
          <w:p>
            <w:pPr>
              <w:widowControl/>
              <w:adjustRightInd w:val="0"/>
              <w:snapToGrid w:val="0"/>
              <w:spacing w:line="240" w:lineRule="auto"/>
              <w:ind w:firstLine="0" w:firstLineChars="0"/>
              <w:jc w:val="righ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16.48</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426" w:type="dxa"/>
            <w:vAlign w:val="center"/>
          </w:tcPr>
          <w:p>
            <w:pPr>
              <w:pStyle w:val="263"/>
              <w:widowControl/>
              <w:numPr>
                <w:ilvl w:val="0"/>
                <w:numId w:val="11"/>
              </w:numPr>
              <w:adjustRightInd w:val="0"/>
              <w:snapToGrid w:val="0"/>
              <w:spacing w:line="240" w:lineRule="auto"/>
              <w:ind w:firstLineChars="0"/>
              <w:rPr>
                <w:rFonts w:ascii="Arial Narrow" w:hAnsi="Arial Narrow" w:eastAsia="仿宋"/>
                <w:snapToGrid w:val="0"/>
                <w:sz w:val="21"/>
                <w:szCs w:val="22"/>
                <w14:ligatures w14:val="none"/>
              </w:rPr>
            </w:pPr>
          </w:p>
        </w:tc>
        <w:tc>
          <w:tcPr>
            <w:tcW w:w="1275" w:type="dxa"/>
            <w:shd w:val="clear" w:color="auto" w:fill="auto"/>
            <w:noWrap/>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因公出国</w:t>
            </w:r>
          </w:p>
        </w:tc>
        <w:tc>
          <w:tcPr>
            <w:tcW w:w="5529" w:type="dxa"/>
            <w:shd w:val="clear" w:color="auto" w:fill="auto"/>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为进一步加强国际交流合作，推动形成具有首都共青团特色的涉外教育培训教学模式，按照4人次的规模，拟开展出国（境）交流活动。</w:t>
            </w:r>
          </w:p>
        </w:tc>
        <w:tc>
          <w:tcPr>
            <w:tcW w:w="1134" w:type="dxa"/>
            <w:vAlign w:val="center"/>
          </w:tcPr>
          <w:p>
            <w:pPr>
              <w:widowControl/>
              <w:adjustRightInd w:val="0"/>
              <w:snapToGrid w:val="0"/>
              <w:spacing w:line="240" w:lineRule="auto"/>
              <w:ind w:firstLine="0" w:firstLineChars="0"/>
              <w:jc w:val="righ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10.00</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426" w:type="dxa"/>
            <w:vAlign w:val="center"/>
          </w:tcPr>
          <w:p>
            <w:pPr>
              <w:pStyle w:val="263"/>
              <w:widowControl/>
              <w:numPr>
                <w:ilvl w:val="0"/>
                <w:numId w:val="11"/>
              </w:numPr>
              <w:adjustRightInd w:val="0"/>
              <w:snapToGrid w:val="0"/>
              <w:spacing w:line="240" w:lineRule="auto"/>
              <w:ind w:firstLineChars="0"/>
              <w:rPr>
                <w:rFonts w:ascii="Arial Narrow" w:hAnsi="Arial Narrow" w:eastAsia="仿宋"/>
                <w:snapToGrid w:val="0"/>
                <w:sz w:val="21"/>
                <w:szCs w:val="22"/>
                <w14:ligatures w14:val="none"/>
              </w:rPr>
            </w:pPr>
          </w:p>
        </w:tc>
        <w:tc>
          <w:tcPr>
            <w:tcW w:w="1275" w:type="dxa"/>
            <w:shd w:val="clear" w:color="auto" w:fill="auto"/>
            <w:noWrap/>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国际青年及青年组织思想动态调查研究项目</w:t>
            </w:r>
          </w:p>
        </w:tc>
        <w:tc>
          <w:tcPr>
            <w:tcW w:w="5529" w:type="dxa"/>
            <w:shd w:val="clear" w:color="auto" w:fill="auto"/>
            <w:vAlign w:val="center"/>
          </w:tcPr>
          <w:p>
            <w:pPr>
              <w:widowControl/>
              <w:adjustRightInd w:val="0"/>
              <w:snapToGrid w:val="0"/>
              <w:spacing w:line="240" w:lineRule="auto"/>
              <w:ind w:firstLine="0" w:firstLineChars="0"/>
              <w:jc w:val="left"/>
              <w:rPr>
                <w:rFonts w:ascii="Arial Narrow" w:hAnsi="Arial Narrow" w:eastAsia="仿宋"/>
                <w:snapToGrid w:val="0"/>
                <w:sz w:val="21"/>
                <w:szCs w:val="22"/>
                <w14:ligatures w14:val="none"/>
              </w:rPr>
            </w:pPr>
            <w:r>
              <w:rPr>
                <w:rFonts w:hint="eastAsia" w:ascii="Arial Narrow" w:hAnsi="Arial Narrow" w:eastAsia="仿宋"/>
                <w:snapToGrid w:val="0"/>
                <w:sz w:val="21"/>
                <w:szCs w:val="22"/>
                <w14:ligatures w14:val="none"/>
              </w:rPr>
              <w:t>北京市作为全国最大的来华留学生基地，具有很大规模的来华留学生青年群体，这一部分青年群体的思想动态和行为规范将在一定程度上对首都的政治、文化、社会发展起到影响作用。并且由于国际青年群体的成长环境、受教育程度和方式、文化习俗、宗教信仰等方面不同于国内青年，他们的思想和行为也多不同于国内青年，对于此类群体的思想和行为的把握具有一定的复杂性和难度性。因此，北京市团校立足于为北京市共青团和北京市委、市政府服务的大局，将通过调研分析、数据采集、案例搜集及翻译等，对2024年度国际青年及青年组织的思想动态以大数据的工作方法进行调查研究，并形成以季度为单位的4期内参报告，以为北京市相关职能部门提供决策依据。</w:t>
            </w:r>
          </w:p>
        </w:tc>
        <w:tc>
          <w:tcPr>
            <w:tcW w:w="1134" w:type="dxa"/>
            <w:vAlign w:val="center"/>
          </w:tcPr>
          <w:p>
            <w:pPr>
              <w:widowControl/>
              <w:adjustRightInd w:val="0"/>
              <w:snapToGrid w:val="0"/>
              <w:spacing w:line="240" w:lineRule="auto"/>
              <w:ind w:firstLine="0" w:firstLineChars="0"/>
              <w:jc w:val="right"/>
              <w:rPr>
                <w:rFonts w:ascii="Arial Narrow" w:hAnsi="Arial Narrow" w:eastAsia="仿宋"/>
                <w:snapToGrid w:val="0"/>
                <w:sz w:val="21"/>
                <w:szCs w:val="22"/>
                <w14:ligatures w14:val="none"/>
              </w:rPr>
            </w:pPr>
            <w:r>
              <w:rPr>
                <w:rFonts w:ascii="Arial Narrow" w:hAnsi="Arial Narrow" w:eastAsia="仿宋"/>
                <w:snapToGrid w:val="0"/>
                <w:sz w:val="21"/>
                <w:szCs w:val="22"/>
                <w14:ligatures w14:val="none"/>
              </w:rPr>
              <w:t>5.50</w:t>
            </w:r>
          </w:p>
        </w:tc>
      </w:tr>
    </w:tbl>
    <w:p>
      <w:pPr>
        <w:pStyle w:val="3"/>
        <w:rPr>
          <w:rFonts w:hint="eastAsia"/>
        </w:rPr>
      </w:pPr>
      <w:r>
        <w:rPr>
          <w:rFonts w:hint="eastAsia"/>
        </w:rPr>
        <w:t>二</w:t>
      </w:r>
      <w:r>
        <w:t>、</w:t>
      </w:r>
      <w:r>
        <w:rPr>
          <w:rFonts w:hint="eastAsia"/>
        </w:rPr>
        <w:t>当年</w:t>
      </w:r>
      <w:r>
        <w:t>预算执行情况</w:t>
      </w:r>
    </w:p>
    <w:p>
      <w:pPr>
        <w:ind w:firstLine="640" w:firstLineChars="200"/>
        <w:rPr>
          <w:rFonts w:hint="eastAsia"/>
        </w:rPr>
      </w:pPr>
      <w:r>
        <w:rPr>
          <w:rFonts w:hint="eastAsia"/>
        </w:rPr>
        <w:t>2024年全年预算数</w:t>
      </w:r>
      <w:r>
        <w:rPr>
          <w:rFonts w:hint="eastAsia"/>
          <w:lang w:val="en-US" w:eastAsia="zh-CN"/>
        </w:rPr>
        <w:t>2993.97</w:t>
      </w:r>
      <w:r>
        <w:rPr>
          <w:rFonts w:hint="eastAsia"/>
        </w:rPr>
        <w:t>万元，其中，基本支出预算数</w:t>
      </w:r>
      <w:r>
        <w:rPr>
          <w:rFonts w:hint="eastAsia"/>
          <w:lang w:val="en-US" w:eastAsia="zh-CN"/>
        </w:rPr>
        <w:t>1301.61</w:t>
      </w:r>
      <w:r>
        <w:rPr>
          <w:rFonts w:hint="eastAsia"/>
        </w:rPr>
        <w:t>万元，项目支出预算数</w:t>
      </w:r>
      <w:r>
        <w:rPr>
          <w:rFonts w:hint="eastAsia"/>
          <w:lang w:val="en-US" w:eastAsia="zh-CN"/>
        </w:rPr>
        <w:t>1692.36</w:t>
      </w:r>
      <w:r>
        <w:rPr>
          <w:rFonts w:hint="eastAsia"/>
        </w:rPr>
        <w:t>万元。全年支出</w:t>
      </w:r>
      <w:r>
        <w:rPr>
          <w:rFonts w:hint="eastAsia"/>
          <w:lang w:val="en-US" w:eastAsia="zh-CN"/>
        </w:rPr>
        <w:t>2906.23</w:t>
      </w:r>
      <w:r>
        <w:rPr>
          <w:rFonts w:hint="eastAsia"/>
        </w:rPr>
        <w:t>万元，其中，基本支出</w:t>
      </w:r>
      <w:r>
        <w:rPr>
          <w:rFonts w:hint="eastAsia"/>
          <w:lang w:val="en-US" w:eastAsia="zh-CN"/>
        </w:rPr>
        <w:t>1236.75</w:t>
      </w:r>
      <w:r>
        <w:rPr>
          <w:rFonts w:hint="eastAsia"/>
        </w:rPr>
        <w:t>万元，项目支出</w:t>
      </w:r>
      <w:r>
        <w:rPr>
          <w:rFonts w:hint="eastAsia"/>
          <w:lang w:val="en-US" w:eastAsia="zh-CN"/>
        </w:rPr>
        <w:t>1669.49</w:t>
      </w:r>
      <w:r>
        <w:rPr>
          <w:rFonts w:hint="eastAsia"/>
        </w:rPr>
        <w:t>万元。预算执行率为</w:t>
      </w:r>
      <w:r>
        <w:rPr>
          <w:rFonts w:hint="eastAsia"/>
          <w:lang w:val="en-US" w:eastAsia="zh-CN"/>
        </w:rPr>
        <w:t>97.07%</w:t>
      </w:r>
      <w:r>
        <w:rPr>
          <w:rFonts w:hint="eastAsia"/>
        </w:rPr>
        <w:t>。</w:t>
      </w:r>
    </w:p>
    <w:p>
      <w:pPr>
        <w:ind w:firstLine="0" w:firstLineChars="0"/>
        <w:jc w:val="center"/>
        <w:rPr>
          <w:rFonts w:hint="eastAsia"/>
        </w:rPr>
      </w:pPr>
      <w:r>
        <w:rPr>
          <w:rFonts w:hint="eastAsia"/>
        </w:rPr>
        <w:t>支出预决算对比分析表</w:t>
      </w:r>
    </w:p>
    <w:tbl>
      <w:tblPr>
        <w:tblStyle w:val="91"/>
        <w:tblW w:w="5000" w:type="pct"/>
        <w:tblInd w:w="0" w:type="dxa"/>
        <w:tblBorders>
          <w:top w:val="single" w:color="auto" w:sz="8" w:space="0"/>
          <w:left w:val="none" w:color="auto" w:sz="0" w:space="0"/>
          <w:bottom w:val="single" w:color="auto" w:sz="8"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933"/>
        <w:gridCol w:w="1427"/>
        <w:gridCol w:w="1427"/>
        <w:gridCol w:w="1427"/>
        <w:gridCol w:w="1308"/>
      </w:tblGrid>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blHeader/>
        </w:trPr>
        <w:tc>
          <w:tcPr>
            <w:tcW w:w="1721" w:type="pct"/>
            <w:vMerge w:val="restart"/>
            <w:tcBorders>
              <w:top w:val="single" w:color="auto" w:sz="8" w:space="0"/>
              <w:bottom w:val="dotted" w:color="auto" w:sz="4" w:space="0"/>
            </w:tcBorders>
            <w:shd w:val="clear" w:color="auto" w:fill="auto"/>
            <w:noWrap/>
            <w:vAlign w:val="center"/>
          </w:tcPr>
          <w:p>
            <w:pPr>
              <w:widowControl/>
              <w:adjustRightInd w:val="0"/>
              <w:snapToGrid w:val="0"/>
              <w:spacing w:line="360" w:lineRule="exact"/>
              <w:ind w:firstLine="0" w:firstLineChars="0"/>
              <w:jc w:val="center"/>
              <w:rPr>
                <w:rFonts w:ascii="Arial Narrow" w:hAnsi="Arial Narrow" w:eastAsia="仿宋"/>
                <w:snapToGrid w:val="0"/>
                <w:sz w:val="21"/>
              </w:rPr>
            </w:pPr>
            <w:r>
              <w:rPr>
                <w:rFonts w:hint="eastAsia" w:ascii="Arial Narrow" w:hAnsi="Arial Narrow" w:eastAsia="仿宋"/>
                <w:snapToGrid w:val="0"/>
                <w:sz w:val="21"/>
              </w:rPr>
              <w:t>项目</w:t>
            </w:r>
          </w:p>
        </w:tc>
        <w:tc>
          <w:tcPr>
            <w:tcW w:w="3278" w:type="pct"/>
            <w:gridSpan w:val="4"/>
            <w:tcBorders>
              <w:top w:val="single" w:color="auto" w:sz="8" w:space="0"/>
              <w:bottom w:val="dotted" w:color="auto" w:sz="4" w:space="0"/>
            </w:tcBorders>
            <w:shd w:val="clear" w:color="auto" w:fill="auto"/>
            <w:vAlign w:val="center"/>
          </w:tcPr>
          <w:p>
            <w:pPr>
              <w:widowControl/>
              <w:adjustRightInd w:val="0"/>
              <w:snapToGrid w:val="0"/>
              <w:spacing w:line="360" w:lineRule="exact"/>
              <w:ind w:firstLine="0" w:firstLineChars="0"/>
              <w:jc w:val="center"/>
              <w:rPr>
                <w:rFonts w:ascii="Arial Narrow" w:hAnsi="Arial Narrow" w:eastAsia="仿宋"/>
                <w:snapToGrid w:val="0"/>
                <w:sz w:val="21"/>
              </w:rPr>
            </w:pPr>
            <w:r>
              <w:rPr>
                <w:rFonts w:hint="eastAsia" w:ascii="Arial Narrow" w:hAnsi="Arial Narrow" w:eastAsia="仿宋"/>
                <w:snapToGrid w:val="0"/>
                <w:sz w:val="21"/>
              </w:rPr>
              <w:t>支出</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blHeader/>
        </w:trPr>
        <w:tc>
          <w:tcPr>
            <w:tcW w:w="1721" w:type="pct"/>
            <w:vMerge w:val="continue"/>
            <w:tcBorders>
              <w:top w:val="dotted" w:color="auto" w:sz="4" w:space="0"/>
              <w:bottom w:val="single" w:color="auto" w:sz="4" w:space="0"/>
            </w:tcBorders>
            <w:shd w:val="clear" w:color="auto" w:fill="auto"/>
            <w:noWrap/>
            <w:vAlign w:val="center"/>
          </w:tcPr>
          <w:p>
            <w:pPr>
              <w:widowControl/>
              <w:adjustRightInd w:val="0"/>
              <w:snapToGrid w:val="0"/>
              <w:spacing w:line="360" w:lineRule="exact"/>
              <w:ind w:firstLine="0" w:firstLineChars="0"/>
              <w:jc w:val="center"/>
              <w:rPr>
                <w:rFonts w:ascii="Arial Narrow" w:hAnsi="Arial Narrow" w:eastAsia="仿宋"/>
                <w:snapToGrid w:val="0"/>
                <w:sz w:val="21"/>
              </w:rPr>
            </w:pPr>
          </w:p>
        </w:tc>
        <w:tc>
          <w:tcPr>
            <w:tcW w:w="837" w:type="pct"/>
            <w:tcBorders>
              <w:top w:val="dotted" w:color="auto" w:sz="4" w:space="0"/>
              <w:bottom w:val="single" w:color="auto" w:sz="4" w:space="0"/>
            </w:tcBorders>
            <w:shd w:val="clear" w:color="auto" w:fill="auto"/>
            <w:noWrap/>
            <w:vAlign w:val="center"/>
          </w:tcPr>
          <w:p>
            <w:pPr>
              <w:widowControl/>
              <w:adjustRightInd w:val="0"/>
              <w:snapToGrid w:val="0"/>
              <w:spacing w:line="360" w:lineRule="exact"/>
              <w:ind w:firstLine="0" w:firstLineChars="0"/>
              <w:jc w:val="center"/>
              <w:rPr>
                <w:rFonts w:ascii="Arial Narrow" w:hAnsi="Arial Narrow" w:eastAsia="仿宋"/>
                <w:snapToGrid w:val="0"/>
                <w:sz w:val="21"/>
              </w:rPr>
            </w:pPr>
            <w:r>
              <w:rPr>
                <w:rFonts w:hint="eastAsia" w:ascii="Arial Narrow" w:hAnsi="Arial Narrow" w:eastAsia="仿宋"/>
                <w:snapToGrid w:val="0"/>
                <w:sz w:val="21"/>
              </w:rPr>
              <w:t>年初</w:t>
            </w:r>
            <w:r>
              <w:rPr>
                <w:rFonts w:ascii="Arial Narrow" w:hAnsi="Arial Narrow" w:eastAsia="仿宋"/>
                <w:snapToGrid w:val="0"/>
                <w:sz w:val="21"/>
              </w:rPr>
              <w:t>预算数</w:t>
            </w:r>
          </w:p>
        </w:tc>
        <w:tc>
          <w:tcPr>
            <w:tcW w:w="837" w:type="pct"/>
            <w:tcBorders>
              <w:top w:val="dotted" w:color="auto" w:sz="4" w:space="0"/>
              <w:bottom w:val="single" w:color="auto" w:sz="4" w:space="0"/>
            </w:tcBorders>
            <w:shd w:val="clear" w:color="auto" w:fill="auto"/>
            <w:vAlign w:val="center"/>
          </w:tcPr>
          <w:p>
            <w:pPr>
              <w:widowControl/>
              <w:adjustRightInd w:val="0"/>
              <w:snapToGrid w:val="0"/>
              <w:spacing w:line="360" w:lineRule="exact"/>
              <w:ind w:firstLine="0" w:firstLineChars="0"/>
              <w:jc w:val="center"/>
              <w:rPr>
                <w:rFonts w:ascii="Arial Narrow" w:hAnsi="Arial Narrow" w:eastAsia="仿宋"/>
                <w:snapToGrid w:val="0"/>
                <w:sz w:val="21"/>
              </w:rPr>
            </w:pPr>
            <w:r>
              <w:rPr>
                <w:rFonts w:hint="eastAsia" w:ascii="Arial Narrow" w:hAnsi="Arial Narrow" w:eastAsia="仿宋"/>
                <w:snapToGrid w:val="0"/>
                <w:sz w:val="21"/>
              </w:rPr>
              <w:t>全年预算数</w:t>
            </w:r>
          </w:p>
        </w:tc>
        <w:tc>
          <w:tcPr>
            <w:tcW w:w="837" w:type="pct"/>
            <w:tcBorders>
              <w:top w:val="dotted" w:color="auto" w:sz="4" w:space="0"/>
              <w:bottom w:val="single" w:color="auto" w:sz="4" w:space="0"/>
            </w:tcBorders>
            <w:shd w:val="clear" w:color="auto" w:fill="auto"/>
            <w:noWrap/>
            <w:vAlign w:val="center"/>
          </w:tcPr>
          <w:p>
            <w:pPr>
              <w:widowControl/>
              <w:adjustRightInd w:val="0"/>
              <w:snapToGrid w:val="0"/>
              <w:spacing w:line="360" w:lineRule="exact"/>
              <w:ind w:firstLine="0" w:firstLineChars="0"/>
              <w:jc w:val="center"/>
              <w:rPr>
                <w:rFonts w:ascii="Arial Narrow" w:hAnsi="Arial Narrow" w:eastAsia="仿宋"/>
                <w:snapToGrid w:val="0"/>
                <w:sz w:val="21"/>
              </w:rPr>
            </w:pPr>
            <w:r>
              <w:rPr>
                <w:rFonts w:hint="eastAsia" w:ascii="Arial Narrow" w:hAnsi="Arial Narrow" w:eastAsia="仿宋"/>
                <w:snapToGrid w:val="0"/>
                <w:sz w:val="21"/>
              </w:rPr>
              <w:t>决算数</w:t>
            </w:r>
          </w:p>
        </w:tc>
        <w:tc>
          <w:tcPr>
            <w:tcW w:w="766" w:type="pct"/>
            <w:tcBorders>
              <w:top w:val="dotted" w:color="auto" w:sz="4" w:space="0"/>
              <w:bottom w:val="single" w:color="auto" w:sz="4" w:space="0"/>
            </w:tcBorders>
            <w:shd w:val="clear" w:color="auto" w:fill="auto"/>
            <w:vAlign w:val="center"/>
          </w:tcPr>
          <w:p>
            <w:pPr>
              <w:widowControl/>
              <w:adjustRightInd w:val="0"/>
              <w:snapToGrid w:val="0"/>
              <w:spacing w:line="360" w:lineRule="exact"/>
              <w:ind w:firstLine="0" w:firstLineChars="0"/>
              <w:jc w:val="center"/>
              <w:rPr>
                <w:rFonts w:ascii="Arial Narrow" w:hAnsi="Arial Narrow" w:eastAsia="仿宋"/>
                <w:snapToGrid w:val="0"/>
                <w:sz w:val="21"/>
              </w:rPr>
            </w:pPr>
            <w:r>
              <w:rPr>
                <w:rFonts w:hint="eastAsia" w:ascii="Arial Narrow" w:hAnsi="Arial Narrow" w:eastAsia="仿宋"/>
                <w:snapToGrid w:val="0"/>
                <w:sz w:val="21"/>
              </w:rPr>
              <w:t>差异额（全年预算数-决算数）</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tcBorders>
              <w:top w:val="single" w:color="auto" w:sz="4" w:space="0"/>
            </w:tcBorders>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hint="eastAsia" w:ascii="Arial Narrow" w:hAnsi="Arial Narrow" w:eastAsia="仿宋"/>
                <w:snapToGrid w:val="0"/>
                <w:sz w:val="21"/>
              </w:rPr>
              <w:t>一、基本支出</w:t>
            </w:r>
          </w:p>
        </w:tc>
        <w:tc>
          <w:tcPr>
            <w:tcW w:w="837" w:type="pct"/>
            <w:tcBorders>
              <w:top w:val="single" w:color="auto" w:sz="4" w:space="0"/>
            </w:tcBorders>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ascii="Arial Narrow" w:hAnsi="Arial Narrow" w:eastAsia="仿宋" w:cs="仿宋_GB2312"/>
                <w:snapToGrid w:val="0"/>
                <w:sz w:val="21"/>
              </w:rPr>
              <w:t>1,589.27</w:t>
            </w:r>
          </w:p>
        </w:tc>
        <w:tc>
          <w:tcPr>
            <w:tcW w:w="837" w:type="pct"/>
            <w:tcBorders>
              <w:top w:val="single" w:color="auto" w:sz="4" w:space="0"/>
            </w:tcBorders>
            <w:shd w:val="clear" w:color="auto" w:fill="auto"/>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szCs w:val="24"/>
              </w:rPr>
            </w:pPr>
            <w:r>
              <w:rPr>
                <w:rFonts w:ascii="Arial Narrow" w:hAnsi="Arial Narrow" w:eastAsia="仿宋" w:cs="仿宋_GB2312"/>
                <w:snapToGrid w:val="0"/>
                <w:sz w:val="21"/>
                <w:szCs w:val="24"/>
              </w:rPr>
              <w:t>1,301.61</w:t>
            </w:r>
          </w:p>
        </w:tc>
        <w:tc>
          <w:tcPr>
            <w:tcW w:w="837" w:type="pct"/>
            <w:tcBorders>
              <w:top w:val="single" w:color="auto" w:sz="4" w:space="0"/>
            </w:tcBorders>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ascii="Arial Narrow" w:hAnsi="Arial Narrow" w:eastAsia="仿宋" w:cs="仿宋_GB2312"/>
                <w:snapToGrid w:val="0"/>
                <w:sz w:val="21"/>
              </w:rPr>
              <w:t>1,236.7</w:t>
            </w:r>
            <w:r>
              <w:rPr>
                <w:rFonts w:hint="eastAsia" w:ascii="Arial Narrow" w:hAnsi="Arial Narrow" w:eastAsia="仿宋" w:cs="仿宋_GB2312"/>
                <w:snapToGrid w:val="0"/>
                <w:sz w:val="21"/>
              </w:rPr>
              <w:t>4</w:t>
            </w:r>
          </w:p>
        </w:tc>
        <w:tc>
          <w:tcPr>
            <w:tcW w:w="766" w:type="pct"/>
            <w:tcBorders>
              <w:top w:val="single" w:color="auto" w:sz="4" w:space="0"/>
            </w:tcBorders>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ascii="Arial Narrow" w:hAnsi="Arial Narrow" w:eastAsia="仿宋" w:cs="仿宋_GB2312"/>
                <w:snapToGrid w:val="0"/>
                <w:sz w:val="21"/>
              </w:rPr>
              <w:t>64.8</w:t>
            </w:r>
            <w:r>
              <w:rPr>
                <w:rFonts w:hint="eastAsia" w:ascii="Arial Narrow" w:hAnsi="Arial Narrow" w:eastAsia="仿宋" w:cs="仿宋_GB2312"/>
                <w:snapToGrid w:val="0"/>
                <w:sz w:val="21"/>
              </w:rPr>
              <w:t>7</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left="406" w:leftChars="127" w:firstLine="0" w:firstLineChars="0"/>
              <w:jc w:val="left"/>
              <w:rPr>
                <w:rFonts w:ascii="Arial Narrow" w:hAnsi="Arial Narrow" w:eastAsia="仿宋"/>
                <w:snapToGrid w:val="0"/>
                <w:sz w:val="21"/>
              </w:rPr>
            </w:pPr>
            <w:r>
              <w:rPr>
                <w:rFonts w:hint="eastAsia" w:ascii="Arial Narrow" w:hAnsi="Arial Narrow" w:eastAsia="仿宋"/>
                <w:snapToGrid w:val="0"/>
                <w:sz w:val="21"/>
              </w:rPr>
              <w:t>工资福利支出</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1523.6</w:t>
            </w:r>
          </w:p>
        </w:tc>
        <w:tc>
          <w:tcPr>
            <w:tcW w:w="837" w:type="pct"/>
            <w:shd w:val="clear" w:color="auto" w:fill="auto"/>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1238.6</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1174.42</w:t>
            </w:r>
          </w:p>
        </w:tc>
        <w:tc>
          <w:tcPr>
            <w:tcW w:w="766" w:type="pct"/>
            <w:shd w:val="clear" w:color="auto" w:fill="auto"/>
            <w:noWrap/>
            <w:vAlign w:val="center"/>
          </w:tcPr>
          <w:p>
            <w:pPr>
              <w:widowControl/>
              <w:adjustRightInd w:val="0"/>
              <w:snapToGrid w:val="0"/>
              <w:spacing w:line="360" w:lineRule="exact"/>
              <w:ind w:firstLine="0" w:firstLineChars="0"/>
              <w:jc w:val="right"/>
              <w:textAlignment w:val="center"/>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64.18</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left="406" w:leftChars="127" w:firstLine="0" w:firstLineChars="0"/>
              <w:jc w:val="left"/>
              <w:rPr>
                <w:rFonts w:ascii="Arial Narrow" w:hAnsi="Arial Narrow" w:eastAsia="仿宋"/>
                <w:snapToGrid w:val="0"/>
                <w:sz w:val="21"/>
              </w:rPr>
            </w:pPr>
            <w:r>
              <w:rPr>
                <w:rFonts w:ascii="Arial Narrow" w:hAnsi="Arial Narrow" w:eastAsia="仿宋"/>
                <w:snapToGrid w:val="0"/>
                <w:sz w:val="21"/>
              </w:rPr>
              <w:t>商品和服务支出</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65.67</w:t>
            </w:r>
          </w:p>
        </w:tc>
        <w:tc>
          <w:tcPr>
            <w:tcW w:w="837" w:type="pct"/>
            <w:shd w:val="clear" w:color="auto" w:fill="auto"/>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63.01</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62.32</w:t>
            </w:r>
          </w:p>
        </w:tc>
        <w:tc>
          <w:tcPr>
            <w:tcW w:w="766" w:type="pct"/>
            <w:shd w:val="clear" w:color="auto" w:fill="auto"/>
            <w:noWrap/>
            <w:vAlign w:val="center"/>
          </w:tcPr>
          <w:p>
            <w:pPr>
              <w:widowControl/>
              <w:adjustRightInd w:val="0"/>
              <w:snapToGrid w:val="0"/>
              <w:spacing w:line="360" w:lineRule="exact"/>
              <w:ind w:firstLine="0" w:firstLineChars="0"/>
              <w:jc w:val="right"/>
              <w:textAlignment w:val="center"/>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0.69</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hint="eastAsia" w:ascii="Arial Narrow" w:hAnsi="Arial Narrow" w:eastAsia="仿宋"/>
                <w:snapToGrid w:val="0"/>
                <w:sz w:val="21"/>
              </w:rPr>
              <w:t>二、项目支出</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1859.87</w:t>
            </w:r>
          </w:p>
        </w:tc>
        <w:tc>
          <w:tcPr>
            <w:tcW w:w="837" w:type="pct"/>
            <w:shd w:val="clear" w:color="auto" w:fill="auto"/>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1692.36</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1669.49</w:t>
            </w:r>
          </w:p>
        </w:tc>
        <w:tc>
          <w:tcPr>
            <w:tcW w:w="766"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22.87</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hint="eastAsia" w:ascii="Arial Narrow" w:hAnsi="Arial Narrow" w:eastAsia="仿宋"/>
                <w:snapToGrid w:val="0"/>
                <w:sz w:val="21"/>
              </w:rPr>
              <w:t>工资福利支出</w:t>
            </w:r>
          </w:p>
        </w:tc>
        <w:tc>
          <w:tcPr>
            <w:tcW w:w="837"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w:t>
            </w:r>
          </w:p>
        </w:tc>
        <w:tc>
          <w:tcPr>
            <w:tcW w:w="837" w:type="pct"/>
            <w:shd w:val="clear" w:color="auto" w:fill="auto"/>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szCs w:val="24"/>
              </w:rPr>
            </w:pPr>
          </w:p>
        </w:tc>
        <w:tc>
          <w:tcPr>
            <w:tcW w:w="766"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ascii="Arial Narrow" w:hAnsi="Arial Narrow" w:eastAsia="仿宋"/>
                <w:snapToGrid w:val="0"/>
                <w:sz w:val="21"/>
              </w:rPr>
              <w:t>商品和服务支出</w:t>
            </w:r>
          </w:p>
        </w:tc>
        <w:tc>
          <w:tcPr>
            <w:tcW w:w="837" w:type="pct"/>
            <w:shd w:val="clear" w:color="auto" w:fill="auto"/>
            <w:noWrap/>
            <w:vAlign w:val="center"/>
          </w:tcPr>
          <w:p>
            <w:pPr>
              <w:widowControl/>
              <w:adjustRightInd w:val="0"/>
              <w:snapToGrid w:val="0"/>
              <w:spacing w:line="360" w:lineRule="exact"/>
              <w:ind w:firstLine="0" w:firstLineChars="0"/>
              <w:jc w:val="left"/>
              <w:textAlignment w:val="center"/>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w:t>
            </w:r>
          </w:p>
        </w:tc>
        <w:tc>
          <w:tcPr>
            <w:tcW w:w="837" w:type="pct"/>
            <w:shd w:val="clear" w:color="auto" w:fill="auto"/>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1653.01</w:t>
            </w:r>
          </w:p>
        </w:tc>
        <w:tc>
          <w:tcPr>
            <w:tcW w:w="766" w:type="pct"/>
            <w:shd w:val="clear" w:color="auto" w:fill="auto"/>
            <w:noWrap/>
            <w:vAlign w:val="center"/>
          </w:tcPr>
          <w:p>
            <w:pPr>
              <w:widowControl/>
              <w:adjustRightInd w:val="0"/>
              <w:snapToGrid w:val="0"/>
              <w:spacing w:line="360" w:lineRule="exact"/>
              <w:ind w:firstLine="0" w:firstLineChars="0"/>
              <w:jc w:val="left"/>
              <w:textAlignment w:val="center"/>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ascii="Arial Narrow" w:hAnsi="Arial Narrow" w:eastAsia="仿宋"/>
                <w:snapToGrid w:val="0"/>
                <w:sz w:val="21"/>
              </w:rPr>
              <w:t>对个人和家庭的补助</w:t>
            </w:r>
          </w:p>
        </w:tc>
        <w:tc>
          <w:tcPr>
            <w:tcW w:w="837"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w:t>
            </w:r>
          </w:p>
        </w:tc>
        <w:tc>
          <w:tcPr>
            <w:tcW w:w="837" w:type="pct"/>
            <w:shd w:val="clear" w:color="auto" w:fill="auto"/>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szCs w:val="24"/>
              </w:rPr>
            </w:pPr>
          </w:p>
        </w:tc>
        <w:tc>
          <w:tcPr>
            <w:tcW w:w="766"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ascii="Arial Narrow" w:hAnsi="Arial Narrow" w:eastAsia="仿宋"/>
                <w:snapToGrid w:val="0"/>
                <w:sz w:val="21"/>
              </w:rPr>
              <w:t>债务利息及费用支出</w:t>
            </w:r>
          </w:p>
        </w:tc>
        <w:tc>
          <w:tcPr>
            <w:tcW w:w="837"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p>
        </w:tc>
        <w:tc>
          <w:tcPr>
            <w:tcW w:w="766"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hint="eastAsia" w:ascii="Arial Narrow" w:hAnsi="Arial Narrow" w:eastAsia="仿宋"/>
                <w:snapToGrid w:val="0"/>
                <w:sz w:val="21"/>
              </w:rPr>
              <w:t xml:space="preserve">  </w:t>
            </w:r>
            <w:r>
              <w:rPr>
                <w:rFonts w:ascii="Arial Narrow" w:hAnsi="Arial Narrow" w:eastAsia="仿宋"/>
                <w:snapToGrid w:val="0"/>
                <w:sz w:val="21"/>
              </w:rPr>
              <w:t>资本性支出（基本建设）</w:t>
            </w:r>
          </w:p>
        </w:tc>
        <w:tc>
          <w:tcPr>
            <w:tcW w:w="837"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p>
        </w:tc>
        <w:tc>
          <w:tcPr>
            <w:tcW w:w="766"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hint="eastAsia" w:ascii="Arial Narrow" w:hAnsi="Arial Narrow" w:eastAsia="仿宋"/>
                <w:snapToGrid w:val="0"/>
                <w:sz w:val="21"/>
              </w:rPr>
              <w:t xml:space="preserve">  </w:t>
            </w:r>
            <w:r>
              <w:rPr>
                <w:rFonts w:ascii="Arial Narrow" w:hAnsi="Arial Narrow" w:eastAsia="仿宋"/>
                <w:snapToGrid w:val="0"/>
                <w:sz w:val="21"/>
              </w:rPr>
              <w:t>资本性支出</w:t>
            </w:r>
          </w:p>
        </w:tc>
        <w:tc>
          <w:tcPr>
            <w:tcW w:w="837" w:type="pct"/>
            <w:shd w:val="clear" w:color="auto" w:fill="auto"/>
            <w:noWrap/>
            <w:vAlign w:val="center"/>
          </w:tcPr>
          <w:p>
            <w:pPr>
              <w:widowControl/>
              <w:adjustRightInd w:val="0"/>
              <w:snapToGrid w:val="0"/>
              <w:spacing w:line="360" w:lineRule="exact"/>
              <w:ind w:firstLine="0" w:firstLineChars="0"/>
              <w:jc w:val="left"/>
              <w:textAlignment w:val="center"/>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16.48</w:t>
            </w:r>
          </w:p>
        </w:tc>
        <w:tc>
          <w:tcPr>
            <w:tcW w:w="766"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hint="eastAsia" w:ascii="Arial Narrow" w:hAnsi="Arial Narrow" w:eastAsia="仿宋"/>
                <w:snapToGrid w:val="0"/>
                <w:sz w:val="21"/>
              </w:rPr>
              <w:t xml:space="preserve">  </w:t>
            </w:r>
            <w:r>
              <w:rPr>
                <w:rFonts w:ascii="Arial Narrow" w:hAnsi="Arial Narrow" w:eastAsia="仿宋"/>
                <w:snapToGrid w:val="0"/>
                <w:sz w:val="21"/>
              </w:rPr>
              <w:t>对企业补助（基本建设）</w:t>
            </w:r>
          </w:p>
        </w:tc>
        <w:tc>
          <w:tcPr>
            <w:tcW w:w="837"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p>
        </w:tc>
        <w:tc>
          <w:tcPr>
            <w:tcW w:w="766"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hint="eastAsia" w:ascii="Arial Narrow" w:hAnsi="Arial Narrow" w:eastAsia="仿宋"/>
                <w:snapToGrid w:val="0"/>
                <w:sz w:val="21"/>
              </w:rPr>
              <w:t xml:space="preserve"> </w:t>
            </w:r>
            <w:r>
              <w:rPr>
                <w:rFonts w:ascii="Arial Narrow" w:hAnsi="Arial Narrow" w:eastAsia="仿宋"/>
                <w:snapToGrid w:val="0"/>
                <w:sz w:val="21"/>
                <w:lang w:val="en"/>
              </w:rPr>
              <w:t xml:space="preserve"> </w:t>
            </w:r>
            <w:r>
              <w:rPr>
                <w:rFonts w:ascii="Arial Narrow" w:hAnsi="Arial Narrow" w:eastAsia="仿宋"/>
                <w:snapToGrid w:val="0"/>
                <w:sz w:val="21"/>
              </w:rPr>
              <w:t>对企业补助</w:t>
            </w:r>
          </w:p>
        </w:tc>
        <w:tc>
          <w:tcPr>
            <w:tcW w:w="837"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p>
        </w:tc>
        <w:tc>
          <w:tcPr>
            <w:tcW w:w="766"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hint="eastAsia" w:ascii="Arial Narrow" w:hAnsi="Arial Narrow" w:eastAsia="仿宋"/>
                <w:snapToGrid w:val="0"/>
                <w:sz w:val="21"/>
              </w:rPr>
              <w:t xml:space="preserve"> </w:t>
            </w:r>
            <w:r>
              <w:rPr>
                <w:rFonts w:ascii="Arial Narrow" w:hAnsi="Arial Narrow" w:eastAsia="仿宋"/>
                <w:snapToGrid w:val="0"/>
                <w:sz w:val="21"/>
                <w:lang w:val="en"/>
              </w:rPr>
              <w:t xml:space="preserve"> </w:t>
            </w:r>
            <w:r>
              <w:rPr>
                <w:rFonts w:ascii="Arial Narrow" w:hAnsi="Arial Narrow" w:eastAsia="仿宋"/>
                <w:snapToGrid w:val="0"/>
                <w:sz w:val="21"/>
              </w:rPr>
              <w:t>对社会保障基金补助</w:t>
            </w:r>
          </w:p>
        </w:tc>
        <w:tc>
          <w:tcPr>
            <w:tcW w:w="837"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p>
        </w:tc>
        <w:tc>
          <w:tcPr>
            <w:tcW w:w="766"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hint="eastAsia" w:ascii="Arial Narrow" w:hAnsi="Arial Narrow" w:eastAsia="仿宋"/>
                <w:snapToGrid w:val="0"/>
                <w:sz w:val="21"/>
              </w:rPr>
              <w:t xml:space="preserve"> </w:t>
            </w:r>
            <w:r>
              <w:rPr>
                <w:rFonts w:ascii="Arial Narrow" w:hAnsi="Arial Narrow" w:eastAsia="仿宋"/>
                <w:snapToGrid w:val="0"/>
                <w:sz w:val="21"/>
                <w:lang w:val="en"/>
              </w:rPr>
              <w:t xml:space="preserve"> </w:t>
            </w:r>
            <w:r>
              <w:rPr>
                <w:rFonts w:ascii="Arial Narrow" w:hAnsi="Arial Narrow" w:eastAsia="仿宋"/>
                <w:snapToGrid w:val="0"/>
                <w:sz w:val="21"/>
              </w:rPr>
              <w:t>其他支出</w:t>
            </w:r>
          </w:p>
        </w:tc>
        <w:tc>
          <w:tcPr>
            <w:tcW w:w="837"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p>
        </w:tc>
        <w:tc>
          <w:tcPr>
            <w:tcW w:w="766"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cs="仿宋_GB2312"/>
                <w:snapToGrid w:val="0"/>
                <w:sz w:val="21"/>
              </w:rPr>
            </w:pPr>
            <w:r>
              <w:rPr>
                <w:rFonts w:hint="eastAsia" w:ascii="Arial Narrow" w:hAnsi="Arial Narrow" w:eastAsia="仿宋" w:cs="仿宋_GB2312"/>
                <w:snapToGrid w:val="0"/>
                <w:sz w:val="21"/>
                <w:szCs w:val="24"/>
              </w:rPr>
              <w:t>—</w:t>
            </w:r>
          </w:p>
        </w:tc>
      </w:tr>
      <w:tr>
        <w:tblPrEx>
          <w:tblBorders>
            <w:top w:val="single" w:color="auto" w:sz="8" w:space="0"/>
            <w:left w:val="none" w:color="auto" w:sz="0" w:space="0"/>
            <w:bottom w:val="single" w:color="auto" w:sz="8"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Arial Narrow" w:hAnsi="Arial Narrow" w:eastAsia="仿宋"/>
                <w:snapToGrid w:val="0"/>
                <w:sz w:val="21"/>
              </w:rPr>
            </w:pPr>
            <w:r>
              <w:rPr>
                <w:rFonts w:hint="eastAsia" w:ascii="Arial Narrow" w:hAnsi="Arial Narrow" w:eastAsia="仿宋"/>
                <w:snapToGrid w:val="0"/>
                <w:sz w:val="21"/>
              </w:rPr>
              <w:t>支出合计</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3449.14</w:t>
            </w:r>
          </w:p>
        </w:tc>
        <w:tc>
          <w:tcPr>
            <w:tcW w:w="837" w:type="pct"/>
            <w:shd w:val="clear" w:color="auto" w:fill="auto"/>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szCs w:val="24"/>
              </w:rPr>
            </w:pPr>
            <w:r>
              <w:rPr>
                <w:rFonts w:hint="eastAsia" w:ascii="Arial Narrow" w:hAnsi="Arial Narrow" w:eastAsia="仿宋" w:cs="仿宋_GB2312"/>
                <w:snapToGrid w:val="0"/>
                <w:sz w:val="21"/>
                <w:szCs w:val="24"/>
              </w:rPr>
              <w:t>2993.97</w:t>
            </w:r>
          </w:p>
        </w:tc>
        <w:tc>
          <w:tcPr>
            <w:tcW w:w="837"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2906.23</w:t>
            </w:r>
          </w:p>
        </w:tc>
        <w:tc>
          <w:tcPr>
            <w:tcW w:w="766" w:type="pct"/>
            <w:shd w:val="clear" w:color="auto" w:fill="auto"/>
            <w:noWrap/>
            <w:vAlign w:val="center"/>
          </w:tcPr>
          <w:p>
            <w:pPr>
              <w:widowControl/>
              <w:adjustRightInd w:val="0"/>
              <w:snapToGrid w:val="0"/>
              <w:spacing w:line="360" w:lineRule="exact"/>
              <w:ind w:firstLine="0" w:firstLineChars="0"/>
              <w:jc w:val="right"/>
              <w:rPr>
                <w:rFonts w:ascii="Arial Narrow" w:hAnsi="Arial Narrow" w:eastAsia="仿宋" w:cs="仿宋_GB2312"/>
                <w:snapToGrid w:val="0"/>
                <w:sz w:val="21"/>
              </w:rPr>
            </w:pPr>
            <w:r>
              <w:rPr>
                <w:rFonts w:hint="eastAsia" w:ascii="Arial Narrow" w:hAnsi="Arial Narrow" w:eastAsia="仿宋" w:cs="仿宋_GB2312"/>
                <w:snapToGrid w:val="0"/>
                <w:sz w:val="21"/>
              </w:rPr>
              <w:t>87.74</w:t>
            </w:r>
          </w:p>
        </w:tc>
      </w:tr>
    </w:tbl>
    <w:p>
      <w:pPr>
        <w:ind w:firstLine="640" w:firstLineChars="200"/>
        <w:rPr>
          <w:rFonts w:hint="eastAsia"/>
        </w:rPr>
      </w:pPr>
      <w:r>
        <w:rPr>
          <w:rFonts w:hint="eastAsia"/>
        </w:rPr>
        <w:t>结余主要原因是</w:t>
      </w:r>
      <w:r>
        <w:rPr>
          <w:rFonts w:hint="eastAsia" w:hAnsi="仿宋"/>
        </w:rPr>
        <w:t>合理制定经费执行计划，资金使用效率提高。</w:t>
      </w:r>
    </w:p>
    <w:p>
      <w:pPr>
        <w:pStyle w:val="3"/>
        <w:rPr>
          <w:rFonts w:hint="eastAsia"/>
        </w:rPr>
      </w:pPr>
      <w:r>
        <w:rPr>
          <w:rFonts w:hint="eastAsia"/>
        </w:rPr>
        <w:t>三</w:t>
      </w:r>
      <w:r>
        <w:t>、整体绩效目标实现情况</w:t>
      </w:r>
    </w:p>
    <w:p>
      <w:pPr>
        <w:pStyle w:val="5"/>
        <w:ind w:firstLine="640" w:firstLineChars="200"/>
        <w:rPr>
          <w:rFonts w:hint="eastAsia"/>
        </w:rPr>
      </w:pPr>
      <w:r>
        <w:rPr>
          <w:rFonts w:hint="eastAsia"/>
        </w:rPr>
        <w:t>（一）产出完成情况分析</w:t>
      </w:r>
    </w:p>
    <w:p>
      <w:pPr>
        <w:ind w:firstLine="640" w:firstLineChars="200"/>
        <w:rPr>
          <w:rFonts w:hint="eastAsia"/>
        </w:rPr>
      </w:pPr>
      <w:r>
        <w:rPr>
          <w:rFonts w:hint="eastAsia"/>
        </w:rPr>
        <w:t>2024年度，市团校总结2023年工作经验，继续高标准、高质量、严要求完成了当年度各项工作。其中主要项目完成情况包括：</w:t>
      </w:r>
    </w:p>
    <w:p>
      <w:pPr>
        <w:pStyle w:val="6"/>
        <w:numPr>
          <w:ilvl w:val="0"/>
          <w:numId w:val="12"/>
        </w:numPr>
        <w:ind w:left="0" w:leftChars="0" w:firstLine="640" w:firstLineChars="200"/>
        <w:rPr>
          <w:rFonts w:hint="eastAsia"/>
        </w:rPr>
      </w:pPr>
      <w:r>
        <w:rPr>
          <w:rFonts w:hint="eastAsia"/>
        </w:rPr>
        <w:t>产出数量</w:t>
      </w:r>
    </w:p>
    <w:p>
      <w:pPr>
        <w:pStyle w:val="7"/>
        <w:numPr>
          <w:ilvl w:val="0"/>
          <w:numId w:val="13"/>
        </w:numPr>
        <w:ind w:firstLineChars="0"/>
        <w:jc w:val="left"/>
        <w:rPr>
          <w:rFonts w:hint="eastAsia"/>
        </w:rPr>
      </w:pPr>
      <w:r>
        <w:t>培训</w:t>
      </w:r>
      <w:r>
        <w:rPr>
          <w:rFonts w:hint="eastAsia"/>
        </w:rPr>
        <w:t>班次及受训人员</w:t>
      </w:r>
    </w:p>
    <w:p>
      <w:pPr>
        <w:ind w:firstLine="640" w:firstLineChars="200"/>
        <w:rPr>
          <w:rFonts w:hint="eastAsia"/>
        </w:rPr>
      </w:pPr>
      <w:r>
        <w:rPr>
          <w:rFonts w:hint="eastAsia"/>
        </w:rPr>
        <w:t>全年完成各类</w:t>
      </w:r>
      <w:r>
        <w:rPr>
          <w:rFonts w:hint="eastAsia"/>
          <w:highlight w:val="none"/>
        </w:rPr>
        <w:t>培训班次38个</w:t>
      </w:r>
      <w:r>
        <w:rPr>
          <w:rFonts w:hint="eastAsia"/>
        </w:rPr>
        <w:t>、</w:t>
      </w:r>
      <w:r>
        <w:rPr>
          <w:rFonts w:hAnsi="仿宋"/>
        </w:rPr>
        <w:t>覆盖学员</w:t>
      </w:r>
      <w:r>
        <w:rPr>
          <w:rFonts w:hint="eastAsia"/>
        </w:rPr>
        <w:t>3480人次，培训量16364人天，调训率95%，</w:t>
      </w:r>
      <w:r>
        <w:rPr>
          <w:rFonts w:hAnsi="仿宋"/>
        </w:rPr>
        <w:t>不断深化“送课到岗”品牌项目，送出课程89场、覆盖1万7千人次</w:t>
      </w:r>
      <w:r>
        <w:rPr>
          <w:rFonts w:hint="eastAsia"/>
        </w:rPr>
        <w:t>。</w:t>
      </w:r>
    </w:p>
    <w:p>
      <w:pPr>
        <w:pStyle w:val="7"/>
        <w:numPr>
          <w:ilvl w:val="0"/>
          <w:numId w:val="13"/>
        </w:numPr>
        <w:ind w:firstLineChars="0"/>
        <w:jc w:val="left"/>
        <w:rPr>
          <w:rFonts w:hint="eastAsia"/>
        </w:rPr>
      </w:pPr>
      <w:r>
        <w:rPr>
          <w:rFonts w:hint="eastAsia"/>
        </w:rPr>
        <w:t>课程开发与教材编写</w:t>
      </w:r>
    </w:p>
    <w:p>
      <w:pPr>
        <w:ind w:firstLine="640" w:firstLineChars="200"/>
        <w:rPr>
          <w:rFonts w:hint="eastAsia"/>
        </w:rPr>
      </w:pPr>
      <w:r>
        <w:rPr>
          <w:rFonts w:hint="eastAsia"/>
        </w:rPr>
        <w:t>在全年</w:t>
      </w:r>
      <w:r>
        <w:rPr>
          <w:rFonts w:hint="eastAsia"/>
          <w:highlight w:val="none"/>
        </w:rPr>
        <w:t>38个培训班次</w:t>
      </w:r>
      <w:r>
        <w:rPr>
          <w:rFonts w:hint="eastAsia"/>
        </w:rPr>
        <w:t>中，开设不同类型课程555门次；研发3期《青春讲述者》精品视频公开课；研发17门自主课程；开展教学沙龙20期、全要素试讲8次；拓展教学基地、教学合作单位35家；编写印制自主教材5本。</w:t>
      </w:r>
    </w:p>
    <w:p>
      <w:pPr>
        <w:pStyle w:val="7"/>
        <w:numPr>
          <w:ilvl w:val="0"/>
          <w:numId w:val="13"/>
        </w:numPr>
        <w:ind w:firstLineChars="0"/>
        <w:jc w:val="left"/>
        <w:rPr>
          <w:rFonts w:hint="eastAsia"/>
        </w:rPr>
      </w:pPr>
      <w:r>
        <w:rPr>
          <w:rFonts w:hint="eastAsia"/>
        </w:rPr>
        <w:t>科研活动</w:t>
      </w:r>
    </w:p>
    <w:p>
      <w:pPr>
        <w:ind w:firstLine="640" w:firstLineChars="200"/>
        <w:rPr>
          <w:rFonts w:hint="eastAsia" w:eastAsia="仿宋_GB2312"/>
          <w:lang w:eastAsia="zh-CN"/>
        </w:rPr>
      </w:pPr>
      <w:r>
        <w:rPr>
          <w:rFonts w:hint="eastAsia"/>
        </w:rPr>
        <w:t>组织开展“科研先锋”培养行动8次，举办“青年发展 北京对话（2024）”学术活动，开展3场专题研讨。依托2024年度首都青少年工作和共青团工作研究课题项目，择优出版论文集1本。按</w:t>
      </w:r>
      <w:r>
        <w:rPr>
          <w:rFonts w:hint="eastAsia"/>
          <w:lang w:eastAsia="zh-Hans"/>
        </w:rPr>
        <w:t>计划形成</w:t>
      </w:r>
      <w:r>
        <w:rPr>
          <w:rFonts w:hint="eastAsia"/>
        </w:rPr>
        <w:t>4期不同主题的舆情内参报告</w:t>
      </w:r>
      <w:r>
        <w:rPr>
          <w:rFonts w:hint="eastAsia"/>
          <w:lang w:eastAsia="zh-CN"/>
        </w:rPr>
        <w:t>。</w:t>
      </w:r>
    </w:p>
    <w:p>
      <w:pPr>
        <w:pStyle w:val="7"/>
        <w:numPr>
          <w:ilvl w:val="0"/>
          <w:numId w:val="13"/>
        </w:numPr>
        <w:ind w:firstLineChars="0"/>
        <w:jc w:val="left"/>
        <w:rPr>
          <w:rFonts w:hint="eastAsia"/>
        </w:rPr>
      </w:pPr>
      <w:r>
        <w:rPr>
          <w:rFonts w:hint="eastAsia"/>
        </w:rPr>
        <w:t>刊物编办</w:t>
      </w:r>
    </w:p>
    <w:p>
      <w:pPr>
        <w:ind w:firstLine="640" w:firstLineChars="200"/>
        <w:rPr>
          <w:rFonts w:hint="eastAsia"/>
        </w:rPr>
      </w:pPr>
      <w:r>
        <w:rPr>
          <w:rFonts w:hint="eastAsia"/>
        </w:rPr>
        <w:t>出版《北京青年工作研究》普刊12期、专刊1期，刊发稿件140余篇，审校字数超300余万字。</w:t>
      </w:r>
    </w:p>
    <w:p>
      <w:pPr>
        <w:pStyle w:val="7"/>
        <w:numPr>
          <w:ilvl w:val="0"/>
          <w:numId w:val="13"/>
        </w:numPr>
        <w:ind w:firstLineChars="0"/>
        <w:jc w:val="left"/>
        <w:rPr>
          <w:rFonts w:hint="eastAsia"/>
        </w:rPr>
      </w:pPr>
      <w:r>
        <w:rPr>
          <w:rFonts w:hint="eastAsia"/>
        </w:rPr>
        <w:t>课题研究</w:t>
      </w:r>
    </w:p>
    <w:p>
      <w:pPr>
        <w:ind w:firstLine="640" w:firstLineChars="200"/>
        <w:rPr>
          <w:rFonts w:hint="eastAsia"/>
        </w:rPr>
      </w:pPr>
      <w:r>
        <w:rPr>
          <w:rFonts w:hint="eastAsia"/>
        </w:rPr>
        <w:t>校级科研项目共立项7项，产出研究报告7篇，课题评审合格率和结题率100%。</w:t>
      </w:r>
    </w:p>
    <w:p>
      <w:pPr>
        <w:pStyle w:val="7"/>
        <w:numPr>
          <w:ilvl w:val="0"/>
          <w:numId w:val="13"/>
        </w:numPr>
        <w:ind w:firstLineChars="0"/>
        <w:jc w:val="left"/>
        <w:rPr>
          <w:rFonts w:hint="eastAsia"/>
        </w:rPr>
      </w:pPr>
      <w:r>
        <w:rPr>
          <w:rFonts w:hint="eastAsia"/>
        </w:rPr>
        <w:t>交流研讨</w:t>
      </w:r>
    </w:p>
    <w:p>
      <w:pPr>
        <w:ind w:firstLine="640" w:firstLineChars="200"/>
        <w:rPr>
          <w:rFonts w:hint="eastAsia"/>
        </w:rPr>
      </w:pPr>
      <w:r>
        <w:rPr>
          <w:rFonts w:hint="eastAsia"/>
        </w:rPr>
        <w:t>积极组织开展党政部门青年干部交流活动，在团市委的指导支持下，北京市团校代表团一行4人前往蒙古国乌兰巴托市开展出访交流，促进双方在人才培养、科研合作等方面的交流协作，形成赴蒙古国乌兰巴托市出访报告1份。</w:t>
      </w:r>
    </w:p>
    <w:p>
      <w:pPr>
        <w:pStyle w:val="6"/>
        <w:numPr>
          <w:ilvl w:val="0"/>
          <w:numId w:val="12"/>
        </w:numPr>
        <w:ind w:left="0" w:leftChars="0" w:firstLine="640" w:firstLineChars="200"/>
        <w:rPr>
          <w:rFonts w:hint="eastAsia"/>
        </w:rPr>
      </w:pPr>
      <w:r>
        <w:rPr>
          <w:rFonts w:hint="eastAsia"/>
        </w:rPr>
        <w:t>产出</w:t>
      </w:r>
      <w:r>
        <w:t>质量</w:t>
      </w:r>
    </w:p>
    <w:p>
      <w:pPr>
        <w:ind w:firstLine="640" w:firstLineChars="200"/>
      </w:pPr>
      <w:r>
        <w:rPr>
          <w:rFonts w:hint="eastAsia"/>
        </w:rPr>
        <w:t>202</w:t>
      </w:r>
      <w:r>
        <w:rPr>
          <w:rFonts w:hint="eastAsia"/>
          <w:lang w:val="en-US" w:eastAsia="zh-CN"/>
        </w:rPr>
        <w:t>4</w:t>
      </w:r>
      <w:r>
        <w:rPr>
          <w:rFonts w:hint="eastAsia"/>
        </w:rPr>
        <w:t>年，</w:t>
      </w:r>
      <w:r>
        <w:rPr>
          <w:rFonts w:hint="eastAsia"/>
          <w:lang w:val="en-US" w:eastAsia="zh-CN"/>
        </w:rPr>
        <w:t>市团校全体干部教师以昂扬的奋斗姿态、求真务实的工作作风推动各项工作迈上新台阶。</w:t>
      </w:r>
    </w:p>
    <w:p>
      <w:pPr>
        <w:ind w:firstLine="640" w:firstLineChars="200"/>
        <w:rPr>
          <w:rFonts w:hint="eastAsia"/>
        </w:rPr>
      </w:pPr>
      <w:r>
        <w:rPr>
          <w:rFonts w:hint="eastAsia"/>
          <w:lang w:eastAsia="zh-CN"/>
        </w:rPr>
        <w:t>一是</w:t>
      </w:r>
      <w:r>
        <w:rPr>
          <w:rFonts w:hint="eastAsia"/>
        </w:rPr>
        <w:t>全面融入共青团卫国戍边工作，组织青年教师前往东方第一哨、西陲第一哨、北极边防连等戍边部队调研、授课、重温入党誓词，与新疆军区、南疆军区、海军16舰等单位开展共建合作，相关工作得到团中央书记处领导的批示。</w:t>
      </w:r>
    </w:p>
    <w:p>
      <w:pPr>
        <w:ind w:firstLine="640" w:firstLineChars="200"/>
        <w:rPr>
          <w:rFonts w:hint="eastAsia"/>
          <w:highlight w:val="none"/>
        </w:rPr>
      </w:pPr>
      <w:r>
        <w:rPr>
          <w:rFonts w:hint="eastAsia"/>
          <w:lang w:eastAsia="zh-CN"/>
        </w:rPr>
        <w:t>二是</w:t>
      </w:r>
      <w:r>
        <w:rPr>
          <w:rFonts w:hint="eastAsia"/>
          <w:highlight w:val="none"/>
        </w:rPr>
        <w:t>高位推动“口述史”研究，选取北京百年青运史中的重要事件，留下珍贵的研究资料。</w:t>
      </w:r>
    </w:p>
    <w:p>
      <w:pPr>
        <w:ind w:firstLine="640" w:firstLineChars="200"/>
        <w:rPr>
          <w:rFonts w:hint="eastAsia"/>
        </w:rPr>
      </w:pPr>
      <w:r>
        <w:rPr>
          <w:rFonts w:hint="eastAsia"/>
          <w:highlight w:val="none"/>
          <w:lang w:val="en-US" w:eastAsia="zh-CN"/>
        </w:rPr>
        <w:t>三是</w:t>
      </w:r>
      <w:r>
        <w:rPr>
          <w:rFonts w:hint="eastAsia"/>
          <w:highlight w:val="none"/>
        </w:rPr>
        <w:t>不断提升重大活动服务保障水平，开展重大活动志愿者培训，持续擦亮“北京志愿者学校”品牌。</w:t>
      </w:r>
    </w:p>
    <w:p>
      <w:pPr>
        <w:ind w:firstLine="640" w:firstLineChars="200"/>
        <w:rPr>
          <w:rFonts w:hint="eastAsia"/>
        </w:rPr>
      </w:pPr>
      <w:r>
        <w:rPr>
          <w:rFonts w:hint="eastAsia"/>
          <w:lang w:val="en-US" w:eastAsia="zh-CN"/>
        </w:rPr>
        <w:t>四</w:t>
      </w:r>
      <w:r>
        <w:rPr>
          <w:rFonts w:hint="eastAsia"/>
        </w:rPr>
        <w:t>是编制《北京市团校教育培训工作手册》，联动市委组织部、市委统战部、市委金融工委、市人社局、市商务局等单位举办培训班7期，学员覆盖14类群体。市委组织部正式将市团校部分班次纳入全市干部教育培训计划，培训工作覆盖面、影响力得到全方位提升。</w:t>
      </w:r>
    </w:p>
    <w:p>
      <w:pPr>
        <w:ind w:firstLine="640" w:firstLineChars="200"/>
        <w:rPr>
          <w:rFonts w:hint="eastAsia"/>
        </w:rPr>
      </w:pPr>
      <w:r>
        <w:rPr>
          <w:rFonts w:hint="eastAsia"/>
          <w:lang w:val="en-US" w:eastAsia="zh-CN"/>
        </w:rPr>
        <w:t>五是</w:t>
      </w:r>
      <w:r>
        <w:rPr>
          <w:rFonts w:hint="eastAsia"/>
        </w:rPr>
        <w:t>不断深化“送课到岗”品牌项目，该工作得到团中央书记处书记</w:t>
      </w:r>
      <w:r>
        <w:rPr>
          <w:rFonts w:hint="eastAsia"/>
          <w:lang w:eastAsia="zh-CN"/>
        </w:rPr>
        <w:t>领导</w:t>
      </w:r>
      <w:r>
        <w:rPr>
          <w:rFonts w:hint="eastAsia"/>
        </w:rPr>
        <w:t>的肯定性批示，并被纳入市委组织部《北京市干部教育培训创新实践案例汇编》，同时《中国共青团》杂志就此项工作进行了特稿刊发。</w:t>
      </w:r>
    </w:p>
    <w:p>
      <w:pPr>
        <w:ind w:firstLine="640" w:firstLineChars="200"/>
        <w:rPr>
          <w:rFonts w:hint="eastAsia"/>
        </w:rPr>
      </w:pPr>
      <w:r>
        <w:rPr>
          <w:rFonts w:hint="eastAsia"/>
          <w:lang w:val="en-US" w:eastAsia="zh-CN"/>
        </w:rPr>
        <w:t>六</w:t>
      </w:r>
      <w:r>
        <w:rPr>
          <w:rFonts w:hint="eastAsia"/>
        </w:rPr>
        <w:t>是参与制定《北京共青团干部教育培训规划（2024-2028年）&gt;实施方案》，巩固“1+3+5”教学格局，运用“五位一体”教学模式开展理论授课，全年开设课程555门次，研发的17门自主课程中有2门课程进入全国团干部教育培训精品课遴选决赛。</w:t>
      </w:r>
    </w:p>
    <w:p>
      <w:pPr>
        <w:ind w:firstLine="640" w:firstLineChars="200"/>
        <w:rPr>
          <w:rFonts w:hint="eastAsia"/>
        </w:rPr>
      </w:pPr>
      <w:r>
        <w:rPr>
          <w:rFonts w:hint="eastAsia"/>
          <w:lang w:val="en-US" w:eastAsia="zh-CN"/>
        </w:rPr>
        <w:t>七是</w:t>
      </w:r>
      <w:r>
        <w:rPr>
          <w:rFonts w:hint="eastAsia"/>
        </w:rPr>
        <w:t>拓展教学基地、合作单位达35家，新设分校5家，“团校+基地+分校”的根系脉络得到有效扩充。</w:t>
      </w:r>
    </w:p>
    <w:p>
      <w:pPr>
        <w:ind w:firstLine="640" w:firstLineChars="200"/>
        <w:rPr>
          <w:rFonts w:hint="eastAsia"/>
        </w:rPr>
      </w:pPr>
      <w:r>
        <w:rPr>
          <w:rFonts w:hint="eastAsia"/>
          <w:lang w:val="en-US" w:eastAsia="zh-CN"/>
        </w:rPr>
        <w:t>八是</w:t>
      </w:r>
      <w:r>
        <w:rPr>
          <w:rFonts w:hint="eastAsia"/>
        </w:rPr>
        <w:t>提升教学能力，组建含29位国家“万人计划”领军人才在内的高水平专家师资库，举办先锋分享会、先锋训练营等教学活动57场次，研发3期《青春讲述者》视频课，编写5本内部教材，自主研发课程在全国团干部教育培训精品课程评比中分别获得一等奖、三等奖。</w:t>
      </w:r>
    </w:p>
    <w:p>
      <w:pPr>
        <w:ind w:firstLine="640" w:firstLineChars="200"/>
        <w:rPr>
          <w:rFonts w:hint="eastAsia"/>
        </w:rPr>
      </w:pPr>
      <w:r>
        <w:rPr>
          <w:rFonts w:hint="eastAsia"/>
          <w:lang w:val="en-US" w:eastAsia="zh-CN"/>
        </w:rPr>
        <w:t>九是</w:t>
      </w:r>
      <w:r>
        <w:rPr>
          <w:rFonts w:hint="eastAsia"/>
        </w:rPr>
        <w:t>推动拥有42年办刊历史的内刊《北京青年工作研究》重焕生机，获国家新闻出版署批准正式公开发行，这是北京共青团系统唯一一本应用型学理研究刊物，有效填补了首都青年工作理论与实务研究的学术空白。</w:t>
      </w:r>
    </w:p>
    <w:p>
      <w:pPr>
        <w:ind w:firstLine="640" w:firstLineChars="200"/>
        <w:rPr>
          <w:rFonts w:hint="eastAsia"/>
        </w:rPr>
      </w:pPr>
      <w:r>
        <w:rPr>
          <w:rFonts w:hint="eastAsia"/>
          <w:lang w:val="en-US" w:eastAsia="zh-CN"/>
        </w:rPr>
        <w:t>十是</w:t>
      </w:r>
      <w:r>
        <w:rPr>
          <w:rFonts w:hint="eastAsia"/>
        </w:rPr>
        <w:t>开展“服务首都高质量发展青年行”专项行动，探索“政府出题、团校牵引、学者研究、青年参与”的创新模式。</w:t>
      </w:r>
    </w:p>
    <w:p>
      <w:pPr>
        <w:ind w:firstLine="640" w:firstLineChars="200"/>
        <w:rPr>
          <w:rFonts w:hint="eastAsia"/>
        </w:rPr>
      </w:pPr>
      <w:r>
        <w:rPr>
          <w:rFonts w:hint="eastAsia"/>
          <w:lang w:val="en-US" w:eastAsia="zh-CN"/>
        </w:rPr>
        <w:t>十一是</w:t>
      </w:r>
      <w:r>
        <w:rPr>
          <w:rFonts w:hint="eastAsia"/>
        </w:rPr>
        <w:t>内外联动产出成果，首次面向社会发布“首都青少年工作和共青团工作研究课题”、立项38项，支持教师主持省部级课题1项、参与国社科基金青年项目1项、完成校级课题7项，在《北京日报》理论版开设“五四”专版并发表理论文章10篇。</w:t>
      </w:r>
    </w:p>
    <w:p>
      <w:pPr>
        <w:ind w:firstLine="640" w:firstLineChars="200"/>
        <w:rPr>
          <w:rFonts w:hint="eastAsia"/>
        </w:rPr>
      </w:pPr>
      <w:r>
        <w:rPr>
          <w:rFonts w:hint="eastAsia"/>
          <w:lang w:val="en-US" w:eastAsia="zh-CN"/>
        </w:rPr>
        <w:t>十二是</w:t>
      </w:r>
      <w:r>
        <w:rPr>
          <w:rFonts w:hint="eastAsia"/>
        </w:rPr>
        <w:t>输出学术品牌，连续两年成功举办“青年发展·北京对话”学术活动，200余名来自全国高等院校和科研院所的专家学者、各省市团校相关负责同志以及首都各界青年代表齐聚北京、共话青年发展。</w:t>
      </w:r>
    </w:p>
    <w:p>
      <w:pPr>
        <w:pStyle w:val="6"/>
        <w:keepNext/>
        <w:numPr>
          <w:ilvl w:val="0"/>
          <w:numId w:val="12"/>
        </w:numPr>
        <w:ind w:left="0" w:leftChars="0" w:firstLine="640" w:firstLineChars="200"/>
        <w:rPr>
          <w:rFonts w:hint="eastAsia"/>
        </w:rPr>
      </w:pPr>
      <w:r>
        <w:t>产出进度</w:t>
      </w:r>
    </w:p>
    <w:p>
      <w:pPr>
        <w:ind w:firstLine="640" w:firstLineChars="200"/>
        <w:rPr>
          <w:rFonts w:hint="eastAsia"/>
        </w:rPr>
      </w:pPr>
      <w:r>
        <w:rPr>
          <w:rFonts w:hint="eastAsia"/>
        </w:rPr>
        <w:t>市团校严格按照年初制定的全年工作计划，各项工作稳步推进，全年工作进度落实执行情况良好。基本经费支出随工作实际开展进行，符合财政相关规范要求，2024年末圆满完成了各项工作。</w:t>
      </w:r>
    </w:p>
    <w:p>
      <w:pPr>
        <w:pStyle w:val="6"/>
        <w:numPr>
          <w:ilvl w:val="0"/>
          <w:numId w:val="12"/>
        </w:numPr>
        <w:ind w:left="0" w:leftChars="0" w:firstLine="640" w:firstLineChars="200"/>
        <w:rPr>
          <w:rFonts w:hint="eastAsia"/>
        </w:rPr>
      </w:pPr>
      <w:r>
        <w:rPr>
          <w:rFonts w:hint="eastAsia"/>
        </w:rPr>
        <w:t>产出成本</w:t>
      </w:r>
    </w:p>
    <w:p>
      <w:pPr>
        <w:ind w:firstLine="640" w:firstLineChars="200"/>
        <w:rPr>
          <w:rFonts w:hint="eastAsia"/>
        </w:rPr>
      </w:pPr>
      <w:r>
        <w:t>202</w:t>
      </w:r>
      <w:r>
        <w:rPr>
          <w:rFonts w:hint="eastAsia"/>
        </w:rPr>
        <w:t>4</w:t>
      </w:r>
      <w:r>
        <w:t>年财政批复预算</w:t>
      </w:r>
      <w:r>
        <w:rPr>
          <w:rFonts w:hint="eastAsia"/>
        </w:rPr>
        <w:t>3,449.14</w:t>
      </w:r>
      <w:r>
        <w:t>万元，</w:t>
      </w:r>
      <w:r>
        <w:rPr>
          <w:rFonts w:hint="eastAsia"/>
        </w:rPr>
        <w:t>按照市财政相关制度要求，结合2024年项目相关工作开展情况，申请调减预算455.1</w:t>
      </w:r>
      <w:r>
        <w:rPr>
          <w:rFonts w:hint="eastAsia"/>
          <w:lang w:val="en-US" w:eastAsia="zh-CN"/>
        </w:rPr>
        <w:t>7</w:t>
      </w:r>
      <w:r>
        <w:t>万元</w:t>
      </w:r>
      <w:r>
        <w:rPr>
          <w:rFonts w:hint="eastAsia"/>
        </w:rPr>
        <w:t>，调整后全年预算数2,993.97</w:t>
      </w:r>
      <w:r>
        <w:t>万元。</w:t>
      </w:r>
      <w:r>
        <w:rPr>
          <w:rFonts w:hint="eastAsia"/>
        </w:rPr>
        <w:t>当年</w:t>
      </w:r>
      <w:r>
        <w:t>实际支出</w:t>
      </w:r>
      <w:r>
        <w:rPr>
          <w:rFonts w:hint="eastAsia"/>
        </w:rPr>
        <w:t>2,906.23</w:t>
      </w:r>
      <w:r>
        <w:t>万元，其中，基本支出</w:t>
      </w:r>
      <w:r>
        <w:rPr>
          <w:rFonts w:hint="eastAsia"/>
        </w:rPr>
        <w:t>1,236.75</w:t>
      </w:r>
      <w:r>
        <w:t>万元，项目支出</w:t>
      </w:r>
      <w:r>
        <w:rPr>
          <w:rFonts w:hint="eastAsia"/>
        </w:rPr>
        <w:t>1,669.49</w:t>
      </w:r>
      <w:r>
        <w:t>万元。部门整体支出控制在预算批复范围内。</w:t>
      </w:r>
    </w:p>
    <w:p>
      <w:pPr>
        <w:pStyle w:val="5"/>
        <w:ind w:firstLine="640" w:firstLineChars="200"/>
        <w:rPr>
          <w:rFonts w:hint="eastAsia"/>
        </w:rPr>
      </w:pPr>
      <w:r>
        <w:rPr>
          <w:rFonts w:hint="eastAsia"/>
        </w:rPr>
        <w:t>（二）效果</w:t>
      </w:r>
      <w:r>
        <w:t>实现情况分析</w:t>
      </w:r>
    </w:p>
    <w:p>
      <w:pPr>
        <w:pStyle w:val="6"/>
        <w:ind w:left="0" w:leftChars="0" w:firstLine="640" w:firstLineChars="200"/>
        <w:rPr>
          <w:rFonts w:hint="eastAsia"/>
        </w:rPr>
      </w:pPr>
      <w:r>
        <w:rPr>
          <w:rFonts w:hint="eastAsia"/>
        </w:rPr>
        <w:t>1．社会效益</w:t>
      </w:r>
    </w:p>
    <w:p>
      <w:pPr>
        <w:ind w:firstLine="640" w:firstLineChars="200"/>
        <w:rPr>
          <w:rFonts w:hint="eastAsia"/>
        </w:rPr>
      </w:pPr>
      <w:r>
        <w:rPr>
          <w:rFonts w:hint="eastAsia"/>
        </w:rPr>
        <w:t>全年完成各类培训班次38个、调训团干部及青年骨干3480人，培训量16364人天，调训率95%，比去年同期提升9个百分点</w:t>
      </w:r>
      <w:r>
        <w:rPr>
          <w:rFonts w:hint="eastAsia"/>
          <w:lang w:eastAsia="zh-CN"/>
        </w:rPr>
        <w:t>，</w:t>
      </w:r>
      <w:r>
        <w:rPr>
          <w:rFonts w:hint="eastAsia"/>
        </w:rPr>
        <w:t>学员群体覆盖青联委员、新兴青年群体、卫国戍边优秀官兵及子女、港澳台青年骨干等14类。</w:t>
      </w:r>
    </w:p>
    <w:p>
      <w:pPr>
        <w:ind w:firstLine="640" w:firstLineChars="200"/>
        <w:rPr>
          <w:rFonts w:hint="eastAsia"/>
        </w:rPr>
      </w:pPr>
      <w:r>
        <w:rPr>
          <w:rFonts w:hint="eastAsia"/>
        </w:rPr>
        <w:t>开展“送课到岗”品牌项目90场，参与学员17871人次，相关做法被纳入市委组织部《北京市干部教育培训创新实践案例汇编》,《中国共青团》杂志特稿刊发《北京市团校：让理论的春风吹拂基层青年的心田》专题文章。</w:t>
      </w:r>
    </w:p>
    <w:p>
      <w:pPr>
        <w:ind w:firstLine="640" w:firstLineChars="200"/>
        <w:rPr>
          <w:rFonts w:hint="eastAsia"/>
        </w:rPr>
      </w:pPr>
      <w:r>
        <w:rPr>
          <w:rFonts w:hint="eastAsia"/>
        </w:rPr>
        <w:t>研发“新质生产力视角下的京津冀协同发展”等自主课程17门，打造现场教学线路。围绕首都“四个中心”战略定位研发《青春讲述者》精品视频公开课3期，总观看量达106万人次。</w:t>
      </w:r>
    </w:p>
    <w:p>
      <w:pPr>
        <w:ind w:firstLine="640" w:firstLineChars="200"/>
        <w:rPr>
          <w:rFonts w:hint="eastAsia"/>
        </w:rPr>
      </w:pPr>
      <w:r>
        <w:rPr>
          <w:rFonts w:hint="eastAsia"/>
        </w:rPr>
        <w:t>完成“党史基本知识”“新时代首都青年群众工作创新案例”等5本教材撰写和评</w:t>
      </w:r>
      <w:bookmarkStart w:id="0" w:name="_GoBack"/>
      <w:bookmarkEnd w:id="0"/>
      <w:r>
        <w:rPr>
          <w:rFonts w:hint="eastAsia"/>
        </w:rPr>
        <w:t>审工作。组织开展校级精品课遴选暨教师教学基本功展示工作，《从北京中轴线看中华文明的传承与发展》《马克思主义青年观》2门课程在全国团干部教育培训精品课程评比中取得优异成绩。</w:t>
      </w:r>
    </w:p>
    <w:p>
      <w:pPr>
        <w:ind w:firstLine="640" w:firstLineChars="200"/>
        <w:rPr>
          <w:rFonts w:hint="eastAsia"/>
        </w:rPr>
      </w:pPr>
      <w:r>
        <w:rPr>
          <w:rFonts w:hint="eastAsia"/>
          <w:lang w:bidi="ar"/>
        </w:rPr>
        <w:t>全年持续进行国际青年及青年组织思想动态调查研究项目的调查研究、数据采集、案例搜集及翻译工作，并聘请专家修改、评议，按季度形成4期不同主题的舆情内参报告；在团市委的指导支持下，前往蒙古国乌兰巴托市开展出访交流，促进双方在人才培养、科研合作等方面的交流协作，形成赴蒙古国乌兰巴托市出访报告1份。</w:t>
      </w:r>
    </w:p>
    <w:p>
      <w:pPr>
        <w:ind w:firstLine="640" w:firstLineChars="200"/>
        <w:rPr>
          <w:rFonts w:hint="eastAsia"/>
        </w:rPr>
      </w:pPr>
      <w:r>
        <w:rPr>
          <w:rFonts w:hint="eastAsia"/>
        </w:rPr>
        <w:t>持续擦亮“北京志愿者学校”品牌，成立“北京市理论宣讲志愿服务团”，承接北京市重大活动和重要赛会志愿者通用培训。组织校内外专家学者、青年教师赴新疆、西藏、黑龙江、青岛海军等地，为一线边防官兵“送课到岗”，共开展11场，覆盖戍边战士850余人。</w:t>
      </w:r>
    </w:p>
    <w:p>
      <w:pPr>
        <w:pStyle w:val="6"/>
        <w:ind w:left="0" w:leftChars="0" w:firstLine="640" w:firstLineChars="200"/>
        <w:rPr>
          <w:rFonts w:hint="eastAsia"/>
        </w:rPr>
      </w:pPr>
      <w:r>
        <w:rPr>
          <w:rFonts w:hint="eastAsia"/>
        </w:rPr>
        <w:t>2．可持续</w:t>
      </w:r>
      <w:r>
        <w:t>性影响</w:t>
      </w:r>
    </w:p>
    <w:p>
      <w:pPr>
        <w:ind w:firstLine="640" w:firstLineChars="200"/>
        <w:rPr>
          <w:rFonts w:hint="eastAsia"/>
        </w:rPr>
      </w:pPr>
      <w:r>
        <w:rPr>
          <w:rFonts w:hint="eastAsia"/>
        </w:rPr>
        <w:t>编制形成约6万字的《北京市团校教育培训工作手册（2024版）》，实现了教育培训工作有章可循。</w:t>
      </w:r>
    </w:p>
    <w:p>
      <w:pPr>
        <w:ind w:firstLine="640" w:firstLineChars="200"/>
        <w:rPr>
          <w:rFonts w:hint="eastAsia"/>
        </w:rPr>
      </w:pPr>
      <w:r>
        <w:rPr>
          <w:rFonts w:hint="eastAsia"/>
        </w:rPr>
        <w:t>通过构建丰富特色的课程体系，强化团干部思想武装，巩固“1+3+5”教学格局，创新课程形式，采用“原著精读+理论辅导+政策解读+案例分析+现场教学”五位一体教学模式开展理论授课。全年开展教学沙龙20期，完成8门课程首次全要素试讲，覆盖干部教师67人次，8位干部教师在培训班次中授课15门次，教师教学能力得到有效提升。</w:t>
      </w:r>
    </w:p>
    <w:p>
      <w:pPr>
        <w:pStyle w:val="6"/>
        <w:ind w:left="0" w:leftChars="0" w:firstLine="640" w:firstLineChars="200"/>
        <w:rPr>
          <w:rFonts w:hint="eastAsia"/>
        </w:rPr>
      </w:pPr>
      <w:r>
        <w:rPr>
          <w:rFonts w:hint="eastAsia"/>
        </w:rPr>
        <w:t>3．服务对象</w:t>
      </w:r>
      <w:r>
        <w:t>满意度</w:t>
      </w:r>
    </w:p>
    <w:p>
      <w:pPr>
        <w:ind w:firstLine="640" w:firstLineChars="200"/>
        <w:rPr>
          <w:rFonts w:hint="eastAsia"/>
        </w:rPr>
      </w:pPr>
      <w:r>
        <w:rPr>
          <w:rFonts w:hint="eastAsia"/>
        </w:rPr>
        <w:t>全年教育培训人员数量16364人天，市属班次学员对培训班综合评估满意度99.5%,对授课教师授课满意度99.4%。</w:t>
      </w:r>
    </w:p>
    <w:p>
      <w:pPr>
        <w:pStyle w:val="3"/>
        <w:rPr>
          <w:rFonts w:hint="eastAsia"/>
        </w:rPr>
      </w:pPr>
      <w:r>
        <w:rPr>
          <w:rFonts w:hint="eastAsia"/>
        </w:rPr>
        <w:t>四</w:t>
      </w:r>
      <w:r>
        <w:t>、预算管理</w:t>
      </w:r>
      <w:r>
        <w:rPr>
          <w:rFonts w:hint="eastAsia"/>
        </w:rPr>
        <w:t>情况分</w:t>
      </w:r>
      <w:r>
        <w:t>析</w:t>
      </w:r>
    </w:p>
    <w:p>
      <w:pPr>
        <w:pStyle w:val="5"/>
        <w:ind w:firstLine="640" w:firstLineChars="200"/>
        <w:rPr>
          <w:rFonts w:hint="eastAsia"/>
        </w:rPr>
      </w:pPr>
      <w:r>
        <w:rPr>
          <w:rFonts w:hint="eastAsia"/>
        </w:rPr>
        <w:t>（一）财务管理</w:t>
      </w:r>
    </w:p>
    <w:p>
      <w:pPr>
        <w:pStyle w:val="6"/>
        <w:numPr>
          <w:ilvl w:val="0"/>
          <w:numId w:val="14"/>
        </w:numPr>
        <w:ind w:left="0" w:leftChars="0" w:firstLine="640" w:firstLineChars="200"/>
        <w:rPr>
          <w:rFonts w:hint="eastAsia"/>
        </w:rPr>
      </w:pPr>
      <w:r>
        <w:rPr>
          <w:rFonts w:hint="eastAsia"/>
        </w:rPr>
        <w:t>财务</w:t>
      </w:r>
      <w:r>
        <w:t>管理制度健全性</w:t>
      </w:r>
    </w:p>
    <w:p>
      <w:pPr>
        <w:ind w:firstLine="640" w:firstLineChars="200"/>
        <w:rPr>
          <w:rFonts w:hint="eastAsia"/>
          <w:sz w:val="32"/>
          <w:szCs w:val="32"/>
        </w:rPr>
      </w:pPr>
      <w:r>
        <w:rPr>
          <w:rFonts w:hint="eastAsia" w:ascii="仿宋_GB2312" w:hAnsi="黑体" w:eastAsia="仿宋_GB2312"/>
          <w:color w:val="000000"/>
          <w:sz w:val="32"/>
          <w:szCs w:val="32"/>
        </w:rPr>
        <w:t>2024年，市团校启动了内控手册的编制工作，着力推动内控机制实质化运转，明确单位内部控制目标，通过梳理风险清单，修订管理制度，更新业务环节流程图等工作的实施，加速内部控制体系建设进程，推动制度执行与岗位职责深度融合，初步实现从“建制”向“用制”的阶段性转变，并通过专项检查与日常督导相结合，强化预算执行、合同履约等关键环节管控。截止2024年底，已建立涉及决策、综合管理、人事管理、财务管理、培训制度、教务管理、校级科研和智库管理7大类共计35项制度，覆盖了单位的主要业务职能，完善了单位的决策审批机制和流程，确立了单位分事行权、分岗设权、分级授权的机制。</w:t>
      </w:r>
    </w:p>
    <w:p>
      <w:pPr>
        <w:pStyle w:val="6"/>
        <w:numPr>
          <w:ilvl w:val="0"/>
          <w:numId w:val="14"/>
        </w:numPr>
        <w:ind w:left="0" w:leftChars="0" w:firstLine="640" w:firstLineChars="200"/>
        <w:rPr>
          <w:rFonts w:hint="eastAsia"/>
          <w:sz w:val="32"/>
          <w:szCs w:val="32"/>
        </w:rPr>
      </w:pPr>
      <w:r>
        <w:rPr>
          <w:rFonts w:hint="eastAsia"/>
          <w:sz w:val="32"/>
          <w:szCs w:val="32"/>
        </w:rPr>
        <w:t>资金使用合规性</w:t>
      </w:r>
      <w:r>
        <w:rPr>
          <w:sz w:val="32"/>
          <w:szCs w:val="32"/>
        </w:rPr>
        <w:t>和安全性</w:t>
      </w:r>
    </w:p>
    <w:p>
      <w:pPr>
        <w:ind w:firstLine="640" w:firstLineChars="200"/>
        <w:rPr>
          <w:rFonts w:hint="eastAsia"/>
        </w:rPr>
      </w:pPr>
      <w:r>
        <w:rPr>
          <w:rFonts w:hint="eastAsia"/>
        </w:rPr>
        <w:t>在资金使用过程中，专款专用，严格遵守法律法规，建立健全内部控制制度，明确各岗位的职责和权限，防止舞弊和错误的发生，严格执行“三重一大”管理制度，严格履行资金审批程序，杜绝截留、挤占、挪用情况。此外，还对财政资金的收支情况进行定期和不定期的检查，确保资金使用的合规性和效益性。</w:t>
      </w:r>
    </w:p>
    <w:p>
      <w:pPr>
        <w:pStyle w:val="6"/>
        <w:numPr>
          <w:ilvl w:val="0"/>
          <w:numId w:val="14"/>
        </w:numPr>
        <w:ind w:left="0" w:leftChars="0" w:firstLine="640" w:firstLineChars="200"/>
        <w:rPr>
          <w:rFonts w:hint="eastAsia"/>
        </w:rPr>
      </w:pPr>
      <w:r>
        <w:rPr>
          <w:rFonts w:hint="eastAsia"/>
        </w:rPr>
        <w:t>会计</w:t>
      </w:r>
      <w:r>
        <w:t>基础信息完善性</w:t>
      </w:r>
    </w:p>
    <w:p>
      <w:pPr>
        <w:ind w:firstLine="640" w:firstLineChars="200"/>
        <w:rPr>
          <w:rFonts w:hint="eastAsia"/>
        </w:rPr>
      </w:pPr>
      <w:r>
        <w:rPr>
          <w:rFonts w:hint="eastAsia"/>
        </w:rPr>
        <w:t>遵循《政府会计准则制度》《事业单位财务规则》《行政事业单位内部控制规范（试行）》等规定，不断建立健全本部门财务管理制度，规范会计基础工作，明确会计凭证、会计账簿和财务报告处理程序，确保会计信息真实有效；充分发挥内部审计监督作用，定期开展财务收支合规性自查自检，提升财务会计信息质量。</w:t>
      </w:r>
    </w:p>
    <w:p>
      <w:pPr>
        <w:pStyle w:val="5"/>
        <w:ind w:firstLine="640" w:firstLineChars="200"/>
        <w:rPr>
          <w:rFonts w:hint="eastAsia"/>
        </w:rPr>
      </w:pPr>
      <w:r>
        <w:rPr>
          <w:rFonts w:hint="eastAsia"/>
        </w:rPr>
        <w:t>（二）资产管理</w:t>
      </w:r>
    </w:p>
    <w:p>
      <w:pPr>
        <w:ind w:firstLine="640" w:firstLineChars="200"/>
        <w:rPr>
          <w:rFonts w:hint="eastAsia"/>
        </w:rPr>
      </w:pPr>
      <w:r>
        <w:rPr>
          <w:rFonts w:hint="eastAsia"/>
        </w:rPr>
        <w:t>截至2024年12月31日，市团校资产总额202.95万元，其中流动资产87.73万元占比43.23%，非流动资产115.22万元占比56.77%。其中非流动资产包括固定资产85.71万元，无形资产29.50万元。非流动资产均正常使用，无闲置和待处置。</w:t>
      </w:r>
    </w:p>
    <w:p>
      <w:pPr>
        <w:pStyle w:val="5"/>
        <w:ind w:firstLine="640" w:firstLineChars="200"/>
        <w:rPr>
          <w:rFonts w:hint="eastAsia"/>
        </w:rPr>
      </w:pPr>
      <w:r>
        <w:rPr>
          <w:rFonts w:hint="eastAsia"/>
        </w:rPr>
        <w:t>（三）绩效</w:t>
      </w:r>
      <w:r>
        <w:t>管理</w:t>
      </w:r>
    </w:p>
    <w:p>
      <w:pPr>
        <w:ind w:firstLine="640" w:firstLineChars="200"/>
        <w:rPr>
          <w:rFonts w:hint="eastAsia"/>
        </w:rPr>
      </w:pPr>
      <w:r>
        <w:rPr>
          <w:rFonts w:hint="eastAsia"/>
        </w:rPr>
        <w:t>按照年度绩效评价工作要求，市团校对2024</w:t>
      </w:r>
      <w:r>
        <w:t>年</w:t>
      </w:r>
      <w:r>
        <w:rPr>
          <w:rFonts w:hint="eastAsia"/>
        </w:rPr>
        <w:t>10</w:t>
      </w:r>
      <w:r>
        <w:t>个项目进行了自评，填报了项目支出绩效自评表，</w:t>
      </w:r>
      <w:r>
        <w:rPr>
          <w:rFonts w:hint="eastAsia"/>
        </w:rPr>
        <w:t>并在其中</w:t>
      </w:r>
      <w:r>
        <w:t>选取了“</w:t>
      </w:r>
      <w:r>
        <w:rPr>
          <w:rFonts w:hint="eastAsia"/>
        </w:rPr>
        <w:t>团干部教育培训项目</w:t>
      </w:r>
      <w:r>
        <w:t>”为重点项目</w:t>
      </w:r>
      <w:r>
        <w:rPr>
          <w:rFonts w:hint="eastAsia"/>
        </w:rPr>
        <w:t>完成了项目绩效评价报告，</w:t>
      </w:r>
      <w:r>
        <w:t>查找项目执行和管理中的不足，明确改进方向。</w:t>
      </w:r>
    </w:p>
    <w:p>
      <w:pPr>
        <w:pStyle w:val="5"/>
        <w:ind w:firstLine="640" w:firstLineChars="200"/>
        <w:rPr>
          <w:rFonts w:hint="eastAsia"/>
        </w:rPr>
      </w:pPr>
      <w:r>
        <w:rPr>
          <w:rFonts w:hint="eastAsia"/>
        </w:rPr>
        <w:t>（四）结转结余率</w:t>
      </w:r>
    </w:p>
    <w:p>
      <w:pPr>
        <w:ind w:firstLine="640" w:firstLineChars="200"/>
        <w:rPr>
          <w:rFonts w:hint="eastAsia"/>
        </w:rPr>
      </w:pPr>
      <w:r>
        <w:rPr>
          <w:rFonts w:hint="eastAsia"/>
        </w:rPr>
        <w:t>2024年度财政拨款结转结余87.73</w:t>
      </w:r>
      <w:r>
        <w:t>万元</w:t>
      </w:r>
      <w:r>
        <w:rPr>
          <w:rFonts w:hint="eastAsia"/>
        </w:rPr>
        <w:t>，全年预算支出2,993.97万元，结转结余率为2.93%</w:t>
      </w:r>
      <w:r>
        <w:t>。</w:t>
      </w:r>
    </w:p>
    <w:p>
      <w:pPr>
        <w:pStyle w:val="5"/>
        <w:keepNext/>
        <w:ind w:firstLine="640" w:firstLineChars="200"/>
        <w:rPr>
          <w:rFonts w:hint="eastAsia"/>
        </w:rPr>
      </w:pPr>
      <w:r>
        <w:rPr>
          <w:rFonts w:hint="eastAsia"/>
        </w:rPr>
        <w:t>（五）部门</w:t>
      </w:r>
      <w:r>
        <w:t>预决算差异率</w:t>
      </w:r>
    </w:p>
    <w:p>
      <w:pPr>
        <w:ind w:firstLine="640" w:firstLineChars="200"/>
        <w:rPr>
          <w:rFonts w:hint="eastAsia"/>
        </w:rPr>
      </w:pPr>
      <w:r>
        <w:rPr>
          <w:rFonts w:hint="eastAsia"/>
        </w:rPr>
        <w:t>2024年年初预算3,449.14万元，全年预算数2,993.97万元，最终决算2,906.23万元，预决算差异率13.20%。差异主要由于本单位为新成立单位，部分人员经费及项目存在净结余。</w:t>
      </w:r>
    </w:p>
    <w:p>
      <w:pPr>
        <w:pStyle w:val="3"/>
        <w:rPr>
          <w:rFonts w:hint="eastAsia"/>
        </w:rPr>
      </w:pPr>
      <w:r>
        <w:rPr>
          <w:rFonts w:hint="eastAsia"/>
        </w:rPr>
        <w:t>五、总体</w:t>
      </w:r>
      <w:r>
        <w:t>评价结论</w:t>
      </w:r>
    </w:p>
    <w:p>
      <w:pPr>
        <w:pStyle w:val="5"/>
        <w:ind w:firstLine="640" w:firstLineChars="200"/>
        <w:rPr>
          <w:rFonts w:hint="eastAsia"/>
        </w:rPr>
      </w:pPr>
      <w:r>
        <w:rPr>
          <w:rFonts w:hint="eastAsia"/>
        </w:rPr>
        <w:t>（一）评价</w:t>
      </w:r>
      <w:r>
        <w:t>得分</w:t>
      </w:r>
      <w:r>
        <w:rPr>
          <w:rFonts w:hint="eastAsia"/>
        </w:rPr>
        <w:t>情况</w:t>
      </w:r>
    </w:p>
    <w:p>
      <w:pPr>
        <w:ind w:firstLine="640" w:firstLineChars="200"/>
        <w:rPr>
          <w:rFonts w:hint="eastAsia"/>
        </w:rPr>
      </w:pPr>
      <w:r>
        <w:rPr>
          <w:rFonts w:hint="eastAsia"/>
        </w:rPr>
        <w:t>经评价，市团校2024年度部门整体支出绩效评价总得分为95.59分（满分100分），评价结果为“优秀”。其中当年预算执行情况得分为19.41</w:t>
      </w:r>
      <w:r>
        <w:t>分</w:t>
      </w:r>
      <w:r>
        <w:rPr>
          <w:rFonts w:hint="eastAsia"/>
        </w:rPr>
        <w:t>（满分20分）</w:t>
      </w:r>
      <w:r>
        <w:t>；整体绩效目标实现情况得分为</w:t>
      </w:r>
      <w:r>
        <w:rPr>
          <w:rFonts w:hint="eastAsia"/>
        </w:rPr>
        <w:t>58.18（满分60</w:t>
      </w:r>
      <w:r>
        <w:t>.00分</w:t>
      </w:r>
      <w:r>
        <w:rPr>
          <w:rFonts w:hint="eastAsia"/>
        </w:rPr>
        <w:t>）</w:t>
      </w:r>
      <w:r>
        <w:t>；</w:t>
      </w:r>
      <w:r>
        <w:rPr>
          <w:rFonts w:hint="eastAsia"/>
        </w:rPr>
        <w:t>预算管理情况得分18</w:t>
      </w:r>
      <w:r>
        <w:t>分</w:t>
      </w:r>
      <w:r>
        <w:rPr>
          <w:rFonts w:hint="eastAsia"/>
        </w:rPr>
        <w:t>（满分20分）</w:t>
      </w:r>
      <w:r>
        <w:t>。</w:t>
      </w:r>
    </w:p>
    <w:p>
      <w:pPr>
        <w:pStyle w:val="5"/>
        <w:ind w:firstLine="640" w:firstLineChars="200"/>
        <w:rPr>
          <w:rFonts w:hint="eastAsia"/>
        </w:rPr>
      </w:pPr>
      <w:r>
        <w:rPr>
          <w:rFonts w:hint="eastAsia"/>
        </w:rPr>
        <w:t>（二）存在的问题及原因分析</w:t>
      </w:r>
    </w:p>
    <w:p>
      <w:pPr>
        <w:pStyle w:val="6"/>
        <w:ind w:left="0" w:leftChars="0" w:firstLine="640" w:firstLineChars="200"/>
        <w:rPr>
          <w:rFonts w:hint="eastAsia"/>
        </w:rPr>
      </w:pPr>
      <w:r>
        <w:rPr>
          <w:rFonts w:hint="eastAsia"/>
        </w:rPr>
        <w:t>1．部门整体绩效管理水平还需进一步提高</w:t>
      </w:r>
    </w:p>
    <w:p>
      <w:pPr>
        <w:ind w:firstLine="640" w:firstLineChars="200"/>
        <w:rPr>
          <w:rFonts w:hint="eastAsia"/>
        </w:rPr>
      </w:pPr>
      <w:r>
        <w:rPr>
          <w:rFonts w:hint="eastAsia"/>
        </w:rPr>
        <w:t>市团校作为新设单位</w:t>
      </w:r>
      <w:r>
        <w:rPr>
          <w:rFonts w:hint="eastAsia"/>
          <w:lang w:eastAsia="zh-CN"/>
        </w:rPr>
        <w:t>，</w:t>
      </w:r>
      <w:r>
        <w:rPr>
          <w:rFonts w:hint="eastAsia"/>
        </w:rPr>
        <w:t>通过内部控制体系的建设</w:t>
      </w:r>
      <w:r>
        <w:rPr>
          <w:rFonts w:hint="eastAsia"/>
          <w:lang w:eastAsia="zh-CN"/>
        </w:rPr>
        <w:t>，</w:t>
      </w:r>
      <w:r>
        <w:rPr>
          <w:rFonts w:hint="eastAsia"/>
          <w:lang w:val="en-US" w:eastAsia="zh-CN"/>
        </w:rPr>
        <w:t>2024年</w:t>
      </w:r>
      <w:r>
        <w:rPr>
          <w:rFonts w:hint="eastAsia"/>
          <w:lang w:eastAsia="zh-CN"/>
        </w:rPr>
        <w:t>有效</w:t>
      </w:r>
      <w:r>
        <w:rPr>
          <w:rFonts w:hint="eastAsia"/>
        </w:rPr>
        <w:t>提升了预算绩效管理实施水平，</w:t>
      </w:r>
      <w:r>
        <w:rPr>
          <w:rFonts w:hint="eastAsia"/>
          <w:lang w:eastAsia="zh-CN"/>
        </w:rPr>
        <w:t>但</w:t>
      </w:r>
      <w:r>
        <w:rPr>
          <w:rFonts w:hint="eastAsia"/>
        </w:rPr>
        <w:t>目前在绩效管理制度执行</w:t>
      </w:r>
      <w:r>
        <w:rPr>
          <w:rFonts w:hint="eastAsia"/>
          <w:lang w:eastAsia="zh-CN"/>
        </w:rPr>
        <w:t>、</w:t>
      </w:r>
      <w:r>
        <w:rPr>
          <w:rFonts w:hint="eastAsia"/>
        </w:rPr>
        <w:t>绩效数据积累与分析评价等方面</w:t>
      </w:r>
      <w:r>
        <w:rPr>
          <w:rFonts w:hint="eastAsia"/>
          <w:lang w:val="en-US" w:eastAsia="zh-CN"/>
        </w:rPr>
        <w:t>还需进一步</w:t>
      </w:r>
      <w:r>
        <w:rPr>
          <w:rFonts w:hint="eastAsia"/>
          <w:lang w:eastAsia="zh-CN"/>
        </w:rPr>
        <w:t>总结经验</w:t>
      </w:r>
      <w:r>
        <w:rPr>
          <w:rFonts w:hint="eastAsia"/>
        </w:rPr>
        <w:t>，持续提升绩效管理全过程工作质量，事前计划对事中实施的指导作用</w:t>
      </w:r>
      <w:r>
        <w:rPr>
          <w:rFonts w:hint="eastAsia"/>
          <w:lang w:val="en-US" w:eastAsia="zh-CN"/>
        </w:rPr>
        <w:t>还可</w:t>
      </w:r>
      <w:r>
        <w:rPr>
          <w:rFonts w:hint="eastAsia"/>
        </w:rPr>
        <w:t>进一步强化，事后评价结果在下年度工作计划中也</w:t>
      </w:r>
      <w:r>
        <w:rPr>
          <w:rFonts w:hint="eastAsia"/>
          <w:lang w:val="en-US" w:eastAsia="zh-CN"/>
        </w:rPr>
        <w:t>还可</w:t>
      </w:r>
      <w:r>
        <w:rPr>
          <w:rFonts w:hint="eastAsia"/>
        </w:rPr>
        <w:t>更充分</w:t>
      </w:r>
      <w:r>
        <w:rPr>
          <w:rFonts w:hint="eastAsia"/>
          <w:lang w:val="en-US" w:eastAsia="zh-CN"/>
        </w:rPr>
        <w:t>的</w:t>
      </w:r>
      <w:r>
        <w:rPr>
          <w:rFonts w:hint="eastAsia"/>
        </w:rPr>
        <w:t>应用。</w:t>
      </w:r>
    </w:p>
    <w:p>
      <w:pPr>
        <w:pStyle w:val="6"/>
        <w:ind w:left="0" w:leftChars="0" w:firstLine="640" w:firstLineChars="200"/>
        <w:rPr>
          <w:rFonts w:hint="eastAsia"/>
        </w:rPr>
      </w:pPr>
      <w:r>
        <w:rPr>
          <w:rFonts w:hint="eastAsia"/>
        </w:rPr>
        <w:t>2．部门整体绩效目标设置可进一步完善</w:t>
      </w:r>
    </w:p>
    <w:p>
      <w:pPr>
        <w:ind w:firstLine="640" w:firstLineChars="200"/>
        <w:rPr>
          <w:rFonts w:hint="eastAsia"/>
        </w:rPr>
      </w:pPr>
      <w:r>
        <w:rPr>
          <w:rFonts w:hint="eastAsia"/>
        </w:rPr>
        <w:t>市团校2024年度预算编制各项目绩效目标较2023年度有明显改善，设置了更多的维度指标以便更细致具体的设计和实施项目，但由于项目实施积累经验不足，个别</w:t>
      </w:r>
      <w:r>
        <w:rPr>
          <w:rFonts w:hint="eastAsia"/>
          <w:lang w:val="en-US" w:eastAsia="zh-CN"/>
        </w:rPr>
        <w:t>项目绩效</w:t>
      </w:r>
      <w:r>
        <w:rPr>
          <w:rFonts w:hint="eastAsia"/>
        </w:rPr>
        <w:t>目标仍采用“得到提升”“良好”“优秀”等定性表述</w:t>
      </w:r>
      <w:r>
        <w:rPr>
          <w:rFonts w:hint="eastAsia"/>
          <w:lang w:eastAsia="zh-CN"/>
        </w:rPr>
        <w:t>，</w:t>
      </w:r>
      <w:r>
        <w:rPr>
          <w:rFonts w:hint="eastAsia"/>
          <w:lang w:val="en-US" w:eastAsia="zh-CN"/>
        </w:rPr>
        <w:t>还可进一步细化</w:t>
      </w:r>
      <w:r>
        <w:rPr>
          <w:rFonts w:hint="eastAsia"/>
        </w:rPr>
        <w:t>。</w:t>
      </w:r>
    </w:p>
    <w:p>
      <w:pPr>
        <w:pStyle w:val="6"/>
        <w:ind w:left="0" w:leftChars="0" w:firstLine="640" w:firstLineChars="200"/>
        <w:rPr>
          <w:rFonts w:hint="eastAsia"/>
        </w:rPr>
      </w:pPr>
      <w:r>
        <w:rPr>
          <w:rFonts w:hint="eastAsia"/>
        </w:rPr>
        <w:t>3．绩效完成情况支撑材料还需系统整理归档</w:t>
      </w:r>
    </w:p>
    <w:p>
      <w:pPr>
        <w:ind w:firstLine="640" w:firstLineChars="200"/>
        <w:rPr>
          <w:rFonts w:hint="eastAsia"/>
        </w:rPr>
      </w:pPr>
      <w:r>
        <w:rPr>
          <w:rFonts w:hint="eastAsia"/>
        </w:rPr>
        <w:t>由于是新设单位，各项目绩效完成情况的资料收集和整理工作</w:t>
      </w:r>
      <w:r>
        <w:rPr>
          <w:rFonts w:hint="eastAsia"/>
          <w:lang w:val="en-US" w:eastAsia="zh-CN"/>
        </w:rPr>
        <w:t>以及</w:t>
      </w:r>
      <w:r>
        <w:rPr>
          <w:rFonts w:hint="eastAsia"/>
        </w:rPr>
        <w:t>最终评价依据的资料系统性、完整性</w:t>
      </w:r>
      <w:r>
        <w:rPr>
          <w:rFonts w:hint="eastAsia"/>
          <w:lang w:val="en-US" w:eastAsia="zh-CN"/>
        </w:rPr>
        <w:t>还有进一步</w:t>
      </w:r>
      <w:r>
        <w:rPr>
          <w:rFonts w:hint="eastAsia"/>
          <w:lang w:eastAsia="zh-CN"/>
        </w:rPr>
        <w:t>完善</w:t>
      </w:r>
      <w:r>
        <w:rPr>
          <w:rFonts w:hint="eastAsia"/>
          <w:lang w:val="en-US" w:eastAsia="zh-CN"/>
        </w:rPr>
        <w:t>的空间</w:t>
      </w:r>
      <w:r>
        <w:rPr>
          <w:rFonts w:hint="eastAsia"/>
        </w:rPr>
        <w:t>。</w:t>
      </w:r>
    </w:p>
    <w:p>
      <w:pPr>
        <w:pStyle w:val="3"/>
        <w:rPr>
          <w:rFonts w:hint="eastAsia"/>
        </w:rPr>
      </w:pPr>
      <w:r>
        <w:rPr>
          <w:rFonts w:hint="eastAsia"/>
        </w:rPr>
        <w:t>六、措施建议</w:t>
      </w:r>
    </w:p>
    <w:p>
      <w:pPr>
        <w:pStyle w:val="6"/>
        <w:ind w:left="0" w:leftChars="0" w:firstLine="640" w:firstLineChars="200"/>
        <w:rPr>
          <w:rFonts w:hint="eastAsia"/>
        </w:rPr>
      </w:pPr>
      <w:r>
        <w:rPr>
          <w:rFonts w:hint="eastAsia"/>
        </w:rPr>
        <w:t>1．结合单位内部控制建设完善绩效评价管理工作</w:t>
      </w:r>
    </w:p>
    <w:p>
      <w:pPr>
        <w:ind w:firstLine="640" w:firstLineChars="200"/>
        <w:rPr>
          <w:rFonts w:hint="eastAsia"/>
        </w:rPr>
      </w:pPr>
      <w:r>
        <w:rPr>
          <w:rFonts w:hint="eastAsia"/>
        </w:rPr>
        <w:t>市团校将在内部控制建设过程中，进一步健全对绩效评价工作的管理制度，梳理改善整体绩效评价工作流程，明确各部门职责分工，保障绩效评价工作优质、高效完成，促进部门整体降本增效。</w:t>
      </w:r>
    </w:p>
    <w:p>
      <w:pPr>
        <w:pStyle w:val="6"/>
        <w:ind w:left="0" w:leftChars="0" w:firstLine="640" w:firstLineChars="200"/>
        <w:rPr>
          <w:rFonts w:hint="eastAsia"/>
        </w:rPr>
      </w:pPr>
      <w:r>
        <w:rPr>
          <w:rFonts w:hint="eastAsia"/>
        </w:rPr>
        <w:t>2．总结2024年绩效评价工作得失指导以后年度工作</w:t>
      </w:r>
    </w:p>
    <w:p>
      <w:pPr>
        <w:ind w:firstLine="640" w:firstLineChars="200"/>
        <w:rPr>
          <w:rFonts w:hint="eastAsia"/>
        </w:rPr>
      </w:pPr>
      <w:r>
        <w:rPr>
          <w:rFonts w:hint="eastAsia"/>
          <w:lang w:val="en-US" w:eastAsia="zh-CN"/>
        </w:rPr>
        <w:t>对</w:t>
      </w:r>
      <w:r>
        <w:rPr>
          <w:rFonts w:hint="eastAsia"/>
        </w:rPr>
        <w:t>2024年绩效评价工作</w:t>
      </w:r>
      <w:r>
        <w:rPr>
          <w:rFonts w:hint="eastAsia"/>
          <w:lang w:val="en-US" w:eastAsia="zh-CN"/>
        </w:rPr>
        <w:t>进行全面深入总结</w:t>
      </w:r>
      <w:r>
        <w:rPr>
          <w:rFonts w:hint="eastAsia"/>
        </w:rPr>
        <w:t>，</w:t>
      </w:r>
      <w:r>
        <w:rPr>
          <w:rFonts w:hint="eastAsia"/>
          <w:lang w:val="en-US" w:eastAsia="zh-CN"/>
        </w:rPr>
        <w:t>进一步</w:t>
      </w:r>
      <w:r>
        <w:rPr>
          <w:rFonts w:hint="eastAsia"/>
        </w:rPr>
        <w:t>积累预算执行、项目实施的资料、数据</w:t>
      </w:r>
      <w:r>
        <w:rPr>
          <w:rFonts w:hint="eastAsia"/>
          <w:lang w:eastAsia="zh-CN"/>
        </w:rPr>
        <w:t>；立行立改</w:t>
      </w:r>
      <w:r>
        <w:rPr>
          <w:rFonts w:hint="eastAsia"/>
          <w:lang w:val="en-US" w:eastAsia="zh-CN"/>
        </w:rPr>
        <w:t>在</w:t>
      </w:r>
      <w:r>
        <w:rPr>
          <w:rFonts w:hint="eastAsia"/>
        </w:rPr>
        <w:t>自我评价发现工作中的短板，缺陷；</w:t>
      </w:r>
      <w:r>
        <w:rPr>
          <w:rFonts w:hint="eastAsia"/>
          <w:lang w:val="en-US" w:eastAsia="zh-CN"/>
        </w:rPr>
        <w:t>进一步发扬本次工作中的</w:t>
      </w:r>
      <w:r>
        <w:rPr>
          <w:rFonts w:hint="eastAsia"/>
        </w:rPr>
        <w:t>亮点和优势。</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Microsoft YaHei UI">
    <w:altName w:val="文泉驿微米黑"/>
    <w:panose1 w:val="020B0503020204020204"/>
    <w:charset w:val="86"/>
    <w:family w:val="swiss"/>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Arial Narrow">
    <w:altName w:val="DejaVu Sans"/>
    <w:panose1 w:val="020B0606020202030204"/>
    <w:charset w:val="00"/>
    <w:family w:val="swiss"/>
    <w:pitch w:val="default"/>
    <w:sig w:usb0="00000000" w:usb1="00000000" w:usb2="00000000" w:usb3="00000000" w:csb0="2000009F" w:csb1="DFD70000"/>
  </w:font>
  <w:font w:name="仿宋">
    <w:altName w:val="方正仿宋_GBK"/>
    <w:panose1 w:val="00000000000000000000"/>
    <w:charset w:val="00"/>
    <w:family w:val="auto"/>
    <w:pitch w:val="default"/>
    <w:sig w:usb0="00000000" w:usb1="00000000" w:usb2="00000000" w:usb3="00000000" w:csb0="0000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firstLine="270"/>
      <w:jc w:val="center"/>
      <w:rPr>
        <w:rFonts w:hint="eastAsia"/>
      </w:rPr>
    </w:pPr>
    <w:r>
      <w:rPr>
        <w:rFonts w:hint="eastAsia"/>
      </w:rPr>
      <w:t>第</w:t>
    </w:r>
    <w:sdt>
      <w:sdtPr>
        <w:id w:val="-1"/>
      </w:sdtPr>
      <w:sdtContent>
        <w:r>
          <w:fldChar w:fldCharType="begin"/>
        </w:r>
        <w:r>
          <w:instrText xml:space="preserve">PAGE   \* MERGEFORMAT</w:instrText>
        </w:r>
        <w:r>
          <w:fldChar w:fldCharType="separate"/>
        </w:r>
        <w:r>
          <w:rPr>
            <w:lang w:val="zh-CN"/>
          </w:rPr>
          <w:t>2</w:t>
        </w:r>
        <w:r>
          <w:fldChar w:fldCharType="end"/>
        </w:r>
        <w:r>
          <w:rPr>
            <w:rFonts w:hint="eastAsia"/>
          </w:rPr>
          <w:t>页</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firstLine="27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firstLine="27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ind w:firstLine="27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ind w:firstLine="27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ind w:firstLine="27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8"/>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7"/>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7"/>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4"/>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1"/>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5"/>
      <w:lvlText w:val=""/>
      <w:lvlJc w:val="left"/>
      <w:pPr>
        <w:tabs>
          <w:tab w:val="left" w:pos="360"/>
        </w:tabs>
        <w:ind w:left="360" w:hanging="360" w:hangingChars="200"/>
      </w:pPr>
      <w:rPr>
        <w:rFonts w:hint="default" w:ascii="Wingdings" w:hAnsi="Wingdings"/>
      </w:rPr>
    </w:lvl>
  </w:abstractNum>
  <w:abstractNum w:abstractNumId="10">
    <w:nsid w:val="153B29C4"/>
    <w:multiLevelType w:val="multilevel"/>
    <w:tmpl w:val="153B29C4"/>
    <w:lvl w:ilvl="0" w:tentative="0">
      <w:start w:val="1"/>
      <w:numFmt w:val="decimal"/>
      <w:suff w:val="nothing"/>
      <w:lvlText w:val="%1．"/>
      <w:lvlJc w:val="left"/>
      <w:pPr>
        <w:ind w:left="1080" w:hanging="440"/>
      </w:pPr>
      <w:rPr>
        <w:rFonts w:hint="eastAsia"/>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11">
    <w:nsid w:val="33C54097"/>
    <w:multiLevelType w:val="multilevel"/>
    <w:tmpl w:val="33C54097"/>
    <w:lvl w:ilvl="0" w:tentative="0">
      <w:start w:val="1"/>
      <w:numFmt w:val="decimal"/>
      <w:suff w:val="nothing"/>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2">
    <w:nsid w:val="5AD73D2D"/>
    <w:multiLevelType w:val="multilevel"/>
    <w:tmpl w:val="5AD73D2D"/>
    <w:lvl w:ilvl="0" w:tentative="0">
      <w:start w:val="1"/>
      <w:numFmt w:val="decimal"/>
      <w:suff w:val="nothing"/>
      <w:lvlText w:val="（%1）"/>
      <w:lvlJc w:val="left"/>
      <w:pPr>
        <w:ind w:left="1080" w:hanging="44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13">
    <w:nsid w:val="5F1B604B"/>
    <w:multiLevelType w:val="multilevel"/>
    <w:tmpl w:val="5F1B604B"/>
    <w:lvl w:ilvl="0" w:tentative="0">
      <w:start w:val="1"/>
      <w:numFmt w:val="decimal"/>
      <w:suff w:val="nothing"/>
      <w:lvlText w:val="%1．"/>
      <w:lvlJc w:val="left"/>
      <w:pPr>
        <w:ind w:left="1080" w:hanging="440"/>
      </w:pPr>
      <w:rPr>
        <w:rFonts w:hint="eastAsia"/>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7858B4"/>
    <w:rsid w:val="000041E9"/>
    <w:rsid w:val="00006BF6"/>
    <w:rsid w:val="000150B0"/>
    <w:rsid w:val="0001606B"/>
    <w:rsid w:val="00030068"/>
    <w:rsid w:val="00046A25"/>
    <w:rsid w:val="00051DD9"/>
    <w:rsid w:val="00067D5A"/>
    <w:rsid w:val="0007150E"/>
    <w:rsid w:val="00077630"/>
    <w:rsid w:val="000816A1"/>
    <w:rsid w:val="00086C26"/>
    <w:rsid w:val="000916F2"/>
    <w:rsid w:val="0009198A"/>
    <w:rsid w:val="00093ED8"/>
    <w:rsid w:val="000B3D7E"/>
    <w:rsid w:val="000B434B"/>
    <w:rsid w:val="000C19BA"/>
    <w:rsid w:val="000C3D35"/>
    <w:rsid w:val="000D5254"/>
    <w:rsid w:val="00100251"/>
    <w:rsid w:val="001013F5"/>
    <w:rsid w:val="00105FE0"/>
    <w:rsid w:val="00113246"/>
    <w:rsid w:val="001205F0"/>
    <w:rsid w:val="00151EB2"/>
    <w:rsid w:val="00153088"/>
    <w:rsid w:val="001537E9"/>
    <w:rsid w:val="00164376"/>
    <w:rsid w:val="00173F54"/>
    <w:rsid w:val="00180444"/>
    <w:rsid w:val="00180D46"/>
    <w:rsid w:val="00195681"/>
    <w:rsid w:val="001A1BEB"/>
    <w:rsid w:val="001A48E1"/>
    <w:rsid w:val="001A6EBB"/>
    <w:rsid w:val="001B2101"/>
    <w:rsid w:val="001B415C"/>
    <w:rsid w:val="001C5D6C"/>
    <w:rsid w:val="001D7C08"/>
    <w:rsid w:val="001E1A66"/>
    <w:rsid w:val="001E5C29"/>
    <w:rsid w:val="001F1C16"/>
    <w:rsid w:val="001F3454"/>
    <w:rsid w:val="001F7541"/>
    <w:rsid w:val="00205974"/>
    <w:rsid w:val="00205D22"/>
    <w:rsid w:val="002138B1"/>
    <w:rsid w:val="00213FFC"/>
    <w:rsid w:val="002320CF"/>
    <w:rsid w:val="002349A8"/>
    <w:rsid w:val="00245274"/>
    <w:rsid w:val="00251780"/>
    <w:rsid w:val="00260D35"/>
    <w:rsid w:val="00265855"/>
    <w:rsid w:val="002759EF"/>
    <w:rsid w:val="002804AB"/>
    <w:rsid w:val="00284A4E"/>
    <w:rsid w:val="00285B60"/>
    <w:rsid w:val="002860E5"/>
    <w:rsid w:val="002913A1"/>
    <w:rsid w:val="002B15A3"/>
    <w:rsid w:val="002B3DF2"/>
    <w:rsid w:val="002B5B49"/>
    <w:rsid w:val="002C4677"/>
    <w:rsid w:val="002D0CB5"/>
    <w:rsid w:val="002E1AD5"/>
    <w:rsid w:val="002F1FA0"/>
    <w:rsid w:val="00314704"/>
    <w:rsid w:val="00316157"/>
    <w:rsid w:val="00320BA0"/>
    <w:rsid w:val="00331FAB"/>
    <w:rsid w:val="00342C82"/>
    <w:rsid w:val="00343063"/>
    <w:rsid w:val="00361993"/>
    <w:rsid w:val="00363467"/>
    <w:rsid w:val="00371225"/>
    <w:rsid w:val="003730E4"/>
    <w:rsid w:val="00383460"/>
    <w:rsid w:val="00383C4B"/>
    <w:rsid w:val="0039333F"/>
    <w:rsid w:val="003B16CF"/>
    <w:rsid w:val="003B5F92"/>
    <w:rsid w:val="003C1955"/>
    <w:rsid w:val="003D0883"/>
    <w:rsid w:val="003E169A"/>
    <w:rsid w:val="003E1C0F"/>
    <w:rsid w:val="003E22CC"/>
    <w:rsid w:val="003E2B11"/>
    <w:rsid w:val="003E2EAA"/>
    <w:rsid w:val="003E60F1"/>
    <w:rsid w:val="003F1890"/>
    <w:rsid w:val="003F4892"/>
    <w:rsid w:val="004007FA"/>
    <w:rsid w:val="0042075A"/>
    <w:rsid w:val="00422974"/>
    <w:rsid w:val="00440B6E"/>
    <w:rsid w:val="00450EB8"/>
    <w:rsid w:val="00453CEF"/>
    <w:rsid w:val="00463113"/>
    <w:rsid w:val="004755DA"/>
    <w:rsid w:val="00477DD7"/>
    <w:rsid w:val="00496132"/>
    <w:rsid w:val="004B3C4E"/>
    <w:rsid w:val="004B590A"/>
    <w:rsid w:val="004B6C3B"/>
    <w:rsid w:val="004B7549"/>
    <w:rsid w:val="004C0B65"/>
    <w:rsid w:val="004C4611"/>
    <w:rsid w:val="004D550D"/>
    <w:rsid w:val="004D59D4"/>
    <w:rsid w:val="004F0FE8"/>
    <w:rsid w:val="00500C07"/>
    <w:rsid w:val="00505BFD"/>
    <w:rsid w:val="005107A8"/>
    <w:rsid w:val="0051765B"/>
    <w:rsid w:val="005418DB"/>
    <w:rsid w:val="00542EC4"/>
    <w:rsid w:val="00544BAD"/>
    <w:rsid w:val="00545B07"/>
    <w:rsid w:val="005470C5"/>
    <w:rsid w:val="005552DA"/>
    <w:rsid w:val="00556EB8"/>
    <w:rsid w:val="00560FC9"/>
    <w:rsid w:val="00561CA8"/>
    <w:rsid w:val="00563D0B"/>
    <w:rsid w:val="00566AF5"/>
    <w:rsid w:val="00575496"/>
    <w:rsid w:val="00594D2A"/>
    <w:rsid w:val="005E419C"/>
    <w:rsid w:val="005E5388"/>
    <w:rsid w:val="005E76F8"/>
    <w:rsid w:val="005F5233"/>
    <w:rsid w:val="005F6ADA"/>
    <w:rsid w:val="00601DF2"/>
    <w:rsid w:val="006028D3"/>
    <w:rsid w:val="00603BB6"/>
    <w:rsid w:val="00615463"/>
    <w:rsid w:val="00624FCF"/>
    <w:rsid w:val="00627477"/>
    <w:rsid w:val="00627634"/>
    <w:rsid w:val="00630469"/>
    <w:rsid w:val="00637E19"/>
    <w:rsid w:val="006458C0"/>
    <w:rsid w:val="00647BCD"/>
    <w:rsid w:val="006519E2"/>
    <w:rsid w:val="00666915"/>
    <w:rsid w:val="006725F3"/>
    <w:rsid w:val="00682225"/>
    <w:rsid w:val="006851CF"/>
    <w:rsid w:val="00694AD4"/>
    <w:rsid w:val="0069507D"/>
    <w:rsid w:val="00697A0D"/>
    <w:rsid w:val="006A7185"/>
    <w:rsid w:val="006B2525"/>
    <w:rsid w:val="006B7334"/>
    <w:rsid w:val="006D16D3"/>
    <w:rsid w:val="006D1BA9"/>
    <w:rsid w:val="006D6AD8"/>
    <w:rsid w:val="006E095D"/>
    <w:rsid w:val="006F21F3"/>
    <w:rsid w:val="006F44E0"/>
    <w:rsid w:val="006F4A3D"/>
    <w:rsid w:val="00710296"/>
    <w:rsid w:val="00720C82"/>
    <w:rsid w:val="00722E28"/>
    <w:rsid w:val="00724B87"/>
    <w:rsid w:val="0073357C"/>
    <w:rsid w:val="00755996"/>
    <w:rsid w:val="00757139"/>
    <w:rsid w:val="00757D8D"/>
    <w:rsid w:val="00784A15"/>
    <w:rsid w:val="007858B4"/>
    <w:rsid w:val="007A611A"/>
    <w:rsid w:val="007B34A9"/>
    <w:rsid w:val="007C3589"/>
    <w:rsid w:val="007E1FBF"/>
    <w:rsid w:val="008003CD"/>
    <w:rsid w:val="0081146C"/>
    <w:rsid w:val="0081151B"/>
    <w:rsid w:val="0081391C"/>
    <w:rsid w:val="008156A5"/>
    <w:rsid w:val="00824B6A"/>
    <w:rsid w:val="00831CB6"/>
    <w:rsid w:val="00836366"/>
    <w:rsid w:val="00851428"/>
    <w:rsid w:val="00853E38"/>
    <w:rsid w:val="00854CB0"/>
    <w:rsid w:val="00867440"/>
    <w:rsid w:val="00871FCB"/>
    <w:rsid w:val="008A366E"/>
    <w:rsid w:val="008B091C"/>
    <w:rsid w:val="008C08E0"/>
    <w:rsid w:val="008C6C81"/>
    <w:rsid w:val="008D544F"/>
    <w:rsid w:val="008D61A5"/>
    <w:rsid w:val="008E16D0"/>
    <w:rsid w:val="008E2F4F"/>
    <w:rsid w:val="008E5870"/>
    <w:rsid w:val="008F1BD9"/>
    <w:rsid w:val="008F5759"/>
    <w:rsid w:val="009008E7"/>
    <w:rsid w:val="009050BA"/>
    <w:rsid w:val="00911FF3"/>
    <w:rsid w:val="00914754"/>
    <w:rsid w:val="009147E2"/>
    <w:rsid w:val="00922B4F"/>
    <w:rsid w:val="00923FF0"/>
    <w:rsid w:val="00934E91"/>
    <w:rsid w:val="00944459"/>
    <w:rsid w:val="00957B30"/>
    <w:rsid w:val="00961906"/>
    <w:rsid w:val="00976165"/>
    <w:rsid w:val="00976B0B"/>
    <w:rsid w:val="009B07B3"/>
    <w:rsid w:val="009B1C75"/>
    <w:rsid w:val="009B257D"/>
    <w:rsid w:val="009B3E22"/>
    <w:rsid w:val="009B4945"/>
    <w:rsid w:val="009D7570"/>
    <w:rsid w:val="009E27C2"/>
    <w:rsid w:val="009E4714"/>
    <w:rsid w:val="009F4DD5"/>
    <w:rsid w:val="00A0073E"/>
    <w:rsid w:val="00A10F5C"/>
    <w:rsid w:val="00A1270D"/>
    <w:rsid w:val="00A158AB"/>
    <w:rsid w:val="00A3105B"/>
    <w:rsid w:val="00A328A3"/>
    <w:rsid w:val="00A374F3"/>
    <w:rsid w:val="00A508B1"/>
    <w:rsid w:val="00A623EB"/>
    <w:rsid w:val="00A72602"/>
    <w:rsid w:val="00A7265B"/>
    <w:rsid w:val="00A7362E"/>
    <w:rsid w:val="00A804AC"/>
    <w:rsid w:val="00A80CC3"/>
    <w:rsid w:val="00A90687"/>
    <w:rsid w:val="00A934AE"/>
    <w:rsid w:val="00AB33BF"/>
    <w:rsid w:val="00AB3447"/>
    <w:rsid w:val="00AC1CF7"/>
    <w:rsid w:val="00B06F5F"/>
    <w:rsid w:val="00B10802"/>
    <w:rsid w:val="00B14EC2"/>
    <w:rsid w:val="00B15DA8"/>
    <w:rsid w:val="00B2428A"/>
    <w:rsid w:val="00B24D36"/>
    <w:rsid w:val="00B27EF7"/>
    <w:rsid w:val="00B5088B"/>
    <w:rsid w:val="00B51B05"/>
    <w:rsid w:val="00B60152"/>
    <w:rsid w:val="00B75B2C"/>
    <w:rsid w:val="00B81114"/>
    <w:rsid w:val="00B81C39"/>
    <w:rsid w:val="00B86275"/>
    <w:rsid w:val="00B93F49"/>
    <w:rsid w:val="00B956B4"/>
    <w:rsid w:val="00BA5587"/>
    <w:rsid w:val="00BC2D63"/>
    <w:rsid w:val="00BD73D7"/>
    <w:rsid w:val="00C03B55"/>
    <w:rsid w:val="00C05801"/>
    <w:rsid w:val="00C1611F"/>
    <w:rsid w:val="00C228E9"/>
    <w:rsid w:val="00C26C70"/>
    <w:rsid w:val="00C447E0"/>
    <w:rsid w:val="00C628B6"/>
    <w:rsid w:val="00C62DAF"/>
    <w:rsid w:val="00C82027"/>
    <w:rsid w:val="00C83149"/>
    <w:rsid w:val="00CA68C4"/>
    <w:rsid w:val="00CD30B5"/>
    <w:rsid w:val="00CE71EC"/>
    <w:rsid w:val="00CF2EEB"/>
    <w:rsid w:val="00CF76BE"/>
    <w:rsid w:val="00D03A54"/>
    <w:rsid w:val="00D04588"/>
    <w:rsid w:val="00D07959"/>
    <w:rsid w:val="00D23599"/>
    <w:rsid w:val="00D242BD"/>
    <w:rsid w:val="00D24B6A"/>
    <w:rsid w:val="00D30259"/>
    <w:rsid w:val="00D34AD8"/>
    <w:rsid w:val="00D42468"/>
    <w:rsid w:val="00D50D70"/>
    <w:rsid w:val="00D60F8B"/>
    <w:rsid w:val="00D71994"/>
    <w:rsid w:val="00DC04B1"/>
    <w:rsid w:val="00DD1BB7"/>
    <w:rsid w:val="00DD2E08"/>
    <w:rsid w:val="00DD33B6"/>
    <w:rsid w:val="00DF2527"/>
    <w:rsid w:val="00DF3A98"/>
    <w:rsid w:val="00E02775"/>
    <w:rsid w:val="00E12A78"/>
    <w:rsid w:val="00E145E9"/>
    <w:rsid w:val="00E24317"/>
    <w:rsid w:val="00E318CA"/>
    <w:rsid w:val="00E361C9"/>
    <w:rsid w:val="00E37138"/>
    <w:rsid w:val="00E442F7"/>
    <w:rsid w:val="00E54013"/>
    <w:rsid w:val="00E55BD6"/>
    <w:rsid w:val="00E66D74"/>
    <w:rsid w:val="00EA0301"/>
    <w:rsid w:val="00EA0AC6"/>
    <w:rsid w:val="00EA21CB"/>
    <w:rsid w:val="00EA2E52"/>
    <w:rsid w:val="00EC3507"/>
    <w:rsid w:val="00EC6E6B"/>
    <w:rsid w:val="00ED0AA9"/>
    <w:rsid w:val="00ED58B9"/>
    <w:rsid w:val="00EF0036"/>
    <w:rsid w:val="00EF108D"/>
    <w:rsid w:val="00F02F10"/>
    <w:rsid w:val="00F17E6B"/>
    <w:rsid w:val="00F24EA1"/>
    <w:rsid w:val="00F24F38"/>
    <w:rsid w:val="00F32880"/>
    <w:rsid w:val="00F46652"/>
    <w:rsid w:val="00F61D28"/>
    <w:rsid w:val="00F937F5"/>
    <w:rsid w:val="00FA3F65"/>
    <w:rsid w:val="00FA586E"/>
    <w:rsid w:val="00FA5ED5"/>
    <w:rsid w:val="00FB6EFF"/>
    <w:rsid w:val="00FC1C73"/>
    <w:rsid w:val="00FC3C3D"/>
    <w:rsid w:val="00FF0CA6"/>
    <w:rsid w:val="00FF5F0F"/>
    <w:rsid w:val="192E266D"/>
    <w:rsid w:val="1EE91A2B"/>
    <w:rsid w:val="26B6652B"/>
    <w:rsid w:val="2870120A"/>
    <w:rsid w:val="2F64081D"/>
    <w:rsid w:val="30855A0A"/>
    <w:rsid w:val="3426571B"/>
    <w:rsid w:val="35797B54"/>
    <w:rsid w:val="35FF4A3B"/>
    <w:rsid w:val="376C4B50"/>
    <w:rsid w:val="3A640BD3"/>
    <w:rsid w:val="3CF6609B"/>
    <w:rsid w:val="3F5F8E37"/>
    <w:rsid w:val="43F45BE1"/>
    <w:rsid w:val="45C267D2"/>
    <w:rsid w:val="45FFC546"/>
    <w:rsid w:val="47C42D99"/>
    <w:rsid w:val="4B5E0F27"/>
    <w:rsid w:val="4F9E7E2A"/>
    <w:rsid w:val="508628CC"/>
    <w:rsid w:val="55216522"/>
    <w:rsid w:val="55EB2B55"/>
    <w:rsid w:val="576BB970"/>
    <w:rsid w:val="5BBB6359"/>
    <w:rsid w:val="5CF7106A"/>
    <w:rsid w:val="5D732FD2"/>
    <w:rsid w:val="5F5FC0A8"/>
    <w:rsid w:val="5FDF35EA"/>
    <w:rsid w:val="68251C6A"/>
    <w:rsid w:val="6BF748E5"/>
    <w:rsid w:val="6CFFDA7E"/>
    <w:rsid w:val="6DAF1D11"/>
    <w:rsid w:val="6F3DB013"/>
    <w:rsid w:val="6FFA31FB"/>
    <w:rsid w:val="70CA3180"/>
    <w:rsid w:val="71F942E2"/>
    <w:rsid w:val="738E71A4"/>
    <w:rsid w:val="7B311A28"/>
    <w:rsid w:val="7BB45CA7"/>
    <w:rsid w:val="7BBD69EC"/>
    <w:rsid w:val="7CFBE928"/>
    <w:rsid w:val="7D584333"/>
    <w:rsid w:val="9EAEA1A7"/>
    <w:rsid w:val="9F574D3B"/>
    <w:rsid w:val="9FEF8023"/>
    <w:rsid w:val="A7DEE456"/>
    <w:rsid w:val="AA7EAAE2"/>
    <w:rsid w:val="CFFE2D25"/>
    <w:rsid w:val="CFFE4A7D"/>
    <w:rsid w:val="D7FF7952"/>
    <w:rsid w:val="DCB71850"/>
    <w:rsid w:val="DD1EE19D"/>
    <w:rsid w:val="EEDA636D"/>
    <w:rsid w:val="F796FD12"/>
    <w:rsid w:val="F7FE4EF4"/>
    <w:rsid w:val="FF7FB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qFormat="1"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qFormat="1" w:uiPriority="99" w:name="Signature"/>
    <w:lsdException w:qFormat="1" w:uiPriority="1" w:name="Default Paragraph Font"/>
    <w:lsdException w:qFormat="1" w:unhideWhenUsed="0" w:uiPriority="0"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39" w:semiHidden="0" w:name="Table Grid"/>
    <w:lsdException w:qFormat="1" w:uiPriority="99" w:semiHidden="0"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spacing w:line="600" w:lineRule="exact"/>
      <w:ind w:firstLine="480" w:firstLineChars="150"/>
      <w:jc w:val="both"/>
    </w:pPr>
    <w:rPr>
      <w:rFonts w:ascii="仿宋_GB2312" w:hAnsi="宋体" w:eastAsia="仿宋_GB2312" w:cs="宋体"/>
      <w:color w:val="000000"/>
      <w:sz w:val="32"/>
      <w:szCs w:val="32"/>
      <w:lang w:val="en-US" w:eastAsia="zh-CN" w:bidi="ar-SA"/>
      <w14:ligatures w14:val="standardContextual"/>
    </w:rPr>
  </w:style>
  <w:style w:type="paragraph" w:styleId="3">
    <w:name w:val="heading 1"/>
    <w:basedOn w:val="1"/>
    <w:next w:val="4"/>
    <w:link w:val="250"/>
    <w:qFormat/>
    <w:uiPriority w:val="9"/>
    <w:pPr>
      <w:ind w:firstLine="640" w:firstLineChars="200"/>
      <w:outlineLvl w:val="0"/>
    </w:pPr>
    <w:rPr>
      <w:rFonts w:ascii="黑体" w:hAnsi="黑体" w:eastAsia="黑体"/>
    </w:rPr>
  </w:style>
  <w:style w:type="paragraph" w:styleId="5">
    <w:name w:val="heading 2"/>
    <w:basedOn w:val="1"/>
    <w:next w:val="1"/>
    <w:link w:val="251"/>
    <w:unhideWhenUsed/>
    <w:qFormat/>
    <w:uiPriority w:val="9"/>
    <w:pPr>
      <w:outlineLvl w:val="1"/>
    </w:pPr>
  </w:style>
  <w:style w:type="paragraph" w:styleId="6">
    <w:name w:val="heading 3"/>
    <w:basedOn w:val="1"/>
    <w:next w:val="1"/>
    <w:link w:val="252"/>
    <w:unhideWhenUsed/>
    <w:qFormat/>
    <w:uiPriority w:val="9"/>
    <w:pPr>
      <w:ind w:left="160" w:leftChars="50"/>
      <w:outlineLvl w:val="2"/>
    </w:pPr>
  </w:style>
  <w:style w:type="paragraph" w:styleId="7">
    <w:name w:val="heading 4"/>
    <w:basedOn w:val="1"/>
    <w:next w:val="1"/>
    <w:link w:val="253"/>
    <w:unhideWhenUsed/>
    <w:qFormat/>
    <w:uiPriority w:val="9"/>
    <w:pPr>
      <w:outlineLvl w:val="3"/>
    </w:pPr>
  </w:style>
  <w:style w:type="paragraph" w:styleId="8">
    <w:name w:val="heading 5"/>
    <w:basedOn w:val="1"/>
    <w:next w:val="1"/>
    <w:link w:val="254"/>
    <w:semiHidden/>
    <w:unhideWhenUsed/>
    <w:qFormat/>
    <w:uiPriority w:val="9"/>
    <w:pPr>
      <w:keepNext/>
      <w:keepLines/>
      <w:spacing w:before="80" w:after="40"/>
      <w:outlineLvl w:val="4"/>
    </w:pPr>
    <w:rPr>
      <w:rFonts w:cstheme="majorBidi"/>
      <w:color w:val="104862" w:themeColor="accent1" w:themeShade="BF"/>
      <w:sz w:val="24"/>
    </w:rPr>
  </w:style>
  <w:style w:type="paragraph" w:styleId="9">
    <w:name w:val="heading 6"/>
    <w:basedOn w:val="1"/>
    <w:next w:val="1"/>
    <w:link w:val="255"/>
    <w:semiHidden/>
    <w:unhideWhenUsed/>
    <w:qFormat/>
    <w:uiPriority w:val="9"/>
    <w:pPr>
      <w:keepNext/>
      <w:keepLines/>
      <w:spacing w:before="40"/>
      <w:outlineLvl w:val="5"/>
    </w:pPr>
    <w:rPr>
      <w:rFonts w:cstheme="majorBidi"/>
      <w:b/>
      <w:bCs/>
      <w:color w:val="104862" w:themeColor="accent1" w:themeShade="BF"/>
    </w:rPr>
  </w:style>
  <w:style w:type="paragraph" w:styleId="10">
    <w:name w:val="heading 7"/>
    <w:basedOn w:val="1"/>
    <w:next w:val="1"/>
    <w:link w:val="25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25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25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32">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2">
    <w:name w:val="macro"/>
    <w:link w:val="279"/>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after="160"/>
    </w:pPr>
    <w:rPr>
      <w:rFonts w:ascii="Courier New" w:hAnsi="Courier New" w:eastAsia="宋体" w:cs="Courier New"/>
      <w:kern w:val="2"/>
      <w:sz w:val="24"/>
      <w:szCs w:val="24"/>
      <w:lang w:val="en-US" w:eastAsia="zh-CN" w:bidi="ar-SA"/>
      <w14:ligatures w14:val="standardContextual"/>
    </w:rPr>
  </w:style>
  <w:style w:type="paragraph" w:customStyle="1" w:styleId="4">
    <w:name w:val="内容"/>
    <w:basedOn w:val="1"/>
    <w:link w:val="411"/>
    <w:qFormat/>
    <w:uiPriority w:val="0"/>
    <w:pPr>
      <w:ind w:firstLine="200" w:firstLineChars="200"/>
    </w:pPr>
    <w:rPr>
      <w:rFonts w:eastAsia="仿宋"/>
    </w:rPr>
  </w:style>
  <w:style w:type="paragraph" w:styleId="13">
    <w:name w:val="List 3"/>
    <w:basedOn w:val="1"/>
    <w:semiHidden/>
    <w:unhideWhenUsed/>
    <w:qFormat/>
    <w:uiPriority w:val="99"/>
    <w:pPr>
      <w:ind w:left="100" w:leftChars="400" w:hanging="200" w:hangingChars="200"/>
      <w:contextualSpacing/>
    </w:pPr>
  </w:style>
  <w:style w:type="paragraph" w:styleId="14">
    <w:name w:val="toc 7"/>
    <w:basedOn w:val="1"/>
    <w:next w:val="1"/>
    <w:semiHidden/>
    <w:unhideWhenUsed/>
    <w:qFormat/>
    <w:uiPriority w:val="39"/>
    <w:pPr>
      <w:ind w:left="2520" w:leftChars="1200"/>
    </w:pPr>
  </w:style>
  <w:style w:type="paragraph" w:styleId="15">
    <w:name w:val="List Number 2"/>
    <w:basedOn w:val="1"/>
    <w:semiHidden/>
    <w:unhideWhenUsed/>
    <w:qFormat/>
    <w:uiPriority w:val="99"/>
    <w:pPr>
      <w:numPr>
        <w:ilvl w:val="0"/>
        <w:numId w:val="1"/>
      </w:numPr>
      <w:contextualSpacing/>
    </w:pPr>
  </w:style>
  <w:style w:type="paragraph" w:styleId="16">
    <w:name w:val="table of authorities"/>
    <w:basedOn w:val="1"/>
    <w:next w:val="1"/>
    <w:semiHidden/>
    <w:unhideWhenUsed/>
    <w:qFormat/>
    <w:uiPriority w:val="99"/>
    <w:pPr>
      <w:ind w:left="420" w:leftChars="200"/>
    </w:pPr>
  </w:style>
  <w:style w:type="paragraph" w:styleId="17">
    <w:name w:val="Note Heading"/>
    <w:basedOn w:val="1"/>
    <w:next w:val="1"/>
    <w:link w:val="410"/>
    <w:semiHidden/>
    <w:unhideWhenUsed/>
    <w:qFormat/>
    <w:uiPriority w:val="99"/>
    <w:pPr>
      <w:jc w:val="center"/>
    </w:pPr>
  </w:style>
  <w:style w:type="paragraph" w:styleId="18">
    <w:name w:val="List Bullet 4"/>
    <w:basedOn w:val="1"/>
    <w:semiHidden/>
    <w:unhideWhenUsed/>
    <w:qFormat/>
    <w:uiPriority w:val="99"/>
    <w:pPr>
      <w:numPr>
        <w:ilvl w:val="0"/>
        <w:numId w:val="2"/>
      </w:numPr>
      <w:contextualSpacing/>
    </w:pPr>
  </w:style>
  <w:style w:type="paragraph" w:styleId="19">
    <w:name w:val="index 8"/>
    <w:basedOn w:val="1"/>
    <w:next w:val="1"/>
    <w:semiHidden/>
    <w:unhideWhenUsed/>
    <w:qFormat/>
    <w:uiPriority w:val="99"/>
    <w:pPr>
      <w:ind w:left="1400" w:leftChars="1400"/>
    </w:pPr>
  </w:style>
  <w:style w:type="paragraph" w:styleId="20">
    <w:name w:val="E-mail Signature"/>
    <w:basedOn w:val="1"/>
    <w:link w:val="278"/>
    <w:semiHidden/>
    <w:unhideWhenUsed/>
    <w:qFormat/>
    <w:uiPriority w:val="99"/>
  </w:style>
  <w:style w:type="paragraph" w:styleId="21">
    <w:name w:val="List Number"/>
    <w:basedOn w:val="1"/>
    <w:semiHidden/>
    <w:unhideWhenUsed/>
    <w:qFormat/>
    <w:uiPriority w:val="99"/>
    <w:pPr>
      <w:numPr>
        <w:ilvl w:val="0"/>
        <w:numId w:val="3"/>
      </w:numPr>
      <w:contextualSpacing/>
    </w:pPr>
  </w:style>
  <w:style w:type="paragraph" w:styleId="22">
    <w:name w:val="Normal Indent"/>
    <w:basedOn w:val="1"/>
    <w:semiHidden/>
    <w:unhideWhenUsed/>
    <w:qFormat/>
    <w:uiPriority w:val="99"/>
    <w:pPr>
      <w:ind w:firstLine="420" w:firstLineChars="200"/>
    </w:pPr>
  </w:style>
  <w:style w:type="paragraph" w:styleId="23">
    <w:name w:val="caption"/>
    <w:basedOn w:val="1"/>
    <w:next w:val="1"/>
    <w:semiHidden/>
    <w:unhideWhenUsed/>
    <w:qFormat/>
    <w:uiPriority w:val="35"/>
    <w:rPr>
      <w:rFonts w:eastAsia="黑体" w:asciiTheme="majorHAnsi" w:hAnsiTheme="majorHAnsi" w:cstheme="majorBidi"/>
      <w:sz w:val="20"/>
      <w:szCs w:val="20"/>
    </w:rPr>
  </w:style>
  <w:style w:type="paragraph" w:styleId="24">
    <w:name w:val="index 5"/>
    <w:basedOn w:val="1"/>
    <w:next w:val="1"/>
    <w:semiHidden/>
    <w:unhideWhenUsed/>
    <w:qFormat/>
    <w:uiPriority w:val="99"/>
    <w:pPr>
      <w:ind w:left="800" w:leftChars="800"/>
    </w:pPr>
  </w:style>
  <w:style w:type="paragraph" w:styleId="25">
    <w:name w:val="List Bullet"/>
    <w:basedOn w:val="1"/>
    <w:semiHidden/>
    <w:unhideWhenUsed/>
    <w:qFormat/>
    <w:uiPriority w:val="99"/>
    <w:pPr>
      <w:numPr>
        <w:ilvl w:val="0"/>
        <w:numId w:val="4"/>
      </w:numPr>
      <w:contextualSpacing/>
    </w:pPr>
  </w:style>
  <w:style w:type="paragraph" w:styleId="26">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27">
    <w:name w:val="Document Map"/>
    <w:basedOn w:val="1"/>
    <w:link w:val="391"/>
    <w:semiHidden/>
    <w:unhideWhenUsed/>
    <w:qFormat/>
    <w:uiPriority w:val="99"/>
    <w:rPr>
      <w:rFonts w:ascii="Microsoft YaHei UI" w:eastAsia="Microsoft YaHei UI"/>
      <w:sz w:val="18"/>
      <w:szCs w:val="18"/>
    </w:rPr>
  </w:style>
  <w:style w:type="paragraph" w:styleId="28">
    <w:name w:val="toa heading"/>
    <w:basedOn w:val="1"/>
    <w:next w:val="1"/>
    <w:semiHidden/>
    <w:unhideWhenUsed/>
    <w:qFormat/>
    <w:uiPriority w:val="99"/>
    <w:pPr>
      <w:spacing w:before="120"/>
    </w:pPr>
    <w:rPr>
      <w:rFonts w:asciiTheme="majorHAnsi" w:hAnsiTheme="majorHAnsi" w:eastAsiaTheme="majorEastAsia" w:cstheme="majorBidi"/>
      <w:sz w:val="24"/>
    </w:rPr>
  </w:style>
  <w:style w:type="paragraph" w:styleId="29">
    <w:name w:val="annotation text"/>
    <w:basedOn w:val="1"/>
    <w:link w:val="284"/>
    <w:unhideWhenUsed/>
    <w:qFormat/>
    <w:uiPriority w:val="99"/>
  </w:style>
  <w:style w:type="paragraph" w:styleId="30">
    <w:name w:val="index 6"/>
    <w:basedOn w:val="1"/>
    <w:next w:val="1"/>
    <w:semiHidden/>
    <w:unhideWhenUsed/>
    <w:qFormat/>
    <w:uiPriority w:val="99"/>
    <w:pPr>
      <w:ind w:left="1000" w:leftChars="1000"/>
    </w:pPr>
  </w:style>
  <w:style w:type="paragraph" w:styleId="31">
    <w:name w:val="Salutation"/>
    <w:basedOn w:val="1"/>
    <w:next w:val="1"/>
    <w:link w:val="276"/>
    <w:semiHidden/>
    <w:unhideWhenUsed/>
    <w:qFormat/>
    <w:uiPriority w:val="99"/>
  </w:style>
  <w:style w:type="paragraph" w:styleId="32">
    <w:name w:val="Body Text 3"/>
    <w:basedOn w:val="1"/>
    <w:link w:val="402"/>
    <w:semiHidden/>
    <w:unhideWhenUsed/>
    <w:qFormat/>
    <w:uiPriority w:val="99"/>
    <w:pPr>
      <w:spacing w:after="120"/>
    </w:pPr>
    <w:rPr>
      <w:sz w:val="16"/>
      <w:szCs w:val="16"/>
    </w:rPr>
  </w:style>
  <w:style w:type="paragraph" w:styleId="33">
    <w:name w:val="Closing"/>
    <w:basedOn w:val="1"/>
    <w:link w:val="281"/>
    <w:semiHidden/>
    <w:unhideWhenUsed/>
    <w:qFormat/>
    <w:uiPriority w:val="99"/>
    <w:pPr>
      <w:ind w:left="100" w:leftChars="2100"/>
    </w:pPr>
  </w:style>
  <w:style w:type="paragraph" w:styleId="34">
    <w:name w:val="List Bullet 3"/>
    <w:basedOn w:val="1"/>
    <w:semiHidden/>
    <w:unhideWhenUsed/>
    <w:qFormat/>
    <w:uiPriority w:val="99"/>
    <w:pPr>
      <w:numPr>
        <w:ilvl w:val="0"/>
        <w:numId w:val="5"/>
      </w:numPr>
      <w:contextualSpacing/>
    </w:pPr>
  </w:style>
  <w:style w:type="paragraph" w:styleId="35">
    <w:name w:val="Body Text"/>
    <w:basedOn w:val="1"/>
    <w:link w:val="400"/>
    <w:semiHidden/>
    <w:qFormat/>
    <w:uiPriority w:val="0"/>
    <w:pPr>
      <w:widowControl/>
      <w:kinsoku w:val="0"/>
      <w:autoSpaceDE w:val="0"/>
      <w:autoSpaceDN w:val="0"/>
      <w:adjustRightInd w:val="0"/>
      <w:snapToGrid w:val="0"/>
      <w:spacing w:line="240" w:lineRule="auto"/>
      <w:textAlignment w:val="baseline"/>
    </w:pPr>
    <w:rPr>
      <w:rFonts w:ascii="仿宋" w:hAnsi="仿宋" w:eastAsia="仿宋" w:cs="仿宋"/>
      <w:snapToGrid w:val="0"/>
      <w:sz w:val="24"/>
      <w:lang w:eastAsia="en-US"/>
      <w14:ligatures w14:val="none"/>
    </w:rPr>
  </w:style>
  <w:style w:type="paragraph" w:styleId="36">
    <w:name w:val="Body Text Indent"/>
    <w:basedOn w:val="1"/>
    <w:link w:val="404"/>
    <w:semiHidden/>
    <w:unhideWhenUsed/>
    <w:qFormat/>
    <w:uiPriority w:val="99"/>
    <w:pPr>
      <w:spacing w:after="120"/>
      <w:ind w:left="420" w:leftChars="200"/>
    </w:pPr>
  </w:style>
  <w:style w:type="paragraph" w:styleId="37">
    <w:name w:val="List Number 3"/>
    <w:basedOn w:val="1"/>
    <w:semiHidden/>
    <w:unhideWhenUsed/>
    <w:qFormat/>
    <w:uiPriority w:val="99"/>
    <w:pPr>
      <w:numPr>
        <w:ilvl w:val="0"/>
        <w:numId w:val="6"/>
      </w:numPr>
      <w:contextualSpacing/>
    </w:pPr>
  </w:style>
  <w:style w:type="paragraph" w:styleId="38">
    <w:name w:val="List 2"/>
    <w:basedOn w:val="1"/>
    <w:semiHidden/>
    <w:unhideWhenUsed/>
    <w:qFormat/>
    <w:uiPriority w:val="99"/>
    <w:pPr>
      <w:ind w:left="100" w:leftChars="200" w:hanging="200" w:hangingChars="200"/>
      <w:contextualSpacing/>
    </w:pPr>
  </w:style>
  <w:style w:type="paragraph" w:styleId="39">
    <w:name w:val="List Continue"/>
    <w:basedOn w:val="1"/>
    <w:semiHidden/>
    <w:unhideWhenUsed/>
    <w:qFormat/>
    <w:uiPriority w:val="99"/>
    <w:pPr>
      <w:spacing w:after="120"/>
      <w:ind w:left="420" w:leftChars="200"/>
      <w:contextualSpacing/>
    </w:pPr>
  </w:style>
  <w:style w:type="paragraph" w:styleId="40">
    <w:name w:val="Block Text"/>
    <w:basedOn w:val="1"/>
    <w:semiHidden/>
    <w:unhideWhenUsed/>
    <w:qFormat/>
    <w:uiPriority w:val="99"/>
    <w:pPr>
      <w:spacing w:after="120"/>
      <w:ind w:left="1440" w:leftChars="700" w:right="1440" w:rightChars="700"/>
    </w:pPr>
  </w:style>
  <w:style w:type="paragraph" w:styleId="41">
    <w:name w:val="List Bullet 2"/>
    <w:basedOn w:val="1"/>
    <w:semiHidden/>
    <w:unhideWhenUsed/>
    <w:qFormat/>
    <w:uiPriority w:val="99"/>
    <w:pPr>
      <w:numPr>
        <w:ilvl w:val="0"/>
        <w:numId w:val="7"/>
      </w:numPr>
      <w:contextualSpacing/>
    </w:pPr>
  </w:style>
  <w:style w:type="paragraph" w:styleId="42">
    <w:name w:val="HTML Address"/>
    <w:basedOn w:val="1"/>
    <w:link w:val="271"/>
    <w:semiHidden/>
    <w:unhideWhenUsed/>
    <w:qFormat/>
    <w:uiPriority w:val="99"/>
    <w:rPr>
      <w:i/>
      <w:iCs/>
    </w:rPr>
  </w:style>
  <w:style w:type="paragraph" w:styleId="43">
    <w:name w:val="index 4"/>
    <w:basedOn w:val="1"/>
    <w:next w:val="1"/>
    <w:semiHidden/>
    <w:unhideWhenUsed/>
    <w:qFormat/>
    <w:uiPriority w:val="99"/>
    <w:pPr>
      <w:ind w:left="600" w:leftChars="600"/>
    </w:pPr>
  </w:style>
  <w:style w:type="paragraph" w:styleId="44">
    <w:name w:val="toc 5"/>
    <w:basedOn w:val="1"/>
    <w:next w:val="1"/>
    <w:semiHidden/>
    <w:unhideWhenUsed/>
    <w:qFormat/>
    <w:uiPriority w:val="39"/>
    <w:pPr>
      <w:ind w:left="1680" w:leftChars="800"/>
    </w:pPr>
  </w:style>
  <w:style w:type="paragraph" w:styleId="45">
    <w:name w:val="toc 3"/>
    <w:basedOn w:val="1"/>
    <w:next w:val="1"/>
    <w:semiHidden/>
    <w:unhideWhenUsed/>
    <w:qFormat/>
    <w:uiPriority w:val="39"/>
    <w:pPr>
      <w:ind w:left="840" w:leftChars="400"/>
    </w:pPr>
  </w:style>
  <w:style w:type="paragraph" w:styleId="46">
    <w:name w:val="Plain Text"/>
    <w:basedOn w:val="1"/>
    <w:link w:val="277"/>
    <w:semiHidden/>
    <w:unhideWhenUsed/>
    <w:qFormat/>
    <w:uiPriority w:val="99"/>
    <w:rPr>
      <w:rFonts w:hAnsi="Courier New" w:cs="Courier New" w:asciiTheme="minorEastAsia"/>
    </w:rPr>
  </w:style>
  <w:style w:type="paragraph" w:styleId="47">
    <w:name w:val="List Bullet 5"/>
    <w:basedOn w:val="1"/>
    <w:semiHidden/>
    <w:unhideWhenUsed/>
    <w:qFormat/>
    <w:uiPriority w:val="99"/>
    <w:pPr>
      <w:numPr>
        <w:ilvl w:val="0"/>
        <w:numId w:val="8"/>
      </w:numPr>
      <w:contextualSpacing/>
    </w:pPr>
  </w:style>
  <w:style w:type="paragraph" w:styleId="48">
    <w:name w:val="List Number 4"/>
    <w:basedOn w:val="1"/>
    <w:semiHidden/>
    <w:unhideWhenUsed/>
    <w:qFormat/>
    <w:uiPriority w:val="99"/>
    <w:pPr>
      <w:numPr>
        <w:ilvl w:val="0"/>
        <w:numId w:val="9"/>
      </w:numPr>
      <w:contextualSpacing/>
    </w:pPr>
  </w:style>
  <w:style w:type="paragraph" w:styleId="49">
    <w:name w:val="toc 8"/>
    <w:basedOn w:val="1"/>
    <w:next w:val="1"/>
    <w:semiHidden/>
    <w:unhideWhenUsed/>
    <w:qFormat/>
    <w:uiPriority w:val="39"/>
    <w:pPr>
      <w:ind w:left="2940" w:leftChars="1400"/>
    </w:pPr>
  </w:style>
  <w:style w:type="paragraph" w:styleId="50">
    <w:name w:val="index 3"/>
    <w:basedOn w:val="1"/>
    <w:next w:val="1"/>
    <w:semiHidden/>
    <w:unhideWhenUsed/>
    <w:qFormat/>
    <w:uiPriority w:val="99"/>
    <w:pPr>
      <w:ind w:left="400" w:leftChars="400"/>
    </w:pPr>
  </w:style>
  <w:style w:type="paragraph" w:styleId="51">
    <w:name w:val="Date"/>
    <w:basedOn w:val="1"/>
    <w:next w:val="1"/>
    <w:link w:val="336"/>
    <w:semiHidden/>
    <w:unhideWhenUsed/>
    <w:qFormat/>
    <w:uiPriority w:val="99"/>
    <w:pPr>
      <w:ind w:left="100" w:leftChars="2500"/>
    </w:pPr>
  </w:style>
  <w:style w:type="paragraph" w:styleId="52">
    <w:name w:val="Body Text Indent 2"/>
    <w:basedOn w:val="1"/>
    <w:link w:val="406"/>
    <w:semiHidden/>
    <w:unhideWhenUsed/>
    <w:qFormat/>
    <w:uiPriority w:val="99"/>
    <w:pPr>
      <w:spacing w:after="120" w:line="480" w:lineRule="auto"/>
      <w:ind w:left="420" w:leftChars="200"/>
    </w:pPr>
  </w:style>
  <w:style w:type="paragraph" w:styleId="53">
    <w:name w:val="endnote text"/>
    <w:basedOn w:val="1"/>
    <w:link w:val="389"/>
    <w:semiHidden/>
    <w:unhideWhenUsed/>
    <w:qFormat/>
    <w:uiPriority w:val="99"/>
    <w:pPr>
      <w:snapToGrid w:val="0"/>
    </w:pPr>
  </w:style>
  <w:style w:type="paragraph" w:styleId="54">
    <w:name w:val="List Continue 5"/>
    <w:basedOn w:val="1"/>
    <w:semiHidden/>
    <w:unhideWhenUsed/>
    <w:qFormat/>
    <w:uiPriority w:val="99"/>
    <w:pPr>
      <w:spacing w:after="120"/>
      <w:ind w:left="2100" w:leftChars="1000"/>
      <w:contextualSpacing/>
    </w:pPr>
  </w:style>
  <w:style w:type="paragraph" w:styleId="55">
    <w:name w:val="Balloon Text"/>
    <w:basedOn w:val="1"/>
    <w:link w:val="283"/>
    <w:semiHidden/>
    <w:unhideWhenUsed/>
    <w:qFormat/>
    <w:uiPriority w:val="99"/>
    <w:pPr>
      <w:spacing w:line="240" w:lineRule="auto"/>
    </w:pPr>
    <w:rPr>
      <w:sz w:val="18"/>
      <w:szCs w:val="18"/>
    </w:rPr>
  </w:style>
  <w:style w:type="paragraph" w:styleId="56">
    <w:name w:val="footer"/>
    <w:basedOn w:val="1"/>
    <w:link w:val="269"/>
    <w:unhideWhenUsed/>
    <w:qFormat/>
    <w:uiPriority w:val="99"/>
    <w:pPr>
      <w:tabs>
        <w:tab w:val="center" w:pos="4153"/>
        <w:tab w:val="right" w:pos="8306"/>
      </w:tabs>
      <w:snapToGrid w:val="0"/>
      <w:spacing w:line="240" w:lineRule="auto"/>
    </w:pPr>
    <w:rPr>
      <w:sz w:val="18"/>
      <w:szCs w:val="18"/>
    </w:rPr>
  </w:style>
  <w:style w:type="paragraph" w:styleId="57">
    <w:name w:val="envelope return"/>
    <w:basedOn w:val="1"/>
    <w:semiHidden/>
    <w:unhideWhenUsed/>
    <w:qFormat/>
    <w:uiPriority w:val="99"/>
    <w:pPr>
      <w:snapToGrid w:val="0"/>
    </w:pPr>
    <w:rPr>
      <w:rFonts w:asciiTheme="majorHAnsi" w:hAnsiTheme="majorHAnsi" w:eastAsiaTheme="majorEastAsia" w:cstheme="majorBidi"/>
    </w:rPr>
  </w:style>
  <w:style w:type="paragraph" w:styleId="58">
    <w:name w:val="header"/>
    <w:basedOn w:val="1"/>
    <w:link w:val="268"/>
    <w:unhideWhenUsed/>
    <w:qFormat/>
    <w:uiPriority w:val="99"/>
    <w:pPr>
      <w:tabs>
        <w:tab w:val="center" w:pos="4153"/>
        <w:tab w:val="right" w:pos="8306"/>
      </w:tabs>
      <w:snapToGrid w:val="0"/>
      <w:spacing w:line="240" w:lineRule="auto"/>
      <w:jc w:val="center"/>
    </w:pPr>
    <w:rPr>
      <w:sz w:val="18"/>
      <w:szCs w:val="18"/>
    </w:rPr>
  </w:style>
  <w:style w:type="paragraph" w:styleId="59">
    <w:name w:val="Signature"/>
    <w:basedOn w:val="1"/>
    <w:link w:val="286"/>
    <w:semiHidden/>
    <w:unhideWhenUsed/>
    <w:qFormat/>
    <w:uiPriority w:val="99"/>
    <w:pPr>
      <w:ind w:left="100" w:leftChars="2100"/>
    </w:pPr>
  </w:style>
  <w:style w:type="paragraph" w:styleId="60">
    <w:name w:val="toc 1"/>
    <w:basedOn w:val="1"/>
    <w:next w:val="1"/>
    <w:semiHidden/>
    <w:unhideWhenUsed/>
    <w:qFormat/>
    <w:uiPriority w:val="39"/>
  </w:style>
  <w:style w:type="paragraph" w:styleId="61">
    <w:name w:val="List Continue 4"/>
    <w:basedOn w:val="1"/>
    <w:semiHidden/>
    <w:unhideWhenUsed/>
    <w:qFormat/>
    <w:uiPriority w:val="99"/>
    <w:pPr>
      <w:spacing w:after="120"/>
      <w:ind w:left="1680" w:leftChars="800"/>
      <w:contextualSpacing/>
    </w:pPr>
  </w:style>
  <w:style w:type="paragraph" w:styleId="62">
    <w:name w:val="toc 4"/>
    <w:basedOn w:val="1"/>
    <w:next w:val="1"/>
    <w:semiHidden/>
    <w:unhideWhenUsed/>
    <w:qFormat/>
    <w:uiPriority w:val="39"/>
    <w:pPr>
      <w:ind w:left="1260" w:leftChars="600"/>
    </w:pPr>
  </w:style>
  <w:style w:type="paragraph" w:styleId="63">
    <w:name w:val="index heading"/>
    <w:basedOn w:val="1"/>
    <w:next w:val="64"/>
    <w:semiHidden/>
    <w:unhideWhenUsed/>
    <w:qFormat/>
    <w:uiPriority w:val="99"/>
    <w:rPr>
      <w:rFonts w:asciiTheme="majorHAnsi" w:hAnsiTheme="majorHAnsi" w:eastAsiaTheme="majorEastAsia" w:cstheme="majorBidi"/>
      <w:b/>
      <w:bCs/>
    </w:rPr>
  </w:style>
  <w:style w:type="paragraph" w:styleId="64">
    <w:name w:val="index 1"/>
    <w:basedOn w:val="1"/>
    <w:next w:val="1"/>
    <w:semiHidden/>
    <w:unhideWhenUsed/>
    <w:qFormat/>
    <w:uiPriority w:val="99"/>
  </w:style>
  <w:style w:type="paragraph" w:styleId="65">
    <w:name w:val="Subtitle"/>
    <w:basedOn w:val="1"/>
    <w:next w:val="1"/>
    <w:link w:val="26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66">
    <w:name w:val="List Number 5"/>
    <w:basedOn w:val="1"/>
    <w:semiHidden/>
    <w:unhideWhenUsed/>
    <w:qFormat/>
    <w:uiPriority w:val="99"/>
    <w:pPr>
      <w:numPr>
        <w:ilvl w:val="0"/>
        <w:numId w:val="10"/>
      </w:numPr>
      <w:contextualSpacing/>
    </w:pPr>
  </w:style>
  <w:style w:type="paragraph" w:styleId="67">
    <w:name w:val="List"/>
    <w:basedOn w:val="1"/>
    <w:semiHidden/>
    <w:unhideWhenUsed/>
    <w:qFormat/>
    <w:uiPriority w:val="99"/>
    <w:pPr>
      <w:ind w:left="200" w:hanging="200" w:hangingChars="200"/>
      <w:contextualSpacing/>
    </w:pPr>
  </w:style>
  <w:style w:type="paragraph" w:styleId="68">
    <w:name w:val="footnote text"/>
    <w:basedOn w:val="1"/>
    <w:link w:val="280"/>
    <w:semiHidden/>
    <w:unhideWhenUsed/>
    <w:qFormat/>
    <w:uiPriority w:val="99"/>
    <w:pPr>
      <w:snapToGrid w:val="0"/>
    </w:pPr>
    <w:rPr>
      <w:sz w:val="18"/>
      <w:szCs w:val="18"/>
    </w:rPr>
  </w:style>
  <w:style w:type="paragraph" w:styleId="69">
    <w:name w:val="toc 6"/>
    <w:basedOn w:val="1"/>
    <w:next w:val="1"/>
    <w:semiHidden/>
    <w:unhideWhenUsed/>
    <w:qFormat/>
    <w:uiPriority w:val="39"/>
    <w:pPr>
      <w:ind w:left="2100" w:leftChars="1000"/>
    </w:p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07"/>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unhideWhenUsed/>
    <w:qFormat/>
    <w:uiPriority w:val="99"/>
    <w:pPr>
      <w:ind w:left="200" w:leftChars="200" w:hanging="200" w:hangingChars="200"/>
    </w:pPr>
  </w:style>
  <w:style w:type="paragraph" w:styleId="75">
    <w:name w:val="toc 2"/>
    <w:basedOn w:val="1"/>
    <w:next w:val="1"/>
    <w:semiHidden/>
    <w:unhideWhenUsed/>
    <w:qFormat/>
    <w:uiPriority w:val="39"/>
    <w:pPr>
      <w:ind w:left="420" w:leftChars="200"/>
    </w:pPr>
  </w:style>
  <w:style w:type="paragraph" w:styleId="76">
    <w:name w:val="toc 9"/>
    <w:basedOn w:val="1"/>
    <w:next w:val="1"/>
    <w:semiHidden/>
    <w:unhideWhenUsed/>
    <w:qFormat/>
    <w:uiPriority w:val="39"/>
    <w:pPr>
      <w:ind w:left="3360" w:leftChars="1600"/>
    </w:pPr>
  </w:style>
  <w:style w:type="paragraph" w:styleId="77">
    <w:name w:val="Body Text 2"/>
    <w:basedOn w:val="1"/>
    <w:link w:val="401"/>
    <w:semiHidden/>
    <w:unhideWhenUsed/>
    <w:qFormat/>
    <w:uiPriority w:val="99"/>
    <w:pPr>
      <w:spacing w:after="120" w:line="480" w:lineRule="auto"/>
    </w:pPr>
  </w:style>
  <w:style w:type="paragraph" w:styleId="78">
    <w:name w:val="List 4"/>
    <w:basedOn w:val="1"/>
    <w:semiHidden/>
    <w:unhideWhenUsed/>
    <w:qFormat/>
    <w:uiPriority w:val="99"/>
    <w:pPr>
      <w:ind w:left="100" w:leftChars="600" w:hanging="200" w:hangingChars="200"/>
      <w:contextualSpacing/>
    </w:pPr>
  </w:style>
  <w:style w:type="paragraph" w:styleId="79">
    <w:name w:val="List Continue 2"/>
    <w:basedOn w:val="1"/>
    <w:semiHidden/>
    <w:unhideWhenUsed/>
    <w:qFormat/>
    <w:uiPriority w:val="99"/>
    <w:pPr>
      <w:spacing w:after="120"/>
      <w:ind w:left="840" w:leftChars="400"/>
      <w:contextualSpacing/>
    </w:pPr>
  </w:style>
  <w:style w:type="paragraph" w:styleId="80">
    <w:name w:val="Message Header"/>
    <w:basedOn w:val="1"/>
    <w:link w:val="398"/>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1">
    <w:name w:val="HTML Preformatted"/>
    <w:basedOn w:val="1"/>
    <w:link w:val="272"/>
    <w:semiHidden/>
    <w:unhideWhenUsed/>
    <w:qFormat/>
    <w:uiPriority w:val="99"/>
    <w:rPr>
      <w:rFonts w:ascii="Courier New" w:hAnsi="Courier New" w:cs="Courier New"/>
      <w:sz w:val="20"/>
      <w:szCs w:val="20"/>
    </w:rPr>
  </w:style>
  <w:style w:type="paragraph" w:styleId="82">
    <w:name w:val="Normal (Web)"/>
    <w:basedOn w:val="1"/>
    <w:semiHidden/>
    <w:unhideWhenUsed/>
    <w:qFormat/>
    <w:uiPriority w:val="99"/>
    <w:rPr>
      <w:rFonts w:ascii="Times New Roman" w:hAnsi="Times New Roman" w:cs="Times New Roman"/>
      <w:sz w:val="24"/>
    </w:rPr>
  </w:style>
  <w:style w:type="paragraph" w:styleId="83">
    <w:name w:val="List Continue 3"/>
    <w:basedOn w:val="1"/>
    <w:semiHidden/>
    <w:unhideWhenUsed/>
    <w:qFormat/>
    <w:uiPriority w:val="99"/>
    <w:pPr>
      <w:spacing w:after="120"/>
      <w:ind w:left="1260" w:leftChars="600"/>
      <w:contextualSpacing/>
    </w:pPr>
  </w:style>
  <w:style w:type="paragraph" w:styleId="84">
    <w:name w:val="index 2"/>
    <w:basedOn w:val="1"/>
    <w:next w:val="1"/>
    <w:semiHidden/>
    <w:unhideWhenUsed/>
    <w:qFormat/>
    <w:uiPriority w:val="99"/>
    <w:pPr>
      <w:ind w:left="200" w:leftChars="200"/>
    </w:pPr>
  </w:style>
  <w:style w:type="paragraph" w:styleId="85">
    <w:name w:val="Title"/>
    <w:basedOn w:val="1"/>
    <w:next w:val="1"/>
    <w:link w:val="259"/>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86">
    <w:name w:val="annotation subject"/>
    <w:basedOn w:val="29"/>
    <w:next w:val="29"/>
    <w:link w:val="285"/>
    <w:semiHidden/>
    <w:unhideWhenUsed/>
    <w:qFormat/>
    <w:uiPriority w:val="99"/>
    <w:rPr>
      <w:b/>
      <w:bCs/>
    </w:rPr>
  </w:style>
  <w:style w:type="paragraph" w:styleId="87">
    <w:name w:val="Body Text First Indent"/>
    <w:basedOn w:val="35"/>
    <w:link w:val="403"/>
    <w:semiHidden/>
    <w:unhideWhenUsed/>
    <w:qFormat/>
    <w:uiPriority w:val="99"/>
    <w:pPr>
      <w:ind w:firstLine="420" w:firstLineChars="100"/>
    </w:pPr>
  </w:style>
  <w:style w:type="paragraph" w:styleId="88">
    <w:name w:val="Body Text First Indent 2"/>
    <w:basedOn w:val="36"/>
    <w:link w:val="405"/>
    <w:semiHidden/>
    <w:unhideWhenUsed/>
    <w:qFormat/>
    <w:uiPriority w:val="99"/>
    <w:pPr>
      <w:ind w:firstLine="420" w:firstLineChars="200"/>
    </w:pPr>
  </w:style>
  <w:style w:type="table" w:styleId="90">
    <w:name w:val="Table Grid"/>
    <w:basedOn w:val="8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Theme"/>
    <w:basedOn w:val="89"/>
    <w:unhideWhenUsed/>
    <w:qFormat/>
    <w:uiPriority w:val="99"/>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2">
    <w:name w:val="Table Colorful 1"/>
    <w:basedOn w:val="89"/>
    <w:semiHidden/>
    <w:unhideWhenUsed/>
    <w:qFormat/>
    <w:uiPriority w:val="99"/>
    <w:pPr>
      <w:widowControl w:val="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3">
    <w:name w:val="Table Colorful 2"/>
    <w:basedOn w:val="89"/>
    <w:semiHidden/>
    <w:unhideWhenUsed/>
    <w:qFormat/>
    <w:uiPriority w:val="99"/>
    <w:pPr>
      <w:widowControl w:val="0"/>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4">
    <w:name w:val="Table Colorful 3"/>
    <w:basedOn w:val="89"/>
    <w:semiHidden/>
    <w:unhideWhenUsed/>
    <w:qFormat/>
    <w:uiPriority w:val="99"/>
    <w:pPr>
      <w:widowControl w:val="0"/>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5">
    <w:name w:val="Table Elegant"/>
    <w:basedOn w:val="89"/>
    <w:semiHidden/>
    <w:unhideWhenUsed/>
    <w:qFormat/>
    <w:uiPriority w:val="99"/>
    <w:pPr>
      <w:widowControl w:val="0"/>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6">
    <w:name w:val="Table Classic 1"/>
    <w:basedOn w:val="89"/>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7">
    <w:name w:val="Table Classic 2"/>
    <w:basedOn w:val="89"/>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8">
    <w:name w:val="Table Classic 3"/>
    <w:basedOn w:val="89"/>
    <w:semiHidden/>
    <w:unhideWhenUsed/>
    <w:qFormat/>
    <w:uiPriority w:val="99"/>
    <w:pPr>
      <w:widowControl w:val="0"/>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9">
    <w:name w:val="Table Classic 4"/>
    <w:basedOn w:val="89"/>
    <w:semiHidden/>
    <w:unhideWhenUsed/>
    <w:qFormat/>
    <w:uiPriority w:val="99"/>
    <w:pPr>
      <w:widowControl w:val="0"/>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0">
    <w:name w:val="Table Simple 1"/>
    <w:basedOn w:val="89"/>
    <w:semiHidden/>
    <w:unhideWhenUsed/>
    <w:qFormat/>
    <w:uiPriority w:val="99"/>
    <w:pPr>
      <w:widowControl w:val="0"/>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1">
    <w:name w:val="Table Simple 2"/>
    <w:basedOn w:val="89"/>
    <w:semiHidden/>
    <w:unhideWhenUsed/>
    <w:qFormat/>
    <w:uiPriority w:val="99"/>
    <w:pPr>
      <w:widowControl w:val="0"/>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2">
    <w:name w:val="Table Simple 3"/>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3">
    <w:name w:val="Table Subtle 1"/>
    <w:basedOn w:val="89"/>
    <w:semiHidden/>
    <w:unhideWhenUsed/>
    <w:qFormat/>
    <w:uiPriority w:val="99"/>
    <w:pPr>
      <w:widowControl w:val="0"/>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Subtle 2"/>
    <w:basedOn w:val="89"/>
    <w:semiHidden/>
    <w:unhideWhenUsed/>
    <w:qFormat/>
    <w:uiPriority w:val="99"/>
    <w:pPr>
      <w:widowControl w:val="0"/>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5">
    <w:name w:val="Table 3D effects 1"/>
    <w:basedOn w:val="89"/>
    <w:semiHidden/>
    <w:unhideWhenUsed/>
    <w:qFormat/>
    <w:uiPriority w:val="99"/>
    <w:pPr>
      <w:widowControl w:val="0"/>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6">
    <w:name w:val="Table 3D effects 2"/>
    <w:basedOn w:val="89"/>
    <w:semiHidden/>
    <w:unhideWhenUsed/>
    <w:qFormat/>
    <w:uiPriority w:val="99"/>
    <w:pPr>
      <w:widowControl w:val="0"/>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3D effects 3"/>
    <w:basedOn w:val="89"/>
    <w:semiHidden/>
    <w:unhideWhenUsed/>
    <w:qFormat/>
    <w:uiPriority w:val="99"/>
    <w:pPr>
      <w:widowControl w:val="0"/>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8">
    <w:name w:val="Table List 1"/>
    <w:basedOn w:val="89"/>
    <w:semiHidden/>
    <w:unhideWhenUsed/>
    <w:qFormat/>
    <w:uiPriority w:val="99"/>
    <w:pPr>
      <w:widowControl w:val="0"/>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2"/>
    <w:basedOn w:val="89"/>
    <w:semiHidden/>
    <w:unhideWhenUsed/>
    <w:qFormat/>
    <w:uiPriority w:val="99"/>
    <w:pPr>
      <w:widowControl w:val="0"/>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10">
    <w:name w:val="Table List 3"/>
    <w:basedOn w:val="89"/>
    <w:semiHidden/>
    <w:unhideWhenUsed/>
    <w:qFormat/>
    <w:uiPriority w:val="99"/>
    <w:pPr>
      <w:widowControl w:val="0"/>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1">
    <w:name w:val="Table List 4"/>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2">
    <w:name w:val="Table List 5"/>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3">
    <w:name w:val="Table List 6"/>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4">
    <w:name w:val="Table List 7"/>
    <w:basedOn w:val="89"/>
    <w:semiHidden/>
    <w:unhideWhenUsed/>
    <w:qFormat/>
    <w:uiPriority w:val="99"/>
    <w:pPr>
      <w:widowControl w:val="0"/>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5">
    <w:name w:val="Table List 8"/>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6">
    <w:name w:val="Table Contemporary"/>
    <w:basedOn w:val="89"/>
    <w:semiHidden/>
    <w:unhideWhenUsed/>
    <w:qFormat/>
    <w:uiPriority w:val="99"/>
    <w:pPr>
      <w:widowControl w:val="0"/>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7">
    <w:name w:val="Table Columns 1"/>
    <w:basedOn w:val="89"/>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2"/>
    <w:basedOn w:val="89"/>
    <w:semiHidden/>
    <w:unhideWhenUsed/>
    <w:qFormat/>
    <w:uiPriority w:val="99"/>
    <w:pPr>
      <w:widowControl w:val="0"/>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9">
    <w:name w:val="Table Columns 3"/>
    <w:basedOn w:val="89"/>
    <w:semiHidden/>
    <w:unhideWhenUsed/>
    <w:qFormat/>
    <w:uiPriority w:val="99"/>
    <w:pPr>
      <w:widowControl w:val="0"/>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20">
    <w:name w:val="Table Columns 4"/>
    <w:basedOn w:val="89"/>
    <w:semiHidden/>
    <w:unhideWhenUsed/>
    <w:qFormat/>
    <w:uiPriority w:val="99"/>
    <w:pPr>
      <w:widowControl w:val="0"/>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1">
    <w:name w:val="Table Columns 5"/>
    <w:basedOn w:val="89"/>
    <w:semiHidden/>
    <w:unhideWhenUsed/>
    <w:qFormat/>
    <w:uiPriority w:val="99"/>
    <w:pPr>
      <w:widowControl w:val="0"/>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2">
    <w:name w:val="Table Grid 1"/>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3">
    <w:name w:val="Table Grid 2"/>
    <w:basedOn w:val="89"/>
    <w:semiHidden/>
    <w:unhideWhenUsed/>
    <w:qFormat/>
    <w:uiPriority w:val="99"/>
    <w:pPr>
      <w:widowControl w:val="0"/>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4">
    <w:name w:val="Table Grid 3"/>
    <w:basedOn w:val="89"/>
    <w:semiHidden/>
    <w:unhideWhenUsed/>
    <w:qFormat/>
    <w:uiPriority w:val="99"/>
    <w:pPr>
      <w:widowControl w:val="0"/>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5">
    <w:name w:val="Table Grid 4"/>
    <w:basedOn w:val="89"/>
    <w:semiHidden/>
    <w:unhideWhenUsed/>
    <w:qFormat/>
    <w:uiPriority w:val="99"/>
    <w:pPr>
      <w:widowControl w:val="0"/>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6">
    <w:name w:val="Table Grid 5"/>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6"/>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7"/>
    <w:basedOn w:val="89"/>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9">
    <w:name w:val="Table Grid 8"/>
    <w:basedOn w:val="89"/>
    <w:semiHidden/>
    <w:unhideWhenUsed/>
    <w:qFormat/>
    <w:uiPriority w:val="99"/>
    <w:pPr>
      <w:widowControl w:val="0"/>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30">
    <w:name w:val="Table Web 1"/>
    <w:basedOn w:val="89"/>
    <w:semiHidden/>
    <w:unhideWhenUsed/>
    <w:qFormat/>
    <w:uiPriority w:val="99"/>
    <w:pPr>
      <w:widowControl w:val="0"/>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2"/>
    <w:basedOn w:val="89"/>
    <w:semiHidden/>
    <w:unhideWhenUsed/>
    <w:qFormat/>
    <w:uiPriority w:val="99"/>
    <w:pPr>
      <w:widowControl w:val="0"/>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Web 3"/>
    <w:basedOn w:val="89"/>
    <w:semiHidden/>
    <w:unhideWhenUsed/>
    <w:qFormat/>
    <w:uiPriority w:val="99"/>
    <w:pPr>
      <w:widowControl w:val="0"/>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3">
    <w:name w:val="Table Professional"/>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4">
    <w:name w:val="Light Shading"/>
    <w:basedOn w:val="89"/>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5">
    <w:name w:val="Light Shading Accent 1"/>
    <w:basedOn w:val="89"/>
    <w:semiHidden/>
    <w:unhideWhenUsed/>
    <w:qFormat/>
    <w:uiPriority w:val="60"/>
    <w:rPr>
      <w:color w:val="104862" w:themeColor="accent1" w:themeShade="BF"/>
    </w:rPr>
    <w:tblPr>
      <w:tblBorders>
        <w:top w:val="single" w:color="156082" w:themeColor="accent1" w:sz="8" w:space="0"/>
        <w:bottom w:val="single" w:color="156082" w:themeColor="accent1" w:sz="8" w:space="0"/>
      </w:tblBorders>
    </w:tblPr>
    <w:tblStylePr w:type="fir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la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136">
    <w:name w:val="Light Shading Accent 2"/>
    <w:basedOn w:val="89"/>
    <w:semiHidden/>
    <w:unhideWhenUsed/>
    <w:qFormat/>
    <w:uiPriority w:val="60"/>
    <w:rPr>
      <w:color w:val="C04F15" w:themeColor="accent2" w:themeShade="BF"/>
    </w:rPr>
    <w:tblPr>
      <w:tblBorders>
        <w:top w:val="single" w:color="E97132" w:themeColor="accent2" w:sz="8" w:space="0"/>
        <w:bottom w:val="single" w:color="E97132" w:themeColor="accent2" w:sz="8" w:space="0"/>
      </w:tblBorders>
    </w:tblPr>
    <w:tblStylePr w:type="fir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la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137">
    <w:name w:val="Light Shading Accent 3"/>
    <w:basedOn w:val="89"/>
    <w:semiHidden/>
    <w:unhideWhenUsed/>
    <w:qFormat/>
    <w:uiPriority w:val="60"/>
    <w:rPr>
      <w:color w:val="13501B" w:themeColor="accent3" w:themeShade="BF"/>
    </w:rPr>
    <w:tblPr>
      <w:tblBorders>
        <w:top w:val="single" w:color="196B24" w:themeColor="accent3" w:sz="8" w:space="0"/>
        <w:bottom w:val="single" w:color="196B24" w:themeColor="accent3" w:sz="8" w:space="0"/>
      </w:tblBorders>
    </w:tblPr>
    <w:tblStylePr w:type="fir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la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left w:val="nil"/>
          <w:right w:val="nil"/>
          <w:insideH w:val="nil"/>
          <w:insideV w:val="nil"/>
        </w:tcBorders>
        <w:shd w:val="clear" w:color="auto" w:fill="B3EDBB" w:themeFill="accent3" w:themeFillTint="3F"/>
      </w:tcPr>
    </w:tblStylePr>
  </w:style>
  <w:style w:type="table" w:styleId="138">
    <w:name w:val="Light Shading Accent 4"/>
    <w:basedOn w:val="89"/>
    <w:semiHidden/>
    <w:unhideWhenUsed/>
    <w:qFormat/>
    <w:uiPriority w:val="60"/>
    <w:rPr>
      <w:color w:val="0B76A0" w:themeColor="accent4" w:themeShade="BF"/>
    </w:rPr>
    <w:tblPr>
      <w:tblBorders>
        <w:top w:val="single" w:color="0F9ED5" w:themeColor="accent4" w:sz="8" w:space="0"/>
        <w:bottom w:val="single" w:color="0F9ED5" w:themeColor="accent4" w:sz="8" w:space="0"/>
      </w:tblBorders>
    </w:tblPr>
    <w:tblStylePr w:type="fir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la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139">
    <w:name w:val="Light Shading Accent 5"/>
    <w:basedOn w:val="89"/>
    <w:semiHidden/>
    <w:unhideWhenUsed/>
    <w:qFormat/>
    <w:uiPriority w:val="60"/>
    <w:rPr>
      <w:color w:val="78206E" w:themeColor="accent5" w:themeShade="BF"/>
    </w:rPr>
    <w:tblPr>
      <w:tblBorders>
        <w:top w:val="single" w:color="A02B93" w:themeColor="accent5" w:sz="8" w:space="0"/>
        <w:bottom w:val="single" w:color="A02B93" w:themeColor="accent5" w:sz="8" w:space="0"/>
      </w:tblBorders>
    </w:tblPr>
    <w:tblStylePr w:type="fir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la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left w:val="nil"/>
          <w:right w:val="nil"/>
          <w:insideH w:val="nil"/>
          <w:insideV w:val="nil"/>
        </w:tcBorders>
        <w:shd w:val="clear" w:color="auto" w:fill="EEC3EA" w:themeFill="accent5" w:themeFillTint="3F"/>
      </w:tcPr>
    </w:tblStylePr>
  </w:style>
  <w:style w:type="table" w:styleId="140">
    <w:name w:val="Light Shading Accent 6"/>
    <w:basedOn w:val="89"/>
    <w:semiHidden/>
    <w:unhideWhenUsed/>
    <w:qFormat/>
    <w:uiPriority w:val="60"/>
    <w:rPr>
      <w:color w:val="3B7D23" w:themeColor="accent6" w:themeShade="BF"/>
    </w:rPr>
    <w:tblPr>
      <w:tblBorders>
        <w:top w:val="single" w:color="4EA72E" w:themeColor="accent6" w:sz="8" w:space="0"/>
        <w:bottom w:val="single" w:color="4EA72E" w:themeColor="accent6" w:sz="8" w:space="0"/>
      </w:tblBorders>
    </w:tblPr>
    <w:tblStylePr w:type="fir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la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141">
    <w:name w:val="Light List"/>
    <w:basedOn w:val="89"/>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2">
    <w:name w:val="Light List Accent 1"/>
    <w:basedOn w:val="89"/>
    <w:semiHidden/>
    <w:unhideWhenUsed/>
    <w:qFormat/>
    <w:uiPriority w:val="61"/>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56082" w:themeFill="accent1"/>
      </w:tcPr>
    </w:tblStylePr>
    <w:tblStylePr w:type="lastRow">
      <w:pPr>
        <w:spacing w:before="0" w:after="0" w:line="240" w:lineRule="auto"/>
      </w:pPr>
      <w:rPr>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tcBorders>
      </w:tcPr>
    </w:tblStylePr>
    <w:tblStylePr w:type="firstCol">
      <w:rPr>
        <w:b/>
        <w:bCs/>
      </w:rPr>
    </w:tblStylePr>
    <w:tblStylePr w:type="lastCol">
      <w:rPr>
        <w:b/>
        <w:bCs/>
      </w:r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style>
  <w:style w:type="table" w:styleId="143">
    <w:name w:val="Light List Accent 2"/>
    <w:basedOn w:val="89"/>
    <w:semiHidden/>
    <w:unhideWhenUsed/>
    <w:qFormat/>
    <w:uiPriority w:val="61"/>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97132" w:themeFill="accent2"/>
      </w:tcPr>
    </w:tblStylePr>
    <w:tblStylePr w:type="lastRow">
      <w:pPr>
        <w:spacing w:before="0" w:after="0" w:line="240" w:lineRule="auto"/>
      </w:pPr>
      <w:rPr>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tcBorders>
      </w:tcPr>
    </w:tblStylePr>
    <w:tblStylePr w:type="firstCol">
      <w:rPr>
        <w:b/>
        <w:bCs/>
      </w:rPr>
    </w:tblStylePr>
    <w:tblStylePr w:type="lastCol">
      <w:rPr>
        <w:b/>
        <w:bCs/>
      </w:r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style>
  <w:style w:type="table" w:styleId="144">
    <w:name w:val="Light List Accent 3"/>
    <w:basedOn w:val="89"/>
    <w:semiHidden/>
    <w:unhideWhenUsed/>
    <w:qFormat/>
    <w:uiPriority w:val="61"/>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96B24" w:themeFill="accent3"/>
      </w:tcPr>
    </w:tblStylePr>
    <w:tblStylePr w:type="lastRow">
      <w:pPr>
        <w:spacing w:before="0" w:after="0" w:line="240" w:lineRule="auto"/>
      </w:pPr>
      <w:rPr>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tcBorders>
      </w:tcPr>
    </w:tblStylePr>
    <w:tblStylePr w:type="firstCol">
      <w:rPr>
        <w:b/>
        <w:bCs/>
      </w:rPr>
    </w:tblStylePr>
    <w:tblStylePr w:type="lastCol">
      <w:rPr>
        <w:b/>
        <w:bCs/>
      </w:r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style>
  <w:style w:type="table" w:styleId="145">
    <w:name w:val="Light List Accent 4"/>
    <w:basedOn w:val="89"/>
    <w:semiHidden/>
    <w:unhideWhenUsed/>
    <w:qFormat/>
    <w:uiPriority w:val="61"/>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F9ED5" w:themeFill="accent4"/>
      </w:tcPr>
    </w:tblStylePr>
    <w:tblStylePr w:type="lastRow">
      <w:pPr>
        <w:spacing w:before="0" w:after="0" w:line="240" w:lineRule="auto"/>
      </w:pPr>
      <w:rPr>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tcBorders>
      </w:tcPr>
    </w:tblStylePr>
    <w:tblStylePr w:type="firstCol">
      <w:rPr>
        <w:b/>
        <w:bCs/>
      </w:rPr>
    </w:tblStylePr>
    <w:tblStylePr w:type="lastCol">
      <w:rPr>
        <w:b/>
        <w:bCs/>
      </w:r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style>
  <w:style w:type="table" w:styleId="146">
    <w:name w:val="Light List Accent 5"/>
    <w:basedOn w:val="89"/>
    <w:semiHidden/>
    <w:unhideWhenUsed/>
    <w:qFormat/>
    <w:uiPriority w:val="61"/>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02B93" w:themeFill="accent5"/>
      </w:tcPr>
    </w:tblStylePr>
    <w:tblStylePr w:type="lastRow">
      <w:pPr>
        <w:spacing w:before="0" w:after="0" w:line="240" w:lineRule="auto"/>
      </w:pPr>
      <w:rPr>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tcBorders>
      </w:tcPr>
    </w:tblStylePr>
    <w:tblStylePr w:type="firstCol">
      <w:rPr>
        <w:b/>
        <w:bCs/>
      </w:rPr>
    </w:tblStylePr>
    <w:tblStylePr w:type="lastCol">
      <w:rPr>
        <w:b/>
        <w:bCs/>
      </w:r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style>
  <w:style w:type="table" w:styleId="147">
    <w:name w:val="Light List Accent 6"/>
    <w:basedOn w:val="89"/>
    <w:semiHidden/>
    <w:unhideWhenUsed/>
    <w:qFormat/>
    <w:uiPriority w:val="61"/>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EA72E" w:themeFill="accent6"/>
      </w:tcPr>
    </w:tblStylePr>
    <w:tblStylePr w:type="lastRow">
      <w:pPr>
        <w:spacing w:before="0" w:after="0" w:line="240" w:lineRule="auto"/>
      </w:pPr>
      <w:rPr>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tcBorders>
      </w:tcPr>
    </w:tblStylePr>
    <w:tblStylePr w:type="firstCol">
      <w:rPr>
        <w:b/>
        <w:bCs/>
      </w:rPr>
    </w:tblStylePr>
    <w:tblStylePr w:type="lastCol">
      <w:rPr>
        <w:b/>
        <w:bCs/>
      </w:r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style>
  <w:style w:type="table" w:styleId="148">
    <w:name w:val="Light Grid"/>
    <w:basedOn w:val="89"/>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9">
    <w:name w:val="Light Grid Accent 1"/>
    <w:basedOn w:val="89"/>
    <w:semiHidden/>
    <w:unhideWhenUsed/>
    <w:qFormat/>
    <w:uiPriority w:val="62"/>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18" w:space="0"/>
          <w:right w:val="single" w:color="156082"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shd w:val="clear" w:color="auto" w:fill="B2DEF2" w:themeFill="accent1" w:themeFillTint="3F"/>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shd w:val="clear" w:color="auto" w:fill="B2DEF2" w:themeFill="accent1" w:themeFillTint="3F"/>
      </w:tcPr>
    </w:tblStylePr>
    <w:tblStylePr w:type="band2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tcPr>
    </w:tblStylePr>
  </w:style>
  <w:style w:type="table" w:styleId="150">
    <w:name w:val="Light Grid Accent 2"/>
    <w:basedOn w:val="89"/>
    <w:semiHidden/>
    <w:unhideWhenUsed/>
    <w:qFormat/>
    <w:uiPriority w:val="62"/>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18" w:space="0"/>
          <w:right w:val="single" w:color="E97132"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shd w:val="clear" w:color="auto" w:fill="F9DBCC" w:themeFill="accent2" w:themeFillTint="3F"/>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shd w:val="clear" w:color="auto" w:fill="F9DBCC" w:themeFill="accent2" w:themeFillTint="3F"/>
      </w:tcPr>
    </w:tblStylePr>
    <w:tblStylePr w:type="band2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tcPr>
    </w:tblStylePr>
  </w:style>
  <w:style w:type="table" w:styleId="151">
    <w:name w:val="Light Grid Accent 3"/>
    <w:basedOn w:val="89"/>
    <w:semiHidden/>
    <w:unhideWhenUsed/>
    <w:qFormat/>
    <w:uiPriority w:val="62"/>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18" w:space="0"/>
          <w:right w:val="single" w:color="196B24"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shd w:val="clear" w:color="auto" w:fill="B3EDBB" w:themeFill="accent3" w:themeFillTint="3F"/>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shd w:val="clear" w:color="auto" w:fill="B3EDBB" w:themeFill="accent3" w:themeFillTint="3F"/>
      </w:tcPr>
    </w:tblStylePr>
    <w:tblStylePr w:type="band2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tcPr>
    </w:tblStylePr>
  </w:style>
  <w:style w:type="table" w:styleId="152">
    <w:name w:val="Light Grid Accent 4"/>
    <w:basedOn w:val="89"/>
    <w:semiHidden/>
    <w:unhideWhenUsed/>
    <w:qFormat/>
    <w:uiPriority w:val="62"/>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18" w:space="0"/>
          <w:right w:val="single" w:color="0F9ED5"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shd w:val="clear" w:color="auto" w:fill="BDE9FA" w:themeFill="accent4" w:themeFillTint="3F"/>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shd w:val="clear" w:color="auto" w:fill="BDE9FA" w:themeFill="accent4" w:themeFillTint="3F"/>
      </w:tcPr>
    </w:tblStylePr>
    <w:tblStylePr w:type="band2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tcPr>
    </w:tblStylePr>
  </w:style>
  <w:style w:type="table" w:styleId="153">
    <w:name w:val="Light Grid Accent 5"/>
    <w:basedOn w:val="89"/>
    <w:semiHidden/>
    <w:unhideWhenUsed/>
    <w:qFormat/>
    <w:uiPriority w:val="62"/>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18" w:space="0"/>
          <w:right w:val="single" w:color="A02B93"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shd w:val="clear" w:color="auto" w:fill="EEC3EA" w:themeFill="accent5" w:themeFillTint="3F"/>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shd w:val="clear" w:color="auto" w:fill="EEC3EA" w:themeFill="accent5" w:themeFillTint="3F"/>
      </w:tcPr>
    </w:tblStylePr>
    <w:tblStylePr w:type="band2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tcPr>
    </w:tblStylePr>
  </w:style>
  <w:style w:type="table" w:styleId="154">
    <w:name w:val="Light Grid Accent 6"/>
    <w:basedOn w:val="89"/>
    <w:semiHidden/>
    <w:unhideWhenUsed/>
    <w:qFormat/>
    <w:uiPriority w:val="62"/>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18" w:space="0"/>
          <w:right w:val="single" w:color="4EA72E"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shd w:val="clear" w:color="auto" w:fill="D0EFC5" w:themeFill="accent6" w:themeFillTint="3F"/>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shd w:val="clear" w:color="auto" w:fill="D0EFC5" w:themeFill="accent6" w:themeFillTint="3F"/>
      </w:tcPr>
    </w:tblStylePr>
    <w:tblStylePr w:type="band2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tcPr>
    </w:tblStylePr>
  </w:style>
  <w:style w:type="table" w:styleId="155">
    <w:name w:val="Medium Shading 1"/>
    <w:basedOn w:val="89"/>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6">
    <w:name w:val="Medium Shading 1 Accent 1"/>
    <w:basedOn w:val="89"/>
    <w:semiHidden/>
    <w:unhideWhenUsed/>
    <w:qFormat/>
    <w:uiPriority w:val="63"/>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shd w:val="clear" w:color="auto" w:fill="156082" w:themeFill="accent1"/>
      </w:tcPr>
    </w:tblStylePr>
    <w:tblStylePr w:type="lastRow">
      <w:pPr>
        <w:spacing w:before="0" w:after="0" w:line="240" w:lineRule="auto"/>
      </w:pPr>
      <w:rPr>
        <w:b/>
        <w:bCs/>
      </w:rPr>
      <w:tblPr/>
      <w:tcPr>
        <w:tcBorders>
          <w:top w:val="double" w:color="2199CF" w:themeColor="accent1" w:themeTint="BF" w:sz="6"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157">
    <w:name w:val="Medium Shading 1 Accent 2"/>
    <w:basedOn w:val="89"/>
    <w:semiHidden/>
    <w:unhideWhenUsed/>
    <w:qFormat/>
    <w:uiPriority w:val="63"/>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shd w:val="clear" w:color="auto" w:fill="E97132" w:themeFill="accent2"/>
      </w:tcPr>
    </w:tblStylePr>
    <w:tblStylePr w:type="lastRow">
      <w:pPr>
        <w:spacing w:before="0" w:after="0" w:line="240" w:lineRule="auto"/>
      </w:pPr>
      <w:rPr>
        <w:b/>
        <w:bCs/>
      </w:rPr>
      <w:tblPr/>
      <w:tcPr>
        <w:tcBorders>
          <w:top w:val="double" w:color="EE9465" w:themeColor="accent2" w:themeTint="BF" w:sz="6"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158">
    <w:name w:val="Medium Shading 1 Accent 3"/>
    <w:basedOn w:val="89"/>
    <w:semiHidden/>
    <w:unhideWhenUsed/>
    <w:qFormat/>
    <w:uiPriority w:val="63"/>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shd w:val="clear" w:color="auto" w:fill="196B24" w:themeFill="accent3"/>
      </w:tcPr>
    </w:tblStylePr>
    <w:tblStylePr w:type="lastRow">
      <w:pPr>
        <w:spacing w:before="0" w:after="0" w:line="240" w:lineRule="auto"/>
      </w:pPr>
      <w:rPr>
        <w:b/>
        <w:bCs/>
      </w:rPr>
      <w:tblPr/>
      <w:tcPr>
        <w:tcBorders>
          <w:top w:val="double" w:color="2AB73D" w:themeColor="accent3" w:themeTint="BF" w:sz="6"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B3EDBB" w:themeFill="accent3" w:themeFillTint="3F"/>
      </w:tcPr>
    </w:tblStylePr>
    <w:tblStylePr w:type="band1Horz">
      <w:tblPr/>
      <w:tcPr>
        <w:tcBorders>
          <w:insideH w:val="nil"/>
          <w:insideV w:val="nil"/>
        </w:tcBorders>
        <w:shd w:val="clear" w:color="auto" w:fill="B3EDBB" w:themeFill="accent3" w:themeFillTint="3F"/>
      </w:tcPr>
    </w:tblStylePr>
    <w:tblStylePr w:type="band2Horz">
      <w:tblPr/>
      <w:tcPr>
        <w:tcBorders>
          <w:insideH w:val="nil"/>
          <w:insideV w:val="nil"/>
        </w:tcBorders>
      </w:tcPr>
    </w:tblStylePr>
  </w:style>
  <w:style w:type="table" w:styleId="159">
    <w:name w:val="Medium Shading 1 Accent 4"/>
    <w:basedOn w:val="89"/>
    <w:semiHidden/>
    <w:unhideWhenUsed/>
    <w:qFormat/>
    <w:uiPriority w:val="63"/>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shd w:val="clear" w:color="auto" w:fill="0F9ED5" w:themeFill="accent4"/>
      </w:tcPr>
    </w:tblStylePr>
    <w:tblStylePr w:type="lastRow">
      <w:pPr>
        <w:spacing w:before="0" w:after="0" w:line="240" w:lineRule="auto"/>
      </w:pPr>
      <w:rPr>
        <w:b/>
        <w:bCs/>
      </w:rPr>
      <w:tblPr/>
      <w:tcPr>
        <w:tcBorders>
          <w:top w:val="double" w:color="39BEF1" w:themeColor="accent4" w:themeTint="BF" w:sz="6"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160">
    <w:name w:val="Medium Shading 1 Accent 5"/>
    <w:basedOn w:val="89"/>
    <w:semiHidden/>
    <w:unhideWhenUsed/>
    <w:qFormat/>
    <w:uiPriority w:val="63"/>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shd w:val="clear" w:color="auto" w:fill="A02B93" w:themeFill="accent5"/>
      </w:tcPr>
    </w:tblStylePr>
    <w:tblStylePr w:type="lastRow">
      <w:pPr>
        <w:spacing w:before="0" w:after="0" w:line="240" w:lineRule="auto"/>
      </w:pPr>
      <w:rPr>
        <w:b/>
        <w:bCs/>
      </w:rPr>
      <w:tblPr/>
      <w:tcPr>
        <w:tcBorders>
          <w:top w:val="double" w:color="CE49BF" w:themeColor="accent5" w:themeTint="BF" w:sz="6"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EEC3EA" w:themeFill="accent5" w:themeFillTint="3F"/>
      </w:tcPr>
    </w:tblStylePr>
    <w:tblStylePr w:type="band1Horz">
      <w:tblPr/>
      <w:tcPr>
        <w:tcBorders>
          <w:insideH w:val="nil"/>
          <w:insideV w:val="nil"/>
        </w:tcBorders>
        <w:shd w:val="clear" w:color="auto" w:fill="EEC3EA" w:themeFill="accent5" w:themeFillTint="3F"/>
      </w:tcPr>
    </w:tblStylePr>
    <w:tblStylePr w:type="band2Horz">
      <w:tblPr/>
      <w:tcPr>
        <w:tcBorders>
          <w:insideH w:val="nil"/>
          <w:insideV w:val="nil"/>
        </w:tcBorders>
      </w:tcPr>
    </w:tblStylePr>
  </w:style>
  <w:style w:type="table" w:styleId="161">
    <w:name w:val="Medium Shading 1 Accent 6"/>
    <w:basedOn w:val="89"/>
    <w:semiHidden/>
    <w:unhideWhenUsed/>
    <w:qFormat/>
    <w:uiPriority w:val="63"/>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shd w:val="clear" w:color="auto" w:fill="4EA72E" w:themeFill="accent6"/>
      </w:tcPr>
    </w:tblStylePr>
    <w:tblStylePr w:type="lastRow">
      <w:pPr>
        <w:spacing w:before="0" w:after="0" w:line="240" w:lineRule="auto"/>
      </w:pPr>
      <w:rPr>
        <w:b/>
        <w:bCs/>
      </w:rPr>
      <w:tblPr/>
      <w:tcPr>
        <w:tcBorders>
          <w:top w:val="double" w:color="72CE50" w:themeColor="accent6" w:themeTint="BF" w:sz="6"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162">
    <w:name w:val="Medium Shading 2"/>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1"/>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56082"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2"/>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97132"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3"/>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96B24"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4"/>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F9ED5"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5"/>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02B93"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Shading 2 Accent 6"/>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EA72E"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9">
    <w:name w:val="Medium List 1"/>
    <w:basedOn w:val="89"/>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E2841"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70">
    <w:name w:val="Medium List 1 Accent 1"/>
    <w:basedOn w:val="89"/>
    <w:semiHidden/>
    <w:unhideWhenUsed/>
    <w:qFormat/>
    <w:uiPriority w:val="65"/>
    <w:rPr>
      <w:color w:val="000000" w:themeColor="text1"/>
      <w14:textFill>
        <w14:solidFill>
          <w14:schemeClr w14:val="tx1"/>
        </w14:solidFill>
      </w14:textFill>
    </w:rPr>
    <w:tblPr>
      <w:tblBorders>
        <w:top w:val="single" w:color="156082" w:themeColor="accent1" w:sz="8" w:space="0"/>
        <w:bottom w:val="single" w:color="156082" w:themeColor="accent1" w:sz="8" w:space="0"/>
      </w:tblBorders>
    </w:tblPr>
    <w:tblStylePr w:type="firstRow">
      <w:rPr>
        <w:rFonts w:asciiTheme="majorHAnsi" w:hAnsiTheme="majorHAnsi" w:eastAsiaTheme="majorEastAsia" w:cstheme="majorBidi"/>
      </w:rPr>
      <w:tblPr/>
      <w:tcPr>
        <w:tcBorders>
          <w:top w:val="nil"/>
          <w:bottom w:val="single" w:color="156082" w:themeColor="accent1" w:sz="8" w:space="0"/>
        </w:tcBorders>
      </w:tcPr>
    </w:tblStylePr>
    <w:tblStylePr w:type="lastRow">
      <w:rPr>
        <w:b/>
        <w:bCs/>
        <w:color w:val="0E2841" w:themeColor="text2"/>
        <w14:textFill>
          <w14:solidFill>
            <w14:schemeClr w14:val="tx2"/>
          </w14:solidFill>
        </w14:textFill>
      </w:rPr>
      <w:tblPr/>
      <w:tcPr>
        <w:tcBorders>
          <w:top w:val="single" w:color="156082" w:themeColor="accent1" w:sz="8" w:space="0"/>
          <w:bottom w:val="single" w:color="156082" w:themeColor="accent1" w:sz="8" w:space="0"/>
        </w:tcBorders>
      </w:tcPr>
    </w:tblStylePr>
    <w:tblStylePr w:type="firstCol">
      <w:rPr>
        <w:b/>
        <w:bCs/>
      </w:rPr>
    </w:tblStylePr>
    <w:tblStylePr w:type="lastCol">
      <w:rPr>
        <w:b/>
        <w:bCs/>
      </w:rPr>
      <w:tblPr/>
      <w:tcPr>
        <w:tcBorders>
          <w:top w:val="single" w:color="156082" w:themeColor="accent1" w:sz="8" w:space="0"/>
          <w:bottom w:val="single" w:color="156082" w:themeColor="accent1" w:sz="8" w:space="0"/>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171">
    <w:name w:val="Medium List 1 Accent 2"/>
    <w:basedOn w:val="89"/>
    <w:semiHidden/>
    <w:unhideWhenUsed/>
    <w:qFormat/>
    <w:uiPriority w:val="65"/>
    <w:rPr>
      <w:color w:val="000000" w:themeColor="text1"/>
      <w14:textFill>
        <w14:solidFill>
          <w14:schemeClr w14:val="tx1"/>
        </w14:solidFill>
      </w14:textFill>
    </w:rPr>
    <w:tblPr>
      <w:tblBorders>
        <w:top w:val="single" w:color="E97132" w:themeColor="accent2" w:sz="8" w:space="0"/>
        <w:bottom w:val="single" w:color="E97132" w:themeColor="accent2" w:sz="8" w:space="0"/>
      </w:tblBorders>
    </w:tblPr>
    <w:tblStylePr w:type="firstRow">
      <w:rPr>
        <w:rFonts w:asciiTheme="majorHAnsi" w:hAnsiTheme="majorHAnsi" w:eastAsiaTheme="majorEastAsia" w:cstheme="majorBidi"/>
      </w:rPr>
      <w:tblPr/>
      <w:tcPr>
        <w:tcBorders>
          <w:top w:val="nil"/>
          <w:bottom w:val="single" w:color="E97132" w:themeColor="accent2" w:sz="8" w:space="0"/>
        </w:tcBorders>
      </w:tcPr>
    </w:tblStylePr>
    <w:tblStylePr w:type="lastRow">
      <w:rPr>
        <w:b/>
        <w:bCs/>
        <w:color w:val="0E2841" w:themeColor="text2"/>
        <w14:textFill>
          <w14:solidFill>
            <w14:schemeClr w14:val="tx2"/>
          </w14:solidFill>
        </w14:textFill>
      </w:rPr>
      <w:tblPr/>
      <w:tcPr>
        <w:tcBorders>
          <w:top w:val="single" w:color="E97132" w:themeColor="accent2" w:sz="8" w:space="0"/>
          <w:bottom w:val="single" w:color="E97132" w:themeColor="accent2" w:sz="8" w:space="0"/>
        </w:tcBorders>
      </w:tcPr>
    </w:tblStylePr>
    <w:tblStylePr w:type="firstCol">
      <w:rPr>
        <w:b/>
        <w:bCs/>
      </w:rPr>
    </w:tblStylePr>
    <w:tblStylePr w:type="lastCol">
      <w:rPr>
        <w:b/>
        <w:bCs/>
      </w:rPr>
      <w:tblPr/>
      <w:tcPr>
        <w:tcBorders>
          <w:top w:val="single" w:color="E97132" w:themeColor="accent2" w:sz="8" w:space="0"/>
          <w:bottom w:val="single" w:color="E97132" w:themeColor="accent2" w:sz="8" w:space="0"/>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172">
    <w:name w:val="Medium List 1 Accent 3"/>
    <w:basedOn w:val="89"/>
    <w:semiHidden/>
    <w:unhideWhenUsed/>
    <w:qFormat/>
    <w:uiPriority w:val="65"/>
    <w:rPr>
      <w:color w:val="000000" w:themeColor="text1"/>
      <w14:textFill>
        <w14:solidFill>
          <w14:schemeClr w14:val="tx1"/>
        </w14:solidFill>
      </w14:textFill>
    </w:rPr>
    <w:tblPr>
      <w:tblBorders>
        <w:top w:val="single" w:color="196B24" w:themeColor="accent3" w:sz="8" w:space="0"/>
        <w:bottom w:val="single" w:color="196B24" w:themeColor="accent3" w:sz="8" w:space="0"/>
      </w:tblBorders>
    </w:tblPr>
    <w:tblStylePr w:type="firstRow">
      <w:rPr>
        <w:rFonts w:asciiTheme="majorHAnsi" w:hAnsiTheme="majorHAnsi" w:eastAsiaTheme="majorEastAsia" w:cstheme="majorBidi"/>
      </w:rPr>
      <w:tblPr/>
      <w:tcPr>
        <w:tcBorders>
          <w:top w:val="nil"/>
          <w:bottom w:val="single" w:color="196B24" w:themeColor="accent3" w:sz="8" w:space="0"/>
        </w:tcBorders>
      </w:tcPr>
    </w:tblStylePr>
    <w:tblStylePr w:type="lastRow">
      <w:rPr>
        <w:b/>
        <w:bCs/>
        <w:color w:val="0E2841" w:themeColor="text2"/>
        <w14:textFill>
          <w14:solidFill>
            <w14:schemeClr w14:val="tx2"/>
          </w14:solidFill>
        </w14:textFill>
      </w:rPr>
      <w:tblPr/>
      <w:tcPr>
        <w:tcBorders>
          <w:top w:val="single" w:color="196B24" w:themeColor="accent3" w:sz="8" w:space="0"/>
          <w:bottom w:val="single" w:color="196B24" w:themeColor="accent3" w:sz="8" w:space="0"/>
        </w:tcBorders>
      </w:tcPr>
    </w:tblStylePr>
    <w:tblStylePr w:type="firstCol">
      <w:rPr>
        <w:b/>
        <w:bCs/>
      </w:rPr>
    </w:tblStylePr>
    <w:tblStylePr w:type="lastCol">
      <w:rPr>
        <w:b/>
        <w:bCs/>
      </w:rPr>
      <w:tblPr/>
      <w:tcPr>
        <w:tcBorders>
          <w:top w:val="single" w:color="196B24" w:themeColor="accent3" w:sz="8" w:space="0"/>
          <w:bottom w:val="single" w:color="196B24" w:themeColor="accent3" w:sz="8" w:space="0"/>
        </w:tcBorders>
      </w:tcPr>
    </w:tblStylePr>
    <w:tblStylePr w:type="band1Vert">
      <w:tblPr/>
      <w:tcPr>
        <w:shd w:val="clear" w:color="auto" w:fill="B3EDBB" w:themeFill="accent3" w:themeFillTint="3F"/>
      </w:tcPr>
    </w:tblStylePr>
    <w:tblStylePr w:type="band1Horz">
      <w:tblPr/>
      <w:tcPr>
        <w:shd w:val="clear" w:color="auto" w:fill="B3EDBB" w:themeFill="accent3" w:themeFillTint="3F"/>
      </w:tcPr>
    </w:tblStylePr>
  </w:style>
  <w:style w:type="table" w:styleId="173">
    <w:name w:val="Medium List 1 Accent 4"/>
    <w:basedOn w:val="89"/>
    <w:semiHidden/>
    <w:unhideWhenUsed/>
    <w:qFormat/>
    <w:uiPriority w:val="65"/>
    <w:rPr>
      <w:color w:val="000000" w:themeColor="text1"/>
      <w14:textFill>
        <w14:solidFill>
          <w14:schemeClr w14:val="tx1"/>
        </w14:solidFill>
      </w14:textFill>
    </w:rPr>
    <w:tblPr>
      <w:tblBorders>
        <w:top w:val="single" w:color="0F9ED5" w:themeColor="accent4" w:sz="8" w:space="0"/>
        <w:bottom w:val="single" w:color="0F9ED5" w:themeColor="accent4" w:sz="8" w:space="0"/>
      </w:tblBorders>
    </w:tblPr>
    <w:tblStylePr w:type="firstRow">
      <w:rPr>
        <w:rFonts w:asciiTheme="majorHAnsi" w:hAnsiTheme="majorHAnsi" w:eastAsiaTheme="majorEastAsia" w:cstheme="majorBidi"/>
      </w:rPr>
      <w:tblPr/>
      <w:tcPr>
        <w:tcBorders>
          <w:top w:val="nil"/>
          <w:bottom w:val="single" w:color="0F9ED5" w:themeColor="accent4" w:sz="8" w:space="0"/>
        </w:tcBorders>
      </w:tcPr>
    </w:tblStylePr>
    <w:tblStylePr w:type="lastRow">
      <w:rPr>
        <w:b/>
        <w:bCs/>
        <w:color w:val="0E2841" w:themeColor="text2"/>
        <w14:textFill>
          <w14:solidFill>
            <w14:schemeClr w14:val="tx2"/>
          </w14:solidFill>
        </w14:textFill>
      </w:rPr>
      <w:tblPr/>
      <w:tcPr>
        <w:tcBorders>
          <w:top w:val="single" w:color="0F9ED5" w:themeColor="accent4" w:sz="8" w:space="0"/>
          <w:bottom w:val="single" w:color="0F9ED5" w:themeColor="accent4" w:sz="8" w:space="0"/>
        </w:tcBorders>
      </w:tcPr>
    </w:tblStylePr>
    <w:tblStylePr w:type="firstCol">
      <w:rPr>
        <w:b/>
        <w:bCs/>
      </w:rPr>
    </w:tblStylePr>
    <w:tblStylePr w:type="lastCol">
      <w:rPr>
        <w:b/>
        <w:bCs/>
      </w:rPr>
      <w:tblPr/>
      <w:tcPr>
        <w:tcBorders>
          <w:top w:val="single" w:color="0F9ED5" w:themeColor="accent4" w:sz="8" w:space="0"/>
          <w:bottom w:val="single" w:color="0F9ED5" w:themeColor="accent4" w:sz="8" w:space="0"/>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174">
    <w:name w:val="Medium List 1 Accent 5"/>
    <w:basedOn w:val="89"/>
    <w:semiHidden/>
    <w:unhideWhenUsed/>
    <w:qFormat/>
    <w:uiPriority w:val="65"/>
    <w:rPr>
      <w:color w:val="000000" w:themeColor="text1"/>
      <w14:textFill>
        <w14:solidFill>
          <w14:schemeClr w14:val="tx1"/>
        </w14:solidFill>
      </w14:textFill>
    </w:rPr>
    <w:tblPr>
      <w:tblBorders>
        <w:top w:val="single" w:color="A02B93" w:themeColor="accent5" w:sz="8" w:space="0"/>
        <w:bottom w:val="single" w:color="A02B93" w:themeColor="accent5" w:sz="8" w:space="0"/>
      </w:tblBorders>
    </w:tblPr>
    <w:tblStylePr w:type="firstRow">
      <w:rPr>
        <w:rFonts w:asciiTheme="majorHAnsi" w:hAnsiTheme="majorHAnsi" w:eastAsiaTheme="majorEastAsia" w:cstheme="majorBidi"/>
      </w:rPr>
      <w:tblPr/>
      <w:tcPr>
        <w:tcBorders>
          <w:top w:val="nil"/>
          <w:bottom w:val="single" w:color="A02B93" w:themeColor="accent5" w:sz="8" w:space="0"/>
        </w:tcBorders>
      </w:tcPr>
    </w:tblStylePr>
    <w:tblStylePr w:type="lastRow">
      <w:rPr>
        <w:b/>
        <w:bCs/>
        <w:color w:val="0E2841" w:themeColor="text2"/>
        <w14:textFill>
          <w14:solidFill>
            <w14:schemeClr w14:val="tx2"/>
          </w14:solidFill>
        </w14:textFill>
      </w:rPr>
      <w:tblPr/>
      <w:tcPr>
        <w:tcBorders>
          <w:top w:val="single" w:color="A02B93" w:themeColor="accent5" w:sz="8" w:space="0"/>
          <w:bottom w:val="single" w:color="A02B93" w:themeColor="accent5" w:sz="8" w:space="0"/>
        </w:tcBorders>
      </w:tcPr>
    </w:tblStylePr>
    <w:tblStylePr w:type="firstCol">
      <w:rPr>
        <w:b/>
        <w:bCs/>
      </w:rPr>
    </w:tblStylePr>
    <w:tblStylePr w:type="lastCol">
      <w:rPr>
        <w:b/>
        <w:bCs/>
      </w:rPr>
      <w:tblPr/>
      <w:tcPr>
        <w:tcBorders>
          <w:top w:val="single" w:color="A02B93" w:themeColor="accent5" w:sz="8" w:space="0"/>
          <w:bottom w:val="single" w:color="A02B93" w:themeColor="accent5" w:sz="8" w:space="0"/>
        </w:tcBorders>
      </w:tcPr>
    </w:tblStylePr>
    <w:tblStylePr w:type="band1Vert">
      <w:tblPr/>
      <w:tcPr>
        <w:shd w:val="clear" w:color="auto" w:fill="EEC3EA" w:themeFill="accent5" w:themeFillTint="3F"/>
      </w:tcPr>
    </w:tblStylePr>
    <w:tblStylePr w:type="band1Horz">
      <w:tblPr/>
      <w:tcPr>
        <w:shd w:val="clear" w:color="auto" w:fill="EEC3EA" w:themeFill="accent5" w:themeFillTint="3F"/>
      </w:tcPr>
    </w:tblStylePr>
  </w:style>
  <w:style w:type="table" w:styleId="175">
    <w:name w:val="Medium List 1 Accent 6"/>
    <w:basedOn w:val="89"/>
    <w:semiHidden/>
    <w:unhideWhenUsed/>
    <w:qFormat/>
    <w:uiPriority w:val="65"/>
    <w:rPr>
      <w:color w:val="000000" w:themeColor="text1"/>
      <w14:textFill>
        <w14:solidFill>
          <w14:schemeClr w14:val="tx1"/>
        </w14:solidFill>
      </w14:textFill>
    </w:rPr>
    <w:tblPr>
      <w:tblBorders>
        <w:top w:val="single" w:color="4EA72E" w:themeColor="accent6" w:sz="8" w:space="0"/>
        <w:bottom w:val="single" w:color="4EA72E" w:themeColor="accent6" w:sz="8" w:space="0"/>
      </w:tblBorders>
    </w:tblPr>
    <w:tblStylePr w:type="firstRow">
      <w:rPr>
        <w:rFonts w:asciiTheme="majorHAnsi" w:hAnsiTheme="majorHAnsi" w:eastAsiaTheme="majorEastAsia" w:cstheme="majorBidi"/>
      </w:rPr>
      <w:tblPr/>
      <w:tcPr>
        <w:tcBorders>
          <w:top w:val="nil"/>
          <w:bottom w:val="single" w:color="4EA72E" w:themeColor="accent6" w:sz="8" w:space="0"/>
        </w:tcBorders>
      </w:tcPr>
    </w:tblStylePr>
    <w:tblStylePr w:type="lastRow">
      <w:rPr>
        <w:b/>
        <w:bCs/>
        <w:color w:val="0E2841" w:themeColor="text2"/>
        <w14:textFill>
          <w14:solidFill>
            <w14:schemeClr w14:val="tx2"/>
          </w14:solidFill>
        </w14:textFill>
      </w:rPr>
      <w:tblPr/>
      <w:tcPr>
        <w:tcBorders>
          <w:top w:val="single" w:color="4EA72E" w:themeColor="accent6" w:sz="8" w:space="0"/>
          <w:bottom w:val="single" w:color="4EA72E" w:themeColor="accent6" w:sz="8" w:space="0"/>
        </w:tcBorders>
      </w:tcPr>
    </w:tblStylePr>
    <w:tblStylePr w:type="firstCol">
      <w:rPr>
        <w:b/>
        <w:bCs/>
      </w:rPr>
    </w:tblStylePr>
    <w:tblStylePr w:type="lastCol">
      <w:rPr>
        <w:b/>
        <w:bCs/>
      </w:rPr>
      <w:tblPr/>
      <w:tcPr>
        <w:tcBorders>
          <w:top w:val="single" w:color="4EA72E" w:themeColor="accent6" w:sz="8" w:space="0"/>
          <w:bottom w:val="single" w:color="4EA72E" w:themeColor="accent6" w:sz="8" w:space="0"/>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176">
    <w:name w:val="Medium List 2"/>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1"/>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rPr>
        <w:sz w:val="24"/>
        <w:szCs w:val="24"/>
      </w:rPr>
      <w:tblPr/>
      <w:tcPr>
        <w:tcBorders>
          <w:top w:val="nil"/>
          <w:left w:val="nil"/>
          <w:bottom w:val="single" w:color="156082" w:themeColor="accent1" w:sz="24" w:space="0"/>
          <w:right w:val="nil"/>
          <w:insideH w:val="nil"/>
          <w:insideV w:val="nil"/>
        </w:tcBorders>
        <w:shd w:val="clear" w:color="auto" w:fill="FFFFFF" w:themeFill="background1"/>
      </w:tcPr>
    </w:tblStylePr>
    <w:tblStylePr w:type="lastRow">
      <w:tblPr/>
      <w:tcPr>
        <w:tcBorders>
          <w:top w:val="single" w:color="156082"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56082" w:themeColor="accent1" w:sz="8" w:space="0"/>
          <w:insideH w:val="nil"/>
          <w:insideV w:val="nil"/>
        </w:tcBorders>
        <w:shd w:val="clear" w:color="auto" w:fill="FFFFFF" w:themeFill="background1"/>
      </w:tcPr>
    </w:tblStylePr>
    <w:tblStylePr w:type="lastCol">
      <w:tblPr/>
      <w:tcPr>
        <w:tcBorders>
          <w:top w:val="nil"/>
          <w:left w:val="single" w:color="156082"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2"/>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rPr>
        <w:sz w:val="24"/>
        <w:szCs w:val="24"/>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tblPr/>
      <w:tcPr>
        <w:tcBorders>
          <w:top w:val="single" w:color="E97132"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97132" w:themeColor="accent2" w:sz="8" w:space="0"/>
          <w:insideH w:val="nil"/>
          <w:insideV w:val="nil"/>
        </w:tcBorders>
        <w:shd w:val="clear" w:color="auto" w:fill="FFFFFF" w:themeFill="background1"/>
      </w:tcPr>
    </w:tblStylePr>
    <w:tblStylePr w:type="lastCol">
      <w:tblPr/>
      <w:tcPr>
        <w:tcBorders>
          <w:top w:val="nil"/>
          <w:left w:val="single" w:color="E97132"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3"/>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rPr>
        <w:sz w:val="24"/>
        <w:szCs w:val="24"/>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tblPr/>
      <w:tcPr>
        <w:tcBorders>
          <w:top w:val="single" w:color="196B24"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96B24" w:themeColor="accent3" w:sz="8" w:space="0"/>
          <w:insideH w:val="nil"/>
          <w:insideV w:val="nil"/>
        </w:tcBorders>
        <w:shd w:val="clear" w:color="auto" w:fill="FFFFFF" w:themeFill="background1"/>
      </w:tcPr>
    </w:tblStylePr>
    <w:tblStylePr w:type="lastCol">
      <w:tblPr/>
      <w:tcPr>
        <w:tcBorders>
          <w:top w:val="nil"/>
          <w:left w:val="single" w:color="196B24"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top w:val="nil"/>
          <w:bottom w:val="nil"/>
          <w:insideH w:val="nil"/>
          <w:insideV w:val="nil"/>
        </w:tcBorders>
        <w:shd w:val="clear" w:color="auto" w:fill="B3ED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4"/>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rPr>
        <w:sz w:val="24"/>
        <w:szCs w:val="24"/>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tblPr/>
      <w:tcPr>
        <w:tcBorders>
          <w:top w:val="single" w:color="0F9ED5"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F9ED5" w:themeColor="accent4" w:sz="8" w:space="0"/>
          <w:insideH w:val="nil"/>
          <w:insideV w:val="nil"/>
        </w:tcBorders>
        <w:shd w:val="clear" w:color="auto" w:fill="FFFFFF" w:themeFill="background1"/>
      </w:tcPr>
    </w:tblStylePr>
    <w:tblStylePr w:type="lastCol">
      <w:tblPr/>
      <w:tcPr>
        <w:tcBorders>
          <w:top w:val="nil"/>
          <w:left w:val="single" w:color="0F9ED5"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5"/>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rPr>
        <w:sz w:val="24"/>
        <w:szCs w:val="24"/>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tblPr/>
      <w:tcPr>
        <w:tcBorders>
          <w:top w:val="single" w:color="A02B93"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02B93" w:themeColor="accent5" w:sz="8" w:space="0"/>
          <w:insideH w:val="nil"/>
          <w:insideV w:val="nil"/>
        </w:tcBorders>
        <w:shd w:val="clear" w:color="auto" w:fill="FFFFFF" w:themeFill="background1"/>
      </w:tcPr>
    </w:tblStylePr>
    <w:tblStylePr w:type="lastCol">
      <w:tblPr/>
      <w:tcPr>
        <w:tcBorders>
          <w:top w:val="nil"/>
          <w:left w:val="single" w:color="A02B93"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top w:val="nil"/>
          <w:bottom w:val="nil"/>
          <w:insideH w:val="nil"/>
          <w:insideV w:val="nil"/>
        </w:tcBorders>
        <w:shd w:val="clear" w:color="auto" w:fill="EEC3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List 2 Accent 6"/>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rPr>
        <w:sz w:val="24"/>
        <w:szCs w:val="24"/>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tblPr/>
      <w:tcPr>
        <w:tcBorders>
          <w:top w:val="single" w:color="4EA72E"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EA72E" w:themeColor="accent6" w:sz="8" w:space="0"/>
          <w:insideH w:val="nil"/>
          <w:insideV w:val="nil"/>
        </w:tcBorders>
        <w:shd w:val="clear" w:color="auto" w:fill="FFFFFF" w:themeFill="background1"/>
      </w:tcPr>
    </w:tblStylePr>
    <w:tblStylePr w:type="lastCol">
      <w:tblPr/>
      <w:tcPr>
        <w:tcBorders>
          <w:top w:val="nil"/>
          <w:left w:val="single" w:color="4EA72E"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3">
    <w:name w:val="Medium Grid 1"/>
    <w:basedOn w:val="89"/>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4">
    <w:name w:val="Medium Grid 1 Accent 1"/>
    <w:basedOn w:val="89"/>
    <w:semiHidden/>
    <w:unhideWhenUsed/>
    <w:qFormat/>
    <w:uiPriority w:val="67"/>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insideV w:val="single" w:color="2199CF" w:themeColor="accent1" w:themeTint="BF" w:sz="8" w:space="0"/>
      </w:tblBorders>
    </w:tblPr>
    <w:tcPr>
      <w:shd w:val="clear" w:color="auto" w:fill="B2DEF2" w:themeFill="accent1" w:themeFillTint="3F"/>
    </w:tcPr>
    <w:tblStylePr w:type="firstRow">
      <w:rPr>
        <w:b/>
        <w:bCs/>
      </w:rPr>
    </w:tblStylePr>
    <w:tblStylePr w:type="lastRow">
      <w:rPr>
        <w:b/>
        <w:bCs/>
      </w:rPr>
      <w:tblPr/>
      <w:tcPr>
        <w:tcBorders>
          <w:top w:val="single" w:color="2199CF" w:themeColor="accent1" w:themeTint="BF" w:sz="18" w:space="0"/>
        </w:tcBorders>
      </w:tcPr>
    </w:tblStylePr>
    <w:tblStylePr w:type="firstCol">
      <w:rPr>
        <w:b/>
        <w:bCs/>
      </w:rPr>
    </w:tblStylePr>
    <w:tblStylePr w:type="lastCol">
      <w:rPr>
        <w:b/>
        <w:bCs/>
      </w:r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185">
    <w:name w:val="Medium Grid 1 Accent 2"/>
    <w:basedOn w:val="89"/>
    <w:semiHidden/>
    <w:unhideWhenUsed/>
    <w:qFormat/>
    <w:uiPriority w:val="67"/>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insideV w:val="single" w:color="EE9465" w:themeColor="accent2" w:themeTint="BF" w:sz="8" w:space="0"/>
      </w:tblBorders>
    </w:tblPr>
    <w:tcPr>
      <w:shd w:val="clear" w:color="auto" w:fill="F9DBCC" w:themeFill="accent2" w:themeFillTint="3F"/>
    </w:tcPr>
    <w:tblStylePr w:type="firstRow">
      <w:rPr>
        <w:b/>
        <w:bCs/>
      </w:rPr>
    </w:tblStylePr>
    <w:tblStylePr w:type="lastRow">
      <w:rPr>
        <w:b/>
        <w:bCs/>
      </w:rPr>
      <w:tblPr/>
      <w:tcPr>
        <w:tcBorders>
          <w:top w:val="single" w:color="EE9465" w:themeColor="accent2" w:themeTint="BF" w:sz="18" w:space="0"/>
        </w:tcBorders>
      </w:tcPr>
    </w:tblStylePr>
    <w:tblStylePr w:type="firstCol">
      <w:rPr>
        <w:b/>
        <w:bCs/>
      </w:rPr>
    </w:tblStylePr>
    <w:tblStylePr w:type="lastCol">
      <w:rPr>
        <w:b/>
        <w:bCs/>
      </w:r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186">
    <w:name w:val="Medium Grid 1 Accent 3"/>
    <w:basedOn w:val="89"/>
    <w:semiHidden/>
    <w:unhideWhenUsed/>
    <w:qFormat/>
    <w:uiPriority w:val="67"/>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insideV w:val="single" w:color="2AB73D" w:themeColor="accent3" w:themeTint="BF" w:sz="8" w:space="0"/>
      </w:tblBorders>
    </w:tblPr>
    <w:tcPr>
      <w:shd w:val="clear" w:color="auto" w:fill="B3EDBB" w:themeFill="accent3" w:themeFillTint="3F"/>
    </w:tcPr>
    <w:tblStylePr w:type="firstRow">
      <w:rPr>
        <w:b/>
        <w:bCs/>
      </w:rPr>
    </w:tblStylePr>
    <w:tblStylePr w:type="lastRow">
      <w:rPr>
        <w:b/>
        <w:bCs/>
      </w:rPr>
      <w:tblPr/>
      <w:tcPr>
        <w:tcBorders>
          <w:top w:val="single" w:color="2AB73D" w:themeColor="accent3" w:themeTint="BF" w:sz="18" w:space="0"/>
        </w:tcBorders>
      </w:tcPr>
    </w:tblStylePr>
    <w:tblStylePr w:type="firstCol">
      <w:rPr>
        <w:b/>
        <w:bCs/>
      </w:rPr>
    </w:tblStylePr>
    <w:tblStylePr w:type="lastCol">
      <w:rPr>
        <w:b/>
        <w:bCs/>
      </w:r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187">
    <w:name w:val="Medium Grid 1 Accent 4"/>
    <w:basedOn w:val="89"/>
    <w:semiHidden/>
    <w:unhideWhenUsed/>
    <w:qFormat/>
    <w:uiPriority w:val="67"/>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insideV w:val="single" w:color="39BEF1" w:themeColor="accent4" w:themeTint="BF" w:sz="8" w:space="0"/>
      </w:tblBorders>
    </w:tblPr>
    <w:tcPr>
      <w:shd w:val="clear" w:color="auto" w:fill="BDE9FA" w:themeFill="accent4" w:themeFillTint="3F"/>
    </w:tcPr>
    <w:tblStylePr w:type="firstRow">
      <w:rPr>
        <w:b/>
        <w:bCs/>
      </w:rPr>
    </w:tblStylePr>
    <w:tblStylePr w:type="lastRow">
      <w:rPr>
        <w:b/>
        <w:bCs/>
      </w:rPr>
      <w:tblPr/>
      <w:tcPr>
        <w:tcBorders>
          <w:top w:val="single" w:color="39BEF1" w:themeColor="accent4" w:themeTint="BF" w:sz="18" w:space="0"/>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188">
    <w:name w:val="Medium Grid 1 Accent 5"/>
    <w:basedOn w:val="89"/>
    <w:semiHidden/>
    <w:unhideWhenUsed/>
    <w:qFormat/>
    <w:uiPriority w:val="67"/>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insideV w:val="single" w:color="CE49BF" w:themeColor="accent5" w:themeTint="BF" w:sz="8" w:space="0"/>
      </w:tblBorders>
    </w:tblPr>
    <w:tcPr>
      <w:shd w:val="clear" w:color="auto" w:fill="EEC3EA" w:themeFill="accent5" w:themeFillTint="3F"/>
    </w:tcPr>
    <w:tblStylePr w:type="firstRow">
      <w:rPr>
        <w:b/>
        <w:bCs/>
      </w:rPr>
    </w:tblStylePr>
    <w:tblStylePr w:type="lastRow">
      <w:rPr>
        <w:b/>
        <w:bCs/>
      </w:rPr>
      <w:tblPr/>
      <w:tcPr>
        <w:tcBorders>
          <w:top w:val="single" w:color="CE49BF" w:themeColor="accent5" w:themeTint="BF" w:sz="18" w:space="0"/>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189">
    <w:name w:val="Medium Grid 1 Accent 6"/>
    <w:basedOn w:val="89"/>
    <w:semiHidden/>
    <w:unhideWhenUsed/>
    <w:qFormat/>
    <w:uiPriority w:val="67"/>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insideV w:val="single" w:color="72CE50" w:themeColor="accent6" w:themeTint="BF" w:sz="8" w:space="0"/>
      </w:tblBorders>
    </w:tblPr>
    <w:tcPr>
      <w:shd w:val="clear" w:color="auto" w:fill="D0EFC5" w:themeFill="accent6" w:themeFillTint="3F"/>
    </w:tcPr>
    <w:tblStylePr w:type="firstRow">
      <w:rPr>
        <w:b/>
        <w:bCs/>
      </w:rPr>
    </w:tblStylePr>
    <w:tblStylePr w:type="lastRow">
      <w:rPr>
        <w:b/>
        <w:bCs/>
      </w:rPr>
      <w:tblPr/>
      <w:tcPr>
        <w:tcBorders>
          <w:top w:val="single" w:color="72CE50" w:themeColor="accent6" w:themeTint="BF" w:sz="18" w:space="0"/>
        </w:tcBorders>
      </w:tcPr>
    </w:tblStylePr>
    <w:tblStylePr w:type="firstCol">
      <w:rPr>
        <w:b/>
        <w:bCs/>
      </w:rPr>
    </w:tblStylePr>
    <w:tblStylePr w:type="lastCol">
      <w:rPr>
        <w:b/>
        <w:bCs/>
      </w:r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table" w:styleId="190">
    <w:name w:val="Medium Grid 2"/>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1">
    <w:name w:val="Medium Grid 2 Accent 1"/>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cPr>
      <w:shd w:val="clear" w:color="auto" w:fill="B2DEF2" w:themeFill="accent1" w:themeFillTint="3F"/>
    </w:tcPr>
    <w:tblStylePr w:type="firstRow">
      <w:rPr>
        <w:b/>
        <w:bCs/>
        <w:color w:val="000000" w:themeColor="text1"/>
        <w14:textFill>
          <w14:solidFill>
            <w14:schemeClr w14:val="tx1"/>
          </w14:solidFill>
        </w14:textFill>
      </w:rPr>
      <w:tblPr/>
      <w:tcPr>
        <w:shd w:val="clear" w:color="auto" w:fill="E0F2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5BDE6" w:themeFill="accent1" w:themeFillTint="7F"/>
      </w:tcPr>
    </w:tblStylePr>
    <w:tblStylePr w:type="band1Horz">
      <w:tblPr/>
      <w:tcPr>
        <w:tcBorders>
          <w:insideH w:val="single" w:sz="6" w:space="0"/>
          <w:insideV w:val="single" w:sz="6" w:space="0"/>
        </w:tcBorders>
        <w:shd w:val="clear" w:color="auto" w:fill="65BDE6" w:themeFill="accent1" w:themeFillTint="7F"/>
      </w:tcPr>
    </w:tblStylePr>
    <w:tblStylePr w:type="nwCell">
      <w:tblPr/>
      <w:tcPr>
        <w:shd w:val="clear" w:color="auto" w:fill="FFFFFF" w:themeFill="background1"/>
      </w:tcPr>
    </w:tblStylePr>
  </w:style>
  <w:style w:type="table" w:styleId="192">
    <w:name w:val="Medium Grid 2 Accent 2"/>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cPr>
      <w:shd w:val="clear" w:color="auto" w:fill="F9DBCC" w:themeFill="accent2" w:themeFillTint="3F"/>
    </w:tcPr>
    <w:tblStylePr w:type="firstRow">
      <w:rPr>
        <w:b/>
        <w:bCs/>
        <w:color w:val="000000" w:themeColor="text1"/>
        <w14:textFill>
          <w14:solidFill>
            <w14:schemeClr w14:val="tx1"/>
          </w14:solidFill>
        </w14:textFill>
      </w:rPr>
      <w:tblPr/>
      <w:tcPr>
        <w:shd w:val="clear" w:color="auto" w:fill="FCF1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898" w:themeFill="accent2" w:themeFillTint="7F"/>
      </w:tcPr>
    </w:tblStylePr>
    <w:tblStylePr w:type="band1Horz">
      <w:tblPr/>
      <w:tcPr>
        <w:tcBorders>
          <w:insideH w:val="single" w:sz="6" w:space="0"/>
          <w:insideV w:val="single" w:sz="6" w:space="0"/>
        </w:tcBorders>
        <w:shd w:val="clear" w:color="auto" w:fill="F4B898" w:themeFill="accent2" w:themeFillTint="7F"/>
      </w:tcPr>
    </w:tblStylePr>
    <w:tblStylePr w:type="nwCell">
      <w:tblPr/>
      <w:tcPr>
        <w:shd w:val="clear" w:color="auto" w:fill="FFFFFF" w:themeFill="background1"/>
      </w:tcPr>
    </w:tblStylePr>
  </w:style>
  <w:style w:type="table" w:styleId="193">
    <w:name w:val="Medium Grid 2 Accent 3"/>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cPr>
      <w:shd w:val="clear" w:color="auto" w:fill="B3EDBB" w:themeFill="accent3" w:themeFillTint="3F"/>
    </w:tcPr>
    <w:tblStylePr w:type="firstRow">
      <w:rPr>
        <w:b/>
        <w:bCs/>
        <w:color w:val="000000" w:themeColor="text1"/>
        <w14:textFill>
          <w14:solidFill>
            <w14:schemeClr w14:val="tx1"/>
          </w14:solidFill>
        </w14:textFill>
      </w:rPr>
      <w:tblPr/>
      <w:tcPr>
        <w:shd w:val="clear" w:color="auto" w:fill="E0F7E4"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F0C8" w:themeFill="accent3" w:themeFillTint="33"/>
      </w:tcPr>
    </w:tblStylePr>
    <w:tblStylePr w:type="band1Vert">
      <w:tblPr/>
      <w:tcPr>
        <w:shd w:val="clear" w:color="auto" w:fill="66DB76" w:themeFill="accent3" w:themeFillTint="7F"/>
      </w:tcPr>
    </w:tblStylePr>
    <w:tblStylePr w:type="band1Horz">
      <w:tblPr/>
      <w:tcPr>
        <w:tcBorders>
          <w:insideH w:val="single" w:sz="6" w:space="0"/>
          <w:insideV w:val="single" w:sz="6" w:space="0"/>
        </w:tcBorders>
        <w:shd w:val="clear" w:color="auto" w:fill="66DB76" w:themeFill="accent3" w:themeFillTint="7F"/>
      </w:tcPr>
    </w:tblStylePr>
    <w:tblStylePr w:type="nwCell">
      <w:tblPr/>
      <w:tcPr>
        <w:shd w:val="clear" w:color="auto" w:fill="FFFFFF" w:themeFill="background1"/>
      </w:tcPr>
    </w:tblStylePr>
  </w:style>
  <w:style w:type="table" w:styleId="194">
    <w:name w:val="Medium Grid 2 Accent 4"/>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cPr>
      <w:shd w:val="clear" w:color="auto" w:fill="BDE9FA" w:themeFill="accent4" w:themeFillTint="3F"/>
    </w:tcPr>
    <w:tblStylePr w:type="firstRow">
      <w:rPr>
        <w:b/>
        <w:bCs/>
        <w:color w:val="000000" w:themeColor="text1"/>
        <w14:textFill>
          <w14:solidFill>
            <w14:schemeClr w14:val="tx1"/>
          </w14:solidFill>
        </w14:textFill>
      </w:rPr>
      <w:tblPr/>
      <w:tcPr>
        <w:shd w:val="clear" w:color="auto" w:fill="E5F6FD"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insideV w:val="single" w:sz="6" w:space="0"/>
        </w:tcBorders>
        <w:shd w:val="clear" w:color="auto" w:fill="7BD3F5" w:themeFill="accent4" w:themeFillTint="7F"/>
      </w:tcPr>
    </w:tblStylePr>
    <w:tblStylePr w:type="nwCell">
      <w:tblPr/>
      <w:tcPr>
        <w:shd w:val="clear" w:color="auto" w:fill="FFFFFF" w:themeFill="background1"/>
      </w:tcPr>
    </w:tblStylePr>
  </w:style>
  <w:style w:type="table" w:styleId="195">
    <w:name w:val="Medium Grid 2 Accent 5"/>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cPr>
      <w:shd w:val="clear" w:color="auto" w:fill="EEC3EA" w:themeFill="accent5" w:themeFillTint="3F"/>
    </w:tcPr>
    <w:tblStylePr w:type="firstRow">
      <w:rPr>
        <w:b/>
        <w:bCs/>
        <w:color w:val="000000" w:themeColor="text1"/>
        <w14:textFill>
          <w14:solidFill>
            <w14:schemeClr w14:val="tx1"/>
          </w14:solidFill>
        </w14:textFill>
      </w:rPr>
      <w:tblPr/>
      <w:tcPr>
        <w:shd w:val="clear" w:color="auto" w:fill="F8E7F6"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1CEEE" w:themeFill="accent5" w:themeFillTint="33"/>
      </w:tcPr>
    </w:tblStylePr>
    <w:tblStylePr w:type="band1Vert">
      <w:tblPr/>
      <w:tcPr>
        <w:shd w:val="clear" w:color="auto" w:fill="DE86D4" w:themeFill="accent5" w:themeFillTint="7F"/>
      </w:tcPr>
    </w:tblStylePr>
    <w:tblStylePr w:type="band1Horz">
      <w:tblPr/>
      <w:tcPr>
        <w:tcBorders>
          <w:insideH w:val="single" w:sz="6" w:space="0"/>
          <w:insideV w:val="single" w:sz="6" w:space="0"/>
        </w:tcBorders>
        <w:shd w:val="clear" w:color="auto" w:fill="DE86D4" w:themeFill="accent5" w:themeFillTint="7F"/>
      </w:tcPr>
    </w:tblStylePr>
    <w:tblStylePr w:type="nwCell">
      <w:tblPr/>
      <w:tcPr>
        <w:shd w:val="clear" w:color="auto" w:fill="FFFFFF" w:themeFill="background1"/>
      </w:tcPr>
    </w:tblStylePr>
  </w:style>
  <w:style w:type="table" w:styleId="196">
    <w:name w:val="Medium Grid 2 Accent 6"/>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cPr>
      <w:shd w:val="clear" w:color="auto" w:fill="D0EFC5" w:themeFill="accent6" w:themeFillTint="3F"/>
    </w:tcPr>
    <w:tblStylePr w:type="firstRow">
      <w:rPr>
        <w:b/>
        <w:bCs/>
        <w:color w:val="000000" w:themeColor="text1"/>
        <w14:textFill>
          <w14:solidFill>
            <w14:schemeClr w14:val="tx1"/>
          </w14:solidFill>
        </w14:textFill>
      </w:rPr>
      <w:tblPr/>
      <w:tcPr>
        <w:shd w:val="clear" w:color="auto" w:fill="ECF8E8"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1DF8B" w:themeFill="accent6" w:themeFillTint="7F"/>
      </w:tcPr>
    </w:tblStylePr>
    <w:tblStylePr w:type="band1Horz">
      <w:tblPr/>
      <w:tcPr>
        <w:tcBorders>
          <w:insideH w:val="single" w:sz="6" w:space="0"/>
          <w:insideV w:val="single" w:sz="6" w:space="0"/>
        </w:tcBorders>
        <w:shd w:val="clear" w:color="auto" w:fill="A1DF8B" w:themeFill="accent6" w:themeFillTint="7F"/>
      </w:tcPr>
    </w:tblStylePr>
    <w:tblStylePr w:type="nwCell">
      <w:tblPr/>
      <w:tcPr>
        <w:shd w:val="clear" w:color="auto" w:fill="FFFFFF" w:themeFill="background1"/>
      </w:tcPr>
    </w:tblStylePr>
  </w:style>
  <w:style w:type="table" w:styleId="197">
    <w:name w:val="Medium Grid 3"/>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8">
    <w:name w:val="Medium Grid 3 Accent 1"/>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2DEF2"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56082"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56082"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56082"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56082"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5BDE6"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5BDE6" w:themeFill="accent1" w:themeFillTint="7F"/>
      </w:tcPr>
    </w:tblStylePr>
  </w:style>
  <w:style w:type="table" w:styleId="199">
    <w:name w:val="Medium Grid 3 Accent 2"/>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9DB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97132"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97132"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97132"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97132"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4B8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4B898" w:themeFill="accent2" w:themeFillTint="7F"/>
      </w:tcPr>
    </w:tblStylePr>
  </w:style>
  <w:style w:type="table" w:styleId="200">
    <w:name w:val="Medium Grid 3 Accent 3"/>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3EDBB"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96B24"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96B24"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96B24"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96B24"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6DB76"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6DB76" w:themeFill="accent3" w:themeFillTint="7F"/>
      </w:tcPr>
    </w:tblStylePr>
  </w:style>
  <w:style w:type="table" w:styleId="201">
    <w:name w:val="Medium Grid 3 Accent 4"/>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DE9FA"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F9ED5"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F9ED5"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F9ED5"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F9ED5"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BD3F5"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BD3F5" w:themeFill="accent4" w:themeFillTint="7F"/>
      </w:tcPr>
    </w:tblStylePr>
  </w:style>
  <w:style w:type="table" w:styleId="202">
    <w:name w:val="Medium Grid 3 Accent 5"/>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EC3EA"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02B93"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02B93"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02B93"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02B93"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E86D4"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E86D4" w:themeFill="accent5" w:themeFillTint="7F"/>
      </w:tcPr>
    </w:tblStylePr>
  </w:style>
  <w:style w:type="table" w:styleId="203">
    <w:name w:val="Medium Grid 3 Accent 6"/>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EFC5"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EA72E"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EA72E"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EA72E"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EA72E"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DF8B"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DF8B" w:themeFill="accent6" w:themeFillTint="7F"/>
      </w:tcPr>
    </w:tblStylePr>
  </w:style>
  <w:style w:type="table" w:styleId="204">
    <w:name w:val="Dark List"/>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5">
    <w:name w:val="Dark List Accent 1"/>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156082"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0F476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206">
    <w:name w:val="Dark List Accent 2"/>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97132"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BF4F1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BF4F14" w:themeFill="accent2" w:themeFillShade="BF"/>
      </w:tcPr>
    </w:tblStylePr>
    <w:tblStylePr w:type="band1Vert">
      <w:tblPr/>
      <w:tcPr>
        <w:tcBorders>
          <w:top w:val="nil"/>
          <w:left w:val="nil"/>
          <w:bottom w:val="nil"/>
          <w:right w:val="nil"/>
          <w:insideH w:val="nil"/>
          <w:insideV w:val="nil"/>
        </w:tcBorders>
        <w:shd w:val="clear" w:color="auto" w:fill="BF4F14" w:themeFill="accent2" w:themeFillShade="BF"/>
      </w:tcPr>
    </w:tblStylePr>
    <w:tblStylePr w:type="band1Horz">
      <w:tblPr/>
      <w:tcPr>
        <w:tcBorders>
          <w:top w:val="nil"/>
          <w:left w:val="nil"/>
          <w:bottom w:val="nil"/>
          <w:right w:val="nil"/>
          <w:insideH w:val="nil"/>
          <w:insideV w:val="nil"/>
        </w:tcBorders>
        <w:shd w:val="clear" w:color="auto" w:fill="BF4F14" w:themeFill="accent2" w:themeFillShade="BF"/>
      </w:tcPr>
    </w:tblStylePr>
  </w:style>
  <w:style w:type="table" w:styleId="207">
    <w:name w:val="Dark List Accent 3"/>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196B24"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12501A"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12501A" w:themeFill="accent3" w:themeFillShade="BF"/>
      </w:tcPr>
    </w:tblStylePr>
    <w:tblStylePr w:type="band1Vert">
      <w:tblPr/>
      <w:tcPr>
        <w:tcBorders>
          <w:top w:val="nil"/>
          <w:left w:val="nil"/>
          <w:bottom w:val="nil"/>
          <w:right w:val="nil"/>
          <w:insideH w:val="nil"/>
          <w:insideV w:val="nil"/>
        </w:tcBorders>
        <w:shd w:val="clear" w:color="auto" w:fill="12501A" w:themeFill="accent3" w:themeFillShade="BF"/>
      </w:tcPr>
    </w:tblStylePr>
    <w:tblStylePr w:type="band1Horz">
      <w:tblPr/>
      <w:tcPr>
        <w:tcBorders>
          <w:top w:val="nil"/>
          <w:left w:val="nil"/>
          <w:bottom w:val="nil"/>
          <w:right w:val="nil"/>
          <w:insideH w:val="nil"/>
          <w:insideV w:val="nil"/>
        </w:tcBorders>
        <w:shd w:val="clear" w:color="auto" w:fill="12501A" w:themeFill="accent3" w:themeFillShade="BF"/>
      </w:tcPr>
    </w:tblStylePr>
  </w:style>
  <w:style w:type="table" w:styleId="208">
    <w:name w:val="Dark List Accent 4"/>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F9ED5"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74E6A"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0B769F"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209">
    <w:name w:val="Dark List Accent 5"/>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02B93"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F1549"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77206E"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77206E" w:themeFill="accent5" w:themeFillShade="BF"/>
      </w:tcPr>
    </w:tblStylePr>
    <w:tblStylePr w:type="band1Vert">
      <w:tblPr/>
      <w:tcPr>
        <w:tcBorders>
          <w:top w:val="nil"/>
          <w:left w:val="nil"/>
          <w:bottom w:val="nil"/>
          <w:right w:val="nil"/>
          <w:insideH w:val="nil"/>
          <w:insideV w:val="nil"/>
        </w:tcBorders>
        <w:shd w:val="clear" w:color="auto" w:fill="77206E" w:themeFill="accent5" w:themeFillShade="BF"/>
      </w:tcPr>
    </w:tblStylePr>
    <w:tblStylePr w:type="band1Horz">
      <w:tblPr/>
      <w:tcPr>
        <w:tcBorders>
          <w:top w:val="nil"/>
          <w:left w:val="nil"/>
          <w:bottom w:val="nil"/>
          <w:right w:val="nil"/>
          <w:insideH w:val="nil"/>
          <w:insideV w:val="nil"/>
        </w:tcBorders>
        <w:shd w:val="clear" w:color="auto" w:fill="77206E" w:themeFill="accent5" w:themeFillShade="BF"/>
      </w:tcPr>
    </w:tblStylePr>
  </w:style>
  <w:style w:type="table" w:styleId="210">
    <w:name w:val="Dark List Accent 6"/>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EA72E"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6531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3A7D22"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3A7D22" w:themeFill="accent6" w:themeFillShade="BF"/>
      </w:tcPr>
    </w:tblStylePr>
    <w:tblStylePr w:type="band1Vert">
      <w:tblPr/>
      <w:tcPr>
        <w:tcBorders>
          <w:top w:val="nil"/>
          <w:left w:val="nil"/>
          <w:bottom w:val="nil"/>
          <w:right w:val="nil"/>
          <w:insideH w:val="nil"/>
          <w:insideV w:val="nil"/>
        </w:tcBorders>
        <w:shd w:val="clear" w:color="auto" w:fill="3A7D22" w:themeFill="accent6" w:themeFillShade="BF"/>
      </w:tcPr>
    </w:tblStylePr>
    <w:tblStylePr w:type="band1Horz">
      <w:tblPr/>
      <w:tcPr>
        <w:tcBorders>
          <w:top w:val="nil"/>
          <w:left w:val="nil"/>
          <w:bottom w:val="nil"/>
          <w:right w:val="nil"/>
          <w:insideH w:val="nil"/>
          <w:insideV w:val="nil"/>
        </w:tcBorders>
        <w:shd w:val="clear" w:color="auto" w:fill="3A7D22" w:themeFill="accent6" w:themeFillShade="BF"/>
      </w:tcPr>
    </w:tblStylePr>
  </w:style>
  <w:style w:type="table" w:styleId="211">
    <w:name w:val="Colorful Shading"/>
    <w:basedOn w:val="89"/>
    <w:semiHidden/>
    <w:unhideWhenUsed/>
    <w:qFormat/>
    <w:uiPriority w:val="71"/>
    <w:rPr>
      <w:color w:val="000000" w:themeColor="text1"/>
      <w14:textFill>
        <w14:solidFill>
          <w14:schemeClr w14:val="tx1"/>
        </w14:solidFill>
      </w14:textFill>
    </w:rPr>
    <w:tblPr>
      <w:tblBorders>
        <w:top w:val="single" w:color="E97132"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1"/>
    <w:basedOn w:val="89"/>
    <w:semiHidden/>
    <w:unhideWhenUsed/>
    <w:qFormat/>
    <w:uiPriority w:val="71"/>
    <w:rPr>
      <w:color w:val="000000" w:themeColor="text1"/>
      <w14:textFill>
        <w14:solidFill>
          <w14:schemeClr w14:val="tx1"/>
        </w14:solidFill>
      </w14:textFill>
    </w:rPr>
    <w:tblPr>
      <w:tblBorders>
        <w:top w:val="single" w:color="E97132" w:themeColor="accent2" w:sz="24" w:space="0"/>
        <w:left w:val="single" w:color="156082" w:themeColor="accent1" w:sz="4" w:space="0"/>
        <w:bottom w:val="single" w:color="156082" w:themeColor="accent1" w:sz="4" w:space="0"/>
        <w:right w:val="single" w:color="156082" w:themeColor="accent1" w:sz="4" w:space="0"/>
        <w:insideH w:val="single" w:color="FFFFFF" w:themeColor="background1" w:sz="4" w:space="0"/>
        <w:insideV w:val="single" w:color="FFFFFF" w:themeColor="background1" w:sz="4" w:space="0"/>
      </w:tblBorders>
    </w:tblPr>
    <w:tcPr>
      <w:shd w:val="clear" w:color="auto" w:fill="E0F2FA" w:themeFill="accen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C394D"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C394D"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5BDE6"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2"/>
    <w:basedOn w:val="89"/>
    <w:semiHidden/>
    <w:unhideWhenUsed/>
    <w:qFormat/>
    <w:uiPriority w:val="71"/>
    <w:rPr>
      <w:color w:val="000000" w:themeColor="text1"/>
      <w14:textFill>
        <w14:solidFill>
          <w14:schemeClr w14:val="tx1"/>
        </w14:solidFill>
      </w14:textFill>
    </w:rPr>
    <w:tblPr>
      <w:tblBorders>
        <w:top w:val="single" w:color="E97132" w:themeColor="accent2" w:sz="24" w:space="0"/>
        <w:left w:val="single" w:color="E97132" w:themeColor="accent2" w:sz="4" w:space="0"/>
        <w:bottom w:val="single" w:color="E97132" w:themeColor="accent2" w:sz="4" w:space="0"/>
        <w:right w:val="single" w:color="E97132" w:themeColor="accent2" w:sz="4" w:space="0"/>
        <w:insideH w:val="single" w:color="FFFFFF" w:themeColor="background1" w:sz="4" w:space="0"/>
        <w:insideV w:val="single" w:color="FFFFFF" w:themeColor="background1" w:sz="4" w:space="0"/>
      </w:tblBorders>
    </w:tblPr>
    <w:tcPr>
      <w:shd w:val="clear" w:color="auto" w:fill="FCF1EA" w:themeFill="accent2"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3F10"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3F10"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6AC" w:themeFill="accent2" w:themeFillTint="66"/>
      </w:tcPr>
    </w:tblStylePr>
    <w:tblStylePr w:type="band1Horz">
      <w:tblPr/>
      <w:tcPr>
        <w:shd w:val="clear" w:color="auto" w:fill="F4B8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4">
    <w:name w:val="Colorful Shading Accent 3"/>
    <w:basedOn w:val="89"/>
    <w:semiHidden/>
    <w:unhideWhenUsed/>
    <w:qFormat/>
    <w:uiPriority w:val="71"/>
    <w:rPr>
      <w:color w:val="000000" w:themeColor="text1"/>
      <w14:textFill>
        <w14:solidFill>
          <w14:schemeClr w14:val="tx1"/>
        </w14:solidFill>
      </w14:textFill>
    </w:rPr>
    <w:tblPr>
      <w:tblBorders>
        <w:top w:val="single" w:color="0F9ED5" w:themeColor="accent4" w:sz="24" w:space="0"/>
        <w:left w:val="single" w:color="196B24" w:themeColor="accent3" w:sz="4" w:space="0"/>
        <w:bottom w:val="single" w:color="196B24" w:themeColor="accent3" w:sz="4" w:space="0"/>
        <w:right w:val="single" w:color="196B24" w:themeColor="accent3" w:sz="4" w:space="0"/>
        <w:insideH w:val="single" w:color="FFFFFF" w:themeColor="background1" w:sz="4" w:space="0"/>
        <w:insideV w:val="single" w:color="FFFFFF" w:themeColor="background1" w:sz="4" w:space="0"/>
      </w:tblBorders>
    </w:tblPr>
    <w:tcPr>
      <w:shd w:val="clear" w:color="auto" w:fill="E0F7E4" w:themeFill="accent3" w:themeFillTint="19"/>
    </w:tcPr>
    <w:tblStylePr w:type="firstRow">
      <w:rPr>
        <w:b/>
        <w:bCs/>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E4015"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E4015"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E4015" w:themeFill="accent3" w:themeFillShade="99"/>
      </w:tcPr>
    </w:tblStylePr>
    <w:tblStylePr w:type="band1Vert">
      <w:tblPr/>
      <w:tcPr>
        <w:shd w:val="clear" w:color="auto" w:fill="84E291" w:themeFill="accent3" w:themeFillTint="66"/>
      </w:tcPr>
    </w:tblStylePr>
    <w:tblStylePr w:type="band1Horz">
      <w:tblPr/>
      <w:tcPr>
        <w:shd w:val="clear" w:color="auto" w:fill="66DB76" w:themeFill="accent3" w:themeFillTint="7F"/>
      </w:tcPr>
    </w:tblStylePr>
  </w:style>
  <w:style w:type="table" w:styleId="215">
    <w:name w:val="Colorful Shading Accent 4"/>
    <w:basedOn w:val="89"/>
    <w:semiHidden/>
    <w:unhideWhenUsed/>
    <w:qFormat/>
    <w:uiPriority w:val="71"/>
    <w:rPr>
      <w:color w:val="000000" w:themeColor="text1"/>
      <w14:textFill>
        <w14:solidFill>
          <w14:schemeClr w14:val="tx1"/>
        </w14:solidFill>
      </w14:textFill>
    </w:rPr>
    <w:tblPr>
      <w:tblBorders>
        <w:top w:val="single" w:color="196B24" w:themeColor="accent3" w:sz="24" w:space="0"/>
        <w:left w:val="single" w:color="0F9ED5" w:themeColor="accent4" w:sz="4" w:space="0"/>
        <w:bottom w:val="single" w:color="0F9ED5" w:themeColor="accent4" w:sz="4" w:space="0"/>
        <w:right w:val="single" w:color="0F9ED5" w:themeColor="accent4" w:sz="4" w:space="0"/>
        <w:insideH w:val="single" w:color="FFFFFF" w:themeColor="background1" w:sz="4" w:space="0"/>
        <w:insideV w:val="single" w:color="FFFFFF" w:themeColor="background1" w:sz="4" w:space="0"/>
      </w:tblBorders>
    </w:tblPr>
    <w:tcPr>
      <w:shd w:val="clear" w:color="auto" w:fill="E5F6FD" w:themeFill="accent4" w:themeFillTint="19"/>
    </w:tcPr>
    <w:tblStylePr w:type="firstRow">
      <w:rPr>
        <w:b/>
        <w:bCs/>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85E7F"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85E7F"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8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5"/>
    <w:basedOn w:val="89"/>
    <w:semiHidden/>
    <w:unhideWhenUsed/>
    <w:qFormat/>
    <w:uiPriority w:val="71"/>
    <w:rPr>
      <w:color w:val="000000" w:themeColor="text1"/>
      <w14:textFill>
        <w14:solidFill>
          <w14:schemeClr w14:val="tx1"/>
        </w14:solidFill>
      </w14:textFill>
    </w:rPr>
    <w:tblPr>
      <w:tblBorders>
        <w:top w:val="single" w:color="4EA72E" w:themeColor="accent6" w:sz="24" w:space="0"/>
        <w:left w:val="single" w:color="A02B93" w:themeColor="accent5" w:sz="4" w:space="0"/>
        <w:bottom w:val="single" w:color="A02B93" w:themeColor="accent5" w:sz="4" w:space="0"/>
        <w:right w:val="single" w:color="A02B93" w:themeColor="accent5" w:sz="4" w:space="0"/>
        <w:insideH w:val="single" w:color="FFFFFF" w:themeColor="background1" w:sz="4" w:space="0"/>
        <w:insideV w:val="single" w:color="FFFFFF" w:themeColor="background1" w:sz="4" w:space="0"/>
      </w:tblBorders>
    </w:tblPr>
    <w:tcPr>
      <w:shd w:val="clear" w:color="auto" w:fill="F8E7F6" w:themeFill="accent5" w:themeFillTint="19"/>
    </w:tcPr>
    <w:tblStylePr w:type="firstRow">
      <w:rPr>
        <w:b/>
        <w:bCs/>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F195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F195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F1958" w:themeFill="accent5" w:themeFillShade="99"/>
      </w:tcPr>
    </w:tblStylePr>
    <w:tblStylePr w:type="band1Vert">
      <w:tblPr/>
      <w:tcPr>
        <w:shd w:val="clear" w:color="auto" w:fill="E49EDD" w:themeFill="accent5" w:themeFillTint="66"/>
      </w:tcPr>
    </w:tblStylePr>
    <w:tblStylePr w:type="band1Horz">
      <w:tblPr/>
      <w:tcPr>
        <w:shd w:val="clear" w:color="auto" w:fill="DE86D4"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Shading Accent 6"/>
    <w:basedOn w:val="89"/>
    <w:semiHidden/>
    <w:unhideWhenUsed/>
    <w:qFormat/>
    <w:uiPriority w:val="71"/>
    <w:rPr>
      <w:color w:val="000000" w:themeColor="text1"/>
      <w14:textFill>
        <w14:solidFill>
          <w14:schemeClr w14:val="tx1"/>
        </w14:solidFill>
      </w14:textFill>
    </w:rPr>
    <w:tblPr>
      <w:tblBorders>
        <w:top w:val="single" w:color="A02B93" w:themeColor="accent5" w:sz="24" w:space="0"/>
        <w:left w:val="single" w:color="4EA72E" w:themeColor="accent6" w:sz="4" w:space="0"/>
        <w:bottom w:val="single" w:color="4EA72E" w:themeColor="accent6" w:sz="4" w:space="0"/>
        <w:right w:val="single" w:color="4EA72E" w:themeColor="accent6" w:sz="4" w:space="0"/>
        <w:insideH w:val="single" w:color="FFFFFF" w:themeColor="background1" w:sz="4" w:space="0"/>
        <w:insideV w:val="single" w:color="FFFFFF" w:themeColor="background1" w:sz="4" w:space="0"/>
      </w:tblBorders>
    </w:tblPr>
    <w:tcPr>
      <w:shd w:val="clear" w:color="auto" w:fill="ECF8E8" w:themeFill="accent6" w:themeFillTint="19"/>
    </w:tcPr>
    <w:tblStylePr w:type="firstRow">
      <w:rPr>
        <w:b/>
        <w:bCs/>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E641B"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E641B"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1DF8B"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8">
    <w:name w:val="Colorful List"/>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9">
    <w:name w:val="Colorful List Accent 1"/>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0F2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220">
    <w:name w:val="Colorful List Accent 2"/>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CF1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221">
    <w:name w:val="Colorful List Accent 3"/>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0F7E4"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0B7EAA" w:themeFill="accent4" w:themeFillShade="CC"/>
      </w:tcPr>
    </w:tblStylePr>
    <w:tblStylePr w:type="lastRow">
      <w:rPr>
        <w:b/>
        <w:bCs/>
        <w:color w:val="0C7EAA"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B" w:themeFill="accent3" w:themeFillTint="3F"/>
      </w:tcPr>
    </w:tblStylePr>
    <w:tblStylePr w:type="band1Horz">
      <w:tblPr/>
      <w:tcPr>
        <w:shd w:val="clear" w:color="auto" w:fill="C1F0C8" w:themeFill="accent3" w:themeFillTint="33"/>
      </w:tcPr>
    </w:tblStylePr>
  </w:style>
  <w:style w:type="table" w:styleId="222">
    <w:name w:val="Colorful List Accent 4"/>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F6FD"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13551C" w:themeFill="accent3" w:themeFillShade="CC"/>
      </w:tcPr>
    </w:tblStylePr>
    <w:tblStylePr w:type="lastRow">
      <w:rPr>
        <w:b/>
        <w:bCs/>
        <w:color w:val="14561D"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223">
    <w:name w:val="Colorful List Accent 5"/>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8E7F6"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E8524" w:themeFill="accent6" w:themeFillShade="CC"/>
      </w:tcPr>
    </w:tblStylePr>
    <w:tblStylePr w:type="lastRow">
      <w:rPr>
        <w:b/>
        <w:bCs/>
        <w:color w:val="3E8625"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C3EA" w:themeFill="accent5" w:themeFillTint="3F"/>
      </w:tcPr>
    </w:tblStylePr>
    <w:tblStylePr w:type="band1Horz">
      <w:tblPr/>
      <w:tcPr>
        <w:shd w:val="clear" w:color="auto" w:fill="F1CEEE" w:themeFill="accent5" w:themeFillTint="33"/>
      </w:tcPr>
    </w:tblStylePr>
  </w:style>
  <w:style w:type="table" w:styleId="224">
    <w:name w:val="Colorful List Accent 6"/>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8E8"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F2275" w:themeFill="accent5" w:themeFillShade="CC"/>
      </w:tcPr>
    </w:tblStylePr>
    <w:tblStylePr w:type="lastRow">
      <w:rPr>
        <w:b/>
        <w:bCs/>
        <w:color w:val="80227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225">
    <w:name w:val="Colorful Grid"/>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6">
    <w:name w:val="Colorful Grid Accent 1"/>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14:textFill>
          <w14:solidFill>
            <w14:schemeClr w14:val="tx1"/>
          </w14:solidFill>
        </w14:textFill>
      </w:rPr>
      <w:tblPr/>
      <w:tcPr>
        <w:shd w:val="clear" w:color="auto" w:fill="83CAEB" w:themeFill="accent1" w:themeFillTint="66"/>
      </w:tcPr>
    </w:tblStylePr>
    <w:tblStylePr w:type="firstCol">
      <w:rPr>
        <w:color w:val="FFFFFF" w:themeColor="background1"/>
        <w14:textFill>
          <w14:solidFill>
            <w14:schemeClr w14:val="bg1"/>
          </w14:solidFill>
        </w14:textFill>
      </w:rPr>
      <w:tblPr/>
      <w:tcPr>
        <w:shd w:val="clear" w:color="auto" w:fill="0F4761" w:themeFill="accent1" w:themeFillShade="BF"/>
      </w:tcPr>
    </w:tblStylePr>
    <w:tblStylePr w:type="lastCol">
      <w:rPr>
        <w:color w:val="FFFFFF" w:themeColor="background1"/>
        <w14:textFill>
          <w14:solidFill>
            <w14:schemeClr w14:val="bg1"/>
          </w14:solidFill>
        </w14:textFill>
      </w:rPr>
      <w:tblPr/>
      <w:tcPr>
        <w:shd w:val="clear" w:color="auto" w:fill="0F4761" w:themeFill="accent1" w:themeFillShade="BF"/>
      </w:tc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227">
    <w:name w:val="Colorful Grid Accent 2"/>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AE2D5" w:themeFill="accent2" w:themeFillTint="33"/>
    </w:tcPr>
    <w:tblStylePr w:type="firstRow">
      <w:rPr>
        <w:b/>
        <w:bCs/>
      </w:rPr>
      <w:tblPr/>
      <w:tcPr>
        <w:shd w:val="clear" w:color="auto" w:fill="F6C6AC" w:themeFill="accent2" w:themeFillTint="66"/>
      </w:tcPr>
    </w:tblStylePr>
    <w:tblStylePr w:type="lastRow">
      <w:rPr>
        <w:b/>
        <w:bCs/>
        <w:color w:val="000000" w:themeColor="text1"/>
        <w14:textFill>
          <w14:solidFill>
            <w14:schemeClr w14:val="tx1"/>
          </w14:solidFill>
        </w14:textFill>
      </w:rPr>
      <w:tblPr/>
      <w:tcPr>
        <w:shd w:val="clear" w:color="auto" w:fill="F6C6AC" w:themeFill="accent2" w:themeFillTint="66"/>
      </w:tcPr>
    </w:tblStylePr>
    <w:tblStylePr w:type="firstCol">
      <w:rPr>
        <w:color w:val="FFFFFF" w:themeColor="background1"/>
        <w14:textFill>
          <w14:solidFill>
            <w14:schemeClr w14:val="bg1"/>
          </w14:solidFill>
        </w14:textFill>
      </w:rPr>
      <w:tblPr/>
      <w:tcPr>
        <w:shd w:val="clear" w:color="auto" w:fill="BF4F14" w:themeFill="accent2" w:themeFillShade="BF"/>
      </w:tcPr>
    </w:tblStylePr>
    <w:tblStylePr w:type="lastCol">
      <w:rPr>
        <w:color w:val="FFFFFF" w:themeColor="background1"/>
        <w14:textFill>
          <w14:solidFill>
            <w14:schemeClr w14:val="bg1"/>
          </w14:solidFill>
        </w14:textFill>
      </w:rPr>
      <w:tblPr/>
      <w:tcPr>
        <w:shd w:val="clear" w:color="auto" w:fill="BF4F14" w:themeFill="accent2" w:themeFillShade="BF"/>
      </w:tc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228">
    <w:name w:val="Colorful Grid Accent 3"/>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1F0C8" w:themeFill="accent3" w:themeFillTint="33"/>
    </w:tcPr>
    <w:tblStylePr w:type="firstRow">
      <w:rPr>
        <w:b/>
        <w:bCs/>
      </w:rPr>
      <w:tblPr/>
      <w:tcPr>
        <w:shd w:val="clear" w:color="auto" w:fill="84E291" w:themeFill="accent3" w:themeFillTint="66"/>
      </w:tcPr>
    </w:tblStylePr>
    <w:tblStylePr w:type="lastRow">
      <w:rPr>
        <w:b/>
        <w:bCs/>
        <w:color w:val="000000" w:themeColor="text1"/>
        <w14:textFill>
          <w14:solidFill>
            <w14:schemeClr w14:val="tx1"/>
          </w14:solidFill>
        </w14:textFill>
      </w:rPr>
      <w:tblPr/>
      <w:tcPr>
        <w:shd w:val="clear" w:color="auto" w:fill="84E291" w:themeFill="accent3" w:themeFillTint="66"/>
      </w:tcPr>
    </w:tblStylePr>
    <w:tblStylePr w:type="firstCol">
      <w:rPr>
        <w:color w:val="FFFFFF" w:themeColor="background1"/>
        <w14:textFill>
          <w14:solidFill>
            <w14:schemeClr w14:val="bg1"/>
          </w14:solidFill>
        </w14:textFill>
      </w:rPr>
      <w:tblPr/>
      <w:tcPr>
        <w:shd w:val="clear" w:color="auto" w:fill="12501A" w:themeFill="accent3" w:themeFillShade="BF"/>
      </w:tcPr>
    </w:tblStylePr>
    <w:tblStylePr w:type="lastCol">
      <w:rPr>
        <w:color w:val="FFFFFF" w:themeColor="background1"/>
        <w14:textFill>
          <w14:solidFill>
            <w14:schemeClr w14:val="bg1"/>
          </w14:solidFill>
        </w14:textFill>
      </w:rPr>
      <w:tblPr/>
      <w:tcPr>
        <w:shd w:val="clear" w:color="auto" w:fill="12501A" w:themeFill="accent3" w:themeFillShade="BF"/>
      </w:tc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229">
    <w:name w:val="Colorful Grid Accent 4"/>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14:textFill>
          <w14:solidFill>
            <w14:schemeClr w14:val="tx1"/>
          </w14:solidFill>
        </w14:textFill>
      </w:rPr>
      <w:tblPr/>
      <w:tcPr>
        <w:shd w:val="clear" w:color="auto" w:fill="95DCF7" w:themeFill="accent4" w:themeFillTint="66"/>
      </w:tcPr>
    </w:tblStylePr>
    <w:tblStylePr w:type="firstCol">
      <w:rPr>
        <w:color w:val="FFFFFF" w:themeColor="background1"/>
        <w14:textFill>
          <w14:solidFill>
            <w14:schemeClr w14:val="bg1"/>
          </w14:solidFill>
        </w14:textFill>
      </w:rPr>
      <w:tblPr/>
      <w:tcPr>
        <w:shd w:val="clear" w:color="auto" w:fill="0B769F" w:themeFill="accent4" w:themeFillShade="BF"/>
      </w:tcPr>
    </w:tblStylePr>
    <w:tblStylePr w:type="lastCol">
      <w:rPr>
        <w:color w:val="FFFFFF" w:themeColor="background1"/>
        <w14:textFill>
          <w14:solidFill>
            <w14:schemeClr w14:val="bg1"/>
          </w14:solidFill>
        </w14:textFill>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230">
    <w:name w:val="Colorful Grid Accent 5"/>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1CEEE" w:themeFill="accent5" w:themeFillTint="33"/>
    </w:tcPr>
    <w:tblStylePr w:type="firstRow">
      <w:rPr>
        <w:b/>
        <w:bCs/>
      </w:rPr>
      <w:tblPr/>
      <w:tcPr>
        <w:shd w:val="clear" w:color="auto" w:fill="E49EDD" w:themeFill="accent5" w:themeFillTint="66"/>
      </w:tcPr>
    </w:tblStylePr>
    <w:tblStylePr w:type="lastRow">
      <w:rPr>
        <w:b/>
        <w:bCs/>
        <w:color w:val="000000" w:themeColor="text1"/>
        <w14:textFill>
          <w14:solidFill>
            <w14:schemeClr w14:val="tx1"/>
          </w14:solidFill>
        </w14:textFill>
      </w:rPr>
      <w:tblPr/>
      <w:tcPr>
        <w:shd w:val="clear" w:color="auto" w:fill="E49EDD" w:themeFill="accent5" w:themeFillTint="66"/>
      </w:tcPr>
    </w:tblStylePr>
    <w:tblStylePr w:type="firstCol">
      <w:rPr>
        <w:color w:val="FFFFFF" w:themeColor="background1"/>
        <w14:textFill>
          <w14:solidFill>
            <w14:schemeClr w14:val="bg1"/>
          </w14:solidFill>
        </w14:textFill>
      </w:rPr>
      <w:tblPr/>
      <w:tcPr>
        <w:shd w:val="clear" w:color="auto" w:fill="77206E" w:themeFill="accent5" w:themeFillShade="BF"/>
      </w:tcPr>
    </w:tblStylePr>
    <w:tblStylePr w:type="lastCol">
      <w:rPr>
        <w:color w:val="FFFFFF" w:themeColor="background1"/>
        <w14:textFill>
          <w14:solidFill>
            <w14:schemeClr w14:val="bg1"/>
          </w14:solidFill>
        </w14:textFill>
      </w:rPr>
      <w:tblPr/>
      <w:tcPr>
        <w:shd w:val="clear" w:color="auto" w:fill="77206E"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231">
    <w:name w:val="Colorful Grid Accent 6"/>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14:textFill>
          <w14:solidFill>
            <w14:schemeClr w14:val="tx1"/>
          </w14:solidFill>
        </w14:textFill>
      </w:rPr>
      <w:tblPr/>
      <w:tcPr>
        <w:shd w:val="clear" w:color="auto" w:fill="B3E5A1" w:themeFill="accent6" w:themeFillTint="66"/>
      </w:tcPr>
    </w:tblStylePr>
    <w:tblStylePr w:type="firstCol">
      <w:rPr>
        <w:color w:val="FFFFFF" w:themeColor="background1"/>
        <w14:textFill>
          <w14:solidFill>
            <w14:schemeClr w14:val="bg1"/>
          </w14:solidFill>
        </w14:textFill>
      </w:rPr>
      <w:tblPr/>
      <w:tcPr>
        <w:shd w:val="clear" w:color="auto" w:fill="3A7D22" w:themeFill="accent6" w:themeFillShade="BF"/>
      </w:tcPr>
    </w:tblStylePr>
    <w:tblStylePr w:type="lastCol">
      <w:rPr>
        <w:color w:val="FFFFFF" w:themeColor="background1"/>
        <w14:textFill>
          <w14:solidFill>
            <w14:schemeClr w14:val="bg1"/>
          </w14:solidFill>
        </w14:textFill>
      </w:rPr>
      <w:tblPr/>
      <w:tcPr>
        <w:shd w:val="clear" w:color="auto" w:fill="3A7D22" w:themeFill="accent6" w:themeFillShade="BF"/>
      </w:tc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character" w:styleId="233">
    <w:name w:val="Strong"/>
    <w:basedOn w:val="232"/>
    <w:qFormat/>
    <w:uiPriority w:val="22"/>
    <w:rPr>
      <w:b/>
      <w:bCs/>
    </w:rPr>
  </w:style>
  <w:style w:type="character" w:styleId="234">
    <w:name w:val="endnote reference"/>
    <w:basedOn w:val="232"/>
    <w:semiHidden/>
    <w:unhideWhenUsed/>
    <w:qFormat/>
    <w:uiPriority w:val="99"/>
    <w:rPr>
      <w:vertAlign w:val="superscript"/>
    </w:rPr>
  </w:style>
  <w:style w:type="character" w:styleId="235">
    <w:name w:val="page number"/>
    <w:basedOn w:val="232"/>
    <w:semiHidden/>
    <w:unhideWhenUsed/>
    <w:qFormat/>
    <w:uiPriority w:val="99"/>
  </w:style>
  <w:style w:type="character" w:styleId="236">
    <w:name w:val="FollowedHyperlink"/>
    <w:basedOn w:val="232"/>
    <w:semiHidden/>
    <w:unhideWhenUsed/>
    <w:qFormat/>
    <w:uiPriority w:val="99"/>
    <w:rPr>
      <w:color w:val="96607D" w:themeColor="followedHyperlink"/>
      <w:u w:val="single"/>
      <w14:textFill>
        <w14:solidFill>
          <w14:schemeClr w14:val="folHlink"/>
        </w14:solidFill>
      </w14:textFill>
    </w:rPr>
  </w:style>
  <w:style w:type="character" w:styleId="237">
    <w:name w:val="Emphasis"/>
    <w:basedOn w:val="232"/>
    <w:qFormat/>
    <w:uiPriority w:val="20"/>
    <w:rPr>
      <w:i/>
      <w:iCs/>
    </w:rPr>
  </w:style>
  <w:style w:type="character" w:styleId="238">
    <w:name w:val="line number"/>
    <w:basedOn w:val="232"/>
    <w:semiHidden/>
    <w:unhideWhenUsed/>
    <w:qFormat/>
    <w:uiPriority w:val="99"/>
  </w:style>
  <w:style w:type="character" w:styleId="239">
    <w:name w:val="HTML Definition"/>
    <w:basedOn w:val="232"/>
    <w:semiHidden/>
    <w:unhideWhenUsed/>
    <w:qFormat/>
    <w:uiPriority w:val="99"/>
    <w:rPr>
      <w:i/>
      <w:iCs/>
    </w:rPr>
  </w:style>
  <w:style w:type="character" w:styleId="240">
    <w:name w:val="HTML Typewriter"/>
    <w:basedOn w:val="232"/>
    <w:semiHidden/>
    <w:unhideWhenUsed/>
    <w:qFormat/>
    <w:uiPriority w:val="99"/>
    <w:rPr>
      <w:rFonts w:ascii="Courier New" w:hAnsi="Courier New" w:cs="Courier New"/>
      <w:sz w:val="20"/>
      <w:szCs w:val="20"/>
    </w:rPr>
  </w:style>
  <w:style w:type="character" w:styleId="241">
    <w:name w:val="HTML Acronym"/>
    <w:basedOn w:val="232"/>
    <w:semiHidden/>
    <w:unhideWhenUsed/>
    <w:qFormat/>
    <w:uiPriority w:val="99"/>
  </w:style>
  <w:style w:type="character" w:styleId="242">
    <w:name w:val="HTML Variable"/>
    <w:basedOn w:val="232"/>
    <w:semiHidden/>
    <w:unhideWhenUsed/>
    <w:qFormat/>
    <w:uiPriority w:val="99"/>
    <w:rPr>
      <w:i/>
      <w:iCs/>
    </w:rPr>
  </w:style>
  <w:style w:type="character" w:styleId="243">
    <w:name w:val="Hyperlink"/>
    <w:basedOn w:val="232"/>
    <w:semiHidden/>
    <w:unhideWhenUsed/>
    <w:qFormat/>
    <w:uiPriority w:val="99"/>
    <w:rPr>
      <w:color w:val="467886" w:themeColor="hyperlink"/>
      <w:u w:val="single"/>
      <w14:textFill>
        <w14:solidFill>
          <w14:schemeClr w14:val="hlink"/>
        </w14:solidFill>
      </w14:textFill>
    </w:rPr>
  </w:style>
  <w:style w:type="character" w:styleId="244">
    <w:name w:val="HTML Code"/>
    <w:basedOn w:val="232"/>
    <w:semiHidden/>
    <w:unhideWhenUsed/>
    <w:qFormat/>
    <w:uiPriority w:val="99"/>
    <w:rPr>
      <w:rFonts w:ascii="Courier New" w:hAnsi="Courier New" w:cs="Courier New"/>
      <w:sz w:val="20"/>
      <w:szCs w:val="20"/>
    </w:rPr>
  </w:style>
  <w:style w:type="character" w:styleId="245">
    <w:name w:val="annotation reference"/>
    <w:basedOn w:val="232"/>
    <w:semiHidden/>
    <w:unhideWhenUsed/>
    <w:qFormat/>
    <w:uiPriority w:val="99"/>
    <w:rPr>
      <w:sz w:val="21"/>
      <w:szCs w:val="21"/>
    </w:rPr>
  </w:style>
  <w:style w:type="character" w:styleId="246">
    <w:name w:val="HTML Cite"/>
    <w:basedOn w:val="232"/>
    <w:semiHidden/>
    <w:unhideWhenUsed/>
    <w:qFormat/>
    <w:uiPriority w:val="99"/>
    <w:rPr>
      <w:i/>
      <w:iCs/>
    </w:rPr>
  </w:style>
  <w:style w:type="character" w:styleId="247">
    <w:name w:val="footnote reference"/>
    <w:basedOn w:val="232"/>
    <w:semiHidden/>
    <w:unhideWhenUsed/>
    <w:qFormat/>
    <w:uiPriority w:val="99"/>
    <w:rPr>
      <w:vertAlign w:val="superscript"/>
    </w:rPr>
  </w:style>
  <w:style w:type="character" w:styleId="248">
    <w:name w:val="HTML Keyboard"/>
    <w:basedOn w:val="232"/>
    <w:semiHidden/>
    <w:unhideWhenUsed/>
    <w:qFormat/>
    <w:uiPriority w:val="99"/>
    <w:rPr>
      <w:rFonts w:ascii="Courier New" w:hAnsi="Courier New" w:cs="Courier New"/>
      <w:sz w:val="20"/>
      <w:szCs w:val="20"/>
    </w:rPr>
  </w:style>
  <w:style w:type="character" w:styleId="249">
    <w:name w:val="HTML Sample"/>
    <w:basedOn w:val="232"/>
    <w:semiHidden/>
    <w:unhideWhenUsed/>
    <w:qFormat/>
    <w:uiPriority w:val="99"/>
    <w:rPr>
      <w:rFonts w:ascii="Courier New" w:hAnsi="Courier New" w:cs="Courier New"/>
    </w:rPr>
  </w:style>
  <w:style w:type="character" w:customStyle="1" w:styleId="250">
    <w:name w:val="标题 1 字符"/>
    <w:basedOn w:val="232"/>
    <w:link w:val="3"/>
    <w:qFormat/>
    <w:uiPriority w:val="9"/>
    <w:rPr>
      <w:rFonts w:ascii="黑体" w:hAnsi="黑体" w:eastAsia="黑体" w:cs="宋体"/>
      <w:color w:val="000000"/>
      <w:kern w:val="0"/>
      <w:sz w:val="32"/>
      <w:szCs w:val="32"/>
    </w:rPr>
  </w:style>
  <w:style w:type="character" w:customStyle="1" w:styleId="251">
    <w:name w:val="标题 2 字符"/>
    <w:basedOn w:val="232"/>
    <w:link w:val="5"/>
    <w:qFormat/>
    <w:uiPriority w:val="9"/>
    <w:rPr>
      <w:rFonts w:ascii="仿宋_GB2312" w:hAnsi="宋体" w:eastAsia="仿宋_GB2312" w:cs="宋体"/>
      <w:color w:val="000000"/>
      <w:kern w:val="0"/>
      <w:sz w:val="32"/>
      <w:szCs w:val="32"/>
    </w:rPr>
  </w:style>
  <w:style w:type="character" w:customStyle="1" w:styleId="252">
    <w:name w:val="标题 3 字符"/>
    <w:basedOn w:val="232"/>
    <w:link w:val="6"/>
    <w:qFormat/>
    <w:uiPriority w:val="9"/>
    <w:rPr>
      <w:rFonts w:ascii="仿宋_GB2312" w:hAnsi="宋体" w:eastAsia="仿宋_GB2312" w:cs="宋体"/>
      <w:color w:val="000000"/>
      <w:kern w:val="0"/>
      <w:sz w:val="32"/>
      <w:szCs w:val="32"/>
    </w:rPr>
  </w:style>
  <w:style w:type="character" w:customStyle="1" w:styleId="253">
    <w:name w:val="标题 4 字符"/>
    <w:basedOn w:val="232"/>
    <w:link w:val="7"/>
    <w:qFormat/>
    <w:uiPriority w:val="9"/>
    <w:rPr>
      <w:rFonts w:ascii="仿宋_GB2312" w:hAnsi="宋体" w:eastAsia="仿宋_GB2312" w:cs="宋体"/>
      <w:color w:val="000000"/>
      <w:kern w:val="0"/>
      <w:sz w:val="32"/>
      <w:szCs w:val="32"/>
    </w:rPr>
  </w:style>
  <w:style w:type="character" w:customStyle="1" w:styleId="254">
    <w:name w:val="标题 5 字符"/>
    <w:basedOn w:val="232"/>
    <w:link w:val="8"/>
    <w:semiHidden/>
    <w:qFormat/>
    <w:uiPriority w:val="9"/>
    <w:rPr>
      <w:rFonts w:cstheme="majorBidi"/>
      <w:color w:val="104862" w:themeColor="accent1" w:themeShade="BF"/>
      <w:sz w:val="24"/>
    </w:rPr>
  </w:style>
  <w:style w:type="character" w:customStyle="1" w:styleId="255">
    <w:name w:val="标题 6 字符"/>
    <w:basedOn w:val="232"/>
    <w:link w:val="9"/>
    <w:semiHidden/>
    <w:qFormat/>
    <w:uiPriority w:val="9"/>
    <w:rPr>
      <w:rFonts w:cstheme="majorBidi"/>
      <w:b/>
      <w:bCs/>
      <w:color w:val="104862" w:themeColor="accent1" w:themeShade="BF"/>
      <w:sz w:val="32"/>
    </w:rPr>
  </w:style>
  <w:style w:type="character" w:customStyle="1" w:styleId="256">
    <w:name w:val="标题 7 字符"/>
    <w:basedOn w:val="232"/>
    <w:link w:val="10"/>
    <w:semiHidden/>
    <w:qFormat/>
    <w:uiPriority w:val="9"/>
    <w:rPr>
      <w:rFonts w:cstheme="majorBidi"/>
      <w:b/>
      <w:bCs/>
      <w:color w:val="595959" w:themeColor="text1" w:themeTint="A6"/>
      <w:sz w:val="32"/>
      <w14:textFill>
        <w14:solidFill>
          <w14:schemeClr w14:val="tx1">
            <w14:lumMod w14:val="65000"/>
            <w14:lumOff w14:val="35000"/>
          </w14:schemeClr>
        </w14:solidFill>
      </w14:textFill>
    </w:rPr>
  </w:style>
  <w:style w:type="character" w:customStyle="1" w:styleId="257">
    <w:name w:val="标题 8 字符"/>
    <w:basedOn w:val="232"/>
    <w:link w:val="11"/>
    <w:semiHidden/>
    <w:qFormat/>
    <w:uiPriority w:val="9"/>
    <w:rPr>
      <w:rFonts w:cstheme="majorBidi"/>
      <w:color w:val="595959" w:themeColor="text1" w:themeTint="A6"/>
      <w:sz w:val="32"/>
      <w14:textFill>
        <w14:solidFill>
          <w14:schemeClr w14:val="tx1">
            <w14:lumMod w14:val="65000"/>
            <w14:lumOff w14:val="35000"/>
          </w14:schemeClr>
        </w14:solidFill>
      </w14:textFill>
    </w:rPr>
  </w:style>
  <w:style w:type="character" w:customStyle="1" w:styleId="258">
    <w:name w:val="标题 9 字符"/>
    <w:basedOn w:val="232"/>
    <w:link w:val="12"/>
    <w:semiHidden/>
    <w:qFormat/>
    <w:uiPriority w:val="9"/>
    <w:rPr>
      <w:rFonts w:eastAsiaTheme="majorEastAsia" w:cstheme="majorBidi"/>
      <w:color w:val="595959" w:themeColor="text1" w:themeTint="A6"/>
      <w:sz w:val="32"/>
      <w14:textFill>
        <w14:solidFill>
          <w14:schemeClr w14:val="tx1">
            <w14:lumMod w14:val="65000"/>
            <w14:lumOff w14:val="35000"/>
          </w14:schemeClr>
        </w14:solidFill>
      </w14:textFill>
    </w:rPr>
  </w:style>
  <w:style w:type="character" w:customStyle="1" w:styleId="259">
    <w:name w:val="标题 字符"/>
    <w:basedOn w:val="232"/>
    <w:link w:val="85"/>
    <w:qFormat/>
    <w:uiPriority w:val="10"/>
    <w:rPr>
      <w:rFonts w:asciiTheme="majorHAnsi" w:hAnsiTheme="majorHAnsi" w:eastAsiaTheme="majorEastAsia" w:cstheme="majorBidi"/>
      <w:spacing w:val="-10"/>
      <w:kern w:val="28"/>
      <w:sz w:val="56"/>
      <w:szCs w:val="56"/>
    </w:rPr>
  </w:style>
  <w:style w:type="character" w:customStyle="1" w:styleId="260">
    <w:name w:val="副标题 字符"/>
    <w:basedOn w:val="232"/>
    <w:link w:val="6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1">
    <w:name w:val="Quote"/>
    <w:basedOn w:val="1"/>
    <w:next w:val="1"/>
    <w:link w:val="26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62">
    <w:name w:val="引用 字符"/>
    <w:basedOn w:val="232"/>
    <w:link w:val="261"/>
    <w:qFormat/>
    <w:uiPriority w:val="29"/>
    <w:rPr>
      <w:i/>
      <w:iCs/>
      <w:color w:val="404040" w:themeColor="text1" w:themeTint="BF"/>
      <w:sz w:val="32"/>
      <w14:textFill>
        <w14:solidFill>
          <w14:schemeClr w14:val="tx1">
            <w14:lumMod w14:val="75000"/>
            <w14:lumOff w14:val="25000"/>
          </w14:schemeClr>
        </w14:solidFill>
      </w14:textFill>
    </w:rPr>
  </w:style>
  <w:style w:type="paragraph" w:styleId="263">
    <w:name w:val="List Paragraph"/>
    <w:basedOn w:val="1"/>
    <w:qFormat/>
    <w:uiPriority w:val="34"/>
    <w:pPr>
      <w:ind w:left="720"/>
      <w:contextualSpacing/>
    </w:pPr>
  </w:style>
  <w:style w:type="character" w:customStyle="1" w:styleId="264">
    <w:name w:val="明显强调1"/>
    <w:basedOn w:val="232"/>
    <w:qFormat/>
    <w:uiPriority w:val="21"/>
    <w:rPr>
      <w:i/>
      <w:iCs/>
      <w:color w:val="104862" w:themeColor="accent1" w:themeShade="BF"/>
    </w:rPr>
  </w:style>
  <w:style w:type="paragraph" w:styleId="265">
    <w:name w:val="Intense Quote"/>
    <w:basedOn w:val="1"/>
    <w:next w:val="1"/>
    <w:link w:val="26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266">
    <w:name w:val="明显引用 字符"/>
    <w:basedOn w:val="232"/>
    <w:link w:val="265"/>
    <w:qFormat/>
    <w:uiPriority w:val="30"/>
    <w:rPr>
      <w:i/>
      <w:iCs/>
      <w:color w:val="104862" w:themeColor="accent1" w:themeShade="BF"/>
      <w:sz w:val="32"/>
    </w:rPr>
  </w:style>
  <w:style w:type="character" w:customStyle="1" w:styleId="267">
    <w:name w:val="明显参考1"/>
    <w:basedOn w:val="232"/>
    <w:qFormat/>
    <w:uiPriority w:val="32"/>
    <w:rPr>
      <w:b/>
      <w:bCs/>
      <w:smallCaps/>
      <w:color w:val="104862" w:themeColor="accent1" w:themeShade="BF"/>
      <w:spacing w:val="5"/>
    </w:rPr>
  </w:style>
  <w:style w:type="character" w:customStyle="1" w:styleId="268">
    <w:name w:val="页眉 字符"/>
    <w:basedOn w:val="232"/>
    <w:link w:val="58"/>
    <w:qFormat/>
    <w:uiPriority w:val="99"/>
    <w:rPr>
      <w:sz w:val="18"/>
      <w:szCs w:val="18"/>
    </w:rPr>
  </w:style>
  <w:style w:type="character" w:customStyle="1" w:styleId="269">
    <w:name w:val="页脚 字符"/>
    <w:basedOn w:val="232"/>
    <w:link w:val="56"/>
    <w:qFormat/>
    <w:uiPriority w:val="99"/>
    <w:rPr>
      <w:sz w:val="18"/>
      <w:szCs w:val="18"/>
    </w:rPr>
  </w:style>
  <w:style w:type="character" w:customStyle="1" w:styleId="270">
    <w:name w:val="@他1"/>
    <w:basedOn w:val="232"/>
    <w:semiHidden/>
    <w:unhideWhenUsed/>
    <w:qFormat/>
    <w:uiPriority w:val="99"/>
    <w:rPr>
      <w:color w:val="2B579A"/>
      <w:shd w:val="clear" w:color="auto" w:fill="E1DFDD"/>
    </w:rPr>
  </w:style>
  <w:style w:type="character" w:customStyle="1" w:styleId="271">
    <w:name w:val="HTML 地址 字符"/>
    <w:basedOn w:val="232"/>
    <w:link w:val="42"/>
    <w:semiHidden/>
    <w:qFormat/>
    <w:uiPriority w:val="99"/>
    <w:rPr>
      <w:i/>
      <w:iCs/>
    </w:rPr>
  </w:style>
  <w:style w:type="character" w:customStyle="1" w:styleId="272">
    <w:name w:val="HTML 预设格式 字符"/>
    <w:basedOn w:val="232"/>
    <w:link w:val="81"/>
    <w:semiHidden/>
    <w:qFormat/>
    <w:uiPriority w:val="99"/>
    <w:rPr>
      <w:rFonts w:ascii="Courier New" w:hAnsi="Courier New" w:cs="Courier New"/>
      <w:sz w:val="20"/>
      <w:szCs w:val="20"/>
    </w:rPr>
  </w:style>
  <w:style w:type="paragraph" w:customStyle="1" w:styleId="273">
    <w:name w:val="TOC 标题1"/>
    <w:basedOn w:val="3"/>
    <w:next w:val="1"/>
    <w:semiHidden/>
    <w:unhideWhenUsed/>
    <w:qFormat/>
    <w:uiPriority w:val="39"/>
    <w:pPr>
      <w:spacing w:before="340" w:after="330" w:line="578" w:lineRule="auto"/>
      <w:outlineLvl w:val="9"/>
    </w:pPr>
    <w:rPr>
      <w:rFonts w:asciiTheme="minorHAnsi" w:hAnsiTheme="minorHAnsi" w:eastAsiaTheme="minorEastAsia" w:cstheme="minorBidi"/>
      <w:bCs/>
      <w:kern w:val="44"/>
      <w:szCs w:val="44"/>
    </w:rPr>
  </w:style>
  <w:style w:type="character" w:customStyle="1" w:styleId="274">
    <w:name w:val="不明显参考1"/>
    <w:basedOn w:val="232"/>
    <w:qFormat/>
    <w:uiPriority w:val="31"/>
    <w:rPr>
      <w:smallCaps/>
      <w:color w:val="595959" w:themeColor="text1" w:themeTint="A6"/>
      <w14:textFill>
        <w14:solidFill>
          <w14:schemeClr w14:val="tx1">
            <w14:lumMod w14:val="65000"/>
            <w14:lumOff w14:val="35000"/>
          </w14:schemeClr>
        </w14:solidFill>
      </w14:textFill>
    </w:rPr>
  </w:style>
  <w:style w:type="character" w:customStyle="1" w:styleId="275">
    <w:name w:val="不明显强调1"/>
    <w:basedOn w:val="232"/>
    <w:qFormat/>
    <w:uiPriority w:val="19"/>
    <w:rPr>
      <w:i/>
      <w:iCs/>
      <w:color w:val="404040" w:themeColor="text1" w:themeTint="BF"/>
      <w14:textFill>
        <w14:solidFill>
          <w14:schemeClr w14:val="tx1">
            <w14:lumMod w14:val="75000"/>
            <w14:lumOff w14:val="25000"/>
          </w14:schemeClr>
        </w14:solidFill>
      </w14:textFill>
    </w:rPr>
  </w:style>
  <w:style w:type="character" w:customStyle="1" w:styleId="276">
    <w:name w:val="称呼 字符"/>
    <w:basedOn w:val="232"/>
    <w:link w:val="31"/>
    <w:semiHidden/>
    <w:qFormat/>
    <w:uiPriority w:val="99"/>
  </w:style>
  <w:style w:type="character" w:customStyle="1" w:styleId="277">
    <w:name w:val="纯文本 字符"/>
    <w:basedOn w:val="232"/>
    <w:link w:val="46"/>
    <w:semiHidden/>
    <w:qFormat/>
    <w:uiPriority w:val="99"/>
    <w:rPr>
      <w:rFonts w:hAnsi="Courier New" w:cs="Courier New" w:asciiTheme="minorEastAsia"/>
    </w:rPr>
  </w:style>
  <w:style w:type="character" w:customStyle="1" w:styleId="278">
    <w:name w:val="电子邮件签名 字符"/>
    <w:basedOn w:val="232"/>
    <w:link w:val="20"/>
    <w:semiHidden/>
    <w:qFormat/>
    <w:uiPriority w:val="99"/>
  </w:style>
  <w:style w:type="character" w:customStyle="1" w:styleId="279">
    <w:name w:val="宏文本 字符"/>
    <w:basedOn w:val="232"/>
    <w:link w:val="2"/>
    <w:semiHidden/>
    <w:qFormat/>
    <w:uiPriority w:val="99"/>
    <w:rPr>
      <w:rFonts w:ascii="Courier New" w:hAnsi="Courier New" w:eastAsia="宋体" w:cs="Courier New"/>
      <w:sz w:val="24"/>
    </w:rPr>
  </w:style>
  <w:style w:type="character" w:customStyle="1" w:styleId="280">
    <w:name w:val="脚注文本 字符"/>
    <w:basedOn w:val="232"/>
    <w:link w:val="68"/>
    <w:semiHidden/>
    <w:qFormat/>
    <w:uiPriority w:val="99"/>
    <w:rPr>
      <w:sz w:val="18"/>
      <w:szCs w:val="18"/>
    </w:rPr>
  </w:style>
  <w:style w:type="character" w:customStyle="1" w:styleId="281">
    <w:name w:val="结束语 字符"/>
    <w:basedOn w:val="232"/>
    <w:link w:val="33"/>
    <w:semiHidden/>
    <w:qFormat/>
    <w:uiPriority w:val="99"/>
  </w:style>
  <w:style w:type="character" w:customStyle="1" w:styleId="282">
    <w:name w:val="井号标签1"/>
    <w:basedOn w:val="232"/>
    <w:semiHidden/>
    <w:unhideWhenUsed/>
    <w:qFormat/>
    <w:uiPriority w:val="99"/>
    <w:rPr>
      <w:color w:val="2B579A"/>
      <w:shd w:val="clear" w:color="auto" w:fill="E1DFDD"/>
    </w:rPr>
  </w:style>
  <w:style w:type="character" w:customStyle="1" w:styleId="283">
    <w:name w:val="批注框文本 字符"/>
    <w:basedOn w:val="232"/>
    <w:link w:val="55"/>
    <w:semiHidden/>
    <w:qFormat/>
    <w:uiPriority w:val="99"/>
    <w:rPr>
      <w:sz w:val="18"/>
      <w:szCs w:val="18"/>
    </w:rPr>
  </w:style>
  <w:style w:type="character" w:customStyle="1" w:styleId="284">
    <w:name w:val="批注文字 字符"/>
    <w:basedOn w:val="232"/>
    <w:link w:val="29"/>
    <w:qFormat/>
    <w:uiPriority w:val="99"/>
  </w:style>
  <w:style w:type="character" w:customStyle="1" w:styleId="285">
    <w:name w:val="批注主题 字符"/>
    <w:basedOn w:val="284"/>
    <w:link w:val="86"/>
    <w:semiHidden/>
    <w:qFormat/>
    <w:uiPriority w:val="99"/>
    <w:rPr>
      <w:b/>
      <w:bCs/>
    </w:rPr>
  </w:style>
  <w:style w:type="character" w:customStyle="1" w:styleId="286">
    <w:name w:val="签名 字符"/>
    <w:basedOn w:val="232"/>
    <w:link w:val="59"/>
    <w:semiHidden/>
    <w:qFormat/>
    <w:uiPriority w:val="99"/>
  </w:style>
  <w:style w:type="table" w:customStyle="1" w:styleId="287">
    <w:name w:val="清单表 1 浅色1"/>
    <w:basedOn w:val="89"/>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88">
    <w:name w:val="清单表 1 浅色 - 着色 11"/>
    <w:basedOn w:val="89"/>
    <w:qFormat/>
    <w:uiPriority w:val="46"/>
    <w:tblStylePr w:type="firstRow">
      <w:rPr>
        <w:b/>
        <w:bCs/>
      </w:rPr>
      <w:tcPr>
        <w:tcBorders>
          <w:bottom w:val="single" w:color="45B0E1" w:themeColor="accent1" w:themeTint="99" w:sz="4" w:space="0"/>
        </w:tcBorders>
      </w:tcPr>
    </w:tblStylePr>
    <w:tblStylePr w:type="lastRow">
      <w:rPr>
        <w:b/>
        <w:bCs/>
      </w:rPr>
      <w:tcPr>
        <w:tcBorders>
          <w:top w:val="sing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89">
    <w:name w:val="清单表 1 浅色 - 着色 21"/>
    <w:basedOn w:val="89"/>
    <w:qFormat/>
    <w:uiPriority w:val="46"/>
    <w:tblStylePr w:type="firstRow">
      <w:rPr>
        <w:b/>
        <w:bCs/>
      </w:rPr>
      <w:tcPr>
        <w:tcBorders>
          <w:bottom w:val="single" w:color="F1A983" w:themeColor="accent2" w:themeTint="99" w:sz="4" w:space="0"/>
        </w:tcBorders>
      </w:tcPr>
    </w:tblStylePr>
    <w:tblStylePr w:type="lastRow">
      <w:rPr>
        <w:b/>
        <w:bCs/>
      </w:rPr>
      <w:tcPr>
        <w:tcBorders>
          <w:top w:val="sing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90">
    <w:name w:val="清单表 1 浅色 - 着色 31"/>
    <w:basedOn w:val="89"/>
    <w:qFormat/>
    <w:uiPriority w:val="46"/>
    <w:tblStylePr w:type="firstRow">
      <w:rPr>
        <w:b/>
        <w:bCs/>
      </w:rPr>
      <w:tcPr>
        <w:tcBorders>
          <w:bottom w:val="single" w:color="47D45A" w:themeColor="accent3" w:themeTint="99" w:sz="4" w:space="0"/>
        </w:tcBorders>
      </w:tcPr>
    </w:tblStylePr>
    <w:tblStylePr w:type="lastRow">
      <w:rPr>
        <w:b/>
        <w:bCs/>
      </w:rPr>
      <w:tcPr>
        <w:tcBorders>
          <w:top w:val="sing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1">
    <w:name w:val="清单表 1 浅色 - 着色 41"/>
    <w:basedOn w:val="89"/>
    <w:qFormat/>
    <w:uiPriority w:val="46"/>
    <w:tblStylePr w:type="firstRow">
      <w:rPr>
        <w:b/>
        <w:bCs/>
      </w:rPr>
      <w:tcPr>
        <w:tcBorders>
          <w:bottom w:val="single" w:color="60CBF3" w:themeColor="accent4" w:themeTint="99" w:sz="4" w:space="0"/>
        </w:tcBorders>
      </w:tcPr>
    </w:tblStylePr>
    <w:tblStylePr w:type="lastRow">
      <w:rPr>
        <w:b/>
        <w:bCs/>
      </w:rPr>
      <w:tcPr>
        <w:tcBorders>
          <w:top w:val="sing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2">
    <w:name w:val="清单表 1 浅色 - 着色 51"/>
    <w:basedOn w:val="89"/>
    <w:qFormat/>
    <w:uiPriority w:val="46"/>
    <w:tblStylePr w:type="firstRow">
      <w:rPr>
        <w:b/>
        <w:bCs/>
      </w:rPr>
      <w:tcPr>
        <w:tcBorders>
          <w:bottom w:val="single" w:color="D76DCC" w:themeColor="accent5" w:themeTint="99" w:sz="4" w:space="0"/>
        </w:tcBorders>
      </w:tcPr>
    </w:tblStylePr>
    <w:tblStylePr w:type="lastRow">
      <w:rPr>
        <w:b/>
        <w:bCs/>
      </w:rPr>
      <w:tcPr>
        <w:tcBorders>
          <w:top w:val="sing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293">
    <w:name w:val="清单表 1 浅色 - 着色 61"/>
    <w:basedOn w:val="89"/>
    <w:qFormat/>
    <w:uiPriority w:val="46"/>
    <w:tblStylePr w:type="firstRow">
      <w:rPr>
        <w:b/>
        <w:bCs/>
      </w:rPr>
      <w:tcPr>
        <w:tcBorders>
          <w:bottom w:val="single" w:color="8ED873" w:themeColor="accent6" w:themeTint="99" w:sz="4" w:space="0"/>
        </w:tcBorders>
      </w:tcPr>
    </w:tblStylePr>
    <w:tblStylePr w:type="lastRow">
      <w:rPr>
        <w:b/>
        <w:bCs/>
      </w:rPr>
      <w:tcPr>
        <w:tcBorders>
          <w:top w:val="sing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294">
    <w:name w:val="清单表 21"/>
    <w:basedOn w:val="89"/>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5">
    <w:name w:val="清单表 2 - 着色 11"/>
    <w:basedOn w:val="89"/>
    <w:qFormat/>
    <w:uiPriority w:val="47"/>
    <w:tblPr>
      <w:tblBorders>
        <w:top w:val="single" w:color="45B0E1" w:themeColor="accent1" w:themeTint="99" w:sz="4" w:space="0"/>
        <w:bottom w:val="single" w:color="45B0E1" w:themeColor="accent1" w:themeTint="99" w:sz="4" w:space="0"/>
        <w:insideH w:val="single" w:color="45B0E1"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96">
    <w:name w:val="清单表 2 - 着色 21"/>
    <w:basedOn w:val="89"/>
    <w:qFormat/>
    <w:uiPriority w:val="47"/>
    <w:tblPr>
      <w:tblBorders>
        <w:top w:val="single" w:color="F1A983" w:themeColor="accent2" w:themeTint="99" w:sz="4" w:space="0"/>
        <w:bottom w:val="single" w:color="F1A983" w:themeColor="accent2" w:themeTint="99" w:sz="4" w:space="0"/>
        <w:insideH w:val="single" w:color="F1A9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97">
    <w:name w:val="清单表 2 - 着色 31"/>
    <w:basedOn w:val="89"/>
    <w:qFormat/>
    <w:uiPriority w:val="47"/>
    <w:tblPr>
      <w:tblBorders>
        <w:top w:val="single" w:color="47D45A" w:themeColor="accent3" w:themeTint="99" w:sz="4" w:space="0"/>
        <w:bottom w:val="single" w:color="47D45A" w:themeColor="accent3" w:themeTint="99" w:sz="4" w:space="0"/>
        <w:insideH w:val="single" w:color="47D45A"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8">
    <w:name w:val="清单表 2 - 着色 41"/>
    <w:basedOn w:val="89"/>
    <w:qFormat/>
    <w:uiPriority w:val="47"/>
    <w:tblPr>
      <w:tblBorders>
        <w:top w:val="single" w:color="60CBF3" w:themeColor="accent4" w:themeTint="99" w:sz="4" w:space="0"/>
        <w:bottom w:val="single" w:color="60CBF3" w:themeColor="accent4" w:themeTint="99" w:sz="4" w:space="0"/>
        <w:insideH w:val="single" w:color="60CBF3"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9">
    <w:name w:val="清单表 2 - 着色 51"/>
    <w:basedOn w:val="89"/>
    <w:qFormat/>
    <w:uiPriority w:val="47"/>
    <w:tblPr>
      <w:tblBorders>
        <w:top w:val="single" w:color="D76DCC" w:themeColor="accent5" w:themeTint="99" w:sz="4" w:space="0"/>
        <w:bottom w:val="single" w:color="D76DCC" w:themeColor="accent5" w:themeTint="99" w:sz="4" w:space="0"/>
        <w:insideH w:val="single" w:color="D76DCC"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00">
    <w:name w:val="清单表 2 - 着色 61"/>
    <w:basedOn w:val="89"/>
    <w:qFormat/>
    <w:uiPriority w:val="47"/>
    <w:tblPr>
      <w:tblBorders>
        <w:top w:val="single" w:color="8ED873" w:themeColor="accent6" w:themeTint="99" w:sz="4" w:space="0"/>
        <w:bottom w:val="single" w:color="8ED873" w:themeColor="accent6" w:themeTint="99" w:sz="4" w:space="0"/>
        <w:insideH w:val="single" w:color="8ED873"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01">
    <w:name w:val="清单表 31"/>
    <w:basedOn w:val="89"/>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02">
    <w:name w:val="清单表 3 - 着色 11"/>
    <w:basedOn w:val="89"/>
    <w:qFormat/>
    <w:uiPriority w:val="48"/>
    <w:tblPr>
      <w:tblBorders>
        <w:top w:val="single" w:color="156082" w:themeColor="accent1" w:sz="4" w:space="0"/>
        <w:left w:val="single" w:color="156082" w:themeColor="accent1" w:sz="4" w:space="0"/>
        <w:bottom w:val="single" w:color="156082" w:themeColor="accent1" w:sz="4" w:space="0"/>
        <w:right w:val="single" w:color="156082" w:themeColor="accent1" w:sz="4" w:space="0"/>
      </w:tblBorders>
    </w:tblPr>
    <w:tblStylePr w:type="firstRow">
      <w:rPr>
        <w:b/>
        <w:bCs/>
        <w:color w:val="FFFFFF" w:themeColor="background1"/>
        <w14:textFill>
          <w14:solidFill>
            <w14:schemeClr w14:val="bg1"/>
          </w14:solidFill>
        </w14:textFill>
      </w:rPr>
      <w:tcPr>
        <w:shd w:val="clear" w:color="auto" w:fill="156082" w:themeFill="accent1"/>
      </w:tcPr>
    </w:tblStylePr>
    <w:tblStylePr w:type="lastRow">
      <w:rPr>
        <w:b/>
        <w:bCs/>
      </w:rPr>
      <w:tcPr>
        <w:tcBorders>
          <w:top w:val="double" w:color="156082"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56082" w:themeColor="accent1" w:sz="4" w:space="0"/>
          <w:right w:val="single" w:color="156082" w:themeColor="accent1" w:sz="4" w:space="0"/>
        </w:tcBorders>
      </w:tcPr>
    </w:tblStylePr>
    <w:tblStylePr w:type="band1Horz">
      <w:tcPr>
        <w:tcBorders>
          <w:top w:val="single" w:color="156082" w:themeColor="accent1" w:sz="4" w:space="0"/>
          <w:bottom w:val="single" w:color="156082"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56082" w:themeColor="accent1" w:sz="4" w:space="0"/>
          <w:left w:val="nil"/>
        </w:tcBorders>
      </w:tcPr>
    </w:tblStylePr>
    <w:tblStylePr w:type="swCell">
      <w:tcPr>
        <w:tcBorders>
          <w:top w:val="double" w:color="156082" w:themeColor="accent1" w:sz="4" w:space="0"/>
          <w:right w:val="nil"/>
        </w:tcBorders>
      </w:tcPr>
    </w:tblStylePr>
  </w:style>
  <w:style w:type="table" w:customStyle="1" w:styleId="303">
    <w:name w:val="清单表 3 - 着色 21"/>
    <w:basedOn w:val="89"/>
    <w:qFormat/>
    <w:uiPriority w:val="48"/>
    <w:tblPr>
      <w:tblBorders>
        <w:top w:val="single" w:color="E97132" w:themeColor="accent2" w:sz="4" w:space="0"/>
        <w:left w:val="single" w:color="E97132" w:themeColor="accent2" w:sz="4" w:space="0"/>
        <w:bottom w:val="single" w:color="E97132" w:themeColor="accent2" w:sz="4" w:space="0"/>
        <w:right w:val="single" w:color="E97132" w:themeColor="accent2" w:sz="4" w:space="0"/>
      </w:tblBorders>
    </w:tblPr>
    <w:tblStylePr w:type="firstRow">
      <w:rPr>
        <w:b/>
        <w:bCs/>
        <w:color w:val="FFFFFF" w:themeColor="background1"/>
        <w14:textFill>
          <w14:solidFill>
            <w14:schemeClr w14:val="bg1"/>
          </w14:solidFill>
        </w14:textFill>
      </w:rPr>
      <w:tcPr>
        <w:shd w:val="clear" w:color="auto" w:fill="E97132" w:themeFill="accent2"/>
      </w:tcPr>
    </w:tblStylePr>
    <w:tblStylePr w:type="lastRow">
      <w:rPr>
        <w:b/>
        <w:bCs/>
      </w:rPr>
      <w:tcPr>
        <w:tcBorders>
          <w:top w:val="double" w:color="E97132"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97132" w:themeColor="accent2" w:sz="4" w:space="0"/>
          <w:right w:val="single" w:color="E97132" w:themeColor="accent2" w:sz="4" w:space="0"/>
        </w:tcBorders>
      </w:tcPr>
    </w:tblStylePr>
    <w:tblStylePr w:type="band1Horz">
      <w:tcPr>
        <w:tcBorders>
          <w:top w:val="single" w:color="E97132" w:themeColor="accent2" w:sz="4" w:space="0"/>
          <w:bottom w:val="single" w:color="E97132"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97132" w:themeColor="accent2" w:sz="4" w:space="0"/>
          <w:left w:val="nil"/>
        </w:tcBorders>
      </w:tcPr>
    </w:tblStylePr>
    <w:tblStylePr w:type="swCell">
      <w:tcPr>
        <w:tcBorders>
          <w:top w:val="double" w:color="E97132" w:themeColor="accent2" w:sz="4" w:space="0"/>
          <w:right w:val="nil"/>
        </w:tcBorders>
      </w:tcPr>
    </w:tblStylePr>
  </w:style>
  <w:style w:type="table" w:customStyle="1" w:styleId="304">
    <w:name w:val="清单表 3 - 着色 31"/>
    <w:basedOn w:val="89"/>
    <w:qFormat/>
    <w:uiPriority w:val="48"/>
    <w:tblPr>
      <w:tblBorders>
        <w:top w:val="single" w:color="196B24" w:themeColor="accent3" w:sz="4" w:space="0"/>
        <w:left w:val="single" w:color="196B24" w:themeColor="accent3" w:sz="4" w:space="0"/>
        <w:bottom w:val="single" w:color="196B24" w:themeColor="accent3" w:sz="4" w:space="0"/>
        <w:right w:val="single" w:color="196B24" w:themeColor="accent3" w:sz="4" w:space="0"/>
      </w:tblBorders>
    </w:tblPr>
    <w:tblStylePr w:type="firstRow">
      <w:rPr>
        <w:b/>
        <w:bCs/>
        <w:color w:val="FFFFFF" w:themeColor="background1"/>
        <w14:textFill>
          <w14:solidFill>
            <w14:schemeClr w14:val="bg1"/>
          </w14:solidFill>
        </w14:textFill>
      </w:rPr>
      <w:tcPr>
        <w:shd w:val="clear" w:color="auto" w:fill="196B24" w:themeFill="accent3"/>
      </w:tcPr>
    </w:tblStylePr>
    <w:tblStylePr w:type="lastRow">
      <w:rPr>
        <w:b/>
        <w:bCs/>
      </w:rPr>
      <w:tcPr>
        <w:tcBorders>
          <w:top w:val="double" w:color="196B24"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96B24" w:themeColor="accent3" w:sz="4" w:space="0"/>
          <w:right w:val="single" w:color="196B24" w:themeColor="accent3" w:sz="4" w:space="0"/>
        </w:tcBorders>
      </w:tcPr>
    </w:tblStylePr>
    <w:tblStylePr w:type="band1Horz">
      <w:tcPr>
        <w:tcBorders>
          <w:top w:val="single" w:color="196B24" w:themeColor="accent3" w:sz="4" w:space="0"/>
          <w:bottom w:val="single" w:color="196B24"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96B24" w:themeColor="accent3" w:sz="4" w:space="0"/>
          <w:left w:val="nil"/>
        </w:tcBorders>
      </w:tcPr>
    </w:tblStylePr>
    <w:tblStylePr w:type="swCell">
      <w:tcPr>
        <w:tcBorders>
          <w:top w:val="double" w:color="196B24" w:themeColor="accent3" w:sz="4" w:space="0"/>
          <w:right w:val="nil"/>
        </w:tcBorders>
      </w:tcPr>
    </w:tblStylePr>
  </w:style>
  <w:style w:type="table" w:customStyle="1" w:styleId="305">
    <w:name w:val="清单表 3 - 着色 41"/>
    <w:basedOn w:val="89"/>
    <w:qFormat/>
    <w:uiPriority w:val="48"/>
    <w:tblPr>
      <w:tblBorders>
        <w:top w:val="single" w:color="0F9ED5" w:themeColor="accent4" w:sz="4" w:space="0"/>
        <w:left w:val="single" w:color="0F9ED5" w:themeColor="accent4" w:sz="4" w:space="0"/>
        <w:bottom w:val="single" w:color="0F9ED5" w:themeColor="accent4" w:sz="4" w:space="0"/>
        <w:right w:val="single" w:color="0F9ED5" w:themeColor="accent4" w:sz="4" w:space="0"/>
      </w:tblBorders>
    </w:tblPr>
    <w:tblStylePr w:type="firstRow">
      <w:rPr>
        <w:b/>
        <w:bCs/>
        <w:color w:val="FFFFFF" w:themeColor="background1"/>
        <w14:textFill>
          <w14:solidFill>
            <w14:schemeClr w14:val="bg1"/>
          </w14:solidFill>
        </w14:textFill>
      </w:rPr>
      <w:tcPr>
        <w:shd w:val="clear" w:color="auto" w:fill="0F9ED5" w:themeFill="accent4"/>
      </w:tcPr>
    </w:tblStylePr>
    <w:tblStylePr w:type="lastRow">
      <w:rPr>
        <w:b/>
        <w:bCs/>
      </w:rPr>
      <w:tcPr>
        <w:tcBorders>
          <w:top w:val="double" w:color="0F9ED5"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F9ED5" w:themeColor="accent4" w:sz="4" w:space="0"/>
          <w:right w:val="single" w:color="0F9ED5" w:themeColor="accent4" w:sz="4" w:space="0"/>
        </w:tcBorders>
      </w:tcPr>
    </w:tblStylePr>
    <w:tblStylePr w:type="band1Horz">
      <w:tcPr>
        <w:tcBorders>
          <w:top w:val="single" w:color="0F9ED5" w:themeColor="accent4" w:sz="4" w:space="0"/>
          <w:bottom w:val="single" w:color="0F9ED5"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F9ED5" w:themeColor="accent4" w:sz="4" w:space="0"/>
          <w:left w:val="nil"/>
        </w:tcBorders>
      </w:tcPr>
    </w:tblStylePr>
    <w:tblStylePr w:type="swCell">
      <w:tcPr>
        <w:tcBorders>
          <w:top w:val="double" w:color="0F9ED5" w:themeColor="accent4" w:sz="4" w:space="0"/>
          <w:right w:val="nil"/>
        </w:tcBorders>
      </w:tcPr>
    </w:tblStylePr>
  </w:style>
  <w:style w:type="table" w:customStyle="1" w:styleId="306">
    <w:name w:val="清单表 3 - 着色 51"/>
    <w:basedOn w:val="89"/>
    <w:qFormat/>
    <w:uiPriority w:val="48"/>
    <w:tblPr>
      <w:tblBorders>
        <w:top w:val="single" w:color="A02B93" w:themeColor="accent5" w:sz="4" w:space="0"/>
        <w:left w:val="single" w:color="A02B93" w:themeColor="accent5" w:sz="4" w:space="0"/>
        <w:bottom w:val="single" w:color="A02B93" w:themeColor="accent5" w:sz="4" w:space="0"/>
        <w:right w:val="single" w:color="A02B93" w:themeColor="accent5" w:sz="4" w:space="0"/>
      </w:tblBorders>
    </w:tblPr>
    <w:tblStylePr w:type="firstRow">
      <w:rPr>
        <w:b/>
        <w:bCs/>
        <w:color w:val="FFFFFF" w:themeColor="background1"/>
        <w14:textFill>
          <w14:solidFill>
            <w14:schemeClr w14:val="bg1"/>
          </w14:solidFill>
        </w14:textFill>
      </w:rPr>
      <w:tcPr>
        <w:shd w:val="clear" w:color="auto" w:fill="A02B93" w:themeFill="accent5"/>
      </w:tcPr>
    </w:tblStylePr>
    <w:tblStylePr w:type="lastRow">
      <w:rPr>
        <w:b/>
        <w:bCs/>
      </w:rPr>
      <w:tcPr>
        <w:tcBorders>
          <w:top w:val="double" w:color="A02B93"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02B93" w:themeColor="accent5" w:sz="4" w:space="0"/>
          <w:right w:val="single" w:color="A02B93" w:themeColor="accent5" w:sz="4" w:space="0"/>
        </w:tcBorders>
      </w:tcPr>
    </w:tblStylePr>
    <w:tblStylePr w:type="band1Horz">
      <w:tcPr>
        <w:tcBorders>
          <w:top w:val="single" w:color="A02B93" w:themeColor="accent5" w:sz="4" w:space="0"/>
          <w:bottom w:val="single" w:color="A02B93"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02B93" w:themeColor="accent5" w:sz="4" w:space="0"/>
          <w:left w:val="nil"/>
        </w:tcBorders>
      </w:tcPr>
    </w:tblStylePr>
    <w:tblStylePr w:type="swCell">
      <w:tcPr>
        <w:tcBorders>
          <w:top w:val="double" w:color="A02B93" w:themeColor="accent5" w:sz="4" w:space="0"/>
          <w:right w:val="nil"/>
        </w:tcBorders>
      </w:tcPr>
    </w:tblStylePr>
  </w:style>
  <w:style w:type="table" w:customStyle="1" w:styleId="307">
    <w:name w:val="清单表 3 - 着色 61"/>
    <w:basedOn w:val="89"/>
    <w:qFormat/>
    <w:uiPriority w:val="48"/>
    <w:tblPr>
      <w:tblBorders>
        <w:top w:val="single" w:color="4EA72E" w:themeColor="accent6" w:sz="4" w:space="0"/>
        <w:left w:val="single" w:color="4EA72E" w:themeColor="accent6" w:sz="4" w:space="0"/>
        <w:bottom w:val="single" w:color="4EA72E" w:themeColor="accent6" w:sz="4" w:space="0"/>
        <w:right w:val="single" w:color="4EA72E" w:themeColor="accent6" w:sz="4" w:space="0"/>
      </w:tblBorders>
    </w:tblPr>
    <w:tblStylePr w:type="firstRow">
      <w:rPr>
        <w:b/>
        <w:bCs/>
        <w:color w:val="FFFFFF" w:themeColor="background1"/>
        <w14:textFill>
          <w14:solidFill>
            <w14:schemeClr w14:val="bg1"/>
          </w14:solidFill>
        </w14:textFill>
      </w:rPr>
      <w:tcPr>
        <w:shd w:val="clear" w:color="auto" w:fill="4EA72E" w:themeFill="accent6"/>
      </w:tcPr>
    </w:tblStylePr>
    <w:tblStylePr w:type="lastRow">
      <w:rPr>
        <w:b/>
        <w:bCs/>
      </w:rPr>
      <w:tcPr>
        <w:tcBorders>
          <w:top w:val="double" w:color="4EA72E"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EA72E" w:themeColor="accent6" w:sz="4" w:space="0"/>
          <w:right w:val="single" w:color="4EA72E" w:themeColor="accent6" w:sz="4" w:space="0"/>
        </w:tcBorders>
      </w:tcPr>
    </w:tblStylePr>
    <w:tblStylePr w:type="band1Horz">
      <w:tcPr>
        <w:tcBorders>
          <w:top w:val="single" w:color="4EA72E" w:themeColor="accent6" w:sz="4" w:space="0"/>
          <w:bottom w:val="single" w:color="4EA72E"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EA72E" w:themeColor="accent6" w:sz="4" w:space="0"/>
          <w:left w:val="nil"/>
        </w:tcBorders>
      </w:tcPr>
    </w:tblStylePr>
    <w:tblStylePr w:type="swCell">
      <w:tcPr>
        <w:tcBorders>
          <w:top w:val="double" w:color="4EA72E" w:themeColor="accent6" w:sz="4" w:space="0"/>
          <w:right w:val="nil"/>
        </w:tcBorders>
      </w:tcPr>
    </w:tblStylePr>
  </w:style>
  <w:style w:type="table" w:customStyle="1" w:styleId="308">
    <w:name w:val="清单表 41"/>
    <w:basedOn w:val="89"/>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09">
    <w:name w:val="清单表 4 - 着色 11"/>
    <w:basedOn w:val="89"/>
    <w:qFormat/>
    <w:uiPriority w:val="49"/>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tcBorders>
        <w:shd w:val="clear" w:color="auto" w:fill="156082" w:themeFill="accent1"/>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10">
    <w:name w:val="清单表 4 - 着色 21"/>
    <w:basedOn w:val="89"/>
    <w:qFormat/>
    <w:uiPriority w:val="49"/>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tcBorders>
        <w:shd w:val="clear" w:color="auto" w:fill="E97132" w:themeFill="accent2"/>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11">
    <w:name w:val="清单表 4 - 着色 31"/>
    <w:basedOn w:val="89"/>
    <w:qFormat/>
    <w:uiPriority w:val="49"/>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tcBorders>
        <w:shd w:val="clear" w:color="auto" w:fill="196B24" w:themeFill="accent3"/>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12">
    <w:name w:val="清单表 4 - 着色 41"/>
    <w:basedOn w:val="89"/>
    <w:qFormat/>
    <w:uiPriority w:val="49"/>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tcBorders>
        <w:shd w:val="clear" w:color="auto" w:fill="0F9ED5" w:themeFill="accent4"/>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13">
    <w:name w:val="清单表 4 - 着色 51"/>
    <w:basedOn w:val="89"/>
    <w:qFormat/>
    <w:uiPriority w:val="49"/>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tcBorders>
        <w:shd w:val="clear" w:color="auto" w:fill="A02B93" w:themeFill="accent5"/>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14">
    <w:name w:val="清单表 4 - 着色 61"/>
    <w:basedOn w:val="89"/>
    <w:qFormat/>
    <w:uiPriority w:val="49"/>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tcBorders>
        <w:shd w:val="clear" w:color="auto" w:fill="4EA72E" w:themeFill="accent6"/>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15">
    <w:name w:val="清单表 5 深色1"/>
    <w:basedOn w:val="89"/>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6">
    <w:name w:val="清单表 5 深色 - 着色 11"/>
    <w:basedOn w:val="89"/>
    <w:qFormat/>
    <w:uiPriority w:val="50"/>
    <w:rPr>
      <w:color w:val="FFFFFF" w:themeColor="background1"/>
      <w14:textFill>
        <w14:solidFill>
          <w14:schemeClr w14:val="bg1"/>
        </w14:solidFill>
      </w14:textFill>
    </w:rPr>
    <w:tblPr>
      <w:tblBorders>
        <w:top w:val="single" w:color="156082" w:themeColor="accent1" w:sz="24" w:space="0"/>
        <w:left w:val="single" w:color="156082" w:themeColor="accent1" w:sz="24" w:space="0"/>
        <w:bottom w:val="single" w:color="156082" w:themeColor="accent1" w:sz="24" w:space="0"/>
        <w:right w:val="single" w:color="156082" w:themeColor="accent1" w:sz="24" w:space="0"/>
      </w:tblBorders>
    </w:tblPr>
    <w:tcPr>
      <w:shd w:val="clear" w:color="auto" w:fill="156082"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7">
    <w:name w:val="清单表 5 深色 - 着色 21"/>
    <w:basedOn w:val="89"/>
    <w:qFormat/>
    <w:uiPriority w:val="50"/>
    <w:rPr>
      <w:color w:val="FFFFFF" w:themeColor="background1"/>
      <w14:textFill>
        <w14:solidFill>
          <w14:schemeClr w14:val="bg1"/>
        </w14:solidFill>
      </w14:textFill>
    </w:rPr>
    <w:tblPr>
      <w:tblBorders>
        <w:top w:val="single" w:color="E97132" w:themeColor="accent2" w:sz="24" w:space="0"/>
        <w:left w:val="single" w:color="E97132" w:themeColor="accent2" w:sz="24" w:space="0"/>
        <w:bottom w:val="single" w:color="E97132" w:themeColor="accent2" w:sz="24" w:space="0"/>
        <w:right w:val="single" w:color="E97132" w:themeColor="accent2" w:sz="24" w:space="0"/>
      </w:tblBorders>
    </w:tblPr>
    <w:tcPr>
      <w:shd w:val="clear" w:color="auto" w:fill="E97132"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8">
    <w:name w:val="清单表 5 深色 - 着色 31"/>
    <w:basedOn w:val="89"/>
    <w:qFormat/>
    <w:uiPriority w:val="50"/>
    <w:rPr>
      <w:color w:val="FFFFFF" w:themeColor="background1"/>
      <w14:textFill>
        <w14:solidFill>
          <w14:schemeClr w14:val="bg1"/>
        </w14:solidFill>
      </w14:textFill>
    </w:rPr>
    <w:tblPr>
      <w:tblBorders>
        <w:top w:val="single" w:color="196B24" w:themeColor="accent3" w:sz="24" w:space="0"/>
        <w:left w:val="single" w:color="196B24" w:themeColor="accent3" w:sz="24" w:space="0"/>
        <w:bottom w:val="single" w:color="196B24" w:themeColor="accent3" w:sz="24" w:space="0"/>
        <w:right w:val="single" w:color="196B24" w:themeColor="accent3" w:sz="24" w:space="0"/>
      </w:tblBorders>
    </w:tblPr>
    <w:tcPr>
      <w:shd w:val="clear" w:color="auto" w:fill="196B24"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9">
    <w:name w:val="清单表 5 深色 - 着色 41"/>
    <w:basedOn w:val="89"/>
    <w:qFormat/>
    <w:uiPriority w:val="50"/>
    <w:rPr>
      <w:color w:val="FFFFFF" w:themeColor="background1"/>
      <w14:textFill>
        <w14:solidFill>
          <w14:schemeClr w14:val="bg1"/>
        </w14:solidFill>
      </w14:textFill>
    </w:rPr>
    <w:tblPr>
      <w:tblBorders>
        <w:top w:val="single" w:color="0F9ED5" w:themeColor="accent4" w:sz="24" w:space="0"/>
        <w:left w:val="single" w:color="0F9ED5" w:themeColor="accent4" w:sz="24" w:space="0"/>
        <w:bottom w:val="single" w:color="0F9ED5" w:themeColor="accent4" w:sz="24" w:space="0"/>
        <w:right w:val="single" w:color="0F9ED5" w:themeColor="accent4" w:sz="24" w:space="0"/>
      </w:tblBorders>
    </w:tblPr>
    <w:tcPr>
      <w:shd w:val="clear" w:color="auto" w:fill="0F9ED5"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0">
    <w:name w:val="清单表 5 深色 - 着色 51"/>
    <w:basedOn w:val="89"/>
    <w:qFormat/>
    <w:uiPriority w:val="50"/>
    <w:rPr>
      <w:color w:val="FFFFFF" w:themeColor="background1"/>
      <w14:textFill>
        <w14:solidFill>
          <w14:schemeClr w14:val="bg1"/>
        </w14:solidFill>
      </w14:textFill>
    </w:rPr>
    <w:tblPr>
      <w:tblBorders>
        <w:top w:val="single" w:color="A02B93" w:themeColor="accent5" w:sz="24" w:space="0"/>
        <w:left w:val="single" w:color="A02B93" w:themeColor="accent5" w:sz="24" w:space="0"/>
        <w:bottom w:val="single" w:color="A02B93" w:themeColor="accent5" w:sz="24" w:space="0"/>
        <w:right w:val="single" w:color="A02B93" w:themeColor="accent5" w:sz="24" w:space="0"/>
      </w:tblBorders>
    </w:tblPr>
    <w:tcPr>
      <w:shd w:val="clear" w:color="auto" w:fill="A02B93"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1">
    <w:name w:val="清单表 5 深色 - 着色 61"/>
    <w:basedOn w:val="89"/>
    <w:qFormat/>
    <w:uiPriority w:val="50"/>
    <w:rPr>
      <w:color w:val="FFFFFF" w:themeColor="background1"/>
      <w14:textFill>
        <w14:solidFill>
          <w14:schemeClr w14:val="bg1"/>
        </w14:solidFill>
      </w14:textFill>
    </w:rPr>
    <w:tblPr>
      <w:tblBorders>
        <w:top w:val="single" w:color="4EA72E" w:themeColor="accent6" w:sz="24" w:space="0"/>
        <w:left w:val="single" w:color="4EA72E" w:themeColor="accent6" w:sz="24" w:space="0"/>
        <w:bottom w:val="single" w:color="4EA72E" w:themeColor="accent6" w:sz="24" w:space="0"/>
        <w:right w:val="single" w:color="4EA72E" w:themeColor="accent6" w:sz="24" w:space="0"/>
      </w:tblBorders>
    </w:tblPr>
    <w:tcPr>
      <w:shd w:val="clear" w:color="auto" w:fill="4EA72E"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2">
    <w:name w:val="清单表 6 彩色1"/>
    <w:basedOn w:val="89"/>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23">
    <w:name w:val="清单表 6 彩色 - 着色 11"/>
    <w:basedOn w:val="89"/>
    <w:qFormat/>
    <w:uiPriority w:val="51"/>
    <w:rPr>
      <w:color w:val="104862" w:themeColor="accent1" w:themeShade="BF"/>
    </w:rPr>
    <w:tblPr>
      <w:tblBorders>
        <w:top w:val="single" w:color="156082" w:themeColor="accent1" w:sz="4" w:space="0"/>
        <w:bottom w:val="single" w:color="156082" w:themeColor="accent1" w:sz="4" w:space="0"/>
      </w:tblBorders>
    </w:tblPr>
    <w:tblStylePr w:type="firstRow">
      <w:rPr>
        <w:b/>
        <w:bCs/>
      </w:rPr>
      <w:tcPr>
        <w:tcBorders>
          <w:bottom w:val="single" w:color="156082" w:themeColor="accent1" w:sz="4" w:space="0"/>
        </w:tcBorders>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24">
    <w:name w:val="清单表 6 彩色 - 着色 21"/>
    <w:basedOn w:val="89"/>
    <w:qFormat/>
    <w:uiPriority w:val="51"/>
    <w:rPr>
      <w:color w:val="C04F15" w:themeColor="accent2" w:themeShade="BF"/>
    </w:rPr>
    <w:tblPr>
      <w:tblBorders>
        <w:top w:val="single" w:color="E97132" w:themeColor="accent2" w:sz="4" w:space="0"/>
        <w:bottom w:val="single" w:color="E97132" w:themeColor="accent2" w:sz="4" w:space="0"/>
      </w:tblBorders>
    </w:tblPr>
    <w:tblStylePr w:type="firstRow">
      <w:rPr>
        <w:b/>
        <w:bCs/>
      </w:rPr>
      <w:tcPr>
        <w:tcBorders>
          <w:bottom w:val="single" w:color="E97132" w:themeColor="accent2" w:sz="4" w:space="0"/>
        </w:tcBorders>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25">
    <w:name w:val="清单表 6 彩色 - 着色 31"/>
    <w:basedOn w:val="89"/>
    <w:qFormat/>
    <w:uiPriority w:val="51"/>
    <w:rPr>
      <w:color w:val="13501B" w:themeColor="accent3" w:themeShade="BF"/>
    </w:rPr>
    <w:tblPr>
      <w:tblBorders>
        <w:top w:val="single" w:color="196B24" w:themeColor="accent3" w:sz="4" w:space="0"/>
        <w:bottom w:val="single" w:color="196B24" w:themeColor="accent3" w:sz="4" w:space="0"/>
      </w:tblBorders>
    </w:tblPr>
    <w:tblStylePr w:type="firstRow">
      <w:rPr>
        <w:b/>
        <w:bCs/>
      </w:rPr>
      <w:tcPr>
        <w:tcBorders>
          <w:bottom w:val="single" w:color="196B24" w:themeColor="accent3" w:sz="4" w:space="0"/>
        </w:tcBorders>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26">
    <w:name w:val="清单表 6 彩色 - 着色 41"/>
    <w:basedOn w:val="89"/>
    <w:qFormat/>
    <w:uiPriority w:val="51"/>
    <w:rPr>
      <w:color w:val="0B76A0" w:themeColor="accent4" w:themeShade="BF"/>
    </w:rPr>
    <w:tblPr>
      <w:tblBorders>
        <w:top w:val="single" w:color="0F9ED5" w:themeColor="accent4" w:sz="4" w:space="0"/>
        <w:bottom w:val="single" w:color="0F9ED5" w:themeColor="accent4" w:sz="4" w:space="0"/>
      </w:tblBorders>
    </w:tblPr>
    <w:tblStylePr w:type="firstRow">
      <w:rPr>
        <w:b/>
        <w:bCs/>
      </w:rPr>
      <w:tcPr>
        <w:tcBorders>
          <w:bottom w:val="single" w:color="0F9ED5" w:themeColor="accent4" w:sz="4" w:space="0"/>
        </w:tcBorders>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27">
    <w:name w:val="清单表 6 彩色 - 着色 51"/>
    <w:basedOn w:val="89"/>
    <w:qFormat/>
    <w:uiPriority w:val="51"/>
    <w:rPr>
      <w:color w:val="78206E" w:themeColor="accent5" w:themeShade="BF"/>
    </w:rPr>
    <w:tblPr>
      <w:tblBorders>
        <w:top w:val="single" w:color="A02B93" w:themeColor="accent5" w:sz="4" w:space="0"/>
        <w:bottom w:val="single" w:color="A02B93" w:themeColor="accent5" w:sz="4" w:space="0"/>
      </w:tblBorders>
    </w:tblPr>
    <w:tblStylePr w:type="firstRow">
      <w:rPr>
        <w:b/>
        <w:bCs/>
      </w:rPr>
      <w:tcPr>
        <w:tcBorders>
          <w:bottom w:val="single" w:color="A02B93" w:themeColor="accent5" w:sz="4" w:space="0"/>
        </w:tcBorders>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28">
    <w:name w:val="清单表 6 彩色 - 着色 61"/>
    <w:basedOn w:val="89"/>
    <w:qFormat/>
    <w:uiPriority w:val="51"/>
    <w:rPr>
      <w:color w:val="3B7D23" w:themeColor="accent6" w:themeShade="BF"/>
    </w:rPr>
    <w:tblPr>
      <w:tblBorders>
        <w:top w:val="single" w:color="4EA72E" w:themeColor="accent6" w:sz="4" w:space="0"/>
        <w:bottom w:val="single" w:color="4EA72E" w:themeColor="accent6" w:sz="4" w:space="0"/>
      </w:tblBorders>
    </w:tblPr>
    <w:tblStylePr w:type="firstRow">
      <w:rPr>
        <w:b/>
        <w:bCs/>
      </w:rPr>
      <w:tcPr>
        <w:tcBorders>
          <w:bottom w:val="single" w:color="4EA72E" w:themeColor="accent6" w:sz="4" w:space="0"/>
        </w:tcBorders>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29">
    <w:name w:val="清单表 7 彩色1"/>
    <w:basedOn w:val="89"/>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0">
    <w:name w:val="清单表 7 彩色 - 着色 11"/>
    <w:basedOn w:val="89"/>
    <w:qFormat/>
    <w:uiPriority w:val="52"/>
    <w:rPr>
      <w:color w:val="104862" w:themeColor="accent1" w:themeShade="BF"/>
    </w:rPr>
    <w:tblStylePr w:type="firstRow">
      <w:rPr>
        <w:rFonts w:asciiTheme="majorHAnsi" w:hAnsiTheme="majorHAnsi" w:eastAsiaTheme="majorEastAsia" w:cstheme="majorBidi"/>
        <w:i/>
        <w:iCs/>
        <w:sz w:val="26"/>
      </w:rPr>
      <w:tcPr>
        <w:tcBorders>
          <w:bottom w:val="single" w:color="156082"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56082"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56082"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56082" w:themeColor="accent1" w:sz="4" w:space="0"/>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1">
    <w:name w:val="清单表 7 彩色 - 着色 21"/>
    <w:basedOn w:val="89"/>
    <w:qFormat/>
    <w:uiPriority w:val="52"/>
    <w:rPr>
      <w:color w:val="C04F15" w:themeColor="accent2" w:themeShade="BF"/>
    </w:rPr>
    <w:tblStylePr w:type="firstRow">
      <w:rPr>
        <w:rFonts w:asciiTheme="majorHAnsi" w:hAnsiTheme="majorHAnsi" w:eastAsiaTheme="majorEastAsia" w:cstheme="majorBidi"/>
        <w:i/>
        <w:iCs/>
        <w:sz w:val="26"/>
      </w:rPr>
      <w:tcPr>
        <w:tcBorders>
          <w:bottom w:val="single" w:color="E97132"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97132"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97132"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97132" w:themeColor="accent2" w:sz="4" w:space="0"/>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2">
    <w:name w:val="清单表 7 彩色 - 着色 31"/>
    <w:basedOn w:val="89"/>
    <w:qFormat/>
    <w:uiPriority w:val="52"/>
    <w:rPr>
      <w:color w:val="13501B" w:themeColor="accent3" w:themeShade="BF"/>
    </w:rPr>
    <w:tblStylePr w:type="firstRow">
      <w:rPr>
        <w:rFonts w:asciiTheme="majorHAnsi" w:hAnsiTheme="majorHAnsi" w:eastAsiaTheme="majorEastAsia" w:cstheme="majorBidi"/>
        <w:i/>
        <w:iCs/>
        <w:sz w:val="26"/>
      </w:rPr>
      <w:tcPr>
        <w:tcBorders>
          <w:bottom w:val="single" w:color="196B24"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96B24"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96B24"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96B24" w:themeColor="accent3" w:sz="4" w:space="0"/>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3">
    <w:name w:val="清单表 7 彩色 - 着色 41"/>
    <w:basedOn w:val="89"/>
    <w:qFormat/>
    <w:uiPriority w:val="52"/>
    <w:rPr>
      <w:color w:val="0B76A0" w:themeColor="accent4" w:themeShade="BF"/>
    </w:rPr>
    <w:tblStylePr w:type="firstRow">
      <w:rPr>
        <w:rFonts w:asciiTheme="majorHAnsi" w:hAnsiTheme="majorHAnsi" w:eastAsiaTheme="majorEastAsia" w:cstheme="majorBidi"/>
        <w:i/>
        <w:iCs/>
        <w:sz w:val="26"/>
      </w:rPr>
      <w:tcPr>
        <w:tcBorders>
          <w:bottom w:val="single" w:color="0F9ED5"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F9ED5"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F9ED5"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F9ED5" w:themeColor="accent4" w:sz="4" w:space="0"/>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4">
    <w:name w:val="清单表 7 彩色 - 着色 51"/>
    <w:basedOn w:val="89"/>
    <w:qFormat/>
    <w:uiPriority w:val="52"/>
    <w:rPr>
      <w:color w:val="78206E" w:themeColor="accent5" w:themeShade="BF"/>
    </w:rPr>
    <w:tblStylePr w:type="firstRow">
      <w:rPr>
        <w:rFonts w:asciiTheme="majorHAnsi" w:hAnsiTheme="majorHAnsi" w:eastAsiaTheme="majorEastAsia" w:cstheme="majorBidi"/>
        <w:i/>
        <w:iCs/>
        <w:sz w:val="26"/>
      </w:rPr>
      <w:tcPr>
        <w:tcBorders>
          <w:bottom w:val="single" w:color="A02B93"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02B93"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02B93"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02B93" w:themeColor="accent5" w:sz="4" w:space="0"/>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5">
    <w:name w:val="清单表 7 彩色 - 着色 61"/>
    <w:basedOn w:val="89"/>
    <w:qFormat/>
    <w:uiPriority w:val="52"/>
    <w:rPr>
      <w:color w:val="3B7D23" w:themeColor="accent6" w:themeShade="BF"/>
    </w:rPr>
    <w:tblStylePr w:type="firstRow">
      <w:rPr>
        <w:rFonts w:asciiTheme="majorHAnsi" w:hAnsiTheme="majorHAnsi" w:eastAsiaTheme="majorEastAsia" w:cstheme="majorBidi"/>
        <w:i/>
        <w:iCs/>
        <w:sz w:val="26"/>
      </w:rPr>
      <w:tcPr>
        <w:tcBorders>
          <w:bottom w:val="single" w:color="4EA72E"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EA72E"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EA72E"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EA72E" w:themeColor="accent6" w:sz="4" w:space="0"/>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336">
    <w:name w:val="日期 字符"/>
    <w:basedOn w:val="232"/>
    <w:link w:val="51"/>
    <w:semiHidden/>
    <w:qFormat/>
    <w:uiPriority w:val="99"/>
  </w:style>
  <w:style w:type="character" w:customStyle="1" w:styleId="337">
    <w:name w:val="书籍标题1"/>
    <w:basedOn w:val="232"/>
    <w:qFormat/>
    <w:uiPriority w:val="33"/>
    <w:rPr>
      <w:b/>
      <w:bCs/>
      <w:i/>
      <w:iCs/>
      <w:spacing w:val="5"/>
    </w:rPr>
  </w:style>
  <w:style w:type="paragraph" w:customStyle="1" w:styleId="338">
    <w:name w:val="书目1"/>
    <w:basedOn w:val="1"/>
    <w:next w:val="1"/>
    <w:semiHidden/>
    <w:unhideWhenUsed/>
    <w:qFormat/>
    <w:uiPriority w:val="37"/>
  </w:style>
  <w:style w:type="table" w:customStyle="1" w:styleId="339">
    <w:name w:val="网格表 1 浅色1"/>
    <w:basedOn w:val="89"/>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340">
    <w:name w:val="网格表 1 浅色 - 着色 11"/>
    <w:basedOn w:val="89"/>
    <w:qFormat/>
    <w:uiPriority w:val="46"/>
    <w:tblPr>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2" w:space="0"/>
        </w:tcBorders>
      </w:tcPr>
    </w:tblStylePr>
    <w:tblStylePr w:type="firstCol">
      <w:rPr>
        <w:b/>
        <w:bCs/>
      </w:rPr>
    </w:tblStylePr>
    <w:tblStylePr w:type="lastCol">
      <w:rPr>
        <w:b/>
        <w:bCs/>
      </w:rPr>
    </w:tblStylePr>
  </w:style>
  <w:style w:type="table" w:customStyle="1" w:styleId="341">
    <w:name w:val="网格表 1 浅色 - 着色 21"/>
    <w:basedOn w:val="89"/>
    <w:qFormat/>
    <w:uiPriority w:val="46"/>
    <w:tblPr>
      <w:tblBorders>
        <w:top w:val="single" w:color="F6C6AC" w:themeColor="accent2" w:themeTint="66" w:sz="4" w:space="0"/>
        <w:left w:val="single" w:color="F6C6AC" w:themeColor="accent2" w:themeTint="66" w:sz="4" w:space="0"/>
        <w:bottom w:val="single" w:color="F6C6AC" w:themeColor="accent2" w:themeTint="66" w:sz="4" w:space="0"/>
        <w:right w:val="single" w:color="F6C6AC" w:themeColor="accent2" w:themeTint="66" w:sz="4" w:space="0"/>
        <w:insideH w:val="single" w:color="F6C6AC" w:themeColor="accent2" w:themeTint="66" w:sz="4" w:space="0"/>
        <w:insideV w:val="single" w:color="F6C6AC" w:themeColor="accent2" w:themeTint="66"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2" w:space="0"/>
        </w:tcBorders>
      </w:tcPr>
    </w:tblStylePr>
    <w:tblStylePr w:type="firstCol">
      <w:rPr>
        <w:b/>
        <w:bCs/>
      </w:rPr>
    </w:tblStylePr>
    <w:tblStylePr w:type="lastCol">
      <w:rPr>
        <w:b/>
        <w:bCs/>
      </w:rPr>
    </w:tblStylePr>
  </w:style>
  <w:style w:type="table" w:customStyle="1" w:styleId="342">
    <w:name w:val="网格表 1 浅色 - 着色 31"/>
    <w:basedOn w:val="89"/>
    <w:qFormat/>
    <w:uiPriority w:val="46"/>
    <w:tblPr>
      <w:tblBorders>
        <w:top w:val="single" w:color="84E291" w:themeColor="accent3" w:themeTint="66" w:sz="4" w:space="0"/>
        <w:left w:val="single" w:color="84E291" w:themeColor="accent3" w:themeTint="66" w:sz="4" w:space="0"/>
        <w:bottom w:val="single" w:color="84E291" w:themeColor="accent3" w:themeTint="66" w:sz="4" w:space="0"/>
        <w:right w:val="single" w:color="84E291" w:themeColor="accent3" w:themeTint="66" w:sz="4" w:space="0"/>
        <w:insideH w:val="single" w:color="84E291" w:themeColor="accent3" w:themeTint="66" w:sz="4" w:space="0"/>
        <w:insideV w:val="single" w:color="84E291" w:themeColor="accent3" w:themeTint="66"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2" w:space="0"/>
        </w:tcBorders>
      </w:tcPr>
    </w:tblStylePr>
    <w:tblStylePr w:type="firstCol">
      <w:rPr>
        <w:b/>
        <w:bCs/>
      </w:rPr>
    </w:tblStylePr>
    <w:tblStylePr w:type="lastCol">
      <w:rPr>
        <w:b/>
        <w:bCs/>
      </w:rPr>
    </w:tblStylePr>
  </w:style>
  <w:style w:type="table" w:customStyle="1" w:styleId="343">
    <w:name w:val="网格表 1 浅色 - 着色 41"/>
    <w:basedOn w:val="89"/>
    <w:qFormat/>
    <w:uiPriority w:val="46"/>
    <w:tblPr>
      <w:tblBorders>
        <w:top w:val="single" w:color="95DCF7" w:themeColor="accent4" w:themeTint="66" w:sz="4" w:space="0"/>
        <w:left w:val="single" w:color="95DCF7" w:themeColor="accent4" w:themeTint="66" w:sz="4" w:space="0"/>
        <w:bottom w:val="single" w:color="95DCF7" w:themeColor="accent4" w:themeTint="66" w:sz="4" w:space="0"/>
        <w:right w:val="single" w:color="95DCF7" w:themeColor="accent4" w:themeTint="66" w:sz="4" w:space="0"/>
        <w:insideH w:val="single" w:color="95DCF7" w:themeColor="accent4" w:themeTint="66" w:sz="4" w:space="0"/>
        <w:insideV w:val="single" w:color="95DCF7" w:themeColor="accent4" w:themeTint="66"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2" w:space="0"/>
        </w:tcBorders>
      </w:tcPr>
    </w:tblStylePr>
    <w:tblStylePr w:type="firstCol">
      <w:rPr>
        <w:b/>
        <w:bCs/>
      </w:rPr>
    </w:tblStylePr>
    <w:tblStylePr w:type="lastCol">
      <w:rPr>
        <w:b/>
        <w:bCs/>
      </w:rPr>
    </w:tblStylePr>
  </w:style>
  <w:style w:type="table" w:customStyle="1" w:styleId="344">
    <w:name w:val="网格表 1 浅色 - 着色 51"/>
    <w:basedOn w:val="89"/>
    <w:qFormat/>
    <w:uiPriority w:val="46"/>
    <w:tblPr>
      <w:tblBorders>
        <w:top w:val="single" w:color="E49EDD" w:themeColor="accent5" w:themeTint="66" w:sz="4" w:space="0"/>
        <w:left w:val="single" w:color="E49EDD" w:themeColor="accent5" w:themeTint="66" w:sz="4" w:space="0"/>
        <w:bottom w:val="single" w:color="E49EDD" w:themeColor="accent5" w:themeTint="66" w:sz="4" w:space="0"/>
        <w:right w:val="single" w:color="E49EDD" w:themeColor="accent5" w:themeTint="66" w:sz="4" w:space="0"/>
        <w:insideH w:val="single" w:color="E49EDD" w:themeColor="accent5" w:themeTint="66" w:sz="4" w:space="0"/>
        <w:insideV w:val="single" w:color="E49EDD" w:themeColor="accent5" w:themeTint="66"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2" w:space="0"/>
        </w:tcBorders>
      </w:tcPr>
    </w:tblStylePr>
    <w:tblStylePr w:type="firstCol">
      <w:rPr>
        <w:b/>
        <w:bCs/>
      </w:rPr>
    </w:tblStylePr>
    <w:tblStylePr w:type="lastCol">
      <w:rPr>
        <w:b/>
        <w:bCs/>
      </w:rPr>
    </w:tblStylePr>
  </w:style>
  <w:style w:type="table" w:customStyle="1" w:styleId="345">
    <w:name w:val="网格表 1 浅色 - 着色 61"/>
    <w:basedOn w:val="89"/>
    <w:qFormat/>
    <w:uiPriority w:val="46"/>
    <w:tblPr>
      <w:tblBorders>
        <w:top w:val="single" w:color="B3E5A1" w:themeColor="accent6" w:themeTint="66" w:sz="4" w:space="0"/>
        <w:left w:val="single" w:color="B3E5A1" w:themeColor="accent6" w:themeTint="66" w:sz="4" w:space="0"/>
        <w:bottom w:val="single" w:color="B3E5A1" w:themeColor="accent6" w:themeTint="66" w:sz="4" w:space="0"/>
        <w:right w:val="single" w:color="B3E5A1" w:themeColor="accent6" w:themeTint="66" w:sz="4" w:space="0"/>
        <w:insideH w:val="single" w:color="B3E5A1" w:themeColor="accent6" w:themeTint="66" w:sz="4" w:space="0"/>
        <w:insideV w:val="single" w:color="B3E5A1" w:themeColor="accent6" w:themeTint="66"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2" w:space="0"/>
        </w:tcBorders>
      </w:tcPr>
    </w:tblStylePr>
    <w:tblStylePr w:type="firstCol">
      <w:rPr>
        <w:b/>
        <w:bCs/>
      </w:rPr>
    </w:tblStylePr>
    <w:tblStylePr w:type="lastCol">
      <w:rPr>
        <w:b/>
        <w:bCs/>
      </w:rPr>
    </w:tblStylePr>
  </w:style>
  <w:style w:type="table" w:customStyle="1" w:styleId="346">
    <w:name w:val="网格表 21"/>
    <w:basedOn w:val="89"/>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47">
    <w:name w:val="网格表 2 - 着色 11"/>
    <w:basedOn w:val="89"/>
    <w:qFormat/>
    <w:uiPriority w:val="47"/>
    <w:tblPr>
      <w:tblBorders>
        <w:top w:val="single" w:color="45B0E1" w:themeColor="accent1" w:themeTint="99" w:sz="2" w:space="0"/>
        <w:bottom w:val="single" w:color="45B0E1" w:themeColor="accent1" w:themeTint="99" w:sz="2" w:space="0"/>
        <w:insideH w:val="single" w:color="45B0E1" w:themeColor="accent1" w:themeTint="99" w:sz="2" w:space="0"/>
        <w:insideV w:val="single" w:color="45B0E1" w:themeColor="accent1" w:themeTint="99" w:sz="2" w:space="0"/>
      </w:tblBorders>
    </w:tblPr>
    <w:tblStylePr w:type="firstRow">
      <w:rPr>
        <w:b/>
        <w:bCs/>
      </w:rPr>
      <w:tcPr>
        <w:tcBorders>
          <w:top w:val="nil"/>
          <w:bottom w:val="single" w:color="45B0E1" w:themeColor="accent1" w:themeTint="99" w:sz="12" w:space="0"/>
          <w:insideH w:val="nil"/>
          <w:insideV w:val="nil"/>
        </w:tcBorders>
        <w:shd w:val="clear" w:color="auto" w:fill="FFFFFF" w:themeFill="background1"/>
      </w:tcPr>
    </w:tblStylePr>
    <w:tblStylePr w:type="lastRow">
      <w:rPr>
        <w:b/>
        <w:bCs/>
      </w:rPr>
      <w:tcPr>
        <w:tcBorders>
          <w:top w:val="double" w:color="45B0E1"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48">
    <w:name w:val="网格表 2 - 着色 21"/>
    <w:basedOn w:val="89"/>
    <w:qFormat/>
    <w:uiPriority w:val="47"/>
    <w:tblPr>
      <w:tblBorders>
        <w:top w:val="single" w:color="F1A983" w:themeColor="accent2" w:themeTint="99" w:sz="2" w:space="0"/>
        <w:bottom w:val="single" w:color="F1A983" w:themeColor="accent2" w:themeTint="99" w:sz="2" w:space="0"/>
        <w:insideH w:val="single" w:color="F1A983" w:themeColor="accent2" w:themeTint="99" w:sz="2" w:space="0"/>
        <w:insideV w:val="single" w:color="F1A983" w:themeColor="accent2" w:themeTint="99" w:sz="2" w:space="0"/>
      </w:tblBorders>
    </w:tblPr>
    <w:tblStylePr w:type="firstRow">
      <w:rPr>
        <w:b/>
        <w:bCs/>
      </w:rPr>
      <w:tcPr>
        <w:tcBorders>
          <w:top w:val="nil"/>
          <w:bottom w:val="single" w:color="F1A983" w:themeColor="accent2" w:themeTint="99" w:sz="12" w:space="0"/>
          <w:insideH w:val="nil"/>
          <w:insideV w:val="nil"/>
        </w:tcBorders>
        <w:shd w:val="clear" w:color="auto" w:fill="FFFFFF" w:themeFill="background1"/>
      </w:tcPr>
    </w:tblStylePr>
    <w:tblStylePr w:type="lastRow">
      <w:rPr>
        <w:b/>
        <w:bCs/>
      </w:rPr>
      <w:tcPr>
        <w:tcBorders>
          <w:top w:val="double" w:color="F1A9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49">
    <w:name w:val="网格表 2 - 着色 31"/>
    <w:basedOn w:val="89"/>
    <w:qFormat/>
    <w:uiPriority w:val="47"/>
    <w:tblPr>
      <w:tblBorders>
        <w:top w:val="single" w:color="47D45A" w:themeColor="accent3" w:themeTint="99" w:sz="2" w:space="0"/>
        <w:bottom w:val="single" w:color="47D45A" w:themeColor="accent3" w:themeTint="99" w:sz="2" w:space="0"/>
        <w:insideH w:val="single" w:color="47D45A" w:themeColor="accent3" w:themeTint="99" w:sz="2" w:space="0"/>
        <w:insideV w:val="single" w:color="47D45A" w:themeColor="accent3" w:themeTint="99" w:sz="2" w:space="0"/>
      </w:tblBorders>
    </w:tblPr>
    <w:tblStylePr w:type="firstRow">
      <w:rPr>
        <w:b/>
        <w:bCs/>
      </w:rPr>
      <w:tcPr>
        <w:tcBorders>
          <w:top w:val="nil"/>
          <w:bottom w:val="single" w:color="47D45A" w:themeColor="accent3" w:themeTint="99" w:sz="12" w:space="0"/>
          <w:insideH w:val="nil"/>
          <w:insideV w:val="nil"/>
        </w:tcBorders>
        <w:shd w:val="clear" w:color="auto" w:fill="FFFFFF" w:themeFill="background1"/>
      </w:tcPr>
    </w:tblStylePr>
    <w:tblStylePr w:type="lastRow">
      <w:rPr>
        <w:b/>
        <w:bCs/>
      </w:rPr>
      <w:tcPr>
        <w:tcBorders>
          <w:top w:val="double" w:color="47D45A"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50">
    <w:name w:val="网格表 2 - 着色 41"/>
    <w:basedOn w:val="89"/>
    <w:qFormat/>
    <w:uiPriority w:val="47"/>
    <w:tblPr>
      <w:tblBorders>
        <w:top w:val="single" w:color="60CBF3" w:themeColor="accent4" w:themeTint="99" w:sz="2" w:space="0"/>
        <w:bottom w:val="single" w:color="60CBF3" w:themeColor="accent4" w:themeTint="99" w:sz="2" w:space="0"/>
        <w:insideH w:val="single" w:color="60CBF3" w:themeColor="accent4" w:themeTint="99" w:sz="2" w:space="0"/>
        <w:insideV w:val="single" w:color="60CBF3" w:themeColor="accent4" w:themeTint="99" w:sz="2" w:space="0"/>
      </w:tblBorders>
    </w:tblPr>
    <w:tblStylePr w:type="firstRow">
      <w:rPr>
        <w:b/>
        <w:bCs/>
      </w:rPr>
      <w:tcPr>
        <w:tcBorders>
          <w:top w:val="nil"/>
          <w:bottom w:val="single" w:color="60CBF3" w:themeColor="accent4" w:themeTint="99" w:sz="12" w:space="0"/>
          <w:insideH w:val="nil"/>
          <w:insideV w:val="nil"/>
        </w:tcBorders>
        <w:shd w:val="clear" w:color="auto" w:fill="FFFFFF" w:themeFill="background1"/>
      </w:tcPr>
    </w:tblStylePr>
    <w:tblStylePr w:type="lastRow">
      <w:rPr>
        <w:b/>
        <w:bCs/>
      </w:rPr>
      <w:tcPr>
        <w:tcBorders>
          <w:top w:val="double" w:color="60CBF3"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51">
    <w:name w:val="网格表 2 - 着色 51"/>
    <w:basedOn w:val="89"/>
    <w:qFormat/>
    <w:uiPriority w:val="47"/>
    <w:tblPr>
      <w:tblBorders>
        <w:top w:val="single" w:color="D76DCC" w:themeColor="accent5" w:themeTint="99" w:sz="2" w:space="0"/>
        <w:bottom w:val="single" w:color="D76DCC" w:themeColor="accent5" w:themeTint="99" w:sz="2" w:space="0"/>
        <w:insideH w:val="single" w:color="D76DCC" w:themeColor="accent5" w:themeTint="99" w:sz="2" w:space="0"/>
        <w:insideV w:val="single" w:color="D76DCC" w:themeColor="accent5" w:themeTint="99" w:sz="2" w:space="0"/>
      </w:tblBorders>
    </w:tblPr>
    <w:tblStylePr w:type="firstRow">
      <w:rPr>
        <w:b/>
        <w:bCs/>
      </w:rPr>
      <w:tcPr>
        <w:tcBorders>
          <w:top w:val="nil"/>
          <w:bottom w:val="single" w:color="D76DCC" w:themeColor="accent5" w:themeTint="99" w:sz="12" w:space="0"/>
          <w:insideH w:val="nil"/>
          <w:insideV w:val="nil"/>
        </w:tcBorders>
        <w:shd w:val="clear" w:color="auto" w:fill="FFFFFF" w:themeFill="background1"/>
      </w:tcPr>
    </w:tblStylePr>
    <w:tblStylePr w:type="lastRow">
      <w:rPr>
        <w:b/>
        <w:bCs/>
      </w:rPr>
      <w:tcPr>
        <w:tcBorders>
          <w:top w:val="double" w:color="D76DC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52">
    <w:name w:val="网格表 2 - 着色 61"/>
    <w:basedOn w:val="89"/>
    <w:qFormat/>
    <w:uiPriority w:val="47"/>
    <w:tblPr>
      <w:tblBorders>
        <w:top w:val="single" w:color="8ED873" w:themeColor="accent6" w:themeTint="99" w:sz="2" w:space="0"/>
        <w:bottom w:val="single" w:color="8ED873" w:themeColor="accent6" w:themeTint="99" w:sz="2" w:space="0"/>
        <w:insideH w:val="single" w:color="8ED873" w:themeColor="accent6" w:themeTint="99" w:sz="2" w:space="0"/>
        <w:insideV w:val="single" w:color="8ED873" w:themeColor="accent6" w:themeTint="99" w:sz="2" w:space="0"/>
      </w:tblBorders>
    </w:tblPr>
    <w:tblStylePr w:type="firstRow">
      <w:rPr>
        <w:b/>
        <w:bCs/>
      </w:rPr>
      <w:tcPr>
        <w:tcBorders>
          <w:top w:val="nil"/>
          <w:bottom w:val="single" w:color="8ED873" w:themeColor="accent6" w:themeTint="99" w:sz="12" w:space="0"/>
          <w:insideH w:val="nil"/>
          <w:insideV w:val="nil"/>
        </w:tcBorders>
        <w:shd w:val="clear" w:color="auto" w:fill="FFFFFF" w:themeFill="background1"/>
      </w:tcPr>
    </w:tblStylePr>
    <w:tblStylePr w:type="lastRow">
      <w:rPr>
        <w:b/>
        <w:bCs/>
      </w:rPr>
      <w:tcPr>
        <w:tcBorders>
          <w:top w:val="double" w:color="8ED873"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53">
    <w:name w:val="网格表 31"/>
    <w:basedOn w:val="89"/>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54">
    <w:name w:val="网格表 3 - 着色 11"/>
    <w:basedOn w:val="89"/>
    <w:qFormat/>
    <w:uiPriority w:val="48"/>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55">
    <w:name w:val="网格表 3 - 着色 21"/>
    <w:basedOn w:val="89"/>
    <w:qFormat/>
    <w:uiPriority w:val="48"/>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56">
    <w:name w:val="网格表 3 - 着色 31"/>
    <w:basedOn w:val="89"/>
    <w:qFormat/>
    <w:uiPriority w:val="48"/>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57">
    <w:name w:val="网格表 3 - 着色 41"/>
    <w:basedOn w:val="89"/>
    <w:qFormat/>
    <w:uiPriority w:val="48"/>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58">
    <w:name w:val="网格表 3 - 着色 51"/>
    <w:basedOn w:val="89"/>
    <w:qFormat/>
    <w:uiPriority w:val="48"/>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59">
    <w:name w:val="网格表 3 - 着色 61"/>
    <w:basedOn w:val="89"/>
    <w:qFormat/>
    <w:uiPriority w:val="48"/>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60">
    <w:name w:val="网格表 41"/>
    <w:basedOn w:val="89"/>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61">
    <w:name w:val="网格表 4 - 着色 11"/>
    <w:basedOn w:val="89"/>
    <w:qFormat/>
    <w:uiPriority w:val="49"/>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insideV w:val="nil"/>
        </w:tcBorders>
        <w:shd w:val="clear" w:color="auto" w:fill="156082" w:themeFill="accent1"/>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62">
    <w:name w:val="网格表 4 - 着色 21"/>
    <w:basedOn w:val="89"/>
    <w:qFormat/>
    <w:uiPriority w:val="49"/>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insideV w:val="nil"/>
        </w:tcBorders>
        <w:shd w:val="clear" w:color="auto" w:fill="E97132" w:themeFill="accent2"/>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63">
    <w:name w:val="网格表 4 - 着色 31"/>
    <w:basedOn w:val="89"/>
    <w:qFormat/>
    <w:uiPriority w:val="49"/>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insideV w:val="nil"/>
        </w:tcBorders>
        <w:shd w:val="clear" w:color="auto" w:fill="196B24" w:themeFill="accent3"/>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64">
    <w:name w:val="网格表 4 - 着色 41"/>
    <w:basedOn w:val="89"/>
    <w:qFormat/>
    <w:uiPriority w:val="49"/>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insideV w:val="nil"/>
        </w:tcBorders>
        <w:shd w:val="clear" w:color="auto" w:fill="0F9ED5" w:themeFill="accent4"/>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65">
    <w:name w:val="网格表 4 - 着色 51"/>
    <w:basedOn w:val="89"/>
    <w:qFormat/>
    <w:uiPriority w:val="49"/>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insideV w:val="nil"/>
        </w:tcBorders>
        <w:shd w:val="clear" w:color="auto" w:fill="A02B93" w:themeFill="accent5"/>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66">
    <w:name w:val="网格表 4 - 着色 61"/>
    <w:basedOn w:val="89"/>
    <w:qFormat/>
    <w:uiPriority w:val="49"/>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insideV w:val="nil"/>
        </w:tcBorders>
        <w:shd w:val="clear" w:color="auto" w:fill="4EA72E" w:themeFill="accent6"/>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67">
    <w:name w:val="网格表 5 深色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368">
    <w:name w:val="网格表 5 深色 - 着色 1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E4F5"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56082"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56082"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56082"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56082" w:themeFill="accent1"/>
      </w:tcPr>
    </w:tblStylePr>
    <w:tblStylePr w:type="band1Vert">
      <w:tcPr>
        <w:shd w:val="clear" w:color="auto" w:fill="83CAEB" w:themeFill="accent1" w:themeFillTint="66"/>
      </w:tcPr>
    </w:tblStylePr>
    <w:tblStylePr w:type="band1Horz">
      <w:tcPr>
        <w:shd w:val="clear" w:color="auto" w:fill="83CAEB" w:themeFill="accent1" w:themeFillTint="66"/>
      </w:tcPr>
    </w:tblStylePr>
  </w:style>
  <w:style w:type="table" w:customStyle="1" w:styleId="369">
    <w:name w:val="网格表 5 深色 - 着色 2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AE2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97132"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97132"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97132"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97132" w:themeFill="accent2"/>
      </w:tcPr>
    </w:tblStylePr>
    <w:tblStylePr w:type="band1Vert">
      <w:tcPr>
        <w:shd w:val="clear" w:color="auto" w:fill="F6C6AC" w:themeFill="accent2" w:themeFillTint="66"/>
      </w:tcPr>
    </w:tblStylePr>
    <w:tblStylePr w:type="band1Horz">
      <w:tcPr>
        <w:shd w:val="clear" w:color="auto" w:fill="F6C6AC" w:themeFill="accent2" w:themeFillTint="66"/>
      </w:tcPr>
    </w:tblStylePr>
  </w:style>
  <w:style w:type="table" w:customStyle="1" w:styleId="370">
    <w:name w:val="网格表 5 深色 - 着色 3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F0C8"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96B24"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96B24"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96B24"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96B24" w:themeFill="accent3"/>
      </w:tcPr>
    </w:tblStylePr>
    <w:tblStylePr w:type="band1Vert">
      <w:tcPr>
        <w:shd w:val="clear" w:color="auto" w:fill="84E291" w:themeFill="accent3" w:themeFillTint="66"/>
      </w:tcPr>
    </w:tblStylePr>
    <w:tblStylePr w:type="band1Horz">
      <w:tcPr>
        <w:shd w:val="clear" w:color="auto" w:fill="84E291" w:themeFill="accent3" w:themeFillTint="66"/>
      </w:tcPr>
    </w:tblStylePr>
  </w:style>
  <w:style w:type="table" w:customStyle="1" w:styleId="371">
    <w:name w:val="网格表 5 深色 - 着色 4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AEDFB"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F9ED5"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F9ED5"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F9ED5"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F9ED5" w:themeFill="accent4"/>
      </w:tcPr>
    </w:tblStylePr>
    <w:tblStylePr w:type="band1Vert">
      <w:tcPr>
        <w:shd w:val="clear" w:color="auto" w:fill="95DCF7" w:themeFill="accent4" w:themeFillTint="66"/>
      </w:tcPr>
    </w:tblStylePr>
    <w:tblStylePr w:type="band1Horz">
      <w:tcPr>
        <w:shd w:val="clear" w:color="auto" w:fill="95DCF7" w:themeFill="accent4" w:themeFillTint="66"/>
      </w:tcPr>
    </w:tblStylePr>
  </w:style>
  <w:style w:type="table" w:customStyle="1" w:styleId="372">
    <w:name w:val="网格表 5 深色 - 着色 5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1CEEE"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02B93"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02B93"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02B93"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02B93" w:themeFill="accent5"/>
      </w:tcPr>
    </w:tblStylePr>
    <w:tblStylePr w:type="band1Vert">
      <w:tcPr>
        <w:shd w:val="clear" w:color="auto" w:fill="E49EDD" w:themeFill="accent5" w:themeFillTint="66"/>
      </w:tcPr>
    </w:tblStylePr>
    <w:tblStylePr w:type="band1Horz">
      <w:tcPr>
        <w:shd w:val="clear" w:color="auto" w:fill="E49EDD" w:themeFill="accent5" w:themeFillTint="66"/>
      </w:tcPr>
    </w:tblStylePr>
  </w:style>
  <w:style w:type="table" w:customStyle="1" w:styleId="373">
    <w:name w:val="网格表 5 深色 - 着色 6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F2D0"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EA72E"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EA72E"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EA72E"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EA72E" w:themeFill="accent6"/>
      </w:tcPr>
    </w:tblStylePr>
    <w:tblStylePr w:type="band1Vert">
      <w:tcPr>
        <w:shd w:val="clear" w:color="auto" w:fill="B3E5A1" w:themeFill="accent6" w:themeFillTint="66"/>
      </w:tcPr>
    </w:tblStylePr>
    <w:tblStylePr w:type="band1Horz">
      <w:tcPr>
        <w:shd w:val="clear" w:color="auto" w:fill="B3E5A1" w:themeFill="accent6" w:themeFillTint="66"/>
      </w:tcPr>
    </w:tblStylePr>
  </w:style>
  <w:style w:type="table" w:customStyle="1" w:styleId="374">
    <w:name w:val="网格表 6 彩色1"/>
    <w:basedOn w:val="89"/>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5">
    <w:name w:val="网格表 6 彩色 - 着色 11"/>
    <w:basedOn w:val="89"/>
    <w:qFormat/>
    <w:uiPriority w:val="51"/>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76">
    <w:name w:val="网格表 6 彩色 - 着色 21"/>
    <w:basedOn w:val="89"/>
    <w:qFormat/>
    <w:uiPriority w:val="51"/>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77">
    <w:name w:val="网格表 6 彩色 - 着色 31"/>
    <w:basedOn w:val="89"/>
    <w:qFormat/>
    <w:uiPriority w:val="51"/>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78">
    <w:name w:val="网格表 6 彩色 - 着色 41"/>
    <w:basedOn w:val="89"/>
    <w:qFormat/>
    <w:uiPriority w:val="51"/>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79">
    <w:name w:val="网格表 6 彩色 - 着色 51"/>
    <w:basedOn w:val="89"/>
    <w:qFormat/>
    <w:uiPriority w:val="51"/>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80">
    <w:name w:val="网格表 6 彩色 - 着色 61"/>
    <w:basedOn w:val="89"/>
    <w:qFormat/>
    <w:uiPriority w:val="51"/>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81">
    <w:name w:val="网格表 7 彩色1"/>
    <w:basedOn w:val="89"/>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82">
    <w:name w:val="网格表 7 彩色 - 着色 11"/>
    <w:basedOn w:val="89"/>
    <w:qFormat/>
    <w:uiPriority w:val="52"/>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83">
    <w:name w:val="网格表 7 彩色 - 着色 21"/>
    <w:basedOn w:val="89"/>
    <w:qFormat/>
    <w:uiPriority w:val="52"/>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84">
    <w:name w:val="网格表 7 彩色 - 着色 31"/>
    <w:basedOn w:val="89"/>
    <w:qFormat/>
    <w:uiPriority w:val="52"/>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85">
    <w:name w:val="网格表 7 彩色 - 着色 41"/>
    <w:basedOn w:val="89"/>
    <w:qFormat/>
    <w:uiPriority w:val="52"/>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86">
    <w:name w:val="网格表 7 彩色 - 着色 51"/>
    <w:basedOn w:val="89"/>
    <w:qFormat/>
    <w:uiPriority w:val="52"/>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87">
    <w:name w:val="网格表 7 彩色 - 着色 61"/>
    <w:basedOn w:val="89"/>
    <w:qFormat/>
    <w:uiPriority w:val="52"/>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88">
    <w:name w:val="网格型浅色1"/>
    <w:basedOn w:val="89"/>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389">
    <w:name w:val="尾注文本 字符"/>
    <w:basedOn w:val="232"/>
    <w:link w:val="53"/>
    <w:semiHidden/>
    <w:qFormat/>
    <w:uiPriority w:val="99"/>
  </w:style>
  <w:style w:type="character" w:customStyle="1" w:styleId="390">
    <w:name w:val="未处理的提及1"/>
    <w:basedOn w:val="232"/>
    <w:semiHidden/>
    <w:unhideWhenUsed/>
    <w:qFormat/>
    <w:uiPriority w:val="99"/>
    <w:rPr>
      <w:color w:val="605E5C"/>
      <w:shd w:val="clear" w:color="auto" w:fill="E1DFDD"/>
    </w:rPr>
  </w:style>
  <w:style w:type="character" w:customStyle="1" w:styleId="391">
    <w:name w:val="文档结构图 字符"/>
    <w:basedOn w:val="232"/>
    <w:link w:val="27"/>
    <w:semiHidden/>
    <w:qFormat/>
    <w:uiPriority w:val="99"/>
    <w:rPr>
      <w:rFonts w:ascii="Microsoft YaHei UI" w:eastAsia="Microsoft YaHei UI"/>
      <w:sz w:val="18"/>
      <w:szCs w:val="18"/>
    </w:rPr>
  </w:style>
  <w:style w:type="table" w:customStyle="1" w:styleId="392">
    <w:name w:val="无格式表格 11"/>
    <w:basedOn w:val="89"/>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3">
    <w:name w:val="无格式表格 21"/>
    <w:basedOn w:val="89"/>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394">
    <w:name w:val="无格式表格 31"/>
    <w:basedOn w:val="89"/>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395">
    <w:name w:val="无格式表格 41"/>
    <w:basedOn w:val="89"/>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6">
    <w:name w:val="无格式表格 51"/>
    <w:basedOn w:val="89"/>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397">
    <w:name w:val="No Spacing"/>
    <w:qFormat/>
    <w:uiPriority w:val="1"/>
    <w:pPr>
      <w:widowControl w:val="0"/>
    </w:pPr>
    <w:rPr>
      <w:rFonts w:asciiTheme="minorHAnsi" w:hAnsiTheme="minorHAnsi" w:eastAsiaTheme="minorEastAsia" w:cstheme="minorBidi"/>
      <w:kern w:val="2"/>
      <w:sz w:val="32"/>
      <w:szCs w:val="24"/>
      <w:lang w:val="en-US" w:eastAsia="zh-CN" w:bidi="ar-SA"/>
      <w14:ligatures w14:val="standardContextual"/>
    </w:rPr>
  </w:style>
  <w:style w:type="character" w:customStyle="1" w:styleId="398">
    <w:name w:val="信息标题 字符"/>
    <w:basedOn w:val="232"/>
    <w:link w:val="80"/>
    <w:semiHidden/>
    <w:qFormat/>
    <w:uiPriority w:val="99"/>
    <w:rPr>
      <w:rFonts w:asciiTheme="majorHAnsi" w:hAnsiTheme="majorHAnsi" w:eastAsiaTheme="majorEastAsia" w:cstheme="majorBidi"/>
      <w:sz w:val="24"/>
      <w:shd w:val="pct20" w:color="auto" w:fill="auto"/>
    </w:rPr>
  </w:style>
  <w:style w:type="character" w:styleId="399">
    <w:name w:val="Placeholder Text"/>
    <w:basedOn w:val="232"/>
    <w:semiHidden/>
    <w:qFormat/>
    <w:uiPriority w:val="99"/>
    <w:rPr>
      <w:color w:val="666666"/>
    </w:rPr>
  </w:style>
  <w:style w:type="character" w:customStyle="1" w:styleId="400">
    <w:name w:val="正文文本 字符"/>
    <w:basedOn w:val="232"/>
    <w:link w:val="35"/>
    <w:semiHidden/>
    <w:qFormat/>
    <w:uiPriority w:val="0"/>
    <w:rPr>
      <w:rFonts w:ascii="仿宋" w:hAnsi="仿宋" w:eastAsia="仿宋" w:cs="仿宋"/>
      <w:snapToGrid w:val="0"/>
      <w:color w:val="000000"/>
      <w:kern w:val="0"/>
      <w:sz w:val="24"/>
      <w:lang w:eastAsia="en-US"/>
      <w14:ligatures w14:val="none"/>
    </w:rPr>
  </w:style>
  <w:style w:type="character" w:customStyle="1" w:styleId="401">
    <w:name w:val="正文文本 2 字符"/>
    <w:basedOn w:val="232"/>
    <w:link w:val="77"/>
    <w:semiHidden/>
    <w:qFormat/>
    <w:uiPriority w:val="99"/>
  </w:style>
  <w:style w:type="character" w:customStyle="1" w:styleId="402">
    <w:name w:val="正文文本 3 字符"/>
    <w:basedOn w:val="232"/>
    <w:link w:val="32"/>
    <w:semiHidden/>
    <w:qFormat/>
    <w:uiPriority w:val="99"/>
    <w:rPr>
      <w:sz w:val="16"/>
      <w:szCs w:val="16"/>
    </w:rPr>
  </w:style>
  <w:style w:type="character" w:customStyle="1" w:styleId="403">
    <w:name w:val="正文文本首行缩进 字符"/>
    <w:basedOn w:val="400"/>
    <w:link w:val="87"/>
    <w:semiHidden/>
    <w:qFormat/>
    <w:uiPriority w:val="99"/>
    <w:rPr>
      <w:rFonts w:ascii="仿宋" w:hAnsi="仿宋" w:eastAsia="仿宋" w:cs="仿宋"/>
      <w:snapToGrid w:val="0"/>
      <w:color w:val="000000"/>
      <w:kern w:val="0"/>
      <w:sz w:val="24"/>
      <w:lang w:eastAsia="en-US"/>
      <w14:ligatures w14:val="none"/>
    </w:rPr>
  </w:style>
  <w:style w:type="character" w:customStyle="1" w:styleId="404">
    <w:name w:val="正文文本缩进 字符"/>
    <w:basedOn w:val="232"/>
    <w:link w:val="36"/>
    <w:semiHidden/>
    <w:qFormat/>
    <w:uiPriority w:val="99"/>
  </w:style>
  <w:style w:type="character" w:customStyle="1" w:styleId="405">
    <w:name w:val="正文文本首行缩进 2 字符"/>
    <w:basedOn w:val="404"/>
    <w:link w:val="88"/>
    <w:semiHidden/>
    <w:qFormat/>
    <w:uiPriority w:val="99"/>
  </w:style>
  <w:style w:type="character" w:customStyle="1" w:styleId="406">
    <w:name w:val="正文文本缩进 2 字符"/>
    <w:basedOn w:val="232"/>
    <w:link w:val="52"/>
    <w:semiHidden/>
    <w:qFormat/>
    <w:uiPriority w:val="99"/>
  </w:style>
  <w:style w:type="character" w:customStyle="1" w:styleId="407">
    <w:name w:val="正文文本缩进 3 字符"/>
    <w:basedOn w:val="232"/>
    <w:link w:val="71"/>
    <w:semiHidden/>
    <w:qFormat/>
    <w:uiPriority w:val="99"/>
    <w:rPr>
      <w:sz w:val="16"/>
      <w:szCs w:val="16"/>
    </w:rPr>
  </w:style>
  <w:style w:type="character" w:customStyle="1" w:styleId="408">
    <w:name w:val="智能超链接1"/>
    <w:basedOn w:val="232"/>
    <w:semiHidden/>
    <w:unhideWhenUsed/>
    <w:qFormat/>
    <w:uiPriority w:val="99"/>
    <w:rPr>
      <w:u w:val="dotted"/>
    </w:rPr>
  </w:style>
  <w:style w:type="character" w:customStyle="1" w:styleId="409">
    <w:name w:val="智能链接1"/>
    <w:basedOn w:val="232"/>
    <w:semiHidden/>
    <w:unhideWhenUsed/>
    <w:qFormat/>
    <w:uiPriority w:val="99"/>
    <w:rPr>
      <w:color w:val="0000FF"/>
      <w:u w:val="single"/>
      <w:shd w:val="clear" w:color="auto" w:fill="F3F2F1"/>
    </w:rPr>
  </w:style>
  <w:style w:type="character" w:customStyle="1" w:styleId="410">
    <w:name w:val="注释标题 字符"/>
    <w:basedOn w:val="232"/>
    <w:link w:val="17"/>
    <w:semiHidden/>
    <w:qFormat/>
    <w:uiPriority w:val="99"/>
  </w:style>
  <w:style w:type="character" w:customStyle="1" w:styleId="411">
    <w:name w:val="内容 字符"/>
    <w:basedOn w:val="232"/>
    <w:link w:val="4"/>
    <w:qFormat/>
    <w:uiPriority w:val="0"/>
    <w:rPr>
      <w:rFonts w:eastAsia="仿宋"/>
      <w:sz w:val="32"/>
    </w:rPr>
  </w:style>
  <w:style w:type="paragraph" w:customStyle="1" w:styleId="412">
    <w:name w:val="修订1"/>
    <w:hidden/>
    <w:unhideWhenUsed/>
    <w:qFormat/>
    <w:uiPriority w:val="99"/>
    <w:rPr>
      <w:rFonts w:ascii="仿宋_GB2312" w:hAnsi="宋体" w:eastAsia="仿宋_GB2312" w:cs="宋体"/>
      <w:color w:val="000000"/>
      <w:sz w:val="32"/>
      <w:szCs w:val="32"/>
      <w:lang w:val="en-US" w:eastAsia="zh-CN" w:bidi="ar-SA"/>
      <w14:ligatures w14:val="standardContextual"/>
    </w:rPr>
  </w:style>
  <w:style w:type="paragraph" w:customStyle="1" w:styleId="413">
    <w:name w:val="Revision"/>
    <w:hidden/>
    <w:unhideWhenUsed/>
    <w:qFormat/>
    <w:uiPriority w:val="99"/>
    <w:rPr>
      <w:rFonts w:ascii="仿宋_GB2312" w:hAnsi="宋体" w:eastAsia="仿宋_GB2312" w:cs="宋体"/>
      <w:color w:val="000000"/>
      <w:sz w:val="32"/>
      <w:szCs w:val="32"/>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Tuan">
      <a:majorFont>
        <a:latin typeface="仿宋"/>
        <a:ea typeface="黑体"/>
        <a:cs typeface=""/>
      </a:majorFont>
      <a:minorFont>
        <a:latin typeface="仿宋"/>
        <a:ea typeface="仿宋"/>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2113</Words>
  <Characters>2161</Characters>
  <Lines>69</Lines>
  <Paragraphs>19</Paragraphs>
  <TotalTime>80</TotalTime>
  <ScaleCrop>false</ScaleCrop>
  <LinksUpToDate>false</LinksUpToDate>
  <CharactersWithSpaces>2161</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2024-05-01T07:56:00Z</dcterms:created>
  <dc:creator>Ida Tian</dc:creator>
  <cp:lastModifiedBy>马硕</cp:lastModifiedBy>
  <dcterms:modified xsi:type="dcterms:W3CDTF">2025-08-28T09:41:07Z</dcterms:modified>
  <cp:revision>303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6BB669422080E0A1C447AC68E158881B</vt:lpwstr>
  </property>
  <property fmtid="{D5CDD505-2E9C-101B-9397-08002B2CF9AE}" pid="4" name="KSOTemplateDocerSaveRecord">
    <vt:lpwstr>eyJoZGlkIjoiYTc2ZGZiNzZiNDVlOGViOWVmM2JhOTY0NGJkNjUyYzgiLCJ1c2VySWQiOiIyMjU5MDI2NSJ9</vt:lpwstr>
  </property>
</Properties>
</file>