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5"/>
        <w:ind w:firstLine="810"/>
        <w:rPr>
          <w:rFonts w:hint="eastAsia"/>
        </w:rPr>
      </w:pPr>
    </w:p>
    <w:p>
      <w:pPr>
        <w:pStyle w:val="85"/>
        <w:ind w:firstLine="810"/>
        <w:rPr>
          <w:rFonts w:hint="eastAsia"/>
        </w:rPr>
      </w:pPr>
    </w:p>
    <w:p>
      <w:pPr>
        <w:pStyle w:val="85"/>
        <w:ind w:firstLine="810"/>
        <w:rPr>
          <w:rFonts w:hint="eastAsia"/>
        </w:rPr>
      </w:pPr>
    </w:p>
    <w:p>
      <w:pPr>
        <w:pStyle w:val="85"/>
        <w:rPr>
          <w:rFonts w:hint="eastAsia" w:ascii="方正黑体_GBK" w:hAnsi="方正黑体_GBK" w:eastAsia="方正黑体_GBK" w:cs="方正黑体_GBK"/>
        </w:rPr>
      </w:pPr>
      <w:r>
        <w:rPr>
          <w:rFonts w:hint="eastAsia" w:ascii="方正黑体_GBK" w:hAnsi="方正黑体_GBK" w:eastAsia="方正黑体_GBK" w:cs="方正黑体_GBK"/>
        </w:rPr>
        <w:t>北京市团校</w:t>
      </w:r>
    </w:p>
    <w:p>
      <w:pPr>
        <w:jc w:val="center"/>
        <w:rPr>
          <w:rFonts w:hint="eastAsia"/>
        </w:rPr>
      </w:pPr>
      <w:r>
        <w:rPr>
          <w:rFonts w:hint="eastAsia" w:ascii="Times New Roman" w:hAnsi="Times New Roman" w:cs="Times New Roman"/>
        </w:rPr>
        <w:t>2024</w:t>
      </w:r>
      <w:r>
        <w:rPr>
          <w:rFonts w:hint="eastAsia"/>
        </w:rPr>
        <w:t>年度团干部教育培训项目绩效评价报告</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方正黑体_GBK" w:hAnsi="方正黑体_GBK" w:eastAsia="方正黑体_GBK" w:cs="方正黑体_GBK"/>
        </w:rPr>
      </w:pPr>
      <w:r>
        <w:rPr>
          <w:rFonts w:hint="eastAsia" w:ascii="方正黑体_GBK" w:hAnsi="方正黑体_GBK" w:eastAsia="方正黑体_GBK" w:cs="方正黑体_GBK"/>
        </w:rPr>
        <w:t>2025年5月</w:t>
      </w:r>
      <w:r>
        <w:rPr>
          <w:rFonts w:hint="eastAsia" w:ascii="方正黑体_GBK" w:hAnsi="方正黑体_GBK" w:eastAsia="方正黑体_GBK" w:cs="方正黑体_GBK"/>
        </w:rPr>
        <w:br w:type="page"/>
      </w:r>
    </w:p>
    <w:p>
      <w:pPr>
        <w:pStyle w:val="5"/>
        <w:ind w:firstLine="643"/>
        <w:rPr>
          <w:rFonts w:ascii="Times New Roman" w:hAnsi="Times New Roman" w:cs="Times New Roman"/>
        </w:rPr>
      </w:pPr>
      <w:r>
        <w:rPr>
          <w:rFonts w:ascii="Times New Roman" w:hAnsi="Times New Roman" w:cs="Times New Roman"/>
        </w:rPr>
        <w:t>一、基本情况</w:t>
      </w:r>
    </w:p>
    <w:p>
      <w:pPr>
        <w:ind w:firstLine="707" w:firstLineChars="221"/>
        <w:jc w:val="both"/>
        <w:rPr>
          <w:rFonts w:ascii="Times New Roman" w:hAnsi="Times New Roman" w:cs="Times New Roman"/>
        </w:rPr>
      </w:pPr>
      <w:r>
        <w:rPr>
          <w:rFonts w:hint="eastAsia" w:ascii="Times New Roman" w:hAnsi="Times New Roman" w:cs="Times New Roman"/>
        </w:rPr>
        <w:t>2022年9月20日，中共北京市委机构编制委员会印发了《中共北京市委机构编制委员会关于印发&lt;北京市团校职能配置、内设机构和人员编制规定&gt;的通知》（京编委发〔2022〕97号），通知明确，北京市团校是党在青年工作领域特色鲜明的政治学校，是团市委所属公益一类事业单位，为副局级，内设办公室、教务处、科研处、培训处、马克思主义理论教研部、青少年思想政治教育教研部、党的群众工作教研部、组织人事处8个机构。</w:t>
      </w:r>
    </w:p>
    <w:p>
      <w:pPr>
        <w:pStyle w:val="6"/>
        <w:rPr>
          <w:rFonts w:ascii="Times New Roman" w:hAnsi="Times New Roman" w:cs="Times New Roman"/>
        </w:rPr>
      </w:pPr>
      <w:r>
        <w:rPr>
          <w:rFonts w:ascii="Times New Roman" w:hAnsi="Times New Roman" w:cs="Times New Roman"/>
        </w:rPr>
        <w:t>（一）团干部教育培训项目概况</w:t>
      </w:r>
    </w:p>
    <w:p>
      <w:pPr>
        <w:pStyle w:val="7"/>
        <w:numPr>
          <w:ilvl w:val="0"/>
          <w:numId w:val="11"/>
        </w:numPr>
        <w:ind w:firstLineChars="0"/>
        <w:rPr>
          <w:rFonts w:ascii="Times New Roman" w:hAnsi="Times New Roman" w:cs="Times New Roman"/>
        </w:rPr>
      </w:pPr>
      <w:r>
        <w:rPr>
          <w:rFonts w:ascii="Times New Roman" w:hAnsi="Times New Roman" w:cs="Times New Roman"/>
        </w:rPr>
        <w:t>项目背景</w:t>
      </w:r>
    </w:p>
    <w:p>
      <w:pPr>
        <w:ind w:firstLine="707" w:firstLineChars="221"/>
        <w:jc w:val="both"/>
        <w:rPr>
          <w:rFonts w:ascii="Times New Roman" w:hAnsi="Times New Roman" w:cs="Times New Roman"/>
        </w:rPr>
      </w:pPr>
      <w:r>
        <w:rPr>
          <w:rFonts w:hint="eastAsia" w:ascii="Times New Roman" w:hAnsi="Times New Roman" w:cs="Times New Roman"/>
        </w:rPr>
        <w:t>根据《中国共产主义青年团千部教育培训工作条例（试行）》，按照党中央关于群团改革的决策部署和重要要求及北京团市委相关工作部署，围绕建设党在青年工作领域特色鲜明的政治学校这一根本定位，聚焦主责主业，发挥核心功能，凝心聚力、攻坚克难，杭理整合教育培训范围及对象，教育引导广大团干部自觉做习近平新时代中国特色社会主义思想的坚定信仰者和忠实实践者，不断增强“四个意识”坚定“四个自信”、做到“两个维护”。</w:t>
      </w:r>
    </w:p>
    <w:p>
      <w:pPr>
        <w:ind w:firstLine="707" w:firstLineChars="221"/>
        <w:jc w:val="both"/>
        <w:rPr>
          <w:rFonts w:ascii="Times New Roman" w:hAnsi="Times New Roman" w:cs="Times New Roman"/>
        </w:rPr>
      </w:pPr>
      <w:r>
        <w:rPr>
          <w:rFonts w:hint="eastAsia" w:ascii="Times New Roman" w:hAnsi="Times New Roman" w:cs="Times New Roman"/>
        </w:rPr>
        <w:t>北京市团校自2022年3月改革落地以来，坚持以习近平新时代中国特色社会主义思想为指导，深入学习宣传贯彻党的二十大精神，深刻领会习近平总书记关于群团改革的重要要求，认真落实团中央对省级团校深化改革的各项部署，在团市委的坚强领导下，在中央团校的悉心指导下，不断提高政治站位、统一思想认识，主动对标首都高质量发展需求，主动适应新时代政治院校发展要求，立足建设全国一流团校的目标，聚焦为党育人的初心使命和团干部教育培训主责主业。</w:t>
      </w:r>
    </w:p>
    <w:p>
      <w:pPr>
        <w:ind w:firstLine="707" w:firstLineChars="221"/>
        <w:jc w:val="both"/>
        <w:rPr>
          <w:rFonts w:ascii="Times New Roman" w:hAnsi="Times New Roman" w:cs="Times New Roman"/>
        </w:rPr>
      </w:pPr>
      <w:r>
        <w:rPr>
          <w:rFonts w:hint="eastAsia" w:ascii="Times New Roman" w:hAnsi="Times New Roman" w:cs="Times New Roman"/>
        </w:rPr>
        <w:t>北京市团校培训处根据《北京市团校职能配置、内设机构和人员编制的规定》承担各类班次的培训任务，并按照《中国共产主义青年团干部教育培训工作条例（试行）》及相关文件，经与相关战线培训需求部门沟通，并经团干部教育培训主管部门（北京团市委组织部）研究，系统规划和确定培训班次及数量安排。</w:t>
      </w:r>
    </w:p>
    <w:p>
      <w:pPr>
        <w:pStyle w:val="7"/>
        <w:numPr>
          <w:ilvl w:val="0"/>
          <w:numId w:val="11"/>
        </w:numPr>
        <w:ind w:firstLineChars="0"/>
        <w:rPr>
          <w:rFonts w:ascii="Times New Roman" w:hAnsi="Times New Roman" w:cs="Times New Roman"/>
        </w:rPr>
      </w:pPr>
      <w:r>
        <w:rPr>
          <w:rFonts w:ascii="Times New Roman" w:hAnsi="Times New Roman" w:cs="Times New Roman"/>
        </w:rPr>
        <w:t>项目主要内容</w:t>
      </w:r>
    </w:p>
    <w:p>
      <w:pPr>
        <w:ind w:firstLine="707" w:firstLineChars="221"/>
        <w:jc w:val="both"/>
        <w:rPr>
          <w:rFonts w:ascii="Times New Roman" w:hAnsi="Times New Roman" w:cs="Times New Roman"/>
        </w:rPr>
      </w:pPr>
      <w:r>
        <w:rPr>
          <w:rFonts w:hint="eastAsia" w:ascii="Times New Roman" w:hAnsi="Times New Roman" w:cs="Times New Roman"/>
        </w:rPr>
        <w:t>深入贯彻落实习近平新时代中国特色社会主义思想，构建完善的培训内容体系，重点开展政治教育、理论教育和能力教育。</w:t>
      </w:r>
    </w:p>
    <w:p>
      <w:pPr>
        <w:ind w:firstLine="707" w:firstLineChars="221"/>
        <w:jc w:val="both"/>
        <w:rPr>
          <w:rFonts w:ascii="Times New Roman" w:hAnsi="Times New Roman" w:cs="Times New Roman"/>
          <w:highlight w:val="yellow"/>
        </w:rPr>
      </w:pPr>
      <w:r>
        <w:rPr>
          <w:rFonts w:hint="eastAsia" w:ascii="Times New Roman" w:hAnsi="Times New Roman" w:cs="Times New Roman"/>
        </w:rPr>
        <w:t>政治教育立足于培养团千部的政治能力，帮助团千部不断提高政治判断力、政治领悟力、政治执行力。以坚定理想信念宗旨为根基，教育引导团干部不忘初心、牢记使命,保持和增强政治性、先进性、群众性，永远以党的旗帜为旗帜、以党的方向为方向、以党的意志为意志，坚定做到“两个维护”；理论教育立足于团干部思想理论武装，帮助团干部学习贯彻习近平新时代中国特色社会主义思想，学习领会习近平总书记关于青年工作的重要思想，学习掌握马克思主义理论创新成果，不断深化对共产党执政规律、社会主义建设规律、人类社会发展规律的认识，自觉坚持和运用马克思主义的立场、观点、方法分析解决问题；能力教育立足于做好新时代党的青年群众工作，帮助团千部构建履职尽责必备的业务知识体系，提升专业化能力水平，掌握党的青年工作理论和青年政策、共青团理论要义与实践要求、青年群众工作路径方法等。</w:t>
      </w:r>
    </w:p>
    <w:p>
      <w:pPr>
        <w:pStyle w:val="7"/>
        <w:numPr>
          <w:ilvl w:val="0"/>
          <w:numId w:val="11"/>
        </w:numPr>
        <w:ind w:firstLineChars="0"/>
        <w:rPr>
          <w:rFonts w:ascii="Times New Roman" w:hAnsi="Times New Roman" w:cs="Times New Roman"/>
        </w:rPr>
      </w:pPr>
      <w:r>
        <w:rPr>
          <w:rFonts w:ascii="Times New Roman" w:hAnsi="Times New Roman" w:cs="Times New Roman"/>
        </w:rPr>
        <w:t>项目实施</w:t>
      </w:r>
    </w:p>
    <w:p>
      <w:pPr>
        <w:ind w:firstLine="707" w:firstLineChars="221"/>
        <w:jc w:val="both"/>
        <w:rPr>
          <w:rFonts w:ascii="Times New Roman" w:hAnsi="Times New Roman" w:cs="Times New Roman"/>
        </w:rPr>
      </w:pPr>
      <w:r>
        <w:rPr>
          <w:rFonts w:hint="eastAsia" w:ascii="Times New Roman" w:hAnsi="Times New Roman" w:cs="Times New Roman"/>
        </w:rPr>
        <w:t>系统利用团内资源，深入推进团干部根据实际情况参加共青团任期轮训、任职培训、专题培训等教育培训；深入推进新时代青年马克思主义者培养工程，扎实推进各级“青马工程”规范化建设；进一步规范各层级、各领域培养工作，细化培养标准。</w:t>
      </w:r>
    </w:p>
    <w:p>
      <w:pPr>
        <w:ind w:firstLine="707" w:firstLineChars="221"/>
        <w:jc w:val="both"/>
        <w:rPr>
          <w:rFonts w:ascii="Times New Roman" w:hAnsi="Times New Roman" w:cs="Times New Roman"/>
        </w:rPr>
      </w:pPr>
      <w:r>
        <w:rPr>
          <w:rFonts w:ascii="Times New Roman" w:hAnsi="Times New Roman" w:cs="Times New Roman"/>
        </w:rPr>
        <w:t>本项目由市团校培训处牵头，与各相关处室严密组织，制定了较为详细的</w:t>
      </w:r>
      <w:r>
        <w:rPr>
          <w:rFonts w:hint="eastAsia" w:ascii="Times New Roman" w:hAnsi="Times New Roman" w:cs="Times New Roman"/>
        </w:rPr>
        <w:t>2024年</w:t>
      </w:r>
      <w:r>
        <w:rPr>
          <w:rFonts w:ascii="Times New Roman" w:hAnsi="Times New Roman" w:cs="Times New Roman"/>
        </w:rPr>
        <w:t>项目工作计划，工作任务明确。</w:t>
      </w:r>
      <w:r>
        <w:rPr>
          <w:rFonts w:hint="eastAsia" w:ascii="Times New Roman" w:hAnsi="Times New Roman" w:cs="Times New Roman"/>
        </w:rPr>
        <w:t>主要包括，举办北京共青团系统各领域、各战线培训班次共计34个。计划培训总人数约为3322人，培训量约为18449人天。</w:t>
      </w:r>
    </w:p>
    <w:p>
      <w:pPr>
        <w:ind w:firstLine="707" w:firstLineChars="221"/>
        <w:jc w:val="both"/>
        <w:rPr>
          <w:rFonts w:ascii="Times New Roman" w:hAnsi="Times New Roman" w:cs="Times New Roman"/>
        </w:rPr>
      </w:pPr>
      <w:r>
        <w:rPr>
          <w:rFonts w:hint="eastAsia" w:ascii="Times New Roman" w:hAnsi="Times New Roman" w:cs="Times New Roman"/>
        </w:rPr>
        <w:t>培训班次类型主要包括主体班和专题班两大类。其中主体班包括培训班、轮训班、示范班、特色班等，每个培训班时长3天-30天不等（以5天为1期的班次为主），人数20人-200人不等。调训部门包括市委组织部、市外办，市团校，团市委组织部、宣传部、统战部、权益部、基层建设部、社会联络部、中少部，志愿中心、社工中心等。</w:t>
      </w:r>
    </w:p>
    <w:p>
      <w:pPr>
        <w:pStyle w:val="7"/>
        <w:numPr>
          <w:ilvl w:val="0"/>
          <w:numId w:val="11"/>
        </w:numPr>
        <w:ind w:firstLineChars="0"/>
        <w:rPr>
          <w:rFonts w:ascii="Times New Roman" w:hAnsi="Times New Roman" w:cs="Times New Roman"/>
        </w:rPr>
      </w:pPr>
      <w:r>
        <w:rPr>
          <w:rFonts w:ascii="Times New Roman" w:hAnsi="Times New Roman" w:cs="Times New Roman"/>
        </w:rPr>
        <w:t>项目预算</w:t>
      </w:r>
    </w:p>
    <w:p>
      <w:pPr>
        <w:ind w:firstLine="707" w:firstLineChars="221"/>
        <w:jc w:val="both"/>
        <w:rPr>
          <w:rFonts w:ascii="Times New Roman" w:hAnsi="Times New Roman" w:cs="Times New Roman"/>
        </w:rPr>
      </w:pPr>
      <w:r>
        <w:rPr>
          <w:rFonts w:ascii="Times New Roman" w:hAnsi="Times New Roman" w:cs="Times New Roman"/>
        </w:rPr>
        <w:t>该项目预算全部为财政资金，</w:t>
      </w:r>
      <w:r>
        <w:rPr>
          <w:rFonts w:hint="eastAsia" w:ascii="Times New Roman" w:hAnsi="Times New Roman" w:cs="Times New Roman"/>
        </w:rPr>
        <w:t>预算申报2,011.07万元，</w:t>
      </w:r>
      <w:r>
        <w:rPr>
          <w:rFonts w:ascii="Times New Roman" w:hAnsi="Times New Roman" w:cs="Times New Roman"/>
        </w:rPr>
        <w:t>经市财政批复预算金额为</w:t>
      </w:r>
      <w:r>
        <w:rPr>
          <w:rFonts w:hint="eastAsia" w:ascii="Times New Roman" w:hAnsi="Times New Roman" w:cs="Times New Roman"/>
        </w:rPr>
        <w:t>1,172.78</w:t>
      </w:r>
      <w:r>
        <w:rPr>
          <w:rFonts w:ascii="Times New Roman" w:hAnsi="Times New Roman" w:cs="Times New Roman"/>
        </w:rPr>
        <w:t>万元，2024年10月，按照</w:t>
      </w:r>
      <w:r>
        <w:rPr>
          <w:rFonts w:ascii="Times New Roman" w:hAnsi="Times New Roman" w:cs="Times New Roman"/>
          <w:szCs w:val="32"/>
        </w:rPr>
        <w:t>市财政相关制度要求，结合202</w:t>
      </w:r>
      <w:r>
        <w:rPr>
          <w:rFonts w:hint="eastAsia" w:ascii="Times New Roman" w:hAnsi="Times New Roman" w:cs="Times New Roman"/>
          <w:szCs w:val="32"/>
        </w:rPr>
        <w:t>4</w:t>
      </w:r>
      <w:r>
        <w:rPr>
          <w:rFonts w:ascii="Times New Roman" w:hAnsi="Times New Roman" w:cs="Times New Roman"/>
          <w:szCs w:val="32"/>
        </w:rPr>
        <w:t>年项目相关工作开展情况，核减经费预算</w:t>
      </w:r>
      <w:r>
        <w:rPr>
          <w:rFonts w:hint="eastAsia" w:ascii="Times New Roman" w:hAnsi="Times New Roman" w:cs="Times New Roman"/>
        </w:rPr>
        <w:t>111.57</w:t>
      </w:r>
      <w:r>
        <w:rPr>
          <w:rFonts w:ascii="Times New Roman" w:hAnsi="Times New Roman" w:cs="Times New Roman"/>
        </w:rPr>
        <w:t>万元，至</w:t>
      </w:r>
      <w:r>
        <w:rPr>
          <w:rFonts w:hint="eastAsia" w:ascii="Times New Roman" w:hAnsi="Times New Roman" w:cs="Times New Roman"/>
        </w:rPr>
        <w:t>1061.21</w:t>
      </w:r>
      <w:r>
        <w:rPr>
          <w:rFonts w:ascii="Times New Roman" w:hAnsi="Times New Roman" w:cs="Times New Roman"/>
        </w:rPr>
        <w:t>万元。最终决算金额为</w:t>
      </w:r>
      <w:r>
        <w:rPr>
          <w:rFonts w:hint="eastAsia" w:ascii="Times New Roman" w:hAnsi="Times New Roman" w:cs="Times New Roman"/>
        </w:rPr>
        <w:t>1041.95</w:t>
      </w:r>
      <w:r>
        <w:rPr>
          <w:rFonts w:ascii="Times New Roman" w:hAnsi="Times New Roman" w:cs="Times New Roman"/>
        </w:rPr>
        <w:t>万元，预算</w:t>
      </w:r>
      <w:r>
        <w:rPr>
          <w:rFonts w:hint="eastAsia" w:ascii="Times New Roman" w:hAnsi="Times New Roman" w:cs="Times New Roman"/>
        </w:rPr>
        <w:t>执行</w:t>
      </w:r>
      <w:r>
        <w:rPr>
          <w:rFonts w:ascii="Times New Roman" w:hAnsi="Times New Roman" w:cs="Times New Roman"/>
        </w:rPr>
        <w:t>率</w:t>
      </w:r>
      <w:r>
        <w:rPr>
          <w:rFonts w:hint="eastAsia" w:ascii="Times New Roman" w:hAnsi="Times New Roman" w:cs="Times New Roman"/>
        </w:rPr>
        <w:t>98.18%</w:t>
      </w:r>
      <w:r>
        <w:rPr>
          <w:rFonts w:ascii="Times New Roman" w:hAnsi="Times New Roman" w:cs="Times New Roman"/>
        </w:rPr>
        <w:t>。</w:t>
      </w:r>
    </w:p>
    <w:p>
      <w:pPr>
        <w:pStyle w:val="6"/>
        <w:rPr>
          <w:rFonts w:ascii="Times New Roman" w:hAnsi="Times New Roman" w:cs="Times New Roman"/>
        </w:rPr>
      </w:pPr>
      <w:r>
        <w:rPr>
          <w:rFonts w:ascii="Times New Roman" w:hAnsi="Times New Roman" w:cs="Times New Roman"/>
        </w:rPr>
        <w:t>（二）项目绩效目标</w:t>
      </w:r>
    </w:p>
    <w:p>
      <w:pPr>
        <w:pStyle w:val="7"/>
        <w:numPr>
          <w:ilvl w:val="0"/>
          <w:numId w:val="12"/>
        </w:numPr>
        <w:ind w:firstLineChars="0"/>
        <w:rPr>
          <w:rFonts w:hint="eastAsia" w:ascii="仿宋" w:hAnsi="仿宋" w:cs="Times New Roman"/>
        </w:rPr>
      </w:pPr>
      <w:r>
        <w:rPr>
          <w:rFonts w:hint="eastAsia" w:ascii="仿宋" w:hAnsi="仿宋" w:cs="Times New Roman"/>
        </w:rPr>
        <w:t>整体目标</w:t>
      </w:r>
    </w:p>
    <w:p>
      <w:pPr>
        <w:ind w:firstLine="707" w:firstLineChars="221"/>
        <w:jc w:val="both"/>
        <w:rPr>
          <w:rFonts w:ascii="Times New Roman" w:hAnsi="Times New Roman" w:cs="Times New Roman"/>
        </w:rPr>
      </w:pPr>
      <w:r>
        <w:rPr>
          <w:rFonts w:hint="eastAsia" w:ascii="Times New Roman" w:hAnsi="Times New Roman" w:cs="Times New Roman"/>
        </w:rPr>
        <w:t>北京市团校以建设成党在青年工作领域特色鲜明的政治学校为目标，聚焦团干部教育主责主业，突出政治培训，通过举办北京共青团系统各领域、各战线培训班次，不断提升首都从事青年工作领域干部的政治素养和工作能力。计划2024年举办北京共青团系统各战线、北京市青年骨干相关培训班34期，培训量为18449人天。教育引导广大团干部自觉做习近平新时代中国特色社会主义思想的坚定信仰者和忠实实践者，不断增强“四个意识”、坚定“四个自信”、做到“两个维护”。</w:t>
      </w:r>
    </w:p>
    <w:p>
      <w:pPr>
        <w:pStyle w:val="7"/>
        <w:keepNext/>
        <w:numPr>
          <w:ilvl w:val="0"/>
          <w:numId w:val="12"/>
        </w:numPr>
        <w:ind w:left="1151" w:hanging="442" w:firstLineChars="0"/>
        <w:rPr>
          <w:rFonts w:hint="eastAsia" w:ascii="仿宋" w:hAnsi="仿宋" w:cs="Times New Roman"/>
        </w:rPr>
      </w:pPr>
      <w:r>
        <w:rPr>
          <w:rFonts w:hint="eastAsia" w:ascii="仿宋" w:hAnsi="仿宋" w:cs="Times New Roman"/>
        </w:rPr>
        <w:t>绩效指标</w:t>
      </w:r>
    </w:p>
    <w:p>
      <w:pPr>
        <w:ind w:firstLine="707" w:firstLineChars="221"/>
        <w:jc w:val="both"/>
        <w:rPr>
          <w:rFonts w:ascii="Times New Roman" w:hAnsi="Times New Roman" w:cs="Times New Roman"/>
        </w:rPr>
      </w:pPr>
      <w:r>
        <w:rPr>
          <w:rFonts w:hint="eastAsia" w:ascii="Times New Roman" w:hAnsi="Times New Roman" w:cs="Times New Roman"/>
        </w:rPr>
        <w:t>数量指标：全年教育培训量≥18449人天；培训班次≥34个；培训天数≥197天；培训学员人数≥3322人。</w:t>
      </w:r>
    </w:p>
    <w:p>
      <w:pPr>
        <w:ind w:firstLine="707" w:firstLineChars="221"/>
        <w:jc w:val="both"/>
        <w:rPr>
          <w:rFonts w:ascii="Times New Roman" w:hAnsi="Times New Roman" w:cs="Times New Roman"/>
        </w:rPr>
      </w:pPr>
      <w:r>
        <w:rPr>
          <w:rFonts w:hint="eastAsia" w:ascii="Times New Roman" w:hAnsi="Times New Roman" w:cs="Times New Roman"/>
        </w:rPr>
        <w:t>质量指标：课程设置和教师资格匹配度≥90%；培训学员取得培训证书比率≥90%；培训学员出勤率≥90%。</w:t>
      </w:r>
    </w:p>
    <w:p>
      <w:pPr>
        <w:ind w:firstLine="707" w:firstLineChars="221"/>
        <w:jc w:val="both"/>
        <w:rPr>
          <w:rFonts w:ascii="Times New Roman" w:hAnsi="Times New Roman" w:cs="Times New Roman"/>
        </w:rPr>
      </w:pPr>
      <w:r>
        <w:rPr>
          <w:rFonts w:hint="eastAsia" w:ascii="Times New Roman" w:hAnsi="Times New Roman" w:cs="Times New Roman"/>
        </w:rPr>
        <w:t>时效指标：春季学期培训按期完成率≥85%；秋季学期按期完成率≥85%。</w:t>
      </w:r>
    </w:p>
    <w:p>
      <w:pPr>
        <w:ind w:firstLine="707" w:firstLineChars="221"/>
        <w:jc w:val="both"/>
        <w:rPr>
          <w:rFonts w:ascii="Times New Roman" w:hAnsi="Times New Roman" w:cs="Times New Roman"/>
          <w:highlight w:val="yellow"/>
        </w:rPr>
      </w:pPr>
      <w:r>
        <w:rPr>
          <w:rFonts w:hint="eastAsia" w:ascii="Times New Roman" w:hAnsi="Times New Roman" w:cs="Times New Roman"/>
        </w:rPr>
        <w:t>成本指标：市属班人均每天培训成本≤550元；城市间交通费人均培训成本≤4872.88元。</w:t>
      </w:r>
    </w:p>
    <w:p>
      <w:pPr>
        <w:ind w:firstLine="707" w:firstLineChars="221"/>
        <w:jc w:val="both"/>
        <w:rPr>
          <w:rFonts w:ascii="Times New Roman" w:hAnsi="Times New Roman" w:cs="Times New Roman"/>
        </w:rPr>
      </w:pPr>
      <w:r>
        <w:rPr>
          <w:rFonts w:hint="eastAsia" w:ascii="Times New Roman" w:hAnsi="Times New Roman" w:cs="Times New Roman"/>
        </w:rPr>
        <w:t>社会效益指标：提升首都团干部和青年骨干政治理论素质和工作水平。</w:t>
      </w:r>
    </w:p>
    <w:p>
      <w:pPr>
        <w:ind w:firstLine="707" w:firstLineChars="221"/>
        <w:jc w:val="both"/>
        <w:rPr>
          <w:rFonts w:ascii="Times New Roman" w:hAnsi="Times New Roman" w:cs="Times New Roman"/>
        </w:rPr>
      </w:pPr>
      <w:r>
        <w:rPr>
          <w:rFonts w:hint="eastAsia" w:ascii="Times New Roman" w:hAnsi="Times New Roman" w:cs="Times New Roman"/>
        </w:rPr>
        <w:t>可持续影响指标：学员的政治站位、政治素养得到增强，理论素养、政治能力、政策把握能力得到提高。</w:t>
      </w:r>
    </w:p>
    <w:p>
      <w:pPr>
        <w:ind w:firstLine="707" w:firstLineChars="221"/>
        <w:jc w:val="both"/>
        <w:rPr>
          <w:rFonts w:ascii="Times New Roman" w:hAnsi="Times New Roman" w:cs="Times New Roman"/>
        </w:rPr>
      </w:pPr>
      <w:r>
        <w:rPr>
          <w:rFonts w:hint="eastAsia" w:ascii="Times New Roman" w:hAnsi="Times New Roman" w:cs="Times New Roman"/>
        </w:rPr>
        <w:t>服务对象满意度指标：学员对授课教师授课满意度≥90%；学员对培训班综合评估满意度≥90%。</w:t>
      </w:r>
    </w:p>
    <w:p>
      <w:pPr>
        <w:pStyle w:val="5"/>
        <w:ind w:firstLine="643"/>
        <w:rPr>
          <w:rFonts w:ascii="Times New Roman" w:hAnsi="Times New Roman" w:cs="Times New Roman"/>
        </w:rPr>
      </w:pPr>
      <w:r>
        <w:rPr>
          <w:rFonts w:ascii="Times New Roman" w:hAnsi="Times New Roman" w:cs="Times New Roman"/>
        </w:rPr>
        <w:t>二、绩效评价工作开展情况</w:t>
      </w:r>
    </w:p>
    <w:p>
      <w:pPr>
        <w:pStyle w:val="6"/>
        <w:ind w:left="566" w:leftChars="177" w:firstLine="0" w:firstLineChars="0"/>
        <w:rPr>
          <w:rFonts w:ascii="Times New Roman" w:hAnsi="Times New Roman" w:cs="Times New Roman"/>
        </w:rPr>
      </w:pPr>
      <w:r>
        <w:rPr>
          <w:rFonts w:ascii="Times New Roman" w:hAnsi="Times New Roman" w:cs="Times New Roman"/>
        </w:rPr>
        <w:t>（一）绩效评价目的</w:t>
      </w:r>
      <w:r>
        <w:rPr>
          <w:rFonts w:hint="eastAsia" w:ascii="Times New Roman" w:hAnsi="Times New Roman" w:cs="Times New Roman"/>
          <w:lang w:eastAsia="zh-CN"/>
        </w:rPr>
        <w:t>、对象和</w:t>
      </w:r>
      <w:r>
        <w:rPr>
          <w:rFonts w:ascii="Times New Roman" w:hAnsi="Times New Roman" w:cs="Times New Roman"/>
        </w:rPr>
        <w:t>范围</w:t>
      </w:r>
    </w:p>
    <w:p>
      <w:pPr>
        <w:ind w:firstLine="707" w:firstLineChars="221"/>
        <w:jc w:val="both"/>
      </w:pPr>
      <w:r>
        <w:rPr>
          <w:rFonts w:hint="eastAsia" w:ascii="Times New Roman" w:hAnsi="Times New Roman" w:cs="Times New Roman"/>
          <w:lang w:eastAsia="zh-CN"/>
        </w:rPr>
        <w:t>目的：</w:t>
      </w:r>
      <w:r>
        <w:rPr>
          <w:rFonts w:ascii="Times New Roman" w:hAnsi="Times New Roman" w:cs="Times New Roman"/>
        </w:rPr>
        <w:t>通过绩效评价，衡量和考核</w:t>
      </w:r>
      <w:r>
        <w:rPr>
          <w:rFonts w:hint="eastAsia" w:ascii="Times New Roman" w:hAnsi="Times New Roman" w:cs="Times New Roman"/>
        </w:rPr>
        <w:t>本</w:t>
      </w:r>
      <w:r>
        <w:rPr>
          <w:rFonts w:ascii="Times New Roman" w:hAnsi="Times New Roman" w:cs="Times New Roman"/>
        </w:rPr>
        <w:t>项目从项目申报、预算执行及项目验收等全过程的管理和绩效情况。对项目资金决策过程的合理性、管理体系的规范性、绩效目标实现程度进行综合评价，以进一步总结和分析项目资金的实施效果，检验财政支出预期目标实现程度，考核财政支出效率和综合效果，为</w:t>
      </w:r>
      <w:r>
        <w:rPr>
          <w:rFonts w:hint="eastAsia" w:ascii="Times New Roman" w:hAnsi="Times New Roman" w:cs="Times New Roman"/>
        </w:rPr>
        <w:t>本</w:t>
      </w:r>
      <w:r>
        <w:rPr>
          <w:rFonts w:ascii="Times New Roman" w:hAnsi="Times New Roman" w:cs="Times New Roman"/>
        </w:rPr>
        <w:t>项目以后年度相关预算提供参考依据。</w:t>
      </w:r>
    </w:p>
    <w:p>
      <w:pPr>
        <w:ind w:firstLine="707" w:firstLineChars="221"/>
        <w:jc w:val="both"/>
        <w:rPr>
          <w:rFonts w:hint="eastAsia" w:eastAsia="仿宋"/>
          <w:lang w:eastAsia="zh-CN"/>
        </w:rPr>
      </w:pPr>
      <w:r>
        <w:rPr>
          <w:rFonts w:hint="eastAsia"/>
          <w:lang w:eastAsia="zh-CN"/>
        </w:rPr>
        <w:t>对象和范围：</w:t>
      </w:r>
      <w:r>
        <w:rPr>
          <w:rFonts w:hint="default" w:ascii="Times New Roman" w:hAnsi="Times New Roman" w:eastAsia="仿宋_GB2312" w:cs="Times New Roman"/>
          <w:highlight w:val="none"/>
          <w:lang w:val="en-US" w:eastAsia="zh-CN"/>
        </w:rPr>
        <w:t>对团干部教育培训项目</w:t>
      </w:r>
      <w:r>
        <w:rPr>
          <w:rFonts w:hint="eastAsia" w:ascii="Times New Roman" w:hAnsi="Times New Roman" w:eastAsia="仿宋_GB2312" w:cs="Times New Roman"/>
          <w:highlight w:val="none"/>
          <w:lang w:val="en-US" w:eastAsia="zh-CN"/>
        </w:rPr>
        <w:t>1,172.78</w:t>
      </w:r>
      <w:r>
        <w:rPr>
          <w:rFonts w:hint="default" w:ascii="Times New Roman" w:hAnsi="Times New Roman" w:eastAsia="仿宋_GB2312" w:cs="Times New Roman"/>
          <w:highlight w:val="none"/>
          <w:lang w:val="en-US" w:eastAsia="zh-CN"/>
        </w:rPr>
        <w:t>万元的资金支出情况开展绩效评价</w:t>
      </w:r>
      <w:r>
        <w:rPr>
          <w:rFonts w:hint="eastAsia" w:ascii="Times New Roman" w:hAnsi="Times New Roman" w:eastAsia="仿宋_GB2312" w:cs="Times New Roman"/>
          <w:highlight w:val="none"/>
          <w:lang w:val="en-US" w:eastAsia="zh-CN"/>
        </w:rPr>
        <w:t>。</w:t>
      </w:r>
    </w:p>
    <w:p>
      <w:pPr>
        <w:pStyle w:val="6"/>
        <w:ind w:left="566" w:leftChars="177" w:firstLine="0" w:firstLineChars="0"/>
        <w:rPr>
          <w:rFonts w:ascii="Times New Roman" w:hAnsi="Times New Roman" w:cs="Times New Roman"/>
        </w:rPr>
      </w:pPr>
      <w:r>
        <w:rPr>
          <w:rFonts w:ascii="Times New Roman" w:hAnsi="Times New Roman" w:cs="Times New Roman"/>
        </w:rPr>
        <w:t>（二）绩效评价原则、评价方法、评价标准</w:t>
      </w:r>
    </w:p>
    <w:p>
      <w:pPr>
        <w:ind w:firstLine="707" w:firstLineChars="221"/>
        <w:jc w:val="both"/>
        <w:rPr>
          <w:rFonts w:ascii="Times New Roman" w:hAnsi="Times New Roman" w:cs="Times New Roman"/>
        </w:rPr>
      </w:pPr>
      <w:r>
        <w:rPr>
          <w:rFonts w:ascii="Times New Roman" w:hAnsi="Times New Roman" w:cs="Times New Roman"/>
        </w:rPr>
        <w:t>本次评价工作遵循</w:t>
      </w:r>
      <w:r>
        <w:rPr>
          <w:rFonts w:hint="eastAsia" w:ascii="Times New Roman" w:hAnsi="Times New Roman" w:cs="Times New Roman"/>
        </w:rPr>
        <w:t>“</w:t>
      </w:r>
      <w:r>
        <w:rPr>
          <w:rFonts w:ascii="Times New Roman" w:hAnsi="Times New Roman" w:cs="Times New Roman"/>
        </w:rPr>
        <w:t>科学公正、统筹兼顾、激励约束、公开透明</w:t>
      </w:r>
      <w:r>
        <w:rPr>
          <w:rFonts w:hint="eastAsia" w:ascii="Times New Roman" w:hAnsi="Times New Roman" w:cs="Times New Roman"/>
        </w:rPr>
        <w:t>”</w:t>
      </w:r>
      <w:r>
        <w:rPr>
          <w:rFonts w:ascii="Times New Roman" w:hAnsi="Times New Roman" w:cs="Times New Roman"/>
        </w:rPr>
        <w:t>的原则。结合项目特点，评价方法除了传统的审阅、计算、核对、分析复核等方法外，还运用预定目标与实施效果比较等方法进行评价。采用市财政局规定的绩效评价指标体系作为评价标准，对项目的决策、过程、产出和效果进行客观分析和评价。</w:t>
      </w:r>
    </w:p>
    <w:p>
      <w:pPr>
        <w:ind w:firstLine="707" w:firstLineChars="221"/>
        <w:jc w:val="both"/>
        <w:rPr>
          <w:rFonts w:ascii="Times New Roman" w:hAnsi="Times New Roman" w:cs="Times New Roman"/>
        </w:rPr>
      </w:pPr>
      <w:r>
        <w:rPr>
          <w:rFonts w:ascii="Times New Roman" w:hAnsi="Times New Roman" w:cs="Times New Roman"/>
        </w:rPr>
        <w:t>本次绩效评价依据市财政局项目评价指标体系，从决策、过程、产出、效益四个方面进行评价，满分100分。一是决策指标（10分），主要评价项目立项、绩效目标、资金投入；二是过程指标（20分），主要评价资金管理、组织实施；三是产出指标（40分），主要评价产出数量、产出质量、产出时效、产出成本；四是效益指标（30分），主要评价实施效益和满意度等内容。</w:t>
      </w:r>
    </w:p>
    <w:p>
      <w:pPr>
        <w:pStyle w:val="6"/>
        <w:ind w:left="566" w:leftChars="177" w:firstLine="0" w:firstLineChars="0"/>
        <w:rPr>
          <w:rFonts w:ascii="Times New Roman" w:hAnsi="Times New Roman" w:cs="Times New Roman"/>
        </w:rPr>
      </w:pPr>
      <w:r>
        <w:rPr>
          <w:rFonts w:ascii="Times New Roman" w:hAnsi="Times New Roman" w:cs="Times New Roman"/>
        </w:rPr>
        <w:t>（三）绩效评价工作过程</w:t>
      </w:r>
    </w:p>
    <w:p>
      <w:pPr>
        <w:ind w:firstLine="707" w:firstLineChars="221"/>
        <w:jc w:val="both"/>
        <w:rPr>
          <w:rFonts w:ascii="Times New Roman" w:hAnsi="Times New Roman" w:cs="Times New Roman"/>
        </w:rPr>
      </w:pPr>
      <w:r>
        <w:rPr>
          <w:rFonts w:hint="eastAsia" w:ascii="Times New Roman" w:hAnsi="Times New Roman" w:cs="Times New Roman"/>
        </w:rPr>
        <w:t>项目绩效评价工作由办公室进行总体牵头，</w:t>
      </w:r>
      <w:r>
        <w:rPr>
          <w:rFonts w:ascii="Times New Roman" w:hAnsi="Times New Roman" w:cs="Times New Roman"/>
        </w:rPr>
        <w:t>收集整理绩效评价所需资料，进行核实和全面分析，对资料按照决策、管理和绩效三大类进行分类整理，以支持项目自评价工作执行。</w:t>
      </w:r>
      <w:r>
        <w:rPr>
          <w:rFonts w:hint="eastAsia" w:ascii="Times New Roman" w:hAnsi="Times New Roman" w:cs="Times New Roman"/>
        </w:rPr>
        <w:t>最终进行检查、复核、分析项目资料，依据评价指标体系对项目进行了评价打分，出具了评价意见，撰写评价报告。</w:t>
      </w:r>
    </w:p>
    <w:p>
      <w:pPr>
        <w:pStyle w:val="5"/>
        <w:ind w:firstLine="643"/>
        <w:rPr>
          <w:rFonts w:ascii="Times New Roman" w:hAnsi="Times New Roman" w:cs="Times New Roman"/>
        </w:rPr>
      </w:pPr>
      <w:r>
        <w:rPr>
          <w:rFonts w:ascii="Times New Roman" w:hAnsi="Times New Roman" w:cs="Times New Roman"/>
        </w:rPr>
        <w:t>三、综合评价情况及评价结论</w:t>
      </w:r>
    </w:p>
    <w:p>
      <w:pPr>
        <w:ind w:firstLine="707" w:firstLineChars="221"/>
        <w:jc w:val="both"/>
        <w:rPr>
          <w:rFonts w:ascii="Times New Roman" w:hAnsi="Times New Roman" w:cs="Times New Roman"/>
        </w:rPr>
      </w:pPr>
      <w:r>
        <w:rPr>
          <w:rFonts w:hint="eastAsia" w:ascii="Times New Roman" w:hAnsi="Times New Roman" w:cs="Times New Roman"/>
        </w:rPr>
        <w:t>2024年度项目圆满完成38期培训班次，培训量达到16364人天。调训单位涉及团市委机关17个部门，培训学员覆盖机关、区县、街乡、社区、企业、高校等各级团干部与青年骨干。</w:t>
      </w:r>
    </w:p>
    <w:p>
      <w:pPr>
        <w:ind w:firstLine="707" w:firstLineChars="221"/>
        <w:jc w:val="both"/>
        <w:rPr>
          <w:rFonts w:ascii="Times New Roman" w:hAnsi="Times New Roman" w:cs="Times New Roman"/>
        </w:rPr>
      </w:pPr>
      <w:r>
        <w:rPr>
          <w:rFonts w:hint="eastAsia" w:ascii="Times New Roman" w:hAnsi="Times New Roman" w:cs="Times New Roman"/>
        </w:rPr>
        <w:t>通过评价，项目综合得分94.97分，</w:t>
      </w:r>
      <w:r>
        <w:rPr>
          <w:rFonts w:ascii="Times New Roman" w:hAnsi="Times New Roman" w:cs="Times New Roman"/>
        </w:rPr>
        <w:t>绩效级别评定为</w:t>
      </w:r>
      <w:r>
        <w:rPr>
          <w:rFonts w:hint="eastAsia" w:ascii="Times New Roman" w:hAnsi="Times New Roman" w:cs="Times New Roman"/>
        </w:rPr>
        <w:t>“</w:t>
      </w:r>
      <w:r>
        <w:rPr>
          <w:rFonts w:ascii="Times New Roman" w:hAnsi="Times New Roman" w:cs="Times New Roman"/>
        </w:rPr>
        <w:t>优秀</w:t>
      </w:r>
      <w:r>
        <w:rPr>
          <w:rFonts w:hint="eastAsia" w:ascii="Times New Roman" w:hAnsi="Times New Roman" w:cs="Times New Roman"/>
        </w:rPr>
        <w:t>”。其中项目决策得分9.07分，项目过程得分</w:t>
      </w:r>
      <w:r>
        <w:rPr>
          <w:rFonts w:ascii="Times New Roman" w:hAnsi="Times New Roman" w:cs="Times New Roman"/>
        </w:rPr>
        <w:t>18.9</w:t>
      </w:r>
      <w:r>
        <w:rPr>
          <w:rFonts w:hint="eastAsia" w:ascii="Times New Roman" w:hAnsi="Times New Roman" w:cs="Times New Roman"/>
        </w:rPr>
        <w:t>5分，项目产出得分</w:t>
      </w:r>
      <w:r>
        <w:rPr>
          <w:rFonts w:ascii="Times New Roman" w:hAnsi="Times New Roman" w:cs="Times New Roman"/>
        </w:rPr>
        <w:t>3</w:t>
      </w:r>
      <w:r>
        <w:rPr>
          <w:rFonts w:hint="eastAsia" w:ascii="Times New Roman" w:hAnsi="Times New Roman" w:cs="Times New Roman"/>
        </w:rPr>
        <w:t>8</w:t>
      </w:r>
      <w:r>
        <w:rPr>
          <w:rFonts w:ascii="Times New Roman" w:hAnsi="Times New Roman" w:cs="Times New Roman"/>
        </w:rPr>
        <w:t>.</w:t>
      </w:r>
      <w:r>
        <w:rPr>
          <w:rFonts w:hint="eastAsia" w:ascii="Times New Roman" w:hAnsi="Times New Roman" w:cs="Times New Roman"/>
        </w:rPr>
        <w:t>75分，项目效益得分</w:t>
      </w:r>
      <w:r>
        <w:rPr>
          <w:rFonts w:ascii="Times New Roman" w:hAnsi="Times New Roman" w:cs="Times New Roman"/>
        </w:rPr>
        <w:t>28.20</w:t>
      </w:r>
      <w:r>
        <w:rPr>
          <w:rFonts w:hint="eastAsia" w:ascii="Times New Roman" w:hAnsi="Times New Roman" w:cs="Times New Roman"/>
        </w:rPr>
        <w:t>分。具体评分情况见附件评分表。</w:t>
      </w:r>
    </w:p>
    <w:p>
      <w:pPr>
        <w:pStyle w:val="5"/>
        <w:ind w:firstLine="643"/>
        <w:rPr>
          <w:rFonts w:ascii="Times New Roman" w:hAnsi="Times New Roman" w:cs="Times New Roman"/>
        </w:rPr>
      </w:pPr>
      <w:r>
        <w:rPr>
          <w:rFonts w:ascii="Times New Roman" w:hAnsi="Times New Roman" w:cs="Times New Roman"/>
        </w:rPr>
        <w:t>四、绩效评价指标分析</w:t>
      </w:r>
    </w:p>
    <w:p>
      <w:pPr>
        <w:pStyle w:val="6"/>
        <w:rPr>
          <w:rFonts w:ascii="Times New Roman" w:hAnsi="Times New Roman" w:cs="Times New Roman"/>
        </w:rPr>
      </w:pPr>
      <w:r>
        <w:rPr>
          <w:rFonts w:ascii="Times New Roman" w:hAnsi="Times New Roman" w:cs="Times New Roman"/>
        </w:rPr>
        <w:t>（一）项目决策情况</w:t>
      </w:r>
    </w:p>
    <w:p>
      <w:pPr>
        <w:ind w:firstLine="707" w:firstLineChars="221"/>
        <w:jc w:val="both"/>
        <w:rPr>
          <w:rFonts w:ascii="Times New Roman" w:hAnsi="Times New Roman" w:cs="Times New Roman"/>
        </w:rPr>
      </w:pPr>
      <w:r>
        <w:rPr>
          <w:rFonts w:hint="eastAsia" w:ascii="Times New Roman" w:hAnsi="Times New Roman" w:cs="Times New Roman"/>
        </w:rPr>
        <w:t>项目决策指标，满分</w:t>
      </w:r>
      <w:r>
        <w:rPr>
          <w:rFonts w:ascii="Times New Roman" w:hAnsi="Times New Roman" w:cs="Times New Roman"/>
        </w:rPr>
        <w:t>10.00</w:t>
      </w:r>
      <w:r>
        <w:rPr>
          <w:rFonts w:hint="eastAsia" w:ascii="Times New Roman" w:hAnsi="Times New Roman" w:cs="Times New Roman"/>
        </w:rPr>
        <w:t>分，评价得分为9.07分，项目立项依据充分，绩效目标设置较合理。</w:t>
      </w:r>
    </w:p>
    <w:p>
      <w:pPr>
        <w:pStyle w:val="7"/>
        <w:ind w:left="707" w:leftChars="221" w:firstLine="0" w:firstLineChars="0"/>
        <w:rPr>
          <w:rFonts w:ascii="Times New Roman" w:hAnsi="Times New Roman" w:cs="Times New Roman"/>
        </w:rPr>
      </w:pPr>
      <w:r>
        <w:rPr>
          <w:rFonts w:hint="eastAsia" w:ascii="宋体" w:hAnsi="宋体" w:eastAsia="宋体" w:cs="Times New Roman"/>
        </w:rPr>
        <w:t>1．</w:t>
      </w:r>
      <w:r>
        <w:rPr>
          <w:rFonts w:ascii="Times New Roman" w:hAnsi="Times New Roman" w:cs="Times New Roman"/>
        </w:rPr>
        <w:t>项目立项分析</w:t>
      </w:r>
    </w:p>
    <w:p>
      <w:pPr>
        <w:ind w:firstLine="707" w:firstLineChars="221"/>
        <w:jc w:val="both"/>
        <w:rPr>
          <w:rFonts w:ascii="Times New Roman" w:hAnsi="Times New Roman" w:cs="Times New Roman"/>
        </w:rPr>
      </w:pPr>
      <w:r>
        <w:rPr>
          <w:rFonts w:ascii="Times New Roman" w:hAnsi="Times New Roman" w:cs="Times New Roman"/>
        </w:rPr>
        <w:t>市团校按照市财政预算编制部署要求，完成了项目预算申报工作，市团校培训处作为该项目的</w:t>
      </w:r>
      <w:r>
        <w:rPr>
          <w:rFonts w:hint="eastAsia" w:ascii="Times New Roman" w:hAnsi="Times New Roman" w:cs="Times New Roman"/>
        </w:rPr>
        <w:t>实施</w:t>
      </w:r>
      <w:r>
        <w:rPr>
          <w:rFonts w:ascii="Times New Roman" w:hAnsi="Times New Roman" w:cs="Times New Roman"/>
        </w:rPr>
        <w:t>部门，积极开展项目申报工作，填写项目申报文本，编制项目预算明细表、项目绩效目标申报表，制定项目可行性研究报告，并邀请行业专家对该项目进行了论证，完成了事前绩效评估，由北京国誉会计师事务所有限公司</w:t>
      </w:r>
      <w:r>
        <w:rPr>
          <w:rFonts w:hint="eastAsia" w:ascii="Times New Roman" w:hAnsi="Times New Roman" w:cs="Times New Roman"/>
        </w:rPr>
        <w:t>出具了</w:t>
      </w:r>
      <w:r>
        <w:rPr>
          <w:rFonts w:ascii="Times New Roman" w:hAnsi="Times New Roman" w:cs="Times New Roman"/>
        </w:rPr>
        <w:t>《团干部教训培训项目评审报告》。以此基础上，经逐级审批和上会审议后，作为市团校202</w:t>
      </w:r>
      <w:r>
        <w:rPr>
          <w:rFonts w:hint="eastAsia" w:ascii="Times New Roman" w:hAnsi="Times New Roman" w:cs="Times New Roman"/>
        </w:rPr>
        <w:t>4</w:t>
      </w:r>
      <w:r>
        <w:rPr>
          <w:rFonts w:ascii="Times New Roman" w:hAnsi="Times New Roman" w:cs="Times New Roman"/>
        </w:rPr>
        <w:t>年支出项目申报。</w:t>
      </w:r>
    </w:p>
    <w:p>
      <w:pPr>
        <w:pStyle w:val="7"/>
        <w:ind w:left="707" w:leftChars="221" w:firstLine="0" w:firstLineChars="0"/>
        <w:rPr>
          <w:rFonts w:hint="eastAsia" w:ascii="仿宋" w:hAnsi="仿宋" w:cs="Times New Roman"/>
        </w:rPr>
      </w:pPr>
      <w:r>
        <w:rPr>
          <w:rFonts w:hint="eastAsia" w:ascii="仿宋" w:hAnsi="仿宋" w:cs="Times New Roman"/>
        </w:rPr>
        <w:t>2．</w:t>
      </w:r>
      <w:r>
        <w:rPr>
          <w:rFonts w:ascii="仿宋" w:hAnsi="仿宋" w:cs="Times New Roman"/>
        </w:rPr>
        <w:t>绩效目标分析</w:t>
      </w:r>
    </w:p>
    <w:p>
      <w:pPr>
        <w:ind w:firstLine="707" w:firstLineChars="221"/>
        <w:jc w:val="both"/>
        <w:rPr>
          <w:rFonts w:ascii="Times New Roman" w:hAnsi="Times New Roman" w:cs="Times New Roman"/>
        </w:rPr>
      </w:pPr>
      <w:r>
        <w:rPr>
          <w:rFonts w:ascii="Times New Roman" w:hAnsi="Times New Roman" w:cs="Times New Roman"/>
        </w:rPr>
        <w:t>项目绩效目标总体设置较为合理，主线明确，整体目标聚焦，符合该项目的年度工作任务，产出和效果的对应性较好，能够对实际工作进行明确、有效的指导。</w:t>
      </w:r>
    </w:p>
    <w:p>
      <w:pPr>
        <w:ind w:firstLine="707" w:firstLineChars="221"/>
        <w:jc w:val="both"/>
        <w:rPr>
          <w:rFonts w:ascii="Times New Roman" w:hAnsi="Times New Roman" w:cs="Times New Roman"/>
        </w:rPr>
      </w:pPr>
      <w:r>
        <w:rPr>
          <w:rFonts w:hint="eastAsia" w:ascii="Times New Roman" w:hAnsi="Times New Roman" w:cs="Times New Roman"/>
        </w:rPr>
        <w:t>项目执行过程中，市团校根据实际工作进展，在申请调整减少项目预算的同时，相应调整了部分项目绩效目标。使项目绩效目标更加合理、可行。</w:t>
      </w:r>
    </w:p>
    <w:p>
      <w:pPr>
        <w:pStyle w:val="7"/>
        <w:ind w:left="707" w:leftChars="221" w:firstLine="0" w:firstLineChars="0"/>
        <w:rPr>
          <w:rFonts w:hint="eastAsia" w:ascii="仿宋" w:hAnsi="仿宋" w:cs="Times New Roman"/>
        </w:rPr>
      </w:pPr>
      <w:r>
        <w:rPr>
          <w:rFonts w:hint="eastAsia" w:ascii="仿宋" w:hAnsi="仿宋" w:cs="Times New Roman"/>
        </w:rPr>
        <w:t>3．</w:t>
      </w:r>
      <w:r>
        <w:rPr>
          <w:rFonts w:ascii="仿宋" w:hAnsi="仿宋" w:cs="Times New Roman"/>
        </w:rPr>
        <w:t>资金投入分析</w:t>
      </w:r>
    </w:p>
    <w:p>
      <w:pPr>
        <w:ind w:firstLine="707" w:firstLineChars="221"/>
        <w:jc w:val="both"/>
        <w:rPr>
          <w:rFonts w:ascii="Times New Roman" w:hAnsi="Times New Roman" w:cs="Times New Roman"/>
        </w:rPr>
      </w:pPr>
      <w:r>
        <w:rPr>
          <w:rFonts w:ascii="Times New Roman" w:hAnsi="Times New Roman" w:cs="Times New Roman"/>
        </w:rPr>
        <w:t>该项目预算申报2,011.07万元，市财政批复金额为</w:t>
      </w:r>
      <w:r>
        <w:rPr>
          <w:rFonts w:hint="eastAsia" w:ascii="Times New Roman" w:hAnsi="Times New Roman" w:cs="Times New Roman"/>
        </w:rPr>
        <w:t>1,172.78</w:t>
      </w:r>
      <w:r>
        <w:rPr>
          <w:rFonts w:ascii="Times New Roman" w:hAnsi="Times New Roman" w:cs="Times New Roman"/>
        </w:rPr>
        <w:t>万元，</w:t>
      </w:r>
      <w:r>
        <w:rPr>
          <w:rFonts w:hint="eastAsia" w:ascii="Times New Roman" w:hAnsi="Times New Roman" w:cs="Times New Roman"/>
        </w:rPr>
        <w:t>2024年10月，根据项目实施进展，</w:t>
      </w:r>
      <w:bookmarkStart w:id="0" w:name="_Hlk198287131"/>
      <w:r>
        <w:rPr>
          <w:rFonts w:hint="eastAsia" w:ascii="Times New Roman" w:hAnsi="Times New Roman" w:cs="Times New Roman"/>
        </w:rPr>
        <w:t>由于部分</w:t>
      </w:r>
      <w:r>
        <w:rPr>
          <w:rFonts w:hint="eastAsia" w:ascii="Times New Roman" w:hAnsi="Times New Roman" w:cs="Times New Roman"/>
          <w:lang w:val="en-US" w:eastAsia="zh-CN"/>
        </w:rPr>
        <w:t>调训单位调整培训计划取消部分班次</w:t>
      </w:r>
      <w:bookmarkEnd w:id="0"/>
      <w:r>
        <w:rPr>
          <w:rFonts w:hint="eastAsia" w:ascii="Times New Roman" w:hAnsi="Times New Roman" w:cs="Times New Roman"/>
        </w:rPr>
        <w:t>，</w:t>
      </w:r>
      <w:r>
        <w:rPr>
          <w:rFonts w:ascii="Times New Roman" w:hAnsi="Times New Roman" w:cs="Times New Roman"/>
        </w:rPr>
        <w:t>预算</w:t>
      </w:r>
      <w:r>
        <w:rPr>
          <w:rFonts w:hint="eastAsia" w:ascii="Times New Roman" w:hAnsi="Times New Roman" w:cs="Times New Roman"/>
        </w:rPr>
        <w:t>经费核减</w:t>
      </w:r>
      <w:r>
        <w:rPr>
          <w:rFonts w:ascii="Times New Roman" w:hAnsi="Times New Roman" w:cs="Times New Roman"/>
        </w:rPr>
        <w:t>至</w:t>
      </w:r>
      <w:r>
        <w:rPr>
          <w:rFonts w:hint="eastAsia" w:ascii="Times New Roman" w:hAnsi="Times New Roman" w:cs="Times New Roman"/>
        </w:rPr>
        <w:t>1,061.21万元</w:t>
      </w:r>
      <w:r>
        <w:rPr>
          <w:rFonts w:ascii="Times New Roman" w:hAnsi="Times New Roman" w:cs="Times New Roman"/>
        </w:rPr>
        <w:t>，最终实际支出</w:t>
      </w:r>
      <w:r>
        <w:rPr>
          <w:rFonts w:hint="eastAsia" w:ascii="Times New Roman" w:hAnsi="Times New Roman" w:cs="Times New Roman"/>
        </w:rPr>
        <w:t>1041.95</w:t>
      </w:r>
      <w:r>
        <w:rPr>
          <w:rFonts w:ascii="Times New Roman" w:hAnsi="Times New Roman" w:cs="Times New Roman"/>
        </w:rPr>
        <w:t>万元，结余19.26万元，预算执行率</w:t>
      </w:r>
      <w:r>
        <w:rPr>
          <w:rFonts w:hint="eastAsia" w:ascii="Times New Roman" w:hAnsi="Times New Roman" w:cs="Times New Roman"/>
        </w:rPr>
        <w:t>98.18%</w:t>
      </w:r>
      <w:r>
        <w:rPr>
          <w:rFonts w:ascii="Times New Roman" w:hAnsi="Times New Roman" w:cs="Times New Roman"/>
        </w:rPr>
        <w:t>。</w:t>
      </w:r>
    </w:p>
    <w:p>
      <w:pPr>
        <w:ind w:firstLine="707" w:firstLineChars="221"/>
        <w:jc w:val="both"/>
        <w:rPr>
          <w:rFonts w:ascii="Times New Roman" w:hAnsi="Times New Roman" w:cs="Times New Roman"/>
        </w:rPr>
      </w:pPr>
      <w:r>
        <w:rPr>
          <w:rFonts w:ascii="Times New Roman" w:hAnsi="Times New Roman" w:cs="Times New Roman"/>
        </w:rPr>
        <w:t>资金使用明细情况如下：</w:t>
      </w:r>
    </w:p>
    <w:tbl>
      <w:tblPr>
        <w:tblStyle w:val="9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3"/>
        <w:gridCol w:w="3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2730" w:type="pct"/>
            <w:shd w:val="clear" w:color="auto" w:fill="auto"/>
            <w:noWrap/>
            <w:vAlign w:val="center"/>
          </w:tcPr>
          <w:p>
            <w:pPr>
              <w:widowControl/>
              <w:adjustRightInd w:val="0"/>
              <w:snapToGrid w:val="0"/>
              <w:spacing w:line="360" w:lineRule="exact"/>
              <w:jc w:val="center"/>
              <w:rPr>
                <w:rFonts w:ascii="Times New Roman" w:hAnsi="Times New Roman" w:cs="Times New Roman"/>
                <w:b/>
                <w:snapToGrid w:val="0"/>
                <w:kern w:val="0"/>
                <w:sz w:val="22"/>
                <w:szCs w:val="20"/>
                <w14:ligatures w14:val="none"/>
              </w:rPr>
            </w:pPr>
            <w:r>
              <w:rPr>
                <w:rFonts w:ascii="Times New Roman" w:hAnsi="Times New Roman" w:cs="Times New Roman"/>
                <w:b/>
                <w:snapToGrid w:val="0"/>
                <w:kern w:val="0"/>
                <w:sz w:val="22"/>
                <w:szCs w:val="20"/>
                <w14:ligatures w14:val="none"/>
              </w:rPr>
              <w:t>项目</w:t>
            </w:r>
          </w:p>
        </w:tc>
        <w:tc>
          <w:tcPr>
            <w:tcW w:w="2270" w:type="pct"/>
            <w:shd w:val="clear" w:color="auto" w:fill="auto"/>
            <w:noWrap/>
            <w:vAlign w:val="center"/>
          </w:tcPr>
          <w:p>
            <w:pPr>
              <w:widowControl/>
              <w:adjustRightInd w:val="0"/>
              <w:snapToGrid w:val="0"/>
              <w:spacing w:line="360" w:lineRule="exact"/>
              <w:jc w:val="center"/>
              <w:rPr>
                <w:rFonts w:ascii="Times New Roman" w:hAnsi="Times New Roman" w:cs="Times New Roman"/>
                <w:b/>
                <w:snapToGrid w:val="0"/>
                <w:kern w:val="0"/>
                <w:sz w:val="22"/>
                <w:szCs w:val="20"/>
                <w14:ligatures w14:val="none"/>
              </w:rPr>
            </w:pPr>
            <w:r>
              <w:rPr>
                <w:rFonts w:ascii="Times New Roman" w:hAnsi="Times New Roman" w:cs="Times New Roman"/>
                <w:b/>
                <w:snapToGrid w:val="0"/>
                <w:kern w:val="0"/>
                <w:sz w:val="22"/>
                <w:szCs w:val="20"/>
                <w14:ligatures w14: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ascii="Times New Roman" w:hAnsi="Times New Roman" w:cs="Times New Roman"/>
                <w:snapToGrid w:val="0"/>
                <w:kern w:val="0"/>
                <w:sz w:val="22"/>
                <w:szCs w:val="20"/>
                <w14:ligatures w14:val="none"/>
              </w:rPr>
            </w:pPr>
            <w:r>
              <w:rPr>
                <w:rFonts w:ascii="Times New Roman" w:hAnsi="Times New Roman" w:cs="Times New Roman"/>
                <w:snapToGrid w:val="0"/>
                <w:kern w:val="0"/>
                <w:sz w:val="22"/>
                <w:szCs w:val="20"/>
                <w14:ligatures w14:val="none"/>
              </w:rPr>
              <w:t>培训费</w:t>
            </w:r>
          </w:p>
        </w:tc>
        <w:tc>
          <w:tcPr>
            <w:tcW w:w="2270" w:type="pct"/>
            <w:shd w:val="clear" w:color="auto" w:fill="auto"/>
            <w:noWrap/>
            <w:vAlign w:val="center"/>
          </w:tcPr>
          <w:p>
            <w:pPr>
              <w:widowControl/>
              <w:adjustRightInd w:val="0"/>
              <w:snapToGrid w:val="0"/>
              <w:spacing w:line="360" w:lineRule="exact"/>
              <w:jc w:val="right"/>
              <w:rPr>
                <w:rFonts w:ascii="Times New Roman" w:hAnsi="Times New Roman" w:cs="Times New Roman"/>
                <w:snapToGrid w:val="0"/>
                <w:kern w:val="0"/>
                <w:sz w:val="22"/>
                <w:szCs w:val="20"/>
                <w14:ligatures w14:val="none"/>
              </w:rPr>
            </w:pPr>
            <w:r>
              <w:rPr>
                <w:rFonts w:hint="eastAsia" w:ascii="Times New Roman" w:hAnsi="Times New Roman" w:cs="Times New Roman"/>
                <w:snapToGrid w:val="0"/>
                <w:kern w:val="0"/>
                <w:sz w:val="22"/>
                <w:szCs w:val="20"/>
                <w14:ligatures w14:val="none"/>
              </w:rPr>
              <w:t>9,302,075.00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ascii="Times New Roman" w:hAnsi="Times New Roman" w:cs="Times New Roman"/>
                <w:snapToGrid w:val="0"/>
                <w:kern w:val="0"/>
                <w:sz w:val="22"/>
                <w:szCs w:val="20"/>
                <w14:ligatures w14:val="none"/>
              </w:rPr>
            </w:pPr>
            <w:r>
              <w:rPr>
                <w:rFonts w:ascii="Times New Roman" w:hAnsi="Times New Roman" w:cs="Times New Roman"/>
                <w:snapToGrid w:val="0"/>
                <w:kern w:val="0"/>
                <w:sz w:val="22"/>
                <w:szCs w:val="20"/>
                <w14:ligatures w14:val="none"/>
              </w:rPr>
              <w:t>其他交通费用</w:t>
            </w:r>
          </w:p>
        </w:tc>
        <w:tc>
          <w:tcPr>
            <w:tcW w:w="2270" w:type="pct"/>
            <w:shd w:val="clear" w:color="auto" w:fill="auto"/>
            <w:noWrap/>
            <w:vAlign w:val="center"/>
          </w:tcPr>
          <w:p>
            <w:pPr>
              <w:widowControl/>
              <w:adjustRightInd w:val="0"/>
              <w:snapToGrid w:val="0"/>
              <w:spacing w:line="360" w:lineRule="exact"/>
              <w:jc w:val="right"/>
              <w:rPr>
                <w:rFonts w:ascii="Times New Roman" w:hAnsi="Times New Roman" w:cs="Times New Roman"/>
                <w:snapToGrid w:val="0"/>
                <w:kern w:val="0"/>
                <w:sz w:val="22"/>
                <w:szCs w:val="20"/>
                <w14:ligatures w14:val="none"/>
              </w:rPr>
            </w:pPr>
            <w:r>
              <w:rPr>
                <w:rFonts w:hint="eastAsia" w:ascii="Times New Roman" w:hAnsi="Times New Roman" w:cs="Times New Roman"/>
                <w:snapToGrid w:val="0"/>
                <w:kern w:val="0"/>
                <w:sz w:val="22"/>
                <w:szCs w:val="20"/>
                <w14:ligatures w14:val="none"/>
              </w:rPr>
              <w:t>1,117,415.50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jc w:val="center"/>
              <w:rPr>
                <w:rFonts w:ascii="Times New Roman" w:hAnsi="Times New Roman" w:cs="Times New Roman"/>
                <w:snapToGrid w:val="0"/>
                <w:kern w:val="0"/>
                <w:sz w:val="22"/>
                <w:szCs w:val="20"/>
                <w14:ligatures w14:val="none"/>
              </w:rPr>
            </w:pPr>
            <w:r>
              <w:rPr>
                <w:rFonts w:ascii="Times New Roman" w:hAnsi="Times New Roman" w:cs="Times New Roman"/>
                <w:snapToGrid w:val="0"/>
                <w:kern w:val="0"/>
                <w:sz w:val="22"/>
                <w:szCs w:val="20"/>
                <w14:ligatures w14:val="none"/>
              </w:rPr>
              <w:t>合计</w:t>
            </w:r>
          </w:p>
        </w:tc>
        <w:tc>
          <w:tcPr>
            <w:tcW w:w="2270" w:type="pct"/>
            <w:shd w:val="clear" w:color="auto" w:fill="auto"/>
            <w:noWrap/>
            <w:vAlign w:val="center"/>
          </w:tcPr>
          <w:p>
            <w:pPr>
              <w:widowControl/>
              <w:adjustRightInd w:val="0"/>
              <w:snapToGrid w:val="0"/>
              <w:spacing w:line="360" w:lineRule="exact"/>
              <w:jc w:val="right"/>
              <w:rPr>
                <w:rFonts w:ascii="Times New Roman" w:hAnsi="Times New Roman" w:cs="Times New Roman"/>
                <w:snapToGrid w:val="0"/>
                <w:kern w:val="0"/>
                <w:sz w:val="22"/>
                <w:szCs w:val="20"/>
                <w14:ligatures w14:val="none"/>
              </w:rPr>
            </w:pPr>
            <w:r>
              <w:rPr>
                <w:rFonts w:hint="eastAsia" w:ascii="Times New Roman" w:hAnsi="Times New Roman" w:cs="Times New Roman"/>
                <w:snapToGrid w:val="0"/>
                <w:kern w:val="0"/>
                <w:sz w:val="22"/>
                <w:szCs w:val="20"/>
                <w14:ligatures w14:val="none"/>
              </w:rPr>
              <w:t>10,419,490.50</w:t>
            </w:r>
          </w:p>
        </w:tc>
      </w:tr>
    </w:tbl>
    <w:p>
      <w:pPr>
        <w:ind w:firstLine="707" w:firstLineChars="221"/>
        <w:jc w:val="both"/>
        <w:rPr>
          <w:rFonts w:ascii="Times New Roman" w:hAnsi="Times New Roman" w:cs="Times New Roman"/>
        </w:rPr>
      </w:pPr>
      <w:r>
        <w:rPr>
          <w:rFonts w:ascii="Times New Roman" w:hAnsi="Times New Roman" w:cs="Times New Roman"/>
        </w:rPr>
        <w:t>项目支出主要为培训费，占全部支出的</w:t>
      </w:r>
      <w:r>
        <w:rPr>
          <w:rFonts w:hint="eastAsia" w:ascii="Times New Roman" w:hAnsi="Times New Roman" w:cs="Times New Roman"/>
        </w:rPr>
        <w:t>89.28%</w:t>
      </w:r>
      <w:r>
        <w:rPr>
          <w:rFonts w:ascii="Times New Roman" w:hAnsi="Times New Roman" w:cs="Times New Roman"/>
        </w:rPr>
        <w:t>，与设置目标和绩效指标实现情况相符。</w:t>
      </w:r>
    </w:p>
    <w:p>
      <w:pPr>
        <w:pStyle w:val="6"/>
        <w:keepNext/>
        <w:rPr>
          <w:rFonts w:ascii="Times New Roman" w:hAnsi="Times New Roman" w:cs="Times New Roman"/>
        </w:rPr>
      </w:pPr>
      <w:r>
        <w:rPr>
          <w:rFonts w:ascii="Times New Roman" w:hAnsi="Times New Roman" w:cs="Times New Roman"/>
        </w:rPr>
        <w:t>（二）项目过程情况</w:t>
      </w:r>
    </w:p>
    <w:p>
      <w:pPr>
        <w:ind w:firstLine="707" w:firstLineChars="221"/>
        <w:jc w:val="both"/>
        <w:rPr>
          <w:rFonts w:ascii="Times New Roman" w:hAnsi="Times New Roman" w:cs="Times New Roman"/>
        </w:rPr>
      </w:pPr>
      <w:r>
        <w:rPr>
          <w:rFonts w:hint="eastAsia" w:ascii="Times New Roman" w:hAnsi="Times New Roman" w:cs="Times New Roman"/>
        </w:rPr>
        <w:t>项目过程指标，满分</w:t>
      </w:r>
      <w:r>
        <w:rPr>
          <w:rFonts w:ascii="Times New Roman" w:hAnsi="Times New Roman" w:cs="Times New Roman"/>
        </w:rPr>
        <w:t>20.00</w:t>
      </w:r>
      <w:r>
        <w:rPr>
          <w:rFonts w:hint="eastAsia" w:ascii="Times New Roman" w:hAnsi="Times New Roman" w:cs="Times New Roman"/>
        </w:rPr>
        <w:t>分，评价得分为</w:t>
      </w:r>
      <w:r>
        <w:rPr>
          <w:rFonts w:ascii="Times New Roman" w:hAnsi="Times New Roman" w:cs="Times New Roman"/>
        </w:rPr>
        <w:t>18.9</w:t>
      </w:r>
      <w:r>
        <w:rPr>
          <w:rFonts w:hint="eastAsia" w:ascii="Times New Roman" w:hAnsi="Times New Roman" w:cs="Times New Roman"/>
        </w:rPr>
        <w:t>5分，资金使用及管理规范，项目组织实施比较规范有序。</w:t>
      </w:r>
    </w:p>
    <w:p>
      <w:pPr>
        <w:pStyle w:val="7"/>
        <w:ind w:left="707" w:leftChars="221" w:firstLine="0" w:firstLineChars="0"/>
        <w:rPr>
          <w:rFonts w:ascii="Times New Roman" w:hAnsi="Times New Roman" w:cs="Times New Roman"/>
        </w:rPr>
      </w:pPr>
      <w:r>
        <w:rPr>
          <w:rFonts w:hint="eastAsia" w:ascii="宋体" w:hAnsi="宋体" w:eastAsia="宋体" w:cs="Times New Roman"/>
        </w:rPr>
        <w:t>1．</w:t>
      </w:r>
      <w:r>
        <w:rPr>
          <w:rFonts w:ascii="Times New Roman" w:hAnsi="Times New Roman" w:cs="Times New Roman"/>
        </w:rPr>
        <w:t>资金管理情况</w:t>
      </w:r>
    </w:p>
    <w:p>
      <w:pPr>
        <w:ind w:firstLine="707" w:firstLineChars="221"/>
        <w:jc w:val="both"/>
        <w:rPr>
          <w:rFonts w:ascii="Times New Roman" w:hAnsi="Times New Roman" w:cs="Times New Roman"/>
        </w:rPr>
      </w:pPr>
      <w:r>
        <w:rPr>
          <w:rFonts w:ascii="Times New Roman" w:hAnsi="Times New Roman" w:cs="Times New Roman"/>
        </w:rPr>
        <w:t>按照财政资金的使用规定，项目通过履行政府采购程序确定服务商，并在规定时间内签订合同。根据管理制度要求和合同约定方式，对项目资金的申报、审批、支出、拨付、报销等流程进行了约束，严格按照规定和要求执行，确保了项目资金使用的安全性和资金管理的规范性。</w:t>
      </w:r>
    </w:p>
    <w:p>
      <w:pPr>
        <w:ind w:firstLine="707" w:firstLineChars="221"/>
        <w:jc w:val="both"/>
        <w:rPr>
          <w:rFonts w:ascii="Times New Roman" w:hAnsi="Times New Roman" w:cs="Times New Roman"/>
        </w:rPr>
      </w:pPr>
      <w:r>
        <w:rPr>
          <w:rFonts w:ascii="Times New Roman" w:hAnsi="Times New Roman" w:cs="Times New Roman"/>
        </w:rPr>
        <w:t>项目实施过程中严格按照各项财务制度执行，进一步提升预算执行的科学性和合理性。该项目资金支付给中标单位之后，市团校要求中标方严格按照合同约定要求管理和使用财政资金，不得挪用、挤占项目经费，不得虚列支出，不得以任何形式谋取私利，必要时配合市团校进行延伸审计和检查。</w:t>
      </w:r>
    </w:p>
    <w:p>
      <w:pPr>
        <w:pStyle w:val="7"/>
        <w:ind w:left="848" w:leftChars="265" w:firstLine="0" w:firstLineChars="0"/>
        <w:rPr>
          <w:rFonts w:ascii="Times New Roman" w:hAnsi="Times New Roman" w:cs="Times New Roman"/>
        </w:rPr>
      </w:pPr>
      <w:r>
        <w:rPr>
          <w:rFonts w:hint="eastAsia" w:ascii="宋体" w:hAnsi="宋体" w:eastAsia="宋体" w:cs="Times New Roman"/>
        </w:rPr>
        <w:t>2．</w:t>
      </w:r>
      <w:r>
        <w:rPr>
          <w:rFonts w:ascii="Times New Roman" w:hAnsi="Times New Roman" w:cs="Times New Roman"/>
        </w:rPr>
        <w:t>项目组织实施分析</w:t>
      </w:r>
    </w:p>
    <w:p>
      <w:pPr>
        <w:ind w:firstLine="707" w:firstLineChars="221"/>
        <w:jc w:val="both"/>
        <w:rPr>
          <w:rFonts w:ascii="Times New Roman" w:hAnsi="Times New Roman" w:cs="Times New Roman"/>
        </w:rPr>
      </w:pPr>
      <w:r>
        <w:rPr>
          <w:rFonts w:ascii="Times New Roman" w:hAnsi="Times New Roman" w:cs="Times New Roman"/>
        </w:rPr>
        <w:t>项目过程管理程序规范，资料比较完备，由市团校培训处整理《团干部教育培训项目绩效评价资料汇编》，汇集了保存整理的绩效相关资料。整体资料较为完整，对日常工作、阶段性工作进行了比较详细的记录和总结。</w:t>
      </w:r>
    </w:p>
    <w:p>
      <w:pPr>
        <w:pStyle w:val="6"/>
        <w:rPr>
          <w:rFonts w:ascii="Times New Roman" w:hAnsi="Times New Roman" w:cs="Times New Roman"/>
        </w:rPr>
      </w:pPr>
      <w:r>
        <w:rPr>
          <w:rFonts w:ascii="Times New Roman" w:hAnsi="Times New Roman" w:cs="Times New Roman"/>
        </w:rPr>
        <w:t>（三）项目产出情况</w:t>
      </w:r>
    </w:p>
    <w:p>
      <w:pPr>
        <w:ind w:firstLine="707" w:firstLineChars="221"/>
        <w:jc w:val="both"/>
        <w:rPr>
          <w:rFonts w:ascii="Times New Roman" w:hAnsi="Times New Roman" w:cs="Times New Roman"/>
        </w:rPr>
      </w:pPr>
      <w:r>
        <w:rPr>
          <w:rFonts w:hint="eastAsia" w:ascii="Times New Roman" w:hAnsi="Times New Roman" w:cs="Times New Roman"/>
        </w:rPr>
        <w:t>项目过程指标，满分</w:t>
      </w:r>
      <w:r>
        <w:rPr>
          <w:rFonts w:ascii="Times New Roman" w:hAnsi="Times New Roman" w:cs="Times New Roman"/>
        </w:rPr>
        <w:t>40.00</w:t>
      </w:r>
      <w:r>
        <w:rPr>
          <w:rFonts w:hint="eastAsia" w:ascii="Times New Roman" w:hAnsi="Times New Roman" w:cs="Times New Roman"/>
        </w:rPr>
        <w:t>分，评价得分为38.75分，项目产出基本达到了预期目标，且项目完成质量良好。</w:t>
      </w:r>
    </w:p>
    <w:p>
      <w:pPr>
        <w:pStyle w:val="7"/>
        <w:numPr>
          <w:ilvl w:val="0"/>
          <w:numId w:val="13"/>
        </w:numPr>
        <w:ind w:firstLineChars="0"/>
        <w:rPr>
          <w:rFonts w:ascii="Times New Roman" w:hAnsi="Times New Roman" w:cs="Times New Roman"/>
        </w:rPr>
      </w:pPr>
      <w:r>
        <w:rPr>
          <w:rFonts w:ascii="Times New Roman" w:hAnsi="Times New Roman" w:cs="Times New Roman"/>
        </w:rPr>
        <w:t>项目产出数量分析</w:t>
      </w:r>
    </w:p>
    <w:p>
      <w:pPr>
        <w:ind w:firstLine="707" w:firstLineChars="221"/>
        <w:jc w:val="both"/>
        <w:rPr>
          <w:rFonts w:ascii="Times New Roman" w:hAnsi="Times New Roman" w:cs="Times New Roman"/>
        </w:rPr>
      </w:pPr>
      <w:r>
        <w:rPr>
          <w:rFonts w:hint="eastAsia" w:ascii="Times New Roman" w:hAnsi="Times New Roman" w:cs="Times New Roman"/>
        </w:rPr>
        <w:t>项目</w:t>
      </w:r>
      <w:r>
        <w:rPr>
          <w:rFonts w:ascii="Times New Roman" w:hAnsi="Times New Roman" w:cs="Times New Roman"/>
        </w:rPr>
        <w:t>202</w:t>
      </w:r>
      <w:r>
        <w:rPr>
          <w:rFonts w:hint="eastAsia" w:ascii="Times New Roman" w:hAnsi="Times New Roman" w:cs="Times New Roman"/>
        </w:rPr>
        <w:t>4年预定绩效数量目标由于部分调训单位</w:t>
      </w:r>
      <w:r>
        <w:rPr>
          <w:rFonts w:hint="eastAsia" w:ascii="Times New Roman" w:hAnsi="Times New Roman" w:cs="Times New Roman"/>
          <w:lang w:val="en-US" w:eastAsia="zh-CN"/>
        </w:rPr>
        <w:t>调整培训计划</w:t>
      </w:r>
      <w:r>
        <w:rPr>
          <w:rFonts w:hint="eastAsia" w:ascii="Times New Roman" w:hAnsi="Times New Roman" w:cs="Times New Roman"/>
        </w:rPr>
        <w:t>取消部分班次</w:t>
      </w:r>
      <w:r>
        <w:rPr>
          <w:rFonts w:hint="eastAsia" w:ascii="Times New Roman" w:hAnsi="Times New Roman" w:cs="Times New Roman"/>
          <w:lang w:eastAsia="zh-CN"/>
        </w:rPr>
        <w:t>，</w:t>
      </w:r>
      <w:r>
        <w:rPr>
          <w:rFonts w:hint="eastAsia" w:ascii="Times New Roman" w:hAnsi="Times New Roman" w:cs="Times New Roman"/>
          <w:lang w:val="en-US" w:eastAsia="zh-CN"/>
        </w:rPr>
        <w:t>导致</w:t>
      </w:r>
      <w:r>
        <w:rPr>
          <w:rFonts w:hint="eastAsia" w:ascii="Times New Roman" w:hAnsi="Times New Roman" w:cs="Times New Roman"/>
        </w:rPr>
        <w:t>未完成对应数量目标和时效目标，主要包括：</w:t>
      </w:r>
      <w:r>
        <w:rPr>
          <w:rFonts w:hint="eastAsia" w:ascii="Times New Roman" w:hAnsi="Times New Roman" w:cs="Times New Roman"/>
          <w:highlight w:val="none"/>
        </w:rPr>
        <w:t>全年教育培训人员数量计划18449人天，实际完成16364人天；春季学期培训按期完成率计划85%，实际完成79%</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秋季学期培训按期完成率计划85%，实际完成190%，</w:t>
      </w:r>
      <w:r>
        <w:rPr>
          <w:rFonts w:hint="eastAsia" w:ascii="Times New Roman" w:hAnsi="Times New Roman" w:cs="Times New Roman"/>
        </w:rPr>
        <w:t>以上未完成部分均由于客观原因所致。</w:t>
      </w:r>
    </w:p>
    <w:p>
      <w:pPr>
        <w:pStyle w:val="7"/>
        <w:numPr>
          <w:ilvl w:val="0"/>
          <w:numId w:val="13"/>
        </w:numPr>
        <w:ind w:firstLineChars="0"/>
        <w:rPr>
          <w:rFonts w:ascii="Times New Roman" w:hAnsi="Times New Roman" w:cs="Times New Roman"/>
        </w:rPr>
      </w:pPr>
      <w:r>
        <w:rPr>
          <w:rFonts w:ascii="Times New Roman" w:hAnsi="Times New Roman" w:cs="Times New Roman"/>
        </w:rPr>
        <w:t>项目产出质量分析</w:t>
      </w:r>
    </w:p>
    <w:p>
      <w:pPr>
        <w:ind w:firstLine="707" w:firstLineChars="221"/>
        <w:jc w:val="both"/>
        <w:rPr>
          <w:rFonts w:ascii="Times New Roman" w:hAnsi="Times New Roman" w:cs="Times New Roman"/>
        </w:rPr>
      </w:pPr>
      <w:r>
        <w:rPr>
          <w:rFonts w:hint="eastAsia" w:ascii="Times New Roman" w:hAnsi="Times New Roman" w:cs="Times New Roman"/>
        </w:rPr>
        <w:t>由于部分调训单位</w:t>
      </w:r>
      <w:r>
        <w:rPr>
          <w:rFonts w:hint="eastAsia" w:ascii="Times New Roman" w:hAnsi="Times New Roman" w:cs="Times New Roman"/>
          <w:lang w:val="en-US" w:eastAsia="zh-CN"/>
        </w:rPr>
        <w:t>调整培训计划</w:t>
      </w:r>
      <w:r>
        <w:rPr>
          <w:rFonts w:hint="eastAsia" w:ascii="Times New Roman" w:hAnsi="Times New Roman" w:cs="Times New Roman"/>
          <w:lang w:eastAsia="zh-CN"/>
        </w:rPr>
        <w:t>，</w:t>
      </w:r>
      <w:r>
        <w:rPr>
          <w:rFonts w:hint="eastAsia" w:ascii="Times New Roman" w:hAnsi="Times New Roman" w:cs="Times New Roman"/>
          <w:lang w:val="en-US" w:eastAsia="zh-CN"/>
        </w:rPr>
        <w:t>经项目单位积极协调，最终</w:t>
      </w:r>
      <w:r>
        <w:rPr>
          <w:rFonts w:hint="eastAsia" w:ascii="Times New Roman" w:hAnsi="Times New Roman" w:cs="Times New Roman"/>
        </w:rPr>
        <w:t>全年完成各类培训班次38个、调训团干部及青年骨干3480人，培训量16364人天。覆盖团市委机关及事业单位12个部门，以及市委组织部、统战部、市委金融工委、人社局等机关单位7个，学员群体覆盖青联委员、新兴青年群体、卫国戍边优秀官兵及子女、港澳台青年骨干等14类。</w:t>
      </w:r>
    </w:p>
    <w:p>
      <w:pPr>
        <w:pStyle w:val="6"/>
        <w:keepNext/>
        <w:rPr>
          <w:rFonts w:ascii="Times New Roman" w:hAnsi="Times New Roman" w:cs="Times New Roman"/>
        </w:rPr>
      </w:pPr>
      <w:r>
        <w:rPr>
          <w:rFonts w:ascii="Times New Roman" w:hAnsi="Times New Roman" w:cs="Times New Roman"/>
        </w:rPr>
        <w:t>（四）项目效益情况</w:t>
      </w:r>
    </w:p>
    <w:p>
      <w:pPr>
        <w:ind w:firstLine="707" w:firstLineChars="221"/>
        <w:jc w:val="both"/>
        <w:rPr>
          <w:rFonts w:ascii="Times New Roman" w:hAnsi="Times New Roman" w:cs="Times New Roman"/>
        </w:rPr>
      </w:pPr>
      <w:r>
        <w:rPr>
          <w:rFonts w:hint="eastAsia" w:ascii="Times New Roman" w:hAnsi="Times New Roman" w:cs="Times New Roman"/>
        </w:rPr>
        <w:t>项目效益指标，满分</w:t>
      </w:r>
      <w:r>
        <w:rPr>
          <w:rFonts w:ascii="Times New Roman" w:hAnsi="Times New Roman" w:cs="Times New Roman"/>
        </w:rPr>
        <w:t>30.00</w:t>
      </w:r>
      <w:r>
        <w:rPr>
          <w:rFonts w:hint="eastAsia" w:ascii="Times New Roman" w:hAnsi="Times New Roman" w:cs="Times New Roman"/>
        </w:rPr>
        <w:t>分，评价得分为</w:t>
      </w:r>
      <w:r>
        <w:rPr>
          <w:rFonts w:ascii="Times New Roman" w:hAnsi="Times New Roman" w:cs="Times New Roman"/>
        </w:rPr>
        <w:t>28.20</w:t>
      </w:r>
      <w:r>
        <w:rPr>
          <w:rFonts w:hint="eastAsia" w:ascii="Times New Roman" w:hAnsi="Times New Roman" w:cs="Times New Roman"/>
        </w:rPr>
        <w:t>分，项目效益基本达到了预期目标，且影响深远。</w:t>
      </w:r>
    </w:p>
    <w:p>
      <w:pPr>
        <w:pStyle w:val="7"/>
        <w:numPr>
          <w:ilvl w:val="255"/>
          <w:numId w:val="0"/>
        </w:numPr>
        <w:ind w:left="707" w:leftChars="221"/>
        <w:rPr>
          <w:rFonts w:ascii="Times New Roman" w:hAnsi="Times New Roman" w:cs="Times New Roman"/>
        </w:rPr>
      </w:pPr>
      <w:r>
        <w:rPr>
          <w:rFonts w:hint="eastAsia" w:ascii="宋体" w:hAnsi="宋体" w:eastAsia="宋体" w:cs="Times New Roman"/>
        </w:rPr>
        <w:t>1．</w:t>
      </w:r>
      <w:r>
        <w:rPr>
          <w:rFonts w:hint="eastAsia" w:ascii="Times New Roman" w:hAnsi="Times New Roman" w:cs="Times New Roman"/>
        </w:rPr>
        <w:t>可持续影响</w:t>
      </w:r>
    </w:p>
    <w:p>
      <w:pPr>
        <w:ind w:firstLine="707" w:firstLineChars="221"/>
        <w:jc w:val="both"/>
        <w:rPr>
          <w:rFonts w:ascii="Times New Roman" w:hAnsi="Times New Roman" w:cs="Times New Roman"/>
        </w:rPr>
      </w:pPr>
      <w:r>
        <w:rPr>
          <w:rFonts w:hint="eastAsia" w:ascii="Times New Roman" w:hAnsi="Times New Roman" w:cs="Times New Roman"/>
        </w:rPr>
        <w:t>编制形成约6万字的《北京市团校教育培训工作手册（2024版）》，实现了教育培训工作有章可循。开展“送课到岗”品牌项目90场，参与学员17871人次，相关做法被纳入市委组织部《北京市干部教育培训创新实践案例汇编》,《中国共青团》杂志特稿刊发《北京市团校：让理论的春风吹拂基层青年的心田》专题文章。</w:t>
      </w:r>
    </w:p>
    <w:p>
      <w:pPr>
        <w:pStyle w:val="7"/>
        <w:ind w:left="707" w:leftChars="221" w:firstLine="0" w:firstLineChars="0"/>
        <w:rPr>
          <w:rFonts w:hint="eastAsia" w:ascii="仿宋" w:hAnsi="仿宋" w:cs="Times New Roman"/>
        </w:rPr>
      </w:pPr>
      <w:r>
        <w:rPr>
          <w:rFonts w:ascii="宋体" w:hAnsi="宋体" w:eastAsia="宋体" w:cs="Times New Roman"/>
        </w:rPr>
        <w:t>2</w:t>
      </w:r>
      <w:r>
        <w:rPr>
          <w:rFonts w:hint="eastAsia" w:ascii="仿宋" w:hAnsi="仿宋" w:cs="Times New Roman"/>
        </w:rPr>
        <w:t>．</w:t>
      </w:r>
      <w:r>
        <w:rPr>
          <w:rFonts w:ascii="仿宋" w:hAnsi="仿宋" w:cs="Times New Roman"/>
        </w:rPr>
        <w:t>服务对象满意度</w:t>
      </w:r>
    </w:p>
    <w:p>
      <w:pPr>
        <w:ind w:firstLine="707" w:firstLineChars="221"/>
        <w:jc w:val="both"/>
        <w:rPr>
          <w:rFonts w:ascii="Times New Roman" w:hAnsi="Times New Roman" w:cs="Times New Roman"/>
        </w:rPr>
      </w:pPr>
      <w:r>
        <w:rPr>
          <w:rFonts w:ascii="Times New Roman" w:hAnsi="Times New Roman" w:cs="Times New Roman"/>
        </w:rPr>
        <w:t>202</w:t>
      </w:r>
      <w:r>
        <w:rPr>
          <w:rFonts w:hint="eastAsia" w:ascii="Times New Roman" w:hAnsi="Times New Roman" w:cs="Times New Roman"/>
        </w:rPr>
        <w:t>4</w:t>
      </w:r>
      <w:r>
        <w:rPr>
          <w:rFonts w:ascii="Times New Roman" w:hAnsi="Times New Roman" w:cs="Times New Roman"/>
        </w:rPr>
        <w:t>年</w:t>
      </w:r>
      <w:r>
        <w:rPr>
          <w:rFonts w:hint="eastAsia" w:ascii="Times New Roman" w:hAnsi="Times New Roman" w:cs="Times New Roman"/>
        </w:rPr>
        <w:t>服务对象满意度指标评价10分</w:t>
      </w:r>
      <w:r>
        <w:rPr>
          <w:rFonts w:ascii="Times New Roman" w:hAnsi="Times New Roman" w:cs="Times New Roman"/>
        </w:rPr>
        <w:t>（满分10分），</w:t>
      </w:r>
      <w:r>
        <w:rPr>
          <w:rFonts w:hint="eastAsia" w:ascii="Times New Roman" w:hAnsi="Times New Roman" w:cs="Times New Roman"/>
        </w:rPr>
        <w:t>绩效目标设置的两个指标：市属班次学员对培训班综合评估满意度99.5%，市属班次学员对授课教师授课满意度99.4%</w:t>
      </w:r>
      <w:r>
        <w:rPr>
          <w:rFonts w:ascii="Times New Roman" w:hAnsi="Times New Roman" w:cs="Times New Roman"/>
        </w:rPr>
        <w:t>。</w:t>
      </w:r>
    </w:p>
    <w:p>
      <w:pPr>
        <w:pStyle w:val="5"/>
        <w:ind w:firstLine="643"/>
        <w:rPr>
          <w:rFonts w:ascii="Times New Roman" w:hAnsi="Times New Roman" w:cs="Times New Roman"/>
        </w:rPr>
      </w:pPr>
      <w:r>
        <w:rPr>
          <w:rFonts w:ascii="Times New Roman" w:hAnsi="Times New Roman" w:cs="Times New Roman"/>
        </w:rPr>
        <w:t>五、主要经验及做法、存在的问题及原因分析</w:t>
      </w:r>
    </w:p>
    <w:p>
      <w:pPr>
        <w:ind w:firstLine="707" w:firstLineChars="221"/>
        <w:jc w:val="both"/>
        <w:rPr>
          <w:rFonts w:ascii="Times New Roman" w:hAnsi="Times New Roman" w:cs="Times New Roman"/>
        </w:rPr>
      </w:pPr>
      <w:r>
        <w:rPr>
          <w:rFonts w:ascii="Times New Roman" w:hAnsi="Times New Roman" w:cs="Times New Roman"/>
        </w:rPr>
        <w:t>市团校为本次事业单位改革新建单位，2023年是第一年申报财政预算开展项目绩效评价工作</w:t>
      </w:r>
      <w:r>
        <w:rPr>
          <w:rFonts w:hint="eastAsia" w:ascii="Times New Roman" w:hAnsi="Times New Roman" w:cs="Times New Roman"/>
        </w:rPr>
        <w:t>，项目绩效评价前期可参考信息尚在积累过程中</w:t>
      </w:r>
      <w:r>
        <w:rPr>
          <w:rFonts w:ascii="Times New Roman" w:hAnsi="Times New Roman" w:cs="Times New Roman"/>
        </w:rPr>
        <w:t>。</w:t>
      </w:r>
      <w:r>
        <w:rPr>
          <w:rFonts w:hint="eastAsia" w:ascii="Times New Roman" w:hAnsi="Times New Roman" w:cs="Times New Roman"/>
        </w:rPr>
        <w:t>在2024年度预算编制、项目事前绩效评估、项目实施整体过程，以及本次绩效自评价对前期工作的整体梳理分析中，总结了一些经验，发现了一些问题。</w:t>
      </w:r>
    </w:p>
    <w:p>
      <w:pPr>
        <w:pStyle w:val="6"/>
        <w:numPr>
          <w:ilvl w:val="0"/>
          <w:numId w:val="14"/>
        </w:numPr>
        <w:ind w:firstLineChars="0"/>
        <w:rPr>
          <w:rFonts w:ascii="Times New Roman" w:hAnsi="Times New Roman" w:cs="Times New Roman"/>
        </w:rPr>
      </w:pPr>
      <w:r>
        <w:rPr>
          <w:rFonts w:ascii="Times New Roman" w:hAnsi="Times New Roman" w:cs="Times New Roman"/>
        </w:rPr>
        <w:t>主要经验及做法</w:t>
      </w:r>
    </w:p>
    <w:p>
      <w:pPr>
        <w:pStyle w:val="7"/>
        <w:numPr>
          <w:ilvl w:val="0"/>
          <w:numId w:val="15"/>
        </w:numPr>
        <w:ind w:firstLineChars="0"/>
        <w:rPr>
          <w:rFonts w:hint="eastAsia" w:ascii="仿宋" w:hAnsi="仿宋" w:cs="Times New Roman"/>
          <w:highlight w:val="none"/>
        </w:rPr>
      </w:pPr>
      <w:r>
        <w:rPr>
          <w:rFonts w:hint="eastAsia" w:ascii="仿宋" w:hAnsi="仿宋" w:cs="Times New Roman"/>
          <w:highlight w:val="none"/>
        </w:rPr>
        <w:t>加强统筹谋划，确保经费整体可控</w:t>
      </w:r>
    </w:p>
    <w:p>
      <w:pPr>
        <w:ind w:firstLine="707" w:firstLineChars="221"/>
        <w:jc w:val="both"/>
        <w:rPr>
          <w:rFonts w:ascii="Times New Roman" w:hAnsi="Times New Roman" w:cs="Times New Roman"/>
          <w:highlight w:val="none"/>
        </w:rPr>
      </w:pPr>
      <w:r>
        <w:rPr>
          <w:rFonts w:hint="eastAsia" w:ascii="Times New Roman" w:hAnsi="Times New Roman" w:cs="Times New Roman"/>
          <w:highlight w:val="none"/>
        </w:rPr>
        <w:t>原计划举办北京共青团系统各领域、各战线培训班次共计34个</w:t>
      </w:r>
      <w:r>
        <w:rPr>
          <w:rFonts w:hint="eastAsia"/>
          <w:highlight w:val="none"/>
        </w:rPr>
        <w:t>，项目实施过程中，班次增加至38个，在培训经费的整体使用进行了统筹谋划，对预算绩效目标的变更进行了及时调整，对今后项目的实施积攒了丰富的经验</w:t>
      </w:r>
      <w:r>
        <w:rPr>
          <w:rFonts w:hint="eastAsia" w:ascii="Times New Roman" w:hAnsi="Times New Roman" w:cs="Times New Roman"/>
          <w:highlight w:val="none"/>
        </w:rPr>
        <w:t>。</w:t>
      </w:r>
    </w:p>
    <w:p>
      <w:pPr>
        <w:pStyle w:val="7"/>
        <w:numPr>
          <w:ilvl w:val="0"/>
          <w:numId w:val="15"/>
        </w:numPr>
        <w:ind w:firstLineChars="0"/>
        <w:jc w:val="both"/>
        <w:rPr>
          <w:rFonts w:hint="eastAsia" w:ascii="仿宋" w:hAnsi="仿宋" w:cs="Times New Roman"/>
          <w:highlight w:val="none"/>
        </w:rPr>
      </w:pPr>
      <w:r>
        <w:rPr>
          <w:rFonts w:hint="eastAsia" w:ascii="仿宋" w:hAnsi="仿宋" w:cs="Times New Roman"/>
          <w:highlight w:val="none"/>
        </w:rPr>
        <w:t>创新军地协同育人模式深度服务边疆思想阵地建设</w:t>
      </w:r>
    </w:p>
    <w:p>
      <w:pPr>
        <w:ind w:firstLine="707" w:firstLineChars="221"/>
        <w:jc w:val="both"/>
        <w:rPr>
          <w:rFonts w:ascii="Times New Roman" w:hAnsi="Times New Roman" w:cs="Times New Roman"/>
        </w:rPr>
      </w:pPr>
      <w:r>
        <w:rPr>
          <w:rFonts w:hint="eastAsia" w:ascii="Times New Roman" w:hAnsi="Times New Roman" w:cs="Times New Roman"/>
          <w:highlight w:val="none"/>
        </w:rPr>
        <w:t>全面融入共青团卫国戍边工作，组织青年教师前往东方第一哨、西陲第一哨、北极</w:t>
      </w:r>
      <w:r>
        <w:rPr>
          <w:rFonts w:hint="eastAsia" w:ascii="Times New Roman" w:hAnsi="Times New Roman" w:cs="Times New Roman"/>
        </w:rPr>
        <w:t>边防连等戍边部队调研、授课、重温入党誓词，与新疆军区、南疆军区、海军16舰等单位开展共建合作，相关工作得到团中央书记处领导的批示。</w:t>
      </w:r>
    </w:p>
    <w:p>
      <w:pPr>
        <w:pStyle w:val="7"/>
        <w:numPr>
          <w:ilvl w:val="0"/>
          <w:numId w:val="15"/>
        </w:numPr>
        <w:ind w:firstLineChars="0"/>
        <w:jc w:val="both"/>
        <w:rPr>
          <w:rFonts w:ascii="仿宋" w:hAnsi="仿宋" w:cs="Times New Roman"/>
        </w:rPr>
      </w:pPr>
      <w:r>
        <w:rPr>
          <w:rFonts w:hint="eastAsia" w:ascii="仿宋" w:hAnsi="仿宋" w:cs="Times New Roman"/>
        </w:rPr>
        <w:t>“送课到岗”构建干部教育培训新生态"</w:t>
      </w:r>
    </w:p>
    <w:p>
      <w:pPr>
        <w:ind w:firstLine="707" w:firstLineChars="221"/>
        <w:jc w:val="both"/>
        <w:rPr>
          <w:rFonts w:ascii="Times New Roman" w:hAnsi="Times New Roman" w:cs="Times New Roman"/>
        </w:rPr>
      </w:pPr>
      <w:r>
        <w:rPr>
          <w:rFonts w:hint="eastAsia" w:ascii="Times New Roman" w:hAnsi="Times New Roman" w:cs="Times New Roman"/>
        </w:rPr>
        <w:t>不断深化“送课到岗”</w:t>
      </w:r>
      <w:bookmarkStart w:id="1" w:name="_GoBack"/>
      <w:bookmarkEnd w:id="1"/>
      <w:r>
        <w:rPr>
          <w:rFonts w:hint="eastAsia" w:ascii="Times New Roman" w:hAnsi="Times New Roman" w:cs="Times New Roman"/>
        </w:rPr>
        <w:t>品牌项目，送出课程89场、覆盖1万7千人次，该工作得到团中央书记处</w:t>
      </w:r>
      <w:r>
        <w:rPr>
          <w:rFonts w:hint="eastAsia" w:ascii="Times New Roman" w:hAnsi="Times New Roman" w:cs="Times New Roman"/>
          <w:lang w:eastAsia="zh-CN"/>
        </w:rPr>
        <w:t>领导</w:t>
      </w:r>
      <w:r>
        <w:rPr>
          <w:rFonts w:hint="eastAsia" w:ascii="Times New Roman" w:hAnsi="Times New Roman" w:cs="Times New Roman"/>
        </w:rPr>
        <w:t>的肯定性批示，并被纳入市委组织部《北京市干部教育培训创新实践案例汇编》，同时《中国共青团》杂志就此项工作进行了特稿刊发。</w:t>
      </w:r>
    </w:p>
    <w:p>
      <w:pPr>
        <w:pStyle w:val="6"/>
        <w:numPr>
          <w:ilvl w:val="0"/>
          <w:numId w:val="14"/>
        </w:numPr>
        <w:ind w:firstLineChars="0"/>
        <w:rPr>
          <w:rFonts w:ascii="Times New Roman" w:hAnsi="Times New Roman" w:cs="Times New Roman"/>
        </w:rPr>
      </w:pPr>
      <w:r>
        <w:rPr>
          <w:rFonts w:ascii="Times New Roman" w:hAnsi="Times New Roman" w:cs="Times New Roman"/>
        </w:rPr>
        <w:t>存在问题</w:t>
      </w:r>
    </w:p>
    <w:p>
      <w:pPr>
        <w:pStyle w:val="7"/>
        <w:numPr>
          <w:ilvl w:val="0"/>
          <w:numId w:val="16"/>
        </w:numPr>
        <w:ind w:firstLineChars="0"/>
        <w:rPr>
          <w:rFonts w:hint="eastAsia" w:ascii="仿宋" w:hAnsi="仿宋" w:cs="Times New Roman"/>
        </w:rPr>
      </w:pPr>
      <w:r>
        <w:rPr>
          <w:rFonts w:ascii="仿宋" w:hAnsi="仿宋" w:cs="Times New Roman"/>
        </w:rPr>
        <w:t>绩效评价指标不完善</w:t>
      </w:r>
    </w:p>
    <w:p>
      <w:pPr>
        <w:ind w:firstLine="707" w:firstLineChars="221"/>
        <w:jc w:val="both"/>
        <w:rPr>
          <w:rFonts w:ascii="Times New Roman" w:hAnsi="Times New Roman" w:cs="Times New Roman"/>
        </w:rPr>
      </w:pPr>
      <w:r>
        <w:rPr>
          <w:rFonts w:hint="eastAsia" w:ascii="Times New Roman" w:hAnsi="Times New Roman" w:cs="Times New Roman"/>
        </w:rPr>
        <w:t>本</w:t>
      </w:r>
      <w:r>
        <w:rPr>
          <w:rFonts w:ascii="Times New Roman" w:hAnsi="Times New Roman" w:cs="Times New Roman"/>
        </w:rPr>
        <w:t>项目为延续性项目</w:t>
      </w:r>
      <w:r>
        <w:rPr>
          <w:rFonts w:hint="eastAsia" w:ascii="Times New Roman" w:hAnsi="Times New Roman" w:cs="Times New Roman"/>
        </w:rPr>
        <w:t>，当前设置的培训效果评估指标主要关注课程完成率、学员满意度等短期成效，对项目长期价值的衡量指标有待完善。</w:t>
      </w:r>
    </w:p>
    <w:p>
      <w:pPr>
        <w:pStyle w:val="7"/>
        <w:numPr>
          <w:ilvl w:val="0"/>
          <w:numId w:val="16"/>
        </w:numPr>
        <w:ind w:firstLineChars="0"/>
        <w:rPr>
          <w:rFonts w:hint="eastAsia" w:ascii="仿宋" w:hAnsi="仿宋" w:cs="Times New Roman"/>
        </w:rPr>
      </w:pPr>
      <w:r>
        <w:rPr>
          <w:rFonts w:ascii="仿宋" w:hAnsi="仿宋" w:cs="Times New Roman"/>
        </w:rPr>
        <w:t>项目预算管理有待提高</w:t>
      </w:r>
    </w:p>
    <w:p>
      <w:pPr>
        <w:ind w:firstLine="707" w:firstLineChars="221"/>
        <w:jc w:val="both"/>
        <w:rPr>
          <w:rFonts w:ascii="Times New Roman" w:hAnsi="Times New Roman" w:cs="Times New Roman"/>
        </w:rPr>
      </w:pPr>
      <w:r>
        <w:rPr>
          <w:rFonts w:ascii="Times New Roman" w:hAnsi="Times New Roman" w:cs="Times New Roman"/>
        </w:rPr>
        <w:t>作为新建单位，</w:t>
      </w:r>
      <w:r>
        <w:rPr>
          <w:rFonts w:hint="eastAsia" w:ascii="Times New Roman" w:hAnsi="Times New Roman" w:cs="Times New Roman"/>
          <w:lang w:val="en-US" w:eastAsia="zh-CN"/>
        </w:rPr>
        <w:t>还需进一步</w:t>
      </w:r>
      <w:r>
        <w:rPr>
          <w:rFonts w:hint="eastAsia" w:ascii="Times New Roman" w:hAnsi="Times New Roman" w:cs="Times New Roman"/>
        </w:rPr>
        <w:t>摸索</w:t>
      </w:r>
      <w:r>
        <w:rPr>
          <w:rFonts w:hint="eastAsia" w:ascii="Times New Roman" w:hAnsi="Times New Roman" w:cs="Times New Roman"/>
          <w:lang w:val="en-US" w:eastAsia="zh-CN"/>
        </w:rPr>
        <w:t>预算</w:t>
      </w:r>
      <w:r>
        <w:rPr>
          <w:rFonts w:hint="eastAsia" w:ascii="Times New Roman" w:hAnsi="Times New Roman" w:cs="Times New Roman"/>
        </w:rPr>
        <w:t>编制和项目实施过程中的经验教训，通过“经验积累-过程管控-动态优化”的渐进式提升，逐步</w:t>
      </w:r>
      <w:r>
        <w:rPr>
          <w:rFonts w:ascii="Times New Roman" w:hAnsi="Times New Roman" w:cs="Times New Roman"/>
        </w:rPr>
        <w:t>实现“降本增效”</w:t>
      </w:r>
      <w:r>
        <w:rPr>
          <w:rFonts w:hint="eastAsia" w:ascii="Times New Roman" w:hAnsi="Times New Roman" w:cs="Times New Roman"/>
        </w:rPr>
        <w:t>的绩效管理目标。</w:t>
      </w:r>
    </w:p>
    <w:p>
      <w:pPr>
        <w:pStyle w:val="5"/>
        <w:ind w:firstLine="643"/>
        <w:rPr>
          <w:rFonts w:ascii="Times New Roman" w:hAnsi="Times New Roman" w:cs="Times New Roman"/>
        </w:rPr>
      </w:pPr>
      <w:r>
        <w:rPr>
          <w:rFonts w:ascii="Times New Roman" w:hAnsi="Times New Roman" w:cs="Times New Roman"/>
        </w:rPr>
        <w:t>六、有关建议</w:t>
      </w:r>
    </w:p>
    <w:p>
      <w:pPr>
        <w:ind w:firstLine="707" w:firstLineChars="221"/>
        <w:jc w:val="both"/>
        <w:rPr>
          <w:rFonts w:ascii="Times New Roman" w:hAnsi="Times New Roman" w:cs="Times New Roman"/>
        </w:rPr>
      </w:pPr>
      <w:r>
        <w:rPr>
          <w:rFonts w:ascii="Times New Roman" w:hAnsi="Times New Roman" w:cs="Times New Roman"/>
        </w:rPr>
        <w:t>科学合理设置绩效目标和绩效指标，进一步细化可持续影响指标需的设定。持续积累项目绩效管理经验，加强分析总结，不断提升项目预算编制，绩效评价水平，保持项目投入产出最佳状态。</w:t>
      </w:r>
    </w:p>
    <w:p>
      <w:pPr>
        <w:pStyle w:val="5"/>
        <w:ind w:firstLine="643"/>
        <w:rPr>
          <w:rFonts w:ascii="Times New Roman" w:hAnsi="Times New Roman" w:cs="Times New Roman"/>
        </w:rPr>
      </w:pPr>
      <w:r>
        <w:rPr>
          <w:rFonts w:ascii="Times New Roman" w:hAnsi="Times New Roman" w:cs="Times New Roman"/>
        </w:rPr>
        <w:t>七、其他需要说明的问题</w:t>
      </w:r>
    </w:p>
    <w:p>
      <w:pPr>
        <w:ind w:firstLine="707" w:firstLineChars="221"/>
        <w:jc w:val="both"/>
        <w:rPr>
          <w:rFonts w:ascii="Times New Roman" w:hAnsi="Times New Roman" w:cs="Times New Roman"/>
        </w:rPr>
      </w:pPr>
      <w:r>
        <w:rPr>
          <w:rFonts w:ascii="Times New Roman" w:hAnsi="Times New Roman" w:cs="Times New Roman"/>
        </w:rPr>
        <w:t>无。</w:t>
      </w:r>
    </w:p>
    <w:p>
      <w:pPr>
        <w:rPr>
          <w:rFonts w:ascii="Times New Roman" w:hAnsi="Times New Roman" w:cs="Times New Roman"/>
        </w:rPr>
      </w:pPr>
    </w:p>
    <w:p>
      <w:pPr>
        <w:rPr>
          <w:rFonts w:ascii="Times New Roman" w:hAnsi="Times New Roman" w:cs="Times New Roma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ind w:firstLine="0" w:firstLineChars="0"/>
        <w:rPr>
          <w:rFonts w:ascii="Times New Roman" w:hAnsi="Times New Roman" w:cs="Times New Roman"/>
        </w:rPr>
      </w:pPr>
      <w:r>
        <w:rPr>
          <w:rFonts w:ascii="Times New Roman" w:hAnsi="Times New Roman" w:cs="Times New Roman"/>
        </w:rPr>
        <w:t>附件1：团干部教育培训项目绩效评价指标体系及评分情况表</w:t>
      </w:r>
    </w:p>
    <w:tbl>
      <w:tblPr>
        <w:tblStyle w:val="8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632"/>
        <w:gridCol w:w="632"/>
        <w:gridCol w:w="632"/>
        <w:gridCol w:w="448"/>
        <w:gridCol w:w="2741"/>
        <w:gridCol w:w="6061"/>
        <w:gridCol w:w="882"/>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blHeader/>
        </w:trPr>
        <w:tc>
          <w:tcPr>
            <w:tcW w:w="223" w:type="pct"/>
            <w:shd w:val="clear" w:color="auto" w:fill="auto"/>
            <w:vAlign w:val="center"/>
          </w:tcPr>
          <w:p>
            <w:pPr>
              <w:widowControl/>
              <w:spacing w:line="240" w:lineRule="exact"/>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一级指标</w:t>
            </w:r>
          </w:p>
        </w:tc>
        <w:tc>
          <w:tcPr>
            <w:tcW w:w="223" w:type="pct"/>
            <w:shd w:val="clear" w:color="auto" w:fill="auto"/>
            <w:vAlign w:val="center"/>
          </w:tcPr>
          <w:p>
            <w:pPr>
              <w:widowControl/>
              <w:spacing w:line="240" w:lineRule="exact"/>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二级指标</w:t>
            </w:r>
          </w:p>
        </w:tc>
        <w:tc>
          <w:tcPr>
            <w:tcW w:w="223" w:type="pct"/>
            <w:shd w:val="clear" w:color="auto" w:fill="auto"/>
            <w:vAlign w:val="center"/>
          </w:tcPr>
          <w:p>
            <w:pPr>
              <w:widowControl/>
              <w:spacing w:line="240" w:lineRule="exact"/>
              <w:jc w:val="center"/>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分值</w:t>
            </w:r>
          </w:p>
        </w:tc>
        <w:tc>
          <w:tcPr>
            <w:tcW w:w="223" w:type="pct"/>
            <w:shd w:val="clear" w:color="auto" w:fill="auto"/>
            <w:vAlign w:val="center"/>
          </w:tcPr>
          <w:p>
            <w:pPr>
              <w:widowControl/>
              <w:spacing w:line="240" w:lineRule="exact"/>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三级指标</w:t>
            </w:r>
          </w:p>
        </w:tc>
        <w:tc>
          <w:tcPr>
            <w:tcW w:w="158" w:type="pct"/>
            <w:shd w:val="clear" w:color="auto" w:fill="auto"/>
            <w:vAlign w:val="center"/>
          </w:tcPr>
          <w:p>
            <w:pPr>
              <w:widowControl/>
              <w:spacing w:line="240" w:lineRule="exact"/>
              <w:jc w:val="center"/>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分值</w:t>
            </w:r>
          </w:p>
        </w:tc>
        <w:tc>
          <w:tcPr>
            <w:tcW w:w="967" w:type="pct"/>
            <w:shd w:val="clear" w:color="auto" w:fill="auto"/>
            <w:vAlign w:val="center"/>
          </w:tcPr>
          <w:p>
            <w:pPr>
              <w:widowControl/>
              <w:spacing w:line="240" w:lineRule="exact"/>
              <w:jc w:val="center"/>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指标解释</w:t>
            </w:r>
          </w:p>
        </w:tc>
        <w:tc>
          <w:tcPr>
            <w:tcW w:w="2138" w:type="pct"/>
            <w:shd w:val="clear" w:color="auto" w:fill="auto"/>
            <w:vAlign w:val="center"/>
          </w:tcPr>
          <w:p>
            <w:pPr>
              <w:widowControl/>
              <w:spacing w:line="240" w:lineRule="exact"/>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评价要点</w:t>
            </w:r>
          </w:p>
        </w:tc>
        <w:tc>
          <w:tcPr>
            <w:tcW w:w="311" w:type="pct"/>
            <w:shd w:val="clear" w:color="auto" w:fill="auto"/>
            <w:vAlign w:val="center"/>
          </w:tcPr>
          <w:p>
            <w:pPr>
              <w:widowControl/>
              <w:spacing w:line="240" w:lineRule="exact"/>
              <w:jc w:val="center"/>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得分</w:t>
            </w:r>
          </w:p>
        </w:tc>
        <w:tc>
          <w:tcPr>
            <w:tcW w:w="534" w:type="pct"/>
            <w:shd w:val="clear" w:color="auto" w:fill="auto"/>
            <w:vAlign w:val="center"/>
          </w:tcPr>
          <w:p>
            <w:pPr>
              <w:widowControl/>
              <w:spacing w:line="240" w:lineRule="exact"/>
              <w:rPr>
                <w:rFonts w:ascii="Arial Narrow" w:hAnsi="Arial Narrow" w:eastAsia="等线" w:cs="宋体"/>
                <w:b/>
                <w:bCs/>
                <w:color w:val="000000"/>
                <w:kern w:val="0"/>
                <w:sz w:val="18"/>
                <w:szCs w:val="18"/>
                <w14:ligatures w14:val="none"/>
              </w:rPr>
            </w:pPr>
            <w:r>
              <w:rPr>
                <w:rFonts w:hint="eastAsia" w:ascii="仿宋" w:hAnsi="仿宋" w:cs="宋体"/>
                <w:b/>
                <w:bCs/>
                <w:color w:val="000000"/>
                <w:kern w:val="0"/>
                <w:sz w:val="18"/>
                <w:szCs w:val="18"/>
                <w14:ligatures w14:val="none"/>
              </w:rPr>
              <w:t>扣分理由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决策　</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项目立项　</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3</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立项依据充分性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项目立项是否符合法律法规、相关政策、发展规划以及部门职责，用以反映和考核项目立项依据情况。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①项目立项是否符合国家法律法规、国民经济发展规划和相关政策；</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1.5</w:t>
            </w:r>
          </w:p>
        </w:tc>
        <w:tc>
          <w:tcPr>
            <w:tcW w:w="534"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②项目立项是否符合行业发展规划和政策要求；</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③项目立项是否与部门职责范围相符，属于部门履职所需；</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④项目是否属于公共财政支持范围，是否符合中央、地方事权支出责任划分原则；</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⑤项目是否与相关部门同类项目或部门内部相关项目重复。</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立项程序规范性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项目申请、设立过程是否符合相关要求，用以反映和考核项目立项的规范情况。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①项目是否按照规定的程序申请设立；</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1.5</w:t>
            </w:r>
          </w:p>
        </w:tc>
        <w:tc>
          <w:tcPr>
            <w:tcW w:w="534"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②审批文件、材料是否符合相关要求；</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③事前是否已经过必要的可行性研究、专家论证、风险评估、绩效评估、集体决策。</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绩效目标　</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3</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绩效目标合理性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项目设定的绩效目标是否依据充分，是否符合客观实际，用以反映和考核项目绩效目标与项目实施的相符情况。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①项目是否有绩效目标；</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1.3</w:t>
            </w:r>
          </w:p>
        </w:tc>
        <w:tc>
          <w:tcPr>
            <w:tcW w:w="534"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绩效目标设定需进一步细化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②项目绩效目标与实际工作内容是否具有相关性；</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③项目预期产出效益和效果是否符合正常的业绩水平；</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④是否与预算确定的项目投资额或资金量相匹配。</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绩效指标明确性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依据绩效目标设定的绩效指标是否清晰、细化、可衡量等，用以反映和考核项目绩效目标的明细化情况。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①是否将项目绩效目标细化分解为具体的绩效指标；</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1.18</w:t>
            </w:r>
          </w:p>
        </w:tc>
        <w:tc>
          <w:tcPr>
            <w:tcW w:w="534" w:type="pct"/>
            <w:vMerge w:val="restart"/>
            <w:shd w:val="clear" w:color="auto" w:fill="auto"/>
            <w:vAlign w:val="center"/>
          </w:tcPr>
          <w:p>
            <w:pPr>
              <w:widowControl/>
              <w:spacing w:line="240" w:lineRule="exact"/>
              <w:rPr>
                <w:rFonts w:hint="eastAsia" w:ascii="仿宋" w:hAnsi="仿宋" w:cs="宋体"/>
                <w:color w:val="000000"/>
                <w:kern w:val="0"/>
                <w:sz w:val="18"/>
                <w:szCs w:val="18"/>
                <w14:ligatures w14:val="none"/>
              </w:rPr>
            </w:pPr>
            <w:r>
              <w:rPr>
                <w:rFonts w:hint="eastAsia" w:ascii="仿宋" w:hAnsi="仿宋" w:cs="宋体"/>
                <w:color w:val="000000"/>
                <w:kern w:val="0"/>
                <w:sz w:val="18"/>
                <w:szCs w:val="18"/>
                <w14:ligatures w14:val="none"/>
              </w:rPr>
              <w:t>可持续影响指标设置不够，最终绩效实现情况不清晰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②是否通过清晰、可衡量的指标值予以体现；</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③是否与项目目标任务数或计划数相对应。</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资金投入</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4</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预算编制科学性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2</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项目预算编制是否经过科学论证、有明确标准，资金额度与年度目标是否相适应，用以反映和考核项目预算编制的科学性、合理性情况。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①预算编制是否经过科学论证；</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1.75</w:t>
            </w:r>
          </w:p>
        </w:tc>
        <w:tc>
          <w:tcPr>
            <w:tcW w:w="534" w:type="pct"/>
            <w:vMerge w:val="restart"/>
            <w:shd w:val="clear" w:color="auto" w:fill="auto"/>
            <w:vAlign w:val="center"/>
          </w:tcPr>
          <w:p>
            <w:pPr>
              <w:widowControl/>
              <w:spacing w:line="240" w:lineRule="exact"/>
              <w:rPr>
                <w:rFonts w:hint="eastAsia" w:ascii="仿宋" w:hAnsi="仿宋" w:cs="宋体"/>
                <w:color w:val="000000"/>
                <w:kern w:val="0"/>
                <w:sz w:val="18"/>
                <w:szCs w:val="18"/>
                <w14:ligatures w14:val="none"/>
              </w:rPr>
            </w:pPr>
            <w:r>
              <w:rPr>
                <w:rFonts w:hint="eastAsia" w:ascii="仿宋" w:hAnsi="仿宋" w:cs="宋体"/>
                <w:color w:val="000000"/>
                <w:kern w:val="0"/>
                <w:sz w:val="18"/>
                <w:szCs w:val="18"/>
                <w14:ligatures w14:val="none"/>
              </w:rPr>
              <w:t>项目预算编制与最终批复差异率较大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②预算内容与项目内容是否匹配；</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③预算额度测算依据是否充分，是否按照标准编制；</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④预算确定的项目投资额或资金量是否与工作任务相匹配。</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资金分配合理性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2</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项目预算资金分配是否有测算依据，与补助单位或地方实际是否相适应，用以反映和考核项目预算资金分配的科学性、合理性情况。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①资金分配依据是否充分；</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1.84</w:t>
            </w:r>
          </w:p>
        </w:tc>
        <w:tc>
          <w:tcPr>
            <w:tcW w:w="534"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资金分配的合理性待进一步完善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②资金分配额度是否合理，与项目单位或地方实际是否相适应。</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过程</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资金管理</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10</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资金到位率</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2.5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实际到位资金与预算资金的比率，用以反映和考核资金落实情况对项目实施的总体保障程度。</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资金到位率</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（实际到位资金</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预算资金）</w:t>
            </w:r>
            <w:r>
              <w:rPr>
                <w:rFonts w:ascii="Arial Narrow" w:hAnsi="Arial Narrow" w:eastAsia="等线" w:cs="宋体"/>
                <w:color w:val="000000"/>
                <w:kern w:val="0"/>
                <w:sz w:val="18"/>
                <w:szCs w:val="18"/>
                <w14:ligatures w14:val="none"/>
              </w:rPr>
              <w:t>×100%</w:t>
            </w:r>
            <w:r>
              <w:rPr>
                <w:rFonts w:hint="eastAsia" w:ascii="仿宋" w:hAnsi="仿宋" w:cs="宋体"/>
                <w:color w:val="000000"/>
                <w:kern w:val="0"/>
                <w:sz w:val="18"/>
                <w:szCs w:val="18"/>
                <w14:ligatures w14:val="none"/>
              </w:rPr>
              <w:t>。</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2.5</w:t>
            </w:r>
          </w:p>
        </w:tc>
        <w:tc>
          <w:tcPr>
            <w:tcW w:w="534"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实际到位资金：一定时期（本年度或项目期）内落实到具体项目的资金。</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预算资金：一定时期（本年度或项目期）内预算安排到具体项目的资金。</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预算执行率</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2.5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项目预算资金是否按照计划执行，用以反映或考核项目预算执行情况。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预算执行率</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（实际支出资金</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实际到位资金）</w:t>
            </w:r>
            <w:r>
              <w:rPr>
                <w:rFonts w:ascii="Arial Narrow" w:hAnsi="Arial Narrow" w:eastAsia="等线" w:cs="宋体"/>
                <w:color w:val="000000"/>
                <w:kern w:val="0"/>
                <w:sz w:val="18"/>
                <w:szCs w:val="18"/>
                <w14:ligatures w14:val="none"/>
              </w:rPr>
              <w:t>×100%</w:t>
            </w:r>
            <w:r>
              <w:rPr>
                <w:rFonts w:hint="eastAsia" w:ascii="仿宋" w:hAnsi="仿宋" w:cs="宋体"/>
                <w:color w:val="000000"/>
                <w:kern w:val="0"/>
                <w:sz w:val="18"/>
                <w:szCs w:val="18"/>
                <w14:ligatures w14:val="none"/>
              </w:rPr>
              <w:t>。</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2.45</w:t>
            </w:r>
          </w:p>
        </w:tc>
        <w:tc>
          <w:tcPr>
            <w:tcW w:w="534"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预算执行率</w:t>
            </w:r>
            <w:r>
              <w:rPr>
                <w:rFonts w:ascii="Arial Narrow" w:hAnsi="Arial Narrow" w:eastAsia="等线" w:cs="宋体"/>
                <w:color w:val="000000"/>
                <w:kern w:val="0"/>
                <w:sz w:val="18"/>
                <w:szCs w:val="18"/>
                <w14:ligatures w14:val="none"/>
              </w:rPr>
              <w:t>98.18%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实际支出资金：一定时期（本年度或项目期）内项目实际拨付的资金。</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资金使用合规性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项目资金使用是否符合相关的财务管理制度规定，用以反映和考核项目资金的规范运行情况。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①是否符合国家财经法规和财务管理制度以及有关专项资金管理办法的规定；</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5</w:t>
            </w:r>
          </w:p>
        </w:tc>
        <w:tc>
          <w:tcPr>
            <w:tcW w:w="534"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②资金的拨付是否有完整的审批程序和手续；</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③是否符合项目预算批复或合同规定的用途；</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④是否存在截留、挤占、挪用、虚列支出等情况。</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7"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组织实施</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10</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管理制度健全性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项目实施单位的财务和业务管理制度是否健全，用以反映和考核财务和业务管理制度对项目顺利实施的保障情况。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①是否已制定或具有相应的财务和业务管理制度；</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4.5</w:t>
            </w:r>
          </w:p>
        </w:tc>
        <w:tc>
          <w:tcPr>
            <w:tcW w:w="534"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项目管理制度健全，相关制度执行有效，在绩效考核方面有待加强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②财务和业务管理制度是否合法、合规、完整。</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制度执行有效性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5</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项目实施是否符合相关管理规定，用以反映和考核相关管理制度的有效执行情况。</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①是否遵守相关法律法规和相关管理规定；</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4.5</w:t>
            </w:r>
          </w:p>
        </w:tc>
        <w:tc>
          <w:tcPr>
            <w:tcW w:w="534"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项目管理的精细化水平还需进一步提高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②项目调整及支出调整手续是否完备；</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③项目合同书、验收报告、技术鉴定等资料是否齐全并及时归档；</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④项目实施的人员条件、场地设备、信息支撑等是否落实到位。</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产出</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产出数量</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12</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实际完成率</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12</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项目实施的实际产出数与计划产出数的比率，用以反映和考核项目产出数量目标的实现程度。</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实际完成率</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（实际产出数</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计划产出数）</w:t>
            </w:r>
            <w:r>
              <w:rPr>
                <w:rFonts w:ascii="Arial Narrow" w:hAnsi="Arial Narrow" w:eastAsia="等线" w:cs="宋体"/>
                <w:color w:val="000000"/>
                <w:kern w:val="0"/>
                <w:sz w:val="18"/>
                <w:szCs w:val="18"/>
                <w14:ligatures w14:val="none"/>
              </w:rPr>
              <w:t>×100%</w:t>
            </w:r>
            <w:r>
              <w:rPr>
                <w:rFonts w:hint="eastAsia" w:ascii="仿宋" w:hAnsi="仿宋" w:cs="宋体"/>
                <w:color w:val="000000"/>
                <w:kern w:val="0"/>
                <w:sz w:val="18"/>
                <w:szCs w:val="18"/>
                <w14:ligatures w14:val="none"/>
              </w:rPr>
              <w:t>。</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auto"/>
                <w:kern w:val="0"/>
                <w:sz w:val="18"/>
                <w:szCs w:val="18"/>
                <w14:ligatures w14:val="none"/>
              </w:rPr>
            </w:pPr>
            <w:r>
              <w:rPr>
                <w:rFonts w:ascii="Arial Narrow" w:hAnsi="Arial Narrow" w:eastAsia="等线" w:cs="宋体"/>
                <w:color w:val="auto"/>
                <w:kern w:val="0"/>
                <w:sz w:val="18"/>
                <w:szCs w:val="18"/>
                <w14:ligatures w14:val="none"/>
              </w:rPr>
              <w:t xml:space="preserve">11.75 </w:t>
            </w:r>
          </w:p>
        </w:tc>
        <w:tc>
          <w:tcPr>
            <w:tcW w:w="534" w:type="pct"/>
            <w:vMerge w:val="restart"/>
            <w:shd w:val="clear" w:color="auto" w:fill="auto"/>
            <w:vAlign w:val="center"/>
          </w:tcPr>
          <w:p>
            <w:pPr>
              <w:widowControl/>
              <w:spacing w:line="240" w:lineRule="exact"/>
              <w:rPr>
                <w:rFonts w:hint="eastAsia" w:ascii="仿宋" w:hAnsi="仿宋" w:cs="宋体"/>
                <w:color w:val="auto"/>
                <w:kern w:val="0"/>
                <w:sz w:val="18"/>
                <w:szCs w:val="18"/>
                <w14:ligatures w14:val="none"/>
              </w:rPr>
            </w:pPr>
            <w:r>
              <w:rPr>
                <w:rFonts w:hint="eastAsia" w:ascii="仿宋" w:hAnsi="仿宋" w:cs="宋体"/>
                <w:color w:val="auto"/>
                <w:kern w:val="0"/>
                <w:sz w:val="18"/>
                <w:szCs w:val="18"/>
                <w14:ligatures w14:val="none"/>
              </w:rPr>
              <w:t>产出数与计划数之间存在差异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实际产出数：一定时期（本年度或项目期）内项目实际产出的产品或提供的服务数量。</w:t>
            </w:r>
          </w:p>
        </w:tc>
        <w:tc>
          <w:tcPr>
            <w:tcW w:w="311" w:type="pct"/>
            <w:vMerge w:val="continue"/>
            <w:shd w:val="clear" w:color="auto" w:fill="auto"/>
            <w:vAlign w:val="center"/>
          </w:tcPr>
          <w:p>
            <w:pPr>
              <w:widowControl/>
              <w:spacing w:line="240" w:lineRule="exact"/>
              <w:rPr>
                <w:rFonts w:ascii="Arial Narrow" w:hAnsi="Arial Narrow" w:eastAsia="等线" w:cs="宋体"/>
                <w:color w:val="0000FF"/>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计划产出数：项目绩效目标确定的在一定时期（本年度或项目期）内计划产出的产品或提供的服务数量。</w:t>
            </w:r>
          </w:p>
        </w:tc>
        <w:tc>
          <w:tcPr>
            <w:tcW w:w="311" w:type="pct"/>
            <w:vMerge w:val="continue"/>
            <w:shd w:val="clear" w:color="auto" w:fill="auto"/>
            <w:vAlign w:val="center"/>
          </w:tcPr>
          <w:p>
            <w:pPr>
              <w:widowControl/>
              <w:spacing w:line="240" w:lineRule="exact"/>
              <w:rPr>
                <w:rFonts w:ascii="Arial Narrow" w:hAnsi="Arial Narrow" w:eastAsia="等线" w:cs="宋体"/>
                <w:color w:val="0000FF"/>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产出质量</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12</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质量达标率</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12</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项目完成的质量达标产出数与实际产出数的比率，用以反映和考核项目产出质量目标的实现程度。</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质量达标率</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（质量达标产出数</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实际产出数）</w:t>
            </w:r>
            <w:r>
              <w:rPr>
                <w:rFonts w:ascii="Arial Narrow" w:hAnsi="Arial Narrow" w:eastAsia="等线" w:cs="宋体"/>
                <w:color w:val="000000"/>
                <w:kern w:val="0"/>
                <w:sz w:val="18"/>
                <w:szCs w:val="18"/>
                <w14:ligatures w14:val="none"/>
              </w:rPr>
              <w:t>×100%</w:t>
            </w:r>
            <w:r>
              <w:rPr>
                <w:rFonts w:hint="eastAsia" w:ascii="仿宋" w:hAnsi="仿宋" w:cs="宋体"/>
                <w:color w:val="000000"/>
                <w:kern w:val="0"/>
                <w:sz w:val="18"/>
                <w:szCs w:val="18"/>
                <w14:ligatures w14:val="none"/>
              </w:rPr>
              <w:t>。</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12</w:t>
            </w:r>
          </w:p>
        </w:tc>
        <w:tc>
          <w:tcPr>
            <w:tcW w:w="534"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7"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产出时效</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8</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完成及时性</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8</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项目实际完成时间与计划完成时间的比较，用以反映和考核项目产出时效目标的实现程度。</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实际完成时间：项目实施单位完成该项目实际所耗用的时间。</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7.5</w:t>
            </w:r>
          </w:p>
        </w:tc>
        <w:tc>
          <w:tcPr>
            <w:tcW w:w="534"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进度指标不够细化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计划完成时间：按照项目实施计划或相关规定完成该项目所需的时间。</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产出成本</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8</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成本节约率</w:t>
            </w:r>
          </w:p>
        </w:tc>
        <w:tc>
          <w:tcPr>
            <w:tcW w:w="158"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8</w:t>
            </w:r>
          </w:p>
        </w:tc>
        <w:tc>
          <w:tcPr>
            <w:tcW w:w="967"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完成项目计划工作目标的实际节约成本与计划成本的比率，用以反映和考核项目的成本节约程度。</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成本节约率</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（计划成本</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实际成本）</w:t>
            </w:r>
            <w:r>
              <w:rPr>
                <w:rFonts w:ascii="Arial Narrow" w:hAnsi="Arial Narrow" w:eastAsia="等线" w:cs="宋体"/>
                <w:color w:val="000000"/>
                <w:kern w:val="0"/>
                <w:sz w:val="18"/>
                <w:szCs w:val="18"/>
                <w14:ligatures w14:val="none"/>
              </w:rPr>
              <w:t>/</w:t>
            </w:r>
            <w:r>
              <w:rPr>
                <w:rFonts w:hint="eastAsia" w:ascii="仿宋" w:hAnsi="仿宋" w:cs="宋体"/>
                <w:color w:val="000000"/>
                <w:kern w:val="0"/>
                <w:sz w:val="18"/>
                <w:szCs w:val="18"/>
                <w14:ligatures w14:val="none"/>
              </w:rPr>
              <w:t>计划成本</w:t>
            </w:r>
            <w:r>
              <w:rPr>
                <w:rFonts w:ascii="Arial Narrow" w:hAnsi="Arial Narrow" w:eastAsia="等线" w:cs="宋体"/>
                <w:color w:val="000000"/>
                <w:kern w:val="0"/>
                <w:sz w:val="18"/>
                <w:szCs w:val="18"/>
                <w14:ligatures w14:val="none"/>
              </w:rPr>
              <w:t>]×100%</w:t>
            </w:r>
            <w:r>
              <w:rPr>
                <w:rFonts w:hint="eastAsia" w:ascii="仿宋" w:hAnsi="仿宋" w:cs="宋体"/>
                <w:color w:val="000000"/>
                <w:kern w:val="0"/>
                <w:sz w:val="18"/>
                <w:szCs w:val="18"/>
                <w14:ligatures w14:val="none"/>
              </w:rPr>
              <w:t>。</w:t>
            </w:r>
          </w:p>
        </w:tc>
        <w:tc>
          <w:tcPr>
            <w:tcW w:w="311"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7.5</w:t>
            </w:r>
          </w:p>
        </w:tc>
        <w:tc>
          <w:tcPr>
            <w:tcW w:w="534" w:type="pct"/>
            <w:vMerge w:val="restart"/>
            <w:shd w:val="clear" w:color="auto" w:fill="auto"/>
            <w:vAlign w:val="center"/>
          </w:tcPr>
          <w:p>
            <w:pPr>
              <w:widowControl/>
              <w:spacing w:line="240" w:lineRule="exact"/>
              <w:rPr>
                <w:rFonts w:hint="eastAsia" w:ascii="仿宋" w:hAnsi="仿宋" w:cs="宋体"/>
                <w:color w:val="000000"/>
                <w:kern w:val="0"/>
                <w:sz w:val="18"/>
                <w:szCs w:val="18"/>
                <w14:ligatures w14:val="none"/>
              </w:rPr>
            </w:pPr>
            <w:r>
              <w:rPr>
                <w:rFonts w:hint="eastAsia" w:ascii="仿宋" w:hAnsi="仿宋" w:cs="宋体"/>
                <w:color w:val="000000"/>
                <w:kern w:val="0"/>
                <w:sz w:val="18"/>
                <w:szCs w:val="18"/>
                <w14:ligatures w14:val="none"/>
              </w:rPr>
              <w:t>成本控制完成目标，但班次减少也是原因之一，成本节约不清晰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实际成本：项目实施单位如期、保质、保量完成既定工作目标实际所耗费的支出。</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158"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967"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计划成本：项目实施单位为完成工作目标计划安排的支出，一般以项目预算为参考。</w:t>
            </w:r>
          </w:p>
        </w:tc>
        <w:tc>
          <w:tcPr>
            <w:tcW w:w="311"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534" w:type="pct"/>
            <w:vMerge w:val="continue"/>
            <w:shd w:val="clear" w:color="auto" w:fill="auto"/>
            <w:vAlign w:val="center"/>
          </w:tcPr>
          <w:p>
            <w:pPr>
              <w:widowControl/>
              <w:spacing w:line="240" w:lineRule="exact"/>
              <w:rPr>
                <w:rFonts w:hint="eastAsia" w:ascii="仿宋" w:hAnsi="仿宋" w:cs="宋体"/>
                <w:color w:val="000000"/>
                <w:kern w:val="0"/>
                <w:sz w:val="18"/>
                <w:szCs w:val="1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0" w:hRule="atLeast"/>
        </w:trPr>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效益　</w:t>
            </w:r>
          </w:p>
        </w:tc>
        <w:tc>
          <w:tcPr>
            <w:tcW w:w="223" w:type="pct"/>
            <w:vMerge w:val="restar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项目效益　</w:t>
            </w:r>
          </w:p>
        </w:tc>
        <w:tc>
          <w:tcPr>
            <w:tcW w:w="223" w:type="pct"/>
            <w:vMerge w:val="restar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30</w:t>
            </w:r>
          </w:p>
        </w:tc>
        <w:tc>
          <w:tcPr>
            <w:tcW w:w="223"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实施效益</w:t>
            </w:r>
          </w:p>
        </w:tc>
        <w:tc>
          <w:tcPr>
            <w:tcW w:w="158" w:type="pc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20</w:t>
            </w:r>
          </w:p>
        </w:tc>
        <w:tc>
          <w:tcPr>
            <w:tcW w:w="967"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项目实施所产生的效益。</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项目实施所产生的社会效益、经济效益、生态效益、可持续影响等。可根据项目实际情况有选择地设置和细化。</w:t>
            </w:r>
          </w:p>
        </w:tc>
        <w:tc>
          <w:tcPr>
            <w:tcW w:w="311" w:type="pc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18.2</w:t>
            </w:r>
          </w:p>
        </w:tc>
        <w:tc>
          <w:tcPr>
            <w:tcW w:w="534"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个别印证性材料不足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vMerge w:val="continue"/>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c>
          <w:tcPr>
            <w:tcW w:w="223"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满意度</w:t>
            </w:r>
          </w:p>
        </w:tc>
        <w:tc>
          <w:tcPr>
            <w:tcW w:w="158" w:type="pc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10</w:t>
            </w:r>
          </w:p>
        </w:tc>
        <w:tc>
          <w:tcPr>
            <w:tcW w:w="967"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社会公众或服务对象对项目实施效果的满意程度。</w:t>
            </w:r>
          </w:p>
        </w:tc>
        <w:tc>
          <w:tcPr>
            <w:tcW w:w="2138"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社会公众或服务对象是指因该项目实施而受到影响的部门（单位）、群体或个人。一般采取社会调查的方式。</w:t>
            </w:r>
          </w:p>
        </w:tc>
        <w:tc>
          <w:tcPr>
            <w:tcW w:w="311" w:type="pc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10</w:t>
            </w:r>
          </w:p>
        </w:tc>
        <w:tc>
          <w:tcPr>
            <w:tcW w:w="534"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7" w:hRule="atLeast"/>
        </w:trPr>
        <w:tc>
          <w:tcPr>
            <w:tcW w:w="4155" w:type="pct"/>
            <w:gridSpan w:val="7"/>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hint="eastAsia" w:ascii="仿宋" w:hAnsi="仿宋" w:cs="宋体"/>
                <w:color w:val="000000"/>
                <w:kern w:val="0"/>
                <w:sz w:val="18"/>
                <w:szCs w:val="18"/>
                <w14:ligatures w14:val="none"/>
              </w:rPr>
              <w:t>合计</w:t>
            </w:r>
          </w:p>
        </w:tc>
        <w:tc>
          <w:tcPr>
            <w:tcW w:w="311" w:type="pct"/>
            <w:shd w:val="clear" w:color="auto" w:fill="auto"/>
            <w:vAlign w:val="center"/>
          </w:tcPr>
          <w:p>
            <w:pPr>
              <w:widowControl/>
              <w:spacing w:line="240" w:lineRule="exact"/>
              <w:jc w:val="center"/>
              <w:rPr>
                <w:rFonts w:ascii="Arial Narrow" w:hAnsi="Arial Narrow" w:eastAsia="等线" w:cs="宋体"/>
                <w:color w:val="000000"/>
                <w:kern w:val="0"/>
                <w:sz w:val="18"/>
                <w:szCs w:val="18"/>
                <w14:ligatures w14:val="none"/>
              </w:rPr>
            </w:pPr>
            <w:r>
              <w:rPr>
                <w:rFonts w:ascii="Arial Narrow" w:hAnsi="Arial Narrow" w:eastAsia="等线" w:cs="宋体"/>
                <w:color w:val="000000"/>
                <w:kern w:val="0"/>
                <w:sz w:val="18"/>
                <w:szCs w:val="18"/>
                <w14:ligatures w14:val="none"/>
              </w:rPr>
              <w:t>94.97</w:t>
            </w:r>
          </w:p>
        </w:tc>
        <w:tc>
          <w:tcPr>
            <w:tcW w:w="534" w:type="pct"/>
            <w:shd w:val="clear" w:color="auto" w:fill="auto"/>
            <w:vAlign w:val="center"/>
          </w:tcPr>
          <w:p>
            <w:pPr>
              <w:widowControl/>
              <w:spacing w:line="240" w:lineRule="exact"/>
              <w:rPr>
                <w:rFonts w:ascii="Arial Narrow" w:hAnsi="Arial Narrow" w:eastAsia="等线" w:cs="宋体"/>
                <w:color w:val="000000"/>
                <w:kern w:val="0"/>
                <w:sz w:val="18"/>
                <w:szCs w:val="18"/>
                <w14:ligatures w14:val="none"/>
              </w:rPr>
            </w:pPr>
          </w:p>
        </w:tc>
      </w:tr>
    </w:tbl>
    <w:p>
      <w:pPr>
        <w:rPr>
          <w:rFonts w:ascii="Times New Roman" w:hAnsi="Times New Roman" w:cs="Times New Roma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435" w:charSpace="0"/>
        </w:sectPr>
      </w:pPr>
    </w:p>
    <w:p>
      <w:pPr>
        <w:pStyle w:val="3"/>
        <w:ind w:firstLine="0" w:firstLineChars="0"/>
        <w:rPr>
          <w:rFonts w:ascii="Times New Roman" w:hAnsi="Times New Roman" w:cs="Times New Roman"/>
        </w:rPr>
      </w:pPr>
      <w:r>
        <w:rPr>
          <w:rFonts w:ascii="Times New Roman" w:hAnsi="Times New Roman" w:cs="Times New Roman"/>
        </w:rPr>
        <w:t>附件2：项目支出绩效自评表——项目产出数量指标完成情况表</w:t>
      </w:r>
    </w:p>
    <w:tbl>
      <w:tblPr>
        <w:tblStyle w:val="89"/>
        <w:tblW w:w="9097" w:type="dxa"/>
        <w:jc w:val="center"/>
        <w:tblLayout w:type="fixed"/>
        <w:tblCellMar>
          <w:top w:w="0" w:type="dxa"/>
          <w:left w:w="108" w:type="dxa"/>
          <w:bottom w:w="0" w:type="dxa"/>
          <w:right w:w="108" w:type="dxa"/>
        </w:tblCellMar>
      </w:tblPr>
      <w:tblGrid>
        <w:gridCol w:w="578"/>
        <w:gridCol w:w="626"/>
        <w:gridCol w:w="1016"/>
        <w:gridCol w:w="1131"/>
        <w:gridCol w:w="742"/>
        <w:gridCol w:w="372"/>
        <w:gridCol w:w="771"/>
        <w:gridCol w:w="761"/>
        <w:gridCol w:w="589"/>
        <w:gridCol w:w="111"/>
        <w:gridCol w:w="544"/>
        <w:gridCol w:w="988"/>
        <w:gridCol w:w="868"/>
      </w:tblGrid>
      <w:tr>
        <w:tblPrEx>
          <w:tblCellMar>
            <w:top w:w="0" w:type="dxa"/>
            <w:left w:w="108" w:type="dxa"/>
            <w:bottom w:w="0" w:type="dxa"/>
            <w:right w:w="108" w:type="dxa"/>
          </w:tblCellMar>
        </w:tblPrEx>
        <w:trPr>
          <w:trHeight w:val="291" w:hRule="exact"/>
          <w:jc w:val="center"/>
        </w:trPr>
        <w:tc>
          <w:tcPr>
            <w:tcW w:w="120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项目名称</w:t>
            </w:r>
          </w:p>
        </w:tc>
        <w:tc>
          <w:tcPr>
            <w:tcW w:w="7893" w:type="dxa"/>
            <w:gridSpan w:val="11"/>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团干部教育培训项目</w:t>
            </w:r>
          </w:p>
        </w:tc>
      </w:tr>
      <w:tr>
        <w:tblPrEx>
          <w:tblCellMar>
            <w:top w:w="0" w:type="dxa"/>
            <w:left w:w="108" w:type="dxa"/>
            <w:bottom w:w="0" w:type="dxa"/>
            <w:right w:w="108" w:type="dxa"/>
          </w:tblCellMar>
        </w:tblPrEx>
        <w:trPr>
          <w:trHeight w:val="291" w:hRule="exact"/>
          <w:jc w:val="center"/>
        </w:trPr>
        <w:tc>
          <w:tcPr>
            <w:tcW w:w="120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主管部门</w:t>
            </w:r>
          </w:p>
        </w:tc>
        <w:tc>
          <w:tcPr>
            <w:tcW w:w="403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北京市团校</w:t>
            </w:r>
          </w:p>
        </w:tc>
        <w:tc>
          <w:tcPr>
            <w:tcW w:w="1461" w:type="dxa"/>
            <w:gridSpan w:val="3"/>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实施单位</w:t>
            </w:r>
          </w:p>
        </w:tc>
        <w:tc>
          <w:tcPr>
            <w:tcW w:w="2400"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培训处</w:t>
            </w:r>
          </w:p>
        </w:tc>
      </w:tr>
      <w:tr>
        <w:tblPrEx>
          <w:tblCellMar>
            <w:top w:w="0" w:type="dxa"/>
            <w:left w:w="108" w:type="dxa"/>
            <w:bottom w:w="0" w:type="dxa"/>
            <w:right w:w="108" w:type="dxa"/>
          </w:tblCellMar>
        </w:tblPrEx>
        <w:trPr>
          <w:trHeight w:val="291" w:hRule="exact"/>
          <w:jc w:val="center"/>
        </w:trPr>
        <w:tc>
          <w:tcPr>
            <w:tcW w:w="120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项目负责人</w:t>
            </w:r>
          </w:p>
        </w:tc>
        <w:tc>
          <w:tcPr>
            <w:tcW w:w="403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张大勇</w:t>
            </w:r>
          </w:p>
        </w:tc>
        <w:tc>
          <w:tcPr>
            <w:tcW w:w="1461" w:type="dxa"/>
            <w:gridSpan w:val="3"/>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联系电话</w:t>
            </w:r>
          </w:p>
        </w:tc>
        <w:tc>
          <w:tcPr>
            <w:tcW w:w="2400"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color w:val="000000"/>
                <w:sz w:val="18"/>
                <w:szCs w:val="18"/>
              </w:rPr>
              <w:t>13811662580</w:t>
            </w:r>
          </w:p>
        </w:tc>
      </w:tr>
      <w:tr>
        <w:tblPrEx>
          <w:tblCellMar>
            <w:top w:w="0" w:type="dxa"/>
            <w:left w:w="108" w:type="dxa"/>
            <w:bottom w:w="0" w:type="dxa"/>
            <w:right w:w="108" w:type="dxa"/>
          </w:tblCellMar>
        </w:tblPrEx>
        <w:trPr>
          <w:trHeight w:val="291" w:hRule="exact"/>
          <w:jc w:val="center"/>
        </w:trPr>
        <w:tc>
          <w:tcPr>
            <w:tcW w:w="1204"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项目资金</w:t>
            </w:r>
            <w:r>
              <w:rPr>
                <w:rFonts w:ascii="Arial Narrow" w:hAnsi="Arial Narrow" w:cs="宋体"/>
                <w:sz w:val="18"/>
                <w:szCs w:val="18"/>
              </w:rPr>
              <w:br w:type="textWrapping"/>
            </w:r>
            <w:r>
              <w:rPr>
                <w:rFonts w:ascii="Arial Narrow" w:hAnsi="Arial Narrow" w:cs="宋体"/>
                <w:sz w:val="18"/>
                <w:szCs w:val="18"/>
              </w:rPr>
              <w:t>（万元）</w:t>
            </w:r>
          </w:p>
        </w:tc>
        <w:tc>
          <w:tcPr>
            <w:tcW w:w="21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114" w:type="dxa"/>
            <w:gridSpan w:val="2"/>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年初预算数</w:t>
            </w:r>
          </w:p>
        </w:tc>
        <w:tc>
          <w:tcPr>
            <w:tcW w:w="771"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全年预算数</w:t>
            </w:r>
          </w:p>
        </w:tc>
        <w:tc>
          <w:tcPr>
            <w:tcW w:w="1461" w:type="dxa"/>
            <w:gridSpan w:val="3"/>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全年执行数</w:t>
            </w:r>
          </w:p>
        </w:tc>
        <w:tc>
          <w:tcPr>
            <w:tcW w:w="544"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分值</w:t>
            </w:r>
          </w:p>
        </w:tc>
        <w:tc>
          <w:tcPr>
            <w:tcW w:w="988" w:type="dxa"/>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执行率</w:t>
            </w:r>
          </w:p>
        </w:tc>
        <w:tc>
          <w:tcPr>
            <w:tcW w:w="868"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得分</w:t>
            </w:r>
          </w:p>
        </w:tc>
      </w:tr>
      <w:tr>
        <w:tblPrEx>
          <w:tblCellMar>
            <w:top w:w="0" w:type="dxa"/>
            <w:left w:w="108" w:type="dxa"/>
            <w:bottom w:w="0" w:type="dxa"/>
            <w:right w:w="108" w:type="dxa"/>
          </w:tblCellMar>
        </w:tblPrEx>
        <w:trPr>
          <w:trHeight w:val="291"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2147" w:type="dxa"/>
            <w:gridSpan w:val="2"/>
            <w:tcBorders>
              <w:top w:val="single" w:color="auto" w:sz="4" w:space="0"/>
              <w:left w:val="nil"/>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年度资金总额</w:t>
            </w:r>
          </w:p>
        </w:tc>
        <w:tc>
          <w:tcPr>
            <w:tcW w:w="1114" w:type="dxa"/>
            <w:gridSpan w:val="2"/>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1172.779</w:t>
            </w:r>
          </w:p>
        </w:tc>
        <w:tc>
          <w:tcPr>
            <w:tcW w:w="771"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1061.2112</w:t>
            </w:r>
          </w:p>
        </w:tc>
        <w:tc>
          <w:tcPr>
            <w:tcW w:w="1461" w:type="dxa"/>
            <w:gridSpan w:val="3"/>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1041.949055</w:t>
            </w:r>
          </w:p>
        </w:tc>
        <w:tc>
          <w:tcPr>
            <w:tcW w:w="544"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10</w:t>
            </w:r>
          </w:p>
        </w:tc>
        <w:tc>
          <w:tcPr>
            <w:tcW w:w="988" w:type="dxa"/>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98.18%</w:t>
            </w:r>
          </w:p>
        </w:tc>
        <w:tc>
          <w:tcPr>
            <w:tcW w:w="868"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9.81</w:t>
            </w:r>
          </w:p>
        </w:tc>
      </w:tr>
      <w:tr>
        <w:tblPrEx>
          <w:tblCellMar>
            <w:top w:w="0" w:type="dxa"/>
            <w:left w:w="108" w:type="dxa"/>
            <w:bottom w:w="0" w:type="dxa"/>
            <w:right w:w="108" w:type="dxa"/>
          </w:tblCellMar>
        </w:tblPrEx>
        <w:trPr>
          <w:trHeight w:val="291"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21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1172.779</w:t>
            </w:r>
          </w:p>
        </w:tc>
        <w:tc>
          <w:tcPr>
            <w:tcW w:w="771"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1061.2112</w:t>
            </w:r>
          </w:p>
        </w:tc>
        <w:tc>
          <w:tcPr>
            <w:tcW w:w="1461" w:type="dxa"/>
            <w:gridSpan w:val="3"/>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1041.9490</w:t>
            </w:r>
          </w:p>
        </w:tc>
        <w:tc>
          <w:tcPr>
            <w:tcW w:w="544"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w:t>
            </w:r>
          </w:p>
        </w:tc>
        <w:tc>
          <w:tcPr>
            <w:tcW w:w="988" w:type="dxa"/>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98.18%</w:t>
            </w:r>
          </w:p>
        </w:tc>
        <w:tc>
          <w:tcPr>
            <w:tcW w:w="868"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w:t>
            </w:r>
          </w:p>
        </w:tc>
      </w:tr>
      <w:tr>
        <w:tblPrEx>
          <w:tblCellMar>
            <w:top w:w="0" w:type="dxa"/>
            <w:left w:w="108" w:type="dxa"/>
            <w:bottom w:w="0" w:type="dxa"/>
            <w:right w:w="108" w:type="dxa"/>
          </w:tblCellMar>
        </w:tblPrEx>
        <w:trPr>
          <w:trHeight w:val="294"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21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0</w:t>
            </w:r>
          </w:p>
        </w:tc>
        <w:tc>
          <w:tcPr>
            <w:tcW w:w="771"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0</w:t>
            </w:r>
          </w:p>
        </w:tc>
        <w:tc>
          <w:tcPr>
            <w:tcW w:w="1461" w:type="dxa"/>
            <w:gridSpan w:val="3"/>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0</w:t>
            </w:r>
          </w:p>
        </w:tc>
        <w:tc>
          <w:tcPr>
            <w:tcW w:w="544"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w:t>
            </w:r>
          </w:p>
        </w:tc>
        <w:tc>
          <w:tcPr>
            <w:tcW w:w="988" w:type="dxa"/>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868"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w:t>
            </w:r>
          </w:p>
        </w:tc>
      </w:tr>
      <w:tr>
        <w:tblPrEx>
          <w:tblCellMar>
            <w:top w:w="0" w:type="dxa"/>
            <w:left w:w="108" w:type="dxa"/>
            <w:bottom w:w="0" w:type="dxa"/>
            <w:right w:w="108" w:type="dxa"/>
          </w:tblCellMar>
        </w:tblPrEx>
        <w:trPr>
          <w:trHeight w:val="291"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21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0</w:t>
            </w:r>
          </w:p>
        </w:tc>
        <w:tc>
          <w:tcPr>
            <w:tcW w:w="771"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0</w:t>
            </w:r>
          </w:p>
        </w:tc>
        <w:tc>
          <w:tcPr>
            <w:tcW w:w="1461" w:type="dxa"/>
            <w:gridSpan w:val="3"/>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0</w:t>
            </w:r>
          </w:p>
        </w:tc>
        <w:tc>
          <w:tcPr>
            <w:tcW w:w="544"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w:t>
            </w:r>
          </w:p>
        </w:tc>
        <w:tc>
          <w:tcPr>
            <w:tcW w:w="988" w:type="dxa"/>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868"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年度总体目标</w:t>
            </w:r>
          </w:p>
        </w:tc>
        <w:tc>
          <w:tcPr>
            <w:tcW w:w="4658"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预期目标</w:t>
            </w:r>
          </w:p>
        </w:tc>
        <w:tc>
          <w:tcPr>
            <w:tcW w:w="3861"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实际完成情况</w:t>
            </w:r>
          </w:p>
        </w:tc>
      </w:tr>
      <w:tr>
        <w:tblPrEx>
          <w:tblCellMar>
            <w:top w:w="0" w:type="dxa"/>
            <w:left w:w="108" w:type="dxa"/>
            <w:bottom w:w="0" w:type="dxa"/>
            <w:right w:w="108" w:type="dxa"/>
          </w:tblCellMar>
        </w:tblPrEx>
        <w:trPr>
          <w:trHeight w:val="1221"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4658" w:type="dxa"/>
            <w:gridSpan w:val="6"/>
            <w:tcBorders>
              <w:top w:val="single" w:color="auto" w:sz="4" w:space="0"/>
              <w:left w:val="nil"/>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Times New Roman"/>
                <w:snapToGrid w:val="0"/>
                <w:kern w:val="0"/>
                <w:sz w:val="18"/>
                <w:szCs w:val="18"/>
              </w:rPr>
              <w:t>通过组织举办培训班，计划2024年举办北京共青团系统各战线、北京市青年骨干相关培训班34期，培训量为18449人天。</w:t>
            </w:r>
          </w:p>
        </w:tc>
        <w:tc>
          <w:tcPr>
            <w:tcW w:w="3861" w:type="dxa"/>
            <w:gridSpan w:val="6"/>
            <w:tcBorders>
              <w:top w:val="single" w:color="auto" w:sz="4" w:space="0"/>
              <w:left w:val="nil"/>
              <w:bottom w:val="single" w:color="auto" w:sz="4" w:space="0"/>
              <w:right w:val="single" w:color="auto" w:sz="4" w:space="0"/>
            </w:tcBorders>
            <w:vAlign w:val="center"/>
          </w:tcPr>
          <w:p>
            <w:pPr>
              <w:spacing w:line="240" w:lineRule="exact"/>
              <w:rPr>
                <w:rFonts w:ascii="Arial Narrow" w:hAnsi="Arial Narrow" w:cs="宋体"/>
                <w:sz w:val="18"/>
                <w:szCs w:val="18"/>
              </w:rPr>
            </w:pPr>
            <w:r>
              <w:rPr>
                <w:rFonts w:hint="eastAsia" w:ascii="Arial Narrow" w:hAnsi="Arial Narrow" w:cs="宋体"/>
                <w:sz w:val="18"/>
                <w:szCs w:val="18"/>
              </w:rPr>
              <w:t>全年完成各类培训班次38个，培训量16364人天。</w:t>
            </w:r>
          </w:p>
        </w:tc>
      </w:tr>
      <w:tr>
        <w:tblPrEx>
          <w:tblCellMar>
            <w:top w:w="0" w:type="dxa"/>
            <w:left w:w="108" w:type="dxa"/>
            <w:bottom w:w="0" w:type="dxa"/>
            <w:right w:w="108" w:type="dxa"/>
          </w:tblCellMar>
        </w:tblPrEx>
        <w:trPr>
          <w:trHeight w:val="863"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绩</w:t>
            </w:r>
            <w:r>
              <w:rPr>
                <w:rFonts w:ascii="Arial Narrow" w:hAnsi="Arial Narrow" w:cs="宋体"/>
                <w:sz w:val="18"/>
                <w:szCs w:val="18"/>
              </w:rPr>
              <w:br w:type="textWrapping"/>
            </w:r>
            <w:r>
              <w:rPr>
                <w:rFonts w:ascii="Arial Narrow" w:hAnsi="Arial Narrow" w:cs="宋体"/>
                <w:sz w:val="18"/>
                <w:szCs w:val="18"/>
              </w:rPr>
              <w:t>效</w:t>
            </w:r>
            <w:r>
              <w:rPr>
                <w:rFonts w:ascii="Arial Narrow" w:hAnsi="Arial Narrow" w:cs="宋体"/>
                <w:sz w:val="18"/>
                <w:szCs w:val="18"/>
              </w:rPr>
              <w:br w:type="textWrapping"/>
            </w:r>
            <w:r>
              <w:rPr>
                <w:rFonts w:ascii="Arial Narrow" w:hAnsi="Arial Narrow" w:cs="宋体"/>
                <w:sz w:val="18"/>
                <w:szCs w:val="18"/>
              </w:rPr>
              <w:t>指</w:t>
            </w:r>
            <w:r>
              <w:rPr>
                <w:rFonts w:ascii="Arial Narrow" w:hAnsi="Arial Narrow" w:cs="宋体"/>
                <w:sz w:val="18"/>
                <w:szCs w:val="18"/>
              </w:rPr>
              <w:br w:type="textWrapping"/>
            </w:r>
            <w:r>
              <w:rPr>
                <w:rFonts w:ascii="Arial Narrow" w:hAnsi="Arial Narrow" w:cs="宋体"/>
                <w:sz w:val="18"/>
                <w:szCs w:val="18"/>
              </w:rPr>
              <w:t>标</w:t>
            </w:r>
          </w:p>
        </w:tc>
        <w:tc>
          <w:tcPr>
            <w:tcW w:w="6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一级指标</w:t>
            </w:r>
          </w:p>
        </w:tc>
        <w:tc>
          <w:tcPr>
            <w:tcW w:w="10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二级指标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三级指标</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年度指标值</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实际完成值</w:t>
            </w:r>
          </w:p>
        </w:tc>
        <w:tc>
          <w:tcPr>
            <w:tcW w:w="58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分值</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得分</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偏差原因分析及改进措施</w:t>
            </w:r>
          </w:p>
        </w:tc>
      </w:tr>
      <w:tr>
        <w:tblPrEx>
          <w:tblCellMar>
            <w:top w:w="0" w:type="dxa"/>
            <w:left w:w="108" w:type="dxa"/>
            <w:bottom w:w="0" w:type="dxa"/>
            <w:right w:w="108" w:type="dxa"/>
          </w:tblCellMar>
        </w:tblPrEx>
        <w:trPr>
          <w:trHeight w:val="121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产出指标</w:t>
            </w:r>
          </w:p>
        </w:tc>
        <w:tc>
          <w:tcPr>
            <w:tcW w:w="101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数量指标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全年教育培训量</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18449人天</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16364</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4.43</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hint="eastAsia" w:ascii="Arial Narrow" w:hAnsi="Arial Narrow" w:cs="宋体"/>
                <w:sz w:val="18"/>
                <w:szCs w:val="18"/>
              </w:rPr>
              <w:t>部分调训单位</w:t>
            </w:r>
            <w:r>
              <w:rPr>
                <w:rFonts w:hint="eastAsia" w:ascii="Arial Narrow" w:hAnsi="Arial Narrow" w:cs="宋体"/>
                <w:sz w:val="18"/>
                <w:szCs w:val="18"/>
                <w:lang w:val="en-US" w:eastAsia="zh-CN"/>
              </w:rPr>
              <w:t>调整培训计划</w:t>
            </w:r>
            <w:r>
              <w:rPr>
                <w:rFonts w:hint="eastAsia" w:ascii="Arial Narrow" w:hAnsi="Arial Narrow" w:cs="宋体"/>
                <w:sz w:val="18"/>
                <w:szCs w:val="18"/>
              </w:rPr>
              <w:t>取消部分班次</w:t>
            </w:r>
            <w:r>
              <w:rPr>
                <w:rFonts w:hint="eastAsia" w:ascii="Arial Narrow" w:hAnsi="Arial Narrow" w:cs="宋体"/>
                <w:sz w:val="18"/>
                <w:szCs w:val="18"/>
                <w:lang w:eastAsia="zh-CN"/>
              </w:rPr>
              <w:t>，</w:t>
            </w:r>
            <w:r>
              <w:rPr>
                <w:rFonts w:hint="eastAsia" w:ascii="Arial Narrow" w:hAnsi="Arial Narrow" w:cs="宋体"/>
                <w:sz w:val="18"/>
                <w:szCs w:val="18"/>
                <w:lang w:val="en-US" w:eastAsia="zh-CN"/>
              </w:rPr>
              <w:t>导致</w:t>
            </w:r>
            <w:r>
              <w:rPr>
                <w:rFonts w:hint="eastAsia" w:ascii="Arial Narrow" w:hAnsi="Arial Narrow" w:cs="宋体"/>
                <w:sz w:val="18"/>
                <w:szCs w:val="18"/>
              </w:rPr>
              <w:t>未完成对应数量目标和时效目标</w:t>
            </w:r>
          </w:p>
        </w:tc>
      </w:tr>
      <w:tr>
        <w:tblPrEx>
          <w:tblCellMar>
            <w:top w:w="0" w:type="dxa"/>
            <w:left w:w="108" w:type="dxa"/>
            <w:bottom w:w="0" w:type="dxa"/>
            <w:right w:w="108" w:type="dxa"/>
          </w:tblCellMar>
        </w:tblPrEx>
        <w:trPr>
          <w:trHeight w:val="58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培训班次</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34个</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38</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培训天数</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197天</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208</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培训学员人数</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3322人</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3480</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905"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质量指标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主体班次党的理论教育和党性教育占教学总课时比例</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70%</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75.5%</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91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全年培训班次授课教师职称在讲师及以上的比例</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80%</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100%</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61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培训时长5天及以上的班次教学形式</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3种</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3-5种</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122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时效指标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春季学期按期完成率</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85%</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79%</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4.65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春季学期24个班次，因调训单位需求，将部分班次调整至秋季学期</w:t>
            </w:r>
            <w:r>
              <w:rPr>
                <w:rFonts w:hint="eastAsia" w:ascii="Arial Narrow" w:hAnsi="Arial Narrow" w:cs="宋体"/>
                <w:sz w:val="18"/>
                <w:szCs w:val="18"/>
              </w:rPr>
              <w:t>，减少至19个班次</w:t>
            </w:r>
            <w:r>
              <w:rPr>
                <w:rFonts w:ascii="Arial Narrow" w:hAnsi="Arial Narrow" w:cs="宋体"/>
                <w:sz w:val="18"/>
                <w:szCs w:val="18"/>
              </w:rPr>
              <w:t>。</w:t>
            </w:r>
          </w:p>
        </w:tc>
      </w:tr>
      <w:tr>
        <w:tblPrEx>
          <w:tblCellMar>
            <w:top w:w="0" w:type="dxa"/>
            <w:left w:w="108" w:type="dxa"/>
            <w:bottom w:w="0" w:type="dxa"/>
            <w:right w:w="108" w:type="dxa"/>
          </w:tblCellMar>
        </w:tblPrEx>
        <w:trPr>
          <w:trHeight w:val="95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秋季学期按期完成率</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85%</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190%</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秋季学期10个班次，因春季学期班次调整及新增班次</w:t>
            </w:r>
            <w:r>
              <w:rPr>
                <w:rFonts w:hint="eastAsia" w:ascii="Arial Narrow" w:hAnsi="Arial Narrow" w:cs="宋体"/>
                <w:sz w:val="18"/>
                <w:szCs w:val="18"/>
              </w:rPr>
              <w:t>，增加至19个班次</w:t>
            </w:r>
            <w:r>
              <w:rPr>
                <w:rFonts w:ascii="Arial Narrow" w:hAnsi="Arial Narrow" w:cs="宋体"/>
                <w:sz w:val="18"/>
                <w:szCs w:val="18"/>
              </w:rPr>
              <w:t>。</w:t>
            </w:r>
          </w:p>
        </w:tc>
      </w:tr>
      <w:tr>
        <w:tblPrEx>
          <w:tblCellMar>
            <w:top w:w="0" w:type="dxa"/>
            <w:left w:w="108" w:type="dxa"/>
            <w:bottom w:w="0" w:type="dxa"/>
            <w:right w:w="108" w:type="dxa"/>
          </w:tblCellMar>
        </w:tblPrEx>
        <w:trPr>
          <w:trHeight w:val="577"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成本指标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市属班人均每天培训成本</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550</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550</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Arial Narrow" w:hAnsi="Arial Narrow" w:cs="宋体"/>
                <w:sz w:val="18"/>
                <w:szCs w:val="18"/>
              </w:rPr>
            </w:pPr>
            <w:r>
              <w:rPr>
                <w:rFonts w:hint="eastAsia" w:ascii="Arial Narrow" w:hAnsi="Arial Narrow" w:cs="宋体"/>
                <w:sz w:val="18"/>
                <w:szCs w:val="18"/>
              </w:rPr>
              <w:t>10</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Arial Narrow" w:hAnsi="Arial Narrow" w:cs="宋体"/>
                <w:sz w:val="18"/>
                <w:szCs w:val="18"/>
              </w:rPr>
            </w:pPr>
            <w:r>
              <w:rPr>
                <w:rFonts w:hint="eastAsia" w:ascii="Arial Narrow" w:hAnsi="Arial Narrow" w:cs="宋体"/>
                <w:sz w:val="18"/>
                <w:szCs w:val="18"/>
              </w:rPr>
              <w:t>10</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59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城市间交通费人均培训成本（元）</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4872.88</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r>
              <w:rPr>
                <w:rFonts w:hint="eastAsia" w:ascii="Arial Narrow" w:hAnsi="Arial Narrow" w:cs="宋体"/>
                <w:color w:val="auto"/>
                <w:sz w:val="18"/>
                <w:szCs w:val="18"/>
              </w:rPr>
              <w:t>3564.1</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color w:val="auto"/>
                <w:sz w:val="18"/>
                <w:szCs w:val="18"/>
              </w:rPr>
            </w:pPr>
            <w:r>
              <w:rPr>
                <w:rFonts w:ascii="Arial Narrow" w:hAnsi="Arial Narrow" w:cs="宋体"/>
                <w:color w:val="auto"/>
                <w:sz w:val="18"/>
                <w:szCs w:val="18"/>
              </w:rPr>
              <w:t>5</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r>
              <w:rPr>
                <w:rFonts w:ascii="Arial Narrow" w:hAnsi="Arial Narrow" w:cs="宋体"/>
                <w:color w:val="auto"/>
                <w:sz w:val="18"/>
                <w:szCs w:val="18"/>
              </w:rPr>
              <w:t>5</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0000FF"/>
                <w:sz w:val="18"/>
                <w:szCs w:val="18"/>
              </w:rPr>
            </w:pPr>
          </w:p>
        </w:tc>
      </w:tr>
      <w:tr>
        <w:tblPrEx>
          <w:tblCellMar>
            <w:top w:w="0" w:type="dxa"/>
            <w:left w:w="108" w:type="dxa"/>
            <w:bottom w:w="0" w:type="dxa"/>
            <w:right w:w="108" w:type="dxa"/>
          </w:tblCellMar>
        </w:tblPrEx>
        <w:trPr>
          <w:trHeight w:val="497"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效益指标</w:t>
            </w:r>
          </w:p>
        </w:tc>
        <w:tc>
          <w:tcPr>
            <w:tcW w:w="10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r>
              <w:rPr>
                <w:rFonts w:ascii="Arial Narrow" w:hAnsi="Arial Narrow" w:cs="宋体"/>
                <w:color w:val="auto"/>
                <w:sz w:val="18"/>
                <w:szCs w:val="18"/>
              </w:rPr>
              <w:t>经济效益</w:t>
            </w:r>
          </w:p>
          <w:p>
            <w:pPr>
              <w:spacing w:line="240" w:lineRule="exact"/>
              <w:jc w:val="center"/>
              <w:rPr>
                <w:rFonts w:ascii="Arial Narrow" w:hAnsi="Arial Narrow" w:cs="宋体"/>
                <w:color w:val="auto"/>
                <w:sz w:val="18"/>
                <w:szCs w:val="18"/>
              </w:rPr>
            </w:pPr>
            <w:r>
              <w:rPr>
                <w:rFonts w:ascii="Arial Narrow" w:hAnsi="Arial Narrow" w:cs="宋体"/>
                <w:color w:val="auto"/>
                <w:sz w:val="18"/>
                <w:szCs w:val="18"/>
              </w:rPr>
              <w:t>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color w:val="auto"/>
                <w:sz w:val="18"/>
                <w:szCs w:val="18"/>
              </w:rPr>
            </w:pPr>
            <w:r>
              <w:rPr>
                <w:rFonts w:hint="eastAsia" w:ascii="Arial Narrow" w:hAnsi="Arial Narrow" w:cs="宋体"/>
                <w:color w:val="auto"/>
                <w:sz w:val="18"/>
                <w:szCs w:val="18"/>
              </w:rPr>
              <w:t>无</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850"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r>
              <w:rPr>
                <w:rFonts w:ascii="Arial Narrow" w:hAnsi="Arial Narrow" w:cs="宋体"/>
                <w:color w:val="auto"/>
                <w:sz w:val="18"/>
                <w:szCs w:val="18"/>
              </w:rPr>
              <w:t>社会效益</w:t>
            </w:r>
          </w:p>
          <w:p>
            <w:pPr>
              <w:spacing w:line="240" w:lineRule="exact"/>
              <w:jc w:val="center"/>
              <w:rPr>
                <w:rFonts w:ascii="Arial Narrow" w:hAnsi="Arial Narrow" w:cs="宋体"/>
                <w:color w:val="auto"/>
                <w:sz w:val="18"/>
                <w:szCs w:val="18"/>
              </w:rPr>
            </w:pPr>
            <w:r>
              <w:rPr>
                <w:rFonts w:ascii="Arial Narrow" w:hAnsi="Arial Narrow" w:cs="宋体"/>
                <w:color w:val="auto"/>
                <w:sz w:val="18"/>
                <w:szCs w:val="18"/>
              </w:rPr>
              <w:t>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color w:val="auto"/>
                <w:sz w:val="18"/>
                <w:szCs w:val="18"/>
              </w:rPr>
            </w:pPr>
            <w:r>
              <w:rPr>
                <w:rFonts w:ascii="Arial Narrow" w:hAnsi="Arial Narrow" w:cs="宋体"/>
                <w:color w:val="auto"/>
                <w:sz w:val="18"/>
                <w:szCs w:val="18"/>
              </w:rPr>
              <w:t>发放结业证书班次培训学员取得结业证书比率</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90%</w:t>
            </w: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97%</w:t>
            </w:r>
          </w:p>
        </w:tc>
        <w:tc>
          <w:tcPr>
            <w:tcW w:w="58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Arial Narrow" w:hAnsi="Arial Narrow" w:cs="宋体"/>
                <w:sz w:val="18"/>
                <w:szCs w:val="18"/>
              </w:rPr>
            </w:pPr>
            <w:r>
              <w:rPr>
                <w:rFonts w:hint="eastAsia" w:ascii="Arial Narrow" w:hAnsi="Arial Narrow" w:cs="宋体"/>
                <w:sz w:val="18"/>
                <w:szCs w:val="18"/>
              </w:rPr>
              <w:t>12</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Arial Narrow" w:hAnsi="Arial Narrow" w:cs="宋体"/>
                <w:sz w:val="18"/>
                <w:szCs w:val="18"/>
              </w:rPr>
            </w:pPr>
            <w:r>
              <w:rPr>
                <w:rFonts w:hint="eastAsia" w:ascii="Arial Narrow" w:hAnsi="Arial Narrow" w:cs="宋体"/>
                <w:sz w:val="18"/>
                <w:szCs w:val="18"/>
              </w:rPr>
              <w:t>12</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培训数3480人，结业数3402人。</w:t>
            </w:r>
          </w:p>
        </w:tc>
      </w:tr>
      <w:tr>
        <w:tblPrEx>
          <w:tblCellMar>
            <w:top w:w="0" w:type="dxa"/>
            <w:left w:w="108" w:type="dxa"/>
            <w:bottom w:w="0" w:type="dxa"/>
            <w:right w:w="108" w:type="dxa"/>
          </w:tblCellMar>
        </w:tblPrEx>
        <w:trPr>
          <w:trHeight w:val="417"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auto"/>
                <w:sz w:val="18"/>
                <w:szCs w:val="18"/>
              </w:rPr>
            </w:pPr>
            <w:r>
              <w:rPr>
                <w:rFonts w:ascii="Arial Narrow" w:hAnsi="Arial Narrow" w:cs="宋体"/>
                <w:color w:val="auto"/>
                <w:sz w:val="18"/>
                <w:szCs w:val="18"/>
              </w:rPr>
              <w:t>生态效益</w:t>
            </w:r>
          </w:p>
          <w:p>
            <w:pPr>
              <w:spacing w:line="240" w:lineRule="exact"/>
              <w:jc w:val="center"/>
              <w:rPr>
                <w:rFonts w:ascii="Arial Narrow" w:hAnsi="Arial Narrow" w:cs="宋体"/>
                <w:color w:val="auto"/>
                <w:sz w:val="18"/>
                <w:szCs w:val="18"/>
              </w:rPr>
            </w:pPr>
            <w:r>
              <w:rPr>
                <w:rFonts w:ascii="Arial Narrow" w:hAnsi="Arial Narrow" w:cs="宋体"/>
                <w:color w:val="auto"/>
                <w:sz w:val="18"/>
                <w:szCs w:val="18"/>
              </w:rPr>
              <w:t>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color w:val="auto"/>
                <w:sz w:val="18"/>
                <w:szCs w:val="18"/>
              </w:rPr>
            </w:pPr>
            <w:r>
              <w:rPr>
                <w:rFonts w:hint="eastAsia" w:ascii="Arial Narrow" w:hAnsi="Arial Narrow" w:cs="宋体"/>
                <w:color w:val="auto"/>
                <w:sz w:val="18"/>
                <w:szCs w:val="18"/>
              </w:rPr>
              <w:t>无</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58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131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可持续影响指标</w:t>
            </w:r>
          </w:p>
        </w:tc>
        <w:tc>
          <w:tcPr>
            <w:tcW w:w="187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学员的政治站位、政治素养得到增强，理论素养、政治能力、政策把握能力得到提高</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得到提高</w:t>
            </w:r>
          </w:p>
        </w:tc>
        <w:tc>
          <w:tcPr>
            <w:tcW w:w="7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Arial Narrow" w:hAnsi="Arial Narrow" w:cs="宋体"/>
                <w:sz w:val="18"/>
                <w:szCs w:val="18"/>
              </w:rPr>
            </w:pPr>
            <w:r>
              <w:rPr>
                <w:rFonts w:ascii="Arial Narrow" w:hAnsi="Arial Narrow" w:cs="宋体"/>
                <w:sz w:val="18"/>
                <w:szCs w:val="18"/>
              </w:rPr>
              <w:t>得到提高</w:t>
            </w:r>
          </w:p>
        </w:tc>
        <w:tc>
          <w:tcPr>
            <w:tcW w:w="58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8</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8</w:t>
            </w:r>
          </w:p>
        </w:tc>
        <w:tc>
          <w:tcPr>
            <w:tcW w:w="18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631" w:hRule="exact"/>
          <w:jc w:val="center"/>
        </w:trPr>
        <w:tc>
          <w:tcPr>
            <w:tcW w:w="578" w:type="dxa"/>
            <w:vMerge w:val="continue"/>
            <w:tcBorders>
              <w:top w:val="single" w:color="auto" w:sz="4" w:space="0"/>
              <w:left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restart"/>
            <w:tcBorders>
              <w:top w:val="single" w:color="auto" w:sz="4" w:space="0"/>
              <w:left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满意度</w:t>
            </w:r>
          </w:p>
          <w:p>
            <w:pPr>
              <w:spacing w:line="240" w:lineRule="exact"/>
              <w:jc w:val="center"/>
              <w:rPr>
                <w:rFonts w:ascii="Arial Narrow" w:hAnsi="Arial Narrow" w:cs="宋体"/>
                <w:sz w:val="18"/>
                <w:szCs w:val="18"/>
              </w:rPr>
            </w:pPr>
            <w:r>
              <w:rPr>
                <w:rFonts w:ascii="Arial Narrow" w:hAnsi="Arial Narrow" w:cs="宋体"/>
                <w:sz w:val="18"/>
                <w:szCs w:val="18"/>
              </w:rPr>
              <w:t>指标</w:t>
            </w:r>
          </w:p>
        </w:tc>
        <w:tc>
          <w:tcPr>
            <w:tcW w:w="101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服务对象满意度指标</w:t>
            </w:r>
          </w:p>
        </w:tc>
        <w:tc>
          <w:tcPr>
            <w:tcW w:w="1873" w:type="dxa"/>
            <w:gridSpan w:val="2"/>
            <w:tcBorders>
              <w:top w:val="single" w:color="auto" w:sz="4" w:space="0"/>
              <w:left w:val="nil"/>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市属班次学员对授课教师授课满意度</w:t>
            </w:r>
          </w:p>
        </w:tc>
        <w:tc>
          <w:tcPr>
            <w:tcW w:w="1143"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90%</w:t>
            </w:r>
          </w:p>
        </w:tc>
        <w:tc>
          <w:tcPr>
            <w:tcW w:w="761" w:type="dxa"/>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99.4%</w:t>
            </w:r>
          </w:p>
        </w:tc>
        <w:tc>
          <w:tcPr>
            <w:tcW w:w="589" w:type="dxa"/>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626" w:type="dxa"/>
            <w:vMerge w:val="continue"/>
            <w:tcBorders>
              <w:left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016"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c>
          <w:tcPr>
            <w:tcW w:w="1873" w:type="dxa"/>
            <w:gridSpan w:val="2"/>
            <w:tcBorders>
              <w:top w:val="single" w:color="auto" w:sz="4" w:space="0"/>
              <w:left w:val="nil"/>
              <w:bottom w:val="single" w:color="auto" w:sz="4" w:space="0"/>
              <w:right w:val="single" w:color="auto" w:sz="4" w:space="0"/>
            </w:tcBorders>
            <w:vAlign w:val="center"/>
          </w:tcPr>
          <w:p>
            <w:pPr>
              <w:spacing w:line="240" w:lineRule="exact"/>
              <w:rPr>
                <w:rFonts w:ascii="Arial Narrow" w:hAnsi="Arial Narrow" w:cs="宋体"/>
                <w:sz w:val="18"/>
                <w:szCs w:val="18"/>
              </w:rPr>
            </w:pPr>
            <w:r>
              <w:rPr>
                <w:rFonts w:ascii="Arial Narrow" w:hAnsi="Arial Narrow" w:cs="宋体"/>
                <w:sz w:val="18"/>
                <w:szCs w:val="18"/>
              </w:rPr>
              <w:t>市属班次学员对培训班综合评估满意度</w:t>
            </w:r>
          </w:p>
        </w:tc>
        <w:tc>
          <w:tcPr>
            <w:tcW w:w="1143" w:type="dxa"/>
            <w:gridSpan w:val="2"/>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Times New Roman"/>
                <w:snapToGrid w:val="0"/>
                <w:kern w:val="0"/>
                <w:sz w:val="18"/>
                <w:szCs w:val="18"/>
              </w:rPr>
              <w:t>≥</w:t>
            </w:r>
            <w:r>
              <w:rPr>
                <w:rFonts w:ascii="Arial Narrow" w:hAnsi="Arial Narrow" w:cs="宋体"/>
                <w:sz w:val="18"/>
                <w:szCs w:val="18"/>
              </w:rPr>
              <w:t>90%</w:t>
            </w:r>
          </w:p>
        </w:tc>
        <w:tc>
          <w:tcPr>
            <w:tcW w:w="761"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99.5%</w:t>
            </w:r>
          </w:p>
        </w:tc>
        <w:tc>
          <w:tcPr>
            <w:tcW w:w="589"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655" w:type="dxa"/>
            <w:gridSpan w:val="2"/>
            <w:tcBorders>
              <w:top w:val="nil"/>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r>
              <w:rPr>
                <w:rFonts w:ascii="Arial Narrow" w:hAnsi="Arial Narrow" w:cs="宋体"/>
                <w:sz w:val="18"/>
                <w:szCs w:val="18"/>
              </w:rPr>
              <w:t>5</w:t>
            </w:r>
          </w:p>
        </w:tc>
        <w:tc>
          <w:tcPr>
            <w:tcW w:w="1856"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r>
        <w:tblPrEx>
          <w:tblCellMar>
            <w:top w:w="0" w:type="dxa"/>
            <w:left w:w="108" w:type="dxa"/>
            <w:bottom w:w="0" w:type="dxa"/>
            <w:right w:w="108" w:type="dxa"/>
          </w:tblCellMar>
        </w:tblPrEx>
        <w:trPr>
          <w:trHeight w:val="291" w:hRule="exact"/>
          <w:jc w:val="center"/>
        </w:trPr>
        <w:tc>
          <w:tcPr>
            <w:tcW w:w="5997"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Arial Narrow" w:hAnsi="Arial Narrow" w:cs="宋体"/>
                <w:color w:val="000000"/>
                <w:sz w:val="18"/>
                <w:szCs w:val="18"/>
              </w:rPr>
            </w:pPr>
            <w:r>
              <w:rPr>
                <w:rFonts w:ascii="Arial Narrow" w:hAnsi="Arial Narrow" w:cs="宋体"/>
                <w:color w:val="000000"/>
                <w:sz w:val="18"/>
                <w:szCs w:val="18"/>
              </w:rPr>
              <w:t>总分</w:t>
            </w:r>
          </w:p>
        </w:tc>
        <w:tc>
          <w:tcPr>
            <w:tcW w:w="589" w:type="dxa"/>
            <w:tcBorders>
              <w:top w:val="nil"/>
              <w:left w:val="nil"/>
              <w:bottom w:val="single" w:color="auto" w:sz="4" w:space="0"/>
              <w:right w:val="single" w:color="auto" w:sz="4" w:space="0"/>
            </w:tcBorders>
            <w:vAlign w:val="center"/>
          </w:tcPr>
          <w:p>
            <w:pPr>
              <w:spacing w:line="240" w:lineRule="exact"/>
              <w:jc w:val="center"/>
              <w:rPr>
                <w:rFonts w:ascii="Arial Narrow" w:hAnsi="Arial Narrow" w:cs="宋体"/>
                <w:color w:val="000000"/>
                <w:sz w:val="18"/>
                <w:szCs w:val="18"/>
              </w:rPr>
            </w:pPr>
            <w:r>
              <w:rPr>
                <w:rFonts w:hint="eastAsia" w:ascii="Arial Narrow" w:hAnsi="Arial Narrow" w:cs="宋体"/>
                <w:color w:val="000000"/>
                <w:sz w:val="18"/>
                <w:szCs w:val="18"/>
                <w:lang w:val="en-US" w:eastAsia="zh-CN"/>
              </w:rPr>
              <w:t>100</w:t>
            </w:r>
          </w:p>
        </w:tc>
        <w:tc>
          <w:tcPr>
            <w:tcW w:w="655" w:type="dxa"/>
            <w:gridSpan w:val="2"/>
            <w:tcBorders>
              <w:top w:val="nil"/>
              <w:left w:val="nil"/>
              <w:bottom w:val="single" w:color="auto" w:sz="4" w:space="0"/>
              <w:right w:val="single" w:color="auto" w:sz="4" w:space="0"/>
            </w:tcBorders>
            <w:vAlign w:val="center"/>
          </w:tcPr>
          <w:p>
            <w:pPr>
              <w:spacing w:line="240" w:lineRule="exact"/>
              <w:jc w:val="center"/>
              <w:rPr>
                <w:rFonts w:hint="default" w:ascii="Arial Narrow" w:hAnsi="Arial Narrow" w:eastAsia="仿宋" w:cs="宋体"/>
                <w:color w:val="000000"/>
                <w:sz w:val="18"/>
                <w:szCs w:val="18"/>
                <w:lang w:val="en-US" w:eastAsia="zh-CN"/>
              </w:rPr>
            </w:pPr>
            <w:r>
              <w:rPr>
                <w:rFonts w:hint="eastAsia" w:ascii="Arial Narrow" w:hAnsi="Arial Narrow" w:cs="宋体"/>
                <w:color w:val="000000"/>
                <w:sz w:val="18"/>
                <w:szCs w:val="18"/>
                <w:lang w:val="en-US" w:eastAsia="zh-CN"/>
              </w:rPr>
              <w:t>98.89</w:t>
            </w:r>
          </w:p>
        </w:tc>
        <w:tc>
          <w:tcPr>
            <w:tcW w:w="1856"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Arial Narrow" w:hAnsi="Arial Narrow" w:cs="宋体"/>
                <w:sz w:val="18"/>
                <w:szCs w:val="18"/>
              </w:rPr>
            </w:pPr>
          </w:p>
        </w:tc>
      </w:tr>
    </w:tbl>
    <w:p>
      <w:pPr>
        <w:rPr>
          <w:rFonts w:ascii="Times New Roman" w:hAnsi="Times New Roman" w:cs="Times New Roma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华文中宋"/>
    <w:panose1 w:val="02010600030101010101"/>
    <w:charset w:val="86"/>
    <w:family w:val="auto"/>
    <w:pitch w:val="default"/>
    <w:sig w:usb0="00000000" w:usb1="00000000" w:usb2="00000016" w:usb3="00000000" w:csb0="0004000F"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Narrow">
    <w:altName w:val="Times New Roman"/>
    <w:panose1 w:val="020B0606020202030204"/>
    <w:charset w:val="00"/>
    <w:family w:val="swiss"/>
    <w:pitch w:val="default"/>
    <w:sig w:usb0="00000000" w:usb1="00000000" w:usb2="00000000" w:usb3="00000000" w:csb0="2000009F" w:csb1="DFD70000"/>
  </w:font>
  <w:font w:name="等线 Light">
    <w:altName w:val="许在夏日重逢"/>
    <w:panose1 w:val="00000000000000000000"/>
    <w:charset w:val="00"/>
    <w:family w:val="auto"/>
    <w:pitch w:val="default"/>
    <w:sig w:usb0="00000000" w:usb1="00000000" w:usb2="00000000" w:usb3="00000000" w:csb0="00000000" w:csb1="00000000"/>
  </w:font>
  <w:font w:name="许在夏日重逢">
    <w:panose1 w:val="00000500000000000000"/>
    <w:charset w:val="86"/>
    <w:family w:val="auto"/>
    <w:pitch w:val="default"/>
    <w:sig w:usb0="00000001" w:usb1="080F0010" w:usb2="00000016" w:usb3="00000000" w:csb0="00040000" w:csb1="00000000"/>
  </w:font>
  <w:font w:name="文泉驿正黑">
    <w:panose1 w:val="02000603000000000000"/>
    <w:charset w:val="86"/>
    <w:family w:val="auto"/>
    <w:pitch w:val="default"/>
    <w:sig w:usb0="900002BF" w:usb1="2BDF7DFB" w:usb2="00000036" w:usb3="00000000" w:csb0="603E000D" w:csb1="D2D70000"/>
  </w:font>
  <w:font w:name="等线">
    <w:altName w:val="许在夏日重逢"/>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jc w:val="center"/>
      <w:rPr>
        <w:rFonts w:hint="eastAsia" w:ascii="仿宋" w:hAnsi="仿宋"/>
      </w:rPr>
    </w:pPr>
    <w:r>
      <w:rPr>
        <w:rFonts w:hint="eastAsia" w:ascii="仿宋" w:hAnsi="仿宋"/>
      </w:rPr>
      <w:t>第</w:t>
    </w:r>
    <w:sdt>
      <w:sdtPr>
        <w:rPr>
          <w:rFonts w:ascii="仿宋" w:hAnsi="仿宋"/>
        </w:rPr>
        <w:id w:val="-1"/>
      </w:sdtPr>
      <w:sdtEndPr>
        <w:rPr>
          <w:rFonts w:ascii="仿宋" w:hAnsi="仿宋"/>
        </w:rPr>
      </w:sdtEndPr>
      <w:sdtContent>
        <w:r>
          <w:rPr>
            <w:rFonts w:ascii="仿宋" w:hAnsi="仿宋"/>
          </w:rPr>
          <w:fldChar w:fldCharType="begin"/>
        </w:r>
        <w:r>
          <w:rPr>
            <w:rFonts w:ascii="仿宋" w:hAnsi="仿宋"/>
          </w:rPr>
          <w:instrText xml:space="preserve">PAGE   \* MERGEFORMAT</w:instrText>
        </w:r>
        <w:r>
          <w:rPr>
            <w:rFonts w:ascii="仿宋" w:hAnsi="仿宋"/>
          </w:rPr>
          <w:fldChar w:fldCharType="separate"/>
        </w:r>
        <w:r>
          <w:rPr>
            <w:rFonts w:ascii="仿宋" w:hAnsi="仿宋"/>
            <w:lang w:val="zh-CN"/>
          </w:rPr>
          <w:t>2</w:t>
        </w:r>
        <w:r>
          <w:rPr>
            <w:rFonts w:ascii="仿宋" w:hAnsi="仿宋"/>
          </w:rPr>
          <w:fldChar w:fldCharType="end"/>
        </w:r>
        <w:r>
          <w:rPr>
            <w:rFonts w:hint="eastAsia" w:ascii="仿宋" w:hAnsi="仿宋"/>
          </w:rPr>
          <w:t>页</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0">
    <w:nsid w:val="12C8280C"/>
    <w:multiLevelType w:val="multilevel"/>
    <w:tmpl w:val="12C8280C"/>
    <w:lvl w:ilvl="0" w:tentative="0">
      <w:start w:val="1"/>
      <w:numFmt w:val="decimal"/>
      <w:suff w:val="nothing"/>
      <w:lvlText w:val="%1．"/>
      <w:lvlJc w:val="left"/>
      <w:pPr>
        <w:ind w:left="1147" w:hanging="440"/>
      </w:pPr>
      <w:rPr>
        <w:rFonts w:hint="eastAsia" w:ascii="宋体" w:hAnsi="宋体" w:eastAsia="宋体"/>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abstractNum w:abstractNumId="11">
    <w:nsid w:val="2985110A"/>
    <w:multiLevelType w:val="multilevel"/>
    <w:tmpl w:val="2985110A"/>
    <w:lvl w:ilvl="0" w:tentative="0">
      <w:start w:val="1"/>
      <w:numFmt w:val="japaneseCounting"/>
      <w:lvlText w:val="（%1）"/>
      <w:lvlJc w:val="left"/>
      <w:pPr>
        <w:ind w:left="1787" w:hanging="1080"/>
      </w:pPr>
      <w:rPr>
        <w:rFonts w:hint="default"/>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abstractNum w:abstractNumId="12">
    <w:nsid w:val="37D2340A"/>
    <w:multiLevelType w:val="multilevel"/>
    <w:tmpl w:val="37D2340A"/>
    <w:lvl w:ilvl="0" w:tentative="0">
      <w:start w:val="1"/>
      <w:numFmt w:val="decimal"/>
      <w:lvlText w:val="%1．"/>
      <w:lvlJc w:val="left"/>
      <w:pPr>
        <w:ind w:left="1147" w:hanging="440"/>
      </w:pPr>
      <w:rPr>
        <w:rFonts w:hint="eastAsia"/>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abstractNum w:abstractNumId="13">
    <w:nsid w:val="38776190"/>
    <w:multiLevelType w:val="multilevel"/>
    <w:tmpl w:val="38776190"/>
    <w:lvl w:ilvl="0" w:tentative="0">
      <w:start w:val="1"/>
      <w:numFmt w:val="decimal"/>
      <w:suff w:val="nothing"/>
      <w:lvlText w:val="%1．"/>
      <w:lvlJc w:val="left"/>
      <w:pPr>
        <w:ind w:left="1147" w:hanging="440"/>
      </w:pPr>
      <w:rPr>
        <w:rFonts w:hint="eastAsia" w:ascii="宋体" w:hAnsi="宋体" w:eastAsia="宋体"/>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abstractNum w:abstractNumId="14">
    <w:nsid w:val="57650002"/>
    <w:multiLevelType w:val="multilevel"/>
    <w:tmpl w:val="57650002"/>
    <w:lvl w:ilvl="0" w:tentative="0">
      <w:start w:val="1"/>
      <w:numFmt w:val="decimal"/>
      <w:lvlText w:val="%1．"/>
      <w:lvlJc w:val="left"/>
      <w:pPr>
        <w:ind w:left="1147" w:hanging="440"/>
      </w:pPr>
      <w:rPr>
        <w:rFonts w:hint="eastAsia"/>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abstractNum w:abstractNumId="15">
    <w:nsid w:val="79811BF5"/>
    <w:multiLevelType w:val="multilevel"/>
    <w:tmpl w:val="79811BF5"/>
    <w:lvl w:ilvl="0" w:tentative="0">
      <w:start w:val="1"/>
      <w:numFmt w:val="decimal"/>
      <w:lvlText w:val="%1．"/>
      <w:lvlJc w:val="left"/>
      <w:pPr>
        <w:ind w:left="1147" w:hanging="440"/>
      </w:pPr>
      <w:rPr>
        <w:rFonts w:hint="eastAsia"/>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5"/>
  </w:num>
  <w:num w:numId="13">
    <w:abstractNumId w:val="13"/>
  </w:num>
  <w:num w:numId="14">
    <w:abstractNumId w:val="1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60"/>
  <w:drawingGridVerticalSpacing w:val="435"/>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9854D8"/>
    <w:rsid w:val="000241EE"/>
    <w:rsid w:val="00034448"/>
    <w:rsid w:val="000419D8"/>
    <w:rsid w:val="00060A50"/>
    <w:rsid w:val="000717BC"/>
    <w:rsid w:val="000842D3"/>
    <w:rsid w:val="0008557A"/>
    <w:rsid w:val="0008586D"/>
    <w:rsid w:val="0009415E"/>
    <w:rsid w:val="00096096"/>
    <w:rsid w:val="000A599B"/>
    <w:rsid w:val="000A7DC4"/>
    <w:rsid w:val="000B462B"/>
    <w:rsid w:val="000C066F"/>
    <w:rsid w:val="000C0E52"/>
    <w:rsid w:val="000C2CDB"/>
    <w:rsid w:val="000C5966"/>
    <w:rsid w:val="000C60BA"/>
    <w:rsid w:val="000D0999"/>
    <w:rsid w:val="000D0E62"/>
    <w:rsid w:val="000D116E"/>
    <w:rsid w:val="000D2491"/>
    <w:rsid w:val="000D36CF"/>
    <w:rsid w:val="000F05D5"/>
    <w:rsid w:val="000F0722"/>
    <w:rsid w:val="000F2963"/>
    <w:rsid w:val="000F2B8F"/>
    <w:rsid w:val="000F5C5F"/>
    <w:rsid w:val="000F7752"/>
    <w:rsid w:val="00116A3A"/>
    <w:rsid w:val="00120505"/>
    <w:rsid w:val="0013032A"/>
    <w:rsid w:val="00133515"/>
    <w:rsid w:val="00134644"/>
    <w:rsid w:val="00153CFF"/>
    <w:rsid w:val="00154D07"/>
    <w:rsid w:val="00176A33"/>
    <w:rsid w:val="00180F0B"/>
    <w:rsid w:val="001816E3"/>
    <w:rsid w:val="00193331"/>
    <w:rsid w:val="001A5A32"/>
    <w:rsid w:val="001B23B5"/>
    <w:rsid w:val="001B4978"/>
    <w:rsid w:val="001C6868"/>
    <w:rsid w:val="001E0F7A"/>
    <w:rsid w:val="001E39AC"/>
    <w:rsid w:val="001F09BB"/>
    <w:rsid w:val="001F789F"/>
    <w:rsid w:val="0020141E"/>
    <w:rsid w:val="00207854"/>
    <w:rsid w:val="00210337"/>
    <w:rsid w:val="00210C51"/>
    <w:rsid w:val="0021179E"/>
    <w:rsid w:val="002132F3"/>
    <w:rsid w:val="0021404F"/>
    <w:rsid w:val="002206DE"/>
    <w:rsid w:val="00227EBF"/>
    <w:rsid w:val="002351DB"/>
    <w:rsid w:val="00244273"/>
    <w:rsid w:val="00250A73"/>
    <w:rsid w:val="00251D1B"/>
    <w:rsid w:val="00254374"/>
    <w:rsid w:val="00263A5D"/>
    <w:rsid w:val="00265958"/>
    <w:rsid w:val="0026647D"/>
    <w:rsid w:val="0027176D"/>
    <w:rsid w:val="00274A35"/>
    <w:rsid w:val="00277B05"/>
    <w:rsid w:val="002807F9"/>
    <w:rsid w:val="002846FF"/>
    <w:rsid w:val="00285B6B"/>
    <w:rsid w:val="00286E6D"/>
    <w:rsid w:val="002944DF"/>
    <w:rsid w:val="002A0DC1"/>
    <w:rsid w:val="002A6A1D"/>
    <w:rsid w:val="002B1A60"/>
    <w:rsid w:val="002B25B0"/>
    <w:rsid w:val="002B70B1"/>
    <w:rsid w:val="002C1B78"/>
    <w:rsid w:val="002C3950"/>
    <w:rsid w:val="002D0D01"/>
    <w:rsid w:val="002D4C3C"/>
    <w:rsid w:val="002D5BB0"/>
    <w:rsid w:val="002F01C1"/>
    <w:rsid w:val="002F2FC2"/>
    <w:rsid w:val="002F76E8"/>
    <w:rsid w:val="00302851"/>
    <w:rsid w:val="00305676"/>
    <w:rsid w:val="00312A45"/>
    <w:rsid w:val="00313AF8"/>
    <w:rsid w:val="0031765C"/>
    <w:rsid w:val="003222C0"/>
    <w:rsid w:val="0032419A"/>
    <w:rsid w:val="00330C16"/>
    <w:rsid w:val="003325A1"/>
    <w:rsid w:val="00335D02"/>
    <w:rsid w:val="003378D2"/>
    <w:rsid w:val="00350086"/>
    <w:rsid w:val="003505BE"/>
    <w:rsid w:val="00357DB7"/>
    <w:rsid w:val="00363919"/>
    <w:rsid w:val="003739C9"/>
    <w:rsid w:val="003745B4"/>
    <w:rsid w:val="003A1C30"/>
    <w:rsid w:val="003B1A91"/>
    <w:rsid w:val="003B2AF6"/>
    <w:rsid w:val="003B4BBD"/>
    <w:rsid w:val="003B5F6C"/>
    <w:rsid w:val="003D0B06"/>
    <w:rsid w:val="003D7818"/>
    <w:rsid w:val="003E169A"/>
    <w:rsid w:val="003E60C6"/>
    <w:rsid w:val="003F1272"/>
    <w:rsid w:val="003F4537"/>
    <w:rsid w:val="00406EF1"/>
    <w:rsid w:val="00410869"/>
    <w:rsid w:val="00412411"/>
    <w:rsid w:val="00416DA6"/>
    <w:rsid w:val="0042002C"/>
    <w:rsid w:val="00424A2E"/>
    <w:rsid w:val="00431548"/>
    <w:rsid w:val="00432779"/>
    <w:rsid w:val="0043468F"/>
    <w:rsid w:val="00440EEA"/>
    <w:rsid w:val="00441257"/>
    <w:rsid w:val="0044438D"/>
    <w:rsid w:val="004474F3"/>
    <w:rsid w:val="00471F44"/>
    <w:rsid w:val="00474312"/>
    <w:rsid w:val="00477C82"/>
    <w:rsid w:val="00493D3E"/>
    <w:rsid w:val="004B5E61"/>
    <w:rsid w:val="004B7370"/>
    <w:rsid w:val="004C0EE2"/>
    <w:rsid w:val="004C5D16"/>
    <w:rsid w:val="004D0831"/>
    <w:rsid w:val="004D292F"/>
    <w:rsid w:val="004E0583"/>
    <w:rsid w:val="004F4415"/>
    <w:rsid w:val="00502CCE"/>
    <w:rsid w:val="0050683E"/>
    <w:rsid w:val="00507F20"/>
    <w:rsid w:val="0052696B"/>
    <w:rsid w:val="00533CEB"/>
    <w:rsid w:val="005508CD"/>
    <w:rsid w:val="0055322B"/>
    <w:rsid w:val="00553F50"/>
    <w:rsid w:val="00563B55"/>
    <w:rsid w:val="00566D07"/>
    <w:rsid w:val="00570ED7"/>
    <w:rsid w:val="00571E8B"/>
    <w:rsid w:val="005847A1"/>
    <w:rsid w:val="00586988"/>
    <w:rsid w:val="005A0C6D"/>
    <w:rsid w:val="005A1DC2"/>
    <w:rsid w:val="005A1DE8"/>
    <w:rsid w:val="005A5A2F"/>
    <w:rsid w:val="005A69CF"/>
    <w:rsid w:val="005C208B"/>
    <w:rsid w:val="005E08F8"/>
    <w:rsid w:val="005E401F"/>
    <w:rsid w:val="005E5126"/>
    <w:rsid w:val="005E730E"/>
    <w:rsid w:val="005F2A22"/>
    <w:rsid w:val="005F7582"/>
    <w:rsid w:val="00601DF2"/>
    <w:rsid w:val="00602FD9"/>
    <w:rsid w:val="00610681"/>
    <w:rsid w:val="00610F65"/>
    <w:rsid w:val="00624D3F"/>
    <w:rsid w:val="0062517E"/>
    <w:rsid w:val="006424A0"/>
    <w:rsid w:val="006450D4"/>
    <w:rsid w:val="00656972"/>
    <w:rsid w:val="00661E81"/>
    <w:rsid w:val="00661EDD"/>
    <w:rsid w:val="006709A4"/>
    <w:rsid w:val="00682EAB"/>
    <w:rsid w:val="00684FC1"/>
    <w:rsid w:val="006864DC"/>
    <w:rsid w:val="0069085C"/>
    <w:rsid w:val="00693B74"/>
    <w:rsid w:val="006A4129"/>
    <w:rsid w:val="006D4874"/>
    <w:rsid w:val="006D6603"/>
    <w:rsid w:val="006E0588"/>
    <w:rsid w:val="006F3650"/>
    <w:rsid w:val="006F64F4"/>
    <w:rsid w:val="00702FF1"/>
    <w:rsid w:val="00703377"/>
    <w:rsid w:val="00705D2A"/>
    <w:rsid w:val="00707D90"/>
    <w:rsid w:val="007103BE"/>
    <w:rsid w:val="0071074F"/>
    <w:rsid w:val="007210B1"/>
    <w:rsid w:val="00726F67"/>
    <w:rsid w:val="00732910"/>
    <w:rsid w:val="00734C9D"/>
    <w:rsid w:val="00735BE0"/>
    <w:rsid w:val="00735E6D"/>
    <w:rsid w:val="0074597F"/>
    <w:rsid w:val="00754F00"/>
    <w:rsid w:val="00761EBD"/>
    <w:rsid w:val="00774973"/>
    <w:rsid w:val="00781C43"/>
    <w:rsid w:val="00785B37"/>
    <w:rsid w:val="00787503"/>
    <w:rsid w:val="00787DFA"/>
    <w:rsid w:val="00791E2F"/>
    <w:rsid w:val="00792A14"/>
    <w:rsid w:val="00792A5D"/>
    <w:rsid w:val="007A6B33"/>
    <w:rsid w:val="007B0934"/>
    <w:rsid w:val="007B6297"/>
    <w:rsid w:val="007C0737"/>
    <w:rsid w:val="007C420B"/>
    <w:rsid w:val="007D1FE5"/>
    <w:rsid w:val="007E3B1D"/>
    <w:rsid w:val="007E7449"/>
    <w:rsid w:val="00800A36"/>
    <w:rsid w:val="00803E1D"/>
    <w:rsid w:val="00810B37"/>
    <w:rsid w:val="00812096"/>
    <w:rsid w:val="008202DD"/>
    <w:rsid w:val="00820BE6"/>
    <w:rsid w:val="00823CB1"/>
    <w:rsid w:val="0082534A"/>
    <w:rsid w:val="008324A3"/>
    <w:rsid w:val="00834896"/>
    <w:rsid w:val="00835C66"/>
    <w:rsid w:val="00841836"/>
    <w:rsid w:val="0084459E"/>
    <w:rsid w:val="008567F7"/>
    <w:rsid w:val="00860F57"/>
    <w:rsid w:val="00866932"/>
    <w:rsid w:val="00866DB1"/>
    <w:rsid w:val="00871FCB"/>
    <w:rsid w:val="00876079"/>
    <w:rsid w:val="00883B88"/>
    <w:rsid w:val="008A1116"/>
    <w:rsid w:val="008A481F"/>
    <w:rsid w:val="008A6538"/>
    <w:rsid w:val="008B4881"/>
    <w:rsid w:val="008B6297"/>
    <w:rsid w:val="008D1AA7"/>
    <w:rsid w:val="008D2C71"/>
    <w:rsid w:val="008E746B"/>
    <w:rsid w:val="008F0EB7"/>
    <w:rsid w:val="008F3C5A"/>
    <w:rsid w:val="008F5396"/>
    <w:rsid w:val="00906C21"/>
    <w:rsid w:val="0091365A"/>
    <w:rsid w:val="009159D5"/>
    <w:rsid w:val="00917DE7"/>
    <w:rsid w:val="00922098"/>
    <w:rsid w:val="009477F6"/>
    <w:rsid w:val="00950C20"/>
    <w:rsid w:val="0095456F"/>
    <w:rsid w:val="009545AA"/>
    <w:rsid w:val="009750F6"/>
    <w:rsid w:val="009854D8"/>
    <w:rsid w:val="0098590B"/>
    <w:rsid w:val="009A7AF2"/>
    <w:rsid w:val="009B390B"/>
    <w:rsid w:val="009B474D"/>
    <w:rsid w:val="009C13C1"/>
    <w:rsid w:val="009D10F7"/>
    <w:rsid w:val="009E07FB"/>
    <w:rsid w:val="009E3071"/>
    <w:rsid w:val="009F3CD9"/>
    <w:rsid w:val="009F6AFB"/>
    <w:rsid w:val="009F7FB0"/>
    <w:rsid w:val="00A00CEA"/>
    <w:rsid w:val="00A031D5"/>
    <w:rsid w:val="00A0448D"/>
    <w:rsid w:val="00A07054"/>
    <w:rsid w:val="00A10C0A"/>
    <w:rsid w:val="00A10F5C"/>
    <w:rsid w:val="00A12CE3"/>
    <w:rsid w:val="00A16B88"/>
    <w:rsid w:val="00A3179F"/>
    <w:rsid w:val="00A52A36"/>
    <w:rsid w:val="00A725C4"/>
    <w:rsid w:val="00A81C07"/>
    <w:rsid w:val="00A9533A"/>
    <w:rsid w:val="00A96919"/>
    <w:rsid w:val="00A97027"/>
    <w:rsid w:val="00A97F92"/>
    <w:rsid w:val="00AA4B6A"/>
    <w:rsid w:val="00AA5E72"/>
    <w:rsid w:val="00AA7C4A"/>
    <w:rsid w:val="00AB25AE"/>
    <w:rsid w:val="00AB3B0F"/>
    <w:rsid w:val="00AC2384"/>
    <w:rsid w:val="00AC7127"/>
    <w:rsid w:val="00AC71E7"/>
    <w:rsid w:val="00AC7E1A"/>
    <w:rsid w:val="00AE7EE0"/>
    <w:rsid w:val="00AF6A7D"/>
    <w:rsid w:val="00B0444F"/>
    <w:rsid w:val="00B056E1"/>
    <w:rsid w:val="00B060B5"/>
    <w:rsid w:val="00B10585"/>
    <w:rsid w:val="00B110F7"/>
    <w:rsid w:val="00B12EC1"/>
    <w:rsid w:val="00B14BD1"/>
    <w:rsid w:val="00B26A39"/>
    <w:rsid w:val="00B37B52"/>
    <w:rsid w:val="00B41239"/>
    <w:rsid w:val="00B51B05"/>
    <w:rsid w:val="00B53EA1"/>
    <w:rsid w:val="00B63348"/>
    <w:rsid w:val="00B752D5"/>
    <w:rsid w:val="00B764F3"/>
    <w:rsid w:val="00B81C39"/>
    <w:rsid w:val="00B87204"/>
    <w:rsid w:val="00BA428D"/>
    <w:rsid w:val="00BA765B"/>
    <w:rsid w:val="00BB2D96"/>
    <w:rsid w:val="00BB2E1D"/>
    <w:rsid w:val="00BC47C5"/>
    <w:rsid w:val="00BD27DA"/>
    <w:rsid w:val="00BD5ACD"/>
    <w:rsid w:val="00BD6B1A"/>
    <w:rsid w:val="00BE24DB"/>
    <w:rsid w:val="00BE4A3B"/>
    <w:rsid w:val="00BE768E"/>
    <w:rsid w:val="00BF02C0"/>
    <w:rsid w:val="00C03340"/>
    <w:rsid w:val="00C043AF"/>
    <w:rsid w:val="00C064E0"/>
    <w:rsid w:val="00C1058D"/>
    <w:rsid w:val="00C12029"/>
    <w:rsid w:val="00C16EF8"/>
    <w:rsid w:val="00C21ECF"/>
    <w:rsid w:val="00C2557F"/>
    <w:rsid w:val="00C26B0E"/>
    <w:rsid w:val="00C3347E"/>
    <w:rsid w:val="00C342F3"/>
    <w:rsid w:val="00C34D02"/>
    <w:rsid w:val="00C34E59"/>
    <w:rsid w:val="00C40911"/>
    <w:rsid w:val="00C508A5"/>
    <w:rsid w:val="00C50C11"/>
    <w:rsid w:val="00C62774"/>
    <w:rsid w:val="00C736DF"/>
    <w:rsid w:val="00C754EB"/>
    <w:rsid w:val="00C776BD"/>
    <w:rsid w:val="00C8003D"/>
    <w:rsid w:val="00C8071C"/>
    <w:rsid w:val="00C846E9"/>
    <w:rsid w:val="00C92988"/>
    <w:rsid w:val="00C94FCD"/>
    <w:rsid w:val="00C957D8"/>
    <w:rsid w:val="00C96606"/>
    <w:rsid w:val="00C969A4"/>
    <w:rsid w:val="00CA2BAF"/>
    <w:rsid w:val="00CA33A3"/>
    <w:rsid w:val="00CB5E2B"/>
    <w:rsid w:val="00CB6CC6"/>
    <w:rsid w:val="00CB7214"/>
    <w:rsid w:val="00CC39B4"/>
    <w:rsid w:val="00CC5E53"/>
    <w:rsid w:val="00CD7AE0"/>
    <w:rsid w:val="00CE3797"/>
    <w:rsid w:val="00CE6E36"/>
    <w:rsid w:val="00CF097E"/>
    <w:rsid w:val="00CF2917"/>
    <w:rsid w:val="00CF3912"/>
    <w:rsid w:val="00CF53F1"/>
    <w:rsid w:val="00D03E07"/>
    <w:rsid w:val="00D04063"/>
    <w:rsid w:val="00D10356"/>
    <w:rsid w:val="00D113D8"/>
    <w:rsid w:val="00D12DB5"/>
    <w:rsid w:val="00D13262"/>
    <w:rsid w:val="00D16193"/>
    <w:rsid w:val="00D20CF0"/>
    <w:rsid w:val="00D224B0"/>
    <w:rsid w:val="00D27007"/>
    <w:rsid w:val="00D27330"/>
    <w:rsid w:val="00D277C2"/>
    <w:rsid w:val="00D27A21"/>
    <w:rsid w:val="00D312C5"/>
    <w:rsid w:val="00D31F49"/>
    <w:rsid w:val="00D42C08"/>
    <w:rsid w:val="00D46A5B"/>
    <w:rsid w:val="00D5591E"/>
    <w:rsid w:val="00D66F08"/>
    <w:rsid w:val="00D75FF2"/>
    <w:rsid w:val="00D86A11"/>
    <w:rsid w:val="00D92302"/>
    <w:rsid w:val="00D924F6"/>
    <w:rsid w:val="00D929CF"/>
    <w:rsid w:val="00D937CB"/>
    <w:rsid w:val="00DA52E0"/>
    <w:rsid w:val="00DB29E8"/>
    <w:rsid w:val="00DC1132"/>
    <w:rsid w:val="00DC32DA"/>
    <w:rsid w:val="00DC4202"/>
    <w:rsid w:val="00DD06C5"/>
    <w:rsid w:val="00DD2394"/>
    <w:rsid w:val="00DE7F50"/>
    <w:rsid w:val="00DF2D98"/>
    <w:rsid w:val="00DF65AC"/>
    <w:rsid w:val="00DF6837"/>
    <w:rsid w:val="00E01454"/>
    <w:rsid w:val="00E0411F"/>
    <w:rsid w:val="00E13335"/>
    <w:rsid w:val="00E14B26"/>
    <w:rsid w:val="00E1764A"/>
    <w:rsid w:val="00E22AA9"/>
    <w:rsid w:val="00E23C0A"/>
    <w:rsid w:val="00E25173"/>
    <w:rsid w:val="00E42023"/>
    <w:rsid w:val="00E45F1C"/>
    <w:rsid w:val="00E51B48"/>
    <w:rsid w:val="00E56696"/>
    <w:rsid w:val="00E72CBD"/>
    <w:rsid w:val="00E81F45"/>
    <w:rsid w:val="00EA057D"/>
    <w:rsid w:val="00EC690A"/>
    <w:rsid w:val="00ED1194"/>
    <w:rsid w:val="00ED3A90"/>
    <w:rsid w:val="00ED4EC5"/>
    <w:rsid w:val="00ED5245"/>
    <w:rsid w:val="00EE5063"/>
    <w:rsid w:val="00EF07A9"/>
    <w:rsid w:val="00EF64C2"/>
    <w:rsid w:val="00F00181"/>
    <w:rsid w:val="00F01FB4"/>
    <w:rsid w:val="00F06B42"/>
    <w:rsid w:val="00F07F38"/>
    <w:rsid w:val="00F13AB4"/>
    <w:rsid w:val="00F17E1B"/>
    <w:rsid w:val="00F239F7"/>
    <w:rsid w:val="00F23A2B"/>
    <w:rsid w:val="00F30488"/>
    <w:rsid w:val="00F3312F"/>
    <w:rsid w:val="00F334BD"/>
    <w:rsid w:val="00F34EB1"/>
    <w:rsid w:val="00F366FD"/>
    <w:rsid w:val="00F44E39"/>
    <w:rsid w:val="00F5234D"/>
    <w:rsid w:val="00F5261A"/>
    <w:rsid w:val="00F570CE"/>
    <w:rsid w:val="00F671A9"/>
    <w:rsid w:val="00F76072"/>
    <w:rsid w:val="00F85993"/>
    <w:rsid w:val="00F90BFF"/>
    <w:rsid w:val="00F97D77"/>
    <w:rsid w:val="00FA14DC"/>
    <w:rsid w:val="00FA7823"/>
    <w:rsid w:val="00FA7E0C"/>
    <w:rsid w:val="00FB2011"/>
    <w:rsid w:val="00FB3524"/>
    <w:rsid w:val="00FB5726"/>
    <w:rsid w:val="00FC14A4"/>
    <w:rsid w:val="00FC3166"/>
    <w:rsid w:val="00FD04C6"/>
    <w:rsid w:val="00FE16CF"/>
    <w:rsid w:val="00FE61CB"/>
    <w:rsid w:val="00FF09AA"/>
    <w:rsid w:val="1A23D445"/>
    <w:rsid w:val="21EF52ED"/>
    <w:rsid w:val="257F0CBB"/>
    <w:rsid w:val="2FDF458B"/>
    <w:rsid w:val="367D80E1"/>
    <w:rsid w:val="3EFE3E9F"/>
    <w:rsid w:val="42B80A23"/>
    <w:rsid w:val="46B33752"/>
    <w:rsid w:val="47FFA980"/>
    <w:rsid w:val="4D5D2E7B"/>
    <w:rsid w:val="55DF27E7"/>
    <w:rsid w:val="5D6F935D"/>
    <w:rsid w:val="5EF7B527"/>
    <w:rsid w:val="5FB6C95B"/>
    <w:rsid w:val="65F62836"/>
    <w:rsid w:val="65F779A8"/>
    <w:rsid w:val="77285C3F"/>
    <w:rsid w:val="7A7F123A"/>
    <w:rsid w:val="7AA793C6"/>
    <w:rsid w:val="7BE7CEC4"/>
    <w:rsid w:val="7DB9B404"/>
    <w:rsid w:val="7E7868F8"/>
    <w:rsid w:val="7F7FE508"/>
    <w:rsid w:val="7FB760A8"/>
    <w:rsid w:val="7FCF4FEB"/>
    <w:rsid w:val="7FDA20F5"/>
    <w:rsid w:val="7FFE5FA7"/>
    <w:rsid w:val="9FD97AAC"/>
    <w:rsid w:val="9FEF5B40"/>
    <w:rsid w:val="B7DFF981"/>
    <w:rsid w:val="BA2BF402"/>
    <w:rsid w:val="BE8DD6C7"/>
    <w:rsid w:val="CEFB34F6"/>
    <w:rsid w:val="D33FFD07"/>
    <w:rsid w:val="D9F7C945"/>
    <w:rsid w:val="E077C72D"/>
    <w:rsid w:val="E8BB3DD8"/>
    <w:rsid w:val="EAAEEA74"/>
    <w:rsid w:val="EEBFDF2E"/>
    <w:rsid w:val="EFF7CD23"/>
    <w:rsid w:val="FA7702AE"/>
    <w:rsid w:val="FCD7E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name="Default Paragraph Font"/>
    <w:lsdException w:qFormat="1" w:unhideWhenUsed="0" w:uiPriority="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semiHidden="0"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spacing w:line="276" w:lineRule="auto"/>
    </w:pPr>
    <w:rPr>
      <w:rFonts w:eastAsia="仿宋" w:asciiTheme="minorHAnsi" w:hAnsiTheme="minorHAnsi" w:cstheme="minorBidi"/>
      <w:kern w:val="2"/>
      <w:sz w:val="32"/>
      <w:szCs w:val="24"/>
      <w:lang w:val="en-US" w:eastAsia="zh-CN" w:bidi="ar-SA"/>
      <w14:ligatures w14:val="standardContextual"/>
    </w:rPr>
  </w:style>
  <w:style w:type="paragraph" w:styleId="3">
    <w:name w:val="heading 1"/>
    <w:basedOn w:val="1"/>
    <w:next w:val="4"/>
    <w:link w:val="250"/>
    <w:qFormat/>
    <w:uiPriority w:val="9"/>
    <w:pPr>
      <w:spacing w:line="600" w:lineRule="exact"/>
      <w:ind w:firstLine="640" w:firstLineChars="200"/>
      <w:outlineLvl w:val="0"/>
    </w:pPr>
    <w:rPr>
      <w:rFonts w:ascii="黑体" w:hAnsi="黑体" w:eastAsia="黑体" w:cs="宋体"/>
      <w:color w:val="000000"/>
      <w:kern w:val="0"/>
      <w:szCs w:val="32"/>
    </w:rPr>
  </w:style>
  <w:style w:type="paragraph" w:styleId="5">
    <w:name w:val="heading 2"/>
    <w:basedOn w:val="1"/>
    <w:next w:val="1"/>
    <w:link w:val="251"/>
    <w:unhideWhenUsed/>
    <w:qFormat/>
    <w:uiPriority w:val="9"/>
    <w:pPr>
      <w:spacing w:line="600" w:lineRule="exact"/>
      <w:ind w:firstLine="640" w:firstLineChars="200"/>
      <w:outlineLvl w:val="1"/>
    </w:pPr>
    <w:rPr>
      <w:rFonts w:ascii="楷体_GB2312"/>
      <w:b/>
      <w:szCs w:val="32"/>
    </w:rPr>
  </w:style>
  <w:style w:type="paragraph" w:styleId="6">
    <w:name w:val="heading 3"/>
    <w:basedOn w:val="1"/>
    <w:next w:val="1"/>
    <w:link w:val="252"/>
    <w:unhideWhenUsed/>
    <w:qFormat/>
    <w:uiPriority w:val="9"/>
    <w:pPr>
      <w:ind w:firstLine="640" w:firstLineChars="200"/>
      <w:outlineLvl w:val="2"/>
    </w:pPr>
  </w:style>
  <w:style w:type="paragraph" w:styleId="7">
    <w:name w:val="heading 4"/>
    <w:basedOn w:val="1"/>
    <w:next w:val="1"/>
    <w:link w:val="253"/>
    <w:unhideWhenUsed/>
    <w:qFormat/>
    <w:uiPriority w:val="9"/>
    <w:pPr>
      <w:ind w:firstLine="707" w:firstLineChars="221"/>
      <w:jc w:val="both"/>
      <w:outlineLvl w:val="3"/>
    </w:pPr>
  </w:style>
  <w:style w:type="paragraph" w:styleId="8">
    <w:name w:val="heading 5"/>
    <w:basedOn w:val="1"/>
    <w:next w:val="1"/>
    <w:link w:val="254"/>
    <w:unhideWhenUsed/>
    <w:qFormat/>
    <w:uiPriority w:val="9"/>
    <w:pPr>
      <w:ind w:firstLine="707" w:firstLineChars="221"/>
      <w:jc w:val="both"/>
      <w:outlineLvl w:val="4"/>
    </w:pPr>
  </w:style>
  <w:style w:type="paragraph" w:styleId="9">
    <w:name w:val="heading 6"/>
    <w:basedOn w:val="1"/>
    <w:next w:val="1"/>
    <w:link w:val="255"/>
    <w:semiHidden/>
    <w:unhideWhenUsed/>
    <w:qFormat/>
    <w:uiPriority w:val="9"/>
    <w:pPr>
      <w:keepNext/>
      <w:keepLines/>
      <w:spacing w:before="40"/>
      <w:outlineLvl w:val="5"/>
    </w:pPr>
    <w:rPr>
      <w:rFonts w:cstheme="majorBidi"/>
      <w:b/>
      <w:bCs/>
      <w:color w:val="104862" w:themeColor="accent1" w:themeShade="BF"/>
    </w:rPr>
  </w:style>
  <w:style w:type="paragraph" w:styleId="10">
    <w:name w:val="heading 7"/>
    <w:basedOn w:val="1"/>
    <w:next w:val="1"/>
    <w:link w:val="25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5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5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32">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macro"/>
    <w:link w:val="279"/>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160"/>
    </w:pPr>
    <w:rPr>
      <w:rFonts w:ascii="Courier New" w:hAnsi="Courier New" w:eastAsia="宋体" w:cs="Courier New"/>
      <w:kern w:val="2"/>
      <w:sz w:val="24"/>
      <w:szCs w:val="24"/>
      <w:lang w:val="en-US" w:eastAsia="zh-CN" w:bidi="ar-SA"/>
      <w14:ligatures w14:val="standardContextual"/>
    </w:rPr>
  </w:style>
  <w:style w:type="paragraph" w:customStyle="1" w:styleId="4">
    <w:name w:val="内容"/>
    <w:basedOn w:val="1"/>
    <w:link w:val="411"/>
    <w:qFormat/>
    <w:uiPriority w:val="0"/>
    <w:pPr>
      <w:ind w:firstLine="200" w:firstLineChars="200"/>
      <w:jc w:val="both"/>
    </w:pPr>
  </w:style>
  <w:style w:type="paragraph" w:styleId="13">
    <w:name w:val="List 3"/>
    <w:basedOn w:val="1"/>
    <w:semiHidden/>
    <w:unhideWhenUsed/>
    <w:qFormat/>
    <w:uiPriority w:val="99"/>
    <w:pPr>
      <w:ind w:left="100" w:leftChars="400" w:hanging="200" w:hangingChars="200"/>
      <w:contextualSpacing/>
    </w:pPr>
  </w:style>
  <w:style w:type="paragraph" w:styleId="14">
    <w:name w:val="toc 7"/>
    <w:basedOn w:val="1"/>
    <w:next w:val="1"/>
    <w:semiHidden/>
    <w:unhideWhenUsed/>
    <w:qFormat/>
    <w:uiPriority w:val="39"/>
    <w:pPr>
      <w:ind w:left="2520" w:leftChars="1200"/>
    </w:pPr>
  </w:style>
  <w:style w:type="paragraph" w:styleId="15">
    <w:name w:val="List Number 2"/>
    <w:basedOn w:val="1"/>
    <w:semiHidden/>
    <w:unhideWhenUsed/>
    <w:qFormat/>
    <w:uiPriority w:val="99"/>
    <w:pPr>
      <w:numPr>
        <w:ilvl w:val="0"/>
        <w:numId w:val="1"/>
      </w:numPr>
      <w:contextualSpacing/>
    </w:pPr>
  </w:style>
  <w:style w:type="paragraph" w:styleId="16">
    <w:name w:val="table of authorities"/>
    <w:basedOn w:val="1"/>
    <w:next w:val="1"/>
    <w:semiHidden/>
    <w:unhideWhenUsed/>
    <w:qFormat/>
    <w:uiPriority w:val="99"/>
    <w:pPr>
      <w:ind w:left="420" w:leftChars="200"/>
    </w:pPr>
  </w:style>
  <w:style w:type="paragraph" w:styleId="17">
    <w:name w:val="Note Heading"/>
    <w:basedOn w:val="1"/>
    <w:next w:val="1"/>
    <w:link w:val="410"/>
    <w:semiHidden/>
    <w:unhideWhenUsed/>
    <w:qFormat/>
    <w:uiPriority w:val="99"/>
    <w:pPr>
      <w:jc w:val="center"/>
    </w:pPr>
  </w:style>
  <w:style w:type="paragraph" w:styleId="18">
    <w:name w:val="List Bullet 4"/>
    <w:basedOn w:val="1"/>
    <w:semiHidden/>
    <w:unhideWhenUsed/>
    <w:qFormat/>
    <w:uiPriority w:val="99"/>
    <w:pPr>
      <w:numPr>
        <w:ilvl w:val="0"/>
        <w:numId w:val="2"/>
      </w:numPr>
      <w:contextualSpacing/>
    </w:pPr>
  </w:style>
  <w:style w:type="paragraph" w:styleId="19">
    <w:name w:val="index 8"/>
    <w:basedOn w:val="1"/>
    <w:next w:val="1"/>
    <w:semiHidden/>
    <w:unhideWhenUsed/>
    <w:qFormat/>
    <w:uiPriority w:val="99"/>
    <w:pPr>
      <w:ind w:left="1400" w:leftChars="1400"/>
    </w:pPr>
  </w:style>
  <w:style w:type="paragraph" w:styleId="20">
    <w:name w:val="E-mail Signature"/>
    <w:basedOn w:val="1"/>
    <w:link w:val="278"/>
    <w:semiHidden/>
    <w:unhideWhenUsed/>
    <w:qFormat/>
    <w:uiPriority w:val="99"/>
  </w:style>
  <w:style w:type="paragraph" w:styleId="21">
    <w:name w:val="List Number"/>
    <w:basedOn w:val="1"/>
    <w:semiHidden/>
    <w:unhideWhenUsed/>
    <w:qFormat/>
    <w:uiPriority w:val="99"/>
    <w:pPr>
      <w:numPr>
        <w:ilvl w:val="0"/>
        <w:numId w:val="3"/>
      </w:numPr>
      <w:contextualSpacing/>
    </w:pPr>
  </w:style>
  <w:style w:type="paragraph" w:styleId="22">
    <w:name w:val="Normal Indent"/>
    <w:basedOn w:val="1"/>
    <w:semiHidden/>
    <w:unhideWhenUsed/>
    <w:qFormat/>
    <w:uiPriority w:val="99"/>
    <w:pPr>
      <w:ind w:firstLine="420" w:firstLineChars="200"/>
    </w:pPr>
  </w:style>
  <w:style w:type="paragraph" w:styleId="23">
    <w:name w:val="caption"/>
    <w:basedOn w:val="1"/>
    <w:next w:val="1"/>
    <w:semiHidden/>
    <w:unhideWhenUsed/>
    <w:qFormat/>
    <w:uiPriority w:val="35"/>
    <w:rPr>
      <w:rFonts w:eastAsia="黑体" w:asciiTheme="majorHAnsi" w:hAnsiTheme="majorHAnsi" w:cstheme="majorBidi"/>
      <w:sz w:val="20"/>
      <w:szCs w:val="20"/>
    </w:rPr>
  </w:style>
  <w:style w:type="paragraph" w:styleId="24">
    <w:name w:val="index 5"/>
    <w:basedOn w:val="1"/>
    <w:next w:val="1"/>
    <w:semiHidden/>
    <w:unhideWhenUsed/>
    <w:qFormat/>
    <w:uiPriority w:val="99"/>
    <w:pPr>
      <w:ind w:left="800" w:leftChars="800"/>
    </w:pPr>
  </w:style>
  <w:style w:type="paragraph" w:styleId="25">
    <w:name w:val="List Bullet"/>
    <w:basedOn w:val="1"/>
    <w:semiHidden/>
    <w:unhideWhenUsed/>
    <w:qFormat/>
    <w:uiPriority w:val="99"/>
    <w:pPr>
      <w:numPr>
        <w:ilvl w:val="0"/>
        <w:numId w:val="4"/>
      </w:numPr>
      <w:contextualSpacing/>
    </w:pPr>
  </w:style>
  <w:style w:type="paragraph" w:styleId="26">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27">
    <w:name w:val="Document Map"/>
    <w:basedOn w:val="1"/>
    <w:link w:val="391"/>
    <w:semiHidden/>
    <w:unhideWhenUsed/>
    <w:qFormat/>
    <w:uiPriority w:val="99"/>
    <w:rPr>
      <w:rFonts w:ascii="Microsoft YaHei UI" w:eastAsia="Microsoft YaHei UI"/>
      <w:sz w:val="18"/>
      <w:szCs w:val="18"/>
    </w:rPr>
  </w:style>
  <w:style w:type="paragraph" w:styleId="28">
    <w:name w:val="toa heading"/>
    <w:basedOn w:val="1"/>
    <w:next w:val="1"/>
    <w:semiHidden/>
    <w:unhideWhenUsed/>
    <w:qFormat/>
    <w:uiPriority w:val="99"/>
    <w:pPr>
      <w:spacing w:before="120"/>
    </w:pPr>
    <w:rPr>
      <w:rFonts w:asciiTheme="majorHAnsi" w:hAnsiTheme="majorHAnsi" w:eastAsiaTheme="majorEastAsia" w:cstheme="majorBidi"/>
      <w:sz w:val="24"/>
    </w:rPr>
  </w:style>
  <w:style w:type="paragraph" w:styleId="29">
    <w:name w:val="annotation text"/>
    <w:basedOn w:val="1"/>
    <w:link w:val="284"/>
    <w:unhideWhenUsed/>
    <w:qFormat/>
    <w:uiPriority w:val="99"/>
  </w:style>
  <w:style w:type="paragraph" w:styleId="30">
    <w:name w:val="index 6"/>
    <w:basedOn w:val="1"/>
    <w:next w:val="1"/>
    <w:semiHidden/>
    <w:unhideWhenUsed/>
    <w:qFormat/>
    <w:uiPriority w:val="99"/>
    <w:pPr>
      <w:ind w:left="1000" w:leftChars="1000"/>
    </w:pPr>
  </w:style>
  <w:style w:type="paragraph" w:styleId="31">
    <w:name w:val="Salutation"/>
    <w:basedOn w:val="1"/>
    <w:next w:val="1"/>
    <w:link w:val="276"/>
    <w:semiHidden/>
    <w:unhideWhenUsed/>
    <w:qFormat/>
    <w:uiPriority w:val="99"/>
  </w:style>
  <w:style w:type="paragraph" w:styleId="32">
    <w:name w:val="Body Text 3"/>
    <w:basedOn w:val="1"/>
    <w:link w:val="402"/>
    <w:semiHidden/>
    <w:unhideWhenUsed/>
    <w:qFormat/>
    <w:uiPriority w:val="99"/>
    <w:pPr>
      <w:spacing w:after="120"/>
    </w:pPr>
    <w:rPr>
      <w:sz w:val="16"/>
      <w:szCs w:val="16"/>
    </w:rPr>
  </w:style>
  <w:style w:type="paragraph" w:styleId="33">
    <w:name w:val="Closing"/>
    <w:basedOn w:val="1"/>
    <w:link w:val="281"/>
    <w:semiHidden/>
    <w:unhideWhenUsed/>
    <w:qFormat/>
    <w:uiPriority w:val="99"/>
    <w:pPr>
      <w:ind w:left="100" w:leftChars="2100"/>
    </w:pPr>
  </w:style>
  <w:style w:type="paragraph" w:styleId="34">
    <w:name w:val="List Bullet 3"/>
    <w:basedOn w:val="1"/>
    <w:semiHidden/>
    <w:unhideWhenUsed/>
    <w:qFormat/>
    <w:uiPriority w:val="99"/>
    <w:pPr>
      <w:numPr>
        <w:ilvl w:val="0"/>
        <w:numId w:val="5"/>
      </w:numPr>
      <w:contextualSpacing/>
    </w:pPr>
  </w:style>
  <w:style w:type="paragraph" w:styleId="35">
    <w:name w:val="Body Text"/>
    <w:basedOn w:val="1"/>
    <w:link w:val="400"/>
    <w:semiHidden/>
    <w:qFormat/>
    <w:uiPriority w:val="0"/>
    <w:pPr>
      <w:widowControl/>
      <w:kinsoku w:val="0"/>
      <w:autoSpaceDE w:val="0"/>
      <w:autoSpaceDN w:val="0"/>
      <w:adjustRightInd w:val="0"/>
      <w:snapToGrid w:val="0"/>
      <w:spacing w:line="240" w:lineRule="auto"/>
      <w:textAlignment w:val="baseline"/>
    </w:pPr>
    <w:rPr>
      <w:rFonts w:ascii="仿宋" w:hAnsi="仿宋" w:cs="仿宋"/>
      <w:snapToGrid w:val="0"/>
      <w:color w:val="000000"/>
      <w:kern w:val="0"/>
      <w:sz w:val="24"/>
      <w:lang w:eastAsia="en-US"/>
      <w14:ligatures w14:val="none"/>
    </w:rPr>
  </w:style>
  <w:style w:type="paragraph" w:styleId="36">
    <w:name w:val="Body Text Indent"/>
    <w:basedOn w:val="1"/>
    <w:link w:val="404"/>
    <w:semiHidden/>
    <w:unhideWhenUsed/>
    <w:qFormat/>
    <w:uiPriority w:val="99"/>
    <w:pPr>
      <w:spacing w:after="120"/>
      <w:ind w:left="420" w:leftChars="200"/>
    </w:pPr>
  </w:style>
  <w:style w:type="paragraph" w:styleId="37">
    <w:name w:val="List Number 3"/>
    <w:basedOn w:val="1"/>
    <w:semiHidden/>
    <w:unhideWhenUsed/>
    <w:qFormat/>
    <w:uiPriority w:val="99"/>
    <w:pPr>
      <w:numPr>
        <w:ilvl w:val="0"/>
        <w:numId w:val="6"/>
      </w:numPr>
      <w:contextualSpacing/>
    </w:pPr>
  </w:style>
  <w:style w:type="paragraph" w:styleId="38">
    <w:name w:val="List 2"/>
    <w:basedOn w:val="1"/>
    <w:semiHidden/>
    <w:unhideWhenUsed/>
    <w:qFormat/>
    <w:uiPriority w:val="99"/>
    <w:pPr>
      <w:ind w:left="100" w:leftChars="200" w:hanging="200" w:hangingChars="200"/>
      <w:contextualSpacing/>
    </w:pPr>
  </w:style>
  <w:style w:type="paragraph" w:styleId="39">
    <w:name w:val="List Continue"/>
    <w:basedOn w:val="1"/>
    <w:semiHidden/>
    <w:unhideWhenUsed/>
    <w:qFormat/>
    <w:uiPriority w:val="99"/>
    <w:pPr>
      <w:spacing w:after="120"/>
      <w:ind w:left="420" w:leftChars="200"/>
      <w:contextualSpacing/>
    </w:pPr>
  </w:style>
  <w:style w:type="paragraph" w:styleId="40">
    <w:name w:val="Block Text"/>
    <w:basedOn w:val="1"/>
    <w:semiHidden/>
    <w:unhideWhenUsed/>
    <w:qFormat/>
    <w:uiPriority w:val="99"/>
    <w:pPr>
      <w:spacing w:after="120"/>
      <w:ind w:left="1440" w:leftChars="700" w:right="1440" w:rightChars="700"/>
    </w:pPr>
  </w:style>
  <w:style w:type="paragraph" w:styleId="41">
    <w:name w:val="List Bullet 2"/>
    <w:basedOn w:val="1"/>
    <w:semiHidden/>
    <w:unhideWhenUsed/>
    <w:qFormat/>
    <w:uiPriority w:val="99"/>
    <w:pPr>
      <w:numPr>
        <w:ilvl w:val="0"/>
        <w:numId w:val="7"/>
      </w:numPr>
      <w:contextualSpacing/>
    </w:pPr>
  </w:style>
  <w:style w:type="paragraph" w:styleId="42">
    <w:name w:val="HTML Address"/>
    <w:basedOn w:val="1"/>
    <w:link w:val="271"/>
    <w:semiHidden/>
    <w:unhideWhenUsed/>
    <w:qFormat/>
    <w:uiPriority w:val="99"/>
    <w:rPr>
      <w:i/>
      <w:iCs/>
    </w:rPr>
  </w:style>
  <w:style w:type="paragraph" w:styleId="43">
    <w:name w:val="index 4"/>
    <w:basedOn w:val="1"/>
    <w:next w:val="1"/>
    <w:semiHidden/>
    <w:unhideWhenUsed/>
    <w:qFormat/>
    <w:uiPriority w:val="99"/>
    <w:pPr>
      <w:ind w:left="600" w:leftChars="600"/>
    </w:pPr>
  </w:style>
  <w:style w:type="paragraph" w:styleId="44">
    <w:name w:val="toc 5"/>
    <w:basedOn w:val="1"/>
    <w:next w:val="1"/>
    <w:semiHidden/>
    <w:unhideWhenUsed/>
    <w:qFormat/>
    <w:uiPriority w:val="39"/>
    <w:pPr>
      <w:ind w:left="1680" w:leftChars="800"/>
    </w:pPr>
  </w:style>
  <w:style w:type="paragraph" w:styleId="45">
    <w:name w:val="toc 3"/>
    <w:basedOn w:val="1"/>
    <w:next w:val="1"/>
    <w:semiHidden/>
    <w:unhideWhenUsed/>
    <w:qFormat/>
    <w:uiPriority w:val="39"/>
    <w:pPr>
      <w:ind w:left="840" w:leftChars="400"/>
    </w:pPr>
  </w:style>
  <w:style w:type="paragraph" w:styleId="46">
    <w:name w:val="Plain Text"/>
    <w:basedOn w:val="1"/>
    <w:link w:val="277"/>
    <w:semiHidden/>
    <w:unhideWhenUsed/>
    <w:qFormat/>
    <w:uiPriority w:val="99"/>
    <w:rPr>
      <w:rFonts w:hAnsi="Courier New" w:cs="Courier New" w:asciiTheme="minorEastAsia"/>
    </w:rPr>
  </w:style>
  <w:style w:type="paragraph" w:styleId="47">
    <w:name w:val="List Bullet 5"/>
    <w:basedOn w:val="1"/>
    <w:semiHidden/>
    <w:unhideWhenUsed/>
    <w:qFormat/>
    <w:uiPriority w:val="99"/>
    <w:pPr>
      <w:numPr>
        <w:ilvl w:val="0"/>
        <w:numId w:val="8"/>
      </w:numPr>
      <w:contextualSpacing/>
    </w:pPr>
  </w:style>
  <w:style w:type="paragraph" w:styleId="48">
    <w:name w:val="List Number 4"/>
    <w:basedOn w:val="1"/>
    <w:semiHidden/>
    <w:unhideWhenUsed/>
    <w:qFormat/>
    <w:uiPriority w:val="99"/>
    <w:pPr>
      <w:numPr>
        <w:ilvl w:val="0"/>
        <w:numId w:val="9"/>
      </w:numPr>
      <w:contextualSpacing/>
    </w:pPr>
  </w:style>
  <w:style w:type="paragraph" w:styleId="49">
    <w:name w:val="toc 8"/>
    <w:basedOn w:val="1"/>
    <w:next w:val="1"/>
    <w:semiHidden/>
    <w:unhideWhenUsed/>
    <w:qFormat/>
    <w:uiPriority w:val="39"/>
    <w:pPr>
      <w:ind w:left="2940" w:leftChars="1400"/>
    </w:pPr>
  </w:style>
  <w:style w:type="paragraph" w:styleId="50">
    <w:name w:val="index 3"/>
    <w:basedOn w:val="1"/>
    <w:next w:val="1"/>
    <w:semiHidden/>
    <w:unhideWhenUsed/>
    <w:qFormat/>
    <w:uiPriority w:val="99"/>
    <w:pPr>
      <w:ind w:left="400" w:leftChars="400"/>
    </w:pPr>
  </w:style>
  <w:style w:type="paragraph" w:styleId="51">
    <w:name w:val="Date"/>
    <w:basedOn w:val="1"/>
    <w:next w:val="1"/>
    <w:link w:val="336"/>
    <w:semiHidden/>
    <w:unhideWhenUsed/>
    <w:qFormat/>
    <w:uiPriority w:val="99"/>
    <w:pPr>
      <w:ind w:left="100" w:leftChars="2500"/>
    </w:pPr>
  </w:style>
  <w:style w:type="paragraph" w:styleId="52">
    <w:name w:val="Body Text Indent 2"/>
    <w:basedOn w:val="1"/>
    <w:link w:val="406"/>
    <w:semiHidden/>
    <w:unhideWhenUsed/>
    <w:qFormat/>
    <w:uiPriority w:val="99"/>
    <w:pPr>
      <w:spacing w:after="120" w:line="480" w:lineRule="auto"/>
      <w:ind w:left="420" w:leftChars="200"/>
    </w:pPr>
  </w:style>
  <w:style w:type="paragraph" w:styleId="53">
    <w:name w:val="endnote text"/>
    <w:basedOn w:val="1"/>
    <w:link w:val="389"/>
    <w:semiHidden/>
    <w:unhideWhenUsed/>
    <w:qFormat/>
    <w:uiPriority w:val="99"/>
    <w:pPr>
      <w:snapToGrid w:val="0"/>
    </w:pPr>
  </w:style>
  <w:style w:type="paragraph" w:styleId="54">
    <w:name w:val="List Continue 5"/>
    <w:basedOn w:val="1"/>
    <w:semiHidden/>
    <w:unhideWhenUsed/>
    <w:qFormat/>
    <w:uiPriority w:val="99"/>
    <w:pPr>
      <w:spacing w:after="120"/>
      <w:ind w:left="2100" w:leftChars="1000"/>
      <w:contextualSpacing/>
    </w:pPr>
  </w:style>
  <w:style w:type="paragraph" w:styleId="55">
    <w:name w:val="Balloon Text"/>
    <w:basedOn w:val="1"/>
    <w:link w:val="283"/>
    <w:semiHidden/>
    <w:unhideWhenUsed/>
    <w:qFormat/>
    <w:uiPriority w:val="99"/>
    <w:pPr>
      <w:spacing w:line="240" w:lineRule="auto"/>
    </w:pPr>
    <w:rPr>
      <w:sz w:val="18"/>
      <w:szCs w:val="18"/>
    </w:rPr>
  </w:style>
  <w:style w:type="paragraph" w:styleId="56">
    <w:name w:val="footer"/>
    <w:basedOn w:val="1"/>
    <w:link w:val="269"/>
    <w:unhideWhenUsed/>
    <w:qFormat/>
    <w:uiPriority w:val="99"/>
    <w:pPr>
      <w:tabs>
        <w:tab w:val="center" w:pos="4153"/>
        <w:tab w:val="right" w:pos="8306"/>
      </w:tabs>
      <w:snapToGrid w:val="0"/>
      <w:spacing w:line="240" w:lineRule="auto"/>
    </w:pPr>
    <w:rPr>
      <w:sz w:val="18"/>
      <w:szCs w:val="18"/>
    </w:rPr>
  </w:style>
  <w:style w:type="paragraph" w:styleId="57">
    <w:name w:val="envelope return"/>
    <w:basedOn w:val="1"/>
    <w:semiHidden/>
    <w:unhideWhenUsed/>
    <w:qFormat/>
    <w:uiPriority w:val="99"/>
    <w:pPr>
      <w:snapToGrid w:val="0"/>
    </w:pPr>
    <w:rPr>
      <w:rFonts w:asciiTheme="majorHAnsi" w:hAnsiTheme="majorHAnsi" w:eastAsiaTheme="majorEastAsia" w:cstheme="majorBidi"/>
    </w:rPr>
  </w:style>
  <w:style w:type="paragraph" w:styleId="58">
    <w:name w:val="header"/>
    <w:basedOn w:val="1"/>
    <w:link w:val="268"/>
    <w:unhideWhenUsed/>
    <w:qFormat/>
    <w:uiPriority w:val="99"/>
    <w:pPr>
      <w:tabs>
        <w:tab w:val="center" w:pos="4153"/>
        <w:tab w:val="right" w:pos="8306"/>
      </w:tabs>
      <w:snapToGrid w:val="0"/>
      <w:spacing w:line="240" w:lineRule="auto"/>
      <w:jc w:val="center"/>
    </w:pPr>
    <w:rPr>
      <w:sz w:val="18"/>
      <w:szCs w:val="18"/>
    </w:rPr>
  </w:style>
  <w:style w:type="paragraph" w:styleId="59">
    <w:name w:val="Signature"/>
    <w:basedOn w:val="1"/>
    <w:link w:val="286"/>
    <w:semiHidden/>
    <w:unhideWhenUsed/>
    <w:qFormat/>
    <w:uiPriority w:val="99"/>
    <w:pPr>
      <w:ind w:left="100" w:leftChars="2100"/>
    </w:pPr>
  </w:style>
  <w:style w:type="paragraph" w:styleId="60">
    <w:name w:val="toc 1"/>
    <w:basedOn w:val="1"/>
    <w:next w:val="1"/>
    <w:semiHidden/>
    <w:unhideWhenUsed/>
    <w:qFormat/>
    <w:uiPriority w:val="39"/>
  </w:style>
  <w:style w:type="paragraph" w:styleId="61">
    <w:name w:val="List Continue 4"/>
    <w:basedOn w:val="1"/>
    <w:semiHidden/>
    <w:unhideWhenUsed/>
    <w:qFormat/>
    <w:uiPriority w:val="99"/>
    <w:pPr>
      <w:spacing w:after="120"/>
      <w:ind w:left="1680" w:leftChars="800"/>
      <w:contextualSpacing/>
    </w:pPr>
  </w:style>
  <w:style w:type="paragraph" w:styleId="62">
    <w:name w:val="toc 4"/>
    <w:basedOn w:val="1"/>
    <w:next w:val="1"/>
    <w:semiHidden/>
    <w:unhideWhenUsed/>
    <w:qFormat/>
    <w:uiPriority w:val="39"/>
    <w:pPr>
      <w:ind w:left="1260" w:leftChars="600"/>
    </w:pPr>
  </w:style>
  <w:style w:type="paragraph" w:styleId="63">
    <w:name w:val="index heading"/>
    <w:basedOn w:val="1"/>
    <w:next w:val="64"/>
    <w:semiHidden/>
    <w:unhideWhenUsed/>
    <w:qFormat/>
    <w:uiPriority w:val="99"/>
    <w:rPr>
      <w:rFonts w:asciiTheme="majorHAnsi" w:hAnsiTheme="majorHAnsi" w:eastAsiaTheme="majorEastAsia" w:cstheme="majorBidi"/>
      <w:b/>
      <w:bCs/>
    </w:rPr>
  </w:style>
  <w:style w:type="paragraph" w:styleId="64">
    <w:name w:val="index 1"/>
    <w:basedOn w:val="1"/>
    <w:next w:val="1"/>
    <w:semiHidden/>
    <w:unhideWhenUsed/>
    <w:qFormat/>
    <w:uiPriority w:val="99"/>
  </w:style>
  <w:style w:type="paragraph" w:styleId="65">
    <w:name w:val="Subtitle"/>
    <w:basedOn w:val="1"/>
    <w:next w:val="1"/>
    <w:link w:val="26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66">
    <w:name w:val="List Number 5"/>
    <w:basedOn w:val="1"/>
    <w:semiHidden/>
    <w:unhideWhenUsed/>
    <w:qFormat/>
    <w:uiPriority w:val="99"/>
    <w:pPr>
      <w:numPr>
        <w:ilvl w:val="0"/>
        <w:numId w:val="10"/>
      </w:numPr>
      <w:contextualSpacing/>
    </w:pPr>
  </w:style>
  <w:style w:type="paragraph" w:styleId="67">
    <w:name w:val="List"/>
    <w:basedOn w:val="1"/>
    <w:semiHidden/>
    <w:unhideWhenUsed/>
    <w:qFormat/>
    <w:uiPriority w:val="99"/>
    <w:pPr>
      <w:ind w:left="200" w:hanging="200" w:hangingChars="200"/>
      <w:contextualSpacing/>
    </w:pPr>
  </w:style>
  <w:style w:type="paragraph" w:styleId="68">
    <w:name w:val="footnote text"/>
    <w:basedOn w:val="1"/>
    <w:link w:val="280"/>
    <w:semiHidden/>
    <w:unhideWhenUsed/>
    <w:qFormat/>
    <w:uiPriority w:val="99"/>
    <w:pPr>
      <w:snapToGrid w:val="0"/>
    </w:pPr>
    <w:rPr>
      <w:sz w:val="18"/>
      <w:szCs w:val="18"/>
    </w:rPr>
  </w:style>
  <w:style w:type="paragraph" w:styleId="69">
    <w:name w:val="toc 6"/>
    <w:basedOn w:val="1"/>
    <w:next w:val="1"/>
    <w:semiHidden/>
    <w:unhideWhenUsed/>
    <w:qFormat/>
    <w:uiPriority w:val="39"/>
    <w:pPr>
      <w:ind w:left="2100" w:leftChars="1000"/>
    </w:p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07"/>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unhideWhenUsed/>
    <w:qFormat/>
    <w:uiPriority w:val="99"/>
    <w:pPr>
      <w:ind w:left="200" w:leftChars="200" w:hanging="200" w:hangingChars="200"/>
    </w:pPr>
  </w:style>
  <w:style w:type="paragraph" w:styleId="75">
    <w:name w:val="toc 2"/>
    <w:basedOn w:val="1"/>
    <w:next w:val="1"/>
    <w:semiHidden/>
    <w:unhideWhenUsed/>
    <w:qFormat/>
    <w:uiPriority w:val="39"/>
    <w:pPr>
      <w:ind w:left="420" w:leftChars="200"/>
    </w:pPr>
  </w:style>
  <w:style w:type="paragraph" w:styleId="76">
    <w:name w:val="toc 9"/>
    <w:basedOn w:val="1"/>
    <w:next w:val="1"/>
    <w:semiHidden/>
    <w:unhideWhenUsed/>
    <w:qFormat/>
    <w:uiPriority w:val="39"/>
    <w:pPr>
      <w:ind w:left="3360" w:leftChars="1600"/>
    </w:pPr>
  </w:style>
  <w:style w:type="paragraph" w:styleId="77">
    <w:name w:val="Body Text 2"/>
    <w:basedOn w:val="1"/>
    <w:link w:val="401"/>
    <w:semiHidden/>
    <w:unhideWhenUsed/>
    <w:qFormat/>
    <w:uiPriority w:val="99"/>
    <w:pPr>
      <w:spacing w:after="120" w:line="480" w:lineRule="auto"/>
    </w:pPr>
  </w:style>
  <w:style w:type="paragraph" w:styleId="78">
    <w:name w:val="List 4"/>
    <w:basedOn w:val="1"/>
    <w:semiHidden/>
    <w:unhideWhenUsed/>
    <w:qFormat/>
    <w:uiPriority w:val="99"/>
    <w:pPr>
      <w:ind w:left="100" w:leftChars="600" w:hanging="200" w:hangingChars="200"/>
      <w:contextualSpacing/>
    </w:pPr>
  </w:style>
  <w:style w:type="paragraph" w:styleId="79">
    <w:name w:val="List Continue 2"/>
    <w:basedOn w:val="1"/>
    <w:semiHidden/>
    <w:unhideWhenUsed/>
    <w:qFormat/>
    <w:uiPriority w:val="99"/>
    <w:pPr>
      <w:spacing w:after="120"/>
      <w:ind w:left="840" w:leftChars="400"/>
      <w:contextualSpacing/>
    </w:pPr>
  </w:style>
  <w:style w:type="paragraph" w:styleId="80">
    <w:name w:val="Message Header"/>
    <w:basedOn w:val="1"/>
    <w:link w:val="398"/>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1">
    <w:name w:val="HTML Preformatted"/>
    <w:basedOn w:val="1"/>
    <w:link w:val="272"/>
    <w:semiHidden/>
    <w:unhideWhenUsed/>
    <w:qFormat/>
    <w:uiPriority w:val="99"/>
    <w:rPr>
      <w:rFonts w:ascii="Courier New" w:hAnsi="Courier New" w:cs="Courier New"/>
      <w:sz w:val="20"/>
      <w:szCs w:val="20"/>
    </w:rPr>
  </w:style>
  <w:style w:type="paragraph" w:styleId="82">
    <w:name w:val="Normal (Web)"/>
    <w:basedOn w:val="1"/>
    <w:semiHidden/>
    <w:unhideWhenUsed/>
    <w:qFormat/>
    <w:uiPriority w:val="99"/>
    <w:rPr>
      <w:rFonts w:ascii="Times New Roman" w:hAnsi="Times New Roman" w:cs="Times New Roman"/>
      <w:sz w:val="24"/>
    </w:rPr>
  </w:style>
  <w:style w:type="paragraph" w:styleId="83">
    <w:name w:val="List Continue 3"/>
    <w:basedOn w:val="1"/>
    <w:semiHidden/>
    <w:unhideWhenUsed/>
    <w:qFormat/>
    <w:uiPriority w:val="99"/>
    <w:pPr>
      <w:spacing w:after="120"/>
      <w:ind w:left="1260" w:leftChars="600"/>
      <w:contextualSpacing/>
    </w:pPr>
  </w:style>
  <w:style w:type="paragraph" w:styleId="84">
    <w:name w:val="index 2"/>
    <w:basedOn w:val="1"/>
    <w:next w:val="1"/>
    <w:semiHidden/>
    <w:unhideWhenUsed/>
    <w:qFormat/>
    <w:uiPriority w:val="99"/>
    <w:pPr>
      <w:ind w:left="200" w:leftChars="200"/>
    </w:pPr>
  </w:style>
  <w:style w:type="paragraph" w:styleId="85">
    <w:name w:val="Title"/>
    <w:basedOn w:val="1"/>
    <w:next w:val="1"/>
    <w:link w:val="25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86">
    <w:name w:val="annotation subject"/>
    <w:basedOn w:val="29"/>
    <w:next w:val="29"/>
    <w:link w:val="285"/>
    <w:semiHidden/>
    <w:unhideWhenUsed/>
    <w:qFormat/>
    <w:uiPriority w:val="99"/>
    <w:rPr>
      <w:b/>
      <w:bCs/>
    </w:rPr>
  </w:style>
  <w:style w:type="paragraph" w:styleId="87">
    <w:name w:val="Body Text First Indent"/>
    <w:basedOn w:val="35"/>
    <w:link w:val="403"/>
    <w:semiHidden/>
    <w:unhideWhenUsed/>
    <w:qFormat/>
    <w:uiPriority w:val="99"/>
    <w:pPr>
      <w:ind w:firstLine="420" w:firstLineChars="100"/>
    </w:pPr>
  </w:style>
  <w:style w:type="paragraph" w:styleId="88">
    <w:name w:val="Body Text First Indent 2"/>
    <w:basedOn w:val="36"/>
    <w:link w:val="405"/>
    <w:semiHidden/>
    <w:unhideWhenUsed/>
    <w:qFormat/>
    <w:uiPriority w:val="99"/>
    <w:pPr>
      <w:ind w:firstLine="420" w:firstLineChars="200"/>
    </w:pPr>
  </w:style>
  <w:style w:type="table" w:styleId="90">
    <w:name w:val="Table Grid"/>
    <w:basedOn w:val="8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Theme"/>
    <w:basedOn w:val="89"/>
    <w:unhideWhenUsed/>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2">
    <w:name w:val="Table Colorful 1"/>
    <w:basedOn w:val="89"/>
    <w:semiHidden/>
    <w:unhideWhenUsed/>
    <w:qFormat/>
    <w:uiPriority w:val="99"/>
    <w:pPr>
      <w:widowControl w:val="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3">
    <w:name w:val="Table Colorful 2"/>
    <w:basedOn w:val="89"/>
    <w:semiHidden/>
    <w:unhideWhenUsed/>
    <w:qFormat/>
    <w:uiPriority w:val="99"/>
    <w:pPr>
      <w:widowControl w:val="0"/>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4">
    <w:name w:val="Table Colorful 3"/>
    <w:basedOn w:val="89"/>
    <w:semiHidden/>
    <w:unhideWhenUsed/>
    <w:qFormat/>
    <w:uiPriority w:val="99"/>
    <w:pPr>
      <w:widowControl w:val="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5">
    <w:name w:val="Table Elegant"/>
    <w:basedOn w:val="89"/>
    <w:semiHidden/>
    <w:unhideWhenUsed/>
    <w:qFormat/>
    <w:uiPriority w:val="99"/>
    <w:pPr>
      <w:widowControl w:val="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6">
    <w:name w:val="Table Classic 1"/>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7">
    <w:name w:val="Table Classic 2"/>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8">
    <w:name w:val="Table Classic 3"/>
    <w:basedOn w:val="89"/>
    <w:semiHidden/>
    <w:unhideWhenUsed/>
    <w:qFormat/>
    <w:uiPriority w:val="99"/>
    <w:pPr>
      <w:widowControl w:val="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9">
    <w:name w:val="Table Classic 4"/>
    <w:basedOn w:val="89"/>
    <w:semiHidden/>
    <w:unhideWhenUsed/>
    <w:qFormat/>
    <w:uiPriority w:val="99"/>
    <w:pPr>
      <w:widowControl w:val="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0">
    <w:name w:val="Table Simple 1"/>
    <w:basedOn w:val="89"/>
    <w:semiHidden/>
    <w:unhideWhenUsed/>
    <w:qFormat/>
    <w:uiPriority w:val="99"/>
    <w:pPr>
      <w:widowControl w:val="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1">
    <w:name w:val="Table Simple 2"/>
    <w:basedOn w:val="89"/>
    <w:semiHidden/>
    <w:unhideWhenUsed/>
    <w:qFormat/>
    <w:uiPriority w:val="99"/>
    <w:pPr>
      <w:widowControl w:val="0"/>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2">
    <w:name w:val="Table Simple 3"/>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3">
    <w:name w:val="Table Subtle 1"/>
    <w:basedOn w:val="89"/>
    <w:semiHidden/>
    <w:unhideWhenUsed/>
    <w:qFormat/>
    <w:uiPriority w:val="99"/>
    <w:pPr>
      <w:widowControl w:val="0"/>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Subtle 2"/>
    <w:basedOn w:val="89"/>
    <w:semiHidden/>
    <w:unhideWhenUsed/>
    <w:qFormat/>
    <w:uiPriority w:val="99"/>
    <w:pPr>
      <w:widowControl w:val="0"/>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5">
    <w:name w:val="Table 3D effects 1"/>
    <w:basedOn w:val="89"/>
    <w:semiHidden/>
    <w:unhideWhenUsed/>
    <w:qFormat/>
    <w:uiPriority w:val="99"/>
    <w:pPr>
      <w:widowControl w:val="0"/>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6">
    <w:name w:val="Table 3D effects 2"/>
    <w:basedOn w:val="89"/>
    <w:semiHidden/>
    <w:unhideWhenUsed/>
    <w:qFormat/>
    <w:uiPriority w:val="99"/>
    <w:pPr>
      <w:widowControl w:val="0"/>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3D effects 3"/>
    <w:basedOn w:val="89"/>
    <w:semiHidden/>
    <w:unhideWhenUsed/>
    <w:qFormat/>
    <w:uiPriority w:val="99"/>
    <w:pPr>
      <w:widowControl w:val="0"/>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8">
    <w:name w:val="Table List 1"/>
    <w:basedOn w:val="89"/>
    <w:semiHidden/>
    <w:unhideWhenUsed/>
    <w:qFormat/>
    <w:uiPriority w:val="99"/>
    <w:pPr>
      <w:widowControl w:val="0"/>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2"/>
    <w:basedOn w:val="89"/>
    <w:semiHidden/>
    <w:unhideWhenUsed/>
    <w:qFormat/>
    <w:uiPriority w:val="99"/>
    <w:pPr>
      <w:widowControl w:val="0"/>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0">
    <w:name w:val="Table List 3"/>
    <w:basedOn w:val="89"/>
    <w:semiHidden/>
    <w:unhideWhenUsed/>
    <w:qFormat/>
    <w:uiPriority w:val="99"/>
    <w:pPr>
      <w:widowControl w:val="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1">
    <w:name w:val="Table List 4"/>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2">
    <w:name w:val="Table List 5"/>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3">
    <w:name w:val="Table List 6"/>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4">
    <w:name w:val="Table List 7"/>
    <w:basedOn w:val="89"/>
    <w:semiHidden/>
    <w:unhideWhenUsed/>
    <w:qFormat/>
    <w:uiPriority w:val="99"/>
    <w:pPr>
      <w:widowControl w:val="0"/>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5">
    <w:name w:val="Table List 8"/>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6">
    <w:name w:val="Table Contemporary"/>
    <w:basedOn w:val="89"/>
    <w:semiHidden/>
    <w:unhideWhenUsed/>
    <w:qFormat/>
    <w:uiPriority w:val="99"/>
    <w:pPr>
      <w:widowControl w:val="0"/>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7">
    <w:name w:val="Table Columns 1"/>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2"/>
    <w:basedOn w:val="89"/>
    <w:semiHidden/>
    <w:unhideWhenUsed/>
    <w:qFormat/>
    <w:uiPriority w:val="99"/>
    <w:pPr>
      <w:widowControl w:val="0"/>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9">
    <w:name w:val="Table Columns 3"/>
    <w:basedOn w:val="89"/>
    <w:semiHidden/>
    <w:unhideWhenUsed/>
    <w:qFormat/>
    <w:uiPriority w:val="99"/>
    <w:pPr>
      <w:widowControl w:val="0"/>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0">
    <w:name w:val="Table Columns 4"/>
    <w:basedOn w:val="89"/>
    <w:semiHidden/>
    <w:unhideWhenUsed/>
    <w:qFormat/>
    <w:uiPriority w:val="99"/>
    <w:pPr>
      <w:widowControl w:val="0"/>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1">
    <w:name w:val="Table Columns 5"/>
    <w:basedOn w:val="89"/>
    <w:semiHidden/>
    <w:unhideWhenUsed/>
    <w:qFormat/>
    <w:uiPriority w:val="99"/>
    <w:pPr>
      <w:widowControl w:val="0"/>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2">
    <w:name w:val="Table Grid 1"/>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3">
    <w:name w:val="Table Grid 2"/>
    <w:basedOn w:val="89"/>
    <w:semiHidden/>
    <w:unhideWhenUsed/>
    <w:qFormat/>
    <w:uiPriority w:val="99"/>
    <w:pPr>
      <w:widowControl w:val="0"/>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4">
    <w:name w:val="Table Grid 3"/>
    <w:basedOn w:val="89"/>
    <w:semiHidden/>
    <w:unhideWhenUsed/>
    <w:qFormat/>
    <w:uiPriority w:val="99"/>
    <w:pPr>
      <w:widowControl w:val="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4"/>
    <w:basedOn w:val="89"/>
    <w:semiHidden/>
    <w:unhideWhenUsed/>
    <w:qFormat/>
    <w:uiPriority w:val="99"/>
    <w:pPr>
      <w:widowControl w:val="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6">
    <w:name w:val="Table Grid 5"/>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6"/>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7"/>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9">
    <w:name w:val="Table Grid 8"/>
    <w:basedOn w:val="89"/>
    <w:semiHidden/>
    <w:unhideWhenUsed/>
    <w:qFormat/>
    <w:uiPriority w:val="99"/>
    <w:pPr>
      <w:widowControl w:val="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30">
    <w:name w:val="Table Web 1"/>
    <w:basedOn w:val="89"/>
    <w:semiHidden/>
    <w:unhideWhenUsed/>
    <w:qFormat/>
    <w:uiPriority w:val="99"/>
    <w:pPr>
      <w:widowControl w:val="0"/>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2"/>
    <w:basedOn w:val="89"/>
    <w:semiHidden/>
    <w:unhideWhenUsed/>
    <w:qFormat/>
    <w:uiPriority w:val="99"/>
    <w:pPr>
      <w:widowControl w:val="0"/>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Web 3"/>
    <w:basedOn w:val="89"/>
    <w:semiHidden/>
    <w:unhideWhenUsed/>
    <w:qFormat/>
    <w:uiPriority w:val="99"/>
    <w:pPr>
      <w:widowControl w:val="0"/>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3">
    <w:name w:val="Table Professional"/>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4">
    <w:name w:val="Light Shading"/>
    <w:basedOn w:val="89"/>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5">
    <w:name w:val="Light Shading Accent 1"/>
    <w:basedOn w:val="89"/>
    <w:semiHidden/>
    <w:unhideWhenUsed/>
    <w:qFormat/>
    <w:uiPriority w:val="60"/>
    <w:rPr>
      <w:color w:val="104862" w:themeColor="accent1" w:themeShade="BF"/>
    </w:rPr>
    <w:tblPr>
      <w:tblBorders>
        <w:top w:val="single" w:color="156082" w:themeColor="accent1" w:sz="8" w:space="0"/>
        <w:bottom w:val="single" w:color="156082" w:themeColor="accent1" w:sz="8" w:space="0"/>
      </w:tblBorders>
    </w:tblPr>
    <w:tblStylePr w:type="fir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la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136">
    <w:name w:val="Light Shading Accent 2"/>
    <w:basedOn w:val="89"/>
    <w:semiHidden/>
    <w:unhideWhenUsed/>
    <w:qFormat/>
    <w:uiPriority w:val="60"/>
    <w:rPr>
      <w:color w:val="C04F15" w:themeColor="accent2" w:themeShade="BF"/>
    </w:rPr>
    <w:tblPr>
      <w:tblBorders>
        <w:top w:val="single" w:color="E97132" w:themeColor="accent2" w:sz="8" w:space="0"/>
        <w:bottom w:val="single" w:color="E97132" w:themeColor="accent2" w:sz="8" w:space="0"/>
      </w:tblBorders>
    </w:tblPr>
    <w:tblStylePr w:type="fir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la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137">
    <w:name w:val="Light Shading Accent 3"/>
    <w:basedOn w:val="89"/>
    <w:semiHidden/>
    <w:unhideWhenUsed/>
    <w:qFormat/>
    <w:uiPriority w:val="60"/>
    <w:rPr>
      <w:color w:val="13501B" w:themeColor="accent3" w:themeShade="BF"/>
    </w:rPr>
    <w:tblPr>
      <w:tblBorders>
        <w:top w:val="single" w:color="196B24" w:themeColor="accent3" w:sz="8" w:space="0"/>
        <w:bottom w:val="single" w:color="196B24" w:themeColor="accent3" w:sz="8" w:space="0"/>
      </w:tblBorders>
    </w:tblPr>
    <w:tblStylePr w:type="fir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la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left w:val="nil"/>
          <w:right w:val="nil"/>
          <w:insideH w:val="nil"/>
          <w:insideV w:val="nil"/>
        </w:tcBorders>
        <w:shd w:val="clear" w:color="auto" w:fill="B3EDBB" w:themeFill="accent3" w:themeFillTint="3F"/>
      </w:tcPr>
    </w:tblStylePr>
  </w:style>
  <w:style w:type="table" w:styleId="138">
    <w:name w:val="Light Shading Accent 4"/>
    <w:basedOn w:val="89"/>
    <w:semiHidden/>
    <w:unhideWhenUsed/>
    <w:qFormat/>
    <w:uiPriority w:val="60"/>
    <w:rPr>
      <w:color w:val="0B76A0" w:themeColor="accent4" w:themeShade="BF"/>
    </w:rPr>
    <w:tblPr>
      <w:tblBorders>
        <w:top w:val="single" w:color="0F9ED5" w:themeColor="accent4" w:sz="8" w:space="0"/>
        <w:bottom w:val="single" w:color="0F9ED5" w:themeColor="accent4" w:sz="8" w:space="0"/>
      </w:tblBorders>
    </w:tblPr>
    <w:tblStylePr w:type="fir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la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139">
    <w:name w:val="Light Shading Accent 5"/>
    <w:basedOn w:val="89"/>
    <w:semiHidden/>
    <w:unhideWhenUsed/>
    <w:qFormat/>
    <w:uiPriority w:val="60"/>
    <w:rPr>
      <w:color w:val="78206E" w:themeColor="accent5" w:themeShade="BF"/>
    </w:rPr>
    <w:tblPr>
      <w:tblBorders>
        <w:top w:val="single" w:color="A02B93" w:themeColor="accent5" w:sz="8" w:space="0"/>
        <w:bottom w:val="single" w:color="A02B93" w:themeColor="accent5" w:sz="8" w:space="0"/>
      </w:tblBorders>
    </w:tblPr>
    <w:tblStylePr w:type="fir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la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left w:val="nil"/>
          <w:right w:val="nil"/>
          <w:insideH w:val="nil"/>
          <w:insideV w:val="nil"/>
        </w:tcBorders>
        <w:shd w:val="clear" w:color="auto" w:fill="EEC3EA" w:themeFill="accent5" w:themeFillTint="3F"/>
      </w:tcPr>
    </w:tblStylePr>
  </w:style>
  <w:style w:type="table" w:styleId="140">
    <w:name w:val="Light Shading Accent 6"/>
    <w:basedOn w:val="89"/>
    <w:semiHidden/>
    <w:unhideWhenUsed/>
    <w:qFormat/>
    <w:uiPriority w:val="60"/>
    <w:rPr>
      <w:color w:val="3B7D23" w:themeColor="accent6" w:themeShade="BF"/>
    </w:rPr>
    <w:tblPr>
      <w:tblBorders>
        <w:top w:val="single" w:color="4EA72E" w:themeColor="accent6" w:sz="8" w:space="0"/>
        <w:bottom w:val="single" w:color="4EA72E" w:themeColor="accent6" w:sz="8" w:space="0"/>
      </w:tblBorders>
    </w:tblPr>
    <w:tblStylePr w:type="fir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la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141">
    <w:name w:val="Light List"/>
    <w:basedOn w:val="89"/>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2">
    <w:name w:val="Light List Accent 1"/>
    <w:basedOn w:val="89"/>
    <w:semiHidden/>
    <w:unhideWhenUsed/>
    <w:qFormat/>
    <w:uiPriority w:val="61"/>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56082" w:themeFill="accent1"/>
      </w:tcPr>
    </w:tblStylePr>
    <w:tblStylePr w:type="lastRow">
      <w:pPr>
        <w:spacing w:before="0" w:after="0" w:line="240" w:lineRule="auto"/>
      </w:pPr>
      <w:rPr>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tcBorders>
      </w:tcPr>
    </w:tblStylePr>
    <w:tblStylePr w:type="firstCol">
      <w:rPr>
        <w:b/>
        <w:bCs/>
      </w:rPr>
    </w:tblStylePr>
    <w:tblStylePr w:type="lastCol">
      <w:rPr>
        <w:b/>
        <w:bCs/>
      </w:r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style>
  <w:style w:type="table" w:styleId="143">
    <w:name w:val="Light List Accent 2"/>
    <w:basedOn w:val="89"/>
    <w:semiHidden/>
    <w:unhideWhenUsed/>
    <w:qFormat/>
    <w:uiPriority w:val="61"/>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97132" w:themeFill="accent2"/>
      </w:tcPr>
    </w:tblStylePr>
    <w:tblStylePr w:type="lastRow">
      <w:pPr>
        <w:spacing w:before="0" w:after="0" w:line="240" w:lineRule="auto"/>
      </w:pPr>
      <w:rPr>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tcBorders>
      </w:tcPr>
    </w:tblStylePr>
    <w:tblStylePr w:type="firstCol">
      <w:rPr>
        <w:b/>
        <w:bCs/>
      </w:rPr>
    </w:tblStylePr>
    <w:tblStylePr w:type="lastCol">
      <w:rPr>
        <w:b/>
        <w:bCs/>
      </w:r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style>
  <w:style w:type="table" w:styleId="144">
    <w:name w:val="Light List Accent 3"/>
    <w:basedOn w:val="89"/>
    <w:semiHidden/>
    <w:unhideWhenUsed/>
    <w:qFormat/>
    <w:uiPriority w:val="61"/>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96B24" w:themeFill="accent3"/>
      </w:tcPr>
    </w:tblStylePr>
    <w:tblStylePr w:type="lastRow">
      <w:pPr>
        <w:spacing w:before="0" w:after="0" w:line="240" w:lineRule="auto"/>
      </w:pPr>
      <w:rPr>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tcBorders>
      </w:tcPr>
    </w:tblStylePr>
    <w:tblStylePr w:type="firstCol">
      <w:rPr>
        <w:b/>
        <w:bCs/>
      </w:rPr>
    </w:tblStylePr>
    <w:tblStylePr w:type="lastCol">
      <w:rPr>
        <w:b/>
        <w:bCs/>
      </w:r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style>
  <w:style w:type="table" w:styleId="145">
    <w:name w:val="Light List Accent 4"/>
    <w:basedOn w:val="89"/>
    <w:semiHidden/>
    <w:unhideWhenUsed/>
    <w:qFormat/>
    <w:uiPriority w:val="61"/>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F9ED5" w:themeFill="accent4"/>
      </w:tcPr>
    </w:tblStylePr>
    <w:tblStylePr w:type="lastRow">
      <w:pPr>
        <w:spacing w:before="0" w:after="0" w:line="240" w:lineRule="auto"/>
      </w:pPr>
      <w:rPr>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tcBorders>
      </w:tcPr>
    </w:tblStylePr>
    <w:tblStylePr w:type="firstCol">
      <w:rPr>
        <w:b/>
        <w:bCs/>
      </w:rPr>
    </w:tblStylePr>
    <w:tblStylePr w:type="lastCol">
      <w:rPr>
        <w:b/>
        <w:bCs/>
      </w:r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style>
  <w:style w:type="table" w:styleId="146">
    <w:name w:val="Light List Accent 5"/>
    <w:basedOn w:val="89"/>
    <w:semiHidden/>
    <w:unhideWhenUsed/>
    <w:qFormat/>
    <w:uiPriority w:val="61"/>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02B93" w:themeFill="accent5"/>
      </w:tcPr>
    </w:tblStylePr>
    <w:tblStylePr w:type="lastRow">
      <w:pPr>
        <w:spacing w:before="0" w:after="0" w:line="240" w:lineRule="auto"/>
      </w:pPr>
      <w:rPr>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tcBorders>
      </w:tcPr>
    </w:tblStylePr>
    <w:tblStylePr w:type="firstCol">
      <w:rPr>
        <w:b/>
        <w:bCs/>
      </w:rPr>
    </w:tblStylePr>
    <w:tblStylePr w:type="lastCol">
      <w:rPr>
        <w:b/>
        <w:bCs/>
      </w:r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style>
  <w:style w:type="table" w:styleId="147">
    <w:name w:val="Light List Accent 6"/>
    <w:basedOn w:val="89"/>
    <w:semiHidden/>
    <w:unhideWhenUsed/>
    <w:qFormat/>
    <w:uiPriority w:val="61"/>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EA72E" w:themeFill="accent6"/>
      </w:tcPr>
    </w:tblStylePr>
    <w:tblStylePr w:type="lastRow">
      <w:pPr>
        <w:spacing w:before="0" w:after="0" w:line="240" w:lineRule="auto"/>
      </w:pPr>
      <w:rPr>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tcBorders>
      </w:tcPr>
    </w:tblStylePr>
    <w:tblStylePr w:type="firstCol">
      <w:rPr>
        <w:b/>
        <w:bCs/>
      </w:rPr>
    </w:tblStylePr>
    <w:tblStylePr w:type="lastCol">
      <w:rPr>
        <w:b/>
        <w:bCs/>
      </w:r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style>
  <w:style w:type="table" w:styleId="148">
    <w:name w:val="Light Grid"/>
    <w:basedOn w:val="89"/>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9">
    <w:name w:val="Light Grid Accent 1"/>
    <w:basedOn w:val="89"/>
    <w:semiHidden/>
    <w:unhideWhenUsed/>
    <w:qFormat/>
    <w:uiPriority w:val="62"/>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18" w:space="0"/>
          <w:right w:val="single" w:color="156082"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shd w:val="clear" w:color="auto" w:fill="B2DEF2" w:themeFill="accent1" w:themeFillTint="3F"/>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shd w:val="clear" w:color="auto" w:fill="B2DEF2" w:themeFill="accent1" w:themeFillTint="3F"/>
      </w:tcPr>
    </w:tblStylePr>
    <w:tblStylePr w:type="band2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tcPr>
    </w:tblStylePr>
  </w:style>
  <w:style w:type="table" w:styleId="150">
    <w:name w:val="Light Grid Accent 2"/>
    <w:basedOn w:val="89"/>
    <w:semiHidden/>
    <w:unhideWhenUsed/>
    <w:qFormat/>
    <w:uiPriority w:val="62"/>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18" w:space="0"/>
          <w:right w:val="single" w:color="E97132"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shd w:val="clear" w:color="auto" w:fill="F9DBCC" w:themeFill="accent2" w:themeFillTint="3F"/>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shd w:val="clear" w:color="auto" w:fill="F9DBCC" w:themeFill="accent2" w:themeFillTint="3F"/>
      </w:tcPr>
    </w:tblStylePr>
    <w:tblStylePr w:type="band2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tcPr>
    </w:tblStylePr>
  </w:style>
  <w:style w:type="table" w:styleId="151">
    <w:name w:val="Light Grid Accent 3"/>
    <w:basedOn w:val="89"/>
    <w:semiHidden/>
    <w:unhideWhenUsed/>
    <w:qFormat/>
    <w:uiPriority w:val="62"/>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18" w:space="0"/>
          <w:right w:val="single" w:color="196B24"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shd w:val="clear" w:color="auto" w:fill="B3EDBB" w:themeFill="accent3" w:themeFillTint="3F"/>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shd w:val="clear" w:color="auto" w:fill="B3EDBB" w:themeFill="accent3" w:themeFillTint="3F"/>
      </w:tcPr>
    </w:tblStylePr>
    <w:tblStylePr w:type="band2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tcPr>
    </w:tblStylePr>
  </w:style>
  <w:style w:type="table" w:styleId="152">
    <w:name w:val="Light Grid Accent 4"/>
    <w:basedOn w:val="89"/>
    <w:semiHidden/>
    <w:unhideWhenUsed/>
    <w:qFormat/>
    <w:uiPriority w:val="62"/>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18" w:space="0"/>
          <w:right w:val="single" w:color="0F9ED5"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shd w:val="clear" w:color="auto" w:fill="BDE9FA" w:themeFill="accent4" w:themeFillTint="3F"/>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shd w:val="clear" w:color="auto" w:fill="BDE9FA" w:themeFill="accent4" w:themeFillTint="3F"/>
      </w:tcPr>
    </w:tblStylePr>
    <w:tblStylePr w:type="band2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tcPr>
    </w:tblStylePr>
  </w:style>
  <w:style w:type="table" w:styleId="153">
    <w:name w:val="Light Grid Accent 5"/>
    <w:basedOn w:val="89"/>
    <w:semiHidden/>
    <w:unhideWhenUsed/>
    <w:qFormat/>
    <w:uiPriority w:val="62"/>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18" w:space="0"/>
          <w:right w:val="single" w:color="A02B93"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shd w:val="clear" w:color="auto" w:fill="EEC3EA" w:themeFill="accent5" w:themeFillTint="3F"/>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shd w:val="clear" w:color="auto" w:fill="EEC3EA" w:themeFill="accent5" w:themeFillTint="3F"/>
      </w:tcPr>
    </w:tblStylePr>
    <w:tblStylePr w:type="band2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tcPr>
    </w:tblStylePr>
  </w:style>
  <w:style w:type="table" w:styleId="154">
    <w:name w:val="Light Grid Accent 6"/>
    <w:basedOn w:val="89"/>
    <w:semiHidden/>
    <w:unhideWhenUsed/>
    <w:qFormat/>
    <w:uiPriority w:val="62"/>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18" w:space="0"/>
          <w:right w:val="single" w:color="4EA72E"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shd w:val="clear" w:color="auto" w:fill="D0EFC5" w:themeFill="accent6" w:themeFillTint="3F"/>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shd w:val="clear" w:color="auto" w:fill="D0EFC5" w:themeFill="accent6" w:themeFillTint="3F"/>
      </w:tcPr>
    </w:tblStylePr>
    <w:tblStylePr w:type="band2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tcPr>
    </w:tblStylePr>
  </w:style>
  <w:style w:type="table" w:styleId="155">
    <w:name w:val="Medium Shading 1"/>
    <w:basedOn w:val="89"/>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6">
    <w:name w:val="Medium Shading 1 Accent 1"/>
    <w:basedOn w:val="89"/>
    <w:semiHidden/>
    <w:unhideWhenUsed/>
    <w:qFormat/>
    <w:uiPriority w:val="63"/>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shd w:val="clear" w:color="auto" w:fill="156082" w:themeFill="accent1"/>
      </w:tcPr>
    </w:tblStylePr>
    <w:tblStylePr w:type="lastRow">
      <w:pPr>
        <w:spacing w:before="0" w:after="0" w:line="240" w:lineRule="auto"/>
      </w:pPr>
      <w:rPr>
        <w:b/>
        <w:bCs/>
      </w:rPr>
      <w:tblPr/>
      <w:tcPr>
        <w:tcBorders>
          <w:top w:val="double" w:color="2199CF" w:themeColor="accent1" w:themeTint="BF" w:sz="6"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157">
    <w:name w:val="Medium Shading 1 Accent 2"/>
    <w:basedOn w:val="89"/>
    <w:semiHidden/>
    <w:unhideWhenUsed/>
    <w:qFormat/>
    <w:uiPriority w:val="63"/>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shd w:val="clear" w:color="auto" w:fill="E97132" w:themeFill="accent2"/>
      </w:tcPr>
    </w:tblStylePr>
    <w:tblStylePr w:type="lastRow">
      <w:pPr>
        <w:spacing w:before="0" w:after="0" w:line="240" w:lineRule="auto"/>
      </w:pPr>
      <w:rPr>
        <w:b/>
        <w:bCs/>
      </w:rPr>
      <w:tblPr/>
      <w:tcPr>
        <w:tcBorders>
          <w:top w:val="double" w:color="EE9465" w:themeColor="accent2" w:themeTint="BF" w:sz="6"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158">
    <w:name w:val="Medium Shading 1 Accent 3"/>
    <w:basedOn w:val="89"/>
    <w:semiHidden/>
    <w:unhideWhenUsed/>
    <w:qFormat/>
    <w:uiPriority w:val="63"/>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shd w:val="clear" w:color="auto" w:fill="196B24" w:themeFill="accent3"/>
      </w:tcPr>
    </w:tblStylePr>
    <w:tblStylePr w:type="lastRow">
      <w:pPr>
        <w:spacing w:before="0" w:after="0" w:line="240" w:lineRule="auto"/>
      </w:pPr>
      <w:rPr>
        <w:b/>
        <w:bCs/>
      </w:rPr>
      <w:tblPr/>
      <w:tcPr>
        <w:tcBorders>
          <w:top w:val="double" w:color="2AB73D" w:themeColor="accent3" w:themeTint="BF" w:sz="6"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B3EDBB" w:themeFill="accent3" w:themeFillTint="3F"/>
      </w:tcPr>
    </w:tblStylePr>
    <w:tblStylePr w:type="band1Horz">
      <w:tblPr/>
      <w:tcPr>
        <w:tcBorders>
          <w:insideH w:val="nil"/>
          <w:insideV w:val="nil"/>
        </w:tcBorders>
        <w:shd w:val="clear" w:color="auto" w:fill="B3EDBB" w:themeFill="accent3" w:themeFillTint="3F"/>
      </w:tcPr>
    </w:tblStylePr>
    <w:tblStylePr w:type="band2Horz">
      <w:tblPr/>
      <w:tcPr>
        <w:tcBorders>
          <w:insideH w:val="nil"/>
          <w:insideV w:val="nil"/>
        </w:tcBorders>
      </w:tcPr>
    </w:tblStylePr>
  </w:style>
  <w:style w:type="table" w:styleId="159">
    <w:name w:val="Medium Shading 1 Accent 4"/>
    <w:basedOn w:val="89"/>
    <w:semiHidden/>
    <w:unhideWhenUsed/>
    <w:qFormat/>
    <w:uiPriority w:val="63"/>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shd w:val="clear" w:color="auto" w:fill="0F9ED5" w:themeFill="accent4"/>
      </w:tcPr>
    </w:tblStylePr>
    <w:tblStylePr w:type="lastRow">
      <w:pPr>
        <w:spacing w:before="0" w:after="0" w:line="240" w:lineRule="auto"/>
      </w:pPr>
      <w:rPr>
        <w:b/>
        <w:bCs/>
      </w:rPr>
      <w:tblPr/>
      <w:tcPr>
        <w:tcBorders>
          <w:top w:val="double" w:color="39BEF1" w:themeColor="accent4" w:themeTint="BF" w:sz="6"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160">
    <w:name w:val="Medium Shading 1 Accent 5"/>
    <w:basedOn w:val="89"/>
    <w:semiHidden/>
    <w:unhideWhenUsed/>
    <w:qFormat/>
    <w:uiPriority w:val="63"/>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shd w:val="clear" w:color="auto" w:fill="A02B93" w:themeFill="accent5"/>
      </w:tcPr>
    </w:tblStylePr>
    <w:tblStylePr w:type="lastRow">
      <w:pPr>
        <w:spacing w:before="0" w:after="0" w:line="240" w:lineRule="auto"/>
      </w:pPr>
      <w:rPr>
        <w:b/>
        <w:bCs/>
      </w:rPr>
      <w:tblPr/>
      <w:tcPr>
        <w:tcBorders>
          <w:top w:val="double" w:color="CE49BF" w:themeColor="accent5" w:themeTint="BF" w:sz="6"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EEC3EA" w:themeFill="accent5" w:themeFillTint="3F"/>
      </w:tcPr>
    </w:tblStylePr>
    <w:tblStylePr w:type="band1Horz">
      <w:tblPr/>
      <w:tcPr>
        <w:tcBorders>
          <w:insideH w:val="nil"/>
          <w:insideV w:val="nil"/>
        </w:tcBorders>
        <w:shd w:val="clear" w:color="auto" w:fill="EEC3EA" w:themeFill="accent5" w:themeFillTint="3F"/>
      </w:tcPr>
    </w:tblStylePr>
    <w:tblStylePr w:type="band2Horz">
      <w:tblPr/>
      <w:tcPr>
        <w:tcBorders>
          <w:insideH w:val="nil"/>
          <w:insideV w:val="nil"/>
        </w:tcBorders>
      </w:tcPr>
    </w:tblStylePr>
  </w:style>
  <w:style w:type="table" w:styleId="161">
    <w:name w:val="Medium Shading 1 Accent 6"/>
    <w:basedOn w:val="89"/>
    <w:semiHidden/>
    <w:unhideWhenUsed/>
    <w:qFormat/>
    <w:uiPriority w:val="63"/>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shd w:val="clear" w:color="auto" w:fill="4EA72E" w:themeFill="accent6"/>
      </w:tcPr>
    </w:tblStylePr>
    <w:tblStylePr w:type="lastRow">
      <w:pPr>
        <w:spacing w:before="0" w:after="0" w:line="240" w:lineRule="auto"/>
      </w:pPr>
      <w:rPr>
        <w:b/>
        <w:bCs/>
      </w:rPr>
      <w:tblPr/>
      <w:tcPr>
        <w:tcBorders>
          <w:top w:val="double" w:color="72CE50" w:themeColor="accent6" w:themeTint="BF" w:sz="6"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162">
    <w:name w:val="Medium Shading 2"/>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1"/>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56082"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2"/>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97132"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3"/>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96B24"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4"/>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F9ED5"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5"/>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02B93"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Shading 2 Accent 6"/>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EA72E"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9">
    <w:name w:val="Medium List 1"/>
    <w:basedOn w:val="89"/>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E2841"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70">
    <w:name w:val="Medium List 1 Accent 1"/>
    <w:basedOn w:val="89"/>
    <w:semiHidden/>
    <w:unhideWhenUsed/>
    <w:qFormat/>
    <w:uiPriority w:val="65"/>
    <w:rPr>
      <w:color w:val="000000" w:themeColor="text1"/>
      <w14:textFill>
        <w14:solidFill>
          <w14:schemeClr w14:val="tx1"/>
        </w14:solidFill>
      </w14:textFill>
    </w:rPr>
    <w:tblPr>
      <w:tblBorders>
        <w:top w:val="single" w:color="156082" w:themeColor="accent1" w:sz="8" w:space="0"/>
        <w:bottom w:val="single" w:color="156082" w:themeColor="accent1" w:sz="8" w:space="0"/>
      </w:tblBorders>
    </w:tblPr>
    <w:tblStylePr w:type="firstRow">
      <w:rPr>
        <w:rFonts w:asciiTheme="majorHAnsi" w:hAnsiTheme="majorHAnsi" w:eastAsiaTheme="majorEastAsia" w:cstheme="majorBidi"/>
      </w:rPr>
      <w:tblPr/>
      <w:tcPr>
        <w:tcBorders>
          <w:top w:val="nil"/>
          <w:bottom w:val="single" w:color="156082" w:themeColor="accent1" w:sz="8" w:space="0"/>
        </w:tcBorders>
      </w:tcPr>
    </w:tblStylePr>
    <w:tblStylePr w:type="lastRow">
      <w:rPr>
        <w:b/>
        <w:bCs/>
        <w:color w:val="0E2841" w:themeColor="text2"/>
        <w14:textFill>
          <w14:solidFill>
            <w14:schemeClr w14:val="tx2"/>
          </w14:solidFill>
        </w14:textFill>
      </w:rPr>
      <w:tblPr/>
      <w:tcPr>
        <w:tcBorders>
          <w:top w:val="single" w:color="156082" w:themeColor="accent1" w:sz="8" w:space="0"/>
          <w:bottom w:val="single" w:color="156082" w:themeColor="accent1" w:sz="8" w:space="0"/>
        </w:tcBorders>
      </w:tcPr>
    </w:tblStylePr>
    <w:tblStylePr w:type="firstCol">
      <w:rPr>
        <w:b/>
        <w:bCs/>
      </w:rPr>
    </w:tblStylePr>
    <w:tblStylePr w:type="lastCol">
      <w:rPr>
        <w:b/>
        <w:bCs/>
      </w:rPr>
      <w:tblPr/>
      <w:tcPr>
        <w:tcBorders>
          <w:top w:val="single" w:color="156082" w:themeColor="accent1" w:sz="8" w:space="0"/>
          <w:bottom w:val="single" w:color="156082" w:themeColor="accent1" w:sz="8" w:space="0"/>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171">
    <w:name w:val="Medium List 1 Accent 2"/>
    <w:basedOn w:val="89"/>
    <w:semiHidden/>
    <w:unhideWhenUsed/>
    <w:qFormat/>
    <w:uiPriority w:val="65"/>
    <w:rPr>
      <w:color w:val="000000" w:themeColor="text1"/>
      <w14:textFill>
        <w14:solidFill>
          <w14:schemeClr w14:val="tx1"/>
        </w14:solidFill>
      </w14:textFill>
    </w:rPr>
    <w:tblPr>
      <w:tblBorders>
        <w:top w:val="single" w:color="E97132" w:themeColor="accent2" w:sz="8" w:space="0"/>
        <w:bottom w:val="single" w:color="E97132" w:themeColor="accent2" w:sz="8" w:space="0"/>
      </w:tblBorders>
    </w:tblPr>
    <w:tblStylePr w:type="firstRow">
      <w:rPr>
        <w:rFonts w:asciiTheme="majorHAnsi" w:hAnsiTheme="majorHAnsi" w:eastAsiaTheme="majorEastAsia" w:cstheme="majorBidi"/>
      </w:rPr>
      <w:tblPr/>
      <w:tcPr>
        <w:tcBorders>
          <w:top w:val="nil"/>
          <w:bottom w:val="single" w:color="E97132" w:themeColor="accent2" w:sz="8" w:space="0"/>
        </w:tcBorders>
      </w:tcPr>
    </w:tblStylePr>
    <w:tblStylePr w:type="lastRow">
      <w:rPr>
        <w:b/>
        <w:bCs/>
        <w:color w:val="0E2841" w:themeColor="text2"/>
        <w14:textFill>
          <w14:solidFill>
            <w14:schemeClr w14:val="tx2"/>
          </w14:solidFill>
        </w14:textFill>
      </w:rPr>
      <w:tblPr/>
      <w:tcPr>
        <w:tcBorders>
          <w:top w:val="single" w:color="E97132" w:themeColor="accent2" w:sz="8" w:space="0"/>
          <w:bottom w:val="single" w:color="E97132" w:themeColor="accent2" w:sz="8" w:space="0"/>
        </w:tcBorders>
      </w:tcPr>
    </w:tblStylePr>
    <w:tblStylePr w:type="firstCol">
      <w:rPr>
        <w:b/>
        <w:bCs/>
      </w:rPr>
    </w:tblStylePr>
    <w:tblStylePr w:type="lastCol">
      <w:rPr>
        <w:b/>
        <w:bCs/>
      </w:rPr>
      <w:tblPr/>
      <w:tcPr>
        <w:tcBorders>
          <w:top w:val="single" w:color="E97132" w:themeColor="accent2" w:sz="8" w:space="0"/>
          <w:bottom w:val="single" w:color="E97132" w:themeColor="accent2" w:sz="8" w:space="0"/>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172">
    <w:name w:val="Medium List 1 Accent 3"/>
    <w:basedOn w:val="89"/>
    <w:semiHidden/>
    <w:unhideWhenUsed/>
    <w:qFormat/>
    <w:uiPriority w:val="65"/>
    <w:rPr>
      <w:color w:val="000000" w:themeColor="text1"/>
      <w14:textFill>
        <w14:solidFill>
          <w14:schemeClr w14:val="tx1"/>
        </w14:solidFill>
      </w14:textFill>
    </w:rPr>
    <w:tblPr>
      <w:tblBorders>
        <w:top w:val="single" w:color="196B24" w:themeColor="accent3" w:sz="8" w:space="0"/>
        <w:bottom w:val="single" w:color="196B24" w:themeColor="accent3" w:sz="8" w:space="0"/>
      </w:tblBorders>
    </w:tblPr>
    <w:tblStylePr w:type="firstRow">
      <w:rPr>
        <w:rFonts w:asciiTheme="majorHAnsi" w:hAnsiTheme="majorHAnsi" w:eastAsiaTheme="majorEastAsia" w:cstheme="majorBidi"/>
      </w:rPr>
      <w:tblPr/>
      <w:tcPr>
        <w:tcBorders>
          <w:top w:val="nil"/>
          <w:bottom w:val="single" w:color="196B24" w:themeColor="accent3" w:sz="8" w:space="0"/>
        </w:tcBorders>
      </w:tcPr>
    </w:tblStylePr>
    <w:tblStylePr w:type="lastRow">
      <w:rPr>
        <w:b/>
        <w:bCs/>
        <w:color w:val="0E2841" w:themeColor="text2"/>
        <w14:textFill>
          <w14:solidFill>
            <w14:schemeClr w14:val="tx2"/>
          </w14:solidFill>
        </w14:textFill>
      </w:rPr>
      <w:tblPr/>
      <w:tcPr>
        <w:tcBorders>
          <w:top w:val="single" w:color="196B24" w:themeColor="accent3" w:sz="8" w:space="0"/>
          <w:bottom w:val="single" w:color="196B24" w:themeColor="accent3" w:sz="8" w:space="0"/>
        </w:tcBorders>
      </w:tcPr>
    </w:tblStylePr>
    <w:tblStylePr w:type="firstCol">
      <w:rPr>
        <w:b/>
        <w:bCs/>
      </w:rPr>
    </w:tblStylePr>
    <w:tblStylePr w:type="lastCol">
      <w:rPr>
        <w:b/>
        <w:bCs/>
      </w:rPr>
      <w:tblPr/>
      <w:tcPr>
        <w:tcBorders>
          <w:top w:val="single" w:color="196B24" w:themeColor="accent3" w:sz="8" w:space="0"/>
          <w:bottom w:val="single" w:color="196B24" w:themeColor="accent3" w:sz="8" w:space="0"/>
        </w:tcBorders>
      </w:tcPr>
    </w:tblStylePr>
    <w:tblStylePr w:type="band1Vert">
      <w:tblPr/>
      <w:tcPr>
        <w:shd w:val="clear" w:color="auto" w:fill="B3EDBB" w:themeFill="accent3" w:themeFillTint="3F"/>
      </w:tcPr>
    </w:tblStylePr>
    <w:tblStylePr w:type="band1Horz">
      <w:tblPr/>
      <w:tcPr>
        <w:shd w:val="clear" w:color="auto" w:fill="B3EDBB" w:themeFill="accent3" w:themeFillTint="3F"/>
      </w:tcPr>
    </w:tblStylePr>
  </w:style>
  <w:style w:type="table" w:styleId="173">
    <w:name w:val="Medium List 1 Accent 4"/>
    <w:basedOn w:val="89"/>
    <w:semiHidden/>
    <w:unhideWhenUsed/>
    <w:qFormat/>
    <w:uiPriority w:val="65"/>
    <w:rPr>
      <w:color w:val="000000" w:themeColor="text1"/>
      <w14:textFill>
        <w14:solidFill>
          <w14:schemeClr w14:val="tx1"/>
        </w14:solidFill>
      </w14:textFill>
    </w:rPr>
    <w:tblPr>
      <w:tblBorders>
        <w:top w:val="single" w:color="0F9ED5" w:themeColor="accent4" w:sz="8" w:space="0"/>
        <w:bottom w:val="single" w:color="0F9ED5" w:themeColor="accent4" w:sz="8" w:space="0"/>
      </w:tblBorders>
    </w:tblPr>
    <w:tblStylePr w:type="firstRow">
      <w:rPr>
        <w:rFonts w:asciiTheme="majorHAnsi" w:hAnsiTheme="majorHAnsi" w:eastAsiaTheme="majorEastAsia" w:cstheme="majorBidi"/>
      </w:rPr>
      <w:tblPr/>
      <w:tcPr>
        <w:tcBorders>
          <w:top w:val="nil"/>
          <w:bottom w:val="single" w:color="0F9ED5" w:themeColor="accent4" w:sz="8" w:space="0"/>
        </w:tcBorders>
      </w:tcPr>
    </w:tblStylePr>
    <w:tblStylePr w:type="lastRow">
      <w:rPr>
        <w:b/>
        <w:bCs/>
        <w:color w:val="0E2841" w:themeColor="text2"/>
        <w14:textFill>
          <w14:solidFill>
            <w14:schemeClr w14:val="tx2"/>
          </w14:solidFill>
        </w14:textFill>
      </w:rPr>
      <w:tblPr/>
      <w:tcPr>
        <w:tcBorders>
          <w:top w:val="single" w:color="0F9ED5" w:themeColor="accent4" w:sz="8" w:space="0"/>
          <w:bottom w:val="single" w:color="0F9ED5" w:themeColor="accent4" w:sz="8" w:space="0"/>
        </w:tcBorders>
      </w:tcPr>
    </w:tblStylePr>
    <w:tblStylePr w:type="firstCol">
      <w:rPr>
        <w:b/>
        <w:bCs/>
      </w:rPr>
    </w:tblStylePr>
    <w:tblStylePr w:type="lastCol">
      <w:rPr>
        <w:b/>
        <w:bCs/>
      </w:rPr>
      <w:tblPr/>
      <w:tcPr>
        <w:tcBorders>
          <w:top w:val="single" w:color="0F9ED5" w:themeColor="accent4" w:sz="8" w:space="0"/>
          <w:bottom w:val="single" w:color="0F9ED5" w:themeColor="accent4" w:sz="8" w:space="0"/>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174">
    <w:name w:val="Medium List 1 Accent 5"/>
    <w:basedOn w:val="89"/>
    <w:semiHidden/>
    <w:unhideWhenUsed/>
    <w:qFormat/>
    <w:uiPriority w:val="65"/>
    <w:rPr>
      <w:color w:val="000000" w:themeColor="text1"/>
      <w14:textFill>
        <w14:solidFill>
          <w14:schemeClr w14:val="tx1"/>
        </w14:solidFill>
      </w14:textFill>
    </w:rPr>
    <w:tblPr>
      <w:tblBorders>
        <w:top w:val="single" w:color="A02B93" w:themeColor="accent5" w:sz="8" w:space="0"/>
        <w:bottom w:val="single" w:color="A02B93" w:themeColor="accent5" w:sz="8" w:space="0"/>
      </w:tblBorders>
    </w:tblPr>
    <w:tblStylePr w:type="firstRow">
      <w:rPr>
        <w:rFonts w:asciiTheme="majorHAnsi" w:hAnsiTheme="majorHAnsi" w:eastAsiaTheme="majorEastAsia" w:cstheme="majorBidi"/>
      </w:rPr>
      <w:tblPr/>
      <w:tcPr>
        <w:tcBorders>
          <w:top w:val="nil"/>
          <w:bottom w:val="single" w:color="A02B93" w:themeColor="accent5" w:sz="8" w:space="0"/>
        </w:tcBorders>
      </w:tcPr>
    </w:tblStylePr>
    <w:tblStylePr w:type="lastRow">
      <w:rPr>
        <w:b/>
        <w:bCs/>
        <w:color w:val="0E2841" w:themeColor="text2"/>
        <w14:textFill>
          <w14:solidFill>
            <w14:schemeClr w14:val="tx2"/>
          </w14:solidFill>
        </w14:textFill>
      </w:rPr>
      <w:tblPr/>
      <w:tcPr>
        <w:tcBorders>
          <w:top w:val="single" w:color="A02B93" w:themeColor="accent5" w:sz="8" w:space="0"/>
          <w:bottom w:val="single" w:color="A02B93" w:themeColor="accent5" w:sz="8" w:space="0"/>
        </w:tcBorders>
      </w:tcPr>
    </w:tblStylePr>
    <w:tblStylePr w:type="firstCol">
      <w:rPr>
        <w:b/>
        <w:bCs/>
      </w:rPr>
    </w:tblStylePr>
    <w:tblStylePr w:type="lastCol">
      <w:rPr>
        <w:b/>
        <w:bCs/>
      </w:rPr>
      <w:tblPr/>
      <w:tcPr>
        <w:tcBorders>
          <w:top w:val="single" w:color="A02B93" w:themeColor="accent5" w:sz="8" w:space="0"/>
          <w:bottom w:val="single" w:color="A02B93" w:themeColor="accent5" w:sz="8" w:space="0"/>
        </w:tcBorders>
      </w:tcPr>
    </w:tblStylePr>
    <w:tblStylePr w:type="band1Vert">
      <w:tblPr/>
      <w:tcPr>
        <w:shd w:val="clear" w:color="auto" w:fill="EEC3EA" w:themeFill="accent5" w:themeFillTint="3F"/>
      </w:tcPr>
    </w:tblStylePr>
    <w:tblStylePr w:type="band1Horz">
      <w:tblPr/>
      <w:tcPr>
        <w:shd w:val="clear" w:color="auto" w:fill="EEC3EA" w:themeFill="accent5" w:themeFillTint="3F"/>
      </w:tcPr>
    </w:tblStylePr>
  </w:style>
  <w:style w:type="table" w:styleId="175">
    <w:name w:val="Medium List 1 Accent 6"/>
    <w:basedOn w:val="89"/>
    <w:semiHidden/>
    <w:unhideWhenUsed/>
    <w:qFormat/>
    <w:uiPriority w:val="65"/>
    <w:rPr>
      <w:color w:val="000000" w:themeColor="text1"/>
      <w14:textFill>
        <w14:solidFill>
          <w14:schemeClr w14:val="tx1"/>
        </w14:solidFill>
      </w14:textFill>
    </w:rPr>
    <w:tblPr>
      <w:tblBorders>
        <w:top w:val="single" w:color="4EA72E" w:themeColor="accent6" w:sz="8" w:space="0"/>
        <w:bottom w:val="single" w:color="4EA72E" w:themeColor="accent6" w:sz="8" w:space="0"/>
      </w:tblBorders>
    </w:tblPr>
    <w:tblStylePr w:type="firstRow">
      <w:rPr>
        <w:rFonts w:asciiTheme="majorHAnsi" w:hAnsiTheme="majorHAnsi" w:eastAsiaTheme="majorEastAsia" w:cstheme="majorBidi"/>
      </w:rPr>
      <w:tblPr/>
      <w:tcPr>
        <w:tcBorders>
          <w:top w:val="nil"/>
          <w:bottom w:val="single" w:color="4EA72E" w:themeColor="accent6" w:sz="8" w:space="0"/>
        </w:tcBorders>
      </w:tcPr>
    </w:tblStylePr>
    <w:tblStylePr w:type="lastRow">
      <w:rPr>
        <w:b/>
        <w:bCs/>
        <w:color w:val="0E2841" w:themeColor="text2"/>
        <w14:textFill>
          <w14:solidFill>
            <w14:schemeClr w14:val="tx2"/>
          </w14:solidFill>
        </w14:textFill>
      </w:rPr>
      <w:tblPr/>
      <w:tcPr>
        <w:tcBorders>
          <w:top w:val="single" w:color="4EA72E" w:themeColor="accent6" w:sz="8" w:space="0"/>
          <w:bottom w:val="single" w:color="4EA72E" w:themeColor="accent6" w:sz="8" w:space="0"/>
        </w:tcBorders>
      </w:tcPr>
    </w:tblStylePr>
    <w:tblStylePr w:type="firstCol">
      <w:rPr>
        <w:b/>
        <w:bCs/>
      </w:rPr>
    </w:tblStylePr>
    <w:tblStylePr w:type="lastCol">
      <w:rPr>
        <w:b/>
        <w:bCs/>
      </w:rPr>
      <w:tblPr/>
      <w:tcPr>
        <w:tcBorders>
          <w:top w:val="single" w:color="4EA72E" w:themeColor="accent6" w:sz="8" w:space="0"/>
          <w:bottom w:val="single" w:color="4EA72E" w:themeColor="accent6" w:sz="8" w:space="0"/>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176">
    <w:name w:val="Medium List 2"/>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1"/>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rPr>
        <w:sz w:val="24"/>
        <w:szCs w:val="24"/>
      </w:rPr>
      <w:tblPr/>
      <w:tcPr>
        <w:tcBorders>
          <w:top w:val="nil"/>
          <w:left w:val="nil"/>
          <w:bottom w:val="single" w:color="156082" w:themeColor="accent1" w:sz="24" w:space="0"/>
          <w:right w:val="nil"/>
          <w:insideH w:val="nil"/>
          <w:insideV w:val="nil"/>
        </w:tcBorders>
        <w:shd w:val="clear" w:color="auto" w:fill="FFFFFF" w:themeFill="background1"/>
      </w:tcPr>
    </w:tblStylePr>
    <w:tblStylePr w:type="lastRow">
      <w:tblPr/>
      <w:tcPr>
        <w:tcBorders>
          <w:top w:val="single" w:color="156082"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56082" w:themeColor="accent1" w:sz="8" w:space="0"/>
          <w:insideH w:val="nil"/>
          <w:insideV w:val="nil"/>
        </w:tcBorders>
        <w:shd w:val="clear" w:color="auto" w:fill="FFFFFF" w:themeFill="background1"/>
      </w:tcPr>
    </w:tblStylePr>
    <w:tblStylePr w:type="lastCol">
      <w:tblPr/>
      <w:tcPr>
        <w:tcBorders>
          <w:top w:val="nil"/>
          <w:left w:val="single" w:color="156082"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2"/>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rPr>
        <w:sz w:val="24"/>
        <w:szCs w:val="24"/>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tblPr/>
      <w:tcPr>
        <w:tcBorders>
          <w:top w:val="single" w:color="E97132"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97132" w:themeColor="accent2" w:sz="8" w:space="0"/>
          <w:insideH w:val="nil"/>
          <w:insideV w:val="nil"/>
        </w:tcBorders>
        <w:shd w:val="clear" w:color="auto" w:fill="FFFFFF" w:themeFill="background1"/>
      </w:tcPr>
    </w:tblStylePr>
    <w:tblStylePr w:type="lastCol">
      <w:tblPr/>
      <w:tcPr>
        <w:tcBorders>
          <w:top w:val="nil"/>
          <w:left w:val="single" w:color="E97132"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3"/>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rPr>
        <w:sz w:val="24"/>
        <w:szCs w:val="24"/>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tblPr/>
      <w:tcPr>
        <w:tcBorders>
          <w:top w:val="single" w:color="196B24"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96B24" w:themeColor="accent3" w:sz="8" w:space="0"/>
          <w:insideH w:val="nil"/>
          <w:insideV w:val="nil"/>
        </w:tcBorders>
        <w:shd w:val="clear" w:color="auto" w:fill="FFFFFF" w:themeFill="background1"/>
      </w:tcPr>
    </w:tblStylePr>
    <w:tblStylePr w:type="lastCol">
      <w:tblPr/>
      <w:tcPr>
        <w:tcBorders>
          <w:top w:val="nil"/>
          <w:left w:val="single" w:color="196B24"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top w:val="nil"/>
          <w:bottom w:val="nil"/>
          <w:insideH w:val="nil"/>
          <w:insideV w:val="nil"/>
        </w:tcBorders>
        <w:shd w:val="clear" w:color="auto" w:fill="B3ED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4"/>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rPr>
        <w:sz w:val="24"/>
        <w:szCs w:val="24"/>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tblPr/>
      <w:tcPr>
        <w:tcBorders>
          <w:top w:val="single" w:color="0F9ED5"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F9ED5" w:themeColor="accent4" w:sz="8" w:space="0"/>
          <w:insideH w:val="nil"/>
          <w:insideV w:val="nil"/>
        </w:tcBorders>
        <w:shd w:val="clear" w:color="auto" w:fill="FFFFFF" w:themeFill="background1"/>
      </w:tcPr>
    </w:tblStylePr>
    <w:tblStylePr w:type="lastCol">
      <w:tblPr/>
      <w:tcPr>
        <w:tcBorders>
          <w:top w:val="nil"/>
          <w:left w:val="single" w:color="0F9ED5"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5"/>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rPr>
        <w:sz w:val="24"/>
        <w:szCs w:val="24"/>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tblPr/>
      <w:tcPr>
        <w:tcBorders>
          <w:top w:val="single" w:color="A02B93"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02B93" w:themeColor="accent5" w:sz="8" w:space="0"/>
          <w:insideH w:val="nil"/>
          <w:insideV w:val="nil"/>
        </w:tcBorders>
        <w:shd w:val="clear" w:color="auto" w:fill="FFFFFF" w:themeFill="background1"/>
      </w:tcPr>
    </w:tblStylePr>
    <w:tblStylePr w:type="lastCol">
      <w:tblPr/>
      <w:tcPr>
        <w:tcBorders>
          <w:top w:val="nil"/>
          <w:left w:val="single" w:color="A02B93"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top w:val="nil"/>
          <w:bottom w:val="nil"/>
          <w:insideH w:val="nil"/>
          <w:insideV w:val="nil"/>
        </w:tcBorders>
        <w:shd w:val="clear" w:color="auto" w:fill="EEC3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List 2 Accent 6"/>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rPr>
        <w:sz w:val="24"/>
        <w:szCs w:val="24"/>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tblPr/>
      <w:tcPr>
        <w:tcBorders>
          <w:top w:val="single" w:color="4EA72E"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EA72E" w:themeColor="accent6" w:sz="8" w:space="0"/>
          <w:insideH w:val="nil"/>
          <w:insideV w:val="nil"/>
        </w:tcBorders>
        <w:shd w:val="clear" w:color="auto" w:fill="FFFFFF" w:themeFill="background1"/>
      </w:tcPr>
    </w:tblStylePr>
    <w:tblStylePr w:type="lastCol">
      <w:tblPr/>
      <w:tcPr>
        <w:tcBorders>
          <w:top w:val="nil"/>
          <w:left w:val="single" w:color="4EA72E"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3">
    <w:name w:val="Medium Grid 1"/>
    <w:basedOn w:val="89"/>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4">
    <w:name w:val="Medium Grid 1 Accent 1"/>
    <w:basedOn w:val="89"/>
    <w:semiHidden/>
    <w:unhideWhenUsed/>
    <w:qFormat/>
    <w:uiPriority w:val="67"/>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insideV w:val="single" w:color="2199CF" w:themeColor="accent1" w:themeTint="BF" w:sz="8" w:space="0"/>
      </w:tblBorders>
    </w:tblPr>
    <w:tcPr>
      <w:shd w:val="clear" w:color="auto" w:fill="B2DEF2" w:themeFill="accent1" w:themeFillTint="3F"/>
    </w:tcPr>
    <w:tblStylePr w:type="firstRow">
      <w:rPr>
        <w:b/>
        <w:bCs/>
      </w:rPr>
    </w:tblStylePr>
    <w:tblStylePr w:type="lastRow">
      <w:rPr>
        <w:b/>
        <w:bCs/>
      </w:rPr>
      <w:tblPr/>
      <w:tcPr>
        <w:tcBorders>
          <w:top w:val="single" w:color="2199CF" w:themeColor="accent1" w:themeTint="BF" w:sz="18" w:space="0"/>
        </w:tcBorders>
      </w:tcPr>
    </w:tblStylePr>
    <w:tblStylePr w:type="firstCol">
      <w:rPr>
        <w:b/>
        <w:bCs/>
      </w:rPr>
    </w:tblStylePr>
    <w:tblStylePr w:type="lastCol">
      <w:rPr>
        <w:b/>
        <w:bCs/>
      </w:r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185">
    <w:name w:val="Medium Grid 1 Accent 2"/>
    <w:basedOn w:val="89"/>
    <w:semiHidden/>
    <w:unhideWhenUsed/>
    <w:qFormat/>
    <w:uiPriority w:val="67"/>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insideV w:val="single" w:color="EE9465" w:themeColor="accent2" w:themeTint="BF" w:sz="8" w:space="0"/>
      </w:tblBorders>
    </w:tblPr>
    <w:tcPr>
      <w:shd w:val="clear" w:color="auto" w:fill="F9DBCC" w:themeFill="accent2" w:themeFillTint="3F"/>
    </w:tcPr>
    <w:tblStylePr w:type="firstRow">
      <w:rPr>
        <w:b/>
        <w:bCs/>
      </w:rPr>
    </w:tblStylePr>
    <w:tblStylePr w:type="lastRow">
      <w:rPr>
        <w:b/>
        <w:bCs/>
      </w:rPr>
      <w:tblPr/>
      <w:tcPr>
        <w:tcBorders>
          <w:top w:val="single" w:color="EE9465" w:themeColor="accent2" w:themeTint="BF" w:sz="18" w:space="0"/>
        </w:tcBorders>
      </w:tcPr>
    </w:tblStylePr>
    <w:tblStylePr w:type="firstCol">
      <w:rPr>
        <w:b/>
        <w:bCs/>
      </w:rPr>
    </w:tblStylePr>
    <w:tblStylePr w:type="lastCol">
      <w:rPr>
        <w:b/>
        <w:bCs/>
      </w:r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186">
    <w:name w:val="Medium Grid 1 Accent 3"/>
    <w:basedOn w:val="89"/>
    <w:semiHidden/>
    <w:unhideWhenUsed/>
    <w:qFormat/>
    <w:uiPriority w:val="67"/>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insideV w:val="single" w:color="2AB73D" w:themeColor="accent3" w:themeTint="BF" w:sz="8" w:space="0"/>
      </w:tblBorders>
    </w:tblPr>
    <w:tcPr>
      <w:shd w:val="clear" w:color="auto" w:fill="B3EDBB" w:themeFill="accent3" w:themeFillTint="3F"/>
    </w:tcPr>
    <w:tblStylePr w:type="firstRow">
      <w:rPr>
        <w:b/>
        <w:bCs/>
      </w:rPr>
    </w:tblStylePr>
    <w:tblStylePr w:type="lastRow">
      <w:rPr>
        <w:b/>
        <w:bCs/>
      </w:rPr>
      <w:tblPr/>
      <w:tcPr>
        <w:tcBorders>
          <w:top w:val="single" w:color="2AB73D" w:themeColor="accent3" w:themeTint="BF" w:sz="18" w:space="0"/>
        </w:tcBorders>
      </w:tcPr>
    </w:tblStylePr>
    <w:tblStylePr w:type="firstCol">
      <w:rPr>
        <w:b/>
        <w:bCs/>
      </w:rPr>
    </w:tblStylePr>
    <w:tblStylePr w:type="lastCol">
      <w:rPr>
        <w:b/>
        <w:bCs/>
      </w:r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187">
    <w:name w:val="Medium Grid 1 Accent 4"/>
    <w:basedOn w:val="89"/>
    <w:semiHidden/>
    <w:unhideWhenUsed/>
    <w:qFormat/>
    <w:uiPriority w:val="67"/>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insideV w:val="single" w:color="39BEF1" w:themeColor="accent4" w:themeTint="BF" w:sz="8" w:space="0"/>
      </w:tblBorders>
    </w:tblPr>
    <w:tcPr>
      <w:shd w:val="clear" w:color="auto" w:fill="BDE9FA" w:themeFill="accent4" w:themeFillTint="3F"/>
    </w:tcPr>
    <w:tblStylePr w:type="firstRow">
      <w:rPr>
        <w:b/>
        <w:bCs/>
      </w:rPr>
    </w:tblStylePr>
    <w:tblStylePr w:type="lastRow">
      <w:rPr>
        <w:b/>
        <w:bCs/>
      </w:rPr>
      <w:tblPr/>
      <w:tcPr>
        <w:tcBorders>
          <w:top w:val="single" w:color="39BEF1" w:themeColor="accent4" w:themeTint="BF" w:sz="18" w:space="0"/>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188">
    <w:name w:val="Medium Grid 1 Accent 5"/>
    <w:basedOn w:val="89"/>
    <w:semiHidden/>
    <w:unhideWhenUsed/>
    <w:qFormat/>
    <w:uiPriority w:val="67"/>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insideV w:val="single" w:color="CE49BF" w:themeColor="accent5" w:themeTint="BF" w:sz="8" w:space="0"/>
      </w:tblBorders>
    </w:tblPr>
    <w:tcPr>
      <w:shd w:val="clear" w:color="auto" w:fill="EEC3EA" w:themeFill="accent5" w:themeFillTint="3F"/>
    </w:tcPr>
    <w:tblStylePr w:type="firstRow">
      <w:rPr>
        <w:b/>
        <w:bCs/>
      </w:rPr>
    </w:tblStylePr>
    <w:tblStylePr w:type="lastRow">
      <w:rPr>
        <w:b/>
        <w:bCs/>
      </w:rPr>
      <w:tblPr/>
      <w:tcPr>
        <w:tcBorders>
          <w:top w:val="single" w:color="CE49BF" w:themeColor="accent5" w:themeTint="BF" w:sz="18" w:space="0"/>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189">
    <w:name w:val="Medium Grid 1 Accent 6"/>
    <w:basedOn w:val="89"/>
    <w:semiHidden/>
    <w:unhideWhenUsed/>
    <w:qFormat/>
    <w:uiPriority w:val="67"/>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insideV w:val="single" w:color="72CE50" w:themeColor="accent6" w:themeTint="BF" w:sz="8" w:space="0"/>
      </w:tblBorders>
    </w:tblPr>
    <w:tcPr>
      <w:shd w:val="clear" w:color="auto" w:fill="D0EFC5" w:themeFill="accent6" w:themeFillTint="3F"/>
    </w:tcPr>
    <w:tblStylePr w:type="firstRow">
      <w:rPr>
        <w:b/>
        <w:bCs/>
      </w:rPr>
    </w:tblStylePr>
    <w:tblStylePr w:type="lastRow">
      <w:rPr>
        <w:b/>
        <w:bCs/>
      </w:rPr>
      <w:tblPr/>
      <w:tcPr>
        <w:tcBorders>
          <w:top w:val="single" w:color="72CE50" w:themeColor="accent6" w:themeTint="BF" w:sz="18" w:space="0"/>
        </w:tcBorders>
      </w:tcPr>
    </w:tblStylePr>
    <w:tblStylePr w:type="firstCol">
      <w:rPr>
        <w:b/>
        <w:bCs/>
      </w:rPr>
    </w:tblStylePr>
    <w:tblStylePr w:type="lastCol">
      <w:rPr>
        <w:b/>
        <w:bCs/>
      </w:r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table" w:styleId="190">
    <w:name w:val="Medium Grid 2"/>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1">
    <w:name w:val="Medium Grid 2 Accent 1"/>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cPr>
      <w:shd w:val="clear" w:color="auto" w:fill="B2DEF2" w:themeFill="accent1" w:themeFillTint="3F"/>
    </w:tcPr>
    <w:tblStylePr w:type="firstRow">
      <w:rPr>
        <w:b/>
        <w:bCs/>
        <w:color w:val="000000" w:themeColor="text1"/>
        <w14:textFill>
          <w14:solidFill>
            <w14:schemeClr w14:val="tx1"/>
          </w14:solidFill>
        </w14:textFill>
      </w:rPr>
      <w:tblPr/>
      <w:tcPr>
        <w:shd w:val="clear" w:color="auto" w:fill="E0F2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5BDE6" w:themeFill="accent1" w:themeFillTint="7F"/>
      </w:tcPr>
    </w:tblStylePr>
    <w:tblStylePr w:type="band1Horz">
      <w:tblPr/>
      <w:tcPr>
        <w:tcBorders>
          <w:insideH w:val="single" w:sz="6" w:space="0"/>
          <w:insideV w:val="single" w:sz="6" w:space="0"/>
        </w:tcBorders>
        <w:shd w:val="clear" w:color="auto" w:fill="65BDE6" w:themeFill="accent1" w:themeFillTint="7F"/>
      </w:tcPr>
    </w:tblStylePr>
    <w:tblStylePr w:type="nwCell">
      <w:tblPr/>
      <w:tcPr>
        <w:shd w:val="clear" w:color="auto" w:fill="FFFFFF" w:themeFill="background1"/>
      </w:tcPr>
    </w:tblStylePr>
  </w:style>
  <w:style w:type="table" w:styleId="192">
    <w:name w:val="Medium Grid 2 Accent 2"/>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cPr>
      <w:shd w:val="clear" w:color="auto" w:fill="F9DBCC" w:themeFill="accent2" w:themeFillTint="3F"/>
    </w:tcPr>
    <w:tblStylePr w:type="firstRow">
      <w:rPr>
        <w:b/>
        <w:bCs/>
        <w:color w:val="000000" w:themeColor="text1"/>
        <w14:textFill>
          <w14:solidFill>
            <w14:schemeClr w14:val="tx1"/>
          </w14:solidFill>
        </w14:textFill>
      </w:rPr>
      <w:tblPr/>
      <w:tcPr>
        <w:shd w:val="clear" w:color="auto" w:fill="FCF1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898" w:themeFill="accent2" w:themeFillTint="7F"/>
      </w:tcPr>
    </w:tblStylePr>
    <w:tblStylePr w:type="band1Horz">
      <w:tblPr/>
      <w:tcPr>
        <w:tcBorders>
          <w:insideH w:val="single" w:sz="6" w:space="0"/>
          <w:insideV w:val="single" w:sz="6" w:space="0"/>
        </w:tcBorders>
        <w:shd w:val="clear" w:color="auto" w:fill="F4B898" w:themeFill="accent2" w:themeFillTint="7F"/>
      </w:tcPr>
    </w:tblStylePr>
    <w:tblStylePr w:type="nwCell">
      <w:tblPr/>
      <w:tcPr>
        <w:shd w:val="clear" w:color="auto" w:fill="FFFFFF" w:themeFill="background1"/>
      </w:tcPr>
    </w:tblStylePr>
  </w:style>
  <w:style w:type="table" w:styleId="193">
    <w:name w:val="Medium Grid 2 Accent 3"/>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cPr>
      <w:shd w:val="clear" w:color="auto" w:fill="B3EDBB" w:themeFill="accent3" w:themeFillTint="3F"/>
    </w:tcPr>
    <w:tblStylePr w:type="firstRow">
      <w:rPr>
        <w:b/>
        <w:bCs/>
        <w:color w:val="000000" w:themeColor="text1"/>
        <w14:textFill>
          <w14:solidFill>
            <w14:schemeClr w14:val="tx1"/>
          </w14:solidFill>
        </w14:textFill>
      </w:rPr>
      <w:tblPr/>
      <w:tcPr>
        <w:shd w:val="clear" w:color="auto" w:fill="E0F7E4"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F0C8" w:themeFill="accent3" w:themeFillTint="33"/>
      </w:tcPr>
    </w:tblStylePr>
    <w:tblStylePr w:type="band1Vert">
      <w:tblPr/>
      <w:tcPr>
        <w:shd w:val="clear" w:color="auto" w:fill="66DB76" w:themeFill="accent3" w:themeFillTint="7F"/>
      </w:tcPr>
    </w:tblStylePr>
    <w:tblStylePr w:type="band1Horz">
      <w:tblPr/>
      <w:tcPr>
        <w:tcBorders>
          <w:insideH w:val="single" w:sz="6" w:space="0"/>
          <w:insideV w:val="single" w:sz="6" w:space="0"/>
        </w:tcBorders>
        <w:shd w:val="clear" w:color="auto" w:fill="66DB76" w:themeFill="accent3" w:themeFillTint="7F"/>
      </w:tcPr>
    </w:tblStylePr>
    <w:tblStylePr w:type="nwCell">
      <w:tblPr/>
      <w:tcPr>
        <w:shd w:val="clear" w:color="auto" w:fill="FFFFFF" w:themeFill="background1"/>
      </w:tcPr>
    </w:tblStylePr>
  </w:style>
  <w:style w:type="table" w:styleId="194">
    <w:name w:val="Medium Grid 2 Accent 4"/>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cPr>
      <w:shd w:val="clear" w:color="auto" w:fill="BDE9FA" w:themeFill="accent4" w:themeFillTint="3F"/>
    </w:tcPr>
    <w:tblStylePr w:type="firstRow">
      <w:rPr>
        <w:b/>
        <w:bCs/>
        <w:color w:val="000000" w:themeColor="text1"/>
        <w14:textFill>
          <w14:solidFill>
            <w14:schemeClr w14:val="tx1"/>
          </w14:solidFill>
        </w14:textFill>
      </w:rPr>
      <w:tblPr/>
      <w:tcPr>
        <w:shd w:val="clear" w:color="auto" w:fill="E5F6FD"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insideV w:val="single" w:sz="6" w:space="0"/>
        </w:tcBorders>
        <w:shd w:val="clear" w:color="auto" w:fill="7BD3F5" w:themeFill="accent4" w:themeFillTint="7F"/>
      </w:tcPr>
    </w:tblStylePr>
    <w:tblStylePr w:type="nwCell">
      <w:tblPr/>
      <w:tcPr>
        <w:shd w:val="clear" w:color="auto" w:fill="FFFFFF" w:themeFill="background1"/>
      </w:tcPr>
    </w:tblStylePr>
  </w:style>
  <w:style w:type="table" w:styleId="195">
    <w:name w:val="Medium Grid 2 Accent 5"/>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cPr>
      <w:shd w:val="clear" w:color="auto" w:fill="EEC3EA" w:themeFill="accent5" w:themeFillTint="3F"/>
    </w:tcPr>
    <w:tblStylePr w:type="firstRow">
      <w:rPr>
        <w:b/>
        <w:bCs/>
        <w:color w:val="000000" w:themeColor="text1"/>
        <w14:textFill>
          <w14:solidFill>
            <w14:schemeClr w14:val="tx1"/>
          </w14:solidFill>
        </w14:textFill>
      </w:rPr>
      <w:tblPr/>
      <w:tcPr>
        <w:shd w:val="clear" w:color="auto" w:fill="F8E7F6"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1CEEE" w:themeFill="accent5" w:themeFillTint="33"/>
      </w:tcPr>
    </w:tblStylePr>
    <w:tblStylePr w:type="band1Vert">
      <w:tblPr/>
      <w:tcPr>
        <w:shd w:val="clear" w:color="auto" w:fill="DE86D4" w:themeFill="accent5" w:themeFillTint="7F"/>
      </w:tcPr>
    </w:tblStylePr>
    <w:tblStylePr w:type="band1Horz">
      <w:tblPr/>
      <w:tcPr>
        <w:tcBorders>
          <w:insideH w:val="single" w:sz="6" w:space="0"/>
          <w:insideV w:val="single" w:sz="6" w:space="0"/>
        </w:tcBorders>
        <w:shd w:val="clear" w:color="auto" w:fill="DE86D4" w:themeFill="accent5" w:themeFillTint="7F"/>
      </w:tcPr>
    </w:tblStylePr>
    <w:tblStylePr w:type="nwCell">
      <w:tblPr/>
      <w:tcPr>
        <w:shd w:val="clear" w:color="auto" w:fill="FFFFFF" w:themeFill="background1"/>
      </w:tcPr>
    </w:tblStylePr>
  </w:style>
  <w:style w:type="table" w:styleId="196">
    <w:name w:val="Medium Grid 2 Accent 6"/>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cPr>
      <w:shd w:val="clear" w:color="auto" w:fill="D0EFC5" w:themeFill="accent6" w:themeFillTint="3F"/>
    </w:tcPr>
    <w:tblStylePr w:type="firstRow">
      <w:rPr>
        <w:b/>
        <w:bCs/>
        <w:color w:val="000000" w:themeColor="text1"/>
        <w14:textFill>
          <w14:solidFill>
            <w14:schemeClr w14:val="tx1"/>
          </w14:solidFill>
        </w14:textFill>
      </w:rPr>
      <w:tblPr/>
      <w:tcPr>
        <w:shd w:val="clear" w:color="auto" w:fill="ECF8E8"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1DF8B" w:themeFill="accent6" w:themeFillTint="7F"/>
      </w:tcPr>
    </w:tblStylePr>
    <w:tblStylePr w:type="band1Horz">
      <w:tblPr/>
      <w:tcPr>
        <w:tcBorders>
          <w:insideH w:val="single" w:sz="6" w:space="0"/>
          <w:insideV w:val="single" w:sz="6" w:space="0"/>
        </w:tcBorders>
        <w:shd w:val="clear" w:color="auto" w:fill="A1DF8B" w:themeFill="accent6" w:themeFillTint="7F"/>
      </w:tcPr>
    </w:tblStylePr>
    <w:tblStylePr w:type="nwCell">
      <w:tblPr/>
      <w:tcPr>
        <w:shd w:val="clear" w:color="auto" w:fill="FFFFFF" w:themeFill="background1"/>
      </w:tcPr>
    </w:tblStylePr>
  </w:style>
  <w:style w:type="table" w:styleId="197">
    <w:name w:val="Medium Grid 3"/>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8">
    <w:name w:val="Medium Grid 3 Accent 1"/>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2DEF2"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56082"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56082"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56082"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56082"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5BDE6"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5BDE6" w:themeFill="accent1" w:themeFillTint="7F"/>
      </w:tcPr>
    </w:tblStylePr>
  </w:style>
  <w:style w:type="table" w:styleId="199">
    <w:name w:val="Medium Grid 3 Accent 2"/>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9DB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97132"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97132"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97132"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97132"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4B8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4B898" w:themeFill="accent2" w:themeFillTint="7F"/>
      </w:tcPr>
    </w:tblStylePr>
  </w:style>
  <w:style w:type="table" w:styleId="200">
    <w:name w:val="Medium Grid 3 Accent 3"/>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3EDBB"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96B24"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96B24"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96B24"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96B24"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6DB76"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6DB76" w:themeFill="accent3" w:themeFillTint="7F"/>
      </w:tcPr>
    </w:tblStylePr>
  </w:style>
  <w:style w:type="table" w:styleId="201">
    <w:name w:val="Medium Grid 3 Accent 4"/>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DE9FA"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F9ED5"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F9ED5"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F9ED5"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F9ED5"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BD3F5"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BD3F5" w:themeFill="accent4" w:themeFillTint="7F"/>
      </w:tcPr>
    </w:tblStylePr>
  </w:style>
  <w:style w:type="table" w:styleId="202">
    <w:name w:val="Medium Grid 3 Accent 5"/>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EC3EA"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02B93"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02B93"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02B93"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02B93"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E86D4"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E86D4" w:themeFill="accent5" w:themeFillTint="7F"/>
      </w:tcPr>
    </w:tblStylePr>
  </w:style>
  <w:style w:type="table" w:styleId="203">
    <w:name w:val="Medium Grid 3 Accent 6"/>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EFC5"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EA72E"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EA72E"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EA72E"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EA72E"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DF8B"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DF8B" w:themeFill="accent6" w:themeFillTint="7F"/>
      </w:tcPr>
    </w:tblStylePr>
  </w:style>
  <w:style w:type="table" w:styleId="204">
    <w:name w:val="Dark List"/>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5">
    <w:name w:val="Dark List Accent 1"/>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156082"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0F476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206">
    <w:name w:val="Dark List Accent 2"/>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97132"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BF4F1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BF4F14" w:themeFill="accent2" w:themeFillShade="BF"/>
      </w:tcPr>
    </w:tblStylePr>
    <w:tblStylePr w:type="band1Vert">
      <w:tblPr/>
      <w:tcPr>
        <w:tcBorders>
          <w:top w:val="nil"/>
          <w:left w:val="nil"/>
          <w:bottom w:val="nil"/>
          <w:right w:val="nil"/>
          <w:insideH w:val="nil"/>
          <w:insideV w:val="nil"/>
        </w:tcBorders>
        <w:shd w:val="clear" w:color="auto" w:fill="BF4F14" w:themeFill="accent2" w:themeFillShade="BF"/>
      </w:tcPr>
    </w:tblStylePr>
    <w:tblStylePr w:type="band1Horz">
      <w:tblPr/>
      <w:tcPr>
        <w:tcBorders>
          <w:top w:val="nil"/>
          <w:left w:val="nil"/>
          <w:bottom w:val="nil"/>
          <w:right w:val="nil"/>
          <w:insideH w:val="nil"/>
          <w:insideV w:val="nil"/>
        </w:tcBorders>
        <w:shd w:val="clear" w:color="auto" w:fill="BF4F14" w:themeFill="accent2" w:themeFillShade="BF"/>
      </w:tcPr>
    </w:tblStylePr>
  </w:style>
  <w:style w:type="table" w:styleId="207">
    <w:name w:val="Dark List Accent 3"/>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196B24"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12501A"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12501A" w:themeFill="accent3" w:themeFillShade="BF"/>
      </w:tcPr>
    </w:tblStylePr>
    <w:tblStylePr w:type="band1Vert">
      <w:tblPr/>
      <w:tcPr>
        <w:tcBorders>
          <w:top w:val="nil"/>
          <w:left w:val="nil"/>
          <w:bottom w:val="nil"/>
          <w:right w:val="nil"/>
          <w:insideH w:val="nil"/>
          <w:insideV w:val="nil"/>
        </w:tcBorders>
        <w:shd w:val="clear" w:color="auto" w:fill="12501A" w:themeFill="accent3" w:themeFillShade="BF"/>
      </w:tcPr>
    </w:tblStylePr>
    <w:tblStylePr w:type="band1Horz">
      <w:tblPr/>
      <w:tcPr>
        <w:tcBorders>
          <w:top w:val="nil"/>
          <w:left w:val="nil"/>
          <w:bottom w:val="nil"/>
          <w:right w:val="nil"/>
          <w:insideH w:val="nil"/>
          <w:insideV w:val="nil"/>
        </w:tcBorders>
        <w:shd w:val="clear" w:color="auto" w:fill="12501A" w:themeFill="accent3" w:themeFillShade="BF"/>
      </w:tcPr>
    </w:tblStylePr>
  </w:style>
  <w:style w:type="table" w:styleId="208">
    <w:name w:val="Dark List Accent 4"/>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F9ED5"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74E6A"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0B769F"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209">
    <w:name w:val="Dark List Accent 5"/>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02B93"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F1549"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77206E"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77206E" w:themeFill="accent5" w:themeFillShade="BF"/>
      </w:tcPr>
    </w:tblStylePr>
    <w:tblStylePr w:type="band1Vert">
      <w:tblPr/>
      <w:tcPr>
        <w:tcBorders>
          <w:top w:val="nil"/>
          <w:left w:val="nil"/>
          <w:bottom w:val="nil"/>
          <w:right w:val="nil"/>
          <w:insideH w:val="nil"/>
          <w:insideV w:val="nil"/>
        </w:tcBorders>
        <w:shd w:val="clear" w:color="auto" w:fill="77206E" w:themeFill="accent5" w:themeFillShade="BF"/>
      </w:tcPr>
    </w:tblStylePr>
    <w:tblStylePr w:type="band1Horz">
      <w:tblPr/>
      <w:tcPr>
        <w:tcBorders>
          <w:top w:val="nil"/>
          <w:left w:val="nil"/>
          <w:bottom w:val="nil"/>
          <w:right w:val="nil"/>
          <w:insideH w:val="nil"/>
          <w:insideV w:val="nil"/>
        </w:tcBorders>
        <w:shd w:val="clear" w:color="auto" w:fill="77206E" w:themeFill="accent5" w:themeFillShade="BF"/>
      </w:tcPr>
    </w:tblStylePr>
  </w:style>
  <w:style w:type="table" w:styleId="210">
    <w:name w:val="Dark List Accent 6"/>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EA72E"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6531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A7D22"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A7D22" w:themeFill="accent6" w:themeFillShade="BF"/>
      </w:tcPr>
    </w:tblStylePr>
    <w:tblStylePr w:type="band1Vert">
      <w:tblPr/>
      <w:tcPr>
        <w:tcBorders>
          <w:top w:val="nil"/>
          <w:left w:val="nil"/>
          <w:bottom w:val="nil"/>
          <w:right w:val="nil"/>
          <w:insideH w:val="nil"/>
          <w:insideV w:val="nil"/>
        </w:tcBorders>
        <w:shd w:val="clear" w:color="auto" w:fill="3A7D22" w:themeFill="accent6" w:themeFillShade="BF"/>
      </w:tcPr>
    </w:tblStylePr>
    <w:tblStylePr w:type="band1Horz">
      <w:tblPr/>
      <w:tcPr>
        <w:tcBorders>
          <w:top w:val="nil"/>
          <w:left w:val="nil"/>
          <w:bottom w:val="nil"/>
          <w:right w:val="nil"/>
          <w:insideH w:val="nil"/>
          <w:insideV w:val="nil"/>
        </w:tcBorders>
        <w:shd w:val="clear" w:color="auto" w:fill="3A7D22" w:themeFill="accent6" w:themeFillShade="BF"/>
      </w:tcPr>
    </w:tblStylePr>
  </w:style>
  <w:style w:type="table" w:styleId="211">
    <w:name w:val="Colorful Shading"/>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1"/>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156082" w:themeColor="accent1" w:sz="4" w:space="0"/>
        <w:bottom w:val="single" w:color="156082" w:themeColor="accent1" w:sz="4" w:space="0"/>
        <w:right w:val="single" w:color="156082" w:themeColor="accent1" w:sz="4" w:space="0"/>
        <w:insideH w:val="single" w:color="FFFFFF" w:themeColor="background1" w:sz="4" w:space="0"/>
        <w:insideV w:val="single" w:color="FFFFFF" w:themeColor="background1" w:sz="4" w:space="0"/>
      </w:tblBorders>
    </w:tblPr>
    <w:tcPr>
      <w:shd w:val="clear" w:color="auto" w:fill="E0F2FA" w:themeFill="accen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C394D"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C394D"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5BDE6"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2"/>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E97132" w:themeColor="accent2" w:sz="4" w:space="0"/>
        <w:bottom w:val="single" w:color="E97132" w:themeColor="accent2" w:sz="4" w:space="0"/>
        <w:right w:val="single" w:color="E97132" w:themeColor="accent2" w:sz="4" w:space="0"/>
        <w:insideH w:val="single" w:color="FFFFFF" w:themeColor="background1" w:sz="4" w:space="0"/>
        <w:insideV w:val="single" w:color="FFFFFF" w:themeColor="background1" w:sz="4" w:space="0"/>
      </w:tblBorders>
    </w:tblPr>
    <w:tcPr>
      <w:shd w:val="clear" w:color="auto" w:fill="FCF1EA" w:themeFill="accent2"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3F10"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3F10"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6AC" w:themeFill="accent2" w:themeFillTint="66"/>
      </w:tcPr>
    </w:tblStylePr>
    <w:tblStylePr w:type="band1Horz">
      <w:tblPr/>
      <w:tcPr>
        <w:shd w:val="clear" w:color="auto" w:fill="F4B8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4">
    <w:name w:val="Colorful Shading Accent 3"/>
    <w:basedOn w:val="89"/>
    <w:semiHidden/>
    <w:unhideWhenUsed/>
    <w:qFormat/>
    <w:uiPriority w:val="71"/>
    <w:rPr>
      <w:color w:val="000000" w:themeColor="text1"/>
      <w14:textFill>
        <w14:solidFill>
          <w14:schemeClr w14:val="tx1"/>
        </w14:solidFill>
      </w14:textFill>
    </w:rPr>
    <w:tblPr>
      <w:tblBorders>
        <w:top w:val="single" w:color="0F9ED5" w:themeColor="accent4" w:sz="24" w:space="0"/>
        <w:left w:val="single" w:color="196B24" w:themeColor="accent3" w:sz="4" w:space="0"/>
        <w:bottom w:val="single" w:color="196B24" w:themeColor="accent3" w:sz="4" w:space="0"/>
        <w:right w:val="single" w:color="196B24" w:themeColor="accent3" w:sz="4" w:space="0"/>
        <w:insideH w:val="single" w:color="FFFFFF" w:themeColor="background1" w:sz="4" w:space="0"/>
        <w:insideV w:val="single" w:color="FFFFFF" w:themeColor="background1" w:sz="4" w:space="0"/>
      </w:tblBorders>
    </w:tblPr>
    <w:tcPr>
      <w:shd w:val="clear" w:color="auto" w:fill="E0F7E4" w:themeFill="accent3" w:themeFillTint="19"/>
    </w:tcPr>
    <w:tblStylePr w:type="firstRow">
      <w:rPr>
        <w:b/>
        <w:bCs/>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E4015"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E4015"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E4015" w:themeFill="accent3" w:themeFillShade="99"/>
      </w:tcPr>
    </w:tblStylePr>
    <w:tblStylePr w:type="band1Vert">
      <w:tblPr/>
      <w:tcPr>
        <w:shd w:val="clear" w:color="auto" w:fill="84E291" w:themeFill="accent3" w:themeFillTint="66"/>
      </w:tcPr>
    </w:tblStylePr>
    <w:tblStylePr w:type="band1Horz">
      <w:tblPr/>
      <w:tcPr>
        <w:shd w:val="clear" w:color="auto" w:fill="66DB76" w:themeFill="accent3" w:themeFillTint="7F"/>
      </w:tcPr>
    </w:tblStylePr>
  </w:style>
  <w:style w:type="table" w:styleId="215">
    <w:name w:val="Colorful Shading Accent 4"/>
    <w:basedOn w:val="89"/>
    <w:semiHidden/>
    <w:unhideWhenUsed/>
    <w:qFormat/>
    <w:uiPriority w:val="71"/>
    <w:rPr>
      <w:color w:val="000000" w:themeColor="text1"/>
      <w14:textFill>
        <w14:solidFill>
          <w14:schemeClr w14:val="tx1"/>
        </w14:solidFill>
      </w14:textFill>
    </w:rPr>
    <w:tblPr>
      <w:tblBorders>
        <w:top w:val="single" w:color="196B24" w:themeColor="accent3" w:sz="24" w:space="0"/>
        <w:left w:val="single" w:color="0F9ED5" w:themeColor="accent4" w:sz="4" w:space="0"/>
        <w:bottom w:val="single" w:color="0F9ED5" w:themeColor="accent4" w:sz="4" w:space="0"/>
        <w:right w:val="single" w:color="0F9ED5" w:themeColor="accent4" w:sz="4" w:space="0"/>
        <w:insideH w:val="single" w:color="FFFFFF" w:themeColor="background1" w:sz="4" w:space="0"/>
        <w:insideV w:val="single" w:color="FFFFFF" w:themeColor="background1" w:sz="4" w:space="0"/>
      </w:tblBorders>
    </w:tblPr>
    <w:tcPr>
      <w:shd w:val="clear" w:color="auto" w:fill="E5F6FD" w:themeFill="accent4" w:themeFillTint="19"/>
    </w:tcPr>
    <w:tblStylePr w:type="firstRow">
      <w:rPr>
        <w:b/>
        <w:bCs/>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85E7F"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85E7F"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8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5"/>
    <w:basedOn w:val="89"/>
    <w:semiHidden/>
    <w:unhideWhenUsed/>
    <w:qFormat/>
    <w:uiPriority w:val="71"/>
    <w:rPr>
      <w:color w:val="000000" w:themeColor="text1"/>
      <w14:textFill>
        <w14:solidFill>
          <w14:schemeClr w14:val="tx1"/>
        </w14:solidFill>
      </w14:textFill>
    </w:rPr>
    <w:tblPr>
      <w:tblBorders>
        <w:top w:val="single" w:color="4EA72E" w:themeColor="accent6" w:sz="24" w:space="0"/>
        <w:left w:val="single" w:color="A02B93" w:themeColor="accent5" w:sz="4" w:space="0"/>
        <w:bottom w:val="single" w:color="A02B93" w:themeColor="accent5" w:sz="4" w:space="0"/>
        <w:right w:val="single" w:color="A02B93" w:themeColor="accent5" w:sz="4" w:space="0"/>
        <w:insideH w:val="single" w:color="FFFFFF" w:themeColor="background1" w:sz="4" w:space="0"/>
        <w:insideV w:val="single" w:color="FFFFFF" w:themeColor="background1" w:sz="4" w:space="0"/>
      </w:tblBorders>
    </w:tblPr>
    <w:tcPr>
      <w:shd w:val="clear" w:color="auto" w:fill="F8E7F6" w:themeFill="accent5" w:themeFillTint="19"/>
    </w:tcPr>
    <w:tblStylePr w:type="firstRow">
      <w:rPr>
        <w:b/>
        <w:bCs/>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F195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F195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F1958" w:themeFill="accent5" w:themeFillShade="99"/>
      </w:tcPr>
    </w:tblStylePr>
    <w:tblStylePr w:type="band1Vert">
      <w:tblPr/>
      <w:tcPr>
        <w:shd w:val="clear" w:color="auto" w:fill="E49EDD" w:themeFill="accent5" w:themeFillTint="66"/>
      </w:tcPr>
    </w:tblStylePr>
    <w:tblStylePr w:type="band1Horz">
      <w:tblPr/>
      <w:tcPr>
        <w:shd w:val="clear" w:color="auto" w:fill="DE86D4"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Shading Accent 6"/>
    <w:basedOn w:val="89"/>
    <w:semiHidden/>
    <w:unhideWhenUsed/>
    <w:qFormat/>
    <w:uiPriority w:val="71"/>
    <w:rPr>
      <w:color w:val="000000" w:themeColor="text1"/>
      <w14:textFill>
        <w14:solidFill>
          <w14:schemeClr w14:val="tx1"/>
        </w14:solidFill>
      </w14:textFill>
    </w:rPr>
    <w:tblPr>
      <w:tblBorders>
        <w:top w:val="single" w:color="A02B93" w:themeColor="accent5" w:sz="24" w:space="0"/>
        <w:left w:val="single" w:color="4EA72E" w:themeColor="accent6" w:sz="4" w:space="0"/>
        <w:bottom w:val="single" w:color="4EA72E" w:themeColor="accent6" w:sz="4" w:space="0"/>
        <w:right w:val="single" w:color="4EA72E" w:themeColor="accent6" w:sz="4" w:space="0"/>
        <w:insideH w:val="single" w:color="FFFFFF" w:themeColor="background1" w:sz="4" w:space="0"/>
        <w:insideV w:val="single" w:color="FFFFFF" w:themeColor="background1" w:sz="4" w:space="0"/>
      </w:tblBorders>
    </w:tblPr>
    <w:tcPr>
      <w:shd w:val="clear" w:color="auto" w:fill="ECF8E8" w:themeFill="accent6" w:themeFillTint="19"/>
    </w:tcPr>
    <w:tblStylePr w:type="firstRow">
      <w:rPr>
        <w:b/>
        <w:bCs/>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E641B"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E641B"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1DF8B"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8">
    <w:name w:val="Colorful List"/>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9">
    <w:name w:val="Colorful List Accent 1"/>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0F2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220">
    <w:name w:val="Colorful List Accent 2"/>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CF1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221">
    <w:name w:val="Colorful List Accent 3"/>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0F7E4"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0B7EAA" w:themeFill="accent4" w:themeFillShade="CC"/>
      </w:tcPr>
    </w:tblStylePr>
    <w:tblStylePr w:type="lastRow">
      <w:rPr>
        <w:b/>
        <w:bCs/>
        <w:color w:val="0C7EAA"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B" w:themeFill="accent3" w:themeFillTint="3F"/>
      </w:tcPr>
    </w:tblStylePr>
    <w:tblStylePr w:type="band1Horz">
      <w:tblPr/>
      <w:tcPr>
        <w:shd w:val="clear" w:color="auto" w:fill="C1F0C8" w:themeFill="accent3" w:themeFillTint="33"/>
      </w:tcPr>
    </w:tblStylePr>
  </w:style>
  <w:style w:type="table" w:styleId="222">
    <w:name w:val="Colorful List Accent 4"/>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F6FD"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13551C" w:themeFill="accent3" w:themeFillShade="CC"/>
      </w:tcPr>
    </w:tblStylePr>
    <w:tblStylePr w:type="lastRow">
      <w:rPr>
        <w:b/>
        <w:bCs/>
        <w:color w:val="14561D"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223">
    <w:name w:val="Colorful List Accent 5"/>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8E7F6"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E8524" w:themeFill="accent6" w:themeFillShade="CC"/>
      </w:tcPr>
    </w:tblStylePr>
    <w:tblStylePr w:type="lastRow">
      <w:rPr>
        <w:b/>
        <w:bCs/>
        <w:color w:val="3E8625"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C3EA" w:themeFill="accent5" w:themeFillTint="3F"/>
      </w:tcPr>
    </w:tblStylePr>
    <w:tblStylePr w:type="band1Horz">
      <w:tblPr/>
      <w:tcPr>
        <w:shd w:val="clear" w:color="auto" w:fill="F1CEEE" w:themeFill="accent5" w:themeFillTint="33"/>
      </w:tcPr>
    </w:tblStylePr>
  </w:style>
  <w:style w:type="table" w:styleId="224">
    <w:name w:val="Colorful List Accent 6"/>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8E8"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F2275" w:themeFill="accent5" w:themeFillShade="CC"/>
      </w:tcPr>
    </w:tblStylePr>
    <w:tblStylePr w:type="lastRow">
      <w:rPr>
        <w:b/>
        <w:bCs/>
        <w:color w:val="80227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225">
    <w:name w:val="Colorful Grid"/>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6">
    <w:name w:val="Colorful Grid Accent 1"/>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14:textFill>
          <w14:solidFill>
            <w14:schemeClr w14:val="tx1"/>
          </w14:solidFill>
        </w14:textFill>
      </w:rPr>
      <w:tblPr/>
      <w:tcPr>
        <w:shd w:val="clear" w:color="auto" w:fill="83CAEB" w:themeFill="accent1" w:themeFillTint="66"/>
      </w:tcPr>
    </w:tblStylePr>
    <w:tblStylePr w:type="firstCol">
      <w:rPr>
        <w:color w:val="FFFFFF" w:themeColor="background1"/>
        <w14:textFill>
          <w14:solidFill>
            <w14:schemeClr w14:val="bg1"/>
          </w14:solidFill>
        </w14:textFill>
      </w:rPr>
      <w:tblPr/>
      <w:tcPr>
        <w:shd w:val="clear" w:color="auto" w:fill="0F4761" w:themeFill="accent1" w:themeFillShade="BF"/>
      </w:tcPr>
    </w:tblStylePr>
    <w:tblStylePr w:type="lastCol">
      <w:rPr>
        <w:color w:val="FFFFFF" w:themeColor="background1"/>
        <w14:textFill>
          <w14:solidFill>
            <w14:schemeClr w14:val="bg1"/>
          </w14:solidFill>
        </w14:textFill>
      </w:rPr>
      <w:tblPr/>
      <w:tcPr>
        <w:shd w:val="clear" w:color="auto" w:fill="0F4761" w:themeFill="accent1" w:themeFillShade="BF"/>
      </w:tc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227">
    <w:name w:val="Colorful Grid Accent 2"/>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AE2D5" w:themeFill="accent2" w:themeFillTint="33"/>
    </w:tcPr>
    <w:tblStylePr w:type="firstRow">
      <w:rPr>
        <w:b/>
        <w:bCs/>
      </w:rPr>
      <w:tblPr/>
      <w:tcPr>
        <w:shd w:val="clear" w:color="auto" w:fill="F6C6AC" w:themeFill="accent2" w:themeFillTint="66"/>
      </w:tcPr>
    </w:tblStylePr>
    <w:tblStylePr w:type="lastRow">
      <w:rPr>
        <w:b/>
        <w:bCs/>
        <w:color w:val="000000" w:themeColor="text1"/>
        <w14:textFill>
          <w14:solidFill>
            <w14:schemeClr w14:val="tx1"/>
          </w14:solidFill>
        </w14:textFill>
      </w:rPr>
      <w:tblPr/>
      <w:tcPr>
        <w:shd w:val="clear" w:color="auto" w:fill="F6C6AC" w:themeFill="accent2" w:themeFillTint="66"/>
      </w:tcPr>
    </w:tblStylePr>
    <w:tblStylePr w:type="firstCol">
      <w:rPr>
        <w:color w:val="FFFFFF" w:themeColor="background1"/>
        <w14:textFill>
          <w14:solidFill>
            <w14:schemeClr w14:val="bg1"/>
          </w14:solidFill>
        </w14:textFill>
      </w:rPr>
      <w:tblPr/>
      <w:tcPr>
        <w:shd w:val="clear" w:color="auto" w:fill="BF4F14" w:themeFill="accent2" w:themeFillShade="BF"/>
      </w:tcPr>
    </w:tblStylePr>
    <w:tblStylePr w:type="lastCol">
      <w:rPr>
        <w:color w:val="FFFFFF" w:themeColor="background1"/>
        <w14:textFill>
          <w14:solidFill>
            <w14:schemeClr w14:val="bg1"/>
          </w14:solidFill>
        </w14:textFill>
      </w:rPr>
      <w:tblPr/>
      <w:tcPr>
        <w:shd w:val="clear" w:color="auto" w:fill="BF4F14" w:themeFill="accent2" w:themeFillShade="BF"/>
      </w:tc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228">
    <w:name w:val="Colorful Grid Accent 3"/>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1F0C8" w:themeFill="accent3" w:themeFillTint="33"/>
    </w:tcPr>
    <w:tblStylePr w:type="firstRow">
      <w:rPr>
        <w:b/>
        <w:bCs/>
      </w:rPr>
      <w:tblPr/>
      <w:tcPr>
        <w:shd w:val="clear" w:color="auto" w:fill="84E291" w:themeFill="accent3" w:themeFillTint="66"/>
      </w:tcPr>
    </w:tblStylePr>
    <w:tblStylePr w:type="lastRow">
      <w:rPr>
        <w:b/>
        <w:bCs/>
        <w:color w:val="000000" w:themeColor="text1"/>
        <w14:textFill>
          <w14:solidFill>
            <w14:schemeClr w14:val="tx1"/>
          </w14:solidFill>
        </w14:textFill>
      </w:rPr>
      <w:tblPr/>
      <w:tcPr>
        <w:shd w:val="clear" w:color="auto" w:fill="84E291" w:themeFill="accent3" w:themeFillTint="66"/>
      </w:tcPr>
    </w:tblStylePr>
    <w:tblStylePr w:type="firstCol">
      <w:rPr>
        <w:color w:val="FFFFFF" w:themeColor="background1"/>
        <w14:textFill>
          <w14:solidFill>
            <w14:schemeClr w14:val="bg1"/>
          </w14:solidFill>
        </w14:textFill>
      </w:rPr>
      <w:tblPr/>
      <w:tcPr>
        <w:shd w:val="clear" w:color="auto" w:fill="12501A" w:themeFill="accent3" w:themeFillShade="BF"/>
      </w:tcPr>
    </w:tblStylePr>
    <w:tblStylePr w:type="lastCol">
      <w:rPr>
        <w:color w:val="FFFFFF" w:themeColor="background1"/>
        <w14:textFill>
          <w14:solidFill>
            <w14:schemeClr w14:val="bg1"/>
          </w14:solidFill>
        </w14:textFill>
      </w:rPr>
      <w:tblPr/>
      <w:tcPr>
        <w:shd w:val="clear" w:color="auto" w:fill="12501A" w:themeFill="accent3" w:themeFillShade="BF"/>
      </w:tc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229">
    <w:name w:val="Colorful Grid Accent 4"/>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14:textFill>
          <w14:solidFill>
            <w14:schemeClr w14:val="tx1"/>
          </w14:solidFill>
        </w14:textFill>
      </w:rPr>
      <w:tblPr/>
      <w:tcPr>
        <w:shd w:val="clear" w:color="auto" w:fill="95DCF7" w:themeFill="accent4" w:themeFillTint="66"/>
      </w:tcPr>
    </w:tblStylePr>
    <w:tblStylePr w:type="firstCol">
      <w:rPr>
        <w:color w:val="FFFFFF" w:themeColor="background1"/>
        <w14:textFill>
          <w14:solidFill>
            <w14:schemeClr w14:val="bg1"/>
          </w14:solidFill>
        </w14:textFill>
      </w:rPr>
      <w:tblPr/>
      <w:tcPr>
        <w:shd w:val="clear" w:color="auto" w:fill="0B769F" w:themeFill="accent4" w:themeFillShade="BF"/>
      </w:tcPr>
    </w:tblStylePr>
    <w:tblStylePr w:type="lastCol">
      <w:rPr>
        <w:color w:val="FFFFFF" w:themeColor="background1"/>
        <w14:textFill>
          <w14:solidFill>
            <w14:schemeClr w14:val="bg1"/>
          </w14:solidFill>
        </w14:textFill>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230">
    <w:name w:val="Colorful Grid Accent 5"/>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1CEEE" w:themeFill="accent5" w:themeFillTint="33"/>
    </w:tcPr>
    <w:tblStylePr w:type="firstRow">
      <w:rPr>
        <w:b/>
        <w:bCs/>
      </w:rPr>
      <w:tblPr/>
      <w:tcPr>
        <w:shd w:val="clear" w:color="auto" w:fill="E49EDD" w:themeFill="accent5" w:themeFillTint="66"/>
      </w:tcPr>
    </w:tblStylePr>
    <w:tblStylePr w:type="lastRow">
      <w:rPr>
        <w:b/>
        <w:bCs/>
        <w:color w:val="000000" w:themeColor="text1"/>
        <w14:textFill>
          <w14:solidFill>
            <w14:schemeClr w14:val="tx1"/>
          </w14:solidFill>
        </w14:textFill>
      </w:rPr>
      <w:tblPr/>
      <w:tcPr>
        <w:shd w:val="clear" w:color="auto" w:fill="E49EDD" w:themeFill="accent5" w:themeFillTint="66"/>
      </w:tcPr>
    </w:tblStylePr>
    <w:tblStylePr w:type="firstCol">
      <w:rPr>
        <w:color w:val="FFFFFF" w:themeColor="background1"/>
        <w14:textFill>
          <w14:solidFill>
            <w14:schemeClr w14:val="bg1"/>
          </w14:solidFill>
        </w14:textFill>
      </w:rPr>
      <w:tblPr/>
      <w:tcPr>
        <w:shd w:val="clear" w:color="auto" w:fill="77206E" w:themeFill="accent5" w:themeFillShade="BF"/>
      </w:tcPr>
    </w:tblStylePr>
    <w:tblStylePr w:type="lastCol">
      <w:rPr>
        <w:color w:val="FFFFFF" w:themeColor="background1"/>
        <w14:textFill>
          <w14:solidFill>
            <w14:schemeClr w14:val="bg1"/>
          </w14:solidFill>
        </w14:textFill>
      </w:rPr>
      <w:tblPr/>
      <w:tcPr>
        <w:shd w:val="clear" w:color="auto" w:fill="77206E"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231">
    <w:name w:val="Colorful Grid Accent 6"/>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14:textFill>
          <w14:solidFill>
            <w14:schemeClr w14:val="tx1"/>
          </w14:solidFill>
        </w14:textFill>
      </w:rPr>
      <w:tblPr/>
      <w:tcPr>
        <w:shd w:val="clear" w:color="auto" w:fill="B3E5A1" w:themeFill="accent6" w:themeFillTint="66"/>
      </w:tcPr>
    </w:tblStylePr>
    <w:tblStylePr w:type="firstCol">
      <w:rPr>
        <w:color w:val="FFFFFF" w:themeColor="background1"/>
        <w14:textFill>
          <w14:solidFill>
            <w14:schemeClr w14:val="bg1"/>
          </w14:solidFill>
        </w14:textFill>
      </w:rPr>
      <w:tblPr/>
      <w:tcPr>
        <w:shd w:val="clear" w:color="auto" w:fill="3A7D22" w:themeFill="accent6" w:themeFillShade="BF"/>
      </w:tcPr>
    </w:tblStylePr>
    <w:tblStylePr w:type="lastCol">
      <w:rPr>
        <w:color w:val="FFFFFF" w:themeColor="background1"/>
        <w14:textFill>
          <w14:solidFill>
            <w14:schemeClr w14:val="bg1"/>
          </w14:solidFill>
        </w14:textFill>
      </w:rPr>
      <w:tblPr/>
      <w:tcPr>
        <w:shd w:val="clear" w:color="auto" w:fill="3A7D22" w:themeFill="accent6" w:themeFillShade="BF"/>
      </w:tc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character" w:styleId="233">
    <w:name w:val="Strong"/>
    <w:basedOn w:val="232"/>
    <w:qFormat/>
    <w:uiPriority w:val="22"/>
    <w:rPr>
      <w:b/>
      <w:bCs/>
    </w:rPr>
  </w:style>
  <w:style w:type="character" w:styleId="234">
    <w:name w:val="endnote reference"/>
    <w:basedOn w:val="232"/>
    <w:semiHidden/>
    <w:unhideWhenUsed/>
    <w:qFormat/>
    <w:uiPriority w:val="99"/>
    <w:rPr>
      <w:vertAlign w:val="superscript"/>
    </w:rPr>
  </w:style>
  <w:style w:type="character" w:styleId="235">
    <w:name w:val="page number"/>
    <w:basedOn w:val="232"/>
    <w:semiHidden/>
    <w:unhideWhenUsed/>
    <w:qFormat/>
    <w:uiPriority w:val="99"/>
  </w:style>
  <w:style w:type="character" w:styleId="236">
    <w:name w:val="FollowedHyperlink"/>
    <w:basedOn w:val="232"/>
    <w:semiHidden/>
    <w:unhideWhenUsed/>
    <w:qFormat/>
    <w:uiPriority w:val="99"/>
    <w:rPr>
      <w:color w:val="96607D" w:themeColor="followedHyperlink"/>
      <w:u w:val="single"/>
      <w14:textFill>
        <w14:solidFill>
          <w14:schemeClr w14:val="folHlink"/>
        </w14:solidFill>
      </w14:textFill>
    </w:rPr>
  </w:style>
  <w:style w:type="character" w:styleId="237">
    <w:name w:val="Emphasis"/>
    <w:basedOn w:val="232"/>
    <w:qFormat/>
    <w:uiPriority w:val="20"/>
    <w:rPr>
      <w:i/>
      <w:iCs/>
    </w:rPr>
  </w:style>
  <w:style w:type="character" w:styleId="238">
    <w:name w:val="line number"/>
    <w:basedOn w:val="232"/>
    <w:semiHidden/>
    <w:unhideWhenUsed/>
    <w:qFormat/>
    <w:uiPriority w:val="99"/>
  </w:style>
  <w:style w:type="character" w:styleId="239">
    <w:name w:val="HTML Definition"/>
    <w:basedOn w:val="232"/>
    <w:semiHidden/>
    <w:unhideWhenUsed/>
    <w:qFormat/>
    <w:uiPriority w:val="99"/>
    <w:rPr>
      <w:i/>
      <w:iCs/>
    </w:rPr>
  </w:style>
  <w:style w:type="character" w:styleId="240">
    <w:name w:val="HTML Typewriter"/>
    <w:basedOn w:val="232"/>
    <w:semiHidden/>
    <w:unhideWhenUsed/>
    <w:qFormat/>
    <w:uiPriority w:val="99"/>
    <w:rPr>
      <w:rFonts w:ascii="Courier New" w:hAnsi="Courier New" w:cs="Courier New"/>
      <w:sz w:val="20"/>
      <w:szCs w:val="20"/>
    </w:rPr>
  </w:style>
  <w:style w:type="character" w:styleId="241">
    <w:name w:val="HTML Acronym"/>
    <w:basedOn w:val="232"/>
    <w:semiHidden/>
    <w:unhideWhenUsed/>
    <w:qFormat/>
    <w:uiPriority w:val="99"/>
  </w:style>
  <w:style w:type="character" w:styleId="242">
    <w:name w:val="HTML Variable"/>
    <w:basedOn w:val="232"/>
    <w:semiHidden/>
    <w:unhideWhenUsed/>
    <w:qFormat/>
    <w:uiPriority w:val="99"/>
    <w:rPr>
      <w:i/>
      <w:iCs/>
    </w:rPr>
  </w:style>
  <w:style w:type="character" w:styleId="243">
    <w:name w:val="Hyperlink"/>
    <w:basedOn w:val="232"/>
    <w:semiHidden/>
    <w:unhideWhenUsed/>
    <w:qFormat/>
    <w:uiPriority w:val="99"/>
    <w:rPr>
      <w:color w:val="467886" w:themeColor="hyperlink"/>
      <w:u w:val="single"/>
      <w14:textFill>
        <w14:solidFill>
          <w14:schemeClr w14:val="hlink"/>
        </w14:solidFill>
      </w14:textFill>
    </w:rPr>
  </w:style>
  <w:style w:type="character" w:styleId="244">
    <w:name w:val="HTML Code"/>
    <w:basedOn w:val="232"/>
    <w:semiHidden/>
    <w:unhideWhenUsed/>
    <w:qFormat/>
    <w:uiPriority w:val="99"/>
    <w:rPr>
      <w:rFonts w:ascii="Courier New" w:hAnsi="Courier New" w:cs="Courier New"/>
      <w:sz w:val="20"/>
      <w:szCs w:val="20"/>
    </w:rPr>
  </w:style>
  <w:style w:type="character" w:styleId="245">
    <w:name w:val="annotation reference"/>
    <w:basedOn w:val="232"/>
    <w:semiHidden/>
    <w:unhideWhenUsed/>
    <w:qFormat/>
    <w:uiPriority w:val="99"/>
    <w:rPr>
      <w:sz w:val="21"/>
      <w:szCs w:val="21"/>
    </w:rPr>
  </w:style>
  <w:style w:type="character" w:styleId="246">
    <w:name w:val="HTML Cite"/>
    <w:basedOn w:val="232"/>
    <w:semiHidden/>
    <w:unhideWhenUsed/>
    <w:qFormat/>
    <w:uiPriority w:val="99"/>
    <w:rPr>
      <w:i/>
      <w:iCs/>
    </w:rPr>
  </w:style>
  <w:style w:type="character" w:styleId="247">
    <w:name w:val="footnote reference"/>
    <w:basedOn w:val="232"/>
    <w:semiHidden/>
    <w:unhideWhenUsed/>
    <w:qFormat/>
    <w:uiPriority w:val="99"/>
    <w:rPr>
      <w:vertAlign w:val="superscript"/>
    </w:rPr>
  </w:style>
  <w:style w:type="character" w:styleId="248">
    <w:name w:val="HTML Keyboard"/>
    <w:basedOn w:val="232"/>
    <w:semiHidden/>
    <w:unhideWhenUsed/>
    <w:qFormat/>
    <w:uiPriority w:val="99"/>
    <w:rPr>
      <w:rFonts w:ascii="Courier New" w:hAnsi="Courier New" w:cs="Courier New"/>
      <w:sz w:val="20"/>
      <w:szCs w:val="20"/>
    </w:rPr>
  </w:style>
  <w:style w:type="character" w:styleId="249">
    <w:name w:val="HTML Sample"/>
    <w:basedOn w:val="232"/>
    <w:semiHidden/>
    <w:unhideWhenUsed/>
    <w:qFormat/>
    <w:uiPriority w:val="99"/>
    <w:rPr>
      <w:rFonts w:ascii="Courier New" w:hAnsi="Courier New" w:cs="Courier New"/>
    </w:rPr>
  </w:style>
  <w:style w:type="character" w:customStyle="1" w:styleId="250">
    <w:name w:val="标题 1 字符"/>
    <w:basedOn w:val="232"/>
    <w:link w:val="3"/>
    <w:qFormat/>
    <w:uiPriority w:val="9"/>
    <w:rPr>
      <w:rFonts w:ascii="黑体" w:hAnsi="黑体" w:eastAsia="黑体" w:cs="宋体"/>
      <w:color w:val="000000"/>
      <w:kern w:val="0"/>
      <w:sz w:val="32"/>
      <w:szCs w:val="32"/>
    </w:rPr>
  </w:style>
  <w:style w:type="character" w:customStyle="1" w:styleId="251">
    <w:name w:val="标题 2 字符"/>
    <w:basedOn w:val="232"/>
    <w:link w:val="5"/>
    <w:qFormat/>
    <w:uiPriority w:val="9"/>
    <w:rPr>
      <w:rFonts w:ascii="楷体_GB2312" w:eastAsia="仿宋"/>
      <w:b/>
      <w:sz w:val="32"/>
      <w:szCs w:val="32"/>
    </w:rPr>
  </w:style>
  <w:style w:type="character" w:customStyle="1" w:styleId="252">
    <w:name w:val="标题 3 字符"/>
    <w:basedOn w:val="232"/>
    <w:link w:val="6"/>
    <w:qFormat/>
    <w:uiPriority w:val="9"/>
    <w:rPr>
      <w:rFonts w:eastAsia="仿宋"/>
      <w:sz w:val="32"/>
    </w:rPr>
  </w:style>
  <w:style w:type="character" w:customStyle="1" w:styleId="253">
    <w:name w:val="标题 4 字符"/>
    <w:basedOn w:val="232"/>
    <w:link w:val="7"/>
    <w:qFormat/>
    <w:uiPriority w:val="9"/>
    <w:rPr>
      <w:rFonts w:eastAsia="仿宋"/>
      <w:sz w:val="32"/>
    </w:rPr>
  </w:style>
  <w:style w:type="character" w:customStyle="1" w:styleId="254">
    <w:name w:val="标题 5 字符"/>
    <w:basedOn w:val="232"/>
    <w:link w:val="8"/>
    <w:qFormat/>
    <w:uiPriority w:val="9"/>
    <w:rPr>
      <w:rFonts w:eastAsia="仿宋"/>
      <w:sz w:val="32"/>
    </w:rPr>
  </w:style>
  <w:style w:type="character" w:customStyle="1" w:styleId="255">
    <w:name w:val="标题 6 字符"/>
    <w:basedOn w:val="232"/>
    <w:link w:val="9"/>
    <w:semiHidden/>
    <w:qFormat/>
    <w:uiPriority w:val="9"/>
    <w:rPr>
      <w:rFonts w:cstheme="majorBidi"/>
      <w:b/>
      <w:bCs/>
      <w:color w:val="104862" w:themeColor="accent1" w:themeShade="BF"/>
      <w:sz w:val="32"/>
    </w:rPr>
  </w:style>
  <w:style w:type="character" w:customStyle="1" w:styleId="256">
    <w:name w:val="标题 7 字符"/>
    <w:basedOn w:val="232"/>
    <w:link w:val="10"/>
    <w:semiHidden/>
    <w:qFormat/>
    <w:uiPriority w:val="9"/>
    <w:rPr>
      <w:rFonts w:cstheme="majorBidi"/>
      <w:b/>
      <w:bCs/>
      <w:color w:val="595959" w:themeColor="text1" w:themeTint="A6"/>
      <w:sz w:val="32"/>
      <w14:textFill>
        <w14:solidFill>
          <w14:schemeClr w14:val="tx1">
            <w14:lumMod w14:val="65000"/>
            <w14:lumOff w14:val="35000"/>
          </w14:schemeClr>
        </w14:solidFill>
      </w14:textFill>
    </w:rPr>
  </w:style>
  <w:style w:type="character" w:customStyle="1" w:styleId="257">
    <w:name w:val="标题 8 字符"/>
    <w:basedOn w:val="232"/>
    <w:link w:val="11"/>
    <w:semiHidden/>
    <w:qFormat/>
    <w:uiPriority w:val="9"/>
    <w:rPr>
      <w:rFonts w:cstheme="majorBidi"/>
      <w:color w:val="595959" w:themeColor="text1" w:themeTint="A6"/>
      <w:sz w:val="32"/>
      <w14:textFill>
        <w14:solidFill>
          <w14:schemeClr w14:val="tx1">
            <w14:lumMod w14:val="65000"/>
            <w14:lumOff w14:val="35000"/>
          </w14:schemeClr>
        </w14:solidFill>
      </w14:textFill>
    </w:rPr>
  </w:style>
  <w:style w:type="character" w:customStyle="1" w:styleId="258">
    <w:name w:val="标题 9 字符"/>
    <w:basedOn w:val="232"/>
    <w:link w:val="12"/>
    <w:semiHidden/>
    <w:qFormat/>
    <w:uiPriority w:val="9"/>
    <w:rPr>
      <w:rFonts w:eastAsiaTheme="majorEastAsia" w:cstheme="majorBidi"/>
      <w:color w:val="595959" w:themeColor="text1" w:themeTint="A6"/>
      <w:sz w:val="32"/>
      <w14:textFill>
        <w14:solidFill>
          <w14:schemeClr w14:val="tx1">
            <w14:lumMod w14:val="65000"/>
            <w14:lumOff w14:val="35000"/>
          </w14:schemeClr>
        </w14:solidFill>
      </w14:textFill>
    </w:rPr>
  </w:style>
  <w:style w:type="character" w:customStyle="1" w:styleId="259">
    <w:name w:val="标题 字符"/>
    <w:basedOn w:val="232"/>
    <w:link w:val="85"/>
    <w:qFormat/>
    <w:uiPriority w:val="10"/>
    <w:rPr>
      <w:rFonts w:asciiTheme="majorHAnsi" w:hAnsiTheme="majorHAnsi" w:eastAsiaTheme="majorEastAsia" w:cstheme="majorBidi"/>
      <w:spacing w:val="-10"/>
      <w:kern w:val="28"/>
      <w:sz w:val="56"/>
      <w:szCs w:val="56"/>
    </w:rPr>
  </w:style>
  <w:style w:type="character" w:customStyle="1" w:styleId="260">
    <w:name w:val="副标题 字符"/>
    <w:basedOn w:val="232"/>
    <w:link w:val="6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1">
    <w:name w:val="Quote"/>
    <w:basedOn w:val="1"/>
    <w:next w:val="1"/>
    <w:link w:val="26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62">
    <w:name w:val="引用 字符"/>
    <w:basedOn w:val="232"/>
    <w:link w:val="261"/>
    <w:qFormat/>
    <w:uiPriority w:val="29"/>
    <w:rPr>
      <w:i/>
      <w:iCs/>
      <w:color w:val="404040" w:themeColor="text1" w:themeTint="BF"/>
      <w:sz w:val="32"/>
      <w14:textFill>
        <w14:solidFill>
          <w14:schemeClr w14:val="tx1">
            <w14:lumMod w14:val="75000"/>
            <w14:lumOff w14:val="25000"/>
          </w14:schemeClr>
        </w14:solidFill>
      </w14:textFill>
    </w:rPr>
  </w:style>
  <w:style w:type="paragraph" w:styleId="263">
    <w:name w:val="List Paragraph"/>
    <w:basedOn w:val="1"/>
    <w:qFormat/>
    <w:uiPriority w:val="34"/>
    <w:pPr>
      <w:ind w:left="720"/>
      <w:contextualSpacing/>
    </w:pPr>
  </w:style>
  <w:style w:type="character" w:customStyle="1" w:styleId="264">
    <w:name w:val="明显强调1"/>
    <w:basedOn w:val="232"/>
    <w:qFormat/>
    <w:uiPriority w:val="21"/>
    <w:rPr>
      <w:i/>
      <w:iCs/>
      <w:color w:val="104862" w:themeColor="accent1" w:themeShade="BF"/>
    </w:rPr>
  </w:style>
  <w:style w:type="paragraph" w:styleId="265">
    <w:name w:val="Intense Quote"/>
    <w:basedOn w:val="1"/>
    <w:next w:val="1"/>
    <w:link w:val="26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266">
    <w:name w:val="明显引用 字符"/>
    <w:basedOn w:val="232"/>
    <w:link w:val="265"/>
    <w:qFormat/>
    <w:uiPriority w:val="30"/>
    <w:rPr>
      <w:i/>
      <w:iCs/>
      <w:color w:val="104862" w:themeColor="accent1" w:themeShade="BF"/>
      <w:sz w:val="32"/>
    </w:rPr>
  </w:style>
  <w:style w:type="character" w:customStyle="1" w:styleId="267">
    <w:name w:val="明显参考1"/>
    <w:basedOn w:val="232"/>
    <w:qFormat/>
    <w:uiPriority w:val="32"/>
    <w:rPr>
      <w:b/>
      <w:bCs/>
      <w:smallCaps/>
      <w:color w:val="104862" w:themeColor="accent1" w:themeShade="BF"/>
      <w:spacing w:val="5"/>
    </w:rPr>
  </w:style>
  <w:style w:type="character" w:customStyle="1" w:styleId="268">
    <w:name w:val="页眉 字符"/>
    <w:basedOn w:val="232"/>
    <w:link w:val="58"/>
    <w:qFormat/>
    <w:uiPriority w:val="99"/>
    <w:rPr>
      <w:sz w:val="18"/>
      <w:szCs w:val="18"/>
    </w:rPr>
  </w:style>
  <w:style w:type="character" w:customStyle="1" w:styleId="269">
    <w:name w:val="页脚 字符"/>
    <w:basedOn w:val="232"/>
    <w:link w:val="56"/>
    <w:qFormat/>
    <w:uiPriority w:val="99"/>
    <w:rPr>
      <w:sz w:val="18"/>
      <w:szCs w:val="18"/>
    </w:rPr>
  </w:style>
  <w:style w:type="character" w:customStyle="1" w:styleId="270">
    <w:name w:val="@他1"/>
    <w:basedOn w:val="232"/>
    <w:semiHidden/>
    <w:unhideWhenUsed/>
    <w:qFormat/>
    <w:uiPriority w:val="99"/>
    <w:rPr>
      <w:color w:val="2B579A"/>
      <w:shd w:val="clear" w:color="auto" w:fill="E1DFDD"/>
    </w:rPr>
  </w:style>
  <w:style w:type="character" w:customStyle="1" w:styleId="271">
    <w:name w:val="HTML 地址 字符"/>
    <w:basedOn w:val="232"/>
    <w:link w:val="42"/>
    <w:semiHidden/>
    <w:qFormat/>
    <w:uiPriority w:val="99"/>
    <w:rPr>
      <w:i/>
      <w:iCs/>
    </w:rPr>
  </w:style>
  <w:style w:type="character" w:customStyle="1" w:styleId="272">
    <w:name w:val="HTML 预设格式 字符"/>
    <w:basedOn w:val="232"/>
    <w:link w:val="81"/>
    <w:semiHidden/>
    <w:qFormat/>
    <w:uiPriority w:val="99"/>
    <w:rPr>
      <w:rFonts w:ascii="Courier New" w:hAnsi="Courier New" w:cs="Courier New"/>
      <w:sz w:val="20"/>
      <w:szCs w:val="20"/>
    </w:rPr>
  </w:style>
  <w:style w:type="paragraph" w:customStyle="1" w:styleId="273">
    <w:name w:val="TOC 标题1"/>
    <w:basedOn w:val="3"/>
    <w:next w:val="1"/>
    <w:semiHidden/>
    <w:unhideWhenUsed/>
    <w:qFormat/>
    <w:uiPriority w:val="39"/>
    <w:pPr>
      <w:spacing w:before="340" w:after="330" w:line="578" w:lineRule="auto"/>
      <w:outlineLvl w:val="9"/>
    </w:pPr>
    <w:rPr>
      <w:rFonts w:asciiTheme="minorHAnsi" w:hAnsiTheme="minorHAnsi" w:eastAsiaTheme="minorEastAsia" w:cstheme="minorBidi"/>
      <w:bCs/>
      <w:kern w:val="44"/>
      <w:szCs w:val="44"/>
    </w:rPr>
  </w:style>
  <w:style w:type="character" w:customStyle="1" w:styleId="274">
    <w:name w:val="不明显参考1"/>
    <w:basedOn w:val="232"/>
    <w:qFormat/>
    <w:uiPriority w:val="31"/>
    <w:rPr>
      <w:smallCaps/>
      <w:color w:val="595959" w:themeColor="text1" w:themeTint="A6"/>
      <w14:textFill>
        <w14:solidFill>
          <w14:schemeClr w14:val="tx1">
            <w14:lumMod w14:val="65000"/>
            <w14:lumOff w14:val="35000"/>
          </w14:schemeClr>
        </w14:solidFill>
      </w14:textFill>
    </w:rPr>
  </w:style>
  <w:style w:type="character" w:customStyle="1" w:styleId="275">
    <w:name w:val="不明显强调1"/>
    <w:basedOn w:val="232"/>
    <w:qFormat/>
    <w:uiPriority w:val="19"/>
    <w:rPr>
      <w:i/>
      <w:iCs/>
      <w:color w:val="404040" w:themeColor="text1" w:themeTint="BF"/>
      <w14:textFill>
        <w14:solidFill>
          <w14:schemeClr w14:val="tx1">
            <w14:lumMod w14:val="75000"/>
            <w14:lumOff w14:val="25000"/>
          </w14:schemeClr>
        </w14:solidFill>
      </w14:textFill>
    </w:rPr>
  </w:style>
  <w:style w:type="character" w:customStyle="1" w:styleId="276">
    <w:name w:val="称呼 字符"/>
    <w:basedOn w:val="232"/>
    <w:link w:val="31"/>
    <w:semiHidden/>
    <w:qFormat/>
    <w:uiPriority w:val="99"/>
  </w:style>
  <w:style w:type="character" w:customStyle="1" w:styleId="277">
    <w:name w:val="纯文本 字符"/>
    <w:basedOn w:val="232"/>
    <w:link w:val="46"/>
    <w:semiHidden/>
    <w:qFormat/>
    <w:uiPriority w:val="99"/>
    <w:rPr>
      <w:rFonts w:hAnsi="Courier New" w:cs="Courier New" w:asciiTheme="minorEastAsia"/>
    </w:rPr>
  </w:style>
  <w:style w:type="character" w:customStyle="1" w:styleId="278">
    <w:name w:val="电子邮件签名 字符"/>
    <w:basedOn w:val="232"/>
    <w:link w:val="20"/>
    <w:semiHidden/>
    <w:qFormat/>
    <w:uiPriority w:val="99"/>
  </w:style>
  <w:style w:type="character" w:customStyle="1" w:styleId="279">
    <w:name w:val="宏文本 字符"/>
    <w:basedOn w:val="232"/>
    <w:link w:val="2"/>
    <w:semiHidden/>
    <w:qFormat/>
    <w:uiPriority w:val="99"/>
    <w:rPr>
      <w:rFonts w:ascii="Courier New" w:hAnsi="Courier New" w:eastAsia="宋体" w:cs="Courier New"/>
      <w:sz w:val="24"/>
    </w:rPr>
  </w:style>
  <w:style w:type="character" w:customStyle="1" w:styleId="280">
    <w:name w:val="脚注文本 字符"/>
    <w:basedOn w:val="232"/>
    <w:link w:val="68"/>
    <w:semiHidden/>
    <w:qFormat/>
    <w:uiPriority w:val="99"/>
    <w:rPr>
      <w:sz w:val="18"/>
      <w:szCs w:val="18"/>
    </w:rPr>
  </w:style>
  <w:style w:type="character" w:customStyle="1" w:styleId="281">
    <w:name w:val="结束语 字符"/>
    <w:basedOn w:val="232"/>
    <w:link w:val="33"/>
    <w:semiHidden/>
    <w:qFormat/>
    <w:uiPriority w:val="99"/>
  </w:style>
  <w:style w:type="character" w:customStyle="1" w:styleId="282">
    <w:name w:val="井号标签1"/>
    <w:basedOn w:val="232"/>
    <w:semiHidden/>
    <w:unhideWhenUsed/>
    <w:qFormat/>
    <w:uiPriority w:val="99"/>
    <w:rPr>
      <w:color w:val="2B579A"/>
      <w:shd w:val="clear" w:color="auto" w:fill="E1DFDD"/>
    </w:rPr>
  </w:style>
  <w:style w:type="character" w:customStyle="1" w:styleId="283">
    <w:name w:val="批注框文本 字符"/>
    <w:basedOn w:val="232"/>
    <w:link w:val="55"/>
    <w:semiHidden/>
    <w:qFormat/>
    <w:uiPriority w:val="99"/>
    <w:rPr>
      <w:sz w:val="18"/>
      <w:szCs w:val="18"/>
    </w:rPr>
  </w:style>
  <w:style w:type="character" w:customStyle="1" w:styleId="284">
    <w:name w:val="批注文字 字符"/>
    <w:basedOn w:val="232"/>
    <w:link w:val="29"/>
    <w:qFormat/>
    <w:uiPriority w:val="99"/>
  </w:style>
  <w:style w:type="character" w:customStyle="1" w:styleId="285">
    <w:name w:val="批注主题 字符"/>
    <w:basedOn w:val="284"/>
    <w:link w:val="86"/>
    <w:semiHidden/>
    <w:qFormat/>
    <w:uiPriority w:val="99"/>
    <w:rPr>
      <w:b/>
      <w:bCs/>
    </w:rPr>
  </w:style>
  <w:style w:type="character" w:customStyle="1" w:styleId="286">
    <w:name w:val="签名 字符"/>
    <w:basedOn w:val="232"/>
    <w:link w:val="59"/>
    <w:semiHidden/>
    <w:qFormat/>
    <w:uiPriority w:val="99"/>
  </w:style>
  <w:style w:type="table" w:customStyle="1" w:styleId="287">
    <w:name w:val="清单表 1 浅色1"/>
    <w:basedOn w:val="89"/>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8">
    <w:name w:val="清单表 1 浅色 - 着色 11"/>
    <w:basedOn w:val="89"/>
    <w:qFormat/>
    <w:uiPriority w:val="46"/>
    <w:tblStylePr w:type="firstRow">
      <w:rPr>
        <w:b/>
        <w:bCs/>
      </w:rPr>
      <w:tcPr>
        <w:tcBorders>
          <w:bottom w:val="single" w:color="45B0E1" w:themeColor="accent1" w:themeTint="99" w:sz="4" w:space="0"/>
        </w:tcBorders>
      </w:tcPr>
    </w:tblStylePr>
    <w:tblStylePr w:type="lastRow">
      <w:rPr>
        <w:b/>
        <w:bCs/>
      </w:rPr>
      <w:tcPr>
        <w:tcBorders>
          <w:top w:val="sing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89">
    <w:name w:val="清单表 1 浅色 - 着色 21"/>
    <w:basedOn w:val="89"/>
    <w:qFormat/>
    <w:uiPriority w:val="46"/>
    <w:tblStylePr w:type="firstRow">
      <w:rPr>
        <w:b/>
        <w:bCs/>
      </w:rPr>
      <w:tcPr>
        <w:tcBorders>
          <w:bottom w:val="single" w:color="F1A983" w:themeColor="accent2" w:themeTint="99" w:sz="4" w:space="0"/>
        </w:tcBorders>
      </w:tcPr>
    </w:tblStylePr>
    <w:tblStylePr w:type="lastRow">
      <w:rPr>
        <w:b/>
        <w:bCs/>
      </w:rPr>
      <w:tcPr>
        <w:tcBorders>
          <w:top w:val="sing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0">
    <w:name w:val="清单表 1 浅色 - 着色 31"/>
    <w:basedOn w:val="89"/>
    <w:qFormat/>
    <w:uiPriority w:val="46"/>
    <w:tblStylePr w:type="firstRow">
      <w:rPr>
        <w:b/>
        <w:bCs/>
      </w:rPr>
      <w:tcPr>
        <w:tcBorders>
          <w:bottom w:val="single" w:color="47D45A" w:themeColor="accent3" w:themeTint="99" w:sz="4" w:space="0"/>
        </w:tcBorders>
      </w:tcPr>
    </w:tblStylePr>
    <w:tblStylePr w:type="lastRow">
      <w:rPr>
        <w:b/>
        <w:bCs/>
      </w:rPr>
      <w:tcPr>
        <w:tcBorders>
          <w:top w:val="sing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1">
    <w:name w:val="清单表 1 浅色 - 着色 41"/>
    <w:basedOn w:val="89"/>
    <w:qFormat/>
    <w:uiPriority w:val="46"/>
    <w:tblStylePr w:type="firstRow">
      <w:rPr>
        <w:b/>
        <w:bCs/>
      </w:rPr>
      <w:tcPr>
        <w:tcBorders>
          <w:bottom w:val="single" w:color="60CBF3" w:themeColor="accent4" w:themeTint="99" w:sz="4" w:space="0"/>
        </w:tcBorders>
      </w:tcPr>
    </w:tblStylePr>
    <w:tblStylePr w:type="lastRow">
      <w:rPr>
        <w:b/>
        <w:bCs/>
      </w:rPr>
      <w:tcPr>
        <w:tcBorders>
          <w:top w:val="sing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2">
    <w:name w:val="清单表 1 浅色 - 着色 51"/>
    <w:basedOn w:val="89"/>
    <w:qFormat/>
    <w:uiPriority w:val="46"/>
    <w:tblStylePr w:type="firstRow">
      <w:rPr>
        <w:b/>
        <w:bCs/>
      </w:rPr>
      <w:tcPr>
        <w:tcBorders>
          <w:bottom w:val="single" w:color="D76DCC" w:themeColor="accent5" w:themeTint="99" w:sz="4" w:space="0"/>
        </w:tcBorders>
      </w:tcPr>
    </w:tblStylePr>
    <w:tblStylePr w:type="lastRow">
      <w:rPr>
        <w:b/>
        <w:bCs/>
      </w:rPr>
      <w:tcPr>
        <w:tcBorders>
          <w:top w:val="sing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3">
    <w:name w:val="清单表 1 浅色 - 着色 61"/>
    <w:basedOn w:val="89"/>
    <w:qFormat/>
    <w:uiPriority w:val="46"/>
    <w:tblStylePr w:type="firstRow">
      <w:rPr>
        <w:b/>
        <w:bCs/>
      </w:rPr>
      <w:tcPr>
        <w:tcBorders>
          <w:bottom w:val="single" w:color="8ED873" w:themeColor="accent6" w:themeTint="99" w:sz="4" w:space="0"/>
        </w:tcBorders>
      </w:tcPr>
    </w:tblStylePr>
    <w:tblStylePr w:type="lastRow">
      <w:rPr>
        <w:b/>
        <w:bCs/>
      </w:rPr>
      <w:tcPr>
        <w:tcBorders>
          <w:top w:val="sing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294">
    <w:name w:val="清单表 21"/>
    <w:basedOn w:val="89"/>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5">
    <w:name w:val="清单表 2 - 着色 11"/>
    <w:basedOn w:val="89"/>
    <w:qFormat/>
    <w:uiPriority w:val="47"/>
    <w:tblPr>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96">
    <w:name w:val="清单表 2 - 着色 21"/>
    <w:basedOn w:val="89"/>
    <w:qFormat/>
    <w:uiPriority w:val="47"/>
    <w:tblPr>
      <w:tblBorders>
        <w:top w:val="single" w:color="F1A983" w:themeColor="accent2" w:themeTint="99" w:sz="4" w:space="0"/>
        <w:bottom w:val="single" w:color="F1A983" w:themeColor="accent2" w:themeTint="99" w:sz="4" w:space="0"/>
        <w:insideH w:val="single" w:color="F1A9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7">
    <w:name w:val="清单表 2 - 着色 31"/>
    <w:basedOn w:val="89"/>
    <w:qFormat/>
    <w:uiPriority w:val="47"/>
    <w:tblPr>
      <w:tblBorders>
        <w:top w:val="single" w:color="47D45A" w:themeColor="accent3" w:themeTint="99" w:sz="4" w:space="0"/>
        <w:bottom w:val="single" w:color="47D45A" w:themeColor="accent3" w:themeTint="99" w:sz="4" w:space="0"/>
        <w:insideH w:val="single" w:color="47D45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8">
    <w:name w:val="清单表 2 - 着色 41"/>
    <w:basedOn w:val="89"/>
    <w:qFormat/>
    <w:uiPriority w:val="47"/>
    <w:tblPr>
      <w:tblBorders>
        <w:top w:val="single" w:color="60CBF3" w:themeColor="accent4" w:themeTint="99" w:sz="4" w:space="0"/>
        <w:bottom w:val="single" w:color="60CBF3" w:themeColor="accent4" w:themeTint="99" w:sz="4" w:space="0"/>
        <w:insideH w:val="single" w:color="60CBF3"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9">
    <w:name w:val="清单表 2 - 着色 51"/>
    <w:basedOn w:val="89"/>
    <w:qFormat/>
    <w:uiPriority w:val="47"/>
    <w:tblPr>
      <w:tblBorders>
        <w:top w:val="single" w:color="D76DCC" w:themeColor="accent5" w:themeTint="99" w:sz="4" w:space="0"/>
        <w:bottom w:val="single" w:color="D76DCC" w:themeColor="accent5" w:themeTint="99" w:sz="4" w:space="0"/>
        <w:insideH w:val="single" w:color="D76DC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00">
    <w:name w:val="清单表 2 - 着色 61"/>
    <w:basedOn w:val="89"/>
    <w:qFormat/>
    <w:uiPriority w:val="47"/>
    <w:tblPr>
      <w:tblBorders>
        <w:top w:val="single" w:color="8ED873" w:themeColor="accent6" w:themeTint="99" w:sz="4" w:space="0"/>
        <w:bottom w:val="single" w:color="8ED873" w:themeColor="accent6" w:themeTint="99" w:sz="4" w:space="0"/>
        <w:insideH w:val="single" w:color="8ED873"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01">
    <w:name w:val="清单表 31"/>
    <w:basedOn w:val="89"/>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02">
    <w:name w:val="清单表 3 - 着色 11"/>
    <w:basedOn w:val="89"/>
    <w:qFormat/>
    <w:uiPriority w:val="48"/>
    <w:tblPr>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blStylePr w:type="firstRow">
      <w:rPr>
        <w:b/>
        <w:bCs/>
        <w:color w:val="FFFFFF" w:themeColor="background1"/>
        <w14:textFill>
          <w14:solidFill>
            <w14:schemeClr w14:val="bg1"/>
          </w14:solidFill>
        </w14:textFill>
      </w:rPr>
      <w:tcPr>
        <w:shd w:val="clear" w:color="auto" w:fill="156082" w:themeFill="accent1"/>
      </w:tcPr>
    </w:tblStylePr>
    <w:tblStylePr w:type="lastRow">
      <w:rPr>
        <w:b/>
        <w:bCs/>
      </w:rPr>
      <w:tcPr>
        <w:tcBorders>
          <w:top w:val="double" w:color="156082"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56082" w:themeColor="accent1" w:sz="4" w:space="0"/>
          <w:right w:val="single" w:color="156082" w:themeColor="accent1" w:sz="4" w:space="0"/>
        </w:tcBorders>
      </w:tcPr>
    </w:tblStylePr>
    <w:tblStylePr w:type="band1Horz">
      <w:tcPr>
        <w:tcBorders>
          <w:top w:val="single" w:color="156082" w:themeColor="accent1" w:sz="4" w:space="0"/>
          <w:bottom w:val="single" w:color="156082"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56082" w:themeColor="accent1" w:sz="4" w:space="0"/>
          <w:left w:val="nil"/>
        </w:tcBorders>
      </w:tcPr>
    </w:tblStylePr>
    <w:tblStylePr w:type="swCell">
      <w:tcPr>
        <w:tcBorders>
          <w:top w:val="double" w:color="156082" w:themeColor="accent1" w:sz="4" w:space="0"/>
          <w:right w:val="nil"/>
        </w:tcBorders>
      </w:tcPr>
    </w:tblStylePr>
  </w:style>
  <w:style w:type="table" w:customStyle="1" w:styleId="303">
    <w:name w:val="清单表 3 - 着色 21"/>
    <w:basedOn w:val="89"/>
    <w:qFormat/>
    <w:uiPriority w:val="48"/>
    <w:tblPr>
      <w:tblBorders>
        <w:top w:val="single" w:color="E97132" w:themeColor="accent2" w:sz="4" w:space="0"/>
        <w:left w:val="single" w:color="E97132" w:themeColor="accent2" w:sz="4" w:space="0"/>
        <w:bottom w:val="single" w:color="E97132" w:themeColor="accent2" w:sz="4" w:space="0"/>
        <w:right w:val="single" w:color="E97132" w:themeColor="accent2" w:sz="4" w:space="0"/>
      </w:tblBorders>
    </w:tblPr>
    <w:tblStylePr w:type="firstRow">
      <w:rPr>
        <w:b/>
        <w:bCs/>
        <w:color w:val="FFFFFF" w:themeColor="background1"/>
        <w14:textFill>
          <w14:solidFill>
            <w14:schemeClr w14:val="bg1"/>
          </w14:solidFill>
        </w14:textFill>
      </w:rPr>
      <w:tcPr>
        <w:shd w:val="clear" w:color="auto" w:fill="E97132" w:themeFill="accent2"/>
      </w:tcPr>
    </w:tblStylePr>
    <w:tblStylePr w:type="lastRow">
      <w:rPr>
        <w:b/>
        <w:bCs/>
      </w:rPr>
      <w:tcPr>
        <w:tcBorders>
          <w:top w:val="double" w:color="E97132"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97132" w:themeColor="accent2" w:sz="4" w:space="0"/>
          <w:right w:val="single" w:color="E97132" w:themeColor="accent2" w:sz="4" w:space="0"/>
        </w:tcBorders>
      </w:tcPr>
    </w:tblStylePr>
    <w:tblStylePr w:type="band1Horz">
      <w:tcPr>
        <w:tcBorders>
          <w:top w:val="single" w:color="E97132" w:themeColor="accent2" w:sz="4" w:space="0"/>
          <w:bottom w:val="single" w:color="E97132"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97132" w:themeColor="accent2" w:sz="4" w:space="0"/>
          <w:left w:val="nil"/>
        </w:tcBorders>
      </w:tcPr>
    </w:tblStylePr>
    <w:tblStylePr w:type="swCell">
      <w:tcPr>
        <w:tcBorders>
          <w:top w:val="double" w:color="E97132" w:themeColor="accent2" w:sz="4" w:space="0"/>
          <w:right w:val="nil"/>
        </w:tcBorders>
      </w:tcPr>
    </w:tblStylePr>
  </w:style>
  <w:style w:type="table" w:customStyle="1" w:styleId="304">
    <w:name w:val="清单表 3 - 着色 31"/>
    <w:basedOn w:val="89"/>
    <w:qFormat/>
    <w:uiPriority w:val="48"/>
    <w:tblPr>
      <w:tblBorders>
        <w:top w:val="single" w:color="196B24" w:themeColor="accent3" w:sz="4" w:space="0"/>
        <w:left w:val="single" w:color="196B24" w:themeColor="accent3" w:sz="4" w:space="0"/>
        <w:bottom w:val="single" w:color="196B24" w:themeColor="accent3" w:sz="4" w:space="0"/>
        <w:right w:val="single" w:color="196B24" w:themeColor="accent3" w:sz="4" w:space="0"/>
      </w:tblBorders>
    </w:tblPr>
    <w:tblStylePr w:type="firstRow">
      <w:rPr>
        <w:b/>
        <w:bCs/>
        <w:color w:val="FFFFFF" w:themeColor="background1"/>
        <w14:textFill>
          <w14:solidFill>
            <w14:schemeClr w14:val="bg1"/>
          </w14:solidFill>
        </w14:textFill>
      </w:rPr>
      <w:tcPr>
        <w:shd w:val="clear" w:color="auto" w:fill="196B24" w:themeFill="accent3"/>
      </w:tcPr>
    </w:tblStylePr>
    <w:tblStylePr w:type="lastRow">
      <w:rPr>
        <w:b/>
        <w:bCs/>
      </w:rPr>
      <w:tcPr>
        <w:tcBorders>
          <w:top w:val="double" w:color="196B24"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96B24" w:themeColor="accent3" w:sz="4" w:space="0"/>
          <w:right w:val="single" w:color="196B24" w:themeColor="accent3" w:sz="4" w:space="0"/>
        </w:tcBorders>
      </w:tcPr>
    </w:tblStylePr>
    <w:tblStylePr w:type="band1Horz">
      <w:tcPr>
        <w:tcBorders>
          <w:top w:val="single" w:color="196B24" w:themeColor="accent3" w:sz="4" w:space="0"/>
          <w:bottom w:val="single" w:color="196B24"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96B24" w:themeColor="accent3" w:sz="4" w:space="0"/>
          <w:left w:val="nil"/>
        </w:tcBorders>
      </w:tcPr>
    </w:tblStylePr>
    <w:tblStylePr w:type="swCell">
      <w:tcPr>
        <w:tcBorders>
          <w:top w:val="double" w:color="196B24" w:themeColor="accent3" w:sz="4" w:space="0"/>
          <w:right w:val="nil"/>
        </w:tcBorders>
      </w:tcPr>
    </w:tblStylePr>
  </w:style>
  <w:style w:type="table" w:customStyle="1" w:styleId="305">
    <w:name w:val="清单表 3 - 着色 41"/>
    <w:basedOn w:val="89"/>
    <w:qFormat/>
    <w:uiPriority w:val="48"/>
    <w:tblPr>
      <w:tblBorders>
        <w:top w:val="single" w:color="0F9ED5" w:themeColor="accent4" w:sz="4" w:space="0"/>
        <w:left w:val="single" w:color="0F9ED5" w:themeColor="accent4" w:sz="4" w:space="0"/>
        <w:bottom w:val="single" w:color="0F9ED5" w:themeColor="accent4" w:sz="4" w:space="0"/>
        <w:right w:val="single" w:color="0F9ED5" w:themeColor="accent4" w:sz="4" w:space="0"/>
      </w:tblBorders>
    </w:tblPr>
    <w:tblStylePr w:type="firstRow">
      <w:rPr>
        <w:b/>
        <w:bCs/>
        <w:color w:val="FFFFFF" w:themeColor="background1"/>
        <w14:textFill>
          <w14:solidFill>
            <w14:schemeClr w14:val="bg1"/>
          </w14:solidFill>
        </w14:textFill>
      </w:rPr>
      <w:tcPr>
        <w:shd w:val="clear" w:color="auto" w:fill="0F9ED5" w:themeFill="accent4"/>
      </w:tcPr>
    </w:tblStylePr>
    <w:tblStylePr w:type="lastRow">
      <w:rPr>
        <w:b/>
        <w:bCs/>
      </w:rPr>
      <w:tcPr>
        <w:tcBorders>
          <w:top w:val="double" w:color="0F9ED5"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F9ED5" w:themeColor="accent4" w:sz="4" w:space="0"/>
          <w:right w:val="single" w:color="0F9ED5" w:themeColor="accent4" w:sz="4" w:space="0"/>
        </w:tcBorders>
      </w:tcPr>
    </w:tblStylePr>
    <w:tblStylePr w:type="band1Horz">
      <w:tcPr>
        <w:tcBorders>
          <w:top w:val="single" w:color="0F9ED5" w:themeColor="accent4" w:sz="4" w:space="0"/>
          <w:bottom w:val="single" w:color="0F9ED5"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F9ED5" w:themeColor="accent4" w:sz="4" w:space="0"/>
          <w:left w:val="nil"/>
        </w:tcBorders>
      </w:tcPr>
    </w:tblStylePr>
    <w:tblStylePr w:type="swCell">
      <w:tcPr>
        <w:tcBorders>
          <w:top w:val="double" w:color="0F9ED5" w:themeColor="accent4" w:sz="4" w:space="0"/>
          <w:right w:val="nil"/>
        </w:tcBorders>
      </w:tcPr>
    </w:tblStylePr>
  </w:style>
  <w:style w:type="table" w:customStyle="1" w:styleId="306">
    <w:name w:val="清单表 3 - 着色 51"/>
    <w:basedOn w:val="89"/>
    <w:qFormat/>
    <w:uiPriority w:val="48"/>
    <w:tblPr>
      <w:tblBorders>
        <w:top w:val="single" w:color="A02B93" w:themeColor="accent5" w:sz="4" w:space="0"/>
        <w:left w:val="single" w:color="A02B93" w:themeColor="accent5" w:sz="4" w:space="0"/>
        <w:bottom w:val="single" w:color="A02B93" w:themeColor="accent5" w:sz="4" w:space="0"/>
        <w:right w:val="single" w:color="A02B93" w:themeColor="accent5" w:sz="4" w:space="0"/>
      </w:tblBorders>
    </w:tblPr>
    <w:tblStylePr w:type="firstRow">
      <w:rPr>
        <w:b/>
        <w:bCs/>
        <w:color w:val="FFFFFF" w:themeColor="background1"/>
        <w14:textFill>
          <w14:solidFill>
            <w14:schemeClr w14:val="bg1"/>
          </w14:solidFill>
        </w14:textFill>
      </w:rPr>
      <w:tcPr>
        <w:shd w:val="clear" w:color="auto" w:fill="A02B93" w:themeFill="accent5"/>
      </w:tcPr>
    </w:tblStylePr>
    <w:tblStylePr w:type="lastRow">
      <w:rPr>
        <w:b/>
        <w:bCs/>
      </w:rPr>
      <w:tcPr>
        <w:tcBorders>
          <w:top w:val="double" w:color="A02B93"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02B93" w:themeColor="accent5" w:sz="4" w:space="0"/>
          <w:right w:val="single" w:color="A02B93" w:themeColor="accent5" w:sz="4" w:space="0"/>
        </w:tcBorders>
      </w:tcPr>
    </w:tblStylePr>
    <w:tblStylePr w:type="band1Horz">
      <w:tcPr>
        <w:tcBorders>
          <w:top w:val="single" w:color="A02B93" w:themeColor="accent5" w:sz="4" w:space="0"/>
          <w:bottom w:val="single" w:color="A02B93"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02B93" w:themeColor="accent5" w:sz="4" w:space="0"/>
          <w:left w:val="nil"/>
        </w:tcBorders>
      </w:tcPr>
    </w:tblStylePr>
    <w:tblStylePr w:type="swCell">
      <w:tcPr>
        <w:tcBorders>
          <w:top w:val="double" w:color="A02B93" w:themeColor="accent5" w:sz="4" w:space="0"/>
          <w:right w:val="nil"/>
        </w:tcBorders>
      </w:tcPr>
    </w:tblStylePr>
  </w:style>
  <w:style w:type="table" w:customStyle="1" w:styleId="307">
    <w:name w:val="清单表 3 - 着色 61"/>
    <w:basedOn w:val="89"/>
    <w:qFormat/>
    <w:uiPriority w:val="48"/>
    <w:tblPr>
      <w:tblBorders>
        <w:top w:val="single" w:color="4EA72E" w:themeColor="accent6" w:sz="4" w:space="0"/>
        <w:left w:val="single" w:color="4EA72E" w:themeColor="accent6" w:sz="4" w:space="0"/>
        <w:bottom w:val="single" w:color="4EA72E" w:themeColor="accent6" w:sz="4" w:space="0"/>
        <w:right w:val="single" w:color="4EA72E" w:themeColor="accent6" w:sz="4" w:space="0"/>
      </w:tblBorders>
    </w:tblPr>
    <w:tblStylePr w:type="firstRow">
      <w:rPr>
        <w:b/>
        <w:bCs/>
        <w:color w:val="FFFFFF" w:themeColor="background1"/>
        <w14:textFill>
          <w14:solidFill>
            <w14:schemeClr w14:val="bg1"/>
          </w14:solidFill>
        </w14:textFill>
      </w:rPr>
      <w:tcPr>
        <w:shd w:val="clear" w:color="auto" w:fill="4EA72E" w:themeFill="accent6"/>
      </w:tcPr>
    </w:tblStylePr>
    <w:tblStylePr w:type="lastRow">
      <w:rPr>
        <w:b/>
        <w:bCs/>
      </w:rPr>
      <w:tcPr>
        <w:tcBorders>
          <w:top w:val="double" w:color="4EA72E"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EA72E" w:themeColor="accent6" w:sz="4" w:space="0"/>
          <w:right w:val="single" w:color="4EA72E" w:themeColor="accent6" w:sz="4" w:space="0"/>
        </w:tcBorders>
      </w:tcPr>
    </w:tblStylePr>
    <w:tblStylePr w:type="band1Horz">
      <w:tcPr>
        <w:tcBorders>
          <w:top w:val="single" w:color="4EA72E" w:themeColor="accent6" w:sz="4" w:space="0"/>
          <w:bottom w:val="single" w:color="4EA72E"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EA72E" w:themeColor="accent6" w:sz="4" w:space="0"/>
          <w:left w:val="nil"/>
        </w:tcBorders>
      </w:tcPr>
    </w:tblStylePr>
    <w:tblStylePr w:type="swCell">
      <w:tcPr>
        <w:tcBorders>
          <w:top w:val="double" w:color="4EA72E" w:themeColor="accent6" w:sz="4" w:space="0"/>
          <w:right w:val="nil"/>
        </w:tcBorders>
      </w:tcPr>
    </w:tblStylePr>
  </w:style>
  <w:style w:type="table" w:customStyle="1" w:styleId="308">
    <w:name w:val="清单表 41"/>
    <w:basedOn w:val="89"/>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09">
    <w:name w:val="清单表 4 - 着色 11"/>
    <w:basedOn w:val="89"/>
    <w:qFormat/>
    <w:uiPriority w:val="49"/>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tcBorders>
        <w:shd w:val="clear" w:color="auto" w:fill="156082" w:themeFill="accent1"/>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10">
    <w:name w:val="清单表 4 - 着色 21"/>
    <w:basedOn w:val="89"/>
    <w:qFormat/>
    <w:uiPriority w:val="49"/>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tcBorders>
        <w:shd w:val="clear" w:color="auto" w:fill="E97132" w:themeFill="accent2"/>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11">
    <w:name w:val="清单表 4 - 着色 31"/>
    <w:basedOn w:val="89"/>
    <w:qFormat/>
    <w:uiPriority w:val="49"/>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tcBorders>
        <w:shd w:val="clear" w:color="auto" w:fill="196B24" w:themeFill="accent3"/>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12">
    <w:name w:val="清单表 4 - 着色 41"/>
    <w:basedOn w:val="89"/>
    <w:qFormat/>
    <w:uiPriority w:val="49"/>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tcBorders>
        <w:shd w:val="clear" w:color="auto" w:fill="0F9ED5" w:themeFill="accent4"/>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13">
    <w:name w:val="清单表 4 - 着色 51"/>
    <w:basedOn w:val="89"/>
    <w:qFormat/>
    <w:uiPriority w:val="49"/>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tcBorders>
        <w:shd w:val="clear" w:color="auto" w:fill="A02B93" w:themeFill="accent5"/>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14">
    <w:name w:val="清单表 4 - 着色 61"/>
    <w:basedOn w:val="89"/>
    <w:qFormat/>
    <w:uiPriority w:val="49"/>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tcBorders>
        <w:shd w:val="clear" w:color="auto" w:fill="4EA72E" w:themeFill="accent6"/>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15">
    <w:name w:val="清单表 5 深色1"/>
    <w:basedOn w:val="89"/>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6">
    <w:name w:val="清单表 5 深色 - 着色 11"/>
    <w:basedOn w:val="89"/>
    <w:qFormat/>
    <w:uiPriority w:val="50"/>
    <w:rPr>
      <w:color w:val="FFFFFF" w:themeColor="background1"/>
      <w14:textFill>
        <w14:solidFill>
          <w14:schemeClr w14:val="bg1"/>
        </w14:solidFill>
      </w14:textFill>
    </w:rPr>
    <w:tblPr>
      <w:tblBorders>
        <w:top w:val="single" w:color="156082" w:themeColor="accent1" w:sz="24" w:space="0"/>
        <w:left w:val="single" w:color="156082" w:themeColor="accent1" w:sz="24" w:space="0"/>
        <w:bottom w:val="single" w:color="156082" w:themeColor="accent1" w:sz="24" w:space="0"/>
        <w:right w:val="single" w:color="156082" w:themeColor="accent1" w:sz="24" w:space="0"/>
      </w:tblBorders>
    </w:tblPr>
    <w:tcPr>
      <w:shd w:val="clear" w:color="auto" w:fill="156082"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7">
    <w:name w:val="清单表 5 深色 - 着色 21"/>
    <w:basedOn w:val="89"/>
    <w:qFormat/>
    <w:uiPriority w:val="50"/>
    <w:rPr>
      <w:color w:val="FFFFFF" w:themeColor="background1"/>
      <w14:textFill>
        <w14:solidFill>
          <w14:schemeClr w14:val="bg1"/>
        </w14:solidFill>
      </w14:textFill>
    </w:rPr>
    <w:tblPr>
      <w:tblBorders>
        <w:top w:val="single" w:color="E97132" w:themeColor="accent2" w:sz="24" w:space="0"/>
        <w:left w:val="single" w:color="E97132" w:themeColor="accent2" w:sz="24" w:space="0"/>
        <w:bottom w:val="single" w:color="E97132" w:themeColor="accent2" w:sz="24" w:space="0"/>
        <w:right w:val="single" w:color="E97132" w:themeColor="accent2" w:sz="24" w:space="0"/>
      </w:tblBorders>
    </w:tblPr>
    <w:tcPr>
      <w:shd w:val="clear" w:color="auto" w:fill="E97132"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8">
    <w:name w:val="清单表 5 深色 - 着色 31"/>
    <w:basedOn w:val="89"/>
    <w:qFormat/>
    <w:uiPriority w:val="50"/>
    <w:rPr>
      <w:color w:val="FFFFFF" w:themeColor="background1"/>
      <w14:textFill>
        <w14:solidFill>
          <w14:schemeClr w14:val="bg1"/>
        </w14:solidFill>
      </w14:textFill>
    </w:rPr>
    <w:tblPr>
      <w:tblBorders>
        <w:top w:val="single" w:color="196B24" w:themeColor="accent3" w:sz="24" w:space="0"/>
        <w:left w:val="single" w:color="196B24" w:themeColor="accent3" w:sz="24" w:space="0"/>
        <w:bottom w:val="single" w:color="196B24" w:themeColor="accent3" w:sz="24" w:space="0"/>
        <w:right w:val="single" w:color="196B24" w:themeColor="accent3" w:sz="24" w:space="0"/>
      </w:tblBorders>
    </w:tblPr>
    <w:tcPr>
      <w:shd w:val="clear" w:color="auto" w:fill="196B24"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9">
    <w:name w:val="清单表 5 深色 - 着色 41"/>
    <w:basedOn w:val="89"/>
    <w:qFormat/>
    <w:uiPriority w:val="50"/>
    <w:rPr>
      <w:color w:val="FFFFFF" w:themeColor="background1"/>
      <w14:textFill>
        <w14:solidFill>
          <w14:schemeClr w14:val="bg1"/>
        </w14:solidFill>
      </w14:textFill>
    </w:rPr>
    <w:tblPr>
      <w:tblBorders>
        <w:top w:val="single" w:color="0F9ED5" w:themeColor="accent4" w:sz="24" w:space="0"/>
        <w:left w:val="single" w:color="0F9ED5" w:themeColor="accent4" w:sz="24" w:space="0"/>
        <w:bottom w:val="single" w:color="0F9ED5" w:themeColor="accent4" w:sz="24" w:space="0"/>
        <w:right w:val="single" w:color="0F9ED5" w:themeColor="accent4" w:sz="24" w:space="0"/>
      </w:tblBorders>
    </w:tblPr>
    <w:tcPr>
      <w:shd w:val="clear" w:color="auto" w:fill="0F9ED5"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0">
    <w:name w:val="清单表 5 深色 - 着色 51"/>
    <w:basedOn w:val="89"/>
    <w:qFormat/>
    <w:uiPriority w:val="50"/>
    <w:rPr>
      <w:color w:val="FFFFFF" w:themeColor="background1"/>
      <w14:textFill>
        <w14:solidFill>
          <w14:schemeClr w14:val="bg1"/>
        </w14:solidFill>
      </w14:textFill>
    </w:rPr>
    <w:tblPr>
      <w:tblBorders>
        <w:top w:val="single" w:color="A02B93" w:themeColor="accent5" w:sz="24" w:space="0"/>
        <w:left w:val="single" w:color="A02B93" w:themeColor="accent5" w:sz="24" w:space="0"/>
        <w:bottom w:val="single" w:color="A02B93" w:themeColor="accent5" w:sz="24" w:space="0"/>
        <w:right w:val="single" w:color="A02B93" w:themeColor="accent5" w:sz="24" w:space="0"/>
      </w:tblBorders>
    </w:tblPr>
    <w:tcPr>
      <w:shd w:val="clear" w:color="auto" w:fill="A02B93"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1">
    <w:name w:val="清单表 5 深色 - 着色 61"/>
    <w:basedOn w:val="89"/>
    <w:qFormat/>
    <w:uiPriority w:val="50"/>
    <w:rPr>
      <w:color w:val="FFFFFF" w:themeColor="background1"/>
      <w14:textFill>
        <w14:solidFill>
          <w14:schemeClr w14:val="bg1"/>
        </w14:solidFill>
      </w14:textFill>
    </w:rPr>
    <w:tblPr>
      <w:tblBorders>
        <w:top w:val="single" w:color="4EA72E" w:themeColor="accent6" w:sz="24" w:space="0"/>
        <w:left w:val="single" w:color="4EA72E" w:themeColor="accent6" w:sz="24" w:space="0"/>
        <w:bottom w:val="single" w:color="4EA72E" w:themeColor="accent6" w:sz="24" w:space="0"/>
        <w:right w:val="single" w:color="4EA72E" w:themeColor="accent6" w:sz="24" w:space="0"/>
      </w:tblBorders>
    </w:tblPr>
    <w:tcPr>
      <w:shd w:val="clear" w:color="auto" w:fill="4EA72E"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2">
    <w:name w:val="清单表 6 彩色1"/>
    <w:basedOn w:val="89"/>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23">
    <w:name w:val="清单表 6 彩色 - 着色 11"/>
    <w:basedOn w:val="89"/>
    <w:qFormat/>
    <w:uiPriority w:val="51"/>
    <w:rPr>
      <w:color w:val="104862" w:themeColor="accent1" w:themeShade="BF"/>
    </w:rPr>
    <w:tblPr>
      <w:tblBorders>
        <w:top w:val="single" w:color="156082" w:themeColor="accent1" w:sz="4" w:space="0"/>
        <w:bottom w:val="single" w:color="156082" w:themeColor="accent1" w:sz="4" w:space="0"/>
      </w:tblBorders>
    </w:tblPr>
    <w:tblStylePr w:type="firstRow">
      <w:rPr>
        <w:b/>
        <w:bCs/>
      </w:rPr>
      <w:tcPr>
        <w:tcBorders>
          <w:bottom w:val="single" w:color="156082" w:themeColor="accent1" w:sz="4" w:space="0"/>
        </w:tcBorders>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24">
    <w:name w:val="清单表 6 彩色 - 着色 21"/>
    <w:basedOn w:val="89"/>
    <w:qFormat/>
    <w:uiPriority w:val="51"/>
    <w:rPr>
      <w:color w:val="C04F15" w:themeColor="accent2" w:themeShade="BF"/>
    </w:rPr>
    <w:tblPr>
      <w:tblBorders>
        <w:top w:val="single" w:color="E97132" w:themeColor="accent2" w:sz="4" w:space="0"/>
        <w:bottom w:val="single" w:color="E97132" w:themeColor="accent2" w:sz="4" w:space="0"/>
      </w:tblBorders>
    </w:tblPr>
    <w:tblStylePr w:type="firstRow">
      <w:rPr>
        <w:b/>
        <w:bCs/>
      </w:rPr>
      <w:tcPr>
        <w:tcBorders>
          <w:bottom w:val="single" w:color="E97132" w:themeColor="accent2" w:sz="4" w:space="0"/>
        </w:tcBorders>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25">
    <w:name w:val="清单表 6 彩色 - 着色 31"/>
    <w:basedOn w:val="89"/>
    <w:qFormat/>
    <w:uiPriority w:val="51"/>
    <w:rPr>
      <w:color w:val="13501B" w:themeColor="accent3" w:themeShade="BF"/>
    </w:rPr>
    <w:tblPr>
      <w:tblBorders>
        <w:top w:val="single" w:color="196B24" w:themeColor="accent3" w:sz="4" w:space="0"/>
        <w:bottom w:val="single" w:color="196B24" w:themeColor="accent3" w:sz="4" w:space="0"/>
      </w:tblBorders>
    </w:tblPr>
    <w:tblStylePr w:type="firstRow">
      <w:rPr>
        <w:b/>
        <w:bCs/>
      </w:rPr>
      <w:tcPr>
        <w:tcBorders>
          <w:bottom w:val="single" w:color="196B24" w:themeColor="accent3" w:sz="4" w:space="0"/>
        </w:tcBorders>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26">
    <w:name w:val="清单表 6 彩色 - 着色 41"/>
    <w:basedOn w:val="89"/>
    <w:qFormat/>
    <w:uiPriority w:val="51"/>
    <w:rPr>
      <w:color w:val="0B76A0" w:themeColor="accent4" w:themeShade="BF"/>
    </w:rPr>
    <w:tblPr>
      <w:tblBorders>
        <w:top w:val="single" w:color="0F9ED5" w:themeColor="accent4" w:sz="4" w:space="0"/>
        <w:bottom w:val="single" w:color="0F9ED5" w:themeColor="accent4" w:sz="4" w:space="0"/>
      </w:tblBorders>
    </w:tblPr>
    <w:tblStylePr w:type="firstRow">
      <w:rPr>
        <w:b/>
        <w:bCs/>
      </w:rPr>
      <w:tcPr>
        <w:tcBorders>
          <w:bottom w:val="single" w:color="0F9ED5" w:themeColor="accent4" w:sz="4" w:space="0"/>
        </w:tcBorders>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27">
    <w:name w:val="清单表 6 彩色 - 着色 51"/>
    <w:basedOn w:val="89"/>
    <w:qFormat/>
    <w:uiPriority w:val="51"/>
    <w:rPr>
      <w:color w:val="78206E" w:themeColor="accent5" w:themeShade="BF"/>
    </w:rPr>
    <w:tblPr>
      <w:tblBorders>
        <w:top w:val="single" w:color="A02B93" w:themeColor="accent5" w:sz="4" w:space="0"/>
        <w:bottom w:val="single" w:color="A02B93" w:themeColor="accent5" w:sz="4" w:space="0"/>
      </w:tblBorders>
    </w:tblPr>
    <w:tblStylePr w:type="firstRow">
      <w:rPr>
        <w:b/>
        <w:bCs/>
      </w:rPr>
      <w:tcPr>
        <w:tcBorders>
          <w:bottom w:val="single" w:color="A02B93" w:themeColor="accent5" w:sz="4" w:space="0"/>
        </w:tcBorders>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28">
    <w:name w:val="清单表 6 彩色 - 着色 61"/>
    <w:basedOn w:val="89"/>
    <w:qFormat/>
    <w:uiPriority w:val="51"/>
    <w:rPr>
      <w:color w:val="3B7D23" w:themeColor="accent6" w:themeShade="BF"/>
    </w:rPr>
    <w:tblPr>
      <w:tblBorders>
        <w:top w:val="single" w:color="4EA72E" w:themeColor="accent6" w:sz="4" w:space="0"/>
        <w:bottom w:val="single" w:color="4EA72E" w:themeColor="accent6" w:sz="4" w:space="0"/>
      </w:tblBorders>
    </w:tblPr>
    <w:tblStylePr w:type="firstRow">
      <w:rPr>
        <w:b/>
        <w:bCs/>
      </w:rPr>
      <w:tcPr>
        <w:tcBorders>
          <w:bottom w:val="single" w:color="4EA72E" w:themeColor="accent6" w:sz="4" w:space="0"/>
        </w:tcBorders>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29">
    <w:name w:val="清单表 7 彩色1"/>
    <w:basedOn w:val="89"/>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0">
    <w:name w:val="清单表 7 彩色 - 着色 11"/>
    <w:basedOn w:val="89"/>
    <w:qFormat/>
    <w:uiPriority w:val="52"/>
    <w:rPr>
      <w:color w:val="104862" w:themeColor="accent1" w:themeShade="BF"/>
    </w:rPr>
    <w:tblStylePr w:type="firstRow">
      <w:rPr>
        <w:rFonts w:asciiTheme="majorHAnsi" w:hAnsiTheme="majorHAnsi" w:eastAsiaTheme="majorEastAsia" w:cstheme="majorBidi"/>
        <w:i/>
        <w:iCs/>
        <w:sz w:val="26"/>
      </w:rPr>
      <w:tcPr>
        <w:tcBorders>
          <w:bottom w:val="single" w:color="156082"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56082"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56082"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56082" w:themeColor="accent1" w:sz="4" w:space="0"/>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1">
    <w:name w:val="清单表 7 彩色 - 着色 21"/>
    <w:basedOn w:val="89"/>
    <w:qFormat/>
    <w:uiPriority w:val="52"/>
    <w:rPr>
      <w:color w:val="C04F15" w:themeColor="accent2" w:themeShade="BF"/>
    </w:rPr>
    <w:tblStylePr w:type="firstRow">
      <w:rPr>
        <w:rFonts w:asciiTheme="majorHAnsi" w:hAnsiTheme="majorHAnsi" w:eastAsiaTheme="majorEastAsia" w:cstheme="majorBidi"/>
        <w:i/>
        <w:iCs/>
        <w:sz w:val="26"/>
      </w:rPr>
      <w:tcPr>
        <w:tcBorders>
          <w:bottom w:val="single" w:color="E97132"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97132"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97132"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97132" w:themeColor="accent2" w:sz="4" w:space="0"/>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2">
    <w:name w:val="清单表 7 彩色 - 着色 31"/>
    <w:basedOn w:val="89"/>
    <w:qFormat/>
    <w:uiPriority w:val="52"/>
    <w:rPr>
      <w:color w:val="13501B" w:themeColor="accent3" w:themeShade="BF"/>
    </w:rPr>
    <w:tblStylePr w:type="firstRow">
      <w:rPr>
        <w:rFonts w:asciiTheme="majorHAnsi" w:hAnsiTheme="majorHAnsi" w:eastAsiaTheme="majorEastAsia" w:cstheme="majorBidi"/>
        <w:i/>
        <w:iCs/>
        <w:sz w:val="26"/>
      </w:rPr>
      <w:tcPr>
        <w:tcBorders>
          <w:bottom w:val="single" w:color="196B24"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96B24"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96B24"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96B24" w:themeColor="accent3" w:sz="4" w:space="0"/>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3">
    <w:name w:val="清单表 7 彩色 - 着色 41"/>
    <w:basedOn w:val="89"/>
    <w:qFormat/>
    <w:uiPriority w:val="52"/>
    <w:rPr>
      <w:color w:val="0B76A0" w:themeColor="accent4" w:themeShade="BF"/>
    </w:rPr>
    <w:tblStylePr w:type="firstRow">
      <w:rPr>
        <w:rFonts w:asciiTheme="majorHAnsi" w:hAnsiTheme="majorHAnsi" w:eastAsiaTheme="majorEastAsia" w:cstheme="majorBidi"/>
        <w:i/>
        <w:iCs/>
        <w:sz w:val="26"/>
      </w:rPr>
      <w:tcPr>
        <w:tcBorders>
          <w:bottom w:val="single" w:color="0F9ED5"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F9ED5"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F9ED5"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F9ED5" w:themeColor="accent4" w:sz="4" w:space="0"/>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4">
    <w:name w:val="清单表 7 彩色 - 着色 51"/>
    <w:basedOn w:val="89"/>
    <w:qFormat/>
    <w:uiPriority w:val="52"/>
    <w:rPr>
      <w:color w:val="78206E" w:themeColor="accent5" w:themeShade="BF"/>
    </w:rPr>
    <w:tblStylePr w:type="firstRow">
      <w:rPr>
        <w:rFonts w:asciiTheme="majorHAnsi" w:hAnsiTheme="majorHAnsi" w:eastAsiaTheme="majorEastAsia" w:cstheme="majorBidi"/>
        <w:i/>
        <w:iCs/>
        <w:sz w:val="26"/>
      </w:rPr>
      <w:tcPr>
        <w:tcBorders>
          <w:bottom w:val="single" w:color="A02B93"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02B93"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02B93"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02B93" w:themeColor="accent5" w:sz="4" w:space="0"/>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5">
    <w:name w:val="清单表 7 彩色 - 着色 61"/>
    <w:basedOn w:val="89"/>
    <w:qFormat/>
    <w:uiPriority w:val="52"/>
    <w:rPr>
      <w:color w:val="3B7D23" w:themeColor="accent6" w:themeShade="BF"/>
    </w:rPr>
    <w:tblStylePr w:type="firstRow">
      <w:rPr>
        <w:rFonts w:asciiTheme="majorHAnsi" w:hAnsiTheme="majorHAnsi" w:eastAsiaTheme="majorEastAsia" w:cstheme="majorBidi"/>
        <w:i/>
        <w:iCs/>
        <w:sz w:val="26"/>
      </w:rPr>
      <w:tcPr>
        <w:tcBorders>
          <w:bottom w:val="single" w:color="4EA72E"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EA72E"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EA72E"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EA72E" w:themeColor="accent6" w:sz="4" w:space="0"/>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36">
    <w:name w:val="日期 字符"/>
    <w:basedOn w:val="232"/>
    <w:link w:val="51"/>
    <w:semiHidden/>
    <w:qFormat/>
    <w:uiPriority w:val="99"/>
  </w:style>
  <w:style w:type="character" w:customStyle="1" w:styleId="337">
    <w:name w:val="书籍标题1"/>
    <w:basedOn w:val="232"/>
    <w:qFormat/>
    <w:uiPriority w:val="33"/>
    <w:rPr>
      <w:b/>
      <w:bCs/>
      <w:i/>
      <w:iCs/>
      <w:spacing w:val="5"/>
    </w:rPr>
  </w:style>
  <w:style w:type="paragraph" w:customStyle="1" w:styleId="338">
    <w:name w:val="书目1"/>
    <w:basedOn w:val="1"/>
    <w:next w:val="1"/>
    <w:semiHidden/>
    <w:unhideWhenUsed/>
    <w:qFormat/>
    <w:uiPriority w:val="37"/>
  </w:style>
  <w:style w:type="table" w:customStyle="1" w:styleId="339">
    <w:name w:val="网格表 1 浅色1"/>
    <w:basedOn w:val="89"/>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340">
    <w:name w:val="网格表 1 浅色 - 着色 11"/>
    <w:basedOn w:val="89"/>
    <w:qFormat/>
    <w:uiPriority w:val="46"/>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table" w:customStyle="1" w:styleId="341">
    <w:name w:val="网格表 1 浅色 - 着色 21"/>
    <w:basedOn w:val="89"/>
    <w:qFormat/>
    <w:uiPriority w:val="46"/>
    <w:tblPr>
      <w:tblBorders>
        <w:top w:val="single" w:color="F6C6AC" w:themeColor="accent2" w:themeTint="66" w:sz="4" w:space="0"/>
        <w:left w:val="single" w:color="F6C6AC" w:themeColor="accent2" w:themeTint="66" w:sz="4" w:space="0"/>
        <w:bottom w:val="single" w:color="F6C6AC" w:themeColor="accent2" w:themeTint="66" w:sz="4" w:space="0"/>
        <w:right w:val="single" w:color="F6C6AC" w:themeColor="accent2" w:themeTint="66" w:sz="4" w:space="0"/>
        <w:insideH w:val="single" w:color="F6C6AC" w:themeColor="accent2" w:themeTint="66" w:sz="4" w:space="0"/>
        <w:insideV w:val="single" w:color="F6C6AC" w:themeColor="accent2" w:themeTint="66"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2" w:space="0"/>
        </w:tcBorders>
      </w:tcPr>
    </w:tblStylePr>
    <w:tblStylePr w:type="firstCol">
      <w:rPr>
        <w:b/>
        <w:bCs/>
      </w:rPr>
    </w:tblStylePr>
    <w:tblStylePr w:type="lastCol">
      <w:rPr>
        <w:b/>
        <w:bCs/>
      </w:rPr>
    </w:tblStylePr>
  </w:style>
  <w:style w:type="table" w:customStyle="1" w:styleId="342">
    <w:name w:val="网格表 1 浅色 - 着色 31"/>
    <w:basedOn w:val="89"/>
    <w:qFormat/>
    <w:uiPriority w:val="46"/>
    <w:tblPr>
      <w:tblBorders>
        <w:top w:val="single" w:color="84E291" w:themeColor="accent3" w:themeTint="66" w:sz="4" w:space="0"/>
        <w:left w:val="single" w:color="84E291" w:themeColor="accent3" w:themeTint="66" w:sz="4" w:space="0"/>
        <w:bottom w:val="single" w:color="84E291" w:themeColor="accent3" w:themeTint="66" w:sz="4" w:space="0"/>
        <w:right w:val="single" w:color="84E291" w:themeColor="accent3" w:themeTint="66" w:sz="4" w:space="0"/>
        <w:insideH w:val="single" w:color="84E291" w:themeColor="accent3" w:themeTint="66" w:sz="4" w:space="0"/>
        <w:insideV w:val="single" w:color="84E291" w:themeColor="accent3" w:themeTint="66"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2" w:space="0"/>
        </w:tcBorders>
      </w:tcPr>
    </w:tblStylePr>
    <w:tblStylePr w:type="firstCol">
      <w:rPr>
        <w:b/>
        <w:bCs/>
      </w:rPr>
    </w:tblStylePr>
    <w:tblStylePr w:type="lastCol">
      <w:rPr>
        <w:b/>
        <w:bCs/>
      </w:rPr>
    </w:tblStylePr>
  </w:style>
  <w:style w:type="table" w:customStyle="1" w:styleId="343">
    <w:name w:val="网格表 1 浅色 - 着色 41"/>
    <w:basedOn w:val="89"/>
    <w:qFormat/>
    <w:uiPriority w:val="46"/>
    <w:tblPr>
      <w:tblBorders>
        <w:top w:val="single" w:color="95DCF7" w:themeColor="accent4" w:themeTint="66" w:sz="4" w:space="0"/>
        <w:left w:val="single" w:color="95DCF7" w:themeColor="accent4" w:themeTint="66" w:sz="4" w:space="0"/>
        <w:bottom w:val="single" w:color="95DCF7" w:themeColor="accent4" w:themeTint="66" w:sz="4" w:space="0"/>
        <w:right w:val="single" w:color="95DCF7" w:themeColor="accent4" w:themeTint="66" w:sz="4" w:space="0"/>
        <w:insideH w:val="single" w:color="95DCF7" w:themeColor="accent4" w:themeTint="66" w:sz="4" w:space="0"/>
        <w:insideV w:val="single" w:color="95DCF7" w:themeColor="accent4" w:themeTint="66"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2" w:space="0"/>
        </w:tcBorders>
      </w:tcPr>
    </w:tblStylePr>
    <w:tblStylePr w:type="firstCol">
      <w:rPr>
        <w:b/>
        <w:bCs/>
      </w:rPr>
    </w:tblStylePr>
    <w:tblStylePr w:type="lastCol">
      <w:rPr>
        <w:b/>
        <w:bCs/>
      </w:rPr>
    </w:tblStylePr>
  </w:style>
  <w:style w:type="table" w:customStyle="1" w:styleId="344">
    <w:name w:val="网格表 1 浅色 - 着色 51"/>
    <w:basedOn w:val="89"/>
    <w:qFormat/>
    <w:uiPriority w:val="46"/>
    <w:tblPr>
      <w:tblBorders>
        <w:top w:val="single" w:color="E49EDD" w:themeColor="accent5" w:themeTint="66" w:sz="4" w:space="0"/>
        <w:left w:val="single" w:color="E49EDD" w:themeColor="accent5" w:themeTint="66" w:sz="4" w:space="0"/>
        <w:bottom w:val="single" w:color="E49EDD" w:themeColor="accent5" w:themeTint="66" w:sz="4" w:space="0"/>
        <w:right w:val="single" w:color="E49EDD" w:themeColor="accent5" w:themeTint="66" w:sz="4" w:space="0"/>
        <w:insideH w:val="single" w:color="E49EDD" w:themeColor="accent5" w:themeTint="66" w:sz="4" w:space="0"/>
        <w:insideV w:val="single" w:color="E49EDD" w:themeColor="accent5" w:themeTint="66"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2" w:space="0"/>
        </w:tcBorders>
      </w:tcPr>
    </w:tblStylePr>
    <w:tblStylePr w:type="firstCol">
      <w:rPr>
        <w:b/>
        <w:bCs/>
      </w:rPr>
    </w:tblStylePr>
    <w:tblStylePr w:type="lastCol">
      <w:rPr>
        <w:b/>
        <w:bCs/>
      </w:rPr>
    </w:tblStylePr>
  </w:style>
  <w:style w:type="table" w:customStyle="1" w:styleId="345">
    <w:name w:val="网格表 1 浅色 - 着色 61"/>
    <w:basedOn w:val="89"/>
    <w:qFormat/>
    <w:uiPriority w:val="46"/>
    <w:tblPr>
      <w:tblBorders>
        <w:top w:val="single" w:color="B3E5A1" w:themeColor="accent6" w:themeTint="66" w:sz="4" w:space="0"/>
        <w:left w:val="single" w:color="B3E5A1" w:themeColor="accent6" w:themeTint="66" w:sz="4" w:space="0"/>
        <w:bottom w:val="single" w:color="B3E5A1" w:themeColor="accent6" w:themeTint="66" w:sz="4" w:space="0"/>
        <w:right w:val="single" w:color="B3E5A1" w:themeColor="accent6" w:themeTint="66" w:sz="4" w:space="0"/>
        <w:insideH w:val="single" w:color="B3E5A1" w:themeColor="accent6" w:themeTint="66" w:sz="4" w:space="0"/>
        <w:insideV w:val="single" w:color="B3E5A1" w:themeColor="accent6" w:themeTint="66"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2" w:space="0"/>
        </w:tcBorders>
      </w:tcPr>
    </w:tblStylePr>
    <w:tblStylePr w:type="firstCol">
      <w:rPr>
        <w:b/>
        <w:bCs/>
      </w:rPr>
    </w:tblStylePr>
    <w:tblStylePr w:type="lastCol">
      <w:rPr>
        <w:b/>
        <w:bCs/>
      </w:rPr>
    </w:tblStylePr>
  </w:style>
  <w:style w:type="table" w:customStyle="1" w:styleId="346">
    <w:name w:val="网格表 21"/>
    <w:basedOn w:val="89"/>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7">
    <w:name w:val="网格表 2 - 着色 11"/>
    <w:basedOn w:val="89"/>
    <w:qFormat/>
    <w:uiPriority w:val="47"/>
    <w:tblPr>
      <w:tblBorders>
        <w:top w:val="single" w:color="45B0E1" w:themeColor="accent1" w:themeTint="99" w:sz="2" w:space="0"/>
        <w:bottom w:val="single" w:color="45B0E1" w:themeColor="accent1" w:themeTint="99" w:sz="2" w:space="0"/>
        <w:insideH w:val="single" w:color="45B0E1" w:themeColor="accent1" w:themeTint="99" w:sz="2" w:space="0"/>
        <w:insideV w:val="single" w:color="45B0E1" w:themeColor="accent1" w:themeTint="99" w:sz="2" w:space="0"/>
      </w:tblBorders>
    </w:tblPr>
    <w:tblStylePr w:type="firstRow">
      <w:rPr>
        <w:b/>
        <w:bCs/>
      </w:rPr>
      <w:tcPr>
        <w:tcBorders>
          <w:top w:val="nil"/>
          <w:bottom w:val="single" w:color="45B0E1" w:themeColor="accent1" w:themeTint="99" w:sz="12" w:space="0"/>
          <w:insideH w:val="nil"/>
          <w:insideV w:val="nil"/>
        </w:tcBorders>
        <w:shd w:val="clear" w:color="auto" w:fill="FFFFFF" w:themeFill="background1"/>
      </w:tcPr>
    </w:tblStylePr>
    <w:tblStylePr w:type="lastRow">
      <w:rPr>
        <w:b/>
        <w:bCs/>
      </w:rPr>
      <w:tcPr>
        <w:tcBorders>
          <w:top w:val="double" w:color="45B0E1"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48">
    <w:name w:val="网格表 2 - 着色 21"/>
    <w:basedOn w:val="89"/>
    <w:qFormat/>
    <w:uiPriority w:val="47"/>
    <w:tblPr>
      <w:tblBorders>
        <w:top w:val="single" w:color="F1A983" w:themeColor="accent2" w:themeTint="99" w:sz="2" w:space="0"/>
        <w:bottom w:val="single" w:color="F1A983" w:themeColor="accent2" w:themeTint="99" w:sz="2" w:space="0"/>
        <w:insideH w:val="single" w:color="F1A983" w:themeColor="accent2" w:themeTint="99" w:sz="2" w:space="0"/>
        <w:insideV w:val="single" w:color="F1A983" w:themeColor="accent2" w:themeTint="99" w:sz="2" w:space="0"/>
      </w:tblBorders>
    </w:tblPr>
    <w:tblStylePr w:type="firstRow">
      <w:rPr>
        <w:b/>
        <w:bCs/>
      </w:rPr>
      <w:tcPr>
        <w:tcBorders>
          <w:top w:val="nil"/>
          <w:bottom w:val="single" w:color="F1A983" w:themeColor="accent2" w:themeTint="99" w:sz="12" w:space="0"/>
          <w:insideH w:val="nil"/>
          <w:insideV w:val="nil"/>
        </w:tcBorders>
        <w:shd w:val="clear" w:color="auto" w:fill="FFFFFF" w:themeFill="background1"/>
      </w:tcPr>
    </w:tblStylePr>
    <w:tblStylePr w:type="lastRow">
      <w:rPr>
        <w:b/>
        <w:bCs/>
      </w:rPr>
      <w:tcPr>
        <w:tcBorders>
          <w:top w:val="double" w:color="F1A9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49">
    <w:name w:val="网格表 2 - 着色 31"/>
    <w:basedOn w:val="89"/>
    <w:qFormat/>
    <w:uiPriority w:val="47"/>
    <w:tblPr>
      <w:tblBorders>
        <w:top w:val="single" w:color="47D45A" w:themeColor="accent3" w:themeTint="99" w:sz="2" w:space="0"/>
        <w:bottom w:val="single" w:color="47D45A" w:themeColor="accent3" w:themeTint="99" w:sz="2" w:space="0"/>
        <w:insideH w:val="single" w:color="47D45A" w:themeColor="accent3" w:themeTint="99" w:sz="2" w:space="0"/>
        <w:insideV w:val="single" w:color="47D45A" w:themeColor="accent3" w:themeTint="99" w:sz="2" w:space="0"/>
      </w:tblBorders>
    </w:tblPr>
    <w:tblStylePr w:type="firstRow">
      <w:rPr>
        <w:b/>
        <w:bCs/>
      </w:rPr>
      <w:tcPr>
        <w:tcBorders>
          <w:top w:val="nil"/>
          <w:bottom w:val="single" w:color="47D45A" w:themeColor="accent3" w:themeTint="99" w:sz="12" w:space="0"/>
          <w:insideH w:val="nil"/>
          <w:insideV w:val="nil"/>
        </w:tcBorders>
        <w:shd w:val="clear" w:color="auto" w:fill="FFFFFF" w:themeFill="background1"/>
      </w:tcPr>
    </w:tblStylePr>
    <w:tblStylePr w:type="lastRow">
      <w:rPr>
        <w:b/>
        <w:bCs/>
      </w:rPr>
      <w:tcPr>
        <w:tcBorders>
          <w:top w:val="double" w:color="47D45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50">
    <w:name w:val="网格表 2 - 着色 41"/>
    <w:basedOn w:val="89"/>
    <w:qFormat/>
    <w:uiPriority w:val="47"/>
    <w:tblPr>
      <w:tblBorders>
        <w:top w:val="single" w:color="60CBF3" w:themeColor="accent4" w:themeTint="99" w:sz="2" w:space="0"/>
        <w:bottom w:val="single" w:color="60CBF3" w:themeColor="accent4" w:themeTint="99" w:sz="2" w:space="0"/>
        <w:insideH w:val="single" w:color="60CBF3" w:themeColor="accent4" w:themeTint="99" w:sz="2" w:space="0"/>
        <w:insideV w:val="single" w:color="60CBF3" w:themeColor="accent4" w:themeTint="99" w:sz="2" w:space="0"/>
      </w:tblBorders>
    </w:tblPr>
    <w:tblStylePr w:type="firstRow">
      <w:rPr>
        <w:b/>
        <w:bCs/>
      </w:rPr>
      <w:tcPr>
        <w:tcBorders>
          <w:top w:val="nil"/>
          <w:bottom w:val="single" w:color="60CBF3" w:themeColor="accent4" w:themeTint="99" w:sz="12" w:space="0"/>
          <w:insideH w:val="nil"/>
          <w:insideV w:val="nil"/>
        </w:tcBorders>
        <w:shd w:val="clear" w:color="auto" w:fill="FFFFFF" w:themeFill="background1"/>
      </w:tcPr>
    </w:tblStylePr>
    <w:tblStylePr w:type="lastRow">
      <w:rPr>
        <w:b/>
        <w:bCs/>
      </w:rPr>
      <w:tcPr>
        <w:tcBorders>
          <w:top w:val="double" w:color="60CBF3"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51">
    <w:name w:val="网格表 2 - 着色 51"/>
    <w:basedOn w:val="89"/>
    <w:qFormat/>
    <w:uiPriority w:val="47"/>
    <w:tblPr>
      <w:tblBorders>
        <w:top w:val="single" w:color="D76DCC" w:themeColor="accent5" w:themeTint="99" w:sz="2" w:space="0"/>
        <w:bottom w:val="single" w:color="D76DCC" w:themeColor="accent5" w:themeTint="99" w:sz="2" w:space="0"/>
        <w:insideH w:val="single" w:color="D76DCC" w:themeColor="accent5" w:themeTint="99" w:sz="2" w:space="0"/>
        <w:insideV w:val="single" w:color="D76DCC" w:themeColor="accent5" w:themeTint="99" w:sz="2" w:space="0"/>
      </w:tblBorders>
    </w:tblPr>
    <w:tblStylePr w:type="firstRow">
      <w:rPr>
        <w:b/>
        <w:bCs/>
      </w:rPr>
      <w:tcPr>
        <w:tcBorders>
          <w:top w:val="nil"/>
          <w:bottom w:val="single" w:color="D76DCC" w:themeColor="accent5" w:themeTint="99" w:sz="12" w:space="0"/>
          <w:insideH w:val="nil"/>
          <w:insideV w:val="nil"/>
        </w:tcBorders>
        <w:shd w:val="clear" w:color="auto" w:fill="FFFFFF" w:themeFill="background1"/>
      </w:tcPr>
    </w:tblStylePr>
    <w:tblStylePr w:type="lastRow">
      <w:rPr>
        <w:b/>
        <w:bCs/>
      </w:rPr>
      <w:tcPr>
        <w:tcBorders>
          <w:top w:val="double" w:color="D76DC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52">
    <w:name w:val="网格表 2 - 着色 61"/>
    <w:basedOn w:val="89"/>
    <w:qFormat/>
    <w:uiPriority w:val="47"/>
    <w:tblPr>
      <w:tblBorders>
        <w:top w:val="single" w:color="8ED873" w:themeColor="accent6" w:themeTint="99" w:sz="2" w:space="0"/>
        <w:bottom w:val="single" w:color="8ED873" w:themeColor="accent6" w:themeTint="99" w:sz="2" w:space="0"/>
        <w:insideH w:val="single" w:color="8ED873" w:themeColor="accent6" w:themeTint="99" w:sz="2" w:space="0"/>
        <w:insideV w:val="single" w:color="8ED873" w:themeColor="accent6" w:themeTint="99" w:sz="2" w:space="0"/>
      </w:tblBorders>
    </w:tblPr>
    <w:tblStylePr w:type="firstRow">
      <w:rPr>
        <w:b/>
        <w:bCs/>
      </w:rPr>
      <w:tcPr>
        <w:tcBorders>
          <w:top w:val="nil"/>
          <w:bottom w:val="single" w:color="8ED873" w:themeColor="accent6" w:themeTint="99" w:sz="12" w:space="0"/>
          <w:insideH w:val="nil"/>
          <w:insideV w:val="nil"/>
        </w:tcBorders>
        <w:shd w:val="clear" w:color="auto" w:fill="FFFFFF" w:themeFill="background1"/>
      </w:tcPr>
    </w:tblStylePr>
    <w:tblStylePr w:type="lastRow">
      <w:rPr>
        <w:b/>
        <w:bCs/>
      </w:rPr>
      <w:tcPr>
        <w:tcBorders>
          <w:top w:val="double" w:color="8ED873"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53">
    <w:name w:val="网格表 31"/>
    <w:basedOn w:val="89"/>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54">
    <w:name w:val="网格表 3 - 着色 11"/>
    <w:basedOn w:val="89"/>
    <w:qFormat/>
    <w:uiPriority w:val="48"/>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55">
    <w:name w:val="网格表 3 - 着色 21"/>
    <w:basedOn w:val="89"/>
    <w:qFormat/>
    <w:uiPriority w:val="48"/>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56">
    <w:name w:val="网格表 3 - 着色 31"/>
    <w:basedOn w:val="89"/>
    <w:qFormat/>
    <w:uiPriority w:val="48"/>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57">
    <w:name w:val="网格表 3 - 着色 41"/>
    <w:basedOn w:val="89"/>
    <w:qFormat/>
    <w:uiPriority w:val="48"/>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58">
    <w:name w:val="网格表 3 - 着色 51"/>
    <w:basedOn w:val="89"/>
    <w:qFormat/>
    <w:uiPriority w:val="48"/>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59">
    <w:name w:val="网格表 3 - 着色 61"/>
    <w:basedOn w:val="89"/>
    <w:qFormat/>
    <w:uiPriority w:val="48"/>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60">
    <w:name w:val="网格表 41"/>
    <w:basedOn w:val="89"/>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61">
    <w:name w:val="网格表 4 - 着色 11"/>
    <w:basedOn w:val="89"/>
    <w:qFormat/>
    <w:uiPriority w:val="49"/>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62">
    <w:name w:val="网格表 4 - 着色 21"/>
    <w:basedOn w:val="89"/>
    <w:qFormat/>
    <w:uiPriority w:val="49"/>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insideV w:val="nil"/>
        </w:tcBorders>
        <w:shd w:val="clear" w:color="auto" w:fill="E97132" w:themeFill="accent2"/>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63">
    <w:name w:val="网格表 4 - 着色 31"/>
    <w:basedOn w:val="89"/>
    <w:qFormat/>
    <w:uiPriority w:val="49"/>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insideV w:val="nil"/>
        </w:tcBorders>
        <w:shd w:val="clear" w:color="auto" w:fill="196B24" w:themeFill="accent3"/>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64">
    <w:name w:val="网格表 4 - 着色 41"/>
    <w:basedOn w:val="89"/>
    <w:qFormat/>
    <w:uiPriority w:val="49"/>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insideV w:val="nil"/>
        </w:tcBorders>
        <w:shd w:val="clear" w:color="auto" w:fill="0F9ED5" w:themeFill="accent4"/>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65">
    <w:name w:val="网格表 4 - 着色 51"/>
    <w:basedOn w:val="89"/>
    <w:qFormat/>
    <w:uiPriority w:val="49"/>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insideV w:val="nil"/>
        </w:tcBorders>
        <w:shd w:val="clear" w:color="auto" w:fill="A02B93" w:themeFill="accent5"/>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66">
    <w:name w:val="网格表 4 - 着色 61"/>
    <w:basedOn w:val="89"/>
    <w:qFormat/>
    <w:uiPriority w:val="49"/>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insideV w:val="nil"/>
        </w:tcBorders>
        <w:shd w:val="clear" w:color="auto" w:fill="4EA72E" w:themeFill="accent6"/>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67">
    <w:name w:val="网格表 5 深色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368">
    <w:name w:val="网格表 5 深色 - 着色 1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E4F5"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56082"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56082"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56082"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56082" w:themeFill="accent1"/>
      </w:tcPr>
    </w:tblStylePr>
    <w:tblStylePr w:type="band1Vert">
      <w:tcPr>
        <w:shd w:val="clear" w:color="auto" w:fill="83CAEB" w:themeFill="accent1" w:themeFillTint="66"/>
      </w:tcPr>
    </w:tblStylePr>
    <w:tblStylePr w:type="band1Horz">
      <w:tcPr>
        <w:shd w:val="clear" w:color="auto" w:fill="83CAEB" w:themeFill="accent1" w:themeFillTint="66"/>
      </w:tcPr>
    </w:tblStylePr>
  </w:style>
  <w:style w:type="table" w:customStyle="1" w:styleId="369">
    <w:name w:val="网格表 5 深色 - 着色 2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AE2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97132"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97132"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97132"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97132" w:themeFill="accent2"/>
      </w:tcPr>
    </w:tblStylePr>
    <w:tblStylePr w:type="band1Vert">
      <w:tcPr>
        <w:shd w:val="clear" w:color="auto" w:fill="F6C6AC" w:themeFill="accent2" w:themeFillTint="66"/>
      </w:tcPr>
    </w:tblStylePr>
    <w:tblStylePr w:type="band1Horz">
      <w:tcPr>
        <w:shd w:val="clear" w:color="auto" w:fill="F6C6AC" w:themeFill="accent2" w:themeFillTint="66"/>
      </w:tcPr>
    </w:tblStylePr>
  </w:style>
  <w:style w:type="table" w:customStyle="1" w:styleId="370">
    <w:name w:val="网格表 5 深色 - 着色 3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F0C8"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96B24"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96B24"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96B24"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96B24" w:themeFill="accent3"/>
      </w:tcPr>
    </w:tblStylePr>
    <w:tblStylePr w:type="band1Vert">
      <w:tcPr>
        <w:shd w:val="clear" w:color="auto" w:fill="84E291" w:themeFill="accent3" w:themeFillTint="66"/>
      </w:tcPr>
    </w:tblStylePr>
    <w:tblStylePr w:type="band1Horz">
      <w:tcPr>
        <w:shd w:val="clear" w:color="auto" w:fill="84E291" w:themeFill="accent3" w:themeFillTint="66"/>
      </w:tcPr>
    </w:tblStylePr>
  </w:style>
  <w:style w:type="table" w:customStyle="1" w:styleId="371">
    <w:name w:val="网格表 5 深色 - 着色 4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AEDFB"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F9ED5"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F9ED5"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F9ED5"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F9ED5" w:themeFill="accent4"/>
      </w:tcPr>
    </w:tblStylePr>
    <w:tblStylePr w:type="band1Vert">
      <w:tcPr>
        <w:shd w:val="clear" w:color="auto" w:fill="95DCF7" w:themeFill="accent4" w:themeFillTint="66"/>
      </w:tcPr>
    </w:tblStylePr>
    <w:tblStylePr w:type="band1Horz">
      <w:tcPr>
        <w:shd w:val="clear" w:color="auto" w:fill="95DCF7" w:themeFill="accent4" w:themeFillTint="66"/>
      </w:tcPr>
    </w:tblStylePr>
  </w:style>
  <w:style w:type="table" w:customStyle="1" w:styleId="372">
    <w:name w:val="网格表 5 深色 - 着色 5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1CEEE"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02B93"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02B93"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02B93"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02B93" w:themeFill="accent5"/>
      </w:tcPr>
    </w:tblStylePr>
    <w:tblStylePr w:type="band1Vert">
      <w:tcPr>
        <w:shd w:val="clear" w:color="auto" w:fill="E49EDD" w:themeFill="accent5" w:themeFillTint="66"/>
      </w:tcPr>
    </w:tblStylePr>
    <w:tblStylePr w:type="band1Horz">
      <w:tcPr>
        <w:shd w:val="clear" w:color="auto" w:fill="E49EDD" w:themeFill="accent5" w:themeFillTint="66"/>
      </w:tcPr>
    </w:tblStylePr>
  </w:style>
  <w:style w:type="table" w:customStyle="1" w:styleId="373">
    <w:name w:val="网格表 5 深色 - 着色 6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F2D0"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EA72E"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EA72E"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EA72E"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EA72E" w:themeFill="accent6"/>
      </w:tcPr>
    </w:tblStylePr>
    <w:tblStylePr w:type="band1Vert">
      <w:tcPr>
        <w:shd w:val="clear" w:color="auto" w:fill="B3E5A1" w:themeFill="accent6" w:themeFillTint="66"/>
      </w:tcPr>
    </w:tblStylePr>
    <w:tblStylePr w:type="band1Horz">
      <w:tcPr>
        <w:shd w:val="clear" w:color="auto" w:fill="B3E5A1" w:themeFill="accent6" w:themeFillTint="66"/>
      </w:tcPr>
    </w:tblStylePr>
  </w:style>
  <w:style w:type="table" w:customStyle="1" w:styleId="374">
    <w:name w:val="网格表 6 彩色1"/>
    <w:basedOn w:val="89"/>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5">
    <w:name w:val="网格表 6 彩色 - 着色 11"/>
    <w:basedOn w:val="89"/>
    <w:qFormat/>
    <w:uiPriority w:val="51"/>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76">
    <w:name w:val="网格表 6 彩色 - 着色 21"/>
    <w:basedOn w:val="89"/>
    <w:qFormat/>
    <w:uiPriority w:val="51"/>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77">
    <w:name w:val="网格表 6 彩色 - 着色 31"/>
    <w:basedOn w:val="89"/>
    <w:qFormat/>
    <w:uiPriority w:val="51"/>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78">
    <w:name w:val="网格表 6 彩色 - 着色 41"/>
    <w:basedOn w:val="89"/>
    <w:qFormat/>
    <w:uiPriority w:val="51"/>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79">
    <w:name w:val="网格表 6 彩色 - 着色 51"/>
    <w:basedOn w:val="89"/>
    <w:qFormat/>
    <w:uiPriority w:val="51"/>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80">
    <w:name w:val="网格表 6 彩色 - 着色 61"/>
    <w:basedOn w:val="89"/>
    <w:qFormat/>
    <w:uiPriority w:val="51"/>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81">
    <w:name w:val="网格表 7 彩色1"/>
    <w:basedOn w:val="89"/>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82">
    <w:name w:val="网格表 7 彩色 - 着色 11"/>
    <w:basedOn w:val="89"/>
    <w:qFormat/>
    <w:uiPriority w:val="52"/>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83">
    <w:name w:val="网格表 7 彩色 - 着色 21"/>
    <w:basedOn w:val="89"/>
    <w:qFormat/>
    <w:uiPriority w:val="52"/>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84">
    <w:name w:val="网格表 7 彩色 - 着色 31"/>
    <w:basedOn w:val="89"/>
    <w:qFormat/>
    <w:uiPriority w:val="52"/>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85">
    <w:name w:val="网格表 7 彩色 - 着色 41"/>
    <w:basedOn w:val="89"/>
    <w:qFormat/>
    <w:uiPriority w:val="52"/>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86">
    <w:name w:val="网格表 7 彩色 - 着色 51"/>
    <w:basedOn w:val="89"/>
    <w:qFormat/>
    <w:uiPriority w:val="52"/>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87">
    <w:name w:val="网格表 7 彩色 - 着色 61"/>
    <w:basedOn w:val="89"/>
    <w:qFormat/>
    <w:uiPriority w:val="52"/>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88">
    <w:name w:val="网格型浅色1"/>
    <w:basedOn w:val="89"/>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389">
    <w:name w:val="尾注文本 字符"/>
    <w:basedOn w:val="232"/>
    <w:link w:val="53"/>
    <w:semiHidden/>
    <w:qFormat/>
    <w:uiPriority w:val="99"/>
  </w:style>
  <w:style w:type="character" w:customStyle="1" w:styleId="390">
    <w:name w:val="未处理的提及1"/>
    <w:basedOn w:val="232"/>
    <w:semiHidden/>
    <w:unhideWhenUsed/>
    <w:qFormat/>
    <w:uiPriority w:val="99"/>
    <w:rPr>
      <w:color w:val="605E5C"/>
      <w:shd w:val="clear" w:color="auto" w:fill="E1DFDD"/>
    </w:rPr>
  </w:style>
  <w:style w:type="character" w:customStyle="1" w:styleId="391">
    <w:name w:val="文档结构图 字符"/>
    <w:basedOn w:val="232"/>
    <w:link w:val="27"/>
    <w:semiHidden/>
    <w:qFormat/>
    <w:uiPriority w:val="99"/>
    <w:rPr>
      <w:rFonts w:ascii="Microsoft YaHei UI" w:eastAsia="Microsoft YaHei UI"/>
      <w:sz w:val="18"/>
      <w:szCs w:val="18"/>
    </w:rPr>
  </w:style>
  <w:style w:type="table" w:customStyle="1" w:styleId="392">
    <w:name w:val="无格式表格 11"/>
    <w:basedOn w:val="89"/>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3">
    <w:name w:val="无格式表格 21"/>
    <w:basedOn w:val="89"/>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94">
    <w:name w:val="无格式表格 31"/>
    <w:basedOn w:val="89"/>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395">
    <w:name w:val="无格式表格 41"/>
    <w:basedOn w:val="89"/>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6">
    <w:name w:val="无格式表格 51"/>
    <w:basedOn w:val="89"/>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397">
    <w:name w:val="No Spacing"/>
    <w:qFormat/>
    <w:uiPriority w:val="1"/>
    <w:pPr>
      <w:widowControl w:val="0"/>
    </w:pPr>
    <w:rPr>
      <w:rFonts w:asciiTheme="minorHAnsi" w:hAnsiTheme="minorHAnsi" w:eastAsiaTheme="minorEastAsia" w:cstheme="minorBidi"/>
      <w:kern w:val="2"/>
      <w:sz w:val="32"/>
      <w:szCs w:val="24"/>
      <w:lang w:val="en-US" w:eastAsia="zh-CN" w:bidi="ar-SA"/>
      <w14:ligatures w14:val="standardContextual"/>
    </w:rPr>
  </w:style>
  <w:style w:type="character" w:customStyle="1" w:styleId="398">
    <w:name w:val="信息标题 字符"/>
    <w:basedOn w:val="232"/>
    <w:link w:val="80"/>
    <w:semiHidden/>
    <w:qFormat/>
    <w:uiPriority w:val="99"/>
    <w:rPr>
      <w:rFonts w:asciiTheme="majorHAnsi" w:hAnsiTheme="majorHAnsi" w:eastAsiaTheme="majorEastAsia" w:cstheme="majorBidi"/>
      <w:sz w:val="24"/>
      <w:shd w:val="pct20" w:color="auto" w:fill="auto"/>
    </w:rPr>
  </w:style>
  <w:style w:type="character" w:styleId="399">
    <w:name w:val="Placeholder Text"/>
    <w:basedOn w:val="232"/>
    <w:semiHidden/>
    <w:qFormat/>
    <w:uiPriority w:val="99"/>
    <w:rPr>
      <w:color w:val="666666"/>
    </w:rPr>
  </w:style>
  <w:style w:type="character" w:customStyle="1" w:styleId="400">
    <w:name w:val="正文文本 字符"/>
    <w:basedOn w:val="232"/>
    <w:link w:val="35"/>
    <w:semiHidden/>
    <w:qFormat/>
    <w:uiPriority w:val="0"/>
    <w:rPr>
      <w:rFonts w:ascii="仿宋" w:hAnsi="仿宋" w:eastAsia="仿宋" w:cs="仿宋"/>
      <w:snapToGrid w:val="0"/>
      <w:color w:val="000000"/>
      <w:kern w:val="0"/>
      <w:sz w:val="24"/>
      <w:lang w:eastAsia="en-US"/>
      <w14:ligatures w14:val="none"/>
    </w:rPr>
  </w:style>
  <w:style w:type="character" w:customStyle="1" w:styleId="401">
    <w:name w:val="正文文本 2 字符"/>
    <w:basedOn w:val="232"/>
    <w:link w:val="77"/>
    <w:semiHidden/>
    <w:qFormat/>
    <w:uiPriority w:val="99"/>
  </w:style>
  <w:style w:type="character" w:customStyle="1" w:styleId="402">
    <w:name w:val="正文文本 3 字符"/>
    <w:basedOn w:val="232"/>
    <w:link w:val="32"/>
    <w:semiHidden/>
    <w:qFormat/>
    <w:uiPriority w:val="99"/>
    <w:rPr>
      <w:sz w:val="16"/>
      <w:szCs w:val="16"/>
    </w:rPr>
  </w:style>
  <w:style w:type="character" w:customStyle="1" w:styleId="403">
    <w:name w:val="正文文本首行缩进 字符"/>
    <w:basedOn w:val="400"/>
    <w:link w:val="87"/>
    <w:semiHidden/>
    <w:qFormat/>
    <w:uiPriority w:val="99"/>
    <w:rPr>
      <w:rFonts w:ascii="仿宋" w:hAnsi="仿宋" w:eastAsia="仿宋" w:cs="仿宋"/>
      <w:snapToGrid w:val="0"/>
      <w:color w:val="000000"/>
      <w:kern w:val="0"/>
      <w:sz w:val="24"/>
      <w:lang w:eastAsia="en-US"/>
      <w14:ligatures w14:val="none"/>
    </w:rPr>
  </w:style>
  <w:style w:type="character" w:customStyle="1" w:styleId="404">
    <w:name w:val="正文文本缩进 字符"/>
    <w:basedOn w:val="232"/>
    <w:link w:val="36"/>
    <w:semiHidden/>
    <w:qFormat/>
    <w:uiPriority w:val="99"/>
  </w:style>
  <w:style w:type="character" w:customStyle="1" w:styleId="405">
    <w:name w:val="正文文本首行缩进 2 字符"/>
    <w:basedOn w:val="404"/>
    <w:link w:val="88"/>
    <w:semiHidden/>
    <w:qFormat/>
    <w:uiPriority w:val="99"/>
  </w:style>
  <w:style w:type="character" w:customStyle="1" w:styleId="406">
    <w:name w:val="正文文本缩进 2 字符"/>
    <w:basedOn w:val="232"/>
    <w:link w:val="52"/>
    <w:semiHidden/>
    <w:qFormat/>
    <w:uiPriority w:val="99"/>
  </w:style>
  <w:style w:type="character" w:customStyle="1" w:styleId="407">
    <w:name w:val="正文文本缩进 3 字符"/>
    <w:basedOn w:val="232"/>
    <w:link w:val="71"/>
    <w:semiHidden/>
    <w:qFormat/>
    <w:uiPriority w:val="99"/>
    <w:rPr>
      <w:sz w:val="16"/>
      <w:szCs w:val="16"/>
    </w:rPr>
  </w:style>
  <w:style w:type="character" w:customStyle="1" w:styleId="408">
    <w:name w:val="智能超链接1"/>
    <w:basedOn w:val="232"/>
    <w:semiHidden/>
    <w:unhideWhenUsed/>
    <w:qFormat/>
    <w:uiPriority w:val="99"/>
    <w:rPr>
      <w:u w:val="dotted"/>
    </w:rPr>
  </w:style>
  <w:style w:type="character" w:customStyle="1" w:styleId="409">
    <w:name w:val="智能链接1"/>
    <w:basedOn w:val="232"/>
    <w:semiHidden/>
    <w:unhideWhenUsed/>
    <w:qFormat/>
    <w:uiPriority w:val="99"/>
    <w:rPr>
      <w:color w:val="0000FF"/>
      <w:u w:val="single"/>
      <w:shd w:val="clear" w:color="auto" w:fill="F3F2F1"/>
    </w:rPr>
  </w:style>
  <w:style w:type="character" w:customStyle="1" w:styleId="410">
    <w:name w:val="注释标题 字符"/>
    <w:basedOn w:val="232"/>
    <w:link w:val="17"/>
    <w:semiHidden/>
    <w:qFormat/>
    <w:uiPriority w:val="99"/>
  </w:style>
  <w:style w:type="character" w:customStyle="1" w:styleId="411">
    <w:name w:val="内容 字符"/>
    <w:basedOn w:val="232"/>
    <w:link w:val="4"/>
    <w:qFormat/>
    <w:uiPriority w:val="0"/>
    <w:rPr>
      <w:rFonts w:eastAsia="仿宋"/>
      <w:sz w:val="32"/>
    </w:rPr>
  </w:style>
  <w:style w:type="character" w:customStyle="1" w:styleId="412">
    <w:name w:val="font31"/>
    <w:basedOn w:val="232"/>
    <w:qFormat/>
    <w:uiPriority w:val="0"/>
    <w:rPr>
      <w:rFonts w:hint="eastAsia" w:ascii="宋体" w:hAnsi="宋体" w:eastAsia="宋体" w:cs="宋体"/>
      <w:color w:val="000000"/>
      <w:sz w:val="18"/>
      <w:szCs w:val="18"/>
      <w:u w:val="none"/>
    </w:rPr>
  </w:style>
  <w:style w:type="paragraph" w:customStyle="1" w:styleId="413">
    <w:name w:val="修订1"/>
    <w:hidden/>
    <w:unhideWhenUsed/>
    <w:qFormat/>
    <w:uiPriority w:val="99"/>
    <w:rPr>
      <w:rFonts w:eastAsia="仿宋" w:asciiTheme="minorHAnsi" w:hAnsiTheme="minorHAnsi" w:cstheme="minorBidi"/>
      <w:kern w:val="2"/>
      <w:sz w:val="32"/>
      <w:szCs w:val="24"/>
      <w:lang w:val="en-US" w:eastAsia="zh-CN" w:bidi="ar-SA"/>
      <w14:ligatures w14:val="standardContextual"/>
    </w:rPr>
  </w:style>
  <w:style w:type="paragraph" w:customStyle="1" w:styleId="414">
    <w:name w:val="修订2"/>
    <w:hidden/>
    <w:unhideWhenUsed/>
    <w:qFormat/>
    <w:uiPriority w:val="99"/>
    <w:rPr>
      <w:rFonts w:eastAsia="仿宋" w:asciiTheme="minorHAnsi" w:hAnsiTheme="minorHAnsi" w:cstheme="minorBidi"/>
      <w:kern w:val="2"/>
      <w:sz w:val="32"/>
      <w:szCs w:val="24"/>
      <w:lang w:val="en-US" w:eastAsia="zh-CN" w:bidi="ar-SA"/>
      <w14:ligatures w14:val="standardContextual"/>
    </w:rPr>
  </w:style>
  <w:style w:type="paragraph" w:customStyle="1" w:styleId="415">
    <w:name w:val="Revision"/>
    <w:hidden/>
    <w:unhideWhenUsed/>
    <w:qFormat/>
    <w:uiPriority w:val="99"/>
    <w:rPr>
      <w:rFonts w:eastAsia="仿宋" w:asciiTheme="minorHAnsi" w:hAnsiTheme="minorHAnsi" w:cstheme="minorBidi"/>
      <w:kern w:val="2"/>
      <w:sz w:val="3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1581</Words>
  <Characters>1619</Characters>
  <Lines>83</Lines>
  <Paragraphs>23</Paragraphs>
  <TotalTime>1</TotalTime>
  <ScaleCrop>false</ScaleCrop>
  <LinksUpToDate>false</LinksUpToDate>
  <CharactersWithSpaces>1619</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2024-05-14T11:11:00Z</dcterms:created>
  <dc:creator>Ida Tian</dc:creator>
  <cp:lastModifiedBy>马硕</cp:lastModifiedBy>
  <dcterms:modified xsi:type="dcterms:W3CDTF">2025-08-28T09:25:12Z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F55A4024E8444E24B026B307B4D214FA_13</vt:lpwstr>
  </property>
  <property fmtid="{D5CDD505-2E9C-101B-9397-08002B2CF9AE}" pid="4" name="KSOTemplateDocerSaveRecord">
    <vt:lpwstr>eyJoZGlkIjoiYTc2ZGZiNzZiNDVlOGViOWVmM2JhOTY0NGJkNjUyYzgiLCJ1c2VySWQiOiIyMjU5MDI2NSJ9</vt:lpwstr>
  </property>
</Properties>
</file>