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0E97" w:rsidRDefault="00080E97">
      <w:pPr>
        <w:ind w:firstLineChars="0" w:firstLine="0"/>
        <w:jc w:val="center"/>
        <w:rPr>
          <w:rFonts w:ascii="Times New Roman" w:eastAsia="黑体" w:hAnsi="Times New Roman"/>
          <w:b/>
          <w:sz w:val="52"/>
          <w:szCs w:val="52"/>
          <w:lang w:val="zh-CN"/>
        </w:rPr>
      </w:pPr>
    </w:p>
    <w:p w:rsidR="00080E97" w:rsidRDefault="00080E97">
      <w:pPr>
        <w:ind w:firstLineChars="0" w:firstLine="0"/>
        <w:jc w:val="center"/>
        <w:rPr>
          <w:rFonts w:ascii="Times New Roman" w:eastAsia="黑体" w:hAnsi="Times New Roman"/>
          <w:b/>
          <w:sz w:val="52"/>
          <w:szCs w:val="52"/>
          <w:lang w:val="zh-CN"/>
        </w:rPr>
      </w:pPr>
    </w:p>
    <w:p w:rsidR="00080E97" w:rsidRDefault="000F4565">
      <w:pPr>
        <w:ind w:firstLineChars="0" w:firstLine="0"/>
        <w:jc w:val="center"/>
        <w:outlineLvl w:val="0"/>
        <w:rPr>
          <w:rFonts w:ascii="Times New Roman" w:eastAsia="黑体" w:hAnsi="Times New Roman"/>
          <w:b/>
          <w:sz w:val="52"/>
          <w:szCs w:val="52"/>
        </w:rPr>
      </w:pPr>
      <w:bookmarkStart w:id="0" w:name="_Toc4189"/>
      <w:bookmarkStart w:id="1" w:name="_Toc4062"/>
      <w:bookmarkStart w:id="2" w:name="_Toc21409"/>
      <w:bookmarkStart w:id="3" w:name="_Toc3735"/>
      <w:bookmarkStart w:id="4" w:name="_Toc20089"/>
      <w:bookmarkStart w:id="5" w:name="_Toc30733"/>
      <w:bookmarkStart w:id="6" w:name="_Toc15949"/>
      <w:bookmarkStart w:id="7" w:name="_Toc1215"/>
      <w:r>
        <w:rPr>
          <w:rFonts w:ascii="Times New Roman" w:eastAsia="黑体" w:hAnsi="Times New Roman" w:hint="eastAsia"/>
          <w:b/>
          <w:sz w:val="52"/>
          <w:szCs w:val="52"/>
        </w:rPr>
        <w:t>北京广播电视台</w:t>
      </w:r>
      <w:bookmarkEnd w:id="0"/>
      <w:bookmarkEnd w:id="1"/>
      <w:bookmarkEnd w:id="2"/>
      <w:bookmarkEnd w:id="3"/>
      <w:bookmarkEnd w:id="4"/>
      <w:bookmarkEnd w:id="5"/>
    </w:p>
    <w:p w:rsidR="00080E97" w:rsidRDefault="000F4565">
      <w:pPr>
        <w:ind w:firstLineChars="0" w:firstLine="0"/>
        <w:jc w:val="center"/>
        <w:outlineLvl w:val="0"/>
        <w:rPr>
          <w:rFonts w:ascii="Times New Roman" w:eastAsia="黑体" w:hAnsi="Times New Roman"/>
          <w:b/>
          <w:sz w:val="52"/>
          <w:szCs w:val="52"/>
          <w:lang w:val="zh-CN"/>
        </w:rPr>
      </w:pPr>
      <w:bookmarkStart w:id="8" w:name="_Toc29135"/>
      <w:bookmarkStart w:id="9" w:name="_Toc23485"/>
      <w:bookmarkStart w:id="10" w:name="_Toc18934"/>
      <w:bookmarkStart w:id="11" w:name="_Toc18711"/>
      <w:bookmarkStart w:id="12" w:name="_Toc5538"/>
      <w:bookmarkStart w:id="13" w:name="_Toc10391"/>
      <w:r>
        <w:rPr>
          <w:rFonts w:ascii="黑体" w:eastAsia="黑体" w:hAnsi="黑体" w:cs="黑体" w:hint="eastAsia"/>
          <w:b/>
          <w:sz w:val="52"/>
          <w:szCs w:val="52"/>
          <w:lang w:val="zh-CN"/>
        </w:rPr>
        <w:t>202</w:t>
      </w:r>
      <w:r>
        <w:rPr>
          <w:rFonts w:ascii="黑体" w:eastAsia="黑体" w:hAnsi="黑体" w:cs="黑体" w:hint="eastAsia"/>
          <w:b/>
          <w:sz w:val="52"/>
          <w:szCs w:val="52"/>
        </w:rPr>
        <w:t>4</w:t>
      </w:r>
      <w:r>
        <w:rPr>
          <w:rFonts w:ascii="黑体" w:eastAsia="黑体" w:hAnsi="黑体" w:cs="黑体" w:hint="eastAsia"/>
          <w:b/>
          <w:sz w:val="52"/>
          <w:szCs w:val="52"/>
          <w:lang w:val="zh-CN"/>
        </w:rPr>
        <w:t>年</w:t>
      </w:r>
      <w:r>
        <w:rPr>
          <w:rFonts w:ascii="黑体" w:eastAsia="黑体" w:hAnsi="黑体" w:cs="黑体" w:hint="eastAsia"/>
          <w:b/>
          <w:sz w:val="52"/>
          <w:szCs w:val="52"/>
        </w:rPr>
        <w:t>部门</w:t>
      </w:r>
      <w:r>
        <w:rPr>
          <w:rFonts w:ascii="Times New Roman" w:eastAsia="黑体" w:hAnsi="Times New Roman"/>
          <w:b/>
          <w:sz w:val="52"/>
          <w:szCs w:val="52"/>
          <w:lang w:val="zh-CN"/>
        </w:rPr>
        <w:t>整体绩效</w:t>
      </w:r>
      <w:r>
        <w:rPr>
          <w:rFonts w:ascii="Times New Roman" w:eastAsia="黑体" w:hAnsi="Times New Roman"/>
          <w:b/>
          <w:sz w:val="52"/>
          <w:szCs w:val="52"/>
        </w:rPr>
        <w:t>评价</w:t>
      </w:r>
      <w:r>
        <w:rPr>
          <w:rFonts w:ascii="Times New Roman" w:eastAsia="黑体" w:hAnsi="Times New Roman"/>
          <w:b/>
          <w:sz w:val="52"/>
          <w:szCs w:val="52"/>
          <w:lang w:val="zh-CN"/>
        </w:rPr>
        <w:t>报告</w:t>
      </w:r>
      <w:bookmarkEnd w:id="6"/>
      <w:bookmarkEnd w:id="7"/>
      <w:bookmarkEnd w:id="8"/>
      <w:bookmarkEnd w:id="9"/>
      <w:bookmarkEnd w:id="10"/>
      <w:bookmarkEnd w:id="11"/>
      <w:bookmarkEnd w:id="12"/>
      <w:bookmarkEnd w:id="13"/>
    </w:p>
    <w:p w:rsidR="00080E97" w:rsidRDefault="00080E97">
      <w:pPr>
        <w:ind w:firstLineChars="0" w:firstLine="0"/>
        <w:jc w:val="center"/>
        <w:rPr>
          <w:rFonts w:ascii="Times New Roman" w:hAnsi="Times New Roman"/>
          <w:color w:val="000000"/>
        </w:rPr>
      </w:pPr>
    </w:p>
    <w:p w:rsidR="00080E97" w:rsidRDefault="00080E97">
      <w:pPr>
        <w:ind w:firstLineChars="0" w:firstLine="0"/>
        <w:jc w:val="center"/>
        <w:rPr>
          <w:rFonts w:ascii="Times New Roman" w:hAnsi="Times New Roman"/>
          <w:color w:val="000000"/>
        </w:rPr>
      </w:pPr>
    </w:p>
    <w:p w:rsidR="00080E97" w:rsidRDefault="00080E97">
      <w:pPr>
        <w:ind w:firstLineChars="0" w:firstLine="0"/>
        <w:jc w:val="center"/>
        <w:rPr>
          <w:rFonts w:ascii="Times New Roman" w:hAnsi="Times New Roman"/>
          <w:color w:val="000000"/>
        </w:rPr>
      </w:pPr>
    </w:p>
    <w:p w:rsidR="00080E97" w:rsidRDefault="00080E97">
      <w:pPr>
        <w:ind w:firstLineChars="0" w:firstLine="0"/>
        <w:jc w:val="center"/>
        <w:rPr>
          <w:rFonts w:ascii="Times New Roman" w:hAnsi="Times New Roman"/>
          <w:color w:val="000000"/>
        </w:rPr>
      </w:pPr>
    </w:p>
    <w:p w:rsidR="00080E97" w:rsidRDefault="00080E97">
      <w:pPr>
        <w:ind w:firstLineChars="0" w:firstLine="0"/>
        <w:jc w:val="center"/>
        <w:rPr>
          <w:rFonts w:ascii="Times New Roman" w:hAnsi="Times New Roman"/>
          <w:color w:val="000000"/>
        </w:rPr>
      </w:pPr>
    </w:p>
    <w:p w:rsidR="00080E97" w:rsidRDefault="00080E97">
      <w:pPr>
        <w:ind w:firstLineChars="0" w:firstLine="0"/>
        <w:jc w:val="center"/>
        <w:rPr>
          <w:rFonts w:ascii="Times New Roman" w:hAnsi="Times New Roman"/>
          <w:color w:val="000000"/>
        </w:rPr>
      </w:pPr>
    </w:p>
    <w:p w:rsidR="00080E97" w:rsidRDefault="00080E97">
      <w:pPr>
        <w:ind w:firstLineChars="0" w:firstLine="0"/>
        <w:jc w:val="center"/>
        <w:rPr>
          <w:rFonts w:ascii="Times New Roman" w:eastAsia="仿宋" w:hAnsi="Times New Roman"/>
          <w:b/>
          <w:color w:val="000000"/>
          <w:szCs w:val="32"/>
        </w:rPr>
      </w:pPr>
    </w:p>
    <w:p w:rsidR="00080E97" w:rsidRDefault="00080E97">
      <w:pPr>
        <w:ind w:firstLineChars="0" w:firstLine="0"/>
        <w:jc w:val="center"/>
        <w:rPr>
          <w:rFonts w:ascii="Times New Roman" w:eastAsia="仿宋" w:hAnsi="Times New Roman"/>
          <w:b/>
          <w:color w:val="000000"/>
          <w:szCs w:val="32"/>
        </w:rPr>
      </w:pPr>
    </w:p>
    <w:p w:rsidR="00080E97" w:rsidRDefault="000F4565">
      <w:pPr>
        <w:ind w:firstLineChars="0" w:firstLine="0"/>
        <w:jc w:val="center"/>
        <w:rPr>
          <w:rFonts w:ascii="黑体" w:eastAsia="黑体" w:hAnsi="黑体" w:cs="黑体"/>
          <w:bCs/>
          <w:sz w:val="36"/>
          <w:szCs w:val="44"/>
        </w:rPr>
      </w:pPr>
      <w:r>
        <w:rPr>
          <w:rFonts w:ascii="黑体" w:eastAsia="黑体" w:hAnsi="黑体" w:cs="黑体" w:hint="eastAsia"/>
          <w:bCs/>
          <w:sz w:val="36"/>
          <w:szCs w:val="44"/>
        </w:rPr>
        <w:t>2025年4月</w:t>
      </w:r>
    </w:p>
    <w:p w:rsidR="00080E97" w:rsidRDefault="00080E97">
      <w:pPr>
        <w:ind w:firstLineChars="0" w:firstLine="0"/>
        <w:jc w:val="center"/>
        <w:rPr>
          <w:rFonts w:ascii="Times New Roman" w:eastAsia="黑体" w:hAnsi="Times New Roman"/>
          <w:bCs/>
          <w:sz w:val="36"/>
          <w:szCs w:val="44"/>
        </w:rPr>
      </w:pPr>
    </w:p>
    <w:p w:rsidR="00080E97" w:rsidRDefault="00080E97">
      <w:pPr>
        <w:ind w:firstLineChars="0" w:firstLine="0"/>
        <w:jc w:val="center"/>
        <w:rPr>
          <w:rFonts w:ascii="Times New Roman" w:eastAsia="黑体" w:hAnsi="Times New Roman"/>
          <w:bCs/>
          <w:sz w:val="36"/>
          <w:szCs w:val="44"/>
        </w:rPr>
      </w:pPr>
    </w:p>
    <w:p w:rsidR="00080E97" w:rsidRDefault="00080E97">
      <w:pPr>
        <w:ind w:firstLineChars="0" w:firstLine="0"/>
        <w:jc w:val="center"/>
        <w:rPr>
          <w:rFonts w:ascii="Times New Roman" w:eastAsia="黑体" w:hAnsi="Times New Roman"/>
          <w:bCs/>
          <w:sz w:val="36"/>
          <w:szCs w:val="44"/>
        </w:rPr>
      </w:pPr>
    </w:p>
    <w:p w:rsidR="00080E97" w:rsidRDefault="00080E97">
      <w:pPr>
        <w:ind w:firstLineChars="0" w:firstLine="0"/>
        <w:jc w:val="center"/>
        <w:rPr>
          <w:rFonts w:ascii="楷体" w:eastAsia="楷体" w:hAnsi="楷体" w:cs="楷体"/>
          <w:b/>
          <w:sz w:val="44"/>
          <w:szCs w:val="44"/>
        </w:rPr>
      </w:pPr>
    </w:p>
    <w:p w:rsidR="00080E97" w:rsidRDefault="00080E97">
      <w:pPr>
        <w:ind w:firstLineChars="0" w:firstLine="0"/>
        <w:jc w:val="center"/>
        <w:rPr>
          <w:rFonts w:ascii="华文中宋" w:eastAsia="华文中宋" w:hAnsi="华文中宋" w:cs="华文中宋"/>
          <w:sz w:val="36"/>
          <w:szCs w:val="36"/>
        </w:rPr>
        <w:sectPr w:rsidR="00080E97">
          <w:headerReference w:type="even" r:id="rId7"/>
          <w:headerReference w:type="default" r:id="rId8"/>
          <w:footerReference w:type="even" r:id="rId9"/>
          <w:footerReference w:type="default" r:id="rId10"/>
          <w:headerReference w:type="first" r:id="rId11"/>
          <w:footerReference w:type="first" r:id="rId12"/>
          <w:pgSz w:w="11906" w:h="16838"/>
          <w:pgMar w:top="2098" w:right="1531" w:bottom="1984" w:left="1531" w:header="851" w:footer="1417" w:gutter="0"/>
          <w:cols w:space="0"/>
          <w:docGrid w:type="lines" w:linePitch="312"/>
        </w:sectPr>
      </w:pPr>
    </w:p>
    <w:sdt>
      <w:sdtPr>
        <w:rPr>
          <w:rFonts w:ascii="黑体" w:eastAsia="黑体" w:hAnsi="黑体" w:cs="黑体" w:hint="eastAsia"/>
          <w:szCs w:val="32"/>
        </w:rPr>
        <w:id w:val="147452953"/>
        <w:docPartObj>
          <w:docPartGallery w:val="Table of Contents"/>
          <w:docPartUnique/>
        </w:docPartObj>
      </w:sdtPr>
      <w:sdtEndPr>
        <w:rPr>
          <w:rFonts w:ascii="华文中宋" w:eastAsia="华文中宋" w:hAnsi="华文中宋" w:cs="华文中宋"/>
          <w:szCs w:val="36"/>
        </w:rPr>
      </w:sdtEndPr>
      <w:sdtContent>
        <w:p w:rsidR="00080E97" w:rsidRDefault="000F4565">
          <w:pPr>
            <w:spacing w:line="317" w:lineRule="auto"/>
            <w:ind w:firstLineChars="0" w:firstLine="0"/>
            <w:jc w:val="center"/>
            <w:rPr>
              <w:rFonts w:ascii="黑体" w:eastAsia="黑体" w:hAnsi="黑体" w:cs="黑体"/>
              <w:szCs w:val="32"/>
            </w:rPr>
          </w:pPr>
          <w:r>
            <w:rPr>
              <w:rFonts w:ascii="黑体" w:eastAsia="黑体" w:hAnsi="黑体" w:cs="黑体" w:hint="eastAsia"/>
              <w:szCs w:val="32"/>
            </w:rPr>
            <w:t>目  录</w:t>
          </w:r>
        </w:p>
        <w:p w:rsidR="00080E97" w:rsidRDefault="000F4565">
          <w:pPr>
            <w:pStyle w:val="11"/>
            <w:tabs>
              <w:tab w:val="right" w:leader="dot" w:pos="8575"/>
            </w:tabs>
            <w:spacing w:line="317" w:lineRule="auto"/>
          </w:pPr>
          <w:r>
            <w:rPr>
              <w:rFonts w:cs="仿宋_GB2312" w:hint="eastAsia"/>
              <w:szCs w:val="32"/>
            </w:rPr>
            <w:fldChar w:fldCharType="begin"/>
          </w:r>
          <w:r>
            <w:rPr>
              <w:rFonts w:cs="仿宋_GB2312" w:hint="eastAsia"/>
              <w:szCs w:val="32"/>
            </w:rPr>
            <w:instrText xml:space="preserve">TOC \o "1-3" \h \u </w:instrText>
          </w:r>
          <w:r>
            <w:rPr>
              <w:rFonts w:cs="仿宋_GB2312" w:hint="eastAsia"/>
              <w:szCs w:val="32"/>
            </w:rPr>
            <w:fldChar w:fldCharType="separate"/>
          </w:r>
        </w:p>
        <w:p w:rsidR="00080E97" w:rsidRDefault="00CA4A14">
          <w:pPr>
            <w:pStyle w:val="11"/>
            <w:tabs>
              <w:tab w:val="right" w:leader="dot" w:pos="8575"/>
            </w:tabs>
            <w:spacing w:line="317" w:lineRule="auto"/>
            <w:ind w:firstLineChars="0" w:firstLine="0"/>
          </w:pPr>
          <w:hyperlink w:anchor="_Toc5092" w:history="1">
            <w:r w:rsidR="000F4565">
              <w:rPr>
                <w:rFonts w:hint="eastAsia"/>
              </w:rPr>
              <w:t>一、部门概况</w:t>
            </w:r>
            <w:r w:rsidR="000F4565">
              <w:tab/>
            </w:r>
            <w:r w:rsidR="000F4565">
              <w:fldChar w:fldCharType="begin"/>
            </w:r>
            <w:r w:rsidR="000F4565">
              <w:instrText xml:space="preserve"> PAGEREF _Toc5092 \h </w:instrText>
            </w:r>
            <w:r w:rsidR="000F4565">
              <w:fldChar w:fldCharType="separate"/>
            </w:r>
            <w:r w:rsidR="000F4565">
              <w:t>1</w:t>
            </w:r>
            <w:r w:rsidR="000F4565">
              <w:fldChar w:fldCharType="end"/>
            </w:r>
          </w:hyperlink>
        </w:p>
        <w:p w:rsidR="00080E97" w:rsidRDefault="00CA4A14">
          <w:pPr>
            <w:pStyle w:val="21"/>
            <w:tabs>
              <w:tab w:val="right" w:leader="dot" w:pos="8575"/>
            </w:tabs>
            <w:spacing w:line="317" w:lineRule="auto"/>
            <w:ind w:leftChars="0" w:left="0" w:firstLineChars="0" w:firstLine="0"/>
          </w:pPr>
          <w:hyperlink w:anchor="_Toc5178" w:history="1">
            <w:r w:rsidR="000F4565">
              <w:rPr>
                <w:rFonts w:hint="eastAsia"/>
              </w:rPr>
              <w:t>（一）机构设置及职责工作任务情况</w:t>
            </w:r>
            <w:r w:rsidR="000F4565">
              <w:tab/>
            </w:r>
            <w:r w:rsidR="000F4565">
              <w:fldChar w:fldCharType="begin"/>
            </w:r>
            <w:r w:rsidR="000F4565">
              <w:instrText xml:space="preserve"> PAGEREF _Toc5178 \h </w:instrText>
            </w:r>
            <w:r w:rsidR="000F4565">
              <w:fldChar w:fldCharType="separate"/>
            </w:r>
            <w:r w:rsidR="000F4565">
              <w:t>1</w:t>
            </w:r>
            <w:r w:rsidR="000F4565">
              <w:fldChar w:fldCharType="end"/>
            </w:r>
          </w:hyperlink>
        </w:p>
        <w:p w:rsidR="00080E97" w:rsidRDefault="00CA4A14">
          <w:pPr>
            <w:pStyle w:val="21"/>
            <w:tabs>
              <w:tab w:val="right" w:leader="dot" w:pos="8575"/>
            </w:tabs>
            <w:spacing w:line="317" w:lineRule="auto"/>
            <w:ind w:leftChars="0" w:left="0" w:firstLineChars="0" w:firstLine="0"/>
          </w:pPr>
          <w:hyperlink w:anchor="_Toc28053" w:history="1">
            <w:r w:rsidR="000F4565">
              <w:rPr>
                <w:rFonts w:hint="eastAsia"/>
              </w:rPr>
              <w:t>（二）部门整体绩效目标设立情况</w:t>
            </w:r>
            <w:r w:rsidR="000F4565">
              <w:tab/>
            </w:r>
            <w:r w:rsidR="000F4565">
              <w:fldChar w:fldCharType="begin"/>
            </w:r>
            <w:r w:rsidR="000F4565">
              <w:instrText xml:space="preserve"> PAGEREF _Toc28053 \h </w:instrText>
            </w:r>
            <w:r w:rsidR="000F4565">
              <w:fldChar w:fldCharType="separate"/>
            </w:r>
            <w:r w:rsidR="000F4565">
              <w:t>2</w:t>
            </w:r>
            <w:r w:rsidR="000F4565">
              <w:fldChar w:fldCharType="end"/>
            </w:r>
          </w:hyperlink>
        </w:p>
        <w:p w:rsidR="00080E97" w:rsidRDefault="00CA4A14">
          <w:pPr>
            <w:pStyle w:val="11"/>
            <w:tabs>
              <w:tab w:val="right" w:leader="dot" w:pos="8575"/>
            </w:tabs>
            <w:spacing w:line="317" w:lineRule="auto"/>
            <w:ind w:firstLineChars="0" w:firstLine="0"/>
          </w:pPr>
          <w:hyperlink w:anchor="_Toc4317" w:history="1">
            <w:r w:rsidR="000F4565">
              <w:rPr>
                <w:rFonts w:hint="eastAsia"/>
              </w:rPr>
              <w:t>二</w:t>
            </w:r>
            <w:r w:rsidR="000F4565">
              <w:t>、</w:t>
            </w:r>
            <w:r w:rsidR="000F4565">
              <w:rPr>
                <w:rFonts w:hint="eastAsia"/>
              </w:rPr>
              <w:t>当年</w:t>
            </w:r>
            <w:r w:rsidR="000F4565">
              <w:t>预算执行情况</w:t>
            </w:r>
            <w:r w:rsidR="000F4565">
              <w:tab/>
            </w:r>
            <w:r w:rsidR="000F4565">
              <w:fldChar w:fldCharType="begin"/>
            </w:r>
            <w:r w:rsidR="000F4565">
              <w:instrText xml:space="preserve"> PAGEREF _Toc4317 \h </w:instrText>
            </w:r>
            <w:r w:rsidR="000F4565">
              <w:fldChar w:fldCharType="separate"/>
            </w:r>
            <w:r w:rsidR="000F4565">
              <w:t>5</w:t>
            </w:r>
            <w:r w:rsidR="000F4565">
              <w:fldChar w:fldCharType="end"/>
            </w:r>
          </w:hyperlink>
        </w:p>
        <w:p w:rsidR="00080E97" w:rsidRDefault="00CA4A14">
          <w:pPr>
            <w:pStyle w:val="11"/>
            <w:tabs>
              <w:tab w:val="right" w:leader="dot" w:pos="8575"/>
            </w:tabs>
            <w:spacing w:line="317" w:lineRule="auto"/>
            <w:ind w:firstLineChars="0" w:firstLine="0"/>
          </w:pPr>
          <w:hyperlink w:anchor="_Toc7594" w:history="1">
            <w:r w:rsidR="000F4565">
              <w:rPr>
                <w:rFonts w:hint="eastAsia"/>
              </w:rPr>
              <w:t>三</w:t>
            </w:r>
            <w:r w:rsidR="000F4565">
              <w:t>、整体绩效目标实现情况</w:t>
            </w:r>
            <w:r w:rsidR="000F4565">
              <w:tab/>
            </w:r>
            <w:r w:rsidR="000F4565">
              <w:fldChar w:fldCharType="begin"/>
            </w:r>
            <w:r w:rsidR="000F4565">
              <w:instrText xml:space="preserve"> PAGEREF _Toc7594 \h </w:instrText>
            </w:r>
            <w:r w:rsidR="000F4565">
              <w:fldChar w:fldCharType="separate"/>
            </w:r>
            <w:r w:rsidR="000F4565">
              <w:t>6</w:t>
            </w:r>
            <w:r w:rsidR="000F4565">
              <w:fldChar w:fldCharType="end"/>
            </w:r>
          </w:hyperlink>
        </w:p>
        <w:p w:rsidR="00080E97" w:rsidRDefault="00CA4A14">
          <w:pPr>
            <w:pStyle w:val="21"/>
            <w:tabs>
              <w:tab w:val="right" w:leader="dot" w:pos="8575"/>
            </w:tabs>
            <w:spacing w:line="317" w:lineRule="auto"/>
            <w:ind w:leftChars="0" w:left="0" w:firstLineChars="0" w:firstLine="0"/>
          </w:pPr>
          <w:hyperlink w:anchor="_Toc17735" w:history="1">
            <w:r w:rsidR="000F4565">
              <w:rPr>
                <w:rFonts w:hint="eastAsia"/>
              </w:rPr>
              <w:t>（一）产出完成情况分析</w:t>
            </w:r>
            <w:r w:rsidR="000F4565">
              <w:tab/>
            </w:r>
            <w:r w:rsidR="000F4565">
              <w:fldChar w:fldCharType="begin"/>
            </w:r>
            <w:r w:rsidR="000F4565">
              <w:instrText xml:space="preserve"> PAGEREF _Toc17735 \h </w:instrText>
            </w:r>
            <w:r w:rsidR="000F4565">
              <w:fldChar w:fldCharType="separate"/>
            </w:r>
            <w:r w:rsidR="000F4565">
              <w:t>6</w:t>
            </w:r>
            <w:r w:rsidR="000F4565">
              <w:fldChar w:fldCharType="end"/>
            </w:r>
          </w:hyperlink>
        </w:p>
        <w:p w:rsidR="00080E97" w:rsidRDefault="00CA4A14">
          <w:pPr>
            <w:pStyle w:val="21"/>
            <w:tabs>
              <w:tab w:val="right" w:leader="dot" w:pos="8575"/>
            </w:tabs>
            <w:spacing w:line="317" w:lineRule="auto"/>
            <w:ind w:leftChars="0" w:left="0" w:firstLineChars="0" w:firstLine="0"/>
          </w:pPr>
          <w:hyperlink w:anchor="_Toc3730" w:history="1">
            <w:r w:rsidR="000F4565">
              <w:rPr>
                <w:rFonts w:hint="eastAsia"/>
              </w:rPr>
              <w:t>（二）效果</w:t>
            </w:r>
            <w:r w:rsidR="000F4565">
              <w:t>实现情况分析</w:t>
            </w:r>
            <w:r w:rsidR="000F4565">
              <w:tab/>
            </w:r>
            <w:r w:rsidR="000F4565">
              <w:fldChar w:fldCharType="begin"/>
            </w:r>
            <w:r w:rsidR="000F4565">
              <w:instrText xml:space="preserve"> PAGEREF _Toc3730 \h </w:instrText>
            </w:r>
            <w:r w:rsidR="000F4565">
              <w:fldChar w:fldCharType="separate"/>
            </w:r>
            <w:r w:rsidR="000F4565">
              <w:t>9</w:t>
            </w:r>
            <w:r w:rsidR="000F4565">
              <w:fldChar w:fldCharType="end"/>
            </w:r>
          </w:hyperlink>
        </w:p>
        <w:p w:rsidR="00080E97" w:rsidRDefault="00CA4A14">
          <w:pPr>
            <w:pStyle w:val="11"/>
            <w:tabs>
              <w:tab w:val="right" w:leader="dot" w:pos="8575"/>
            </w:tabs>
            <w:spacing w:line="317" w:lineRule="auto"/>
            <w:ind w:firstLineChars="0" w:firstLine="0"/>
          </w:pPr>
          <w:hyperlink w:anchor="_Toc13245" w:history="1">
            <w:r w:rsidR="000F4565">
              <w:rPr>
                <w:rFonts w:hint="eastAsia"/>
              </w:rPr>
              <w:t>四</w:t>
            </w:r>
            <w:r w:rsidR="000F4565">
              <w:t>、预算管理</w:t>
            </w:r>
            <w:r w:rsidR="000F4565">
              <w:rPr>
                <w:rFonts w:hint="eastAsia"/>
              </w:rPr>
              <w:t>情况分</w:t>
            </w:r>
            <w:r w:rsidR="000F4565">
              <w:t>析</w:t>
            </w:r>
            <w:r w:rsidR="000F4565">
              <w:tab/>
            </w:r>
            <w:r w:rsidR="000F4565">
              <w:fldChar w:fldCharType="begin"/>
            </w:r>
            <w:r w:rsidR="000F4565">
              <w:instrText xml:space="preserve"> PAGEREF _Toc13245 \h </w:instrText>
            </w:r>
            <w:r w:rsidR="000F4565">
              <w:fldChar w:fldCharType="separate"/>
            </w:r>
            <w:r w:rsidR="000F4565">
              <w:t>19</w:t>
            </w:r>
            <w:r w:rsidR="000F4565">
              <w:fldChar w:fldCharType="end"/>
            </w:r>
          </w:hyperlink>
        </w:p>
        <w:p w:rsidR="00080E97" w:rsidRDefault="00CA4A14">
          <w:pPr>
            <w:pStyle w:val="21"/>
            <w:tabs>
              <w:tab w:val="right" w:leader="dot" w:pos="8575"/>
            </w:tabs>
            <w:spacing w:line="317" w:lineRule="auto"/>
            <w:ind w:leftChars="0" w:left="0" w:firstLineChars="0" w:firstLine="0"/>
          </w:pPr>
          <w:hyperlink w:anchor="_Toc15561" w:history="1">
            <w:r w:rsidR="000F4565">
              <w:rPr>
                <w:rFonts w:hint="eastAsia"/>
              </w:rPr>
              <w:t>（一）财务管理</w:t>
            </w:r>
            <w:r w:rsidR="000F4565">
              <w:tab/>
            </w:r>
            <w:r w:rsidR="000F4565">
              <w:fldChar w:fldCharType="begin"/>
            </w:r>
            <w:r w:rsidR="000F4565">
              <w:instrText xml:space="preserve"> PAGEREF _Toc15561 \h </w:instrText>
            </w:r>
            <w:r w:rsidR="000F4565">
              <w:fldChar w:fldCharType="separate"/>
            </w:r>
            <w:r w:rsidR="000F4565">
              <w:t>19</w:t>
            </w:r>
            <w:r w:rsidR="000F4565">
              <w:fldChar w:fldCharType="end"/>
            </w:r>
          </w:hyperlink>
        </w:p>
        <w:p w:rsidR="00080E97" w:rsidRDefault="00CA4A14">
          <w:pPr>
            <w:pStyle w:val="21"/>
            <w:tabs>
              <w:tab w:val="right" w:leader="dot" w:pos="8575"/>
            </w:tabs>
            <w:spacing w:line="317" w:lineRule="auto"/>
            <w:ind w:leftChars="0" w:left="0" w:firstLineChars="0" w:firstLine="0"/>
          </w:pPr>
          <w:hyperlink w:anchor="_Toc1258" w:history="1">
            <w:r w:rsidR="000F4565">
              <w:rPr>
                <w:rFonts w:hint="eastAsia"/>
              </w:rPr>
              <w:t>（二）资产管理</w:t>
            </w:r>
            <w:r w:rsidR="000F4565">
              <w:tab/>
            </w:r>
            <w:r w:rsidR="000F4565">
              <w:fldChar w:fldCharType="begin"/>
            </w:r>
            <w:r w:rsidR="000F4565">
              <w:instrText xml:space="preserve"> PAGEREF _Toc1258 \h </w:instrText>
            </w:r>
            <w:r w:rsidR="000F4565">
              <w:fldChar w:fldCharType="separate"/>
            </w:r>
            <w:r w:rsidR="000F4565">
              <w:t>20</w:t>
            </w:r>
            <w:r w:rsidR="000F4565">
              <w:fldChar w:fldCharType="end"/>
            </w:r>
          </w:hyperlink>
        </w:p>
        <w:p w:rsidR="00080E97" w:rsidRDefault="00CA4A14">
          <w:pPr>
            <w:pStyle w:val="21"/>
            <w:tabs>
              <w:tab w:val="right" w:leader="dot" w:pos="8575"/>
            </w:tabs>
            <w:spacing w:line="317" w:lineRule="auto"/>
            <w:ind w:leftChars="0" w:left="0" w:firstLineChars="0" w:firstLine="0"/>
          </w:pPr>
          <w:hyperlink w:anchor="_Toc23531" w:history="1">
            <w:r w:rsidR="000F4565">
              <w:rPr>
                <w:rFonts w:hint="eastAsia"/>
              </w:rPr>
              <w:t>（三）绩效</w:t>
            </w:r>
            <w:r w:rsidR="000F4565">
              <w:t>管理</w:t>
            </w:r>
            <w:r w:rsidR="000F4565">
              <w:tab/>
            </w:r>
            <w:r w:rsidR="000F4565">
              <w:fldChar w:fldCharType="begin"/>
            </w:r>
            <w:r w:rsidR="000F4565">
              <w:instrText xml:space="preserve"> PAGEREF _Toc23531 \h </w:instrText>
            </w:r>
            <w:r w:rsidR="000F4565">
              <w:fldChar w:fldCharType="separate"/>
            </w:r>
            <w:r w:rsidR="000F4565">
              <w:t>20</w:t>
            </w:r>
            <w:r w:rsidR="000F4565">
              <w:fldChar w:fldCharType="end"/>
            </w:r>
          </w:hyperlink>
        </w:p>
        <w:p w:rsidR="00080E97" w:rsidRDefault="00CA4A14">
          <w:pPr>
            <w:pStyle w:val="21"/>
            <w:tabs>
              <w:tab w:val="right" w:leader="dot" w:pos="8575"/>
            </w:tabs>
            <w:spacing w:line="317" w:lineRule="auto"/>
            <w:ind w:leftChars="0" w:left="0" w:firstLineChars="0" w:firstLine="0"/>
          </w:pPr>
          <w:hyperlink w:anchor="_Toc32048" w:history="1">
            <w:r w:rsidR="000F4565">
              <w:rPr>
                <w:rFonts w:hint="eastAsia"/>
              </w:rPr>
              <w:t>（四）结转结余率</w:t>
            </w:r>
            <w:r w:rsidR="000F4565">
              <w:tab/>
            </w:r>
            <w:r w:rsidR="000F4565">
              <w:fldChar w:fldCharType="begin"/>
            </w:r>
            <w:r w:rsidR="000F4565">
              <w:instrText xml:space="preserve"> PAGEREF _Toc32048 \h </w:instrText>
            </w:r>
            <w:r w:rsidR="000F4565">
              <w:fldChar w:fldCharType="separate"/>
            </w:r>
            <w:r w:rsidR="000F4565">
              <w:t>22</w:t>
            </w:r>
            <w:r w:rsidR="000F4565">
              <w:fldChar w:fldCharType="end"/>
            </w:r>
          </w:hyperlink>
        </w:p>
        <w:p w:rsidR="00080E97" w:rsidRDefault="00CA4A14">
          <w:pPr>
            <w:pStyle w:val="21"/>
            <w:tabs>
              <w:tab w:val="right" w:leader="dot" w:pos="8575"/>
            </w:tabs>
            <w:spacing w:line="317" w:lineRule="auto"/>
            <w:ind w:leftChars="0" w:left="0" w:firstLineChars="0" w:firstLine="0"/>
          </w:pPr>
          <w:hyperlink w:anchor="_Toc18742" w:history="1">
            <w:r w:rsidR="000F4565">
              <w:rPr>
                <w:rFonts w:hint="eastAsia"/>
              </w:rPr>
              <w:t>（五）部门</w:t>
            </w:r>
            <w:r w:rsidR="000F4565">
              <w:t>预决算差异率</w:t>
            </w:r>
            <w:r w:rsidR="000F4565">
              <w:tab/>
            </w:r>
            <w:r w:rsidR="000F4565">
              <w:fldChar w:fldCharType="begin"/>
            </w:r>
            <w:r w:rsidR="000F4565">
              <w:instrText xml:space="preserve"> PAGEREF _Toc18742 \h </w:instrText>
            </w:r>
            <w:r w:rsidR="000F4565">
              <w:fldChar w:fldCharType="separate"/>
            </w:r>
            <w:r w:rsidR="000F4565">
              <w:t>23</w:t>
            </w:r>
            <w:r w:rsidR="000F4565">
              <w:fldChar w:fldCharType="end"/>
            </w:r>
          </w:hyperlink>
        </w:p>
        <w:p w:rsidR="00080E97" w:rsidRDefault="00CA4A14">
          <w:pPr>
            <w:pStyle w:val="11"/>
            <w:tabs>
              <w:tab w:val="right" w:leader="dot" w:pos="8575"/>
            </w:tabs>
            <w:spacing w:line="317" w:lineRule="auto"/>
            <w:ind w:firstLineChars="0" w:firstLine="0"/>
          </w:pPr>
          <w:hyperlink w:anchor="_Toc11668" w:history="1">
            <w:r w:rsidR="000F4565">
              <w:rPr>
                <w:rFonts w:hint="eastAsia"/>
              </w:rPr>
              <w:t>五、总体</w:t>
            </w:r>
            <w:r w:rsidR="000F4565">
              <w:t>评价结论</w:t>
            </w:r>
            <w:r w:rsidR="000F4565">
              <w:tab/>
            </w:r>
            <w:r w:rsidR="000F4565">
              <w:fldChar w:fldCharType="begin"/>
            </w:r>
            <w:r w:rsidR="000F4565">
              <w:instrText xml:space="preserve"> PAGEREF _Toc11668 \h </w:instrText>
            </w:r>
            <w:r w:rsidR="000F4565">
              <w:fldChar w:fldCharType="separate"/>
            </w:r>
            <w:r w:rsidR="000F4565">
              <w:t>23</w:t>
            </w:r>
            <w:r w:rsidR="000F4565">
              <w:fldChar w:fldCharType="end"/>
            </w:r>
          </w:hyperlink>
        </w:p>
        <w:p w:rsidR="00080E97" w:rsidRDefault="00CA4A14">
          <w:pPr>
            <w:pStyle w:val="21"/>
            <w:tabs>
              <w:tab w:val="right" w:leader="dot" w:pos="8575"/>
            </w:tabs>
            <w:spacing w:line="317" w:lineRule="auto"/>
            <w:ind w:leftChars="0" w:left="0" w:firstLineChars="0" w:firstLine="0"/>
          </w:pPr>
          <w:hyperlink w:anchor="_Toc24408" w:history="1">
            <w:r w:rsidR="000F4565">
              <w:rPr>
                <w:rFonts w:hint="eastAsia"/>
              </w:rPr>
              <w:t>（一）评价</w:t>
            </w:r>
            <w:r w:rsidR="000F4565">
              <w:t>得分</w:t>
            </w:r>
            <w:r w:rsidR="000F4565">
              <w:rPr>
                <w:rFonts w:hint="eastAsia"/>
              </w:rPr>
              <w:t>情况</w:t>
            </w:r>
            <w:r w:rsidR="000F4565">
              <w:tab/>
            </w:r>
            <w:r w:rsidR="000F4565">
              <w:fldChar w:fldCharType="begin"/>
            </w:r>
            <w:r w:rsidR="000F4565">
              <w:instrText xml:space="preserve"> PAGEREF _Toc24408 \h </w:instrText>
            </w:r>
            <w:r w:rsidR="000F4565">
              <w:fldChar w:fldCharType="separate"/>
            </w:r>
            <w:r w:rsidR="000F4565">
              <w:t>23</w:t>
            </w:r>
            <w:r w:rsidR="000F4565">
              <w:fldChar w:fldCharType="end"/>
            </w:r>
          </w:hyperlink>
        </w:p>
        <w:p w:rsidR="00080E97" w:rsidRDefault="00CA4A14">
          <w:pPr>
            <w:pStyle w:val="21"/>
            <w:tabs>
              <w:tab w:val="right" w:leader="dot" w:pos="8575"/>
            </w:tabs>
            <w:spacing w:line="317" w:lineRule="auto"/>
            <w:ind w:leftChars="0" w:left="0" w:firstLineChars="0" w:firstLine="0"/>
          </w:pPr>
          <w:hyperlink w:anchor="_Toc17632" w:history="1">
            <w:r w:rsidR="000F4565">
              <w:rPr>
                <w:rFonts w:hint="eastAsia"/>
              </w:rPr>
              <w:t>（二）存在的问题及原因分析</w:t>
            </w:r>
            <w:r w:rsidR="000F4565">
              <w:tab/>
            </w:r>
            <w:r w:rsidR="000F4565">
              <w:fldChar w:fldCharType="begin"/>
            </w:r>
            <w:r w:rsidR="000F4565">
              <w:instrText xml:space="preserve"> PAGEREF _Toc17632 \h </w:instrText>
            </w:r>
            <w:r w:rsidR="000F4565">
              <w:fldChar w:fldCharType="separate"/>
            </w:r>
            <w:r w:rsidR="000F4565">
              <w:t>23</w:t>
            </w:r>
            <w:r w:rsidR="000F4565">
              <w:fldChar w:fldCharType="end"/>
            </w:r>
          </w:hyperlink>
        </w:p>
        <w:p w:rsidR="00080E97" w:rsidRDefault="00CA4A14">
          <w:pPr>
            <w:pStyle w:val="11"/>
            <w:tabs>
              <w:tab w:val="right" w:leader="dot" w:pos="8575"/>
            </w:tabs>
            <w:spacing w:line="317" w:lineRule="auto"/>
            <w:ind w:firstLineChars="0" w:firstLine="0"/>
          </w:pPr>
          <w:hyperlink w:anchor="_Toc7551" w:history="1">
            <w:r w:rsidR="000F4565">
              <w:rPr>
                <w:rFonts w:hint="eastAsia"/>
              </w:rPr>
              <w:t>六、措施建议</w:t>
            </w:r>
            <w:r w:rsidR="000F4565">
              <w:tab/>
            </w:r>
            <w:r w:rsidR="000F4565">
              <w:fldChar w:fldCharType="begin"/>
            </w:r>
            <w:r w:rsidR="000F4565">
              <w:instrText xml:space="preserve"> PAGEREF _Toc7551 \h </w:instrText>
            </w:r>
            <w:r w:rsidR="000F4565">
              <w:fldChar w:fldCharType="separate"/>
            </w:r>
            <w:r w:rsidR="000F4565">
              <w:t>24</w:t>
            </w:r>
            <w:r w:rsidR="000F4565">
              <w:fldChar w:fldCharType="end"/>
            </w:r>
          </w:hyperlink>
        </w:p>
        <w:p w:rsidR="00080E97" w:rsidRDefault="00CA4A14">
          <w:pPr>
            <w:pStyle w:val="21"/>
            <w:tabs>
              <w:tab w:val="right" w:leader="dot" w:pos="8575"/>
            </w:tabs>
            <w:spacing w:line="317" w:lineRule="auto"/>
            <w:ind w:leftChars="0" w:left="0" w:firstLineChars="0" w:firstLine="0"/>
          </w:pPr>
          <w:hyperlink w:anchor="_Toc19180" w:history="1">
            <w:r w:rsidR="000F4565">
              <w:rPr>
                <w:rFonts w:hint="eastAsia"/>
              </w:rPr>
              <w:t>（一）优化绩效目标编制，科学设置绩效指标与指标值</w:t>
            </w:r>
            <w:r w:rsidR="000F4565">
              <w:tab/>
            </w:r>
            <w:r w:rsidR="000F4565">
              <w:fldChar w:fldCharType="begin"/>
            </w:r>
            <w:r w:rsidR="000F4565">
              <w:instrText xml:space="preserve"> PAGEREF _Toc19180 \h </w:instrText>
            </w:r>
            <w:r w:rsidR="000F4565">
              <w:fldChar w:fldCharType="separate"/>
            </w:r>
            <w:r w:rsidR="000F4565">
              <w:t>24</w:t>
            </w:r>
            <w:r w:rsidR="000F4565">
              <w:fldChar w:fldCharType="end"/>
            </w:r>
          </w:hyperlink>
        </w:p>
        <w:p w:rsidR="00080E97" w:rsidRDefault="00CA4A14">
          <w:pPr>
            <w:pStyle w:val="21"/>
            <w:tabs>
              <w:tab w:val="right" w:leader="dot" w:pos="8575"/>
            </w:tabs>
            <w:spacing w:line="317" w:lineRule="auto"/>
            <w:ind w:leftChars="0" w:left="0" w:firstLineChars="0" w:firstLine="0"/>
          </w:pPr>
          <w:hyperlink w:anchor="_Toc25596" w:history="1">
            <w:r w:rsidR="000F4565">
              <w:rPr>
                <w:rFonts w:hint="eastAsia"/>
              </w:rPr>
              <w:t>（二）多维优化提质增效，赋能智慧传播</w:t>
            </w:r>
            <w:r w:rsidR="000F4565">
              <w:tab/>
            </w:r>
            <w:r w:rsidR="000F4565">
              <w:fldChar w:fldCharType="begin"/>
            </w:r>
            <w:r w:rsidR="000F4565">
              <w:instrText xml:space="preserve"> PAGEREF _Toc25596 \h </w:instrText>
            </w:r>
            <w:r w:rsidR="000F4565">
              <w:fldChar w:fldCharType="separate"/>
            </w:r>
            <w:r w:rsidR="000F4565">
              <w:t>25</w:t>
            </w:r>
            <w:r w:rsidR="000F4565">
              <w:fldChar w:fldCharType="end"/>
            </w:r>
          </w:hyperlink>
        </w:p>
        <w:p w:rsidR="00080E97" w:rsidRDefault="00CA4A14">
          <w:pPr>
            <w:pStyle w:val="11"/>
            <w:tabs>
              <w:tab w:val="right" w:leader="dot" w:pos="8575"/>
            </w:tabs>
            <w:spacing w:line="317" w:lineRule="auto"/>
            <w:ind w:firstLineChars="0" w:firstLine="0"/>
          </w:pPr>
          <w:hyperlink w:anchor="_Toc7989" w:history="1">
            <w:r w:rsidR="000F4565">
              <w:rPr>
                <w:rFonts w:hint="eastAsia"/>
              </w:rPr>
              <w:t>七、附件</w:t>
            </w:r>
            <w:r w:rsidR="000F4565">
              <w:tab/>
            </w:r>
            <w:r w:rsidR="000F4565">
              <w:fldChar w:fldCharType="begin"/>
            </w:r>
            <w:r w:rsidR="000F4565">
              <w:instrText xml:space="preserve"> PAGEREF _Toc7989 \h </w:instrText>
            </w:r>
            <w:r w:rsidR="000F4565">
              <w:fldChar w:fldCharType="separate"/>
            </w:r>
            <w:r w:rsidR="000F4565">
              <w:t>25</w:t>
            </w:r>
            <w:r w:rsidR="000F4565">
              <w:fldChar w:fldCharType="end"/>
            </w:r>
          </w:hyperlink>
        </w:p>
        <w:p w:rsidR="00080E97" w:rsidRDefault="000F4565">
          <w:pPr>
            <w:pStyle w:val="11"/>
            <w:tabs>
              <w:tab w:val="right" w:leader="dot" w:pos="8306"/>
            </w:tabs>
            <w:spacing w:line="317" w:lineRule="auto"/>
            <w:ind w:firstLineChars="0" w:firstLine="0"/>
            <w:rPr>
              <w:rFonts w:ascii="华文中宋" w:eastAsia="华文中宋" w:hAnsi="华文中宋" w:cs="华文中宋"/>
              <w:sz w:val="36"/>
              <w:szCs w:val="36"/>
            </w:rPr>
            <w:sectPr w:rsidR="00080E97">
              <w:pgSz w:w="11906" w:h="16838"/>
              <w:pgMar w:top="2098" w:right="1800" w:bottom="1984" w:left="1531" w:header="851" w:footer="1417" w:gutter="0"/>
              <w:cols w:space="425"/>
              <w:docGrid w:type="lines" w:linePitch="312"/>
            </w:sectPr>
          </w:pPr>
          <w:r>
            <w:rPr>
              <w:rFonts w:cs="仿宋_GB2312" w:hint="eastAsia"/>
              <w:szCs w:val="32"/>
            </w:rPr>
            <w:fldChar w:fldCharType="end"/>
          </w:r>
        </w:p>
      </w:sdtContent>
    </w:sdt>
    <w:p w:rsidR="00080E97" w:rsidRDefault="000F4565">
      <w:pPr>
        <w:ind w:firstLineChars="0" w:firstLine="0"/>
        <w:jc w:val="center"/>
        <w:rPr>
          <w:rFonts w:ascii="华文中宋" w:eastAsia="华文中宋" w:hAnsi="华文中宋" w:cs="华文中宋"/>
          <w:sz w:val="36"/>
          <w:szCs w:val="36"/>
        </w:rPr>
      </w:pPr>
      <w:r>
        <w:rPr>
          <w:rFonts w:ascii="华文中宋" w:eastAsia="华文中宋" w:hAnsi="华文中宋" w:cs="华文中宋" w:hint="eastAsia"/>
          <w:sz w:val="36"/>
          <w:szCs w:val="36"/>
        </w:rPr>
        <w:lastRenderedPageBreak/>
        <w:t>北京广播电视台2024年部门整体绩效评价报告</w:t>
      </w:r>
    </w:p>
    <w:p w:rsidR="00080E97" w:rsidRDefault="00080E97">
      <w:pPr>
        <w:ind w:firstLineChars="0" w:firstLine="0"/>
        <w:jc w:val="center"/>
        <w:rPr>
          <w:rFonts w:ascii="华文中宋" w:eastAsia="华文中宋" w:hAnsi="华文中宋" w:cs="华文中宋"/>
          <w:sz w:val="36"/>
          <w:szCs w:val="36"/>
        </w:rPr>
      </w:pPr>
    </w:p>
    <w:p w:rsidR="00080E97" w:rsidRDefault="000F4565">
      <w:pPr>
        <w:pStyle w:val="1"/>
        <w:ind w:firstLine="640"/>
      </w:pPr>
      <w:bookmarkStart w:id="14" w:name="_Toc15195"/>
      <w:bookmarkStart w:id="15" w:name="_Toc5092"/>
      <w:r>
        <w:rPr>
          <w:rFonts w:hint="eastAsia"/>
        </w:rPr>
        <w:t>一、部门概况</w:t>
      </w:r>
      <w:bookmarkEnd w:id="14"/>
      <w:bookmarkEnd w:id="15"/>
    </w:p>
    <w:p w:rsidR="00080E97" w:rsidRDefault="000F4565">
      <w:pPr>
        <w:pStyle w:val="2"/>
        <w:ind w:firstLine="640"/>
      </w:pPr>
      <w:bookmarkStart w:id="16" w:name="_Toc5178"/>
      <w:r>
        <w:rPr>
          <w:rFonts w:hint="eastAsia"/>
        </w:rPr>
        <w:t>（一）机构设置及职责工作任务情况</w:t>
      </w:r>
      <w:bookmarkEnd w:id="16"/>
    </w:p>
    <w:p w:rsidR="00080E97" w:rsidRDefault="000F4565">
      <w:r>
        <w:t>1</w:t>
      </w:r>
      <w:r>
        <w:rPr>
          <w:rFonts w:hint="eastAsia"/>
        </w:rPr>
        <w:t>.部门职责</w:t>
      </w:r>
    </w:p>
    <w:p w:rsidR="00080E97" w:rsidRDefault="000F4565">
      <w:r>
        <w:rPr>
          <w:rFonts w:hint="eastAsia"/>
        </w:rPr>
        <w:t>北京广播电视台（以下简称“北京台”）是中国共产党北京市委员会（以下简称“市委”）重要宣传舆论阵地，为北京市人民政府（以下简称“市政府”）直属正局级事业单位，归口中国共产党北京市委员会宣传部（以下简称“市委宣传部”）领导。</w:t>
      </w:r>
    </w:p>
    <w:p w:rsidR="00080E97" w:rsidRDefault="000F4565">
      <w:r>
        <w:rPr>
          <w:rFonts w:hint="eastAsia"/>
        </w:rPr>
        <w:t>主要职责如下：</w:t>
      </w:r>
    </w:p>
    <w:p w:rsidR="00080E97" w:rsidRDefault="000F4565">
      <w:r>
        <w:rPr>
          <w:rFonts w:hint="eastAsia"/>
        </w:rPr>
        <w:t>（1）宣传贯彻党的理论和路线方针政策，宣传贯彻市委、市政府重大决策部署，落实意识形态工作责任制。</w:t>
      </w:r>
    </w:p>
    <w:p w:rsidR="00080E97" w:rsidRDefault="000F4565">
      <w:r>
        <w:rPr>
          <w:rFonts w:hint="eastAsia"/>
        </w:rPr>
        <w:t>（2）坚持正确舆论导向，统筹组织重大宣传报道，引导社会热点，加强和改进舆论监督工作。</w:t>
      </w:r>
    </w:p>
    <w:p w:rsidR="00080E97" w:rsidRDefault="000F4565">
      <w:r>
        <w:rPr>
          <w:rFonts w:hint="eastAsia"/>
        </w:rPr>
        <w:t>（3）组织广播电视和网络视听节目创作生产，制作和播出广播电视精品节目。</w:t>
      </w:r>
    </w:p>
    <w:p w:rsidR="00080E97" w:rsidRDefault="000F4565">
      <w:r>
        <w:rPr>
          <w:rFonts w:hint="eastAsia"/>
        </w:rPr>
        <w:t>（4）推动广播电视媒体、新兴媒体融合发展，提升全媒体、平台影响力。</w:t>
      </w:r>
    </w:p>
    <w:p w:rsidR="00080E97" w:rsidRDefault="000F4565">
      <w:r>
        <w:rPr>
          <w:rFonts w:hint="eastAsia"/>
        </w:rPr>
        <w:t>（5）加强国际传播能力建设，讲好中国故事，展示北京形象。</w:t>
      </w:r>
    </w:p>
    <w:p w:rsidR="00080E97" w:rsidRDefault="000F4565">
      <w:r>
        <w:rPr>
          <w:rFonts w:hint="eastAsia"/>
        </w:rPr>
        <w:lastRenderedPageBreak/>
        <w:t>（6）加强技术创新应用，确保播出安全。</w:t>
      </w:r>
    </w:p>
    <w:p w:rsidR="00080E97" w:rsidRDefault="000F4565">
      <w:r>
        <w:rPr>
          <w:rFonts w:hint="eastAsia"/>
        </w:rPr>
        <w:t>（7）完成市委、市政府交办的其他任务。</w:t>
      </w:r>
    </w:p>
    <w:p w:rsidR="00080E97" w:rsidRDefault="000F4565">
      <w:r>
        <w:rPr>
          <w:rFonts w:hint="eastAsia"/>
        </w:rPr>
        <w:t>2.机构设置情况</w:t>
      </w:r>
    </w:p>
    <w:p w:rsidR="00080E97" w:rsidRDefault="000F4565">
      <w:r>
        <w:rPr>
          <w:rFonts w:hint="eastAsia"/>
        </w:rPr>
        <w:t>根据《中共北京市委办公厅 北京市人民政府办公厅关于印发〈北京广播电视台职能配置、内设机构和人员编制规定〉的通知》（京办字〔2019〕74号）、《中共北京市委机构编制委员会关于北京广播电视台及其所属事业单位改革有关事项的批复》（京编委〔2021〕116号）等相关批复，北京台内设技术管理部、运营管理部、广告管理部等19个职能部室和节目研发中心、动力中心、新闻频道中心等33个事业中心。</w:t>
      </w:r>
    </w:p>
    <w:p w:rsidR="00080E97" w:rsidRDefault="000F4565">
      <w:pPr>
        <w:pStyle w:val="2"/>
        <w:ind w:firstLine="640"/>
      </w:pPr>
      <w:bookmarkStart w:id="17" w:name="_Toc28053"/>
      <w:r>
        <w:rPr>
          <w:rFonts w:hint="eastAsia"/>
        </w:rPr>
        <w:t>（二）部门整体绩效目标设立情况</w:t>
      </w:r>
      <w:bookmarkEnd w:id="17"/>
    </w:p>
    <w:p w:rsidR="00080E97" w:rsidRDefault="000F4565">
      <w:r>
        <w:rPr>
          <w:rFonts w:hint="eastAsia"/>
        </w:rPr>
        <w:t>2024年北京台围绕“广播、电视节目制作”“广播、电视节目播出”“技术创新发展”3个活动方向设置了部门整体绩效目标，并细化分解21项绩效指标。部门整体绩效目标与北京台“组织广播电视和网络视听节目创作生产，制作和播出广播电视精品节目”等职责定位较为相符。</w:t>
      </w:r>
    </w:p>
    <w:p w:rsidR="00080E97" w:rsidRDefault="000F4565">
      <w:r>
        <w:rPr>
          <w:rFonts w:hint="eastAsia"/>
        </w:rPr>
        <w:t>部门整体绩效目标为：统筹推进新时代首都新型主流媒体建设，持续创新升级，高质量服务新时代首都发展。1.坚守正确舆论导向，高质量完成重大主题报道任务。加大重点选题策划统筹力度，精心做好重要节点报道。2.聚焦全市中心工作宣传，助</w:t>
      </w:r>
      <w:proofErr w:type="gramStart"/>
      <w:r>
        <w:rPr>
          <w:rFonts w:hint="eastAsia"/>
        </w:rPr>
        <w:t>推</w:t>
      </w:r>
      <w:r>
        <w:rPr>
          <w:rFonts w:hint="eastAsia"/>
        </w:rPr>
        <w:lastRenderedPageBreak/>
        <w:t>全国</w:t>
      </w:r>
      <w:proofErr w:type="gramEnd"/>
      <w:r>
        <w:rPr>
          <w:rFonts w:hint="eastAsia"/>
        </w:rPr>
        <w:t>文化中心建设。紧紧围绕全市中心工作，深入做好形势政策宣传、成就宣传、典型宣传，加大首都推动高质量发展报道力度，为推动新时代首都发展营造良好舆论氛围。报道好首都文化中心建设举措进展，助力首都文化中心建设，联合津</w:t>
      </w:r>
      <w:proofErr w:type="gramStart"/>
      <w:r>
        <w:rPr>
          <w:rFonts w:hint="eastAsia"/>
        </w:rPr>
        <w:t>冀媒体</w:t>
      </w:r>
      <w:proofErr w:type="gramEnd"/>
      <w:r>
        <w:rPr>
          <w:rFonts w:hint="eastAsia"/>
        </w:rPr>
        <w:t>共同讲好京津冀协同发展故事。3.持续强化技术赋能，加快推进媒体深度融合。围绕“新闻＋政务服务商务”做强北京时间APP和听听FM，立足4K/8K项目创新成果，以技术创新带动融合转型。4.推出更多文化精品内容生产，繁荣文化事业。扭住内容根本，坚持创新创优，不断推出凝聚时代之魂、焕发信仰之光、承载民众梦想的精品力作。</w:t>
      </w:r>
    </w:p>
    <w:p w:rsidR="00080E97" w:rsidRDefault="000F4565">
      <w:r>
        <w:rPr>
          <w:rFonts w:hint="eastAsia"/>
        </w:rPr>
        <w:t>绩效指标详见下表：</w:t>
      </w:r>
    </w:p>
    <w:p w:rsidR="00080E97" w:rsidRDefault="000F4565">
      <w:pPr>
        <w:ind w:firstLineChars="0" w:firstLine="0"/>
        <w:jc w:val="center"/>
        <w:rPr>
          <w:rFonts w:ascii="黑体" w:eastAsia="黑体" w:hAnsi="黑体" w:cs="黑体"/>
          <w:sz w:val="28"/>
          <w:szCs w:val="28"/>
        </w:rPr>
      </w:pPr>
      <w:r>
        <w:rPr>
          <w:rFonts w:ascii="黑体" w:eastAsia="黑体" w:hAnsi="黑体" w:cs="黑体" w:hint="eastAsia"/>
          <w:sz w:val="28"/>
          <w:szCs w:val="28"/>
        </w:rPr>
        <w:t>表1：北京台2024年部门整体绩效指标表</w:t>
      </w:r>
    </w:p>
    <w:tbl>
      <w:tblPr>
        <w:tblW w:w="4997" w:type="pct"/>
        <w:tblLook w:val="04A0" w:firstRow="1" w:lastRow="0" w:firstColumn="1" w:lastColumn="0" w:noHBand="0" w:noVBand="1"/>
      </w:tblPr>
      <w:tblGrid>
        <w:gridCol w:w="1431"/>
        <w:gridCol w:w="5139"/>
        <w:gridCol w:w="1035"/>
        <w:gridCol w:w="1224"/>
      </w:tblGrid>
      <w:tr w:rsidR="00080E97">
        <w:trPr>
          <w:trHeight w:hRule="exact" w:val="567"/>
          <w:tblHeader/>
        </w:trPr>
        <w:tc>
          <w:tcPr>
            <w:tcW w:w="810" w:type="pct"/>
            <w:tcBorders>
              <w:top w:val="single" w:sz="4" w:space="0" w:color="auto"/>
              <w:left w:val="single" w:sz="4" w:space="0" w:color="auto"/>
              <w:bottom w:val="single" w:sz="4" w:space="0" w:color="auto"/>
              <w:right w:val="single" w:sz="4" w:space="0" w:color="auto"/>
            </w:tcBorders>
            <w:shd w:val="clear" w:color="auto" w:fill="auto"/>
            <w:vAlign w:val="center"/>
          </w:tcPr>
          <w:p w:rsidR="00080E97" w:rsidRDefault="000F4565">
            <w:pPr>
              <w:widowControl/>
              <w:spacing w:line="240" w:lineRule="auto"/>
              <w:ind w:firstLineChars="0" w:firstLine="0"/>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bidi="ar"/>
              </w:rPr>
              <w:t>活动</w:t>
            </w:r>
          </w:p>
        </w:tc>
        <w:tc>
          <w:tcPr>
            <w:tcW w:w="2909" w:type="pct"/>
            <w:tcBorders>
              <w:top w:val="single" w:sz="4" w:space="0" w:color="auto"/>
              <w:left w:val="single" w:sz="4" w:space="0" w:color="auto"/>
              <w:bottom w:val="single" w:sz="4" w:space="0" w:color="auto"/>
              <w:right w:val="single" w:sz="4" w:space="0" w:color="auto"/>
            </w:tcBorders>
            <w:shd w:val="clear" w:color="auto" w:fill="auto"/>
            <w:vAlign w:val="center"/>
          </w:tcPr>
          <w:p w:rsidR="00080E97" w:rsidRDefault="000F4565">
            <w:pPr>
              <w:widowControl/>
              <w:spacing w:line="240" w:lineRule="auto"/>
              <w:ind w:firstLineChars="0" w:firstLine="0"/>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bidi="ar"/>
              </w:rPr>
              <w:t>绩效指标</w:t>
            </w:r>
          </w:p>
        </w:tc>
        <w:tc>
          <w:tcPr>
            <w:tcW w:w="586" w:type="pct"/>
            <w:tcBorders>
              <w:top w:val="single" w:sz="4" w:space="0" w:color="auto"/>
              <w:left w:val="single" w:sz="4" w:space="0" w:color="auto"/>
              <w:bottom w:val="single" w:sz="4" w:space="0" w:color="auto"/>
              <w:right w:val="single" w:sz="4" w:space="0" w:color="auto"/>
            </w:tcBorders>
            <w:shd w:val="clear" w:color="auto" w:fill="auto"/>
            <w:vAlign w:val="center"/>
          </w:tcPr>
          <w:p w:rsidR="00080E97" w:rsidRDefault="000F4565">
            <w:pPr>
              <w:widowControl/>
              <w:spacing w:line="240" w:lineRule="auto"/>
              <w:ind w:firstLineChars="0" w:firstLine="0"/>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bidi="ar"/>
              </w:rPr>
              <w:t>指标性质</w:t>
            </w:r>
          </w:p>
        </w:tc>
        <w:tc>
          <w:tcPr>
            <w:tcW w:w="693" w:type="pct"/>
            <w:tcBorders>
              <w:top w:val="single" w:sz="4" w:space="0" w:color="auto"/>
              <w:left w:val="single" w:sz="4" w:space="0" w:color="auto"/>
              <w:bottom w:val="single" w:sz="4" w:space="0" w:color="auto"/>
              <w:right w:val="single" w:sz="4" w:space="0" w:color="auto"/>
            </w:tcBorders>
            <w:shd w:val="clear" w:color="auto" w:fill="auto"/>
            <w:vAlign w:val="center"/>
          </w:tcPr>
          <w:p w:rsidR="00080E97" w:rsidRDefault="000F4565">
            <w:pPr>
              <w:widowControl/>
              <w:spacing w:line="240" w:lineRule="auto"/>
              <w:ind w:firstLineChars="0" w:firstLine="0"/>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bidi="ar"/>
              </w:rPr>
              <w:t>指标值</w:t>
            </w:r>
          </w:p>
        </w:tc>
      </w:tr>
      <w:tr w:rsidR="00080E97">
        <w:trPr>
          <w:trHeight w:val="567"/>
        </w:trPr>
        <w:tc>
          <w:tcPr>
            <w:tcW w:w="810" w:type="pct"/>
            <w:vMerge w:val="restart"/>
            <w:tcBorders>
              <w:top w:val="single" w:sz="4" w:space="0" w:color="auto"/>
              <w:left w:val="single" w:sz="4" w:space="0" w:color="auto"/>
              <w:right w:val="single" w:sz="4" w:space="0" w:color="auto"/>
            </w:tcBorders>
            <w:shd w:val="clear" w:color="auto" w:fill="auto"/>
            <w:vAlign w:val="center"/>
          </w:tcPr>
          <w:p w:rsidR="00080E97" w:rsidRDefault="000F4565">
            <w:pPr>
              <w:widowControl/>
              <w:spacing w:line="240" w:lineRule="auto"/>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（一）广播、电视节目制作</w:t>
            </w:r>
          </w:p>
        </w:tc>
        <w:tc>
          <w:tcPr>
            <w:tcW w:w="2909" w:type="pct"/>
            <w:tcBorders>
              <w:top w:val="single" w:sz="4" w:space="0" w:color="auto"/>
              <w:left w:val="single" w:sz="4" w:space="0" w:color="auto"/>
              <w:bottom w:val="single" w:sz="4" w:space="0" w:color="auto"/>
              <w:right w:val="single" w:sz="4" w:space="0" w:color="auto"/>
            </w:tcBorders>
            <w:shd w:val="clear" w:color="auto" w:fill="auto"/>
            <w:vAlign w:val="center"/>
          </w:tcPr>
          <w:p w:rsidR="00080E97" w:rsidRDefault="000F4565">
            <w:pPr>
              <w:widowControl/>
              <w:spacing w:line="240" w:lineRule="auto"/>
              <w:ind w:firstLineChars="0" w:firstLine="0"/>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成本指标经济成本指标全年以收定支，严格控制成本，降本增效。</w:t>
            </w:r>
          </w:p>
        </w:tc>
        <w:tc>
          <w:tcPr>
            <w:tcW w:w="586" w:type="pct"/>
            <w:tcBorders>
              <w:top w:val="single" w:sz="4" w:space="0" w:color="auto"/>
              <w:left w:val="single" w:sz="4" w:space="0" w:color="auto"/>
              <w:bottom w:val="single" w:sz="4" w:space="0" w:color="auto"/>
              <w:right w:val="single" w:sz="4" w:space="0" w:color="auto"/>
            </w:tcBorders>
            <w:shd w:val="clear" w:color="auto" w:fill="auto"/>
            <w:vAlign w:val="center"/>
          </w:tcPr>
          <w:p w:rsidR="00080E97" w:rsidRDefault="000F4565">
            <w:pPr>
              <w:widowControl/>
              <w:spacing w:line="240" w:lineRule="auto"/>
              <w:ind w:firstLineChars="0" w:firstLine="0"/>
              <w:jc w:val="center"/>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定性</w:t>
            </w:r>
          </w:p>
        </w:tc>
        <w:tc>
          <w:tcPr>
            <w:tcW w:w="693" w:type="pct"/>
            <w:tcBorders>
              <w:top w:val="single" w:sz="4" w:space="0" w:color="auto"/>
              <w:left w:val="single" w:sz="4" w:space="0" w:color="auto"/>
              <w:bottom w:val="single" w:sz="4" w:space="0" w:color="auto"/>
              <w:right w:val="single" w:sz="4" w:space="0" w:color="auto"/>
            </w:tcBorders>
            <w:shd w:val="clear" w:color="auto" w:fill="auto"/>
            <w:vAlign w:val="center"/>
          </w:tcPr>
          <w:p w:rsidR="00080E97" w:rsidRDefault="000F4565">
            <w:pPr>
              <w:widowControl/>
              <w:spacing w:line="240" w:lineRule="auto"/>
              <w:ind w:firstLineChars="0" w:firstLine="0"/>
              <w:jc w:val="center"/>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优良</w:t>
            </w:r>
          </w:p>
        </w:tc>
      </w:tr>
      <w:tr w:rsidR="00080E97">
        <w:trPr>
          <w:trHeight w:val="567"/>
        </w:trPr>
        <w:tc>
          <w:tcPr>
            <w:tcW w:w="810" w:type="pct"/>
            <w:vMerge/>
            <w:tcBorders>
              <w:left w:val="single" w:sz="4" w:space="0" w:color="auto"/>
              <w:right w:val="single" w:sz="4" w:space="0" w:color="auto"/>
            </w:tcBorders>
            <w:shd w:val="clear" w:color="auto" w:fill="auto"/>
            <w:vAlign w:val="center"/>
          </w:tcPr>
          <w:p w:rsidR="00080E97" w:rsidRDefault="00080E97">
            <w:pPr>
              <w:widowControl/>
              <w:spacing w:line="240" w:lineRule="auto"/>
              <w:ind w:firstLineChars="0" w:firstLine="0"/>
              <w:jc w:val="center"/>
              <w:textAlignment w:val="center"/>
              <w:rPr>
                <w:rFonts w:ascii="宋体" w:eastAsia="宋体" w:hAnsi="宋体" w:cs="宋体"/>
                <w:color w:val="000000"/>
                <w:sz w:val="20"/>
                <w:szCs w:val="20"/>
              </w:rPr>
            </w:pPr>
          </w:p>
        </w:tc>
        <w:tc>
          <w:tcPr>
            <w:tcW w:w="2909" w:type="pct"/>
            <w:tcBorders>
              <w:top w:val="single" w:sz="4" w:space="0" w:color="auto"/>
              <w:left w:val="single" w:sz="4" w:space="0" w:color="auto"/>
              <w:bottom w:val="single" w:sz="4" w:space="0" w:color="auto"/>
              <w:right w:val="single" w:sz="4" w:space="0" w:color="auto"/>
            </w:tcBorders>
            <w:shd w:val="clear" w:color="auto" w:fill="auto"/>
            <w:vAlign w:val="center"/>
          </w:tcPr>
          <w:p w:rsidR="00080E97" w:rsidRDefault="000F4565">
            <w:pPr>
              <w:widowControl/>
              <w:spacing w:line="240" w:lineRule="auto"/>
              <w:ind w:firstLineChars="0" w:firstLine="0"/>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产出指标数量指标按照宣传报道的总体要求，</w:t>
            </w:r>
            <w:proofErr w:type="gramStart"/>
            <w:r>
              <w:rPr>
                <w:rFonts w:ascii="宋体" w:eastAsia="宋体" w:hAnsi="宋体" w:cs="宋体" w:hint="eastAsia"/>
                <w:color w:val="000000"/>
                <w:kern w:val="0"/>
                <w:sz w:val="20"/>
                <w:szCs w:val="20"/>
                <w:lang w:bidi="ar"/>
              </w:rPr>
              <w:t>根据节栏目的</w:t>
            </w:r>
            <w:proofErr w:type="gramEnd"/>
            <w:r>
              <w:rPr>
                <w:rFonts w:ascii="宋体" w:eastAsia="宋体" w:hAnsi="宋体" w:cs="宋体" w:hint="eastAsia"/>
                <w:color w:val="000000"/>
                <w:kern w:val="0"/>
                <w:sz w:val="20"/>
                <w:szCs w:val="20"/>
                <w:lang w:bidi="ar"/>
              </w:rPr>
              <w:t>性质和定位，拍摄相应素材并制作节目。</w:t>
            </w:r>
          </w:p>
        </w:tc>
        <w:tc>
          <w:tcPr>
            <w:tcW w:w="586" w:type="pct"/>
            <w:tcBorders>
              <w:top w:val="single" w:sz="4" w:space="0" w:color="auto"/>
              <w:left w:val="single" w:sz="4" w:space="0" w:color="auto"/>
              <w:bottom w:val="single" w:sz="4" w:space="0" w:color="auto"/>
              <w:right w:val="single" w:sz="4" w:space="0" w:color="auto"/>
            </w:tcBorders>
            <w:shd w:val="clear" w:color="auto" w:fill="auto"/>
            <w:vAlign w:val="center"/>
          </w:tcPr>
          <w:p w:rsidR="00080E97" w:rsidRDefault="000F4565">
            <w:pPr>
              <w:widowControl/>
              <w:spacing w:line="240" w:lineRule="auto"/>
              <w:ind w:firstLineChars="0" w:firstLine="0"/>
              <w:jc w:val="center"/>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w:t>
            </w:r>
          </w:p>
        </w:tc>
        <w:tc>
          <w:tcPr>
            <w:tcW w:w="693" w:type="pct"/>
            <w:tcBorders>
              <w:top w:val="single" w:sz="4" w:space="0" w:color="auto"/>
              <w:left w:val="single" w:sz="4" w:space="0" w:color="auto"/>
              <w:bottom w:val="single" w:sz="4" w:space="0" w:color="auto"/>
              <w:right w:val="single" w:sz="4" w:space="0" w:color="auto"/>
            </w:tcBorders>
            <w:shd w:val="clear" w:color="auto" w:fill="auto"/>
            <w:vAlign w:val="center"/>
          </w:tcPr>
          <w:p w:rsidR="00080E97" w:rsidRDefault="000F4565">
            <w:pPr>
              <w:widowControl/>
              <w:spacing w:line="240" w:lineRule="auto"/>
              <w:ind w:firstLineChars="0" w:firstLine="0"/>
              <w:jc w:val="center"/>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700000分钟</w:t>
            </w:r>
          </w:p>
        </w:tc>
      </w:tr>
      <w:tr w:rsidR="00080E97">
        <w:trPr>
          <w:trHeight w:val="850"/>
        </w:trPr>
        <w:tc>
          <w:tcPr>
            <w:tcW w:w="810" w:type="pct"/>
            <w:vMerge/>
            <w:tcBorders>
              <w:left w:val="single" w:sz="4" w:space="0" w:color="auto"/>
              <w:right w:val="single" w:sz="4" w:space="0" w:color="auto"/>
            </w:tcBorders>
            <w:shd w:val="clear" w:color="auto" w:fill="auto"/>
            <w:vAlign w:val="center"/>
          </w:tcPr>
          <w:p w:rsidR="00080E97" w:rsidRDefault="00080E97">
            <w:pPr>
              <w:widowControl/>
              <w:spacing w:line="240" w:lineRule="auto"/>
              <w:ind w:firstLineChars="0" w:firstLine="0"/>
              <w:jc w:val="center"/>
              <w:textAlignment w:val="center"/>
              <w:rPr>
                <w:rFonts w:ascii="宋体" w:eastAsia="宋体" w:hAnsi="宋体" w:cs="宋体"/>
                <w:color w:val="000000"/>
                <w:sz w:val="20"/>
                <w:szCs w:val="20"/>
              </w:rPr>
            </w:pPr>
          </w:p>
        </w:tc>
        <w:tc>
          <w:tcPr>
            <w:tcW w:w="2909" w:type="pct"/>
            <w:tcBorders>
              <w:top w:val="single" w:sz="4" w:space="0" w:color="auto"/>
              <w:left w:val="single" w:sz="4" w:space="0" w:color="auto"/>
              <w:bottom w:val="single" w:sz="4" w:space="0" w:color="auto"/>
              <w:right w:val="single" w:sz="4" w:space="0" w:color="auto"/>
            </w:tcBorders>
            <w:shd w:val="clear" w:color="auto" w:fill="auto"/>
            <w:vAlign w:val="center"/>
          </w:tcPr>
          <w:p w:rsidR="00080E97" w:rsidRDefault="000F4565" w:rsidP="00451531">
            <w:pPr>
              <w:widowControl/>
              <w:spacing w:line="240" w:lineRule="auto"/>
              <w:ind w:firstLineChars="0" w:firstLine="0"/>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产出指标质量指标符合我台节目立项和制作要求。</w:t>
            </w:r>
          </w:p>
        </w:tc>
        <w:tc>
          <w:tcPr>
            <w:tcW w:w="586" w:type="pct"/>
            <w:tcBorders>
              <w:top w:val="single" w:sz="4" w:space="0" w:color="auto"/>
              <w:left w:val="single" w:sz="4" w:space="0" w:color="auto"/>
              <w:bottom w:val="single" w:sz="4" w:space="0" w:color="auto"/>
              <w:right w:val="single" w:sz="4" w:space="0" w:color="auto"/>
            </w:tcBorders>
            <w:shd w:val="clear" w:color="auto" w:fill="auto"/>
            <w:vAlign w:val="center"/>
          </w:tcPr>
          <w:p w:rsidR="00080E97" w:rsidRDefault="000F4565">
            <w:pPr>
              <w:widowControl/>
              <w:spacing w:line="240" w:lineRule="auto"/>
              <w:ind w:firstLineChars="0" w:firstLine="0"/>
              <w:jc w:val="center"/>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定性</w:t>
            </w:r>
          </w:p>
        </w:tc>
        <w:tc>
          <w:tcPr>
            <w:tcW w:w="693" w:type="pct"/>
            <w:tcBorders>
              <w:top w:val="single" w:sz="4" w:space="0" w:color="auto"/>
              <w:left w:val="single" w:sz="4" w:space="0" w:color="auto"/>
              <w:bottom w:val="single" w:sz="4" w:space="0" w:color="auto"/>
              <w:right w:val="single" w:sz="4" w:space="0" w:color="auto"/>
            </w:tcBorders>
            <w:shd w:val="clear" w:color="auto" w:fill="auto"/>
            <w:vAlign w:val="center"/>
          </w:tcPr>
          <w:p w:rsidR="00080E97" w:rsidRDefault="000F4565">
            <w:pPr>
              <w:widowControl/>
              <w:spacing w:line="240" w:lineRule="auto"/>
              <w:ind w:firstLineChars="0" w:firstLine="0"/>
              <w:jc w:val="center"/>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优良</w:t>
            </w:r>
          </w:p>
        </w:tc>
      </w:tr>
      <w:tr w:rsidR="00080E97">
        <w:trPr>
          <w:trHeight w:val="567"/>
        </w:trPr>
        <w:tc>
          <w:tcPr>
            <w:tcW w:w="810" w:type="pct"/>
            <w:vMerge/>
            <w:tcBorders>
              <w:left w:val="single" w:sz="4" w:space="0" w:color="auto"/>
              <w:right w:val="single" w:sz="4" w:space="0" w:color="auto"/>
            </w:tcBorders>
            <w:shd w:val="clear" w:color="auto" w:fill="auto"/>
            <w:vAlign w:val="center"/>
          </w:tcPr>
          <w:p w:rsidR="00080E97" w:rsidRDefault="00080E97">
            <w:pPr>
              <w:widowControl/>
              <w:spacing w:line="240" w:lineRule="auto"/>
              <w:ind w:firstLineChars="0" w:firstLine="0"/>
              <w:jc w:val="center"/>
              <w:textAlignment w:val="center"/>
              <w:rPr>
                <w:rFonts w:ascii="宋体" w:eastAsia="宋体" w:hAnsi="宋体" w:cs="宋体"/>
                <w:color w:val="000000"/>
                <w:sz w:val="20"/>
                <w:szCs w:val="20"/>
              </w:rPr>
            </w:pPr>
          </w:p>
        </w:tc>
        <w:tc>
          <w:tcPr>
            <w:tcW w:w="2909" w:type="pct"/>
            <w:tcBorders>
              <w:top w:val="single" w:sz="4" w:space="0" w:color="auto"/>
              <w:left w:val="single" w:sz="4" w:space="0" w:color="auto"/>
              <w:bottom w:val="single" w:sz="4" w:space="0" w:color="auto"/>
              <w:right w:val="single" w:sz="4" w:space="0" w:color="auto"/>
            </w:tcBorders>
            <w:shd w:val="clear" w:color="auto" w:fill="auto"/>
            <w:vAlign w:val="center"/>
          </w:tcPr>
          <w:p w:rsidR="00080E97" w:rsidRDefault="000F4565">
            <w:pPr>
              <w:widowControl/>
              <w:spacing w:line="240" w:lineRule="auto"/>
              <w:ind w:firstLineChars="0" w:firstLine="0"/>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产出指标时效指标2024年根据重要时间节点宣传报道的安排，及时进行拍摄制作。</w:t>
            </w:r>
          </w:p>
        </w:tc>
        <w:tc>
          <w:tcPr>
            <w:tcW w:w="586" w:type="pct"/>
            <w:tcBorders>
              <w:top w:val="single" w:sz="4" w:space="0" w:color="auto"/>
              <w:left w:val="single" w:sz="4" w:space="0" w:color="auto"/>
              <w:bottom w:val="single" w:sz="4" w:space="0" w:color="auto"/>
              <w:right w:val="single" w:sz="4" w:space="0" w:color="auto"/>
            </w:tcBorders>
            <w:shd w:val="clear" w:color="auto" w:fill="auto"/>
            <w:vAlign w:val="center"/>
          </w:tcPr>
          <w:p w:rsidR="00080E97" w:rsidRDefault="000F4565">
            <w:pPr>
              <w:widowControl/>
              <w:spacing w:line="240" w:lineRule="auto"/>
              <w:ind w:firstLineChars="0" w:firstLine="0"/>
              <w:jc w:val="center"/>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定性</w:t>
            </w:r>
          </w:p>
        </w:tc>
        <w:tc>
          <w:tcPr>
            <w:tcW w:w="693" w:type="pct"/>
            <w:tcBorders>
              <w:top w:val="single" w:sz="4" w:space="0" w:color="auto"/>
              <w:left w:val="single" w:sz="4" w:space="0" w:color="auto"/>
              <w:bottom w:val="single" w:sz="4" w:space="0" w:color="auto"/>
              <w:right w:val="single" w:sz="4" w:space="0" w:color="auto"/>
            </w:tcBorders>
            <w:shd w:val="clear" w:color="auto" w:fill="auto"/>
            <w:vAlign w:val="center"/>
          </w:tcPr>
          <w:p w:rsidR="00080E97" w:rsidRDefault="000F4565">
            <w:pPr>
              <w:widowControl/>
              <w:spacing w:line="240" w:lineRule="auto"/>
              <w:ind w:firstLineChars="0" w:firstLine="0"/>
              <w:jc w:val="center"/>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优良</w:t>
            </w:r>
          </w:p>
        </w:tc>
      </w:tr>
      <w:tr w:rsidR="00080E97">
        <w:trPr>
          <w:trHeight w:val="567"/>
        </w:trPr>
        <w:tc>
          <w:tcPr>
            <w:tcW w:w="810" w:type="pct"/>
            <w:vMerge/>
            <w:tcBorders>
              <w:left w:val="single" w:sz="4" w:space="0" w:color="auto"/>
              <w:right w:val="single" w:sz="4" w:space="0" w:color="auto"/>
            </w:tcBorders>
            <w:shd w:val="clear" w:color="auto" w:fill="auto"/>
            <w:vAlign w:val="center"/>
          </w:tcPr>
          <w:p w:rsidR="00080E97" w:rsidRDefault="00080E97">
            <w:pPr>
              <w:widowControl/>
              <w:spacing w:line="240" w:lineRule="auto"/>
              <w:ind w:firstLineChars="0" w:firstLine="0"/>
              <w:jc w:val="center"/>
              <w:textAlignment w:val="center"/>
              <w:rPr>
                <w:rFonts w:ascii="宋体" w:eastAsia="宋体" w:hAnsi="宋体" w:cs="宋体"/>
                <w:color w:val="000000"/>
                <w:sz w:val="20"/>
                <w:szCs w:val="20"/>
              </w:rPr>
            </w:pPr>
          </w:p>
        </w:tc>
        <w:tc>
          <w:tcPr>
            <w:tcW w:w="2909" w:type="pct"/>
            <w:tcBorders>
              <w:top w:val="single" w:sz="4" w:space="0" w:color="auto"/>
              <w:left w:val="single" w:sz="4" w:space="0" w:color="auto"/>
              <w:bottom w:val="single" w:sz="4" w:space="0" w:color="auto"/>
              <w:right w:val="single" w:sz="4" w:space="0" w:color="auto"/>
            </w:tcBorders>
            <w:shd w:val="clear" w:color="auto" w:fill="auto"/>
            <w:vAlign w:val="center"/>
          </w:tcPr>
          <w:p w:rsidR="00080E97" w:rsidRDefault="000F4565">
            <w:pPr>
              <w:widowControl/>
              <w:spacing w:line="240" w:lineRule="auto"/>
              <w:ind w:firstLineChars="0" w:firstLine="0"/>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效益指标可持续影响指标2024年宣传报道的影响力全年可持续。</w:t>
            </w:r>
          </w:p>
        </w:tc>
        <w:tc>
          <w:tcPr>
            <w:tcW w:w="586" w:type="pct"/>
            <w:tcBorders>
              <w:top w:val="single" w:sz="4" w:space="0" w:color="auto"/>
              <w:left w:val="single" w:sz="4" w:space="0" w:color="auto"/>
              <w:bottom w:val="single" w:sz="4" w:space="0" w:color="auto"/>
              <w:right w:val="single" w:sz="4" w:space="0" w:color="auto"/>
            </w:tcBorders>
            <w:shd w:val="clear" w:color="auto" w:fill="auto"/>
            <w:vAlign w:val="center"/>
          </w:tcPr>
          <w:p w:rsidR="00080E97" w:rsidRDefault="000F4565">
            <w:pPr>
              <w:widowControl/>
              <w:spacing w:line="240" w:lineRule="auto"/>
              <w:ind w:firstLineChars="0" w:firstLine="0"/>
              <w:jc w:val="center"/>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定性</w:t>
            </w:r>
          </w:p>
        </w:tc>
        <w:tc>
          <w:tcPr>
            <w:tcW w:w="693" w:type="pct"/>
            <w:tcBorders>
              <w:top w:val="single" w:sz="4" w:space="0" w:color="auto"/>
              <w:left w:val="single" w:sz="4" w:space="0" w:color="auto"/>
              <w:bottom w:val="single" w:sz="4" w:space="0" w:color="auto"/>
              <w:right w:val="single" w:sz="4" w:space="0" w:color="auto"/>
            </w:tcBorders>
            <w:shd w:val="clear" w:color="auto" w:fill="auto"/>
            <w:vAlign w:val="center"/>
          </w:tcPr>
          <w:p w:rsidR="00080E97" w:rsidRDefault="000F4565">
            <w:pPr>
              <w:widowControl/>
              <w:spacing w:line="240" w:lineRule="auto"/>
              <w:ind w:firstLineChars="0" w:firstLine="0"/>
              <w:jc w:val="center"/>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优良</w:t>
            </w:r>
          </w:p>
        </w:tc>
      </w:tr>
      <w:tr w:rsidR="00080E97">
        <w:trPr>
          <w:trHeight w:val="567"/>
        </w:trPr>
        <w:tc>
          <w:tcPr>
            <w:tcW w:w="810" w:type="pct"/>
            <w:vMerge/>
            <w:tcBorders>
              <w:left w:val="single" w:sz="4" w:space="0" w:color="auto"/>
              <w:right w:val="single" w:sz="4" w:space="0" w:color="auto"/>
            </w:tcBorders>
            <w:shd w:val="clear" w:color="auto" w:fill="auto"/>
            <w:vAlign w:val="center"/>
          </w:tcPr>
          <w:p w:rsidR="00080E97" w:rsidRDefault="00080E97">
            <w:pPr>
              <w:widowControl/>
              <w:spacing w:line="240" w:lineRule="auto"/>
              <w:ind w:firstLineChars="0" w:firstLine="0"/>
              <w:jc w:val="center"/>
              <w:textAlignment w:val="center"/>
              <w:rPr>
                <w:rFonts w:ascii="宋体" w:eastAsia="宋体" w:hAnsi="宋体" w:cs="宋体"/>
                <w:color w:val="000000"/>
                <w:sz w:val="20"/>
                <w:szCs w:val="20"/>
              </w:rPr>
            </w:pPr>
          </w:p>
        </w:tc>
        <w:tc>
          <w:tcPr>
            <w:tcW w:w="2909" w:type="pct"/>
            <w:tcBorders>
              <w:top w:val="single" w:sz="4" w:space="0" w:color="auto"/>
              <w:left w:val="single" w:sz="4" w:space="0" w:color="auto"/>
              <w:bottom w:val="single" w:sz="4" w:space="0" w:color="auto"/>
              <w:right w:val="single" w:sz="4" w:space="0" w:color="auto"/>
            </w:tcBorders>
            <w:shd w:val="clear" w:color="auto" w:fill="auto"/>
            <w:vAlign w:val="center"/>
          </w:tcPr>
          <w:p w:rsidR="00080E97" w:rsidRDefault="000F4565">
            <w:pPr>
              <w:widowControl/>
              <w:spacing w:line="240" w:lineRule="auto"/>
              <w:ind w:firstLineChars="0" w:firstLine="0"/>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效益指标社会效益指标着力提升新闻舆论传播</w:t>
            </w:r>
            <w:proofErr w:type="gramStart"/>
            <w:r>
              <w:rPr>
                <w:rFonts w:ascii="宋体" w:eastAsia="宋体" w:hAnsi="宋体" w:cs="宋体" w:hint="eastAsia"/>
                <w:color w:val="000000"/>
                <w:kern w:val="0"/>
                <w:sz w:val="20"/>
                <w:szCs w:val="20"/>
                <w:lang w:bidi="ar"/>
              </w:rPr>
              <w:t>力引导</w:t>
            </w:r>
            <w:proofErr w:type="gramEnd"/>
            <w:r>
              <w:rPr>
                <w:rFonts w:ascii="宋体" w:eastAsia="宋体" w:hAnsi="宋体" w:cs="宋体" w:hint="eastAsia"/>
                <w:color w:val="000000"/>
                <w:kern w:val="0"/>
                <w:sz w:val="20"/>
                <w:szCs w:val="20"/>
                <w:lang w:bidi="ar"/>
              </w:rPr>
              <w:t>力影响力公信力，关注民生热点，加强策划报道。</w:t>
            </w:r>
          </w:p>
        </w:tc>
        <w:tc>
          <w:tcPr>
            <w:tcW w:w="586" w:type="pct"/>
            <w:tcBorders>
              <w:top w:val="single" w:sz="4" w:space="0" w:color="auto"/>
              <w:left w:val="single" w:sz="4" w:space="0" w:color="auto"/>
              <w:bottom w:val="single" w:sz="4" w:space="0" w:color="auto"/>
              <w:right w:val="single" w:sz="4" w:space="0" w:color="auto"/>
            </w:tcBorders>
            <w:shd w:val="clear" w:color="auto" w:fill="auto"/>
            <w:vAlign w:val="center"/>
          </w:tcPr>
          <w:p w:rsidR="00080E97" w:rsidRDefault="000F4565">
            <w:pPr>
              <w:widowControl/>
              <w:spacing w:line="240" w:lineRule="auto"/>
              <w:ind w:firstLineChars="0" w:firstLine="0"/>
              <w:jc w:val="center"/>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定性</w:t>
            </w:r>
          </w:p>
        </w:tc>
        <w:tc>
          <w:tcPr>
            <w:tcW w:w="693" w:type="pct"/>
            <w:tcBorders>
              <w:top w:val="single" w:sz="4" w:space="0" w:color="auto"/>
              <w:left w:val="single" w:sz="4" w:space="0" w:color="auto"/>
              <w:bottom w:val="single" w:sz="4" w:space="0" w:color="auto"/>
              <w:right w:val="single" w:sz="4" w:space="0" w:color="auto"/>
            </w:tcBorders>
            <w:shd w:val="clear" w:color="auto" w:fill="auto"/>
            <w:vAlign w:val="center"/>
          </w:tcPr>
          <w:p w:rsidR="00080E97" w:rsidRDefault="000F4565">
            <w:pPr>
              <w:widowControl/>
              <w:spacing w:line="240" w:lineRule="auto"/>
              <w:ind w:firstLineChars="0" w:firstLine="0"/>
              <w:jc w:val="center"/>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优良</w:t>
            </w:r>
          </w:p>
        </w:tc>
      </w:tr>
      <w:tr w:rsidR="00080E97">
        <w:trPr>
          <w:trHeight w:val="567"/>
        </w:trPr>
        <w:tc>
          <w:tcPr>
            <w:tcW w:w="810" w:type="pct"/>
            <w:vMerge/>
            <w:tcBorders>
              <w:left w:val="single" w:sz="4" w:space="0" w:color="auto"/>
              <w:bottom w:val="single" w:sz="4" w:space="0" w:color="auto"/>
              <w:right w:val="single" w:sz="4" w:space="0" w:color="auto"/>
            </w:tcBorders>
            <w:shd w:val="clear" w:color="auto" w:fill="auto"/>
            <w:vAlign w:val="center"/>
          </w:tcPr>
          <w:p w:rsidR="00080E97" w:rsidRDefault="00080E97">
            <w:pPr>
              <w:widowControl/>
              <w:spacing w:line="240" w:lineRule="auto"/>
              <w:ind w:firstLineChars="0" w:firstLine="0"/>
              <w:jc w:val="center"/>
              <w:textAlignment w:val="center"/>
              <w:rPr>
                <w:rFonts w:ascii="宋体" w:eastAsia="宋体" w:hAnsi="宋体" w:cs="宋体"/>
                <w:color w:val="000000"/>
                <w:sz w:val="20"/>
                <w:szCs w:val="20"/>
              </w:rPr>
            </w:pPr>
          </w:p>
        </w:tc>
        <w:tc>
          <w:tcPr>
            <w:tcW w:w="2909" w:type="pct"/>
            <w:tcBorders>
              <w:top w:val="single" w:sz="4" w:space="0" w:color="auto"/>
              <w:left w:val="single" w:sz="4" w:space="0" w:color="auto"/>
              <w:bottom w:val="single" w:sz="4" w:space="0" w:color="auto"/>
              <w:right w:val="single" w:sz="4" w:space="0" w:color="auto"/>
            </w:tcBorders>
            <w:shd w:val="clear" w:color="auto" w:fill="auto"/>
            <w:vAlign w:val="center"/>
          </w:tcPr>
          <w:p w:rsidR="00080E97" w:rsidRDefault="000F4565">
            <w:pPr>
              <w:widowControl/>
              <w:spacing w:line="240" w:lineRule="auto"/>
              <w:ind w:firstLineChars="0" w:firstLine="0"/>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满意度指标服务对象满意度指标根据收听收视率调查、观众互动等形式反映观众的满意度。</w:t>
            </w:r>
          </w:p>
        </w:tc>
        <w:tc>
          <w:tcPr>
            <w:tcW w:w="586" w:type="pct"/>
            <w:tcBorders>
              <w:top w:val="single" w:sz="4" w:space="0" w:color="auto"/>
              <w:left w:val="single" w:sz="4" w:space="0" w:color="auto"/>
              <w:bottom w:val="single" w:sz="4" w:space="0" w:color="auto"/>
              <w:right w:val="single" w:sz="4" w:space="0" w:color="auto"/>
            </w:tcBorders>
            <w:shd w:val="clear" w:color="auto" w:fill="auto"/>
            <w:vAlign w:val="center"/>
          </w:tcPr>
          <w:p w:rsidR="00080E97" w:rsidRDefault="000F4565">
            <w:pPr>
              <w:widowControl/>
              <w:spacing w:line="240" w:lineRule="auto"/>
              <w:ind w:firstLineChars="0" w:firstLine="0"/>
              <w:jc w:val="center"/>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定性</w:t>
            </w:r>
          </w:p>
        </w:tc>
        <w:tc>
          <w:tcPr>
            <w:tcW w:w="693" w:type="pct"/>
            <w:tcBorders>
              <w:top w:val="single" w:sz="4" w:space="0" w:color="auto"/>
              <w:left w:val="single" w:sz="4" w:space="0" w:color="auto"/>
              <w:bottom w:val="single" w:sz="4" w:space="0" w:color="auto"/>
              <w:right w:val="single" w:sz="4" w:space="0" w:color="auto"/>
            </w:tcBorders>
            <w:shd w:val="clear" w:color="auto" w:fill="auto"/>
            <w:vAlign w:val="center"/>
          </w:tcPr>
          <w:p w:rsidR="00080E97" w:rsidRDefault="000F4565">
            <w:pPr>
              <w:widowControl/>
              <w:spacing w:line="240" w:lineRule="auto"/>
              <w:ind w:firstLineChars="0" w:firstLine="0"/>
              <w:jc w:val="center"/>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优良</w:t>
            </w:r>
          </w:p>
        </w:tc>
      </w:tr>
      <w:tr w:rsidR="00080E97">
        <w:trPr>
          <w:trHeight w:val="454"/>
        </w:trPr>
        <w:tc>
          <w:tcPr>
            <w:tcW w:w="81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80E97" w:rsidRDefault="000F4565">
            <w:pPr>
              <w:widowControl/>
              <w:spacing w:line="240" w:lineRule="auto"/>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（二）广播、电视节目播出</w:t>
            </w:r>
          </w:p>
        </w:tc>
        <w:tc>
          <w:tcPr>
            <w:tcW w:w="2909" w:type="pct"/>
            <w:tcBorders>
              <w:top w:val="single" w:sz="4" w:space="0" w:color="auto"/>
              <w:left w:val="single" w:sz="4" w:space="0" w:color="auto"/>
              <w:bottom w:val="single" w:sz="4" w:space="0" w:color="auto"/>
              <w:right w:val="single" w:sz="4" w:space="0" w:color="auto"/>
            </w:tcBorders>
            <w:shd w:val="clear" w:color="auto" w:fill="auto"/>
            <w:vAlign w:val="center"/>
          </w:tcPr>
          <w:p w:rsidR="00080E97" w:rsidRDefault="000F4565">
            <w:pPr>
              <w:widowControl/>
              <w:spacing w:line="240" w:lineRule="auto"/>
              <w:ind w:firstLineChars="0" w:firstLine="0"/>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成本指标经济成本指标厉行勤俭节约，严格预算执行。</w:t>
            </w:r>
          </w:p>
        </w:tc>
        <w:tc>
          <w:tcPr>
            <w:tcW w:w="586" w:type="pct"/>
            <w:tcBorders>
              <w:top w:val="single" w:sz="4" w:space="0" w:color="auto"/>
              <w:left w:val="single" w:sz="4" w:space="0" w:color="auto"/>
              <w:bottom w:val="single" w:sz="4" w:space="0" w:color="auto"/>
              <w:right w:val="single" w:sz="4" w:space="0" w:color="auto"/>
            </w:tcBorders>
            <w:shd w:val="clear" w:color="auto" w:fill="auto"/>
            <w:vAlign w:val="center"/>
          </w:tcPr>
          <w:p w:rsidR="00080E97" w:rsidRDefault="000F4565">
            <w:pPr>
              <w:widowControl/>
              <w:spacing w:line="240" w:lineRule="auto"/>
              <w:ind w:firstLineChars="0" w:firstLine="0"/>
              <w:jc w:val="center"/>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定性</w:t>
            </w:r>
          </w:p>
        </w:tc>
        <w:tc>
          <w:tcPr>
            <w:tcW w:w="693" w:type="pct"/>
            <w:tcBorders>
              <w:top w:val="single" w:sz="4" w:space="0" w:color="auto"/>
              <w:left w:val="single" w:sz="4" w:space="0" w:color="auto"/>
              <w:bottom w:val="single" w:sz="4" w:space="0" w:color="auto"/>
              <w:right w:val="single" w:sz="4" w:space="0" w:color="auto"/>
            </w:tcBorders>
            <w:shd w:val="clear" w:color="auto" w:fill="auto"/>
            <w:vAlign w:val="center"/>
          </w:tcPr>
          <w:p w:rsidR="00080E97" w:rsidRDefault="000F4565">
            <w:pPr>
              <w:widowControl/>
              <w:spacing w:line="240" w:lineRule="auto"/>
              <w:ind w:firstLineChars="0" w:firstLine="0"/>
              <w:jc w:val="center"/>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优良</w:t>
            </w:r>
          </w:p>
        </w:tc>
      </w:tr>
      <w:tr w:rsidR="00080E97">
        <w:trPr>
          <w:trHeight w:val="567"/>
        </w:trPr>
        <w:tc>
          <w:tcPr>
            <w:tcW w:w="810" w:type="pct"/>
            <w:vMerge/>
            <w:tcBorders>
              <w:top w:val="single" w:sz="4" w:space="0" w:color="auto"/>
              <w:left w:val="single" w:sz="4" w:space="0" w:color="auto"/>
              <w:bottom w:val="single" w:sz="4" w:space="0" w:color="auto"/>
              <w:right w:val="single" w:sz="4" w:space="0" w:color="auto"/>
            </w:tcBorders>
            <w:shd w:val="clear" w:color="auto" w:fill="auto"/>
            <w:vAlign w:val="center"/>
          </w:tcPr>
          <w:p w:rsidR="00080E97" w:rsidRDefault="00080E97">
            <w:pPr>
              <w:widowControl/>
              <w:spacing w:line="240" w:lineRule="auto"/>
              <w:ind w:firstLineChars="0" w:firstLine="0"/>
              <w:jc w:val="center"/>
              <w:textAlignment w:val="center"/>
              <w:rPr>
                <w:rFonts w:ascii="宋体" w:eastAsia="宋体" w:hAnsi="宋体" w:cs="宋体"/>
                <w:color w:val="000000"/>
                <w:sz w:val="20"/>
                <w:szCs w:val="20"/>
              </w:rPr>
            </w:pPr>
          </w:p>
        </w:tc>
        <w:tc>
          <w:tcPr>
            <w:tcW w:w="2909" w:type="pct"/>
            <w:tcBorders>
              <w:top w:val="single" w:sz="4" w:space="0" w:color="auto"/>
              <w:left w:val="single" w:sz="4" w:space="0" w:color="auto"/>
              <w:bottom w:val="single" w:sz="4" w:space="0" w:color="auto"/>
              <w:right w:val="single" w:sz="4" w:space="0" w:color="auto"/>
            </w:tcBorders>
            <w:shd w:val="clear" w:color="auto" w:fill="auto"/>
            <w:vAlign w:val="center"/>
          </w:tcPr>
          <w:p w:rsidR="00080E97" w:rsidRDefault="000F4565">
            <w:pPr>
              <w:widowControl/>
              <w:spacing w:line="240" w:lineRule="auto"/>
              <w:ind w:firstLineChars="0" w:firstLine="0"/>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产出指标数量指标根据宣传报道要求和节目编排，完成播出任务。</w:t>
            </w:r>
          </w:p>
        </w:tc>
        <w:tc>
          <w:tcPr>
            <w:tcW w:w="586" w:type="pct"/>
            <w:tcBorders>
              <w:top w:val="single" w:sz="4" w:space="0" w:color="auto"/>
              <w:left w:val="single" w:sz="4" w:space="0" w:color="auto"/>
              <w:bottom w:val="single" w:sz="4" w:space="0" w:color="auto"/>
              <w:right w:val="single" w:sz="4" w:space="0" w:color="auto"/>
            </w:tcBorders>
            <w:shd w:val="clear" w:color="auto" w:fill="auto"/>
            <w:vAlign w:val="center"/>
          </w:tcPr>
          <w:p w:rsidR="00080E97" w:rsidRDefault="000F4565">
            <w:pPr>
              <w:widowControl/>
              <w:spacing w:line="240" w:lineRule="auto"/>
              <w:ind w:firstLineChars="0" w:firstLine="0"/>
              <w:jc w:val="center"/>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w:t>
            </w:r>
          </w:p>
        </w:tc>
        <w:tc>
          <w:tcPr>
            <w:tcW w:w="693" w:type="pct"/>
            <w:tcBorders>
              <w:top w:val="single" w:sz="4" w:space="0" w:color="auto"/>
              <w:left w:val="single" w:sz="4" w:space="0" w:color="auto"/>
              <w:bottom w:val="single" w:sz="4" w:space="0" w:color="auto"/>
              <w:right w:val="single" w:sz="4" w:space="0" w:color="auto"/>
            </w:tcBorders>
            <w:shd w:val="clear" w:color="auto" w:fill="auto"/>
            <w:vAlign w:val="center"/>
          </w:tcPr>
          <w:p w:rsidR="00080E97" w:rsidRDefault="000F4565">
            <w:pPr>
              <w:widowControl/>
              <w:spacing w:line="240" w:lineRule="auto"/>
              <w:ind w:firstLineChars="0" w:firstLine="0"/>
              <w:jc w:val="center"/>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200000小时</w:t>
            </w:r>
          </w:p>
        </w:tc>
      </w:tr>
      <w:tr w:rsidR="00080E97">
        <w:trPr>
          <w:trHeight w:val="454"/>
        </w:trPr>
        <w:tc>
          <w:tcPr>
            <w:tcW w:w="810" w:type="pct"/>
            <w:vMerge/>
            <w:tcBorders>
              <w:top w:val="single" w:sz="4" w:space="0" w:color="auto"/>
              <w:left w:val="single" w:sz="4" w:space="0" w:color="auto"/>
              <w:bottom w:val="single" w:sz="4" w:space="0" w:color="auto"/>
              <w:right w:val="single" w:sz="4" w:space="0" w:color="auto"/>
            </w:tcBorders>
            <w:shd w:val="clear" w:color="auto" w:fill="auto"/>
            <w:vAlign w:val="center"/>
          </w:tcPr>
          <w:p w:rsidR="00080E97" w:rsidRDefault="00080E97">
            <w:pPr>
              <w:widowControl/>
              <w:spacing w:line="240" w:lineRule="auto"/>
              <w:ind w:firstLineChars="0" w:firstLine="0"/>
              <w:jc w:val="center"/>
              <w:textAlignment w:val="center"/>
              <w:rPr>
                <w:rFonts w:ascii="宋体" w:eastAsia="宋体" w:hAnsi="宋体" w:cs="宋体"/>
                <w:color w:val="000000"/>
                <w:sz w:val="20"/>
                <w:szCs w:val="20"/>
              </w:rPr>
            </w:pPr>
          </w:p>
        </w:tc>
        <w:tc>
          <w:tcPr>
            <w:tcW w:w="2909" w:type="pct"/>
            <w:tcBorders>
              <w:top w:val="single" w:sz="4" w:space="0" w:color="auto"/>
              <w:left w:val="single" w:sz="4" w:space="0" w:color="auto"/>
              <w:bottom w:val="single" w:sz="4" w:space="0" w:color="auto"/>
              <w:right w:val="single" w:sz="4" w:space="0" w:color="auto"/>
            </w:tcBorders>
            <w:shd w:val="clear" w:color="auto" w:fill="auto"/>
            <w:vAlign w:val="center"/>
          </w:tcPr>
          <w:p w:rsidR="00080E97" w:rsidRDefault="000F4565">
            <w:pPr>
              <w:widowControl/>
              <w:spacing w:line="240" w:lineRule="auto"/>
              <w:ind w:firstLineChars="0" w:firstLine="0"/>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产出指标质量指标严格保证安全播出，杜绝播出事故。</w:t>
            </w:r>
          </w:p>
        </w:tc>
        <w:tc>
          <w:tcPr>
            <w:tcW w:w="586" w:type="pct"/>
            <w:tcBorders>
              <w:top w:val="single" w:sz="4" w:space="0" w:color="auto"/>
              <w:left w:val="single" w:sz="4" w:space="0" w:color="auto"/>
              <w:bottom w:val="single" w:sz="4" w:space="0" w:color="auto"/>
              <w:right w:val="single" w:sz="4" w:space="0" w:color="auto"/>
            </w:tcBorders>
            <w:shd w:val="clear" w:color="auto" w:fill="auto"/>
            <w:vAlign w:val="center"/>
          </w:tcPr>
          <w:p w:rsidR="00080E97" w:rsidRDefault="000F4565">
            <w:pPr>
              <w:widowControl/>
              <w:spacing w:line="240" w:lineRule="auto"/>
              <w:ind w:firstLineChars="0" w:firstLine="0"/>
              <w:jc w:val="center"/>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定性</w:t>
            </w:r>
          </w:p>
        </w:tc>
        <w:tc>
          <w:tcPr>
            <w:tcW w:w="693" w:type="pct"/>
            <w:tcBorders>
              <w:top w:val="single" w:sz="4" w:space="0" w:color="auto"/>
              <w:left w:val="single" w:sz="4" w:space="0" w:color="auto"/>
              <w:bottom w:val="single" w:sz="4" w:space="0" w:color="auto"/>
              <w:right w:val="single" w:sz="4" w:space="0" w:color="auto"/>
            </w:tcBorders>
            <w:shd w:val="clear" w:color="auto" w:fill="auto"/>
            <w:vAlign w:val="center"/>
          </w:tcPr>
          <w:p w:rsidR="00080E97" w:rsidRDefault="000F4565">
            <w:pPr>
              <w:widowControl/>
              <w:spacing w:line="240" w:lineRule="auto"/>
              <w:ind w:firstLineChars="0" w:firstLine="0"/>
              <w:jc w:val="center"/>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优良</w:t>
            </w:r>
          </w:p>
        </w:tc>
      </w:tr>
      <w:tr w:rsidR="00080E97">
        <w:trPr>
          <w:trHeight w:val="567"/>
        </w:trPr>
        <w:tc>
          <w:tcPr>
            <w:tcW w:w="810" w:type="pct"/>
            <w:vMerge/>
            <w:tcBorders>
              <w:top w:val="single" w:sz="4" w:space="0" w:color="auto"/>
              <w:left w:val="single" w:sz="4" w:space="0" w:color="auto"/>
              <w:bottom w:val="single" w:sz="4" w:space="0" w:color="auto"/>
              <w:right w:val="single" w:sz="4" w:space="0" w:color="auto"/>
            </w:tcBorders>
            <w:shd w:val="clear" w:color="auto" w:fill="auto"/>
            <w:vAlign w:val="center"/>
          </w:tcPr>
          <w:p w:rsidR="00080E97" w:rsidRDefault="00080E97">
            <w:pPr>
              <w:widowControl/>
              <w:spacing w:line="240" w:lineRule="auto"/>
              <w:ind w:firstLineChars="0" w:firstLine="0"/>
              <w:jc w:val="center"/>
              <w:textAlignment w:val="center"/>
              <w:rPr>
                <w:rFonts w:ascii="宋体" w:eastAsia="宋体" w:hAnsi="宋体" w:cs="宋体"/>
                <w:color w:val="000000"/>
                <w:sz w:val="20"/>
                <w:szCs w:val="20"/>
              </w:rPr>
            </w:pPr>
          </w:p>
        </w:tc>
        <w:tc>
          <w:tcPr>
            <w:tcW w:w="2909" w:type="pct"/>
            <w:tcBorders>
              <w:top w:val="single" w:sz="4" w:space="0" w:color="auto"/>
              <w:left w:val="single" w:sz="4" w:space="0" w:color="auto"/>
              <w:bottom w:val="single" w:sz="4" w:space="0" w:color="auto"/>
              <w:right w:val="single" w:sz="4" w:space="0" w:color="auto"/>
            </w:tcBorders>
            <w:shd w:val="clear" w:color="auto" w:fill="auto"/>
            <w:vAlign w:val="center"/>
          </w:tcPr>
          <w:p w:rsidR="00080E97" w:rsidRDefault="000F4565">
            <w:pPr>
              <w:widowControl/>
              <w:spacing w:line="240" w:lineRule="auto"/>
              <w:ind w:firstLineChars="0" w:firstLine="0"/>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产出指标时效指标根据宣传报道要求和节目编排，按时有序播出。</w:t>
            </w:r>
          </w:p>
        </w:tc>
        <w:tc>
          <w:tcPr>
            <w:tcW w:w="586" w:type="pct"/>
            <w:tcBorders>
              <w:top w:val="single" w:sz="4" w:space="0" w:color="auto"/>
              <w:left w:val="single" w:sz="4" w:space="0" w:color="auto"/>
              <w:bottom w:val="single" w:sz="4" w:space="0" w:color="auto"/>
              <w:right w:val="single" w:sz="4" w:space="0" w:color="auto"/>
            </w:tcBorders>
            <w:shd w:val="clear" w:color="auto" w:fill="auto"/>
            <w:vAlign w:val="center"/>
          </w:tcPr>
          <w:p w:rsidR="00080E97" w:rsidRDefault="000F4565">
            <w:pPr>
              <w:widowControl/>
              <w:spacing w:line="240" w:lineRule="auto"/>
              <w:ind w:firstLineChars="0" w:firstLine="0"/>
              <w:jc w:val="center"/>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定性</w:t>
            </w:r>
          </w:p>
        </w:tc>
        <w:tc>
          <w:tcPr>
            <w:tcW w:w="693" w:type="pct"/>
            <w:tcBorders>
              <w:top w:val="single" w:sz="4" w:space="0" w:color="auto"/>
              <w:left w:val="single" w:sz="4" w:space="0" w:color="auto"/>
              <w:bottom w:val="single" w:sz="4" w:space="0" w:color="auto"/>
              <w:right w:val="single" w:sz="4" w:space="0" w:color="auto"/>
            </w:tcBorders>
            <w:shd w:val="clear" w:color="auto" w:fill="auto"/>
            <w:vAlign w:val="center"/>
          </w:tcPr>
          <w:p w:rsidR="00080E97" w:rsidRDefault="000F4565">
            <w:pPr>
              <w:widowControl/>
              <w:spacing w:line="240" w:lineRule="auto"/>
              <w:ind w:firstLineChars="0" w:firstLine="0"/>
              <w:jc w:val="center"/>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优良</w:t>
            </w:r>
          </w:p>
        </w:tc>
      </w:tr>
      <w:tr w:rsidR="00080E97">
        <w:trPr>
          <w:trHeight w:val="454"/>
        </w:trPr>
        <w:tc>
          <w:tcPr>
            <w:tcW w:w="810" w:type="pct"/>
            <w:vMerge/>
            <w:tcBorders>
              <w:top w:val="single" w:sz="4" w:space="0" w:color="auto"/>
              <w:left w:val="single" w:sz="4" w:space="0" w:color="auto"/>
              <w:bottom w:val="single" w:sz="4" w:space="0" w:color="auto"/>
              <w:right w:val="single" w:sz="4" w:space="0" w:color="auto"/>
            </w:tcBorders>
            <w:shd w:val="clear" w:color="auto" w:fill="auto"/>
            <w:vAlign w:val="center"/>
          </w:tcPr>
          <w:p w:rsidR="00080E97" w:rsidRDefault="00080E97">
            <w:pPr>
              <w:widowControl/>
              <w:spacing w:line="240" w:lineRule="auto"/>
              <w:ind w:firstLineChars="0" w:firstLine="0"/>
              <w:jc w:val="center"/>
              <w:textAlignment w:val="center"/>
              <w:rPr>
                <w:rFonts w:ascii="宋体" w:eastAsia="宋体" w:hAnsi="宋体" w:cs="宋体"/>
                <w:color w:val="000000"/>
                <w:sz w:val="20"/>
                <w:szCs w:val="20"/>
              </w:rPr>
            </w:pPr>
          </w:p>
        </w:tc>
        <w:tc>
          <w:tcPr>
            <w:tcW w:w="2909" w:type="pct"/>
            <w:tcBorders>
              <w:top w:val="single" w:sz="4" w:space="0" w:color="auto"/>
              <w:left w:val="single" w:sz="4" w:space="0" w:color="auto"/>
              <w:bottom w:val="single" w:sz="4" w:space="0" w:color="auto"/>
              <w:right w:val="single" w:sz="4" w:space="0" w:color="auto"/>
            </w:tcBorders>
            <w:shd w:val="clear" w:color="auto" w:fill="auto"/>
            <w:vAlign w:val="center"/>
          </w:tcPr>
          <w:p w:rsidR="00080E97" w:rsidRDefault="000F4565">
            <w:pPr>
              <w:widowControl/>
              <w:spacing w:line="240" w:lineRule="auto"/>
              <w:ind w:firstLineChars="0" w:firstLine="0"/>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效益指标可持续影响指标2024年全年可持续。</w:t>
            </w:r>
          </w:p>
        </w:tc>
        <w:tc>
          <w:tcPr>
            <w:tcW w:w="586" w:type="pct"/>
            <w:tcBorders>
              <w:top w:val="single" w:sz="4" w:space="0" w:color="auto"/>
              <w:left w:val="single" w:sz="4" w:space="0" w:color="auto"/>
              <w:bottom w:val="single" w:sz="4" w:space="0" w:color="auto"/>
              <w:right w:val="single" w:sz="4" w:space="0" w:color="auto"/>
            </w:tcBorders>
            <w:shd w:val="clear" w:color="auto" w:fill="auto"/>
            <w:vAlign w:val="center"/>
          </w:tcPr>
          <w:p w:rsidR="00080E97" w:rsidRDefault="000F4565">
            <w:pPr>
              <w:widowControl/>
              <w:spacing w:line="240" w:lineRule="auto"/>
              <w:ind w:firstLineChars="0" w:firstLine="0"/>
              <w:jc w:val="center"/>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定性</w:t>
            </w:r>
          </w:p>
        </w:tc>
        <w:tc>
          <w:tcPr>
            <w:tcW w:w="693" w:type="pct"/>
            <w:tcBorders>
              <w:top w:val="single" w:sz="4" w:space="0" w:color="auto"/>
              <w:left w:val="single" w:sz="4" w:space="0" w:color="auto"/>
              <w:bottom w:val="single" w:sz="4" w:space="0" w:color="auto"/>
              <w:right w:val="single" w:sz="4" w:space="0" w:color="auto"/>
            </w:tcBorders>
            <w:shd w:val="clear" w:color="auto" w:fill="auto"/>
            <w:vAlign w:val="center"/>
          </w:tcPr>
          <w:p w:rsidR="00080E97" w:rsidRDefault="000F4565">
            <w:pPr>
              <w:widowControl/>
              <w:spacing w:line="240" w:lineRule="auto"/>
              <w:ind w:firstLineChars="0" w:firstLine="0"/>
              <w:jc w:val="center"/>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优良</w:t>
            </w:r>
          </w:p>
        </w:tc>
      </w:tr>
      <w:tr w:rsidR="00080E97">
        <w:trPr>
          <w:trHeight w:val="567"/>
        </w:trPr>
        <w:tc>
          <w:tcPr>
            <w:tcW w:w="810" w:type="pct"/>
            <w:vMerge/>
            <w:tcBorders>
              <w:top w:val="single" w:sz="4" w:space="0" w:color="auto"/>
              <w:left w:val="single" w:sz="4" w:space="0" w:color="auto"/>
              <w:bottom w:val="single" w:sz="4" w:space="0" w:color="auto"/>
              <w:right w:val="single" w:sz="4" w:space="0" w:color="auto"/>
            </w:tcBorders>
            <w:shd w:val="clear" w:color="auto" w:fill="auto"/>
            <w:vAlign w:val="center"/>
          </w:tcPr>
          <w:p w:rsidR="00080E97" w:rsidRDefault="00080E97">
            <w:pPr>
              <w:widowControl/>
              <w:spacing w:line="240" w:lineRule="auto"/>
              <w:ind w:firstLineChars="0" w:firstLine="0"/>
              <w:jc w:val="center"/>
              <w:textAlignment w:val="center"/>
              <w:rPr>
                <w:rFonts w:ascii="宋体" w:eastAsia="宋体" w:hAnsi="宋体" w:cs="宋体"/>
                <w:color w:val="000000"/>
                <w:sz w:val="20"/>
                <w:szCs w:val="20"/>
              </w:rPr>
            </w:pPr>
          </w:p>
        </w:tc>
        <w:tc>
          <w:tcPr>
            <w:tcW w:w="2909" w:type="pct"/>
            <w:tcBorders>
              <w:top w:val="single" w:sz="4" w:space="0" w:color="auto"/>
              <w:left w:val="single" w:sz="4" w:space="0" w:color="auto"/>
              <w:bottom w:val="single" w:sz="4" w:space="0" w:color="auto"/>
              <w:right w:val="single" w:sz="4" w:space="0" w:color="auto"/>
            </w:tcBorders>
            <w:shd w:val="clear" w:color="auto" w:fill="auto"/>
            <w:vAlign w:val="center"/>
          </w:tcPr>
          <w:p w:rsidR="00080E97" w:rsidRDefault="000F4565" w:rsidP="00451531">
            <w:pPr>
              <w:widowControl/>
              <w:spacing w:line="240" w:lineRule="auto"/>
              <w:ind w:firstLineChars="0" w:firstLine="0"/>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效益指标社会效益指标通过播出传播中华民族伟大复兴的中国梦。</w:t>
            </w:r>
          </w:p>
        </w:tc>
        <w:tc>
          <w:tcPr>
            <w:tcW w:w="586" w:type="pct"/>
            <w:tcBorders>
              <w:top w:val="single" w:sz="4" w:space="0" w:color="auto"/>
              <w:left w:val="single" w:sz="4" w:space="0" w:color="auto"/>
              <w:bottom w:val="single" w:sz="4" w:space="0" w:color="auto"/>
              <w:right w:val="single" w:sz="4" w:space="0" w:color="auto"/>
            </w:tcBorders>
            <w:shd w:val="clear" w:color="auto" w:fill="auto"/>
            <w:vAlign w:val="center"/>
          </w:tcPr>
          <w:p w:rsidR="00080E97" w:rsidRDefault="000F4565">
            <w:pPr>
              <w:widowControl/>
              <w:spacing w:line="240" w:lineRule="auto"/>
              <w:ind w:firstLineChars="0" w:firstLine="0"/>
              <w:jc w:val="center"/>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定性</w:t>
            </w:r>
          </w:p>
        </w:tc>
        <w:tc>
          <w:tcPr>
            <w:tcW w:w="693" w:type="pct"/>
            <w:tcBorders>
              <w:top w:val="single" w:sz="4" w:space="0" w:color="auto"/>
              <w:left w:val="single" w:sz="4" w:space="0" w:color="auto"/>
              <w:bottom w:val="single" w:sz="4" w:space="0" w:color="auto"/>
              <w:right w:val="single" w:sz="4" w:space="0" w:color="auto"/>
            </w:tcBorders>
            <w:shd w:val="clear" w:color="auto" w:fill="auto"/>
            <w:vAlign w:val="center"/>
          </w:tcPr>
          <w:p w:rsidR="00080E97" w:rsidRDefault="000F4565">
            <w:pPr>
              <w:widowControl/>
              <w:spacing w:line="240" w:lineRule="auto"/>
              <w:ind w:firstLineChars="0" w:firstLine="0"/>
              <w:jc w:val="center"/>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优良</w:t>
            </w:r>
          </w:p>
        </w:tc>
      </w:tr>
      <w:tr w:rsidR="00080E97">
        <w:trPr>
          <w:trHeight w:val="567"/>
        </w:trPr>
        <w:tc>
          <w:tcPr>
            <w:tcW w:w="810" w:type="pct"/>
            <w:vMerge/>
            <w:tcBorders>
              <w:top w:val="single" w:sz="4" w:space="0" w:color="auto"/>
              <w:left w:val="single" w:sz="4" w:space="0" w:color="auto"/>
              <w:bottom w:val="single" w:sz="4" w:space="0" w:color="auto"/>
              <w:right w:val="single" w:sz="4" w:space="0" w:color="auto"/>
            </w:tcBorders>
            <w:shd w:val="clear" w:color="auto" w:fill="auto"/>
            <w:vAlign w:val="center"/>
          </w:tcPr>
          <w:p w:rsidR="00080E97" w:rsidRDefault="00080E97">
            <w:pPr>
              <w:widowControl/>
              <w:spacing w:line="240" w:lineRule="auto"/>
              <w:ind w:firstLineChars="0" w:firstLine="0"/>
              <w:jc w:val="center"/>
              <w:textAlignment w:val="center"/>
              <w:rPr>
                <w:rFonts w:ascii="宋体" w:eastAsia="宋体" w:hAnsi="宋体" w:cs="宋体"/>
                <w:color w:val="000000"/>
                <w:sz w:val="20"/>
                <w:szCs w:val="20"/>
              </w:rPr>
            </w:pPr>
          </w:p>
        </w:tc>
        <w:tc>
          <w:tcPr>
            <w:tcW w:w="2909" w:type="pct"/>
            <w:tcBorders>
              <w:top w:val="single" w:sz="4" w:space="0" w:color="auto"/>
              <w:left w:val="single" w:sz="4" w:space="0" w:color="auto"/>
              <w:bottom w:val="single" w:sz="4" w:space="0" w:color="auto"/>
              <w:right w:val="single" w:sz="4" w:space="0" w:color="auto"/>
            </w:tcBorders>
            <w:shd w:val="clear" w:color="auto" w:fill="auto"/>
            <w:vAlign w:val="center"/>
          </w:tcPr>
          <w:p w:rsidR="00080E97" w:rsidRDefault="000F4565">
            <w:pPr>
              <w:widowControl/>
              <w:spacing w:line="240" w:lineRule="auto"/>
              <w:ind w:firstLineChars="0" w:firstLine="0"/>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满意度指标服务对象满意度指标保证播出顺利，满足观众收听收视需求。</w:t>
            </w:r>
          </w:p>
        </w:tc>
        <w:tc>
          <w:tcPr>
            <w:tcW w:w="586" w:type="pct"/>
            <w:tcBorders>
              <w:top w:val="single" w:sz="4" w:space="0" w:color="auto"/>
              <w:left w:val="single" w:sz="4" w:space="0" w:color="auto"/>
              <w:bottom w:val="single" w:sz="4" w:space="0" w:color="auto"/>
              <w:right w:val="single" w:sz="4" w:space="0" w:color="auto"/>
            </w:tcBorders>
            <w:shd w:val="clear" w:color="auto" w:fill="auto"/>
            <w:vAlign w:val="center"/>
          </w:tcPr>
          <w:p w:rsidR="00080E97" w:rsidRDefault="000F4565">
            <w:pPr>
              <w:widowControl/>
              <w:spacing w:line="240" w:lineRule="auto"/>
              <w:ind w:firstLineChars="0" w:firstLine="0"/>
              <w:jc w:val="center"/>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定性</w:t>
            </w:r>
          </w:p>
        </w:tc>
        <w:tc>
          <w:tcPr>
            <w:tcW w:w="693" w:type="pct"/>
            <w:tcBorders>
              <w:top w:val="single" w:sz="4" w:space="0" w:color="auto"/>
              <w:left w:val="single" w:sz="4" w:space="0" w:color="auto"/>
              <w:bottom w:val="single" w:sz="4" w:space="0" w:color="auto"/>
              <w:right w:val="single" w:sz="4" w:space="0" w:color="auto"/>
            </w:tcBorders>
            <w:shd w:val="clear" w:color="auto" w:fill="auto"/>
            <w:vAlign w:val="center"/>
          </w:tcPr>
          <w:p w:rsidR="00080E97" w:rsidRDefault="000F4565">
            <w:pPr>
              <w:widowControl/>
              <w:spacing w:line="240" w:lineRule="auto"/>
              <w:ind w:firstLineChars="0" w:firstLine="0"/>
              <w:jc w:val="center"/>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优良</w:t>
            </w:r>
          </w:p>
        </w:tc>
      </w:tr>
      <w:tr w:rsidR="00080E97">
        <w:trPr>
          <w:trHeight w:val="567"/>
        </w:trPr>
        <w:tc>
          <w:tcPr>
            <w:tcW w:w="81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80E97" w:rsidRDefault="000F4565">
            <w:pPr>
              <w:widowControl/>
              <w:spacing w:line="240" w:lineRule="auto"/>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（三）技术创新发展</w:t>
            </w:r>
          </w:p>
        </w:tc>
        <w:tc>
          <w:tcPr>
            <w:tcW w:w="2909" w:type="pct"/>
            <w:tcBorders>
              <w:top w:val="single" w:sz="4" w:space="0" w:color="auto"/>
              <w:left w:val="single" w:sz="4" w:space="0" w:color="auto"/>
              <w:bottom w:val="single" w:sz="4" w:space="0" w:color="auto"/>
              <w:right w:val="single" w:sz="4" w:space="0" w:color="auto"/>
            </w:tcBorders>
            <w:shd w:val="clear" w:color="auto" w:fill="auto"/>
            <w:vAlign w:val="center"/>
          </w:tcPr>
          <w:p w:rsidR="00080E97" w:rsidRDefault="000F4565">
            <w:pPr>
              <w:widowControl/>
              <w:spacing w:line="240" w:lineRule="auto"/>
              <w:ind w:firstLineChars="0" w:firstLine="0"/>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成本指标经济成本指标本着厉行节约、集约化生产的原则，严格控制成本。</w:t>
            </w:r>
          </w:p>
        </w:tc>
        <w:tc>
          <w:tcPr>
            <w:tcW w:w="586" w:type="pct"/>
            <w:tcBorders>
              <w:top w:val="single" w:sz="4" w:space="0" w:color="auto"/>
              <w:left w:val="single" w:sz="4" w:space="0" w:color="auto"/>
              <w:bottom w:val="single" w:sz="4" w:space="0" w:color="auto"/>
              <w:right w:val="single" w:sz="4" w:space="0" w:color="auto"/>
            </w:tcBorders>
            <w:shd w:val="clear" w:color="auto" w:fill="auto"/>
            <w:vAlign w:val="center"/>
          </w:tcPr>
          <w:p w:rsidR="00080E97" w:rsidRDefault="000F4565">
            <w:pPr>
              <w:widowControl/>
              <w:spacing w:line="240" w:lineRule="auto"/>
              <w:ind w:firstLineChars="0" w:firstLine="0"/>
              <w:jc w:val="center"/>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定性</w:t>
            </w:r>
          </w:p>
        </w:tc>
        <w:tc>
          <w:tcPr>
            <w:tcW w:w="693" w:type="pct"/>
            <w:tcBorders>
              <w:top w:val="single" w:sz="4" w:space="0" w:color="auto"/>
              <w:left w:val="single" w:sz="4" w:space="0" w:color="auto"/>
              <w:bottom w:val="single" w:sz="4" w:space="0" w:color="auto"/>
              <w:right w:val="single" w:sz="4" w:space="0" w:color="auto"/>
            </w:tcBorders>
            <w:shd w:val="clear" w:color="auto" w:fill="auto"/>
            <w:vAlign w:val="center"/>
          </w:tcPr>
          <w:p w:rsidR="00080E97" w:rsidRDefault="000F4565">
            <w:pPr>
              <w:widowControl/>
              <w:spacing w:line="240" w:lineRule="auto"/>
              <w:ind w:firstLineChars="0" w:firstLine="0"/>
              <w:jc w:val="center"/>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优良</w:t>
            </w:r>
          </w:p>
        </w:tc>
      </w:tr>
      <w:tr w:rsidR="00080E97">
        <w:trPr>
          <w:trHeight w:val="454"/>
        </w:trPr>
        <w:tc>
          <w:tcPr>
            <w:tcW w:w="810" w:type="pct"/>
            <w:vMerge/>
            <w:tcBorders>
              <w:top w:val="single" w:sz="4" w:space="0" w:color="auto"/>
              <w:left w:val="single" w:sz="4" w:space="0" w:color="auto"/>
              <w:bottom w:val="single" w:sz="4" w:space="0" w:color="auto"/>
              <w:right w:val="single" w:sz="4" w:space="0" w:color="auto"/>
            </w:tcBorders>
            <w:shd w:val="clear" w:color="auto" w:fill="auto"/>
            <w:vAlign w:val="center"/>
          </w:tcPr>
          <w:p w:rsidR="00080E97" w:rsidRDefault="00080E97">
            <w:pPr>
              <w:widowControl/>
              <w:spacing w:line="240" w:lineRule="auto"/>
              <w:ind w:firstLineChars="0" w:firstLine="0"/>
              <w:jc w:val="center"/>
              <w:textAlignment w:val="center"/>
              <w:rPr>
                <w:rFonts w:ascii="宋体" w:eastAsia="宋体" w:hAnsi="宋体" w:cs="宋体"/>
                <w:color w:val="000000"/>
                <w:sz w:val="20"/>
                <w:szCs w:val="20"/>
              </w:rPr>
            </w:pPr>
          </w:p>
        </w:tc>
        <w:tc>
          <w:tcPr>
            <w:tcW w:w="2909" w:type="pct"/>
            <w:tcBorders>
              <w:top w:val="single" w:sz="4" w:space="0" w:color="auto"/>
              <w:left w:val="single" w:sz="4" w:space="0" w:color="auto"/>
              <w:bottom w:val="single" w:sz="4" w:space="0" w:color="auto"/>
              <w:right w:val="single" w:sz="4" w:space="0" w:color="auto"/>
            </w:tcBorders>
            <w:shd w:val="clear" w:color="auto" w:fill="auto"/>
            <w:vAlign w:val="center"/>
          </w:tcPr>
          <w:p w:rsidR="00080E97" w:rsidRDefault="000F4565">
            <w:pPr>
              <w:widowControl/>
              <w:spacing w:line="240" w:lineRule="auto"/>
              <w:ind w:firstLineChars="0" w:firstLine="0"/>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产出指标数量指标8K实现全天不间断播出目标。</w:t>
            </w:r>
          </w:p>
        </w:tc>
        <w:tc>
          <w:tcPr>
            <w:tcW w:w="586" w:type="pct"/>
            <w:tcBorders>
              <w:top w:val="single" w:sz="4" w:space="0" w:color="auto"/>
              <w:left w:val="single" w:sz="4" w:space="0" w:color="auto"/>
              <w:bottom w:val="single" w:sz="4" w:space="0" w:color="auto"/>
              <w:right w:val="single" w:sz="4" w:space="0" w:color="auto"/>
            </w:tcBorders>
            <w:shd w:val="clear" w:color="auto" w:fill="auto"/>
            <w:vAlign w:val="center"/>
          </w:tcPr>
          <w:p w:rsidR="00080E97" w:rsidRDefault="000F4565">
            <w:pPr>
              <w:widowControl/>
              <w:spacing w:line="240" w:lineRule="auto"/>
              <w:ind w:firstLineChars="0" w:firstLine="0"/>
              <w:jc w:val="center"/>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w:t>
            </w:r>
          </w:p>
        </w:tc>
        <w:tc>
          <w:tcPr>
            <w:tcW w:w="693" w:type="pct"/>
            <w:tcBorders>
              <w:top w:val="single" w:sz="4" w:space="0" w:color="auto"/>
              <w:left w:val="single" w:sz="4" w:space="0" w:color="auto"/>
              <w:bottom w:val="single" w:sz="4" w:space="0" w:color="auto"/>
              <w:right w:val="single" w:sz="4" w:space="0" w:color="auto"/>
            </w:tcBorders>
            <w:shd w:val="clear" w:color="auto" w:fill="auto"/>
            <w:vAlign w:val="center"/>
          </w:tcPr>
          <w:p w:rsidR="00080E97" w:rsidRDefault="000F4565">
            <w:pPr>
              <w:widowControl/>
              <w:spacing w:line="240" w:lineRule="auto"/>
              <w:ind w:firstLineChars="0" w:firstLine="0"/>
              <w:jc w:val="center"/>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24小时/天</w:t>
            </w:r>
          </w:p>
        </w:tc>
      </w:tr>
      <w:tr w:rsidR="00080E97">
        <w:trPr>
          <w:trHeight w:val="567"/>
        </w:trPr>
        <w:tc>
          <w:tcPr>
            <w:tcW w:w="810" w:type="pct"/>
            <w:vMerge/>
            <w:tcBorders>
              <w:top w:val="single" w:sz="4" w:space="0" w:color="auto"/>
              <w:left w:val="single" w:sz="4" w:space="0" w:color="auto"/>
              <w:bottom w:val="single" w:sz="4" w:space="0" w:color="auto"/>
              <w:right w:val="single" w:sz="4" w:space="0" w:color="auto"/>
            </w:tcBorders>
            <w:shd w:val="clear" w:color="auto" w:fill="auto"/>
            <w:vAlign w:val="center"/>
          </w:tcPr>
          <w:p w:rsidR="00080E97" w:rsidRDefault="00080E97">
            <w:pPr>
              <w:widowControl/>
              <w:spacing w:line="240" w:lineRule="auto"/>
              <w:ind w:firstLineChars="0" w:firstLine="0"/>
              <w:jc w:val="center"/>
              <w:textAlignment w:val="center"/>
              <w:rPr>
                <w:rFonts w:ascii="宋体" w:eastAsia="宋体" w:hAnsi="宋体" w:cs="宋体"/>
                <w:color w:val="000000"/>
                <w:sz w:val="20"/>
                <w:szCs w:val="20"/>
              </w:rPr>
            </w:pPr>
          </w:p>
        </w:tc>
        <w:tc>
          <w:tcPr>
            <w:tcW w:w="2909" w:type="pct"/>
            <w:tcBorders>
              <w:top w:val="single" w:sz="4" w:space="0" w:color="auto"/>
              <w:left w:val="single" w:sz="4" w:space="0" w:color="auto"/>
              <w:bottom w:val="single" w:sz="4" w:space="0" w:color="auto"/>
              <w:right w:val="single" w:sz="4" w:space="0" w:color="auto"/>
            </w:tcBorders>
            <w:shd w:val="clear" w:color="auto" w:fill="auto"/>
            <w:vAlign w:val="center"/>
          </w:tcPr>
          <w:p w:rsidR="00080E97" w:rsidRDefault="000F4565">
            <w:pPr>
              <w:widowControl/>
              <w:spacing w:line="240" w:lineRule="auto"/>
              <w:ind w:firstLineChars="0" w:firstLine="0"/>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产出指标质量指标丰富8K内容形态，促进创新成果落地转化。</w:t>
            </w:r>
          </w:p>
        </w:tc>
        <w:tc>
          <w:tcPr>
            <w:tcW w:w="586" w:type="pct"/>
            <w:tcBorders>
              <w:top w:val="single" w:sz="4" w:space="0" w:color="auto"/>
              <w:left w:val="single" w:sz="4" w:space="0" w:color="auto"/>
              <w:bottom w:val="single" w:sz="4" w:space="0" w:color="auto"/>
              <w:right w:val="single" w:sz="4" w:space="0" w:color="auto"/>
            </w:tcBorders>
            <w:shd w:val="clear" w:color="auto" w:fill="auto"/>
            <w:vAlign w:val="center"/>
          </w:tcPr>
          <w:p w:rsidR="00080E97" w:rsidRDefault="000F4565">
            <w:pPr>
              <w:widowControl/>
              <w:spacing w:line="240" w:lineRule="auto"/>
              <w:ind w:firstLineChars="0" w:firstLine="0"/>
              <w:jc w:val="center"/>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定性</w:t>
            </w:r>
          </w:p>
        </w:tc>
        <w:tc>
          <w:tcPr>
            <w:tcW w:w="693" w:type="pct"/>
            <w:tcBorders>
              <w:top w:val="single" w:sz="4" w:space="0" w:color="auto"/>
              <w:left w:val="single" w:sz="4" w:space="0" w:color="auto"/>
              <w:bottom w:val="single" w:sz="4" w:space="0" w:color="auto"/>
              <w:right w:val="single" w:sz="4" w:space="0" w:color="auto"/>
            </w:tcBorders>
            <w:shd w:val="clear" w:color="auto" w:fill="auto"/>
            <w:vAlign w:val="center"/>
          </w:tcPr>
          <w:p w:rsidR="00080E97" w:rsidRDefault="000F4565">
            <w:pPr>
              <w:widowControl/>
              <w:spacing w:line="240" w:lineRule="auto"/>
              <w:ind w:firstLineChars="0" w:firstLine="0"/>
              <w:jc w:val="center"/>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优良</w:t>
            </w:r>
          </w:p>
        </w:tc>
      </w:tr>
      <w:tr w:rsidR="00080E97">
        <w:trPr>
          <w:trHeight w:val="454"/>
        </w:trPr>
        <w:tc>
          <w:tcPr>
            <w:tcW w:w="810" w:type="pct"/>
            <w:vMerge/>
            <w:tcBorders>
              <w:top w:val="single" w:sz="4" w:space="0" w:color="auto"/>
              <w:left w:val="single" w:sz="4" w:space="0" w:color="auto"/>
              <w:bottom w:val="single" w:sz="4" w:space="0" w:color="auto"/>
              <w:right w:val="single" w:sz="4" w:space="0" w:color="auto"/>
            </w:tcBorders>
            <w:shd w:val="clear" w:color="auto" w:fill="auto"/>
            <w:vAlign w:val="center"/>
          </w:tcPr>
          <w:p w:rsidR="00080E97" w:rsidRDefault="00080E97">
            <w:pPr>
              <w:widowControl/>
              <w:spacing w:line="240" w:lineRule="auto"/>
              <w:ind w:firstLineChars="0" w:firstLine="0"/>
              <w:jc w:val="center"/>
              <w:textAlignment w:val="center"/>
              <w:rPr>
                <w:rFonts w:ascii="宋体" w:eastAsia="宋体" w:hAnsi="宋体" w:cs="宋体"/>
                <w:color w:val="000000"/>
                <w:sz w:val="20"/>
                <w:szCs w:val="20"/>
              </w:rPr>
            </w:pPr>
          </w:p>
        </w:tc>
        <w:tc>
          <w:tcPr>
            <w:tcW w:w="2909" w:type="pct"/>
            <w:tcBorders>
              <w:top w:val="single" w:sz="4" w:space="0" w:color="auto"/>
              <w:left w:val="single" w:sz="4" w:space="0" w:color="auto"/>
              <w:bottom w:val="single" w:sz="4" w:space="0" w:color="auto"/>
              <w:right w:val="single" w:sz="4" w:space="0" w:color="auto"/>
            </w:tcBorders>
            <w:shd w:val="clear" w:color="auto" w:fill="auto"/>
            <w:vAlign w:val="center"/>
          </w:tcPr>
          <w:p w:rsidR="00080E97" w:rsidRDefault="000F4565">
            <w:pPr>
              <w:widowControl/>
              <w:spacing w:line="240" w:lineRule="auto"/>
              <w:ind w:firstLineChars="0" w:firstLine="0"/>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产出指标时效指标按照技术实验方案有序完成。</w:t>
            </w:r>
          </w:p>
        </w:tc>
        <w:tc>
          <w:tcPr>
            <w:tcW w:w="586" w:type="pct"/>
            <w:tcBorders>
              <w:top w:val="single" w:sz="4" w:space="0" w:color="auto"/>
              <w:left w:val="single" w:sz="4" w:space="0" w:color="auto"/>
              <w:bottom w:val="single" w:sz="4" w:space="0" w:color="auto"/>
              <w:right w:val="single" w:sz="4" w:space="0" w:color="auto"/>
            </w:tcBorders>
            <w:shd w:val="clear" w:color="auto" w:fill="auto"/>
            <w:vAlign w:val="center"/>
          </w:tcPr>
          <w:p w:rsidR="00080E97" w:rsidRDefault="000F4565">
            <w:pPr>
              <w:widowControl/>
              <w:spacing w:line="240" w:lineRule="auto"/>
              <w:ind w:firstLineChars="0" w:firstLine="0"/>
              <w:jc w:val="center"/>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定性</w:t>
            </w:r>
          </w:p>
        </w:tc>
        <w:tc>
          <w:tcPr>
            <w:tcW w:w="693" w:type="pct"/>
            <w:tcBorders>
              <w:top w:val="single" w:sz="4" w:space="0" w:color="auto"/>
              <w:left w:val="single" w:sz="4" w:space="0" w:color="auto"/>
              <w:bottom w:val="single" w:sz="4" w:space="0" w:color="auto"/>
              <w:right w:val="single" w:sz="4" w:space="0" w:color="auto"/>
            </w:tcBorders>
            <w:shd w:val="clear" w:color="auto" w:fill="auto"/>
            <w:vAlign w:val="center"/>
          </w:tcPr>
          <w:p w:rsidR="00080E97" w:rsidRDefault="000F4565">
            <w:pPr>
              <w:widowControl/>
              <w:spacing w:line="240" w:lineRule="auto"/>
              <w:ind w:firstLineChars="0" w:firstLine="0"/>
              <w:jc w:val="center"/>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优良</w:t>
            </w:r>
          </w:p>
        </w:tc>
      </w:tr>
      <w:tr w:rsidR="00080E97">
        <w:trPr>
          <w:trHeight w:val="454"/>
        </w:trPr>
        <w:tc>
          <w:tcPr>
            <w:tcW w:w="810" w:type="pct"/>
            <w:vMerge/>
            <w:tcBorders>
              <w:top w:val="single" w:sz="4" w:space="0" w:color="auto"/>
              <w:left w:val="single" w:sz="4" w:space="0" w:color="auto"/>
              <w:bottom w:val="single" w:sz="4" w:space="0" w:color="auto"/>
              <w:right w:val="single" w:sz="4" w:space="0" w:color="auto"/>
            </w:tcBorders>
            <w:shd w:val="clear" w:color="auto" w:fill="auto"/>
            <w:vAlign w:val="center"/>
          </w:tcPr>
          <w:p w:rsidR="00080E97" w:rsidRDefault="00080E97">
            <w:pPr>
              <w:widowControl/>
              <w:spacing w:line="240" w:lineRule="auto"/>
              <w:ind w:firstLineChars="0" w:firstLine="0"/>
              <w:jc w:val="center"/>
              <w:textAlignment w:val="center"/>
              <w:rPr>
                <w:rFonts w:ascii="宋体" w:eastAsia="宋体" w:hAnsi="宋体" w:cs="宋体"/>
                <w:color w:val="000000"/>
                <w:sz w:val="20"/>
                <w:szCs w:val="20"/>
              </w:rPr>
            </w:pPr>
          </w:p>
        </w:tc>
        <w:tc>
          <w:tcPr>
            <w:tcW w:w="2909" w:type="pct"/>
            <w:tcBorders>
              <w:top w:val="single" w:sz="4" w:space="0" w:color="auto"/>
              <w:left w:val="single" w:sz="4" w:space="0" w:color="auto"/>
              <w:bottom w:val="single" w:sz="4" w:space="0" w:color="auto"/>
              <w:right w:val="single" w:sz="4" w:space="0" w:color="auto"/>
            </w:tcBorders>
            <w:shd w:val="clear" w:color="auto" w:fill="auto"/>
            <w:vAlign w:val="center"/>
          </w:tcPr>
          <w:p w:rsidR="00080E97" w:rsidRDefault="000F4565">
            <w:pPr>
              <w:widowControl/>
              <w:spacing w:line="240" w:lineRule="auto"/>
              <w:ind w:firstLineChars="0" w:firstLine="0"/>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效益指标可持续影响指标技术创新的成果可多年持续。</w:t>
            </w:r>
          </w:p>
        </w:tc>
        <w:tc>
          <w:tcPr>
            <w:tcW w:w="586" w:type="pct"/>
            <w:tcBorders>
              <w:top w:val="single" w:sz="4" w:space="0" w:color="auto"/>
              <w:left w:val="single" w:sz="4" w:space="0" w:color="auto"/>
              <w:bottom w:val="single" w:sz="4" w:space="0" w:color="auto"/>
              <w:right w:val="single" w:sz="4" w:space="0" w:color="auto"/>
            </w:tcBorders>
            <w:shd w:val="clear" w:color="auto" w:fill="auto"/>
            <w:vAlign w:val="center"/>
          </w:tcPr>
          <w:p w:rsidR="00080E97" w:rsidRDefault="000F4565">
            <w:pPr>
              <w:widowControl/>
              <w:spacing w:line="240" w:lineRule="auto"/>
              <w:ind w:firstLineChars="0" w:firstLine="0"/>
              <w:jc w:val="center"/>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定性</w:t>
            </w:r>
          </w:p>
        </w:tc>
        <w:tc>
          <w:tcPr>
            <w:tcW w:w="693" w:type="pct"/>
            <w:tcBorders>
              <w:top w:val="single" w:sz="4" w:space="0" w:color="auto"/>
              <w:left w:val="single" w:sz="4" w:space="0" w:color="auto"/>
              <w:bottom w:val="single" w:sz="4" w:space="0" w:color="auto"/>
              <w:right w:val="single" w:sz="4" w:space="0" w:color="auto"/>
            </w:tcBorders>
            <w:shd w:val="clear" w:color="auto" w:fill="auto"/>
            <w:vAlign w:val="center"/>
          </w:tcPr>
          <w:p w:rsidR="00080E97" w:rsidRDefault="000F4565">
            <w:pPr>
              <w:widowControl/>
              <w:spacing w:line="240" w:lineRule="auto"/>
              <w:ind w:firstLineChars="0" w:firstLine="0"/>
              <w:jc w:val="center"/>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优良</w:t>
            </w:r>
          </w:p>
        </w:tc>
      </w:tr>
      <w:tr w:rsidR="00080E97">
        <w:trPr>
          <w:trHeight w:val="567"/>
        </w:trPr>
        <w:tc>
          <w:tcPr>
            <w:tcW w:w="81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80E97" w:rsidRDefault="000F4565">
            <w:pPr>
              <w:widowControl/>
              <w:spacing w:line="240" w:lineRule="auto"/>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续上页</w:t>
            </w:r>
          </w:p>
        </w:tc>
        <w:tc>
          <w:tcPr>
            <w:tcW w:w="2909" w:type="pct"/>
            <w:tcBorders>
              <w:top w:val="single" w:sz="4" w:space="0" w:color="auto"/>
              <w:left w:val="single" w:sz="4" w:space="0" w:color="auto"/>
              <w:bottom w:val="single" w:sz="4" w:space="0" w:color="auto"/>
              <w:right w:val="single" w:sz="4" w:space="0" w:color="auto"/>
            </w:tcBorders>
            <w:shd w:val="clear" w:color="auto" w:fill="auto"/>
            <w:vAlign w:val="center"/>
          </w:tcPr>
          <w:p w:rsidR="00080E97" w:rsidRDefault="000F4565">
            <w:pPr>
              <w:widowControl/>
              <w:spacing w:line="240" w:lineRule="auto"/>
              <w:ind w:firstLineChars="0" w:firstLine="0"/>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效益指标社会效益指标提升融合媒体生产发布平台，促进媒体融合发展。</w:t>
            </w:r>
          </w:p>
        </w:tc>
        <w:tc>
          <w:tcPr>
            <w:tcW w:w="586" w:type="pct"/>
            <w:tcBorders>
              <w:top w:val="single" w:sz="4" w:space="0" w:color="auto"/>
              <w:left w:val="single" w:sz="4" w:space="0" w:color="auto"/>
              <w:bottom w:val="single" w:sz="4" w:space="0" w:color="auto"/>
              <w:right w:val="single" w:sz="4" w:space="0" w:color="auto"/>
            </w:tcBorders>
            <w:shd w:val="clear" w:color="auto" w:fill="auto"/>
            <w:vAlign w:val="center"/>
          </w:tcPr>
          <w:p w:rsidR="00080E97" w:rsidRDefault="000F4565">
            <w:pPr>
              <w:widowControl/>
              <w:spacing w:line="240" w:lineRule="auto"/>
              <w:ind w:firstLineChars="0" w:firstLine="0"/>
              <w:jc w:val="center"/>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定性</w:t>
            </w:r>
          </w:p>
        </w:tc>
        <w:tc>
          <w:tcPr>
            <w:tcW w:w="693" w:type="pct"/>
            <w:tcBorders>
              <w:top w:val="single" w:sz="4" w:space="0" w:color="auto"/>
              <w:left w:val="single" w:sz="4" w:space="0" w:color="auto"/>
              <w:bottom w:val="single" w:sz="4" w:space="0" w:color="auto"/>
              <w:right w:val="single" w:sz="4" w:space="0" w:color="auto"/>
            </w:tcBorders>
            <w:shd w:val="clear" w:color="auto" w:fill="auto"/>
            <w:vAlign w:val="center"/>
          </w:tcPr>
          <w:p w:rsidR="00080E97" w:rsidRDefault="000F4565">
            <w:pPr>
              <w:widowControl/>
              <w:spacing w:line="240" w:lineRule="auto"/>
              <w:ind w:firstLineChars="0" w:firstLine="0"/>
              <w:jc w:val="center"/>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优良</w:t>
            </w:r>
          </w:p>
        </w:tc>
      </w:tr>
      <w:tr w:rsidR="00080E97">
        <w:trPr>
          <w:trHeight w:val="567"/>
        </w:trPr>
        <w:tc>
          <w:tcPr>
            <w:tcW w:w="810" w:type="pct"/>
            <w:vMerge/>
            <w:tcBorders>
              <w:top w:val="single" w:sz="4" w:space="0" w:color="auto"/>
              <w:left w:val="single" w:sz="4" w:space="0" w:color="auto"/>
              <w:bottom w:val="single" w:sz="4" w:space="0" w:color="auto"/>
              <w:right w:val="single" w:sz="4" w:space="0" w:color="auto"/>
            </w:tcBorders>
            <w:shd w:val="clear" w:color="auto" w:fill="auto"/>
            <w:vAlign w:val="center"/>
          </w:tcPr>
          <w:p w:rsidR="00080E97" w:rsidRDefault="00080E97">
            <w:pPr>
              <w:widowControl/>
              <w:spacing w:line="240" w:lineRule="auto"/>
              <w:ind w:firstLineChars="0" w:firstLine="0"/>
              <w:jc w:val="center"/>
              <w:textAlignment w:val="center"/>
              <w:rPr>
                <w:rFonts w:ascii="宋体" w:eastAsia="宋体" w:hAnsi="宋体" w:cs="宋体"/>
                <w:color w:val="000000"/>
                <w:sz w:val="20"/>
                <w:szCs w:val="20"/>
              </w:rPr>
            </w:pPr>
          </w:p>
        </w:tc>
        <w:tc>
          <w:tcPr>
            <w:tcW w:w="2909" w:type="pct"/>
            <w:tcBorders>
              <w:top w:val="single" w:sz="4" w:space="0" w:color="auto"/>
              <w:left w:val="single" w:sz="4" w:space="0" w:color="auto"/>
              <w:bottom w:val="single" w:sz="4" w:space="0" w:color="auto"/>
              <w:right w:val="single" w:sz="4" w:space="0" w:color="auto"/>
            </w:tcBorders>
            <w:shd w:val="clear" w:color="auto" w:fill="auto"/>
            <w:vAlign w:val="center"/>
          </w:tcPr>
          <w:p w:rsidR="00080E97" w:rsidRDefault="000F4565">
            <w:pPr>
              <w:widowControl/>
              <w:spacing w:line="240" w:lineRule="auto"/>
              <w:ind w:firstLineChars="0" w:firstLine="0"/>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满意度指标服务对象满意度指标利用技术创新和媒体融合发展，增强观众收视的体验感和愉悦度。</w:t>
            </w:r>
          </w:p>
        </w:tc>
        <w:tc>
          <w:tcPr>
            <w:tcW w:w="586" w:type="pct"/>
            <w:tcBorders>
              <w:top w:val="single" w:sz="4" w:space="0" w:color="auto"/>
              <w:left w:val="single" w:sz="4" w:space="0" w:color="auto"/>
              <w:bottom w:val="single" w:sz="4" w:space="0" w:color="auto"/>
              <w:right w:val="single" w:sz="4" w:space="0" w:color="auto"/>
            </w:tcBorders>
            <w:shd w:val="clear" w:color="auto" w:fill="auto"/>
            <w:vAlign w:val="center"/>
          </w:tcPr>
          <w:p w:rsidR="00080E97" w:rsidRDefault="000F4565">
            <w:pPr>
              <w:widowControl/>
              <w:spacing w:line="240" w:lineRule="auto"/>
              <w:ind w:firstLineChars="0" w:firstLine="0"/>
              <w:jc w:val="center"/>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定性</w:t>
            </w:r>
          </w:p>
        </w:tc>
        <w:tc>
          <w:tcPr>
            <w:tcW w:w="693" w:type="pct"/>
            <w:tcBorders>
              <w:top w:val="single" w:sz="4" w:space="0" w:color="auto"/>
              <w:left w:val="single" w:sz="4" w:space="0" w:color="auto"/>
              <w:bottom w:val="single" w:sz="4" w:space="0" w:color="auto"/>
              <w:right w:val="single" w:sz="4" w:space="0" w:color="auto"/>
            </w:tcBorders>
            <w:shd w:val="clear" w:color="auto" w:fill="auto"/>
            <w:vAlign w:val="center"/>
          </w:tcPr>
          <w:p w:rsidR="00080E97" w:rsidRDefault="000F4565">
            <w:pPr>
              <w:widowControl/>
              <w:spacing w:line="240" w:lineRule="auto"/>
              <w:ind w:firstLineChars="0" w:firstLine="0"/>
              <w:jc w:val="center"/>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优良</w:t>
            </w:r>
          </w:p>
        </w:tc>
      </w:tr>
    </w:tbl>
    <w:p w:rsidR="00080E97" w:rsidRDefault="00080E97"/>
    <w:p w:rsidR="00080E97" w:rsidRDefault="000F4565">
      <w:pPr>
        <w:pStyle w:val="1"/>
        <w:ind w:firstLine="640"/>
      </w:pPr>
      <w:bookmarkStart w:id="18" w:name="_Toc4317"/>
      <w:r>
        <w:rPr>
          <w:rFonts w:hint="eastAsia"/>
        </w:rPr>
        <w:t>二</w:t>
      </w:r>
      <w:r>
        <w:t>、</w:t>
      </w:r>
      <w:r>
        <w:rPr>
          <w:rFonts w:hint="eastAsia"/>
        </w:rPr>
        <w:t>当年</w:t>
      </w:r>
      <w:r>
        <w:t>预算执行情况</w:t>
      </w:r>
      <w:bookmarkEnd w:id="18"/>
    </w:p>
    <w:p w:rsidR="00080E97" w:rsidRDefault="000F4565">
      <w:r>
        <w:rPr>
          <w:rFonts w:hint="eastAsia"/>
        </w:rPr>
        <w:t>2024年全年预算数366545.80万元，其中，基本支出预算数285124.77万元，项目支出预算数81421.03万元。资金总体支出334483.09万元，其中，基本支出285124.77万元，项目支出49358.32万元。预算执行率为91.25%，执行情况详见表2。</w:t>
      </w:r>
    </w:p>
    <w:p w:rsidR="00080E97" w:rsidRDefault="000F4565">
      <w:pPr>
        <w:ind w:firstLineChars="0" w:firstLine="0"/>
        <w:jc w:val="center"/>
        <w:rPr>
          <w:rFonts w:ascii="黑体" w:eastAsia="黑体" w:hAnsi="黑体" w:cs="黑体"/>
          <w:sz w:val="28"/>
          <w:szCs w:val="28"/>
        </w:rPr>
      </w:pPr>
      <w:r>
        <w:rPr>
          <w:rFonts w:ascii="黑体" w:eastAsia="黑体" w:hAnsi="黑体" w:cs="黑体" w:hint="eastAsia"/>
          <w:sz w:val="28"/>
          <w:szCs w:val="28"/>
        </w:rPr>
        <w:t>表2：北京台2024年预算执行情况表</w:t>
      </w:r>
    </w:p>
    <w:p w:rsidR="00080E97" w:rsidRDefault="000F4565">
      <w:pPr>
        <w:ind w:firstLineChars="0" w:firstLine="0"/>
        <w:jc w:val="right"/>
        <w:rPr>
          <w:rFonts w:ascii="黑体" w:eastAsia="黑体" w:hAnsi="黑体" w:cs="黑体"/>
          <w:sz w:val="28"/>
          <w:szCs w:val="28"/>
        </w:rPr>
      </w:pPr>
      <w:r>
        <w:rPr>
          <w:rFonts w:ascii="黑体" w:eastAsia="黑体" w:hAnsi="黑体" w:cs="黑体" w:hint="eastAsia"/>
          <w:sz w:val="28"/>
          <w:szCs w:val="28"/>
        </w:rPr>
        <w:t>单位：万元</w:t>
      </w:r>
    </w:p>
    <w:tbl>
      <w:tblPr>
        <w:tblW w:w="5000" w:type="pct"/>
        <w:jc w:val="center"/>
        <w:tblLayout w:type="fixed"/>
        <w:tblLook w:val="04A0" w:firstRow="1" w:lastRow="0" w:firstColumn="1" w:lastColumn="0" w:noHBand="0" w:noVBand="1"/>
      </w:tblPr>
      <w:tblGrid>
        <w:gridCol w:w="2833"/>
        <w:gridCol w:w="1711"/>
        <w:gridCol w:w="1569"/>
        <w:gridCol w:w="1368"/>
        <w:gridCol w:w="1353"/>
      </w:tblGrid>
      <w:tr w:rsidR="00080E97">
        <w:trPr>
          <w:cantSplit/>
          <w:trHeight w:hRule="exact" w:val="454"/>
          <w:tblHeader/>
          <w:jc w:val="center"/>
        </w:trPr>
        <w:tc>
          <w:tcPr>
            <w:tcW w:w="160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080E97" w:rsidRDefault="000F4565">
            <w:pPr>
              <w:widowControl/>
              <w:spacing w:line="240" w:lineRule="auto"/>
              <w:ind w:firstLineChars="0" w:firstLine="0"/>
              <w:jc w:val="center"/>
              <w:textAlignment w:val="center"/>
              <w:rPr>
                <w:rFonts w:ascii="宋体" w:eastAsia="宋体" w:hAnsi="宋体" w:cs="宋体"/>
                <w:b/>
                <w:bCs/>
                <w:kern w:val="30"/>
                <w:sz w:val="20"/>
                <w:szCs w:val="20"/>
              </w:rPr>
            </w:pPr>
            <w:r>
              <w:rPr>
                <w:rFonts w:ascii="宋体" w:eastAsia="宋体" w:hAnsi="宋体" w:cs="宋体" w:hint="eastAsia"/>
                <w:b/>
                <w:bCs/>
                <w:kern w:val="0"/>
                <w:sz w:val="20"/>
                <w:szCs w:val="20"/>
              </w:rPr>
              <w:lastRenderedPageBreak/>
              <w:t>支出性质</w:t>
            </w:r>
          </w:p>
        </w:tc>
        <w:tc>
          <w:tcPr>
            <w:tcW w:w="968" w:type="pct"/>
            <w:tcBorders>
              <w:top w:val="single" w:sz="4" w:space="0" w:color="000000"/>
              <w:left w:val="nil"/>
              <w:bottom w:val="single" w:sz="4" w:space="0" w:color="000000"/>
              <w:right w:val="single" w:sz="4" w:space="0" w:color="000000"/>
            </w:tcBorders>
            <w:shd w:val="clear" w:color="auto" w:fill="auto"/>
            <w:noWrap/>
            <w:vAlign w:val="center"/>
          </w:tcPr>
          <w:p w:rsidR="00080E97" w:rsidRDefault="000F4565">
            <w:pPr>
              <w:widowControl/>
              <w:spacing w:line="240" w:lineRule="auto"/>
              <w:ind w:firstLineChars="0" w:firstLine="0"/>
              <w:jc w:val="center"/>
              <w:textAlignment w:val="center"/>
              <w:rPr>
                <w:rFonts w:ascii="宋体" w:eastAsia="宋体" w:hAnsi="宋体" w:cs="宋体"/>
                <w:b/>
                <w:bCs/>
                <w:sz w:val="20"/>
                <w:szCs w:val="20"/>
              </w:rPr>
            </w:pPr>
            <w:r>
              <w:rPr>
                <w:rFonts w:ascii="宋体" w:eastAsia="宋体" w:hAnsi="宋体" w:cs="宋体" w:hint="eastAsia"/>
                <w:b/>
                <w:bCs/>
                <w:kern w:val="0"/>
                <w:sz w:val="20"/>
                <w:szCs w:val="20"/>
              </w:rPr>
              <w:t>年初预算数</w:t>
            </w:r>
          </w:p>
        </w:tc>
        <w:tc>
          <w:tcPr>
            <w:tcW w:w="888" w:type="pct"/>
            <w:tcBorders>
              <w:top w:val="single" w:sz="4" w:space="0" w:color="000000"/>
              <w:left w:val="nil"/>
              <w:bottom w:val="single" w:sz="4" w:space="0" w:color="000000"/>
              <w:right w:val="single" w:sz="4" w:space="0" w:color="000000"/>
            </w:tcBorders>
            <w:shd w:val="clear" w:color="auto" w:fill="auto"/>
            <w:noWrap/>
            <w:vAlign w:val="center"/>
          </w:tcPr>
          <w:p w:rsidR="00080E97" w:rsidRDefault="000F4565">
            <w:pPr>
              <w:widowControl/>
              <w:spacing w:line="240" w:lineRule="auto"/>
              <w:ind w:firstLineChars="0" w:firstLine="0"/>
              <w:jc w:val="center"/>
              <w:textAlignment w:val="center"/>
              <w:rPr>
                <w:rFonts w:ascii="宋体" w:eastAsia="宋体" w:hAnsi="宋体" w:cs="宋体"/>
                <w:b/>
                <w:bCs/>
                <w:sz w:val="20"/>
                <w:szCs w:val="20"/>
              </w:rPr>
            </w:pPr>
            <w:r>
              <w:rPr>
                <w:rFonts w:ascii="宋体" w:eastAsia="宋体" w:hAnsi="宋体" w:cs="宋体" w:hint="eastAsia"/>
                <w:b/>
                <w:bCs/>
                <w:kern w:val="0"/>
                <w:sz w:val="20"/>
                <w:szCs w:val="20"/>
              </w:rPr>
              <w:t>全年预算数</w:t>
            </w:r>
          </w:p>
        </w:tc>
        <w:tc>
          <w:tcPr>
            <w:tcW w:w="774" w:type="pct"/>
            <w:tcBorders>
              <w:top w:val="single" w:sz="4" w:space="0" w:color="000000"/>
              <w:left w:val="nil"/>
              <w:bottom w:val="single" w:sz="4" w:space="0" w:color="000000"/>
              <w:right w:val="single" w:sz="4" w:space="0" w:color="000000"/>
            </w:tcBorders>
            <w:shd w:val="clear" w:color="auto" w:fill="auto"/>
            <w:vAlign w:val="center"/>
          </w:tcPr>
          <w:p w:rsidR="00080E97" w:rsidRDefault="000F4565">
            <w:pPr>
              <w:widowControl/>
              <w:spacing w:line="240" w:lineRule="auto"/>
              <w:ind w:firstLineChars="0" w:firstLine="0"/>
              <w:jc w:val="center"/>
              <w:textAlignment w:val="center"/>
              <w:rPr>
                <w:rFonts w:ascii="宋体" w:eastAsia="宋体" w:hAnsi="宋体" w:cs="宋体"/>
                <w:b/>
                <w:bCs/>
                <w:sz w:val="20"/>
                <w:szCs w:val="20"/>
              </w:rPr>
            </w:pPr>
            <w:r>
              <w:rPr>
                <w:rFonts w:ascii="宋体" w:eastAsia="宋体" w:hAnsi="宋体" w:cs="宋体" w:hint="eastAsia"/>
                <w:b/>
                <w:bCs/>
                <w:kern w:val="0"/>
                <w:sz w:val="20"/>
                <w:szCs w:val="20"/>
              </w:rPr>
              <w:t>决算数</w:t>
            </w:r>
          </w:p>
        </w:tc>
        <w:tc>
          <w:tcPr>
            <w:tcW w:w="766" w:type="pct"/>
            <w:tcBorders>
              <w:top w:val="single" w:sz="4" w:space="0" w:color="000000"/>
              <w:left w:val="nil"/>
              <w:bottom w:val="single" w:sz="4" w:space="0" w:color="000000"/>
              <w:right w:val="single" w:sz="4" w:space="0" w:color="000000"/>
            </w:tcBorders>
            <w:shd w:val="clear" w:color="auto" w:fill="auto"/>
            <w:vAlign w:val="center"/>
          </w:tcPr>
          <w:p w:rsidR="00080E97" w:rsidRDefault="000F4565">
            <w:pPr>
              <w:widowControl/>
              <w:spacing w:line="240" w:lineRule="auto"/>
              <w:ind w:firstLineChars="0" w:firstLine="0"/>
              <w:jc w:val="center"/>
              <w:textAlignment w:val="center"/>
              <w:rPr>
                <w:rFonts w:ascii="宋体" w:eastAsia="宋体" w:hAnsi="宋体" w:cs="宋体"/>
                <w:b/>
                <w:bCs/>
                <w:kern w:val="0"/>
                <w:sz w:val="20"/>
                <w:szCs w:val="20"/>
              </w:rPr>
            </w:pPr>
            <w:r>
              <w:rPr>
                <w:rFonts w:ascii="宋体" w:eastAsia="宋体" w:hAnsi="宋体" w:cs="宋体" w:hint="eastAsia"/>
                <w:b/>
                <w:bCs/>
                <w:kern w:val="0"/>
                <w:sz w:val="20"/>
                <w:szCs w:val="20"/>
              </w:rPr>
              <w:t>预算执行率</w:t>
            </w:r>
          </w:p>
        </w:tc>
      </w:tr>
      <w:tr w:rsidR="00080E97">
        <w:trPr>
          <w:cantSplit/>
          <w:trHeight w:hRule="exact" w:val="454"/>
          <w:jc w:val="center"/>
        </w:trPr>
        <w:tc>
          <w:tcPr>
            <w:tcW w:w="1602" w:type="pct"/>
            <w:tcBorders>
              <w:top w:val="single" w:sz="4" w:space="0" w:color="000000"/>
              <w:left w:val="single" w:sz="4" w:space="0" w:color="000000"/>
              <w:bottom w:val="single" w:sz="4" w:space="0" w:color="000000"/>
              <w:right w:val="single" w:sz="4" w:space="0" w:color="000000"/>
            </w:tcBorders>
            <w:noWrap/>
            <w:vAlign w:val="center"/>
          </w:tcPr>
          <w:p w:rsidR="00080E97" w:rsidRDefault="000F4565">
            <w:pPr>
              <w:widowControl/>
              <w:spacing w:line="240" w:lineRule="auto"/>
              <w:ind w:firstLineChars="0" w:firstLine="0"/>
              <w:textAlignment w:val="center"/>
              <w:rPr>
                <w:rFonts w:ascii="宋体" w:eastAsia="宋体" w:hAnsi="宋体" w:cs="宋体"/>
                <w:sz w:val="20"/>
                <w:szCs w:val="20"/>
              </w:rPr>
            </w:pPr>
            <w:r>
              <w:rPr>
                <w:rFonts w:ascii="宋体" w:eastAsia="宋体" w:hAnsi="宋体" w:cs="宋体" w:hint="eastAsia"/>
                <w:kern w:val="0"/>
                <w:sz w:val="20"/>
                <w:szCs w:val="20"/>
              </w:rPr>
              <w:t>一、基本支出</w:t>
            </w:r>
          </w:p>
        </w:tc>
        <w:tc>
          <w:tcPr>
            <w:tcW w:w="1754" w:type="dxa"/>
            <w:tcBorders>
              <w:top w:val="single" w:sz="4" w:space="0" w:color="000000"/>
              <w:left w:val="nil"/>
              <w:bottom w:val="single" w:sz="4" w:space="0" w:color="000000"/>
              <w:right w:val="single" w:sz="4" w:space="0" w:color="000000"/>
            </w:tcBorders>
            <w:noWrap/>
            <w:vAlign w:val="center"/>
          </w:tcPr>
          <w:p w:rsidR="00080E97" w:rsidRDefault="000F4565">
            <w:pPr>
              <w:widowControl/>
              <w:spacing w:line="240" w:lineRule="auto"/>
              <w:ind w:firstLineChars="0" w:firstLine="0"/>
              <w:jc w:val="righ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323088.64</w:t>
            </w:r>
          </w:p>
        </w:tc>
        <w:tc>
          <w:tcPr>
            <w:tcW w:w="1610" w:type="dxa"/>
            <w:tcBorders>
              <w:top w:val="single" w:sz="4" w:space="0" w:color="000000"/>
              <w:left w:val="nil"/>
              <w:bottom w:val="single" w:sz="4" w:space="0" w:color="000000"/>
              <w:right w:val="single" w:sz="4" w:space="0" w:color="000000"/>
            </w:tcBorders>
            <w:noWrap/>
            <w:vAlign w:val="center"/>
          </w:tcPr>
          <w:p w:rsidR="00080E97" w:rsidRDefault="000F4565">
            <w:pPr>
              <w:widowControl/>
              <w:spacing w:line="240" w:lineRule="auto"/>
              <w:ind w:firstLineChars="0" w:firstLine="0"/>
              <w:jc w:val="righ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285124.77</w:t>
            </w:r>
          </w:p>
        </w:tc>
        <w:tc>
          <w:tcPr>
            <w:tcW w:w="1403" w:type="dxa"/>
            <w:tcBorders>
              <w:top w:val="single" w:sz="4" w:space="0" w:color="000000"/>
              <w:left w:val="nil"/>
              <w:bottom w:val="single" w:sz="4" w:space="0" w:color="000000"/>
              <w:right w:val="single" w:sz="4" w:space="0" w:color="000000"/>
            </w:tcBorders>
            <w:noWrap/>
            <w:vAlign w:val="center"/>
          </w:tcPr>
          <w:p w:rsidR="00080E97" w:rsidRDefault="000F4565">
            <w:pPr>
              <w:widowControl/>
              <w:spacing w:line="240" w:lineRule="auto"/>
              <w:ind w:firstLineChars="0" w:firstLine="0"/>
              <w:jc w:val="righ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285124.77</w:t>
            </w:r>
          </w:p>
        </w:tc>
        <w:tc>
          <w:tcPr>
            <w:tcW w:w="766" w:type="pct"/>
            <w:tcBorders>
              <w:top w:val="single" w:sz="4" w:space="0" w:color="000000"/>
              <w:left w:val="nil"/>
              <w:bottom w:val="single" w:sz="4" w:space="0" w:color="000000"/>
              <w:right w:val="single" w:sz="4" w:space="0" w:color="000000"/>
            </w:tcBorders>
            <w:noWrap/>
            <w:vAlign w:val="center"/>
          </w:tcPr>
          <w:p w:rsidR="00080E97" w:rsidRDefault="000F4565">
            <w:pPr>
              <w:widowControl/>
              <w:spacing w:line="240" w:lineRule="auto"/>
              <w:ind w:firstLineChars="0" w:firstLine="0"/>
              <w:jc w:val="right"/>
              <w:textAlignment w:val="center"/>
              <w:rPr>
                <w:rFonts w:ascii="宋体" w:eastAsia="宋体" w:hAnsi="宋体" w:cs="宋体"/>
                <w:sz w:val="20"/>
                <w:szCs w:val="20"/>
              </w:rPr>
            </w:pPr>
            <w:r>
              <w:rPr>
                <w:rFonts w:ascii="宋体" w:eastAsia="宋体" w:hAnsi="宋体" w:cs="宋体" w:hint="eastAsia"/>
                <w:color w:val="000000"/>
                <w:kern w:val="0"/>
                <w:sz w:val="20"/>
                <w:szCs w:val="20"/>
                <w:lang w:bidi="ar"/>
              </w:rPr>
              <w:t>100.00%</w:t>
            </w:r>
          </w:p>
        </w:tc>
      </w:tr>
      <w:tr w:rsidR="00080E97">
        <w:trPr>
          <w:cantSplit/>
          <w:trHeight w:hRule="exact" w:val="454"/>
          <w:jc w:val="center"/>
        </w:trPr>
        <w:tc>
          <w:tcPr>
            <w:tcW w:w="1602" w:type="pct"/>
            <w:tcBorders>
              <w:top w:val="single" w:sz="4" w:space="0" w:color="000000"/>
              <w:left w:val="single" w:sz="4" w:space="0" w:color="000000"/>
              <w:bottom w:val="single" w:sz="4" w:space="0" w:color="000000"/>
              <w:right w:val="single" w:sz="4" w:space="0" w:color="000000"/>
            </w:tcBorders>
            <w:noWrap/>
            <w:vAlign w:val="center"/>
          </w:tcPr>
          <w:p w:rsidR="00080E97" w:rsidRDefault="000F4565">
            <w:pPr>
              <w:widowControl/>
              <w:spacing w:line="240" w:lineRule="auto"/>
              <w:ind w:firstLine="400"/>
              <w:textAlignment w:val="center"/>
              <w:rPr>
                <w:rFonts w:ascii="宋体" w:eastAsia="宋体" w:hAnsi="宋体" w:cs="宋体"/>
                <w:sz w:val="20"/>
                <w:szCs w:val="20"/>
              </w:rPr>
            </w:pPr>
            <w:r>
              <w:rPr>
                <w:rFonts w:ascii="宋体" w:eastAsia="宋体" w:hAnsi="宋体" w:cs="宋体" w:hint="eastAsia"/>
                <w:kern w:val="0"/>
                <w:sz w:val="20"/>
                <w:szCs w:val="20"/>
              </w:rPr>
              <w:t>人员经费</w:t>
            </w:r>
          </w:p>
        </w:tc>
        <w:tc>
          <w:tcPr>
            <w:tcW w:w="1754" w:type="dxa"/>
            <w:tcBorders>
              <w:top w:val="single" w:sz="4" w:space="0" w:color="000000"/>
              <w:left w:val="nil"/>
              <w:bottom w:val="single" w:sz="4" w:space="0" w:color="000000"/>
              <w:right w:val="single" w:sz="4" w:space="0" w:color="000000"/>
            </w:tcBorders>
            <w:noWrap/>
            <w:vAlign w:val="center"/>
          </w:tcPr>
          <w:p w:rsidR="00080E97" w:rsidRDefault="000F4565">
            <w:pPr>
              <w:widowControl/>
              <w:spacing w:line="240" w:lineRule="auto"/>
              <w:ind w:firstLineChars="0" w:firstLine="0"/>
              <w:jc w:val="righ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149144.03</w:t>
            </w:r>
          </w:p>
        </w:tc>
        <w:tc>
          <w:tcPr>
            <w:tcW w:w="1610" w:type="dxa"/>
            <w:tcBorders>
              <w:top w:val="single" w:sz="4" w:space="0" w:color="000000"/>
              <w:left w:val="nil"/>
              <w:bottom w:val="single" w:sz="4" w:space="0" w:color="000000"/>
              <w:right w:val="single" w:sz="4" w:space="0" w:color="000000"/>
            </w:tcBorders>
            <w:noWrap/>
            <w:vAlign w:val="center"/>
          </w:tcPr>
          <w:p w:rsidR="00080E97" w:rsidRDefault="000F4565">
            <w:pPr>
              <w:widowControl/>
              <w:spacing w:line="240" w:lineRule="auto"/>
              <w:ind w:firstLineChars="0" w:firstLine="0"/>
              <w:jc w:val="righ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138349.93</w:t>
            </w:r>
          </w:p>
        </w:tc>
        <w:tc>
          <w:tcPr>
            <w:tcW w:w="1403" w:type="dxa"/>
            <w:tcBorders>
              <w:top w:val="single" w:sz="4" w:space="0" w:color="000000"/>
              <w:left w:val="nil"/>
              <w:bottom w:val="single" w:sz="4" w:space="0" w:color="000000"/>
              <w:right w:val="single" w:sz="4" w:space="0" w:color="000000"/>
            </w:tcBorders>
            <w:noWrap/>
            <w:vAlign w:val="center"/>
          </w:tcPr>
          <w:p w:rsidR="00080E97" w:rsidRDefault="000F4565">
            <w:pPr>
              <w:widowControl/>
              <w:spacing w:line="240" w:lineRule="auto"/>
              <w:ind w:firstLineChars="0" w:firstLine="0"/>
              <w:jc w:val="righ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138349.93</w:t>
            </w:r>
          </w:p>
        </w:tc>
        <w:tc>
          <w:tcPr>
            <w:tcW w:w="766" w:type="pct"/>
            <w:tcBorders>
              <w:top w:val="single" w:sz="4" w:space="0" w:color="000000"/>
              <w:left w:val="nil"/>
              <w:bottom w:val="single" w:sz="4" w:space="0" w:color="000000"/>
              <w:right w:val="single" w:sz="4" w:space="0" w:color="000000"/>
            </w:tcBorders>
            <w:noWrap/>
            <w:vAlign w:val="center"/>
          </w:tcPr>
          <w:p w:rsidR="00080E97" w:rsidRDefault="000F4565">
            <w:pPr>
              <w:widowControl/>
              <w:spacing w:line="240" w:lineRule="auto"/>
              <w:ind w:firstLineChars="0" w:firstLine="0"/>
              <w:jc w:val="right"/>
              <w:textAlignment w:val="center"/>
              <w:rPr>
                <w:rFonts w:ascii="宋体" w:eastAsia="宋体" w:hAnsi="宋体" w:cs="宋体"/>
                <w:sz w:val="20"/>
                <w:szCs w:val="20"/>
              </w:rPr>
            </w:pPr>
            <w:r>
              <w:rPr>
                <w:rFonts w:ascii="宋体" w:eastAsia="宋体" w:hAnsi="宋体" w:cs="宋体" w:hint="eastAsia"/>
                <w:color w:val="000000"/>
                <w:kern w:val="0"/>
                <w:sz w:val="20"/>
                <w:szCs w:val="20"/>
                <w:lang w:bidi="ar"/>
              </w:rPr>
              <w:t>100.00%</w:t>
            </w:r>
          </w:p>
        </w:tc>
      </w:tr>
      <w:tr w:rsidR="00080E97">
        <w:trPr>
          <w:cantSplit/>
          <w:trHeight w:hRule="exact" w:val="454"/>
          <w:jc w:val="center"/>
        </w:trPr>
        <w:tc>
          <w:tcPr>
            <w:tcW w:w="1602" w:type="pct"/>
            <w:tcBorders>
              <w:top w:val="single" w:sz="4" w:space="0" w:color="000000"/>
              <w:left w:val="single" w:sz="4" w:space="0" w:color="000000"/>
              <w:bottom w:val="single" w:sz="4" w:space="0" w:color="000000"/>
              <w:right w:val="single" w:sz="4" w:space="0" w:color="000000"/>
            </w:tcBorders>
            <w:noWrap/>
            <w:vAlign w:val="center"/>
          </w:tcPr>
          <w:p w:rsidR="00080E97" w:rsidRDefault="000F4565">
            <w:pPr>
              <w:widowControl/>
              <w:spacing w:line="240" w:lineRule="auto"/>
              <w:ind w:firstLine="400"/>
              <w:textAlignment w:val="center"/>
              <w:rPr>
                <w:rFonts w:ascii="宋体" w:eastAsia="宋体" w:hAnsi="宋体" w:cs="宋体"/>
                <w:sz w:val="20"/>
                <w:szCs w:val="20"/>
              </w:rPr>
            </w:pPr>
            <w:r>
              <w:rPr>
                <w:rFonts w:ascii="宋体" w:eastAsia="宋体" w:hAnsi="宋体" w:cs="宋体" w:hint="eastAsia"/>
                <w:kern w:val="0"/>
                <w:sz w:val="20"/>
                <w:szCs w:val="20"/>
              </w:rPr>
              <w:t>公用经费</w:t>
            </w:r>
          </w:p>
        </w:tc>
        <w:tc>
          <w:tcPr>
            <w:tcW w:w="1754" w:type="dxa"/>
            <w:tcBorders>
              <w:top w:val="single" w:sz="4" w:space="0" w:color="000000"/>
              <w:left w:val="nil"/>
              <w:bottom w:val="single" w:sz="4" w:space="0" w:color="000000"/>
              <w:right w:val="single" w:sz="4" w:space="0" w:color="000000"/>
            </w:tcBorders>
            <w:noWrap/>
            <w:vAlign w:val="center"/>
          </w:tcPr>
          <w:p w:rsidR="00080E97" w:rsidRDefault="000F4565">
            <w:pPr>
              <w:widowControl/>
              <w:spacing w:line="240" w:lineRule="auto"/>
              <w:ind w:firstLineChars="0" w:firstLine="0"/>
              <w:jc w:val="righ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173944.61</w:t>
            </w:r>
          </w:p>
        </w:tc>
        <w:tc>
          <w:tcPr>
            <w:tcW w:w="1610" w:type="dxa"/>
            <w:tcBorders>
              <w:top w:val="single" w:sz="4" w:space="0" w:color="000000"/>
              <w:left w:val="nil"/>
              <w:bottom w:val="single" w:sz="4" w:space="0" w:color="000000"/>
              <w:right w:val="single" w:sz="4" w:space="0" w:color="000000"/>
            </w:tcBorders>
            <w:noWrap/>
            <w:vAlign w:val="center"/>
          </w:tcPr>
          <w:p w:rsidR="00080E97" w:rsidRDefault="000F4565">
            <w:pPr>
              <w:widowControl/>
              <w:spacing w:line="240" w:lineRule="auto"/>
              <w:ind w:firstLineChars="0" w:firstLine="0"/>
              <w:jc w:val="righ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146774.84</w:t>
            </w:r>
          </w:p>
        </w:tc>
        <w:tc>
          <w:tcPr>
            <w:tcW w:w="1403" w:type="dxa"/>
            <w:tcBorders>
              <w:top w:val="single" w:sz="4" w:space="0" w:color="000000"/>
              <w:left w:val="nil"/>
              <w:bottom w:val="single" w:sz="4" w:space="0" w:color="000000"/>
              <w:right w:val="single" w:sz="4" w:space="0" w:color="000000"/>
            </w:tcBorders>
            <w:noWrap/>
            <w:vAlign w:val="center"/>
          </w:tcPr>
          <w:p w:rsidR="00080E97" w:rsidRDefault="000F4565">
            <w:pPr>
              <w:widowControl/>
              <w:spacing w:line="240" w:lineRule="auto"/>
              <w:ind w:firstLineChars="0" w:firstLine="0"/>
              <w:jc w:val="righ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146774.84</w:t>
            </w:r>
          </w:p>
        </w:tc>
        <w:tc>
          <w:tcPr>
            <w:tcW w:w="766" w:type="pct"/>
            <w:tcBorders>
              <w:top w:val="single" w:sz="4" w:space="0" w:color="000000"/>
              <w:left w:val="nil"/>
              <w:bottom w:val="single" w:sz="4" w:space="0" w:color="000000"/>
              <w:right w:val="single" w:sz="4" w:space="0" w:color="000000"/>
            </w:tcBorders>
            <w:noWrap/>
            <w:vAlign w:val="center"/>
          </w:tcPr>
          <w:p w:rsidR="00080E97" w:rsidRDefault="000F4565">
            <w:pPr>
              <w:widowControl/>
              <w:spacing w:line="240" w:lineRule="auto"/>
              <w:ind w:firstLineChars="0" w:firstLine="0"/>
              <w:jc w:val="right"/>
              <w:textAlignment w:val="center"/>
              <w:rPr>
                <w:rFonts w:ascii="宋体" w:eastAsia="宋体" w:hAnsi="宋体" w:cs="宋体"/>
                <w:sz w:val="20"/>
                <w:szCs w:val="20"/>
              </w:rPr>
            </w:pPr>
            <w:r>
              <w:rPr>
                <w:rFonts w:ascii="宋体" w:eastAsia="宋体" w:hAnsi="宋体" w:cs="宋体" w:hint="eastAsia"/>
                <w:color w:val="000000"/>
                <w:kern w:val="0"/>
                <w:sz w:val="20"/>
                <w:szCs w:val="20"/>
                <w:lang w:bidi="ar"/>
              </w:rPr>
              <w:t>100.00%</w:t>
            </w:r>
          </w:p>
        </w:tc>
      </w:tr>
      <w:tr w:rsidR="00080E97">
        <w:trPr>
          <w:cantSplit/>
          <w:trHeight w:hRule="exact" w:val="454"/>
          <w:jc w:val="center"/>
        </w:trPr>
        <w:tc>
          <w:tcPr>
            <w:tcW w:w="1602" w:type="pct"/>
            <w:tcBorders>
              <w:top w:val="single" w:sz="4" w:space="0" w:color="000000"/>
              <w:left w:val="single" w:sz="4" w:space="0" w:color="000000"/>
              <w:bottom w:val="single" w:sz="4" w:space="0" w:color="000000"/>
              <w:right w:val="single" w:sz="4" w:space="0" w:color="000000"/>
            </w:tcBorders>
            <w:noWrap/>
            <w:vAlign w:val="center"/>
          </w:tcPr>
          <w:p w:rsidR="00080E97" w:rsidRDefault="000F4565">
            <w:pPr>
              <w:widowControl/>
              <w:spacing w:line="240" w:lineRule="auto"/>
              <w:ind w:firstLineChars="0" w:firstLine="0"/>
              <w:textAlignment w:val="center"/>
              <w:rPr>
                <w:rFonts w:ascii="宋体" w:eastAsia="宋体" w:hAnsi="宋体" w:cs="宋体"/>
                <w:sz w:val="20"/>
                <w:szCs w:val="20"/>
              </w:rPr>
            </w:pPr>
            <w:r>
              <w:rPr>
                <w:rFonts w:ascii="宋体" w:eastAsia="宋体" w:hAnsi="宋体" w:cs="宋体" w:hint="eastAsia"/>
                <w:kern w:val="0"/>
                <w:sz w:val="20"/>
                <w:szCs w:val="20"/>
              </w:rPr>
              <w:t>二、项目支出</w:t>
            </w:r>
          </w:p>
        </w:tc>
        <w:tc>
          <w:tcPr>
            <w:tcW w:w="1754" w:type="dxa"/>
            <w:tcBorders>
              <w:top w:val="single" w:sz="4" w:space="0" w:color="000000"/>
              <w:left w:val="nil"/>
              <w:bottom w:val="single" w:sz="4" w:space="0" w:color="000000"/>
              <w:right w:val="single" w:sz="4" w:space="0" w:color="000000"/>
            </w:tcBorders>
            <w:noWrap/>
            <w:vAlign w:val="center"/>
          </w:tcPr>
          <w:p w:rsidR="00080E97" w:rsidRDefault="000F4565">
            <w:pPr>
              <w:widowControl/>
              <w:spacing w:line="240" w:lineRule="auto"/>
              <w:ind w:firstLineChars="0" w:firstLine="0"/>
              <w:jc w:val="righ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29843.19</w:t>
            </w:r>
          </w:p>
        </w:tc>
        <w:tc>
          <w:tcPr>
            <w:tcW w:w="1610" w:type="dxa"/>
            <w:tcBorders>
              <w:top w:val="single" w:sz="4" w:space="0" w:color="000000"/>
              <w:left w:val="nil"/>
              <w:bottom w:val="single" w:sz="4" w:space="0" w:color="000000"/>
              <w:right w:val="single" w:sz="4" w:space="0" w:color="000000"/>
            </w:tcBorders>
            <w:noWrap/>
            <w:vAlign w:val="center"/>
          </w:tcPr>
          <w:p w:rsidR="00080E97" w:rsidRDefault="000F4565">
            <w:pPr>
              <w:widowControl/>
              <w:spacing w:line="240" w:lineRule="auto"/>
              <w:ind w:firstLineChars="0" w:firstLine="0"/>
              <w:jc w:val="righ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81421.03</w:t>
            </w:r>
          </w:p>
        </w:tc>
        <w:tc>
          <w:tcPr>
            <w:tcW w:w="1403" w:type="dxa"/>
            <w:tcBorders>
              <w:top w:val="single" w:sz="4" w:space="0" w:color="000000"/>
              <w:left w:val="nil"/>
              <w:bottom w:val="single" w:sz="4" w:space="0" w:color="000000"/>
              <w:right w:val="single" w:sz="4" w:space="0" w:color="000000"/>
            </w:tcBorders>
            <w:noWrap/>
            <w:vAlign w:val="center"/>
          </w:tcPr>
          <w:p w:rsidR="00080E97" w:rsidRDefault="000F4565">
            <w:pPr>
              <w:widowControl/>
              <w:spacing w:line="240" w:lineRule="auto"/>
              <w:ind w:firstLineChars="0" w:firstLine="0"/>
              <w:jc w:val="righ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49358.32</w:t>
            </w:r>
          </w:p>
        </w:tc>
        <w:tc>
          <w:tcPr>
            <w:tcW w:w="766" w:type="pct"/>
            <w:tcBorders>
              <w:top w:val="single" w:sz="4" w:space="0" w:color="000000"/>
              <w:left w:val="nil"/>
              <w:bottom w:val="single" w:sz="4" w:space="0" w:color="000000"/>
              <w:right w:val="single" w:sz="4" w:space="0" w:color="000000"/>
            </w:tcBorders>
            <w:noWrap/>
            <w:vAlign w:val="center"/>
          </w:tcPr>
          <w:p w:rsidR="00080E97" w:rsidRDefault="000F4565">
            <w:pPr>
              <w:widowControl/>
              <w:spacing w:line="240" w:lineRule="auto"/>
              <w:ind w:firstLineChars="0" w:firstLine="0"/>
              <w:jc w:val="right"/>
              <w:textAlignment w:val="center"/>
              <w:rPr>
                <w:rFonts w:ascii="宋体" w:eastAsia="宋体" w:hAnsi="宋体" w:cs="宋体"/>
                <w:sz w:val="20"/>
                <w:szCs w:val="20"/>
              </w:rPr>
            </w:pPr>
            <w:r>
              <w:rPr>
                <w:rFonts w:ascii="宋体" w:eastAsia="宋体" w:hAnsi="宋体" w:cs="宋体" w:hint="eastAsia"/>
                <w:color w:val="000000"/>
                <w:kern w:val="0"/>
                <w:sz w:val="20"/>
                <w:szCs w:val="20"/>
                <w:lang w:bidi="ar"/>
              </w:rPr>
              <w:t>60.62%</w:t>
            </w:r>
          </w:p>
        </w:tc>
      </w:tr>
      <w:tr w:rsidR="00080E97">
        <w:trPr>
          <w:cantSplit/>
          <w:trHeight w:hRule="exact" w:val="454"/>
          <w:jc w:val="center"/>
        </w:trPr>
        <w:tc>
          <w:tcPr>
            <w:tcW w:w="1602" w:type="pct"/>
            <w:tcBorders>
              <w:top w:val="single" w:sz="4" w:space="0" w:color="000000"/>
              <w:left w:val="single" w:sz="4" w:space="0" w:color="000000"/>
              <w:bottom w:val="single" w:sz="4" w:space="0" w:color="000000"/>
              <w:right w:val="single" w:sz="4" w:space="0" w:color="000000"/>
            </w:tcBorders>
            <w:noWrap/>
            <w:vAlign w:val="center"/>
          </w:tcPr>
          <w:p w:rsidR="00080E97" w:rsidRDefault="000F4565">
            <w:pPr>
              <w:widowControl/>
              <w:spacing w:line="240" w:lineRule="auto"/>
              <w:ind w:firstLine="400"/>
              <w:textAlignment w:val="center"/>
              <w:rPr>
                <w:rFonts w:ascii="宋体" w:eastAsia="宋体" w:hAnsi="宋体" w:cs="宋体"/>
                <w:sz w:val="20"/>
                <w:szCs w:val="20"/>
              </w:rPr>
            </w:pPr>
            <w:r>
              <w:rPr>
                <w:rFonts w:ascii="宋体" w:eastAsia="宋体" w:hAnsi="宋体" w:cs="宋体" w:hint="eastAsia"/>
                <w:kern w:val="0"/>
                <w:sz w:val="20"/>
                <w:szCs w:val="20"/>
              </w:rPr>
              <w:t>其中：基本建设类项目</w:t>
            </w:r>
          </w:p>
        </w:tc>
        <w:tc>
          <w:tcPr>
            <w:tcW w:w="968" w:type="pct"/>
            <w:tcBorders>
              <w:top w:val="single" w:sz="4" w:space="0" w:color="000000"/>
              <w:left w:val="nil"/>
              <w:bottom w:val="single" w:sz="4" w:space="0" w:color="000000"/>
              <w:right w:val="single" w:sz="4" w:space="0" w:color="000000"/>
            </w:tcBorders>
            <w:noWrap/>
            <w:vAlign w:val="center"/>
          </w:tcPr>
          <w:p w:rsidR="00080E97" w:rsidRDefault="000F4565">
            <w:pPr>
              <w:widowControl/>
              <w:spacing w:line="240" w:lineRule="auto"/>
              <w:ind w:firstLineChars="0" w:firstLine="0"/>
              <w:jc w:val="right"/>
              <w:textAlignment w:val="center"/>
              <w:rPr>
                <w:rFonts w:ascii="宋体" w:eastAsia="宋体" w:hAnsi="宋体" w:cs="宋体"/>
                <w:sz w:val="20"/>
                <w:szCs w:val="20"/>
              </w:rPr>
            </w:pPr>
            <w:r>
              <w:rPr>
                <w:rFonts w:ascii="宋体" w:eastAsia="宋体" w:hAnsi="宋体" w:cs="宋体" w:hint="eastAsia"/>
                <w:color w:val="000000"/>
                <w:kern w:val="0"/>
                <w:sz w:val="20"/>
                <w:szCs w:val="20"/>
                <w:lang w:bidi="ar"/>
              </w:rPr>
              <w:t>——</w:t>
            </w:r>
          </w:p>
        </w:tc>
        <w:tc>
          <w:tcPr>
            <w:tcW w:w="888" w:type="pct"/>
            <w:tcBorders>
              <w:top w:val="single" w:sz="4" w:space="0" w:color="000000"/>
              <w:left w:val="nil"/>
              <w:bottom w:val="single" w:sz="4" w:space="0" w:color="000000"/>
              <w:right w:val="single" w:sz="4" w:space="0" w:color="000000"/>
            </w:tcBorders>
            <w:noWrap/>
            <w:vAlign w:val="center"/>
          </w:tcPr>
          <w:p w:rsidR="00080E97" w:rsidRDefault="000F4565">
            <w:pPr>
              <w:widowControl/>
              <w:spacing w:line="240" w:lineRule="auto"/>
              <w:ind w:firstLine="400"/>
              <w:jc w:val="right"/>
              <w:textAlignment w:val="center"/>
              <w:rPr>
                <w:rFonts w:ascii="宋体" w:eastAsia="宋体" w:hAnsi="宋体" w:cs="宋体"/>
                <w:sz w:val="20"/>
                <w:szCs w:val="20"/>
              </w:rPr>
            </w:pPr>
            <w:r>
              <w:rPr>
                <w:rFonts w:ascii="宋体" w:eastAsia="宋体" w:hAnsi="宋体" w:cs="宋体" w:hint="eastAsia"/>
                <w:color w:val="000000"/>
                <w:kern w:val="0"/>
                <w:sz w:val="20"/>
                <w:szCs w:val="20"/>
                <w:lang w:bidi="ar"/>
              </w:rPr>
              <w:t>——</w:t>
            </w:r>
          </w:p>
        </w:tc>
        <w:tc>
          <w:tcPr>
            <w:tcW w:w="774" w:type="pct"/>
            <w:tcBorders>
              <w:top w:val="single" w:sz="4" w:space="0" w:color="000000"/>
              <w:left w:val="nil"/>
              <w:bottom w:val="single" w:sz="4" w:space="0" w:color="000000"/>
              <w:right w:val="single" w:sz="4" w:space="0" w:color="000000"/>
            </w:tcBorders>
            <w:noWrap/>
            <w:vAlign w:val="center"/>
          </w:tcPr>
          <w:p w:rsidR="00080E97" w:rsidRDefault="000F4565">
            <w:pPr>
              <w:widowControl/>
              <w:spacing w:line="240" w:lineRule="auto"/>
              <w:ind w:firstLine="400"/>
              <w:jc w:val="right"/>
              <w:textAlignment w:val="center"/>
              <w:rPr>
                <w:rFonts w:ascii="宋体" w:eastAsia="宋体" w:hAnsi="宋体" w:cs="宋体"/>
                <w:sz w:val="20"/>
                <w:szCs w:val="20"/>
              </w:rPr>
            </w:pPr>
            <w:r>
              <w:rPr>
                <w:rFonts w:ascii="宋体" w:eastAsia="宋体" w:hAnsi="宋体" w:cs="宋体" w:hint="eastAsia"/>
                <w:color w:val="000000"/>
                <w:kern w:val="0"/>
                <w:sz w:val="20"/>
                <w:szCs w:val="20"/>
                <w:lang w:bidi="ar"/>
              </w:rPr>
              <w:t>——</w:t>
            </w:r>
          </w:p>
        </w:tc>
        <w:tc>
          <w:tcPr>
            <w:tcW w:w="766" w:type="pct"/>
            <w:tcBorders>
              <w:top w:val="single" w:sz="4" w:space="0" w:color="000000"/>
              <w:left w:val="nil"/>
              <w:bottom w:val="single" w:sz="4" w:space="0" w:color="000000"/>
              <w:right w:val="single" w:sz="4" w:space="0" w:color="000000"/>
            </w:tcBorders>
            <w:noWrap/>
            <w:vAlign w:val="center"/>
          </w:tcPr>
          <w:p w:rsidR="00080E97" w:rsidRDefault="000F4565">
            <w:pPr>
              <w:widowControl/>
              <w:spacing w:line="240" w:lineRule="auto"/>
              <w:ind w:firstLine="400"/>
              <w:jc w:val="right"/>
              <w:textAlignment w:val="center"/>
              <w:rPr>
                <w:rFonts w:ascii="宋体" w:eastAsia="宋体" w:hAnsi="宋体" w:cs="宋体"/>
                <w:sz w:val="20"/>
                <w:szCs w:val="20"/>
              </w:rPr>
            </w:pPr>
            <w:r>
              <w:rPr>
                <w:rFonts w:ascii="宋体" w:eastAsia="宋体" w:hAnsi="宋体" w:cs="宋体" w:hint="eastAsia"/>
                <w:color w:val="000000"/>
                <w:kern w:val="0"/>
                <w:sz w:val="20"/>
                <w:szCs w:val="20"/>
                <w:lang w:bidi="ar"/>
              </w:rPr>
              <w:t>——</w:t>
            </w:r>
          </w:p>
        </w:tc>
      </w:tr>
      <w:tr w:rsidR="00080E97">
        <w:trPr>
          <w:cantSplit/>
          <w:trHeight w:hRule="exact" w:val="454"/>
          <w:jc w:val="center"/>
        </w:trPr>
        <w:tc>
          <w:tcPr>
            <w:tcW w:w="1602" w:type="pct"/>
            <w:tcBorders>
              <w:top w:val="single" w:sz="4" w:space="0" w:color="000000"/>
              <w:left w:val="single" w:sz="4" w:space="0" w:color="000000"/>
              <w:bottom w:val="single" w:sz="4" w:space="0" w:color="000000"/>
              <w:right w:val="single" w:sz="4" w:space="0" w:color="000000"/>
            </w:tcBorders>
            <w:noWrap/>
            <w:vAlign w:val="center"/>
          </w:tcPr>
          <w:p w:rsidR="00080E97" w:rsidRDefault="000F4565">
            <w:pPr>
              <w:widowControl/>
              <w:spacing w:line="240" w:lineRule="auto"/>
              <w:ind w:firstLineChars="0" w:firstLine="0"/>
              <w:textAlignment w:val="center"/>
              <w:rPr>
                <w:rFonts w:ascii="宋体" w:eastAsia="宋体" w:hAnsi="宋体" w:cs="宋体"/>
                <w:sz w:val="20"/>
                <w:szCs w:val="20"/>
              </w:rPr>
            </w:pPr>
            <w:r>
              <w:rPr>
                <w:rFonts w:ascii="宋体" w:eastAsia="宋体" w:hAnsi="宋体" w:cs="宋体" w:hint="eastAsia"/>
                <w:kern w:val="0"/>
                <w:sz w:val="20"/>
                <w:szCs w:val="20"/>
              </w:rPr>
              <w:t>三、上缴上级支出</w:t>
            </w:r>
          </w:p>
        </w:tc>
        <w:tc>
          <w:tcPr>
            <w:tcW w:w="968" w:type="pct"/>
            <w:tcBorders>
              <w:top w:val="single" w:sz="4" w:space="0" w:color="000000"/>
              <w:left w:val="nil"/>
              <w:bottom w:val="single" w:sz="4" w:space="0" w:color="000000"/>
              <w:right w:val="single" w:sz="4" w:space="0" w:color="000000"/>
            </w:tcBorders>
            <w:noWrap/>
            <w:vAlign w:val="center"/>
          </w:tcPr>
          <w:p w:rsidR="00080E97" w:rsidRDefault="000F4565">
            <w:pPr>
              <w:widowControl/>
              <w:spacing w:line="240" w:lineRule="auto"/>
              <w:ind w:firstLine="400"/>
              <w:jc w:val="right"/>
              <w:textAlignment w:val="center"/>
              <w:rPr>
                <w:rFonts w:ascii="宋体" w:eastAsia="宋体" w:hAnsi="宋体" w:cs="宋体"/>
                <w:sz w:val="20"/>
                <w:szCs w:val="20"/>
              </w:rPr>
            </w:pPr>
            <w:r>
              <w:rPr>
                <w:rFonts w:ascii="宋体" w:eastAsia="宋体" w:hAnsi="宋体" w:cs="宋体" w:hint="eastAsia"/>
                <w:color w:val="000000"/>
                <w:kern w:val="0"/>
                <w:sz w:val="20"/>
                <w:szCs w:val="20"/>
                <w:lang w:bidi="ar"/>
              </w:rPr>
              <w:t>——</w:t>
            </w:r>
          </w:p>
        </w:tc>
        <w:tc>
          <w:tcPr>
            <w:tcW w:w="888" w:type="pct"/>
            <w:tcBorders>
              <w:top w:val="single" w:sz="4" w:space="0" w:color="000000"/>
              <w:left w:val="nil"/>
              <w:bottom w:val="single" w:sz="4" w:space="0" w:color="000000"/>
              <w:right w:val="single" w:sz="4" w:space="0" w:color="000000"/>
            </w:tcBorders>
            <w:noWrap/>
            <w:vAlign w:val="center"/>
          </w:tcPr>
          <w:p w:rsidR="00080E97" w:rsidRDefault="000F4565">
            <w:pPr>
              <w:widowControl/>
              <w:spacing w:line="240" w:lineRule="auto"/>
              <w:ind w:firstLine="400"/>
              <w:jc w:val="right"/>
              <w:textAlignment w:val="center"/>
              <w:rPr>
                <w:rFonts w:ascii="宋体" w:eastAsia="宋体" w:hAnsi="宋体" w:cs="宋体"/>
                <w:sz w:val="20"/>
                <w:szCs w:val="20"/>
              </w:rPr>
            </w:pPr>
            <w:r>
              <w:rPr>
                <w:rFonts w:ascii="宋体" w:eastAsia="宋体" w:hAnsi="宋体" w:cs="宋体" w:hint="eastAsia"/>
                <w:color w:val="000000"/>
                <w:kern w:val="0"/>
                <w:sz w:val="20"/>
                <w:szCs w:val="20"/>
                <w:lang w:bidi="ar"/>
              </w:rPr>
              <w:t>——</w:t>
            </w:r>
          </w:p>
        </w:tc>
        <w:tc>
          <w:tcPr>
            <w:tcW w:w="774" w:type="pct"/>
            <w:tcBorders>
              <w:top w:val="single" w:sz="4" w:space="0" w:color="000000"/>
              <w:left w:val="nil"/>
              <w:bottom w:val="single" w:sz="4" w:space="0" w:color="000000"/>
              <w:right w:val="single" w:sz="4" w:space="0" w:color="000000"/>
            </w:tcBorders>
            <w:noWrap/>
            <w:vAlign w:val="center"/>
          </w:tcPr>
          <w:p w:rsidR="00080E97" w:rsidRDefault="000F4565">
            <w:pPr>
              <w:widowControl/>
              <w:spacing w:line="240" w:lineRule="auto"/>
              <w:ind w:firstLine="400"/>
              <w:jc w:val="right"/>
              <w:textAlignment w:val="center"/>
              <w:rPr>
                <w:rFonts w:ascii="宋体" w:eastAsia="宋体" w:hAnsi="宋体" w:cs="宋体"/>
                <w:sz w:val="20"/>
                <w:szCs w:val="20"/>
              </w:rPr>
            </w:pPr>
            <w:r>
              <w:rPr>
                <w:rFonts w:ascii="宋体" w:eastAsia="宋体" w:hAnsi="宋体" w:cs="宋体" w:hint="eastAsia"/>
                <w:color w:val="000000"/>
                <w:kern w:val="0"/>
                <w:sz w:val="20"/>
                <w:szCs w:val="20"/>
                <w:lang w:bidi="ar"/>
              </w:rPr>
              <w:t>——</w:t>
            </w:r>
          </w:p>
        </w:tc>
        <w:tc>
          <w:tcPr>
            <w:tcW w:w="766" w:type="pct"/>
            <w:tcBorders>
              <w:top w:val="single" w:sz="4" w:space="0" w:color="000000"/>
              <w:left w:val="nil"/>
              <w:bottom w:val="single" w:sz="4" w:space="0" w:color="000000"/>
              <w:right w:val="single" w:sz="4" w:space="0" w:color="000000"/>
            </w:tcBorders>
            <w:noWrap/>
            <w:vAlign w:val="center"/>
          </w:tcPr>
          <w:p w:rsidR="00080E97" w:rsidRDefault="000F4565">
            <w:pPr>
              <w:widowControl/>
              <w:spacing w:line="240" w:lineRule="auto"/>
              <w:ind w:firstLine="400"/>
              <w:jc w:val="right"/>
              <w:textAlignment w:val="center"/>
              <w:rPr>
                <w:rFonts w:ascii="宋体" w:eastAsia="宋体" w:hAnsi="宋体" w:cs="宋体"/>
                <w:sz w:val="20"/>
                <w:szCs w:val="20"/>
              </w:rPr>
            </w:pPr>
            <w:r>
              <w:rPr>
                <w:rFonts w:ascii="宋体" w:eastAsia="宋体" w:hAnsi="宋体" w:cs="宋体" w:hint="eastAsia"/>
                <w:color w:val="000000"/>
                <w:kern w:val="0"/>
                <w:sz w:val="20"/>
                <w:szCs w:val="20"/>
                <w:lang w:bidi="ar"/>
              </w:rPr>
              <w:t>——</w:t>
            </w:r>
          </w:p>
        </w:tc>
      </w:tr>
      <w:tr w:rsidR="00080E97">
        <w:trPr>
          <w:cantSplit/>
          <w:trHeight w:hRule="exact" w:val="454"/>
          <w:jc w:val="center"/>
        </w:trPr>
        <w:tc>
          <w:tcPr>
            <w:tcW w:w="1602" w:type="pct"/>
            <w:tcBorders>
              <w:top w:val="single" w:sz="4" w:space="0" w:color="000000"/>
              <w:left w:val="single" w:sz="4" w:space="0" w:color="000000"/>
              <w:bottom w:val="single" w:sz="4" w:space="0" w:color="000000"/>
              <w:right w:val="single" w:sz="4" w:space="0" w:color="000000"/>
            </w:tcBorders>
            <w:noWrap/>
            <w:vAlign w:val="center"/>
          </w:tcPr>
          <w:p w:rsidR="00080E97" w:rsidRDefault="000F4565">
            <w:pPr>
              <w:widowControl/>
              <w:spacing w:line="240" w:lineRule="auto"/>
              <w:ind w:firstLineChars="0" w:firstLine="0"/>
              <w:textAlignment w:val="center"/>
              <w:rPr>
                <w:rFonts w:ascii="宋体" w:eastAsia="宋体" w:hAnsi="宋体" w:cs="宋体"/>
                <w:sz w:val="20"/>
                <w:szCs w:val="20"/>
              </w:rPr>
            </w:pPr>
            <w:r>
              <w:rPr>
                <w:rFonts w:ascii="宋体" w:eastAsia="宋体" w:hAnsi="宋体" w:cs="宋体" w:hint="eastAsia"/>
                <w:kern w:val="0"/>
                <w:sz w:val="20"/>
                <w:szCs w:val="20"/>
              </w:rPr>
              <w:t>四、经营支出</w:t>
            </w:r>
          </w:p>
        </w:tc>
        <w:tc>
          <w:tcPr>
            <w:tcW w:w="968" w:type="pct"/>
            <w:tcBorders>
              <w:top w:val="single" w:sz="4" w:space="0" w:color="000000"/>
              <w:left w:val="nil"/>
              <w:bottom w:val="single" w:sz="4" w:space="0" w:color="000000"/>
              <w:right w:val="single" w:sz="4" w:space="0" w:color="000000"/>
            </w:tcBorders>
            <w:noWrap/>
            <w:vAlign w:val="center"/>
          </w:tcPr>
          <w:p w:rsidR="00080E97" w:rsidRDefault="000F4565">
            <w:pPr>
              <w:widowControl/>
              <w:spacing w:line="240" w:lineRule="auto"/>
              <w:ind w:firstLine="400"/>
              <w:jc w:val="right"/>
              <w:textAlignment w:val="center"/>
              <w:rPr>
                <w:rFonts w:ascii="宋体" w:eastAsia="宋体" w:hAnsi="宋体" w:cs="宋体"/>
                <w:sz w:val="20"/>
                <w:szCs w:val="20"/>
              </w:rPr>
            </w:pPr>
            <w:r>
              <w:rPr>
                <w:rFonts w:ascii="宋体" w:eastAsia="宋体" w:hAnsi="宋体" w:cs="宋体" w:hint="eastAsia"/>
                <w:color w:val="000000"/>
                <w:kern w:val="0"/>
                <w:sz w:val="20"/>
                <w:szCs w:val="20"/>
                <w:lang w:bidi="ar"/>
              </w:rPr>
              <w:t>——</w:t>
            </w:r>
          </w:p>
        </w:tc>
        <w:tc>
          <w:tcPr>
            <w:tcW w:w="888" w:type="pct"/>
            <w:tcBorders>
              <w:top w:val="single" w:sz="4" w:space="0" w:color="000000"/>
              <w:left w:val="nil"/>
              <w:bottom w:val="single" w:sz="4" w:space="0" w:color="000000"/>
              <w:right w:val="single" w:sz="4" w:space="0" w:color="000000"/>
            </w:tcBorders>
            <w:noWrap/>
            <w:vAlign w:val="center"/>
          </w:tcPr>
          <w:p w:rsidR="00080E97" w:rsidRDefault="000F4565">
            <w:pPr>
              <w:widowControl/>
              <w:spacing w:line="240" w:lineRule="auto"/>
              <w:ind w:firstLine="400"/>
              <w:jc w:val="right"/>
              <w:textAlignment w:val="center"/>
              <w:rPr>
                <w:rFonts w:ascii="宋体" w:eastAsia="宋体" w:hAnsi="宋体" w:cs="宋体"/>
                <w:sz w:val="20"/>
                <w:szCs w:val="20"/>
              </w:rPr>
            </w:pPr>
            <w:r>
              <w:rPr>
                <w:rFonts w:ascii="宋体" w:eastAsia="宋体" w:hAnsi="宋体" w:cs="宋体" w:hint="eastAsia"/>
                <w:color w:val="000000"/>
                <w:kern w:val="0"/>
                <w:sz w:val="20"/>
                <w:szCs w:val="20"/>
                <w:lang w:bidi="ar"/>
              </w:rPr>
              <w:t>——</w:t>
            </w:r>
          </w:p>
        </w:tc>
        <w:tc>
          <w:tcPr>
            <w:tcW w:w="774" w:type="pct"/>
            <w:tcBorders>
              <w:top w:val="single" w:sz="4" w:space="0" w:color="000000"/>
              <w:left w:val="nil"/>
              <w:bottom w:val="single" w:sz="4" w:space="0" w:color="000000"/>
              <w:right w:val="single" w:sz="4" w:space="0" w:color="000000"/>
            </w:tcBorders>
            <w:noWrap/>
            <w:vAlign w:val="center"/>
          </w:tcPr>
          <w:p w:rsidR="00080E97" w:rsidRDefault="000F4565">
            <w:pPr>
              <w:widowControl/>
              <w:spacing w:line="240" w:lineRule="auto"/>
              <w:ind w:firstLine="400"/>
              <w:jc w:val="right"/>
              <w:textAlignment w:val="center"/>
              <w:rPr>
                <w:rFonts w:ascii="宋体" w:eastAsia="宋体" w:hAnsi="宋体" w:cs="宋体"/>
                <w:sz w:val="20"/>
                <w:szCs w:val="20"/>
              </w:rPr>
            </w:pPr>
            <w:r>
              <w:rPr>
                <w:rFonts w:ascii="宋体" w:eastAsia="宋体" w:hAnsi="宋体" w:cs="宋体" w:hint="eastAsia"/>
                <w:color w:val="000000"/>
                <w:kern w:val="0"/>
                <w:sz w:val="20"/>
                <w:szCs w:val="20"/>
                <w:lang w:bidi="ar"/>
              </w:rPr>
              <w:t>——</w:t>
            </w:r>
          </w:p>
        </w:tc>
        <w:tc>
          <w:tcPr>
            <w:tcW w:w="766" w:type="pct"/>
            <w:tcBorders>
              <w:top w:val="single" w:sz="4" w:space="0" w:color="000000"/>
              <w:left w:val="nil"/>
              <w:bottom w:val="single" w:sz="4" w:space="0" w:color="000000"/>
              <w:right w:val="single" w:sz="4" w:space="0" w:color="000000"/>
            </w:tcBorders>
            <w:noWrap/>
            <w:vAlign w:val="center"/>
          </w:tcPr>
          <w:p w:rsidR="00080E97" w:rsidRDefault="000F4565">
            <w:pPr>
              <w:widowControl/>
              <w:spacing w:line="240" w:lineRule="auto"/>
              <w:ind w:firstLine="400"/>
              <w:jc w:val="right"/>
              <w:textAlignment w:val="center"/>
              <w:rPr>
                <w:rFonts w:ascii="宋体" w:eastAsia="宋体" w:hAnsi="宋体" w:cs="宋体"/>
                <w:sz w:val="20"/>
                <w:szCs w:val="20"/>
              </w:rPr>
            </w:pPr>
            <w:r>
              <w:rPr>
                <w:rFonts w:ascii="宋体" w:eastAsia="宋体" w:hAnsi="宋体" w:cs="宋体" w:hint="eastAsia"/>
                <w:color w:val="000000"/>
                <w:kern w:val="0"/>
                <w:sz w:val="20"/>
                <w:szCs w:val="20"/>
                <w:lang w:bidi="ar"/>
              </w:rPr>
              <w:t>——</w:t>
            </w:r>
          </w:p>
        </w:tc>
      </w:tr>
      <w:tr w:rsidR="00080E97">
        <w:trPr>
          <w:cantSplit/>
          <w:trHeight w:hRule="exact" w:val="454"/>
          <w:jc w:val="center"/>
        </w:trPr>
        <w:tc>
          <w:tcPr>
            <w:tcW w:w="1602" w:type="pct"/>
            <w:tcBorders>
              <w:top w:val="single" w:sz="4" w:space="0" w:color="000000"/>
              <w:left w:val="single" w:sz="4" w:space="0" w:color="000000"/>
              <w:bottom w:val="single" w:sz="4" w:space="0" w:color="000000"/>
              <w:right w:val="single" w:sz="4" w:space="0" w:color="000000"/>
            </w:tcBorders>
            <w:noWrap/>
            <w:vAlign w:val="center"/>
          </w:tcPr>
          <w:p w:rsidR="00080E97" w:rsidRDefault="000F4565">
            <w:pPr>
              <w:widowControl/>
              <w:spacing w:line="240" w:lineRule="auto"/>
              <w:ind w:firstLineChars="0" w:firstLine="0"/>
              <w:textAlignment w:val="center"/>
              <w:rPr>
                <w:rFonts w:ascii="宋体" w:eastAsia="宋体" w:hAnsi="宋体" w:cs="宋体"/>
                <w:sz w:val="20"/>
                <w:szCs w:val="20"/>
              </w:rPr>
            </w:pPr>
            <w:r>
              <w:rPr>
                <w:rFonts w:ascii="宋体" w:eastAsia="宋体" w:hAnsi="宋体" w:cs="宋体" w:hint="eastAsia"/>
                <w:kern w:val="0"/>
                <w:sz w:val="20"/>
                <w:szCs w:val="20"/>
              </w:rPr>
              <w:t>五、对附属单位补助支出</w:t>
            </w:r>
          </w:p>
        </w:tc>
        <w:tc>
          <w:tcPr>
            <w:tcW w:w="968" w:type="pct"/>
            <w:tcBorders>
              <w:top w:val="single" w:sz="4" w:space="0" w:color="000000"/>
              <w:left w:val="nil"/>
              <w:bottom w:val="single" w:sz="4" w:space="0" w:color="000000"/>
              <w:right w:val="single" w:sz="4" w:space="0" w:color="000000"/>
            </w:tcBorders>
            <w:noWrap/>
            <w:vAlign w:val="center"/>
          </w:tcPr>
          <w:p w:rsidR="00080E97" w:rsidRDefault="000F4565">
            <w:pPr>
              <w:widowControl/>
              <w:spacing w:line="240" w:lineRule="auto"/>
              <w:ind w:firstLine="400"/>
              <w:jc w:val="right"/>
              <w:textAlignment w:val="center"/>
              <w:rPr>
                <w:rFonts w:ascii="宋体" w:eastAsia="宋体" w:hAnsi="宋体" w:cs="宋体"/>
                <w:sz w:val="20"/>
                <w:szCs w:val="20"/>
              </w:rPr>
            </w:pPr>
            <w:r>
              <w:rPr>
                <w:rFonts w:ascii="宋体" w:eastAsia="宋体" w:hAnsi="宋体" w:cs="宋体" w:hint="eastAsia"/>
                <w:color w:val="000000"/>
                <w:kern w:val="0"/>
                <w:sz w:val="20"/>
                <w:szCs w:val="20"/>
                <w:lang w:bidi="ar"/>
              </w:rPr>
              <w:t>——</w:t>
            </w:r>
          </w:p>
        </w:tc>
        <w:tc>
          <w:tcPr>
            <w:tcW w:w="888" w:type="pct"/>
            <w:tcBorders>
              <w:top w:val="single" w:sz="4" w:space="0" w:color="000000"/>
              <w:left w:val="nil"/>
              <w:bottom w:val="single" w:sz="4" w:space="0" w:color="000000"/>
              <w:right w:val="single" w:sz="4" w:space="0" w:color="000000"/>
            </w:tcBorders>
            <w:noWrap/>
            <w:vAlign w:val="center"/>
          </w:tcPr>
          <w:p w:rsidR="00080E97" w:rsidRDefault="000F4565">
            <w:pPr>
              <w:widowControl/>
              <w:spacing w:line="240" w:lineRule="auto"/>
              <w:ind w:firstLine="400"/>
              <w:jc w:val="right"/>
              <w:textAlignment w:val="center"/>
              <w:rPr>
                <w:rFonts w:ascii="宋体" w:eastAsia="宋体" w:hAnsi="宋体" w:cs="宋体"/>
                <w:sz w:val="20"/>
                <w:szCs w:val="20"/>
              </w:rPr>
            </w:pPr>
            <w:r>
              <w:rPr>
                <w:rFonts w:ascii="宋体" w:eastAsia="宋体" w:hAnsi="宋体" w:cs="宋体" w:hint="eastAsia"/>
                <w:color w:val="000000"/>
                <w:kern w:val="0"/>
                <w:sz w:val="20"/>
                <w:szCs w:val="20"/>
                <w:lang w:bidi="ar"/>
              </w:rPr>
              <w:t>——</w:t>
            </w:r>
          </w:p>
        </w:tc>
        <w:tc>
          <w:tcPr>
            <w:tcW w:w="774" w:type="pct"/>
            <w:tcBorders>
              <w:top w:val="single" w:sz="4" w:space="0" w:color="000000"/>
              <w:left w:val="nil"/>
              <w:bottom w:val="single" w:sz="4" w:space="0" w:color="000000"/>
              <w:right w:val="single" w:sz="4" w:space="0" w:color="000000"/>
            </w:tcBorders>
            <w:noWrap/>
            <w:vAlign w:val="center"/>
          </w:tcPr>
          <w:p w:rsidR="00080E97" w:rsidRDefault="000F4565">
            <w:pPr>
              <w:widowControl/>
              <w:spacing w:line="240" w:lineRule="auto"/>
              <w:ind w:firstLine="400"/>
              <w:jc w:val="right"/>
              <w:textAlignment w:val="center"/>
              <w:rPr>
                <w:rFonts w:ascii="宋体" w:eastAsia="宋体" w:hAnsi="宋体" w:cs="宋体"/>
                <w:sz w:val="20"/>
                <w:szCs w:val="20"/>
              </w:rPr>
            </w:pPr>
            <w:r>
              <w:rPr>
                <w:rFonts w:ascii="宋体" w:eastAsia="宋体" w:hAnsi="宋体" w:cs="宋体" w:hint="eastAsia"/>
                <w:color w:val="000000"/>
                <w:kern w:val="0"/>
                <w:sz w:val="20"/>
                <w:szCs w:val="20"/>
                <w:lang w:bidi="ar"/>
              </w:rPr>
              <w:t>——</w:t>
            </w:r>
          </w:p>
        </w:tc>
        <w:tc>
          <w:tcPr>
            <w:tcW w:w="766" w:type="pct"/>
            <w:tcBorders>
              <w:top w:val="single" w:sz="4" w:space="0" w:color="000000"/>
              <w:left w:val="nil"/>
              <w:bottom w:val="single" w:sz="4" w:space="0" w:color="000000"/>
              <w:right w:val="single" w:sz="4" w:space="0" w:color="000000"/>
            </w:tcBorders>
            <w:noWrap/>
            <w:vAlign w:val="center"/>
          </w:tcPr>
          <w:p w:rsidR="00080E97" w:rsidRDefault="000F4565">
            <w:pPr>
              <w:widowControl/>
              <w:spacing w:line="240" w:lineRule="auto"/>
              <w:ind w:firstLine="400"/>
              <w:jc w:val="right"/>
              <w:textAlignment w:val="center"/>
              <w:rPr>
                <w:rFonts w:ascii="宋体" w:eastAsia="宋体" w:hAnsi="宋体" w:cs="宋体"/>
                <w:sz w:val="20"/>
                <w:szCs w:val="20"/>
              </w:rPr>
            </w:pPr>
            <w:r>
              <w:rPr>
                <w:rFonts w:ascii="宋体" w:eastAsia="宋体" w:hAnsi="宋体" w:cs="宋体" w:hint="eastAsia"/>
                <w:color w:val="000000"/>
                <w:kern w:val="0"/>
                <w:sz w:val="20"/>
                <w:szCs w:val="20"/>
                <w:lang w:bidi="ar"/>
              </w:rPr>
              <w:t>——</w:t>
            </w:r>
          </w:p>
        </w:tc>
      </w:tr>
      <w:tr w:rsidR="00080E97">
        <w:trPr>
          <w:cantSplit/>
          <w:trHeight w:hRule="exact" w:val="454"/>
          <w:jc w:val="center"/>
        </w:trPr>
        <w:tc>
          <w:tcPr>
            <w:tcW w:w="1602" w:type="pct"/>
            <w:tcBorders>
              <w:top w:val="single" w:sz="4" w:space="0" w:color="000000"/>
              <w:left w:val="single" w:sz="4" w:space="0" w:color="000000"/>
              <w:bottom w:val="single" w:sz="4" w:space="0" w:color="000000"/>
              <w:right w:val="single" w:sz="4" w:space="0" w:color="000000"/>
            </w:tcBorders>
            <w:noWrap/>
            <w:vAlign w:val="center"/>
          </w:tcPr>
          <w:p w:rsidR="00080E97" w:rsidRDefault="000F4565">
            <w:pPr>
              <w:widowControl/>
              <w:spacing w:line="240" w:lineRule="auto"/>
              <w:ind w:firstLineChars="0" w:firstLine="0"/>
              <w:jc w:val="center"/>
              <w:textAlignment w:val="center"/>
              <w:rPr>
                <w:rFonts w:ascii="宋体" w:eastAsia="宋体" w:hAnsi="宋体" w:cs="宋体"/>
                <w:b/>
                <w:bCs/>
                <w:sz w:val="20"/>
                <w:szCs w:val="20"/>
              </w:rPr>
            </w:pPr>
            <w:r>
              <w:rPr>
                <w:rFonts w:ascii="宋体" w:eastAsia="宋体" w:hAnsi="宋体" w:cs="宋体" w:hint="eastAsia"/>
                <w:b/>
                <w:bCs/>
                <w:kern w:val="0"/>
                <w:sz w:val="20"/>
                <w:szCs w:val="20"/>
              </w:rPr>
              <w:t>合计</w:t>
            </w:r>
          </w:p>
        </w:tc>
        <w:tc>
          <w:tcPr>
            <w:tcW w:w="1754" w:type="dxa"/>
            <w:tcBorders>
              <w:top w:val="single" w:sz="4" w:space="0" w:color="000000"/>
              <w:left w:val="nil"/>
              <w:bottom w:val="single" w:sz="4" w:space="0" w:color="000000"/>
              <w:right w:val="single" w:sz="4" w:space="0" w:color="000000"/>
            </w:tcBorders>
            <w:noWrap/>
            <w:vAlign w:val="center"/>
          </w:tcPr>
          <w:p w:rsidR="00080E97" w:rsidRDefault="000F4565">
            <w:pPr>
              <w:widowControl/>
              <w:spacing w:line="240" w:lineRule="auto"/>
              <w:ind w:firstLineChars="0" w:firstLine="0"/>
              <w:jc w:val="right"/>
              <w:textAlignment w:val="center"/>
              <w:rPr>
                <w:rFonts w:ascii="宋体" w:eastAsia="宋体" w:hAnsi="宋体" w:cs="宋体"/>
                <w:b/>
                <w:bCs/>
                <w:color w:val="000000"/>
                <w:kern w:val="0"/>
                <w:sz w:val="20"/>
                <w:szCs w:val="20"/>
                <w:lang w:bidi="ar"/>
              </w:rPr>
            </w:pPr>
            <w:r>
              <w:rPr>
                <w:rFonts w:ascii="宋体" w:eastAsia="宋体" w:hAnsi="宋体" w:cs="宋体" w:hint="eastAsia"/>
                <w:b/>
                <w:bCs/>
                <w:color w:val="000000"/>
                <w:kern w:val="0"/>
                <w:sz w:val="20"/>
                <w:szCs w:val="20"/>
                <w:lang w:bidi="ar"/>
              </w:rPr>
              <w:t>352931.83</w:t>
            </w:r>
          </w:p>
        </w:tc>
        <w:tc>
          <w:tcPr>
            <w:tcW w:w="1610" w:type="dxa"/>
            <w:tcBorders>
              <w:top w:val="single" w:sz="4" w:space="0" w:color="000000"/>
              <w:left w:val="nil"/>
              <w:bottom w:val="single" w:sz="4" w:space="0" w:color="000000"/>
              <w:right w:val="single" w:sz="4" w:space="0" w:color="000000"/>
            </w:tcBorders>
            <w:noWrap/>
            <w:vAlign w:val="center"/>
          </w:tcPr>
          <w:p w:rsidR="00080E97" w:rsidRDefault="000F4565">
            <w:pPr>
              <w:widowControl/>
              <w:spacing w:line="240" w:lineRule="auto"/>
              <w:ind w:firstLineChars="0" w:firstLine="0"/>
              <w:jc w:val="right"/>
              <w:textAlignment w:val="center"/>
              <w:rPr>
                <w:rFonts w:ascii="宋体" w:eastAsia="宋体" w:hAnsi="宋体" w:cs="宋体"/>
                <w:b/>
                <w:bCs/>
                <w:color w:val="000000"/>
                <w:kern w:val="0"/>
                <w:sz w:val="20"/>
                <w:szCs w:val="20"/>
                <w:lang w:bidi="ar"/>
              </w:rPr>
            </w:pPr>
            <w:r>
              <w:rPr>
                <w:rFonts w:ascii="宋体" w:eastAsia="宋体" w:hAnsi="宋体" w:cs="宋体" w:hint="eastAsia"/>
                <w:b/>
                <w:bCs/>
                <w:color w:val="000000"/>
                <w:kern w:val="0"/>
                <w:sz w:val="20"/>
                <w:szCs w:val="20"/>
                <w:lang w:bidi="ar"/>
              </w:rPr>
              <w:t>366545.8</w:t>
            </w:r>
          </w:p>
        </w:tc>
        <w:tc>
          <w:tcPr>
            <w:tcW w:w="1403" w:type="dxa"/>
            <w:tcBorders>
              <w:top w:val="single" w:sz="4" w:space="0" w:color="000000"/>
              <w:left w:val="nil"/>
              <w:bottom w:val="single" w:sz="4" w:space="0" w:color="000000"/>
              <w:right w:val="single" w:sz="4" w:space="0" w:color="000000"/>
            </w:tcBorders>
            <w:noWrap/>
            <w:vAlign w:val="center"/>
          </w:tcPr>
          <w:p w:rsidR="00080E97" w:rsidRDefault="000F4565">
            <w:pPr>
              <w:widowControl/>
              <w:spacing w:line="240" w:lineRule="auto"/>
              <w:ind w:firstLineChars="0" w:firstLine="0"/>
              <w:jc w:val="right"/>
              <w:textAlignment w:val="center"/>
              <w:rPr>
                <w:rFonts w:ascii="宋体" w:eastAsia="宋体" w:hAnsi="宋体" w:cs="宋体"/>
                <w:b/>
                <w:bCs/>
                <w:color w:val="000000"/>
                <w:kern w:val="0"/>
                <w:sz w:val="20"/>
                <w:szCs w:val="20"/>
                <w:lang w:bidi="ar"/>
              </w:rPr>
            </w:pPr>
            <w:r>
              <w:rPr>
                <w:rFonts w:ascii="宋体" w:eastAsia="宋体" w:hAnsi="宋体" w:cs="宋体" w:hint="eastAsia"/>
                <w:b/>
                <w:bCs/>
                <w:color w:val="000000"/>
                <w:kern w:val="0"/>
                <w:sz w:val="20"/>
                <w:szCs w:val="20"/>
                <w:lang w:bidi="ar"/>
              </w:rPr>
              <w:t>334483.09</w:t>
            </w:r>
          </w:p>
        </w:tc>
        <w:tc>
          <w:tcPr>
            <w:tcW w:w="1388" w:type="dxa"/>
            <w:tcBorders>
              <w:top w:val="single" w:sz="4" w:space="0" w:color="000000"/>
              <w:left w:val="nil"/>
              <w:bottom w:val="single" w:sz="4" w:space="0" w:color="000000"/>
              <w:right w:val="single" w:sz="4" w:space="0" w:color="000000"/>
            </w:tcBorders>
            <w:noWrap/>
            <w:vAlign w:val="center"/>
          </w:tcPr>
          <w:p w:rsidR="00080E97" w:rsidRDefault="000F4565">
            <w:pPr>
              <w:widowControl/>
              <w:spacing w:line="240" w:lineRule="auto"/>
              <w:ind w:firstLineChars="0" w:firstLine="0"/>
              <w:jc w:val="right"/>
              <w:textAlignment w:val="center"/>
              <w:rPr>
                <w:rFonts w:ascii="宋体" w:eastAsia="宋体" w:hAnsi="宋体" w:cs="宋体"/>
                <w:b/>
                <w:bCs/>
                <w:color w:val="000000"/>
                <w:kern w:val="0"/>
                <w:sz w:val="20"/>
                <w:szCs w:val="20"/>
                <w:lang w:bidi="ar"/>
              </w:rPr>
            </w:pPr>
            <w:r>
              <w:rPr>
                <w:rFonts w:ascii="宋体" w:eastAsia="宋体" w:hAnsi="宋体" w:cs="宋体" w:hint="eastAsia"/>
                <w:b/>
                <w:bCs/>
                <w:color w:val="000000"/>
                <w:kern w:val="0"/>
                <w:sz w:val="20"/>
                <w:szCs w:val="20"/>
                <w:lang w:bidi="ar"/>
              </w:rPr>
              <w:t>91.25%</w:t>
            </w:r>
          </w:p>
        </w:tc>
      </w:tr>
    </w:tbl>
    <w:p w:rsidR="00080E97" w:rsidRDefault="00080E97"/>
    <w:p w:rsidR="00080E97" w:rsidRDefault="000F4565">
      <w:pPr>
        <w:pStyle w:val="1"/>
        <w:ind w:firstLine="640"/>
      </w:pPr>
      <w:bookmarkStart w:id="19" w:name="_Toc7594"/>
      <w:r>
        <w:rPr>
          <w:rFonts w:hint="eastAsia"/>
        </w:rPr>
        <w:t>三</w:t>
      </w:r>
      <w:r>
        <w:t>、整体绩效目标实现情况</w:t>
      </w:r>
      <w:bookmarkEnd w:id="19"/>
    </w:p>
    <w:p w:rsidR="00080E97" w:rsidRDefault="000F4565">
      <w:pPr>
        <w:pStyle w:val="2"/>
        <w:ind w:firstLine="640"/>
      </w:pPr>
      <w:bookmarkStart w:id="20" w:name="_Toc17735"/>
      <w:r>
        <w:rPr>
          <w:rFonts w:hint="eastAsia"/>
        </w:rPr>
        <w:t>（一）产出完成情况分析</w:t>
      </w:r>
      <w:bookmarkEnd w:id="20"/>
    </w:p>
    <w:p w:rsidR="00080E97" w:rsidRDefault="000F4565">
      <w:r>
        <w:rPr>
          <w:rFonts w:hint="eastAsia"/>
        </w:rPr>
        <w:t>1.产出数量</w:t>
      </w:r>
    </w:p>
    <w:p w:rsidR="00080E97" w:rsidRDefault="000F4565">
      <w:r>
        <w:rPr>
          <w:rFonts w:hint="eastAsia"/>
        </w:rPr>
        <w:t>2024年北京台部门整体产出数量目标均已达成。</w:t>
      </w:r>
    </w:p>
    <w:p w:rsidR="00080E97" w:rsidRDefault="000F4565">
      <w:r>
        <w:rPr>
          <w:rFonts w:hint="eastAsia"/>
        </w:rPr>
        <w:t>从制播时长来看：广播、电视节目制作时长为2890672.2分钟；广播、电视节目播出时长为234010.5小时，其中各频道高清电视节目播出时长84812.5小时、体育休闲频道4K超高清电视节目播出时长8768小时。</w:t>
      </w:r>
    </w:p>
    <w:p w:rsidR="00080E97" w:rsidRDefault="000F4565">
      <w:r>
        <w:rPr>
          <w:rFonts w:hint="eastAsia"/>
        </w:rPr>
        <w:t>从播出内容来看：主旋律作品方面，推出47部作品，包括《侦察英雄》《狗剩快跑》《宣武门》等主旋律电视剧17部，《密使一号》《咱身边的民法典》《马兰的歌声》等主旋律广播剧10部，《长城长》《有力见证》《超级思政课》等重大题材</w:t>
      </w:r>
      <w:r>
        <w:rPr>
          <w:rFonts w:hint="eastAsia"/>
        </w:rPr>
        <w:lastRenderedPageBreak/>
        <w:t>纪录片（专题片）及优秀电视理论节目20部。</w:t>
      </w:r>
      <w:proofErr w:type="gramStart"/>
      <w:r>
        <w:rPr>
          <w:rFonts w:hint="eastAsia"/>
        </w:rPr>
        <w:t>电视季播节目</w:t>
      </w:r>
      <w:proofErr w:type="gramEnd"/>
      <w:r>
        <w:rPr>
          <w:rFonts w:hint="eastAsia"/>
        </w:rPr>
        <w:t>方面，推出《最美中轴线（第2季）》《专精特新研究院（第3季）》《亲爱的学弟学妹（第2季）》等12</w:t>
      </w:r>
      <w:proofErr w:type="gramStart"/>
      <w:r>
        <w:rPr>
          <w:rFonts w:hint="eastAsia"/>
        </w:rPr>
        <w:t>档</w:t>
      </w:r>
      <w:proofErr w:type="gramEnd"/>
      <w:r>
        <w:rPr>
          <w:rFonts w:hint="eastAsia"/>
        </w:rPr>
        <w:t>节目。大型直播节目方面，推出《我的北京我的家——庆祝中华人民共和国成立75周年直播特别节目》《北京春节时间》《龙耀京华》等22场节目。社会公益活动方面，推出“北京榜样”主题公益活动、24节气宣传片、《拾光聚会·筑梦学习之路》爱心</w:t>
      </w:r>
      <w:proofErr w:type="gramStart"/>
      <w:r>
        <w:rPr>
          <w:rFonts w:hint="eastAsia"/>
        </w:rPr>
        <w:t>物资公益</w:t>
      </w:r>
      <w:proofErr w:type="gramEnd"/>
      <w:r>
        <w:rPr>
          <w:rFonts w:hint="eastAsia"/>
        </w:rPr>
        <w:t>捐赠活动等13场活动。</w:t>
      </w:r>
    </w:p>
    <w:p w:rsidR="00080E97" w:rsidRDefault="000F4565">
      <w:r>
        <w:rPr>
          <w:rFonts w:hint="eastAsia"/>
        </w:rPr>
        <w:t>2.产出质量</w:t>
      </w:r>
    </w:p>
    <w:p w:rsidR="00080E97" w:rsidRPr="00451531" w:rsidRDefault="000F4565">
      <w:r>
        <w:rPr>
          <w:rFonts w:hint="eastAsia"/>
        </w:rPr>
        <w:t>2024年北京台部门整体工作产出质量良好，其中：广播电视节目、栏目播出内容合</w:t>
      </w:r>
      <w:proofErr w:type="gramStart"/>
      <w:r>
        <w:rPr>
          <w:rFonts w:hint="eastAsia"/>
        </w:rPr>
        <w:t>规</w:t>
      </w:r>
      <w:proofErr w:type="gramEnd"/>
      <w:r>
        <w:rPr>
          <w:rFonts w:hint="eastAsia"/>
        </w:rPr>
        <w:t>、</w:t>
      </w:r>
      <w:proofErr w:type="gramStart"/>
      <w:r>
        <w:rPr>
          <w:rFonts w:hint="eastAsia"/>
        </w:rPr>
        <w:t>停播率</w:t>
      </w:r>
      <w:proofErr w:type="gramEnd"/>
      <w:r>
        <w:rPr>
          <w:rFonts w:hint="eastAsia"/>
        </w:rPr>
        <w:t>达标，自制栏目占比、精品报道和品牌栏目获</w:t>
      </w:r>
      <w:r w:rsidRPr="00451531">
        <w:rPr>
          <w:rFonts w:hint="eastAsia"/>
        </w:rPr>
        <w:t>奖均符合考核指标要求。</w:t>
      </w:r>
    </w:p>
    <w:p w:rsidR="00080E97" w:rsidRDefault="000F4565">
      <w:r>
        <w:rPr>
          <w:rFonts w:hint="eastAsia"/>
        </w:rPr>
        <w:t>（1）内容合</w:t>
      </w:r>
      <w:proofErr w:type="gramStart"/>
      <w:r>
        <w:rPr>
          <w:rFonts w:hint="eastAsia"/>
        </w:rPr>
        <w:t>规</w:t>
      </w:r>
      <w:proofErr w:type="gramEnd"/>
      <w:r>
        <w:rPr>
          <w:rFonts w:hint="eastAsia"/>
        </w:rPr>
        <w:t>性</w:t>
      </w:r>
    </w:p>
    <w:p w:rsidR="00080E97" w:rsidRDefault="000F4565">
      <w:r>
        <w:rPr>
          <w:rFonts w:hint="eastAsia"/>
        </w:rPr>
        <w:t>2024年北京</w:t>
      </w:r>
      <w:proofErr w:type="gramStart"/>
      <w:r>
        <w:rPr>
          <w:rFonts w:hint="eastAsia"/>
        </w:rPr>
        <w:t>台严格</w:t>
      </w:r>
      <w:proofErr w:type="gramEnd"/>
      <w:r>
        <w:rPr>
          <w:rFonts w:hint="eastAsia"/>
        </w:rPr>
        <w:t>遵守《中华人民共和国广告法》《公益广告促进和管理暂行办法》等相关法律法规，健全广告经营管理机制，确保终审的严肃性和完整性，全年未出现内容导向、广告管理等问题。</w:t>
      </w:r>
    </w:p>
    <w:p w:rsidR="00080E97" w:rsidRDefault="000F4565">
      <w:r>
        <w:rPr>
          <w:rFonts w:hint="eastAsia"/>
        </w:rPr>
        <w:t>（2）停播率</w:t>
      </w:r>
    </w:p>
    <w:p w:rsidR="00080E97" w:rsidRDefault="000F4565">
      <w:r>
        <w:rPr>
          <w:rFonts w:hint="eastAsia"/>
        </w:rPr>
        <w:t>截至2024年底，北京台全年播出电视节目约17.86万小时，播出广播节目约5.54万小时，发射广播节目约3.74万小时，年</w:t>
      </w:r>
      <w:proofErr w:type="gramStart"/>
      <w:r>
        <w:rPr>
          <w:rFonts w:hint="eastAsia"/>
        </w:rPr>
        <w:lastRenderedPageBreak/>
        <w:t>停播率</w:t>
      </w:r>
      <w:proofErr w:type="gramEnd"/>
      <w:r>
        <w:rPr>
          <w:rFonts w:hint="eastAsia"/>
        </w:rPr>
        <w:t>为0.00秒/百小时，符合《广播电视安全播出管理规定》（国家广播电影电视总局令第62号）及相关实施细则要求。</w:t>
      </w:r>
    </w:p>
    <w:p w:rsidR="00080E97" w:rsidRDefault="000F4565">
      <w:r>
        <w:rPr>
          <w:rFonts w:hint="eastAsia"/>
        </w:rPr>
        <w:t>制度层面。北京</w:t>
      </w:r>
      <w:proofErr w:type="gramStart"/>
      <w:r>
        <w:rPr>
          <w:rFonts w:hint="eastAsia"/>
        </w:rPr>
        <w:t>台严格</w:t>
      </w:r>
      <w:proofErr w:type="gramEnd"/>
      <w:r>
        <w:rPr>
          <w:rFonts w:hint="eastAsia"/>
        </w:rPr>
        <w:t>执行国家相关管理要求，制定《北京广播电视台安全播出应急预案》《北京广播电视台网络安全应急预案》等全台性文件，进一步防范化解安全播出风险，增强突发事件事故应对能力。</w:t>
      </w:r>
    </w:p>
    <w:p w:rsidR="00080E97" w:rsidRDefault="000F4565">
      <w:r>
        <w:rPr>
          <w:rFonts w:hint="eastAsia"/>
        </w:rPr>
        <w:t>执行层面。2024年北京台完成有线电视、卫星传输、地面数字电视等传输分发链路共64套主备播出信号</w:t>
      </w:r>
      <w:proofErr w:type="gramStart"/>
      <w:r>
        <w:rPr>
          <w:rFonts w:hint="eastAsia"/>
        </w:rPr>
        <w:t>监录约</w:t>
      </w:r>
      <w:proofErr w:type="gramEnd"/>
      <w:r>
        <w:rPr>
          <w:rFonts w:hint="eastAsia"/>
        </w:rPr>
        <w:t>44万小时；录制安全播出关键区域、77个监控点位视频约51万小时，及时</w:t>
      </w:r>
      <w:proofErr w:type="gramStart"/>
      <w:r>
        <w:rPr>
          <w:rFonts w:hint="eastAsia"/>
        </w:rPr>
        <w:t>提供安播异态</w:t>
      </w:r>
      <w:proofErr w:type="gramEnd"/>
      <w:r>
        <w:rPr>
          <w:rFonts w:hint="eastAsia"/>
        </w:rPr>
        <w:t>警示11次，为广告查询、播出追踪提供播出视频250余条、累计121小时以上。</w:t>
      </w:r>
    </w:p>
    <w:p w:rsidR="00080E97" w:rsidRDefault="000F4565">
      <w:r>
        <w:rPr>
          <w:rFonts w:hint="eastAsia"/>
        </w:rPr>
        <w:t>（3）自制栏目占比</w:t>
      </w:r>
    </w:p>
    <w:p w:rsidR="00080E97" w:rsidRDefault="000F4565">
      <w:r>
        <w:rPr>
          <w:rFonts w:hint="eastAsia"/>
        </w:rPr>
        <w:t>2024年，北京台电视端自制栏目占栏目总数80.00%，广播端自制栏目占栏目总数94.40%，均完成自制栏目占比60%的计划目标。</w:t>
      </w:r>
    </w:p>
    <w:p w:rsidR="00080E97" w:rsidRDefault="000F4565">
      <w:r>
        <w:rPr>
          <w:rFonts w:hint="eastAsia"/>
        </w:rPr>
        <w:t>（4）精品报道和品牌栏目获奖</w:t>
      </w:r>
    </w:p>
    <w:p w:rsidR="00080E97" w:rsidRDefault="000F4565">
      <w:r>
        <w:rPr>
          <w:rFonts w:hint="eastAsia"/>
        </w:rPr>
        <w:t>北京台2024年共计17个精品报道、品牌栏目和文艺作品获得国家级奖项，其中：广播剧《马兰的歌声》、歌曲《无我》获第十七届精神文明建设“五个</w:t>
      </w:r>
      <w:proofErr w:type="gramStart"/>
      <w:r>
        <w:rPr>
          <w:rFonts w:hint="eastAsia"/>
        </w:rPr>
        <w:t>一</w:t>
      </w:r>
      <w:proofErr w:type="gramEnd"/>
      <w:r>
        <w:rPr>
          <w:rFonts w:hint="eastAsia"/>
        </w:rPr>
        <w:t>工程”奖;《四天三夜，被困门头沟列车乘客大救援》《向前一步》《京之轴Beijing Central Axis-</w:t>
      </w:r>
      <w:r>
        <w:rPr>
          <w:rFonts w:hint="eastAsia"/>
        </w:rPr>
        <w:lastRenderedPageBreak/>
        <w:t xml:space="preserve">The </w:t>
      </w:r>
      <w:proofErr w:type="spellStart"/>
      <w:r>
        <w:rPr>
          <w:rFonts w:hint="eastAsia"/>
        </w:rPr>
        <w:t>Legendof</w:t>
      </w:r>
      <w:proofErr w:type="spellEnd"/>
      <w:r>
        <w:rPr>
          <w:rFonts w:hint="eastAsia"/>
        </w:rPr>
        <w:t xml:space="preserve"> A Line》等6件精品报道和品牌</w:t>
      </w:r>
      <w:proofErr w:type="gramStart"/>
      <w:r>
        <w:rPr>
          <w:rFonts w:hint="eastAsia"/>
        </w:rPr>
        <w:t>栏目获</w:t>
      </w:r>
      <w:proofErr w:type="gramEnd"/>
      <w:r>
        <w:rPr>
          <w:rFonts w:hint="eastAsia"/>
        </w:rPr>
        <w:t>中国新闻奖；《最美中轴线(第三季)》《最美中国戏(第二季)》《黄河安澜》等5部作品获得第28届中国电视文艺“星光奖”荣誉；《鲲鹏击浪》获第34届电视剧“飞天奖”优秀电视剧提名奖；《黄河安澜》《最美中轴线（第三季）》《鲲鹏击浪》获第32届中国电视“金鹰奖”。</w:t>
      </w:r>
    </w:p>
    <w:p w:rsidR="00080E97" w:rsidRDefault="000F4565">
      <w:r>
        <w:rPr>
          <w:rFonts w:hint="eastAsia"/>
        </w:rPr>
        <w:t>3.产出进度</w:t>
      </w:r>
    </w:p>
    <w:p w:rsidR="00080E97" w:rsidRDefault="000F4565">
      <w:r>
        <w:rPr>
          <w:rFonts w:hint="eastAsia"/>
        </w:rPr>
        <w:t>2024年北京台各部门依照全台工作要点，细化了本部门工作计划，有序推动节栏目制作、播出与各项活动开展。如“北京榜样”主题公益活动参考以往年度工作经验制定了项目实施方案，明确了评审、具体活动组织、宣传推广等各项工作重点及时间安排，年度工作实施与方案设计基本匹配，产出进度控制有效。</w:t>
      </w:r>
    </w:p>
    <w:p w:rsidR="00080E97" w:rsidRDefault="000F4565">
      <w:r>
        <w:rPr>
          <w:rFonts w:hint="eastAsia"/>
        </w:rPr>
        <w:t>4.产出成本</w:t>
      </w:r>
    </w:p>
    <w:p w:rsidR="00080E97" w:rsidRDefault="000F4565">
      <w:r>
        <w:rPr>
          <w:rFonts w:hint="eastAsia"/>
        </w:rPr>
        <w:t>2024年北京台基本支出方面，</w:t>
      </w:r>
      <w:proofErr w:type="gramStart"/>
      <w:r>
        <w:rPr>
          <w:rFonts w:hint="eastAsia"/>
        </w:rPr>
        <w:t>依照人员</w:t>
      </w:r>
      <w:proofErr w:type="gramEnd"/>
      <w:r>
        <w:rPr>
          <w:rFonts w:hint="eastAsia"/>
        </w:rPr>
        <w:t>与公用经费相关管理要求执行；项目支出方面，严控对外委托业务，细化修订《技术服务对外委托业务实施方案》《技术服务对外委托业务实施细则》，更新2024年度技术服务对外委托审批范围，设立对外委托业务专席，提升服务保障能力。年度总体支出33.45亿元，同比2023年下降9.03%，部门整体成本控制情况较好。</w:t>
      </w:r>
    </w:p>
    <w:p w:rsidR="00080E97" w:rsidRDefault="000F4565">
      <w:pPr>
        <w:pStyle w:val="2"/>
        <w:ind w:firstLine="640"/>
      </w:pPr>
      <w:bookmarkStart w:id="21" w:name="_Toc3730"/>
      <w:r>
        <w:rPr>
          <w:rFonts w:hint="eastAsia"/>
        </w:rPr>
        <w:lastRenderedPageBreak/>
        <w:t>（二）效果</w:t>
      </w:r>
      <w:r>
        <w:t>实现情况分析</w:t>
      </w:r>
      <w:bookmarkEnd w:id="21"/>
    </w:p>
    <w:p w:rsidR="00080E97" w:rsidRDefault="000F4565">
      <w:r>
        <w:rPr>
          <w:rFonts w:hint="eastAsia"/>
        </w:rPr>
        <w:t>1.经济效益</w:t>
      </w:r>
    </w:p>
    <w:p w:rsidR="00080E97" w:rsidRDefault="000F4565">
      <w:r>
        <w:rPr>
          <w:rFonts w:hint="eastAsia"/>
        </w:rPr>
        <w:t>2024年北京台实现非</w:t>
      </w:r>
      <w:proofErr w:type="gramStart"/>
      <w:r>
        <w:rPr>
          <w:rFonts w:hint="eastAsia"/>
        </w:rPr>
        <w:t>财拨收入</w:t>
      </w:r>
      <w:proofErr w:type="gramEnd"/>
      <w:r>
        <w:rPr>
          <w:rFonts w:hint="eastAsia"/>
        </w:rPr>
        <w:t>17.81亿元，超额完成年初16.26亿元目标，实际完成率109.53%。</w:t>
      </w:r>
    </w:p>
    <w:p w:rsidR="00080E97" w:rsidRDefault="000F4565">
      <w:r>
        <w:rPr>
          <w:rFonts w:hint="eastAsia"/>
        </w:rPr>
        <w:t>台属企业经营方面。北京</w:t>
      </w:r>
      <w:proofErr w:type="gramStart"/>
      <w:r>
        <w:rPr>
          <w:rFonts w:hint="eastAsia"/>
        </w:rPr>
        <w:t>台制定</w:t>
      </w:r>
      <w:proofErr w:type="gramEnd"/>
      <w:r>
        <w:rPr>
          <w:rFonts w:hint="eastAsia"/>
        </w:rPr>
        <w:t>印发《关于加强台属企业管理工作的意见》,严格规范企业运营和法人治理，进一步加强台属企业在重大事项、财务审计、合同审核、采购监督、人才队伍和风险防控等方面的科学化规范化管理。2024年完成6家台属企业压减清理工作，台属企业全年累计营业收入16.47亿元，国有资产保值增值率101%，台属企业经营管理情况较好。</w:t>
      </w:r>
    </w:p>
    <w:p w:rsidR="00080E97" w:rsidRDefault="000F4565">
      <w:r>
        <w:rPr>
          <w:rFonts w:hint="eastAsia"/>
        </w:rPr>
        <w:t>广告经营方面。北京台一是协调联动线上线下资源，持续强化一体化经营能力和全媒体整合营销能力，加大可经营性资源开发力度，通过内容营销和服务模式创新稳住了经营创收的基本盘。二是巩固升级跨年晚会、春节联欢晚会、北京国际电影节、大运河音乐节等品牌IP价值，形成以重点活动和定制项目为依托的营收增长点。三是压紧压实台领导班子成员和各经营主体负责人经营创收责任，制定修订新项目开发奖励办法等制度规定，首次推出直接面向个人的经营激励举措，有效激发广告经营的新活力新动能。</w:t>
      </w:r>
    </w:p>
    <w:p w:rsidR="00080E97" w:rsidRDefault="000F4565">
      <w:r>
        <w:rPr>
          <w:rFonts w:hint="eastAsia"/>
        </w:rPr>
        <w:t>产业发展方面。北京台一是加大</w:t>
      </w:r>
      <w:proofErr w:type="gramStart"/>
      <w:r>
        <w:rPr>
          <w:rFonts w:hint="eastAsia"/>
        </w:rPr>
        <w:t>融媒资源</w:t>
      </w:r>
      <w:proofErr w:type="gramEnd"/>
      <w:r>
        <w:rPr>
          <w:rFonts w:hint="eastAsia"/>
        </w:rPr>
        <w:t>开发力度，充分</w:t>
      </w:r>
      <w:proofErr w:type="gramStart"/>
      <w:r>
        <w:rPr>
          <w:rFonts w:hint="eastAsia"/>
        </w:rPr>
        <w:t>挖</w:t>
      </w:r>
      <w:r>
        <w:rPr>
          <w:rFonts w:hint="eastAsia"/>
        </w:rPr>
        <w:lastRenderedPageBreak/>
        <w:t>掘垂类资源优势</w:t>
      </w:r>
      <w:proofErr w:type="gramEnd"/>
      <w:r>
        <w:rPr>
          <w:rFonts w:hint="eastAsia"/>
        </w:rPr>
        <w:t>，加快自有新媒体平台“新闻+政务商务服务”业务创新，</w:t>
      </w:r>
      <w:proofErr w:type="gramStart"/>
      <w:r>
        <w:rPr>
          <w:rFonts w:hint="eastAsia"/>
        </w:rPr>
        <w:t>融媒产品</w:t>
      </w:r>
      <w:proofErr w:type="gramEnd"/>
      <w:r>
        <w:rPr>
          <w:rFonts w:hint="eastAsia"/>
        </w:rPr>
        <w:t>打造、线上线下活动联动、商业模式拓展等工作取得显著成效。二是全面推进产业布局优化和产业结构调整，稳步提升产业经营市场化专业水平的同时，拓展大型活动技术服务等经营新领域。三是逐步建立、完善基金投资机制与投资布局，通过科学的投资策略和严格的风险管控，实现基金长期稳健运营，推动投资收益反哺事业发展。</w:t>
      </w:r>
    </w:p>
    <w:p w:rsidR="00080E97" w:rsidRDefault="000F4565">
      <w:r>
        <w:rPr>
          <w:rFonts w:hint="eastAsia"/>
        </w:rPr>
        <w:t>2.社会效益</w:t>
      </w:r>
    </w:p>
    <w:p w:rsidR="00080E97" w:rsidRDefault="000F4565">
      <w:r>
        <w:rPr>
          <w:rFonts w:hint="eastAsia"/>
        </w:rPr>
        <w:t>（1）做好主题宣传，巩固舆论引导能力</w:t>
      </w:r>
    </w:p>
    <w:p w:rsidR="00DE7B8A" w:rsidRDefault="000F4565">
      <w:r>
        <w:rPr>
          <w:rFonts w:hint="eastAsia"/>
        </w:rPr>
        <w:t>主题宣传方面。北京台策划推出</w:t>
      </w:r>
      <w:r w:rsidR="00DE7B8A">
        <w:rPr>
          <w:rFonts w:hint="eastAsia"/>
        </w:rPr>
        <w:t>一系列</w:t>
      </w:r>
      <w:r>
        <w:rPr>
          <w:rFonts w:hint="eastAsia"/>
        </w:rPr>
        <w:t>理论节目和纪录片，推动党的创新理论不断深入人</w:t>
      </w:r>
      <w:r w:rsidR="00DE7B8A">
        <w:rPr>
          <w:rFonts w:hint="eastAsia"/>
        </w:rPr>
        <w:t>心</w:t>
      </w:r>
      <w:r>
        <w:rPr>
          <w:rFonts w:hint="eastAsia"/>
        </w:rPr>
        <w:t>，通过特别节目、纪录片和</w:t>
      </w:r>
      <w:proofErr w:type="gramStart"/>
      <w:r>
        <w:rPr>
          <w:rFonts w:hint="eastAsia"/>
        </w:rPr>
        <w:t>融媒</w:t>
      </w:r>
      <w:proofErr w:type="gramEnd"/>
      <w:r>
        <w:rPr>
          <w:rFonts w:hint="eastAsia"/>
        </w:rPr>
        <w:t>活动，全景展现京津冀协同发展成就。围绕庆祝新中国成立75周年，联动北京市16区和经开区，以“演播室直播+融媒行动+新媒体特色产品”的创新报道方式，细述首都75载辉煌历程和伟大变革。</w:t>
      </w:r>
    </w:p>
    <w:p w:rsidR="00080E97" w:rsidRDefault="000F4565">
      <w:r>
        <w:rPr>
          <w:rFonts w:hint="eastAsia"/>
        </w:rPr>
        <w:t>公益广告方面。2024年北京台被评为北京市公益广告扶持项目一类传播机构；累计播出公益广告约8万条（次）、5万分钟，完成国家广电</w:t>
      </w:r>
      <w:proofErr w:type="gramStart"/>
      <w:r>
        <w:rPr>
          <w:rFonts w:hint="eastAsia"/>
        </w:rPr>
        <w:t>总局公益</w:t>
      </w:r>
      <w:proofErr w:type="gramEnd"/>
      <w:r>
        <w:rPr>
          <w:rFonts w:hint="eastAsia"/>
        </w:rPr>
        <w:t>广告播出任务；3部广播作品获国家广电总局扶持，7部电视作品、23部广播作品获北京市广播电视局扶持；2部作品获中国国际广告节黄河奖银奖，10部作品获优</w:t>
      </w:r>
      <w:r>
        <w:rPr>
          <w:rFonts w:hint="eastAsia"/>
        </w:rPr>
        <w:lastRenderedPageBreak/>
        <w:t>秀奖。</w:t>
      </w:r>
    </w:p>
    <w:p w:rsidR="00080E97" w:rsidRDefault="000F4565">
      <w:r>
        <w:rPr>
          <w:rFonts w:hint="eastAsia"/>
        </w:rPr>
        <w:t>公众服务方面。北京台通过《向前一步》《新闻热线》《接诉即办》等栏目和“问北京”</w:t>
      </w:r>
      <w:proofErr w:type="gramStart"/>
      <w:r>
        <w:rPr>
          <w:rFonts w:hint="eastAsia"/>
        </w:rPr>
        <w:t>微信公众号</w:t>
      </w:r>
      <w:proofErr w:type="gramEnd"/>
      <w:r>
        <w:rPr>
          <w:rFonts w:hint="eastAsia"/>
        </w:rPr>
        <w:t>搭建政府与群众沟通桥梁，推动解决</w:t>
      </w:r>
      <w:proofErr w:type="gramStart"/>
      <w:r>
        <w:rPr>
          <w:rFonts w:hint="eastAsia"/>
        </w:rPr>
        <w:t>急难愁盼问题</w:t>
      </w:r>
      <w:proofErr w:type="gramEnd"/>
      <w:r>
        <w:rPr>
          <w:rFonts w:hint="eastAsia"/>
        </w:rPr>
        <w:t>，获得群众广泛认可。《向前一步》2024年共播出66期节目；新闻广播《新闻热线》全年完成原创调查报道600余篇，同时完成65篇“问后”报道、22篇追问报道；《接诉即办》2024年共播出稿件185篇，总时长1252分钟；《中国梦365个故事》2024年共播出56期节目。</w:t>
      </w:r>
    </w:p>
    <w:p w:rsidR="00080E97" w:rsidRDefault="000F4565">
      <w:r>
        <w:rPr>
          <w:rFonts w:hint="eastAsia"/>
        </w:rPr>
        <w:t>（2）频率、频道调整优化，节目内容提质升级</w:t>
      </w:r>
    </w:p>
    <w:p w:rsidR="00080E97" w:rsidRDefault="000F4565">
      <w:r>
        <w:rPr>
          <w:rFonts w:hint="eastAsia"/>
        </w:rPr>
        <w:t>2024年北京台持续落实频率、频道优化，推进内容创新创优。一是充分发挥收听收视调查项目作用，每日发布视听</w:t>
      </w:r>
      <w:proofErr w:type="gramStart"/>
      <w:r>
        <w:rPr>
          <w:rFonts w:hint="eastAsia"/>
        </w:rPr>
        <w:t>率相关</w:t>
      </w:r>
      <w:proofErr w:type="gramEnd"/>
      <w:r>
        <w:rPr>
          <w:rFonts w:hint="eastAsia"/>
        </w:rPr>
        <w:t>数据日报告；每周整理、分析广播和电视收听收视数据，结合节目类型、时段分布等多维度指标，撰写《收听收视数据点评稿》；在台内动画春晚、主春晚、电影节开闭幕式等多个大型项目播出时段持续使用</w:t>
      </w:r>
      <w:proofErr w:type="gramStart"/>
      <w:r>
        <w:rPr>
          <w:rFonts w:hint="eastAsia"/>
        </w:rPr>
        <w:t>酷云和欢网实时</w:t>
      </w:r>
      <w:proofErr w:type="gramEnd"/>
      <w:r>
        <w:rPr>
          <w:rFonts w:hint="eastAsia"/>
        </w:rPr>
        <w:t>数据监测，为大型活动播出效果的宣传发布提供数据支撑；按照各频率、频道实际需求盘点梳理特定节目或周期性收听收视情况，提出编播建议。二是针对全台电视端65</w:t>
      </w:r>
      <w:proofErr w:type="gramStart"/>
      <w:r>
        <w:rPr>
          <w:rFonts w:hint="eastAsia"/>
        </w:rPr>
        <w:t>档</w:t>
      </w:r>
      <w:proofErr w:type="gramEnd"/>
      <w:r>
        <w:rPr>
          <w:rFonts w:hint="eastAsia"/>
        </w:rPr>
        <w:t>栏目、广播端77</w:t>
      </w:r>
      <w:proofErr w:type="gramStart"/>
      <w:r>
        <w:rPr>
          <w:rFonts w:hint="eastAsia"/>
        </w:rPr>
        <w:t>档</w:t>
      </w:r>
      <w:proofErr w:type="gramEnd"/>
      <w:r>
        <w:rPr>
          <w:rFonts w:hint="eastAsia"/>
        </w:rPr>
        <w:t>节目进行全面阅评，在北京广电APP“台内动态”和钉钉“每日快评群”发布</w:t>
      </w:r>
      <w:proofErr w:type="gramStart"/>
      <w:r>
        <w:rPr>
          <w:rFonts w:hint="eastAsia"/>
        </w:rPr>
        <w:t>每日快</w:t>
      </w:r>
      <w:proofErr w:type="gramEnd"/>
      <w:r>
        <w:rPr>
          <w:rFonts w:hint="eastAsia"/>
        </w:rPr>
        <w:t>评44篇，10万余字；会同节目研发中心制定《全台节目新质内容力提升标准》，</w:t>
      </w:r>
      <w:r>
        <w:rPr>
          <w:rFonts w:hint="eastAsia"/>
        </w:rPr>
        <w:lastRenderedPageBreak/>
        <w:t>供全台频率频道对照整改。三是利用业界专家并结合部门自有力量，对电视端主持人业务表现进行追踪监评，汇总出刊22期近</w:t>
      </w:r>
      <w:proofErr w:type="gramStart"/>
      <w:r>
        <w:rPr>
          <w:rFonts w:hint="eastAsia"/>
        </w:rPr>
        <w:t>二十五万字监评</w:t>
      </w:r>
      <w:proofErr w:type="gramEnd"/>
      <w:r>
        <w:rPr>
          <w:rFonts w:hint="eastAsia"/>
        </w:rPr>
        <w:t>意见，并逐一传达至各节目中心和主持人，及时指导开展节目提质升级。综合各频率、频道意见建议吸收采纳及数据变化情况，北京</w:t>
      </w:r>
      <w:proofErr w:type="gramStart"/>
      <w:r>
        <w:rPr>
          <w:rFonts w:hint="eastAsia"/>
        </w:rPr>
        <w:t>台相关</w:t>
      </w:r>
      <w:proofErr w:type="gramEnd"/>
      <w:r>
        <w:rPr>
          <w:rFonts w:hint="eastAsia"/>
        </w:rPr>
        <w:t>举措有效提升了节目传播力和影响力，但仍有进一步优化空间。</w:t>
      </w:r>
    </w:p>
    <w:p w:rsidR="00080E97" w:rsidRDefault="000F4565">
      <w:r>
        <w:rPr>
          <w:rFonts w:hint="eastAsia"/>
        </w:rPr>
        <w:t>（3）重视重点客户端建设，推动媒体融合</w:t>
      </w:r>
    </w:p>
    <w:p w:rsidR="00080E97" w:rsidRDefault="000F4565">
      <w:r>
        <w:rPr>
          <w:rFonts w:hint="eastAsia"/>
        </w:rPr>
        <w:t>2024年北京台持续巩固拓展全台一体融合发展格局，具体情况如下：</w:t>
      </w:r>
    </w:p>
    <w:p w:rsidR="00080E97" w:rsidRDefault="000F4565">
      <w:r>
        <w:rPr>
          <w:rFonts w:hint="eastAsia"/>
        </w:rPr>
        <w:t>人员、机构和内容生产方面。北京台设立融合奖励专项资金，修订新媒体内容创优奖惩办法、频道频率收视收听及新媒体考核方案等制度，提供包括“融媒体生产发布平台建设使用情况”“人工智能使用与内容生产结合”等在内的融合技术支持和业务培训，进一步激发</w:t>
      </w:r>
      <w:proofErr w:type="gramStart"/>
      <w:r>
        <w:rPr>
          <w:rFonts w:hint="eastAsia"/>
        </w:rPr>
        <w:t>融媒内容</w:t>
      </w:r>
      <w:proofErr w:type="gramEnd"/>
      <w:r>
        <w:rPr>
          <w:rFonts w:hint="eastAsia"/>
        </w:rPr>
        <w:t>生产活力和全媒体建设动力；年内各生产中心完成台内核定的15.2万篇稿件生产量；持续对台内优质内容进行互联网转化，完成转化台内稿件13.8万篇。</w:t>
      </w:r>
    </w:p>
    <w:p w:rsidR="00080E97" w:rsidRDefault="000F4565">
      <w:r>
        <w:rPr>
          <w:rFonts w:hint="eastAsia"/>
        </w:rPr>
        <w:t>客户端建设方面。2024年，北京时间累计下载量5020万，</w:t>
      </w:r>
      <w:proofErr w:type="gramStart"/>
      <w:r>
        <w:rPr>
          <w:rFonts w:hint="eastAsia"/>
        </w:rPr>
        <w:t>月活指标</w:t>
      </w:r>
      <w:proofErr w:type="gramEnd"/>
      <w:r>
        <w:rPr>
          <w:rFonts w:hint="eastAsia"/>
        </w:rPr>
        <w:t>较2023年平均值提升22%;原创稿件发布数量440篇/天，台内播发重点新闻在“北京时间”APP</w:t>
      </w:r>
      <w:proofErr w:type="gramStart"/>
      <w:r>
        <w:rPr>
          <w:rFonts w:hint="eastAsia"/>
        </w:rPr>
        <w:t>首发率</w:t>
      </w:r>
      <w:proofErr w:type="gramEnd"/>
      <w:r>
        <w:rPr>
          <w:rFonts w:hint="eastAsia"/>
        </w:rPr>
        <w:t>为100%。听听FM累计下载量2268万，完成年度累计下载量指标；全年平</w:t>
      </w:r>
      <w:r>
        <w:rPr>
          <w:rFonts w:hint="eastAsia"/>
        </w:rPr>
        <w:lastRenderedPageBreak/>
        <w:t>均</w:t>
      </w:r>
      <w:proofErr w:type="gramStart"/>
      <w:r>
        <w:rPr>
          <w:rFonts w:hint="eastAsia"/>
        </w:rPr>
        <w:t>月活较</w:t>
      </w:r>
      <w:proofErr w:type="gramEnd"/>
      <w:r>
        <w:rPr>
          <w:rFonts w:hint="eastAsia"/>
        </w:rPr>
        <w:t>2023年平均值提升5%,完成</w:t>
      </w:r>
      <w:proofErr w:type="gramStart"/>
      <w:r>
        <w:rPr>
          <w:rFonts w:hint="eastAsia"/>
        </w:rPr>
        <w:t>全年月活指标</w:t>
      </w:r>
      <w:proofErr w:type="gramEnd"/>
      <w:r>
        <w:rPr>
          <w:rFonts w:hint="eastAsia"/>
        </w:rPr>
        <w:t>。</w:t>
      </w:r>
    </w:p>
    <w:p w:rsidR="00080E97" w:rsidRDefault="000F4565">
      <w:r>
        <w:rPr>
          <w:rFonts w:hint="eastAsia"/>
        </w:rPr>
        <w:t>重点账号建设方面。北京台以每两个月为周期对全台账号传播数据进行梳理，对长期不更新、运营不善、传播效果不足的低效账号进行压减，2024年共压减关停新媒体账号44个，实现打造5个单平台粉丝数千万级的媒体品牌账号，3个全网粉丝量500万以上的媒体人账号。但重点账号集中在抖音、</w:t>
      </w:r>
      <w:proofErr w:type="gramStart"/>
      <w:r>
        <w:rPr>
          <w:rFonts w:hint="eastAsia"/>
        </w:rPr>
        <w:t>微博两个</w:t>
      </w:r>
      <w:proofErr w:type="gramEnd"/>
      <w:r>
        <w:rPr>
          <w:rFonts w:hint="eastAsia"/>
        </w:rPr>
        <w:t>平台，小红书等平台账号建设有待进一步加强。</w:t>
      </w:r>
    </w:p>
    <w:p w:rsidR="00080E97" w:rsidRDefault="000F4565">
      <w:r>
        <w:rPr>
          <w:rFonts w:hint="eastAsia"/>
        </w:rPr>
        <w:t>拳头产品方面。2024年北京台打造点击量过亿的</w:t>
      </w:r>
      <w:proofErr w:type="gramStart"/>
      <w:r>
        <w:rPr>
          <w:rFonts w:hint="eastAsia"/>
        </w:rPr>
        <w:t>融媒体</w:t>
      </w:r>
      <w:proofErr w:type="gramEnd"/>
      <w:r>
        <w:rPr>
          <w:rFonts w:hint="eastAsia"/>
        </w:rPr>
        <w:t>产品数量共45个，主要包括#</w:t>
      </w:r>
      <w:proofErr w:type="gramStart"/>
      <w:r>
        <w:rPr>
          <w:rFonts w:hint="eastAsia"/>
        </w:rPr>
        <w:t>大先生</w:t>
      </w:r>
      <w:proofErr w:type="gramEnd"/>
      <w:r>
        <w:rPr>
          <w:rFonts w:hint="eastAsia"/>
        </w:rPr>
        <w:t>#、#北京电影节#等。</w:t>
      </w:r>
    </w:p>
    <w:p w:rsidR="00080E97" w:rsidRDefault="000F4565">
      <w:r>
        <w:rPr>
          <w:rFonts w:hint="eastAsia"/>
        </w:rPr>
        <w:t>（4）扩大媒体影响，提升国际传播能力</w:t>
      </w:r>
    </w:p>
    <w:p w:rsidR="00080E97" w:rsidRDefault="000F4565">
      <w:r>
        <w:rPr>
          <w:rFonts w:hint="eastAsia"/>
        </w:rPr>
        <w:t>媒体影响方面。北京台一是做</w:t>
      </w:r>
      <w:proofErr w:type="gramStart"/>
      <w:r>
        <w:rPr>
          <w:rFonts w:hint="eastAsia"/>
        </w:rPr>
        <w:t>强重大</w:t>
      </w:r>
      <w:proofErr w:type="gramEnd"/>
      <w:r>
        <w:rPr>
          <w:rFonts w:hint="eastAsia"/>
        </w:rPr>
        <w:t>主题报道，围绕“爱我中华 修我长城”题词40周年、大运河申</w:t>
      </w:r>
      <w:proofErr w:type="gramStart"/>
      <w:r>
        <w:rPr>
          <w:rFonts w:hint="eastAsia"/>
        </w:rPr>
        <w:t>遗成功</w:t>
      </w:r>
      <w:proofErr w:type="gramEnd"/>
      <w:r>
        <w:rPr>
          <w:rFonts w:hint="eastAsia"/>
        </w:rPr>
        <w:t>10周年推出</w:t>
      </w:r>
      <w:proofErr w:type="gramStart"/>
      <w:r>
        <w:rPr>
          <w:rFonts w:hint="eastAsia"/>
        </w:rPr>
        <w:t>一系列融媒直播</w:t>
      </w:r>
      <w:proofErr w:type="gramEnd"/>
      <w:r>
        <w:rPr>
          <w:rFonts w:hint="eastAsia"/>
        </w:rPr>
        <w:t>、特别节目、系列报道和新媒体产品，积极探索重大主题宣传报道的组织形式及运行模式，用创新生产方式倒推内容力、传播力提升。二是开展多维品牌活动，北京国际电影节主话题阅读量超32.7亿，成功搭建国际影视交流平台；惠民文化消费季</w:t>
      </w:r>
      <w:proofErr w:type="gramStart"/>
      <w:r>
        <w:rPr>
          <w:rFonts w:hint="eastAsia"/>
        </w:rPr>
        <w:t>联动六</w:t>
      </w:r>
      <w:proofErr w:type="gramEnd"/>
      <w:r>
        <w:rPr>
          <w:rFonts w:hint="eastAsia"/>
        </w:rPr>
        <w:t>大板块，惠民金额达9亿元，有效激活</w:t>
      </w:r>
      <w:proofErr w:type="gramStart"/>
      <w:r>
        <w:rPr>
          <w:rFonts w:hint="eastAsia"/>
        </w:rPr>
        <w:t>文旅消费</w:t>
      </w:r>
      <w:proofErr w:type="gramEnd"/>
      <w:r>
        <w:rPr>
          <w:rFonts w:hint="eastAsia"/>
        </w:rPr>
        <w:t>活力；大运河音乐节、汽车生活</w:t>
      </w:r>
      <w:proofErr w:type="gramStart"/>
      <w:r>
        <w:rPr>
          <w:rFonts w:hint="eastAsia"/>
        </w:rPr>
        <w:t>节创新</w:t>
      </w:r>
      <w:proofErr w:type="gramEnd"/>
      <w:r>
        <w:rPr>
          <w:rFonts w:hint="eastAsia"/>
        </w:rPr>
        <w:t>“文旅+”模式，吸引超6万人次参与，全网话题破3亿；自制音乐剧《北上》通过音乐、舞蹈、戏剧等多种艺术手段，展现大运河艺术价值、文化内涵和时</w:t>
      </w:r>
      <w:r>
        <w:rPr>
          <w:rFonts w:hint="eastAsia"/>
        </w:rPr>
        <w:lastRenderedPageBreak/>
        <w:t>代风貌，首轮8场演出，多次获评年度备受瞩目音乐剧作品；国风音乐剧《少年苏东坡》结合意境和童趣，通过音乐、诗词、表演等手段，带领观众沉浸式体验中华传统文化魅力，均取得良好社会反响。三是切实履行交通广播中心的应急广播职责，全年在广播端和</w:t>
      </w:r>
      <w:proofErr w:type="gramStart"/>
      <w:r>
        <w:rPr>
          <w:rFonts w:hint="eastAsia"/>
        </w:rPr>
        <w:t>融媒</w:t>
      </w:r>
      <w:proofErr w:type="gramEnd"/>
      <w:r>
        <w:rPr>
          <w:rFonts w:hint="eastAsia"/>
        </w:rPr>
        <w:t>端播发应急内容达800小时以上、5000余条，</w:t>
      </w:r>
      <w:proofErr w:type="gramStart"/>
      <w:r>
        <w:rPr>
          <w:rFonts w:hint="eastAsia"/>
        </w:rPr>
        <w:t>联动市</w:t>
      </w:r>
      <w:proofErr w:type="gramEnd"/>
      <w:r>
        <w:rPr>
          <w:rFonts w:hint="eastAsia"/>
        </w:rPr>
        <w:t>应急管理部门策划推出的“二十四节气话应急”“都市守夜人”“蓝蜀黍实验室”等</w:t>
      </w:r>
      <w:proofErr w:type="gramStart"/>
      <w:r>
        <w:rPr>
          <w:rFonts w:hint="eastAsia"/>
        </w:rPr>
        <w:t>融媒品牌</w:t>
      </w:r>
      <w:proofErr w:type="gramEnd"/>
      <w:r>
        <w:rPr>
          <w:rFonts w:hint="eastAsia"/>
        </w:rPr>
        <w:t>栏目全网播放超千万。四是加强媒体交流，与香港电台达成合作，共同举办“北京电视周”活动，在香港成功展映北京台拍摄制作的城市宣传片《舞动北京》、大型纪录片《长城长》《文物里的北京》《盛会》等7部作品。通过以上工作开展，截至2024年底，北京卫视在全国省级卫视中中国视听大数据（CVB）排名第3、索福瑞排名第5；《北京新闻》在北京地区收视率中国视听大数据（CVB）6.90%、索福瑞3.34%；北京卫视晚间黄金时段剧场在全国省级卫视中同时段收视中国视听大数据（CVB）排名第2、索福瑞排名第5；北京卫</w:t>
      </w:r>
      <w:proofErr w:type="gramStart"/>
      <w:r>
        <w:rPr>
          <w:rFonts w:hint="eastAsia"/>
        </w:rPr>
        <w:t>视春晚在</w:t>
      </w:r>
      <w:proofErr w:type="gramEnd"/>
      <w:r>
        <w:rPr>
          <w:rFonts w:hint="eastAsia"/>
        </w:rPr>
        <w:t>全国省级卫视中同时段收视中国视听大数据（CVB）、索福瑞收视数据均达到第1；北京卫视、影视频道、体育休闲频道3个频道在北京地区频道品牌价值排名中入选前十名；交通广播在索福瑞收听数据中，北京广播市场份额达到38.06%；北京电台在索福瑞收听数据中，北京广播市场份额达到83.95%。各</w:t>
      </w:r>
      <w:r>
        <w:rPr>
          <w:rFonts w:hint="eastAsia"/>
        </w:rPr>
        <w:lastRenderedPageBreak/>
        <w:t>项数据均实现年度目标，但交通广播、北京电台在北京广播市场份额较2023年度有所下降。</w:t>
      </w:r>
    </w:p>
    <w:p w:rsidR="00080E97" w:rsidRDefault="000F4565">
      <w:r>
        <w:rPr>
          <w:rFonts w:hint="eastAsia"/>
        </w:rPr>
        <w:t>国际传播能力方面。北京台一是稳固日常宣传，BRTV国际频道以“讲好中国故事，传播北京声音”为频道定位，荟萃全台各品套精品节目，推动精品节目海外传播，并统筹通过海外合作媒体以及CGTN全国媒体联盟（超过1100家媒体）转发。二是加强相关账号建设，境外社交媒体矩阵账号和新媒体社交平台机构账号国际传播影响力不断扩大。三是持续开展国际活动，成功举办北京国际电影节和“文化中国·水立方杯”中文歌曲大赛，其中，第十四届北京国际电影节共有123个国家和地区相关人士参加，105个国家和地区的699家媒体1784名记者注册参与，中文歌曲大赛吸引5万余人参赛，进一步助力文化走出去。</w:t>
      </w:r>
    </w:p>
    <w:p w:rsidR="00080E97" w:rsidRDefault="000F4565">
      <w:r>
        <w:rPr>
          <w:rFonts w:hint="eastAsia"/>
        </w:rPr>
        <w:t>3.可持续性影响</w:t>
      </w:r>
    </w:p>
    <w:p w:rsidR="00080E97" w:rsidRDefault="000F4565">
      <w:r>
        <w:rPr>
          <w:rFonts w:hint="eastAsia"/>
        </w:rPr>
        <w:t>（1）人才发展体制机制</w:t>
      </w:r>
    </w:p>
    <w:p w:rsidR="00080E97" w:rsidRDefault="000F4565">
      <w:r>
        <w:rPr>
          <w:rFonts w:hint="eastAsia"/>
        </w:rPr>
        <w:t>北京台2024年人才发展情况发展良好，体制机制建设稳定：一是组织专业人才队伍培训，提升专业人才理论实践技能，开展专题讲座、业务培训等</w:t>
      </w:r>
      <w:proofErr w:type="gramStart"/>
      <w:r>
        <w:rPr>
          <w:rFonts w:hint="eastAsia"/>
        </w:rPr>
        <w:t>各类台级</w:t>
      </w:r>
      <w:proofErr w:type="gramEnd"/>
      <w:r>
        <w:rPr>
          <w:rFonts w:hint="eastAsia"/>
        </w:rPr>
        <w:t>培训16项，累计培训1.2万余人次。二是加强外部交流学习，拓宽视野，依托国家广电总局等上级机关和行业机构，安排相关人员参加各类培训项目15项，累计培训600余人次。三是推动干部选拔任用、轮岗交流，促进</w:t>
      </w:r>
      <w:r>
        <w:rPr>
          <w:rFonts w:hint="eastAsia"/>
        </w:rPr>
        <w:lastRenderedPageBreak/>
        <w:t>干部队伍年轻化</w:t>
      </w:r>
      <w:r w:rsidR="00652C98">
        <w:rPr>
          <w:rFonts w:hint="eastAsia"/>
        </w:rPr>
        <w:t>。四</w:t>
      </w:r>
      <w:r>
        <w:rPr>
          <w:rFonts w:hint="eastAsia"/>
        </w:rPr>
        <w:t>是继续促进创新创意团队建设，年度新设立</w:t>
      </w:r>
      <w:proofErr w:type="gramStart"/>
      <w:r>
        <w:rPr>
          <w:rFonts w:hint="eastAsia"/>
        </w:rPr>
        <w:t>京选DM融媒</w:t>
      </w:r>
      <w:proofErr w:type="gramEnd"/>
      <w:r>
        <w:rPr>
          <w:rFonts w:hint="eastAsia"/>
        </w:rPr>
        <w:t>工作室和</w:t>
      </w:r>
      <w:proofErr w:type="gramStart"/>
      <w:r>
        <w:rPr>
          <w:rFonts w:hint="eastAsia"/>
        </w:rPr>
        <w:t>艺载</w:t>
      </w:r>
      <w:proofErr w:type="gramEnd"/>
      <w:r>
        <w:rPr>
          <w:rFonts w:hint="eastAsia"/>
        </w:rPr>
        <w:t>中国工作室。</w:t>
      </w:r>
    </w:p>
    <w:p w:rsidR="00080E97" w:rsidRDefault="000F4565">
      <w:r>
        <w:rPr>
          <w:rFonts w:hint="eastAsia"/>
        </w:rPr>
        <w:t>（2）紧跟行业技术研发与创新应用</w:t>
      </w:r>
    </w:p>
    <w:p w:rsidR="00080E97" w:rsidRDefault="000F4565">
      <w:r>
        <w:rPr>
          <w:rFonts w:hint="eastAsia"/>
        </w:rPr>
        <w:t>2024年北京台AICG等技术</w:t>
      </w:r>
      <w:proofErr w:type="gramStart"/>
      <w:r>
        <w:rPr>
          <w:rFonts w:hint="eastAsia"/>
        </w:rPr>
        <w:t>研</w:t>
      </w:r>
      <w:proofErr w:type="gramEnd"/>
      <w:r>
        <w:rPr>
          <w:rFonts w:hint="eastAsia"/>
        </w:rPr>
        <w:t>用水平不断提升。一是成立人工智能</w:t>
      </w:r>
      <w:proofErr w:type="gramStart"/>
      <w:r>
        <w:rPr>
          <w:rFonts w:hint="eastAsia"/>
        </w:rPr>
        <w:t>融媒创新</w:t>
      </w:r>
      <w:proofErr w:type="gramEnd"/>
      <w:r>
        <w:rPr>
          <w:rFonts w:hint="eastAsia"/>
        </w:rPr>
        <w:t>实验室，上线AI</w:t>
      </w:r>
      <w:proofErr w:type="gramStart"/>
      <w:r>
        <w:rPr>
          <w:rFonts w:hint="eastAsia"/>
        </w:rPr>
        <w:t>智作平台</w:t>
      </w:r>
      <w:proofErr w:type="gramEnd"/>
      <w:r>
        <w:rPr>
          <w:rFonts w:hint="eastAsia"/>
        </w:rPr>
        <w:t>，基于大模型的文生图、</w:t>
      </w:r>
      <w:proofErr w:type="gramStart"/>
      <w:r>
        <w:rPr>
          <w:rFonts w:hint="eastAsia"/>
        </w:rPr>
        <w:t>文生音视频</w:t>
      </w:r>
      <w:proofErr w:type="gramEnd"/>
      <w:r>
        <w:rPr>
          <w:rFonts w:hint="eastAsia"/>
        </w:rPr>
        <w:t>和数字人等功能充分应用于全台内容生产部门，</w:t>
      </w:r>
      <w:proofErr w:type="gramStart"/>
      <w:r>
        <w:rPr>
          <w:rFonts w:hint="eastAsia"/>
        </w:rPr>
        <w:t>平台周均访问</w:t>
      </w:r>
      <w:proofErr w:type="gramEnd"/>
      <w:r>
        <w:rPr>
          <w:rFonts w:hint="eastAsia"/>
        </w:rPr>
        <w:t>量近万人次，生成内容40余万条，全网传播量超10亿次，在公益广告制作、大型活动宣传片创作、节目包装、专题片特效等方面有效应用AIGC技术，研发推出“播播龙”“酷虎”“瑞麒”</w:t>
      </w:r>
      <w:r>
        <w:rPr>
          <w:rFonts w:hint="eastAsia"/>
          <w:lang w:val="zh-CN"/>
        </w:rPr>
        <w:t>等各具特色的数字人，助力内容传播</w:t>
      </w:r>
      <w:r>
        <w:rPr>
          <w:rFonts w:hint="eastAsia"/>
        </w:rPr>
        <w:t>。二是深化4K/8K超高</w:t>
      </w:r>
      <w:proofErr w:type="gramStart"/>
      <w:r>
        <w:rPr>
          <w:rFonts w:hint="eastAsia"/>
        </w:rPr>
        <w:t>清技术</w:t>
      </w:r>
      <w:proofErr w:type="gramEnd"/>
      <w:r>
        <w:rPr>
          <w:rFonts w:hint="eastAsia"/>
        </w:rPr>
        <w:t>应用，推进北京卫视4K超高</w:t>
      </w:r>
      <w:proofErr w:type="gramStart"/>
      <w:r>
        <w:rPr>
          <w:rFonts w:hint="eastAsia"/>
        </w:rPr>
        <w:t>清技术</w:t>
      </w:r>
      <w:proofErr w:type="gramEnd"/>
      <w:r>
        <w:rPr>
          <w:rFonts w:hint="eastAsia"/>
        </w:rPr>
        <w:t>体系规划和建设，强化8K频道业务运转和内容运营。三是推动超高</w:t>
      </w:r>
      <w:proofErr w:type="gramStart"/>
      <w:r>
        <w:rPr>
          <w:rFonts w:hint="eastAsia"/>
        </w:rPr>
        <w:t>清制作</w:t>
      </w:r>
      <w:proofErr w:type="gramEnd"/>
      <w:r>
        <w:rPr>
          <w:rFonts w:hint="eastAsia"/>
        </w:rPr>
        <w:t>与XR虚拟现实融合传播应用，完成《古画里的中国》《抖音科学夜》特效场景录制，为观众提供全方位、立体化、沉浸式的观赏体验。北京台全年共2个项目获影视技术学会科学技术奖二等奖，2人获影视技术学会科技人才奖，技术研发与创新应用成效较好，但AIGC技术全流程全系统应用模式仍需进一步完善。</w:t>
      </w:r>
    </w:p>
    <w:p w:rsidR="00080E97" w:rsidRDefault="000F4565">
      <w:r>
        <w:rPr>
          <w:rFonts w:hint="eastAsia"/>
        </w:rPr>
        <w:t>4.服务对象满意度</w:t>
      </w:r>
    </w:p>
    <w:p w:rsidR="00080E97" w:rsidRDefault="000F4565">
      <w:r>
        <w:rPr>
          <w:rFonts w:hint="eastAsia"/>
        </w:rPr>
        <w:t>社会公众对北京台多数工作情况比较满意，如第十四届北京国际电影节项目，现场专业嘉宾对项目整体满意度打分为88.93</w:t>
      </w:r>
      <w:r>
        <w:rPr>
          <w:rFonts w:hint="eastAsia"/>
        </w:rPr>
        <w:lastRenderedPageBreak/>
        <w:t>分、观众对项目整体满意度打分为80.25分，满意度反馈良好，但观众满意度较2023年80.90分略有下降。</w:t>
      </w:r>
    </w:p>
    <w:p w:rsidR="00080E97" w:rsidRDefault="000F4565">
      <w:pPr>
        <w:pStyle w:val="1"/>
        <w:ind w:firstLine="640"/>
      </w:pPr>
      <w:bookmarkStart w:id="22" w:name="_Toc13245"/>
      <w:r>
        <w:rPr>
          <w:rFonts w:hint="eastAsia"/>
        </w:rPr>
        <w:t>四</w:t>
      </w:r>
      <w:r>
        <w:t>、预算管理</w:t>
      </w:r>
      <w:r>
        <w:rPr>
          <w:rFonts w:hint="eastAsia"/>
        </w:rPr>
        <w:t>情况分</w:t>
      </w:r>
      <w:r>
        <w:t>析</w:t>
      </w:r>
      <w:bookmarkEnd w:id="22"/>
    </w:p>
    <w:p w:rsidR="00080E97" w:rsidRDefault="000F4565">
      <w:pPr>
        <w:pStyle w:val="2"/>
        <w:ind w:firstLine="640"/>
      </w:pPr>
      <w:bookmarkStart w:id="23" w:name="_Toc15561"/>
      <w:r>
        <w:rPr>
          <w:rFonts w:hint="eastAsia"/>
        </w:rPr>
        <w:t>（一）财务管理</w:t>
      </w:r>
      <w:bookmarkEnd w:id="23"/>
    </w:p>
    <w:p w:rsidR="00080E97" w:rsidRDefault="000F4565">
      <w:r>
        <w:rPr>
          <w:rFonts w:hint="eastAsia"/>
        </w:rPr>
        <w:t>1.财务管理制度健全性</w:t>
      </w:r>
    </w:p>
    <w:p w:rsidR="00080E97" w:rsidRDefault="000F4565">
      <w:r>
        <w:rPr>
          <w:rFonts w:hint="eastAsia"/>
        </w:rPr>
        <w:t>北京</w:t>
      </w:r>
      <w:proofErr w:type="gramStart"/>
      <w:r>
        <w:rPr>
          <w:rFonts w:hint="eastAsia"/>
        </w:rPr>
        <w:t>台制定</w:t>
      </w:r>
      <w:proofErr w:type="gramEnd"/>
      <w:r>
        <w:rPr>
          <w:rFonts w:hint="eastAsia"/>
        </w:rPr>
        <w:t>了《中共北京广播电视台党组会议议事规则（试行）》《北京广播电视台台务会议议事规则（试行）》《北京广播电视台编委会议议事规则（试行）》《北京广播电视台采购管理办法（试行）》《北京广播电视台财务管理制度（试行）》《北京广播电视台合同管理办法（试行）》《北京广播电视台项目支出绩效评价管理办法（试行）》等管理制度，覆盖预算管理、决算管理、收入管理等各环节，有效支撑部门加强财务管理、规范财务行为。</w:t>
      </w:r>
    </w:p>
    <w:p w:rsidR="00080E97" w:rsidRDefault="000F4565">
      <w:r>
        <w:rPr>
          <w:rFonts w:hint="eastAsia"/>
        </w:rPr>
        <w:t>2.资金使用合</w:t>
      </w:r>
      <w:proofErr w:type="gramStart"/>
      <w:r>
        <w:rPr>
          <w:rFonts w:hint="eastAsia"/>
        </w:rPr>
        <w:t>规</w:t>
      </w:r>
      <w:proofErr w:type="gramEnd"/>
      <w:r>
        <w:rPr>
          <w:rFonts w:hint="eastAsia"/>
        </w:rPr>
        <w:t>性和安全性</w:t>
      </w:r>
    </w:p>
    <w:p w:rsidR="00080E97" w:rsidRDefault="000F4565">
      <w:r>
        <w:rPr>
          <w:rFonts w:hint="eastAsia"/>
        </w:rPr>
        <w:t>2024年北京</w:t>
      </w:r>
      <w:proofErr w:type="gramStart"/>
      <w:r>
        <w:rPr>
          <w:rFonts w:hint="eastAsia"/>
        </w:rPr>
        <w:t>台按照</w:t>
      </w:r>
      <w:proofErr w:type="gramEnd"/>
      <w:r>
        <w:rPr>
          <w:rFonts w:hint="eastAsia"/>
        </w:rPr>
        <w:t>《北京广播电视台财务管理制度（试行）》及补充规定开展收入管理、支出管理、内部核算管理、专项资金支出管理、经费支出审批等工作，各环节权限清晰、流程明确。评价过程中未发现资金截留、挤占、挪用的情况，资金使用较为合理、规范。</w:t>
      </w:r>
    </w:p>
    <w:p w:rsidR="00080E97" w:rsidRDefault="000F4565">
      <w:r>
        <w:rPr>
          <w:rFonts w:hint="eastAsia"/>
        </w:rPr>
        <w:t>3.会计基础信息完善性</w:t>
      </w:r>
    </w:p>
    <w:p w:rsidR="00080E97" w:rsidRDefault="000F4565">
      <w:r>
        <w:rPr>
          <w:rFonts w:hint="eastAsia"/>
        </w:rPr>
        <w:lastRenderedPageBreak/>
        <w:t>北京</w:t>
      </w:r>
      <w:proofErr w:type="gramStart"/>
      <w:r>
        <w:rPr>
          <w:rFonts w:hint="eastAsia"/>
        </w:rPr>
        <w:t>台严格</w:t>
      </w:r>
      <w:proofErr w:type="gramEnd"/>
      <w:r>
        <w:rPr>
          <w:rFonts w:hint="eastAsia"/>
        </w:rPr>
        <w:t>按照预算管理要求，规范设置会计账簿、科目和辅助核算项目，重视会计核算的准确性和完整性，评价过程中未发现数据错误、缺失等问题，基础数据信息和会计信息资料真实、完整、正确。</w:t>
      </w:r>
    </w:p>
    <w:p w:rsidR="00080E97" w:rsidRDefault="000F4565">
      <w:pPr>
        <w:pStyle w:val="2"/>
        <w:ind w:firstLine="640"/>
      </w:pPr>
      <w:bookmarkStart w:id="24" w:name="_Toc1258"/>
      <w:r>
        <w:rPr>
          <w:rFonts w:hint="eastAsia"/>
        </w:rPr>
        <w:t>（二）资产管理</w:t>
      </w:r>
      <w:bookmarkEnd w:id="24"/>
    </w:p>
    <w:p w:rsidR="00080E97" w:rsidRDefault="000F4565">
      <w:r>
        <w:rPr>
          <w:rFonts w:hint="eastAsia"/>
        </w:rPr>
        <w:t>2024年，北京台不断推进固定资产精细化管理：一是梳理形成《固定资产入账动态追踪概览》《固定资产入账业务标准化流程指南》两项操作指引文件，通过新增固定资产入账项目进程表、固定资产入账手续资料</w:t>
      </w:r>
      <w:proofErr w:type="gramStart"/>
      <w:r>
        <w:rPr>
          <w:rFonts w:hint="eastAsia"/>
        </w:rPr>
        <w:t>流转表</w:t>
      </w:r>
      <w:proofErr w:type="gramEnd"/>
      <w:r>
        <w:rPr>
          <w:rFonts w:hint="eastAsia"/>
        </w:rPr>
        <w:t>等流程表单，确保固定资产入账环节高度透明、全面可控。二是针对性开展北京卫视4K项目固定资产专项宣讲会，通过具体工作要求讲解，进一步明确责任分工，强化有关部门固定资产管理意识。三是全面开展固定资产盘点，2024年7—12月，按照《行政事业性国有资产管理条例》（</w:t>
      </w:r>
      <w:proofErr w:type="gramStart"/>
      <w:r>
        <w:rPr>
          <w:rFonts w:hint="eastAsia"/>
        </w:rPr>
        <w:t>国令第738号</w:t>
      </w:r>
      <w:proofErr w:type="gramEnd"/>
      <w:r>
        <w:rPr>
          <w:rFonts w:hint="eastAsia"/>
        </w:rPr>
        <w:t>）“各部门及其所属单位应当定期或者不定期对资产进行盘点、对账”要求，针对在用固定资产73770条，采取部门自盘、固定资产管理部实物抽盘的形式进行盘点，整体盘点情况良好。</w:t>
      </w:r>
    </w:p>
    <w:p w:rsidR="00080E97" w:rsidRDefault="000F4565">
      <w:pPr>
        <w:pStyle w:val="2"/>
        <w:ind w:firstLine="640"/>
      </w:pPr>
      <w:bookmarkStart w:id="25" w:name="_Toc23531"/>
      <w:r>
        <w:rPr>
          <w:rFonts w:hint="eastAsia"/>
        </w:rPr>
        <w:t>（三）绩效</w:t>
      </w:r>
      <w:r>
        <w:t>管理</w:t>
      </w:r>
      <w:bookmarkEnd w:id="25"/>
    </w:p>
    <w:p w:rsidR="00080E97" w:rsidRDefault="000F4565">
      <w:r>
        <w:rPr>
          <w:rFonts w:hint="eastAsia"/>
        </w:rPr>
        <w:t>2024年北京台根据北京市财政局相关要求开展了绩效目标编制、绩效运行监控、绩效自评等相关工作，各项工作开展情况</w:t>
      </w:r>
      <w:r>
        <w:rPr>
          <w:rFonts w:hint="eastAsia"/>
        </w:rPr>
        <w:lastRenderedPageBreak/>
        <w:t>如下：</w:t>
      </w:r>
    </w:p>
    <w:p w:rsidR="00080E97" w:rsidRDefault="000F4565">
      <w:r>
        <w:rPr>
          <w:rFonts w:hint="eastAsia"/>
        </w:rPr>
        <w:t>1.绩效目标编制</w:t>
      </w:r>
    </w:p>
    <w:p w:rsidR="00080E97" w:rsidRDefault="000F4565">
      <w:r>
        <w:rPr>
          <w:rFonts w:hint="eastAsia"/>
        </w:rPr>
        <w:t>北京台编制了部门整体绩效目标与北京国际电影节等5个项目绩效目标并</w:t>
      </w:r>
      <w:proofErr w:type="gramStart"/>
      <w:r>
        <w:rPr>
          <w:rFonts w:hint="eastAsia"/>
        </w:rPr>
        <w:t>随预算</w:t>
      </w:r>
      <w:proofErr w:type="gramEnd"/>
      <w:r>
        <w:rPr>
          <w:rFonts w:hint="eastAsia"/>
        </w:rPr>
        <w:t>公开，实现了预算公开项目绩效目标全覆盖，但编制质量有待提升：一是部分绩效指标表述不够规范。如部门整体绩效目标中质量指标“丰富8K内容形态，促进创新成果落地转化”，指标表述模糊，质量衡量标准不明确；北京榜样项目绩效指标中质量指标“在全市选树一批‘崇德向善 奋发向上’的榜样人物，充分发挥榜样的引领和示范效应，打造培育和</w:t>
      </w:r>
      <w:proofErr w:type="gramStart"/>
      <w:r>
        <w:rPr>
          <w:rFonts w:hint="eastAsia"/>
        </w:rPr>
        <w:t>践行</w:t>
      </w:r>
      <w:proofErr w:type="gramEnd"/>
      <w:r>
        <w:rPr>
          <w:rFonts w:hint="eastAsia"/>
        </w:rPr>
        <w:t>社会主义核心价值观的品牌活动”，指标表述不够精练，可衡量性较差；</w:t>
      </w:r>
      <w:proofErr w:type="gramStart"/>
      <w:r>
        <w:rPr>
          <w:rFonts w:hint="eastAsia"/>
        </w:rPr>
        <w:t>媒资音频</w:t>
      </w:r>
      <w:proofErr w:type="gramEnd"/>
      <w:r>
        <w:rPr>
          <w:rFonts w:hint="eastAsia"/>
        </w:rPr>
        <w:t>编目项目绩效指标中数量指标“2024年8—12月完成音频节目编目2825小时”，指标内容与指标值“≥2825小时”存在杂糅。二是个别绩效指标内容与指标分类不够匹配。“北京国际电影节”项目设置可持续影响指标“助力国产影片和新片的发展”，指标值“展映不少于100部国产影片，其中未公映的国产新片不低于10部”，绩效指标与指标值均未体现项目可持续影响作用。三是个别指标值设置不够合理。部门整体绩效目标中数量指标“按照宣传报道的总体要求，根据节栏目的性质和定位，拍摄相应素材并制作节目”，指标值“≥700000分钟”，实际完成2890672.2分钟，完成率达412.95%，指标值设</w:t>
      </w:r>
      <w:r>
        <w:rPr>
          <w:rFonts w:hint="eastAsia"/>
        </w:rPr>
        <w:lastRenderedPageBreak/>
        <w:t>置偏低。</w:t>
      </w:r>
    </w:p>
    <w:p w:rsidR="00080E97" w:rsidRDefault="000F4565">
      <w:r>
        <w:rPr>
          <w:rFonts w:hint="eastAsia"/>
        </w:rPr>
        <w:t>2.绩效运行监控</w:t>
      </w:r>
    </w:p>
    <w:p w:rsidR="00080E97" w:rsidRDefault="000F4565">
      <w:r>
        <w:rPr>
          <w:rFonts w:hint="eastAsia"/>
        </w:rPr>
        <w:t>北京台针对财政拨款项目全面开展绩效运行监控，各项目绩效运行监控表中“目前完成情况”填报清晰，“目标执行偏差原因分析及对策”总结规范、详细，完整呈现了资金使用与绩效指标完成情况。</w:t>
      </w:r>
    </w:p>
    <w:p w:rsidR="00080E97" w:rsidRDefault="000F4565">
      <w:r>
        <w:rPr>
          <w:rFonts w:hint="eastAsia"/>
        </w:rPr>
        <w:t>3.绩效评价</w:t>
      </w:r>
    </w:p>
    <w:p w:rsidR="00080E97" w:rsidRDefault="000F4565">
      <w:r>
        <w:rPr>
          <w:rFonts w:hint="eastAsia"/>
        </w:rPr>
        <w:t>北京台针对2023年度部门履职产出和效果实现情况，开展了部门整体绩效评价，评价得分94.78分，评价等级为优；</w:t>
      </w:r>
      <w:proofErr w:type="gramStart"/>
      <w:r>
        <w:rPr>
          <w:rFonts w:hint="eastAsia"/>
        </w:rPr>
        <w:t>对媒资</w:t>
      </w:r>
      <w:proofErr w:type="gramEnd"/>
      <w:r>
        <w:rPr>
          <w:rFonts w:hint="eastAsia"/>
        </w:rPr>
        <w:t>音频编目项目等10个项目开展了单位自评，自评结果平均91.13分，其中8个项目评价等级为优、2个项目评价等级为良；对北京榜样项目开展了部门评价，评价得分88.66分，评价等级为良。各项评价工作流程完整、分析深入，严格审查了资金挪用、超支等合</w:t>
      </w:r>
      <w:proofErr w:type="gramStart"/>
      <w:r>
        <w:rPr>
          <w:rFonts w:hint="eastAsia"/>
        </w:rPr>
        <w:t>规</w:t>
      </w:r>
      <w:proofErr w:type="gramEnd"/>
      <w:r>
        <w:rPr>
          <w:rFonts w:hint="eastAsia"/>
        </w:rPr>
        <w:t>性问题，动态监测了资产负债率、现金流状况、预算执行率等关键财务指标，有效防范了部门重大财务风险。</w:t>
      </w:r>
    </w:p>
    <w:p w:rsidR="00080E97" w:rsidRDefault="000F4565">
      <w:pPr>
        <w:pStyle w:val="2"/>
        <w:ind w:firstLine="640"/>
      </w:pPr>
      <w:bookmarkStart w:id="26" w:name="_Toc32048"/>
      <w:r>
        <w:rPr>
          <w:rFonts w:hint="eastAsia"/>
        </w:rPr>
        <w:t>（四）结转结余率</w:t>
      </w:r>
      <w:bookmarkEnd w:id="26"/>
    </w:p>
    <w:p w:rsidR="00080E97" w:rsidRDefault="000F4565">
      <w:r>
        <w:rPr>
          <w:rFonts w:hint="eastAsia"/>
        </w:rPr>
        <w:t>2024年北京台全年支出预算366545.80万元，年末结转结余资金299456.35万元，其中专用结余210519.84万元，非财政拨款结余49648.12万元，为保证与2023年结转结余统计口径一致性，剔除专用结余和非财政拨款结余共计260167.97万元，应为</w:t>
      </w:r>
      <w:r>
        <w:rPr>
          <w:rFonts w:hint="eastAsia"/>
        </w:rPr>
        <w:lastRenderedPageBreak/>
        <w:t>39288.38万元，资金结转结余率10.72%，主要由于2024年较2023年年末追加经费增加。</w:t>
      </w:r>
    </w:p>
    <w:p w:rsidR="00080E97" w:rsidRDefault="000F4565">
      <w:pPr>
        <w:pStyle w:val="2"/>
        <w:ind w:firstLine="640"/>
      </w:pPr>
      <w:bookmarkStart w:id="27" w:name="_Toc18742"/>
      <w:r>
        <w:rPr>
          <w:rFonts w:hint="eastAsia"/>
        </w:rPr>
        <w:t>（五）部门</w:t>
      </w:r>
      <w:r>
        <w:t>预决算差异率</w:t>
      </w:r>
      <w:bookmarkEnd w:id="27"/>
    </w:p>
    <w:p w:rsidR="00080E97" w:rsidRDefault="000F4565">
      <w:r>
        <w:rPr>
          <w:rFonts w:hint="eastAsia"/>
        </w:rPr>
        <w:t>2024年北京台年初预算352931.83万元，年度决算334483.09万元，部门预决算差异率为5.23%，预决算控制情况较好。</w:t>
      </w:r>
    </w:p>
    <w:p w:rsidR="00080E97" w:rsidRDefault="000F4565">
      <w:pPr>
        <w:pStyle w:val="1"/>
        <w:ind w:firstLine="640"/>
      </w:pPr>
      <w:bookmarkStart w:id="28" w:name="_Toc11668"/>
      <w:r>
        <w:rPr>
          <w:rFonts w:hint="eastAsia"/>
        </w:rPr>
        <w:t>五、总体</w:t>
      </w:r>
      <w:r>
        <w:t>评价结论</w:t>
      </w:r>
      <w:bookmarkStart w:id="29" w:name="_GoBack"/>
      <w:bookmarkEnd w:id="28"/>
      <w:bookmarkEnd w:id="29"/>
    </w:p>
    <w:p w:rsidR="00080E97" w:rsidRDefault="000F4565">
      <w:pPr>
        <w:pStyle w:val="2"/>
        <w:ind w:firstLine="640"/>
      </w:pPr>
      <w:bookmarkStart w:id="30" w:name="_Toc24408"/>
      <w:r>
        <w:rPr>
          <w:rFonts w:hint="eastAsia"/>
        </w:rPr>
        <w:t>（一）评价</w:t>
      </w:r>
      <w:r>
        <w:t>得分</w:t>
      </w:r>
      <w:r>
        <w:rPr>
          <w:rFonts w:hint="eastAsia"/>
        </w:rPr>
        <w:t>情况</w:t>
      </w:r>
      <w:bookmarkEnd w:id="30"/>
    </w:p>
    <w:p w:rsidR="00080E97" w:rsidRDefault="000F4565">
      <w:r>
        <w:rPr>
          <w:rFonts w:hint="eastAsia"/>
        </w:rPr>
        <w:t>北京台2024年部门整体绩效评价得分94.85分，综合评价等级为“优”，各部分得分情况如下表：</w:t>
      </w:r>
    </w:p>
    <w:p w:rsidR="00080E97" w:rsidRDefault="000F4565">
      <w:pPr>
        <w:ind w:firstLineChars="0" w:firstLine="0"/>
        <w:jc w:val="center"/>
        <w:rPr>
          <w:rFonts w:ascii="黑体" w:eastAsia="黑体" w:hAnsi="黑体" w:cs="黑体"/>
          <w:sz w:val="28"/>
          <w:szCs w:val="28"/>
        </w:rPr>
      </w:pPr>
      <w:r>
        <w:rPr>
          <w:rFonts w:ascii="黑体" w:eastAsia="黑体" w:hAnsi="黑体" w:cs="黑体" w:hint="eastAsia"/>
          <w:sz w:val="28"/>
          <w:szCs w:val="28"/>
        </w:rPr>
        <w:t>表3：北京台2024年部门整体绩效评价得分情况表</w:t>
      </w:r>
    </w:p>
    <w:tbl>
      <w:tblPr>
        <w:tblStyle w:val="ae"/>
        <w:tblW w:w="5000" w:type="pct"/>
        <w:tblLook w:val="04A0" w:firstRow="1" w:lastRow="0" w:firstColumn="1" w:lastColumn="0" w:noHBand="0" w:noVBand="1"/>
      </w:tblPr>
      <w:tblGrid>
        <w:gridCol w:w="2506"/>
        <w:gridCol w:w="1910"/>
        <w:gridCol w:w="2209"/>
        <w:gridCol w:w="2209"/>
      </w:tblGrid>
      <w:tr w:rsidR="00080E97">
        <w:trPr>
          <w:trHeight w:hRule="exact" w:val="454"/>
          <w:tblHeader/>
        </w:trPr>
        <w:tc>
          <w:tcPr>
            <w:tcW w:w="1418" w:type="pct"/>
            <w:shd w:val="clear" w:color="auto" w:fill="auto"/>
            <w:vAlign w:val="center"/>
          </w:tcPr>
          <w:p w:rsidR="00080E97" w:rsidRDefault="000F4565">
            <w:pPr>
              <w:widowControl/>
              <w:spacing w:line="240" w:lineRule="auto"/>
              <w:ind w:firstLineChars="0" w:firstLine="0"/>
              <w:jc w:val="center"/>
              <w:textAlignment w:val="center"/>
              <w:rPr>
                <w:rFonts w:ascii="宋体" w:eastAsia="宋体" w:hAnsi="宋体" w:cs="宋体"/>
                <w:sz w:val="21"/>
                <w:szCs w:val="21"/>
              </w:rPr>
            </w:pPr>
            <w:r>
              <w:rPr>
                <w:rFonts w:ascii="宋体" w:eastAsia="宋体" w:hAnsi="宋体" w:cs="宋体" w:hint="eastAsia"/>
                <w:b/>
                <w:bCs/>
                <w:color w:val="000000"/>
                <w:kern w:val="0"/>
                <w:sz w:val="21"/>
                <w:szCs w:val="21"/>
                <w:lang w:bidi="ar"/>
              </w:rPr>
              <w:t>一级指标</w:t>
            </w:r>
          </w:p>
        </w:tc>
        <w:tc>
          <w:tcPr>
            <w:tcW w:w="1081" w:type="pct"/>
            <w:shd w:val="clear" w:color="auto" w:fill="auto"/>
            <w:vAlign w:val="center"/>
          </w:tcPr>
          <w:p w:rsidR="00080E97" w:rsidRDefault="000F4565">
            <w:pPr>
              <w:widowControl/>
              <w:spacing w:line="240" w:lineRule="auto"/>
              <w:ind w:firstLineChars="0" w:firstLine="0"/>
              <w:jc w:val="center"/>
              <w:textAlignment w:val="center"/>
              <w:rPr>
                <w:rFonts w:ascii="宋体" w:eastAsia="宋体" w:hAnsi="宋体" w:cs="宋体"/>
                <w:sz w:val="21"/>
                <w:szCs w:val="21"/>
              </w:rPr>
            </w:pPr>
            <w:r>
              <w:rPr>
                <w:rFonts w:ascii="宋体" w:eastAsia="宋体" w:hAnsi="宋体" w:cs="宋体" w:hint="eastAsia"/>
                <w:b/>
                <w:bCs/>
                <w:color w:val="000000"/>
                <w:kern w:val="0"/>
                <w:sz w:val="21"/>
                <w:szCs w:val="21"/>
                <w:lang w:bidi="ar"/>
              </w:rPr>
              <w:t>分值</w:t>
            </w:r>
          </w:p>
        </w:tc>
        <w:tc>
          <w:tcPr>
            <w:tcW w:w="1250" w:type="pct"/>
            <w:shd w:val="clear" w:color="auto" w:fill="auto"/>
            <w:vAlign w:val="center"/>
          </w:tcPr>
          <w:p w:rsidR="00080E97" w:rsidRDefault="000F4565">
            <w:pPr>
              <w:widowControl/>
              <w:spacing w:line="240" w:lineRule="auto"/>
              <w:ind w:firstLineChars="0" w:firstLine="0"/>
              <w:jc w:val="center"/>
              <w:textAlignment w:val="center"/>
              <w:rPr>
                <w:rFonts w:ascii="宋体" w:eastAsia="宋体" w:hAnsi="宋体" w:cs="宋体"/>
                <w:sz w:val="21"/>
                <w:szCs w:val="21"/>
              </w:rPr>
            </w:pPr>
            <w:r>
              <w:rPr>
                <w:rFonts w:ascii="宋体" w:eastAsia="宋体" w:hAnsi="宋体" w:cs="宋体" w:hint="eastAsia"/>
                <w:b/>
                <w:bCs/>
                <w:color w:val="000000"/>
                <w:kern w:val="0"/>
                <w:sz w:val="21"/>
                <w:szCs w:val="21"/>
                <w:lang w:bidi="ar"/>
              </w:rPr>
              <w:t>得分</w:t>
            </w:r>
          </w:p>
        </w:tc>
        <w:tc>
          <w:tcPr>
            <w:tcW w:w="1250" w:type="pct"/>
            <w:shd w:val="clear" w:color="auto" w:fill="auto"/>
            <w:vAlign w:val="center"/>
          </w:tcPr>
          <w:p w:rsidR="00080E97" w:rsidRDefault="000F4565">
            <w:pPr>
              <w:widowControl/>
              <w:spacing w:line="240" w:lineRule="auto"/>
              <w:ind w:firstLineChars="0" w:firstLine="0"/>
              <w:jc w:val="center"/>
              <w:textAlignment w:val="center"/>
              <w:rPr>
                <w:rFonts w:ascii="宋体" w:eastAsia="宋体" w:hAnsi="宋体" w:cs="宋体"/>
                <w:sz w:val="21"/>
                <w:szCs w:val="21"/>
              </w:rPr>
            </w:pPr>
            <w:r>
              <w:rPr>
                <w:rFonts w:ascii="宋体" w:eastAsia="宋体" w:hAnsi="宋体" w:cs="宋体" w:hint="eastAsia"/>
                <w:b/>
                <w:bCs/>
                <w:color w:val="000000"/>
                <w:kern w:val="0"/>
                <w:sz w:val="21"/>
                <w:szCs w:val="21"/>
                <w:lang w:bidi="ar"/>
              </w:rPr>
              <w:t>得分率</w:t>
            </w:r>
          </w:p>
        </w:tc>
      </w:tr>
      <w:tr w:rsidR="00080E97">
        <w:trPr>
          <w:trHeight w:hRule="exact" w:val="454"/>
        </w:trPr>
        <w:tc>
          <w:tcPr>
            <w:tcW w:w="1418" w:type="pct"/>
            <w:vAlign w:val="center"/>
          </w:tcPr>
          <w:p w:rsidR="00080E97" w:rsidRDefault="000F4565">
            <w:pPr>
              <w:widowControl/>
              <w:spacing w:line="240" w:lineRule="auto"/>
              <w:ind w:firstLineChars="0" w:firstLine="0"/>
              <w:jc w:val="center"/>
              <w:textAlignment w:val="top"/>
              <w:rPr>
                <w:rFonts w:ascii="宋体" w:eastAsia="宋体" w:hAnsi="宋体" w:cs="宋体"/>
                <w:sz w:val="21"/>
                <w:szCs w:val="21"/>
              </w:rPr>
            </w:pPr>
            <w:r>
              <w:rPr>
                <w:rFonts w:ascii="宋体" w:eastAsia="宋体" w:hAnsi="宋体" w:cs="宋体" w:hint="eastAsia"/>
                <w:color w:val="000000"/>
                <w:kern w:val="0"/>
                <w:sz w:val="21"/>
                <w:szCs w:val="21"/>
                <w:lang w:bidi="ar"/>
              </w:rPr>
              <w:t>当年预算执行情况</w:t>
            </w:r>
          </w:p>
        </w:tc>
        <w:tc>
          <w:tcPr>
            <w:tcW w:w="1081" w:type="pct"/>
            <w:vAlign w:val="center"/>
          </w:tcPr>
          <w:p w:rsidR="00080E97" w:rsidRDefault="000F4565">
            <w:pPr>
              <w:widowControl/>
              <w:spacing w:line="240" w:lineRule="auto"/>
              <w:ind w:firstLineChars="0" w:firstLine="0"/>
              <w:jc w:val="center"/>
              <w:textAlignment w:val="top"/>
              <w:rPr>
                <w:rFonts w:ascii="宋体" w:eastAsia="宋体" w:hAnsi="宋体" w:cs="宋体"/>
                <w:sz w:val="21"/>
                <w:szCs w:val="21"/>
              </w:rPr>
            </w:pPr>
            <w:r>
              <w:rPr>
                <w:rFonts w:ascii="宋体" w:eastAsia="宋体" w:hAnsi="宋体" w:cs="宋体" w:hint="eastAsia"/>
                <w:color w:val="000000"/>
                <w:kern w:val="0"/>
                <w:sz w:val="21"/>
                <w:szCs w:val="21"/>
                <w:lang w:bidi="ar"/>
              </w:rPr>
              <w:t>20.00</w:t>
            </w:r>
          </w:p>
        </w:tc>
        <w:tc>
          <w:tcPr>
            <w:tcW w:w="1250" w:type="pct"/>
            <w:vAlign w:val="center"/>
          </w:tcPr>
          <w:p w:rsidR="00080E97" w:rsidRDefault="000F4565">
            <w:pPr>
              <w:widowControl/>
              <w:spacing w:line="240" w:lineRule="auto"/>
              <w:ind w:firstLineChars="0" w:firstLine="0"/>
              <w:jc w:val="center"/>
              <w:textAlignment w:val="top"/>
              <w:rPr>
                <w:rFonts w:ascii="宋体" w:eastAsia="宋体" w:hAnsi="宋体" w:cs="宋体"/>
                <w:sz w:val="21"/>
                <w:szCs w:val="21"/>
              </w:rPr>
            </w:pPr>
            <w:r>
              <w:rPr>
                <w:rFonts w:ascii="宋体" w:eastAsia="宋体" w:hAnsi="宋体" w:cs="宋体" w:hint="eastAsia"/>
                <w:color w:val="000000"/>
                <w:kern w:val="0"/>
                <w:sz w:val="21"/>
                <w:szCs w:val="21"/>
                <w:lang w:bidi="ar"/>
              </w:rPr>
              <w:t>18.25</w:t>
            </w:r>
          </w:p>
        </w:tc>
        <w:tc>
          <w:tcPr>
            <w:tcW w:w="1250" w:type="pct"/>
            <w:vAlign w:val="center"/>
          </w:tcPr>
          <w:p w:rsidR="00080E97" w:rsidRDefault="000F4565">
            <w:pPr>
              <w:widowControl/>
              <w:spacing w:line="240" w:lineRule="auto"/>
              <w:ind w:firstLineChars="0" w:firstLine="0"/>
              <w:jc w:val="center"/>
              <w:textAlignment w:val="top"/>
              <w:rPr>
                <w:rFonts w:ascii="宋体" w:eastAsia="宋体" w:hAnsi="宋体" w:cs="宋体"/>
                <w:sz w:val="21"/>
                <w:szCs w:val="21"/>
              </w:rPr>
            </w:pPr>
            <w:r>
              <w:rPr>
                <w:rFonts w:ascii="宋体" w:eastAsia="宋体" w:hAnsi="宋体" w:cs="宋体" w:hint="eastAsia"/>
                <w:color w:val="000000"/>
                <w:kern w:val="0"/>
                <w:sz w:val="21"/>
                <w:szCs w:val="21"/>
                <w:lang w:bidi="ar"/>
              </w:rPr>
              <w:t>91.25%</w:t>
            </w:r>
          </w:p>
        </w:tc>
      </w:tr>
      <w:tr w:rsidR="00080E97">
        <w:trPr>
          <w:trHeight w:hRule="exact" w:val="454"/>
        </w:trPr>
        <w:tc>
          <w:tcPr>
            <w:tcW w:w="1418" w:type="pct"/>
            <w:vAlign w:val="center"/>
          </w:tcPr>
          <w:p w:rsidR="00080E97" w:rsidRDefault="000F4565">
            <w:pPr>
              <w:widowControl/>
              <w:spacing w:line="240" w:lineRule="auto"/>
              <w:ind w:firstLineChars="0" w:firstLine="0"/>
              <w:jc w:val="center"/>
              <w:textAlignment w:val="top"/>
              <w:rPr>
                <w:rFonts w:ascii="宋体" w:eastAsia="宋体" w:hAnsi="宋体" w:cs="宋体"/>
                <w:sz w:val="21"/>
                <w:szCs w:val="21"/>
              </w:rPr>
            </w:pPr>
            <w:r>
              <w:rPr>
                <w:rFonts w:ascii="宋体" w:eastAsia="宋体" w:hAnsi="宋体" w:cs="宋体" w:hint="eastAsia"/>
                <w:color w:val="000000"/>
                <w:kern w:val="0"/>
                <w:sz w:val="21"/>
                <w:szCs w:val="21"/>
                <w:lang w:bidi="ar"/>
              </w:rPr>
              <w:t>整体绩效目标实现情况</w:t>
            </w:r>
          </w:p>
        </w:tc>
        <w:tc>
          <w:tcPr>
            <w:tcW w:w="1081" w:type="pct"/>
            <w:vAlign w:val="center"/>
          </w:tcPr>
          <w:p w:rsidR="00080E97" w:rsidRDefault="000F4565">
            <w:pPr>
              <w:widowControl/>
              <w:spacing w:line="240" w:lineRule="auto"/>
              <w:ind w:firstLineChars="0" w:firstLine="0"/>
              <w:jc w:val="center"/>
              <w:textAlignment w:val="top"/>
              <w:rPr>
                <w:rFonts w:ascii="宋体" w:eastAsia="宋体" w:hAnsi="宋体" w:cs="宋体"/>
                <w:sz w:val="21"/>
                <w:szCs w:val="21"/>
              </w:rPr>
            </w:pPr>
            <w:r>
              <w:rPr>
                <w:rFonts w:ascii="宋体" w:eastAsia="宋体" w:hAnsi="宋体" w:cs="宋体" w:hint="eastAsia"/>
                <w:color w:val="000000"/>
                <w:kern w:val="0"/>
                <w:sz w:val="21"/>
                <w:szCs w:val="21"/>
                <w:lang w:bidi="ar"/>
              </w:rPr>
              <w:t>60.00</w:t>
            </w:r>
          </w:p>
        </w:tc>
        <w:tc>
          <w:tcPr>
            <w:tcW w:w="1250" w:type="pct"/>
            <w:vAlign w:val="center"/>
          </w:tcPr>
          <w:p w:rsidR="00080E97" w:rsidRDefault="000F4565">
            <w:pPr>
              <w:widowControl/>
              <w:spacing w:line="240" w:lineRule="auto"/>
              <w:ind w:firstLineChars="0" w:firstLine="0"/>
              <w:jc w:val="center"/>
              <w:textAlignment w:val="top"/>
              <w:rPr>
                <w:rFonts w:ascii="宋体" w:eastAsia="宋体" w:hAnsi="宋体" w:cs="宋体"/>
                <w:sz w:val="21"/>
                <w:szCs w:val="21"/>
              </w:rPr>
            </w:pPr>
            <w:r>
              <w:rPr>
                <w:rFonts w:ascii="宋体" w:eastAsia="宋体" w:hAnsi="宋体" w:cs="宋体" w:hint="eastAsia"/>
                <w:color w:val="000000"/>
                <w:kern w:val="0"/>
                <w:sz w:val="21"/>
                <w:szCs w:val="21"/>
                <w:lang w:bidi="ar"/>
              </w:rPr>
              <w:t>58.20</w:t>
            </w:r>
          </w:p>
        </w:tc>
        <w:tc>
          <w:tcPr>
            <w:tcW w:w="1250" w:type="pct"/>
            <w:vAlign w:val="center"/>
          </w:tcPr>
          <w:p w:rsidR="00080E97" w:rsidRDefault="000F4565">
            <w:pPr>
              <w:widowControl/>
              <w:spacing w:line="240" w:lineRule="auto"/>
              <w:ind w:firstLineChars="0" w:firstLine="0"/>
              <w:jc w:val="center"/>
              <w:textAlignment w:val="top"/>
              <w:rPr>
                <w:rFonts w:ascii="宋体" w:eastAsia="宋体" w:hAnsi="宋体" w:cs="宋体"/>
                <w:sz w:val="21"/>
                <w:szCs w:val="21"/>
              </w:rPr>
            </w:pPr>
            <w:r>
              <w:rPr>
                <w:rFonts w:ascii="宋体" w:eastAsia="宋体" w:hAnsi="宋体" w:cs="宋体" w:hint="eastAsia"/>
                <w:color w:val="000000"/>
                <w:kern w:val="0"/>
                <w:sz w:val="21"/>
                <w:szCs w:val="21"/>
                <w:lang w:bidi="ar"/>
              </w:rPr>
              <w:t>97.00%</w:t>
            </w:r>
          </w:p>
        </w:tc>
      </w:tr>
      <w:tr w:rsidR="00080E97">
        <w:trPr>
          <w:trHeight w:hRule="exact" w:val="454"/>
        </w:trPr>
        <w:tc>
          <w:tcPr>
            <w:tcW w:w="1418" w:type="pct"/>
            <w:vAlign w:val="center"/>
          </w:tcPr>
          <w:p w:rsidR="00080E97" w:rsidRDefault="000F4565">
            <w:pPr>
              <w:widowControl/>
              <w:spacing w:line="240" w:lineRule="auto"/>
              <w:ind w:firstLineChars="0" w:firstLine="0"/>
              <w:jc w:val="center"/>
              <w:textAlignment w:val="top"/>
              <w:rPr>
                <w:rFonts w:ascii="宋体" w:eastAsia="宋体" w:hAnsi="宋体" w:cs="宋体"/>
                <w:sz w:val="21"/>
                <w:szCs w:val="21"/>
              </w:rPr>
            </w:pPr>
            <w:r>
              <w:rPr>
                <w:rFonts w:ascii="宋体" w:eastAsia="宋体" w:hAnsi="宋体" w:cs="宋体" w:hint="eastAsia"/>
                <w:color w:val="000000"/>
                <w:kern w:val="0"/>
                <w:sz w:val="21"/>
                <w:szCs w:val="21"/>
                <w:lang w:bidi="ar"/>
              </w:rPr>
              <w:t>预算管理情况</w:t>
            </w:r>
          </w:p>
        </w:tc>
        <w:tc>
          <w:tcPr>
            <w:tcW w:w="1081" w:type="pct"/>
            <w:vAlign w:val="center"/>
          </w:tcPr>
          <w:p w:rsidR="00080E97" w:rsidRDefault="000F4565">
            <w:pPr>
              <w:widowControl/>
              <w:spacing w:line="240" w:lineRule="auto"/>
              <w:ind w:firstLineChars="0" w:firstLine="0"/>
              <w:jc w:val="center"/>
              <w:textAlignment w:val="top"/>
              <w:rPr>
                <w:rFonts w:ascii="宋体" w:eastAsia="宋体" w:hAnsi="宋体" w:cs="宋体"/>
                <w:sz w:val="21"/>
                <w:szCs w:val="21"/>
              </w:rPr>
            </w:pPr>
            <w:r>
              <w:rPr>
                <w:rFonts w:ascii="宋体" w:eastAsia="宋体" w:hAnsi="宋体" w:cs="宋体" w:hint="eastAsia"/>
                <w:color w:val="000000"/>
                <w:kern w:val="0"/>
                <w:sz w:val="21"/>
                <w:szCs w:val="21"/>
                <w:lang w:bidi="ar"/>
              </w:rPr>
              <w:t>20.00</w:t>
            </w:r>
          </w:p>
        </w:tc>
        <w:tc>
          <w:tcPr>
            <w:tcW w:w="2131" w:type="dxa"/>
            <w:vAlign w:val="center"/>
          </w:tcPr>
          <w:p w:rsidR="00080E97" w:rsidRDefault="000F4565">
            <w:pPr>
              <w:widowControl/>
              <w:spacing w:line="240" w:lineRule="auto"/>
              <w:ind w:firstLineChars="0" w:firstLine="0"/>
              <w:jc w:val="center"/>
              <w:textAlignment w:val="top"/>
              <w:rPr>
                <w:rFonts w:ascii="宋体" w:eastAsia="宋体" w:hAnsi="宋体" w:cs="宋体"/>
                <w:sz w:val="21"/>
                <w:szCs w:val="21"/>
              </w:rPr>
            </w:pPr>
            <w:r>
              <w:rPr>
                <w:rFonts w:ascii="宋体" w:eastAsia="宋体" w:hAnsi="宋体" w:cs="宋体" w:hint="eastAsia"/>
                <w:color w:val="000000"/>
                <w:kern w:val="0"/>
                <w:sz w:val="21"/>
                <w:szCs w:val="21"/>
                <w:lang w:bidi="ar"/>
              </w:rPr>
              <w:t>18.40</w:t>
            </w:r>
          </w:p>
        </w:tc>
        <w:tc>
          <w:tcPr>
            <w:tcW w:w="2131" w:type="dxa"/>
            <w:vAlign w:val="center"/>
          </w:tcPr>
          <w:p w:rsidR="00080E97" w:rsidRDefault="000F4565">
            <w:pPr>
              <w:widowControl/>
              <w:spacing w:line="240" w:lineRule="auto"/>
              <w:ind w:firstLineChars="0" w:firstLine="0"/>
              <w:jc w:val="center"/>
              <w:textAlignment w:val="top"/>
              <w:rPr>
                <w:rFonts w:ascii="宋体" w:eastAsia="宋体" w:hAnsi="宋体" w:cs="宋体"/>
                <w:sz w:val="21"/>
                <w:szCs w:val="21"/>
              </w:rPr>
            </w:pPr>
            <w:r>
              <w:rPr>
                <w:rFonts w:ascii="宋体" w:eastAsia="宋体" w:hAnsi="宋体" w:cs="宋体" w:hint="eastAsia"/>
                <w:color w:val="000000"/>
                <w:kern w:val="0"/>
                <w:sz w:val="21"/>
                <w:szCs w:val="21"/>
                <w:lang w:bidi="ar"/>
              </w:rPr>
              <w:t>92.00%</w:t>
            </w:r>
          </w:p>
        </w:tc>
      </w:tr>
      <w:tr w:rsidR="00080E97">
        <w:trPr>
          <w:trHeight w:hRule="exact" w:val="454"/>
        </w:trPr>
        <w:tc>
          <w:tcPr>
            <w:tcW w:w="1418" w:type="pct"/>
            <w:vAlign w:val="center"/>
          </w:tcPr>
          <w:p w:rsidR="00080E97" w:rsidRDefault="000F4565">
            <w:pPr>
              <w:widowControl/>
              <w:spacing w:line="240" w:lineRule="auto"/>
              <w:ind w:firstLineChars="0" w:firstLine="0"/>
              <w:jc w:val="center"/>
              <w:textAlignment w:val="top"/>
              <w:rPr>
                <w:rFonts w:ascii="宋体" w:eastAsia="宋体" w:hAnsi="宋体" w:cs="宋体"/>
                <w:b/>
                <w:bCs/>
                <w:sz w:val="21"/>
                <w:szCs w:val="21"/>
              </w:rPr>
            </w:pPr>
            <w:r>
              <w:rPr>
                <w:rFonts w:ascii="宋体" w:eastAsia="宋体" w:hAnsi="宋体" w:cs="宋体" w:hint="eastAsia"/>
                <w:b/>
                <w:bCs/>
                <w:color w:val="000000"/>
                <w:kern w:val="0"/>
                <w:sz w:val="21"/>
                <w:szCs w:val="21"/>
                <w:lang w:bidi="ar"/>
              </w:rPr>
              <w:t>合计</w:t>
            </w:r>
          </w:p>
        </w:tc>
        <w:tc>
          <w:tcPr>
            <w:tcW w:w="1081" w:type="pct"/>
            <w:vAlign w:val="center"/>
          </w:tcPr>
          <w:p w:rsidR="00080E97" w:rsidRDefault="000F4565">
            <w:pPr>
              <w:widowControl/>
              <w:spacing w:line="240" w:lineRule="auto"/>
              <w:ind w:firstLineChars="0" w:firstLine="0"/>
              <w:jc w:val="center"/>
              <w:textAlignment w:val="top"/>
              <w:rPr>
                <w:rFonts w:ascii="宋体" w:eastAsia="宋体" w:hAnsi="宋体" w:cs="宋体"/>
                <w:b/>
                <w:bCs/>
                <w:sz w:val="21"/>
                <w:szCs w:val="21"/>
              </w:rPr>
            </w:pPr>
            <w:r>
              <w:rPr>
                <w:rFonts w:ascii="宋体" w:eastAsia="宋体" w:hAnsi="宋体" w:cs="宋体" w:hint="eastAsia"/>
                <w:b/>
                <w:bCs/>
                <w:color w:val="000000"/>
                <w:kern w:val="0"/>
                <w:sz w:val="21"/>
                <w:szCs w:val="21"/>
                <w:lang w:bidi="ar"/>
              </w:rPr>
              <w:t>100.00</w:t>
            </w:r>
          </w:p>
        </w:tc>
        <w:tc>
          <w:tcPr>
            <w:tcW w:w="2131" w:type="dxa"/>
            <w:vAlign w:val="center"/>
          </w:tcPr>
          <w:p w:rsidR="00080E97" w:rsidRDefault="000F4565">
            <w:pPr>
              <w:widowControl/>
              <w:spacing w:line="240" w:lineRule="auto"/>
              <w:ind w:firstLineChars="0" w:firstLine="0"/>
              <w:jc w:val="center"/>
              <w:textAlignment w:val="top"/>
              <w:rPr>
                <w:rFonts w:ascii="宋体" w:eastAsia="宋体" w:hAnsi="宋体" w:cs="宋体"/>
                <w:b/>
                <w:bCs/>
                <w:sz w:val="21"/>
                <w:szCs w:val="21"/>
              </w:rPr>
            </w:pPr>
            <w:r>
              <w:rPr>
                <w:rFonts w:ascii="宋体" w:eastAsia="宋体" w:hAnsi="宋体" w:cs="宋体" w:hint="eastAsia"/>
                <w:b/>
                <w:bCs/>
                <w:color w:val="000000"/>
                <w:kern w:val="0"/>
                <w:sz w:val="21"/>
                <w:szCs w:val="21"/>
                <w:lang w:bidi="ar"/>
              </w:rPr>
              <w:t>94.85</w:t>
            </w:r>
          </w:p>
        </w:tc>
        <w:tc>
          <w:tcPr>
            <w:tcW w:w="2131" w:type="dxa"/>
            <w:vAlign w:val="center"/>
          </w:tcPr>
          <w:p w:rsidR="00080E97" w:rsidRDefault="000F4565">
            <w:pPr>
              <w:widowControl/>
              <w:spacing w:line="240" w:lineRule="auto"/>
              <w:ind w:firstLineChars="0" w:firstLine="0"/>
              <w:jc w:val="center"/>
              <w:textAlignment w:val="top"/>
              <w:rPr>
                <w:rFonts w:ascii="宋体" w:eastAsia="宋体" w:hAnsi="宋体" w:cs="宋体"/>
                <w:b/>
                <w:bCs/>
                <w:sz w:val="21"/>
                <w:szCs w:val="21"/>
              </w:rPr>
            </w:pPr>
            <w:r>
              <w:rPr>
                <w:rFonts w:ascii="宋体" w:eastAsia="宋体" w:hAnsi="宋体" w:cs="宋体" w:hint="eastAsia"/>
                <w:b/>
                <w:bCs/>
                <w:color w:val="000000"/>
                <w:kern w:val="0"/>
                <w:sz w:val="21"/>
                <w:szCs w:val="21"/>
                <w:lang w:bidi="ar"/>
              </w:rPr>
              <w:t>94.85%</w:t>
            </w:r>
          </w:p>
        </w:tc>
      </w:tr>
    </w:tbl>
    <w:p w:rsidR="00080E97" w:rsidRDefault="00080E97"/>
    <w:p w:rsidR="00080E97" w:rsidRDefault="000F4565">
      <w:pPr>
        <w:pStyle w:val="2"/>
        <w:ind w:firstLine="640"/>
      </w:pPr>
      <w:bookmarkStart w:id="31" w:name="_Toc17632"/>
      <w:r>
        <w:rPr>
          <w:rFonts w:hint="eastAsia"/>
        </w:rPr>
        <w:t>（二）存在的问题及原因分析</w:t>
      </w:r>
      <w:bookmarkEnd w:id="31"/>
    </w:p>
    <w:p w:rsidR="00080E97" w:rsidRDefault="000F4565">
      <w:r>
        <w:rPr>
          <w:rFonts w:hint="eastAsia"/>
        </w:rPr>
        <w:t>1.部分绩效指标设置不够规范，个别指标值合理性不足</w:t>
      </w:r>
    </w:p>
    <w:p w:rsidR="00080E97" w:rsidRDefault="000F4565">
      <w:r>
        <w:rPr>
          <w:rFonts w:hint="eastAsia"/>
        </w:rPr>
        <w:t>一是部分指标表述缺乏明确性和</w:t>
      </w:r>
      <w:proofErr w:type="gramStart"/>
      <w:r>
        <w:rPr>
          <w:rFonts w:hint="eastAsia"/>
        </w:rPr>
        <w:t>可</w:t>
      </w:r>
      <w:proofErr w:type="gramEnd"/>
      <w:r>
        <w:rPr>
          <w:rFonts w:hint="eastAsia"/>
        </w:rPr>
        <w:t>衡量性，未能完整呈现项目主要产出与核心效果。二是个别指标归类错误，三级指标内容与二级指标分类不匹配。三是个别指标值设置偏低，实际完成值较目标值偏差过大。</w:t>
      </w:r>
    </w:p>
    <w:p w:rsidR="00080E97" w:rsidRDefault="000F4565">
      <w:r>
        <w:rPr>
          <w:rFonts w:hint="eastAsia"/>
        </w:rPr>
        <w:lastRenderedPageBreak/>
        <w:t>2.新媒体账号建设等履职成效仍有提升空间，个别项目实施满意度反馈有所下降</w:t>
      </w:r>
    </w:p>
    <w:p w:rsidR="00080E97" w:rsidRDefault="000F4565">
      <w:r>
        <w:rPr>
          <w:rFonts w:hint="eastAsia"/>
        </w:rPr>
        <w:t>一是重点账号建设集中在抖音、</w:t>
      </w:r>
      <w:proofErr w:type="gramStart"/>
      <w:r>
        <w:rPr>
          <w:rFonts w:hint="eastAsia"/>
        </w:rPr>
        <w:t>微博两个</w:t>
      </w:r>
      <w:proofErr w:type="gramEnd"/>
      <w:r>
        <w:rPr>
          <w:rFonts w:hint="eastAsia"/>
        </w:rPr>
        <w:t>平台，在小红书等平台账号建设仍需加强。二是交通广播、北京电台在北京广播市场份额较2023年度均有下降，第十四届北京国际电影节项目观众满意度较十三届降低0.65分。三是AIGC技术与全台工作结合方面的全流程全系统应用模式仍需进一步完善。</w:t>
      </w:r>
    </w:p>
    <w:p w:rsidR="00080E97" w:rsidRDefault="000F4565">
      <w:pPr>
        <w:pStyle w:val="1"/>
        <w:ind w:firstLine="640"/>
      </w:pPr>
      <w:bookmarkStart w:id="32" w:name="_Toc7551"/>
      <w:r>
        <w:rPr>
          <w:rFonts w:hint="eastAsia"/>
        </w:rPr>
        <w:t>六、措施建议</w:t>
      </w:r>
      <w:bookmarkEnd w:id="32"/>
    </w:p>
    <w:p w:rsidR="00080E97" w:rsidRDefault="000F4565">
      <w:pPr>
        <w:pStyle w:val="2"/>
        <w:ind w:firstLine="640"/>
      </w:pPr>
      <w:bookmarkStart w:id="33" w:name="_Toc19180"/>
      <w:r>
        <w:rPr>
          <w:rFonts w:hint="eastAsia"/>
        </w:rPr>
        <w:t>（一）</w:t>
      </w:r>
      <w:bookmarkEnd w:id="33"/>
      <w:r>
        <w:rPr>
          <w:rFonts w:hint="eastAsia"/>
        </w:rPr>
        <w:t>优化绩效目标编制，科学设置绩效指标与指标值</w:t>
      </w:r>
    </w:p>
    <w:p w:rsidR="00080E97" w:rsidRDefault="000F4565">
      <w:r>
        <w:rPr>
          <w:rFonts w:hint="eastAsia"/>
        </w:rPr>
        <w:t>建议北京台一是全面梳理工作相关产出与成效，提炼简洁明确的三级指标名称，如绩效指标“2024年8—12月完成音频节目编目2825小时”可调整表述为“8—12月音频节目编目时长”。二是精准定位工作质量标准、可持续影响等指标性质，如可持续影响指标应反映相关产出带来影响的可持续期限，设置“项目持续发挥作用的期限”“对本行业未来可持续发展的影响”等相关类型指标。三是依据或参考计划标准、行业标准、历史标准或行业主管部门认可的其他标准合理设置指标值，在考虑可实现性的基础上尽量从严、从高，充分发挥绩效目标对预算编制执行的引导约束和控制作用。</w:t>
      </w:r>
    </w:p>
    <w:p w:rsidR="00080E97" w:rsidRDefault="000F4565">
      <w:pPr>
        <w:pStyle w:val="2"/>
        <w:ind w:firstLine="640"/>
      </w:pPr>
      <w:bookmarkStart w:id="34" w:name="_Toc25596"/>
      <w:r>
        <w:rPr>
          <w:rFonts w:hint="eastAsia"/>
        </w:rPr>
        <w:lastRenderedPageBreak/>
        <w:t>（二</w:t>
      </w:r>
      <w:bookmarkEnd w:id="34"/>
      <w:r>
        <w:rPr>
          <w:rFonts w:hint="eastAsia"/>
        </w:rPr>
        <w:t>）多维优化提质增效，赋能智慧传播</w:t>
      </w:r>
    </w:p>
    <w:p w:rsidR="00080E97" w:rsidRDefault="000F4565">
      <w:r>
        <w:rPr>
          <w:rFonts w:hint="eastAsia"/>
        </w:rPr>
        <w:t>建议北京台一是优化新媒体矩阵布局，在巩固抖音、</w:t>
      </w:r>
      <w:proofErr w:type="gramStart"/>
      <w:r>
        <w:rPr>
          <w:rFonts w:hint="eastAsia"/>
        </w:rPr>
        <w:t>微博等</w:t>
      </w:r>
      <w:proofErr w:type="gramEnd"/>
      <w:r>
        <w:rPr>
          <w:rFonts w:hint="eastAsia"/>
        </w:rPr>
        <w:t>头部平台优势基础上，匹配平台用户画像与内容调性，制定差异化运营策略，加快小红书、B站等新兴平台账号建设，强化平台协同效应。二是持续深化内容供给侧改革，精准</w:t>
      </w:r>
      <w:proofErr w:type="gramStart"/>
      <w:r>
        <w:rPr>
          <w:rFonts w:hint="eastAsia"/>
        </w:rPr>
        <w:t>识别受</w:t>
      </w:r>
      <w:proofErr w:type="gramEnd"/>
      <w:r>
        <w:rPr>
          <w:rFonts w:hint="eastAsia"/>
        </w:rPr>
        <w:t>众需求变化，从节目时段编排与互动形式等维度不断提质升级，同时结合年度活动满意度反馈，横向对比分析北京国际电影节观众满意度下降原因并在以后工作开展中予以改进。三是继续深化AIGC技术全流程应用，从“策划—生产—分发—监测”等工作链条</w:t>
      </w:r>
      <w:proofErr w:type="gramStart"/>
      <w:r>
        <w:rPr>
          <w:rFonts w:hint="eastAsia"/>
        </w:rPr>
        <w:t>研判可</w:t>
      </w:r>
      <w:proofErr w:type="gramEnd"/>
      <w:r>
        <w:rPr>
          <w:rFonts w:hint="eastAsia"/>
        </w:rPr>
        <w:t>应用场景，进一步提升技术应用覆盖率，提高工作效能。</w:t>
      </w:r>
    </w:p>
    <w:p w:rsidR="00080E97" w:rsidRDefault="000F4565">
      <w:pPr>
        <w:pStyle w:val="1"/>
        <w:ind w:firstLine="640"/>
      </w:pPr>
      <w:bookmarkStart w:id="35" w:name="_Toc7989"/>
      <w:bookmarkStart w:id="36" w:name="_Toc103006301"/>
      <w:r>
        <w:rPr>
          <w:rFonts w:hint="eastAsia"/>
        </w:rPr>
        <w:t>七、附件</w:t>
      </w:r>
      <w:bookmarkEnd w:id="35"/>
      <w:bookmarkEnd w:id="36"/>
    </w:p>
    <w:p w:rsidR="00080E97" w:rsidRDefault="000F4565">
      <w:r>
        <w:rPr>
          <w:rFonts w:hint="eastAsia"/>
        </w:rPr>
        <w:t>北京广播电视台2024年部门整体绩效评价指标体系评分表</w:t>
      </w:r>
    </w:p>
    <w:p w:rsidR="00080E97" w:rsidRDefault="00080E97"/>
    <w:p w:rsidR="00080E97" w:rsidRDefault="00080E97"/>
    <w:p w:rsidR="00080E97" w:rsidRDefault="00080E97">
      <w:pPr>
        <w:pStyle w:val="a0"/>
      </w:pPr>
    </w:p>
    <w:p w:rsidR="00080E97" w:rsidRDefault="00080E97">
      <w:pPr>
        <w:spacing w:line="600" w:lineRule="exact"/>
      </w:pPr>
    </w:p>
    <w:sectPr w:rsidR="00080E97">
      <w:footerReference w:type="default" r:id="rId13"/>
      <w:pgSz w:w="11906" w:h="16838"/>
      <w:pgMar w:top="2098" w:right="1531" w:bottom="1984" w:left="1531" w:header="851" w:footer="1417"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4A14" w:rsidRDefault="00CA4A14">
      <w:pPr>
        <w:spacing w:line="240" w:lineRule="auto"/>
      </w:pPr>
      <w:r>
        <w:separator/>
      </w:r>
    </w:p>
  </w:endnote>
  <w:endnote w:type="continuationSeparator" w:id="0">
    <w:p w:rsidR="00CA4A14" w:rsidRDefault="00CA4A1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0E97" w:rsidRDefault="00080E97">
    <w:pPr>
      <w:pStyle w:val="a9"/>
      <w:ind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0E97" w:rsidRDefault="00080E97">
    <w:pPr>
      <w:pStyle w:val="a9"/>
      <w:ind w:firstLine="420"/>
      <w:jc w:val="center"/>
      <w:rPr>
        <w:sz w:val="21"/>
        <w:szCs w:val="21"/>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0E97" w:rsidRDefault="00080E97">
    <w:pPr>
      <w:pStyle w:val="a9"/>
      <w:ind w:firstLine="360"/>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0E97" w:rsidRDefault="000F4565">
    <w:pPr>
      <w:pStyle w:val="a9"/>
      <w:ind w:firstLine="420"/>
      <w:jc w:val="center"/>
      <w:rPr>
        <w:sz w:val="21"/>
        <w:szCs w:val="21"/>
      </w:rPr>
    </w:pPr>
    <w:r>
      <w:rPr>
        <w:noProof/>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080E97" w:rsidRDefault="000F4565">
                          <w:pPr>
                            <w:pStyle w:val="a9"/>
                            <w:ind w:firstLine="560"/>
                          </w:pPr>
                          <w:r>
                            <w:rPr>
                              <w:rFonts w:ascii="宋体" w:eastAsia="宋体" w:hAnsi="宋体" w:cs="宋体" w:hint="eastAsia"/>
                              <w:sz w:val="28"/>
                              <w:szCs w:val="28"/>
                            </w:rPr>
                            <w:fldChar w:fldCharType="begin"/>
                          </w:r>
                          <w:r>
                            <w:rPr>
                              <w:rFonts w:ascii="宋体" w:eastAsia="宋体" w:hAnsi="宋体" w:cs="宋体" w:hint="eastAsia"/>
                              <w:sz w:val="28"/>
                              <w:szCs w:val="28"/>
                            </w:rPr>
                            <w:instrText xml:space="preserve"> PAGE  \* MERGEFORMAT </w:instrText>
                          </w:r>
                          <w:r>
                            <w:rPr>
                              <w:rFonts w:ascii="宋体" w:eastAsia="宋体" w:hAnsi="宋体" w:cs="宋体" w:hint="eastAsia"/>
                              <w:sz w:val="28"/>
                              <w:szCs w:val="28"/>
                            </w:rPr>
                            <w:fldChar w:fldCharType="separate"/>
                          </w:r>
                          <w:r w:rsidR="00CB7C29">
                            <w:rPr>
                              <w:rFonts w:ascii="宋体" w:eastAsia="宋体" w:hAnsi="宋体" w:cs="宋体"/>
                              <w:noProof/>
                              <w:sz w:val="28"/>
                              <w:szCs w:val="28"/>
                            </w:rPr>
                            <w:t>21</w:t>
                          </w:r>
                          <w:r>
                            <w:rPr>
                              <w:rFonts w:ascii="宋体" w:eastAsia="宋体" w:hAnsi="宋体" w:cs="宋体" w:hint="eastAsia"/>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080E97" w:rsidRDefault="000F4565">
                    <w:pPr>
                      <w:pStyle w:val="a9"/>
                      <w:ind w:firstLine="560"/>
                    </w:pPr>
                    <w:r>
                      <w:rPr>
                        <w:rFonts w:ascii="宋体" w:eastAsia="宋体" w:hAnsi="宋体" w:cs="宋体" w:hint="eastAsia"/>
                        <w:sz w:val="28"/>
                        <w:szCs w:val="28"/>
                      </w:rPr>
                      <w:fldChar w:fldCharType="begin"/>
                    </w:r>
                    <w:r>
                      <w:rPr>
                        <w:rFonts w:ascii="宋体" w:eastAsia="宋体" w:hAnsi="宋体" w:cs="宋体" w:hint="eastAsia"/>
                        <w:sz w:val="28"/>
                        <w:szCs w:val="28"/>
                      </w:rPr>
                      <w:instrText xml:space="preserve"> PAGE  \* MERGEFORMAT </w:instrText>
                    </w:r>
                    <w:r>
                      <w:rPr>
                        <w:rFonts w:ascii="宋体" w:eastAsia="宋体" w:hAnsi="宋体" w:cs="宋体" w:hint="eastAsia"/>
                        <w:sz w:val="28"/>
                        <w:szCs w:val="28"/>
                      </w:rPr>
                      <w:fldChar w:fldCharType="separate"/>
                    </w:r>
                    <w:r w:rsidR="00CB7C29">
                      <w:rPr>
                        <w:rFonts w:ascii="宋体" w:eastAsia="宋体" w:hAnsi="宋体" w:cs="宋体"/>
                        <w:noProof/>
                        <w:sz w:val="28"/>
                        <w:szCs w:val="28"/>
                      </w:rPr>
                      <w:t>21</w:t>
                    </w:r>
                    <w:r>
                      <w:rPr>
                        <w:rFonts w:ascii="宋体" w:eastAsia="宋体" w:hAnsi="宋体" w:cs="宋体" w:hint="eastAsia"/>
                        <w:sz w:val="28"/>
                        <w:szCs w:val="28"/>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4A14" w:rsidRDefault="00CA4A14">
      <w:pPr>
        <w:spacing w:line="240" w:lineRule="auto"/>
      </w:pPr>
      <w:r>
        <w:separator/>
      </w:r>
    </w:p>
  </w:footnote>
  <w:footnote w:type="continuationSeparator" w:id="0">
    <w:p w:rsidR="00CA4A14" w:rsidRDefault="00CA4A1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0E97" w:rsidRDefault="00080E97">
    <w:pPr>
      <w:pStyle w:val="aa"/>
      <w:ind w:firstLine="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0E97" w:rsidRDefault="000F4565">
    <w:pPr>
      <w:pStyle w:val="aa"/>
      <w:tabs>
        <w:tab w:val="clear" w:pos="4153"/>
        <w:tab w:val="left" w:pos="7567"/>
      </w:tabs>
      <w:ind w:firstLine="360"/>
    </w:pPr>
    <w:r>
      <w:rPr>
        <w:rFonts w:hint="eastAsia"/>
      </w:rPr>
      <w:tab/>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0E97" w:rsidRDefault="00080E97">
    <w:pPr>
      <w:pStyle w:val="aa"/>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g2NGJjYzNhYzg1YzY3NzA4MTkxNzYwOGFlMTE5NmQifQ=="/>
  </w:docVars>
  <w:rsids>
    <w:rsidRoot w:val="08D82720"/>
    <w:rsid w:val="DD7ED84B"/>
    <w:rsid w:val="F1FF5762"/>
    <w:rsid w:val="0003159B"/>
    <w:rsid w:val="00080E97"/>
    <w:rsid w:val="000B1881"/>
    <w:rsid w:val="000F4565"/>
    <w:rsid w:val="001847BA"/>
    <w:rsid w:val="001E3EC2"/>
    <w:rsid w:val="00246E83"/>
    <w:rsid w:val="00254A4C"/>
    <w:rsid w:val="003973B6"/>
    <w:rsid w:val="003A5796"/>
    <w:rsid w:val="00451531"/>
    <w:rsid w:val="004910F5"/>
    <w:rsid w:val="004B0D73"/>
    <w:rsid w:val="004B36D0"/>
    <w:rsid w:val="00532DAA"/>
    <w:rsid w:val="00540E36"/>
    <w:rsid w:val="00556988"/>
    <w:rsid w:val="005C3918"/>
    <w:rsid w:val="00620B18"/>
    <w:rsid w:val="00652C98"/>
    <w:rsid w:val="006A6EA1"/>
    <w:rsid w:val="006C5F90"/>
    <w:rsid w:val="00704A68"/>
    <w:rsid w:val="0071431D"/>
    <w:rsid w:val="0072411B"/>
    <w:rsid w:val="00727EB3"/>
    <w:rsid w:val="0084353C"/>
    <w:rsid w:val="008A0A6F"/>
    <w:rsid w:val="009271D3"/>
    <w:rsid w:val="00962860"/>
    <w:rsid w:val="009E5D2B"/>
    <w:rsid w:val="00B2507E"/>
    <w:rsid w:val="00B31A91"/>
    <w:rsid w:val="00B3281B"/>
    <w:rsid w:val="00B44338"/>
    <w:rsid w:val="00B83740"/>
    <w:rsid w:val="00C107D2"/>
    <w:rsid w:val="00C612DB"/>
    <w:rsid w:val="00C90593"/>
    <w:rsid w:val="00C93998"/>
    <w:rsid w:val="00CA4A14"/>
    <w:rsid w:val="00CA65A4"/>
    <w:rsid w:val="00CB7C29"/>
    <w:rsid w:val="00CF1F59"/>
    <w:rsid w:val="00D84C47"/>
    <w:rsid w:val="00DE7B8A"/>
    <w:rsid w:val="00E3267E"/>
    <w:rsid w:val="00EF6331"/>
    <w:rsid w:val="00F146E0"/>
    <w:rsid w:val="00F2080B"/>
    <w:rsid w:val="00F2121D"/>
    <w:rsid w:val="00FE73BD"/>
    <w:rsid w:val="0103164E"/>
    <w:rsid w:val="010431B8"/>
    <w:rsid w:val="023D293E"/>
    <w:rsid w:val="02CE5187"/>
    <w:rsid w:val="03082F4B"/>
    <w:rsid w:val="037E4FBC"/>
    <w:rsid w:val="03A33AD5"/>
    <w:rsid w:val="03B86720"/>
    <w:rsid w:val="03C52E00"/>
    <w:rsid w:val="03D1333D"/>
    <w:rsid w:val="03E02AA0"/>
    <w:rsid w:val="04D56EB3"/>
    <w:rsid w:val="04F55751"/>
    <w:rsid w:val="055A7363"/>
    <w:rsid w:val="05A131E3"/>
    <w:rsid w:val="05A625A8"/>
    <w:rsid w:val="05ED671A"/>
    <w:rsid w:val="062A55EA"/>
    <w:rsid w:val="069B779E"/>
    <w:rsid w:val="06AB60C8"/>
    <w:rsid w:val="073A569E"/>
    <w:rsid w:val="075E313A"/>
    <w:rsid w:val="076369A2"/>
    <w:rsid w:val="077961C6"/>
    <w:rsid w:val="078F59E9"/>
    <w:rsid w:val="07B436A2"/>
    <w:rsid w:val="07D433FC"/>
    <w:rsid w:val="07D93108"/>
    <w:rsid w:val="07ED2A9D"/>
    <w:rsid w:val="081E6D6D"/>
    <w:rsid w:val="085E53BC"/>
    <w:rsid w:val="08907C6B"/>
    <w:rsid w:val="08AF79C5"/>
    <w:rsid w:val="08D82720"/>
    <w:rsid w:val="092D1499"/>
    <w:rsid w:val="099C619C"/>
    <w:rsid w:val="09C37BCC"/>
    <w:rsid w:val="09C73D6D"/>
    <w:rsid w:val="09FD0FBF"/>
    <w:rsid w:val="0A0F2E11"/>
    <w:rsid w:val="0A2F0DBE"/>
    <w:rsid w:val="0A6A0048"/>
    <w:rsid w:val="0ABA0FCF"/>
    <w:rsid w:val="0AC57974"/>
    <w:rsid w:val="0B286BC5"/>
    <w:rsid w:val="0BAE0408"/>
    <w:rsid w:val="0BB2689A"/>
    <w:rsid w:val="0BCF2858"/>
    <w:rsid w:val="0BFB189F"/>
    <w:rsid w:val="0C48085D"/>
    <w:rsid w:val="0C6F1945"/>
    <w:rsid w:val="0C71390F"/>
    <w:rsid w:val="0C963376"/>
    <w:rsid w:val="0DA81515"/>
    <w:rsid w:val="0DE34399"/>
    <w:rsid w:val="0DF74A48"/>
    <w:rsid w:val="0E527771"/>
    <w:rsid w:val="0E715E49"/>
    <w:rsid w:val="0E80608C"/>
    <w:rsid w:val="0EB75826"/>
    <w:rsid w:val="0ED32660"/>
    <w:rsid w:val="0F2033CB"/>
    <w:rsid w:val="0F2904D1"/>
    <w:rsid w:val="0F5202E9"/>
    <w:rsid w:val="0F966920"/>
    <w:rsid w:val="0FBD4467"/>
    <w:rsid w:val="0FDF5034"/>
    <w:rsid w:val="0FE34B24"/>
    <w:rsid w:val="10E63386"/>
    <w:rsid w:val="11286567"/>
    <w:rsid w:val="112E1DCF"/>
    <w:rsid w:val="11692E07"/>
    <w:rsid w:val="117F087D"/>
    <w:rsid w:val="125F420A"/>
    <w:rsid w:val="129C0FBA"/>
    <w:rsid w:val="12AF6F40"/>
    <w:rsid w:val="134E49AB"/>
    <w:rsid w:val="13632714"/>
    <w:rsid w:val="13705C9D"/>
    <w:rsid w:val="14184FB8"/>
    <w:rsid w:val="14A971FD"/>
    <w:rsid w:val="14C03686"/>
    <w:rsid w:val="150B51D4"/>
    <w:rsid w:val="152139F9"/>
    <w:rsid w:val="156F6E5A"/>
    <w:rsid w:val="163D4862"/>
    <w:rsid w:val="16730284"/>
    <w:rsid w:val="167C538B"/>
    <w:rsid w:val="16954F75"/>
    <w:rsid w:val="16BE1E47"/>
    <w:rsid w:val="16FF7D6A"/>
    <w:rsid w:val="175E42B2"/>
    <w:rsid w:val="179B7A92"/>
    <w:rsid w:val="18194E5B"/>
    <w:rsid w:val="182E0907"/>
    <w:rsid w:val="18FA6135"/>
    <w:rsid w:val="197902A7"/>
    <w:rsid w:val="19924EC5"/>
    <w:rsid w:val="1A366198"/>
    <w:rsid w:val="1A3D12D5"/>
    <w:rsid w:val="1A8011C2"/>
    <w:rsid w:val="1ABD5F72"/>
    <w:rsid w:val="1B1D4C62"/>
    <w:rsid w:val="1B3E3557"/>
    <w:rsid w:val="1BAF4AA0"/>
    <w:rsid w:val="1BDA5312"/>
    <w:rsid w:val="1C7E0F2C"/>
    <w:rsid w:val="1D1207F7"/>
    <w:rsid w:val="1D391569"/>
    <w:rsid w:val="1D6D7456"/>
    <w:rsid w:val="1D880AB9"/>
    <w:rsid w:val="1D884F5D"/>
    <w:rsid w:val="1E7A2AF8"/>
    <w:rsid w:val="1EB606FB"/>
    <w:rsid w:val="1EE00481"/>
    <w:rsid w:val="1F2B5BA0"/>
    <w:rsid w:val="1F3F5AEF"/>
    <w:rsid w:val="1F444EB4"/>
    <w:rsid w:val="1F570348"/>
    <w:rsid w:val="1FA140B4"/>
    <w:rsid w:val="20291E05"/>
    <w:rsid w:val="20670E5A"/>
    <w:rsid w:val="20684BD2"/>
    <w:rsid w:val="207D2C09"/>
    <w:rsid w:val="20C55B80"/>
    <w:rsid w:val="20CC33B3"/>
    <w:rsid w:val="20D65FDF"/>
    <w:rsid w:val="2130749E"/>
    <w:rsid w:val="213276BA"/>
    <w:rsid w:val="21F66F98"/>
    <w:rsid w:val="2297614E"/>
    <w:rsid w:val="22AB401E"/>
    <w:rsid w:val="22E42C35"/>
    <w:rsid w:val="234C2589"/>
    <w:rsid w:val="23DC56BB"/>
    <w:rsid w:val="23E24378"/>
    <w:rsid w:val="2419690F"/>
    <w:rsid w:val="24A24B56"/>
    <w:rsid w:val="24A403FD"/>
    <w:rsid w:val="25C1100C"/>
    <w:rsid w:val="25F413E1"/>
    <w:rsid w:val="26323CB8"/>
    <w:rsid w:val="265B26B4"/>
    <w:rsid w:val="27213CDD"/>
    <w:rsid w:val="27E3150D"/>
    <w:rsid w:val="28180C8B"/>
    <w:rsid w:val="28747240"/>
    <w:rsid w:val="28983C59"/>
    <w:rsid w:val="298E4C92"/>
    <w:rsid w:val="299802D6"/>
    <w:rsid w:val="2A0C2A72"/>
    <w:rsid w:val="2C032E40"/>
    <w:rsid w:val="2C11436F"/>
    <w:rsid w:val="2C4138D6"/>
    <w:rsid w:val="2CB573F1"/>
    <w:rsid w:val="2E1F2D74"/>
    <w:rsid w:val="2E385BE3"/>
    <w:rsid w:val="2E3A0F5A"/>
    <w:rsid w:val="2EC658E5"/>
    <w:rsid w:val="2EF064BE"/>
    <w:rsid w:val="2F432A92"/>
    <w:rsid w:val="2F837375"/>
    <w:rsid w:val="2F8B146B"/>
    <w:rsid w:val="2FAA0D63"/>
    <w:rsid w:val="2FAA2D25"/>
    <w:rsid w:val="2FF87D20"/>
    <w:rsid w:val="30085A89"/>
    <w:rsid w:val="305B3E0B"/>
    <w:rsid w:val="30B005FB"/>
    <w:rsid w:val="30B67293"/>
    <w:rsid w:val="30D50061"/>
    <w:rsid w:val="30E520E5"/>
    <w:rsid w:val="31271F3F"/>
    <w:rsid w:val="314D5E4A"/>
    <w:rsid w:val="314E571E"/>
    <w:rsid w:val="31B01FC3"/>
    <w:rsid w:val="31BC4D7D"/>
    <w:rsid w:val="322425CE"/>
    <w:rsid w:val="322456D2"/>
    <w:rsid w:val="328C0BF4"/>
    <w:rsid w:val="333470B7"/>
    <w:rsid w:val="339F58F3"/>
    <w:rsid w:val="342A2472"/>
    <w:rsid w:val="3430683D"/>
    <w:rsid w:val="34441786"/>
    <w:rsid w:val="34525525"/>
    <w:rsid w:val="34752EC7"/>
    <w:rsid w:val="34A51AF9"/>
    <w:rsid w:val="34E22105"/>
    <w:rsid w:val="34E97C37"/>
    <w:rsid w:val="351849C1"/>
    <w:rsid w:val="351D3D85"/>
    <w:rsid w:val="355A28E3"/>
    <w:rsid w:val="35DB7EC8"/>
    <w:rsid w:val="35F84D2D"/>
    <w:rsid w:val="36462E68"/>
    <w:rsid w:val="365E28A7"/>
    <w:rsid w:val="366D2324"/>
    <w:rsid w:val="36A540C5"/>
    <w:rsid w:val="36C84394"/>
    <w:rsid w:val="37646A08"/>
    <w:rsid w:val="37667C65"/>
    <w:rsid w:val="37BA58BB"/>
    <w:rsid w:val="381256F7"/>
    <w:rsid w:val="388A7983"/>
    <w:rsid w:val="3962226B"/>
    <w:rsid w:val="396E4BAF"/>
    <w:rsid w:val="397D1296"/>
    <w:rsid w:val="39B06F76"/>
    <w:rsid w:val="39B747A8"/>
    <w:rsid w:val="39BF540B"/>
    <w:rsid w:val="39F7609C"/>
    <w:rsid w:val="3A00614F"/>
    <w:rsid w:val="3A10210A"/>
    <w:rsid w:val="3A176FF5"/>
    <w:rsid w:val="3A281202"/>
    <w:rsid w:val="3ABE3914"/>
    <w:rsid w:val="3AC23405"/>
    <w:rsid w:val="3AC85F3C"/>
    <w:rsid w:val="3ADB2718"/>
    <w:rsid w:val="3AF64E5C"/>
    <w:rsid w:val="3AFD443D"/>
    <w:rsid w:val="3B4E4C98"/>
    <w:rsid w:val="3C0C7271"/>
    <w:rsid w:val="3C1E28BD"/>
    <w:rsid w:val="3C5F1138"/>
    <w:rsid w:val="3CDB450B"/>
    <w:rsid w:val="3D0E2705"/>
    <w:rsid w:val="3D125759"/>
    <w:rsid w:val="3D4E5423"/>
    <w:rsid w:val="3DEE4511"/>
    <w:rsid w:val="3DF02037"/>
    <w:rsid w:val="3E3F4D6C"/>
    <w:rsid w:val="3E654C08"/>
    <w:rsid w:val="3EA13331"/>
    <w:rsid w:val="3EA64DEB"/>
    <w:rsid w:val="3F5910AE"/>
    <w:rsid w:val="3FCE71E1"/>
    <w:rsid w:val="3FEC0F24"/>
    <w:rsid w:val="41313092"/>
    <w:rsid w:val="41984EBF"/>
    <w:rsid w:val="41CA7043"/>
    <w:rsid w:val="421D53C4"/>
    <w:rsid w:val="42660B19"/>
    <w:rsid w:val="42935686"/>
    <w:rsid w:val="42AD50EE"/>
    <w:rsid w:val="42D33CD5"/>
    <w:rsid w:val="434A78B9"/>
    <w:rsid w:val="43D83C99"/>
    <w:rsid w:val="44123DA4"/>
    <w:rsid w:val="445A46AE"/>
    <w:rsid w:val="44AE49FA"/>
    <w:rsid w:val="44B518E4"/>
    <w:rsid w:val="44BD7A79"/>
    <w:rsid w:val="452A22D2"/>
    <w:rsid w:val="45AC718B"/>
    <w:rsid w:val="45DB02B5"/>
    <w:rsid w:val="460A3EB2"/>
    <w:rsid w:val="461A0599"/>
    <w:rsid w:val="47016A64"/>
    <w:rsid w:val="47841A42"/>
    <w:rsid w:val="4812704D"/>
    <w:rsid w:val="491D5CAA"/>
    <w:rsid w:val="496B110B"/>
    <w:rsid w:val="49EF227E"/>
    <w:rsid w:val="49FA694B"/>
    <w:rsid w:val="4A4D46B0"/>
    <w:rsid w:val="4AA85A47"/>
    <w:rsid w:val="4AE922E8"/>
    <w:rsid w:val="4B1650A7"/>
    <w:rsid w:val="4B446BCD"/>
    <w:rsid w:val="4B8D35BB"/>
    <w:rsid w:val="4B97339F"/>
    <w:rsid w:val="4B9F6E4A"/>
    <w:rsid w:val="4BB40B47"/>
    <w:rsid w:val="4BD05255"/>
    <w:rsid w:val="4BD411EA"/>
    <w:rsid w:val="4CE216E4"/>
    <w:rsid w:val="4D3D2DBF"/>
    <w:rsid w:val="4D5C1497"/>
    <w:rsid w:val="4DD86643"/>
    <w:rsid w:val="4DF23BA9"/>
    <w:rsid w:val="4E015B9A"/>
    <w:rsid w:val="4EC210ED"/>
    <w:rsid w:val="4EC63D8E"/>
    <w:rsid w:val="4ED41501"/>
    <w:rsid w:val="4F0D0E79"/>
    <w:rsid w:val="4F980780"/>
    <w:rsid w:val="503A35E5"/>
    <w:rsid w:val="510B7C45"/>
    <w:rsid w:val="511E6A63"/>
    <w:rsid w:val="512978E2"/>
    <w:rsid w:val="512C5624"/>
    <w:rsid w:val="51A258E6"/>
    <w:rsid w:val="51B71D57"/>
    <w:rsid w:val="51F31C9E"/>
    <w:rsid w:val="51FB0B52"/>
    <w:rsid w:val="522E2CD6"/>
    <w:rsid w:val="5272350A"/>
    <w:rsid w:val="52972F71"/>
    <w:rsid w:val="529E1C09"/>
    <w:rsid w:val="52ED493F"/>
    <w:rsid w:val="531D3476"/>
    <w:rsid w:val="534A1D91"/>
    <w:rsid w:val="53682217"/>
    <w:rsid w:val="5386726D"/>
    <w:rsid w:val="53A2397B"/>
    <w:rsid w:val="53A72D40"/>
    <w:rsid w:val="53D578AD"/>
    <w:rsid w:val="53F87A3F"/>
    <w:rsid w:val="54352A41"/>
    <w:rsid w:val="54436F0C"/>
    <w:rsid w:val="54947768"/>
    <w:rsid w:val="54E3424B"/>
    <w:rsid w:val="55050666"/>
    <w:rsid w:val="55264138"/>
    <w:rsid w:val="55833339"/>
    <w:rsid w:val="559B4B26"/>
    <w:rsid w:val="55F304BE"/>
    <w:rsid w:val="560B1CAC"/>
    <w:rsid w:val="567F6C3E"/>
    <w:rsid w:val="56BD6492"/>
    <w:rsid w:val="57160908"/>
    <w:rsid w:val="57835872"/>
    <w:rsid w:val="57AC3204"/>
    <w:rsid w:val="57C2639A"/>
    <w:rsid w:val="57CE2F91"/>
    <w:rsid w:val="57D63BF4"/>
    <w:rsid w:val="58315A42"/>
    <w:rsid w:val="58550FBC"/>
    <w:rsid w:val="58620690"/>
    <w:rsid w:val="590B2CC4"/>
    <w:rsid w:val="5AA601F5"/>
    <w:rsid w:val="5B092C20"/>
    <w:rsid w:val="5B323837"/>
    <w:rsid w:val="5B445318"/>
    <w:rsid w:val="5BB10BFF"/>
    <w:rsid w:val="5BB16E51"/>
    <w:rsid w:val="5BB95D06"/>
    <w:rsid w:val="5BDE39BF"/>
    <w:rsid w:val="5C2D3FFE"/>
    <w:rsid w:val="5C4C26D6"/>
    <w:rsid w:val="5C7D31D8"/>
    <w:rsid w:val="5CC55C31"/>
    <w:rsid w:val="5CCB5CF1"/>
    <w:rsid w:val="5CFF5283"/>
    <w:rsid w:val="5D3949FA"/>
    <w:rsid w:val="5DAB78D0"/>
    <w:rsid w:val="5E225DE5"/>
    <w:rsid w:val="5EAE7678"/>
    <w:rsid w:val="5ECE1AC8"/>
    <w:rsid w:val="5F1C6CD8"/>
    <w:rsid w:val="5F3D27AA"/>
    <w:rsid w:val="604C0EF7"/>
    <w:rsid w:val="60820DBC"/>
    <w:rsid w:val="60BC4473"/>
    <w:rsid w:val="60F01468"/>
    <w:rsid w:val="62084322"/>
    <w:rsid w:val="624A590A"/>
    <w:rsid w:val="62BD60DC"/>
    <w:rsid w:val="632C3261"/>
    <w:rsid w:val="63930A8A"/>
    <w:rsid w:val="63A36AA3"/>
    <w:rsid w:val="645C36D2"/>
    <w:rsid w:val="65180DC6"/>
    <w:rsid w:val="653603C7"/>
    <w:rsid w:val="65646CE3"/>
    <w:rsid w:val="656A1E1F"/>
    <w:rsid w:val="65BC6B1F"/>
    <w:rsid w:val="65D1387D"/>
    <w:rsid w:val="66263F98"/>
    <w:rsid w:val="6659611C"/>
    <w:rsid w:val="66811B16"/>
    <w:rsid w:val="67310E46"/>
    <w:rsid w:val="67472418"/>
    <w:rsid w:val="674D024D"/>
    <w:rsid w:val="67582877"/>
    <w:rsid w:val="675F2990"/>
    <w:rsid w:val="67BF46A4"/>
    <w:rsid w:val="67C223E6"/>
    <w:rsid w:val="6864524C"/>
    <w:rsid w:val="688A2F04"/>
    <w:rsid w:val="688D6550"/>
    <w:rsid w:val="68D24D2E"/>
    <w:rsid w:val="68F760C0"/>
    <w:rsid w:val="694330B3"/>
    <w:rsid w:val="69E76134"/>
    <w:rsid w:val="69F745C9"/>
    <w:rsid w:val="6A6B466F"/>
    <w:rsid w:val="6B7314EF"/>
    <w:rsid w:val="6BC06C3D"/>
    <w:rsid w:val="6C16685D"/>
    <w:rsid w:val="6C215B5D"/>
    <w:rsid w:val="6C4F0192"/>
    <w:rsid w:val="6CA36342"/>
    <w:rsid w:val="6CB542C8"/>
    <w:rsid w:val="6D800432"/>
    <w:rsid w:val="6DDD7632"/>
    <w:rsid w:val="6ECA4199"/>
    <w:rsid w:val="6F0B01CF"/>
    <w:rsid w:val="6F2B6AC3"/>
    <w:rsid w:val="6F5558EE"/>
    <w:rsid w:val="6F7C731F"/>
    <w:rsid w:val="6FDB2297"/>
    <w:rsid w:val="6FED3D79"/>
    <w:rsid w:val="703674CE"/>
    <w:rsid w:val="70455963"/>
    <w:rsid w:val="713F0888"/>
    <w:rsid w:val="71CF3736"/>
    <w:rsid w:val="71E01DE7"/>
    <w:rsid w:val="71E847F7"/>
    <w:rsid w:val="72B55021"/>
    <w:rsid w:val="736F39C1"/>
    <w:rsid w:val="739C1D3D"/>
    <w:rsid w:val="740356D3"/>
    <w:rsid w:val="744F0B5E"/>
    <w:rsid w:val="74BB2FF2"/>
    <w:rsid w:val="74DF0134"/>
    <w:rsid w:val="75097F22"/>
    <w:rsid w:val="75526B58"/>
    <w:rsid w:val="75706FDE"/>
    <w:rsid w:val="75A03D67"/>
    <w:rsid w:val="75CF63FA"/>
    <w:rsid w:val="764E2556"/>
    <w:rsid w:val="76522B87"/>
    <w:rsid w:val="77075720"/>
    <w:rsid w:val="77876861"/>
    <w:rsid w:val="77B77146"/>
    <w:rsid w:val="77FA7033"/>
    <w:rsid w:val="781F4CEB"/>
    <w:rsid w:val="78C338C8"/>
    <w:rsid w:val="790A14F7"/>
    <w:rsid w:val="79226841"/>
    <w:rsid w:val="79334EF2"/>
    <w:rsid w:val="794762A8"/>
    <w:rsid w:val="79780B57"/>
    <w:rsid w:val="79E461EC"/>
    <w:rsid w:val="7A232871"/>
    <w:rsid w:val="7A6D4434"/>
    <w:rsid w:val="7ADB75EF"/>
    <w:rsid w:val="7AE65481"/>
    <w:rsid w:val="7AEA5A84"/>
    <w:rsid w:val="7B1B3E90"/>
    <w:rsid w:val="7B5D3CC6"/>
    <w:rsid w:val="7B9B28DB"/>
    <w:rsid w:val="7C4D1E27"/>
    <w:rsid w:val="7C705B15"/>
    <w:rsid w:val="7D761851"/>
    <w:rsid w:val="7DF76239"/>
    <w:rsid w:val="7E002EC9"/>
    <w:rsid w:val="7E0D1944"/>
    <w:rsid w:val="7E384232"/>
    <w:rsid w:val="7E7C0075"/>
    <w:rsid w:val="7E7D6408"/>
    <w:rsid w:val="7EA321D2"/>
    <w:rsid w:val="7ED46E76"/>
    <w:rsid w:val="7EE03426"/>
    <w:rsid w:val="7F5B2AAD"/>
    <w:rsid w:val="7F637647"/>
    <w:rsid w:val="7FC923EA"/>
    <w:rsid w:val="7FE80F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889788"/>
  <w15:docId w15:val="{92D4D0A2-A858-4364-96FF-403BF00588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annotation text" w:unhideWhenUsed="1" w:qFormat="1"/>
    <w:lsdException w:name="header" w:qFormat="1"/>
    <w:lsdException w:name="footer" w:uiPriority="99" w:qFormat="1"/>
    <w:lsdException w:name="caption" w:semiHidden="1" w:unhideWhenUsed="1" w:qFormat="1"/>
    <w:lsdException w:name="annotation reference" w:semiHidden="1" w:unhideWhenUsed="1" w:qFormat="1"/>
    <w:lsdException w:name="Title" w:qFormat="1"/>
    <w:lsdException w:name="Default Paragraph Font" w:semiHidden="1" w:uiPriority="1" w:unhideWhenUsed="1" w:qFormat="1"/>
    <w:lsdException w:name="Body Text" w:uiPriority="99" w:unhideWhenUsed="1" w:qFormat="1"/>
    <w:lsdException w:name="Subtitle" w:qFormat="1"/>
    <w:lsdException w:name="Body Tex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Web)" w:semiHidden="1" w:uiPriority="99" w:unhideWhenUsed="1"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adjustRightInd w:val="0"/>
      <w:snapToGrid w:val="0"/>
      <w:spacing w:line="360" w:lineRule="auto"/>
      <w:ind w:firstLineChars="200" w:firstLine="640"/>
      <w:jc w:val="both"/>
    </w:pPr>
    <w:rPr>
      <w:rFonts w:ascii="仿宋_GB2312" w:eastAsia="仿宋_GB2312" w:hAnsi="仿宋_GB2312"/>
      <w:kern w:val="2"/>
      <w:sz w:val="32"/>
      <w:szCs w:val="24"/>
    </w:rPr>
  </w:style>
  <w:style w:type="paragraph" w:styleId="1">
    <w:name w:val="heading 1"/>
    <w:basedOn w:val="a"/>
    <w:next w:val="a"/>
    <w:link w:val="10"/>
    <w:qFormat/>
    <w:pPr>
      <w:keepNext/>
      <w:keepLines/>
      <w:ind w:firstLine="720"/>
      <w:outlineLvl w:val="0"/>
    </w:pPr>
    <w:rPr>
      <w:rFonts w:ascii="黑体" w:eastAsia="黑体" w:hAnsi="黑体"/>
      <w:kern w:val="44"/>
    </w:rPr>
  </w:style>
  <w:style w:type="paragraph" w:styleId="2">
    <w:name w:val="heading 2"/>
    <w:basedOn w:val="a"/>
    <w:next w:val="a"/>
    <w:unhideWhenUsed/>
    <w:qFormat/>
    <w:pPr>
      <w:keepNext/>
      <w:keepLines/>
      <w:ind w:firstLine="720"/>
      <w:outlineLvl w:val="1"/>
    </w:pPr>
    <w:rPr>
      <w:rFonts w:ascii="楷体_GB2312" w:eastAsia="楷体_GB2312" w:hAnsi="楷体_GB2312"/>
    </w:rPr>
  </w:style>
  <w:style w:type="paragraph" w:styleId="3">
    <w:name w:val="heading 3"/>
    <w:basedOn w:val="a"/>
    <w:next w:val="a"/>
    <w:unhideWhenUsed/>
    <w:qFormat/>
    <w:pPr>
      <w:keepNext/>
      <w:keepLines/>
      <w:spacing w:before="260" w:after="260" w:line="413" w:lineRule="auto"/>
      <w:outlineLvl w:val="2"/>
    </w:pPr>
    <w:rPr>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link w:val="a4"/>
    <w:uiPriority w:val="99"/>
    <w:unhideWhenUsed/>
    <w:qFormat/>
    <w:pPr>
      <w:spacing w:after="120"/>
    </w:pPr>
  </w:style>
  <w:style w:type="paragraph" w:styleId="a5">
    <w:name w:val="annotation text"/>
    <w:basedOn w:val="a"/>
    <w:link w:val="a6"/>
    <w:unhideWhenUsed/>
    <w:qFormat/>
    <w:pPr>
      <w:jc w:val="left"/>
    </w:pPr>
  </w:style>
  <w:style w:type="paragraph" w:styleId="20">
    <w:name w:val="Body Text Indent 2"/>
    <w:basedOn w:val="a"/>
    <w:qFormat/>
    <w:pPr>
      <w:spacing w:after="120" w:line="480" w:lineRule="auto"/>
      <w:ind w:leftChars="200" w:left="420"/>
    </w:pPr>
  </w:style>
  <w:style w:type="paragraph" w:styleId="a7">
    <w:name w:val="Balloon Text"/>
    <w:basedOn w:val="a"/>
    <w:link w:val="a8"/>
    <w:qFormat/>
    <w:pPr>
      <w:spacing w:line="240" w:lineRule="auto"/>
    </w:pPr>
    <w:rPr>
      <w:sz w:val="18"/>
      <w:szCs w:val="18"/>
    </w:rPr>
  </w:style>
  <w:style w:type="paragraph" w:styleId="a9">
    <w:name w:val="footer"/>
    <w:basedOn w:val="a"/>
    <w:uiPriority w:val="99"/>
    <w:qFormat/>
    <w:pPr>
      <w:tabs>
        <w:tab w:val="center" w:pos="4153"/>
        <w:tab w:val="right" w:pos="8306"/>
      </w:tabs>
      <w:jc w:val="left"/>
    </w:pPr>
    <w:rPr>
      <w:sz w:val="18"/>
      <w:szCs w:val="20"/>
    </w:rPr>
  </w:style>
  <w:style w:type="paragraph" w:styleId="aa">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pacing w:line="240" w:lineRule="auto"/>
    </w:pPr>
    <w:rPr>
      <w:sz w:val="18"/>
    </w:rPr>
  </w:style>
  <w:style w:type="paragraph" w:styleId="11">
    <w:name w:val="toc 1"/>
    <w:basedOn w:val="a"/>
    <w:next w:val="a"/>
    <w:qFormat/>
  </w:style>
  <w:style w:type="paragraph" w:styleId="21">
    <w:name w:val="toc 2"/>
    <w:basedOn w:val="a"/>
    <w:next w:val="a"/>
    <w:qFormat/>
    <w:pPr>
      <w:ind w:leftChars="200" w:left="420"/>
    </w:pPr>
  </w:style>
  <w:style w:type="paragraph" w:styleId="ab">
    <w:name w:val="Normal (Web)"/>
    <w:basedOn w:val="a"/>
    <w:uiPriority w:val="99"/>
    <w:semiHidden/>
    <w:unhideWhenUsed/>
    <w:qFormat/>
    <w:pPr>
      <w:spacing w:beforeAutospacing="1" w:afterAutospacing="1"/>
      <w:jc w:val="left"/>
    </w:pPr>
    <w:rPr>
      <w:kern w:val="0"/>
      <w:sz w:val="24"/>
    </w:rPr>
  </w:style>
  <w:style w:type="paragraph" w:styleId="ac">
    <w:name w:val="annotation subject"/>
    <w:basedOn w:val="a5"/>
    <w:next w:val="a5"/>
    <w:link w:val="ad"/>
    <w:qFormat/>
    <w:rPr>
      <w:b/>
      <w:bCs/>
    </w:rPr>
  </w:style>
  <w:style w:type="table" w:styleId="ae">
    <w:name w:val="Table Grid"/>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Strong"/>
    <w:basedOn w:val="a1"/>
    <w:qFormat/>
    <w:rPr>
      <w:b/>
    </w:rPr>
  </w:style>
  <w:style w:type="character" w:styleId="af0">
    <w:name w:val="annotation reference"/>
    <w:basedOn w:val="a1"/>
    <w:semiHidden/>
    <w:unhideWhenUsed/>
    <w:qFormat/>
    <w:rPr>
      <w:sz w:val="21"/>
      <w:szCs w:val="21"/>
    </w:rPr>
  </w:style>
  <w:style w:type="character" w:customStyle="1" w:styleId="10">
    <w:name w:val="标题 1 字符"/>
    <w:link w:val="1"/>
    <w:qFormat/>
    <w:rPr>
      <w:rFonts w:ascii="黑体" w:eastAsia="黑体" w:hAnsi="黑体"/>
      <w:kern w:val="44"/>
      <w:sz w:val="32"/>
    </w:rPr>
  </w:style>
  <w:style w:type="character" w:customStyle="1" w:styleId="font21">
    <w:name w:val="font21"/>
    <w:basedOn w:val="a1"/>
    <w:qFormat/>
    <w:rPr>
      <w:rFonts w:ascii="宋体" w:eastAsia="宋体" w:hAnsi="宋体" w:cs="宋体" w:hint="eastAsia"/>
      <w:color w:val="000000"/>
      <w:sz w:val="18"/>
      <w:szCs w:val="18"/>
      <w:u w:val="none"/>
    </w:rPr>
  </w:style>
  <w:style w:type="character" w:customStyle="1" w:styleId="a8">
    <w:name w:val="批注框文本 字符"/>
    <w:basedOn w:val="a1"/>
    <w:link w:val="a7"/>
    <w:qFormat/>
    <w:rPr>
      <w:rFonts w:ascii="仿宋_GB2312" w:eastAsia="仿宋_GB2312" w:hAnsi="仿宋_GB2312"/>
      <w:kern w:val="2"/>
      <w:sz w:val="18"/>
      <w:szCs w:val="18"/>
    </w:rPr>
  </w:style>
  <w:style w:type="character" w:customStyle="1" w:styleId="a6">
    <w:name w:val="批注文字 字符"/>
    <w:basedOn w:val="a1"/>
    <w:link w:val="a5"/>
    <w:qFormat/>
    <w:rPr>
      <w:rFonts w:ascii="仿宋_GB2312" w:eastAsia="仿宋_GB2312" w:hAnsi="仿宋_GB2312"/>
      <w:kern w:val="2"/>
      <w:sz w:val="32"/>
      <w:szCs w:val="24"/>
    </w:rPr>
  </w:style>
  <w:style w:type="character" w:customStyle="1" w:styleId="ad">
    <w:name w:val="批注主题 字符"/>
    <w:basedOn w:val="a6"/>
    <w:link w:val="ac"/>
    <w:qFormat/>
    <w:rPr>
      <w:rFonts w:ascii="仿宋_GB2312" w:eastAsia="仿宋_GB2312" w:hAnsi="仿宋_GB2312"/>
      <w:b/>
      <w:bCs/>
      <w:kern w:val="2"/>
      <w:sz w:val="32"/>
      <w:szCs w:val="24"/>
    </w:rPr>
  </w:style>
  <w:style w:type="character" w:customStyle="1" w:styleId="a4">
    <w:name w:val="正文文本 字符"/>
    <w:basedOn w:val="a1"/>
    <w:link w:val="a0"/>
    <w:qFormat/>
    <w:rPr>
      <w:rFonts w:ascii="仿宋_GB2312" w:eastAsia="仿宋_GB2312" w:hAnsi="仿宋_GB2312" w:cs="仿宋_GB2312" w:hint="eastAsia"/>
      <w:kern w:val="2"/>
      <w:sz w:val="32"/>
      <w:szCs w:val="24"/>
    </w:rPr>
  </w:style>
  <w:style w:type="character" w:customStyle="1" w:styleId="font11">
    <w:name w:val="font11"/>
    <w:basedOn w:val="a1"/>
    <w:qFormat/>
    <w:rPr>
      <w:rFonts w:ascii="宋体" w:eastAsia="宋体" w:hAnsi="宋体" w:cs="宋体" w:hint="eastAsia"/>
      <w:color w:val="000000"/>
      <w:sz w:val="18"/>
      <w:szCs w:val="18"/>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25</Pages>
  <Words>1958</Words>
  <Characters>11162</Characters>
  <Application>Microsoft Office Word</Application>
  <DocSecurity>0</DocSecurity>
  <Lines>93</Lines>
  <Paragraphs>26</Paragraphs>
  <ScaleCrop>false</ScaleCrop>
  <Company/>
  <LinksUpToDate>false</LinksUpToDate>
  <CharactersWithSpaces>13094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工作组</dc:creator>
  <cp:lastModifiedBy>李辉80723n</cp:lastModifiedBy>
  <cp:revision>6</cp:revision>
  <cp:lastPrinted>2024-05-16T17:40:00Z</cp:lastPrinted>
  <dcterms:created xsi:type="dcterms:W3CDTF">2025-08-27T08:33:00Z</dcterms:created>
  <dcterms:modified xsi:type="dcterms:W3CDTF">2025-08-27T08:52:00Z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FB35AD66E61145A295205C1EF36C4AE0_13</vt:lpwstr>
  </property>
  <property fmtid="{D5CDD505-2E9C-101B-9397-08002B2CF9AE}" pid="4" name="KSOTemplateDocerSaveRecord">
    <vt:lpwstr>eyJoZGlkIjoiYTNmYTY1ZDYyYTE2NjEzODMxMTJmNTE3NzBiYjBmOGYiLCJ1c2VySWQiOiIyNDQ3ODA2MjUifQ==</vt:lpwstr>
  </property>
</Properties>
</file>