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6B7A6">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北京市公园管理中心</w:t>
      </w:r>
    </w:p>
    <w:p w14:paraId="5151AC18">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2024年部门整体绩效评价报告</w:t>
      </w:r>
    </w:p>
    <w:p w14:paraId="1BC6BC3D">
      <w:pPr>
        <w:spacing w:line="560" w:lineRule="exact"/>
        <w:jc w:val="center"/>
        <w:rPr>
          <w:rFonts w:ascii="方正小标宋简体" w:eastAsia="方正小标宋简体"/>
          <w:sz w:val="36"/>
          <w:szCs w:val="36"/>
        </w:rPr>
      </w:pPr>
    </w:p>
    <w:p w14:paraId="152D367A">
      <w:pPr>
        <w:jc w:val="center"/>
        <w:rPr>
          <w:rFonts w:ascii="仿宋_GB2312"/>
          <w:szCs w:val="30"/>
        </w:rPr>
      </w:pPr>
    </w:p>
    <w:p w14:paraId="4B1AC5ED">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186571F9">
      <w:pPr>
        <w:spacing w:line="360" w:lineRule="auto"/>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14:paraId="0BA570ED">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1.部门性质、职责</w:t>
      </w:r>
    </w:p>
    <w:p w14:paraId="0D1B916A">
      <w:pPr>
        <w:spacing w:line="360" w:lineRule="auto"/>
        <w:ind w:firstLine="640" w:firstLineChars="200"/>
        <w:rPr>
          <w:rFonts w:ascii="仿宋_GB2312" w:eastAsia="仿宋_GB2312"/>
          <w:sz w:val="32"/>
          <w:szCs w:val="32"/>
        </w:rPr>
      </w:pPr>
      <w:r>
        <w:rPr>
          <w:rFonts w:hint="eastAsia" w:ascii="仿宋_GB2312" w:eastAsia="仿宋_GB2312"/>
          <w:sz w:val="32"/>
          <w:szCs w:val="32"/>
        </w:rPr>
        <w:t>北京市公园管理中心为市园林绿化局所属单位，是副局级事业单位，负责市属公园及其他所属机构人、财、物管理。负责市属公园和其他所属机构的规划、建设、管理、保护、服务、科技工作，并实施监督，以及财务管理审计、劳动人事、安全保卫等工作。承担本市公园行业管理技术性辅助性工作，承担有关行业规划体系建设、标准规范制定、业务培训指导、服务资源调查评估等方面技术性事务性工作职责。</w:t>
      </w:r>
    </w:p>
    <w:p w14:paraId="49040FDC">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2.机构设置</w:t>
      </w:r>
    </w:p>
    <w:p w14:paraId="2D8B7536">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公园管理中心所属二级单位共16个，分别为：北京市颐和园管理处、北京市天坛公园管理处、北京市香山公园管理处、北京市北海公园管理处、北京市景山公园管理处、北京动物园管理处、北京市中山公园管理处、北京市陶然亭公园管理处、北京市紫竹院公园管理处、北京市玉渊潭公园管理处、北京市植物园管理处、北京市公园管理中心本级、北京市园林学校、中国园林博物馆北京筹备办公室、北京市公园管理中心综合事务中心、北京市路县故城遗址公园管理处。</w:t>
      </w:r>
    </w:p>
    <w:p w14:paraId="0954EFA7">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3.2024年度工作任务</w:t>
      </w:r>
    </w:p>
    <w:p w14:paraId="378AC69D">
      <w:pPr>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紧紧围绕市委市政府和市园林绿化局部署安排，着眼服务首都“四个中心”功能建设，全力抓好新中国成立75周年服务保障、首都核心区控规、全国文化中心建设、民生实事项目以及国家植物园建设、香山公园5A级景区创建等一系列重点任务，聚焦“四优一满意”公园精品建设，持续发挥市属公园特有优势和引领行业发展功能作用，不断提升综合服务保障水平。</w:t>
      </w:r>
    </w:p>
    <w:p w14:paraId="0D5B3E03">
      <w:pPr>
        <w:numPr>
          <w:ilvl w:val="0"/>
          <w:numId w:val="1"/>
        </w:numPr>
        <w:spacing w:line="360" w:lineRule="auto"/>
        <w:ind w:firstLine="640" w:firstLineChars="200"/>
        <w:rPr>
          <w:rFonts w:ascii="楷体_GB2312" w:eastAsia="楷体_GB2312"/>
          <w:sz w:val="32"/>
          <w:szCs w:val="32"/>
        </w:rPr>
      </w:pPr>
      <w:r>
        <w:rPr>
          <w:rFonts w:hint="eastAsia" w:ascii="楷体_GB2312" w:eastAsia="楷体_GB2312"/>
          <w:sz w:val="32"/>
          <w:szCs w:val="32"/>
        </w:rPr>
        <w:t>部门整体绩效目标设立情况</w:t>
      </w:r>
    </w:p>
    <w:p w14:paraId="2AFF4223">
      <w:pPr>
        <w:numPr>
          <w:ilvl w:val="255"/>
          <w:numId w:val="0"/>
        </w:numPr>
        <w:spacing w:line="360" w:lineRule="auto"/>
        <w:ind w:firstLine="640" w:firstLineChars="200"/>
        <w:rPr>
          <w:rFonts w:ascii="仿宋_GB2312" w:hAnsi="仿宋_GB2312" w:eastAsia="仿宋_GB2312" w:cs="仿宋_GB2312"/>
          <w:sz w:val="32"/>
          <w:szCs w:val="32"/>
        </w:rPr>
      </w:pPr>
      <w:r>
        <w:rPr>
          <w:rFonts w:hint="eastAsia" w:ascii="仿宋_GB2312" w:eastAsia="仿宋_GB2312"/>
          <w:sz w:val="32"/>
          <w:szCs w:val="32"/>
        </w:rPr>
        <w:t>1.部门整体绩效目标</w:t>
      </w:r>
    </w:p>
    <w:p w14:paraId="6EED6E0F">
      <w:pPr>
        <w:spacing w:line="360" w:lineRule="auto"/>
        <w:ind w:firstLine="640" w:firstLineChars="200"/>
        <w:rPr>
          <w:rFonts w:ascii="仿宋_GB2312" w:hAnsi="Arial" w:eastAsia="仿宋_GB2312" w:cs="Arial"/>
          <w:kern w:val="0"/>
          <w:sz w:val="32"/>
          <w:szCs w:val="32"/>
        </w:rPr>
      </w:pPr>
      <w:r>
        <w:rPr>
          <w:rFonts w:hint="eastAsia" w:ascii="仿宋_GB2312" w:hAnsi="仿宋_GB2312" w:eastAsia="仿宋_GB2312" w:cs="仿宋_GB2312"/>
          <w:sz w:val="32"/>
          <w:szCs w:val="32"/>
        </w:rPr>
        <w:t>中心结合部门职责、“十四五”时期事业发展规划纲要以及2024年度重点工作任务，编报了《2024年部门整体支出绩效目标申报表》，明确了2024年度部门整体绩效目标及指标。</w:t>
      </w:r>
      <w:r>
        <w:rPr>
          <w:rFonts w:hint="eastAsia" w:ascii="仿宋_GB2312" w:hAnsi="Arial" w:eastAsia="仿宋_GB2312" w:cs="Arial"/>
          <w:kern w:val="0"/>
          <w:sz w:val="32"/>
          <w:szCs w:val="32"/>
        </w:rPr>
        <w:t>北京市财政局在批复中心2024年度部门预算时，一并批复了部门整体绩效目标，详见表1。</w:t>
      </w:r>
    </w:p>
    <w:p w14:paraId="45FA9BEE">
      <w:pPr>
        <w:spacing w:line="360" w:lineRule="auto"/>
        <w:ind w:firstLine="560" w:firstLineChars="200"/>
        <w:jc w:val="center"/>
        <w:rPr>
          <w:rFonts w:ascii="黑体" w:hAnsi="黑体" w:eastAsia="黑体"/>
          <w:sz w:val="28"/>
          <w:szCs w:val="28"/>
        </w:rPr>
      </w:pPr>
      <w:r>
        <w:rPr>
          <w:rFonts w:hint="eastAsia" w:ascii="黑体" w:hAnsi="黑体" w:eastAsia="黑体"/>
          <w:sz w:val="28"/>
          <w:szCs w:val="28"/>
        </w:rPr>
        <w:t>表1：北京市公园管理中心2024年度部门整体绩效目标表</w:t>
      </w:r>
    </w:p>
    <w:p w14:paraId="5CCC9762">
      <w:pPr>
        <w:pStyle w:val="2"/>
        <w:spacing w:line="360" w:lineRule="auto"/>
        <w:ind w:firstLine="560"/>
        <w:jc w:val="right"/>
        <w:rPr>
          <w:rFonts w:eastAsia="黑体"/>
        </w:rPr>
      </w:pPr>
      <w:r>
        <w:rPr>
          <w:rFonts w:hint="eastAsia" w:ascii="黑体" w:hAnsi="黑体" w:eastAsia="黑体"/>
          <w:sz w:val="28"/>
          <w:szCs w:val="28"/>
        </w:rPr>
        <w:t>单位：万元</w:t>
      </w:r>
    </w:p>
    <w:tbl>
      <w:tblPr>
        <w:tblStyle w:val="11"/>
        <w:tblW w:w="5209" w:type="pct"/>
        <w:tblInd w:w="-358" w:type="dxa"/>
        <w:tblLayout w:type="fixed"/>
        <w:tblCellMar>
          <w:top w:w="0" w:type="dxa"/>
          <w:left w:w="108" w:type="dxa"/>
          <w:bottom w:w="0" w:type="dxa"/>
          <w:right w:w="108" w:type="dxa"/>
        </w:tblCellMar>
      </w:tblPr>
      <w:tblGrid>
        <w:gridCol w:w="489"/>
        <w:gridCol w:w="424"/>
        <w:gridCol w:w="1139"/>
        <w:gridCol w:w="1177"/>
        <w:gridCol w:w="1184"/>
        <w:gridCol w:w="1115"/>
        <w:gridCol w:w="1113"/>
        <w:gridCol w:w="1115"/>
        <w:gridCol w:w="1122"/>
      </w:tblGrid>
      <w:tr w14:paraId="20875310">
        <w:tblPrEx>
          <w:tblCellMar>
            <w:top w:w="0" w:type="dxa"/>
            <w:left w:w="108" w:type="dxa"/>
            <w:bottom w:w="0" w:type="dxa"/>
            <w:right w:w="108" w:type="dxa"/>
          </w:tblCellMar>
        </w:tblPrEx>
        <w:trPr>
          <w:trHeight w:val="340" w:hRule="atLeast"/>
        </w:trPr>
        <w:tc>
          <w:tcPr>
            <w:tcW w:w="51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563D2">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部门（单位）名称</w:t>
            </w:r>
          </w:p>
        </w:tc>
        <w:tc>
          <w:tcPr>
            <w:tcW w:w="4486" w:type="pct"/>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11462A02">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北京市公园管理中心</w:t>
            </w:r>
          </w:p>
        </w:tc>
      </w:tr>
      <w:tr w14:paraId="700A3B22">
        <w:tblPrEx>
          <w:tblCellMar>
            <w:top w:w="0" w:type="dxa"/>
            <w:left w:w="108" w:type="dxa"/>
            <w:bottom w:w="0" w:type="dxa"/>
            <w:right w:w="108" w:type="dxa"/>
          </w:tblCellMar>
        </w:tblPrEx>
        <w:trPr>
          <w:trHeight w:val="340" w:hRule="atLeast"/>
        </w:trPr>
        <w:tc>
          <w:tcPr>
            <w:tcW w:w="513"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A12A7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总体资金情况（万元）</w:t>
            </w:r>
          </w:p>
        </w:tc>
        <w:tc>
          <w:tcPr>
            <w:tcW w:w="64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5D5AF8">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预算支出总额</w:t>
            </w:r>
          </w:p>
        </w:tc>
        <w:tc>
          <w:tcPr>
            <w:tcW w:w="1958"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341F9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财政拨款</w:t>
            </w:r>
          </w:p>
        </w:tc>
        <w:tc>
          <w:tcPr>
            <w:tcW w:w="1885"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D9C775">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其他资金</w:t>
            </w:r>
          </w:p>
        </w:tc>
      </w:tr>
      <w:tr w14:paraId="578B9B7A">
        <w:tblPrEx>
          <w:tblCellMar>
            <w:top w:w="0" w:type="dxa"/>
            <w:left w:w="108" w:type="dxa"/>
            <w:bottom w:w="0" w:type="dxa"/>
            <w:right w:w="108" w:type="dxa"/>
          </w:tblCellMar>
        </w:tblPrEx>
        <w:trPr>
          <w:trHeight w:val="340" w:hRule="atLeast"/>
        </w:trPr>
        <w:tc>
          <w:tcPr>
            <w:tcW w:w="513"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0F22C6">
            <w:pPr>
              <w:jc w:val="center"/>
              <w:rPr>
                <w:rFonts w:ascii="宋体" w:hAnsi="宋体" w:cs="宋体"/>
                <w:b/>
                <w:bCs/>
                <w:color w:val="000000"/>
                <w:sz w:val="18"/>
                <w:szCs w:val="18"/>
              </w:rPr>
            </w:pPr>
          </w:p>
        </w:tc>
        <w:tc>
          <w:tcPr>
            <w:tcW w:w="64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42F03A">
            <w:pPr>
              <w:jc w:val="center"/>
              <w:rPr>
                <w:rFonts w:ascii="宋体" w:hAnsi="宋体" w:cs="宋体"/>
                <w:b/>
                <w:bCs/>
                <w:color w:val="000000"/>
                <w:sz w:val="18"/>
                <w:szCs w:val="18"/>
              </w:rPr>
            </w:pPr>
          </w:p>
        </w:tc>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14:paraId="1AE47F39">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合计</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14:paraId="41300794">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基本支出</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28814535">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项目支出</w:t>
            </w:r>
          </w:p>
        </w:tc>
        <w:tc>
          <w:tcPr>
            <w:tcW w:w="627" w:type="pct"/>
            <w:tcBorders>
              <w:top w:val="single" w:color="auto" w:sz="4" w:space="0"/>
              <w:left w:val="single" w:color="auto" w:sz="4" w:space="0"/>
              <w:bottom w:val="single" w:color="auto" w:sz="4" w:space="0"/>
              <w:right w:val="single" w:color="auto" w:sz="4" w:space="0"/>
            </w:tcBorders>
            <w:shd w:val="clear" w:color="auto" w:fill="auto"/>
            <w:vAlign w:val="center"/>
          </w:tcPr>
          <w:p w14:paraId="17F39BE8">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合计</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1115A5A3">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基本支出</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470F2535">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项目支出</w:t>
            </w:r>
          </w:p>
        </w:tc>
      </w:tr>
      <w:tr w14:paraId="4643436F">
        <w:tblPrEx>
          <w:tblCellMar>
            <w:top w:w="0" w:type="dxa"/>
            <w:left w:w="108" w:type="dxa"/>
            <w:bottom w:w="0" w:type="dxa"/>
            <w:right w:w="108" w:type="dxa"/>
          </w:tblCellMar>
        </w:tblPrEx>
        <w:trPr>
          <w:trHeight w:val="340" w:hRule="atLeast"/>
        </w:trPr>
        <w:tc>
          <w:tcPr>
            <w:tcW w:w="513"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7A7B72">
            <w:pPr>
              <w:jc w:val="center"/>
              <w:rPr>
                <w:rFonts w:ascii="宋体" w:hAnsi="宋体" w:cs="宋体"/>
                <w:b/>
                <w:bCs/>
                <w:color w:val="000000"/>
                <w:sz w:val="18"/>
                <w:szCs w:val="18"/>
              </w:rPr>
            </w:pPr>
          </w:p>
        </w:tc>
        <w:tc>
          <w:tcPr>
            <w:tcW w:w="64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BB68C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307,365.34</w:t>
            </w:r>
          </w:p>
        </w:tc>
        <w:tc>
          <w:tcPr>
            <w:tcW w:w="66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8AAD63C">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220,657.91</w:t>
            </w:r>
          </w:p>
        </w:tc>
        <w:tc>
          <w:tcPr>
            <w:tcW w:w="6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804DC96">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201,345.67</w:t>
            </w:r>
          </w:p>
        </w:tc>
        <w:tc>
          <w:tcPr>
            <w:tcW w:w="62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BE7D72">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19,312.23</w:t>
            </w:r>
          </w:p>
        </w:tc>
        <w:tc>
          <w:tcPr>
            <w:tcW w:w="62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F3ABE5F">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86,707.43</w:t>
            </w:r>
          </w:p>
        </w:tc>
        <w:tc>
          <w:tcPr>
            <w:tcW w:w="62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824F88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25,429.80</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A9A2390">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rPr>
              <w:t>61,277.63</w:t>
            </w:r>
          </w:p>
        </w:tc>
      </w:tr>
      <w:tr w14:paraId="4B4B14C8">
        <w:tblPrEx>
          <w:tblCellMar>
            <w:top w:w="0" w:type="dxa"/>
            <w:left w:w="108" w:type="dxa"/>
            <w:bottom w:w="0" w:type="dxa"/>
            <w:right w:w="108" w:type="dxa"/>
          </w:tblCellMar>
        </w:tblPrEx>
        <w:trPr>
          <w:trHeight w:val="340" w:hRule="atLeast"/>
        </w:trPr>
        <w:tc>
          <w:tcPr>
            <w:tcW w:w="27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F6A073">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整体绩效目标</w:t>
            </w: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5BD1BFA3">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整体绩效目标</w:t>
            </w:r>
          </w:p>
        </w:tc>
        <w:tc>
          <w:tcPr>
            <w:tcW w:w="4486"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19F3AE">
            <w:pPr>
              <w:widowControl/>
              <w:jc w:val="left"/>
              <w:textAlignment w:val="center"/>
              <w:rPr>
                <w:rFonts w:ascii="宋体" w:hAnsi="宋体" w:cs="宋体"/>
                <w:color w:val="000000"/>
                <w:sz w:val="18"/>
                <w:szCs w:val="18"/>
              </w:rPr>
            </w:pPr>
            <w:r>
              <w:rPr>
                <w:rStyle w:val="22"/>
                <w:rFonts w:hint="default"/>
              </w:rPr>
              <w:t xml:space="preserve">2024年是全面贯彻党的二十大精神的关键之年，是持续推进新时代首都发展、加速落实十四五规划的重要之年。国内外旅游市场将迎来全面复苏，对于推动中心事业高质量发展带来了机遇和挑战。中心将按照市委市政府和市园林绿化局相关安排部署，紧紧围绕首都城市战略定位，坚持稳中求进工作总基调，完整、准确、全面贯彻新发展理念，切实增强推动高质量发展的责任感紧迫感，持续强化创新发展内生动力，突出生态优先、绿色发展，持续推进“四优一满意”公园精品建设，坚持挖潜提质、集约增效、强基固本、创安促稳，加快构建具有首都特点的市属公园服务保障工作体系，以实干实效交出高质量发展优异答卷。 在重点工作任务上，紧紧围绕市委市政府和市园林绿化局部署安排，着眼服务首都“四个中心”功能建设，全力抓好核心区控规、全国文化中心建设、民生实事项目等一系列重点任务，持续推进国家植物园万生苑展览温室外围护结构修缮工程，大力推进市属公园国家会客厅建设，不断提升综合服务保障工作水平。 在文物保护修缮上，践行“保护第一、加强管理、挖掘价值、合理利用、让文物活起来”的新时代文物工作方针，推进颐和园养云轩活化利用，苏州街、清华轩、乐农轩、听鹂馆修缮，四大部洲保养维护，长廊彩画文物研究性保护；抓好天坛皇穹宇、北海西天梵境、香山碧云寺、动物园清农事试验场旧址、紫竹院行宫等修缮。 在基础设施建设上，大力推进硬件设施建设，推进颐和园文昌院箱变更新改造，天坛、北海、中山地下基础设施专项规划编制，香山索道配套电路改造，动物园两爬馆、猿猴馆卫生间改造，陶然亭报春亭等5处亭子修缮，紫竹院大湖周边设施改造，玉渊潭樱花更新等工作。强化科技赋能，推进中心智慧公园数据平台建设（一期），政务外网互联网双网融合，北海、中山机房改造，颐和园耕织图、动物园生物多样性、玉渊潭樱花园及湿地科普小屋建设等。 在服务管理提升上，不断优化服务品质，推进颐和园固定牌示更新、“园说”系列专题展筹备，天坛神乐署中和韶乐展览制作、电子票务闸机及验票通道更新，北海、陶然亭游船购置，香山游客服务中心改造提升、见心斋传统文化传播基地建设，紫竹院游艺设备更新，玉渊潭水面保洁专用船购置，动物园固定牌示更新，北海碧海楼、中山后河及植物园樱桃沟文创店改造等。 在提升安全系数上，持续深化安全风险隐患大排查大整治活动成果，推进颐和园、北海、中山、景山、植物园消防报警系统升级改造，天坛应急通信系统建设，香山、植物园、陶然亭、玉渊潭监控设备升级改造，动物园十三陵繁育基地消防栓扩建，植物园森林防火设施建设等，有效提升安全系数。 </w:t>
            </w:r>
          </w:p>
        </w:tc>
      </w:tr>
      <w:tr w14:paraId="1C7A36FD">
        <w:tblPrEx>
          <w:tblCellMar>
            <w:top w:w="0" w:type="dxa"/>
            <w:left w:w="108" w:type="dxa"/>
            <w:bottom w:w="0" w:type="dxa"/>
            <w:right w:w="108" w:type="dxa"/>
          </w:tblCellMar>
        </w:tblPrEx>
        <w:trPr>
          <w:trHeight w:val="340" w:hRule="atLeast"/>
        </w:trPr>
        <w:tc>
          <w:tcPr>
            <w:tcW w:w="27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F93CB5">
            <w:pPr>
              <w:jc w:val="center"/>
              <w:rPr>
                <w:rFonts w:ascii="宋体" w:hAnsi="宋体" w:cs="宋体"/>
                <w:b/>
                <w:bCs/>
                <w:color w:val="000000"/>
                <w:sz w:val="18"/>
                <w:szCs w:val="18"/>
              </w:rPr>
            </w:pPr>
          </w:p>
        </w:tc>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14:paraId="7B2AF52F">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其他说明</w:t>
            </w:r>
          </w:p>
        </w:tc>
        <w:tc>
          <w:tcPr>
            <w:tcW w:w="4486" w:type="pct"/>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F39551">
            <w:pPr>
              <w:jc w:val="left"/>
              <w:rPr>
                <w:rFonts w:ascii="宋体" w:hAnsi="宋体" w:cs="宋体"/>
                <w:color w:val="000000"/>
                <w:sz w:val="18"/>
                <w:szCs w:val="18"/>
              </w:rPr>
            </w:pPr>
          </w:p>
        </w:tc>
      </w:tr>
      <w:tr w14:paraId="745BCE2F">
        <w:tblPrEx>
          <w:tblCellMar>
            <w:top w:w="0" w:type="dxa"/>
            <w:left w:w="108" w:type="dxa"/>
            <w:bottom w:w="0" w:type="dxa"/>
            <w:right w:w="108" w:type="dxa"/>
          </w:tblCellMar>
        </w:tblPrEx>
        <w:trPr>
          <w:trHeight w:val="340" w:hRule="atLeast"/>
        </w:trPr>
        <w:tc>
          <w:tcPr>
            <w:tcW w:w="27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A0C689">
            <w:pPr>
              <w:jc w:val="center"/>
              <w:rPr>
                <w:rFonts w:ascii="宋体" w:hAnsi="宋体" w:cs="宋体"/>
                <w:b/>
                <w:bCs/>
                <w:color w:val="000000"/>
                <w:sz w:val="18"/>
                <w:szCs w:val="18"/>
              </w:rPr>
            </w:pP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7EFFC">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活动</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E97B4">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绩效指标</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0062B81C">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指标性质</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B408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指标值</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34FB94B6">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度量单位</w:t>
            </w:r>
          </w:p>
        </w:tc>
      </w:tr>
      <w:tr w14:paraId="1BA35FD8">
        <w:tblPrEx>
          <w:tblCellMar>
            <w:top w:w="0" w:type="dxa"/>
            <w:left w:w="108" w:type="dxa"/>
            <w:bottom w:w="0" w:type="dxa"/>
            <w:right w:w="108" w:type="dxa"/>
          </w:tblCellMar>
        </w:tblPrEx>
        <w:trPr>
          <w:trHeight w:val="340" w:hRule="atLeast"/>
        </w:trPr>
        <w:tc>
          <w:tcPr>
            <w:tcW w:w="27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F9D0AA">
            <w:pPr>
              <w:jc w:val="center"/>
              <w:rPr>
                <w:rFonts w:ascii="宋体" w:hAnsi="宋体" w:cs="宋体"/>
                <w:b/>
                <w:bCs/>
                <w:color w:val="000000"/>
                <w:sz w:val="18"/>
                <w:szCs w:val="18"/>
              </w:rPr>
            </w:pP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4193D">
            <w:pPr>
              <w:widowControl/>
              <w:jc w:val="left"/>
              <w:textAlignment w:val="center"/>
              <w:rPr>
                <w:rFonts w:ascii="宋体" w:hAnsi="宋体" w:cs="宋体"/>
                <w:color w:val="000000"/>
                <w:sz w:val="18"/>
                <w:szCs w:val="18"/>
              </w:rPr>
            </w:pPr>
            <w:r>
              <w:rPr>
                <w:rStyle w:val="22"/>
                <w:rFonts w:hint="default"/>
              </w:rPr>
              <w:t>安全管理</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FBFA72">
            <w:pPr>
              <w:widowControl/>
              <w:jc w:val="left"/>
              <w:textAlignment w:val="center"/>
              <w:rPr>
                <w:rFonts w:ascii="宋体" w:hAnsi="宋体" w:cs="宋体"/>
                <w:color w:val="000000"/>
                <w:sz w:val="18"/>
                <w:szCs w:val="18"/>
              </w:rPr>
            </w:pPr>
            <w:r>
              <w:rPr>
                <w:rStyle w:val="22"/>
                <w:rFonts w:hint="default"/>
              </w:rPr>
              <w:t>效益指标社会效益指标不出现重大安全责任事故</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79A5CACC">
            <w:pPr>
              <w:widowControl/>
              <w:jc w:val="left"/>
              <w:textAlignment w:val="center"/>
              <w:rPr>
                <w:rFonts w:ascii="宋体" w:hAnsi="宋体" w:cs="宋体"/>
                <w:color w:val="000000"/>
                <w:sz w:val="18"/>
                <w:szCs w:val="18"/>
              </w:rPr>
            </w:pPr>
            <w:r>
              <w:rPr>
                <w:rStyle w:val="22"/>
                <w:rFonts w:hint="default"/>
              </w:rPr>
              <w:t>定性</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A2BB9">
            <w:pPr>
              <w:widowControl/>
              <w:jc w:val="left"/>
              <w:textAlignment w:val="center"/>
              <w:rPr>
                <w:rFonts w:ascii="宋体" w:hAnsi="宋体" w:cs="宋体"/>
                <w:color w:val="000000"/>
                <w:sz w:val="18"/>
                <w:szCs w:val="18"/>
              </w:rPr>
            </w:pPr>
            <w:r>
              <w:rPr>
                <w:rStyle w:val="22"/>
                <w:rFonts w:hint="default"/>
              </w:rPr>
              <w:t>好</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6168B41B">
            <w:pPr>
              <w:jc w:val="left"/>
              <w:rPr>
                <w:rFonts w:ascii="宋体" w:hAnsi="宋体" w:cs="宋体"/>
                <w:color w:val="000000"/>
                <w:sz w:val="18"/>
                <w:szCs w:val="18"/>
              </w:rPr>
            </w:pPr>
          </w:p>
        </w:tc>
      </w:tr>
      <w:tr w14:paraId="129A0936">
        <w:tblPrEx>
          <w:tblCellMar>
            <w:top w:w="0" w:type="dxa"/>
            <w:left w:w="108" w:type="dxa"/>
            <w:bottom w:w="0" w:type="dxa"/>
            <w:right w:w="108" w:type="dxa"/>
          </w:tblCellMar>
        </w:tblPrEx>
        <w:trPr>
          <w:trHeight w:val="340" w:hRule="atLeast"/>
        </w:trPr>
        <w:tc>
          <w:tcPr>
            <w:tcW w:w="27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0CF0B0">
            <w:pPr>
              <w:jc w:val="center"/>
              <w:rPr>
                <w:rFonts w:ascii="宋体" w:hAnsi="宋体" w:cs="宋体"/>
                <w:b/>
                <w:bCs/>
                <w:color w:val="000000"/>
                <w:sz w:val="18"/>
                <w:szCs w:val="18"/>
              </w:rPr>
            </w:pP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170256">
            <w:pPr>
              <w:widowControl/>
              <w:jc w:val="left"/>
              <w:textAlignment w:val="center"/>
              <w:rPr>
                <w:rFonts w:ascii="宋体" w:hAnsi="宋体" w:cs="宋体"/>
                <w:color w:val="000000"/>
                <w:sz w:val="18"/>
                <w:szCs w:val="18"/>
              </w:rPr>
            </w:pPr>
            <w:r>
              <w:rPr>
                <w:rStyle w:val="22"/>
                <w:rFonts w:hint="default"/>
              </w:rPr>
              <w:t>公园服务、博物馆管理</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8EDE05">
            <w:pPr>
              <w:widowControl/>
              <w:jc w:val="left"/>
              <w:textAlignment w:val="center"/>
              <w:rPr>
                <w:rFonts w:ascii="宋体" w:hAnsi="宋体" w:cs="宋体"/>
                <w:color w:val="000000"/>
                <w:sz w:val="18"/>
                <w:szCs w:val="18"/>
              </w:rPr>
            </w:pPr>
            <w:r>
              <w:rPr>
                <w:rStyle w:val="22"/>
                <w:rFonts w:hint="default"/>
              </w:rPr>
              <w:t>产出指标数量指标游人量</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2EF72DAF">
            <w:pPr>
              <w:widowControl/>
              <w:jc w:val="left"/>
              <w:textAlignment w:val="center"/>
              <w:rPr>
                <w:rFonts w:ascii="宋体" w:hAnsi="宋体" w:cs="宋体"/>
                <w:color w:val="000000"/>
                <w:sz w:val="18"/>
                <w:szCs w:val="18"/>
              </w:rPr>
            </w:pPr>
            <w:r>
              <w:rPr>
                <w:rStyle w:val="22"/>
                <w:rFonts w:hint="default"/>
              </w:rPr>
              <w:t>≥</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B92EEB">
            <w:pPr>
              <w:widowControl/>
              <w:jc w:val="left"/>
              <w:textAlignment w:val="center"/>
              <w:rPr>
                <w:rFonts w:ascii="宋体" w:hAnsi="宋体" w:cs="宋体"/>
                <w:color w:val="000000"/>
                <w:sz w:val="18"/>
                <w:szCs w:val="18"/>
              </w:rPr>
            </w:pPr>
            <w:r>
              <w:rPr>
                <w:rStyle w:val="22"/>
                <w:rFonts w:hint="default"/>
              </w:rPr>
              <w:t>6500</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26AA532D">
            <w:pPr>
              <w:widowControl/>
              <w:jc w:val="left"/>
              <w:textAlignment w:val="center"/>
              <w:rPr>
                <w:rFonts w:ascii="宋体" w:hAnsi="宋体" w:cs="宋体"/>
                <w:color w:val="000000"/>
                <w:sz w:val="18"/>
                <w:szCs w:val="18"/>
              </w:rPr>
            </w:pPr>
            <w:r>
              <w:rPr>
                <w:rStyle w:val="22"/>
                <w:rFonts w:hint="default"/>
              </w:rPr>
              <w:t>万人</w:t>
            </w:r>
          </w:p>
        </w:tc>
      </w:tr>
      <w:tr w14:paraId="7A0C7B1D">
        <w:tblPrEx>
          <w:tblCellMar>
            <w:top w:w="0" w:type="dxa"/>
            <w:left w:w="108" w:type="dxa"/>
            <w:bottom w:w="0" w:type="dxa"/>
            <w:right w:w="108" w:type="dxa"/>
          </w:tblCellMar>
        </w:tblPrEx>
        <w:trPr>
          <w:trHeight w:val="340" w:hRule="atLeast"/>
        </w:trPr>
        <w:tc>
          <w:tcPr>
            <w:tcW w:w="275" w:type="pct"/>
            <w:vMerge w:val="restart"/>
            <w:tcBorders>
              <w:top w:val="single" w:color="auto" w:sz="4" w:space="0"/>
              <w:left w:val="single" w:color="auto" w:sz="4" w:space="0"/>
              <w:right w:val="single" w:color="auto" w:sz="4" w:space="0"/>
            </w:tcBorders>
            <w:shd w:val="clear" w:color="auto" w:fill="auto"/>
            <w:vAlign w:val="center"/>
          </w:tcPr>
          <w:p w14:paraId="5F6D2853">
            <w:pPr>
              <w:jc w:val="center"/>
              <w:rPr>
                <w:rFonts w:ascii="宋体" w:hAnsi="宋体" w:cs="宋体"/>
                <w:b/>
                <w:bCs/>
                <w:color w:val="000000"/>
                <w:sz w:val="18"/>
                <w:szCs w:val="18"/>
              </w:rPr>
            </w:pPr>
            <w:r>
              <w:rPr>
                <w:rFonts w:hint="eastAsia" w:ascii="宋体" w:hAnsi="宋体" w:cs="宋体"/>
                <w:b/>
                <w:bCs/>
                <w:color w:val="000000"/>
                <w:sz w:val="18"/>
                <w:szCs w:val="18"/>
              </w:rPr>
              <w:t>续上页</w:t>
            </w: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1F2592">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活动</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44A05">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绩效指标</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4C4554A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指标性质</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E93259">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指标值</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19529DC1">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度量单位</w:t>
            </w:r>
          </w:p>
        </w:tc>
      </w:tr>
      <w:tr w14:paraId="67EDF117">
        <w:tblPrEx>
          <w:tblCellMar>
            <w:top w:w="0" w:type="dxa"/>
            <w:left w:w="108" w:type="dxa"/>
            <w:bottom w:w="0" w:type="dxa"/>
            <w:right w:w="108" w:type="dxa"/>
          </w:tblCellMar>
        </w:tblPrEx>
        <w:trPr>
          <w:trHeight w:val="340" w:hRule="atLeast"/>
        </w:trPr>
        <w:tc>
          <w:tcPr>
            <w:tcW w:w="275" w:type="pct"/>
            <w:vMerge w:val="continue"/>
            <w:tcBorders>
              <w:left w:val="single" w:color="auto" w:sz="4" w:space="0"/>
              <w:right w:val="single" w:color="auto" w:sz="4" w:space="0"/>
            </w:tcBorders>
            <w:shd w:val="clear" w:color="auto" w:fill="auto"/>
            <w:vAlign w:val="center"/>
          </w:tcPr>
          <w:p w14:paraId="284BD26D">
            <w:pPr>
              <w:jc w:val="center"/>
              <w:rPr>
                <w:rFonts w:ascii="宋体" w:hAnsi="宋体" w:cs="宋体"/>
                <w:b/>
                <w:bCs/>
                <w:color w:val="000000"/>
                <w:sz w:val="18"/>
                <w:szCs w:val="18"/>
              </w:rPr>
            </w:pP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D6F9E6">
            <w:pPr>
              <w:widowControl/>
              <w:jc w:val="left"/>
              <w:textAlignment w:val="center"/>
              <w:rPr>
                <w:rFonts w:ascii="宋体" w:hAnsi="宋体" w:cs="宋体"/>
                <w:color w:val="000000"/>
                <w:sz w:val="18"/>
                <w:szCs w:val="18"/>
              </w:rPr>
            </w:pPr>
            <w:r>
              <w:rPr>
                <w:rStyle w:val="22"/>
                <w:rFonts w:hint="default"/>
              </w:rPr>
              <w:t>财务管理</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966EE5">
            <w:pPr>
              <w:widowControl/>
              <w:jc w:val="left"/>
              <w:textAlignment w:val="center"/>
              <w:rPr>
                <w:rFonts w:ascii="宋体" w:hAnsi="宋体" w:cs="宋体"/>
                <w:color w:val="000000"/>
                <w:sz w:val="18"/>
                <w:szCs w:val="18"/>
              </w:rPr>
            </w:pPr>
            <w:r>
              <w:rPr>
                <w:rStyle w:val="22"/>
                <w:rFonts w:hint="default"/>
              </w:rPr>
              <w:t>产出指标数量指标自创收入数</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7E4F3FC0">
            <w:pPr>
              <w:widowControl/>
              <w:jc w:val="left"/>
              <w:textAlignment w:val="center"/>
              <w:rPr>
                <w:rFonts w:ascii="宋体" w:hAnsi="宋体" w:cs="宋体"/>
                <w:color w:val="000000"/>
                <w:sz w:val="18"/>
                <w:szCs w:val="18"/>
              </w:rPr>
            </w:pPr>
            <w:r>
              <w:rPr>
                <w:rStyle w:val="22"/>
                <w:rFonts w:hint="default"/>
              </w:rPr>
              <w:t>≥</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107362">
            <w:pPr>
              <w:widowControl/>
              <w:jc w:val="left"/>
              <w:textAlignment w:val="center"/>
              <w:rPr>
                <w:rFonts w:ascii="宋体" w:hAnsi="宋体" w:cs="宋体"/>
                <w:color w:val="000000"/>
                <w:sz w:val="18"/>
                <w:szCs w:val="18"/>
              </w:rPr>
            </w:pPr>
            <w:r>
              <w:rPr>
                <w:rStyle w:val="22"/>
                <w:rFonts w:hint="default"/>
              </w:rPr>
              <w:t>60000</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2C389370">
            <w:pPr>
              <w:widowControl/>
              <w:jc w:val="left"/>
              <w:textAlignment w:val="center"/>
              <w:rPr>
                <w:rFonts w:ascii="宋体" w:hAnsi="宋体" w:cs="宋体"/>
                <w:color w:val="000000"/>
                <w:sz w:val="18"/>
                <w:szCs w:val="18"/>
              </w:rPr>
            </w:pPr>
            <w:r>
              <w:rPr>
                <w:rStyle w:val="22"/>
                <w:rFonts w:hint="default"/>
              </w:rPr>
              <w:t>万元</w:t>
            </w:r>
          </w:p>
        </w:tc>
      </w:tr>
      <w:tr w14:paraId="56566F86">
        <w:tblPrEx>
          <w:tblCellMar>
            <w:top w:w="0" w:type="dxa"/>
            <w:left w:w="108" w:type="dxa"/>
            <w:bottom w:w="0" w:type="dxa"/>
            <w:right w:w="108" w:type="dxa"/>
          </w:tblCellMar>
        </w:tblPrEx>
        <w:trPr>
          <w:trHeight w:val="340" w:hRule="atLeast"/>
        </w:trPr>
        <w:tc>
          <w:tcPr>
            <w:tcW w:w="275" w:type="pct"/>
            <w:vMerge w:val="continue"/>
            <w:tcBorders>
              <w:left w:val="single" w:color="auto" w:sz="4" w:space="0"/>
              <w:bottom w:val="single" w:color="auto" w:sz="4" w:space="0"/>
              <w:right w:val="single" w:color="auto" w:sz="4" w:space="0"/>
            </w:tcBorders>
            <w:shd w:val="clear" w:color="auto" w:fill="auto"/>
            <w:vAlign w:val="center"/>
          </w:tcPr>
          <w:p w14:paraId="5CC2EE25">
            <w:pPr>
              <w:jc w:val="center"/>
              <w:rPr>
                <w:rFonts w:ascii="宋体" w:hAnsi="宋体" w:cs="宋体"/>
                <w:b/>
                <w:bCs/>
                <w:color w:val="000000"/>
                <w:sz w:val="18"/>
                <w:szCs w:val="18"/>
              </w:rPr>
            </w:pPr>
          </w:p>
        </w:tc>
        <w:tc>
          <w:tcPr>
            <w:tcW w:w="87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5D0C91">
            <w:pPr>
              <w:widowControl/>
              <w:jc w:val="left"/>
              <w:textAlignment w:val="center"/>
              <w:rPr>
                <w:rFonts w:ascii="宋体" w:hAnsi="宋体" w:cs="宋体"/>
                <w:color w:val="000000"/>
                <w:sz w:val="18"/>
                <w:szCs w:val="18"/>
              </w:rPr>
            </w:pPr>
            <w:r>
              <w:rPr>
                <w:rStyle w:val="22"/>
                <w:rFonts w:hint="default"/>
              </w:rPr>
              <w:t>公园服务、博物馆管理</w:t>
            </w:r>
          </w:p>
        </w:tc>
        <w:tc>
          <w:tcPr>
            <w:tcW w:w="133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612B2B">
            <w:pPr>
              <w:widowControl/>
              <w:jc w:val="left"/>
              <w:textAlignment w:val="center"/>
              <w:rPr>
                <w:rFonts w:ascii="宋体" w:hAnsi="宋体" w:cs="宋体"/>
                <w:color w:val="000000"/>
                <w:sz w:val="18"/>
                <w:szCs w:val="18"/>
              </w:rPr>
            </w:pPr>
            <w:r>
              <w:rPr>
                <w:rStyle w:val="22"/>
                <w:rFonts w:hint="default"/>
              </w:rPr>
              <w:t>满意度指标服务对象满意度指标游客满意度</w:t>
            </w:r>
          </w:p>
        </w:tc>
        <w:tc>
          <w:tcPr>
            <w:tcW w:w="628" w:type="pct"/>
            <w:tcBorders>
              <w:top w:val="single" w:color="auto" w:sz="4" w:space="0"/>
              <w:left w:val="single" w:color="auto" w:sz="4" w:space="0"/>
              <w:bottom w:val="single" w:color="auto" w:sz="4" w:space="0"/>
              <w:right w:val="single" w:color="auto" w:sz="4" w:space="0"/>
            </w:tcBorders>
            <w:shd w:val="clear" w:color="auto" w:fill="auto"/>
            <w:vAlign w:val="center"/>
          </w:tcPr>
          <w:p w14:paraId="5A1E3159">
            <w:pPr>
              <w:widowControl/>
              <w:jc w:val="left"/>
              <w:textAlignment w:val="center"/>
              <w:rPr>
                <w:rFonts w:ascii="宋体" w:hAnsi="宋体" w:cs="宋体"/>
                <w:color w:val="000000"/>
                <w:sz w:val="18"/>
                <w:szCs w:val="18"/>
              </w:rPr>
            </w:pPr>
            <w:r>
              <w:rPr>
                <w:rStyle w:val="22"/>
                <w:rFonts w:hint="default"/>
              </w:rPr>
              <w:t>≥</w:t>
            </w:r>
          </w:p>
        </w:tc>
        <w:tc>
          <w:tcPr>
            <w:tcW w:w="12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25CD8">
            <w:pPr>
              <w:widowControl/>
              <w:jc w:val="left"/>
              <w:textAlignment w:val="center"/>
              <w:rPr>
                <w:rFonts w:ascii="宋体" w:hAnsi="宋体" w:cs="宋体"/>
                <w:color w:val="000000"/>
                <w:sz w:val="18"/>
                <w:szCs w:val="18"/>
              </w:rPr>
            </w:pPr>
            <w:r>
              <w:rPr>
                <w:rStyle w:val="22"/>
                <w:rFonts w:hint="default"/>
              </w:rPr>
              <w:t>95</w:t>
            </w:r>
          </w:p>
        </w:tc>
        <w:tc>
          <w:tcPr>
            <w:tcW w:w="630" w:type="pct"/>
            <w:tcBorders>
              <w:top w:val="single" w:color="auto" w:sz="4" w:space="0"/>
              <w:left w:val="single" w:color="auto" w:sz="4" w:space="0"/>
              <w:bottom w:val="single" w:color="auto" w:sz="4" w:space="0"/>
              <w:right w:val="single" w:color="auto" w:sz="4" w:space="0"/>
            </w:tcBorders>
            <w:shd w:val="clear" w:color="auto" w:fill="auto"/>
            <w:vAlign w:val="center"/>
          </w:tcPr>
          <w:p w14:paraId="2FCD8F50">
            <w:pPr>
              <w:widowControl/>
              <w:jc w:val="left"/>
              <w:textAlignment w:val="center"/>
              <w:rPr>
                <w:rFonts w:ascii="宋体" w:hAnsi="宋体" w:cs="宋体"/>
                <w:color w:val="000000"/>
                <w:sz w:val="18"/>
                <w:szCs w:val="18"/>
              </w:rPr>
            </w:pPr>
            <w:r>
              <w:rPr>
                <w:rStyle w:val="22"/>
                <w:rFonts w:hint="default"/>
              </w:rPr>
              <w:t>%</w:t>
            </w:r>
          </w:p>
        </w:tc>
      </w:tr>
    </w:tbl>
    <w:p w14:paraId="3BFEAFDE">
      <w:pPr>
        <w:spacing w:line="360" w:lineRule="auto"/>
        <w:rPr>
          <w:rFonts w:ascii="仿宋_GB2312" w:hAnsi="Arial" w:eastAsia="仿宋_GB2312" w:cs="Arial"/>
          <w:kern w:val="0"/>
          <w:sz w:val="32"/>
          <w:szCs w:val="32"/>
        </w:rPr>
      </w:pPr>
    </w:p>
    <w:p w14:paraId="61A0E543">
      <w:pPr>
        <w:pStyle w:val="2"/>
        <w:spacing w:line="360" w:lineRule="auto"/>
        <w:ind w:firstLine="640"/>
        <w:rPr>
          <w:rFonts w:ascii="仿宋_GB2312" w:hAnsi="Arial" w:eastAsia="仿宋_GB2312" w:cs="Arial"/>
          <w:kern w:val="0"/>
          <w:sz w:val="32"/>
          <w:szCs w:val="32"/>
        </w:rPr>
      </w:pPr>
      <w:r>
        <w:rPr>
          <w:rFonts w:hint="eastAsia" w:ascii="仿宋_GB2312" w:hAnsi="Arial" w:eastAsia="仿宋_GB2312" w:cs="Arial"/>
          <w:kern w:val="0"/>
          <w:sz w:val="32"/>
          <w:szCs w:val="32"/>
        </w:rPr>
        <w:t>2.</w:t>
      </w:r>
      <w:r>
        <w:rPr>
          <w:rFonts w:ascii="仿宋_GB2312" w:eastAsia="仿宋_GB2312"/>
          <w:sz w:val="32"/>
          <w:szCs w:val="32"/>
        </w:rPr>
        <w:t>绩效目标与职责任务匹配性</w:t>
      </w:r>
    </w:p>
    <w:p w14:paraId="6DA09796">
      <w:pPr>
        <w:pStyle w:val="2"/>
        <w:spacing w:line="360" w:lineRule="auto"/>
        <w:ind w:firstLine="640"/>
        <w:rPr>
          <w:rFonts w:ascii="仿宋_GB2312" w:eastAsia="仿宋_GB2312"/>
          <w:sz w:val="32"/>
          <w:szCs w:val="32"/>
        </w:rPr>
      </w:pPr>
      <w:r>
        <w:rPr>
          <w:rFonts w:hint="eastAsia" w:ascii="仿宋_GB2312" w:eastAsia="仿宋_GB2312"/>
          <w:sz w:val="32"/>
          <w:szCs w:val="32"/>
        </w:rPr>
        <w:t>中心2024年</w:t>
      </w:r>
      <w:r>
        <w:rPr>
          <w:rFonts w:ascii="仿宋_GB2312" w:eastAsia="仿宋_GB2312"/>
          <w:sz w:val="32"/>
          <w:szCs w:val="32"/>
        </w:rPr>
        <w:t>度部门整体绩效目标</w:t>
      </w:r>
      <w:r>
        <w:rPr>
          <w:rFonts w:hint="eastAsia" w:ascii="仿宋_GB2312" w:eastAsia="仿宋_GB2312"/>
          <w:sz w:val="32"/>
          <w:szCs w:val="32"/>
        </w:rPr>
        <w:t>紧紧</w:t>
      </w:r>
      <w:r>
        <w:rPr>
          <w:rFonts w:ascii="仿宋_GB2312" w:eastAsia="仿宋_GB2312"/>
          <w:sz w:val="32"/>
          <w:szCs w:val="32"/>
        </w:rPr>
        <w:t>围绕部门职能及年度工作计划设置，与单位职责履行、年度工作任务较为相符，绩效目标与部门职责及重点工作匹配情况</w:t>
      </w:r>
      <w:r>
        <w:rPr>
          <w:rFonts w:hint="eastAsia" w:ascii="仿宋_GB2312" w:eastAsia="仿宋_GB2312"/>
          <w:sz w:val="32"/>
          <w:szCs w:val="32"/>
        </w:rPr>
        <w:t>详见表2。</w:t>
      </w:r>
    </w:p>
    <w:p w14:paraId="58A3711F">
      <w:pPr>
        <w:pStyle w:val="2"/>
        <w:spacing w:line="360" w:lineRule="auto"/>
        <w:ind w:firstLine="0" w:firstLineChars="0"/>
        <w:jc w:val="center"/>
      </w:pPr>
      <w:r>
        <w:rPr>
          <w:rFonts w:hint="eastAsia" w:ascii="黑体" w:hAnsi="黑体" w:eastAsia="黑体"/>
          <w:sz w:val="28"/>
          <w:szCs w:val="28"/>
        </w:rPr>
        <w:t>表2：绩效目标与部门职责及重点工作匹配情况表</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
        <w:gridCol w:w="3576"/>
        <w:gridCol w:w="905"/>
        <w:gridCol w:w="3705"/>
      </w:tblGrid>
      <w:tr w14:paraId="3E0FD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53" w:type="pct"/>
            <w:noWrap/>
            <w:vAlign w:val="center"/>
          </w:tcPr>
          <w:p w14:paraId="2DEADD9D">
            <w:pPr>
              <w:widowControl/>
              <w:spacing w:line="240" w:lineRule="atLeast"/>
              <w:jc w:val="center"/>
              <w:rPr>
                <w:rFonts w:ascii="宋体" w:hAnsi="宋体" w:cs="宋体"/>
                <w:b/>
                <w:bCs/>
                <w:kern w:val="0"/>
                <w:sz w:val="20"/>
                <w:szCs w:val="20"/>
              </w:rPr>
            </w:pPr>
            <w:r>
              <w:rPr>
                <w:rFonts w:hint="eastAsia" w:ascii="宋体" w:hAnsi="宋体" w:cs="宋体"/>
                <w:b/>
                <w:bCs/>
                <w:kern w:val="0"/>
                <w:sz w:val="20"/>
                <w:szCs w:val="20"/>
              </w:rPr>
              <w:t>序号</w:t>
            </w:r>
          </w:p>
        </w:tc>
        <w:tc>
          <w:tcPr>
            <w:tcW w:w="1799" w:type="pct"/>
            <w:noWrap/>
            <w:vAlign w:val="center"/>
          </w:tcPr>
          <w:p w14:paraId="5DC7F04E">
            <w:pPr>
              <w:widowControl/>
              <w:spacing w:line="240" w:lineRule="atLeast"/>
              <w:jc w:val="center"/>
              <w:rPr>
                <w:rFonts w:ascii="宋体" w:hAnsi="宋体" w:cs="宋体"/>
                <w:b/>
                <w:bCs/>
                <w:kern w:val="0"/>
                <w:sz w:val="20"/>
                <w:szCs w:val="20"/>
              </w:rPr>
            </w:pPr>
            <w:r>
              <w:rPr>
                <w:rFonts w:hint="eastAsia" w:ascii="宋体" w:hAnsi="宋体" w:cs="宋体"/>
                <w:b/>
                <w:bCs/>
                <w:kern w:val="0"/>
                <w:sz w:val="20"/>
                <w:szCs w:val="20"/>
              </w:rPr>
              <w:t>单位职责</w:t>
            </w:r>
          </w:p>
        </w:tc>
        <w:tc>
          <w:tcPr>
            <w:tcW w:w="2747" w:type="pct"/>
            <w:gridSpan w:val="2"/>
            <w:noWrap/>
            <w:vAlign w:val="center"/>
          </w:tcPr>
          <w:p w14:paraId="4075C825">
            <w:pPr>
              <w:widowControl/>
              <w:spacing w:line="240" w:lineRule="atLeast"/>
              <w:jc w:val="center"/>
              <w:rPr>
                <w:rFonts w:ascii="宋体" w:hAnsi="宋体" w:cs="宋体"/>
                <w:b/>
                <w:bCs/>
                <w:kern w:val="0"/>
                <w:sz w:val="20"/>
                <w:szCs w:val="20"/>
              </w:rPr>
            </w:pPr>
            <w:r>
              <w:rPr>
                <w:rFonts w:hint="eastAsia" w:ascii="宋体" w:hAnsi="宋体" w:cs="宋体"/>
                <w:b/>
                <w:bCs/>
                <w:kern w:val="0"/>
                <w:sz w:val="20"/>
                <w:szCs w:val="20"/>
              </w:rPr>
              <w:t>目标/任务</w:t>
            </w:r>
          </w:p>
        </w:tc>
      </w:tr>
      <w:tr w14:paraId="357D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restart"/>
            <w:noWrap/>
            <w:vAlign w:val="center"/>
          </w:tcPr>
          <w:p w14:paraId="6D254655">
            <w:pPr>
              <w:widowControl/>
              <w:spacing w:line="240" w:lineRule="atLeast"/>
              <w:jc w:val="center"/>
              <w:rPr>
                <w:rFonts w:ascii="宋体" w:hAnsi="宋体" w:cs="宋体"/>
                <w:kern w:val="0"/>
                <w:sz w:val="20"/>
                <w:szCs w:val="20"/>
              </w:rPr>
            </w:pPr>
            <w:r>
              <w:rPr>
                <w:rFonts w:hint="eastAsia" w:ascii="宋体" w:hAnsi="宋体" w:cs="宋体"/>
                <w:kern w:val="0"/>
                <w:sz w:val="20"/>
                <w:szCs w:val="20"/>
              </w:rPr>
              <w:t>一</w:t>
            </w:r>
          </w:p>
        </w:tc>
        <w:tc>
          <w:tcPr>
            <w:tcW w:w="1799" w:type="pct"/>
            <w:vMerge w:val="restart"/>
            <w:noWrap/>
            <w:vAlign w:val="center"/>
          </w:tcPr>
          <w:p w14:paraId="48F57C19">
            <w:pPr>
              <w:widowControl/>
              <w:spacing w:line="240" w:lineRule="atLeast"/>
              <w:rPr>
                <w:rFonts w:ascii="宋体" w:hAnsi="宋体" w:cs="宋体"/>
                <w:kern w:val="0"/>
                <w:sz w:val="20"/>
                <w:szCs w:val="20"/>
              </w:rPr>
            </w:pPr>
            <w:r>
              <w:rPr>
                <w:rFonts w:hint="eastAsia" w:ascii="宋体" w:hAnsi="宋体" w:cs="宋体"/>
                <w:kern w:val="0"/>
                <w:sz w:val="20"/>
                <w:szCs w:val="20"/>
              </w:rPr>
              <w:t>负责管理市属公园和所属机构，组织落实有关法律法规、政策措施、规章制度以及行业标准，并参与有关行业规划和标准的研究拟定工作</w:t>
            </w:r>
          </w:p>
        </w:tc>
        <w:tc>
          <w:tcPr>
            <w:tcW w:w="660" w:type="pct"/>
            <w:vMerge w:val="restart"/>
            <w:noWrap/>
            <w:vAlign w:val="center"/>
          </w:tcPr>
          <w:p w14:paraId="23CD39C5">
            <w:pPr>
              <w:widowControl/>
              <w:spacing w:line="240" w:lineRule="atLeast"/>
              <w:jc w:val="left"/>
              <w:rPr>
                <w:rFonts w:ascii="宋体" w:hAnsi="宋体" w:cs="宋体"/>
                <w:kern w:val="0"/>
                <w:sz w:val="20"/>
                <w:szCs w:val="20"/>
              </w:rPr>
            </w:pPr>
            <w:r>
              <w:rPr>
                <w:rFonts w:hint="eastAsia" w:ascii="宋体" w:hAnsi="宋体" w:cs="宋体"/>
                <w:kern w:val="0"/>
                <w:sz w:val="20"/>
                <w:szCs w:val="20"/>
              </w:rPr>
              <w:t>坚定不移推动全面从严治党走深走实</w:t>
            </w:r>
          </w:p>
        </w:tc>
        <w:tc>
          <w:tcPr>
            <w:tcW w:w="2075" w:type="pct"/>
            <w:noWrap/>
            <w:vAlign w:val="center"/>
          </w:tcPr>
          <w:p w14:paraId="25D52136">
            <w:pPr>
              <w:widowControl/>
              <w:spacing w:line="240" w:lineRule="atLeast"/>
              <w:rPr>
                <w:rFonts w:ascii="宋体" w:hAnsi="宋体" w:cs="宋体"/>
                <w:kern w:val="0"/>
                <w:sz w:val="20"/>
                <w:szCs w:val="20"/>
              </w:rPr>
            </w:pPr>
            <w:r>
              <w:rPr>
                <w:rFonts w:hint="eastAsia" w:ascii="宋体" w:hAnsi="宋体" w:cs="宋体"/>
                <w:sz w:val="20"/>
                <w:szCs w:val="20"/>
              </w:rPr>
              <w:t>完善“三重一大”集体决策、督查督办、月度点评等制度机制</w:t>
            </w:r>
          </w:p>
        </w:tc>
      </w:tr>
      <w:tr w14:paraId="797E6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642C33A2">
            <w:pPr>
              <w:widowControl/>
              <w:spacing w:line="240" w:lineRule="atLeast"/>
              <w:jc w:val="center"/>
              <w:rPr>
                <w:rFonts w:ascii="宋体" w:hAnsi="宋体" w:cs="宋体"/>
                <w:kern w:val="0"/>
                <w:sz w:val="20"/>
                <w:szCs w:val="20"/>
              </w:rPr>
            </w:pPr>
          </w:p>
        </w:tc>
        <w:tc>
          <w:tcPr>
            <w:tcW w:w="1799" w:type="pct"/>
            <w:vMerge w:val="continue"/>
            <w:noWrap/>
            <w:vAlign w:val="center"/>
          </w:tcPr>
          <w:p w14:paraId="744A179E">
            <w:pPr>
              <w:widowControl/>
              <w:spacing w:line="240" w:lineRule="atLeast"/>
              <w:rPr>
                <w:rFonts w:ascii="宋体" w:hAnsi="宋体" w:cs="宋体"/>
                <w:kern w:val="0"/>
                <w:sz w:val="20"/>
                <w:szCs w:val="20"/>
              </w:rPr>
            </w:pPr>
          </w:p>
        </w:tc>
        <w:tc>
          <w:tcPr>
            <w:tcW w:w="660" w:type="pct"/>
            <w:vMerge w:val="continue"/>
            <w:noWrap/>
            <w:vAlign w:val="center"/>
          </w:tcPr>
          <w:p w14:paraId="760A769E">
            <w:pPr>
              <w:widowControl/>
              <w:spacing w:line="240" w:lineRule="atLeast"/>
              <w:jc w:val="left"/>
              <w:rPr>
                <w:rFonts w:ascii="宋体" w:hAnsi="宋体" w:cs="宋体"/>
                <w:kern w:val="0"/>
                <w:sz w:val="20"/>
                <w:szCs w:val="20"/>
              </w:rPr>
            </w:pPr>
          </w:p>
        </w:tc>
        <w:tc>
          <w:tcPr>
            <w:tcW w:w="2075" w:type="pct"/>
            <w:noWrap/>
            <w:vAlign w:val="center"/>
          </w:tcPr>
          <w:p w14:paraId="57D403B3">
            <w:pPr>
              <w:widowControl/>
              <w:spacing w:line="240" w:lineRule="atLeast"/>
              <w:rPr>
                <w:rFonts w:ascii="宋体" w:hAnsi="宋体" w:cs="宋体"/>
                <w:kern w:val="0"/>
                <w:sz w:val="20"/>
                <w:szCs w:val="20"/>
              </w:rPr>
            </w:pPr>
            <w:r>
              <w:rPr>
                <w:rFonts w:hint="eastAsia" w:ascii="宋体" w:hAnsi="宋体" w:cs="宋体"/>
                <w:sz w:val="20"/>
                <w:szCs w:val="20"/>
              </w:rPr>
              <w:t xml:space="preserve">开展典型选树宣传，树立良好形象 </w:t>
            </w:r>
          </w:p>
        </w:tc>
      </w:tr>
      <w:tr w14:paraId="5400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43492AAD">
            <w:pPr>
              <w:widowControl/>
              <w:spacing w:line="240" w:lineRule="atLeast"/>
              <w:jc w:val="center"/>
              <w:rPr>
                <w:rFonts w:ascii="宋体" w:hAnsi="宋体" w:cs="宋体"/>
                <w:kern w:val="0"/>
                <w:sz w:val="20"/>
                <w:szCs w:val="20"/>
              </w:rPr>
            </w:pPr>
          </w:p>
        </w:tc>
        <w:tc>
          <w:tcPr>
            <w:tcW w:w="1799" w:type="pct"/>
            <w:vMerge w:val="continue"/>
            <w:noWrap/>
            <w:vAlign w:val="center"/>
          </w:tcPr>
          <w:p w14:paraId="12801110">
            <w:pPr>
              <w:widowControl/>
              <w:spacing w:line="240" w:lineRule="atLeast"/>
              <w:rPr>
                <w:rFonts w:ascii="宋体" w:hAnsi="宋体" w:cs="宋体"/>
                <w:kern w:val="0"/>
                <w:sz w:val="20"/>
                <w:szCs w:val="20"/>
              </w:rPr>
            </w:pPr>
          </w:p>
        </w:tc>
        <w:tc>
          <w:tcPr>
            <w:tcW w:w="660" w:type="pct"/>
            <w:vMerge w:val="continue"/>
            <w:noWrap/>
            <w:vAlign w:val="center"/>
          </w:tcPr>
          <w:p w14:paraId="3B0A0633">
            <w:pPr>
              <w:widowControl/>
              <w:spacing w:line="240" w:lineRule="atLeast"/>
              <w:jc w:val="left"/>
              <w:rPr>
                <w:rFonts w:ascii="宋体" w:hAnsi="宋体" w:cs="宋体"/>
                <w:kern w:val="0"/>
                <w:sz w:val="20"/>
                <w:szCs w:val="20"/>
              </w:rPr>
            </w:pPr>
          </w:p>
        </w:tc>
        <w:tc>
          <w:tcPr>
            <w:tcW w:w="2075" w:type="pct"/>
            <w:noWrap/>
            <w:vAlign w:val="center"/>
          </w:tcPr>
          <w:p w14:paraId="5035F2BB">
            <w:pPr>
              <w:widowControl/>
              <w:spacing w:line="240" w:lineRule="atLeast"/>
              <w:rPr>
                <w:rFonts w:ascii="宋体" w:hAnsi="宋体" w:cs="宋体"/>
                <w:sz w:val="20"/>
                <w:szCs w:val="20"/>
              </w:rPr>
            </w:pPr>
            <w:r>
              <w:rPr>
                <w:rFonts w:hint="eastAsia" w:ascii="宋体" w:hAnsi="宋体" w:cs="宋体"/>
                <w:sz w:val="20"/>
                <w:szCs w:val="20"/>
              </w:rPr>
              <w:t>完善全面从严治党考核协调机制和考核方案</w:t>
            </w:r>
          </w:p>
        </w:tc>
      </w:tr>
      <w:tr w14:paraId="126C3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388FF809">
            <w:pPr>
              <w:widowControl/>
              <w:spacing w:line="240" w:lineRule="atLeast"/>
              <w:jc w:val="center"/>
              <w:rPr>
                <w:rFonts w:ascii="宋体" w:hAnsi="宋体" w:cs="宋体"/>
                <w:kern w:val="0"/>
                <w:sz w:val="20"/>
                <w:szCs w:val="20"/>
              </w:rPr>
            </w:pPr>
          </w:p>
        </w:tc>
        <w:tc>
          <w:tcPr>
            <w:tcW w:w="1799" w:type="pct"/>
            <w:vMerge w:val="continue"/>
            <w:noWrap/>
            <w:vAlign w:val="center"/>
          </w:tcPr>
          <w:p w14:paraId="3A09F738">
            <w:pPr>
              <w:widowControl/>
              <w:spacing w:line="240" w:lineRule="atLeast"/>
              <w:rPr>
                <w:rFonts w:ascii="宋体" w:hAnsi="宋体" w:cs="宋体"/>
                <w:kern w:val="0"/>
                <w:sz w:val="20"/>
                <w:szCs w:val="20"/>
              </w:rPr>
            </w:pPr>
          </w:p>
        </w:tc>
        <w:tc>
          <w:tcPr>
            <w:tcW w:w="660" w:type="pct"/>
            <w:vMerge w:val="continue"/>
            <w:noWrap/>
            <w:vAlign w:val="center"/>
          </w:tcPr>
          <w:p w14:paraId="143FDD0B">
            <w:pPr>
              <w:widowControl/>
              <w:spacing w:line="240" w:lineRule="atLeast"/>
              <w:jc w:val="left"/>
              <w:rPr>
                <w:rFonts w:ascii="宋体" w:hAnsi="宋体" w:cs="宋体"/>
                <w:kern w:val="0"/>
                <w:sz w:val="20"/>
                <w:szCs w:val="20"/>
              </w:rPr>
            </w:pPr>
          </w:p>
        </w:tc>
        <w:tc>
          <w:tcPr>
            <w:tcW w:w="2075" w:type="pct"/>
            <w:noWrap/>
            <w:vAlign w:val="center"/>
          </w:tcPr>
          <w:p w14:paraId="318D6719">
            <w:pPr>
              <w:widowControl/>
              <w:spacing w:line="240" w:lineRule="atLeast"/>
              <w:rPr>
                <w:rFonts w:ascii="宋体" w:hAnsi="宋体" w:cs="宋体"/>
                <w:sz w:val="20"/>
                <w:szCs w:val="20"/>
              </w:rPr>
            </w:pPr>
            <w:r>
              <w:rPr>
                <w:rFonts w:hint="eastAsia" w:ascii="宋体" w:hAnsi="宋体" w:cs="宋体"/>
                <w:sz w:val="20"/>
                <w:szCs w:val="20"/>
              </w:rPr>
              <w:t>开展好“七一”系列活动</w:t>
            </w:r>
          </w:p>
        </w:tc>
      </w:tr>
      <w:tr w14:paraId="48A31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6F3F9942">
            <w:pPr>
              <w:widowControl/>
              <w:spacing w:line="240" w:lineRule="atLeast"/>
              <w:jc w:val="center"/>
              <w:rPr>
                <w:rFonts w:ascii="宋体" w:hAnsi="宋体" w:cs="宋体"/>
                <w:kern w:val="0"/>
                <w:sz w:val="20"/>
                <w:szCs w:val="20"/>
              </w:rPr>
            </w:pPr>
          </w:p>
        </w:tc>
        <w:tc>
          <w:tcPr>
            <w:tcW w:w="1799" w:type="pct"/>
            <w:vMerge w:val="continue"/>
            <w:noWrap/>
            <w:vAlign w:val="center"/>
          </w:tcPr>
          <w:p w14:paraId="57373F23">
            <w:pPr>
              <w:widowControl/>
              <w:spacing w:line="240" w:lineRule="atLeast"/>
              <w:rPr>
                <w:rFonts w:ascii="宋体" w:hAnsi="宋体" w:cs="宋体"/>
                <w:kern w:val="0"/>
                <w:sz w:val="20"/>
                <w:szCs w:val="20"/>
              </w:rPr>
            </w:pPr>
          </w:p>
        </w:tc>
        <w:tc>
          <w:tcPr>
            <w:tcW w:w="660" w:type="pct"/>
            <w:vMerge w:val="continue"/>
            <w:noWrap/>
            <w:vAlign w:val="center"/>
          </w:tcPr>
          <w:p w14:paraId="18726B0A">
            <w:pPr>
              <w:widowControl/>
              <w:spacing w:line="240" w:lineRule="atLeast"/>
              <w:jc w:val="left"/>
              <w:rPr>
                <w:rFonts w:ascii="宋体" w:hAnsi="宋体" w:cs="宋体"/>
                <w:kern w:val="0"/>
                <w:sz w:val="20"/>
                <w:szCs w:val="20"/>
              </w:rPr>
            </w:pPr>
          </w:p>
        </w:tc>
        <w:tc>
          <w:tcPr>
            <w:tcW w:w="2075" w:type="pct"/>
            <w:noWrap/>
            <w:vAlign w:val="center"/>
          </w:tcPr>
          <w:p w14:paraId="41045385">
            <w:pPr>
              <w:widowControl/>
              <w:spacing w:line="240" w:lineRule="atLeast"/>
              <w:rPr>
                <w:rFonts w:ascii="宋体" w:hAnsi="宋体" w:cs="宋体"/>
                <w:kern w:val="0"/>
                <w:sz w:val="20"/>
                <w:szCs w:val="20"/>
              </w:rPr>
            </w:pPr>
            <w:r>
              <w:rPr>
                <w:rFonts w:hint="eastAsia" w:ascii="宋体" w:hAnsi="宋体" w:cs="宋体"/>
                <w:sz w:val="20"/>
                <w:szCs w:val="20"/>
              </w:rPr>
              <w:t>制定干部教育培训五年规划，开展好专题培训班</w:t>
            </w:r>
          </w:p>
        </w:tc>
      </w:tr>
      <w:tr w14:paraId="187F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671BBBF7">
            <w:pPr>
              <w:widowControl/>
              <w:spacing w:line="240" w:lineRule="atLeast"/>
              <w:jc w:val="center"/>
              <w:rPr>
                <w:rFonts w:ascii="宋体" w:hAnsi="宋体" w:cs="宋体"/>
                <w:kern w:val="0"/>
                <w:sz w:val="20"/>
                <w:szCs w:val="20"/>
              </w:rPr>
            </w:pPr>
          </w:p>
        </w:tc>
        <w:tc>
          <w:tcPr>
            <w:tcW w:w="1799" w:type="pct"/>
            <w:vMerge w:val="continue"/>
            <w:noWrap/>
            <w:vAlign w:val="center"/>
          </w:tcPr>
          <w:p w14:paraId="6A1B2CE2">
            <w:pPr>
              <w:widowControl/>
              <w:spacing w:line="240" w:lineRule="atLeast"/>
              <w:rPr>
                <w:rFonts w:ascii="宋体" w:hAnsi="宋体" w:cs="宋体"/>
                <w:kern w:val="0"/>
                <w:sz w:val="20"/>
                <w:szCs w:val="20"/>
              </w:rPr>
            </w:pPr>
          </w:p>
        </w:tc>
        <w:tc>
          <w:tcPr>
            <w:tcW w:w="660" w:type="pct"/>
            <w:vMerge w:val="restart"/>
            <w:noWrap/>
            <w:vAlign w:val="center"/>
          </w:tcPr>
          <w:p w14:paraId="130AAE55">
            <w:pPr>
              <w:widowControl/>
              <w:spacing w:line="240" w:lineRule="atLeast"/>
              <w:jc w:val="left"/>
              <w:rPr>
                <w:rFonts w:ascii="宋体" w:hAnsi="宋体" w:cs="宋体"/>
                <w:kern w:val="0"/>
                <w:sz w:val="20"/>
                <w:szCs w:val="20"/>
              </w:rPr>
            </w:pPr>
            <w:r>
              <w:rPr>
                <w:rFonts w:hint="eastAsia" w:ascii="宋体" w:hAnsi="宋体" w:cs="宋体"/>
                <w:kern w:val="0"/>
                <w:sz w:val="20"/>
                <w:szCs w:val="20"/>
              </w:rPr>
              <w:t>加强文物管理保护</w:t>
            </w:r>
          </w:p>
        </w:tc>
        <w:tc>
          <w:tcPr>
            <w:tcW w:w="2075" w:type="pct"/>
            <w:noWrap/>
            <w:vAlign w:val="center"/>
          </w:tcPr>
          <w:p w14:paraId="3FEB10FD">
            <w:pPr>
              <w:widowControl/>
              <w:spacing w:line="240" w:lineRule="atLeast"/>
              <w:rPr>
                <w:rFonts w:ascii="宋体" w:hAnsi="宋体" w:cs="宋体"/>
                <w:sz w:val="20"/>
                <w:szCs w:val="20"/>
              </w:rPr>
            </w:pPr>
            <w:r>
              <w:rPr>
                <w:rFonts w:hint="eastAsia" w:ascii="宋体" w:hAnsi="宋体" w:cs="宋体"/>
                <w:sz w:val="20"/>
                <w:szCs w:val="20"/>
              </w:rPr>
              <w:t>编制古树保护规划</w:t>
            </w:r>
          </w:p>
        </w:tc>
      </w:tr>
      <w:tr w14:paraId="0616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5B0332B0">
            <w:pPr>
              <w:widowControl/>
              <w:spacing w:line="240" w:lineRule="atLeast"/>
              <w:jc w:val="center"/>
              <w:rPr>
                <w:rFonts w:ascii="宋体" w:hAnsi="宋体" w:cs="宋体"/>
                <w:kern w:val="0"/>
                <w:sz w:val="20"/>
                <w:szCs w:val="20"/>
              </w:rPr>
            </w:pPr>
          </w:p>
        </w:tc>
        <w:tc>
          <w:tcPr>
            <w:tcW w:w="1799" w:type="pct"/>
            <w:vMerge w:val="continue"/>
            <w:noWrap/>
            <w:vAlign w:val="center"/>
          </w:tcPr>
          <w:p w14:paraId="4CCCD9B5">
            <w:pPr>
              <w:widowControl/>
              <w:spacing w:line="240" w:lineRule="atLeast"/>
              <w:rPr>
                <w:rFonts w:ascii="宋体" w:hAnsi="宋体" w:cs="宋体"/>
                <w:kern w:val="0"/>
                <w:sz w:val="20"/>
                <w:szCs w:val="20"/>
              </w:rPr>
            </w:pPr>
          </w:p>
        </w:tc>
        <w:tc>
          <w:tcPr>
            <w:tcW w:w="660" w:type="pct"/>
            <w:vMerge w:val="continue"/>
            <w:noWrap/>
            <w:vAlign w:val="center"/>
          </w:tcPr>
          <w:p w14:paraId="72BE8CDB">
            <w:pPr>
              <w:widowControl/>
              <w:spacing w:line="240" w:lineRule="atLeast"/>
              <w:jc w:val="left"/>
              <w:rPr>
                <w:rFonts w:ascii="宋体" w:hAnsi="宋体" w:cs="宋体"/>
                <w:kern w:val="0"/>
                <w:sz w:val="20"/>
                <w:szCs w:val="20"/>
              </w:rPr>
            </w:pPr>
          </w:p>
        </w:tc>
        <w:tc>
          <w:tcPr>
            <w:tcW w:w="2075" w:type="pct"/>
            <w:noWrap/>
            <w:vAlign w:val="center"/>
          </w:tcPr>
          <w:p w14:paraId="665E316B">
            <w:pPr>
              <w:widowControl/>
              <w:spacing w:line="240" w:lineRule="atLeast"/>
              <w:rPr>
                <w:rFonts w:ascii="宋体" w:hAnsi="宋体" w:cs="宋体"/>
                <w:sz w:val="20"/>
                <w:szCs w:val="20"/>
              </w:rPr>
            </w:pPr>
            <w:r>
              <w:rPr>
                <w:rStyle w:val="22"/>
                <w:rFonts w:hint="default"/>
                <w:color w:val="auto"/>
                <w:sz w:val="20"/>
                <w:szCs w:val="20"/>
              </w:rPr>
              <w:t>推进颐和园养云轩活化利用</w:t>
            </w:r>
          </w:p>
        </w:tc>
      </w:tr>
      <w:tr w14:paraId="2E08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7148A07E">
            <w:pPr>
              <w:widowControl/>
              <w:spacing w:line="240" w:lineRule="atLeast"/>
              <w:jc w:val="center"/>
              <w:rPr>
                <w:rFonts w:ascii="宋体" w:hAnsi="宋体" w:cs="宋体"/>
                <w:kern w:val="0"/>
                <w:sz w:val="20"/>
                <w:szCs w:val="20"/>
              </w:rPr>
            </w:pPr>
          </w:p>
        </w:tc>
        <w:tc>
          <w:tcPr>
            <w:tcW w:w="1799" w:type="pct"/>
            <w:vMerge w:val="continue"/>
            <w:noWrap/>
            <w:vAlign w:val="center"/>
          </w:tcPr>
          <w:p w14:paraId="421EFE87">
            <w:pPr>
              <w:widowControl/>
              <w:spacing w:line="240" w:lineRule="atLeast"/>
              <w:rPr>
                <w:rFonts w:ascii="宋体" w:hAnsi="宋体" w:cs="宋体"/>
                <w:kern w:val="0"/>
                <w:sz w:val="20"/>
                <w:szCs w:val="20"/>
              </w:rPr>
            </w:pPr>
          </w:p>
        </w:tc>
        <w:tc>
          <w:tcPr>
            <w:tcW w:w="660" w:type="pct"/>
            <w:vMerge w:val="continue"/>
            <w:noWrap/>
            <w:vAlign w:val="center"/>
          </w:tcPr>
          <w:p w14:paraId="3E04E40E">
            <w:pPr>
              <w:widowControl/>
              <w:spacing w:line="240" w:lineRule="atLeast"/>
              <w:jc w:val="left"/>
              <w:rPr>
                <w:rFonts w:ascii="宋体" w:hAnsi="宋体" w:cs="宋体"/>
                <w:kern w:val="0"/>
                <w:sz w:val="20"/>
                <w:szCs w:val="20"/>
              </w:rPr>
            </w:pPr>
          </w:p>
        </w:tc>
        <w:tc>
          <w:tcPr>
            <w:tcW w:w="2075" w:type="pct"/>
            <w:noWrap/>
            <w:vAlign w:val="center"/>
          </w:tcPr>
          <w:p w14:paraId="6B5D8B9D">
            <w:pPr>
              <w:widowControl/>
              <w:spacing w:line="240" w:lineRule="atLeast"/>
              <w:rPr>
                <w:rStyle w:val="22"/>
                <w:rFonts w:hint="default"/>
                <w:color w:val="auto"/>
                <w:sz w:val="20"/>
                <w:szCs w:val="20"/>
              </w:rPr>
            </w:pPr>
            <w:r>
              <w:rPr>
                <w:rStyle w:val="22"/>
                <w:rFonts w:hint="default"/>
                <w:color w:val="auto"/>
                <w:sz w:val="20"/>
                <w:szCs w:val="20"/>
              </w:rPr>
              <w:t>苏州街、清华轩、乐农轩、听鹂馆修缮</w:t>
            </w:r>
          </w:p>
        </w:tc>
      </w:tr>
      <w:tr w14:paraId="40FAA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20D71BDF">
            <w:pPr>
              <w:widowControl/>
              <w:spacing w:line="240" w:lineRule="atLeast"/>
              <w:jc w:val="center"/>
              <w:rPr>
                <w:rFonts w:ascii="宋体" w:hAnsi="宋体" w:cs="宋体"/>
                <w:kern w:val="0"/>
                <w:sz w:val="20"/>
                <w:szCs w:val="20"/>
              </w:rPr>
            </w:pPr>
          </w:p>
        </w:tc>
        <w:tc>
          <w:tcPr>
            <w:tcW w:w="1799" w:type="pct"/>
            <w:vMerge w:val="continue"/>
            <w:noWrap/>
            <w:vAlign w:val="center"/>
          </w:tcPr>
          <w:p w14:paraId="5D77FC46">
            <w:pPr>
              <w:widowControl/>
              <w:spacing w:line="240" w:lineRule="atLeast"/>
              <w:rPr>
                <w:rFonts w:ascii="宋体" w:hAnsi="宋体" w:cs="宋体"/>
                <w:kern w:val="0"/>
                <w:sz w:val="20"/>
                <w:szCs w:val="20"/>
              </w:rPr>
            </w:pPr>
          </w:p>
        </w:tc>
        <w:tc>
          <w:tcPr>
            <w:tcW w:w="660" w:type="pct"/>
            <w:vMerge w:val="continue"/>
            <w:noWrap/>
            <w:vAlign w:val="center"/>
          </w:tcPr>
          <w:p w14:paraId="499947E4">
            <w:pPr>
              <w:widowControl/>
              <w:spacing w:line="240" w:lineRule="atLeast"/>
              <w:jc w:val="left"/>
              <w:rPr>
                <w:rFonts w:ascii="宋体" w:hAnsi="宋体" w:cs="宋体"/>
                <w:kern w:val="0"/>
                <w:sz w:val="20"/>
                <w:szCs w:val="20"/>
              </w:rPr>
            </w:pPr>
          </w:p>
        </w:tc>
        <w:tc>
          <w:tcPr>
            <w:tcW w:w="2075" w:type="pct"/>
            <w:noWrap/>
            <w:vAlign w:val="center"/>
          </w:tcPr>
          <w:p w14:paraId="7D466B72">
            <w:pPr>
              <w:widowControl/>
              <w:spacing w:line="240" w:lineRule="atLeast"/>
              <w:rPr>
                <w:rFonts w:ascii="宋体" w:hAnsi="宋体" w:cs="宋体"/>
                <w:sz w:val="20"/>
                <w:szCs w:val="20"/>
              </w:rPr>
            </w:pPr>
            <w:r>
              <w:rPr>
                <w:rStyle w:val="22"/>
                <w:rFonts w:hint="default"/>
                <w:color w:val="auto"/>
                <w:sz w:val="20"/>
                <w:szCs w:val="20"/>
              </w:rPr>
              <w:t>长廊彩画文物研究性保护、长廊彩画保护修复</w:t>
            </w:r>
          </w:p>
        </w:tc>
      </w:tr>
      <w:tr w14:paraId="59AEC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345B0A6F">
            <w:pPr>
              <w:widowControl/>
              <w:spacing w:line="240" w:lineRule="atLeast"/>
              <w:jc w:val="center"/>
              <w:rPr>
                <w:rFonts w:ascii="宋体" w:hAnsi="宋体" w:cs="宋体"/>
                <w:kern w:val="0"/>
                <w:sz w:val="20"/>
                <w:szCs w:val="20"/>
              </w:rPr>
            </w:pPr>
          </w:p>
        </w:tc>
        <w:tc>
          <w:tcPr>
            <w:tcW w:w="1799" w:type="pct"/>
            <w:vMerge w:val="continue"/>
            <w:noWrap/>
            <w:vAlign w:val="center"/>
          </w:tcPr>
          <w:p w14:paraId="57F9B96A">
            <w:pPr>
              <w:widowControl/>
              <w:spacing w:line="240" w:lineRule="atLeast"/>
              <w:rPr>
                <w:rFonts w:ascii="宋体" w:hAnsi="宋体" w:cs="宋体"/>
                <w:kern w:val="0"/>
                <w:sz w:val="20"/>
                <w:szCs w:val="20"/>
              </w:rPr>
            </w:pPr>
          </w:p>
        </w:tc>
        <w:tc>
          <w:tcPr>
            <w:tcW w:w="660" w:type="pct"/>
            <w:vMerge w:val="continue"/>
            <w:noWrap/>
            <w:vAlign w:val="center"/>
          </w:tcPr>
          <w:p w14:paraId="315897CB">
            <w:pPr>
              <w:widowControl/>
              <w:spacing w:line="240" w:lineRule="atLeast"/>
              <w:jc w:val="left"/>
              <w:rPr>
                <w:rFonts w:ascii="宋体" w:hAnsi="宋体" w:cs="宋体"/>
                <w:kern w:val="0"/>
                <w:sz w:val="20"/>
                <w:szCs w:val="20"/>
              </w:rPr>
            </w:pPr>
          </w:p>
        </w:tc>
        <w:tc>
          <w:tcPr>
            <w:tcW w:w="2075" w:type="pct"/>
            <w:noWrap/>
            <w:vAlign w:val="center"/>
          </w:tcPr>
          <w:p w14:paraId="5BEE50AD">
            <w:pPr>
              <w:widowControl/>
              <w:spacing w:line="240" w:lineRule="atLeast"/>
              <w:rPr>
                <w:rStyle w:val="22"/>
                <w:rFonts w:hint="default"/>
                <w:color w:val="auto"/>
                <w:sz w:val="20"/>
                <w:szCs w:val="20"/>
              </w:rPr>
            </w:pPr>
            <w:r>
              <w:rPr>
                <w:rStyle w:val="22"/>
                <w:rFonts w:hint="default"/>
                <w:color w:val="auto"/>
                <w:sz w:val="20"/>
                <w:szCs w:val="20"/>
              </w:rPr>
              <w:t>抓好天坛皇穹宇、北海西天梵境、香山碧云寺、动物园清农事试验场旧址、紫竹院行宫等修缮</w:t>
            </w:r>
          </w:p>
        </w:tc>
      </w:tr>
      <w:tr w14:paraId="35A68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restart"/>
            <w:noWrap/>
            <w:vAlign w:val="center"/>
          </w:tcPr>
          <w:p w14:paraId="5D5783C3">
            <w:pPr>
              <w:widowControl/>
              <w:spacing w:line="240" w:lineRule="atLeast"/>
              <w:jc w:val="center"/>
              <w:rPr>
                <w:rFonts w:ascii="宋体" w:hAnsi="宋体" w:cs="宋体"/>
                <w:kern w:val="0"/>
                <w:sz w:val="20"/>
                <w:szCs w:val="20"/>
              </w:rPr>
            </w:pPr>
            <w:r>
              <w:rPr>
                <w:rFonts w:hint="eastAsia" w:ascii="宋体" w:hAnsi="宋体" w:cs="宋体"/>
                <w:kern w:val="0"/>
                <w:sz w:val="20"/>
                <w:szCs w:val="20"/>
              </w:rPr>
              <w:t>二</w:t>
            </w:r>
          </w:p>
        </w:tc>
        <w:tc>
          <w:tcPr>
            <w:tcW w:w="1799" w:type="pct"/>
            <w:vMerge w:val="restart"/>
            <w:noWrap/>
            <w:vAlign w:val="center"/>
          </w:tcPr>
          <w:p w14:paraId="11DDC2D4">
            <w:pPr>
              <w:widowControl/>
              <w:spacing w:line="240" w:lineRule="atLeast"/>
              <w:rPr>
                <w:rFonts w:ascii="宋体" w:hAnsi="宋体" w:cs="宋体"/>
                <w:kern w:val="0"/>
                <w:sz w:val="20"/>
                <w:szCs w:val="20"/>
              </w:rPr>
            </w:pPr>
            <w:r>
              <w:rPr>
                <w:rFonts w:hint="eastAsia" w:ascii="宋体" w:hAnsi="宋体" w:cs="宋体"/>
                <w:kern w:val="0"/>
                <w:sz w:val="20"/>
                <w:szCs w:val="20"/>
              </w:rPr>
              <w:t>负责市属公园和所属机构管理方式、管理制度、运行机制等问题的研究，并提出对政策建议</w:t>
            </w:r>
          </w:p>
        </w:tc>
        <w:tc>
          <w:tcPr>
            <w:tcW w:w="660" w:type="pct"/>
            <w:vMerge w:val="restart"/>
            <w:noWrap/>
            <w:vAlign w:val="center"/>
          </w:tcPr>
          <w:p w14:paraId="7C72D027">
            <w:pPr>
              <w:widowControl/>
              <w:spacing w:line="240" w:lineRule="atLeast"/>
              <w:jc w:val="left"/>
              <w:rPr>
                <w:rStyle w:val="22"/>
                <w:rFonts w:hint="default"/>
                <w:color w:val="auto"/>
                <w:sz w:val="20"/>
                <w:szCs w:val="20"/>
              </w:rPr>
            </w:pPr>
            <w:r>
              <w:rPr>
                <w:rStyle w:val="22"/>
                <w:rFonts w:hint="default"/>
                <w:color w:val="auto"/>
                <w:sz w:val="20"/>
                <w:szCs w:val="20"/>
              </w:rPr>
              <w:t>大力推进硬件设施建设</w:t>
            </w:r>
          </w:p>
          <w:p w14:paraId="28465232">
            <w:pPr>
              <w:pStyle w:val="2"/>
              <w:spacing w:line="240" w:lineRule="atLeast"/>
              <w:ind w:firstLine="400"/>
              <w:jc w:val="left"/>
              <w:rPr>
                <w:rStyle w:val="22"/>
                <w:rFonts w:hint="default"/>
                <w:color w:val="auto"/>
                <w:sz w:val="20"/>
                <w:szCs w:val="20"/>
              </w:rPr>
            </w:pPr>
          </w:p>
        </w:tc>
        <w:tc>
          <w:tcPr>
            <w:tcW w:w="2075" w:type="pct"/>
            <w:noWrap/>
            <w:vAlign w:val="center"/>
          </w:tcPr>
          <w:p w14:paraId="0F69A8F3">
            <w:pPr>
              <w:widowControl/>
              <w:spacing w:line="240" w:lineRule="atLeast"/>
              <w:rPr>
                <w:rStyle w:val="22"/>
                <w:rFonts w:hint="default"/>
                <w:color w:val="auto"/>
                <w:sz w:val="20"/>
                <w:szCs w:val="20"/>
              </w:rPr>
            </w:pPr>
            <w:r>
              <w:rPr>
                <w:rFonts w:hint="eastAsia" w:ascii="宋体" w:hAnsi="宋体" w:cs="宋体"/>
                <w:sz w:val="20"/>
                <w:szCs w:val="20"/>
              </w:rPr>
              <w:t>修订工程管理办法</w:t>
            </w:r>
          </w:p>
        </w:tc>
      </w:tr>
      <w:tr w14:paraId="29E4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10CE0B24">
            <w:pPr>
              <w:widowControl/>
              <w:spacing w:line="240" w:lineRule="atLeast"/>
              <w:jc w:val="center"/>
              <w:rPr>
                <w:rFonts w:ascii="宋体" w:hAnsi="宋体" w:cs="宋体"/>
                <w:kern w:val="0"/>
                <w:sz w:val="20"/>
                <w:szCs w:val="20"/>
              </w:rPr>
            </w:pPr>
          </w:p>
        </w:tc>
        <w:tc>
          <w:tcPr>
            <w:tcW w:w="1799" w:type="pct"/>
            <w:vMerge w:val="continue"/>
            <w:noWrap/>
            <w:vAlign w:val="center"/>
          </w:tcPr>
          <w:p w14:paraId="5CBDB7A8">
            <w:pPr>
              <w:widowControl/>
              <w:spacing w:line="240" w:lineRule="atLeast"/>
              <w:rPr>
                <w:rFonts w:ascii="宋体" w:hAnsi="宋体" w:cs="宋体"/>
                <w:kern w:val="0"/>
                <w:sz w:val="20"/>
                <w:szCs w:val="20"/>
              </w:rPr>
            </w:pPr>
          </w:p>
        </w:tc>
        <w:tc>
          <w:tcPr>
            <w:tcW w:w="660" w:type="pct"/>
            <w:vMerge w:val="continue"/>
            <w:noWrap/>
            <w:vAlign w:val="center"/>
          </w:tcPr>
          <w:p w14:paraId="1ABAC851">
            <w:pPr>
              <w:widowControl/>
              <w:spacing w:line="240" w:lineRule="atLeast"/>
              <w:jc w:val="left"/>
              <w:rPr>
                <w:rFonts w:ascii="宋体" w:hAnsi="宋体" w:cs="宋体"/>
                <w:kern w:val="0"/>
                <w:sz w:val="20"/>
                <w:szCs w:val="20"/>
              </w:rPr>
            </w:pPr>
          </w:p>
        </w:tc>
        <w:tc>
          <w:tcPr>
            <w:tcW w:w="2075" w:type="pct"/>
            <w:noWrap/>
            <w:vAlign w:val="center"/>
          </w:tcPr>
          <w:p w14:paraId="68848196">
            <w:pPr>
              <w:widowControl/>
              <w:spacing w:line="240" w:lineRule="atLeast"/>
              <w:rPr>
                <w:rStyle w:val="22"/>
                <w:rFonts w:hint="default"/>
                <w:color w:val="auto"/>
                <w:sz w:val="20"/>
                <w:szCs w:val="20"/>
              </w:rPr>
            </w:pPr>
            <w:r>
              <w:rPr>
                <w:rStyle w:val="22"/>
                <w:rFonts w:hint="default"/>
                <w:color w:val="auto"/>
                <w:sz w:val="20"/>
                <w:szCs w:val="20"/>
              </w:rPr>
              <w:t>推进部分公园票务服务转型提升管理水平、服务设施规范行动</w:t>
            </w:r>
          </w:p>
        </w:tc>
      </w:tr>
      <w:tr w14:paraId="1F37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restart"/>
            <w:noWrap/>
            <w:vAlign w:val="center"/>
          </w:tcPr>
          <w:p w14:paraId="1CB70C50">
            <w:pPr>
              <w:widowControl/>
              <w:spacing w:line="240" w:lineRule="atLeast"/>
              <w:jc w:val="center"/>
              <w:rPr>
                <w:rFonts w:ascii="宋体" w:hAnsi="宋体" w:cs="宋体"/>
                <w:kern w:val="0"/>
                <w:sz w:val="20"/>
                <w:szCs w:val="20"/>
              </w:rPr>
            </w:pPr>
            <w:r>
              <w:rPr>
                <w:rFonts w:hint="eastAsia" w:ascii="宋体" w:hAnsi="宋体" w:cs="宋体"/>
                <w:kern w:val="0"/>
                <w:sz w:val="20"/>
                <w:szCs w:val="20"/>
              </w:rPr>
              <w:t>三</w:t>
            </w:r>
          </w:p>
        </w:tc>
        <w:tc>
          <w:tcPr>
            <w:tcW w:w="1799" w:type="pct"/>
            <w:vMerge w:val="restart"/>
            <w:noWrap/>
            <w:vAlign w:val="center"/>
          </w:tcPr>
          <w:p w14:paraId="418669B6">
            <w:pPr>
              <w:widowControl/>
              <w:spacing w:line="240" w:lineRule="atLeast"/>
              <w:rPr>
                <w:rFonts w:ascii="宋体" w:hAnsi="宋体" w:cs="宋体"/>
                <w:kern w:val="0"/>
                <w:sz w:val="20"/>
                <w:szCs w:val="20"/>
              </w:rPr>
            </w:pPr>
            <w:r>
              <w:rPr>
                <w:rFonts w:hint="eastAsia" w:ascii="宋体" w:hAnsi="宋体" w:cs="宋体"/>
                <w:kern w:val="0"/>
                <w:sz w:val="20"/>
                <w:szCs w:val="20"/>
              </w:rPr>
              <w:t>负责指导市属公园和所属机构规划、建设、管理、服务、科技等方面的工作，并监督实施</w:t>
            </w:r>
          </w:p>
        </w:tc>
        <w:tc>
          <w:tcPr>
            <w:tcW w:w="660" w:type="pct"/>
            <w:vMerge w:val="restart"/>
            <w:noWrap/>
            <w:vAlign w:val="center"/>
          </w:tcPr>
          <w:p w14:paraId="2939BB5C">
            <w:pPr>
              <w:pStyle w:val="2"/>
              <w:spacing w:line="240" w:lineRule="atLeast"/>
              <w:ind w:firstLine="0" w:firstLineChars="0"/>
              <w:jc w:val="left"/>
              <w:rPr>
                <w:rFonts w:ascii="宋体" w:hAnsi="宋体" w:cs="宋体"/>
                <w:kern w:val="0"/>
                <w:sz w:val="20"/>
                <w:szCs w:val="20"/>
              </w:rPr>
            </w:pPr>
            <w:r>
              <w:rPr>
                <w:rFonts w:hint="eastAsia" w:ascii="宋体" w:hAnsi="宋体" w:cs="宋体"/>
                <w:kern w:val="0"/>
                <w:sz w:val="20"/>
                <w:szCs w:val="20"/>
              </w:rPr>
              <w:t>提高科技科普水平</w:t>
            </w:r>
          </w:p>
        </w:tc>
        <w:tc>
          <w:tcPr>
            <w:tcW w:w="2075" w:type="pct"/>
            <w:noWrap/>
            <w:vAlign w:val="center"/>
          </w:tcPr>
          <w:p w14:paraId="6BCAEBEF">
            <w:pPr>
              <w:widowControl/>
              <w:spacing w:line="240" w:lineRule="atLeast"/>
              <w:rPr>
                <w:rFonts w:ascii="宋体" w:hAnsi="宋体" w:cs="宋体"/>
                <w:kern w:val="0"/>
                <w:sz w:val="20"/>
                <w:szCs w:val="20"/>
              </w:rPr>
            </w:pPr>
            <w:r>
              <w:rPr>
                <w:rStyle w:val="22"/>
                <w:rFonts w:hint="default"/>
                <w:color w:val="auto"/>
                <w:sz w:val="20"/>
                <w:szCs w:val="20"/>
              </w:rPr>
              <w:t>推进中心智慧公园数据平台建设（一期）</w:t>
            </w:r>
          </w:p>
        </w:tc>
      </w:tr>
      <w:tr w14:paraId="08B8C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4557F4DA">
            <w:pPr>
              <w:widowControl/>
              <w:spacing w:line="240" w:lineRule="atLeast"/>
              <w:jc w:val="center"/>
              <w:rPr>
                <w:rFonts w:ascii="宋体" w:hAnsi="宋体" w:cs="宋体"/>
                <w:kern w:val="0"/>
                <w:sz w:val="20"/>
                <w:szCs w:val="20"/>
              </w:rPr>
            </w:pPr>
          </w:p>
        </w:tc>
        <w:tc>
          <w:tcPr>
            <w:tcW w:w="1799" w:type="pct"/>
            <w:vMerge w:val="continue"/>
            <w:noWrap/>
            <w:vAlign w:val="center"/>
          </w:tcPr>
          <w:p w14:paraId="324EE66B">
            <w:pPr>
              <w:widowControl/>
              <w:spacing w:line="240" w:lineRule="atLeast"/>
              <w:rPr>
                <w:rFonts w:ascii="宋体" w:hAnsi="宋体" w:cs="宋体"/>
                <w:kern w:val="0"/>
                <w:sz w:val="20"/>
                <w:szCs w:val="20"/>
              </w:rPr>
            </w:pPr>
          </w:p>
        </w:tc>
        <w:tc>
          <w:tcPr>
            <w:tcW w:w="660" w:type="pct"/>
            <w:vMerge w:val="continue"/>
            <w:noWrap/>
            <w:vAlign w:val="center"/>
          </w:tcPr>
          <w:p w14:paraId="0701CE34">
            <w:pPr>
              <w:widowControl/>
              <w:spacing w:line="240" w:lineRule="atLeast"/>
              <w:jc w:val="left"/>
              <w:rPr>
                <w:rFonts w:ascii="宋体" w:hAnsi="宋体" w:cs="宋体"/>
                <w:kern w:val="0"/>
                <w:sz w:val="20"/>
                <w:szCs w:val="20"/>
              </w:rPr>
            </w:pPr>
          </w:p>
        </w:tc>
        <w:tc>
          <w:tcPr>
            <w:tcW w:w="2075" w:type="pct"/>
            <w:noWrap/>
            <w:vAlign w:val="center"/>
          </w:tcPr>
          <w:p w14:paraId="6D388B46">
            <w:pPr>
              <w:widowControl/>
              <w:spacing w:line="240" w:lineRule="atLeast"/>
              <w:rPr>
                <w:rFonts w:ascii="宋体" w:hAnsi="宋体" w:cs="宋体"/>
                <w:kern w:val="0"/>
                <w:sz w:val="20"/>
                <w:szCs w:val="20"/>
              </w:rPr>
            </w:pPr>
            <w:r>
              <w:rPr>
                <w:rStyle w:val="22"/>
                <w:rFonts w:hint="default"/>
                <w:color w:val="auto"/>
                <w:sz w:val="20"/>
                <w:szCs w:val="20"/>
              </w:rPr>
              <w:t>政务外网互联网双网融合</w:t>
            </w:r>
          </w:p>
        </w:tc>
      </w:tr>
      <w:tr w14:paraId="73C5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72" w:type="dxa"/>
            <w:vMerge w:val="restart"/>
            <w:noWrap/>
            <w:vAlign w:val="center"/>
          </w:tcPr>
          <w:p w14:paraId="6EDCA64B">
            <w:pPr>
              <w:widowControl/>
              <w:spacing w:line="240" w:lineRule="atLeast"/>
              <w:jc w:val="center"/>
              <w:rPr>
                <w:rFonts w:ascii="宋体" w:hAnsi="宋体" w:cs="宋体"/>
                <w:kern w:val="0"/>
                <w:sz w:val="20"/>
                <w:szCs w:val="20"/>
              </w:rPr>
            </w:pPr>
            <w:r>
              <w:rPr>
                <w:rFonts w:hint="eastAsia" w:ascii="宋体" w:hAnsi="宋体" w:cs="宋体"/>
                <w:kern w:val="0"/>
                <w:sz w:val="20"/>
                <w:szCs w:val="20"/>
              </w:rPr>
              <w:t>三</w:t>
            </w:r>
          </w:p>
        </w:tc>
        <w:tc>
          <w:tcPr>
            <w:tcW w:w="3066" w:type="dxa"/>
            <w:vMerge w:val="restart"/>
            <w:noWrap/>
            <w:vAlign w:val="center"/>
          </w:tcPr>
          <w:p w14:paraId="0B8346B9">
            <w:pPr>
              <w:widowControl/>
              <w:spacing w:line="240" w:lineRule="atLeast"/>
              <w:rPr>
                <w:rFonts w:ascii="宋体" w:hAnsi="宋体" w:cs="宋体"/>
                <w:sz w:val="20"/>
                <w:szCs w:val="20"/>
              </w:rPr>
            </w:pPr>
            <w:r>
              <w:rPr>
                <w:rFonts w:hint="eastAsia" w:ascii="宋体" w:hAnsi="宋体" w:cs="宋体"/>
                <w:kern w:val="0"/>
                <w:sz w:val="20"/>
                <w:szCs w:val="20"/>
              </w:rPr>
              <w:t>负责指导市属公园和所属机构规划、建设、管理、服务、科技等方面的工作，并监督实施</w:t>
            </w:r>
          </w:p>
        </w:tc>
        <w:tc>
          <w:tcPr>
            <w:tcW w:w="660" w:type="pct"/>
            <w:vMerge w:val="restart"/>
            <w:noWrap/>
            <w:vAlign w:val="center"/>
          </w:tcPr>
          <w:p w14:paraId="620B05F2">
            <w:pPr>
              <w:pStyle w:val="2"/>
              <w:spacing w:line="240" w:lineRule="atLeast"/>
              <w:ind w:firstLine="0" w:firstLineChars="0"/>
              <w:jc w:val="left"/>
              <w:rPr>
                <w:rFonts w:ascii="宋体" w:hAnsi="宋体" w:cs="宋体"/>
                <w:kern w:val="0"/>
                <w:sz w:val="20"/>
                <w:szCs w:val="20"/>
              </w:rPr>
            </w:pPr>
            <w:r>
              <w:rPr>
                <w:rFonts w:hint="eastAsia" w:ascii="宋体" w:hAnsi="宋体" w:cs="宋体"/>
                <w:kern w:val="0"/>
                <w:sz w:val="20"/>
                <w:szCs w:val="20"/>
              </w:rPr>
              <w:t>续上页</w:t>
            </w:r>
          </w:p>
        </w:tc>
        <w:tc>
          <w:tcPr>
            <w:tcW w:w="2075" w:type="pct"/>
            <w:noWrap/>
            <w:vAlign w:val="center"/>
          </w:tcPr>
          <w:p w14:paraId="3A8ABC4C">
            <w:pPr>
              <w:widowControl/>
              <w:spacing w:line="240" w:lineRule="atLeast"/>
              <w:rPr>
                <w:rFonts w:ascii="宋体" w:hAnsi="宋体" w:cs="宋体"/>
                <w:sz w:val="20"/>
                <w:szCs w:val="20"/>
              </w:rPr>
            </w:pPr>
            <w:r>
              <w:rPr>
                <w:rStyle w:val="22"/>
                <w:rFonts w:hint="default"/>
                <w:color w:val="auto"/>
                <w:sz w:val="20"/>
                <w:szCs w:val="20"/>
              </w:rPr>
              <w:t>北海、中山机房改造</w:t>
            </w:r>
          </w:p>
        </w:tc>
      </w:tr>
      <w:tr w14:paraId="05D22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28917767">
            <w:pPr>
              <w:widowControl/>
              <w:spacing w:line="240" w:lineRule="atLeast"/>
              <w:jc w:val="center"/>
              <w:rPr>
                <w:rFonts w:ascii="宋体" w:hAnsi="宋体" w:cs="宋体"/>
                <w:kern w:val="0"/>
                <w:sz w:val="20"/>
                <w:szCs w:val="20"/>
              </w:rPr>
            </w:pPr>
          </w:p>
        </w:tc>
        <w:tc>
          <w:tcPr>
            <w:tcW w:w="1799" w:type="pct"/>
            <w:vMerge w:val="continue"/>
            <w:noWrap/>
            <w:vAlign w:val="center"/>
          </w:tcPr>
          <w:p w14:paraId="442AFE5F">
            <w:pPr>
              <w:widowControl/>
              <w:spacing w:line="240" w:lineRule="atLeast"/>
              <w:rPr>
                <w:rFonts w:ascii="宋体" w:hAnsi="宋体" w:cs="宋体"/>
                <w:kern w:val="0"/>
                <w:sz w:val="20"/>
                <w:szCs w:val="20"/>
              </w:rPr>
            </w:pPr>
          </w:p>
        </w:tc>
        <w:tc>
          <w:tcPr>
            <w:tcW w:w="660" w:type="pct"/>
            <w:vMerge w:val="continue"/>
            <w:noWrap/>
            <w:vAlign w:val="center"/>
          </w:tcPr>
          <w:p w14:paraId="2177AD96">
            <w:pPr>
              <w:pStyle w:val="2"/>
              <w:spacing w:line="240" w:lineRule="atLeast"/>
              <w:ind w:firstLine="0" w:firstLineChars="0"/>
              <w:jc w:val="left"/>
              <w:rPr>
                <w:rFonts w:ascii="宋体" w:hAnsi="宋体" w:cs="宋体"/>
                <w:kern w:val="0"/>
                <w:sz w:val="20"/>
                <w:szCs w:val="20"/>
              </w:rPr>
            </w:pPr>
          </w:p>
        </w:tc>
        <w:tc>
          <w:tcPr>
            <w:tcW w:w="2075" w:type="pct"/>
            <w:noWrap/>
            <w:vAlign w:val="center"/>
          </w:tcPr>
          <w:p w14:paraId="58DFFB22">
            <w:pPr>
              <w:widowControl/>
              <w:spacing w:line="240" w:lineRule="atLeast"/>
              <w:rPr>
                <w:rFonts w:ascii="宋体" w:hAnsi="宋体" w:cs="宋体"/>
                <w:sz w:val="20"/>
                <w:szCs w:val="20"/>
              </w:rPr>
            </w:pPr>
            <w:r>
              <w:rPr>
                <w:rStyle w:val="22"/>
                <w:rFonts w:hint="default"/>
                <w:color w:val="auto"/>
                <w:sz w:val="20"/>
                <w:szCs w:val="20"/>
              </w:rPr>
              <w:t>颐和园耕织图、动物园生物多样性、玉渊潭樱花园及湿地科普小屋建设</w:t>
            </w:r>
          </w:p>
        </w:tc>
      </w:tr>
      <w:tr w14:paraId="79E97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1522EBB3">
            <w:pPr>
              <w:widowControl/>
              <w:spacing w:line="240" w:lineRule="atLeast"/>
              <w:jc w:val="center"/>
              <w:rPr>
                <w:rFonts w:ascii="宋体" w:hAnsi="宋体" w:cs="宋体"/>
                <w:kern w:val="0"/>
                <w:sz w:val="20"/>
                <w:szCs w:val="20"/>
              </w:rPr>
            </w:pPr>
          </w:p>
        </w:tc>
        <w:tc>
          <w:tcPr>
            <w:tcW w:w="1799" w:type="pct"/>
            <w:vMerge w:val="continue"/>
            <w:noWrap/>
            <w:vAlign w:val="center"/>
          </w:tcPr>
          <w:p w14:paraId="6AE3DAA5">
            <w:pPr>
              <w:widowControl/>
              <w:spacing w:line="240" w:lineRule="atLeast"/>
              <w:rPr>
                <w:rFonts w:ascii="宋体" w:hAnsi="宋体" w:cs="宋体"/>
                <w:kern w:val="0"/>
                <w:sz w:val="20"/>
                <w:szCs w:val="20"/>
              </w:rPr>
            </w:pPr>
          </w:p>
        </w:tc>
        <w:tc>
          <w:tcPr>
            <w:tcW w:w="660" w:type="pct"/>
            <w:vMerge w:val="restart"/>
            <w:noWrap/>
            <w:vAlign w:val="center"/>
          </w:tcPr>
          <w:p w14:paraId="309B4C85">
            <w:pPr>
              <w:pStyle w:val="2"/>
              <w:spacing w:line="240" w:lineRule="atLeast"/>
              <w:ind w:firstLine="0" w:firstLineChars="0"/>
              <w:jc w:val="left"/>
              <w:rPr>
                <w:rFonts w:ascii="宋体" w:hAnsi="宋体" w:cs="宋体"/>
                <w:kern w:val="0"/>
                <w:sz w:val="20"/>
                <w:szCs w:val="20"/>
              </w:rPr>
            </w:pPr>
            <w:r>
              <w:rPr>
                <w:rStyle w:val="22"/>
                <w:rFonts w:hint="default"/>
                <w:color w:val="auto"/>
                <w:sz w:val="20"/>
                <w:szCs w:val="20"/>
              </w:rPr>
              <w:t>提升服务配套设施</w:t>
            </w:r>
          </w:p>
        </w:tc>
        <w:tc>
          <w:tcPr>
            <w:tcW w:w="2075" w:type="pct"/>
            <w:noWrap/>
            <w:vAlign w:val="center"/>
          </w:tcPr>
          <w:p w14:paraId="4655D79A">
            <w:pPr>
              <w:widowControl/>
              <w:spacing w:line="240" w:lineRule="atLeast"/>
              <w:rPr>
                <w:rStyle w:val="22"/>
                <w:rFonts w:hint="default"/>
                <w:color w:val="auto"/>
                <w:sz w:val="20"/>
                <w:szCs w:val="20"/>
              </w:rPr>
            </w:pPr>
            <w:r>
              <w:rPr>
                <w:rFonts w:hint="eastAsia" w:ascii="宋体" w:hAnsi="宋体" w:cs="宋体"/>
                <w:sz w:val="20"/>
                <w:szCs w:val="20"/>
              </w:rPr>
              <w:t>市属公园总规修编、动物展区及食草片区规划，天坛、北海、中山地下基础设施专项规划编制</w:t>
            </w:r>
          </w:p>
        </w:tc>
      </w:tr>
      <w:tr w14:paraId="38758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63ACBA66">
            <w:pPr>
              <w:widowControl/>
              <w:spacing w:line="240" w:lineRule="atLeast"/>
              <w:jc w:val="center"/>
              <w:rPr>
                <w:rFonts w:ascii="宋体" w:hAnsi="宋体" w:cs="宋体"/>
                <w:kern w:val="0"/>
                <w:sz w:val="20"/>
                <w:szCs w:val="20"/>
              </w:rPr>
            </w:pPr>
          </w:p>
        </w:tc>
        <w:tc>
          <w:tcPr>
            <w:tcW w:w="1799" w:type="pct"/>
            <w:vMerge w:val="continue"/>
            <w:noWrap/>
            <w:vAlign w:val="center"/>
          </w:tcPr>
          <w:p w14:paraId="4773F7C6">
            <w:pPr>
              <w:widowControl/>
              <w:spacing w:line="240" w:lineRule="atLeast"/>
              <w:rPr>
                <w:rFonts w:ascii="宋体" w:hAnsi="宋体" w:cs="宋体"/>
                <w:kern w:val="0"/>
                <w:sz w:val="20"/>
                <w:szCs w:val="20"/>
              </w:rPr>
            </w:pPr>
          </w:p>
        </w:tc>
        <w:tc>
          <w:tcPr>
            <w:tcW w:w="660" w:type="pct"/>
            <w:vMerge w:val="continue"/>
            <w:noWrap/>
            <w:vAlign w:val="center"/>
          </w:tcPr>
          <w:p w14:paraId="3FF826F6">
            <w:pPr>
              <w:pStyle w:val="2"/>
              <w:spacing w:line="240" w:lineRule="atLeast"/>
              <w:ind w:firstLine="0" w:firstLineChars="0"/>
              <w:jc w:val="left"/>
              <w:rPr>
                <w:rFonts w:ascii="宋体" w:hAnsi="宋体" w:cs="宋体"/>
                <w:kern w:val="0"/>
                <w:sz w:val="20"/>
                <w:szCs w:val="20"/>
              </w:rPr>
            </w:pPr>
          </w:p>
        </w:tc>
        <w:tc>
          <w:tcPr>
            <w:tcW w:w="2075" w:type="pct"/>
            <w:noWrap/>
            <w:vAlign w:val="center"/>
          </w:tcPr>
          <w:p w14:paraId="34D80416">
            <w:pPr>
              <w:widowControl/>
              <w:spacing w:line="240" w:lineRule="atLeast"/>
              <w:rPr>
                <w:rStyle w:val="22"/>
                <w:rFonts w:hint="default"/>
                <w:color w:val="auto"/>
                <w:sz w:val="20"/>
                <w:szCs w:val="20"/>
              </w:rPr>
            </w:pPr>
            <w:r>
              <w:rPr>
                <w:rStyle w:val="22"/>
                <w:rFonts w:hint="default"/>
                <w:color w:val="auto"/>
                <w:sz w:val="20"/>
                <w:szCs w:val="20"/>
              </w:rPr>
              <w:t>推进颐和园固定牌示更新、动物园固定牌示更新</w:t>
            </w:r>
          </w:p>
        </w:tc>
      </w:tr>
      <w:tr w14:paraId="02D0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58EE047A">
            <w:pPr>
              <w:widowControl/>
              <w:spacing w:line="240" w:lineRule="atLeast"/>
              <w:jc w:val="center"/>
              <w:rPr>
                <w:rFonts w:ascii="宋体" w:hAnsi="宋体" w:cs="宋体"/>
                <w:kern w:val="0"/>
                <w:sz w:val="20"/>
                <w:szCs w:val="20"/>
              </w:rPr>
            </w:pPr>
          </w:p>
        </w:tc>
        <w:tc>
          <w:tcPr>
            <w:tcW w:w="1799" w:type="pct"/>
            <w:vMerge w:val="continue"/>
            <w:noWrap/>
            <w:vAlign w:val="center"/>
          </w:tcPr>
          <w:p w14:paraId="04F5D88C">
            <w:pPr>
              <w:widowControl/>
              <w:spacing w:line="240" w:lineRule="atLeast"/>
              <w:rPr>
                <w:rFonts w:ascii="宋体" w:hAnsi="宋体" w:cs="宋体"/>
                <w:kern w:val="0"/>
                <w:sz w:val="20"/>
                <w:szCs w:val="20"/>
              </w:rPr>
            </w:pPr>
          </w:p>
        </w:tc>
        <w:tc>
          <w:tcPr>
            <w:tcW w:w="660" w:type="pct"/>
            <w:vMerge w:val="continue"/>
            <w:noWrap/>
            <w:vAlign w:val="center"/>
          </w:tcPr>
          <w:p w14:paraId="6FA52CEC">
            <w:pPr>
              <w:pStyle w:val="2"/>
              <w:spacing w:line="240" w:lineRule="atLeast"/>
              <w:ind w:firstLine="0" w:firstLineChars="0"/>
              <w:jc w:val="left"/>
              <w:rPr>
                <w:rFonts w:ascii="宋体" w:hAnsi="宋体" w:cs="宋体"/>
                <w:kern w:val="0"/>
                <w:sz w:val="20"/>
                <w:szCs w:val="20"/>
              </w:rPr>
            </w:pPr>
          </w:p>
        </w:tc>
        <w:tc>
          <w:tcPr>
            <w:tcW w:w="2075" w:type="pct"/>
            <w:noWrap/>
            <w:vAlign w:val="center"/>
          </w:tcPr>
          <w:p w14:paraId="10A8FD10">
            <w:pPr>
              <w:widowControl/>
              <w:spacing w:line="240" w:lineRule="atLeast"/>
              <w:rPr>
                <w:rStyle w:val="22"/>
                <w:rFonts w:hint="default"/>
                <w:color w:val="auto"/>
                <w:sz w:val="20"/>
                <w:szCs w:val="20"/>
              </w:rPr>
            </w:pPr>
            <w:r>
              <w:rPr>
                <w:rStyle w:val="22"/>
                <w:rFonts w:hint="default"/>
                <w:color w:val="auto"/>
                <w:sz w:val="20"/>
                <w:szCs w:val="20"/>
              </w:rPr>
              <w:t>电子票务闸机及验票通道更新</w:t>
            </w:r>
          </w:p>
        </w:tc>
      </w:tr>
      <w:tr w14:paraId="6EC2D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33ABF8B0">
            <w:pPr>
              <w:widowControl/>
              <w:spacing w:line="240" w:lineRule="atLeast"/>
              <w:jc w:val="center"/>
              <w:rPr>
                <w:rFonts w:ascii="宋体" w:hAnsi="宋体" w:cs="宋体"/>
                <w:kern w:val="0"/>
                <w:sz w:val="20"/>
                <w:szCs w:val="20"/>
              </w:rPr>
            </w:pPr>
          </w:p>
        </w:tc>
        <w:tc>
          <w:tcPr>
            <w:tcW w:w="1799" w:type="pct"/>
            <w:vMerge w:val="continue"/>
            <w:noWrap/>
            <w:vAlign w:val="center"/>
          </w:tcPr>
          <w:p w14:paraId="7513A52B">
            <w:pPr>
              <w:widowControl/>
              <w:spacing w:line="240" w:lineRule="atLeast"/>
              <w:rPr>
                <w:rFonts w:ascii="宋体" w:hAnsi="宋体" w:cs="宋体"/>
                <w:kern w:val="0"/>
                <w:sz w:val="20"/>
                <w:szCs w:val="20"/>
              </w:rPr>
            </w:pPr>
          </w:p>
        </w:tc>
        <w:tc>
          <w:tcPr>
            <w:tcW w:w="660" w:type="pct"/>
            <w:vMerge w:val="continue"/>
            <w:noWrap/>
            <w:vAlign w:val="center"/>
          </w:tcPr>
          <w:p w14:paraId="6A6CD550">
            <w:pPr>
              <w:pStyle w:val="2"/>
              <w:spacing w:line="240" w:lineRule="atLeast"/>
              <w:ind w:firstLine="0" w:firstLineChars="0"/>
              <w:jc w:val="left"/>
              <w:rPr>
                <w:rFonts w:ascii="宋体" w:hAnsi="宋体" w:cs="宋体"/>
                <w:kern w:val="0"/>
                <w:sz w:val="20"/>
                <w:szCs w:val="20"/>
              </w:rPr>
            </w:pPr>
          </w:p>
        </w:tc>
        <w:tc>
          <w:tcPr>
            <w:tcW w:w="2075" w:type="pct"/>
            <w:shd w:val="clear" w:color="auto" w:fill="auto"/>
            <w:noWrap/>
            <w:vAlign w:val="center"/>
          </w:tcPr>
          <w:p w14:paraId="5611EC5E">
            <w:pPr>
              <w:widowControl/>
              <w:spacing w:line="240" w:lineRule="atLeast"/>
              <w:rPr>
                <w:rFonts w:ascii="宋体" w:hAnsi="宋体" w:cs="宋体"/>
                <w:kern w:val="0"/>
                <w:sz w:val="20"/>
                <w:szCs w:val="20"/>
              </w:rPr>
            </w:pPr>
            <w:r>
              <w:rPr>
                <w:rStyle w:val="22"/>
                <w:rFonts w:hint="default"/>
                <w:color w:val="auto"/>
                <w:sz w:val="20"/>
                <w:szCs w:val="20"/>
              </w:rPr>
              <w:t>推进颐和园文昌院箱变更新改造、香山索道升级改造工程、玉渊潭公园游乐场改造提升、动物园两爬馆、猿猴馆卫生间改造、紫竹院大湖周边设施改造、陶然亭报春亭等5处亭子修缮等</w:t>
            </w:r>
          </w:p>
        </w:tc>
      </w:tr>
      <w:tr w14:paraId="30EB9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47425DB3">
            <w:pPr>
              <w:widowControl/>
              <w:spacing w:line="240" w:lineRule="atLeast"/>
              <w:jc w:val="center"/>
              <w:rPr>
                <w:rFonts w:ascii="宋体" w:hAnsi="宋体" w:cs="宋体"/>
                <w:kern w:val="0"/>
                <w:sz w:val="20"/>
                <w:szCs w:val="20"/>
              </w:rPr>
            </w:pPr>
          </w:p>
        </w:tc>
        <w:tc>
          <w:tcPr>
            <w:tcW w:w="1799" w:type="pct"/>
            <w:vMerge w:val="continue"/>
            <w:noWrap/>
            <w:vAlign w:val="center"/>
          </w:tcPr>
          <w:p w14:paraId="347484AC">
            <w:pPr>
              <w:widowControl/>
              <w:spacing w:line="240" w:lineRule="atLeast"/>
              <w:rPr>
                <w:rFonts w:ascii="宋体" w:hAnsi="宋体" w:cs="宋体"/>
                <w:kern w:val="0"/>
                <w:sz w:val="20"/>
                <w:szCs w:val="20"/>
              </w:rPr>
            </w:pPr>
          </w:p>
        </w:tc>
        <w:tc>
          <w:tcPr>
            <w:tcW w:w="660" w:type="pct"/>
            <w:vMerge w:val="restart"/>
            <w:noWrap/>
            <w:vAlign w:val="center"/>
          </w:tcPr>
          <w:p w14:paraId="6975E416">
            <w:pPr>
              <w:pStyle w:val="2"/>
              <w:spacing w:line="240" w:lineRule="atLeast"/>
              <w:ind w:firstLine="0" w:firstLineChars="0"/>
              <w:jc w:val="left"/>
              <w:rPr>
                <w:rFonts w:ascii="宋体" w:hAnsi="宋体" w:cs="宋体"/>
                <w:kern w:val="0"/>
                <w:sz w:val="20"/>
                <w:szCs w:val="20"/>
              </w:rPr>
            </w:pPr>
            <w:r>
              <w:rPr>
                <w:rFonts w:hint="eastAsia" w:ascii="宋体" w:hAnsi="宋体" w:cs="宋体"/>
                <w:kern w:val="0"/>
                <w:sz w:val="20"/>
                <w:szCs w:val="20"/>
              </w:rPr>
              <w:t>发展优秀文化文创</w:t>
            </w:r>
          </w:p>
        </w:tc>
        <w:tc>
          <w:tcPr>
            <w:tcW w:w="2075" w:type="pct"/>
            <w:noWrap/>
            <w:vAlign w:val="center"/>
          </w:tcPr>
          <w:p w14:paraId="6B905256">
            <w:pPr>
              <w:widowControl/>
              <w:spacing w:line="240" w:lineRule="atLeast"/>
              <w:rPr>
                <w:rStyle w:val="22"/>
                <w:rFonts w:hint="default"/>
                <w:color w:val="auto"/>
                <w:sz w:val="20"/>
                <w:szCs w:val="20"/>
              </w:rPr>
            </w:pPr>
            <w:r>
              <w:rPr>
                <w:rStyle w:val="22"/>
                <w:rFonts w:hint="default"/>
                <w:color w:val="auto"/>
                <w:sz w:val="20"/>
                <w:szCs w:val="20"/>
              </w:rPr>
              <w:t>北海碧海楼、中山后河及植物园樱桃沟文创店改造等</w:t>
            </w:r>
          </w:p>
        </w:tc>
      </w:tr>
      <w:tr w14:paraId="69F56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587E0C9A">
            <w:pPr>
              <w:widowControl/>
              <w:spacing w:line="240" w:lineRule="atLeast"/>
              <w:jc w:val="center"/>
              <w:rPr>
                <w:rFonts w:ascii="宋体" w:hAnsi="宋体" w:cs="宋体"/>
                <w:kern w:val="0"/>
                <w:sz w:val="20"/>
                <w:szCs w:val="20"/>
              </w:rPr>
            </w:pPr>
          </w:p>
        </w:tc>
        <w:tc>
          <w:tcPr>
            <w:tcW w:w="1799" w:type="pct"/>
            <w:vMerge w:val="continue"/>
            <w:noWrap/>
            <w:vAlign w:val="center"/>
          </w:tcPr>
          <w:p w14:paraId="227F0208">
            <w:pPr>
              <w:widowControl/>
              <w:spacing w:line="240" w:lineRule="atLeast"/>
              <w:rPr>
                <w:rFonts w:ascii="宋体" w:hAnsi="宋体" w:cs="宋体"/>
                <w:kern w:val="0"/>
                <w:sz w:val="20"/>
                <w:szCs w:val="20"/>
              </w:rPr>
            </w:pPr>
          </w:p>
        </w:tc>
        <w:tc>
          <w:tcPr>
            <w:tcW w:w="660" w:type="pct"/>
            <w:vMerge w:val="continue"/>
            <w:noWrap/>
            <w:vAlign w:val="center"/>
          </w:tcPr>
          <w:p w14:paraId="66BD35F7">
            <w:pPr>
              <w:pStyle w:val="2"/>
              <w:spacing w:line="240" w:lineRule="atLeast"/>
              <w:ind w:firstLine="0" w:firstLineChars="0"/>
              <w:jc w:val="left"/>
              <w:rPr>
                <w:rFonts w:ascii="宋体" w:hAnsi="宋体" w:cs="宋体"/>
                <w:sz w:val="20"/>
                <w:szCs w:val="20"/>
              </w:rPr>
            </w:pPr>
          </w:p>
        </w:tc>
        <w:tc>
          <w:tcPr>
            <w:tcW w:w="2075" w:type="pct"/>
            <w:noWrap/>
            <w:vAlign w:val="center"/>
          </w:tcPr>
          <w:p w14:paraId="40200829">
            <w:pPr>
              <w:widowControl/>
              <w:spacing w:line="240" w:lineRule="atLeast"/>
              <w:rPr>
                <w:rFonts w:ascii="宋体" w:hAnsi="宋体" w:cs="宋体"/>
                <w:kern w:val="0"/>
                <w:sz w:val="20"/>
                <w:szCs w:val="20"/>
              </w:rPr>
            </w:pPr>
            <w:r>
              <w:rPr>
                <w:rFonts w:hint="eastAsia" w:ascii="宋体" w:hAnsi="宋体" w:cs="宋体"/>
                <w:kern w:val="0"/>
                <w:sz w:val="20"/>
                <w:szCs w:val="20"/>
              </w:rPr>
              <w:t>推进公园文创创新发展、神乐署中和韶乐展</w:t>
            </w:r>
          </w:p>
        </w:tc>
      </w:tr>
      <w:tr w14:paraId="3E36B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0A146CC4">
            <w:pPr>
              <w:widowControl/>
              <w:spacing w:line="240" w:lineRule="atLeast"/>
              <w:jc w:val="center"/>
              <w:rPr>
                <w:rFonts w:ascii="宋体" w:hAnsi="宋体" w:cs="宋体"/>
                <w:kern w:val="0"/>
                <w:sz w:val="20"/>
                <w:szCs w:val="20"/>
              </w:rPr>
            </w:pPr>
          </w:p>
        </w:tc>
        <w:tc>
          <w:tcPr>
            <w:tcW w:w="1799" w:type="pct"/>
            <w:vMerge w:val="continue"/>
            <w:noWrap/>
            <w:vAlign w:val="center"/>
          </w:tcPr>
          <w:p w14:paraId="1E6A46B5">
            <w:pPr>
              <w:widowControl/>
              <w:spacing w:line="240" w:lineRule="atLeast"/>
              <w:rPr>
                <w:rFonts w:ascii="宋体" w:hAnsi="宋体" w:cs="宋体"/>
                <w:kern w:val="0"/>
                <w:sz w:val="20"/>
                <w:szCs w:val="20"/>
              </w:rPr>
            </w:pPr>
          </w:p>
        </w:tc>
        <w:tc>
          <w:tcPr>
            <w:tcW w:w="660" w:type="pct"/>
            <w:vMerge w:val="continue"/>
            <w:noWrap/>
            <w:vAlign w:val="center"/>
          </w:tcPr>
          <w:p w14:paraId="3164F33C">
            <w:pPr>
              <w:pStyle w:val="2"/>
              <w:spacing w:line="240" w:lineRule="atLeast"/>
              <w:ind w:firstLine="0" w:firstLineChars="0"/>
              <w:jc w:val="left"/>
              <w:rPr>
                <w:rFonts w:ascii="宋体" w:hAnsi="宋体" w:cs="宋体"/>
                <w:sz w:val="20"/>
                <w:szCs w:val="20"/>
              </w:rPr>
            </w:pPr>
          </w:p>
        </w:tc>
        <w:tc>
          <w:tcPr>
            <w:tcW w:w="2075" w:type="pct"/>
            <w:noWrap/>
            <w:vAlign w:val="center"/>
          </w:tcPr>
          <w:p w14:paraId="63F265F3">
            <w:pPr>
              <w:widowControl/>
              <w:spacing w:line="240" w:lineRule="atLeast"/>
              <w:rPr>
                <w:rFonts w:ascii="宋体" w:hAnsi="宋体" w:cs="宋体"/>
                <w:kern w:val="0"/>
                <w:sz w:val="20"/>
                <w:szCs w:val="20"/>
              </w:rPr>
            </w:pPr>
            <w:r>
              <w:rPr>
                <w:rFonts w:hint="eastAsia" w:ascii="宋体" w:hAnsi="宋体" w:cs="宋体"/>
                <w:kern w:val="0"/>
                <w:sz w:val="20"/>
                <w:szCs w:val="20"/>
              </w:rPr>
              <w:t>中山公园蕙芳园展览提升改造和历史文化展</w:t>
            </w:r>
          </w:p>
        </w:tc>
      </w:tr>
      <w:tr w14:paraId="40E0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4F8A3181">
            <w:pPr>
              <w:widowControl/>
              <w:spacing w:line="240" w:lineRule="atLeast"/>
              <w:jc w:val="center"/>
              <w:rPr>
                <w:rFonts w:ascii="宋体" w:hAnsi="宋体" w:cs="宋体"/>
                <w:kern w:val="0"/>
                <w:sz w:val="20"/>
                <w:szCs w:val="20"/>
              </w:rPr>
            </w:pPr>
          </w:p>
        </w:tc>
        <w:tc>
          <w:tcPr>
            <w:tcW w:w="1799" w:type="pct"/>
            <w:vMerge w:val="continue"/>
            <w:noWrap/>
            <w:vAlign w:val="center"/>
          </w:tcPr>
          <w:p w14:paraId="2946CF17">
            <w:pPr>
              <w:widowControl/>
              <w:spacing w:line="240" w:lineRule="atLeast"/>
              <w:rPr>
                <w:rFonts w:ascii="宋体" w:hAnsi="宋体" w:cs="宋体"/>
                <w:kern w:val="0"/>
                <w:sz w:val="20"/>
                <w:szCs w:val="20"/>
              </w:rPr>
            </w:pPr>
          </w:p>
        </w:tc>
        <w:tc>
          <w:tcPr>
            <w:tcW w:w="660" w:type="pct"/>
            <w:vMerge w:val="continue"/>
            <w:noWrap/>
            <w:vAlign w:val="center"/>
          </w:tcPr>
          <w:p w14:paraId="66041189">
            <w:pPr>
              <w:pStyle w:val="2"/>
              <w:spacing w:line="240" w:lineRule="atLeast"/>
              <w:ind w:firstLine="0" w:firstLineChars="0"/>
              <w:jc w:val="left"/>
              <w:rPr>
                <w:rFonts w:ascii="宋体" w:hAnsi="宋体" w:cs="宋体"/>
                <w:sz w:val="20"/>
                <w:szCs w:val="20"/>
              </w:rPr>
            </w:pPr>
          </w:p>
        </w:tc>
        <w:tc>
          <w:tcPr>
            <w:tcW w:w="2075" w:type="pct"/>
            <w:noWrap/>
            <w:vAlign w:val="center"/>
          </w:tcPr>
          <w:p w14:paraId="1DEA23B5">
            <w:pPr>
              <w:widowControl/>
              <w:spacing w:line="240" w:lineRule="atLeast"/>
              <w:rPr>
                <w:rFonts w:ascii="宋体" w:hAnsi="宋体" w:cs="宋体"/>
                <w:kern w:val="0"/>
                <w:sz w:val="20"/>
                <w:szCs w:val="20"/>
              </w:rPr>
            </w:pPr>
            <w:r>
              <w:rPr>
                <w:rFonts w:hint="eastAsia" w:ascii="宋体" w:hAnsi="宋体" w:cs="宋体"/>
                <w:kern w:val="0"/>
                <w:sz w:val="20"/>
                <w:szCs w:val="20"/>
              </w:rPr>
              <w:t>筹划筹办“ 园说Ⅵ”文化文物展览</w:t>
            </w:r>
          </w:p>
        </w:tc>
      </w:tr>
      <w:tr w14:paraId="04EE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216925BC">
            <w:pPr>
              <w:widowControl/>
              <w:spacing w:line="240" w:lineRule="atLeast"/>
              <w:jc w:val="center"/>
              <w:rPr>
                <w:rFonts w:ascii="宋体" w:hAnsi="宋体" w:cs="宋体"/>
                <w:kern w:val="0"/>
                <w:sz w:val="20"/>
                <w:szCs w:val="20"/>
              </w:rPr>
            </w:pPr>
          </w:p>
        </w:tc>
        <w:tc>
          <w:tcPr>
            <w:tcW w:w="1799" w:type="pct"/>
            <w:vMerge w:val="continue"/>
            <w:noWrap/>
            <w:vAlign w:val="center"/>
          </w:tcPr>
          <w:p w14:paraId="00D1782F">
            <w:pPr>
              <w:widowControl/>
              <w:spacing w:line="240" w:lineRule="atLeast"/>
              <w:rPr>
                <w:rFonts w:ascii="宋体" w:hAnsi="宋体" w:cs="宋体"/>
                <w:kern w:val="0"/>
                <w:sz w:val="20"/>
                <w:szCs w:val="20"/>
              </w:rPr>
            </w:pPr>
          </w:p>
        </w:tc>
        <w:tc>
          <w:tcPr>
            <w:tcW w:w="660" w:type="pct"/>
            <w:vMerge w:val="continue"/>
            <w:noWrap/>
            <w:vAlign w:val="center"/>
          </w:tcPr>
          <w:p w14:paraId="70CFF630">
            <w:pPr>
              <w:pStyle w:val="2"/>
              <w:spacing w:line="240" w:lineRule="atLeast"/>
              <w:ind w:firstLine="0" w:firstLineChars="0"/>
              <w:jc w:val="left"/>
              <w:rPr>
                <w:rFonts w:ascii="宋体" w:hAnsi="宋体" w:cs="宋体"/>
                <w:sz w:val="20"/>
                <w:szCs w:val="20"/>
              </w:rPr>
            </w:pPr>
          </w:p>
        </w:tc>
        <w:tc>
          <w:tcPr>
            <w:tcW w:w="2075" w:type="pct"/>
            <w:noWrap/>
            <w:vAlign w:val="center"/>
          </w:tcPr>
          <w:p w14:paraId="356879B7">
            <w:pPr>
              <w:widowControl/>
              <w:spacing w:line="240" w:lineRule="atLeast"/>
              <w:rPr>
                <w:rFonts w:ascii="宋体" w:hAnsi="宋体" w:cs="宋体"/>
                <w:kern w:val="0"/>
                <w:sz w:val="20"/>
                <w:szCs w:val="20"/>
              </w:rPr>
            </w:pPr>
            <w:r>
              <w:rPr>
                <w:rFonts w:hint="eastAsia" w:ascii="宋体" w:hAnsi="宋体" w:cs="宋体"/>
                <w:kern w:val="0"/>
                <w:sz w:val="20"/>
                <w:szCs w:val="20"/>
              </w:rPr>
              <w:t>持续开展“我们的节日”市属公园系列文化活动</w:t>
            </w:r>
          </w:p>
        </w:tc>
      </w:tr>
      <w:tr w14:paraId="6DCA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7EE72C9E">
            <w:pPr>
              <w:widowControl/>
              <w:spacing w:line="240" w:lineRule="atLeast"/>
              <w:jc w:val="center"/>
              <w:rPr>
                <w:rFonts w:ascii="宋体" w:hAnsi="宋体" w:cs="宋体"/>
                <w:kern w:val="0"/>
                <w:sz w:val="20"/>
                <w:szCs w:val="20"/>
              </w:rPr>
            </w:pPr>
          </w:p>
        </w:tc>
        <w:tc>
          <w:tcPr>
            <w:tcW w:w="1799" w:type="pct"/>
            <w:vMerge w:val="continue"/>
            <w:noWrap/>
            <w:vAlign w:val="center"/>
          </w:tcPr>
          <w:p w14:paraId="7B13398A">
            <w:pPr>
              <w:widowControl/>
              <w:spacing w:line="240" w:lineRule="atLeast"/>
              <w:rPr>
                <w:rFonts w:ascii="宋体" w:hAnsi="宋体" w:cs="宋体"/>
                <w:kern w:val="0"/>
                <w:sz w:val="20"/>
                <w:szCs w:val="20"/>
              </w:rPr>
            </w:pPr>
          </w:p>
        </w:tc>
        <w:tc>
          <w:tcPr>
            <w:tcW w:w="660" w:type="pct"/>
            <w:vMerge w:val="restart"/>
            <w:noWrap/>
            <w:vAlign w:val="center"/>
          </w:tcPr>
          <w:p w14:paraId="427CA075">
            <w:pPr>
              <w:pStyle w:val="2"/>
              <w:spacing w:line="240" w:lineRule="atLeast"/>
              <w:ind w:firstLine="0" w:firstLineChars="0"/>
              <w:jc w:val="left"/>
              <w:rPr>
                <w:rFonts w:ascii="宋体" w:hAnsi="宋体" w:cs="宋体"/>
                <w:sz w:val="20"/>
                <w:szCs w:val="20"/>
              </w:rPr>
            </w:pPr>
            <w:r>
              <w:rPr>
                <w:rFonts w:hint="eastAsia" w:ascii="宋体" w:hAnsi="宋体" w:cs="宋体"/>
                <w:sz w:val="20"/>
                <w:szCs w:val="20"/>
              </w:rPr>
              <w:t>加强生态文明建设</w:t>
            </w:r>
          </w:p>
        </w:tc>
        <w:tc>
          <w:tcPr>
            <w:tcW w:w="2075" w:type="pct"/>
            <w:noWrap/>
            <w:vAlign w:val="center"/>
          </w:tcPr>
          <w:p w14:paraId="76C46312">
            <w:pPr>
              <w:widowControl/>
              <w:spacing w:line="240" w:lineRule="atLeast"/>
              <w:rPr>
                <w:rFonts w:ascii="宋体" w:hAnsi="宋体" w:cs="宋体"/>
                <w:kern w:val="0"/>
                <w:sz w:val="20"/>
                <w:szCs w:val="20"/>
              </w:rPr>
            </w:pPr>
            <w:r>
              <w:rPr>
                <w:rFonts w:hint="eastAsia" w:ascii="宋体" w:hAnsi="宋体" w:cs="宋体"/>
                <w:kern w:val="0"/>
                <w:sz w:val="20"/>
                <w:szCs w:val="20"/>
              </w:rPr>
              <w:t>国家植物园建设方案报审、万生苑展览温室外结构修缮工程、国家植物园珍稀植物迁地保护基础设施建设</w:t>
            </w:r>
          </w:p>
        </w:tc>
      </w:tr>
      <w:tr w14:paraId="09891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5F092D2E">
            <w:pPr>
              <w:widowControl/>
              <w:spacing w:line="240" w:lineRule="atLeast"/>
              <w:jc w:val="center"/>
              <w:rPr>
                <w:rFonts w:ascii="宋体" w:hAnsi="宋体" w:cs="宋体"/>
                <w:kern w:val="0"/>
                <w:sz w:val="20"/>
                <w:szCs w:val="20"/>
              </w:rPr>
            </w:pPr>
          </w:p>
        </w:tc>
        <w:tc>
          <w:tcPr>
            <w:tcW w:w="1799" w:type="pct"/>
            <w:vMerge w:val="continue"/>
            <w:noWrap/>
            <w:vAlign w:val="center"/>
          </w:tcPr>
          <w:p w14:paraId="06F5F9AF">
            <w:pPr>
              <w:widowControl/>
              <w:spacing w:line="240" w:lineRule="atLeast"/>
              <w:rPr>
                <w:rFonts w:ascii="宋体" w:hAnsi="宋体" w:cs="宋体"/>
                <w:kern w:val="0"/>
                <w:sz w:val="20"/>
                <w:szCs w:val="20"/>
              </w:rPr>
            </w:pPr>
          </w:p>
        </w:tc>
        <w:tc>
          <w:tcPr>
            <w:tcW w:w="660" w:type="pct"/>
            <w:vMerge w:val="continue"/>
            <w:noWrap/>
            <w:vAlign w:val="center"/>
          </w:tcPr>
          <w:p w14:paraId="4E4B5D92">
            <w:pPr>
              <w:pStyle w:val="2"/>
              <w:spacing w:line="240" w:lineRule="atLeast"/>
              <w:ind w:firstLine="0" w:firstLineChars="0"/>
              <w:jc w:val="left"/>
              <w:rPr>
                <w:rFonts w:ascii="宋体" w:hAnsi="宋体" w:cs="宋体"/>
                <w:sz w:val="20"/>
                <w:szCs w:val="20"/>
              </w:rPr>
            </w:pPr>
          </w:p>
        </w:tc>
        <w:tc>
          <w:tcPr>
            <w:tcW w:w="2075" w:type="pct"/>
            <w:noWrap/>
            <w:vAlign w:val="center"/>
          </w:tcPr>
          <w:p w14:paraId="26BA70FB">
            <w:pPr>
              <w:widowControl/>
              <w:spacing w:line="240" w:lineRule="atLeast"/>
              <w:rPr>
                <w:rFonts w:ascii="宋体" w:hAnsi="宋体" w:cs="宋体"/>
                <w:kern w:val="0"/>
                <w:sz w:val="20"/>
                <w:szCs w:val="20"/>
              </w:rPr>
            </w:pPr>
            <w:r>
              <w:rPr>
                <w:rFonts w:hint="eastAsia" w:ascii="宋体" w:hAnsi="宋体" w:cs="宋体"/>
                <w:kern w:val="0"/>
                <w:sz w:val="20"/>
                <w:szCs w:val="20"/>
              </w:rPr>
              <w:t>中国国家植物种质资源库、大熊猫展区扩建、长颈鹿馆改造</w:t>
            </w:r>
          </w:p>
        </w:tc>
      </w:tr>
      <w:tr w14:paraId="3639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1A7831E6">
            <w:pPr>
              <w:widowControl/>
              <w:spacing w:line="240" w:lineRule="atLeast"/>
              <w:jc w:val="center"/>
              <w:rPr>
                <w:rFonts w:ascii="宋体" w:hAnsi="宋体" w:cs="宋体"/>
                <w:kern w:val="0"/>
                <w:sz w:val="20"/>
                <w:szCs w:val="20"/>
              </w:rPr>
            </w:pPr>
          </w:p>
        </w:tc>
        <w:tc>
          <w:tcPr>
            <w:tcW w:w="1799" w:type="pct"/>
            <w:vMerge w:val="continue"/>
            <w:noWrap/>
            <w:vAlign w:val="center"/>
          </w:tcPr>
          <w:p w14:paraId="0F94D747">
            <w:pPr>
              <w:widowControl/>
              <w:spacing w:line="240" w:lineRule="atLeast"/>
              <w:rPr>
                <w:rFonts w:ascii="宋体" w:hAnsi="宋体" w:cs="宋体"/>
                <w:kern w:val="0"/>
                <w:sz w:val="20"/>
                <w:szCs w:val="20"/>
              </w:rPr>
            </w:pPr>
          </w:p>
        </w:tc>
        <w:tc>
          <w:tcPr>
            <w:tcW w:w="660" w:type="pct"/>
            <w:vMerge w:val="continue"/>
            <w:noWrap/>
            <w:vAlign w:val="center"/>
          </w:tcPr>
          <w:p w14:paraId="5F03D901">
            <w:pPr>
              <w:pStyle w:val="2"/>
              <w:spacing w:line="240" w:lineRule="atLeast"/>
              <w:ind w:firstLine="0" w:firstLineChars="0"/>
              <w:jc w:val="left"/>
              <w:rPr>
                <w:rFonts w:ascii="宋体" w:hAnsi="宋体" w:cs="宋体"/>
                <w:sz w:val="20"/>
                <w:szCs w:val="20"/>
              </w:rPr>
            </w:pPr>
          </w:p>
        </w:tc>
        <w:tc>
          <w:tcPr>
            <w:tcW w:w="2075" w:type="pct"/>
            <w:noWrap/>
            <w:vAlign w:val="center"/>
          </w:tcPr>
          <w:p w14:paraId="56A74455">
            <w:pPr>
              <w:widowControl/>
              <w:spacing w:line="240" w:lineRule="atLeast"/>
              <w:rPr>
                <w:rFonts w:ascii="宋体" w:hAnsi="宋体" w:cs="宋体"/>
                <w:kern w:val="0"/>
                <w:sz w:val="20"/>
                <w:szCs w:val="20"/>
              </w:rPr>
            </w:pPr>
            <w:r>
              <w:rPr>
                <w:rFonts w:hint="eastAsia" w:ascii="宋体" w:hAnsi="宋体" w:cs="宋体"/>
                <w:kern w:val="0"/>
                <w:sz w:val="20"/>
                <w:szCs w:val="20"/>
              </w:rPr>
              <w:t>古树复壮养护、2024 年花卉环境布置、</w:t>
            </w:r>
            <w:r>
              <w:rPr>
                <w:rStyle w:val="22"/>
                <w:rFonts w:hint="default"/>
                <w:color w:val="auto"/>
                <w:sz w:val="20"/>
                <w:szCs w:val="20"/>
              </w:rPr>
              <w:t>玉渊潭樱花更新</w:t>
            </w:r>
          </w:p>
        </w:tc>
      </w:tr>
      <w:tr w14:paraId="7E59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53" w:type="pct"/>
            <w:vMerge w:val="restart"/>
            <w:noWrap/>
            <w:vAlign w:val="center"/>
          </w:tcPr>
          <w:p w14:paraId="2F92FF11">
            <w:pPr>
              <w:widowControl/>
              <w:spacing w:line="240" w:lineRule="atLeast"/>
              <w:jc w:val="center"/>
              <w:rPr>
                <w:rFonts w:ascii="宋体" w:hAnsi="宋体" w:cs="宋体"/>
                <w:kern w:val="0"/>
                <w:sz w:val="20"/>
                <w:szCs w:val="20"/>
              </w:rPr>
            </w:pPr>
            <w:r>
              <w:rPr>
                <w:rFonts w:hint="eastAsia" w:ascii="宋体" w:hAnsi="宋体" w:cs="宋体"/>
                <w:kern w:val="0"/>
                <w:sz w:val="20"/>
                <w:szCs w:val="20"/>
              </w:rPr>
              <w:t>四</w:t>
            </w:r>
          </w:p>
        </w:tc>
        <w:tc>
          <w:tcPr>
            <w:tcW w:w="1799" w:type="pct"/>
            <w:vMerge w:val="restart"/>
            <w:noWrap/>
            <w:vAlign w:val="center"/>
          </w:tcPr>
          <w:p w14:paraId="7221EB78">
            <w:pPr>
              <w:widowControl/>
              <w:spacing w:line="240" w:lineRule="atLeast"/>
              <w:rPr>
                <w:rFonts w:ascii="宋体" w:hAnsi="宋体" w:cs="宋体"/>
                <w:kern w:val="0"/>
                <w:sz w:val="20"/>
                <w:szCs w:val="20"/>
              </w:rPr>
            </w:pPr>
            <w:r>
              <w:rPr>
                <w:rFonts w:hint="eastAsia" w:ascii="宋体" w:hAnsi="宋体" w:cs="宋体"/>
                <w:kern w:val="0"/>
                <w:sz w:val="20"/>
                <w:szCs w:val="20"/>
              </w:rPr>
              <w:t>负责统筹调整和配置市属公园和所属机构国有资产，并对使用和处置进行监督管理；负责监督管理市属公园和所属机构固定资产投资项目的组织实施工作</w:t>
            </w:r>
          </w:p>
        </w:tc>
        <w:tc>
          <w:tcPr>
            <w:tcW w:w="660" w:type="pct"/>
            <w:vMerge w:val="restart"/>
            <w:noWrap/>
            <w:vAlign w:val="center"/>
          </w:tcPr>
          <w:p w14:paraId="62393A45">
            <w:pPr>
              <w:widowControl/>
              <w:spacing w:line="240" w:lineRule="atLeast"/>
              <w:jc w:val="left"/>
              <w:rPr>
                <w:rFonts w:ascii="宋体" w:hAnsi="宋体" w:cs="宋体"/>
                <w:kern w:val="0"/>
                <w:sz w:val="20"/>
                <w:szCs w:val="20"/>
              </w:rPr>
            </w:pPr>
            <w:r>
              <w:rPr>
                <w:rFonts w:hint="eastAsia" w:ascii="宋体" w:hAnsi="宋体" w:cs="宋体"/>
                <w:kern w:val="0"/>
                <w:sz w:val="20"/>
                <w:szCs w:val="20"/>
              </w:rPr>
              <w:t>优化资产配置</w:t>
            </w:r>
          </w:p>
          <w:p w14:paraId="144634F3">
            <w:pPr>
              <w:pStyle w:val="2"/>
              <w:spacing w:line="240" w:lineRule="atLeast"/>
              <w:ind w:firstLine="0" w:firstLineChars="0"/>
              <w:jc w:val="left"/>
              <w:rPr>
                <w:rFonts w:ascii="宋体" w:hAnsi="宋体" w:cs="宋体"/>
                <w:sz w:val="20"/>
                <w:szCs w:val="20"/>
              </w:rPr>
            </w:pPr>
          </w:p>
        </w:tc>
        <w:tc>
          <w:tcPr>
            <w:tcW w:w="2075" w:type="pct"/>
            <w:noWrap/>
            <w:vAlign w:val="center"/>
          </w:tcPr>
          <w:p w14:paraId="2EC1F7AF">
            <w:pPr>
              <w:widowControl/>
              <w:spacing w:line="240" w:lineRule="atLeast"/>
              <w:rPr>
                <w:rFonts w:ascii="宋体" w:hAnsi="宋体" w:cs="宋体"/>
                <w:kern w:val="0"/>
                <w:sz w:val="20"/>
                <w:szCs w:val="20"/>
              </w:rPr>
            </w:pPr>
            <w:r>
              <w:rPr>
                <w:rFonts w:hint="eastAsia" w:ascii="宋体" w:hAnsi="宋体" w:cs="宋体"/>
                <w:kern w:val="0"/>
                <w:sz w:val="20"/>
                <w:szCs w:val="20"/>
              </w:rPr>
              <w:t>北海和陶然亭90 条游船更新购置</w:t>
            </w:r>
          </w:p>
        </w:tc>
      </w:tr>
      <w:tr w14:paraId="043A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453" w:type="pct"/>
            <w:vMerge w:val="continue"/>
            <w:noWrap/>
            <w:vAlign w:val="center"/>
          </w:tcPr>
          <w:p w14:paraId="70F127B6">
            <w:pPr>
              <w:widowControl/>
              <w:spacing w:line="240" w:lineRule="atLeast"/>
              <w:jc w:val="center"/>
              <w:rPr>
                <w:rFonts w:ascii="宋体" w:hAnsi="宋体" w:cs="宋体"/>
                <w:kern w:val="0"/>
                <w:sz w:val="20"/>
                <w:szCs w:val="20"/>
              </w:rPr>
            </w:pPr>
          </w:p>
        </w:tc>
        <w:tc>
          <w:tcPr>
            <w:tcW w:w="1799" w:type="pct"/>
            <w:vMerge w:val="continue"/>
            <w:noWrap/>
            <w:vAlign w:val="center"/>
          </w:tcPr>
          <w:p w14:paraId="1CDE39FF">
            <w:pPr>
              <w:widowControl/>
              <w:spacing w:line="240" w:lineRule="atLeast"/>
              <w:rPr>
                <w:rFonts w:ascii="宋体" w:hAnsi="宋体" w:cs="宋体"/>
                <w:kern w:val="0"/>
                <w:sz w:val="20"/>
                <w:szCs w:val="20"/>
              </w:rPr>
            </w:pPr>
          </w:p>
        </w:tc>
        <w:tc>
          <w:tcPr>
            <w:tcW w:w="660" w:type="pct"/>
            <w:vMerge w:val="continue"/>
            <w:noWrap/>
            <w:vAlign w:val="center"/>
          </w:tcPr>
          <w:p w14:paraId="7590723A">
            <w:pPr>
              <w:widowControl/>
              <w:spacing w:line="240" w:lineRule="atLeast"/>
              <w:jc w:val="left"/>
              <w:rPr>
                <w:rFonts w:ascii="宋体" w:hAnsi="宋体" w:cs="宋体"/>
                <w:kern w:val="0"/>
                <w:sz w:val="20"/>
                <w:szCs w:val="20"/>
              </w:rPr>
            </w:pPr>
          </w:p>
        </w:tc>
        <w:tc>
          <w:tcPr>
            <w:tcW w:w="2075" w:type="pct"/>
            <w:noWrap/>
            <w:vAlign w:val="center"/>
          </w:tcPr>
          <w:p w14:paraId="5B5EC2F8">
            <w:pPr>
              <w:widowControl/>
              <w:spacing w:line="240" w:lineRule="atLeast"/>
              <w:rPr>
                <w:rFonts w:ascii="宋体" w:hAnsi="宋体" w:cs="宋体"/>
                <w:sz w:val="20"/>
                <w:szCs w:val="20"/>
              </w:rPr>
            </w:pPr>
            <w:r>
              <w:rPr>
                <w:rStyle w:val="22"/>
                <w:rFonts w:hint="default"/>
                <w:color w:val="auto"/>
                <w:sz w:val="20"/>
                <w:szCs w:val="20"/>
              </w:rPr>
              <w:t>紫竹院游艺设备购置及安装</w:t>
            </w:r>
          </w:p>
        </w:tc>
      </w:tr>
      <w:tr w14:paraId="3956A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136D2C12">
            <w:pPr>
              <w:widowControl/>
              <w:spacing w:line="240" w:lineRule="atLeast"/>
              <w:jc w:val="center"/>
              <w:rPr>
                <w:rFonts w:ascii="宋体" w:hAnsi="宋体" w:cs="宋体"/>
                <w:kern w:val="0"/>
                <w:sz w:val="20"/>
                <w:szCs w:val="20"/>
              </w:rPr>
            </w:pPr>
          </w:p>
        </w:tc>
        <w:tc>
          <w:tcPr>
            <w:tcW w:w="1799" w:type="pct"/>
            <w:vMerge w:val="continue"/>
            <w:noWrap/>
            <w:vAlign w:val="center"/>
          </w:tcPr>
          <w:p w14:paraId="5A1A5B9D">
            <w:pPr>
              <w:widowControl/>
              <w:spacing w:line="240" w:lineRule="atLeast"/>
              <w:rPr>
                <w:rFonts w:ascii="宋体" w:hAnsi="宋体" w:cs="宋体"/>
                <w:kern w:val="0"/>
                <w:sz w:val="20"/>
                <w:szCs w:val="20"/>
              </w:rPr>
            </w:pPr>
          </w:p>
        </w:tc>
        <w:tc>
          <w:tcPr>
            <w:tcW w:w="660" w:type="pct"/>
            <w:vMerge w:val="continue"/>
            <w:noWrap/>
            <w:vAlign w:val="center"/>
          </w:tcPr>
          <w:p w14:paraId="574590C2">
            <w:pPr>
              <w:widowControl/>
              <w:spacing w:line="240" w:lineRule="atLeast"/>
              <w:jc w:val="left"/>
              <w:rPr>
                <w:rFonts w:ascii="宋体" w:hAnsi="宋体" w:cs="宋体"/>
                <w:kern w:val="0"/>
                <w:sz w:val="20"/>
                <w:szCs w:val="20"/>
              </w:rPr>
            </w:pPr>
          </w:p>
        </w:tc>
        <w:tc>
          <w:tcPr>
            <w:tcW w:w="2075" w:type="pct"/>
            <w:noWrap/>
            <w:vAlign w:val="center"/>
          </w:tcPr>
          <w:p w14:paraId="56C9DF74">
            <w:pPr>
              <w:widowControl/>
              <w:spacing w:line="240" w:lineRule="atLeast"/>
              <w:rPr>
                <w:rFonts w:ascii="宋体" w:hAnsi="宋体" w:cs="宋体"/>
                <w:kern w:val="0"/>
                <w:sz w:val="20"/>
                <w:szCs w:val="20"/>
              </w:rPr>
            </w:pPr>
            <w:r>
              <w:rPr>
                <w:rFonts w:hint="eastAsia" w:ascii="宋体" w:hAnsi="宋体" w:cs="宋体"/>
                <w:kern w:val="0"/>
                <w:sz w:val="20"/>
                <w:szCs w:val="20"/>
              </w:rPr>
              <w:t>玉渊潭保洁专用船购置</w:t>
            </w:r>
          </w:p>
        </w:tc>
      </w:tr>
      <w:tr w14:paraId="079A4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453" w:type="pct"/>
            <w:vMerge w:val="restart"/>
            <w:noWrap/>
            <w:vAlign w:val="center"/>
          </w:tcPr>
          <w:p w14:paraId="6D7C1836">
            <w:pPr>
              <w:widowControl/>
              <w:spacing w:line="240" w:lineRule="atLeast"/>
              <w:jc w:val="center"/>
              <w:rPr>
                <w:rFonts w:ascii="宋体" w:hAnsi="宋体" w:cs="宋体"/>
                <w:kern w:val="0"/>
                <w:sz w:val="20"/>
                <w:szCs w:val="20"/>
              </w:rPr>
            </w:pPr>
            <w:r>
              <w:rPr>
                <w:rFonts w:hint="eastAsia" w:ascii="宋体" w:hAnsi="宋体" w:cs="宋体"/>
                <w:kern w:val="0"/>
                <w:sz w:val="20"/>
                <w:szCs w:val="20"/>
              </w:rPr>
              <w:t>五</w:t>
            </w:r>
          </w:p>
        </w:tc>
        <w:tc>
          <w:tcPr>
            <w:tcW w:w="1799" w:type="pct"/>
            <w:vMerge w:val="restart"/>
            <w:noWrap/>
            <w:vAlign w:val="center"/>
          </w:tcPr>
          <w:p w14:paraId="15D2C963">
            <w:pPr>
              <w:widowControl/>
              <w:spacing w:line="240" w:lineRule="atLeast"/>
              <w:rPr>
                <w:rFonts w:ascii="宋体" w:hAnsi="宋体" w:cs="宋体"/>
                <w:kern w:val="0"/>
                <w:sz w:val="20"/>
                <w:szCs w:val="20"/>
              </w:rPr>
            </w:pPr>
            <w:r>
              <w:rPr>
                <w:rFonts w:hint="eastAsia" w:ascii="宋体" w:hAnsi="宋体" w:cs="宋体"/>
                <w:kern w:val="0"/>
                <w:sz w:val="20"/>
                <w:szCs w:val="20"/>
              </w:rPr>
              <w:t>负责市属公园和所属机构财务管理和审计工作；负责市属公园和所属机构的劳动、组织人事管理工作；负责市属公园和所属机构党群工作、精神文明建设和维护稳定等方面的工作</w:t>
            </w:r>
          </w:p>
        </w:tc>
        <w:tc>
          <w:tcPr>
            <w:tcW w:w="660" w:type="pct"/>
            <w:vMerge w:val="restart"/>
            <w:noWrap/>
            <w:vAlign w:val="center"/>
          </w:tcPr>
          <w:p w14:paraId="4C3DED25">
            <w:pPr>
              <w:widowControl/>
              <w:spacing w:line="240" w:lineRule="atLeast"/>
              <w:jc w:val="left"/>
              <w:rPr>
                <w:rFonts w:ascii="宋体" w:hAnsi="宋体" w:cs="宋体"/>
                <w:kern w:val="0"/>
                <w:sz w:val="20"/>
                <w:szCs w:val="20"/>
              </w:rPr>
            </w:pPr>
            <w:r>
              <w:rPr>
                <w:rFonts w:hint="eastAsia" w:ascii="宋体" w:hAnsi="宋体" w:cs="宋体"/>
                <w:kern w:val="0"/>
                <w:sz w:val="20"/>
                <w:szCs w:val="20"/>
              </w:rPr>
              <w:t>提升基层组织运行效率</w:t>
            </w:r>
          </w:p>
        </w:tc>
        <w:tc>
          <w:tcPr>
            <w:tcW w:w="2075" w:type="pct"/>
            <w:noWrap/>
            <w:vAlign w:val="center"/>
          </w:tcPr>
          <w:p w14:paraId="5BD5CA59">
            <w:pPr>
              <w:widowControl/>
              <w:spacing w:line="240" w:lineRule="atLeast"/>
              <w:rPr>
                <w:rFonts w:ascii="宋体" w:hAnsi="宋体" w:cs="宋体"/>
                <w:kern w:val="0"/>
                <w:sz w:val="20"/>
                <w:szCs w:val="20"/>
              </w:rPr>
            </w:pPr>
            <w:r>
              <w:rPr>
                <w:rFonts w:hint="eastAsia" w:ascii="宋体" w:hAnsi="宋体" w:cs="宋体"/>
                <w:sz w:val="20"/>
                <w:szCs w:val="20"/>
              </w:rPr>
              <w:t>对重点领域、重点问题、重点对象监督监管，强化纪检、审计、财务各项监督协同推进</w:t>
            </w:r>
          </w:p>
        </w:tc>
      </w:tr>
      <w:tr w14:paraId="0BC42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5F307D1F">
            <w:pPr>
              <w:widowControl/>
              <w:spacing w:line="240" w:lineRule="atLeast"/>
              <w:jc w:val="center"/>
              <w:rPr>
                <w:rFonts w:ascii="宋体" w:hAnsi="宋体" w:cs="宋体"/>
                <w:kern w:val="0"/>
                <w:sz w:val="20"/>
                <w:szCs w:val="20"/>
              </w:rPr>
            </w:pPr>
          </w:p>
        </w:tc>
        <w:tc>
          <w:tcPr>
            <w:tcW w:w="1799" w:type="pct"/>
            <w:vMerge w:val="continue"/>
            <w:noWrap/>
            <w:vAlign w:val="center"/>
          </w:tcPr>
          <w:p w14:paraId="31C17483">
            <w:pPr>
              <w:widowControl/>
              <w:spacing w:line="240" w:lineRule="atLeast"/>
              <w:rPr>
                <w:rFonts w:ascii="宋体" w:hAnsi="宋体" w:cs="宋体"/>
                <w:kern w:val="0"/>
                <w:sz w:val="20"/>
                <w:szCs w:val="20"/>
              </w:rPr>
            </w:pPr>
          </w:p>
        </w:tc>
        <w:tc>
          <w:tcPr>
            <w:tcW w:w="660" w:type="pct"/>
            <w:vMerge w:val="continue"/>
            <w:noWrap/>
            <w:vAlign w:val="center"/>
          </w:tcPr>
          <w:p w14:paraId="693A86B4">
            <w:pPr>
              <w:widowControl/>
              <w:spacing w:line="240" w:lineRule="atLeast"/>
              <w:rPr>
                <w:rFonts w:ascii="宋体" w:hAnsi="宋体" w:cs="宋体"/>
                <w:kern w:val="0"/>
                <w:sz w:val="20"/>
                <w:szCs w:val="20"/>
              </w:rPr>
            </w:pPr>
          </w:p>
        </w:tc>
        <w:tc>
          <w:tcPr>
            <w:tcW w:w="2075" w:type="pct"/>
            <w:noWrap/>
            <w:vAlign w:val="center"/>
          </w:tcPr>
          <w:p w14:paraId="299D86D7">
            <w:pPr>
              <w:widowControl/>
              <w:spacing w:line="240" w:lineRule="atLeast"/>
              <w:rPr>
                <w:rFonts w:ascii="宋体" w:hAnsi="宋体" w:cs="宋体"/>
                <w:kern w:val="0"/>
                <w:sz w:val="20"/>
                <w:szCs w:val="20"/>
              </w:rPr>
            </w:pPr>
            <w:r>
              <w:rPr>
                <w:rFonts w:hint="eastAsia" w:ascii="宋体" w:hAnsi="宋体" w:cs="宋体"/>
                <w:kern w:val="0"/>
                <w:sz w:val="20"/>
                <w:szCs w:val="20"/>
              </w:rPr>
              <w:t>建设高素质专业化人才队伍</w:t>
            </w:r>
          </w:p>
        </w:tc>
      </w:tr>
      <w:tr w14:paraId="43C3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restart"/>
            <w:noWrap/>
            <w:vAlign w:val="center"/>
          </w:tcPr>
          <w:p w14:paraId="5540739F">
            <w:pPr>
              <w:widowControl/>
              <w:spacing w:line="240" w:lineRule="atLeast"/>
              <w:jc w:val="center"/>
              <w:rPr>
                <w:rFonts w:ascii="宋体" w:hAnsi="宋体" w:cs="宋体"/>
                <w:kern w:val="0"/>
                <w:sz w:val="20"/>
                <w:szCs w:val="20"/>
              </w:rPr>
            </w:pPr>
            <w:r>
              <w:rPr>
                <w:rFonts w:hint="eastAsia" w:ascii="宋体" w:hAnsi="宋体" w:cs="宋体"/>
                <w:kern w:val="0"/>
                <w:sz w:val="20"/>
                <w:szCs w:val="20"/>
              </w:rPr>
              <w:t>六</w:t>
            </w:r>
          </w:p>
        </w:tc>
        <w:tc>
          <w:tcPr>
            <w:tcW w:w="1799" w:type="pct"/>
            <w:vMerge w:val="restart"/>
            <w:noWrap/>
            <w:vAlign w:val="center"/>
          </w:tcPr>
          <w:p w14:paraId="0BFFAA5A">
            <w:pPr>
              <w:widowControl/>
              <w:spacing w:line="240" w:lineRule="atLeast"/>
              <w:rPr>
                <w:rFonts w:ascii="宋体" w:hAnsi="宋体" w:cs="宋体"/>
                <w:kern w:val="0"/>
                <w:sz w:val="20"/>
                <w:szCs w:val="20"/>
              </w:rPr>
            </w:pPr>
            <w:r>
              <w:rPr>
                <w:rFonts w:hint="eastAsia" w:ascii="宋体" w:hAnsi="宋体" w:cs="宋体"/>
                <w:kern w:val="0"/>
                <w:sz w:val="20"/>
                <w:szCs w:val="20"/>
              </w:rPr>
              <w:t>负责市属公园和所属机构安全生产、安全保卫、消防和社会治安综合治理工作</w:t>
            </w:r>
          </w:p>
        </w:tc>
        <w:tc>
          <w:tcPr>
            <w:tcW w:w="660" w:type="pct"/>
            <w:vMerge w:val="restart"/>
            <w:noWrap/>
            <w:vAlign w:val="center"/>
          </w:tcPr>
          <w:p w14:paraId="4108BA57">
            <w:pPr>
              <w:pStyle w:val="2"/>
              <w:spacing w:line="240" w:lineRule="atLeast"/>
              <w:ind w:firstLine="0" w:firstLineChars="0"/>
              <w:rPr>
                <w:rFonts w:ascii="宋体" w:hAnsi="宋体" w:cs="宋体"/>
                <w:sz w:val="20"/>
                <w:szCs w:val="20"/>
              </w:rPr>
            </w:pPr>
            <w:r>
              <w:rPr>
                <w:rFonts w:hint="eastAsia" w:ascii="宋体" w:hAnsi="宋体" w:cs="宋体"/>
                <w:sz w:val="20"/>
                <w:szCs w:val="20"/>
              </w:rPr>
              <w:t>提升精细治理水平</w:t>
            </w:r>
          </w:p>
        </w:tc>
        <w:tc>
          <w:tcPr>
            <w:tcW w:w="2075" w:type="pct"/>
            <w:noWrap/>
            <w:vAlign w:val="center"/>
          </w:tcPr>
          <w:p w14:paraId="76DE4B40">
            <w:pPr>
              <w:widowControl/>
              <w:spacing w:line="240" w:lineRule="atLeast"/>
              <w:rPr>
                <w:rFonts w:ascii="宋体" w:hAnsi="宋体" w:cs="宋体"/>
                <w:kern w:val="0"/>
                <w:sz w:val="20"/>
                <w:szCs w:val="20"/>
              </w:rPr>
            </w:pPr>
            <w:r>
              <w:rPr>
                <w:rStyle w:val="22"/>
                <w:rFonts w:hint="default"/>
                <w:color w:val="auto"/>
                <w:sz w:val="20"/>
                <w:szCs w:val="20"/>
              </w:rPr>
              <w:t>持续深化安全风险隐患大排查大整治活动成果</w:t>
            </w:r>
          </w:p>
        </w:tc>
      </w:tr>
      <w:tr w14:paraId="2D1A5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2A3FAB09">
            <w:pPr>
              <w:widowControl/>
              <w:spacing w:line="240" w:lineRule="atLeast"/>
              <w:jc w:val="center"/>
              <w:rPr>
                <w:rFonts w:ascii="宋体" w:hAnsi="宋体" w:cs="宋体"/>
                <w:kern w:val="0"/>
                <w:sz w:val="20"/>
                <w:szCs w:val="20"/>
              </w:rPr>
            </w:pPr>
          </w:p>
        </w:tc>
        <w:tc>
          <w:tcPr>
            <w:tcW w:w="1799" w:type="pct"/>
            <w:vMerge w:val="continue"/>
            <w:noWrap/>
            <w:vAlign w:val="center"/>
          </w:tcPr>
          <w:p w14:paraId="43D2AFCC">
            <w:pPr>
              <w:widowControl/>
              <w:spacing w:line="240" w:lineRule="atLeast"/>
              <w:rPr>
                <w:rFonts w:ascii="宋体" w:hAnsi="宋体" w:cs="宋体"/>
                <w:kern w:val="0"/>
                <w:sz w:val="20"/>
                <w:szCs w:val="20"/>
              </w:rPr>
            </w:pPr>
          </w:p>
        </w:tc>
        <w:tc>
          <w:tcPr>
            <w:tcW w:w="660" w:type="pct"/>
            <w:vMerge w:val="continue"/>
            <w:noWrap/>
            <w:vAlign w:val="center"/>
          </w:tcPr>
          <w:p w14:paraId="719FE475">
            <w:pPr>
              <w:widowControl/>
              <w:spacing w:line="240" w:lineRule="atLeast"/>
              <w:rPr>
                <w:rFonts w:ascii="宋体" w:hAnsi="宋体" w:cs="宋体"/>
                <w:kern w:val="0"/>
                <w:sz w:val="20"/>
                <w:szCs w:val="20"/>
              </w:rPr>
            </w:pPr>
          </w:p>
        </w:tc>
        <w:tc>
          <w:tcPr>
            <w:tcW w:w="2075" w:type="pct"/>
            <w:noWrap/>
            <w:vAlign w:val="center"/>
          </w:tcPr>
          <w:p w14:paraId="59AD7C44">
            <w:pPr>
              <w:widowControl/>
              <w:spacing w:line="240" w:lineRule="atLeast"/>
              <w:rPr>
                <w:rFonts w:ascii="宋体" w:hAnsi="宋体" w:cs="宋体"/>
                <w:kern w:val="0"/>
                <w:sz w:val="20"/>
                <w:szCs w:val="20"/>
              </w:rPr>
            </w:pPr>
            <w:r>
              <w:rPr>
                <w:rStyle w:val="22"/>
                <w:rFonts w:hint="default"/>
                <w:color w:val="auto"/>
                <w:sz w:val="20"/>
                <w:szCs w:val="20"/>
              </w:rPr>
              <w:t>推进公园消防报警系统升级改造、应急通信系统建设、监控设备升级改造等</w:t>
            </w:r>
          </w:p>
        </w:tc>
      </w:tr>
      <w:tr w14:paraId="239BA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7CDCD41F">
            <w:pPr>
              <w:widowControl/>
              <w:spacing w:line="240" w:lineRule="atLeast"/>
              <w:jc w:val="center"/>
              <w:rPr>
                <w:rFonts w:ascii="宋体" w:hAnsi="宋体" w:cs="宋体"/>
                <w:kern w:val="0"/>
                <w:sz w:val="20"/>
                <w:szCs w:val="20"/>
              </w:rPr>
            </w:pPr>
          </w:p>
        </w:tc>
        <w:tc>
          <w:tcPr>
            <w:tcW w:w="1799" w:type="pct"/>
            <w:vMerge w:val="continue"/>
            <w:noWrap/>
            <w:vAlign w:val="center"/>
          </w:tcPr>
          <w:p w14:paraId="19064678">
            <w:pPr>
              <w:widowControl/>
              <w:spacing w:line="240" w:lineRule="atLeast"/>
              <w:rPr>
                <w:rFonts w:ascii="宋体" w:hAnsi="宋体" w:cs="宋体"/>
                <w:kern w:val="0"/>
                <w:sz w:val="20"/>
                <w:szCs w:val="20"/>
              </w:rPr>
            </w:pPr>
          </w:p>
        </w:tc>
        <w:tc>
          <w:tcPr>
            <w:tcW w:w="660" w:type="pct"/>
            <w:vMerge w:val="continue"/>
            <w:noWrap/>
            <w:vAlign w:val="center"/>
          </w:tcPr>
          <w:p w14:paraId="178BF75E">
            <w:pPr>
              <w:widowControl/>
              <w:spacing w:line="240" w:lineRule="atLeast"/>
              <w:rPr>
                <w:rFonts w:ascii="宋体" w:hAnsi="宋体" w:cs="宋体"/>
                <w:kern w:val="0"/>
                <w:sz w:val="20"/>
                <w:szCs w:val="20"/>
              </w:rPr>
            </w:pPr>
          </w:p>
        </w:tc>
        <w:tc>
          <w:tcPr>
            <w:tcW w:w="2075" w:type="pct"/>
            <w:noWrap/>
            <w:vAlign w:val="center"/>
          </w:tcPr>
          <w:p w14:paraId="31487DF4">
            <w:pPr>
              <w:widowControl/>
              <w:spacing w:line="240" w:lineRule="atLeast"/>
              <w:rPr>
                <w:rStyle w:val="22"/>
                <w:rFonts w:hint="default"/>
                <w:color w:val="auto"/>
                <w:sz w:val="20"/>
                <w:szCs w:val="20"/>
              </w:rPr>
            </w:pPr>
            <w:r>
              <w:rPr>
                <w:rStyle w:val="22"/>
                <w:rFonts w:hint="default"/>
                <w:color w:val="auto"/>
                <w:sz w:val="20"/>
                <w:szCs w:val="20"/>
              </w:rPr>
              <w:t>动物园十三陵繁育基地消防栓扩建</w:t>
            </w:r>
          </w:p>
        </w:tc>
      </w:tr>
      <w:tr w14:paraId="25A60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3053593D">
            <w:pPr>
              <w:widowControl/>
              <w:spacing w:line="240" w:lineRule="atLeast"/>
              <w:jc w:val="center"/>
              <w:rPr>
                <w:rFonts w:ascii="宋体" w:hAnsi="宋体" w:cs="宋体"/>
                <w:kern w:val="0"/>
                <w:sz w:val="20"/>
                <w:szCs w:val="20"/>
              </w:rPr>
            </w:pPr>
          </w:p>
        </w:tc>
        <w:tc>
          <w:tcPr>
            <w:tcW w:w="1799" w:type="pct"/>
            <w:vMerge w:val="continue"/>
            <w:noWrap/>
            <w:vAlign w:val="center"/>
          </w:tcPr>
          <w:p w14:paraId="4284FD60">
            <w:pPr>
              <w:widowControl/>
              <w:spacing w:line="240" w:lineRule="atLeast"/>
              <w:rPr>
                <w:rFonts w:ascii="宋体" w:hAnsi="宋体" w:cs="宋体"/>
                <w:kern w:val="0"/>
                <w:sz w:val="20"/>
                <w:szCs w:val="20"/>
              </w:rPr>
            </w:pPr>
          </w:p>
        </w:tc>
        <w:tc>
          <w:tcPr>
            <w:tcW w:w="660" w:type="pct"/>
            <w:vMerge w:val="continue"/>
            <w:noWrap/>
            <w:vAlign w:val="center"/>
          </w:tcPr>
          <w:p w14:paraId="1DD59281">
            <w:pPr>
              <w:widowControl/>
              <w:spacing w:line="240" w:lineRule="atLeast"/>
              <w:rPr>
                <w:rFonts w:ascii="宋体" w:hAnsi="宋体" w:cs="宋体"/>
                <w:kern w:val="0"/>
                <w:sz w:val="20"/>
                <w:szCs w:val="20"/>
              </w:rPr>
            </w:pPr>
          </w:p>
        </w:tc>
        <w:tc>
          <w:tcPr>
            <w:tcW w:w="2075" w:type="pct"/>
            <w:noWrap/>
            <w:vAlign w:val="center"/>
          </w:tcPr>
          <w:p w14:paraId="255BBF65">
            <w:pPr>
              <w:widowControl/>
              <w:spacing w:line="240" w:lineRule="atLeast"/>
              <w:rPr>
                <w:rStyle w:val="22"/>
                <w:rFonts w:hint="default"/>
                <w:color w:val="auto"/>
                <w:sz w:val="20"/>
                <w:szCs w:val="20"/>
              </w:rPr>
            </w:pPr>
            <w:r>
              <w:rPr>
                <w:rStyle w:val="22"/>
                <w:rFonts w:hint="default"/>
                <w:color w:val="auto"/>
                <w:sz w:val="20"/>
                <w:szCs w:val="20"/>
              </w:rPr>
              <w:t>公园交通综合治理</w:t>
            </w:r>
          </w:p>
        </w:tc>
      </w:tr>
      <w:tr w14:paraId="757D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1F1E0487">
            <w:pPr>
              <w:widowControl/>
              <w:spacing w:line="240" w:lineRule="atLeast"/>
              <w:jc w:val="center"/>
              <w:rPr>
                <w:rFonts w:ascii="宋体" w:hAnsi="宋体" w:cs="宋体"/>
                <w:kern w:val="0"/>
                <w:sz w:val="20"/>
                <w:szCs w:val="20"/>
              </w:rPr>
            </w:pPr>
          </w:p>
        </w:tc>
        <w:tc>
          <w:tcPr>
            <w:tcW w:w="1799" w:type="pct"/>
            <w:vMerge w:val="continue"/>
            <w:noWrap/>
            <w:vAlign w:val="center"/>
          </w:tcPr>
          <w:p w14:paraId="63044323">
            <w:pPr>
              <w:widowControl/>
              <w:spacing w:line="240" w:lineRule="atLeast"/>
              <w:rPr>
                <w:rFonts w:ascii="宋体" w:hAnsi="宋体" w:cs="宋体"/>
                <w:kern w:val="0"/>
                <w:sz w:val="20"/>
                <w:szCs w:val="20"/>
              </w:rPr>
            </w:pPr>
          </w:p>
        </w:tc>
        <w:tc>
          <w:tcPr>
            <w:tcW w:w="660" w:type="pct"/>
            <w:vMerge w:val="continue"/>
            <w:noWrap/>
            <w:vAlign w:val="center"/>
          </w:tcPr>
          <w:p w14:paraId="5D5B2540">
            <w:pPr>
              <w:widowControl/>
              <w:spacing w:line="240" w:lineRule="atLeast"/>
              <w:rPr>
                <w:rFonts w:ascii="宋体" w:hAnsi="宋体" w:cs="宋体"/>
                <w:kern w:val="0"/>
                <w:sz w:val="20"/>
                <w:szCs w:val="20"/>
              </w:rPr>
            </w:pPr>
          </w:p>
        </w:tc>
        <w:tc>
          <w:tcPr>
            <w:tcW w:w="2075" w:type="pct"/>
            <w:noWrap/>
            <w:vAlign w:val="center"/>
          </w:tcPr>
          <w:p w14:paraId="5C9AAD34">
            <w:pPr>
              <w:widowControl/>
              <w:spacing w:line="240" w:lineRule="atLeast"/>
              <w:rPr>
                <w:rStyle w:val="22"/>
                <w:rFonts w:hint="default"/>
                <w:color w:val="auto"/>
                <w:sz w:val="20"/>
                <w:szCs w:val="20"/>
              </w:rPr>
            </w:pPr>
            <w:r>
              <w:rPr>
                <w:rStyle w:val="22"/>
                <w:rFonts w:hint="default"/>
                <w:color w:val="auto"/>
                <w:sz w:val="20"/>
                <w:szCs w:val="20"/>
              </w:rPr>
              <w:t>加强公园管理工作机制探索，做好公园服务管理专班工作</w:t>
            </w:r>
          </w:p>
        </w:tc>
      </w:tr>
      <w:tr w14:paraId="3123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vMerge w:val="continue"/>
            <w:noWrap/>
            <w:vAlign w:val="center"/>
          </w:tcPr>
          <w:p w14:paraId="0D0C236D">
            <w:pPr>
              <w:widowControl/>
              <w:spacing w:line="240" w:lineRule="atLeast"/>
              <w:jc w:val="center"/>
              <w:rPr>
                <w:rFonts w:ascii="宋体" w:hAnsi="宋体" w:cs="宋体"/>
                <w:kern w:val="0"/>
                <w:sz w:val="20"/>
                <w:szCs w:val="20"/>
              </w:rPr>
            </w:pPr>
          </w:p>
        </w:tc>
        <w:tc>
          <w:tcPr>
            <w:tcW w:w="1799" w:type="pct"/>
            <w:vMerge w:val="continue"/>
            <w:noWrap/>
            <w:vAlign w:val="center"/>
          </w:tcPr>
          <w:p w14:paraId="2AFB13CD">
            <w:pPr>
              <w:widowControl/>
              <w:spacing w:line="240" w:lineRule="atLeast"/>
              <w:rPr>
                <w:rFonts w:ascii="宋体" w:hAnsi="宋体" w:cs="宋体"/>
                <w:kern w:val="0"/>
                <w:sz w:val="20"/>
                <w:szCs w:val="20"/>
              </w:rPr>
            </w:pPr>
          </w:p>
        </w:tc>
        <w:tc>
          <w:tcPr>
            <w:tcW w:w="660" w:type="pct"/>
            <w:vMerge w:val="continue"/>
            <w:noWrap/>
            <w:vAlign w:val="center"/>
          </w:tcPr>
          <w:p w14:paraId="440ADB23">
            <w:pPr>
              <w:widowControl/>
              <w:spacing w:line="240" w:lineRule="atLeast"/>
              <w:rPr>
                <w:rFonts w:ascii="宋体" w:hAnsi="宋体" w:cs="宋体"/>
                <w:kern w:val="0"/>
                <w:sz w:val="20"/>
                <w:szCs w:val="20"/>
              </w:rPr>
            </w:pPr>
          </w:p>
        </w:tc>
        <w:tc>
          <w:tcPr>
            <w:tcW w:w="2075" w:type="pct"/>
            <w:noWrap/>
            <w:vAlign w:val="center"/>
          </w:tcPr>
          <w:p w14:paraId="31D4ECDE">
            <w:pPr>
              <w:widowControl/>
              <w:spacing w:line="240" w:lineRule="atLeast"/>
              <w:rPr>
                <w:rStyle w:val="22"/>
                <w:rFonts w:hint="default"/>
                <w:color w:val="auto"/>
                <w:sz w:val="20"/>
                <w:szCs w:val="20"/>
              </w:rPr>
            </w:pPr>
            <w:r>
              <w:rPr>
                <w:rStyle w:val="22"/>
                <w:rFonts w:hint="default"/>
                <w:color w:val="auto"/>
                <w:sz w:val="20"/>
                <w:szCs w:val="20"/>
              </w:rPr>
              <w:t>植物园森林防火设施建设</w:t>
            </w:r>
          </w:p>
        </w:tc>
      </w:tr>
      <w:tr w14:paraId="36F5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53" w:type="pct"/>
            <w:noWrap/>
            <w:vAlign w:val="center"/>
          </w:tcPr>
          <w:p w14:paraId="7A5A2D8F">
            <w:pPr>
              <w:widowControl/>
              <w:spacing w:line="240" w:lineRule="atLeast"/>
              <w:jc w:val="center"/>
              <w:rPr>
                <w:rFonts w:ascii="宋体" w:hAnsi="宋体" w:cs="宋体"/>
                <w:kern w:val="0"/>
                <w:sz w:val="20"/>
                <w:szCs w:val="20"/>
              </w:rPr>
            </w:pPr>
            <w:r>
              <w:rPr>
                <w:rFonts w:hint="eastAsia" w:ascii="宋体" w:hAnsi="宋体" w:cs="宋体"/>
                <w:kern w:val="0"/>
                <w:sz w:val="20"/>
                <w:szCs w:val="20"/>
              </w:rPr>
              <w:t>七</w:t>
            </w:r>
          </w:p>
        </w:tc>
        <w:tc>
          <w:tcPr>
            <w:tcW w:w="1799" w:type="pct"/>
            <w:noWrap/>
            <w:vAlign w:val="center"/>
          </w:tcPr>
          <w:p w14:paraId="78B59EA1">
            <w:pPr>
              <w:widowControl/>
              <w:spacing w:line="240" w:lineRule="atLeast"/>
              <w:rPr>
                <w:rFonts w:ascii="宋体" w:hAnsi="宋体" w:cs="宋体"/>
                <w:kern w:val="0"/>
                <w:sz w:val="20"/>
                <w:szCs w:val="20"/>
              </w:rPr>
            </w:pPr>
            <w:r>
              <w:rPr>
                <w:rFonts w:hint="eastAsia" w:ascii="宋体" w:hAnsi="宋体" w:cs="宋体"/>
                <w:kern w:val="0"/>
                <w:sz w:val="20"/>
                <w:szCs w:val="20"/>
              </w:rPr>
              <w:t>承办市政府交办的其他事项</w:t>
            </w:r>
          </w:p>
        </w:tc>
        <w:tc>
          <w:tcPr>
            <w:tcW w:w="660" w:type="pct"/>
            <w:noWrap/>
            <w:vAlign w:val="center"/>
          </w:tcPr>
          <w:p w14:paraId="222BA9BF">
            <w:pPr>
              <w:widowControl/>
              <w:spacing w:line="240" w:lineRule="atLeast"/>
              <w:rPr>
                <w:rFonts w:ascii="宋体" w:hAnsi="宋体" w:cs="宋体"/>
                <w:kern w:val="0"/>
                <w:sz w:val="20"/>
                <w:szCs w:val="20"/>
              </w:rPr>
            </w:pPr>
            <w:r>
              <w:rPr>
                <w:rFonts w:hint="eastAsia" w:ascii="宋体" w:hAnsi="宋体" w:cs="宋体"/>
                <w:kern w:val="0"/>
                <w:sz w:val="20"/>
                <w:szCs w:val="20"/>
              </w:rPr>
              <w:t>重大服务保障</w:t>
            </w:r>
          </w:p>
        </w:tc>
        <w:tc>
          <w:tcPr>
            <w:tcW w:w="2075" w:type="pct"/>
            <w:noWrap/>
            <w:vAlign w:val="center"/>
          </w:tcPr>
          <w:p w14:paraId="19658BB9">
            <w:pPr>
              <w:widowControl/>
              <w:spacing w:line="240" w:lineRule="atLeast"/>
              <w:rPr>
                <w:rFonts w:ascii="宋体" w:hAnsi="宋体" w:cs="宋体"/>
                <w:sz w:val="20"/>
                <w:szCs w:val="20"/>
              </w:rPr>
            </w:pPr>
            <w:r>
              <w:rPr>
                <w:rStyle w:val="22"/>
                <w:rFonts w:hint="default"/>
                <w:color w:val="auto"/>
                <w:sz w:val="20"/>
                <w:szCs w:val="20"/>
              </w:rPr>
              <w:t>全力抓好新中国成立75周年服务保障</w:t>
            </w:r>
          </w:p>
        </w:tc>
      </w:tr>
    </w:tbl>
    <w:p w14:paraId="38E25999">
      <w:pPr>
        <w:pStyle w:val="2"/>
        <w:spacing w:line="360" w:lineRule="auto"/>
        <w:ind w:firstLine="420"/>
      </w:pPr>
    </w:p>
    <w:p w14:paraId="50702BF7">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5036AC45">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预算数361,864.26万元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243,555.50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项目支出预算数118,308.76</w:t>
      </w:r>
      <w:r>
        <w:rPr>
          <w:rFonts w:ascii="仿宋_GB2312" w:hAnsi="宋体" w:eastAsia="仿宋_GB2312" w:cs="宋体"/>
          <w:color w:val="000000"/>
          <w:kern w:val="0"/>
          <w:sz w:val="32"/>
          <w:szCs w:val="32"/>
        </w:rPr>
        <w:t>万元，</w:t>
      </w:r>
      <w:r>
        <w:rPr>
          <w:rFonts w:hint="eastAsia" w:ascii="仿宋_GB2312" w:hAnsi="仿宋" w:eastAsia="仿宋_GB2312" w:cs="仿宋_GB2312"/>
          <w:sz w:val="32"/>
          <w:szCs w:val="32"/>
        </w:rPr>
        <w:t>经营支出0万元，对附属单位补助支出0万元，</w:t>
      </w:r>
      <w:r>
        <w:rPr>
          <w:rFonts w:ascii="仿宋_GB2312" w:hAnsi="宋体" w:eastAsia="仿宋_GB2312" w:cs="宋体"/>
          <w:color w:val="000000"/>
          <w:kern w:val="0"/>
          <w:sz w:val="32"/>
          <w:szCs w:val="32"/>
        </w:rPr>
        <w:t>其他支出</w:t>
      </w:r>
      <w:r>
        <w:rPr>
          <w:rFonts w:hint="eastAsia" w:ascii="仿宋_GB2312" w:hAnsi="宋体" w:eastAsia="仿宋_GB2312" w:cs="宋体"/>
          <w:color w:val="000000"/>
          <w:kern w:val="0"/>
          <w:sz w:val="32"/>
          <w:szCs w:val="32"/>
        </w:rPr>
        <w:t>预算数0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支出302,070.94</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228,264.42</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支出73,806.53</w:t>
      </w:r>
      <w:r>
        <w:rPr>
          <w:rFonts w:ascii="仿宋_GB2312" w:hAnsi="宋体" w:eastAsia="仿宋_GB2312" w:cs="宋体"/>
          <w:color w:val="000000"/>
          <w:kern w:val="0"/>
          <w:sz w:val="32"/>
          <w:szCs w:val="32"/>
        </w:rPr>
        <w:t>万元，</w:t>
      </w:r>
      <w:r>
        <w:rPr>
          <w:rFonts w:hint="eastAsia" w:ascii="仿宋_GB2312" w:hAnsi="仿宋" w:eastAsia="仿宋_GB2312" w:cs="仿宋_GB2312"/>
          <w:sz w:val="32"/>
          <w:szCs w:val="32"/>
        </w:rPr>
        <w:t>经营支出0万元，对附属单位补助支出0万元，</w:t>
      </w:r>
      <w:r>
        <w:rPr>
          <w:rFonts w:ascii="仿宋_GB2312" w:hAnsi="宋体" w:eastAsia="仿宋_GB2312" w:cs="宋体"/>
          <w:color w:val="000000"/>
          <w:kern w:val="0"/>
          <w:sz w:val="32"/>
          <w:szCs w:val="32"/>
        </w:rPr>
        <w:t>其他支出</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83.48%。</w:t>
      </w:r>
    </w:p>
    <w:p w14:paraId="4848BC1D">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43C4FD5C">
      <w:pPr>
        <w:spacing w:line="360" w:lineRule="auto"/>
        <w:ind w:left="105" w:leftChars="50" w:firstLine="480" w:firstLineChars="150"/>
        <w:rPr>
          <w:rFonts w:ascii="仿宋_GB2312" w:hAnsi="仿宋_GB2312" w:eastAsia="仿宋_GB2312" w:cs="仿宋_GB2312"/>
          <w:sz w:val="32"/>
          <w:szCs w:val="32"/>
        </w:rPr>
      </w:pPr>
      <w:r>
        <w:rPr>
          <w:rFonts w:hint="eastAsia" w:ascii="楷体_GB2312" w:eastAsia="楷体_GB2312"/>
          <w:sz w:val="32"/>
          <w:szCs w:val="32"/>
        </w:rPr>
        <w:t>（一）产出完成情况分析</w:t>
      </w:r>
    </w:p>
    <w:p w14:paraId="4B4E10BA">
      <w:pPr>
        <w:pStyle w:val="2"/>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14:paraId="681F49E2">
      <w:pPr>
        <w:pStyle w:val="2"/>
        <w:spacing w:line="360" w:lineRule="auto"/>
        <w:ind w:firstLine="640"/>
        <w:rPr>
          <w:rFonts w:ascii="仿宋_GB2312" w:hAnsi="仿宋_GB2312" w:eastAsia="仿宋_GB2312" w:cs="仿宋_GB2312"/>
          <w:sz w:val="32"/>
          <w:szCs w:val="32"/>
        </w:rPr>
      </w:pPr>
      <w:r>
        <w:rPr>
          <w:rFonts w:hint="eastAsia" w:ascii="仿宋_GB2312" w:hAnsi="宋体" w:eastAsia="仿宋_GB2312" w:cs="宋体"/>
          <w:color w:val="000000"/>
          <w:kern w:val="0"/>
          <w:sz w:val="32"/>
          <w:szCs w:val="32"/>
        </w:rPr>
        <w:t>2024年中心重点任务基本完成，具体情况如下：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6370"/>
      </w:tblGrid>
      <w:tr w14:paraId="42F34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261" w:type="pct"/>
            <w:vAlign w:val="center"/>
          </w:tcPr>
          <w:p w14:paraId="2FFD1683">
            <w:pPr>
              <w:pStyle w:val="2"/>
              <w:ind w:firstLine="0" w:firstLineChars="0"/>
              <w:jc w:val="center"/>
              <w:rPr>
                <w:rFonts w:ascii="宋体" w:hAnsi="宋体" w:cs="宋体"/>
                <w:b/>
                <w:bCs/>
                <w:sz w:val="20"/>
                <w:szCs w:val="20"/>
              </w:rPr>
            </w:pPr>
            <w:r>
              <w:rPr>
                <w:rFonts w:hint="eastAsia" w:ascii="宋体" w:hAnsi="宋体" w:cs="宋体"/>
                <w:b/>
                <w:bCs/>
                <w:sz w:val="20"/>
                <w:szCs w:val="20"/>
              </w:rPr>
              <w:t>任务名称</w:t>
            </w:r>
          </w:p>
        </w:tc>
        <w:tc>
          <w:tcPr>
            <w:tcW w:w="3738" w:type="pct"/>
            <w:vAlign w:val="center"/>
          </w:tcPr>
          <w:p w14:paraId="1B92449E">
            <w:pPr>
              <w:pStyle w:val="2"/>
              <w:ind w:firstLine="0" w:firstLineChars="0"/>
              <w:jc w:val="center"/>
              <w:rPr>
                <w:rFonts w:ascii="宋体" w:hAnsi="宋体" w:cs="宋体"/>
                <w:b/>
                <w:bCs/>
                <w:sz w:val="20"/>
                <w:szCs w:val="20"/>
              </w:rPr>
            </w:pPr>
            <w:r>
              <w:rPr>
                <w:rFonts w:hint="eastAsia" w:ascii="宋体" w:hAnsi="宋体" w:cs="宋体"/>
                <w:b/>
                <w:bCs/>
                <w:sz w:val="20"/>
                <w:szCs w:val="20"/>
              </w:rPr>
              <w:t>具体完成情况</w:t>
            </w:r>
          </w:p>
        </w:tc>
      </w:tr>
      <w:tr w14:paraId="05A9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61" w:type="pct"/>
            <w:shd w:val="clear" w:color="auto" w:fill="auto"/>
            <w:vAlign w:val="center"/>
          </w:tcPr>
          <w:p w14:paraId="7821C3A8">
            <w:pPr>
              <w:pStyle w:val="2"/>
              <w:ind w:firstLine="0" w:firstLineChars="0"/>
              <w:jc w:val="center"/>
              <w:rPr>
                <w:rFonts w:ascii="宋体" w:hAnsi="宋体" w:cs="宋体"/>
                <w:sz w:val="20"/>
                <w:szCs w:val="20"/>
              </w:rPr>
            </w:pPr>
            <w:r>
              <w:rPr>
                <w:rFonts w:hint="eastAsia" w:ascii="宋体" w:hAnsi="宋体" w:cs="宋体"/>
                <w:sz w:val="20"/>
                <w:szCs w:val="20"/>
              </w:rPr>
              <w:t>党政方面</w:t>
            </w:r>
          </w:p>
        </w:tc>
        <w:tc>
          <w:tcPr>
            <w:tcW w:w="3738" w:type="pct"/>
            <w:shd w:val="clear" w:color="auto" w:fill="auto"/>
            <w:vAlign w:val="center"/>
          </w:tcPr>
          <w:p w14:paraId="2F5D3415">
            <w:pPr>
              <w:pStyle w:val="2"/>
              <w:ind w:firstLine="0" w:firstLineChars="0"/>
              <w:rPr>
                <w:rFonts w:ascii="宋体" w:hAnsi="宋体" w:cs="宋体"/>
                <w:sz w:val="20"/>
                <w:szCs w:val="20"/>
              </w:rPr>
            </w:pPr>
            <w:r>
              <w:rPr>
                <w:rFonts w:hint="eastAsia" w:ascii="宋体" w:hAnsi="宋体" w:cs="宋体"/>
                <w:sz w:val="20"/>
                <w:szCs w:val="20"/>
              </w:rPr>
              <w:t>开展集中辅导40次，编印学习摘编20期；开展专项检查，开展党建引领促发展先锋行动；抓好问责和处分决定执行后续管理</w:t>
            </w:r>
            <w:bookmarkStart w:id="0" w:name="_GoBack"/>
            <w:bookmarkEnd w:id="0"/>
            <w:r>
              <w:rPr>
                <w:rFonts w:hint="eastAsia" w:ascii="宋体" w:hAnsi="宋体" w:cs="宋体"/>
                <w:sz w:val="20"/>
                <w:szCs w:val="20"/>
              </w:rPr>
              <w:t>；全年共接到各类诉求2.1万件，解决率、满意率均在98%以上，中心在全市考核中6次排名并列第一。</w:t>
            </w:r>
          </w:p>
        </w:tc>
      </w:tr>
      <w:tr w14:paraId="158C0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trPr>
        <w:tc>
          <w:tcPr>
            <w:tcW w:w="1261" w:type="pct"/>
            <w:shd w:val="clear" w:color="auto" w:fill="auto"/>
            <w:vAlign w:val="center"/>
          </w:tcPr>
          <w:p w14:paraId="52FA303E">
            <w:pPr>
              <w:pStyle w:val="2"/>
              <w:ind w:firstLine="0" w:firstLineChars="0"/>
              <w:jc w:val="center"/>
              <w:rPr>
                <w:rFonts w:ascii="宋体" w:hAnsi="宋体" w:cs="宋体"/>
                <w:sz w:val="20"/>
                <w:szCs w:val="20"/>
              </w:rPr>
            </w:pPr>
            <w:r>
              <w:rPr>
                <w:rFonts w:hint="eastAsia" w:ascii="宋体" w:hAnsi="宋体" w:cs="宋体"/>
                <w:kern w:val="0"/>
                <w:sz w:val="20"/>
                <w:szCs w:val="20"/>
              </w:rPr>
              <w:t>文物管理保护</w:t>
            </w:r>
            <w:r>
              <w:rPr>
                <w:rFonts w:hint="eastAsia" w:ascii="宋体" w:hAnsi="宋体" w:cs="宋体"/>
                <w:sz w:val="20"/>
                <w:szCs w:val="20"/>
              </w:rPr>
              <w:t>方面</w:t>
            </w:r>
          </w:p>
        </w:tc>
        <w:tc>
          <w:tcPr>
            <w:tcW w:w="3738" w:type="pct"/>
            <w:shd w:val="clear" w:color="auto" w:fill="auto"/>
            <w:vAlign w:val="center"/>
          </w:tcPr>
          <w:p w14:paraId="2C9DBA67">
            <w:pPr>
              <w:pStyle w:val="2"/>
              <w:ind w:firstLine="0" w:firstLineChars="0"/>
              <w:rPr>
                <w:rFonts w:ascii="宋体" w:hAnsi="宋体" w:cs="宋体"/>
                <w:sz w:val="20"/>
                <w:szCs w:val="20"/>
              </w:rPr>
            </w:pPr>
            <w:r>
              <w:rPr>
                <w:rFonts w:hint="eastAsia" w:ascii="宋体" w:hAnsi="宋体" w:cs="宋体"/>
                <w:sz w:val="20"/>
                <w:szCs w:val="20"/>
              </w:rPr>
              <w:t>编制了古树保护规划，持续推进文保规划修编，完善藏品及不可移动文物日常保护管理，养云轩、仁寿南殿成为古建活化利用典型范例，完成香山碧云寺、颐和园乐农轩及紫竹院行宫修缮，统筹推进颐和园苏州街景区、清华轩院保护修缮及长廊彩画保护修复、西宫门腾退保护工作，完成文物古建预防性保护监测。</w:t>
            </w:r>
          </w:p>
        </w:tc>
      </w:tr>
      <w:tr w14:paraId="3157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261" w:type="pct"/>
            <w:vAlign w:val="center"/>
          </w:tcPr>
          <w:p w14:paraId="09F882E7">
            <w:pPr>
              <w:pStyle w:val="2"/>
              <w:ind w:firstLine="0" w:firstLineChars="0"/>
              <w:jc w:val="center"/>
              <w:rPr>
                <w:rFonts w:ascii="宋体" w:hAnsi="宋体" w:cs="宋体"/>
                <w:sz w:val="20"/>
                <w:szCs w:val="20"/>
              </w:rPr>
            </w:pPr>
            <w:r>
              <w:rPr>
                <w:rFonts w:hint="eastAsia" w:ascii="宋体" w:hAnsi="宋体" w:cs="宋体"/>
                <w:kern w:val="0"/>
                <w:sz w:val="20"/>
                <w:szCs w:val="20"/>
              </w:rPr>
              <w:t>硬件设施建设方面</w:t>
            </w:r>
          </w:p>
        </w:tc>
        <w:tc>
          <w:tcPr>
            <w:tcW w:w="3738" w:type="pct"/>
            <w:vAlign w:val="center"/>
          </w:tcPr>
          <w:p w14:paraId="4A05BC64">
            <w:pPr>
              <w:pStyle w:val="2"/>
              <w:ind w:firstLine="0" w:firstLineChars="0"/>
              <w:rPr>
                <w:rFonts w:ascii="宋体" w:hAnsi="宋体" w:cs="宋体"/>
                <w:sz w:val="20"/>
                <w:szCs w:val="20"/>
              </w:rPr>
            </w:pPr>
            <w:r>
              <w:rPr>
                <w:rFonts w:hint="eastAsia" w:ascii="宋体" w:hAnsi="宋体" w:cs="宋体"/>
                <w:sz w:val="20"/>
                <w:szCs w:val="20"/>
              </w:rPr>
              <w:t>完成修订工程管理办法，市属公园门区实现闸机覆盖、年票门票一机通办，434台外币刷卡机实现票务、商业等场景消费无忧，率先完成首都之窗国际版、京通英文版形象展示，导览牌示、讲解机等双语多语服务走在全市前列。</w:t>
            </w:r>
          </w:p>
        </w:tc>
      </w:tr>
      <w:tr w14:paraId="5C167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9" w:hRule="atLeast"/>
        </w:trPr>
        <w:tc>
          <w:tcPr>
            <w:tcW w:w="1261" w:type="pct"/>
            <w:vAlign w:val="center"/>
          </w:tcPr>
          <w:p w14:paraId="4BC0BFE4">
            <w:pPr>
              <w:pStyle w:val="2"/>
              <w:ind w:firstLine="0" w:firstLineChars="0"/>
              <w:jc w:val="center"/>
              <w:rPr>
                <w:rFonts w:ascii="宋体" w:hAnsi="宋体" w:cs="宋体"/>
                <w:sz w:val="20"/>
                <w:szCs w:val="20"/>
              </w:rPr>
            </w:pPr>
            <w:r>
              <w:rPr>
                <w:rFonts w:hint="eastAsia" w:ascii="宋体" w:hAnsi="宋体" w:cs="宋体"/>
                <w:kern w:val="0"/>
                <w:sz w:val="20"/>
                <w:szCs w:val="20"/>
              </w:rPr>
              <w:t>科技科普水平方面</w:t>
            </w:r>
          </w:p>
        </w:tc>
        <w:tc>
          <w:tcPr>
            <w:tcW w:w="3738" w:type="pct"/>
            <w:vAlign w:val="center"/>
          </w:tcPr>
          <w:p w14:paraId="0CC7E2CA">
            <w:pPr>
              <w:pStyle w:val="2"/>
              <w:ind w:firstLine="0" w:firstLineChars="0"/>
              <w:rPr>
                <w:rFonts w:ascii="宋体" w:hAnsi="宋体" w:cs="宋体"/>
                <w:sz w:val="20"/>
                <w:szCs w:val="20"/>
              </w:rPr>
            </w:pPr>
            <w:r>
              <w:rPr>
                <w:rFonts w:hint="eastAsia" w:ascii="宋体" w:hAnsi="宋体" w:cs="宋体"/>
                <w:sz w:val="20"/>
                <w:szCs w:val="20"/>
              </w:rPr>
              <w:t>承担国家自然科学基金、市科委等重点课题13项，市园林绿化青年创新人才托举工程11项，发表论文118篇，获批国家各项专利20项、计算机软件著作权17项；举办“万物共生大讲堂”“园林科普密云行”等活动，走进学校社区97个，开展活动2500场，受众超3600万人次；新建颐和园、动物园科普小屋及紫竹院科普体验主题步道，市属公园科普小屋实现全覆盖；推进智慧公园数据平台及网络基础建设，完成北海、中山机房改造，25个信息化项目完成验收报备并获批复。</w:t>
            </w:r>
          </w:p>
        </w:tc>
      </w:tr>
      <w:tr w14:paraId="15C49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1261" w:type="pct"/>
            <w:vAlign w:val="center"/>
          </w:tcPr>
          <w:p w14:paraId="66BF8DCF">
            <w:pPr>
              <w:pStyle w:val="2"/>
              <w:ind w:firstLine="0" w:firstLineChars="0"/>
              <w:jc w:val="center"/>
              <w:rPr>
                <w:rFonts w:ascii="宋体" w:hAnsi="宋体" w:cs="宋体"/>
                <w:sz w:val="20"/>
                <w:szCs w:val="20"/>
              </w:rPr>
            </w:pPr>
            <w:r>
              <w:rPr>
                <w:rStyle w:val="22"/>
                <w:rFonts w:hint="default"/>
                <w:color w:val="auto"/>
                <w:sz w:val="20"/>
                <w:szCs w:val="20"/>
              </w:rPr>
              <w:t>服务配套设施方面</w:t>
            </w:r>
          </w:p>
        </w:tc>
        <w:tc>
          <w:tcPr>
            <w:tcW w:w="3738" w:type="pct"/>
            <w:vAlign w:val="center"/>
          </w:tcPr>
          <w:p w14:paraId="71CE9919">
            <w:pPr>
              <w:pStyle w:val="2"/>
              <w:ind w:firstLine="0" w:firstLineChars="0"/>
              <w:rPr>
                <w:rFonts w:ascii="宋体" w:hAnsi="宋体" w:cs="宋体"/>
                <w:sz w:val="20"/>
                <w:szCs w:val="20"/>
              </w:rPr>
            </w:pPr>
            <w:r>
              <w:rPr>
                <w:rFonts w:hint="eastAsia" w:ascii="宋体" w:hAnsi="宋体" w:cs="宋体"/>
                <w:sz w:val="20"/>
                <w:szCs w:val="20"/>
              </w:rPr>
              <w:t>完成11家市属公园总规修编，完成天坛、北海、中山地下基础设施专项规划编制，完成动物展区及食草片区规划，完成</w:t>
            </w:r>
            <w:r>
              <w:rPr>
                <w:rStyle w:val="22"/>
                <w:rFonts w:hint="default"/>
                <w:color w:val="auto"/>
                <w:sz w:val="20"/>
                <w:szCs w:val="20"/>
              </w:rPr>
              <w:t>颐和园文昌院箱变更新改造、香山索道升级改造工程、玉渊潭公园游乐场改造提升、动物园两爬馆、猿猴馆卫生间改造、紫竹院大湖周边设施改造、陶然亭报春亭等5处亭子修缮工程，实现了电子票务闸机及验票通道更新。</w:t>
            </w:r>
            <w:r>
              <w:rPr>
                <w:rFonts w:hint="eastAsia" w:ascii="宋体" w:hAnsi="宋体" w:cs="宋体"/>
                <w:sz w:val="20"/>
                <w:szCs w:val="20"/>
              </w:rPr>
              <w:t>全年市属公园累计接待游客1.15亿人次。</w:t>
            </w:r>
          </w:p>
        </w:tc>
      </w:tr>
      <w:tr w14:paraId="2F496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1261" w:type="pct"/>
            <w:vAlign w:val="center"/>
          </w:tcPr>
          <w:p w14:paraId="363F101B">
            <w:pPr>
              <w:pStyle w:val="2"/>
              <w:ind w:firstLine="0" w:firstLineChars="0"/>
              <w:jc w:val="center"/>
              <w:rPr>
                <w:rFonts w:ascii="宋体" w:hAnsi="宋体" w:cs="宋体"/>
                <w:sz w:val="20"/>
                <w:szCs w:val="20"/>
              </w:rPr>
            </w:pPr>
            <w:r>
              <w:rPr>
                <w:rFonts w:hint="eastAsia" w:ascii="宋体" w:hAnsi="宋体" w:cs="宋体"/>
                <w:kern w:val="0"/>
                <w:sz w:val="20"/>
                <w:szCs w:val="20"/>
              </w:rPr>
              <w:t>文化文创方面</w:t>
            </w:r>
          </w:p>
        </w:tc>
        <w:tc>
          <w:tcPr>
            <w:tcW w:w="3738" w:type="pct"/>
            <w:vAlign w:val="center"/>
          </w:tcPr>
          <w:p w14:paraId="7EA16139">
            <w:pPr>
              <w:pStyle w:val="2"/>
              <w:ind w:firstLine="0" w:firstLineChars="0"/>
              <w:rPr>
                <w:rFonts w:ascii="宋体" w:hAnsi="宋体" w:cs="宋体"/>
                <w:sz w:val="20"/>
                <w:szCs w:val="20"/>
              </w:rPr>
            </w:pPr>
            <w:r>
              <w:rPr>
                <w:rFonts w:hint="eastAsia" w:ascii="宋体" w:hAnsi="宋体" w:cs="宋体"/>
                <w:sz w:val="20"/>
                <w:szCs w:val="20"/>
              </w:rPr>
              <w:t>打造特色文化活动，首次推出北京公园艺术季，第十届冰雪游园会接待量同比增长27.7%，创新龙年生肖IP、玉渊潭樱花节等策划经营，首创天坛神乐署中和韶乐行进式展演，全年筹办展览61项。</w:t>
            </w:r>
          </w:p>
        </w:tc>
      </w:tr>
      <w:tr w14:paraId="1F9A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1261" w:type="pct"/>
            <w:vAlign w:val="center"/>
          </w:tcPr>
          <w:p w14:paraId="6EBE1055">
            <w:pPr>
              <w:pStyle w:val="2"/>
              <w:ind w:firstLine="0" w:firstLineChars="0"/>
              <w:jc w:val="center"/>
              <w:rPr>
                <w:rFonts w:ascii="宋体" w:hAnsi="宋体" w:cs="宋体"/>
                <w:sz w:val="20"/>
                <w:szCs w:val="20"/>
              </w:rPr>
            </w:pPr>
            <w:r>
              <w:rPr>
                <w:rFonts w:hint="eastAsia" w:ascii="宋体" w:hAnsi="宋体" w:cs="宋体"/>
                <w:sz w:val="20"/>
                <w:szCs w:val="20"/>
              </w:rPr>
              <w:t>生态文明建设方面</w:t>
            </w:r>
          </w:p>
        </w:tc>
        <w:tc>
          <w:tcPr>
            <w:tcW w:w="3738" w:type="pct"/>
            <w:vAlign w:val="center"/>
          </w:tcPr>
          <w:p w14:paraId="1225A0D5">
            <w:pPr>
              <w:pStyle w:val="2"/>
              <w:ind w:firstLine="0" w:firstLineChars="0"/>
              <w:rPr>
                <w:rFonts w:ascii="宋体" w:hAnsi="宋体" w:cs="宋体"/>
                <w:sz w:val="20"/>
                <w:szCs w:val="20"/>
              </w:rPr>
            </w:pPr>
            <w:r>
              <w:rPr>
                <w:rFonts w:hint="eastAsia" w:ascii="宋体" w:hAnsi="宋体" w:cs="宋体"/>
                <w:sz w:val="20"/>
                <w:szCs w:val="20"/>
              </w:rPr>
              <w:t>完成7家市属公园水质监测，紫竹院新增两处门区将南长河滨河步道全线贯通，完成春秋季绿化养护培训暨检查评比，完成美国白蛾等有害生物监测防治，针对性保护古树912株，提升改造7处兽舍场馆，完成16只朱鹮回国检疫等任务，统筹全年花卉环境布置，加强传统花卉繁育展示，国庆假日市属公园立体花坛精彩亮相。</w:t>
            </w:r>
          </w:p>
        </w:tc>
      </w:tr>
      <w:tr w14:paraId="199B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261" w:type="pct"/>
            <w:vAlign w:val="center"/>
          </w:tcPr>
          <w:p w14:paraId="06D4505B">
            <w:pPr>
              <w:widowControl/>
              <w:jc w:val="center"/>
              <w:rPr>
                <w:rFonts w:ascii="宋体" w:hAnsi="宋体" w:cs="宋体"/>
                <w:sz w:val="20"/>
                <w:szCs w:val="20"/>
              </w:rPr>
            </w:pPr>
            <w:r>
              <w:rPr>
                <w:rFonts w:hint="eastAsia" w:ascii="宋体" w:hAnsi="宋体" w:cs="宋体"/>
                <w:kern w:val="0"/>
                <w:sz w:val="20"/>
                <w:szCs w:val="20"/>
              </w:rPr>
              <w:t>资产管理</w:t>
            </w:r>
            <w:r>
              <w:rPr>
                <w:rFonts w:hint="eastAsia" w:ascii="宋体" w:hAnsi="宋体" w:cs="宋体"/>
                <w:sz w:val="20"/>
                <w:szCs w:val="20"/>
              </w:rPr>
              <w:t>方面</w:t>
            </w:r>
          </w:p>
        </w:tc>
        <w:tc>
          <w:tcPr>
            <w:tcW w:w="3738" w:type="pct"/>
            <w:vAlign w:val="center"/>
          </w:tcPr>
          <w:p w14:paraId="3CBB1802">
            <w:pPr>
              <w:pStyle w:val="2"/>
              <w:ind w:firstLine="0" w:firstLineChars="0"/>
              <w:rPr>
                <w:rFonts w:ascii="宋体" w:hAnsi="宋体" w:cs="宋体"/>
                <w:sz w:val="20"/>
                <w:szCs w:val="20"/>
              </w:rPr>
            </w:pPr>
            <w:r>
              <w:rPr>
                <w:rFonts w:hint="eastAsia" w:ascii="宋体" w:hAnsi="宋体" w:cs="宋体"/>
                <w:kern w:val="0"/>
                <w:sz w:val="20"/>
                <w:szCs w:val="20"/>
              </w:rPr>
              <w:t>完成北海和陶然亭90 条游船更新购置，完成</w:t>
            </w:r>
            <w:r>
              <w:rPr>
                <w:rStyle w:val="22"/>
                <w:rFonts w:hint="default"/>
                <w:color w:val="auto"/>
                <w:sz w:val="20"/>
                <w:szCs w:val="20"/>
              </w:rPr>
              <w:t>紫竹院游艺设备购置及安装，完成</w:t>
            </w:r>
            <w:r>
              <w:rPr>
                <w:rFonts w:hint="eastAsia" w:ascii="宋体" w:hAnsi="宋体" w:cs="宋体"/>
                <w:kern w:val="0"/>
                <w:sz w:val="20"/>
                <w:szCs w:val="20"/>
              </w:rPr>
              <w:t>玉渊潭保洁专用船购置。</w:t>
            </w:r>
          </w:p>
        </w:tc>
      </w:tr>
      <w:tr w14:paraId="312A2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trPr>
        <w:tc>
          <w:tcPr>
            <w:tcW w:w="1261" w:type="pct"/>
            <w:vAlign w:val="center"/>
          </w:tcPr>
          <w:p w14:paraId="1CC8633A">
            <w:pPr>
              <w:widowControl/>
              <w:jc w:val="center"/>
              <w:rPr>
                <w:rFonts w:ascii="宋体" w:hAnsi="宋体" w:cs="宋体"/>
                <w:kern w:val="0"/>
                <w:sz w:val="20"/>
                <w:szCs w:val="20"/>
              </w:rPr>
            </w:pPr>
            <w:r>
              <w:rPr>
                <w:rFonts w:hint="eastAsia" w:ascii="宋体" w:hAnsi="宋体" w:cs="宋体"/>
                <w:kern w:val="0"/>
                <w:sz w:val="20"/>
                <w:szCs w:val="20"/>
              </w:rPr>
              <w:t>基层管理方面</w:t>
            </w:r>
          </w:p>
        </w:tc>
        <w:tc>
          <w:tcPr>
            <w:tcW w:w="3738" w:type="pct"/>
            <w:vAlign w:val="center"/>
          </w:tcPr>
          <w:p w14:paraId="27785030">
            <w:pPr>
              <w:pStyle w:val="2"/>
              <w:ind w:firstLine="0" w:firstLineChars="0"/>
              <w:rPr>
                <w:rFonts w:ascii="宋体" w:hAnsi="宋体" w:cs="宋体"/>
                <w:sz w:val="20"/>
                <w:szCs w:val="20"/>
              </w:rPr>
            </w:pPr>
            <w:r>
              <w:rPr>
                <w:rFonts w:hint="eastAsia" w:ascii="宋体" w:hAnsi="宋体" w:cs="宋体"/>
                <w:sz w:val="20"/>
                <w:szCs w:val="20"/>
              </w:rPr>
              <w:t>完成“审计整改巩固年”工作，修订内部审计制度，自主完成信息化项目专项审计，完成内部控制评价和风险评估。完成党纪学习教育，累计开展学习辅导1100余次，党组织书记讲纪律党课204次，开展警示教育387次。推出定制化服务及红色文化研学手册，发布14条红色游路线，全年统筹开展各类红色宣教活动百余场，提供义务讲解1万余场，惠及游客超300万人次。</w:t>
            </w:r>
          </w:p>
        </w:tc>
      </w:tr>
      <w:tr w14:paraId="41FC1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1261" w:type="pct"/>
            <w:vAlign w:val="center"/>
          </w:tcPr>
          <w:p w14:paraId="1A12582F">
            <w:pPr>
              <w:widowControl/>
              <w:jc w:val="center"/>
              <w:rPr>
                <w:rFonts w:ascii="宋体" w:hAnsi="宋体" w:cs="宋体"/>
                <w:kern w:val="0"/>
                <w:sz w:val="20"/>
                <w:szCs w:val="20"/>
              </w:rPr>
            </w:pPr>
            <w:r>
              <w:rPr>
                <w:rFonts w:hint="eastAsia" w:ascii="宋体" w:hAnsi="宋体" w:cs="宋体"/>
                <w:kern w:val="0"/>
                <w:sz w:val="20"/>
                <w:szCs w:val="20"/>
              </w:rPr>
              <w:t>精细治理水平方面</w:t>
            </w:r>
          </w:p>
        </w:tc>
        <w:tc>
          <w:tcPr>
            <w:tcW w:w="3738" w:type="pct"/>
            <w:vAlign w:val="center"/>
          </w:tcPr>
          <w:p w14:paraId="6B432D24">
            <w:pPr>
              <w:pStyle w:val="2"/>
              <w:ind w:firstLine="0" w:firstLineChars="0"/>
              <w:rPr>
                <w:rFonts w:ascii="宋体" w:hAnsi="宋体" w:cs="宋体"/>
                <w:sz w:val="20"/>
                <w:szCs w:val="20"/>
              </w:rPr>
            </w:pPr>
            <w:r>
              <w:rPr>
                <w:rFonts w:hint="eastAsia" w:ascii="宋体" w:hAnsi="宋体" w:cs="宋体"/>
                <w:sz w:val="20"/>
                <w:szCs w:val="20"/>
              </w:rPr>
              <w:t>制定《安全生产管理体系建设》团体标准，强化风险隐患管控辨识709项安全风险源，更新落实2019项管控措施；坚持安全检查月检制度，检查发现的440余项问题隐患动态清零，严格施工动火作业审批，累计报备450余次，完成消防、安防“两室合一”建设，健全特种设备日检、月检、年检制度，完成常态化实战演练和集中取证培训，落实北海、景山常态化安检，各门区查处无人机58架、各类危险品40余万件；完善防汛应急预案，有效应对多次强降雨和大风天气。推动“电子围栏”智慧化客流管控在颐和园、动物园试点运行，主动治理商业直播、商拍扰序、黑导、游商等行为，重点节日开展文明游园及学雷锋志愿服务活动256场次，召集3700名首都公共文明引导员、志愿者协助开展秩序引导等工作。强化重点时期票务精准调控，市属公园充分满足假日大客流游园需求。</w:t>
            </w:r>
          </w:p>
        </w:tc>
      </w:tr>
      <w:tr w14:paraId="547B1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261" w:type="pct"/>
            <w:vAlign w:val="center"/>
          </w:tcPr>
          <w:p w14:paraId="72B0CFFF">
            <w:pPr>
              <w:pStyle w:val="2"/>
              <w:ind w:firstLine="0" w:firstLineChars="0"/>
              <w:jc w:val="center"/>
              <w:rPr>
                <w:rFonts w:ascii="宋体" w:hAnsi="宋体" w:cs="宋体"/>
                <w:sz w:val="20"/>
                <w:szCs w:val="20"/>
              </w:rPr>
            </w:pPr>
            <w:r>
              <w:rPr>
                <w:rFonts w:hint="eastAsia" w:ascii="宋体" w:hAnsi="宋体" w:cs="宋体"/>
                <w:sz w:val="20"/>
                <w:szCs w:val="20"/>
              </w:rPr>
              <w:t>重大服务保障方面</w:t>
            </w:r>
          </w:p>
        </w:tc>
        <w:tc>
          <w:tcPr>
            <w:tcW w:w="3738" w:type="pct"/>
            <w:vAlign w:val="center"/>
          </w:tcPr>
          <w:p w14:paraId="43344D95">
            <w:pPr>
              <w:pStyle w:val="2"/>
              <w:ind w:firstLine="0" w:firstLineChars="0"/>
              <w:rPr>
                <w:rFonts w:ascii="宋体" w:hAnsi="宋体" w:cs="宋体"/>
                <w:sz w:val="20"/>
                <w:szCs w:val="20"/>
              </w:rPr>
            </w:pPr>
            <w:r>
              <w:rPr>
                <w:rFonts w:hint="eastAsia" w:ascii="宋体" w:hAnsi="宋体" w:cs="宋体"/>
                <w:sz w:val="20"/>
                <w:szCs w:val="20"/>
              </w:rPr>
              <w:t>完成新中国成立75周年庆祝活动等服务保障任务，接待市级以上领导检查调研30余次，完成外事及港澳台接待173批次。</w:t>
            </w:r>
          </w:p>
        </w:tc>
      </w:tr>
    </w:tbl>
    <w:p w14:paraId="25A721F1">
      <w:pPr>
        <w:pStyle w:val="2"/>
        <w:spacing w:line="360" w:lineRule="auto"/>
        <w:ind w:firstLine="640"/>
        <w:rPr>
          <w:rFonts w:ascii="仿宋_GB2312" w:hAnsi="仿宋_GB2312" w:eastAsia="仿宋_GB2312" w:cs="仿宋_GB2312"/>
          <w:sz w:val="32"/>
          <w:szCs w:val="32"/>
        </w:rPr>
      </w:pPr>
    </w:p>
    <w:p w14:paraId="68D84113">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2.产出质量</w:t>
      </w:r>
    </w:p>
    <w:p w14:paraId="0B1B4E9B">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中心2024年度各项工作完成质量较好，如</w:t>
      </w:r>
      <w:r>
        <w:rPr>
          <w:rFonts w:hint="eastAsia" w:ascii="仿宋_GB2312" w:eastAsia="仿宋_GB2312"/>
          <w:sz w:val="32"/>
          <w:szCs w:val="32"/>
        </w:rPr>
        <w:t>高质量完成新中国成立75周年庆祝活动等服务保障任务；万生苑温室、</w:t>
      </w:r>
      <w:r>
        <w:rPr>
          <w:rFonts w:hint="eastAsia" w:ascii="仿宋_GB2312" w:hAnsi="仿宋_GB2312" w:eastAsia="仿宋_GB2312" w:cs="仿宋_GB2312"/>
          <w:sz w:val="32"/>
          <w:szCs w:val="32"/>
        </w:rPr>
        <w:t>香山碧云寺、颐和园乐农轩及紫竹院行宫等修</w:t>
      </w:r>
      <w:r>
        <w:rPr>
          <w:rFonts w:hint="eastAsia" w:ascii="仿宋_GB2312" w:eastAsia="仿宋_GB2312"/>
          <w:sz w:val="32"/>
          <w:szCs w:val="32"/>
        </w:rPr>
        <w:t>缮工程完成后验收合格</w:t>
      </w:r>
      <w:r>
        <w:rPr>
          <w:rFonts w:hint="eastAsia" w:ascii="仿宋_GB2312" w:hAnsi="宋体" w:eastAsia="仿宋_GB2312" w:cs="宋体"/>
          <w:color w:val="000000"/>
          <w:kern w:val="0"/>
          <w:sz w:val="32"/>
          <w:szCs w:val="32"/>
        </w:rPr>
        <w:t>，提升了古建筑群的保护与展示水平；植物园自主设计花坛获香港花展最高奖；</w:t>
      </w:r>
      <w:r>
        <w:rPr>
          <w:rFonts w:hint="eastAsia" w:ascii="仿宋_GB2312" w:hAnsi="仿宋_GB2312" w:eastAsia="仿宋_GB2312" w:cs="仿宋_GB2312"/>
          <w:kern w:val="1"/>
          <w:sz w:val="32"/>
          <w:szCs w:val="32"/>
        </w:rPr>
        <w:t>颐和园、天坛、植物园获评市安全生产标准化标杆企业；颐和园和天坛职工分获市“应急先锋 北京榜样”先进典型月榜及周榜人物；</w:t>
      </w:r>
      <w:r>
        <w:rPr>
          <w:rFonts w:hint="eastAsia" w:ascii="仿宋_GB2312" w:eastAsia="仿宋_GB2312"/>
          <w:sz w:val="32"/>
          <w:szCs w:val="32"/>
        </w:rPr>
        <w:t>碑林、永定河森林公园纳入中心序列，路县遗址公园开放筹备取得实质进展中国园林博物馆晋升国家一级博物馆；</w:t>
      </w:r>
      <w:r>
        <w:rPr>
          <w:rFonts w:hint="eastAsia" w:ascii="仿宋_GB2312" w:hAnsi="宋体" w:eastAsia="仿宋_GB2312" w:cs="宋体"/>
          <w:color w:val="000000"/>
          <w:kern w:val="0"/>
          <w:sz w:val="32"/>
          <w:szCs w:val="32"/>
        </w:rPr>
        <w:t>颐和园彩妆、天坛冰箱贴成为爆款，天坛千年榫营造积木被选为“北京外事礼物”。</w:t>
      </w:r>
    </w:p>
    <w:p w14:paraId="09CFF52F">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14:paraId="67EFD70B">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中心2024年度各项工作基本按照计划进度序时完成。</w:t>
      </w:r>
    </w:p>
    <w:p w14:paraId="704A4F0B">
      <w:pPr>
        <w:spacing w:line="360" w:lineRule="auto"/>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14:paraId="7769652E">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中心2024年度各项支出严格按照少花钱、多办事的原则执行，通过政府采购、磋商、比选等方式，严格控制支出成本。中心2024年部门预算公用经费为67,554.11万元，部门决算公用经费支出为 53,732.77 万元，公用经费控制率</w:t>
      </w:r>
      <w:r>
        <w:rPr>
          <w:rStyle w:val="15"/>
          <w:rFonts w:hint="eastAsia" w:ascii="仿宋_GB2312" w:hAnsi="宋体" w:eastAsia="仿宋_GB2312" w:cs="宋体"/>
          <w:color w:val="000000"/>
          <w:kern w:val="0"/>
          <w:sz w:val="32"/>
          <w:szCs w:val="32"/>
        </w:rPr>
        <w:footnoteReference w:id="0"/>
      </w:r>
      <w:r>
        <w:rPr>
          <w:rFonts w:hint="eastAsia" w:ascii="仿宋_GB2312" w:hAnsi="宋体" w:eastAsia="仿宋_GB2312" w:cs="宋体"/>
          <w:color w:val="000000"/>
          <w:kern w:val="0"/>
          <w:sz w:val="32"/>
          <w:szCs w:val="32"/>
        </w:rPr>
        <w:t>为79.54%。中心成本控制总体较好。</w:t>
      </w:r>
    </w:p>
    <w:p w14:paraId="2FB846D0">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14:paraId="45A17A17">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14:paraId="045080D2">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仿宋_GB2312" w:eastAsia="仿宋_GB2312" w:cs="仿宋_GB2312"/>
          <w:sz w:val="32"/>
          <w:szCs w:val="32"/>
        </w:rPr>
        <w:t>公园平价商品满足游客消费需求，</w:t>
      </w:r>
      <w:r>
        <w:rPr>
          <w:rFonts w:hint="eastAsia" w:ascii="仿宋_GB2312" w:hAnsi="宋体" w:eastAsia="仿宋_GB2312" w:cs="宋体"/>
          <w:color w:val="000000"/>
          <w:kern w:val="0"/>
          <w:sz w:val="32"/>
          <w:szCs w:val="32"/>
        </w:rPr>
        <w:t>颐和园彩妆、天坛冰箱贴成为爆款，</w:t>
      </w:r>
      <w:r>
        <w:rPr>
          <w:rFonts w:hint="eastAsia" w:ascii="仿宋_GB2312" w:hAnsi="仿宋_GB2312" w:eastAsia="仿宋_GB2312" w:cs="仿宋_GB2312"/>
          <w:sz w:val="32"/>
          <w:szCs w:val="32"/>
        </w:rPr>
        <w:t>全年年票销售收入同比增长5%，游船收入同比增长9.4%。颐和园、天坛年游客量均超2400万，门票收入持续领跑增长，11家市属公园和园博馆全年游客量同比增长12.9%，门票收入14.9亿元，同比增长9%，双创历史新高。中心全年事业收入90,588.18万元，较2023年（</w:t>
      </w:r>
      <w:r>
        <w:rPr>
          <w:rFonts w:ascii="仿宋_GB2312" w:hAnsi="仿宋" w:eastAsia="仿宋_GB2312" w:cs="仿宋_GB2312"/>
          <w:sz w:val="32"/>
          <w:szCs w:val="32"/>
        </w:rPr>
        <w:t>85</w:t>
      </w:r>
      <w:r>
        <w:rPr>
          <w:rFonts w:hint="eastAsia" w:ascii="仿宋_GB2312" w:hAnsi="仿宋" w:eastAsia="仿宋_GB2312" w:cs="仿宋_GB2312"/>
          <w:sz w:val="32"/>
          <w:szCs w:val="32"/>
        </w:rPr>
        <w:t>,</w:t>
      </w:r>
      <w:r>
        <w:rPr>
          <w:rFonts w:ascii="仿宋_GB2312" w:hAnsi="仿宋" w:eastAsia="仿宋_GB2312" w:cs="仿宋_GB2312"/>
          <w:sz w:val="32"/>
          <w:szCs w:val="32"/>
        </w:rPr>
        <w:t>717</w:t>
      </w:r>
      <w:r>
        <w:rPr>
          <w:rFonts w:hint="eastAsia" w:ascii="仿宋_GB2312" w:hAnsi="仿宋" w:eastAsia="仿宋_GB2312" w:cs="仿宋_GB2312"/>
          <w:sz w:val="32"/>
          <w:szCs w:val="32"/>
        </w:rPr>
        <w:t>.</w:t>
      </w:r>
      <w:r>
        <w:rPr>
          <w:rFonts w:ascii="仿宋_GB2312" w:hAnsi="仿宋" w:eastAsia="仿宋_GB2312" w:cs="仿宋_GB2312"/>
          <w:sz w:val="32"/>
          <w:szCs w:val="32"/>
        </w:rPr>
        <w:t>9</w:t>
      </w:r>
      <w:r>
        <w:rPr>
          <w:rFonts w:hint="eastAsia" w:ascii="仿宋_GB2312" w:hAnsi="仿宋" w:eastAsia="仿宋_GB2312" w:cs="仿宋_GB2312"/>
          <w:sz w:val="32"/>
          <w:szCs w:val="32"/>
        </w:rPr>
        <w:t>3万元</w:t>
      </w:r>
      <w:r>
        <w:rPr>
          <w:rFonts w:hint="eastAsia" w:ascii="仿宋_GB2312" w:hAnsi="仿宋_GB2312" w:eastAsia="仿宋_GB2312" w:cs="仿宋_GB2312"/>
          <w:sz w:val="32"/>
          <w:szCs w:val="32"/>
        </w:rPr>
        <w:t>）增长5.68%。</w:t>
      </w:r>
    </w:p>
    <w:p w14:paraId="5AE7B0E5">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14:paraId="6E96A7ED">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服务配套设施方面：完成颐和园文昌院箱变更新改造、香山索道升级改造工程、玉渊潭公园游乐场改造提升等工程，热点景区游览参观环境全面提升。通过颐和园优化导览提示标识、天坛设置防晒设施、陶然亭解决储物问题、玉渊潭推进一刻钟便民生活圈等便民举措，入选2024年全市公园管理服务优化“每月一题”典型案例，有效提升了游客获得感。推出第三代社保卡加载年票功能，市属公园实现闸机覆盖、年票门票一机通办，434台外币刷卡机实现票务、商业等场景消费无忧，提高服务水平；率先完成首都之窗国际版、京通英文版形象展示，推动走向国际化。全年接待游客1.15亿人次，全年游客量同比增长12.9%。</w:t>
      </w:r>
    </w:p>
    <w:p w14:paraId="2E7C3E9D">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文物管理保护方面：完成香山碧云寺、颐和园乐农轩、颐和园苏州街景区、清华轩院保护修缮及长廊彩画保护修复等工作，推动文物保护与传承。通过对多处古建修缮，养云轩、仁寿南殿成为古建活化利用典型范例。加强文物保护硬件与技术建设，推进陶瓷修复室建设。深化文化遗产交流合作，举办国内外文化交流活动，缔结友好关系，促进文明互鉴。</w:t>
      </w:r>
    </w:p>
    <w:p w14:paraId="648D4744">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科学知识普及方面：新建颐和园、动物园科普小屋及紫竹院科普体验主体跑道，市属公园科普小屋实现全覆盖，基层科普设施不断完善；举办“万物共生大讲堂”“园林科普密云行”等科普活动，走进学校社区97个，促进学生、居民科学素养提升。</w:t>
      </w:r>
    </w:p>
    <w:p w14:paraId="7AE7D18E">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文化文创方面：首次推出北京公园艺术季，“我们的节日”“一园一品”等系列活动，影响力逐步扩大。天坛、颐和园、北海、景山等夜景受到广泛关注。全年筹办展览61项，颐和园“园说Ⅵ”、园博馆“园林世界”展览入选2024年文博行业100个热门展览。</w:t>
      </w:r>
    </w:p>
    <w:p w14:paraId="763AEEF5">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精细治理水平方面：坚持安全检查月检制度，检查发现的440余项问题隐患动态清零；完成消防、安防“两室合一”建设，健全特种设备日检、月检、年检制度，完成常态化实战演练和集中取证培训，确保消防、安防安全；完善防汛应急预案，有效应对多次强降雨和大风天气；推动“电子围栏”智慧化客流管控在颐和园、动物园试点运行，主动治理商业直播、商拍扰序、黑导、游商等行为；重点节日开展文明游园及学雷锋志愿服务活动，协助开展秩序引导；强化重点时期票务精准调控，市属公园充分满足假日大客流游园需求。全年无重大安全责任事故发生。</w:t>
      </w:r>
    </w:p>
    <w:p w14:paraId="657BB550">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14:paraId="55E06449">
      <w:pPr>
        <w:spacing w:line="360" w:lineRule="auto"/>
        <w:ind w:left="105" w:leftChars="50" w:firstLine="480" w:firstLineChars="150"/>
        <w:rPr>
          <w:rFonts w:ascii="仿宋_GB2312" w:eastAsia="仿宋_GB2312"/>
          <w:sz w:val="32"/>
          <w:szCs w:val="32"/>
        </w:rPr>
      </w:pPr>
      <w:r>
        <w:rPr>
          <w:rFonts w:hint="eastAsia" w:ascii="仿宋_GB2312" w:eastAsia="仿宋_GB2312"/>
          <w:sz w:val="32"/>
          <w:szCs w:val="32"/>
        </w:rPr>
        <w:t>完成7家市属公园水质监测，紫竹院新增两处门区将南长河滨河步道全线贯通，完成春秋季绿化养护培训暨检查评比，完成美国白蛾等有害生物监测防治，杨柳飞絮治理成效明显，针对性保护古树912株，提升改造7处兽舍场馆，完成16只朱鹮回国检疫等任务，实现生态环境多领域协同提升。统筹全年花卉环境布置，加强传统花卉繁育展示，国庆假日市属公园立体花坛精彩亮相。开展文物古建预防性保护监测，大力改善文物保藏环境。</w:t>
      </w:r>
    </w:p>
    <w:p w14:paraId="2973B2F9">
      <w:pPr>
        <w:spacing w:line="360" w:lineRule="auto"/>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4.可持续</w:t>
      </w:r>
      <w:r>
        <w:rPr>
          <w:rFonts w:ascii="仿宋_GB2312" w:hAnsi="仿宋" w:eastAsia="仿宋_GB2312" w:cs="仿宋_GB2312"/>
          <w:sz w:val="32"/>
          <w:szCs w:val="32"/>
        </w:rPr>
        <w:t>性影响</w:t>
      </w:r>
    </w:p>
    <w:p w14:paraId="4343630F">
      <w:pPr>
        <w:spacing w:line="360" w:lineRule="auto"/>
        <w:ind w:firstLine="640" w:firstLineChars="200"/>
        <w:rPr>
          <w:rFonts w:ascii="仿宋_GB2312" w:hAnsi="宋体" w:eastAsia="仿宋_GB2312" w:cs="宋体"/>
          <w:color w:val="000000"/>
          <w:kern w:val="0"/>
          <w:sz w:val="32"/>
          <w:szCs w:val="32"/>
        </w:rPr>
      </w:pPr>
      <w:r>
        <w:rPr>
          <w:rFonts w:hint="eastAsia" w:ascii="仿宋_GB2312" w:hAnsi="仿宋" w:eastAsia="仿宋_GB2312" w:cs="仿宋_GB2312"/>
          <w:sz w:val="32"/>
          <w:szCs w:val="32"/>
        </w:rPr>
        <w:t>为确保公园动物饲养、园区绿化、安全保障等专项工作正常有序推进，对各类专项设备进行筛查确认，更新高耗能、高维修成本、低效率的老旧设备以及坏损设备，新增部分专项作业设备。有效提高设备运行的整体效率和安全系数，确保各项工作基本设备需求和工作运转平稳进行。完成北海和陶然亭90 条游船购置、紫竹院游艺设备购置及安装、玉渊潭保洁专用船购置，提升游客体验，吸引更多游客前来游玩，促进公园的可持续发展。</w:t>
      </w:r>
    </w:p>
    <w:p w14:paraId="7C647950">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14:paraId="31D6978A">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中心委托第三方机构北京清研灵智科技有限公司开展游客满意度调查及员工满意度调查。游客、工作人员对公园提供的服务均满意，未收到投诉情况。</w:t>
      </w:r>
    </w:p>
    <w:p w14:paraId="326C15CB">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第三方调查公司每季度对市属公园和园博馆开展服务对象满意度调查。2024年度游客满意度调查全年共回收有效问卷35850份，样本量置信度达到 99%，调查范围覆盖 11 家市属公园和园博馆。经统计，2024年度游客对各公园满意度评价均在96分以上，达到“非常满意”水平，市属公园综合服务获得游客广泛认可。</w:t>
      </w:r>
    </w:p>
    <w:p w14:paraId="14514659">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2024年11月，第三方调查公司采用实地走访的方式对11 家市属公园、中国园林博物馆、北京市园林学校和综合事务中心共14家单位开展员工满意度调查，共回收1136份有效问卷，调查对象覆盖管理岗、专技岗和工勤岗，职级覆盖处级、科级和普通员工，样本具有较强代表性。经统计，2024年度14家单位员工的满意度评价均在90分以上，平均分为97.60分，达到“非常满意”水平，市属公园内部管理服务获得员工的认可。</w:t>
      </w:r>
    </w:p>
    <w:p w14:paraId="20F10C4E">
      <w:pPr>
        <w:pStyle w:val="2"/>
        <w:ind w:firstLine="640"/>
        <w:rPr>
          <w:rFonts w:eastAsia="仿宋_GB2312"/>
        </w:rPr>
      </w:pPr>
      <w:r>
        <w:rPr>
          <w:rFonts w:hint="eastAsia" w:ascii="仿宋_GB2312" w:hAnsi="宋体" w:eastAsia="仿宋_GB2312" w:cs="宋体"/>
          <w:color w:val="000000"/>
          <w:kern w:val="0"/>
          <w:sz w:val="32"/>
          <w:szCs w:val="32"/>
        </w:rPr>
        <w:t>中心委托第三方中介机构对14个重点项目开展了绩效评价，评价结果显示，9个项目开展了满意度调查，其中5个项目样本量偏低，不够有效支撑游客满意度的真实情况，不够全面了解游客的意见和建议；5个项目未开展满意度调查工作，项目实施效果的满意程度和意见、建议均缺少有效材料支撑。</w:t>
      </w:r>
    </w:p>
    <w:p w14:paraId="1C00291A">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36403176">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160B77C7">
      <w:pPr>
        <w:spacing w:line="360" w:lineRule="auto"/>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1.财务管理制度健全性</w:t>
      </w:r>
    </w:p>
    <w:p w14:paraId="384831E2">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在预算管理、收支管理、合同管理、项目管理、政府采购等工作中，参照财政部、北京市财政局等部门制定的相关办法执行。同时结合公园具体情况制定了《北京市公园管理中心项目资金办法》《北京市公园管理中心预决算管理办法》《北京市公园管理中心支出管理办法》《北京市公园管理中心采购管理办法》《北京市公园管理中心合同管理办法》等管理制度。财务管理制度健全，为部门资金使用管理提供了有效制度保障。</w:t>
      </w:r>
    </w:p>
    <w:p w14:paraId="621604A9">
      <w:pPr>
        <w:spacing w:line="360" w:lineRule="auto"/>
        <w:ind w:firstLine="640" w:firstLineChars="200"/>
        <w:rPr>
          <w:rFonts w:ascii="仿宋_GB2312" w:hAnsi="仿宋" w:eastAsia="仿宋_GB2312" w:cs="仿宋_GB2312"/>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14:paraId="20E3EBB6">
      <w:pPr>
        <w:spacing w:line="360" w:lineRule="auto"/>
        <w:ind w:firstLine="640" w:firstLineChars="200"/>
        <w:rPr>
          <w:rFonts w:ascii="仿宋_GB2312" w:hAnsi="仿宋" w:eastAsia="仿宋_GB2312" w:cs="仿宋_GB2312"/>
          <w:sz w:val="32"/>
          <w:szCs w:val="32"/>
        </w:rPr>
      </w:pPr>
      <w:r>
        <w:rPr>
          <w:rFonts w:hint="eastAsia" w:ascii="仿宋_GB2312" w:hAnsi="宋体" w:eastAsia="仿宋_GB2312" w:cs="宋体"/>
          <w:color w:val="000000"/>
          <w:kern w:val="0"/>
          <w:sz w:val="32"/>
          <w:szCs w:val="32"/>
        </w:rPr>
        <w:t>中心及重点评价的项目资金使用符合国家财经法规和财务管理制度规定以及有关专项资金管理办法的规定；资金的拨付有完整的审批程序和手续，项目资金为申请拨付制，在资金执行过程中，各公园管理处根据项目进度，向中心申请资金后拨付；项目的重大开支经过评估论证，资金支出符合部门预算批复的用途，资金使用符合政府采购的程序和流程，公务卡结算也符合相关制度和规定，未发现截留、挤占、挪用情况，资金使用规范合理。</w:t>
      </w:r>
    </w:p>
    <w:p w14:paraId="714CDAFF">
      <w:pPr>
        <w:spacing w:line="360" w:lineRule="auto"/>
        <w:ind w:firstLine="640" w:firstLineChars="200"/>
        <w:rPr>
          <w:rFonts w:ascii="仿宋_GB2312" w:hAnsi="仿宋" w:eastAsia="仿宋_GB2312" w:cs="仿宋_GB2312"/>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14:paraId="7ADE821C">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委托第三方中介机构对北海公园、中山公园、香山公园、植物园、陶然亭、玉渊潭、颐和园、紫竹院、动物园等9家单位的14个项目开展项目绩效评价，评价工作中对相关单位涉及的会计记账、凭证等进行了查验，基础数据信息和会计信息资料均真实、完整、准确。</w:t>
      </w:r>
    </w:p>
    <w:p w14:paraId="4DA53904">
      <w:pPr>
        <w:spacing w:line="360" w:lineRule="auto"/>
        <w:ind w:firstLine="640" w:firstLineChars="200"/>
        <w:rPr>
          <w:rFonts w:ascii="仿宋_GB2312" w:hAnsi="仿宋" w:eastAsia="仿宋_GB2312" w:cs="仿宋_GB2312"/>
          <w:sz w:val="32"/>
          <w:szCs w:val="32"/>
        </w:rPr>
      </w:pPr>
      <w:r>
        <w:rPr>
          <w:rFonts w:hint="eastAsia" w:ascii="楷体_GB2312" w:eastAsia="楷体_GB2312"/>
          <w:sz w:val="32"/>
          <w:szCs w:val="32"/>
        </w:rPr>
        <w:t>（二）资产管理</w:t>
      </w:r>
    </w:p>
    <w:p w14:paraId="1E16E75E">
      <w:pPr>
        <w:spacing w:line="360" w:lineRule="auto"/>
        <w:ind w:firstLine="640" w:firstLineChars="200"/>
        <w:outlineLvl w:val="2"/>
        <w:rPr>
          <w:rFonts w:ascii="仿宋_GB2312" w:hAnsi="仿宋" w:eastAsia="仿宋_GB2312" w:cs="仿宋_GB2312"/>
          <w:sz w:val="32"/>
          <w:szCs w:val="32"/>
        </w:rPr>
      </w:pPr>
      <w:r>
        <w:rPr>
          <w:rFonts w:hint="eastAsia" w:ascii="仿宋_GB2312" w:hAnsi="仿宋_GB2312" w:eastAsia="仿宋_GB2312" w:cs="仿宋_GB2312"/>
          <w:sz w:val="32"/>
          <w:szCs w:val="32"/>
        </w:rPr>
        <w:t>1.资产管理情况</w:t>
      </w:r>
    </w:p>
    <w:p w14:paraId="265661AF">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按照北京市资产管理相关制度和要求，结合中心具体情况制定了《北京市公园管理中心固定资产管理办法》《北京市公园管理中无形资产管理办法》《北京市公园管理中心房屋土地出租使用管理规定》，进一步明确了固定资产、无形资产的具体职责划分和管理要求。资产管理制度健全。</w:t>
      </w:r>
    </w:p>
    <w:p w14:paraId="3FF0B4B9">
      <w:pPr>
        <w:widowControl/>
        <w:numPr>
          <w:ilvl w:val="255"/>
          <w:numId w:val="0"/>
        </w:numPr>
        <w:spacing w:line="360" w:lineRule="auto"/>
        <w:ind w:firstLine="640" w:firstLineChars="200"/>
        <w:jc w:val="left"/>
      </w:pPr>
      <w:r>
        <w:rPr>
          <w:rFonts w:hint="eastAsia" w:ascii="仿宋_GB2312" w:hAnsi="宋体" w:eastAsia="仿宋_GB2312" w:cs="宋体"/>
          <w:color w:val="000000"/>
          <w:kern w:val="0"/>
          <w:sz w:val="32"/>
          <w:szCs w:val="32"/>
        </w:rPr>
        <w:t>中心严格按照相关规定和要求进行部门资产管理，资产设有专人管理，建有固定资产台账，资产配置、使用、处置等程序规范、手续齐全，部门大额固定资产利用率为100%。固定资产主要为房屋、构筑物、文物和陈列品、设备、家具和用具等，截至2024年12月31日，中心自用固定资产391,277.01万元，占账面固定资产总额的96.90%，其中在用固定资产占账面固定资产总额的96.88%，待处置固定资产占账面固定资产总额的0.02%，无闲置固定资产。中心及市属公园固定资产标签均按照要求粘贴，每年均进行固定资产清查，形成了固定资产盘查清单。中心资产管理规范，但市属公园资产分类涉猎广泛，资产情况复杂，资产管理难度较大，很多历史遗留问题的解决存在困难。</w:t>
      </w:r>
    </w:p>
    <w:p w14:paraId="2150670A">
      <w:pPr>
        <w:spacing w:line="360" w:lineRule="auto"/>
        <w:ind w:firstLine="640" w:firstLineChars="200"/>
        <w:rPr>
          <w:rFonts w:ascii="仿宋_GB2312" w:hAnsi="仿宋_GB2312" w:eastAsia="仿宋_GB2312" w:cs="仿宋_GB2312"/>
          <w:kern w:val="0"/>
          <w:sz w:val="32"/>
          <w:szCs w:val="32"/>
        </w:rPr>
      </w:pPr>
      <w:r>
        <w:rPr>
          <w:rFonts w:hint="eastAsia" w:ascii="楷体_GB2312" w:eastAsia="楷体_GB2312"/>
          <w:sz w:val="32"/>
          <w:szCs w:val="32"/>
        </w:rPr>
        <w:t>（三）绩效</w:t>
      </w:r>
      <w:r>
        <w:rPr>
          <w:rFonts w:ascii="楷体_GB2312" w:eastAsia="楷体_GB2312"/>
          <w:sz w:val="32"/>
          <w:szCs w:val="32"/>
        </w:rPr>
        <w:t>管理</w:t>
      </w:r>
    </w:p>
    <w:p w14:paraId="5D7C9F6B">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中心2024年度绩效管理工作严格按照北京市财政局预算绩效管理要求执行，相关材料按照规定时间汇总上报。主要完成以下工作：</w:t>
      </w:r>
    </w:p>
    <w:p w14:paraId="68369B01">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绩效目标填报、审核。各业务处室（单位）根据年度工作任务以及预算申报规定，随项目预算申报，填报项目支出绩效目标表。组织对所有项目的绩效目标进行审核，审核不合格的退回相关处室（单位）进行修改直至合格；审核通过的项目上报市财政部门。但部分项目绩效目标设置还不够科学规范，存在指标设置不够齐全、未体现项目核心产出和效果等情况。</w:t>
      </w:r>
    </w:p>
    <w:p w14:paraId="289A8413">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半年绩效跟踪。及时跟进各项目执行进度，按要求开展半年绩效跟踪。各处室（单位）撰写半年工作总结，对本处室（单位）工作完成情况进行总结。对截至2024年6月30日的项目预算执行率、目标执行情况、目标执行偏差原因分析及对策等进行跟踪，填写《2024年项目绩效跟踪汇总表》，撰写《2024年北京市市级财政支出半年绩效跟踪报告》，于8月底上报财政部门。对于绩效目标偏离情况及时进行矫正，督促相关单位落实整改。</w:t>
      </w:r>
    </w:p>
    <w:p w14:paraId="1A8D6CA5">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宋体" w:eastAsia="仿宋_GB2312" w:cs="宋体"/>
          <w:color w:val="000000"/>
          <w:kern w:val="0"/>
          <w:sz w:val="32"/>
          <w:szCs w:val="32"/>
        </w:rPr>
        <w:t>3.绩效自评。中心依据《北京市财政局关于开展2024年预算绩效管理相关工作的函》文件要求，在2024年4-5月份，对中心2023年度填报绩效目标的财政项目开展了绩效自评，并将绩效自评材料</w:t>
      </w:r>
      <w:r>
        <w:rPr>
          <w:rFonts w:hint="eastAsia" w:ascii="仿宋_GB2312" w:hAnsi="仿宋_GB2312" w:eastAsia="仿宋_GB2312" w:cs="仿宋_GB2312"/>
          <w:sz w:val="32"/>
          <w:szCs w:val="32"/>
        </w:rPr>
        <w:t>整理汇总后按时上报至财政预算一体化系统。</w:t>
      </w:r>
    </w:p>
    <w:p w14:paraId="69F9F397">
      <w:pPr>
        <w:spacing w:line="360" w:lineRule="auto"/>
        <w:ind w:left="105" w:leftChars="50"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中心按要求按时完成了全年预算绩效管理相关工作，工作开展较为规范、有效，但还存在执行率不高、项目过程管理不够精细等问题。</w:t>
      </w:r>
    </w:p>
    <w:p w14:paraId="0543B319">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14:paraId="6EEE395C">
      <w:pPr>
        <w:spacing w:line="360" w:lineRule="auto"/>
        <w:ind w:left="105" w:leftChars="50" w:firstLine="480" w:firstLineChars="150"/>
        <w:rPr>
          <w:rFonts w:ascii="楷体_GB2312" w:eastAsia="楷体_GB2312"/>
          <w:sz w:val="32"/>
          <w:szCs w:val="32"/>
        </w:rPr>
      </w:pPr>
      <w:r>
        <w:rPr>
          <w:rFonts w:hint="eastAsia" w:ascii="仿宋_GB2312" w:hAnsi="仿宋_GB2312" w:eastAsia="仿宋_GB2312" w:cs="仿宋_GB2312"/>
          <w:sz w:val="32"/>
          <w:szCs w:val="32"/>
        </w:rPr>
        <w:t>2024年末部门预算结转结余总额59,793.31万元，与支出预算数361,864.26万元比，结转结余率为16.52%；2023年末结转结余率为10.40%，2024年度结转结余率比2023年度上升6.12个百分点。</w:t>
      </w:r>
    </w:p>
    <w:p w14:paraId="25AFD0F4">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67C65DE6">
      <w:pPr>
        <w:spacing w:line="360" w:lineRule="auto"/>
        <w:ind w:left="105" w:leftChars="50" w:firstLine="480" w:firstLineChars="150"/>
        <w:rPr>
          <w:rFonts w:ascii="黑体" w:hAnsi="黑体" w:eastAsia="黑体"/>
          <w:sz w:val="32"/>
          <w:szCs w:val="32"/>
        </w:rPr>
      </w:pPr>
      <w:r>
        <w:rPr>
          <w:rFonts w:hint="eastAsia" w:ascii="仿宋_GB2312" w:hAnsi="仿宋_GB2312" w:eastAsia="仿宋_GB2312" w:cs="仿宋_GB2312"/>
          <w:sz w:val="32"/>
          <w:szCs w:val="32"/>
        </w:rPr>
        <w:t>2024年度年初预算数307,365.34万元，2024年度决算数302,070.94万元，预决算差异率-1.72%，低于市级平均差异率28.3%，部门预算的约束力好。</w:t>
      </w:r>
    </w:p>
    <w:p w14:paraId="7C531E06">
      <w:pPr>
        <w:spacing w:line="360" w:lineRule="auto"/>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144565CE">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057B98F4">
      <w:pPr>
        <w:spacing w:line="360" w:lineRule="auto"/>
        <w:ind w:left="105" w:leftChars="50" w:firstLine="480" w:firstLineChars="150"/>
        <w:rPr>
          <w:rFonts w:ascii="楷体_GB2312" w:eastAsia="楷体_GB2312"/>
          <w:sz w:val="32"/>
          <w:szCs w:val="32"/>
        </w:rPr>
      </w:pPr>
      <w:r>
        <w:rPr>
          <w:rFonts w:ascii="仿宋_GB2312" w:hAnsi="仿宋" w:eastAsia="仿宋_GB2312" w:cs="仿宋_GB2312"/>
          <w:sz w:val="32"/>
          <w:szCs w:val="32"/>
        </w:rPr>
        <w:t>根据《部门整体支出绩效评价指标评分表》（详见附件），绩效评价指标评分总分100分，</w:t>
      </w:r>
      <w:r>
        <w:rPr>
          <w:rFonts w:hint="eastAsia" w:ascii="仿宋_GB2312" w:hAnsi="仿宋" w:eastAsia="仿宋_GB2312" w:cs="仿宋_GB2312"/>
          <w:sz w:val="32"/>
          <w:szCs w:val="32"/>
        </w:rPr>
        <w:t>中心</w:t>
      </w:r>
      <w:r>
        <w:rPr>
          <w:rFonts w:ascii="仿宋_GB2312" w:hAnsi="仿宋" w:eastAsia="仿宋_GB2312" w:cs="仿宋_GB2312"/>
          <w:sz w:val="32"/>
          <w:szCs w:val="32"/>
        </w:rPr>
        <w:t>自评得分</w:t>
      </w:r>
      <w:r>
        <w:rPr>
          <w:rFonts w:hint="eastAsia" w:ascii="仿宋_GB2312" w:hAnsi="仿宋" w:eastAsia="仿宋_GB2312" w:cs="仿宋_GB2312"/>
          <w:sz w:val="32"/>
          <w:szCs w:val="32"/>
        </w:rPr>
        <w:t>94.25</w:t>
      </w:r>
      <w:r>
        <w:rPr>
          <w:rFonts w:ascii="仿宋_GB2312" w:hAnsi="仿宋" w:eastAsia="仿宋_GB2312" w:cs="仿宋_GB2312"/>
          <w:sz w:val="32"/>
          <w:szCs w:val="32"/>
        </w:rPr>
        <w:t>分</w:t>
      </w:r>
      <w:r>
        <w:rPr>
          <w:rFonts w:hint="eastAsia" w:ascii="仿宋_GB2312" w:hAnsi="仿宋" w:eastAsia="仿宋_GB2312" w:cs="仿宋_GB2312"/>
          <w:sz w:val="32"/>
          <w:szCs w:val="32"/>
        </w:rPr>
        <w:t>，</w:t>
      </w:r>
      <w:r>
        <w:rPr>
          <w:rFonts w:ascii="仿宋_GB2312" w:hAnsi="仿宋" w:eastAsia="仿宋_GB2312" w:cs="仿宋_GB2312"/>
          <w:sz w:val="32"/>
          <w:szCs w:val="32"/>
        </w:rPr>
        <w:t>综合评价等级为“优”</w:t>
      </w:r>
      <w:r>
        <w:rPr>
          <w:rFonts w:hint="eastAsia" w:ascii="仿宋_GB2312" w:hAnsi="仿宋" w:eastAsia="仿宋_GB2312" w:cs="仿宋_GB2312"/>
          <w:sz w:val="32"/>
          <w:szCs w:val="32"/>
        </w:rPr>
        <w:t>。其中，</w:t>
      </w:r>
      <w:r>
        <w:rPr>
          <w:rFonts w:ascii="仿宋_GB2312" w:hAnsi="仿宋" w:eastAsia="仿宋_GB2312" w:cs="仿宋_GB2312"/>
          <w:sz w:val="32"/>
          <w:szCs w:val="32"/>
        </w:rPr>
        <w:t>当年预算执行情况</w:t>
      </w:r>
      <w:r>
        <w:rPr>
          <w:rFonts w:hint="eastAsia" w:ascii="仿宋_GB2312" w:hAnsi="仿宋" w:eastAsia="仿宋_GB2312" w:cs="仿宋_GB2312"/>
          <w:sz w:val="32"/>
          <w:szCs w:val="32"/>
        </w:rPr>
        <w:t>16.70分、</w:t>
      </w:r>
      <w:r>
        <w:rPr>
          <w:rFonts w:ascii="仿宋_GB2312" w:hAnsi="仿宋" w:eastAsia="仿宋_GB2312" w:cs="仿宋_GB2312"/>
          <w:sz w:val="32"/>
          <w:szCs w:val="32"/>
        </w:rPr>
        <w:t>整体绩效目标实现情况</w:t>
      </w:r>
      <w:r>
        <w:rPr>
          <w:rFonts w:hint="eastAsia" w:ascii="仿宋_GB2312" w:hAnsi="仿宋" w:eastAsia="仿宋_GB2312" w:cs="仿宋_GB2312"/>
          <w:sz w:val="32"/>
          <w:szCs w:val="32"/>
        </w:rPr>
        <w:t>60.00分、</w:t>
      </w:r>
      <w:r>
        <w:rPr>
          <w:rFonts w:ascii="仿宋_GB2312" w:hAnsi="仿宋" w:eastAsia="仿宋_GB2312" w:cs="仿宋_GB2312"/>
          <w:sz w:val="32"/>
          <w:szCs w:val="32"/>
        </w:rPr>
        <w:t>预算管理情况</w:t>
      </w:r>
      <w:r>
        <w:rPr>
          <w:rFonts w:hint="eastAsia" w:ascii="仿宋_GB2312" w:hAnsi="仿宋" w:eastAsia="仿宋_GB2312" w:cs="仿宋_GB2312"/>
          <w:sz w:val="32"/>
          <w:szCs w:val="32"/>
        </w:rPr>
        <w:t>17.55分。</w:t>
      </w:r>
    </w:p>
    <w:p w14:paraId="3C4DA13B">
      <w:pPr>
        <w:spacing w:line="360" w:lineRule="auto"/>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（二）存在的问题及原因分析</w:t>
      </w:r>
    </w:p>
    <w:p w14:paraId="24AFABE3">
      <w:pPr>
        <w:spacing w:line="360" w:lineRule="auto"/>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1.预算执行率不高。中心2024年全年预算数361,864.26万元，资金总体支出302,070.94万元，预算执行率为83.48%。</w:t>
      </w:r>
    </w:p>
    <w:p w14:paraId="2E767183">
      <w:pPr>
        <w:spacing w:line="360" w:lineRule="auto"/>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项目过程管理还不够精细。一是个别项目勘探设计不够深入；二是个别项目缺少消防检测和电力检测的报告作为验收支撑依据，部分项目未及时开展财务决算工作；三是满意度调查工作开展不及时，部分项目满意度问卷发放数量偏少，不够有效支撑游客对项目实施满意程度的真实情况。</w:t>
      </w:r>
    </w:p>
    <w:p w14:paraId="1CB3B7EF">
      <w:pPr>
        <w:spacing w:line="360" w:lineRule="auto"/>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14:paraId="18F2F419">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善预算管理全流程工作。一方面，在预算编制环节，将引导各公园树立绩效意识，做好项目前期规划与论证，结合实际需求科学评估资金成本，指导各单位编制更加合理的预算方案，提升预算编制质量。另一方面，持续推进预算执行工作，加强过程统筹协调，推动项目有序开展、资金合理使用，并通过强化监督管理，确保财政资金使用规范、高效。</w:t>
      </w:r>
    </w:p>
    <w:p w14:paraId="1464D9AA">
      <w:pPr>
        <w:spacing w:line="360" w:lineRule="auto"/>
        <w:ind w:firstLine="640" w:firstLineChars="200"/>
      </w:pPr>
      <w:r>
        <w:rPr>
          <w:rFonts w:hint="eastAsia" w:ascii="仿宋_GB2312" w:hAnsi="宋体" w:eastAsia="仿宋_GB2312" w:cs="宋体"/>
          <w:color w:val="000000"/>
          <w:kern w:val="0"/>
          <w:sz w:val="32"/>
          <w:szCs w:val="32"/>
        </w:rPr>
        <w:t>2.优化项目过程管理。一是夯实前期工作基础，扎实开展勘察与设计工作，进一步强化方案审核与论证；二是加强验收管理，将涉及消防、电力检测等专业内容的纳入项目验收条件，加快开展工程类项目财务决算工作；三是及时开展满意度调查，科学设计调查问卷，结合游客及服务对象的类型科学设置调查样本数量，为项目满意度实现情况和项目优化管理做好数据和信息支撑。</w:t>
      </w:r>
    </w:p>
    <w:p w14:paraId="2208450E">
      <w:pPr>
        <w:pStyle w:val="9"/>
      </w:pPr>
    </w:p>
    <w:p w14:paraId="6D25A985"/>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79BD8">
    <w:pPr>
      <w:pStyle w:val="6"/>
      <w:jc w:val="right"/>
      <w:rPr>
        <w:rFonts w:ascii="宋体" w:hAnsi="宋体"/>
        <w:sz w:val="28"/>
        <w:szCs w:val="28"/>
      </w:rPr>
    </w:pPr>
    <w:r>
      <w:rPr>
        <w:sz w:val="28"/>
      </w:rPr>
      <w:pict>
        <v:shape id="_x0000_s1026" o:spid="_x0000_s1026" o:spt="202" type="#_x0000_t202" style="position:absolute;left:0pt;margin-left:199.3pt;margin-top:6pt;height:10.35pt;width:20.3pt;mso-position-horizontal-relative:margin;z-index:251659264;mso-width-relative:page;mso-height-relative:page;" filled="f" stroked="f" coordsize="21600,21600" o:gfxdata="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m2Yw9cAAAAJAQAADwAAAAAAAAABACAAAAAiAAAAZHJzL2Rvd25y&#10;ZXYueG1sUEsBAhQAFAAAAAgAh07iQJB8H544AgAAYQQAAA4AAAAAAAAAAQAgAAAAJgEAAGRycy9l&#10;Mm9Eb2MueG1sUEsFBgAAAAAGAAYAWQEAANAFAAAAAA==&#10;">
          <v:path/>
          <v:fill on="f" focussize="0,0"/>
          <v:stroke on="f" weight="0.5pt" joinstyle="miter"/>
          <v:imagedata o:title=""/>
          <o:lock v:ext="edit"/>
          <v:textbox inset="0mm,0mm,0mm,0mm">
            <w:txbxContent>
              <w:p w14:paraId="5566D0FB">
                <w:pPr>
                  <w:pStyle w:val="6"/>
                  <w:rPr>
                    <w:rFonts w:ascii="宋体" w:hAnsi="宋体" w:cs="宋体"/>
                    <w:sz w:val="28"/>
                    <w:szCs w:val="28"/>
                  </w:rPr>
                </w:pPr>
                <w:r>
                  <w:rPr>
                    <w:rFonts w:hint="eastAsia" w:ascii="宋体" w:hAnsi="宋体" w:cs="宋体"/>
                    <w:szCs w:val="18"/>
                  </w:rPr>
                  <w:fldChar w:fldCharType="begin"/>
                </w:r>
                <w:r>
                  <w:rPr>
                    <w:rFonts w:hint="eastAsia" w:ascii="宋体" w:hAnsi="宋体" w:cs="宋体"/>
                    <w:szCs w:val="18"/>
                  </w:rPr>
                  <w:instrText xml:space="preserve"> PAGE  \* MERGEFORMAT </w:instrText>
                </w:r>
                <w:r>
                  <w:rPr>
                    <w:rFonts w:hint="eastAsia" w:ascii="宋体" w:hAnsi="宋体" w:cs="宋体"/>
                    <w:szCs w:val="18"/>
                  </w:rPr>
                  <w:fldChar w:fldCharType="separate"/>
                </w:r>
                <w:r>
                  <w:rPr>
                    <w:rFonts w:ascii="宋体" w:hAnsi="宋体" w:cs="宋体"/>
                    <w:szCs w:val="18"/>
                  </w:rPr>
                  <w:t>9</w:t>
                </w:r>
                <w:r>
                  <w:rPr>
                    <w:rFonts w:hint="eastAsia" w:ascii="宋体" w:hAnsi="宋体" w:cs="宋体"/>
                    <w:szCs w:val="18"/>
                  </w:rPr>
                  <w:fldChar w:fldCharType="end"/>
                </w:r>
              </w:p>
            </w:txbxContent>
          </v:textbox>
        </v:shape>
      </w:pict>
    </w:r>
  </w:p>
  <w:p w14:paraId="40D8B0BC">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799219A">
      <w:pPr>
        <w:pStyle w:val="8"/>
      </w:pPr>
      <w:r>
        <w:rPr>
          <w:rStyle w:val="15"/>
        </w:rPr>
        <w:footnoteRef/>
      </w:r>
      <w:r>
        <w:t xml:space="preserve"> </w:t>
      </w:r>
      <w:r>
        <w:rPr>
          <w:rFonts w:hint="eastAsia"/>
        </w:rPr>
        <w:t>公用经费控制率=（实际支出公用经费总额/预算安排公用经费总额）×100%。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C3386B"/>
    <w:multiLevelType w:val="singleLevel"/>
    <w:tmpl w:val="7DC3386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2"/>
    <w:footnote w:id="3"/>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E4E7A"/>
    <w:rsid w:val="00046CA0"/>
    <w:rsid w:val="00137C3F"/>
    <w:rsid w:val="001416E9"/>
    <w:rsid w:val="001F2F1E"/>
    <w:rsid w:val="00292AFB"/>
    <w:rsid w:val="002F4A24"/>
    <w:rsid w:val="00312025"/>
    <w:rsid w:val="00514630"/>
    <w:rsid w:val="00565EAF"/>
    <w:rsid w:val="005E4E7A"/>
    <w:rsid w:val="00614E8A"/>
    <w:rsid w:val="00684683"/>
    <w:rsid w:val="00686139"/>
    <w:rsid w:val="006A1489"/>
    <w:rsid w:val="0072354B"/>
    <w:rsid w:val="007A71A0"/>
    <w:rsid w:val="00830AC8"/>
    <w:rsid w:val="00894664"/>
    <w:rsid w:val="009006D4"/>
    <w:rsid w:val="009B479B"/>
    <w:rsid w:val="009F08CF"/>
    <w:rsid w:val="00B100F3"/>
    <w:rsid w:val="00B21A69"/>
    <w:rsid w:val="00BB4F29"/>
    <w:rsid w:val="00C13A05"/>
    <w:rsid w:val="00C344C1"/>
    <w:rsid w:val="00D42A11"/>
    <w:rsid w:val="00DA708E"/>
    <w:rsid w:val="00E72431"/>
    <w:rsid w:val="00EA40E8"/>
    <w:rsid w:val="00F211D4"/>
    <w:rsid w:val="00F939FF"/>
    <w:rsid w:val="00FB051F"/>
    <w:rsid w:val="01256ED3"/>
    <w:rsid w:val="01F1594A"/>
    <w:rsid w:val="02401837"/>
    <w:rsid w:val="048B3E34"/>
    <w:rsid w:val="04D67E7E"/>
    <w:rsid w:val="051F317F"/>
    <w:rsid w:val="05536C61"/>
    <w:rsid w:val="056B1A3F"/>
    <w:rsid w:val="05CC1EA9"/>
    <w:rsid w:val="05CD71D9"/>
    <w:rsid w:val="05F759DF"/>
    <w:rsid w:val="05FC4363"/>
    <w:rsid w:val="062F5D3D"/>
    <w:rsid w:val="067D404F"/>
    <w:rsid w:val="06D57890"/>
    <w:rsid w:val="0738579D"/>
    <w:rsid w:val="0765280B"/>
    <w:rsid w:val="07941252"/>
    <w:rsid w:val="07B957A1"/>
    <w:rsid w:val="07BA233A"/>
    <w:rsid w:val="07BC2556"/>
    <w:rsid w:val="087D5787"/>
    <w:rsid w:val="093365DA"/>
    <w:rsid w:val="09696B68"/>
    <w:rsid w:val="09AE3B2F"/>
    <w:rsid w:val="09DA2DEB"/>
    <w:rsid w:val="0A28031C"/>
    <w:rsid w:val="0B270DBE"/>
    <w:rsid w:val="0B352404"/>
    <w:rsid w:val="0B41349E"/>
    <w:rsid w:val="0B662F05"/>
    <w:rsid w:val="0BB441D8"/>
    <w:rsid w:val="0BC814CA"/>
    <w:rsid w:val="0BCD0ADF"/>
    <w:rsid w:val="0C006B53"/>
    <w:rsid w:val="0C126455"/>
    <w:rsid w:val="0C3A5636"/>
    <w:rsid w:val="0DCB63EB"/>
    <w:rsid w:val="0E457EB9"/>
    <w:rsid w:val="0E470144"/>
    <w:rsid w:val="0E4C3804"/>
    <w:rsid w:val="0F452635"/>
    <w:rsid w:val="0F9B4916"/>
    <w:rsid w:val="10F7199A"/>
    <w:rsid w:val="1109680C"/>
    <w:rsid w:val="116E2B13"/>
    <w:rsid w:val="116E48C1"/>
    <w:rsid w:val="11B02312"/>
    <w:rsid w:val="121A4411"/>
    <w:rsid w:val="12316AE7"/>
    <w:rsid w:val="12681311"/>
    <w:rsid w:val="12DE23BD"/>
    <w:rsid w:val="12F75A93"/>
    <w:rsid w:val="133C2DBC"/>
    <w:rsid w:val="13F15336"/>
    <w:rsid w:val="13F61681"/>
    <w:rsid w:val="142B031F"/>
    <w:rsid w:val="14DB04C0"/>
    <w:rsid w:val="15B31247"/>
    <w:rsid w:val="15D41DEF"/>
    <w:rsid w:val="171657DF"/>
    <w:rsid w:val="171B4DA0"/>
    <w:rsid w:val="176F6C95"/>
    <w:rsid w:val="17F2365A"/>
    <w:rsid w:val="18162FC9"/>
    <w:rsid w:val="1888270D"/>
    <w:rsid w:val="188C44CE"/>
    <w:rsid w:val="18EB2C9C"/>
    <w:rsid w:val="196F567B"/>
    <w:rsid w:val="19851E23"/>
    <w:rsid w:val="19A1335A"/>
    <w:rsid w:val="19BC0DEB"/>
    <w:rsid w:val="1A971D02"/>
    <w:rsid w:val="1B5E6D62"/>
    <w:rsid w:val="1BFB4FA4"/>
    <w:rsid w:val="1C80194D"/>
    <w:rsid w:val="1CB02232"/>
    <w:rsid w:val="1DBC4C07"/>
    <w:rsid w:val="1E5D1F46"/>
    <w:rsid w:val="1F1B2119"/>
    <w:rsid w:val="2040365D"/>
    <w:rsid w:val="20592BE1"/>
    <w:rsid w:val="20F142F4"/>
    <w:rsid w:val="21B207FA"/>
    <w:rsid w:val="21B77BBF"/>
    <w:rsid w:val="22562F4E"/>
    <w:rsid w:val="22873A35"/>
    <w:rsid w:val="22F95FB5"/>
    <w:rsid w:val="22FD7853"/>
    <w:rsid w:val="2301525B"/>
    <w:rsid w:val="23BC14BC"/>
    <w:rsid w:val="24AB547E"/>
    <w:rsid w:val="24C2731C"/>
    <w:rsid w:val="24FD17AF"/>
    <w:rsid w:val="254E25E8"/>
    <w:rsid w:val="257F3ED7"/>
    <w:rsid w:val="259D3570"/>
    <w:rsid w:val="25BF5294"/>
    <w:rsid w:val="25C65F2D"/>
    <w:rsid w:val="25DC5E46"/>
    <w:rsid w:val="2609257A"/>
    <w:rsid w:val="26766681"/>
    <w:rsid w:val="27291F80"/>
    <w:rsid w:val="273C7561"/>
    <w:rsid w:val="275611F6"/>
    <w:rsid w:val="277B343D"/>
    <w:rsid w:val="29CB3010"/>
    <w:rsid w:val="2A092F82"/>
    <w:rsid w:val="2A7523C5"/>
    <w:rsid w:val="2A825BE8"/>
    <w:rsid w:val="2AAD417B"/>
    <w:rsid w:val="2B1E480B"/>
    <w:rsid w:val="2BA84CF2"/>
    <w:rsid w:val="2BAF3823"/>
    <w:rsid w:val="2C6F10FC"/>
    <w:rsid w:val="2D9D22B1"/>
    <w:rsid w:val="2E2C76A5"/>
    <w:rsid w:val="2EB23BE8"/>
    <w:rsid w:val="2F6824F8"/>
    <w:rsid w:val="2F972DDE"/>
    <w:rsid w:val="2FA565FA"/>
    <w:rsid w:val="2FB7273C"/>
    <w:rsid w:val="2FB76FDC"/>
    <w:rsid w:val="2FF21E67"/>
    <w:rsid w:val="30206DAF"/>
    <w:rsid w:val="306F78B6"/>
    <w:rsid w:val="30AF63CE"/>
    <w:rsid w:val="30B81E0B"/>
    <w:rsid w:val="30DC13F0"/>
    <w:rsid w:val="30E91417"/>
    <w:rsid w:val="3127222F"/>
    <w:rsid w:val="31871B33"/>
    <w:rsid w:val="324C30E6"/>
    <w:rsid w:val="32545F7F"/>
    <w:rsid w:val="3329631B"/>
    <w:rsid w:val="332D7CE1"/>
    <w:rsid w:val="33382D02"/>
    <w:rsid w:val="33400A60"/>
    <w:rsid w:val="334C3CF9"/>
    <w:rsid w:val="33A25622"/>
    <w:rsid w:val="33B57CD6"/>
    <w:rsid w:val="34321327"/>
    <w:rsid w:val="345D2848"/>
    <w:rsid w:val="351A4295"/>
    <w:rsid w:val="353510CF"/>
    <w:rsid w:val="35417A73"/>
    <w:rsid w:val="354E1EC7"/>
    <w:rsid w:val="35D13059"/>
    <w:rsid w:val="35D573D7"/>
    <w:rsid w:val="366A4DA8"/>
    <w:rsid w:val="36783969"/>
    <w:rsid w:val="375021F0"/>
    <w:rsid w:val="37677539"/>
    <w:rsid w:val="37743D82"/>
    <w:rsid w:val="37BC7E4B"/>
    <w:rsid w:val="37EE37B7"/>
    <w:rsid w:val="38327B47"/>
    <w:rsid w:val="383E029A"/>
    <w:rsid w:val="385B52F0"/>
    <w:rsid w:val="38804D57"/>
    <w:rsid w:val="3A3951BD"/>
    <w:rsid w:val="3A856654"/>
    <w:rsid w:val="3B970A2D"/>
    <w:rsid w:val="3B9B44AD"/>
    <w:rsid w:val="3C296708"/>
    <w:rsid w:val="3C2F2BC7"/>
    <w:rsid w:val="3C9E65FB"/>
    <w:rsid w:val="3CA97838"/>
    <w:rsid w:val="3CC03974"/>
    <w:rsid w:val="3D8F2E1F"/>
    <w:rsid w:val="3DFB3B0D"/>
    <w:rsid w:val="3E5A7DF8"/>
    <w:rsid w:val="3E6E0F77"/>
    <w:rsid w:val="3EBA2645"/>
    <w:rsid w:val="3EC51715"/>
    <w:rsid w:val="3ECF60F0"/>
    <w:rsid w:val="3F47212A"/>
    <w:rsid w:val="3FC57AE4"/>
    <w:rsid w:val="3FC7326B"/>
    <w:rsid w:val="402A2174"/>
    <w:rsid w:val="40C84A49"/>
    <w:rsid w:val="40F260C6"/>
    <w:rsid w:val="42331E9A"/>
    <w:rsid w:val="42BC698B"/>
    <w:rsid w:val="430A1DED"/>
    <w:rsid w:val="430E3859"/>
    <w:rsid w:val="432B58BF"/>
    <w:rsid w:val="4390651C"/>
    <w:rsid w:val="43C83EB2"/>
    <w:rsid w:val="43E90552"/>
    <w:rsid w:val="443F7874"/>
    <w:rsid w:val="44426D50"/>
    <w:rsid w:val="444A0A2C"/>
    <w:rsid w:val="446E3B73"/>
    <w:rsid w:val="45323B58"/>
    <w:rsid w:val="45CF69D6"/>
    <w:rsid w:val="45EC7588"/>
    <w:rsid w:val="460A3EB2"/>
    <w:rsid w:val="46345E62"/>
    <w:rsid w:val="464E1FF0"/>
    <w:rsid w:val="469D321D"/>
    <w:rsid w:val="46A81102"/>
    <w:rsid w:val="46B16E9F"/>
    <w:rsid w:val="472B5964"/>
    <w:rsid w:val="4746716B"/>
    <w:rsid w:val="47D91D8D"/>
    <w:rsid w:val="47EA6F73"/>
    <w:rsid w:val="494816FA"/>
    <w:rsid w:val="49494D73"/>
    <w:rsid w:val="49787384"/>
    <w:rsid w:val="49E342FA"/>
    <w:rsid w:val="4A037596"/>
    <w:rsid w:val="4A34774F"/>
    <w:rsid w:val="4A413C1A"/>
    <w:rsid w:val="4A7478AD"/>
    <w:rsid w:val="4A8978D5"/>
    <w:rsid w:val="4AC66136"/>
    <w:rsid w:val="4AF13892"/>
    <w:rsid w:val="4B6C67EC"/>
    <w:rsid w:val="4B9C6C85"/>
    <w:rsid w:val="4C0F7D2C"/>
    <w:rsid w:val="4C285E4C"/>
    <w:rsid w:val="4CC0176E"/>
    <w:rsid w:val="4D0A2A10"/>
    <w:rsid w:val="4D104150"/>
    <w:rsid w:val="4D340979"/>
    <w:rsid w:val="4D4D3C7B"/>
    <w:rsid w:val="4D6640C3"/>
    <w:rsid w:val="4D9478EE"/>
    <w:rsid w:val="4D970721"/>
    <w:rsid w:val="4EDB5CCA"/>
    <w:rsid w:val="4EEE4370"/>
    <w:rsid w:val="4F0C2A48"/>
    <w:rsid w:val="4FF81A49"/>
    <w:rsid w:val="50236940"/>
    <w:rsid w:val="50306A1A"/>
    <w:rsid w:val="50746AF7"/>
    <w:rsid w:val="507B60D8"/>
    <w:rsid w:val="511D718F"/>
    <w:rsid w:val="51581F75"/>
    <w:rsid w:val="519C7F3A"/>
    <w:rsid w:val="51FF0643"/>
    <w:rsid w:val="529A65BD"/>
    <w:rsid w:val="52C5363A"/>
    <w:rsid w:val="52D60D2E"/>
    <w:rsid w:val="52F74411"/>
    <w:rsid w:val="532A5B93"/>
    <w:rsid w:val="53C863F2"/>
    <w:rsid w:val="53DD7F3E"/>
    <w:rsid w:val="540A749A"/>
    <w:rsid w:val="54660E4D"/>
    <w:rsid w:val="55306D65"/>
    <w:rsid w:val="55367AFA"/>
    <w:rsid w:val="556D1D67"/>
    <w:rsid w:val="558F46A6"/>
    <w:rsid w:val="55B06D79"/>
    <w:rsid w:val="55DF3AE0"/>
    <w:rsid w:val="56036A64"/>
    <w:rsid w:val="562C1C22"/>
    <w:rsid w:val="56690780"/>
    <w:rsid w:val="568D5E2D"/>
    <w:rsid w:val="56C8194B"/>
    <w:rsid w:val="56DF6C95"/>
    <w:rsid w:val="577D5339"/>
    <w:rsid w:val="57FF79A1"/>
    <w:rsid w:val="586E26A5"/>
    <w:rsid w:val="587832AB"/>
    <w:rsid w:val="58937D37"/>
    <w:rsid w:val="58BA1767"/>
    <w:rsid w:val="58D75E75"/>
    <w:rsid w:val="591F6673"/>
    <w:rsid w:val="59240D93"/>
    <w:rsid w:val="59C04B5B"/>
    <w:rsid w:val="5A4C3C35"/>
    <w:rsid w:val="5A6C083F"/>
    <w:rsid w:val="5ABA3046"/>
    <w:rsid w:val="5B4B48F9"/>
    <w:rsid w:val="5B6F6839"/>
    <w:rsid w:val="5C9E4C4F"/>
    <w:rsid w:val="5D222004"/>
    <w:rsid w:val="5D431D2B"/>
    <w:rsid w:val="5DB93D9B"/>
    <w:rsid w:val="5E14191A"/>
    <w:rsid w:val="5EF37781"/>
    <w:rsid w:val="5EF57055"/>
    <w:rsid w:val="5F864F12"/>
    <w:rsid w:val="5FC03B07"/>
    <w:rsid w:val="6065020A"/>
    <w:rsid w:val="60A3109B"/>
    <w:rsid w:val="60DD7A49"/>
    <w:rsid w:val="616D55C9"/>
    <w:rsid w:val="61D14A80"/>
    <w:rsid w:val="62635401"/>
    <w:rsid w:val="62B96FE1"/>
    <w:rsid w:val="630171E2"/>
    <w:rsid w:val="6357229A"/>
    <w:rsid w:val="635B2C28"/>
    <w:rsid w:val="636B5B38"/>
    <w:rsid w:val="63FE69AC"/>
    <w:rsid w:val="645658F2"/>
    <w:rsid w:val="65044496"/>
    <w:rsid w:val="652F2EC5"/>
    <w:rsid w:val="65772E14"/>
    <w:rsid w:val="658434B9"/>
    <w:rsid w:val="66106E6A"/>
    <w:rsid w:val="66E55C01"/>
    <w:rsid w:val="683C5FF0"/>
    <w:rsid w:val="685B7EC7"/>
    <w:rsid w:val="693D306B"/>
    <w:rsid w:val="69674FF3"/>
    <w:rsid w:val="6A247258"/>
    <w:rsid w:val="6A9A6D03"/>
    <w:rsid w:val="6ADC265A"/>
    <w:rsid w:val="6AFA53FF"/>
    <w:rsid w:val="6C097497"/>
    <w:rsid w:val="6C454E0D"/>
    <w:rsid w:val="6D011D2A"/>
    <w:rsid w:val="6D2D20B0"/>
    <w:rsid w:val="6D3E091B"/>
    <w:rsid w:val="6DC71254"/>
    <w:rsid w:val="6DF8412D"/>
    <w:rsid w:val="6E22773B"/>
    <w:rsid w:val="6E6733A0"/>
    <w:rsid w:val="6E70494A"/>
    <w:rsid w:val="6F1302E4"/>
    <w:rsid w:val="6F2C04FD"/>
    <w:rsid w:val="700D2C26"/>
    <w:rsid w:val="704F732A"/>
    <w:rsid w:val="705B5186"/>
    <w:rsid w:val="707B0060"/>
    <w:rsid w:val="70967F6C"/>
    <w:rsid w:val="710C51BB"/>
    <w:rsid w:val="71104836"/>
    <w:rsid w:val="71732317"/>
    <w:rsid w:val="719E1F2B"/>
    <w:rsid w:val="71E73175"/>
    <w:rsid w:val="721002ED"/>
    <w:rsid w:val="7235208F"/>
    <w:rsid w:val="7255219C"/>
    <w:rsid w:val="72651778"/>
    <w:rsid w:val="72725514"/>
    <w:rsid w:val="729B7ABC"/>
    <w:rsid w:val="739B4217"/>
    <w:rsid w:val="73B22986"/>
    <w:rsid w:val="741E6BF6"/>
    <w:rsid w:val="747800B5"/>
    <w:rsid w:val="74E961F9"/>
    <w:rsid w:val="75BD69C7"/>
    <w:rsid w:val="75D40762"/>
    <w:rsid w:val="76090462"/>
    <w:rsid w:val="762D5809"/>
    <w:rsid w:val="777205DA"/>
    <w:rsid w:val="77BC32BD"/>
    <w:rsid w:val="78485FE7"/>
    <w:rsid w:val="785957DE"/>
    <w:rsid w:val="78D30211"/>
    <w:rsid w:val="78E52F6B"/>
    <w:rsid w:val="7A6D4434"/>
    <w:rsid w:val="7AA744B0"/>
    <w:rsid w:val="7ACC2F08"/>
    <w:rsid w:val="7AD905CE"/>
    <w:rsid w:val="7AF1296F"/>
    <w:rsid w:val="7AFC5EAB"/>
    <w:rsid w:val="7B7517F2"/>
    <w:rsid w:val="7BF73FB5"/>
    <w:rsid w:val="7C695F0D"/>
    <w:rsid w:val="7C9636F5"/>
    <w:rsid w:val="7CB67568"/>
    <w:rsid w:val="7CF46746"/>
    <w:rsid w:val="7EC363D0"/>
    <w:rsid w:val="7F063A6B"/>
    <w:rsid w:val="7F3F4DED"/>
    <w:rsid w:val="7FCC69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link w:val="18"/>
    <w:unhideWhenUsed/>
    <w:qFormat/>
    <w:uiPriority w:val="0"/>
    <w:pPr>
      <w:jc w:val="left"/>
    </w:pPr>
  </w:style>
  <w:style w:type="paragraph" w:styleId="4">
    <w:name w:val="Body Text Indent"/>
    <w:basedOn w:val="1"/>
    <w:next w:val="1"/>
    <w:semiHidden/>
    <w:unhideWhenUsed/>
    <w:qFormat/>
    <w:uiPriority w:val="99"/>
    <w:pPr>
      <w:spacing w:after="120"/>
      <w:ind w:left="420" w:leftChars="200"/>
    </w:pPr>
  </w:style>
  <w:style w:type="paragraph" w:styleId="5">
    <w:name w:val="Balloon Text"/>
    <w:basedOn w:val="1"/>
    <w:link w:val="20"/>
    <w:semiHidden/>
    <w:unhideWhenUsed/>
    <w:qFormat/>
    <w:uiPriority w:val="99"/>
    <w:rPr>
      <w:sz w:val="18"/>
      <w:szCs w:val="18"/>
    </w:rPr>
  </w:style>
  <w:style w:type="paragraph" w:styleId="6">
    <w:name w:val="footer"/>
    <w:basedOn w:val="1"/>
    <w:link w:val="16"/>
    <w:qFormat/>
    <w:uiPriority w:val="99"/>
    <w:pPr>
      <w:tabs>
        <w:tab w:val="center" w:pos="4153"/>
        <w:tab w:val="right" w:pos="8306"/>
      </w:tabs>
      <w:snapToGrid w:val="0"/>
      <w:jc w:val="left"/>
    </w:pPr>
    <w:rPr>
      <w:sz w:val="18"/>
      <w:szCs w:val="20"/>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paragraph" w:styleId="9">
    <w:name w:val="Title"/>
    <w:basedOn w:val="1"/>
    <w:next w:val="4"/>
    <w:qFormat/>
    <w:uiPriority w:val="0"/>
    <w:pPr>
      <w:spacing w:before="240" w:after="60"/>
      <w:jc w:val="center"/>
      <w:outlineLvl w:val="0"/>
    </w:pPr>
    <w:rPr>
      <w:rFonts w:ascii="Cambria" w:hAnsi="Cambria"/>
      <w:b/>
      <w:bCs/>
      <w:sz w:val="32"/>
      <w:szCs w:val="32"/>
    </w:rPr>
  </w:style>
  <w:style w:type="paragraph" w:styleId="10">
    <w:name w:val="annotation subject"/>
    <w:basedOn w:val="3"/>
    <w:next w:val="3"/>
    <w:link w:val="19"/>
    <w:semiHidden/>
    <w:unhideWhenUsed/>
    <w:qFormat/>
    <w:uiPriority w:val="99"/>
    <w:rPr>
      <w:b/>
      <w:bCs/>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annotation reference"/>
    <w:basedOn w:val="13"/>
    <w:semiHidden/>
    <w:unhideWhenUsed/>
    <w:qFormat/>
    <w:uiPriority w:val="0"/>
    <w:rPr>
      <w:sz w:val="21"/>
      <w:szCs w:val="21"/>
    </w:rPr>
  </w:style>
  <w:style w:type="character" w:styleId="15">
    <w:name w:val="footnote reference"/>
    <w:basedOn w:val="13"/>
    <w:semiHidden/>
    <w:unhideWhenUsed/>
    <w:qFormat/>
    <w:uiPriority w:val="99"/>
    <w:rPr>
      <w:vertAlign w:val="superscript"/>
    </w:rPr>
  </w:style>
  <w:style w:type="character" w:customStyle="1" w:styleId="16">
    <w:name w:val="页脚 Char"/>
    <w:basedOn w:val="13"/>
    <w:link w:val="6"/>
    <w:qFormat/>
    <w:uiPriority w:val="99"/>
    <w:rPr>
      <w:rFonts w:ascii="Times New Roman" w:hAnsi="Times New Roman" w:eastAsia="宋体" w:cs="Times New Roman"/>
      <w:sz w:val="18"/>
      <w:szCs w:val="20"/>
    </w:rPr>
  </w:style>
  <w:style w:type="character" w:customStyle="1" w:styleId="17">
    <w:name w:val="页眉 Char"/>
    <w:basedOn w:val="13"/>
    <w:link w:val="7"/>
    <w:qFormat/>
    <w:uiPriority w:val="99"/>
    <w:rPr>
      <w:rFonts w:ascii="Times New Roman" w:hAnsi="Times New Roman" w:eastAsia="宋体" w:cs="Times New Roman"/>
      <w:sz w:val="18"/>
      <w:szCs w:val="18"/>
    </w:rPr>
  </w:style>
  <w:style w:type="character" w:customStyle="1" w:styleId="18">
    <w:name w:val="批注文字 Char1"/>
    <w:basedOn w:val="13"/>
    <w:link w:val="3"/>
    <w:semiHidden/>
    <w:qFormat/>
    <w:uiPriority w:val="99"/>
    <w:rPr>
      <w:rFonts w:ascii="Times New Roman" w:hAnsi="Times New Roman" w:eastAsia="宋体" w:cs="Times New Roman"/>
      <w:szCs w:val="24"/>
    </w:rPr>
  </w:style>
  <w:style w:type="character" w:customStyle="1" w:styleId="19">
    <w:name w:val="批注主题 Char"/>
    <w:basedOn w:val="18"/>
    <w:link w:val="10"/>
    <w:semiHidden/>
    <w:qFormat/>
    <w:uiPriority w:val="99"/>
    <w:rPr>
      <w:rFonts w:ascii="Times New Roman" w:hAnsi="Times New Roman" w:eastAsia="宋体" w:cs="Times New Roman"/>
      <w:b/>
      <w:bCs/>
      <w:szCs w:val="24"/>
    </w:rPr>
  </w:style>
  <w:style w:type="character" w:customStyle="1" w:styleId="20">
    <w:name w:val="批注框文本 Char"/>
    <w:basedOn w:val="13"/>
    <w:link w:val="5"/>
    <w:semiHidden/>
    <w:qFormat/>
    <w:uiPriority w:val="99"/>
    <w:rPr>
      <w:rFonts w:ascii="Times New Roman" w:hAnsi="Times New Roman" w:eastAsia="宋体" w:cs="Times New Roman"/>
      <w:sz w:val="18"/>
      <w:szCs w:val="18"/>
    </w:rPr>
  </w:style>
  <w:style w:type="character" w:customStyle="1" w:styleId="21">
    <w:name w:val="批注文字 Char"/>
    <w:qFormat/>
    <w:uiPriority w:val="0"/>
    <w:rPr>
      <w:rFonts w:eastAsia="仿宋_GB2312"/>
      <w:kern w:val="2"/>
      <w:sz w:val="30"/>
      <w:szCs w:val="24"/>
    </w:rPr>
  </w:style>
  <w:style w:type="character" w:customStyle="1" w:styleId="22">
    <w:name w:val="font3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3431</Words>
  <Characters>3538</Characters>
  <Lines>78</Lines>
  <Paragraphs>21</Paragraphs>
  <TotalTime>231</TotalTime>
  <ScaleCrop>false</ScaleCrop>
  <LinksUpToDate>false</LinksUpToDate>
  <CharactersWithSpaces>3548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2022-04-15T07:49:00Z</dcterms:created>
  <dc:creator>Administrator</dc:creator>
  <cp:lastModifiedBy>lenovo</cp:lastModifiedBy>
  <cp:lastPrinted>2025-05-14T04:14:00Z</cp:lastPrinted>
  <dcterms:modified xsi:type="dcterms:W3CDTF">2025-08-26T09:22:07Z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eyJoZGlkIjoiNjhkN2RhYzUxZjdkNjVhYTQ0MjgwMjliNmZiODBlMWUifQ==</vt:lpwstr>
  </property>
  <property fmtid="{D5CDD505-2E9C-101B-9397-08002B2CF9AE}" pid="3" name="KSOProductBuildVer">
    <vt:lpwstr>2052-12.1.0.22089</vt:lpwstr>
  </property>
  <property fmtid="{D5CDD505-2E9C-101B-9397-08002B2CF9AE}" pid="4" name="ICV">
    <vt:lpwstr>88F04982EEB64FFAB9D3B7350FE2F970_12</vt:lpwstr>
  </property>
</Properties>
</file>