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32C4A6">
      <w:pPr>
        <w:adjustRightInd w:val="0"/>
        <w:snapToGrid w:val="0"/>
        <w:spacing w:line="360" w:lineRule="auto"/>
        <w:jc w:val="center"/>
        <w:rPr>
          <w:rFonts w:eastAsia="黑体"/>
          <w:b/>
          <w:sz w:val="52"/>
          <w:szCs w:val="52"/>
          <w:lang w:val="zh-CN"/>
        </w:rPr>
      </w:pPr>
    </w:p>
    <w:p w14:paraId="1DE5C6EC">
      <w:pPr>
        <w:adjustRightInd w:val="0"/>
        <w:snapToGrid w:val="0"/>
        <w:spacing w:line="360" w:lineRule="auto"/>
        <w:jc w:val="center"/>
        <w:rPr>
          <w:rFonts w:eastAsia="黑体"/>
          <w:b/>
          <w:sz w:val="52"/>
          <w:szCs w:val="52"/>
          <w:lang w:val="zh-CN"/>
        </w:rPr>
      </w:pPr>
    </w:p>
    <w:p w14:paraId="3758EB44">
      <w:pPr>
        <w:pStyle w:val="13"/>
        <w:rPr>
          <w:rFonts w:ascii="Times New Roman" w:hAnsi="Times New Roman" w:eastAsia="黑体" w:cs="Times New Roman"/>
          <w:b/>
          <w:sz w:val="52"/>
          <w:szCs w:val="52"/>
          <w:lang w:val="zh-CN"/>
        </w:rPr>
      </w:pPr>
    </w:p>
    <w:p w14:paraId="54063DD2">
      <w:pPr>
        <w:pStyle w:val="13"/>
        <w:rPr>
          <w:rFonts w:ascii="Times New Roman" w:hAnsi="Times New Roman" w:eastAsia="黑体" w:cs="Times New Roman"/>
          <w:b/>
          <w:sz w:val="52"/>
          <w:szCs w:val="52"/>
          <w:lang w:val="zh-CN"/>
        </w:rPr>
      </w:pPr>
    </w:p>
    <w:p w14:paraId="723869D8">
      <w:pPr>
        <w:pStyle w:val="13"/>
        <w:rPr>
          <w:rFonts w:ascii="Times New Roman" w:hAnsi="Times New Roman" w:eastAsia="黑体" w:cs="Times New Roman"/>
          <w:b/>
          <w:sz w:val="52"/>
          <w:szCs w:val="52"/>
          <w:lang w:val="zh-CN"/>
        </w:rPr>
      </w:pPr>
    </w:p>
    <w:p w14:paraId="2C5B6C01">
      <w:pPr>
        <w:adjustRightInd w:val="0"/>
        <w:snapToGrid w:val="0"/>
        <w:spacing w:line="360" w:lineRule="auto"/>
        <w:jc w:val="center"/>
        <w:rPr>
          <w:rFonts w:eastAsia="黑体"/>
          <w:b/>
          <w:sz w:val="52"/>
          <w:szCs w:val="52"/>
          <w:lang w:val="zh-CN"/>
        </w:rPr>
      </w:pPr>
      <w:r>
        <w:rPr>
          <w:rFonts w:hint="eastAsia" w:eastAsia="黑体"/>
          <w:b/>
          <w:sz w:val="52"/>
          <w:szCs w:val="52"/>
          <w:lang w:val="zh-CN"/>
        </w:rPr>
        <w:t>202</w:t>
      </w:r>
      <w:r>
        <w:rPr>
          <w:rFonts w:hint="eastAsia" w:eastAsia="黑体"/>
          <w:b/>
          <w:sz w:val="52"/>
          <w:szCs w:val="52"/>
        </w:rPr>
        <w:t>4</w:t>
      </w:r>
      <w:r>
        <w:rPr>
          <w:rFonts w:hint="eastAsia" w:eastAsia="黑体"/>
          <w:b/>
          <w:sz w:val="52"/>
          <w:szCs w:val="52"/>
          <w:lang w:val="zh-CN"/>
        </w:rPr>
        <w:t>年度部门整体绩效</w:t>
      </w:r>
      <w:r>
        <w:rPr>
          <w:rFonts w:hint="eastAsia" w:eastAsia="黑体"/>
          <w:b/>
          <w:sz w:val="52"/>
          <w:szCs w:val="52"/>
        </w:rPr>
        <w:t>评价</w:t>
      </w:r>
      <w:r>
        <w:rPr>
          <w:rFonts w:hint="eastAsia" w:eastAsia="黑体"/>
          <w:b/>
          <w:sz w:val="52"/>
          <w:szCs w:val="52"/>
          <w:lang w:val="zh-CN"/>
        </w:rPr>
        <w:t>报告</w:t>
      </w:r>
    </w:p>
    <w:p w14:paraId="772CAD12">
      <w:pPr>
        <w:ind w:firstLine="640"/>
        <w:jc w:val="center"/>
        <w:rPr>
          <w:color w:val="000000"/>
          <w:sz w:val="32"/>
        </w:rPr>
      </w:pPr>
    </w:p>
    <w:p w14:paraId="40F09BA3">
      <w:pPr>
        <w:ind w:firstLine="640"/>
        <w:jc w:val="center"/>
        <w:rPr>
          <w:color w:val="000000"/>
          <w:sz w:val="32"/>
        </w:rPr>
      </w:pPr>
    </w:p>
    <w:p w14:paraId="41C4DA85">
      <w:pPr>
        <w:ind w:firstLine="640"/>
        <w:rPr>
          <w:color w:val="000000"/>
          <w:sz w:val="32"/>
        </w:rPr>
      </w:pPr>
    </w:p>
    <w:p w14:paraId="7FB1E6D0">
      <w:pPr>
        <w:ind w:firstLine="643"/>
        <w:jc w:val="center"/>
        <w:rPr>
          <w:rFonts w:eastAsia="仿宋"/>
          <w:b/>
          <w:color w:val="000000"/>
          <w:sz w:val="32"/>
          <w:szCs w:val="32"/>
        </w:rPr>
      </w:pPr>
    </w:p>
    <w:p w14:paraId="515346AA">
      <w:pPr>
        <w:ind w:firstLine="643"/>
        <w:jc w:val="center"/>
        <w:rPr>
          <w:rFonts w:eastAsia="仿宋"/>
          <w:b/>
          <w:color w:val="000000"/>
          <w:sz w:val="32"/>
          <w:szCs w:val="32"/>
        </w:rPr>
      </w:pPr>
    </w:p>
    <w:p w14:paraId="663047AF">
      <w:pPr>
        <w:ind w:firstLine="643"/>
        <w:jc w:val="center"/>
        <w:rPr>
          <w:rFonts w:eastAsia="仿宋"/>
          <w:b/>
          <w:color w:val="000000"/>
          <w:sz w:val="32"/>
          <w:szCs w:val="32"/>
        </w:rPr>
      </w:pPr>
    </w:p>
    <w:p w14:paraId="0FFD161A">
      <w:pPr>
        <w:pStyle w:val="13"/>
        <w:rPr>
          <w:rFonts w:ascii="Times New Roman" w:hAnsi="Times New Roman" w:eastAsia="仿宋" w:cs="Times New Roman"/>
          <w:b/>
          <w:color w:val="000000"/>
          <w:sz w:val="32"/>
          <w:szCs w:val="32"/>
        </w:rPr>
      </w:pPr>
    </w:p>
    <w:p w14:paraId="3C8C2435">
      <w:pPr>
        <w:pStyle w:val="13"/>
        <w:rPr>
          <w:rFonts w:ascii="Times New Roman" w:hAnsi="Times New Roman" w:eastAsia="仿宋" w:cs="Times New Roman"/>
          <w:b/>
          <w:color w:val="000000"/>
          <w:sz w:val="32"/>
          <w:szCs w:val="32"/>
        </w:rPr>
      </w:pPr>
    </w:p>
    <w:p w14:paraId="3E7E8CB6">
      <w:pPr>
        <w:pStyle w:val="13"/>
        <w:rPr>
          <w:rFonts w:ascii="Times New Roman" w:hAnsi="Times New Roman" w:eastAsia="仿宋" w:cs="Times New Roman"/>
          <w:b/>
          <w:color w:val="000000"/>
          <w:sz w:val="32"/>
          <w:szCs w:val="32"/>
        </w:rPr>
      </w:pPr>
    </w:p>
    <w:p w14:paraId="0F2DAA32">
      <w:pPr>
        <w:pStyle w:val="13"/>
        <w:rPr>
          <w:rFonts w:ascii="Times New Roman" w:hAnsi="Times New Roman" w:eastAsia="仿宋" w:cs="Times New Roman"/>
          <w:b/>
          <w:color w:val="000000"/>
          <w:sz w:val="32"/>
          <w:szCs w:val="32"/>
        </w:rPr>
      </w:pPr>
    </w:p>
    <w:p w14:paraId="04B57981">
      <w:pPr>
        <w:pStyle w:val="13"/>
        <w:rPr>
          <w:rFonts w:ascii="Times New Roman" w:hAnsi="Times New Roman" w:eastAsia="仿宋" w:cs="Times New Roman"/>
          <w:b/>
          <w:color w:val="000000"/>
          <w:sz w:val="32"/>
          <w:szCs w:val="32"/>
        </w:rPr>
      </w:pPr>
    </w:p>
    <w:p w14:paraId="755B13C7">
      <w:pPr>
        <w:pStyle w:val="13"/>
        <w:rPr>
          <w:rFonts w:ascii="Times New Roman" w:hAnsi="Times New Roman" w:eastAsia="仿宋" w:cs="Times New Roman"/>
          <w:b/>
          <w:color w:val="000000"/>
          <w:sz w:val="32"/>
          <w:szCs w:val="32"/>
        </w:rPr>
      </w:pPr>
    </w:p>
    <w:p w14:paraId="42A535DB">
      <w:pPr>
        <w:pStyle w:val="13"/>
        <w:rPr>
          <w:rFonts w:ascii="Times New Roman" w:hAnsi="Times New Roman" w:eastAsia="仿宋" w:cs="Times New Roman"/>
          <w:b/>
          <w:color w:val="000000"/>
          <w:sz w:val="32"/>
          <w:szCs w:val="32"/>
        </w:rPr>
      </w:pPr>
    </w:p>
    <w:p w14:paraId="4B02E952">
      <w:pPr>
        <w:spacing w:line="560" w:lineRule="exact"/>
        <w:jc w:val="center"/>
        <w:rPr>
          <w:rFonts w:ascii="黑体" w:hAnsi="黑体" w:eastAsia="黑体" w:cs="黑体"/>
          <w:bCs/>
          <w:sz w:val="36"/>
          <w:szCs w:val="44"/>
        </w:rPr>
      </w:pPr>
      <w:r>
        <w:rPr>
          <w:rFonts w:hint="eastAsia" w:ascii="黑体" w:hAnsi="黑体" w:eastAsia="黑体" w:cs="黑体"/>
          <w:bCs/>
          <w:sz w:val="36"/>
          <w:szCs w:val="44"/>
        </w:rPr>
        <w:t>2025年6月</w:t>
      </w:r>
    </w:p>
    <w:p w14:paraId="22A1F586">
      <w:pPr>
        <w:spacing w:line="560" w:lineRule="exact"/>
        <w:jc w:val="center"/>
        <w:rPr>
          <w:rFonts w:ascii="方正小标宋简体" w:eastAsia="方正小标宋简体"/>
          <w:sz w:val="36"/>
          <w:szCs w:val="36"/>
        </w:rPr>
      </w:pPr>
    </w:p>
    <w:p w14:paraId="32077C03">
      <w:pPr>
        <w:spacing w:line="600" w:lineRule="exact"/>
        <w:jc w:val="center"/>
        <w:rPr>
          <w:rFonts w:ascii="方正小标宋简体" w:eastAsia="方正小标宋简体"/>
          <w:sz w:val="36"/>
          <w:szCs w:val="36"/>
        </w:rPr>
        <w:sectPr>
          <w:footerReference r:id="rId3" w:type="default"/>
          <w:pgSz w:w="11906" w:h="16838"/>
          <w:pgMar w:top="1440" w:right="1800" w:bottom="1440" w:left="1800" w:header="851" w:footer="992" w:gutter="0"/>
          <w:cols w:space="0" w:num="1"/>
          <w:docGrid w:type="lines" w:linePitch="312" w:charSpace="0"/>
        </w:sectPr>
      </w:pPr>
    </w:p>
    <w:p w14:paraId="1C88702E">
      <w:pPr>
        <w:spacing w:line="600" w:lineRule="exact"/>
        <w:jc w:val="center"/>
        <w:rPr>
          <w:rFonts w:ascii="方正小标宋简体" w:eastAsia="方正小标宋简体"/>
          <w:sz w:val="36"/>
          <w:szCs w:val="36"/>
        </w:rPr>
      </w:pPr>
      <w:r>
        <w:rPr>
          <w:rFonts w:hint="eastAsia" w:ascii="方正小标宋简体" w:eastAsia="方正小标宋简体"/>
          <w:sz w:val="36"/>
          <w:szCs w:val="36"/>
        </w:rPr>
        <w:t>北京京城机电控股有限责任公司</w:t>
      </w:r>
    </w:p>
    <w:p w14:paraId="2D7FCC2A">
      <w:pPr>
        <w:spacing w:line="600" w:lineRule="exact"/>
        <w:jc w:val="center"/>
        <w:rPr>
          <w:rFonts w:ascii="方正小标宋简体" w:eastAsia="方正小标宋简体"/>
          <w:sz w:val="36"/>
          <w:szCs w:val="36"/>
        </w:rPr>
      </w:pPr>
      <w:r>
        <w:rPr>
          <w:rFonts w:hint="eastAsia" w:ascii="方正小标宋简体" w:eastAsia="方正小标宋简体"/>
          <w:sz w:val="36"/>
          <w:szCs w:val="36"/>
        </w:rPr>
        <w:t>2024年度整体绩效评价报告</w:t>
      </w:r>
    </w:p>
    <w:p w14:paraId="30E9F257">
      <w:pPr>
        <w:spacing w:line="600" w:lineRule="exact"/>
        <w:jc w:val="center"/>
        <w:rPr>
          <w:rFonts w:ascii="仿宋_GB2312"/>
          <w:szCs w:val="30"/>
        </w:rPr>
      </w:pPr>
    </w:p>
    <w:p w14:paraId="27CF6379">
      <w:pPr>
        <w:keepNext/>
        <w:keepLines/>
        <w:snapToGrid w:val="0"/>
        <w:spacing w:line="560" w:lineRule="exact"/>
        <w:ind w:firstLine="640" w:firstLineChars="200"/>
        <w:outlineLvl w:val="0"/>
        <w:rPr>
          <w:rFonts w:ascii="黑体" w:hAnsi="黑体" w:eastAsia="黑体" w:cs="宋体"/>
          <w:bCs/>
          <w:kern w:val="0"/>
          <w:sz w:val="32"/>
          <w:szCs w:val="32"/>
        </w:rPr>
      </w:pPr>
      <w:r>
        <w:rPr>
          <w:rFonts w:hint="eastAsia" w:ascii="黑体" w:hAnsi="黑体" w:eastAsia="黑体" w:cs="宋体"/>
          <w:bCs/>
          <w:kern w:val="0"/>
          <w:sz w:val="32"/>
          <w:szCs w:val="32"/>
        </w:rPr>
        <w:t>一、部门概况</w:t>
      </w:r>
    </w:p>
    <w:p w14:paraId="675FACF4">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（一）机构设置及职责工作任务情况</w:t>
      </w:r>
    </w:p>
    <w:p w14:paraId="6635A4B8">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1.机构设置情况</w:t>
      </w:r>
    </w:p>
    <w:p w14:paraId="0883F651">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北京京城机电控股有限责任公司是经北京市人民政府授权的大型国有资产经营公司，本公司最高权力机构为董事会；公司董事会下设5个专门委员会，分别为提名委员会、战略与投资委员会、审计委员会、法治与风险委员会、薪酬与考核委员会，本公司设有投资发展部、资产管理部、组织部（人力资源部）、计划财务部、审计中心、战略规划部、市场运营部、房地资源部等部室，是一级预算单位。主要负责转制之前按“公务员管理”的离退休人员的工资</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其下属二级预算单位1个，为北京市工贸技师学院。</w:t>
      </w:r>
    </w:p>
    <w:p w14:paraId="0C39B009">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2.职责工作任务情况</w:t>
      </w:r>
    </w:p>
    <w:p w14:paraId="3E22C48C">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北京京城机电控股有限责任公司作为一级主管部门主要对下属事业单位国有资产监督管理、工作计划与预算管理、决策与政策支持、组织建设和人员管理、项目管理和质量监控、沟通与协调。全面、有效地管理和监督所属事业单位，推动事业单位健康发展。</w:t>
      </w:r>
    </w:p>
    <w:p w14:paraId="029DBAC6">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（二）部门整体绩效目标设立情况</w:t>
      </w:r>
    </w:p>
    <w:p w14:paraId="179E2D83">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工贸学院为北京京城机电控股有限责任公司下属唯一一家二级预算单位。其部门整体绩效目标为通过教育教学改善、设备购置、</w:t>
      </w:r>
      <w:r>
        <w:rPr>
          <w:rFonts w:hint="eastAsia" w:ascii="仿宋_GB2312" w:hAnsi="宋体" w:eastAsia="仿宋_GB2312" w:cs="宋体"/>
          <w:kern w:val="0"/>
          <w:sz w:val="32"/>
          <w:szCs w:val="32"/>
        </w:rPr>
        <w:t>涉危/安全整改、特高建设、其他机构运行</w:t>
      </w:r>
      <w:r>
        <w:rPr>
          <w:rFonts w:hint="eastAsia" w:ascii="仿宋_GB2312" w:hAnsi="仿宋_GB2312" w:eastAsia="仿宋_GB2312" w:cs="仿宋_GB2312"/>
          <w:color w:val="000000"/>
          <w:kern w:val="0"/>
          <w:sz w:val="32"/>
          <w:szCs w:val="32"/>
        </w:rPr>
        <w:t>等，保障中等职业教育、机关干部教育培训，进而实现为各行业输出专业技术人才、打造专业人才培养品牌，培育优秀机关党员干部、提高干部综合素养，推动行业发展，不断增强京城机电集团社会知名度、提升履职公共服务能力等目标。</w:t>
      </w:r>
    </w:p>
    <w:p w14:paraId="41EF0463">
      <w:pPr>
        <w:keepNext/>
        <w:keepLines/>
        <w:snapToGrid w:val="0"/>
        <w:spacing w:line="560" w:lineRule="exact"/>
        <w:ind w:firstLine="640" w:firstLineChars="200"/>
        <w:outlineLvl w:val="0"/>
        <w:rPr>
          <w:rFonts w:ascii="黑体" w:hAnsi="黑体" w:eastAsia="黑体" w:cs="宋体"/>
          <w:bCs/>
          <w:kern w:val="0"/>
          <w:sz w:val="32"/>
          <w:szCs w:val="32"/>
        </w:rPr>
      </w:pPr>
      <w:r>
        <w:rPr>
          <w:rFonts w:hint="eastAsia" w:ascii="黑体" w:hAnsi="黑体" w:eastAsia="黑体" w:cs="宋体"/>
          <w:bCs/>
          <w:kern w:val="0"/>
          <w:sz w:val="32"/>
          <w:szCs w:val="32"/>
        </w:rPr>
        <w:t>二、当年预算执行情况</w:t>
      </w:r>
    </w:p>
    <w:p w14:paraId="7631D43C">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2024年全年预算数28571.74万元，其中，基本支出预算数23471.32万元，项目支出预算数4817.49万元，经营支出预算数282.93万元。资金总体支出28223.75万元，其中，基本支出23348.38万元，项目支出4592.44万元，其他支出282.93万元。预算执行率为98.78%。</w:t>
      </w:r>
    </w:p>
    <w:p w14:paraId="77CD149E">
      <w:pPr>
        <w:keepNext/>
        <w:keepLines/>
        <w:snapToGrid w:val="0"/>
        <w:spacing w:line="560" w:lineRule="exact"/>
        <w:ind w:firstLine="640" w:firstLineChars="200"/>
        <w:outlineLvl w:val="0"/>
        <w:rPr>
          <w:rFonts w:ascii="黑体" w:hAnsi="黑体" w:eastAsia="黑体" w:cs="宋体"/>
          <w:bCs/>
          <w:kern w:val="0"/>
          <w:sz w:val="32"/>
          <w:szCs w:val="32"/>
        </w:rPr>
      </w:pPr>
      <w:r>
        <w:rPr>
          <w:rFonts w:hint="eastAsia" w:ascii="黑体" w:hAnsi="黑体" w:eastAsia="黑体" w:cs="宋体"/>
          <w:bCs/>
          <w:kern w:val="0"/>
          <w:sz w:val="32"/>
          <w:szCs w:val="32"/>
        </w:rPr>
        <w:t>三、整体绩效目标实现情况</w:t>
      </w:r>
    </w:p>
    <w:p w14:paraId="5CF67794">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（一）产出完成情况分析</w:t>
      </w:r>
    </w:p>
    <w:p w14:paraId="7B64D991">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1.产出数量</w:t>
      </w:r>
    </w:p>
    <w:p w14:paraId="5D3197DD">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（1）教育教学改善类项目10个，其中：</w:t>
      </w:r>
    </w:p>
    <w:p w14:paraId="2C61CFE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①（教育教学改善）城市轨道交通运输与管理专业建设项目，已完成城市轨道交通机电技术综合实训平台、城市轨道交通车站设备检修实训系统（30客户端）、城轨全高屏蔽门实训系统平台、城市轨道交通AFC售检票系统、城市轨道交通车站应急处置虚拟仿真系统、城市轨道交通信号系统实物平台、乘客信息系统实训平台扩展、城轨车站虚拟实景综合实训系统软件-地铁车厢仿真模块（30客户端）设备及软件的安装调试。</w:t>
      </w:r>
    </w:p>
    <w:p w14:paraId="63270F52">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②（教育教学改善）电子商务实训室改造项目，购置1批满足电子商务专业教学应用的专业实训、教学环境的机房设备与系统和专业教学软件；完成实训室软硬件系统集成及强弱电综合布线；构建环境文化，实现任务式或项目式实训的学习空间布局。</w:t>
      </w:r>
    </w:p>
    <w:p w14:paraId="6AFD8D2B">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③（教育教学改善）服装设计与制作实训室建设项目，购置服装设计与制作专业实训设备1批；购置教学信息基础设备1批；购置教学互动显示系统1批；实训室基础环境改造。</w:t>
      </w:r>
    </w:p>
    <w:p w14:paraId="26E49AB9">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④</w:t>
      </w:r>
      <w:r>
        <w:rPr>
          <w:rFonts w:ascii="仿宋_GB2312" w:hAnsi="宋体" w:eastAsia="仿宋_GB2312" w:cs="宋体"/>
          <w:kern w:val="0"/>
          <w:sz w:val="32"/>
          <w:szCs w:val="32"/>
        </w:rPr>
        <w:t>（教育教学改善）基础教学智慧黑板购置项目</w:t>
      </w:r>
      <w:r>
        <w:rPr>
          <w:rFonts w:hint="eastAsia" w:ascii="仿宋_GB2312" w:hAnsi="宋体" w:eastAsia="仿宋_GB2312" w:cs="宋体"/>
          <w:kern w:val="0"/>
          <w:sz w:val="32"/>
          <w:szCs w:val="32"/>
        </w:rPr>
        <w:t>，建设触控一体机、钢制讲台等各8套。</w:t>
      </w:r>
    </w:p>
    <w:p w14:paraId="07557486">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⑤</w:t>
      </w:r>
      <w:r>
        <w:rPr>
          <w:rFonts w:ascii="仿宋_GB2312" w:hAnsi="宋体" w:eastAsia="仿宋_GB2312" w:cs="宋体"/>
          <w:kern w:val="0"/>
          <w:sz w:val="32"/>
          <w:szCs w:val="32"/>
        </w:rPr>
        <w:t>（教育教学改善）技工院校工学一体化技能人才培养模式专业创建项目</w:t>
      </w:r>
      <w:r>
        <w:rPr>
          <w:rFonts w:hint="eastAsia" w:ascii="仿宋_GB2312" w:hAnsi="宋体" w:eastAsia="仿宋_GB2312" w:cs="宋体"/>
          <w:kern w:val="0"/>
          <w:sz w:val="32"/>
          <w:szCs w:val="32"/>
        </w:rPr>
        <w:t>，项目主要为计算机动画制作、烹饪（西式烹调）、计算机网络应用3个专业全面实施工学一体化技能人才培养模式建设，创建了4门精品课程教学资源获批了2个部级优质课堂、2个市级优质课堂。</w:t>
      </w:r>
    </w:p>
    <w:p w14:paraId="6034437D">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⑥</w:t>
      </w:r>
      <w:r>
        <w:rPr>
          <w:rFonts w:ascii="仿宋_GB2312" w:hAnsi="宋体" w:eastAsia="仿宋_GB2312" w:cs="宋体"/>
          <w:kern w:val="0"/>
          <w:sz w:val="32"/>
          <w:szCs w:val="32"/>
        </w:rPr>
        <w:t>（教育教学改善）技能竞赛人才培养项目</w:t>
      </w:r>
      <w:r>
        <w:rPr>
          <w:rFonts w:hint="eastAsia" w:ascii="仿宋_GB2312" w:hAnsi="宋体" w:eastAsia="仿宋_GB2312" w:cs="宋体"/>
          <w:kern w:val="0"/>
          <w:sz w:val="32"/>
          <w:szCs w:val="32"/>
        </w:rPr>
        <w:t>，促进常规工作开展：2024年118名学生、13名教师参加了14个赛事45个赛项比赛，获奖120个；承接10个竞赛项目第三届全国职业技能大赛北京市选拔集训工作，并继续承接时装技术项目集训工作。</w:t>
      </w:r>
    </w:p>
    <w:p w14:paraId="43ABBCB9">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⑦</w:t>
      </w:r>
      <w:r>
        <w:rPr>
          <w:rFonts w:ascii="仿宋_GB2312" w:hAnsi="宋体" w:eastAsia="仿宋_GB2312" w:cs="宋体"/>
          <w:kern w:val="0"/>
          <w:sz w:val="32"/>
          <w:szCs w:val="32"/>
        </w:rPr>
        <w:t>（教育教学改善）美容美发及咖啡调酒实训室建设项目</w:t>
      </w:r>
      <w:r>
        <w:rPr>
          <w:rFonts w:hint="eastAsia" w:ascii="仿宋_GB2312" w:hAnsi="宋体" w:eastAsia="仿宋_GB2312" w:cs="宋体"/>
          <w:kern w:val="0"/>
          <w:sz w:val="32"/>
          <w:szCs w:val="32"/>
        </w:rPr>
        <w:t>，主要完成咖啡调酒及茶艺实训室、美容美发与造型实训室建设，长期满足专业实训教学使用。</w:t>
      </w:r>
    </w:p>
    <w:p w14:paraId="517BC758">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⑧</w:t>
      </w:r>
      <w:r>
        <w:rPr>
          <w:rFonts w:ascii="仿宋_GB2312" w:hAnsi="宋体" w:eastAsia="仿宋_GB2312" w:cs="宋体"/>
          <w:kern w:val="0"/>
          <w:sz w:val="32"/>
          <w:szCs w:val="32"/>
        </w:rPr>
        <w:t>（教育教学改善）烹饪（中西式面点）专业综合实训室建设</w:t>
      </w:r>
      <w:r>
        <w:rPr>
          <w:rFonts w:hint="eastAsia" w:ascii="仿宋_GB2312" w:hAnsi="宋体" w:eastAsia="仿宋_GB2312" w:cs="宋体"/>
          <w:kern w:val="0"/>
          <w:sz w:val="32"/>
          <w:szCs w:val="32"/>
        </w:rPr>
        <w:t>，新增建设烹饪（中西式面点）专业一体化综合实训室1间、专业设备14套，支撑中式面点、西式面点等核心课程，开展项目式教学。</w:t>
      </w:r>
    </w:p>
    <w:p w14:paraId="69A6DA50">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⑨</w:t>
      </w:r>
      <w:r>
        <w:rPr>
          <w:rFonts w:ascii="仿宋_GB2312" w:hAnsi="宋体" w:eastAsia="仿宋_GB2312" w:cs="宋体"/>
          <w:kern w:val="0"/>
          <w:sz w:val="32"/>
          <w:szCs w:val="32"/>
        </w:rPr>
        <w:t>（教育教学改善）楼宇自动控制设备安装与维护专业实训室建设</w:t>
      </w:r>
      <w:r>
        <w:rPr>
          <w:rFonts w:hint="eastAsia" w:ascii="仿宋_GB2312" w:hAnsi="宋体" w:eastAsia="仿宋_GB2312" w:cs="宋体"/>
          <w:kern w:val="0"/>
          <w:sz w:val="32"/>
          <w:szCs w:val="32"/>
        </w:rPr>
        <w:t>，购置了网络综合布线实训区1套、智能监控智能楼宇实训区1套、智慧物联、服务机器人楼宇场景实训1套。</w:t>
      </w:r>
    </w:p>
    <w:p w14:paraId="391D3697">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宋体" w:eastAsia="仿宋_GB2312" w:cs="宋体"/>
          <w:kern w:val="0"/>
          <w:sz w:val="32"/>
          <w:szCs w:val="32"/>
        </w:rPr>
        <w:t>⑩</w:t>
      </w:r>
      <w:r>
        <w:rPr>
          <w:rFonts w:ascii="仿宋_GB2312" w:hAnsi="宋体" w:eastAsia="仿宋_GB2312" w:cs="宋体"/>
          <w:kern w:val="0"/>
          <w:sz w:val="32"/>
          <w:szCs w:val="32"/>
        </w:rPr>
        <w:t>（教育教学改善）装备制造专业群教学软件购置项目</w:t>
      </w:r>
      <w:r>
        <w:rPr>
          <w:rFonts w:hint="eastAsia" w:ascii="仿宋_GB2312" w:hAnsi="宋体" w:eastAsia="仿宋_GB2312" w:cs="宋体"/>
          <w:kern w:val="0"/>
          <w:sz w:val="32"/>
          <w:szCs w:val="32"/>
        </w:rPr>
        <w:t>，已完成逆向工程软件40点位和计算机仿真软件40点位的安装，减少了软件的租赁、应用到两个层级的班级授课，提升了机械专业的人才排样能力。</w:t>
      </w:r>
    </w:p>
    <w:p w14:paraId="78AAE08D">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w:t>
      </w:r>
      <w:r>
        <w:rPr>
          <w:rFonts w:hint="eastAsia" w:ascii="仿宋_GB2312" w:hAnsi="宋体" w:eastAsia="仿宋_GB2312" w:cs="宋体"/>
          <w:kern w:val="0"/>
          <w:sz w:val="32"/>
          <w:szCs w:val="32"/>
        </w:rPr>
        <w:t>设备购置项目1个</w:t>
      </w:r>
      <w:r>
        <w:rPr>
          <w:rFonts w:hint="eastAsia" w:ascii="仿宋_GB2312" w:hAnsi="仿宋_GB2312" w:eastAsia="仿宋_GB2312" w:cs="仿宋_GB2312"/>
          <w:color w:val="000000"/>
          <w:kern w:val="0"/>
          <w:sz w:val="32"/>
          <w:szCs w:val="32"/>
        </w:rPr>
        <w:t>,</w:t>
      </w:r>
      <w:r>
        <w:rPr>
          <w:rFonts w:hint="eastAsia" w:ascii="仿宋_GB2312" w:hAnsi="宋体" w:eastAsia="仿宋_GB2312" w:cs="宋体"/>
          <w:kern w:val="0"/>
          <w:sz w:val="32"/>
          <w:szCs w:val="32"/>
        </w:rPr>
        <w:t>为</w:t>
      </w:r>
      <w:r>
        <w:rPr>
          <w:rFonts w:ascii="仿宋_GB2312" w:hAnsi="宋体" w:eastAsia="仿宋_GB2312" w:cs="宋体"/>
          <w:kern w:val="0"/>
          <w:sz w:val="32"/>
          <w:szCs w:val="32"/>
        </w:rPr>
        <w:t>（设备购置）远程教学设备更新项目</w:t>
      </w:r>
      <w:r>
        <w:rPr>
          <w:rFonts w:hint="eastAsia" w:ascii="仿宋_GB2312" w:hAnsi="宋体" w:eastAsia="仿宋_GB2312" w:cs="宋体"/>
          <w:kern w:val="0"/>
          <w:sz w:val="32"/>
          <w:szCs w:val="32"/>
        </w:rPr>
        <w:t>，已完成数字化融合管理系统1套、教学录/直播系统1套、多点控制器1套、硬件终端4套。项目覆盖4个校区，8个专业教研室，122间多媒体教室，实现了跨校区、跨地域同步教学，解决师资不均衡问题。</w:t>
      </w:r>
    </w:p>
    <w:p w14:paraId="78452C86">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w:t>
      </w:r>
      <w:r>
        <w:rPr>
          <w:rFonts w:hint="eastAsia" w:ascii="仿宋_GB2312" w:hAnsi="宋体" w:eastAsia="仿宋_GB2312" w:cs="宋体"/>
          <w:kern w:val="0"/>
          <w:sz w:val="32"/>
          <w:szCs w:val="32"/>
        </w:rPr>
        <w:t>涉危/安全整改类项目5个</w:t>
      </w:r>
      <w:r>
        <w:rPr>
          <w:rFonts w:hint="eastAsia" w:ascii="仿宋_GB2312" w:hAnsi="仿宋_GB2312" w:eastAsia="仿宋_GB2312" w:cs="仿宋_GB2312"/>
          <w:color w:val="000000"/>
          <w:kern w:val="0"/>
          <w:sz w:val="32"/>
          <w:szCs w:val="32"/>
        </w:rPr>
        <w:t>,其中：</w:t>
      </w:r>
    </w:p>
    <w:p w14:paraId="3394DECE">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①（涉危/安全整改）暖气管道及操场路面维修项目，完成暖气片及配套设备安装、路面垫层拆除、新建管廊、电缆沟、排水管道敷设、排水沟新做、地面卷材防水层新做、路面垫层新做、耐磨面层等。</w:t>
      </w:r>
    </w:p>
    <w:p w14:paraId="4CD85B90">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②（涉危/安全整改）东宿舍屋面改造项目，完成沙河校区东宿舍南楼、北楼、值班室屋顶铲除原防水层材料，新做防水。</w:t>
      </w:r>
    </w:p>
    <w:p w14:paraId="6F2EFE9D">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③（涉危/安全整改）内部路面修缮及电缆管预埋工程项目，完成沙河校区内部路面修缮，预埋电缆管。</w:t>
      </w:r>
    </w:p>
    <w:p w14:paraId="3599AE1B">
      <w:pPr>
        <w:spacing w:line="560" w:lineRule="exact"/>
        <w:ind w:firstLine="640" w:firstLineChars="200"/>
        <w:rPr>
          <w:rFonts w:ascii="仿宋_GB2312" w:hAnsi="宋体" w:eastAsia="仿宋_GB2312" w:cs="宋体"/>
          <w:kern w:val="0"/>
          <w:sz w:val="32"/>
          <w:szCs w:val="32"/>
        </w:rPr>
      </w:pPr>
      <w:r>
        <w:rPr>
          <w:rFonts w:hint="eastAsia" w:ascii="仿宋_GB2312" w:hAnsi="仿宋_GB2312" w:eastAsia="仿宋_GB2312" w:cs="仿宋_GB2312"/>
          <w:kern w:val="0"/>
          <w:sz w:val="32"/>
          <w:szCs w:val="32"/>
        </w:rPr>
        <w:t>④（涉危/安全整改）学生活动室及实训室改造修缮项目，完成实训</w:t>
      </w:r>
      <w:r>
        <w:rPr>
          <w:rFonts w:hint="eastAsia" w:ascii="仿宋_GB2312" w:hAnsi="宋体" w:eastAsia="仿宋_GB2312" w:cs="宋体"/>
          <w:kern w:val="0"/>
          <w:sz w:val="32"/>
          <w:szCs w:val="32"/>
        </w:rPr>
        <w:t>基地综三、综四、综五实训室改造，满足实训场地教学需求，提高学校教育教学质量和水平。</w:t>
      </w:r>
    </w:p>
    <w:p w14:paraId="47D5C9FF">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宋体" w:eastAsia="仿宋_GB2312" w:cs="宋体"/>
          <w:kern w:val="0"/>
          <w:sz w:val="32"/>
          <w:szCs w:val="32"/>
        </w:rPr>
        <w:t>⑤</w:t>
      </w:r>
      <w:r>
        <w:rPr>
          <w:rFonts w:ascii="仿宋_GB2312" w:hAnsi="宋体" w:eastAsia="仿宋_GB2312" w:cs="宋体"/>
          <w:kern w:val="0"/>
          <w:sz w:val="32"/>
          <w:szCs w:val="32"/>
        </w:rPr>
        <w:t>（涉危/安全整改）操场改造项目</w:t>
      </w:r>
      <w:r>
        <w:rPr>
          <w:rFonts w:hint="eastAsia" w:ascii="仿宋_GB2312" w:hAnsi="宋体" w:eastAsia="仿宋_GB2312" w:cs="宋体"/>
          <w:kern w:val="0"/>
          <w:sz w:val="32"/>
          <w:szCs w:val="32"/>
        </w:rPr>
        <w:t>，完成操场改造，为学生提供安全的运动环境</w:t>
      </w:r>
      <w:r>
        <w:rPr>
          <w:rFonts w:hint="eastAsia" w:ascii="仿宋_GB2312" w:hAnsi="仿宋_GB2312" w:eastAsia="仿宋_GB2312" w:cs="仿宋_GB2312"/>
          <w:color w:val="000000"/>
          <w:kern w:val="0"/>
          <w:sz w:val="32"/>
          <w:szCs w:val="32"/>
        </w:rPr>
        <w:t>。</w:t>
      </w:r>
    </w:p>
    <w:p w14:paraId="026EE546">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w:t>
      </w:r>
      <w:r>
        <w:rPr>
          <w:rFonts w:hint="eastAsia" w:ascii="仿宋_GB2312" w:hAnsi="宋体" w:eastAsia="仿宋_GB2312" w:cs="宋体"/>
          <w:kern w:val="0"/>
          <w:sz w:val="32"/>
          <w:szCs w:val="32"/>
        </w:rPr>
        <w:t>特高建设项目</w:t>
      </w:r>
      <w:r>
        <w:rPr>
          <w:rFonts w:hint="eastAsia" w:ascii="仿宋_GB2312" w:hAnsi="仿宋_GB2312" w:eastAsia="仿宋_GB2312" w:cs="仿宋_GB2312"/>
          <w:color w:val="000000"/>
          <w:kern w:val="0"/>
          <w:sz w:val="32"/>
          <w:szCs w:val="32"/>
        </w:rPr>
        <w:t>1个，</w:t>
      </w:r>
      <w:r>
        <w:rPr>
          <w:rFonts w:hint="eastAsia" w:ascii="仿宋_GB2312" w:hAnsi="宋体" w:eastAsia="仿宋_GB2312" w:cs="宋体"/>
          <w:kern w:val="0"/>
          <w:sz w:val="32"/>
          <w:szCs w:val="32"/>
        </w:rPr>
        <w:t>为北京市职业院校特色高水平骨干大师工作室建设项目李东方珂罗版技术非遗传承大师工作室。项目所购买的材料，在2022级、2023级、2024级学生中使用，共计71人。完成齐白石《鱼虾图》等作品的珂罗版复制，17幅。社会培训人数638人次。开发的微课，在《复杂装裱形制的装裱》课程中使用。</w:t>
      </w:r>
    </w:p>
    <w:p w14:paraId="3F5870AB">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（5）其他机构运行项目11个，其中：</w:t>
      </w:r>
    </w:p>
    <w:p w14:paraId="51023131">
      <w:pPr>
        <w:spacing w:line="560" w:lineRule="exact"/>
        <w:ind w:firstLine="640" w:firstLineChars="200"/>
        <w:rPr>
          <w:rFonts w:ascii="仿宋_GB2312" w:hAnsi="仿宋_GB2312" w:eastAsia="仿宋_GB2312" w:cs="仿宋_GB2312"/>
        </w:rPr>
      </w:pPr>
      <w:r>
        <w:rPr>
          <w:rFonts w:hint="eastAsia" w:ascii="仿宋_GB2312" w:hAnsi="仿宋_GB2312" w:eastAsia="仿宋_GB2312" w:cs="仿宋_GB2312"/>
          <w:kern w:val="0"/>
          <w:sz w:val="32"/>
          <w:szCs w:val="32"/>
        </w:rPr>
        <w:t>①中职免学费项目，因涉及的供电改造内容不具备实施条件，资金已收回。</w:t>
      </w:r>
    </w:p>
    <w:p w14:paraId="54CC73A0">
      <w:pPr>
        <w:spacing w:line="560" w:lineRule="exact"/>
        <w:ind w:firstLine="640" w:firstLineChars="200"/>
        <w:rPr>
          <w:rFonts w:ascii="仿宋_GB2312" w:hAnsi="仿宋_GB2312" w:eastAsia="仿宋_GB2312" w:cs="仿宋_GB2312"/>
        </w:rPr>
      </w:pPr>
      <w:r>
        <w:rPr>
          <w:rFonts w:hint="eastAsia" w:ascii="仿宋_GB2312" w:hAnsi="仿宋_GB2312" w:eastAsia="仿宋_GB2312" w:cs="仿宋_GB2312"/>
          <w:kern w:val="0"/>
          <w:sz w:val="32"/>
          <w:szCs w:val="32"/>
        </w:rPr>
        <w:t>②（学生资助）中等职业教育国家助学金项目，为全院符合国家资助政策并申请提交有效受助材料的学生发放助学金，共涉及430人。</w:t>
      </w:r>
    </w:p>
    <w:p w14:paraId="0AD7B605">
      <w:pPr>
        <w:spacing w:line="560" w:lineRule="exact"/>
        <w:ind w:firstLine="640" w:firstLineChars="200"/>
      </w:pPr>
      <w:r>
        <w:rPr>
          <w:rFonts w:hint="eastAsia" w:ascii="仿宋_GB2312" w:hAnsi="仿宋_GB2312" w:eastAsia="仿宋_GB2312" w:cs="仿宋_GB2312"/>
          <w:kern w:val="0"/>
          <w:sz w:val="32"/>
          <w:szCs w:val="32"/>
        </w:rPr>
        <w:t>③学生生活物价补贴项目，</w:t>
      </w:r>
      <w:r>
        <w:rPr>
          <w:rFonts w:hint="eastAsia" w:ascii="仿宋_GB2312" w:hAnsi="宋体" w:eastAsia="仿宋_GB2312" w:cs="宋体"/>
          <w:kern w:val="0"/>
          <w:sz w:val="32"/>
          <w:szCs w:val="32"/>
        </w:rPr>
        <w:t>为全院符合发放条件的学生进行发放，全年共计38403人次。</w:t>
      </w:r>
    </w:p>
    <w:p w14:paraId="25B6C8FF">
      <w:pPr>
        <w:spacing w:line="560" w:lineRule="exact"/>
        <w:ind w:firstLine="640" w:firstLineChars="200"/>
      </w:pPr>
      <w:r>
        <w:rPr>
          <w:rFonts w:hint="eastAsia" w:ascii="仿宋_GB2312" w:hAnsi="宋体" w:eastAsia="仿宋_GB2312" w:cs="宋体"/>
          <w:kern w:val="0"/>
          <w:sz w:val="32"/>
          <w:szCs w:val="32"/>
        </w:rPr>
        <w:t>④</w:t>
      </w:r>
      <w:r>
        <w:rPr>
          <w:rFonts w:ascii="仿宋_GB2312" w:hAnsi="宋体" w:eastAsia="仿宋_GB2312" w:cs="宋体"/>
          <w:kern w:val="0"/>
          <w:sz w:val="32"/>
          <w:szCs w:val="32"/>
        </w:rPr>
        <w:t>劳务派遣管理服务费</w:t>
      </w:r>
      <w:r>
        <w:rPr>
          <w:rFonts w:hint="eastAsia" w:ascii="仿宋_GB2312" w:hAnsi="宋体" w:eastAsia="仿宋_GB2312" w:cs="宋体"/>
          <w:kern w:val="0"/>
          <w:sz w:val="32"/>
          <w:szCs w:val="32"/>
        </w:rPr>
        <w:t>，根据劳务派遣协议约定，每期按约定时间及标准支付劳务管理费及税金。</w:t>
      </w:r>
    </w:p>
    <w:p w14:paraId="06761F7C">
      <w:pPr>
        <w:spacing w:line="560" w:lineRule="exact"/>
        <w:ind w:firstLine="640" w:firstLineChars="200"/>
      </w:pPr>
      <w:r>
        <w:rPr>
          <w:rFonts w:hint="eastAsia" w:ascii="仿宋_GB2312" w:hAnsi="宋体" w:eastAsia="仿宋_GB2312" w:cs="宋体"/>
          <w:kern w:val="0"/>
          <w:sz w:val="32"/>
          <w:szCs w:val="32"/>
        </w:rPr>
        <w:t>⑤</w:t>
      </w:r>
      <w:r>
        <w:rPr>
          <w:rFonts w:ascii="仿宋_GB2312" w:hAnsi="宋体" w:eastAsia="仿宋_GB2312" w:cs="宋体"/>
          <w:kern w:val="0"/>
          <w:sz w:val="32"/>
          <w:szCs w:val="32"/>
        </w:rPr>
        <w:t>宋家庄校区教学区租赁费</w:t>
      </w:r>
      <w:r>
        <w:rPr>
          <w:rFonts w:hint="eastAsia" w:ascii="仿宋_GB2312" w:hAnsi="宋体" w:eastAsia="仿宋_GB2312" w:cs="宋体"/>
          <w:kern w:val="0"/>
          <w:sz w:val="32"/>
          <w:szCs w:val="32"/>
        </w:rPr>
        <w:t>，</w:t>
      </w:r>
      <w:r>
        <w:rPr>
          <w:rFonts w:hint="eastAsia" w:ascii="仿宋_GB2312" w:hAnsi="仿宋" w:eastAsia="仿宋_GB2312"/>
          <w:sz w:val="32"/>
          <w:szCs w:val="32"/>
        </w:rPr>
        <w:t>通过租用9间教室作为教学使用，并为学生提供基本的教学配套用、安全管理用配套场地，满足270名学生的教学使用需求。</w:t>
      </w:r>
    </w:p>
    <w:p w14:paraId="61DDAEF4">
      <w:pPr>
        <w:spacing w:line="560" w:lineRule="exact"/>
        <w:ind w:firstLine="640" w:firstLineChars="200"/>
      </w:pPr>
      <w:r>
        <w:rPr>
          <w:rFonts w:hint="eastAsia" w:ascii="仿宋_GB2312" w:hAnsi="宋体" w:eastAsia="仿宋_GB2312" w:cs="宋体"/>
          <w:kern w:val="0"/>
          <w:sz w:val="32"/>
          <w:szCs w:val="32"/>
        </w:rPr>
        <w:t>⑥</w:t>
      </w:r>
      <w:r>
        <w:rPr>
          <w:rFonts w:ascii="仿宋_GB2312" w:hAnsi="宋体" w:eastAsia="仿宋_GB2312" w:cs="宋体"/>
          <w:kern w:val="0"/>
          <w:sz w:val="32"/>
          <w:szCs w:val="32"/>
        </w:rPr>
        <w:t>宋家庄校区学生宿舍租赁费</w:t>
      </w:r>
      <w:r>
        <w:rPr>
          <w:rFonts w:hint="eastAsia" w:ascii="仿宋_GB2312" w:hAnsi="宋体" w:eastAsia="仿宋_GB2312" w:cs="宋体"/>
          <w:kern w:val="0"/>
          <w:sz w:val="32"/>
          <w:szCs w:val="32"/>
        </w:rPr>
        <w:t>，租用2780平米的宿舍房，解决532名学生的入住，并提供必要的宿舍配套。</w:t>
      </w:r>
    </w:p>
    <w:p w14:paraId="2E4D6C3B">
      <w:pPr>
        <w:spacing w:line="560" w:lineRule="exact"/>
        <w:ind w:firstLine="640" w:firstLineChars="200"/>
      </w:pPr>
      <w:r>
        <w:rPr>
          <w:rFonts w:hint="eastAsia" w:ascii="仿宋_GB2312" w:hAnsi="宋体" w:eastAsia="仿宋_GB2312" w:cs="宋体"/>
          <w:kern w:val="0"/>
          <w:sz w:val="32"/>
          <w:szCs w:val="32"/>
        </w:rPr>
        <w:t>⑦</w:t>
      </w:r>
      <w:r>
        <w:rPr>
          <w:rFonts w:ascii="仿宋_GB2312" w:hAnsi="宋体" w:eastAsia="仿宋_GB2312" w:cs="宋体"/>
          <w:kern w:val="0"/>
          <w:sz w:val="32"/>
          <w:szCs w:val="32"/>
        </w:rPr>
        <w:t>五棵松校区学生宿舍租赁费</w:t>
      </w:r>
      <w:r>
        <w:rPr>
          <w:rFonts w:hint="eastAsia" w:ascii="仿宋_GB2312" w:hAnsi="宋体" w:eastAsia="仿宋_GB2312" w:cs="宋体"/>
          <w:kern w:val="0"/>
          <w:sz w:val="32"/>
          <w:szCs w:val="32"/>
        </w:rPr>
        <w:t>，租用1711.16平米的宿舍，</w:t>
      </w:r>
      <w:r>
        <w:rPr>
          <w:rFonts w:hint="eastAsia" w:ascii="仿宋_GB2312" w:hAnsi="仿宋" w:eastAsia="仿宋_GB2312"/>
          <w:sz w:val="32"/>
          <w:szCs w:val="32"/>
        </w:rPr>
        <w:t>满足学生的住宿需求，缓解学生住宿的困难。</w:t>
      </w:r>
    </w:p>
    <w:p w14:paraId="1F94D78C">
      <w:pPr>
        <w:spacing w:line="560" w:lineRule="exact"/>
        <w:ind w:firstLine="640" w:firstLineChars="200"/>
      </w:pPr>
      <w:r>
        <w:rPr>
          <w:rFonts w:hint="eastAsia" w:ascii="仿宋_GB2312" w:hAnsi="宋体" w:eastAsia="仿宋_GB2312" w:cs="宋体"/>
          <w:kern w:val="0"/>
          <w:sz w:val="32"/>
          <w:szCs w:val="32"/>
        </w:rPr>
        <w:t>⑧</w:t>
      </w:r>
      <w:r>
        <w:rPr>
          <w:rFonts w:ascii="仿宋_GB2312" w:hAnsi="宋体" w:eastAsia="仿宋_GB2312" w:cs="宋体"/>
          <w:kern w:val="0"/>
          <w:sz w:val="32"/>
          <w:szCs w:val="32"/>
        </w:rPr>
        <w:t>租用住宿学生上下学路途班车</w:t>
      </w:r>
      <w:r>
        <w:rPr>
          <w:rFonts w:hint="eastAsia" w:ascii="仿宋_GB2312" w:hAnsi="宋体" w:eastAsia="仿宋_GB2312" w:cs="宋体"/>
          <w:kern w:val="0"/>
          <w:sz w:val="32"/>
          <w:szCs w:val="32"/>
        </w:rPr>
        <w:t>，租用6辆47座客车，保障住宿学生路途安全。</w:t>
      </w:r>
    </w:p>
    <w:p w14:paraId="4304B083">
      <w:pPr>
        <w:spacing w:line="560" w:lineRule="exact"/>
        <w:ind w:firstLine="640" w:firstLineChars="200"/>
      </w:pPr>
      <w:r>
        <w:rPr>
          <w:rFonts w:hint="eastAsia" w:ascii="仿宋_GB2312" w:hAnsi="宋体" w:eastAsia="仿宋_GB2312" w:cs="宋体"/>
          <w:kern w:val="0"/>
          <w:sz w:val="32"/>
          <w:szCs w:val="32"/>
        </w:rPr>
        <w:t>⑨</w:t>
      </w:r>
      <w:r>
        <w:rPr>
          <w:rFonts w:ascii="仿宋_GB2312" w:hAnsi="宋体" w:eastAsia="仿宋_GB2312" w:cs="宋体"/>
          <w:kern w:val="0"/>
          <w:sz w:val="32"/>
          <w:szCs w:val="32"/>
        </w:rPr>
        <w:t>质量保证金项目</w:t>
      </w:r>
      <w:r>
        <w:rPr>
          <w:rFonts w:hint="eastAsia" w:ascii="仿宋_GB2312" w:hAnsi="宋体" w:eastAsia="仿宋_GB2312" w:cs="宋体"/>
          <w:kern w:val="0"/>
          <w:sz w:val="32"/>
          <w:szCs w:val="32"/>
        </w:rPr>
        <w:t>，通过合同约定保障项目实施质量，在合同期满后，支付（涉危/安全整改）轻工分院宋家庄校区锅炉改造工程、（教育教学改善）服务机器人应用与维护专业实训室建设项目等14个项目的质保金。</w:t>
      </w:r>
    </w:p>
    <w:p w14:paraId="3F9E0841">
      <w:pPr>
        <w:spacing w:line="560" w:lineRule="exact"/>
        <w:ind w:firstLine="640" w:firstLineChars="200"/>
      </w:pPr>
      <w:r>
        <w:rPr>
          <w:rFonts w:hint="eastAsia" w:ascii="仿宋_GB2312" w:hAnsi="宋体" w:eastAsia="仿宋_GB2312" w:cs="宋体"/>
          <w:kern w:val="0"/>
          <w:sz w:val="32"/>
          <w:szCs w:val="32"/>
        </w:rPr>
        <w:t>⑩</w:t>
      </w:r>
      <w:r>
        <w:rPr>
          <w:rFonts w:ascii="仿宋_GB2312" w:hAnsi="宋体" w:eastAsia="仿宋_GB2312" w:cs="宋体"/>
          <w:kern w:val="0"/>
          <w:sz w:val="32"/>
          <w:szCs w:val="32"/>
        </w:rPr>
        <w:t>日常运行保障</w:t>
      </w:r>
      <w:r>
        <w:rPr>
          <w:rFonts w:hint="eastAsia" w:ascii="仿宋_GB2312" w:hAnsi="宋体" w:eastAsia="仿宋_GB2312" w:cs="宋体"/>
          <w:kern w:val="0"/>
          <w:sz w:val="32"/>
          <w:szCs w:val="32"/>
        </w:rPr>
        <w:t>项目，保障学院5个校区教学工作正常运转。</w:t>
      </w:r>
    </w:p>
    <w:p w14:paraId="602CC044">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kern w:val="0"/>
          <w:sz w:val="32"/>
          <w:szCs w:val="32"/>
        </w:rPr>
        <w:t>⑪因公出国（境）类项目，根据相关文件及学院因公出国计划安排，</w:t>
      </w:r>
      <w:r>
        <w:rPr>
          <w:rFonts w:hint="eastAsia" w:ascii="仿宋_GB2312" w:hAnsi="仿宋_GB2312" w:eastAsia="仿宋_GB2312" w:cs="仿宋_GB2312"/>
          <w:kern w:val="0"/>
          <w:sz w:val="32"/>
          <w:szCs w:val="32"/>
          <w:lang w:val="en-US" w:eastAsia="zh-CN"/>
        </w:rPr>
        <w:t>学院领导</w:t>
      </w:r>
      <w:r>
        <w:rPr>
          <w:rFonts w:hint="eastAsia" w:ascii="仿宋_GB2312" w:hAnsi="宋体" w:eastAsia="仿宋_GB2312" w:cs="宋体"/>
          <w:kern w:val="0"/>
          <w:sz w:val="32"/>
          <w:szCs w:val="32"/>
        </w:rPr>
        <w:t>于2024年9月10日至17日随北京市人力资源和社会保障局团组，赴法国执行第47届世界技能大赛观赛保障任务</w:t>
      </w:r>
      <w:r>
        <w:rPr>
          <w:rFonts w:hint="eastAsia" w:ascii="仿宋_GB2312" w:hAnsi="仿宋_GB2312" w:eastAsia="仿宋_GB2312" w:cs="仿宋_GB2312"/>
          <w:color w:val="000000"/>
          <w:kern w:val="0"/>
          <w:sz w:val="32"/>
          <w:szCs w:val="32"/>
        </w:rPr>
        <w:t>。</w:t>
      </w:r>
    </w:p>
    <w:p w14:paraId="539678E3">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2.产出质量</w:t>
      </w:r>
    </w:p>
    <w:p w14:paraId="073B7A8E">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宋体" w:eastAsia="仿宋_GB2312" w:cs="宋体"/>
          <w:kern w:val="0"/>
          <w:sz w:val="32"/>
          <w:szCs w:val="32"/>
        </w:rPr>
        <w:t>2024年，工贸学院在年初立项的基础上，经市财政局批复预算项目数量为28个。主要为教育教学改善、设备购置、涉危/安全整改、特高建设项目及其他机构运行项目等，截至2024年底除个别项目验收稍有延迟外，基本完成项目逐项验收，各项目完成质量符合绩效目标设定的质量标准要求，质量达标率为100%</w:t>
      </w:r>
      <w:r>
        <w:rPr>
          <w:rFonts w:hint="eastAsia" w:ascii="仿宋_GB2312" w:hAnsi="仿宋_GB2312" w:eastAsia="仿宋_GB2312" w:cs="仿宋_GB2312"/>
          <w:color w:val="000000"/>
          <w:kern w:val="0"/>
          <w:sz w:val="32"/>
          <w:szCs w:val="32"/>
        </w:rPr>
        <w:t>。</w:t>
      </w:r>
    </w:p>
    <w:p w14:paraId="0FB2E549">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3.产出进度</w:t>
      </w:r>
    </w:p>
    <w:p w14:paraId="2F856645">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宋体" w:eastAsia="仿宋_GB2312" w:cs="宋体"/>
          <w:kern w:val="0"/>
          <w:sz w:val="32"/>
          <w:szCs w:val="32"/>
        </w:rPr>
        <w:t>截至2024年末，工贸学院绩效目标基本能按照合同进度完成，但部分项目存在调整及延后实施情况</w:t>
      </w:r>
      <w:r>
        <w:rPr>
          <w:rFonts w:hint="eastAsia" w:ascii="仿宋_GB2312" w:hAnsi="仿宋_GB2312" w:eastAsia="仿宋_GB2312" w:cs="仿宋_GB2312"/>
          <w:color w:val="000000"/>
          <w:kern w:val="0"/>
          <w:sz w:val="32"/>
          <w:szCs w:val="32"/>
        </w:rPr>
        <w:t>。</w:t>
      </w:r>
    </w:p>
    <w:p w14:paraId="0E0E60CF">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4.产出成本</w:t>
      </w:r>
    </w:p>
    <w:p w14:paraId="359B5ED8">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2024年，支出预算28223.75万元，其中，基本支出预算数23348.38万元，项目支出预算数4592.44万元，经营支出282.93万元，年末结转和结余13979.58万元。部门政府采购预算总额2768.74万元，其中：政府采购货物预算1492.53万元，政府采购工程预算1165.74万元，政府采购服务预算110.47万元。</w:t>
      </w:r>
    </w:p>
    <w:p w14:paraId="3C326C42">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贸学院按照相关财务预算管理制度实施预算、控制成本，落实市财政局2024年部门预算政策，控制“三公”经费、会议、培训、差旅费等重要管控支出预算。按照财政经费和项目经费管理的相关制度预算和支出。通过公开招投标、竞争性磋商、第三方询价等方式确定采购或施工及供货中标单位，并与中标单位及时签订了《合同》，成本控制措施基本有效。同时加强财务工作，把控各项工作实施成本，充分发挥财政资金使用效益。</w:t>
      </w:r>
    </w:p>
    <w:p w14:paraId="3883759E">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（二）效果实现情况分析</w:t>
      </w:r>
    </w:p>
    <w:p w14:paraId="006A7441">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1.经济效益</w:t>
      </w:r>
    </w:p>
    <w:p w14:paraId="7EC6D4D2">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2024年，学院培训业务总收入1090万元，完成全年指标的82%；社会化培训高技能人才规模达到4461人，完成全年指标的139.4%。持续加强就业管理，增强就业与实习安置的有机联动作用，加强对学生的职业指导、就业创业意识教育，积极走访优质用人单位，召开用工单位座谈会、毕业生座谈会，开展毕业生跟踪调查，举办“双选会”，促进学生高质量就业。</w:t>
      </w:r>
    </w:p>
    <w:p w14:paraId="6580227D">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2.社会效益</w:t>
      </w:r>
    </w:p>
    <w:p w14:paraId="1A7B1C9A">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贸学院全面推进学院“三全育人”工作方案实施和全员育人工作责任制落实，2024年，7人获市级三好学生，评选出学院级三好学生212名、优秀学生干部224名、优秀班集体19个。服装专业学生获评2024年度人社部劳动出版“技能雏鹰”奖学金，6人获国家奖学金，137人获北京市政府奖学金，243人获学院奖学金。学院团委被评为京城机电“优秀基层团组织”，2人被评为京城机电“优秀共青团员”“优秀共青团干部”，</w:t>
      </w:r>
      <w:r>
        <w:rPr>
          <w:rFonts w:hint="eastAsia" w:ascii="仿宋_GB2312" w:hAnsi="仿宋_GB2312" w:eastAsia="仿宋_GB2312" w:cs="仿宋_GB2312"/>
          <w:color w:val="000000"/>
          <w:kern w:val="0"/>
          <w:sz w:val="32"/>
          <w:szCs w:val="32"/>
          <w:lang w:val="en-US" w:eastAsia="zh-CN"/>
        </w:rPr>
        <w:t>教师1人</w:t>
      </w:r>
      <w:r>
        <w:rPr>
          <w:rFonts w:hint="eastAsia" w:ascii="仿宋_GB2312" w:hAnsi="仿宋_GB2312" w:eastAsia="仿宋_GB2312" w:cs="仿宋_GB2312"/>
          <w:color w:val="000000"/>
          <w:kern w:val="0"/>
          <w:sz w:val="32"/>
          <w:szCs w:val="32"/>
        </w:rPr>
        <w:t>被评为2023年度京城机电青年岗位能手；评选出院级“五四红旗团支部”4个、“优秀共青团员”46名、“优秀共青团干部”7名。在2024年北京市技工院校“砥砺奋斗勇攀高峰”主题系列活动，学生获英语演讲比赛中1个一等奖，1个二等奖、2个三等奖和职业礼仪技能大赛三等奖的好成绩。</w:t>
      </w:r>
    </w:p>
    <w:p w14:paraId="48DDB5BB">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坚持资助育人，精准开展资助服务。共为在校学生发放物价补贴32876人次，累计264.5万元；发放国家助学金408人，累计68.34万元；减免学费2319人，累计481.75万元；为18名建档立卡学生减免相关费用共计12898.05元。累计发放国家和北京市两级奖学金31万元，31人获得北京市毕业生求职创业补贴3.1万元。</w:t>
      </w:r>
    </w:p>
    <w:p w14:paraId="40AF36AC">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加强教师队伍建设，不断提升师资素质能力，</w:t>
      </w:r>
      <w:r>
        <w:rPr>
          <w:rFonts w:hint="eastAsia" w:ascii="仿宋_GB2312" w:hAnsi="仿宋_GB2312" w:eastAsia="仿宋_GB2312" w:cs="仿宋_GB2312"/>
          <w:color w:val="000000"/>
          <w:kern w:val="0"/>
          <w:sz w:val="32"/>
          <w:szCs w:val="32"/>
          <w:lang w:val="en-US" w:eastAsia="zh-CN"/>
        </w:rPr>
        <w:t>个别教师分别</w:t>
      </w:r>
      <w:r>
        <w:rPr>
          <w:rFonts w:hint="eastAsia" w:ascii="仿宋_GB2312" w:hAnsi="仿宋_GB2312" w:eastAsia="仿宋_GB2312" w:cs="仿宋_GB2312"/>
          <w:color w:val="000000"/>
          <w:kern w:val="0"/>
          <w:sz w:val="32"/>
          <w:szCs w:val="32"/>
        </w:rPr>
        <w:t>荣获2024年“首都劳动奖章”称号</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荣获“京城机电2024年度模范职工”</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获第十五批首都市民学习之星</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被评为“培训促就业杰出工作者”。评选表扬院级“优秀教师”26名、“优秀班主任”17名，大力营造尊师重教的良好氛围。</w:t>
      </w:r>
      <w:r>
        <w:rPr>
          <w:rFonts w:hint="eastAsia" w:ascii="仿宋_GB2312" w:hAnsi="仿宋_GB2312" w:eastAsia="仿宋_GB2312" w:cs="仿宋_GB2312"/>
          <w:color w:val="000000"/>
          <w:kern w:val="0"/>
          <w:sz w:val="32"/>
          <w:szCs w:val="32"/>
          <w:lang w:val="en-US" w:eastAsia="zh-CN"/>
        </w:rPr>
        <w:t>援藏</w:t>
      </w:r>
      <w:r>
        <w:rPr>
          <w:rFonts w:hint="eastAsia" w:ascii="仿宋_GB2312" w:hAnsi="仿宋_GB2312" w:eastAsia="仿宋_GB2312" w:cs="仿宋_GB2312"/>
          <w:color w:val="000000"/>
          <w:kern w:val="0"/>
          <w:sz w:val="32"/>
          <w:szCs w:val="32"/>
        </w:rPr>
        <w:t>教师接续开展第三批援助西藏技师学院工作，</w:t>
      </w:r>
      <w:r>
        <w:rPr>
          <w:rFonts w:hint="eastAsia" w:ascii="仿宋_GB2312" w:hAnsi="仿宋_GB2312" w:eastAsia="仿宋_GB2312" w:cs="仿宋_GB2312"/>
          <w:color w:val="000000"/>
          <w:kern w:val="0"/>
          <w:sz w:val="32"/>
          <w:szCs w:val="32"/>
          <w:lang w:val="en-US" w:eastAsia="zh-CN"/>
        </w:rPr>
        <w:t>援助和田教师</w:t>
      </w:r>
      <w:r>
        <w:rPr>
          <w:rFonts w:hint="eastAsia" w:ascii="仿宋_GB2312" w:hAnsi="仿宋_GB2312" w:eastAsia="仿宋_GB2312" w:cs="仿宋_GB2312"/>
          <w:color w:val="000000"/>
          <w:kern w:val="0"/>
          <w:sz w:val="32"/>
          <w:szCs w:val="32"/>
        </w:rPr>
        <w:t>接续开展第三批援助和田技师学院工作，</w:t>
      </w:r>
      <w:r>
        <w:rPr>
          <w:rFonts w:hint="eastAsia" w:ascii="仿宋_GB2312" w:hAnsi="仿宋_GB2312" w:eastAsia="仿宋_GB2312" w:cs="仿宋_GB2312"/>
          <w:color w:val="000000"/>
          <w:kern w:val="0"/>
          <w:sz w:val="32"/>
          <w:szCs w:val="32"/>
          <w:lang w:val="en-US" w:eastAsia="zh-CN"/>
        </w:rPr>
        <w:t>援藏援疆教师2人</w:t>
      </w:r>
      <w:bookmarkStart w:id="9" w:name="_GoBack"/>
      <w:bookmarkEnd w:id="9"/>
      <w:r>
        <w:rPr>
          <w:rFonts w:hint="eastAsia" w:ascii="仿宋_GB2312" w:hAnsi="仿宋_GB2312" w:eastAsia="仿宋_GB2312" w:cs="仿宋_GB2312"/>
          <w:color w:val="000000"/>
          <w:kern w:val="0"/>
          <w:sz w:val="32"/>
          <w:szCs w:val="32"/>
        </w:rPr>
        <w:t>被市人力资源社会保障局评为援藏援疆优秀教师。</w:t>
      </w:r>
    </w:p>
    <w:p w14:paraId="33F656EA">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分层次、分类别、精准高效开展培训，持续提升教职工业务能力和职业素养。全年共开展培训项目51个，累计培训3358人次。围绕师德师风、工学一体化、课程思政、教师职业能力大赛、教学业务能力提升等专题，全年教师参加各级各类培训达2125人次17485学时，其中校本培训37场次1669人次6906学时。</w:t>
      </w:r>
    </w:p>
    <w:p w14:paraId="21BE12AD">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以北京市技能大师、专业带头人、创新团队建设为引领，以工学一体化技能人才培养模式推进为载体，全力打造学院专业带头人、课程负责人及一体化教师队伍。落实学院《工学一体化技能人才培养模式建设专业教师队伍培养实施方案》（2023年—2025年），共遴选培养12个工学一体化创建专业团队的专业带头人12名、课程负责人24名、一体化教师64名，其中第一批、第二批工学一体化师资团队共48名教师通过了终（中）期考核。</w:t>
      </w:r>
    </w:p>
    <w:p w14:paraId="3D2AC75C">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学院分三批次开展“特高”项目建设，突显了专业特色亮点，为打造特色品牌优质专业奠定了基础。2024年，第二批视听媒体艺术专业群项目完成北京市终期验收材料申报；第三批李东方珂罗版技术非遗传承大师工作室项目按计划完成了全部建设任务。</w:t>
      </w:r>
    </w:p>
    <w:p w14:paraId="1343ECFB">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积极推进“优质课堂、精品课程、示范专业、骨干院校”建设。目前学院共13个工学一体化建设专业，累计实施工学一体化课程87门，涉及班级60个，学生1554人，覆盖率达到专业人数的80%。其中12门课程按照优质课堂、精品课程评价标准基本完成成果创建。完成3个课程的人社部工学一体化课程教学资源开发任务。累计161人次参加了全国技工院校工学一体化教师培训，为工学一体化模式建设提供了人员及技术保障。</w:t>
      </w:r>
    </w:p>
    <w:p w14:paraId="18B22303">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规范考务管理。优化完善了考试及成绩管理办法，制定完善并严格实施课程考试方案，结合信息化手段进一步优化和规范统计分析，同时加强了考试阶段的专项检查。2023-2024学年第一学期学生一次及格率92.1%，二次及格率96.1%，优秀率27.5%；第二学期一次及格率93.8%，二次及格率97.6%，优秀率32.3%。职业技能等级认定取证率中级工98.9%，高级工99.0%，技师及预备技师97.5%。</w:t>
      </w:r>
    </w:p>
    <w:p w14:paraId="56FC89EA">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以赛促教、以赛促学。全年共组织118名学生、13名教师参加了14个赛事45个赛项比赛，获奖123个，一等奖28个，二等奖43个，三等奖52个。其中国家级竞赛获奖11个，一等奖2个，二等奖7个，三等奖2个；市级竞赛获奖112个，一等奖26个，二等奖36个，三等奖50个。举办了以“砥砺奋斗勇攀高峰”为主题的第十一届技能节，全院34个专业开展了42项活动，集中展示检验了技能学习成果成效，共评选出79个一等奖、157个二等奖、233个三等奖，进一步激发学生的学习热情和兴趣。</w:t>
      </w:r>
    </w:p>
    <w:p w14:paraId="647AC07A">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学院作为第47届世界技能大赛时装技术项目、自主移动机器人项目主基地和商品展示技术项目的中国集训基地，圆满完成世赛相关集训、参赛工作，最终在9月法国里昂第47届世界技能大赛上三个项目均获金牌。</w:t>
      </w:r>
    </w:p>
    <w:p w14:paraId="7076E25F">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全年评选出学院优秀成果169项，包括教学设计72份、论文30篇、课程思政教学设计案例67个，编印了《2024年教科研成果优秀作品集》，对优秀作品进行推广及交流互鉴。在市级教科研成果评比中，20份教案、16篇论文共36项成果获奖，同时学院获“优秀组织奖”。</w:t>
      </w:r>
    </w:p>
    <w:p w14:paraId="16F72A94">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3.环境效益指标</w:t>
      </w:r>
    </w:p>
    <w:p w14:paraId="075E923A">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全年实施完成21个财政专项资金项目，完成暖气管道及操场路面维修、东宿舍屋面改造、内部路面修缮及电缆管预埋工程、学生活动室及实训室改造修缮、操场改造等。</w:t>
      </w:r>
    </w:p>
    <w:p w14:paraId="3880152F">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全面贯彻上级各项安全工作部署，高标准落实安全生产主体责任和“党政同责、一岗双责”要求，狠抓全员安全生产责任制落实，扎实开展安全生产治本攻坚三年行动，始终将学生和教职工的生命健康安全放在首位。开展“安全生产月”“消防宣传月”活动，针对防火、防食物中毒和用电安全、交通安全等预防重点，组织开展多种形式的安全培训和应急演练，加大安全宣传教育力度，打造全院师生人人重视安全的良好氛围。高度重视矛盾排查和接诉即办工作，将降工单数量、提工单质量作为工作重点，持续推进“主动治理、未诉先办”。经全院共同努力，全年未发生安全生产责任事故，确保了校园安全稳定。</w:t>
      </w:r>
    </w:p>
    <w:p w14:paraId="170EC6B5">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4.可持续性影响</w:t>
      </w:r>
    </w:p>
    <w:p w14:paraId="471C5B6F">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深入实施学院“十四五”战略规划，不断改革创新，提升育人质量，加强教师队伍建设，持续推进专业调整优化，推进工学一体化技能人才培养模式，增强学院运行保障能力，确保了学院安全稳定，各项工作质量稳步提高，较好地完成了全年各项工作任务。</w:t>
      </w:r>
    </w:p>
    <w:p w14:paraId="195FF02B">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5.服务对象满意度</w:t>
      </w:r>
    </w:p>
    <w:p w14:paraId="3B397BE3">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2024年学院毕业生1423人，就业率达到99.3%，对口率89.7%，用人单位满意度98.5%，学生对教学工作的整体满意度为99.4%。</w:t>
      </w:r>
    </w:p>
    <w:p w14:paraId="5E730D83">
      <w:pPr>
        <w:keepNext/>
        <w:keepLines/>
        <w:snapToGrid w:val="0"/>
        <w:spacing w:line="560" w:lineRule="exact"/>
        <w:ind w:firstLine="640" w:firstLineChars="200"/>
        <w:outlineLvl w:val="0"/>
        <w:rPr>
          <w:rFonts w:ascii="黑体" w:hAnsi="黑体" w:eastAsia="黑体" w:cs="宋体"/>
          <w:bCs/>
          <w:kern w:val="0"/>
          <w:sz w:val="32"/>
          <w:szCs w:val="32"/>
        </w:rPr>
      </w:pPr>
      <w:r>
        <w:rPr>
          <w:rFonts w:hint="eastAsia" w:ascii="黑体" w:hAnsi="黑体" w:eastAsia="黑体" w:cs="宋体"/>
          <w:bCs/>
          <w:kern w:val="0"/>
          <w:sz w:val="32"/>
          <w:szCs w:val="32"/>
        </w:rPr>
        <w:t>四、预算管理情况分析</w:t>
      </w:r>
    </w:p>
    <w:p w14:paraId="3750AA00">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（一）财务管理</w:t>
      </w:r>
    </w:p>
    <w:p w14:paraId="070C6B08">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1.财务管理制度健全性</w:t>
      </w:r>
    </w:p>
    <w:p w14:paraId="2BAA308D">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为加强内部管理水平及财务管理，提高资金使用效益，工贸学院编写了《内部控制手册》《“三重一大”决策制度实施办法》，主要内容包括单位层面内部控制、预算业务控制及收支业务控制，大额支出管理等。并依据工贸学院制定的《北京市工贸技师学院办公会议议事规则》《北京市工贸技师学院委员会会议议事规则》《北京市工贸技师学院财务管理制度》《北京市工贸技师学院支票管理办法》《北京市工贸技师学院采购管理制度》及《北京市工贸技师学院招标投标管理办法》等相关制度执行。</w:t>
      </w:r>
    </w:p>
    <w:p w14:paraId="514FBA85">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2024年度推进学院合规管理，全面梳理制度流程，精简制度148项，优化业务流程64项，印制了2024版《合规与内控管理手册》。</w:t>
      </w:r>
    </w:p>
    <w:p w14:paraId="733AE1C1">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2.资金使用合规性和安全性</w:t>
      </w:r>
    </w:p>
    <w:p w14:paraId="0B365F8A">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在资金的使用和管控方面，各项费用依据市财政局批复资金使用范围，严格按照有关财务规章制度规定的开支范围及开支标准执行。依据《北京市工贸技师学院财务管理制度》及《北京市工贸技师学院财务支付管理办法》履行了相关手续和报批流程，填写《专项资金支付申请表》，执行逐级审批、分级把关的原则，能够做到项目资金独立核算、专款专用，不存在截留、挤占、挪用项目资金情况。财务人员对其所管理的资金使用合法性、合理性和有效性实行全面监督。</w:t>
      </w:r>
    </w:p>
    <w:p w14:paraId="1D069234">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3.会计基础信息完善性</w:t>
      </w:r>
    </w:p>
    <w:p w14:paraId="59DA089C">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在会计基础信息记录方面，项目单位能够依据《政府会计制度》等有关制度规定进行，会计基础信息做到完整、恰当地反映本单位年度经济业务。并按照《政府收支经济分类》部门预算支出经济分类的规定，计入适当的类、款。规范开展内部审计和内部控制评价工作，加强内部监督管理，提升防范风险能力。运用信息化手段完善了合同管理流程。</w:t>
      </w:r>
    </w:p>
    <w:p w14:paraId="07010221">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（二）资产管理</w:t>
      </w:r>
    </w:p>
    <w:p w14:paraId="4421D81F">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工贸学院顺利完成四个批次资产处置，开展年度资产盘点工作，提高资产管理质量，截至2024年底，学院资产总值7.16亿元，其中2024年新增资产总值2099万元。</w:t>
      </w:r>
    </w:p>
    <w:p w14:paraId="5147F121">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贸学院作为项目实施主体，负责项目前期规划、预算申报、招投标办理、资金筹措和组织协调实施工作。为了保障项目的组织实施，由学院总务处牵头，各分院负责实施，编制了《项目实施方案》。项目采取“统一管理、分步实施、机构保障、监督落实”的组织策略，专门成立项目工作组。</w:t>
      </w:r>
    </w:p>
    <w:p w14:paraId="7A119837">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根据学院总体发展规划和年度工作推进情况，编制年度预算。按照市财政局每年下半年编制次年资金预算的总要求，学校采取自下而上、自上而下相结合的方式，首先由校内各部门依据工作职责、工作进展和下年度工作任务参照本年度资金预算提出下一年度初步预算资金额，报学院财务处，财务处根据学院工作的总要求和市财政局部门预算编制的规定编制学院下一年度资金预算，经党委会及院长办公会研究通过后上报市财政局，学院严格按市财政局批复的预算执行。</w:t>
      </w:r>
    </w:p>
    <w:p w14:paraId="5E6E2070">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项目预算依据前期调研及校内需求确定实施内容。通过三方市场比价后，及委托第三方专业设计公司出具工程广联达版预算明细及工程图纸后，执行财政预算评审程序。</w:t>
      </w:r>
    </w:p>
    <w:p w14:paraId="0F29B5F6">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贸学院编写《内部控制手册》，主要内容包括单位层面内部控制、预算业务控制及收支业务控制等。并依据工贸学院制定的《北京市工贸技师学院委员会会议议事规则》《北京市工贸技师学院办公会议议事规则》《北京市工贸技师学院财务管理制度》《北京市工贸技师学院采购管理制度》《北京市工贸技师学院招标投标管理办法》《北京市工贸技师学院固定资产管理办法》及《北京市工贸技师学院经济合同管理办法》等相关制度执行，通过公开招投标、竞争性磋商等方式确定施工及供货中标单位，并与中标单位及时签订了《合同》。</w:t>
      </w:r>
    </w:p>
    <w:p w14:paraId="0EFCA8C4">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（三）绩效管理</w:t>
      </w:r>
    </w:p>
    <w:p w14:paraId="112E77DD">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深入贯彻落实《中共中央国务院关于全面实施预算绩效管理的意见》及《</w:t>
      </w:r>
      <w:r>
        <w:rPr>
          <w:rFonts w:hint="eastAsia" w:ascii="仿宋_GB2312" w:eastAsia="仿宋_GB2312"/>
          <w:sz w:val="32"/>
          <w:szCs w:val="32"/>
        </w:rPr>
        <w:t>关于2025年预算绩效管理工作的通知</w:t>
      </w:r>
      <w:r>
        <w:rPr>
          <w:rFonts w:hint="eastAsia" w:ascii="仿宋_GB2312" w:hAnsi="仿宋_GB2312" w:eastAsia="仿宋_GB2312" w:cs="仿宋_GB2312"/>
          <w:color w:val="000000"/>
          <w:kern w:val="0"/>
          <w:sz w:val="32"/>
          <w:szCs w:val="32"/>
        </w:rPr>
        <w:t>》文件要求。</w:t>
      </w:r>
    </w:p>
    <w:p w14:paraId="66BADF6F">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1.全年绩效过程跟踪</w:t>
      </w:r>
    </w:p>
    <w:p w14:paraId="45DF4396">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贸学院组建绩效评价工作组，运用科学、合理的绩效信息汇总分析方法，对2024年财政支出项目进行了部门评价及单位自评，审核项目资料完成部门评价，辅导各项目负责人进行项目自评，填报《项目支出绩效自评表》，在部门评价和单位自评的基础上完成绩效自评工作总结及项目支出绩效自评汇总表。并对2024年财政支出项目进行全过程绩效跟踪及中期绩效运行监控。监控及跟踪项目情况如表1所示。</w:t>
      </w:r>
    </w:p>
    <w:p w14:paraId="1BE48FF5">
      <w:pPr>
        <w:tabs>
          <w:tab w:val="left" w:pos="675"/>
        </w:tabs>
        <w:adjustRightInd w:val="0"/>
        <w:snapToGrid w:val="0"/>
        <w:spacing w:line="360" w:lineRule="auto"/>
        <w:jc w:val="center"/>
        <w:rPr>
          <w:rFonts w:ascii="宋体" w:hAnsi="宋体"/>
          <w:b/>
          <w:color w:val="000000"/>
          <w:sz w:val="28"/>
          <w:szCs w:val="28"/>
        </w:rPr>
      </w:pPr>
      <w:r>
        <w:rPr>
          <w:rFonts w:hint="eastAsia" w:ascii="宋体" w:hAnsi="宋体"/>
          <w:b/>
          <w:color w:val="000000"/>
          <w:sz w:val="28"/>
          <w:szCs w:val="28"/>
        </w:rPr>
        <w:t>表1-2024年北京市工贸技师学院项目名单</w:t>
      </w:r>
    </w:p>
    <w:p w14:paraId="3D38C611">
      <w:pPr>
        <w:tabs>
          <w:tab w:val="left" w:pos="675"/>
        </w:tabs>
        <w:adjustRightInd w:val="0"/>
        <w:snapToGrid w:val="0"/>
        <w:spacing w:line="360" w:lineRule="auto"/>
        <w:ind w:firstLine="400" w:firstLineChars="200"/>
        <w:jc w:val="right"/>
      </w:pPr>
      <w:r>
        <w:rPr>
          <w:rFonts w:hint="eastAsia" w:ascii="宋体" w:hAnsi="宋体"/>
          <w:color w:val="000000"/>
          <w:sz w:val="20"/>
          <w:szCs w:val="20"/>
        </w:rPr>
        <w:t>单位：万元</w:t>
      </w:r>
    </w:p>
    <w:tbl>
      <w:tblPr>
        <w:tblStyle w:val="11"/>
        <w:tblW w:w="8284" w:type="dxa"/>
        <w:jc w:val="center"/>
        <w:tblLayout w:type="fixed"/>
        <w:tblCellMar>
          <w:top w:w="0" w:type="dxa"/>
          <w:left w:w="108" w:type="dxa"/>
          <w:bottom w:w="0" w:type="dxa"/>
          <w:right w:w="108" w:type="dxa"/>
        </w:tblCellMar>
      </w:tblPr>
      <w:tblGrid>
        <w:gridCol w:w="686"/>
        <w:gridCol w:w="6212"/>
        <w:gridCol w:w="1386"/>
      </w:tblGrid>
      <w:tr w14:paraId="1F263C88">
        <w:tblPrEx>
          <w:tblCellMar>
            <w:top w:w="0" w:type="dxa"/>
            <w:left w:w="108" w:type="dxa"/>
            <w:bottom w:w="0" w:type="dxa"/>
            <w:right w:w="108" w:type="dxa"/>
          </w:tblCellMar>
        </w:tblPrEx>
        <w:trPr>
          <w:trHeight w:val="522" w:hRule="atLeast"/>
          <w:tblHeader/>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9C0C8">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序号</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7A176">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项目名称</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3F11C">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项目金额</w:t>
            </w:r>
          </w:p>
        </w:tc>
      </w:tr>
      <w:tr w14:paraId="43B6696A">
        <w:tblPrEx>
          <w:tblCellMar>
            <w:top w:w="0" w:type="dxa"/>
            <w:left w:w="108" w:type="dxa"/>
            <w:bottom w:w="0" w:type="dxa"/>
            <w:right w:w="108" w:type="dxa"/>
          </w:tblCellMar>
        </w:tblPrEx>
        <w:trPr>
          <w:trHeight w:val="9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5AF0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66A1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中职免学费</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5DAFA">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300.000000</w:t>
            </w:r>
          </w:p>
        </w:tc>
      </w:tr>
      <w:tr w14:paraId="6B6AA20C">
        <w:tblPrEx>
          <w:tblCellMar>
            <w:top w:w="0" w:type="dxa"/>
            <w:left w:w="108" w:type="dxa"/>
            <w:bottom w:w="0" w:type="dxa"/>
            <w:right w:w="108" w:type="dxa"/>
          </w:tblCellMar>
        </w:tblPrEx>
        <w:trPr>
          <w:trHeight w:val="9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05B1A">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B698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（学生资助）中等职业教育国家助学金项目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8FDE5">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105.638000</w:t>
            </w:r>
          </w:p>
        </w:tc>
      </w:tr>
      <w:tr w14:paraId="6F2E725F">
        <w:tblPrEx>
          <w:tblCellMar>
            <w:top w:w="0" w:type="dxa"/>
            <w:left w:w="108" w:type="dxa"/>
            <w:bottom w:w="0" w:type="dxa"/>
            <w:right w:w="108" w:type="dxa"/>
          </w:tblCellMar>
        </w:tblPrEx>
        <w:trPr>
          <w:trHeight w:val="9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CDA7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90E7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学生生活物价补贴</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6CE3A">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286.636000</w:t>
            </w:r>
          </w:p>
        </w:tc>
      </w:tr>
      <w:tr w14:paraId="28621C12">
        <w:tblPrEx>
          <w:tblCellMar>
            <w:top w:w="0" w:type="dxa"/>
            <w:left w:w="108" w:type="dxa"/>
            <w:bottom w:w="0" w:type="dxa"/>
            <w:right w:w="108" w:type="dxa"/>
          </w:tblCellMar>
        </w:tblPrEx>
        <w:trPr>
          <w:trHeight w:val="26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7A94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1530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劳务派遣管理服务费</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B93DE">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6.000000</w:t>
            </w:r>
          </w:p>
        </w:tc>
      </w:tr>
      <w:tr w14:paraId="52041A79">
        <w:tblPrEx>
          <w:tblCellMar>
            <w:top w:w="0" w:type="dxa"/>
            <w:left w:w="108" w:type="dxa"/>
            <w:bottom w:w="0" w:type="dxa"/>
            <w:right w:w="108" w:type="dxa"/>
          </w:tblCellMar>
        </w:tblPrEx>
        <w:trPr>
          <w:trHeight w:val="9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EB48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168D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宋家庄校区教学区租赁费</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A1435">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212.750857</w:t>
            </w:r>
          </w:p>
        </w:tc>
      </w:tr>
      <w:tr w14:paraId="724CC461">
        <w:tblPrEx>
          <w:tblCellMar>
            <w:top w:w="0" w:type="dxa"/>
            <w:left w:w="108" w:type="dxa"/>
            <w:bottom w:w="0" w:type="dxa"/>
            <w:right w:w="108" w:type="dxa"/>
          </w:tblCellMar>
        </w:tblPrEx>
        <w:trPr>
          <w:trHeight w:val="256"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34BF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F90F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宋家庄校区学生宿舍租赁费</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51871">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504.305900</w:t>
            </w:r>
          </w:p>
        </w:tc>
      </w:tr>
      <w:tr w14:paraId="452C1D0D">
        <w:tblPrEx>
          <w:tblCellMar>
            <w:top w:w="0" w:type="dxa"/>
            <w:left w:w="108" w:type="dxa"/>
            <w:bottom w:w="0" w:type="dxa"/>
            <w:right w:w="108" w:type="dxa"/>
          </w:tblCellMar>
        </w:tblPrEx>
        <w:trPr>
          <w:trHeight w:val="9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F1BA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7</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0689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五棵松校区学生宿舍租赁费</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D5405">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357.397188</w:t>
            </w:r>
          </w:p>
        </w:tc>
      </w:tr>
      <w:tr w14:paraId="274608BF">
        <w:tblPrEx>
          <w:tblCellMar>
            <w:top w:w="0" w:type="dxa"/>
            <w:left w:w="108" w:type="dxa"/>
            <w:bottom w:w="0" w:type="dxa"/>
            <w:right w:w="108" w:type="dxa"/>
          </w:tblCellMar>
        </w:tblPrEx>
        <w:trPr>
          <w:trHeight w:val="9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5DFA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C6F3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租用住宿学生上下学路途班车</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69005">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38.400000</w:t>
            </w:r>
          </w:p>
        </w:tc>
      </w:tr>
      <w:tr w14:paraId="31BCB2D1">
        <w:tblPrEx>
          <w:tblCellMar>
            <w:top w:w="0" w:type="dxa"/>
            <w:left w:w="108" w:type="dxa"/>
            <w:bottom w:w="0" w:type="dxa"/>
            <w:right w:w="108" w:type="dxa"/>
          </w:tblCellMar>
        </w:tblPrEx>
        <w:trPr>
          <w:trHeight w:val="26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61FE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F197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质量保证金项目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3C2F1">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262.914613</w:t>
            </w:r>
          </w:p>
        </w:tc>
      </w:tr>
      <w:tr w14:paraId="45171448">
        <w:tblPrEx>
          <w:tblCellMar>
            <w:top w:w="0" w:type="dxa"/>
            <w:left w:w="108" w:type="dxa"/>
            <w:bottom w:w="0" w:type="dxa"/>
            <w:right w:w="108" w:type="dxa"/>
          </w:tblCellMar>
        </w:tblPrEx>
        <w:trPr>
          <w:trHeight w:val="26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285F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C35B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日常运行保障</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753BD">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1,493.920000</w:t>
            </w:r>
          </w:p>
        </w:tc>
      </w:tr>
      <w:tr w14:paraId="5C8E0D43">
        <w:tblPrEx>
          <w:tblCellMar>
            <w:top w:w="0" w:type="dxa"/>
            <w:left w:w="108" w:type="dxa"/>
            <w:bottom w:w="0" w:type="dxa"/>
            <w:right w:w="108" w:type="dxa"/>
          </w:tblCellMar>
        </w:tblPrEx>
        <w:trPr>
          <w:trHeight w:val="26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EBC6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11</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EA46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因公出国（境）类项目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1727D">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6.080000</w:t>
            </w:r>
          </w:p>
        </w:tc>
      </w:tr>
      <w:tr w14:paraId="0961C443">
        <w:tblPrEx>
          <w:tblCellMar>
            <w:top w:w="0" w:type="dxa"/>
            <w:left w:w="108" w:type="dxa"/>
            <w:bottom w:w="0" w:type="dxa"/>
            <w:right w:w="108" w:type="dxa"/>
          </w:tblCellMar>
        </w:tblPrEx>
        <w:trPr>
          <w:trHeight w:val="26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9907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12</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530F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（教育教学改善）城市轨道交通运输与管理专业建设项目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7D820">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170.505000</w:t>
            </w:r>
          </w:p>
        </w:tc>
      </w:tr>
      <w:tr w14:paraId="5EA4D6CC">
        <w:tblPrEx>
          <w:tblCellMar>
            <w:top w:w="0" w:type="dxa"/>
            <w:left w:w="108" w:type="dxa"/>
            <w:bottom w:w="0" w:type="dxa"/>
            <w:right w:w="108" w:type="dxa"/>
          </w:tblCellMar>
        </w:tblPrEx>
        <w:trPr>
          <w:trHeight w:val="26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EA77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13</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E951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（教育教学改善）电子商务实训室改造项目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FEE84">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149.320850</w:t>
            </w:r>
          </w:p>
        </w:tc>
      </w:tr>
      <w:tr w14:paraId="0BC726C4">
        <w:tblPrEx>
          <w:tblCellMar>
            <w:top w:w="0" w:type="dxa"/>
            <w:left w:w="108" w:type="dxa"/>
            <w:bottom w:w="0" w:type="dxa"/>
            <w:right w:w="108" w:type="dxa"/>
          </w:tblCellMar>
        </w:tblPrEx>
        <w:trPr>
          <w:trHeight w:val="26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57EB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14</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2F63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（教育教学改善）服装设计与制作实训室建设</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296C2">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276.496050</w:t>
            </w:r>
          </w:p>
        </w:tc>
      </w:tr>
      <w:tr w14:paraId="7A223909">
        <w:tblPrEx>
          <w:tblCellMar>
            <w:top w:w="0" w:type="dxa"/>
            <w:left w:w="108" w:type="dxa"/>
            <w:bottom w:w="0" w:type="dxa"/>
            <w:right w:w="108" w:type="dxa"/>
          </w:tblCellMar>
        </w:tblPrEx>
        <w:trPr>
          <w:trHeight w:val="26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5E6F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15</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C825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（教育教学改善）基础教学智慧黑板购置项目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A7116">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59.263200</w:t>
            </w:r>
          </w:p>
        </w:tc>
      </w:tr>
      <w:tr w14:paraId="261FA3EA">
        <w:tblPrEx>
          <w:tblCellMar>
            <w:top w:w="0" w:type="dxa"/>
            <w:left w:w="108" w:type="dxa"/>
            <w:bottom w:w="0" w:type="dxa"/>
            <w:right w:w="108" w:type="dxa"/>
          </w:tblCellMar>
        </w:tblPrEx>
        <w:trPr>
          <w:trHeight w:val="26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6894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16</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8F79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（教育教学改善）技工院校工学一体化技能人才培养模式专业创建项目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AD687">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83.695600</w:t>
            </w:r>
          </w:p>
        </w:tc>
      </w:tr>
      <w:tr w14:paraId="17DB65C0">
        <w:tblPrEx>
          <w:tblCellMar>
            <w:top w:w="0" w:type="dxa"/>
            <w:left w:w="108" w:type="dxa"/>
            <w:bottom w:w="0" w:type="dxa"/>
            <w:right w:w="108" w:type="dxa"/>
          </w:tblCellMar>
        </w:tblPrEx>
        <w:trPr>
          <w:trHeight w:val="9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7C9D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17</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D0A6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（教育教学改善）技能竞赛人才培养项目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051DE">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179.511530</w:t>
            </w:r>
          </w:p>
        </w:tc>
      </w:tr>
      <w:tr w14:paraId="5696C2E7">
        <w:tblPrEx>
          <w:tblCellMar>
            <w:top w:w="0" w:type="dxa"/>
            <w:left w:w="108" w:type="dxa"/>
            <w:bottom w:w="0" w:type="dxa"/>
            <w:right w:w="108" w:type="dxa"/>
          </w:tblCellMar>
        </w:tblPrEx>
        <w:trPr>
          <w:trHeight w:val="26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A7CD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18</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2583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（教育教学改善）美容美发及咖啡调酒实训室建设项目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E0B3E">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287.921343</w:t>
            </w:r>
          </w:p>
        </w:tc>
      </w:tr>
      <w:tr w14:paraId="62106FB3">
        <w:tblPrEx>
          <w:tblCellMar>
            <w:top w:w="0" w:type="dxa"/>
            <w:left w:w="108" w:type="dxa"/>
            <w:bottom w:w="0" w:type="dxa"/>
            <w:right w:w="108" w:type="dxa"/>
          </w:tblCellMar>
        </w:tblPrEx>
        <w:trPr>
          <w:trHeight w:val="9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77C8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19</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BC95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（教育教学改善）烹饪（中西式面点）专业综合实训室建设</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460D2">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56.599257</w:t>
            </w:r>
          </w:p>
        </w:tc>
      </w:tr>
      <w:tr w14:paraId="68178B5C">
        <w:tblPrEx>
          <w:tblCellMar>
            <w:top w:w="0" w:type="dxa"/>
            <w:left w:w="108" w:type="dxa"/>
            <w:bottom w:w="0" w:type="dxa"/>
            <w:right w:w="108" w:type="dxa"/>
          </w:tblCellMar>
        </w:tblPrEx>
        <w:trPr>
          <w:trHeight w:val="233"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68E8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20</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59B3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（教育教学改善）楼宇自动控制设备安装与维护专业实训室建设</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A083E">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429.557220</w:t>
            </w:r>
          </w:p>
        </w:tc>
      </w:tr>
      <w:tr w14:paraId="316162C3">
        <w:tblPrEx>
          <w:tblCellMar>
            <w:top w:w="0" w:type="dxa"/>
            <w:left w:w="108" w:type="dxa"/>
            <w:bottom w:w="0" w:type="dxa"/>
            <w:right w:w="108" w:type="dxa"/>
          </w:tblCellMar>
        </w:tblPrEx>
        <w:trPr>
          <w:trHeight w:val="16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4BCA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21</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9EB5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（教育教学改善）装备制造专业群教学软件购置项目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A1363">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129.600000</w:t>
            </w:r>
          </w:p>
        </w:tc>
      </w:tr>
      <w:tr w14:paraId="2F9F35EF">
        <w:tblPrEx>
          <w:tblCellMar>
            <w:top w:w="0" w:type="dxa"/>
            <w:left w:w="108" w:type="dxa"/>
            <w:bottom w:w="0" w:type="dxa"/>
            <w:right w:w="108" w:type="dxa"/>
          </w:tblCellMar>
        </w:tblPrEx>
        <w:trPr>
          <w:trHeight w:val="26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C867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22</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2C08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（设备购置）远程教学设备更新项目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C4154">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84.112290</w:t>
            </w:r>
          </w:p>
        </w:tc>
      </w:tr>
      <w:tr w14:paraId="454AA4BE">
        <w:tblPrEx>
          <w:tblCellMar>
            <w:top w:w="0" w:type="dxa"/>
            <w:left w:w="108" w:type="dxa"/>
            <w:bottom w:w="0" w:type="dxa"/>
            <w:right w:w="108" w:type="dxa"/>
          </w:tblCellMar>
        </w:tblPrEx>
        <w:trPr>
          <w:trHeight w:val="9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3755E">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23</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6D11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（涉危/安全整改）暖气管道及操场路面维修项目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43F1D">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324.968959</w:t>
            </w:r>
          </w:p>
        </w:tc>
      </w:tr>
      <w:tr w14:paraId="6858A425">
        <w:tblPrEx>
          <w:tblCellMar>
            <w:top w:w="0" w:type="dxa"/>
            <w:left w:w="108" w:type="dxa"/>
            <w:bottom w:w="0" w:type="dxa"/>
            <w:right w:w="108" w:type="dxa"/>
          </w:tblCellMar>
        </w:tblPrEx>
        <w:trPr>
          <w:trHeight w:val="9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5DF07">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24</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2D23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（涉危/安全整改）东宿舍屋面改造项目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A3AE4">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41.611126</w:t>
            </w:r>
          </w:p>
        </w:tc>
      </w:tr>
      <w:tr w14:paraId="139CBB87">
        <w:tblPrEx>
          <w:tblCellMar>
            <w:top w:w="0" w:type="dxa"/>
            <w:left w:w="108" w:type="dxa"/>
            <w:bottom w:w="0" w:type="dxa"/>
            <w:right w:w="108" w:type="dxa"/>
          </w:tblCellMar>
        </w:tblPrEx>
        <w:trPr>
          <w:trHeight w:val="9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D099F">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25</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1C9E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（涉危/安全整改）内部路面修缮及电缆管预埋工程项目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B1D76">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164.566757</w:t>
            </w:r>
          </w:p>
        </w:tc>
      </w:tr>
      <w:tr w14:paraId="408E43E4">
        <w:tblPrEx>
          <w:tblCellMar>
            <w:top w:w="0" w:type="dxa"/>
            <w:left w:w="108" w:type="dxa"/>
            <w:bottom w:w="0" w:type="dxa"/>
            <w:right w:w="108" w:type="dxa"/>
          </w:tblCellMar>
        </w:tblPrEx>
        <w:trPr>
          <w:trHeight w:val="9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C3FB3">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26</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49D2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（涉危/安全整改）学生活动室及实训室改造修缮项目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006B7">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451.579022</w:t>
            </w:r>
          </w:p>
        </w:tc>
      </w:tr>
      <w:tr w14:paraId="6024A1BF">
        <w:tblPrEx>
          <w:tblCellMar>
            <w:top w:w="0" w:type="dxa"/>
            <w:left w:w="108" w:type="dxa"/>
            <w:bottom w:w="0" w:type="dxa"/>
            <w:right w:w="108" w:type="dxa"/>
          </w:tblCellMar>
        </w:tblPrEx>
        <w:trPr>
          <w:trHeight w:val="9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928A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27</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4FBE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（涉危/安全整改）操场改造项目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8B53D">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201.758393</w:t>
            </w:r>
          </w:p>
        </w:tc>
      </w:tr>
      <w:tr w14:paraId="1AB961BE">
        <w:tblPrEx>
          <w:tblCellMar>
            <w:top w:w="0" w:type="dxa"/>
            <w:left w:w="108" w:type="dxa"/>
            <w:bottom w:w="0" w:type="dxa"/>
            <w:right w:w="108" w:type="dxa"/>
          </w:tblCellMar>
        </w:tblPrEx>
        <w:trPr>
          <w:trHeight w:val="260"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D3E1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28</w:t>
            </w:r>
          </w:p>
        </w:tc>
        <w:tc>
          <w:tcPr>
            <w:tcW w:w="6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9F8F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北京市职业院校特色高水平骨干大师工作室建设项目李东方珂罗版技术非遗传承大师工作室</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56817">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167.640180</w:t>
            </w:r>
          </w:p>
        </w:tc>
      </w:tr>
      <w:tr w14:paraId="1CBCCD78">
        <w:tblPrEx>
          <w:tblCellMar>
            <w:top w:w="0" w:type="dxa"/>
            <w:left w:w="108" w:type="dxa"/>
            <w:bottom w:w="0" w:type="dxa"/>
            <w:right w:w="108" w:type="dxa"/>
          </w:tblCellMar>
        </w:tblPrEx>
        <w:trPr>
          <w:trHeight w:val="260" w:hRule="atLeast"/>
          <w:jc w:val="center"/>
        </w:trPr>
        <w:tc>
          <w:tcPr>
            <w:tcW w:w="689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0643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合计</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0D73F">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6,832.749335</w:t>
            </w:r>
          </w:p>
        </w:tc>
      </w:tr>
    </w:tbl>
    <w:p w14:paraId="06731205">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2.事后绩效评价</w:t>
      </w:r>
    </w:p>
    <w:p w14:paraId="177FF86F">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为进一步加强预算绩效管理，增强支出责任意识和绩效意识，提高财政资金使用效益，工贸学院对本单位27个预算项目（剔除未实施项目1个，中职免学费项目）进行了项目自评并在自评的基础上对4个重点项目进行绩效部门评价。事后绩效评价项目情况如表2所示。</w:t>
      </w:r>
    </w:p>
    <w:p w14:paraId="7F2E99E0">
      <w:pPr>
        <w:tabs>
          <w:tab w:val="left" w:pos="675"/>
        </w:tabs>
        <w:adjustRightInd w:val="0"/>
        <w:snapToGrid w:val="0"/>
        <w:spacing w:line="360" w:lineRule="auto"/>
        <w:jc w:val="center"/>
        <w:rPr>
          <w:rFonts w:ascii="宋体" w:hAnsi="宋体"/>
          <w:b/>
          <w:color w:val="000000"/>
          <w:sz w:val="28"/>
          <w:szCs w:val="28"/>
        </w:rPr>
      </w:pPr>
      <w:r>
        <w:rPr>
          <w:rFonts w:hint="eastAsia" w:ascii="宋体" w:hAnsi="宋体"/>
          <w:b/>
          <w:color w:val="000000"/>
          <w:sz w:val="28"/>
          <w:szCs w:val="28"/>
        </w:rPr>
        <w:t>表2-20</w:t>
      </w:r>
      <w:r>
        <w:rPr>
          <w:rFonts w:ascii="宋体" w:hAnsi="宋体"/>
          <w:b/>
          <w:color w:val="000000"/>
          <w:sz w:val="28"/>
          <w:szCs w:val="28"/>
        </w:rPr>
        <w:t>2</w:t>
      </w:r>
      <w:r>
        <w:rPr>
          <w:rFonts w:hint="eastAsia" w:ascii="宋体" w:hAnsi="宋体"/>
          <w:b/>
          <w:color w:val="000000"/>
          <w:sz w:val="28"/>
          <w:szCs w:val="28"/>
        </w:rPr>
        <w:t>4年北京市工贸技师学院</w:t>
      </w:r>
    </w:p>
    <w:p w14:paraId="627827FF">
      <w:pPr>
        <w:tabs>
          <w:tab w:val="left" w:pos="675"/>
        </w:tabs>
        <w:adjustRightInd w:val="0"/>
        <w:snapToGrid w:val="0"/>
        <w:spacing w:line="360" w:lineRule="auto"/>
        <w:jc w:val="center"/>
        <w:rPr>
          <w:rFonts w:ascii="宋体" w:hAnsi="宋体"/>
          <w:b/>
          <w:color w:val="000000"/>
          <w:sz w:val="28"/>
          <w:szCs w:val="28"/>
        </w:rPr>
      </w:pPr>
      <w:r>
        <w:rPr>
          <w:rFonts w:hint="eastAsia" w:ascii="宋体" w:hAnsi="宋体"/>
          <w:b/>
          <w:color w:val="000000"/>
          <w:sz w:val="28"/>
          <w:szCs w:val="28"/>
        </w:rPr>
        <w:t>事后绩效评价项目名单</w:t>
      </w:r>
    </w:p>
    <w:p w14:paraId="769F0CB4">
      <w:pPr>
        <w:tabs>
          <w:tab w:val="left" w:pos="675"/>
        </w:tabs>
        <w:adjustRightInd w:val="0"/>
        <w:snapToGrid w:val="0"/>
        <w:spacing w:line="360" w:lineRule="auto"/>
        <w:ind w:firstLine="400" w:firstLineChars="200"/>
        <w:jc w:val="right"/>
      </w:pPr>
      <w:r>
        <w:rPr>
          <w:rFonts w:hint="eastAsia" w:ascii="宋体" w:hAnsi="宋体"/>
          <w:color w:val="000000"/>
          <w:sz w:val="20"/>
          <w:szCs w:val="20"/>
        </w:rPr>
        <w:t>单位：万元</w:t>
      </w:r>
    </w:p>
    <w:tbl>
      <w:tblPr>
        <w:tblStyle w:val="11"/>
        <w:tblW w:w="8450" w:type="dxa"/>
        <w:tblInd w:w="0" w:type="dxa"/>
        <w:tblLayout w:type="fixed"/>
        <w:tblCellMar>
          <w:top w:w="0" w:type="dxa"/>
          <w:left w:w="108" w:type="dxa"/>
          <w:bottom w:w="0" w:type="dxa"/>
          <w:right w:w="108" w:type="dxa"/>
        </w:tblCellMar>
      </w:tblPr>
      <w:tblGrid>
        <w:gridCol w:w="676"/>
        <w:gridCol w:w="5021"/>
        <w:gridCol w:w="1577"/>
        <w:gridCol w:w="1176"/>
      </w:tblGrid>
      <w:tr w14:paraId="533963D4">
        <w:tblPrEx>
          <w:tblCellMar>
            <w:top w:w="0" w:type="dxa"/>
            <w:left w:w="108" w:type="dxa"/>
            <w:bottom w:w="0" w:type="dxa"/>
            <w:right w:w="108" w:type="dxa"/>
          </w:tblCellMar>
        </w:tblPrEx>
        <w:trPr>
          <w:trHeight w:val="300" w:hRule="atLeast"/>
          <w:tblHeader/>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E07FA">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序号</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814C3">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项目名称</w:t>
            </w:r>
          </w:p>
        </w:tc>
        <w:tc>
          <w:tcPr>
            <w:tcW w:w="1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5DDCF">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预算金额</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233ED">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评价方式</w:t>
            </w:r>
          </w:p>
        </w:tc>
      </w:tr>
      <w:tr w14:paraId="142D216B">
        <w:tblPrEx>
          <w:tblCellMar>
            <w:top w:w="0" w:type="dxa"/>
            <w:left w:w="108" w:type="dxa"/>
            <w:bottom w:w="0" w:type="dxa"/>
            <w:right w:w="108" w:type="dxa"/>
          </w:tblCellMar>
        </w:tblPrEx>
        <w:trPr>
          <w:trHeight w:val="300" w:hRule="atLeast"/>
        </w:trPr>
        <w:tc>
          <w:tcPr>
            <w:tcW w:w="56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0E1ED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合计</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BA5BF">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6,532.749335</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62517">
            <w:pPr>
              <w:jc w:val="center"/>
              <w:rPr>
                <w:rFonts w:ascii="宋体" w:hAnsi="宋体" w:cs="宋体"/>
                <w:color w:val="000000"/>
                <w:sz w:val="18"/>
                <w:szCs w:val="18"/>
              </w:rPr>
            </w:pPr>
          </w:p>
        </w:tc>
      </w:tr>
      <w:tr w14:paraId="0F9B8B72">
        <w:tblPrEx>
          <w:tblCellMar>
            <w:top w:w="0" w:type="dxa"/>
            <w:left w:w="108" w:type="dxa"/>
            <w:bottom w:w="0" w:type="dxa"/>
            <w:right w:w="108" w:type="dxa"/>
          </w:tblCellMar>
        </w:tblPrEx>
        <w:trPr>
          <w:trHeight w:val="6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6816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9A7A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（学生资助）中等职业教育国家助学金项目</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0EC26">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105.638000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F758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217926B4">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AD4A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4312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学生生活物价补贴</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071A7">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286.636000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4DE4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5C114125">
        <w:tblPrEx>
          <w:tblCellMar>
            <w:top w:w="0" w:type="dxa"/>
            <w:left w:w="108" w:type="dxa"/>
            <w:bottom w:w="0" w:type="dxa"/>
            <w:right w:w="108" w:type="dxa"/>
          </w:tblCellMar>
        </w:tblPrEx>
        <w:trPr>
          <w:trHeight w:val="292"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E347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A436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劳务派遣管理服务费</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3F48D">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6.000000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58AB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6739034D">
        <w:tblPrEx>
          <w:tblCellMar>
            <w:top w:w="0" w:type="dxa"/>
            <w:left w:w="108" w:type="dxa"/>
            <w:bottom w:w="0" w:type="dxa"/>
            <w:right w:w="108" w:type="dxa"/>
          </w:tblCellMar>
        </w:tblPrEx>
        <w:trPr>
          <w:trHeight w:val="6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D336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60E6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宋家庄校区教学区租赁费</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CD37F">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212.750857</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6927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2C56BED6">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23B0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E0A3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宋家庄校区学生宿舍租赁费</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4AD5E">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504.305900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80BF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56AF0606">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05F0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C5C7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五棵松校区学生宿舍租赁费</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A4F10">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357.397188</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FA0C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55A3CBD5">
        <w:tblPrEx>
          <w:tblCellMar>
            <w:top w:w="0" w:type="dxa"/>
            <w:left w:w="108" w:type="dxa"/>
            <w:bottom w:w="0" w:type="dxa"/>
            <w:right w:w="108" w:type="dxa"/>
          </w:tblCellMar>
        </w:tblPrEx>
        <w:trPr>
          <w:trHeight w:val="9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1BA5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7</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4374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租用住宿学生上下学路途班车</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E3F01">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38.400000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83C6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6CFD3544">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70A8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DD6A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质量保证金项目</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8B0CF">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262.914613</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0C2B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6EC5BCF5">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37D7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305B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日常运行保障</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4D7E4">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1,493.920000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A2EA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3F56B10C">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864A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B60C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因公出国（境）类项目</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1083D">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6.080000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79B6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70374F89">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56DC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11</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06F2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（教育教学改善）城市轨道交通运输与管理专业建设项目</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7CB58">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170.505000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3060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单位自评、部门评价</w:t>
            </w:r>
          </w:p>
        </w:tc>
      </w:tr>
      <w:tr w14:paraId="4090EF63">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75F2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12</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B96B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（教育教学改善）电子商务实训室改造项目</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D277C">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149.320850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5009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70B168B3">
        <w:tblPrEx>
          <w:tblCellMar>
            <w:top w:w="0" w:type="dxa"/>
            <w:left w:w="108" w:type="dxa"/>
            <w:bottom w:w="0" w:type="dxa"/>
            <w:right w:w="108" w:type="dxa"/>
          </w:tblCellMar>
        </w:tblPrEx>
        <w:trPr>
          <w:trHeight w:val="9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7955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13</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0782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（教育教学改善）服装设计与制作实训室建设</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75AA8">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276.496050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D26F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单位自评、部门评价</w:t>
            </w:r>
          </w:p>
        </w:tc>
      </w:tr>
      <w:tr w14:paraId="6AA9B36C">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503F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14</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8BE9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（教育教学改善）基础教学智慧黑板购置项目</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E1BBA">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59.263200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DCEA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763F2FFC">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CED2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15</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ABBC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（教育教学改善）技工院校工学一体化技能人才培养模式专业创建项目</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30B0C">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83.695600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ACD3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59E51E6E">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20B2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16</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0D37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（教育教学改善）技能竞赛人才培养项目</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F6BF0">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179.511530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5B51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62E17529">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A87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17</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C225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（教育教学改善）美容美发及咖啡调酒实训室建设项目</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E713A">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287.921343</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D636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单位自评、部门评价</w:t>
            </w:r>
          </w:p>
        </w:tc>
      </w:tr>
      <w:tr w14:paraId="15C13EA0">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B961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18</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E46A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（教育教学改善）烹饪（中西式面点）专业综合实训室建设</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EF76B">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56.599257</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A992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7DCE125A">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9175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19</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5A20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（教育教学改善）楼宇自动控制设备安装与维护专业实训室建设</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1F04E">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429.557220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0348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7E478E5B">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89F2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20</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7159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（教育教学改善）装备制造专业群教学软件购置项目</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FBFB5">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129.600000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2D11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单位自评、部门评价</w:t>
            </w:r>
          </w:p>
        </w:tc>
      </w:tr>
      <w:tr w14:paraId="233968AA">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D1E2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21</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58FB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（设备购置）远程教学设备更新项目</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612A0">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84.112290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A8A2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单位自评</w:t>
            </w:r>
          </w:p>
        </w:tc>
      </w:tr>
      <w:tr w14:paraId="75742DED">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384F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22</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C1D9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（涉危/安全整改）暖气管道及操场路面维修项目</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603E8">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324.968959</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A894B">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单位自评</w:t>
            </w:r>
          </w:p>
        </w:tc>
      </w:tr>
      <w:tr w14:paraId="25CA213B">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59273">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23</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A20F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（涉危/安全整改）东宿舍屋面改造项目</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B6DCC">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41.611126</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BCA92">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单位自评</w:t>
            </w:r>
          </w:p>
        </w:tc>
      </w:tr>
      <w:tr w14:paraId="7FC5FE2F">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59198">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24</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AC04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（涉危/安全整改）内部路面修缮及电缆管预埋工程项目</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C2766">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164.566757</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C525E">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单位自评</w:t>
            </w:r>
          </w:p>
        </w:tc>
      </w:tr>
      <w:tr w14:paraId="71B04047">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05FD0">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25</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D495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（涉危/安全整改）学生活动室及实训室改造修缮项目</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031B9">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451.579022</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52573">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单位自评</w:t>
            </w:r>
          </w:p>
        </w:tc>
      </w:tr>
      <w:tr w14:paraId="623DD3DB">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48BA5">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26</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F718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（涉危/安全整改）操场改造项目</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D148F">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201.758393</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261A7">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单位自评</w:t>
            </w:r>
          </w:p>
        </w:tc>
      </w:tr>
      <w:tr w14:paraId="4412F98A">
        <w:tblPrEx>
          <w:tblCellMar>
            <w:top w:w="0" w:type="dxa"/>
            <w:left w:w="108" w:type="dxa"/>
            <w:bottom w:w="0" w:type="dxa"/>
            <w:right w:w="108" w:type="dxa"/>
          </w:tblCellMar>
        </w:tblPrEx>
        <w:trPr>
          <w:trHeight w:val="30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D56C0">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27</w:t>
            </w:r>
          </w:p>
        </w:tc>
        <w:tc>
          <w:tcPr>
            <w:tcW w:w="5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9CE0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北京市职业院校特色高水平骨干大师工作室建设项目李东方珂罗版技术非遗传承大师工作室</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12D22">
            <w:pPr>
              <w:widowControl/>
              <w:jc w:val="right"/>
              <w:textAlignment w:val="center"/>
              <w:rPr>
                <w:rFonts w:ascii="宋体" w:hAnsi="宋体" w:cs="宋体"/>
                <w:color w:val="000000"/>
                <w:kern w:val="0"/>
                <w:sz w:val="18"/>
                <w:szCs w:val="18"/>
              </w:rPr>
            </w:pPr>
            <w:r>
              <w:rPr>
                <w:rFonts w:hint="eastAsia" w:ascii="宋体" w:hAnsi="宋体" w:cs="宋体"/>
                <w:color w:val="000000"/>
                <w:kern w:val="0"/>
                <w:sz w:val="18"/>
                <w:szCs w:val="18"/>
              </w:rPr>
              <w:t>167.640180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15FF6">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单位自评</w:t>
            </w:r>
          </w:p>
        </w:tc>
      </w:tr>
    </w:tbl>
    <w:p w14:paraId="24C6FBEE">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（1）评价重点</w:t>
      </w:r>
    </w:p>
    <w:p w14:paraId="4B0DF3DC">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单位自评：根据列入单位的项目年初设置的绩效目标为评价依据，以收集的项目绩效资料为评价支撑资料，评价绩效目标设置的产出指标、效果指标的实现情况，分析未完成原因，并说明偏离目标、不能完成目标的原因及拟采取的措施。</w:t>
      </w:r>
    </w:p>
    <w:p w14:paraId="1FD792A8">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部门评价：依据项目支出绩效评价共性指标体系，结合被评价项目，细化三级指标、四级指标。从项目决策、项目过程、项目产出和项目效益四个维度开展绩效评价工作，是统一评价标准，遵循客观、公正、透明，体现了绩效评价的公平公正性原则。对于项目管理情况、研究讨论环节、执行效力评价，应作为项目管理评价的重中之重。项目涉及前期调研、需求分析、后期项目验收并进行专家评审的内容。围绕项目绩效目标制定绩效评价指标，是体现绩效评价工作科学规范原则的基础。根据项目管理制度、财务管理等进行项目保障措施。对项目前期调研、专家评审、项目验收等各方面承诺履行的监督管理措施，对项目预算资金的使用、项目负责人与财务人员按计划执行等资金使用环节制度建设与监管，将作为项目管理评价的重中之重。对项目受益群体的满意度调查，将体现绩效成果的有效支撑。该项目受益群体包括研究成果使用的相关工作人员，这些受益群体将作为满意度问卷调查对象。通过满意度调查能够从一定层面和侧面反映项目的实际效果，突出效益指标的量化评价。</w:t>
      </w:r>
    </w:p>
    <w:p w14:paraId="7A6438F3">
      <w:pPr>
        <w:spacing w:line="560" w:lineRule="exact"/>
        <w:ind w:firstLine="640" w:firstLineChars="200"/>
        <w:rPr>
          <w:rFonts w:ascii="仿宋_GB2312" w:hAnsi="仿宋_GB2312" w:eastAsia="仿宋_GB2312" w:cs="仿宋_GB2312"/>
          <w:color w:val="000000"/>
          <w:kern w:val="0"/>
          <w:sz w:val="32"/>
          <w:szCs w:val="32"/>
        </w:rPr>
      </w:pPr>
      <w:bookmarkStart w:id="0" w:name="_Toc29470"/>
      <w:r>
        <w:rPr>
          <w:rFonts w:hint="eastAsia" w:ascii="仿宋_GB2312" w:hAnsi="仿宋_GB2312" w:eastAsia="仿宋_GB2312" w:cs="仿宋_GB2312"/>
          <w:color w:val="000000"/>
          <w:kern w:val="0"/>
          <w:sz w:val="32"/>
          <w:szCs w:val="32"/>
        </w:rPr>
        <w:t>（2）</w:t>
      </w:r>
      <w:bookmarkEnd w:id="0"/>
      <w:bookmarkStart w:id="1" w:name="_Toc4985"/>
      <w:r>
        <w:rPr>
          <w:rFonts w:hint="eastAsia" w:ascii="仿宋_GB2312" w:hAnsi="仿宋_GB2312" w:eastAsia="仿宋_GB2312" w:cs="仿宋_GB2312"/>
          <w:color w:val="000000"/>
          <w:kern w:val="0"/>
          <w:sz w:val="32"/>
          <w:szCs w:val="32"/>
        </w:rPr>
        <w:t>评价进度</w:t>
      </w:r>
      <w:bookmarkEnd w:id="1"/>
    </w:p>
    <w:p w14:paraId="1DDF93F0">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根据《</w:t>
      </w:r>
      <w:r>
        <w:rPr>
          <w:rFonts w:hint="eastAsia" w:ascii="仿宋_GB2312" w:eastAsia="仿宋_GB2312"/>
          <w:sz w:val="32"/>
          <w:szCs w:val="32"/>
        </w:rPr>
        <w:t>关于2025年预算绩效管理工作的通知</w:t>
      </w:r>
      <w:r>
        <w:rPr>
          <w:rFonts w:hint="eastAsia" w:ascii="仿宋_GB2312" w:hAnsi="仿宋_GB2312" w:eastAsia="仿宋_GB2312" w:cs="仿宋_GB2312"/>
          <w:color w:val="000000"/>
          <w:kern w:val="0"/>
          <w:sz w:val="32"/>
          <w:szCs w:val="32"/>
        </w:rPr>
        <w:t>》文件，市财政局要求的绩效评价工作时间安排为2024年4月至5月。</w:t>
      </w:r>
    </w:p>
    <w:p w14:paraId="5F5476ED">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（3）评价结果</w:t>
      </w:r>
    </w:p>
    <w:p w14:paraId="710E0171">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2024年度工贸学院部门项目支出绩效评价项目27个，占部门项目总数的100%（剔除未实施项目1个，中职免学费项目），涉及金额6532.75万元。评价得分在90分（含90分）以上的22个，在80-90分（含80分）的4个，在70-80分（含70分）的1个。其中，部门评价项目4个，涉及金额864.52万元，评价得分在90分（含90分）以上的2个，在80-90分（含80分）的2个。</w:t>
      </w:r>
    </w:p>
    <w:p w14:paraId="083F7249">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（四）结转结余率</w:t>
      </w:r>
    </w:p>
    <w:p w14:paraId="42429A9E">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本年度结余结转金额13979.58万元，全年支出预算总额28571.74万元，结转结余率为48.93%，与上年度（45.79%）相比，结转结余率高出3.14个百分点，年度结转结余率加高。</w:t>
      </w:r>
    </w:p>
    <w:p w14:paraId="25C02AFA">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（五）部门预决算差异率</w:t>
      </w:r>
    </w:p>
    <w:p w14:paraId="0704D963">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2024年全年预算数28571.74万元，总体支出28223.75万元，预算与决算的差异率（-1.22%）。</w:t>
      </w:r>
    </w:p>
    <w:p w14:paraId="19960BCD">
      <w:pPr>
        <w:keepNext/>
        <w:keepLines/>
        <w:snapToGrid w:val="0"/>
        <w:spacing w:line="560" w:lineRule="exact"/>
        <w:ind w:firstLine="640" w:firstLineChars="200"/>
        <w:outlineLvl w:val="0"/>
        <w:rPr>
          <w:rFonts w:ascii="黑体" w:hAnsi="黑体" w:eastAsia="黑体" w:cs="宋体"/>
          <w:bCs/>
          <w:kern w:val="0"/>
          <w:sz w:val="32"/>
          <w:szCs w:val="32"/>
        </w:rPr>
      </w:pPr>
      <w:r>
        <w:rPr>
          <w:rFonts w:hint="eastAsia" w:ascii="黑体" w:hAnsi="黑体" w:eastAsia="黑体" w:cs="宋体"/>
          <w:bCs/>
          <w:kern w:val="0"/>
          <w:sz w:val="32"/>
          <w:szCs w:val="32"/>
        </w:rPr>
        <w:t>五、总体评价结论</w:t>
      </w:r>
    </w:p>
    <w:p w14:paraId="0D745315">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（一）评价得分情况</w:t>
      </w:r>
    </w:p>
    <w:p w14:paraId="534B4A13">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根据对各指标进行分析，2024年部门整体支出综合评价得分94.66分，其中：当年预算执行情况19.76分，整体绩效目标实现情况56.1分，预算管理情况18.8分，综合绩效评定结论为“优”。</w:t>
      </w:r>
    </w:p>
    <w:p w14:paraId="104F274B">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（二）存在的问题及原因分析</w:t>
      </w:r>
    </w:p>
    <w:p w14:paraId="144AE85A">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1.项目前期立项资料不够充分，部分项目实施内容与学院中长期规划及当年重点工作计划相关性不够明确，前期对现状及需求相关数据分析不够充分。</w:t>
      </w:r>
    </w:p>
    <w:p w14:paraId="3BF7BA6B">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2.个别项目绩效目标还需进一步完善，绩效目标笼统，约束性、指导性不足，</w:t>
      </w:r>
      <w:r>
        <w:rPr>
          <w:rFonts w:hint="eastAsia" w:ascii="仿宋_GB2312" w:hAnsi="仿宋_GB2312" w:eastAsia="仿宋_GB2312"/>
          <w:sz w:val="32"/>
          <w:szCs w:val="32"/>
        </w:rPr>
        <w:t>个别指标设定不够规范，细化、量化不足。</w:t>
      </w:r>
      <w:r>
        <w:rPr>
          <w:rFonts w:hint="eastAsia" w:ascii="仿宋_GB2312" w:hAnsi="仿宋_GB2312" w:eastAsia="仿宋_GB2312" w:cs="仿宋_GB2312"/>
          <w:color w:val="000000"/>
          <w:kern w:val="0"/>
          <w:sz w:val="32"/>
          <w:szCs w:val="32"/>
        </w:rPr>
        <w:t>产出数量指标设置不够全面细化，成本指标未按项目成本构成分别列示管控指标。可持续影响指标缺少具体的可持续使用年限。</w:t>
      </w:r>
    </w:p>
    <w:p w14:paraId="547D3D0D">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项目管理存在薄弱环节。部分项目未见整体实施方案，一些项目实施方案比较简单，具体项目管理措施不够明确，工作指导性不强，不利于指导项目实施。验收文档、实施过程文档内容不规范，验收报告、技术鉴定等资料不完整，项目管理过程资料体现不够充分，对全面反映部门整体绩效实现情况有一定影响。</w:t>
      </w:r>
    </w:p>
    <w:p w14:paraId="61D9A7B0">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绩效成果资料完整性不足，相关效益指标资料收集及归档汇总不足，影响部门绩效成果的充分显现。部门整体绩效展示不够充分。部分项目服务对象满意度资料不够完整，服务对象满意度调查工作存在欠缺，在不断改进自身工作，持续提升财政预算支出绩效水平上有待进一步提升。</w:t>
      </w:r>
    </w:p>
    <w:p w14:paraId="58AB6AA3">
      <w:pPr>
        <w:keepNext/>
        <w:keepLines/>
        <w:snapToGrid w:val="0"/>
        <w:spacing w:line="560" w:lineRule="exact"/>
        <w:ind w:firstLine="640" w:firstLineChars="200"/>
        <w:outlineLvl w:val="0"/>
        <w:rPr>
          <w:rFonts w:ascii="黑体" w:hAnsi="黑体" w:eastAsia="黑体" w:cs="宋体"/>
          <w:bCs/>
          <w:kern w:val="0"/>
          <w:sz w:val="32"/>
          <w:szCs w:val="32"/>
        </w:rPr>
      </w:pPr>
      <w:r>
        <w:rPr>
          <w:rFonts w:hint="eastAsia" w:ascii="黑体" w:hAnsi="黑体" w:eastAsia="黑体" w:cs="宋体"/>
          <w:bCs/>
          <w:kern w:val="0"/>
          <w:sz w:val="32"/>
          <w:szCs w:val="32"/>
        </w:rPr>
        <w:t>六、措施建议</w:t>
      </w:r>
    </w:p>
    <w:p w14:paraId="155D5694">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（一）进一步规范项目立项环节</w:t>
      </w:r>
    </w:p>
    <w:p w14:paraId="13CDC636">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olor w:val="000000"/>
          <w:sz w:val="32"/>
          <w:szCs w:val="32"/>
        </w:rPr>
        <w:t>提高立项决策的科学性，</w:t>
      </w:r>
      <w:r>
        <w:rPr>
          <w:rFonts w:hint="eastAsia" w:ascii="仿宋_GB2312" w:hAnsi="仿宋_GB2312" w:eastAsia="仿宋_GB2312" w:cs="仿宋_GB2312"/>
          <w:color w:val="000000"/>
          <w:kern w:val="0"/>
          <w:sz w:val="32"/>
          <w:szCs w:val="32"/>
        </w:rPr>
        <w:t>加强项目前期论证和可行性分析，注重项目与学院整体规划及教学规划的结合，合理利用已有设备，充分论证项目改造必要性、紧迫性和财政资金支持的合理性。</w:t>
      </w:r>
      <w:bookmarkStart w:id="2" w:name="_Toc5888"/>
      <w:bookmarkStart w:id="3" w:name="_Toc2165"/>
    </w:p>
    <w:p w14:paraId="3EF406E9">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（二）进一步</w:t>
      </w:r>
      <w:bookmarkEnd w:id="2"/>
      <w:bookmarkEnd w:id="3"/>
      <w:r>
        <w:rPr>
          <w:rFonts w:hint="eastAsia" w:ascii="仿宋_GB2312" w:hAnsi="仿宋_GB2312" w:eastAsia="仿宋_GB2312" w:cs="仿宋_GB2312"/>
          <w:color w:val="000000"/>
          <w:kern w:val="0"/>
          <w:sz w:val="32"/>
          <w:szCs w:val="32"/>
        </w:rPr>
        <w:t>强化绩效管理意识</w:t>
      </w:r>
    </w:p>
    <w:p w14:paraId="54DD5F13">
      <w:pPr>
        <w:spacing w:line="560" w:lineRule="exact"/>
        <w:ind w:firstLine="640" w:firstLineChars="200"/>
        <w:rPr>
          <w:rFonts w:ascii="仿宋_GB2312" w:hAnsi="仿宋_GB2312" w:eastAsia="仿宋_GB2312" w:cs="仿宋_GB2312"/>
          <w:color w:val="000000"/>
          <w:kern w:val="0"/>
          <w:sz w:val="32"/>
          <w:szCs w:val="32"/>
        </w:rPr>
      </w:pPr>
      <w:bookmarkStart w:id="4" w:name="_Toc10455"/>
      <w:bookmarkStart w:id="5" w:name="_Toc6520"/>
      <w:r>
        <w:rPr>
          <w:rFonts w:hint="eastAsia" w:ascii="仿宋_GB2312" w:hAnsi="仿宋_GB2312" w:eastAsia="仿宋_GB2312" w:cs="仿宋_GB2312"/>
          <w:color w:val="000000"/>
          <w:kern w:val="0"/>
          <w:sz w:val="32"/>
          <w:szCs w:val="32"/>
        </w:rPr>
        <w:t>加强部门整体支出绩效目标管理，科学合理地制定阶段性目标、部门整体目标，产出数量指标、质量指标、效益指标、进度指标内容要完整，指标值要细化、量化、具体可衡量，根据部门的整体工作安排，为开展部门绩效目标管理夯实基础。</w:t>
      </w:r>
    </w:p>
    <w:p w14:paraId="763B905C">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（三）进一步提升项目精细化管理</w:t>
      </w:r>
      <w:bookmarkEnd w:id="4"/>
      <w:bookmarkEnd w:id="5"/>
    </w:p>
    <w:p w14:paraId="157D056C">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完善部门总体及项目的实施方案，</w:t>
      </w:r>
      <w:r>
        <w:rPr>
          <w:rFonts w:hint="eastAsia" w:ascii="仿宋_GB2312" w:hAnsi="仿宋" w:eastAsia="仿宋_GB2312"/>
          <w:sz w:val="32"/>
          <w:szCs w:val="32"/>
        </w:rPr>
        <w:t>细化责任分工，明确项目质量标准</w:t>
      </w:r>
      <w:r>
        <w:rPr>
          <w:rFonts w:hint="eastAsia" w:ascii="仿宋_GB2312" w:hAnsi="仿宋_GB2312" w:eastAsia="仿宋_GB2312" w:cs="仿宋_GB2312"/>
          <w:color w:val="000000"/>
          <w:kern w:val="0"/>
          <w:sz w:val="32"/>
          <w:szCs w:val="32"/>
        </w:rPr>
        <w:t>，提升实施方案的可操作性。加强过程监管，</w:t>
      </w:r>
      <w:r>
        <w:rPr>
          <w:rFonts w:hint="eastAsia" w:ascii="仿宋_GB2312" w:hAnsi="仿宋" w:eastAsia="仿宋_GB2312"/>
          <w:sz w:val="32"/>
          <w:szCs w:val="32"/>
        </w:rPr>
        <w:t>规范合同内容，加强项目验收机制，确保验收文档及实施过程文档的完整规范</w:t>
      </w:r>
      <w:r>
        <w:rPr>
          <w:rFonts w:hint="eastAsia" w:ascii="仿宋_GB2312" w:hAnsi="仿宋_GB2312" w:eastAsia="仿宋_GB2312" w:cs="仿宋_GB2312"/>
          <w:color w:val="000000"/>
          <w:kern w:val="0"/>
          <w:sz w:val="32"/>
          <w:szCs w:val="32"/>
        </w:rPr>
        <w:t>。</w:t>
      </w:r>
    </w:p>
    <w:p w14:paraId="75D3A60E">
      <w:pPr>
        <w:spacing w:line="560" w:lineRule="exact"/>
        <w:ind w:firstLine="640" w:firstLineChars="200"/>
        <w:rPr>
          <w:rFonts w:ascii="仿宋_GB2312" w:hAnsi="仿宋_GB2312" w:eastAsia="仿宋_GB2312" w:cs="仿宋_GB2312"/>
          <w:color w:val="000000"/>
          <w:kern w:val="0"/>
          <w:sz w:val="32"/>
          <w:szCs w:val="32"/>
        </w:rPr>
      </w:pPr>
      <w:bookmarkStart w:id="6" w:name="_Toc27758"/>
      <w:bookmarkStart w:id="7" w:name="_Toc12561"/>
      <w:r>
        <w:rPr>
          <w:rFonts w:hint="eastAsia" w:ascii="仿宋_GB2312" w:hAnsi="仿宋_GB2312" w:eastAsia="仿宋_GB2312" w:cs="仿宋_GB2312"/>
          <w:color w:val="000000"/>
          <w:kern w:val="0"/>
          <w:sz w:val="32"/>
          <w:szCs w:val="32"/>
        </w:rPr>
        <w:t>（四）</w:t>
      </w:r>
      <w:bookmarkEnd w:id="6"/>
      <w:bookmarkEnd w:id="7"/>
      <w:r>
        <w:rPr>
          <w:rFonts w:hint="eastAsia" w:ascii="仿宋_GB2312" w:hAnsi="仿宋_GB2312" w:eastAsia="仿宋_GB2312" w:cs="仿宋_GB2312"/>
          <w:color w:val="000000"/>
          <w:kern w:val="0"/>
          <w:sz w:val="32"/>
          <w:szCs w:val="32"/>
        </w:rPr>
        <w:t>注意绩效资料的收集与积累</w:t>
      </w:r>
    </w:p>
    <w:p w14:paraId="55208413">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 w:eastAsia="仿宋_GB2312"/>
          <w:sz w:val="32"/>
          <w:szCs w:val="32"/>
        </w:rPr>
        <w:t>重视项目绩效成果呈现，加强项目绩效梳理及挖掘，</w:t>
      </w:r>
      <w:r>
        <w:rPr>
          <w:rFonts w:hint="eastAsia" w:ascii="仿宋_GB2312" w:hAnsi="仿宋_GB2312" w:eastAsia="仿宋_GB2312" w:cs="仿宋_GB2312"/>
          <w:color w:val="000000"/>
          <w:kern w:val="0"/>
          <w:sz w:val="32"/>
          <w:szCs w:val="32"/>
        </w:rPr>
        <w:t>对工作实际产生的效果及时总结与提升，充分体现部门整体效益。完善服务对象满意度评估制度及资料的收集，为进一步提升服务水平及工作效率提供指导和借鉴。</w:t>
      </w:r>
    </w:p>
    <w:p w14:paraId="7E00F211">
      <w:pPr>
        <w:keepNext/>
        <w:keepLines/>
        <w:snapToGrid w:val="0"/>
        <w:spacing w:line="560" w:lineRule="exact"/>
        <w:ind w:firstLine="640" w:firstLineChars="200"/>
        <w:outlineLvl w:val="0"/>
        <w:rPr>
          <w:rFonts w:ascii="黑体" w:hAnsi="黑体" w:eastAsia="黑体" w:cs="宋体"/>
          <w:bCs/>
          <w:kern w:val="0"/>
          <w:sz w:val="32"/>
          <w:szCs w:val="32"/>
        </w:rPr>
      </w:pPr>
      <w:bookmarkStart w:id="8" w:name="_Toc103006301"/>
      <w:r>
        <w:rPr>
          <w:rFonts w:hint="eastAsia" w:ascii="黑体" w:hAnsi="黑体" w:eastAsia="黑体" w:cs="宋体"/>
          <w:bCs/>
          <w:kern w:val="0"/>
          <w:sz w:val="32"/>
          <w:szCs w:val="32"/>
        </w:rPr>
        <w:t>七、附件</w:t>
      </w:r>
      <w:bookmarkEnd w:id="8"/>
    </w:p>
    <w:p w14:paraId="2CC3FA93">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2024年部门整体绩效评价指标体系评分表</w:t>
      </w:r>
    </w:p>
    <w:sectPr>
      <w:footerReference r:id="rId4" w:type="default"/>
      <w:pgSz w:w="11906" w:h="16838"/>
      <w:pgMar w:top="1440" w:right="1800" w:bottom="1440" w:left="1800"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MS PGothic">
    <w:panose1 w:val="020B0600070205080204"/>
    <w:charset w:val="80"/>
    <w:family w:val="auto"/>
    <w:pitch w:val="default"/>
    <w:sig w:usb0="E00002FF" w:usb1="6AC7FDFB" w:usb2="08000012" w:usb3="00000000" w:csb0="4002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A5F73">
    <w:pPr>
      <w:pStyle w:val="9"/>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E7EC1">
    <w:pPr>
      <w:pStyle w:val="9"/>
      <w:jc w:val="right"/>
    </w:pPr>
    <w:r>
      <w:rPr>
        <w:sz w:val="28"/>
      </w:rPr>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v:path/>
          <v:fill on="f" focussize="0,0"/>
          <v:stroke on="f" weight="0.5pt" joinstyle="miter"/>
          <v:imagedata o:title=""/>
          <o:lock v:ext="edit"/>
          <v:textbox inset="0mm,0mm,0mm,0mm" style="mso-fit-shape-to-text:t;">
            <w:txbxContent>
              <w:p w14:paraId="4CCD1360">
                <w:pPr>
                  <w:pStyle w:val="9"/>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BkMzc5M2JlNDVlMTU1ZWEwMGVhM2MxZGI2OTllZDEifQ=="/>
  </w:docVars>
  <w:rsids>
    <w:rsidRoot w:val="F77F09F4"/>
    <w:rsid w:val="0002591F"/>
    <w:rsid w:val="00067AF3"/>
    <w:rsid w:val="001F4CB0"/>
    <w:rsid w:val="004A3876"/>
    <w:rsid w:val="00A86644"/>
    <w:rsid w:val="00A90537"/>
    <w:rsid w:val="00EE229A"/>
    <w:rsid w:val="026244B1"/>
    <w:rsid w:val="0376228D"/>
    <w:rsid w:val="05B45403"/>
    <w:rsid w:val="0B564EC1"/>
    <w:rsid w:val="0F1D2E8D"/>
    <w:rsid w:val="0F380CF4"/>
    <w:rsid w:val="11961226"/>
    <w:rsid w:val="14951564"/>
    <w:rsid w:val="158346B4"/>
    <w:rsid w:val="15C820C3"/>
    <w:rsid w:val="16133C89"/>
    <w:rsid w:val="175F53D8"/>
    <w:rsid w:val="1ADC005C"/>
    <w:rsid w:val="1BEA723A"/>
    <w:rsid w:val="1C6F1E07"/>
    <w:rsid w:val="1C7669B3"/>
    <w:rsid w:val="1C8C20A0"/>
    <w:rsid w:val="1CDD7B74"/>
    <w:rsid w:val="21101501"/>
    <w:rsid w:val="229A0AB3"/>
    <w:rsid w:val="25103DB8"/>
    <w:rsid w:val="2A196319"/>
    <w:rsid w:val="2C621229"/>
    <w:rsid w:val="2D0712CC"/>
    <w:rsid w:val="37173543"/>
    <w:rsid w:val="37EC658C"/>
    <w:rsid w:val="39BC591B"/>
    <w:rsid w:val="3E081BE0"/>
    <w:rsid w:val="3ED951C1"/>
    <w:rsid w:val="3F9A0465"/>
    <w:rsid w:val="3FDBA076"/>
    <w:rsid w:val="3FDFB3F0"/>
    <w:rsid w:val="3FDFC9A6"/>
    <w:rsid w:val="3FF76880"/>
    <w:rsid w:val="43EA6C74"/>
    <w:rsid w:val="43ED5B78"/>
    <w:rsid w:val="44DD7675"/>
    <w:rsid w:val="46A46817"/>
    <w:rsid w:val="48A059A6"/>
    <w:rsid w:val="502309DF"/>
    <w:rsid w:val="50B73BF3"/>
    <w:rsid w:val="52082F16"/>
    <w:rsid w:val="5376392D"/>
    <w:rsid w:val="583D1EC5"/>
    <w:rsid w:val="58FF53CC"/>
    <w:rsid w:val="5AD34179"/>
    <w:rsid w:val="5BFD4AC2"/>
    <w:rsid w:val="5CDE771E"/>
    <w:rsid w:val="5DA639A5"/>
    <w:rsid w:val="5E3D4F56"/>
    <w:rsid w:val="61B02D6D"/>
    <w:rsid w:val="62065587"/>
    <w:rsid w:val="62C92CD3"/>
    <w:rsid w:val="65CD141C"/>
    <w:rsid w:val="67759716"/>
    <w:rsid w:val="68373D75"/>
    <w:rsid w:val="688B27D8"/>
    <w:rsid w:val="69C73D7A"/>
    <w:rsid w:val="6A51565A"/>
    <w:rsid w:val="6DD0701C"/>
    <w:rsid w:val="6F7ED27B"/>
    <w:rsid w:val="70380BE8"/>
    <w:rsid w:val="70827C85"/>
    <w:rsid w:val="71D4053D"/>
    <w:rsid w:val="722207D1"/>
    <w:rsid w:val="731E2B49"/>
    <w:rsid w:val="745C2AC7"/>
    <w:rsid w:val="75B17A7C"/>
    <w:rsid w:val="7AB7FF50"/>
    <w:rsid w:val="7AEAF641"/>
    <w:rsid w:val="7BAD2729"/>
    <w:rsid w:val="7BFEB0DB"/>
    <w:rsid w:val="7C4945FA"/>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5">
    <w:name w:val="caption"/>
    <w:basedOn w:val="1"/>
    <w:next w:val="1"/>
    <w:qFormat/>
    <w:uiPriority w:val="0"/>
    <w:rPr>
      <w:rFonts w:ascii="Arial" w:hAnsi="Arial" w:eastAsia="黑体" w:cs="Arial"/>
      <w:sz w:val="20"/>
    </w:rPr>
  </w:style>
  <w:style w:type="paragraph" w:styleId="6">
    <w:name w:val="annotation text"/>
    <w:basedOn w:val="1"/>
    <w:qFormat/>
    <w:uiPriority w:val="0"/>
    <w:pPr>
      <w:jc w:val="left"/>
    </w:pPr>
  </w:style>
  <w:style w:type="paragraph" w:styleId="7">
    <w:name w:val="Body Text"/>
    <w:basedOn w:val="1"/>
    <w:next w:val="1"/>
    <w:qFormat/>
    <w:uiPriority w:val="99"/>
    <w:rPr>
      <w:rFonts w:eastAsia="仿宋_GB2312"/>
      <w:kern w:val="0"/>
      <w:sz w:val="20"/>
      <w:szCs w:val="20"/>
    </w:rPr>
  </w:style>
  <w:style w:type="paragraph" w:styleId="8">
    <w:name w:val="Body Text Indent 2"/>
    <w:basedOn w:val="1"/>
    <w:unhideWhenUsed/>
    <w:qFormat/>
    <w:uiPriority w:val="99"/>
    <w:pPr>
      <w:spacing w:after="120" w:line="480" w:lineRule="auto"/>
      <w:ind w:left="420" w:leftChars="200"/>
    </w:pPr>
  </w:style>
  <w:style w:type="paragraph" w:styleId="9">
    <w:name w:val="footer"/>
    <w:basedOn w:val="1"/>
    <w:qFormat/>
    <w:uiPriority w:val="99"/>
    <w:pPr>
      <w:tabs>
        <w:tab w:val="center" w:pos="4153"/>
        <w:tab w:val="right" w:pos="8306"/>
      </w:tabs>
      <w:snapToGrid w:val="0"/>
      <w:jc w:val="left"/>
    </w:pPr>
    <w:rPr>
      <w:sz w:val="18"/>
      <w:szCs w:val="20"/>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3">
    <w:name w:val="无间隔1"/>
    <w:qFormat/>
    <w:uiPriority w:val="99"/>
    <w:pPr>
      <w:widowControl w:val="0"/>
      <w:jc w:val="both"/>
    </w:pPr>
    <w:rPr>
      <w:rFonts w:ascii="等线" w:hAnsi="等线" w:eastAsia="等线" w:cs="等线"/>
      <w:kern w:val="2"/>
      <w:sz w:val="21"/>
      <w:szCs w:val="21"/>
      <w:lang w:val="en-US" w:eastAsia="zh-CN" w:bidi="ar-SA"/>
    </w:rPr>
  </w:style>
  <w:style w:type="paragraph" w:customStyle="1" w:styleId="14">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10883</Words>
  <Characters>12024</Characters>
  <Lines>92</Lines>
  <Paragraphs>26</Paragraphs>
  <TotalTime>2</TotalTime>
  <ScaleCrop>false</ScaleCrop>
  <LinksUpToDate>false</LinksUpToDate>
  <CharactersWithSpaces>12024</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NaOH</cp:lastModifiedBy>
  <cp:lastPrinted>2023-03-06T01:31:00Z</cp:lastPrinted>
  <dcterms:modified xsi:type="dcterms:W3CDTF">2025-08-27T12:43:24Z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4696F1ECA62B468FB9C2BC8B5CD636AC_12</vt:lpwstr>
  </property>
  <property fmtid="{D5CDD505-2E9C-101B-9397-08002B2CF9AE}" pid="4" name="KSOTemplateDocerSaveRecord">
    <vt:lpwstr>eyJoZGlkIjoiNjMwMjA2NjY1YWE2N2ViMzI0MzQ5NjdjOTcyMmMyZjIiLCJ1c2VySWQiOiI0MzM1OTU4NjEifQ==</vt:lpwstr>
  </property>
</Properties>
</file>