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黑体" w:hAnsi="黑体" w:eastAsia="黑体" w:cs="黑体"/>
          <w:sz w:val="36"/>
          <w:szCs w:val="36"/>
        </w:rPr>
      </w:pPr>
      <w:r>
        <w:rPr>
          <w:rFonts w:hint="eastAsia" w:ascii="黑体" w:hAnsi="黑体" w:eastAsia="黑体" w:cs="黑体"/>
          <w:sz w:val="36"/>
          <w:szCs w:val="36"/>
          <w:lang w:val="en-US" w:eastAsia="zh-CN"/>
        </w:rPr>
        <w:t>北京时尚控股有限责任公司</w:t>
      </w:r>
      <w:r>
        <w:rPr>
          <w:rFonts w:hint="eastAsia" w:ascii="黑体" w:hAnsi="黑体" w:eastAsia="黑体" w:cs="黑体"/>
          <w:sz w:val="36"/>
          <w:szCs w:val="36"/>
        </w:rPr>
        <w:t>整体绩效</w:t>
      </w:r>
      <w:r>
        <w:rPr>
          <w:rFonts w:hint="eastAsia" w:ascii="黑体" w:hAnsi="黑体" w:eastAsia="黑体" w:cs="黑体"/>
          <w:sz w:val="36"/>
          <w:szCs w:val="36"/>
          <w:lang w:eastAsia="zh-CN"/>
        </w:rPr>
        <w:t>评价</w:t>
      </w:r>
      <w:r>
        <w:rPr>
          <w:rFonts w:hint="eastAsia" w:ascii="黑体" w:hAnsi="黑体" w:eastAsia="黑体" w:cs="黑体"/>
          <w:sz w:val="36"/>
          <w:szCs w:val="36"/>
        </w:rPr>
        <w:t>报告</w:t>
      </w:r>
    </w:p>
    <w:p>
      <w:pPr>
        <w:jc w:val="center"/>
        <w:rPr>
          <w:rFonts w:hint="eastAsia" w:ascii="仿宋" w:hAnsi="仿宋" w:eastAsia="仿宋" w:cs="仿宋"/>
          <w:szCs w:val="30"/>
        </w:rPr>
      </w:pPr>
    </w:p>
    <w:p>
      <w:pPr>
        <w:spacing w:line="600" w:lineRule="exact"/>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一、部门概况</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（一）机构设置及职责工作任务情况</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北京时尚控股有限责任公司前身为北京市纺织工业总公司，成立于1985年2月。1999年11月，经北京市人民政府批准授权进行资本经营，成为市政府出资的国有独资有限责任公司，现由北京市人民政府国有资产监督管理委员会履行出资人职能。本公司授权进行国有资产经营管理。</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时尚控股作为一级主管单位，主要职责：本公司重点发展服装纺织、文化创意、工艺美术、信息服务四大业务版块，聚焦首都“四个中心”城市战略定位，服务北京国际消费中心城市培育建设和北京时尚之城建设，聚焦主责主业，以品牌运营为核心，与文化、科技深度融合，努力打造国内领先、具有卓越竞争力的时尚文化产业集团。同时对所属事业单位预决算、资产、项目、采购、绩效等多方面工作进行监督管理，并结合事业单位具体情况，提出合理化建议，提高各事业单位工作质量与效率。</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北京时尚控股有限责任公司所属事业单位主要职责：北京市新媒体技师学院（北京时尚控股有限责任公司党校）是北京时尚控股有限责任公司所属的一所集学制教育、职业培训、技能鉴定为一体的公办国家重点技工院校，学院主要职责是培养高级专业技术人才，促进职业技能教育发展，中、高等技术工人和中、高等技术人才培养，相关职业技能培训，职业教育专业教师及专门人才培养，开展党员、干部教育培训；北京市纺织服装职业技能培训学校主要职责为培养中高级服装技术工人，提高社会职业素质，开办各班次的短期职业培训班，通过技能培训使学员在学习后取得中、高级资格证书，为服装行业输送大批技术型人才，取得良好的社会效益。为社会培养技能人才，为构建和谐社会，稳定社会做出积极努力贡献；北京市工艺美术高级技工学校是北京唯一的一所培养工艺美术专业技能人才的中等职业学校，主要职责是为北京市培养符合社会需求的合格的中、高级及以上工艺美术技能人才，开展工艺美术及设计相关专业初、高中毕业生技工教育，从事工艺美术行业在职人员技能等级培训及认定，工艺美术行业就业咨询，对社会人员进行工艺美术设计制作、珠宝设计制作、珠宝鉴定营销、媒体艺术设计、幼儿美术教育等技能培训。</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下属预算单位4户，分别为北京时尚控股有限责任公司(本级)、北京市新媒体技师学院（北京时尚控股有限责任公司党校）、北京市纺织服装职业技能培训学校和北京市工艺美术高级技工学校。</w:t>
      </w:r>
    </w:p>
    <w:p>
      <w:pPr>
        <w:numPr>
          <w:ilvl w:val="0"/>
          <w:numId w:val="1"/>
        </w:num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部门整体绩效目标设立情况</w:t>
      </w:r>
    </w:p>
    <w:p>
      <w:pPr>
        <w:numPr>
          <w:ilvl w:val="0"/>
          <w:numId w:val="0"/>
        </w:numPr>
        <w:spacing w:line="600" w:lineRule="exac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依据所属事业单位主要职责设立部门整体绩效目标</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目标与职责任务、事业发展规划匹配，目标合理可行。</w:t>
      </w:r>
      <w:r>
        <w:rPr>
          <w:rFonts w:hint="eastAsia" w:ascii="仿宋" w:hAnsi="仿宋" w:eastAsia="仿宋" w:cs="仿宋"/>
          <w:sz w:val="32"/>
          <w:szCs w:val="32"/>
          <w:highlight w:val="none"/>
        </w:rPr>
        <w:t>整体目标是（1）做好中职教育教学工作，落实学校发展规划和年度事业发展计划，保证学校教育教学等各项工作顺利开展，合理保证基本经费支出和项目经费支出进度，促进学生德育和专业知识全面发展，培养适合首都功能定位的高素质专业人才。实现学校的快速发展和全面提升；（2）落实学生资助政策，</w:t>
      </w:r>
      <w:r>
        <w:rPr>
          <w:rFonts w:hint="eastAsia" w:ascii="仿宋" w:hAnsi="仿宋" w:eastAsia="仿宋" w:cs="仿宋"/>
          <w:sz w:val="32"/>
          <w:szCs w:val="32"/>
          <w:highlight w:val="none"/>
          <w:lang w:val="en-US" w:eastAsia="zh-CN"/>
        </w:rPr>
        <w:t>做到政策宣传全覆盖、资助对象无遗漏，确保资金按时足额发放到位</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保障贫困家庭学生接受教育权力</w:t>
      </w:r>
      <w:r>
        <w:rPr>
          <w:rFonts w:hint="eastAsia" w:ascii="仿宋" w:hAnsi="仿宋" w:eastAsia="仿宋" w:cs="仿宋"/>
          <w:sz w:val="32"/>
          <w:szCs w:val="32"/>
          <w:highlight w:val="none"/>
        </w:rPr>
        <w:t>。</w:t>
      </w:r>
    </w:p>
    <w:p>
      <w:pPr>
        <w:spacing w:line="600" w:lineRule="exact"/>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二、当年预算执行情况</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 </w:t>
      </w:r>
      <w:r>
        <w:rPr>
          <w:rFonts w:hint="eastAsia" w:ascii="仿宋" w:hAnsi="仿宋" w:eastAsia="仿宋" w:cs="仿宋"/>
          <w:color w:val="000000"/>
          <w:kern w:val="0"/>
          <w:sz w:val="32"/>
          <w:szCs w:val="32"/>
          <w:highlight w:val="none"/>
        </w:rPr>
        <w:t>202</w:t>
      </w:r>
      <w:r>
        <w:rPr>
          <w:rFonts w:hint="eastAsia" w:ascii="仿宋" w:hAnsi="仿宋" w:eastAsia="仿宋" w:cs="仿宋"/>
          <w:color w:val="000000"/>
          <w:kern w:val="0"/>
          <w:sz w:val="32"/>
          <w:szCs w:val="32"/>
          <w:highlight w:val="none"/>
          <w:lang w:val="en-US" w:eastAsia="zh-CN"/>
        </w:rPr>
        <w:t>4</w:t>
      </w:r>
      <w:r>
        <w:rPr>
          <w:rFonts w:hint="eastAsia" w:ascii="仿宋" w:hAnsi="仿宋" w:eastAsia="仿宋" w:cs="仿宋"/>
          <w:color w:val="000000"/>
          <w:kern w:val="0"/>
          <w:sz w:val="32"/>
          <w:szCs w:val="32"/>
          <w:highlight w:val="none"/>
        </w:rPr>
        <w:t>年全年预算数</w:t>
      </w:r>
      <w:r>
        <w:rPr>
          <w:rFonts w:hint="eastAsia" w:ascii="仿宋" w:hAnsi="仿宋" w:eastAsia="仿宋" w:cs="仿宋"/>
          <w:color w:val="000000"/>
          <w:kern w:val="0"/>
          <w:sz w:val="32"/>
          <w:szCs w:val="32"/>
          <w:highlight w:val="none"/>
          <w:lang w:val="en-US" w:eastAsia="zh-CN"/>
        </w:rPr>
        <w:t>29680.69</w:t>
      </w:r>
      <w:r>
        <w:rPr>
          <w:rFonts w:hint="eastAsia" w:ascii="仿宋" w:hAnsi="仿宋" w:eastAsia="仿宋" w:cs="仿宋"/>
          <w:color w:val="000000"/>
          <w:kern w:val="0"/>
          <w:sz w:val="32"/>
          <w:szCs w:val="32"/>
          <w:highlight w:val="none"/>
        </w:rPr>
        <w:t>万元，其中，基本支出预算数</w:t>
      </w:r>
      <w:r>
        <w:rPr>
          <w:rFonts w:hint="eastAsia" w:ascii="仿宋" w:hAnsi="仿宋" w:eastAsia="仿宋" w:cs="仿宋"/>
          <w:color w:val="000000"/>
          <w:kern w:val="0"/>
          <w:sz w:val="32"/>
          <w:szCs w:val="32"/>
          <w:highlight w:val="none"/>
          <w:lang w:val="en-US" w:eastAsia="zh-CN"/>
        </w:rPr>
        <w:t>17110.77</w:t>
      </w:r>
      <w:r>
        <w:rPr>
          <w:rFonts w:hint="eastAsia" w:ascii="仿宋" w:hAnsi="仿宋" w:eastAsia="仿宋" w:cs="仿宋"/>
          <w:color w:val="000000"/>
          <w:kern w:val="0"/>
          <w:sz w:val="32"/>
          <w:szCs w:val="32"/>
          <w:highlight w:val="none"/>
        </w:rPr>
        <w:t>万元，项目支出预算数</w:t>
      </w:r>
      <w:r>
        <w:rPr>
          <w:rFonts w:hint="eastAsia" w:ascii="仿宋" w:hAnsi="仿宋" w:eastAsia="仿宋" w:cs="仿宋"/>
          <w:color w:val="000000"/>
          <w:kern w:val="0"/>
          <w:sz w:val="32"/>
          <w:szCs w:val="32"/>
          <w:highlight w:val="none"/>
          <w:lang w:val="en-US" w:eastAsia="zh-CN"/>
        </w:rPr>
        <w:t>8974.32</w:t>
      </w:r>
      <w:r>
        <w:rPr>
          <w:rFonts w:hint="eastAsia" w:ascii="仿宋" w:hAnsi="仿宋" w:eastAsia="仿宋" w:cs="仿宋"/>
          <w:color w:val="000000"/>
          <w:kern w:val="0"/>
          <w:sz w:val="32"/>
          <w:szCs w:val="32"/>
          <w:highlight w:val="none"/>
        </w:rPr>
        <w:t>万元。全年支出</w:t>
      </w:r>
      <w:r>
        <w:rPr>
          <w:rFonts w:hint="eastAsia" w:ascii="仿宋" w:hAnsi="仿宋" w:eastAsia="仿宋" w:cs="仿宋"/>
          <w:color w:val="000000"/>
          <w:kern w:val="0"/>
          <w:sz w:val="32"/>
          <w:szCs w:val="32"/>
          <w:highlight w:val="none"/>
          <w:lang w:val="en-US" w:eastAsia="zh-CN"/>
        </w:rPr>
        <w:t>22825.26</w:t>
      </w:r>
      <w:r>
        <w:rPr>
          <w:rFonts w:hint="eastAsia" w:ascii="仿宋" w:hAnsi="仿宋" w:eastAsia="仿宋" w:cs="仿宋"/>
          <w:color w:val="000000"/>
          <w:kern w:val="0"/>
          <w:sz w:val="32"/>
          <w:szCs w:val="32"/>
          <w:highlight w:val="none"/>
        </w:rPr>
        <w:t>元，其中，基本支出</w:t>
      </w:r>
      <w:r>
        <w:rPr>
          <w:rFonts w:hint="eastAsia" w:ascii="仿宋" w:hAnsi="仿宋" w:eastAsia="仿宋" w:cs="仿宋"/>
          <w:color w:val="000000"/>
          <w:kern w:val="0"/>
          <w:sz w:val="32"/>
          <w:szCs w:val="32"/>
          <w:highlight w:val="none"/>
          <w:lang w:val="en-US" w:eastAsia="zh-CN"/>
        </w:rPr>
        <w:t>14761.28</w:t>
      </w:r>
      <w:r>
        <w:rPr>
          <w:rFonts w:hint="eastAsia" w:ascii="仿宋" w:hAnsi="仿宋" w:eastAsia="仿宋" w:cs="仿宋"/>
          <w:color w:val="000000"/>
          <w:kern w:val="0"/>
          <w:sz w:val="32"/>
          <w:szCs w:val="32"/>
          <w:highlight w:val="none"/>
        </w:rPr>
        <w:t>万元，项目支出</w:t>
      </w:r>
      <w:r>
        <w:rPr>
          <w:rFonts w:hint="eastAsia" w:ascii="仿宋" w:hAnsi="仿宋" w:eastAsia="仿宋" w:cs="仿宋"/>
          <w:color w:val="000000"/>
          <w:kern w:val="0"/>
          <w:sz w:val="32"/>
          <w:szCs w:val="32"/>
          <w:highlight w:val="none"/>
          <w:lang w:val="en-US" w:eastAsia="zh-CN"/>
        </w:rPr>
        <w:t>8063.99</w:t>
      </w:r>
      <w:r>
        <w:rPr>
          <w:rFonts w:hint="eastAsia" w:ascii="仿宋" w:hAnsi="仿宋" w:eastAsia="仿宋" w:cs="仿宋"/>
          <w:color w:val="000000"/>
          <w:kern w:val="0"/>
          <w:sz w:val="32"/>
          <w:szCs w:val="32"/>
          <w:highlight w:val="none"/>
        </w:rPr>
        <w:t>万元。预算执行率为</w:t>
      </w:r>
      <w:r>
        <w:rPr>
          <w:rFonts w:hint="eastAsia" w:ascii="仿宋" w:hAnsi="仿宋" w:eastAsia="仿宋" w:cs="仿宋"/>
          <w:color w:val="000000"/>
          <w:kern w:val="0"/>
          <w:sz w:val="32"/>
          <w:szCs w:val="32"/>
          <w:highlight w:val="none"/>
          <w:lang w:val="en-US" w:eastAsia="zh-CN"/>
        </w:rPr>
        <w:t>76.90%</w:t>
      </w:r>
      <w:r>
        <w:rPr>
          <w:rFonts w:hint="eastAsia" w:ascii="仿宋" w:hAnsi="仿宋" w:eastAsia="仿宋" w:cs="仿宋"/>
          <w:color w:val="000000"/>
          <w:kern w:val="0"/>
          <w:sz w:val="32"/>
          <w:szCs w:val="32"/>
          <w:highlight w:val="none"/>
        </w:rPr>
        <w:t>。</w:t>
      </w:r>
    </w:p>
    <w:p>
      <w:pPr>
        <w:spacing w:line="600" w:lineRule="exact"/>
        <w:ind w:left="105" w:leftChars="50" w:firstLine="480" w:firstLineChars="150"/>
        <w:rPr>
          <w:rFonts w:hint="eastAsia"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rPr>
        <w:t>三、整体绩效目标实现情况</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（一）产出完成情况分析</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1.产出数量</w:t>
      </w:r>
      <w:r>
        <w:rPr>
          <w:rFonts w:hint="eastAsia" w:ascii="仿宋" w:hAnsi="仿宋" w:eastAsia="仿宋" w:cs="仿宋"/>
          <w:color w:val="000000"/>
          <w:kern w:val="0"/>
          <w:sz w:val="32"/>
          <w:szCs w:val="32"/>
          <w:highlight w:val="none"/>
          <w:lang w:val="en-US" w:eastAsia="zh-CN"/>
        </w:rPr>
        <w:tab/>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产出指标数量指标足额保障率</w:t>
      </w:r>
      <w:r>
        <w:rPr>
          <w:rFonts w:hint="eastAsia" w:ascii="仿宋" w:hAnsi="仿宋" w:eastAsia="仿宋" w:cs="仿宋"/>
          <w:color w:val="000000"/>
          <w:kern w:val="0"/>
          <w:sz w:val="32"/>
          <w:szCs w:val="32"/>
          <w:highlight w:val="none"/>
          <w:lang w:val="en-US" w:eastAsia="zh-CN"/>
        </w:rPr>
        <w:t>&lt;100%</w:t>
      </w:r>
      <w:r>
        <w:rPr>
          <w:rFonts w:hint="eastAsia" w:ascii="仿宋" w:hAnsi="仿宋" w:eastAsia="仿宋" w:cs="仿宋"/>
          <w:color w:val="000000"/>
          <w:kern w:val="0"/>
          <w:sz w:val="32"/>
          <w:szCs w:val="32"/>
          <w:highlight w:val="none"/>
        </w:rPr>
        <w:t>。</w:t>
      </w:r>
    </w:p>
    <w:p>
      <w:pPr>
        <w:spacing w:line="600" w:lineRule="exact"/>
        <w:ind w:left="105" w:leftChars="50" w:firstLine="480" w:firstLineChars="15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经自评发现，2024年曹妃甸实训基地车辆租赁费项目学生班车租赁次数指标实际完成次数为76次，年度指标值为95次，偏差原因是工美技师学院在2024年签订合同之前，使用2023年年底预留车辆，班车改为两周一趟，因此2024年度班车租赁次数使用次数偏低。</w:t>
      </w:r>
    </w:p>
    <w:p>
      <w:pPr>
        <w:spacing w:line="600" w:lineRule="exact"/>
        <w:ind w:left="105" w:leftChars="50" w:firstLine="480" w:firstLineChars="15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改进措施：以后年度将考虑往年结转使用情况，合理优化指标值。</w:t>
      </w:r>
    </w:p>
    <w:p>
      <w:pPr>
        <w:numPr>
          <w:ilvl w:val="0"/>
          <w:numId w:val="2"/>
        </w:num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产出质量</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产出指标</w:t>
      </w:r>
      <w:r>
        <w:rPr>
          <w:rFonts w:hint="eastAsia" w:ascii="仿宋" w:hAnsi="仿宋" w:eastAsia="仿宋" w:cs="仿宋"/>
          <w:color w:val="000000"/>
          <w:kern w:val="0"/>
          <w:sz w:val="32"/>
          <w:szCs w:val="32"/>
          <w:highlight w:val="none"/>
          <w:lang w:val="en-US" w:eastAsia="zh-CN"/>
        </w:rPr>
        <w:t>质量</w:t>
      </w:r>
      <w:r>
        <w:rPr>
          <w:rFonts w:hint="eastAsia" w:ascii="仿宋" w:hAnsi="仿宋" w:eastAsia="仿宋" w:cs="仿宋"/>
          <w:color w:val="000000"/>
          <w:kern w:val="0"/>
          <w:sz w:val="32"/>
          <w:szCs w:val="32"/>
          <w:highlight w:val="none"/>
        </w:rPr>
        <w:t>指标</w:t>
      </w:r>
      <w:r>
        <w:rPr>
          <w:rFonts w:hint="eastAsia" w:ascii="仿宋" w:hAnsi="仿宋" w:eastAsia="仿宋" w:cs="仿宋"/>
          <w:color w:val="000000"/>
          <w:kern w:val="0"/>
          <w:sz w:val="32"/>
          <w:szCs w:val="32"/>
          <w:highlight w:val="none"/>
          <w:lang w:val="en-US" w:eastAsia="zh-CN"/>
        </w:rPr>
        <w:t>&lt;100%</w:t>
      </w:r>
      <w:r>
        <w:rPr>
          <w:rFonts w:hint="eastAsia" w:ascii="仿宋" w:hAnsi="仿宋" w:eastAsia="仿宋" w:cs="仿宋"/>
          <w:color w:val="000000"/>
          <w:kern w:val="0"/>
          <w:sz w:val="32"/>
          <w:szCs w:val="32"/>
          <w:highlight w:val="none"/>
        </w:rPr>
        <w:t>。</w:t>
      </w:r>
    </w:p>
    <w:p>
      <w:pPr>
        <w:spacing w:line="600" w:lineRule="exact"/>
        <w:ind w:left="105" w:leftChars="50" w:firstLine="480" w:firstLineChars="15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经自评发现，2024年曹妃甸实训基地车辆租赁费项目学生班车租赁汽车使用率指标实际完成值为80%，年度指标值为大于90%，偏差原因是工美技师学院在2024年签订合同之前，使用2023年年底预留车辆，班车改为两周一趟，因此2024年度班车租赁次数使用次数偏低。</w:t>
      </w:r>
    </w:p>
    <w:p>
      <w:pPr>
        <w:spacing w:line="600" w:lineRule="exact"/>
        <w:ind w:left="105" w:leftChars="50" w:firstLine="480" w:firstLineChars="15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改进措施：以后年度将考虑往年结转使用情况，合理优化指标值。</w:t>
      </w:r>
    </w:p>
    <w:p>
      <w:pPr>
        <w:numPr>
          <w:ilvl w:val="0"/>
          <w:numId w:val="2"/>
        </w:numPr>
        <w:spacing w:line="600" w:lineRule="exact"/>
        <w:ind w:left="105" w:leftChars="50" w:firstLine="480" w:firstLineChars="15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rPr>
        <w:t>产出进度</w:t>
      </w:r>
    </w:p>
    <w:p>
      <w:pPr>
        <w:spacing w:line="600" w:lineRule="exact"/>
        <w:ind w:left="105" w:leftChars="50" w:firstLine="480" w:firstLineChars="15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产出指标时效指标资金支付及时率&lt;100%。</w:t>
      </w:r>
    </w:p>
    <w:p>
      <w:pPr>
        <w:spacing w:line="600" w:lineRule="exact"/>
        <w:ind w:left="105" w:leftChars="50" w:firstLine="480" w:firstLineChars="15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偏差原因一是项目招标采购过程中，因对接多个专业方向负责人沟通各项设备采购的详细参数，且项目中个别设备需要满足特殊工艺需求，导致招标采购完成时间滞后；二是由于部分项目验收过程中有部分设备材料不足，导致验收时间推迟，影响支付进度。</w:t>
      </w:r>
    </w:p>
    <w:p>
      <w:pPr>
        <w:numPr>
          <w:ilvl w:val="0"/>
          <w:numId w:val="2"/>
        </w:numPr>
        <w:spacing w:line="600" w:lineRule="exact"/>
        <w:ind w:left="105" w:leftChars="50" w:firstLine="480" w:firstLineChars="15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rPr>
        <w:t>产出成本</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资金总体支出22825.26万元，年末结转结余资金6855.43万元。根据财政要消化结余资金，总体控制在总预算范围内。</w:t>
      </w:r>
    </w:p>
    <w:p>
      <w:pPr>
        <w:numPr>
          <w:ilvl w:val="0"/>
          <w:numId w:val="3"/>
        </w:num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效果实现情况分析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 xml:space="preserve">    通过2024年项目建设，保障了中职教育教学、行业干部培训等工作，以特高专业建设为基础，全面提升了专业群的品牌力和在行业中的地位，特别是对标学院十四五发展，一体两翼的规划，与项目建设的内涵保持了较高的一致性，能更好的助力十四五发展。完善基础设施建设、保障学生助学金及时足额发放、提升校企合作建设、承办组织国家队集训相关工作，保障技师学院职业教育基本运行需求，积极发展教育教学水平，提升职业教育发展水平，推进培养优秀学生，提高自身核心竞争力和美誉度，为社会输送更多优秀的技术人才。就业率大于85%，教职工满意率大于85%，学生满意率大于85%，基本完成既定的绩效目标</w:t>
      </w:r>
    </w:p>
    <w:p>
      <w:pPr>
        <w:spacing w:line="600" w:lineRule="exact"/>
        <w:ind w:left="105" w:leftChars="50" w:firstLine="480" w:firstLineChars="150"/>
        <w:rPr>
          <w:rFonts w:hint="eastAsia"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rPr>
        <w:t>四、预算管理情况分析</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（一）财务管理</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1.财务管理制度健全性</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 </w:t>
      </w:r>
      <w:r>
        <w:rPr>
          <w:rFonts w:hint="eastAsia" w:ascii="仿宋" w:hAnsi="仿宋" w:eastAsia="仿宋" w:cs="仿宋"/>
          <w:color w:val="000000"/>
          <w:kern w:val="0"/>
          <w:sz w:val="32"/>
          <w:szCs w:val="32"/>
          <w:highlight w:val="none"/>
        </w:rPr>
        <w:t>我公司所属事业单位财务管理制度基本健全，能够对项目资金的安全性、有效性提供有力保障。财务预算支出审批执行逐级审批、分级把关的原则，对项目资金进行单独核算，专款专用，各项费用依据市财政局批复资金使用范围，以及有关财务规章制度规定的开支范围及开支标准执行，不存在截留、挤占、挪用项目资金情况，确保财政资金的使用符合相关政策法规要求</w:t>
      </w:r>
      <w:r>
        <w:rPr>
          <w:rFonts w:hint="eastAsia" w:ascii="仿宋" w:hAnsi="仿宋" w:eastAsia="仿宋" w:cs="仿宋"/>
          <w:color w:val="000000"/>
          <w:kern w:val="0"/>
          <w:sz w:val="32"/>
          <w:szCs w:val="32"/>
          <w:highlight w:val="none"/>
          <w:lang w:eastAsia="zh-CN"/>
        </w:rPr>
        <w:t>。</w:t>
      </w:r>
    </w:p>
    <w:p>
      <w:pPr>
        <w:numPr>
          <w:ilvl w:val="0"/>
          <w:numId w:val="4"/>
        </w:num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资金使用合规性和安全性</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 </w:t>
      </w:r>
      <w:r>
        <w:rPr>
          <w:rFonts w:hint="eastAsia" w:ascii="仿宋" w:hAnsi="仿宋" w:eastAsia="仿宋" w:cs="仿宋"/>
          <w:color w:val="000000"/>
          <w:kern w:val="0"/>
          <w:sz w:val="32"/>
          <w:szCs w:val="32"/>
          <w:highlight w:val="none"/>
        </w:rPr>
        <w:t>我公司所属事业单位项目资金支出管理较为严谨、规范</w:t>
      </w:r>
      <w:r>
        <w:rPr>
          <w:rFonts w:hint="eastAsia" w:ascii="仿宋" w:hAnsi="仿宋" w:eastAsia="仿宋" w:cs="仿宋"/>
          <w:color w:val="000000"/>
          <w:kern w:val="0"/>
          <w:sz w:val="32"/>
          <w:szCs w:val="32"/>
          <w:highlight w:val="none"/>
          <w:lang w:eastAsia="zh-CN"/>
        </w:rPr>
        <w:t>，</w:t>
      </w:r>
      <w:r>
        <w:rPr>
          <w:rFonts w:hint="eastAsia" w:ascii="仿宋" w:hAnsi="仿宋" w:eastAsia="仿宋" w:cs="仿宋"/>
          <w:color w:val="000000"/>
          <w:kern w:val="0"/>
          <w:sz w:val="32"/>
          <w:szCs w:val="32"/>
          <w:highlight w:val="none"/>
        </w:rPr>
        <w:t>做到了专款专用，项目采取公开招投标进行采购的流程比较规范，措施比较到位，能够确保项目的顺利实施。项目过程管理基本规范，制定了相关管理制度，项目组织较为严谨，措施管理比较到位，项目监督、反馈、沟通、协调机制比较健全。</w:t>
      </w:r>
    </w:p>
    <w:p>
      <w:pPr>
        <w:numPr>
          <w:ilvl w:val="0"/>
          <w:numId w:val="4"/>
        </w:num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会计基础信息完善性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   </w:t>
      </w:r>
      <w:r>
        <w:rPr>
          <w:rFonts w:hint="eastAsia" w:ascii="仿宋" w:hAnsi="仿宋" w:eastAsia="仿宋" w:cs="仿宋"/>
          <w:color w:val="000000"/>
          <w:kern w:val="0"/>
          <w:sz w:val="32"/>
          <w:szCs w:val="32"/>
          <w:highlight w:val="none"/>
        </w:rPr>
        <w:t>我公司所属事业单位会计基础信息比较完善，能够准确、及时、全面反映经济活动，提供真实、可靠的财会信息。</w:t>
      </w:r>
    </w:p>
    <w:p>
      <w:pPr>
        <w:numPr>
          <w:ilvl w:val="0"/>
          <w:numId w:val="5"/>
        </w:num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资产管理</w:t>
      </w:r>
    </w:p>
    <w:p>
      <w:pPr>
        <w:numPr>
          <w:ilvl w:val="0"/>
          <w:numId w:val="0"/>
        </w:numPr>
        <w:spacing w:line="600" w:lineRule="exact"/>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 xml:space="preserve">    1.严格资产日常管理。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jc w:val="both"/>
        <w:textAlignment w:val="auto"/>
        <w:outlineLvl w:val="9"/>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eastAsia="zh-CN"/>
        </w:rPr>
        <w:t>依据北京市财政局《北京市市级行政事业单位国有资产处置管理办法》（京财资产</w:t>
      </w:r>
      <w:r>
        <w:rPr>
          <w:rFonts w:hint="eastAsia" w:ascii="仿宋" w:hAnsi="仿宋" w:eastAsia="仿宋" w:cs="仿宋"/>
          <w:sz w:val="32"/>
          <w:szCs w:val="32"/>
          <w:highlight w:val="none"/>
        </w:rPr>
        <w:t>〔20</w:t>
      </w:r>
      <w:r>
        <w:rPr>
          <w:rFonts w:hint="eastAsia" w:ascii="仿宋" w:hAnsi="仿宋" w:eastAsia="仿宋" w:cs="仿宋"/>
          <w:sz w:val="32"/>
          <w:szCs w:val="32"/>
          <w:highlight w:val="none"/>
          <w:lang w:val="en-US" w:eastAsia="zh-CN"/>
        </w:rPr>
        <w:t>15</w:t>
      </w:r>
      <w:r>
        <w:rPr>
          <w:rFonts w:hint="eastAsia" w:ascii="仿宋" w:hAnsi="仿宋" w:eastAsia="仿宋" w:cs="仿宋"/>
          <w:sz w:val="32"/>
          <w:szCs w:val="32"/>
          <w:highlight w:val="none"/>
        </w:rPr>
        <w:t>〕</w:t>
      </w:r>
      <w:r>
        <w:rPr>
          <w:rFonts w:hint="eastAsia" w:ascii="仿宋" w:hAnsi="仿宋" w:eastAsia="仿宋" w:cs="仿宋"/>
          <w:color w:val="000000"/>
          <w:kern w:val="0"/>
          <w:sz w:val="32"/>
          <w:szCs w:val="32"/>
          <w:highlight w:val="none"/>
          <w:lang w:eastAsia="zh-CN"/>
        </w:rPr>
        <w:t>33号）文件政策规定，我公司及所属二级单位严格执行文件中资产报废的定义、批准权限、报废流程等规定，严格资产处置审批程序，规范资产处置管理。</w:t>
      </w:r>
      <w:r>
        <w:rPr>
          <w:rFonts w:hint="eastAsia" w:ascii="仿宋" w:hAnsi="仿宋" w:eastAsia="仿宋" w:cs="仿宋"/>
          <w:color w:val="000000"/>
          <w:kern w:val="0"/>
          <w:sz w:val="32"/>
          <w:szCs w:val="32"/>
          <w:highlight w:val="none"/>
        </w:rPr>
        <w:t>资产使用是否规范</w:t>
      </w:r>
      <w:r>
        <w:rPr>
          <w:rFonts w:hint="eastAsia" w:ascii="仿宋" w:hAnsi="仿宋" w:eastAsia="仿宋" w:cs="仿宋"/>
          <w:color w:val="000000"/>
          <w:kern w:val="0"/>
          <w:sz w:val="32"/>
          <w:szCs w:val="32"/>
          <w:highlight w:val="none"/>
          <w:lang w:eastAsia="zh-CN"/>
        </w:rPr>
        <w:t>，</w:t>
      </w:r>
      <w:r>
        <w:rPr>
          <w:rFonts w:hint="eastAsia" w:ascii="仿宋" w:hAnsi="仿宋" w:eastAsia="仿宋" w:cs="仿宋"/>
          <w:color w:val="000000"/>
          <w:kern w:val="0"/>
          <w:sz w:val="32"/>
          <w:szCs w:val="32"/>
          <w:highlight w:val="none"/>
          <w:lang w:val="en-US" w:eastAsia="zh-CN"/>
        </w:rPr>
        <w:t>无</w:t>
      </w:r>
      <w:r>
        <w:rPr>
          <w:rFonts w:hint="eastAsia" w:ascii="仿宋" w:hAnsi="仿宋" w:eastAsia="仿宋" w:cs="仿宋"/>
          <w:color w:val="000000"/>
          <w:kern w:val="0"/>
          <w:sz w:val="32"/>
          <w:szCs w:val="32"/>
          <w:highlight w:val="none"/>
        </w:rPr>
        <w:t>管理不当发生严重资产损失和丢失情况</w:t>
      </w:r>
      <w:r>
        <w:rPr>
          <w:rFonts w:hint="eastAsia" w:ascii="仿宋" w:hAnsi="仿宋" w:eastAsia="仿宋" w:cs="仿宋"/>
          <w:color w:val="000000"/>
          <w:kern w:val="0"/>
          <w:sz w:val="32"/>
          <w:szCs w:val="32"/>
          <w:highlight w:val="none"/>
          <w:lang w:eastAsia="zh-CN"/>
        </w:rPr>
        <w:t>。</w:t>
      </w:r>
    </w:p>
    <w:p>
      <w:pPr>
        <w:numPr>
          <w:ilvl w:val="0"/>
          <w:numId w:val="0"/>
        </w:numPr>
        <w:spacing w:line="600" w:lineRule="exact"/>
        <w:ind w:leftChars="20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 xml:space="preserve">  2.严格控制新增资产配置预算。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both"/>
        <w:textAlignment w:val="auto"/>
        <w:outlineLvl w:val="9"/>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 xml:space="preserve">    </w:t>
      </w:r>
      <w:r>
        <w:rPr>
          <w:rFonts w:hint="eastAsia" w:ascii="仿宋" w:hAnsi="仿宋" w:eastAsia="仿宋" w:cs="仿宋"/>
          <w:color w:val="000000"/>
          <w:kern w:val="0"/>
          <w:sz w:val="32"/>
          <w:szCs w:val="32"/>
          <w:highlight w:val="none"/>
          <w:lang w:eastAsia="zh-CN"/>
        </w:rPr>
        <w:t>依据</w:t>
      </w:r>
      <w:r>
        <w:rPr>
          <w:rFonts w:hint="eastAsia" w:ascii="仿宋" w:hAnsi="仿宋" w:eastAsia="仿宋" w:cs="仿宋"/>
          <w:color w:val="000000"/>
          <w:kern w:val="0"/>
          <w:sz w:val="32"/>
          <w:szCs w:val="32"/>
          <w:highlight w:val="none"/>
          <w:lang w:val="en-US" w:eastAsia="zh-CN"/>
        </w:rPr>
        <w:t>《北京市市级行政事业单位国有资产配置管理办法》（京财资产</w:t>
      </w:r>
      <w:r>
        <w:rPr>
          <w:rFonts w:hint="eastAsia" w:ascii="仿宋" w:hAnsi="仿宋" w:eastAsia="仿宋" w:cs="仿宋"/>
          <w:sz w:val="32"/>
          <w:szCs w:val="32"/>
          <w:highlight w:val="none"/>
        </w:rPr>
        <w:t>〔20</w:t>
      </w:r>
      <w:r>
        <w:rPr>
          <w:rFonts w:hint="eastAsia" w:ascii="仿宋" w:hAnsi="仿宋" w:eastAsia="仿宋" w:cs="仿宋"/>
          <w:sz w:val="32"/>
          <w:szCs w:val="32"/>
          <w:highlight w:val="none"/>
          <w:lang w:val="en-US" w:eastAsia="zh-CN"/>
        </w:rPr>
        <w:t>15</w:t>
      </w:r>
      <w:r>
        <w:rPr>
          <w:rFonts w:hint="eastAsia" w:ascii="仿宋" w:hAnsi="仿宋" w:eastAsia="仿宋" w:cs="仿宋"/>
          <w:sz w:val="32"/>
          <w:szCs w:val="32"/>
          <w:highlight w:val="none"/>
        </w:rPr>
        <w:t>〕</w:t>
      </w:r>
      <w:r>
        <w:rPr>
          <w:rFonts w:hint="eastAsia" w:ascii="仿宋" w:hAnsi="仿宋" w:eastAsia="仿宋" w:cs="仿宋"/>
          <w:color w:val="000000"/>
          <w:kern w:val="0"/>
          <w:sz w:val="32"/>
          <w:szCs w:val="32"/>
          <w:highlight w:val="none"/>
          <w:lang w:val="en-US" w:eastAsia="zh-CN"/>
        </w:rPr>
        <w:t>129号）</w:t>
      </w:r>
      <w:r>
        <w:rPr>
          <w:rFonts w:hint="eastAsia" w:ascii="仿宋" w:hAnsi="仿宋" w:eastAsia="仿宋" w:cs="仿宋"/>
          <w:color w:val="000000"/>
          <w:kern w:val="0"/>
          <w:sz w:val="32"/>
          <w:szCs w:val="32"/>
          <w:highlight w:val="none"/>
          <w:lang w:eastAsia="zh-CN"/>
        </w:rPr>
        <w:t>文件政策规定，</w:t>
      </w:r>
      <w:r>
        <w:rPr>
          <w:rFonts w:hint="eastAsia" w:ascii="仿宋" w:hAnsi="仿宋" w:eastAsia="仿宋" w:cs="仿宋"/>
          <w:color w:val="000000"/>
          <w:kern w:val="0"/>
          <w:sz w:val="32"/>
          <w:szCs w:val="32"/>
          <w:highlight w:val="none"/>
          <w:lang w:val="en-US" w:eastAsia="zh-CN"/>
        </w:rPr>
        <w:t>一是严控新购资产。按照“先调剂现有存量实物资产、后申报预算资金”的原则，所属事业单位的新增资产配置需求，优先调剂使用符合条件的“公物仓”资产；严格控制和执行资产配置标准，暂时没有标准的要从严控制、避免浪费。二是细化资产购置预算编制。对涉及资产配置标准的日常办公类资产购置项目，要在资产管理信息系统填写购置计划表，经主管部门审核后提交。不</w:t>
      </w:r>
      <w:r>
        <w:rPr>
          <w:rFonts w:hint="eastAsia" w:ascii="仿宋" w:hAnsi="仿宋" w:eastAsia="仿宋" w:cs="仿宋"/>
          <w:color w:val="000000"/>
          <w:kern w:val="0"/>
          <w:sz w:val="32"/>
          <w:szCs w:val="32"/>
          <w:highlight w:val="none"/>
        </w:rPr>
        <w:t>存在超标准配置资产</w:t>
      </w:r>
      <w:r>
        <w:rPr>
          <w:rFonts w:hint="eastAsia" w:ascii="仿宋" w:hAnsi="仿宋" w:eastAsia="仿宋" w:cs="仿宋"/>
          <w:color w:val="000000"/>
          <w:kern w:val="0"/>
          <w:sz w:val="32"/>
          <w:szCs w:val="32"/>
          <w:highlight w:val="none"/>
          <w:lang w:eastAsia="zh-CN"/>
        </w:rPr>
        <w:t>。</w:t>
      </w:r>
      <w:r>
        <w:rPr>
          <w:rFonts w:hint="eastAsia" w:ascii="仿宋" w:hAnsi="仿宋" w:eastAsia="仿宋" w:cs="仿宋"/>
          <w:color w:val="000000"/>
          <w:kern w:val="0"/>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jc w:val="both"/>
        <w:textAlignment w:val="auto"/>
        <w:outlineLvl w:val="9"/>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3. 强化国有资产出租、出借管理。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jc w:val="both"/>
        <w:textAlignment w:val="auto"/>
        <w:outlineLvl w:val="9"/>
        <w:rPr>
          <w:rFonts w:hint="eastAsia" w:ascii="仿宋" w:hAnsi="仿宋" w:eastAsia="仿宋" w:cs="仿宋"/>
          <w:color w:val="000000"/>
          <w:kern w:val="0"/>
          <w:sz w:val="32"/>
          <w:szCs w:val="32"/>
          <w:highlight w:val="none"/>
          <w:lang w:eastAsia="zh-CN"/>
        </w:rPr>
      </w:pPr>
      <w:r>
        <w:rPr>
          <w:rFonts w:hint="eastAsia" w:ascii="仿宋" w:hAnsi="仿宋" w:eastAsia="仿宋" w:cs="仿宋"/>
          <w:color w:val="000000"/>
          <w:kern w:val="0"/>
          <w:sz w:val="32"/>
          <w:szCs w:val="32"/>
          <w:highlight w:val="none"/>
          <w:lang w:val="en-US" w:eastAsia="zh-CN"/>
        </w:rPr>
        <w:t>我公司所属事业单位无出租出借及</w:t>
      </w:r>
      <w:r>
        <w:rPr>
          <w:rFonts w:hint="eastAsia" w:ascii="仿宋" w:hAnsi="仿宋" w:eastAsia="仿宋" w:cs="仿宋"/>
          <w:color w:val="000000"/>
          <w:kern w:val="0"/>
          <w:sz w:val="32"/>
          <w:szCs w:val="32"/>
          <w:highlight w:val="none"/>
        </w:rPr>
        <w:t>对外投资行为</w:t>
      </w:r>
      <w:r>
        <w:rPr>
          <w:rFonts w:hint="eastAsia" w:ascii="仿宋" w:hAnsi="仿宋" w:eastAsia="仿宋" w:cs="仿宋"/>
          <w:color w:val="000000"/>
          <w:kern w:val="0"/>
          <w:sz w:val="32"/>
          <w:szCs w:val="32"/>
          <w:highlight w:val="none"/>
          <w:lang w:eastAsia="zh-CN"/>
        </w:rPr>
        <w:t>。</w:t>
      </w:r>
    </w:p>
    <w:p>
      <w:pPr>
        <w:numPr>
          <w:ilvl w:val="0"/>
          <w:numId w:val="0"/>
        </w:numPr>
        <w:spacing w:line="600" w:lineRule="exact"/>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 xml:space="preserve">    4. 加强政府采购管理。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jc w:val="both"/>
        <w:textAlignment w:val="auto"/>
        <w:outlineLvl w:val="9"/>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按照政府采购集中采购目录标准，各单位均要做到应采尽采，并如实编报政府采购预算；没有政府采购预算的，一律不得开展政府采购活动。严禁采购明显超出办公需求的高档、高配置产品和服务。按市财政文件要求支持本国产品、支持科技创新、中小微企业发展等，通过预留采购份额支持扶贫产品。 </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（三）绩效管理</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为提高财政资金使用效益，合理配置公共财政资源，根据《中华人民共和国预算法》、《北京市项目支出绩效评价管理办法》（京财绩效〔2020〕2146号）、《北京市财政局关于2025年预算绩效管理工作的通知》（京财绩效〔202</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245</w:t>
      </w:r>
      <w:r>
        <w:rPr>
          <w:rFonts w:hint="eastAsia" w:ascii="仿宋" w:hAnsi="仿宋" w:eastAsia="仿宋" w:cs="仿宋"/>
          <w:sz w:val="32"/>
          <w:szCs w:val="32"/>
          <w:highlight w:val="none"/>
        </w:rPr>
        <w:t>号），依照北京市财政局历年绩效管理工作计划，我</w:t>
      </w:r>
      <w:r>
        <w:rPr>
          <w:rFonts w:hint="eastAsia" w:ascii="仿宋" w:hAnsi="仿宋" w:eastAsia="仿宋" w:cs="仿宋"/>
          <w:sz w:val="32"/>
          <w:szCs w:val="32"/>
          <w:highlight w:val="none"/>
          <w:lang w:val="en-US" w:eastAsia="zh-CN"/>
        </w:rPr>
        <w:t>公司</w:t>
      </w:r>
      <w:r>
        <w:rPr>
          <w:rFonts w:hint="eastAsia" w:ascii="仿宋" w:hAnsi="仿宋" w:eastAsia="仿宋" w:cs="仿宋"/>
          <w:sz w:val="32"/>
          <w:szCs w:val="32"/>
          <w:highlight w:val="none"/>
        </w:rPr>
        <w:t>将在接到财政通知后，按要求开展绩效自评、重点项目绩效评价、全成本绩效分析、绩效跟踪等工作。</w:t>
      </w:r>
    </w:p>
    <w:p>
      <w:pPr>
        <w:numPr>
          <w:ilvl w:val="0"/>
          <w:numId w:val="6"/>
        </w:numPr>
        <w:spacing w:line="600" w:lineRule="exact"/>
        <w:ind w:left="105" w:leftChars="50" w:firstLine="480" w:firstLineChars="15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加强绩效目标编制管理。按照“谁申请资金，谁设定目标”的原则，所有项目均需按照预算管理一体化系统设定的格式要求，规范填报绩效目标</w:t>
      </w:r>
      <w:r>
        <w:rPr>
          <w:rFonts w:hint="eastAsia" w:ascii="仿宋" w:hAnsi="仿宋" w:eastAsia="仿宋" w:cs="仿宋"/>
          <w:sz w:val="32"/>
          <w:szCs w:val="32"/>
          <w:highlight w:val="none"/>
          <w:lang w:eastAsia="zh-CN"/>
        </w:rPr>
        <w:t>。</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落实绩效管理主体责任。一是各部门作为预算绩效管理的责任主体，及时制定或完善本部门本单位全面实施预算绩效管理的制度，对预算执行和成本实行监控和评价，及时开展部门自评和绩效运行监控工作，督促落实成本管控和产出效益。二是强化部门和基层的成本管控责任。按照“谁支出、谁负责成本控制”的原则，各部门各单位要将成本理念和方法贯穿于预算管理各环节，按照不同项目分类推进成本管控，逐步完善本行业本领域的支出标准体系。三是继续将成本绩效向重点领域深入。深化成本绩效管理改革，通过纵横对比分析合理确定成本绩效基线，完善成本绩效考核机制。</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.加强绩效结果应用。将市级部门绩效指标体系建设、项目成本控制、部门自评、部门整体绩效评价、绩效运行监</w:t>
      </w:r>
      <w:bookmarkStart w:id="0" w:name="_GoBack"/>
      <w:bookmarkEnd w:id="0"/>
      <w:r>
        <w:rPr>
          <w:rFonts w:hint="eastAsia" w:ascii="仿宋" w:hAnsi="仿宋" w:eastAsia="仿宋" w:cs="仿宋"/>
          <w:sz w:val="32"/>
          <w:szCs w:val="32"/>
          <w:highlight w:val="none"/>
        </w:rPr>
        <w:t>控、财政绩效评价结果和财政事前评估结果纳入</w:t>
      </w:r>
      <w:r>
        <w:rPr>
          <w:rFonts w:hint="eastAsia" w:ascii="仿宋" w:hAnsi="仿宋" w:eastAsia="仿宋" w:cs="仿宋"/>
          <w:sz w:val="32"/>
          <w:szCs w:val="32"/>
          <w:highlight w:val="none"/>
          <w:lang w:val="en-US" w:eastAsia="zh-CN"/>
        </w:rPr>
        <w:t>日常工作，及时</w:t>
      </w:r>
      <w:r>
        <w:rPr>
          <w:rFonts w:hint="eastAsia" w:ascii="仿宋" w:hAnsi="仿宋" w:eastAsia="仿宋" w:cs="仿宋"/>
          <w:sz w:val="32"/>
          <w:szCs w:val="32"/>
          <w:highlight w:val="none"/>
        </w:rPr>
        <w:t>考核</w:t>
      </w:r>
      <w:r>
        <w:rPr>
          <w:rFonts w:hint="eastAsia" w:ascii="仿宋" w:hAnsi="仿宋" w:eastAsia="仿宋" w:cs="仿宋"/>
          <w:sz w:val="32"/>
          <w:szCs w:val="32"/>
          <w:highlight w:val="none"/>
          <w:lang w:eastAsia="zh-CN"/>
        </w:rPr>
        <w:t>。</w:t>
      </w:r>
    </w:p>
    <w:p>
      <w:pPr>
        <w:numPr>
          <w:ilvl w:val="0"/>
          <w:numId w:val="7"/>
        </w:num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结转结余率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我公司202</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年结转结余率</w:t>
      </w:r>
      <w:r>
        <w:rPr>
          <w:rFonts w:hint="eastAsia" w:ascii="仿宋" w:hAnsi="仿宋" w:eastAsia="仿宋" w:cs="仿宋"/>
          <w:sz w:val="32"/>
          <w:szCs w:val="32"/>
          <w:highlight w:val="none"/>
          <w:lang w:val="en-US" w:eastAsia="zh-CN"/>
        </w:rPr>
        <w:t>23.10</w:t>
      </w:r>
      <w:r>
        <w:rPr>
          <w:rFonts w:hint="eastAsia" w:ascii="仿宋" w:hAnsi="仿宋" w:eastAsia="仿宋" w:cs="仿宋"/>
          <w:sz w:val="32"/>
          <w:szCs w:val="32"/>
          <w:highlight w:val="none"/>
        </w:rPr>
        <w:t>%，比202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年的30.18%</w:t>
      </w:r>
      <w:r>
        <w:rPr>
          <w:rFonts w:hint="eastAsia" w:ascii="仿宋" w:hAnsi="仿宋" w:eastAsia="仿宋" w:cs="仿宋"/>
          <w:sz w:val="32"/>
          <w:szCs w:val="32"/>
          <w:highlight w:val="none"/>
          <w:lang w:val="en-US" w:eastAsia="zh-CN"/>
        </w:rPr>
        <w:t>减少7.08</w:t>
      </w:r>
      <w:r>
        <w:rPr>
          <w:rFonts w:hint="eastAsia" w:ascii="仿宋" w:hAnsi="仿宋" w:eastAsia="仿宋" w:cs="仿宋"/>
          <w:sz w:val="32"/>
          <w:szCs w:val="32"/>
          <w:highlight w:val="none"/>
        </w:rPr>
        <w:t>个百分点，主要原因</w:t>
      </w:r>
      <w:r>
        <w:rPr>
          <w:rFonts w:hint="eastAsia" w:ascii="仿宋" w:hAnsi="仿宋" w:eastAsia="仿宋" w:cs="仿宋"/>
          <w:sz w:val="32"/>
          <w:szCs w:val="32"/>
          <w:highlight w:val="none"/>
          <w:lang w:val="en-US" w:eastAsia="zh-CN"/>
        </w:rPr>
        <w:t>事业单位优先消化结余资金</w:t>
      </w:r>
      <w:r>
        <w:rPr>
          <w:rFonts w:hint="eastAsia" w:ascii="仿宋" w:hAnsi="仿宋" w:eastAsia="仿宋" w:cs="仿宋"/>
          <w:sz w:val="32"/>
          <w:szCs w:val="32"/>
          <w:highlight w:val="none"/>
        </w:rPr>
        <w:t>。</w:t>
      </w:r>
    </w:p>
    <w:p>
      <w:pPr>
        <w:numPr>
          <w:ilvl w:val="0"/>
          <w:numId w:val="7"/>
        </w:num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部门预决算差异率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我公司202</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年年初预算</w:t>
      </w:r>
      <w:r>
        <w:rPr>
          <w:rFonts w:hint="eastAsia" w:ascii="仿宋" w:hAnsi="仿宋" w:eastAsia="仿宋" w:cs="仿宋"/>
          <w:sz w:val="32"/>
          <w:szCs w:val="32"/>
          <w:highlight w:val="none"/>
          <w:lang w:val="en-US" w:eastAsia="zh-CN"/>
        </w:rPr>
        <w:t>23460.03</w:t>
      </w:r>
      <w:r>
        <w:rPr>
          <w:rFonts w:hint="eastAsia" w:ascii="仿宋" w:hAnsi="仿宋" w:eastAsia="仿宋" w:cs="仿宋"/>
          <w:sz w:val="32"/>
          <w:szCs w:val="32"/>
          <w:highlight w:val="none"/>
        </w:rPr>
        <w:t>万元，决算数</w:t>
      </w:r>
      <w:r>
        <w:rPr>
          <w:rFonts w:hint="eastAsia" w:ascii="仿宋" w:hAnsi="仿宋" w:eastAsia="仿宋" w:cs="仿宋"/>
          <w:sz w:val="32"/>
          <w:szCs w:val="32"/>
          <w:highlight w:val="none"/>
          <w:lang w:val="en-US" w:eastAsia="zh-CN"/>
        </w:rPr>
        <w:t>22825.26</w:t>
      </w:r>
      <w:r>
        <w:rPr>
          <w:rFonts w:hint="eastAsia" w:ascii="仿宋" w:hAnsi="仿宋" w:eastAsia="仿宋" w:cs="仿宋"/>
          <w:sz w:val="32"/>
          <w:szCs w:val="32"/>
          <w:highlight w:val="none"/>
        </w:rPr>
        <w:t>万元，部门预决算差异率</w:t>
      </w:r>
      <w:r>
        <w:rPr>
          <w:rFonts w:hint="eastAsia" w:ascii="仿宋" w:hAnsi="仿宋" w:eastAsia="仿宋" w:cs="仿宋"/>
          <w:sz w:val="32"/>
          <w:szCs w:val="32"/>
          <w:highlight w:val="none"/>
          <w:lang w:val="en-US" w:eastAsia="zh-CN"/>
        </w:rPr>
        <w:t>2.71</w:t>
      </w:r>
      <w:r>
        <w:rPr>
          <w:rFonts w:hint="eastAsia" w:ascii="仿宋" w:hAnsi="仿宋" w:eastAsia="仿宋" w:cs="仿宋"/>
          <w:sz w:val="32"/>
          <w:szCs w:val="32"/>
          <w:highlight w:val="none"/>
        </w:rPr>
        <w:t>%，部门预算编制准确度较高。</w:t>
      </w:r>
    </w:p>
    <w:p>
      <w:pPr>
        <w:spacing w:line="600" w:lineRule="exact"/>
        <w:ind w:left="105" w:leftChars="50" w:firstLine="480" w:firstLineChars="150"/>
        <w:rPr>
          <w:rFonts w:hint="eastAsia" w:ascii="黑体" w:hAnsi="黑体" w:eastAsia="黑体" w:cs="黑体"/>
          <w:sz w:val="32"/>
          <w:szCs w:val="32"/>
          <w:highlight w:val="none"/>
        </w:rPr>
      </w:pPr>
      <w:r>
        <w:rPr>
          <w:rFonts w:hint="eastAsia" w:ascii="黑体" w:hAnsi="黑体" w:eastAsia="黑体" w:cs="黑体"/>
          <w:sz w:val="32"/>
          <w:szCs w:val="32"/>
          <w:highlight w:val="none"/>
        </w:rPr>
        <w:t>五、总体评价结论</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（一）评价得分情况</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我公司202</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年部门整体绩效评价得分</w:t>
      </w:r>
      <w:r>
        <w:rPr>
          <w:rFonts w:hint="eastAsia" w:ascii="仿宋" w:hAnsi="仿宋" w:eastAsia="仿宋" w:cs="仿宋"/>
          <w:sz w:val="32"/>
          <w:szCs w:val="32"/>
          <w:highlight w:val="none"/>
          <w:lang w:val="en-US" w:eastAsia="zh-CN"/>
        </w:rPr>
        <w:t>91</w:t>
      </w:r>
      <w:r>
        <w:rPr>
          <w:rFonts w:hint="eastAsia" w:ascii="仿宋" w:hAnsi="仿宋" w:eastAsia="仿宋" w:cs="仿宋"/>
          <w:sz w:val="32"/>
          <w:szCs w:val="32"/>
          <w:highlight w:val="none"/>
        </w:rPr>
        <w:t>分，评价结果</w:t>
      </w:r>
      <w:r>
        <w:rPr>
          <w:rFonts w:hint="eastAsia" w:ascii="仿宋" w:hAnsi="仿宋" w:eastAsia="仿宋" w:cs="仿宋"/>
          <w:sz w:val="32"/>
          <w:szCs w:val="32"/>
          <w:highlight w:val="none"/>
          <w:lang w:val="en-US" w:eastAsia="zh-CN"/>
        </w:rPr>
        <w:t>优</w:t>
      </w:r>
      <w:r>
        <w:rPr>
          <w:rFonts w:hint="eastAsia" w:ascii="仿宋" w:hAnsi="仿宋" w:eastAsia="仿宋" w:cs="仿宋"/>
          <w:sz w:val="32"/>
          <w:szCs w:val="32"/>
          <w:highlight w:val="none"/>
        </w:rPr>
        <w:t>。其中：当年预算执行情况分值20分，得分</w:t>
      </w:r>
      <w:r>
        <w:rPr>
          <w:rFonts w:hint="eastAsia" w:ascii="仿宋" w:hAnsi="仿宋" w:eastAsia="仿宋" w:cs="仿宋"/>
          <w:sz w:val="32"/>
          <w:szCs w:val="32"/>
          <w:highlight w:val="none"/>
          <w:lang w:val="en-US" w:eastAsia="zh-CN"/>
        </w:rPr>
        <w:t>17分</w:t>
      </w:r>
      <w:r>
        <w:rPr>
          <w:rFonts w:hint="eastAsia" w:ascii="仿宋" w:hAnsi="仿宋" w:eastAsia="仿宋" w:cs="仿宋"/>
          <w:sz w:val="32"/>
          <w:szCs w:val="32"/>
          <w:highlight w:val="none"/>
        </w:rPr>
        <w:t>；整体绩效目标实现情况分值60分，得分</w:t>
      </w:r>
      <w:r>
        <w:rPr>
          <w:rFonts w:hint="eastAsia" w:ascii="仿宋" w:hAnsi="仿宋" w:eastAsia="仿宋" w:cs="仿宋"/>
          <w:sz w:val="32"/>
          <w:szCs w:val="32"/>
          <w:highlight w:val="none"/>
          <w:lang w:val="en-US" w:eastAsia="zh-CN"/>
        </w:rPr>
        <w:t>56</w:t>
      </w:r>
      <w:r>
        <w:rPr>
          <w:rFonts w:hint="eastAsia" w:ascii="仿宋" w:hAnsi="仿宋" w:eastAsia="仿宋" w:cs="仿宋"/>
          <w:sz w:val="32"/>
          <w:szCs w:val="32"/>
          <w:highlight w:val="none"/>
        </w:rPr>
        <w:t>分；预算管理情况分值20分，得分</w:t>
      </w:r>
      <w:r>
        <w:rPr>
          <w:rFonts w:hint="eastAsia" w:ascii="仿宋" w:hAnsi="仿宋" w:eastAsia="仿宋" w:cs="仿宋"/>
          <w:sz w:val="32"/>
          <w:szCs w:val="32"/>
          <w:highlight w:val="none"/>
          <w:lang w:val="en-US" w:eastAsia="zh-CN"/>
        </w:rPr>
        <w:t>18</w:t>
      </w:r>
      <w:r>
        <w:rPr>
          <w:rFonts w:hint="eastAsia" w:ascii="仿宋" w:hAnsi="仿宋" w:eastAsia="仿宋" w:cs="仿宋"/>
          <w:sz w:val="32"/>
          <w:szCs w:val="32"/>
          <w:highlight w:val="none"/>
        </w:rPr>
        <w:t>分。</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（二）存在的问题及原因分析</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绩效目标编制</w:t>
      </w:r>
      <w:r>
        <w:rPr>
          <w:rFonts w:hint="eastAsia" w:ascii="仿宋" w:hAnsi="仿宋" w:eastAsia="仿宋" w:cs="仿宋"/>
          <w:sz w:val="32"/>
          <w:szCs w:val="32"/>
          <w:highlight w:val="none"/>
          <w:lang w:val="en-US" w:eastAsia="zh-CN"/>
        </w:rPr>
        <w:t>量化程度</w:t>
      </w:r>
      <w:r>
        <w:rPr>
          <w:rFonts w:hint="eastAsia" w:ascii="仿宋" w:hAnsi="仿宋" w:eastAsia="仿宋" w:cs="仿宋"/>
          <w:sz w:val="32"/>
          <w:szCs w:val="32"/>
          <w:highlight w:val="none"/>
        </w:rPr>
        <w:t>有待加强</w:t>
      </w:r>
      <w:r>
        <w:rPr>
          <w:rFonts w:hint="eastAsia" w:ascii="仿宋" w:hAnsi="仿宋" w:eastAsia="仿宋" w:cs="仿宋"/>
          <w:sz w:val="32"/>
          <w:szCs w:val="32"/>
          <w:highlight w:val="none"/>
        </w:rPr>
        <w:t>；</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项目绩效管理评价有待加强；</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虽然按照市财政要求进行了项目资金绩效评价，但未将评价结果有效运用到项目预算编制工作中，评价结果运用有待提高。</w:t>
      </w:r>
    </w:p>
    <w:p>
      <w:pPr>
        <w:numPr>
          <w:ilvl w:val="0"/>
          <w:numId w:val="0"/>
        </w:numPr>
        <w:spacing w:line="600" w:lineRule="exact"/>
        <w:rPr>
          <w:rFonts w:hint="eastAsia" w:ascii="黑体" w:hAnsi="黑体" w:eastAsia="黑体" w:cs="黑体"/>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    </w:t>
      </w:r>
      <w:r>
        <w:rPr>
          <w:rFonts w:hint="eastAsia" w:ascii="黑体" w:hAnsi="黑体" w:eastAsia="黑体" w:cs="黑体"/>
          <w:color w:val="000000"/>
          <w:kern w:val="0"/>
          <w:sz w:val="32"/>
          <w:szCs w:val="32"/>
          <w:highlight w:val="none"/>
          <w:lang w:val="en-US" w:eastAsia="zh-CN"/>
        </w:rPr>
        <w:t>六、</w:t>
      </w:r>
      <w:r>
        <w:rPr>
          <w:rFonts w:hint="eastAsia" w:ascii="黑体" w:hAnsi="黑体" w:eastAsia="黑体" w:cs="黑体"/>
          <w:color w:val="000000"/>
          <w:kern w:val="0"/>
          <w:sz w:val="32"/>
          <w:szCs w:val="32"/>
          <w:highlight w:val="none"/>
        </w:rPr>
        <w:t>措施建议</w:t>
      </w:r>
    </w:p>
    <w:p>
      <w:pPr>
        <w:numPr>
          <w:ilvl w:val="0"/>
          <w:numId w:val="0"/>
        </w:numPr>
        <w:spacing w:line="600" w:lineRule="exact"/>
        <w:ind w:firstLine="64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1.</w:t>
      </w:r>
      <w:r>
        <w:rPr>
          <w:rFonts w:hint="eastAsia" w:ascii="仿宋" w:hAnsi="仿宋" w:eastAsia="仿宋" w:cs="仿宋"/>
          <w:color w:val="000000"/>
          <w:kern w:val="0"/>
          <w:sz w:val="32"/>
          <w:szCs w:val="32"/>
          <w:highlight w:val="none"/>
        </w:rPr>
        <w:t>强化预算基础编制工作，预算编制要结合实际及上年执行情况，</w:t>
      </w:r>
      <w:r>
        <w:rPr>
          <w:rFonts w:hint="eastAsia" w:ascii="仿宋" w:hAnsi="仿宋" w:eastAsia="仿宋" w:cs="仿宋"/>
          <w:color w:val="000000"/>
          <w:kern w:val="0"/>
          <w:sz w:val="32"/>
          <w:szCs w:val="32"/>
          <w:highlight w:val="none"/>
          <w:lang w:val="en-US" w:eastAsia="zh-CN"/>
        </w:rPr>
        <w:t>明确、</w:t>
      </w:r>
      <w:r>
        <w:rPr>
          <w:rFonts w:hint="eastAsia" w:ascii="仿宋" w:hAnsi="仿宋" w:eastAsia="仿宋" w:cs="仿宋"/>
          <w:color w:val="000000"/>
          <w:kern w:val="0"/>
          <w:sz w:val="32"/>
          <w:szCs w:val="32"/>
          <w:highlight w:val="none"/>
        </w:rPr>
        <w:t>科学、合理确定支出预算，并按经济用途逐级细化分类，真正做到预算编制精细化、科学化。</w:t>
      </w:r>
    </w:p>
    <w:p>
      <w:pPr>
        <w:numPr>
          <w:ilvl w:val="0"/>
          <w:numId w:val="0"/>
        </w:numPr>
        <w:spacing w:line="600" w:lineRule="exact"/>
        <w:ind w:firstLine="64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2.</w:t>
      </w:r>
      <w:r>
        <w:rPr>
          <w:rFonts w:hint="eastAsia" w:ascii="仿宋" w:hAnsi="仿宋" w:eastAsia="仿宋" w:cs="仿宋"/>
          <w:color w:val="000000"/>
          <w:kern w:val="0"/>
          <w:sz w:val="32"/>
          <w:szCs w:val="32"/>
          <w:highlight w:val="none"/>
        </w:rPr>
        <w:t>深化预算执行率与预算编制有机结合。将上一年预算执行情况作为下一年预算编制的重要依据，对预算执行缓慢的部门，严格控制其下一年预算资金。</w:t>
      </w:r>
    </w:p>
    <w:p>
      <w:pPr>
        <w:numPr>
          <w:ilvl w:val="0"/>
          <w:numId w:val="0"/>
        </w:numPr>
        <w:spacing w:line="600" w:lineRule="exact"/>
        <w:ind w:firstLine="64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3.</w:t>
      </w:r>
      <w:r>
        <w:rPr>
          <w:rFonts w:hint="eastAsia" w:ascii="仿宋" w:hAnsi="仿宋" w:eastAsia="仿宋" w:cs="仿宋"/>
          <w:color w:val="000000"/>
          <w:kern w:val="0"/>
          <w:sz w:val="32"/>
          <w:szCs w:val="32"/>
          <w:highlight w:val="none"/>
        </w:rPr>
        <w:t>加强对项目资金评审及绩效考核。强化绩效跟踪，细化绩效评价，对项目资金实行全过程监督，全面推进预算绩效管理工作，提高项目资金的预算执行率和使用效益。</w:t>
      </w:r>
    </w:p>
    <w:p>
      <w:pPr>
        <w:spacing w:line="560" w:lineRule="exact"/>
        <w:jc w:val="left"/>
        <w:rPr>
          <w:rFonts w:hint="eastAsia" w:ascii="方正黑体_GBK" w:hAnsi="方正黑体_GBK" w:eastAsia="方正黑体_GBK" w:cs="方正黑体_GBK"/>
          <w:sz w:val="32"/>
          <w:lang w:eastAsia="zh-CN"/>
        </w:rPr>
      </w:pPr>
    </w:p>
    <w:p>
      <w:pPr>
        <w:spacing w:line="560" w:lineRule="exact"/>
        <w:jc w:val="left"/>
        <w:rPr>
          <w:rFonts w:hint="default" w:ascii="方正黑体_GBK" w:hAnsi="方正黑体_GBK" w:eastAsia="方正黑体_GBK" w:cs="方正黑体_GBK"/>
          <w:sz w:val="32"/>
          <w:lang w:val="en-US" w:eastAsia="zh-CN"/>
        </w:rPr>
      </w:pPr>
      <w:r>
        <w:rPr>
          <w:rFonts w:hint="eastAsia" w:ascii="方正黑体_GBK" w:hAnsi="方正黑体_GBK" w:eastAsia="方正黑体_GBK" w:cs="方正黑体_GBK"/>
          <w:sz w:val="32"/>
          <w:lang w:eastAsia="zh-CN"/>
        </w:rPr>
        <w:t>附件</w:t>
      </w:r>
      <w:r>
        <w:rPr>
          <w:rFonts w:hint="eastAsia" w:ascii="方正黑体_GBK" w:hAnsi="方正黑体_GBK" w:eastAsia="方正黑体_GBK" w:cs="方正黑体_GBK"/>
          <w:sz w:val="32"/>
          <w:lang w:val="en-US" w:eastAsia="zh-CN"/>
        </w:rPr>
        <w:t>4-1</w:t>
      </w:r>
    </w:p>
    <w:tbl>
      <w:tblPr>
        <w:tblStyle w:val="7"/>
        <w:tblW w:w="13039" w:type="dxa"/>
        <w:tblInd w:w="0" w:type="dxa"/>
        <w:tblLayout w:type="fixed"/>
        <w:tblCellMar>
          <w:top w:w="0" w:type="dxa"/>
          <w:left w:w="108" w:type="dxa"/>
          <w:bottom w:w="0" w:type="dxa"/>
          <w:right w:w="108" w:type="dxa"/>
        </w:tblCellMar>
      </w:tblPr>
      <w:tblGrid>
        <w:gridCol w:w="2161"/>
        <w:gridCol w:w="2166"/>
        <w:gridCol w:w="1884"/>
        <w:gridCol w:w="1430"/>
        <w:gridCol w:w="1"/>
        <w:gridCol w:w="1680"/>
        <w:gridCol w:w="2"/>
        <w:gridCol w:w="1645"/>
        <w:gridCol w:w="1"/>
        <w:gridCol w:w="1646"/>
        <w:gridCol w:w="423"/>
      </w:tblGrid>
      <w:tr>
        <w:tblPrEx>
          <w:tblLayout w:type="fixed"/>
          <w:tblCellMar>
            <w:top w:w="0" w:type="dxa"/>
            <w:left w:w="108" w:type="dxa"/>
            <w:bottom w:w="0" w:type="dxa"/>
            <w:right w:w="108" w:type="dxa"/>
          </w:tblCellMar>
        </w:tblPrEx>
        <w:trPr>
          <w:gridAfter w:val="1"/>
          <w:wAfter w:w="423" w:type="dxa"/>
          <w:cantSplit/>
          <w:trHeight w:val="90" w:hRule="atLeast"/>
        </w:trPr>
        <w:tc>
          <w:tcPr>
            <w:tcW w:w="12616" w:type="dxa"/>
            <w:gridSpan w:val="10"/>
            <w:tcBorders>
              <w:top w:val="nil"/>
              <w:left w:val="nil"/>
              <w:bottom w:val="single" w:color="auto" w:sz="4" w:space="0"/>
              <w:right w:val="nil"/>
            </w:tcBorders>
            <w:vAlign w:val="bottom"/>
          </w:tcPr>
          <w:p>
            <w:pPr>
              <w:widowControl/>
              <w:jc w:val="center"/>
              <w:rPr>
                <w:rFonts w:hint="eastAsia" w:ascii="方正小标宋简体" w:hAnsi="黑体" w:eastAsia="方正小标宋简体" w:cs="宋体"/>
                <w:color w:val="000000"/>
                <w:kern w:val="0"/>
                <w:sz w:val="44"/>
                <w:szCs w:val="44"/>
                <w:highlight w:val="yellow"/>
                <w:lang w:eastAsia="zh-CN"/>
              </w:rPr>
            </w:pPr>
            <w:r>
              <w:rPr>
                <w:rFonts w:hint="eastAsia" w:ascii="方正小标宋简体" w:hAnsi="黑体" w:eastAsia="方正小标宋简体" w:cs="宋体"/>
                <w:color w:val="000000"/>
                <w:kern w:val="0"/>
                <w:sz w:val="44"/>
                <w:szCs w:val="44"/>
                <w:highlight w:val="none"/>
              </w:rPr>
              <w:t>202</w:t>
            </w:r>
            <w:r>
              <w:rPr>
                <w:rFonts w:hint="eastAsia" w:ascii="方正小标宋简体" w:hAnsi="黑体" w:eastAsia="方正小标宋简体" w:cs="宋体"/>
                <w:color w:val="000000"/>
                <w:kern w:val="0"/>
                <w:sz w:val="44"/>
                <w:szCs w:val="44"/>
                <w:highlight w:val="none"/>
                <w:lang w:val="en-US" w:eastAsia="zh-CN"/>
              </w:rPr>
              <w:t>4</w:t>
            </w:r>
            <w:r>
              <w:rPr>
                <w:rFonts w:hint="eastAsia" w:ascii="方正小标宋简体" w:hAnsi="黑体" w:eastAsia="方正小标宋简体" w:cs="宋体"/>
                <w:color w:val="000000"/>
                <w:kern w:val="0"/>
                <w:sz w:val="44"/>
                <w:szCs w:val="44"/>
                <w:highlight w:val="none"/>
              </w:rPr>
              <w:t>年部门整体绩效评价指标体系评分表</w:t>
            </w:r>
          </w:p>
        </w:tc>
      </w:tr>
      <w:tr>
        <w:tblPrEx>
          <w:tblLayout w:type="fixed"/>
          <w:tblCellMar>
            <w:top w:w="0" w:type="dxa"/>
            <w:left w:w="108" w:type="dxa"/>
            <w:bottom w:w="0" w:type="dxa"/>
            <w:right w:w="108" w:type="dxa"/>
          </w:tblCellMar>
        </w:tblPrEx>
        <w:trPr>
          <w:cantSplit/>
          <w:trHeight w:val="470" w:hRule="atLeast"/>
        </w:trPr>
        <w:tc>
          <w:tcPr>
            <w:tcW w:w="13039" w:type="dxa"/>
            <w:gridSpan w:val="11"/>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Layout w:type="fixed"/>
          <w:tblCellMar>
            <w:top w:w="0" w:type="dxa"/>
            <w:left w:w="108" w:type="dxa"/>
            <w:bottom w:w="0" w:type="dxa"/>
            <w:right w:w="108" w:type="dxa"/>
          </w:tblCellMar>
        </w:tblPrEx>
        <w:trPr>
          <w:cantSplit/>
          <w:trHeight w:val="660" w:hRule="atLeast"/>
        </w:trPr>
        <w:tc>
          <w:tcPr>
            <w:tcW w:w="216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1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14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16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164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0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tblPrEx>
          <w:tblLayout w:type="fixed"/>
          <w:tblCellMar>
            <w:top w:w="0" w:type="dxa"/>
            <w:left w:w="108" w:type="dxa"/>
            <w:bottom w:w="0" w:type="dxa"/>
            <w:right w:w="108" w:type="dxa"/>
          </w:tblCellMar>
        </w:tblPrEx>
        <w:trPr>
          <w:cantSplit/>
          <w:trHeight w:val="630" w:hRule="atLeast"/>
        </w:trPr>
        <w:tc>
          <w:tcPr>
            <w:tcW w:w="216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21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26085.08</w:t>
            </w:r>
          </w:p>
        </w:tc>
        <w:tc>
          <w:tcPr>
            <w:tcW w:w="14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22825.26</w:t>
            </w:r>
          </w:p>
        </w:tc>
        <w:tc>
          <w:tcPr>
            <w:tcW w:w="1681" w:type="dxa"/>
            <w:gridSpan w:val="2"/>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 xml:space="preserve">    87.50%</w:t>
            </w:r>
          </w:p>
        </w:tc>
        <w:tc>
          <w:tcPr>
            <w:tcW w:w="16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2070"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17</w:t>
            </w:r>
          </w:p>
        </w:tc>
      </w:tr>
      <w:tr>
        <w:tblPrEx>
          <w:tblLayout w:type="fixed"/>
          <w:tblCellMar>
            <w:top w:w="0" w:type="dxa"/>
            <w:left w:w="108" w:type="dxa"/>
            <w:bottom w:w="0" w:type="dxa"/>
            <w:right w:w="108" w:type="dxa"/>
          </w:tblCellMar>
        </w:tblPrEx>
        <w:trPr>
          <w:cantSplit/>
          <w:trHeight w:val="411"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17110.7</w:t>
            </w:r>
            <w:r>
              <w:rPr>
                <w:rFonts w:hint="eastAsia" w:ascii="宋体" w:hAnsi="宋体" w:cs="宋体"/>
                <w:color w:val="000000"/>
                <w:kern w:val="0"/>
                <w:sz w:val="20"/>
                <w:szCs w:val="20"/>
                <w:lang w:val="en-US" w:eastAsia="zh-CN"/>
              </w:rPr>
              <w:t>7</w:t>
            </w:r>
          </w:p>
        </w:tc>
        <w:tc>
          <w:tcPr>
            <w:tcW w:w="14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14761.28</w:t>
            </w:r>
          </w:p>
        </w:tc>
        <w:tc>
          <w:tcPr>
            <w:tcW w:w="168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6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7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cantSplit/>
          <w:trHeight w:val="249"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8974.32</w:t>
            </w:r>
          </w:p>
        </w:tc>
        <w:tc>
          <w:tcPr>
            <w:tcW w:w="14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8063.99</w:t>
            </w:r>
            <w:r>
              <w:rPr>
                <w:rFonts w:hint="eastAsia" w:ascii="宋体" w:hAnsi="宋体" w:cs="宋体"/>
                <w:color w:val="000000"/>
                <w:kern w:val="0"/>
                <w:sz w:val="20"/>
                <w:szCs w:val="20"/>
              </w:rPr>
              <w:t>　</w:t>
            </w:r>
          </w:p>
        </w:tc>
        <w:tc>
          <w:tcPr>
            <w:tcW w:w="168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7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cantSplit/>
          <w:trHeight w:val="230"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14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168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7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cantSplit/>
          <w:trHeight w:val="479" w:hRule="atLeast"/>
        </w:trPr>
        <w:tc>
          <w:tcPr>
            <w:tcW w:w="13039" w:type="dxa"/>
            <w:gridSpan w:val="11"/>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Layout w:type="fixed"/>
          <w:tblCellMar>
            <w:top w:w="0" w:type="dxa"/>
            <w:left w:w="108" w:type="dxa"/>
            <w:bottom w:w="0" w:type="dxa"/>
            <w:right w:w="108" w:type="dxa"/>
          </w:tblCellMar>
        </w:tblPrEx>
        <w:trPr>
          <w:cantSplit/>
          <w:trHeight w:val="499" w:hRule="atLeast"/>
        </w:trPr>
        <w:tc>
          <w:tcPr>
            <w:tcW w:w="216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21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4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16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164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0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tblPrEx>
          <w:tblLayout w:type="fixed"/>
          <w:tblCellMar>
            <w:top w:w="0" w:type="dxa"/>
            <w:left w:w="108" w:type="dxa"/>
            <w:bottom w:w="0" w:type="dxa"/>
            <w:right w:w="108" w:type="dxa"/>
          </w:tblCellMar>
        </w:tblPrEx>
        <w:trPr>
          <w:cantSplit/>
          <w:trHeight w:val="675" w:hRule="atLeast"/>
        </w:trPr>
        <w:tc>
          <w:tcPr>
            <w:tcW w:w="216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216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18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产出指标数量指标足额保障率</w:t>
            </w:r>
          </w:p>
        </w:tc>
        <w:tc>
          <w:tcPr>
            <w:tcW w:w="14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100%</w:t>
            </w:r>
          </w:p>
        </w:tc>
        <w:tc>
          <w:tcPr>
            <w:tcW w:w="168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90%</w:t>
            </w:r>
          </w:p>
        </w:tc>
        <w:tc>
          <w:tcPr>
            <w:tcW w:w="16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2070"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w:t>
            </w:r>
          </w:p>
        </w:tc>
      </w:tr>
      <w:tr>
        <w:tblPrEx>
          <w:tblLayout w:type="fixed"/>
          <w:tblCellMar>
            <w:top w:w="0" w:type="dxa"/>
            <w:left w:w="108" w:type="dxa"/>
            <w:bottom w:w="0" w:type="dxa"/>
            <w:right w:w="108" w:type="dxa"/>
          </w:tblCellMar>
        </w:tblPrEx>
        <w:trPr>
          <w:cantSplit/>
          <w:trHeight w:val="540"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产出指标时效指标资金支付及时率</w:t>
            </w:r>
          </w:p>
        </w:tc>
        <w:tc>
          <w:tcPr>
            <w:tcW w:w="14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100%</w:t>
            </w:r>
            <w:r>
              <w:rPr>
                <w:rFonts w:hint="eastAsia" w:ascii="宋体" w:hAnsi="宋体" w:cs="宋体"/>
                <w:color w:val="000000"/>
                <w:kern w:val="0"/>
                <w:sz w:val="20"/>
                <w:szCs w:val="20"/>
              </w:rPr>
              <w:t>　</w:t>
            </w:r>
          </w:p>
        </w:tc>
        <w:tc>
          <w:tcPr>
            <w:tcW w:w="16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69.82%</w:t>
            </w:r>
            <w:r>
              <w:rPr>
                <w:rFonts w:hint="eastAsia" w:ascii="宋体" w:hAnsi="宋体" w:cs="宋体"/>
                <w:color w:val="000000"/>
                <w:kern w:val="0"/>
                <w:sz w:val="20"/>
                <w:szCs w:val="20"/>
              </w:rPr>
              <w:t>　</w:t>
            </w:r>
          </w:p>
        </w:tc>
        <w:tc>
          <w:tcPr>
            <w:tcW w:w="16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cantSplit/>
          <w:trHeight w:val="577"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产出指标成本指标预算支出金额</w:t>
            </w:r>
          </w:p>
        </w:tc>
        <w:tc>
          <w:tcPr>
            <w:tcW w:w="14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16278.25</w:t>
            </w:r>
          </w:p>
        </w:tc>
        <w:tc>
          <w:tcPr>
            <w:tcW w:w="16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15904.98　</w:t>
            </w:r>
          </w:p>
        </w:tc>
        <w:tc>
          <w:tcPr>
            <w:tcW w:w="16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cantSplit/>
          <w:trHeight w:val="430"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84"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14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6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6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cantSplit/>
          <w:trHeight w:val="675"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满意度指标服务对象满意度指标</w:t>
            </w:r>
            <w:r>
              <w:rPr>
                <w:rFonts w:hint="eastAsia" w:ascii="宋体" w:hAnsi="宋体" w:cs="宋体"/>
                <w:color w:val="000000"/>
                <w:kern w:val="0"/>
                <w:sz w:val="20"/>
                <w:szCs w:val="20"/>
                <w:lang w:val="en-US" w:eastAsia="zh-CN"/>
              </w:rPr>
              <w:t>就业</w:t>
            </w:r>
            <w:r>
              <w:rPr>
                <w:rFonts w:hint="eastAsia" w:ascii="宋体" w:hAnsi="宋体" w:cs="宋体"/>
                <w:color w:val="000000"/>
                <w:kern w:val="0"/>
                <w:sz w:val="20"/>
                <w:szCs w:val="20"/>
              </w:rPr>
              <w:t>率</w:t>
            </w:r>
          </w:p>
        </w:tc>
        <w:tc>
          <w:tcPr>
            <w:tcW w:w="14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85%</w:t>
            </w:r>
          </w:p>
        </w:tc>
        <w:tc>
          <w:tcPr>
            <w:tcW w:w="16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95%</w:t>
            </w:r>
            <w:r>
              <w:rPr>
                <w:rFonts w:hint="eastAsia" w:ascii="宋体" w:hAnsi="宋体" w:cs="宋体"/>
                <w:color w:val="000000"/>
                <w:kern w:val="0"/>
                <w:sz w:val="20"/>
                <w:szCs w:val="20"/>
              </w:rPr>
              <w:t>　</w:t>
            </w:r>
          </w:p>
        </w:tc>
        <w:tc>
          <w:tcPr>
            <w:tcW w:w="16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20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cantSplit/>
          <w:trHeight w:val="630"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rPr>
              <w:t>满意度指标服务对象满意度指标</w:t>
            </w:r>
            <w:r>
              <w:rPr>
                <w:rFonts w:hint="eastAsia"/>
                <w:lang w:val="en-US" w:eastAsia="zh-CN"/>
              </w:rPr>
              <w:t>教职工</w:t>
            </w:r>
            <w:r>
              <w:rPr>
                <w:rFonts w:hint="eastAsia"/>
              </w:rPr>
              <w:t>满意率</w:t>
            </w:r>
          </w:p>
        </w:tc>
        <w:tc>
          <w:tcPr>
            <w:tcW w:w="14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85%</w:t>
            </w:r>
          </w:p>
        </w:tc>
        <w:tc>
          <w:tcPr>
            <w:tcW w:w="16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100%</w:t>
            </w:r>
          </w:p>
        </w:tc>
        <w:tc>
          <w:tcPr>
            <w:tcW w:w="16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70" w:type="dxa"/>
            <w:gridSpan w:val="3"/>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 xml:space="preserve">       </w:t>
            </w: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10</w:t>
            </w:r>
          </w:p>
        </w:tc>
      </w:tr>
      <w:tr>
        <w:tblPrEx>
          <w:tblLayout w:type="fixed"/>
          <w:tblCellMar>
            <w:top w:w="0" w:type="dxa"/>
            <w:left w:w="108" w:type="dxa"/>
            <w:bottom w:w="0" w:type="dxa"/>
            <w:right w:w="108" w:type="dxa"/>
          </w:tblCellMar>
        </w:tblPrEx>
        <w:trPr>
          <w:cantSplit/>
          <w:trHeight w:val="690"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rPr>
              <w:t>满意度指标服务对象满意度指标</w:t>
            </w:r>
            <w:r>
              <w:rPr>
                <w:rFonts w:hint="eastAsia"/>
                <w:lang w:val="en-US" w:eastAsia="zh-CN"/>
              </w:rPr>
              <w:t>教学生</w:t>
            </w:r>
            <w:r>
              <w:rPr>
                <w:rFonts w:hint="eastAsia"/>
              </w:rPr>
              <w:t>满意率</w:t>
            </w:r>
          </w:p>
        </w:tc>
        <w:tc>
          <w:tcPr>
            <w:tcW w:w="14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85%</w:t>
            </w:r>
          </w:p>
        </w:tc>
        <w:tc>
          <w:tcPr>
            <w:tcW w:w="16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100%</w:t>
            </w:r>
          </w:p>
        </w:tc>
        <w:tc>
          <w:tcPr>
            <w:tcW w:w="16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cantSplit/>
          <w:trHeight w:val="277"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84"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14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6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6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cantSplit/>
          <w:trHeight w:val="487" w:hRule="atLeast"/>
        </w:trPr>
        <w:tc>
          <w:tcPr>
            <w:tcW w:w="13039" w:type="dxa"/>
            <w:gridSpan w:val="11"/>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Layout w:type="fixed"/>
          <w:tblCellMar>
            <w:top w:w="0" w:type="dxa"/>
            <w:left w:w="108" w:type="dxa"/>
            <w:bottom w:w="0" w:type="dxa"/>
            <w:right w:w="108" w:type="dxa"/>
          </w:tblCellMar>
        </w:tblPrEx>
        <w:trPr>
          <w:cantSplit/>
          <w:trHeight w:val="702" w:hRule="atLeast"/>
        </w:trPr>
        <w:tc>
          <w:tcPr>
            <w:tcW w:w="216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21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143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168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164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06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r>
      <w:tr>
        <w:tblPrEx>
          <w:tblLayout w:type="fixed"/>
          <w:tblCellMar>
            <w:top w:w="0" w:type="dxa"/>
            <w:left w:w="108" w:type="dxa"/>
            <w:bottom w:w="0" w:type="dxa"/>
            <w:right w:w="108" w:type="dxa"/>
          </w:tblCellMar>
        </w:tblPrEx>
        <w:trPr>
          <w:cantSplit/>
          <w:trHeight w:val="853" w:hRule="atLeast"/>
        </w:trPr>
        <w:tc>
          <w:tcPr>
            <w:tcW w:w="216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216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143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w:t>
            </w:r>
          </w:p>
        </w:tc>
        <w:tc>
          <w:tcPr>
            <w:tcW w:w="168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w:t>
            </w:r>
            <w:r>
              <w:rPr>
                <w:rFonts w:hint="eastAsia" w:ascii="宋体" w:hAnsi="宋体" w:cs="宋体"/>
                <w:color w:val="000000"/>
                <w:kern w:val="0"/>
                <w:sz w:val="20"/>
                <w:szCs w:val="20"/>
              </w:rPr>
              <w:t>　</w:t>
            </w:r>
          </w:p>
        </w:tc>
        <w:tc>
          <w:tcPr>
            <w:tcW w:w="164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2069" w:type="dxa"/>
            <w:gridSpan w:val="2"/>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 xml:space="preserve">       </w:t>
            </w: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w:t>
            </w:r>
          </w:p>
        </w:tc>
      </w:tr>
      <w:tr>
        <w:tblPrEx>
          <w:tblLayout w:type="fixed"/>
          <w:tblCellMar>
            <w:top w:w="0" w:type="dxa"/>
            <w:left w:w="108" w:type="dxa"/>
            <w:bottom w:w="0" w:type="dxa"/>
            <w:right w:w="108" w:type="dxa"/>
          </w:tblCellMar>
        </w:tblPrEx>
        <w:trPr>
          <w:cantSplit/>
          <w:trHeight w:val="805"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143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w:t>
            </w:r>
            <w:r>
              <w:rPr>
                <w:rFonts w:hint="eastAsia" w:ascii="宋体" w:hAnsi="宋体" w:cs="宋体"/>
                <w:color w:val="000000"/>
                <w:kern w:val="0"/>
                <w:sz w:val="20"/>
                <w:szCs w:val="20"/>
              </w:rPr>
              <w:t>　</w:t>
            </w:r>
          </w:p>
        </w:tc>
        <w:tc>
          <w:tcPr>
            <w:tcW w:w="168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w:t>
            </w:r>
            <w:r>
              <w:rPr>
                <w:rFonts w:hint="eastAsia" w:ascii="宋体" w:hAnsi="宋体" w:cs="宋体"/>
                <w:color w:val="000000"/>
                <w:kern w:val="0"/>
                <w:sz w:val="20"/>
                <w:szCs w:val="20"/>
              </w:rPr>
              <w:t>　</w:t>
            </w:r>
          </w:p>
        </w:tc>
        <w:tc>
          <w:tcPr>
            <w:tcW w:w="164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206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cantSplit/>
          <w:trHeight w:val="410"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143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w:t>
            </w:r>
            <w:r>
              <w:rPr>
                <w:rFonts w:hint="eastAsia" w:ascii="宋体" w:hAnsi="宋体" w:cs="宋体"/>
                <w:color w:val="000000"/>
                <w:kern w:val="0"/>
                <w:sz w:val="20"/>
                <w:szCs w:val="20"/>
              </w:rPr>
              <w:t>　</w:t>
            </w:r>
          </w:p>
        </w:tc>
        <w:tc>
          <w:tcPr>
            <w:tcW w:w="168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w:t>
            </w:r>
            <w:r>
              <w:rPr>
                <w:rFonts w:hint="eastAsia" w:ascii="宋体" w:hAnsi="宋体" w:cs="宋体"/>
                <w:color w:val="000000"/>
                <w:kern w:val="0"/>
                <w:sz w:val="20"/>
                <w:szCs w:val="20"/>
              </w:rPr>
              <w:t>　</w:t>
            </w:r>
          </w:p>
        </w:tc>
        <w:tc>
          <w:tcPr>
            <w:tcW w:w="164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206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cantSplit/>
          <w:trHeight w:val="386"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143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 xml:space="preserve">   -</w:t>
            </w:r>
          </w:p>
        </w:tc>
        <w:tc>
          <w:tcPr>
            <w:tcW w:w="168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 xml:space="preserve">     -</w:t>
            </w:r>
          </w:p>
        </w:tc>
        <w:tc>
          <w:tcPr>
            <w:tcW w:w="164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06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cantSplit/>
          <w:trHeight w:val="382"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188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143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 xml:space="preserve">   -</w:t>
            </w:r>
          </w:p>
        </w:tc>
        <w:tc>
          <w:tcPr>
            <w:tcW w:w="168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 xml:space="preserve">     -</w:t>
            </w:r>
          </w:p>
        </w:tc>
        <w:tc>
          <w:tcPr>
            <w:tcW w:w="164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06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cantSplit/>
          <w:trHeight w:val="394"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331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年</w:t>
            </w:r>
          </w:p>
        </w:tc>
        <w:tc>
          <w:tcPr>
            <w:tcW w:w="168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年</w:t>
            </w:r>
          </w:p>
        </w:tc>
        <w:tc>
          <w:tcPr>
            <w:tcW w:w="164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06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tblPrEx>
          <w:tblLayout w:type="fixed"/>
          <w:tblCellMar>
            <w:top w:w="0" w:type="dxa"/>
            <w:left w:w="108" w:type="dxa"/>
            <w:bottom w:w="0" w:type="dxa"/>
            <w:right w:w="108" w:type="dxa"/>
          </w:tblCellMar>
        </w:tblPrEx>
        <w:trPr>
          <w:cantSplit/>
          <w:trHeight w:val="446"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3315" w:type="dxa"/>
            <w:gridSpan w:val="3"/>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 xml:space="preserve">      30.18%</w:t>
            </w:r>
          </w:p>
        </w:tc>
        <w:tc>
          <w:tcPr>
            <w:tcW w:w="1682" w:type="dxa"/>
            <w:gridSpan w:val="2"/>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 xml:space="preserve"> 23.10%</w:t>
            </w:r>
          </w:p>
        </w:tc>
        <w:tc>
          <w:tcPr>
            <w:tcW w:w="164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06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cantSplit/>
          <w:trHeight w:val="551" w:hRule="atLeast"/>
        </w:trPr>
        <w:tc>
          <w:tcPr>
            <w:tcW w:w="2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6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331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68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 xml:space="preserve"> 2.71%</w:t>
            </w:r>
          </w:p>
        </w:tc>
        <w:tc>
          <w:tcPr>
            <w:tcW w:w="164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06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cantSplit/>
          <w:trHeight w:val="484" w:hRule="atLeast"/>
        </w:trPr>
        <w:tc>
          <w:tcPr>
            <w:tcW w:w="9324"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164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206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91</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ascii="方正小标宋简体" w:eastAsia="方正小标宋简体"/>
          <w:sz w:val="36"/>
          <w:szCs w:val="36"/>
        </w:rPr>
      </w:pPr>
    </w:p>
    <w:sectPr>
      <w:footerReference r:id="rId3"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黑体_GBK">
    <w:altName w:val="Arial Unicode MS"/>
    <w:panose1 w:val="02000000000000000000"/>
    <w:charset w:val="86"/>
    <w:family w:val="auto"/>
    <w:pitch w:val="default"/>
    <w:sig w:usb0="00000000" w:usb1="00000000" w:usb2="00000000" w:usb3="00000000" w:csb0="00040000" w:csb1="00000000"/>
  </w:font>
  <w:font w:name="方正小标宋简体">
    <w:altName w:val="Arial Unicode MS"/>
    <w:panose1 w:val="02000000000000000000"/>
    <w:charset w:val="86"/>
    <w:family w:val="auto"/>
    <w:pitch w:val="default"/>
    <w:sig w:usb0="00000000" w:usb1="00000000" w:usb2="00000012" w:usb3="00000000" w:csb0="00040001" w:csb1="00000000"/>
  </w:font>
  <w:font w:name="DejaVu Sans">
    <w:altName w:val="Segoe Print"/>
    <w:panose1 w:val="020B0603030804020204"/>
    <w:charset w:val="00"/>
    <w:family w:val="auto"/>
    <w:pitch w:val="default"/>
    <w:sig w:usb0="00000000" w:usb1="00000000" w:usb2="0A246029" w:usb3="0400200C" w:csb0="600001FF" w:csb1="DFFF0000"/>
  </w:font>
  <w:font w:name="微软雅黑">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 w:name="方正小标宋简体">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66F8CA"/>
    <w:multiLevelType w:val="singleLevel"/>
    <w:tmpl w:val="6466F8CA"/>
    <w:lvl w:ilvl="0" w:tentative="0">
      <w:start w:val="2"/>
      <w:numFmt w:val="chineseCounting"/>
      <w:suff w:val="nothing"/>
      <w:lvlText w:val="（%1）"/>
      <w:lvlJc w:val="left"/>
    </w:lvl>
  </w:abstractNum>
  <w:abstractNum w:abstractNumId="1">
    <w:nsid w:val="646ADC57"/>
    <w:multiLevelType w:val="singleLevel"/>
    <w:tmpl w:val="646ADC57"/>
    <w:lvl w:ilvl="0" w:tentative="0">
      <w:start w:val="2"/>
      <w:numFmt w:val="decimal"/>
      <w:suff w:val="nothing"/>
      <w:lvlText w:val="%1."/>
      <w:lvlJc w:val="left"/>
    </w:lvl>
  </w:abstractNum>
  <w:abstractNum w:abstractNumId="2">
    <w:nsid w:val="646ADD6F"/>
    <w:multiLevelType w:val="singleLevel"/>
    <w:tmpl w:val="646ADD6F"/>
    <w:lvl w:ilvl="0" w:tentative="0">
      <w:start w:val="4"/>
      <w:numFmt w:val="chineseCounting"/>
      <w:suff w:val="nothing"/>
      <w:lvlText w:val="（%1）"/>
      <w:lvlJc w:val="left"/>
    </w:lvl>
  </w:abstractNum>
  <w:abstractNum w:abstractNumId="3">
    <w:nsid w:val="646C3034"/>
    <w:multiLevelType w:val="singleLevel"/>
    <w:tmpl w:val="646C3034"/>
    <w:lvl w:ilvl="0" w:tentative="0">
      <w:start w:val="2"/>
      <w:numFmt w:val="decimal"/>
      <w:suff w:val="nothing"/>
      <w:lvlText w:val="%1."/>
      <w:lvlJc w:val="left"/>
    </w:lvl>
  </w:abstractNum>
  <w:abstractNum w:abstractNumId="4">
    <w:nsid w:val="646C5981"/>
    <w:multiLevelType w:val="singleLevel"/>
    <w:tmpl w:val="646C5981"/>
    <w:lvl w:ilvl="0" w:tentative="0">
      <w:start w:val="2"/>
      <w:numFmt w:val="chineseCounting"/>
      <w:suff w:val="nothing"/>
      <w:lvlText w:val="（%1）"/>
      <w:lvlJc w:val="left"/>
    </w:lvl>
  </w:abstractNum>
  <w:abstractNum w:abstractNumId="5">
    <w:nsid w:val="646C69E0"/>
    <w:multiLevelType w:val="singleLevel"/>
    <w:tmpl w:val="646C69E0"/>
    <w:lvl w:ilvl="0" w:tentative="0">
      <w:start w:val="1"/>
      <w:numFmt w:val="decimal"/>
      <w:suff w:val="nothing"/>
      <w:lvlText w:val="%1."/>
      <w:lvlJc w:val="left"/>
    </w:lvl>
  </w:abstractNum>
  <w:abstractNum w:abstractNumId="6">
    <w:nsid w:val="64706861"/>
    <w:multiLevelType w:val="singleLevel"/>
    <w:tmpl w:val="64706861"/>
    <w:lvl w:ilvl="0" w:tentative="0">
      <w:start w:val="2"/>
      <w:numFmt w:val="chineseCounting"/>
      <w:suff w:val="nothing"/>
      <w:lvlText w:val="（%1）"/>
      <w:lvlJc w:val="left"/>
    </w:lvl>
  </w:abstractNum>
  <w:num w:numId="1">
    <w:abstractNumId w:val="0"/>
  </w:num>
  <w:num w:numId="2">
    <w:abstractNumId w:val="3"/>
  </w:num>
  <w:num w:numId="3">
    <w:abstractNumId w:val="6"/>
  </w:num>
  <w:num w:numId="4">
    <w:abstractNumId w:val="1"/>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6D6058"/>
    <w:rsid w:val="01727FEE"/>
    <w:rsid w:val="01BD7F6B"/>
    <w:rsid w:val="031B5C87"/>
    <w:rsid w:val="035C325D"/>
    <w:rsid w:val="040B2E15"/>
    <w:rsid w:val="0428571C"/>
    <w:rsid w:val="074D74EE"/>
    <w:rsid w:val="088B3CEA"/>
    <w:rsid w:val="0AFC5CAF"/>
    <w:rsid w:val="0B12390D"/>
    <w:rsid w:val="0BC748F4"/>
    <w:rsid w:val="0D0F71CB"/>
    <w:rsid w:val="0D1406E9"/>
    <w:rsid w:val="0D893A58"/>
    <w:rsid w:val="0DE62337"/>
    <w:rsid w:val="0EB3285F"/>
    <w:rsid w:val="0EC94659"/>
    <w:rsid w:val="0FCD2DA9"/>
    <w:rsid w:val="10617B6B"/>
    <w:rsid w:val="11C13578"/>
    <w:rsid w:val="12A5117F"/>
    <w:rsid w:val="12D1733B"/>
    <w:rsid w:val="139547CF"/>
    <w:rsid w:val="14705442"/>
    <w:rsid w:val="14885617"/>
    <w:rsid w:val="1503045D"/>
    <w:rsid w:val="150F7793"/>
    <w:rsid w:val="15B26A28"/>
    <w:rsid w:val="15F67351"/>
    <w:rsid w:val="175F53D8"/>
    <w:rsid w:val="17DD09DE"/>
    <w:rsid w:val="1A741F8E"/>
    <w:rsid w:val="1E8D1EB1"/>
    <w:rsid w:val="1F5C2EBC"/>
    <w:rsid w:val="20912000"/>
    <w:rsid w:val="216F78EF"/>
    <w:rsid w:val="22E55484"/>
    <w:rsid w:val="23427078"/>
    <w:rsid w:val="27DA117D"/>
    <w:rsid w:val="2AB50247"/>
    <w:rsid w:val="2CB66B5D"/>
    <w:rsid w:val="2CC81B77"/>
    <w:rsid w:val="2D573D97"/>
    <w:rsid w:val="2DD91C6D"/>
    <w:rsid w:val="2E8C1ABE"/>
    <w:rsid w:val="30C243F7"/>
    <w:rsid w:val="31DE42DC"/>
    <w:rsid w:val="33251A78"/>
    <w:rsid w:val="33A173B7"/>
    <w:rsid w:val="350632DE"/>
    <w:rsid w:val="37173543"/>
    <w:rsid w:val="3731354A"/>
    <w:rsid w:val="37996AAF"/>
    <w:rsid w:val="381F4490"/>
    <w:rsid w:val="389210EF"/>
    <w:rsid w:val="392C1E26"/>
    <w:rsid w:val="39C243E9"/>
    <w:rsid w:val="3A89556F"/>
    <w:rsid w:val="3AE914C3"/>
    <w:rsid w:val="3B321376"/>
    <w:rsid w:val="3BA14E62"/>
    <w:rsid w:val="3C436230"/>
    <w:rsid w:val="3D9F146B"/>
    <w:rsid w:val="3E340058"/>
    <w:rsid w:val="3FAA415E"/>
    <w:rsid w:val="3FD90A5B"/>
    <w:rsid w:val="3FDBA076"/>
    <w:rsid w:val="3FDFB3F0"/>
    <w:rsid w:val="3FDFC9A6"/>
    <w:rsid w:val="3FF76880"/>
    <w:rsid w:val="3FF91B77"/>
    <w:rsid w:val="402127B3"/>
    <w:rsid w:val="409725DF"/>
    <w:rsid w:val="40B5358C"/>
    <w:rsid w:val="414D1F93"/>
    <w:rsid w:val="42C36B84"/>
    <w:rsid w:val="43E82A43"/>
    <w:rsid w:val="458B1A37"/>
    <w:rsid w:val="46960364"/>
    <w:rsid w:val="46A43929"/>
    <w:rsid w:val="47B91A26"/>
    <w:rsid w:val="48245FF9"/>
    <w:rsid w:val="497C3CF6"/>
    <w:rsid w:val="4A504A29"/>
    <w:rsid w:val="4BBB7928"/>
    <w:rsid w:val="4C035A75"/>
    <w:rsid w:val="4D933576"/>
    <w:rsid w:val="4DC73316"/>
    <w:rsid w:val="4E717233"/>
    <w:rsid w:val="4EC46F32"/>
    <w:rsid w:val="4EE65694"/>
    <w:rsid w:val="4FB06A2E"/>
    <w:rsid w:val="505A5F81"/>
    <w:rsid w:val="507A60BA"/>
    <w:rsid w:val="51647A5C"/>
    <w:rsid w:val="51B71B7D"/>
    <w:rsid w:val="53CA3424"/>
    <w:rsid w:val="560523D2"/>
    <w:rsid w:val="5AF36A1E"/>
    <w:rsid w:val="5B714395"/>
    <w:rsid w:val="5BB25DD8"/>
    <w:rsid w:val="5BDF58A0"/>
    <w:rsid w:val="5BFD4AC2"/>
    <w:rsid w:val="5D434DC7"/>
    <w:rsid w:val="5DA56178"/>
    <w:rsid w:val="5E76761D"/>
    <w:rsid w:val="5F8E46E9"/>
    <w:rsid w:val="5FC902ED"/>
    <w:rsid w:val="60231435"/>
    <w:rsid w:val="60820079"/>
    <w:rsid w:val="611E0F13"/>
    <w:rsid w:val="62E75CC7"/>
    <w:rsid w:val="64B35683"/>
    <w:rsid w:val="652E07B0"/>
    <w:rsid w:val="653F43D4"/>
    <w:rsid w:val="65B33A83"/>
    <w:rsid w:val="66A00FCD"/>
    <w:rsid w:val="67065CEB"/>
    <w:rsid w:val="67759716"/>
    <w:rsid w:val="68556542"/>
    <w:rsid w:val="69586223"/>
    <w:rsid w:val="6B376F4B"/>
    <w:rsid w:val="6C2C57A9"/>
    <w:rsid w:val="6C5E7802"/>
    <w:rsid w:val="6CAE4675"/>
    <w:rsid w:val="6CC60E00"/>
    <w:rsid w:val="6F7ED27B"/>
    <w:rsid w:val="71420A5D"/>
    <w:rsid w:val="71BF4C37"/>
    <w:rsid w:val="728A4940"/>
    <w:rsid w:val="729C33F7"/>
    <w:rsid w:val="7531132B"/>
    <w:rsid w:val="75B17A7C"/>
    <w:rsid w:val="76DF1C00"/>
    <w:rsid w:val="771D7279"/>
    <w:rsid w:val="7774131F"/>
    <w:rsid w:val="77AC0209"/>
    <w:rsid w:val="78087FAB"/>
    <w:rsid w:val="78385198"/>
    <w:rsid w:val="78561174"/>
    <w:rsid w:val="7A085BED"/>
    <w:rsid w:val="7AB7FF50"/>
    <w:rsid w:val="7AEAF641"/>
    <w:rsid w:val="7B0910B3"/>
    <w:rsid w:val="7B360C28"/>
    <w:rsid w:val="7BAD2729"/>
    <w:rsid w:val="7BFEB0DB"/>
    <w:rsid w:val="7C1035DE"/>
    <w:rsid w:val="7DD27ED2"/>
    <w:rsid w:val="7E7BCF8D"/>
    <w:rsid w:val="7EC11601"/>
    <w:rsid w:val="7EE20D1A"/>
    <w:rsid w:val="7FFF4E81"/>
    <w:rsid w:val="7FFFD0D3"/>
    <w:rsid w:val="8716660E"/>
    <w:rsid w:val="A3AA735E"/>
    <w:rsid w:val="A75D4892"/>
    <w:rsid w:val="AFFFCE02"/>
    <w:rsid w:val="CEFD3F3D"/>
    <w:rsid w:val="D6B22E60"/>
    <w:rsid w:val="EA3F77F2"/>
    <w:rsid w:val="EEFE5989"/>
    <w:rsid w:val="EFCF3EAE"/>
    <w:rsid w:val="F49D469B"/>
    <w:rsid w:val="F4FDEB06"/>
    <w:rsid w:val="F5B764A2"/>
    <w:rsid w:val="F77F09F4"/>
    <w:rsid w:val="FBFF6E65"/>
    <w:rsid w:val="FEEF6AA0"/>
    <w:rsid w:val="FFB792B8"/>
    <w:rsid w:val="FFD7BFFC"/>
    <w:rsid w:val="FFFA6B0F"/>
    <w:rsid w:val="FFFFB6E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2022-03-15T03:16:00Z</dcterms:created>
  <dc:creator>user</dc:creator>
  <cp:lastModifiedBy>lgj</cp:lastModifiedBy>
  <cp:lastPrinted>2023-03-06T09:31:00Z</cp:lastPrinted>
  <dcterms:modified xsi:type="dcterms:W3CDTF">2025-08-26T03:23:19Z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