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DE7D5">
      <w:pPr>
        <w:jc w:val="center"/>
        <w:rPr>
          <w:b/>
          <w:bCs/>
          <w:sz w:val="52"/>
          <w:szCs w:val="52"/>
        </w:rPr>
      </w:pPr>
      <w:r>
        <w:rPr>
          <w:rFonts w:hint="eastAsia"/>
          <w:b/>
          <w:bCs/>
          <w:sz w:val="52"/>
          <w:szCs w:val="52"/>
        </w:rPr>
        <w:t>北京市市级财政项目支出</w:t>
      </w:r>
    </w:p>
    <w:p w14:paraId="787990D0">
      <w:pPr>
        <w:jc w:val="center"/>
        <w:rPr>
          <w:b/>
          <w:bCs/>
          <w:sz w:val="52"/>
          <w:szCs w:val="52"/>
        </w:rPr>
      </w:pPr>
      <w:r>
        <w:rPr>
          <w:rFonts w:hint="eastAsia"/>
          <w:b/>
          <w:bCs/>
          <w:sz w:val="52"/>
          <w:szCs w:val="52"/>
        </w:rPr>
        <w:t>绩效评价报告</w:t>
      </w:r>
    </w:p>
    <w:p w14:paraId="638F235A">
      <w:pPr>
        <w:jc w:val="center"/>
        <w:rPr>
          <w:b/>
          <w:bCs/>
          <w:sz w:val="52"/>
          <w:szCs w:val="52"/>
        </w:rPr>
      </w:pPr>
    </w:p>
    <w:p w14:paraId="3C1FDA34">
      <w:pPr>
        <w:jc w:val="center"/>
        <w:rPr>
          <w:b/>
          <w:bCs/>
          <w:sz w:val="52"/>
          <w:szCs w:val="52"/>
        </w:rPr>
      </w:pPr>
    </w:p>
    <w:p w14:paraId="6F3186B0">
      <w:pPr>
        <w:jc w:val="center"/>
        <w:rPr>
          <w:b/>
          <w:bCs/>
          <w:sz w:val="52"/>
          <w:szCs w:val="52"/>
        </w:rPr>
      </w:pPr>
    </w:p>
    <w:p w14:paraId="2E13D7FF">
      <w:pPr>
        <w:jc w:val="center"/>
        <w:rPr>
          <w:b/>
          <w:bCs/>
          <w:sz w:val="52"/>
          <w:szCs w:val="52"/>
        </w:rPr>
      </w:pPr>
    </w:p>
    <w:p w14:paraId="0F53D273">
      <w:pPr>
        <w:jc w:val="center"/>
        <w:rPr>
          <w:b/>
          <w:bCs/>
          <w:sz w:val="52"/>
          <w:szCs w:val="52"/>
        </w:rPr>
      </w:pPr>
    </w:p>
    <w:p w14:paraId="727D9C44">
      <w:pPr>
        <w:jc w:val="center"/>
        <w:rPr>
          <w:b/>
          <w:bCs/>
          <w:sz w:val="52"/>
          <w:szCs w:val="52"/>
        </w:rPr>
      </w:pPr>
    </w:p>
    <w:p w14:paraId="5B93F9D1">
      <w:pPr>
        <w:jc w:val="center"/>
        <w:rPr>
          <w:b/>
          <w:bCs/>
          <w:sz w:val="52"/>
          <w:szCs w:val="52"/>
        </w:rPr>
      </w:pPr>
    </w:p>
    <w:p w14:paraId="686EC74B">
      <w:pPr>
        <w:snapToGrid w:val="0"/>
        <w:spacing w:line="360" w:lineRule="auto"/>
        <w:ind w:firstLine="566" w:firstLineChars="177"/>
        <w:jc w:val="left"/>
        <w:rPr>
          <w:rFonts w:ascii="宋体" w:hAnsi="宋体"/>
          <w:sz w:val="32"/>
          <w:szCs w:val="32"/>
          <w:u w:val="single"/>
        </w:rPr>
      </w:pPr>
    </w:p>
    <w:p w14:paraId="31EAA643">
      <w:pPr>
        <w:jc w:val="center"/>
        <w:rPr>
          <w:rFonts w:ascii="宋体" w:hAnsi="宋体"/>
          <w:b/>
          <w:sz w:val="32"/>
          <w:szCs w:val="32"/>
        </w:rPr>
      </w:pPr>
      <w:r>
        <w:rPr>
          <w:rFonts w:hint="eastAsia" w:ascii="宋体" w:hAnsi="宋体"/>
          <w:b/>
          <w:sz w:val="32"/>
          <w:szCs w:val="32"/>
        </w:rPr>
        <w:t>北京社会主义学院</w:t>
      </w:r>
    </w:p>
    <w:p w14:paraId="5C1340F1">
      <w:pPr>
        <w:jc w:val="center"/>
        <w:rPr>
          <w:rFonts w:ascii="宋体" w:hAnsi="宋体"/>
          <w:b/>
          <w:sz w:val="32"/>
          <w:szCs w:val="32"/>
        </w:rPr>
      </w:pPr>
      <w:r>
        <w:rPr>
          <w:rFonts w:hint="eastAsia" w:ascii="宋体" w:hAnsi="宋体"/>
          <w:b/>
          <w:sz w:val="32"/>
          <w:szCs w:val="32"/>
        </w:rPr>
        <w:t>二〇二五年五月</w:t>
      </w:r>
    </w:p>
    <w:p w14:paraId="5B9DADDB">
      <w:bookmarkStart w:id="0" w:name="_Toc169183181"/>
    </w:p>
    <w:p w14:paraId="587EF60A">
      <w:pPr>
        <w:pStyle w:val="11"/>
        <w:ind w:firstLine="240"/>
      </w:pPr>
    </w:p>
    <w:p w14:paraId="13527C76">
      <w:pPr>
        <w:pStyle w:val="5"/>
      </w:pPr>
    </w:p>
    <w:p w14:paraId="4D6BB525">
      <w:pPr>
        <w:jc w:val="center"/>
        <w:rPr>
          <w:b/>
          <w:bCs/>
          <w:sz w:val="32"/>
          <w:szCs w:val="32"/>
        </w:rPr>
      </w:pPr>
    </w:p>
    <w:p w14:paraId="3E81C6D0">
      <w:pPr>
        <w:jc w:val="center"/>
        <w:rPr>
          <w:sz w:val="36"/>
          <w:szCs w:val="36"/>
          <w:lang w:val="zh-CN"/>
        </w:rPr>
      </w:pPr>
      <w:r>
        <w:rPr>
          <w:sz w:val="36"/>
          <w:szCs w:val="36"/>
          <w:lang w:val="zh-CN"/>
        </w:rPr>
        <w:br w:type="column"/>
      </w:r>
      <w:r>
        <w:rPr>
          <w:sz w:val="36"/>
          <w:szCs w:val="36"/>
          <w:lang w:val="zh-CN"/>
        </w:rPr>
        <w:t>目</w:t>
      </w:r>
      <w:r>
        <w:rPr>
          <w:rFonts w:hint="eastAsia"/>
          <w:sz w:val="36"/>
          <w:szCs w:val="36"/>
        </w:rPr>
        <w:t xml:space="preserve">  </w:t>
      </w:r>
      <w:r>
        <w:rPr>
          <w:sz w:val="36"/>
          <w:szCs w:val="36"/>
          <w:lang w:val="zh-CN"/>
        </w:rPr>
        <w:t>录</w:t>
      </w:r>
    </w:p>
    <w:p w14:paraId="122C5E05">
      <w:pPr>
        <w:pStyle w:val="9"/>
        <w:rPr>
          <w:rFonts w:hint="eastAsia" w:hAnsiTheme="minorHAnsi" w:cstheme="minorBidi"/>
          <w:sz w:val="30"/>
          <w:szCs w:val="30"/>
        </w:rPr>
      </w:pPr>
      <w:r>
        <w:rPr>
          <w:rFonts w:hint="eastAsia" w:hAnsi="仿宋_GB2312" w:cs="仿宋_GB2312"/>
          <w:sz w:val="30"/>
          <w:szCs w:val="30"/>
        </w:rPr>
        <w:fldChar w:fldCharType="begin"/>
      </w:r>
      <w:r>
        <w:rPr>
          <w:rFonts w:hint="eastAsia" w:hAnsi="仿宋_GB2312" w:cs="仿宋_GB2312"/>
          <w:sz w:val="30"/>
          <w:szCs w:val="30"/>
        </w:rPr>
        <w:instrText xml:space="preserve"> TOC \o "1-3" \h \z \u </w:instrText>
      </w:r>
      <w:r>
        <w:rPr>
          <w:rFonts w:hint="eastAsia" w:hAnsi="仿宋_GB2312" w:cs="仿宋_GB2312"/>
          <w:sz w:val="30"/>
          <w:szCs w:val="30"/>
        </w:rPr>
        <w:fldChar w:fldCharType="separate"/>
      </w:r>
      <w:r>
        <w:fldChar w:fldCharType="begin"/>
      </w:r>
      <w:r>
        <w:instrText xml:space="preserve"> HYPERLINK \l "_Toc207037030" </w:instrText>
      </w:r>
      <w:r>
        <w:fldChar w:fldCharType="separate"/>
      </w:r>
      <w:r>
        <w:rPr>
          <w:rStyle w:val="14"/>
          <w:rFonts w:hint="eastAsia" w:hAnsi="仿宋_GB2312" w:cs="仿宋_GB2312"/>
          <w:sz w:val="30"/>
          <w:szCs w:val="30"/>
        </w:rPr>
        <w:t>一、项目概述</w:t>
      </w:r>
      <w:r>
        <w:rPr>
          <w:rFonts w:hint="eastAsia"/>
          <w:sz w:val="30"/>
          <w:szCs w:val="30"/>
        </w:rPr>
        <w:tab/>
      </w:r>
      <w:r>
        <w:rPr>
          <w:rFonts w:hint="eastAsia"/>
          <w:sz w:val="30"/>
          <w:szCs w:val="30"/>
        </w:rPr>
        <w:fldChar w:fldCharType="begin"/>
      </w:r>
      <w:r>
        <w:rPr>
          <w:rFonts w:hint="eastAsia"/>
          <w:sz w:val="30"/>
          <w:szCs w:val="30"/>
        </w:rPr>
        <w:instrText xml:space="preserve"> PAGEREF _Toc207037030 \h </w:instrText>
      </w:r>
      <w:r>
        <w:rPr>
          <w:rFonts w:hint="eastAsia"/>
          <w:sz w:val="30"/>
          <w:szCs w:val="30"/>
        </w:rPr>
        <w:fldChar w:fldCharType="separate"/>
      </w:r>
      <w:r>
        <w:rPr>
          <w:rFonts w:hint="eastAsia"/>
          <w:sz w:val="30"/>
          <w:szCs w:val="30"/>
        </w:rPr>
        <w:t>2</w:t>
      </w:r>
      <w:r>
        <w:rPr>
          <w:rFonts w:hint="eastAsia"/>
          <w:sz w:val="30"/>
          <w:szCs w:val="30"/>
        </w:rPr>
        <w:fldChar w:fldCharType="end"/>
      </w:r>
      <w:r>
        <w:rPr>
          <w:rFonts w:hint="eastAsia"/>
          <w:sz w:val="30"/>
          <w:szCs w:val="30"/>
        </w:rPr>
        <w:fldChar w:fldCharType="end"/>
      </w:r>
    </w:p>
    <w:p w14:paraId="2E03AAD4">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"_Toc207037031" </w:instrText>
      </w:r>
      <w:r>
        <w:fldChar w:fldCharType="separate"/>
      </w:r>
      <w:r>
        <w:rPr>
          <w:rStyle w:val="14"/>
          <w:rFonts w:hint="eastAsia" w:ascii="仿宋_GB2312" w:hAnsi="仿宋_GB2312" w:eastAsia="仿宋_GB2312" w:cs="仿宋_GB2312"/>
          <w:b/>
          <w:sz w:val="30"/>
          <w:szCs w:val="30"/>
        </w:rPr>
        <w:t>（一）项目概况</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_Toc207037031 \h </w:instrText>
      </w:r>
      <w:r>
        <w:rPr>
          <w:rFonts w:hint="eastAsia" w:ascii="仿宋_GB2312" w:eastAsia="仿宋_GB2312"/>
          <w:b/>
          <w:sz w:val="30"/>
          <w:szCs w:val="30"/>
        </w:rPr>
        <w:fldChar w:fldCharType="separate"/>
      </w:r>
      <w:r>
        <w:rPr>
          <w:rFonts w:hint="eastAsia" w:ascii="仿宋_GB2312" w:eastAsia="仿宋_GB2312"/>
          <w:b/>
          <w:sz w:val="30"/>
          <w:szCs w:val="30"/>
        </w:rPr>
        <w:t>2</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3B518BBD">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"_Toc207037032" </w:instrText>
      </w:r>
      <w:r>
        <w:fldChar w:fldCharType="separate"/>
      </w:r>
      <w:r>
        <w:rPr>
          <w:rStyle w:val="14"/>
          <w:rFonts w:hint="eastAsia" w:ascii="仿宋_GB2312" w:hAnsi="仿宋_GB2312" w:eastAsia="仿宋_GB2312" w:cs="仿宋_GB2312"/>
          <w:b/>
          <w:sz w:val="30"/>
          <w:szCs w:val="30"/>
        </w:rPr>
        <w:t>（二）项目绩效目标</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_Toc207037032 \h </w:instrText>
      </w:r>
      <w:r>
        <w:rPr>
          <w:rFonts w:hint="eastAsia" w:ascii="仿宋_GB2312" w:eastAsia="仿宋_GB2312"/>
          <w:b/>
          <w:sz w:val="30"/>
          <w:szCs w:val="30"/>
        </w:rPr>
        <w:fldChar w:fldCharType="separate"/>
      </w:r>
      <w:r>
        <w:rPr>
          <w:rFonts w:hint="eastAsia" w:ascii="仿宋_GB2312" w:eastAsia="仿宋_GB2312"/>
          <w:b/>
          <w:sz w:val="30"/>
          <w:szCs w:val="30"/>
        </w:rPr>
        <w:t>3</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20E3BE37">
      <w:pPr>
        <w:pStyle w:val="9"/>
        <w:rPr>
          <w:rFonts w:hint="eastAsia" w:hAnsiTheme="minorHAnsi" w:cstheme="minorBidi"/>
          <w:sz w:val="30"/>
          <w:szCs w:val="30"/>
        </w:rPr>
      </w:pPr>
      <w:r>
        <w:fldChar w:fldCharType="begin"/>
      </w:r>
      <w:r>
        <w:instrText xml:space="preserve"> HYPERLINK \l "_Toc207037033" </w:instrText>
      </w:r>
      <w:r>
        <w:fldChar w:fldCharType="separate"/>
      </w:r>
      <w:r>
        <w:rPr>
          <w:rStyle w:val="14"/>
          <w:rFonts w:hint="eastAsia" w:hAnsi="仿宋_GB2312" w:cs="仿宋_GB2312"/>
          <w:sz w:val="30"/>
          <w:szCs w:val="30"/>
        </w:rPr>
        <w:t>二、绩效评价情况</w:t>
      </w:r>
      <w:r>
        <w:rPr>
          <w:rFonts w:hint="eastAsia"/>
          <w:sz w:val="30"/>
          <w:szCs w:val="30"/>
        </w:rPr>
        <w:tab/>
      </w:r>
      <w:r>
        <w:rPr>
          <w:rFonts w:hint="eastAsia"/>
          <w:sz w:val="30"/>
          <w:szCs w:val="30"/>
        </w:rPr>
        <w:fldChar w:fldCharType="begin"/>
      </w:r>
      <w:r>
        <w:rPr>
          <w:rFonts w:hint="eastAsia"/>
          <w:sz w:val="30"/>
          <w:szCs w:val="30"/>
        </w:rPr>
        <w:instrText xml:space="preserve"> PAGEREF _Toc207037033 \h </w:instrText>
      </w:r>
      <w:r>
        <w:rPr>
          <w:rFonts w:hint="eastAsia"/>
          <w:sz w:val="30"/>
          <w:szCs w:val="30"/>
        </w:rPr>
        <w:fldChar w:fldCharType="separate"/>
      </w:r>
      <w:r>
        <w:rPr>
          <w:rFonts w:hint="eastAsia"/>
          <w:sz w:val="30"/>
          <w:szCs w:val="30"/>
        </w:rPr>
        <w:t>4</w:t>
      </w:r>
      <w:r>
        <w:rPr>
          <w:rFonts w:hint="eastAsia"/>
          <w:sz w:val="30"/>
          <w:szCs w:val="30"/>
        </w:rPr>
        <w:fldChar w:fldCharType="end"/>
      </w:r>
      <w:r>
        <w:rPr>
          <w:rFonts w:hint="eastAsia"/>
          <w:sz w:val="30"/>
          <w:szCs w:val="30"/>
        </w:rPr>
        <w:fldChar w:fldCharType="end"/>
      </w:r>
    </w:p>
    <w:p w14:paraId="48C0DB00">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"_Toc207037034" </w:instrText>
      </w:r>
      <w:r>
        <w:fldChar w:fldCharType="separate"/>
      </w:r>
      <w:r>
        <w:rPr>
          <w:rStyle w:val="14"/>
          <w:rFonts w:hint="eastAsia" w:ascii="仿宋_GB2312" w:hAnsi="仿宋_GB2312" w:eastAsia="仿宋_GB2312" w:cs="仿宋_GB2312"/>
          <w:b/>
          <w:sz w:val="30"/>
          <w:szCs w:val="30"/>
        </w:rPr>
        <w:t>（一）绩效评价目的、对象和范围</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_Toc207037034 \h </w:instrText>
      </w:r>
      <w:r>
        <w:rPr>
          <w:rFonts w:hint="eastAsia" w:ascii="仿宋_GB2312" w:eastAsia="仿宋_GB2312"/>
          <w:b/>
          <w:sz w:val="30"/>
          <w:szCs w:val="30"/>
        </w:rPr>
        <w:fldChar w:fldCharType="separate"/>
      </w:r>
      <w:r>
        <w:rPr>
          <w:rFonts w:hint="eastAsia" w:ascii="仿宋_GB2312" w:eastAsia="仿宋_GB2312"/>
          <w:b/>
          <w:sz w:val="30"/>
          <w:szCs w:val="30"/>
        </w:rPr>
        <w:t>4</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012F3780">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"_Toc207037035" </w:instrText>
      </w:r>
      <w:r>
        <w:fldChar w:fldCharType="separate"/>
      </w:r>
      <w:r>
        <w:rPr>
          <w:rStyle w:val="14"/>
          <w:rFonts w:hint="eastAsia" w:ascii="仿宋_GB2312" w:hAnsi="仿宋_GB2312" w:eastAsia="仿宋_GB2312" w:cs="仿宋_GB2312"/>
          <w:b/>
          <w:sz w:val="30"/>
          <w:szCs w:val="30"/>
        </w:rPr>
        <w:t>（二）绩效评价原则、指标体系、方法及标准</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_Toc207037035 \h </w:instrText>
      </w:r>
      <w:r>
        <w:rPr>
          <w:rFonts w:hint="eastAsia" w:ascii="仿宋_GB2312" w:eastAsia="仿宋_GB2312"/>
          <w:b/>
          <w:sz w:val="30"/>
          <w:szCs w:val="30"/>
        </w:rPr>
        <w:fldChar w:fldCharType="separate"/>
      </w:r>
      <w:r>
        <w:rPr>
          <w:rFonts w:hint="eastAsia" w:ascii="仿宋_GB2312" w:eastAsia="仿宋_GB2312"/>
          <w:b/>
          <w:sz w:val="30"/>
          <w:szCs w:val="30"/>
        </w:rPr>
        <w:t>5</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67059AE3">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"_Toc207037036" </w:instrText>
      </w:r>
      <w:r>
        <w:fldChar w:fldCharType="separate"/>
      </w:r>
      <w:r>
        <w:rPr>
          <w:rStyle w:val="14"/>
          <w:rFonts w:hint="eastAsia" w:ascii="仿宋_GB2312" w:hAnsi="仿宋_GB2312" w:eastAsia="仿宋_GB2312" w:cs="仿宋_GB2312"/>
          <w:b/>
          <w:sz w:val="30"/>
          <w:szCs w:val="30"/>
        </w:rPr>
        <w:t>（三）绩效评价工作过程</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_Toc207037036 \h </w:instrText>
      </w:r>
      <w:r>
        <w:rPr>
          <w:rFonts w:hint="eastAsia" w:ascii="仿宋_GB2312" w:eastAsia="仿宋_GB2312"/>
          <w:b/>
          <w:sz w:val="30"/>
          <w:szCs w:val="30"/>
        </w:rPr>
        <w:fldChar w:fldCharType="separate"/>
      </w:r>
      <w:r>
        <w:rPr>
          <w:rFonts w:hint="eastAsia" w:ascii="仿宋_GB2312" w:eastAsia="仿宋_GB2312"/>
          <w:b/>
          <w:sz w:val="30"/>
          <w:szCs w:val="30"/>
        </w:rPr>
        <w:t>7</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2304B2E5">
      <w:pPr>
        <w:pStyle w:val="9"/>
        <w:rPr>
          <w:rFonts w:hint="eastAsia" w:hAnsiTheme="minorHAnsi" w:cstheme="minorBidi"/>
          <w:sz w:val="30"/>
          <w:szCs w:val="30"/>
        </w:rPr>
      </w:pPr>
      <w:r>
        <w:fldChar w:fldCharType="begin"/>
      </w:r>
      <w:r>
        <w:instrText xml:space="preserve"> HYPERLINK \l "_Toc207037037" </w:instrText>
      </w:r>
      <w:r>
        <w:fldChar w:fldCharType="separate"/>
      </w:r>
      <w:r>
        <w:rPr>
          <w:rStyle w:val="14"/>
          <w:rFonts w:hint="eastAsia" w:hAnsi="仿宋_GB2312" w:cs="仿宋_GB2312"/>
          <w:sz w:val="30"/>
          <w:szCs w:val="30"/>
        </w:rPr>
        <w:t>三、综合评价情况及评价结论</w:t>
      </w:r>
      <w:r>
        <w:rPr>
          <w:rFonts w:hint="eastAsia"/>
          <w:sz w:val="30"/>
          <w:szCs w:val="30"/>
        </w:rPr>
        <w:tab/>
      </w:r>
      <w:r>
        <w:rPr>
          <w:rFonts w:hint="eastAsia"/>
          <w:sz w:val="30"/>
          <w:szCs w:val="30"/>
        </w:rPr>
        <w:fldChar w:fldCharType="begin"/>
      </w:r>
      <w:r>
        <w:rPr>
          <w:rFonts w:hint="eastAsia"/>
          <w:sz w:val="30"/>
          <w:szCs w:val="30"/>
        </w:rPr>
        <w:instrText xml:space="preserve"> PAGEREF _Toc207037037 \h </w:instrText>
      </w:r>
      <w:r>
        <w:rPr>
          <w:rFonts w:hint="eastAsia"/>
          <w:sz w:val="30"/>
          <w:szCs w:val="30"/>
        </w:rPr>
        <w:fldChar w:fldCharType="separate"/>
      </w:r>
      <w:r>
        <w:rPr>
          <w:rFonts w:hint="eastAsia"/>
          <w:sz w:val="30"/>
          <w:szCs w:val="30"/>
        </w:rPr>
        <w:t>10</w:t>
      </w:r>
      <w:r>
        <w:rPr>
          <w:rFonts w:hint="eastAsia"/>
          <w:sz w:val="30"/>
          <w:szCs w:val="30"/>
        </w:rPr>
        <w:fldChar w:fldCharType="end"/>
      </w:r>
      <w:r>
        <w:rPr>
          <w:rFonts w:hint="eastAsia"/>
          <w:sz w:val="30"/>
          <w:szCs w:val="30"/>
        </w:rPr>
        <w:fldChar w:fldCharType="end"/>
      </w:r>
    </w:p>
    <w:p w14:paraId="52EBF7BF">
      <w:pPr>
        <w:pStyle w:val="9"/>
        <w:rPr>
          <w:rFonts w:hint="eastAsia" w:hAnsiTheme="minorHAnsi" w:cstheme="minorBidi"/>
          <w:sz w:val="30"/>
          <w:szCs w:val="30"/>
        </w:rPr>
      </w:pPr>
      <w:r>
        <w:fldChar w:fldCharType="begin"/>
      </w:r>
      <w:r>
        <w:instrText xml:space="preserve"> HYPERLINK \l "_Toc207037038" </w:instrText>
      </w:r>
      <w:r>
        <w:fldChar w:fldCharType="separate"/>
      </w:r>
      <w:r>
        <w:rPr>
          <w:rStyle w:val="14"/>
          <w:rFonts w:hint="eastAsia" w:hAnsi="仿宋_GB2312" w:cs="仿宋_GB2312"/>
          <w:sz w:val="30"/>
          <w:szCs w:val="30"/>
        </w:rPr>
        <w:t>四、绩效评价指标分析</w:t>
      </w:r>
      <w:r>
        <w:rPr>
          <w:rFonts w:hint="eastAsia"/>
          <w:sz w:val="30"/>
          <w:szCs w:val="30"/>
        </w:rPr>
        <w:tab/>
      </w:r>
      <w:r>
        <w:rPr>
          <w:rFonts w:hint="eastAsia"/>
          <w:sz w:val="30"/>
          <w:szCs w:val="30"/>
        </w:rPr>
        <w:fldChar w:fldCharType="begin"/>
      </w:r>
      <w:r>
        <w:rPr>
          <w:rFonts w:hint="eastAsia"/>
          <w:sz w:val="30"/>
          <w:szCs w:val="30"/>
        </w:rPr>
        <w:instrText xml:space="preserve"> PAGEREF _Toc207037038 \h </w:instrText>
      </w:r>
      <w:r>
        <w:rPr>
          <w:rFonts w:hint="eastAsia"/>
          <w:sz w:val="30"/>
          <w:szCs w:val="30"/>
        </w:rPr>
        <w:fldChar w:fldCharType="separate"/>
      </w:r>
      <w:r>
        <w:rPr>
          <w:rFonts w:hint="eastAsia"/>
          <w:sz w:val="30"/>
          <w:szCs w:val="30"/>
        </w:rPr>
        <w:t>11</w:t>
      </w:r>
      <w:r>
        <w:rPr>
          <w:rFonts w:hint="eastAsia"/>
          <w:sz w:val="30"/>
          <w:szCs w:val="30"/>
        </w:rPr>
        <w:fldChar w:fldCharType="end"/>
      </w:r>
      <w:r>
        <w:rPr>
          <w:rFonts w:hint="eastAsia"/>
          <w:sz w:val="30"/>
          <w:szCs w:val="30"/>
        </w:rPr>
        <w:fldChar w:fldCharType="end"/>
      </w:r>
    </w:p>
    <w:p w14:paraId="63CB8AA4">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"_Toc207037039" </w:instrText>
      </w:r>
      <w:r>
        <w:fldChar w:fldCharType="separate"/>
      </w:r>
      <w:r>
        <w:rPr>
          <w:rStyle w:val="14"/>
          <w:rFonts w:hint="eastAsia" w:ascii="仿宋_GB2312" w:hAnsi="仿宋_GB2312" w:eastAsia="仿宋_GB2312" w:cs="仿宋_GB2312"/>
          <w:b/>
          <w:sz w:val="30"/>
          <w:szCs w:val="30"/>
        </w:rPr>
        <w:t>（一）项目决策情况</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_Toc207037039 \h </w:instrText>
      </w:r>
      <w:r>
        <w:rPr>
          <w:rFonts w:hint="eastAsia" w:ascii="仿宋_GB2312" w:eastAsia="仿宋_GB2312"/>
          <w:b/>
          <w:sz w:val="30"/>
          <w:szCs w:val="30"/>
        </w:rPr>
        <w:fldChar w:fldCharType="separate"/>
      </w:r>
      <w:r>
        <w:rPr>
          <w:rFonts w:hint="eastAsia" w:ascii="仿宋_GB2312" w:eastAsia="仿宋_GB2312"/>
          <w:b/>
          <w:sz w:val="30"/>
          <w:szCs w:val="30"/>
        </w:rPr>
        <w:t>11</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66790680">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"_Toc207037040" </w:instrText>
      </w:r>
      <w:r>
        <w:fldChar w:fldCharType="separate"/>
      </w:r>
      <w:r>
        <w:rPr>
          <w:rStyle w:val="14"/>
          <w:rFonts w:hint="eastAsia" w:ascii="仿宋_GB2312" w:hAnsi="仿宋_GB2312" w:eastAsia="仿宋_GB2312" w:cs="仿宋_GB2312"/>
          <w:b/>
          <w:sz w:val="30"/>
          <w:szCs w:val="30"/>
        </w:rPr>
        <w:t>（二）项目过程情况</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_Toc207037040 \h </w:instrText>
      </w:r>
      <w:r>
        <w:rPr>
          <w:rFonts w:hint="eastAsia" w:ascii="仿宋_GB2312" w:eastAsia="仿宋_GB2312"/>
          <w:b/>
          <w:sz w:val="30"/>
          <w:szCs w:val="30"/>
        </w:rPr>
        <w:fldChar w:fldCharType="separate"/>
      </w:r>
      <w:r>
        <w:rPr>
          <w:rFonts w:hint="eastAsia" w:ascii="仿宋_GB2312" w:eastAsia="仿宋_GB2312"/>
          <w:b/>
          <w:sz w:val="30"/>
          <w:szCs w:val="30"/>
        </w:rPr>
        <w:t>14</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47AAAE7F">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"_Toc207037041" </w:instrText>
      </w:r>
      <w:r>
        <w:fldChar w:fldCharType="separate"/>
      </w:r>
      <w:r>
        <w:rPr>
          <w:rStyle w:val="14"/>
          <w:rFonts w:hint="eastAsia" w:ascii="仿宋_GB2312" w:hAnsi="仿宋_GB2312" w:eastAsia="仿宋_GB2312" w:cs="仿宋_GB2312"/>
          <w:b/>
          <w:sz w:val="30"/>
          <w:szCs w:val="30"/>
        </w:rPr>
        <w:t>（三）项目产出情况</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_Toc207037041 \h </w:instrText>
      </w:r>
      <w:r>
        <w:rPr>
          <w:rFonts w:hint="eastAsia" w:ascii="仿宋_GB2312" w:eastAsia="仿宋_GB2312"/>
          <w:b/>
          <w:sz w:val="30"/>
          <w:szCs w:val="30"/>
        </w:rPr>
        <w:fldChar w:fldCharType="separate"/>
      </w:r>
      <w:r>
        <w:rPr>
          <w:rFonts w:hint="eastAsia" w:ascii="仿宋_GB2312" w:eastAsia="仿宋_GB2312"/>
          <w:b/>
          <w:sz w:val="30"/>
          <w:szCs w:val="30"/>
        </w:rPr>
        <w:t>15</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38DA1E91">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"_Toc207037042" </w:instrText>
      </w:r>
      <w:r>
        <w:fldChar w:fldCharType="separate"/>
      </w:r>
      <w:r>
        <w:rPr>
          <w:rStyle w:val="14"/>
          <w:rFonts w:hint="eastAsia" w:ascii="仿宋_GB2312" w:eastAsia="仿宋_GB2312"/>
          <w:b/>
          <w:sz w:val="30"/>
          <w:szCs w:val="30"/>
        </w:rPr>
        <w:t>（四）项目效益情况</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_Toc207037042 \h </w:instrText>
      </w:r>
      <w:r>
        <w:rPr>
          <w:rFonts w:hint="eastAsia" w:ascii="仿宋_GB2312" w:eastAsia="仿宋_GB2312"/>
          <w:b/>
          <w:sz w:val="30"/>
          <w:szCs w:val="30"/>
        </w:rPr>
        <w:fldChar w:fldCharType="separate"/>
      </w:r>
      <w:r>
        <w:rPr>
          <w:rFonts w:hint="eastAsia" w:ascii="仿宋_GB2312" w:eastAsia="仿宋_GB2312"/>
          <w:b/>
          <w:sz w:val="30"/>
          <w:szCs w:val="30"/>
        </w:rPr>
        <w:t>17</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541F5097">
      <w:pPr>
        <w:pStyle w:val="9"/>
        <w:rPr>
          <w:rFonts w:hint="eastAsia" w:hAnsiTheme="minorHAnsi" w:cstheme="minorBidi"/>
          <w:sz w:val="30"/>
          <w:szCs w:val="30"/>
        </w:rPr>
      </w:pPr>
      <w:r>
        <w:fldChar w:fldCharType="begin"/>
      </w:r>
      <w:r>
        <w:instrText xml:space="preserve"> HYPERLINK \l "_Toc207037043" </w:instrText>
      </w:r>
      <w:r>
        <w:fldChar w:fldCharType="separate"/>
      </w:r>
      <w:r>
        <w:rPr>
          <w:rStyle w:val="14"/>
          <w:rFonts w:hint="eastAsia" w:hAnsi="仿宋_GB2312" w:cs="仿宋_GB2312"/>
          <w:sz w:val="30"/>
          <w:szCs w:val="30"/>
        </w:rPr>
        <w:t>五、主要经验及做法、存在的问题及原因分析</w:t>
      </w:r>
      <w:r>
        <w:rPr>
          <w:rFonts w:hint="eastAsia"/>
          <w:sz w:val="30"/>
          <w:szCs w:val="30"/>
        </w:rPr>
        <w:tab/>
      </w:r>
      <w:r>
        <w:rPr>
          <w:rFonts w:hint="eastAsia"/>
          <w:sz w:val="30"/>
          <w:szCs w:val="30"/>
        </w:rPr>
        <w:fldChar w:fldCharType="begin"/>
      </w:r>
      <w:r>
        <w:rPr>
          <w:rFonts w:hint="eastAsia"/>
          <w:sz w:val="30"/>
          <w:szCs w:val="30"/>
        </w:rPr>
        <w:instrText xml:space="preserve"> PAGEREF _Toc207037043 \h </w:instrText>
      </w:r>
      <w:r>
        <w:rPr>
          <w:rFonts w:hint="eastAsia"/>
          <w:sz w:val="30"/>
          <w:szCs w:val="30"/>
        </w:rPr>
        <w:fldChar w:fldCharType="separate"/>
      </w:r>
      <w:r>
        <w:rPr>
          <w:rFonts w:hint="eastAsia"/>
          <w:sz w:val="30"/>
          <w:szCs w:val="30"/>
        </w:rPr>
        <w:t>18</w:t>
      </w:r>
      <w:r>
        <w:rPr>
          <w:rFonts w:hint="eastAsia"/>
          <w:sz w:val="30"/>
          <w:szCs w:val="30"/>
        </w:rPr>
        <w:fldChar w:fldCharType="end"/>
      </w:r>
      <w:r>
        <w:rPr>
          <w:rFonts w:hint="eastAsia"/>
          <w:sz w:val="30"/>
          <w:szCs w:val="30"/>
        </w:rPr>
        <w:fldChar w:fldCharType="end"/>
      </w:r>
    </w:p>
    <w:p w14:paraId="0BA7E860">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"_Toc207037044" </w:instrText>
      </w:r>
      <w:r>
        <w:fldChar w:fldCharType="separate"/>
      </w:r>
      <w:r>
        <w:rPr>
          <w:rStyle w:val="14"/>
          <w:rFonts w:hint="eastAsia" w:ascii="仿宋_GB2312" w:hAnsi="仿宋_GB2312" w:eastAsia="仿宋_GB2312" w:cs="仿宋_GB2312"/>
          <w:b/>
          <w:sz w:val="30"/>
          <w:szCs w:val="30"/>
        </w:rPr>
        <w:t>（一）项目决策方面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_Toc207037044 \h </w:instrText>
      </w:r>
      <w:r>
        <w:rPr>
          <w:rFonts w:hint="eastAsia" w:ascii="仿宋_GB2312" w:eastAsia="仿宋_GB2312"/>
          <w:b/>
          <w:sz w:val="30"/>
          <w:szCs w:val="30"/>
        </w:rPr>
        <w:fldChar w:fldCharType="separate"/>
      </w:r>
      <w:r>
        <w:rPr>
          <w:rFonts w:hint="eastAsia" w:ascii="仿宋_GB2312" w:eastAsia="仿宋_GB2312"/>
          <w:b/>
          <w:sz w:val="30"/>
          <w:szCs w:val="30"/>
        </w:rPr>
        <w:t>18</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0AB36849">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"_Toc207037045" </w:instrText>
      </w:r>
      <w:r>
        <w:fldChar w:fldCharType="separate"/>
      </w:r>
      <w:r>
        <w:rPr>
          <w:rStyle w:val="14"/>
          <w:rFonts w:hint="eastAsia" w:ascii="仿宋_GB2312" w:hAnsi="仿宋_GB2312" w:eastAsia="仿宋_GB2312" w:cs="仿宋_GB2312"/>
          <w:b/>
          <w:sz w:val="30"/>
          <w:szCs w:val="30"/>
        </w:rPr>
        <w:t>（二）项目管理方面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_Toc207037045 \h </w:instrText>
      </w:r>
      <w:r>
        <w:rPr>
          <w:rFonts w:hint="eastAsia" w:ascii="仿宋_GB2312" w:eastAsia="仿宋_GB2312"/>
          <w:b/>
          <w:sz w:val="30"/>
          <w:szCs w:val="30"/>
        </w:rPr>
        <w:fldChar w:fldCharType="separate"/>
      </w:r>
      <w:r>
        <w:rPr>
          <w:rFonts w:hint="eastAsia" w:ascii="仿宋_GB2312" w:eastAsia="仿宋_GB2312"/>
          <w:b/>
          <w:sz w:val="30"/>
          <w:szCs w:val="30"/>
        </w:rPr>
        <w:t>18</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66A9E3DB">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"_Toc207037046" </w:instrText>
      </w:r>
      <w:r>
        <w:fldChar w:fldCharType="separate"/>
      </w:r>
      <w:r>
        <w:rPr>
          <w:rStyle w:val="14"/>
          <w:rFonts w:hint="eastAsia" w:ascii="仿宋_GB2312" w:hAnsi="仿宋_GB2312" w:eastAsia="仿宋_GB2312" w:cs="仿宋_GB2312"/>
          <w:b/>
          <w:sz w:val="30"/>
          <w:szCs w:val="30"/>
        </w:rPr>
        <w:t>（三）项目绩效方面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_Toc207037046 \h </w:instrText>
      </w:r>
      <w:r>
        <w:rPr>
          <w:rFonts w:hint="eastAsia" w:ascii="仿宋_GB2312" w:eastAsia="仿宋_GB2312"/>
          <w:b/>
          <w:sz w:val="30"/>
          <w:szCs w:val="30"/>
        </w:rPr>
        <w:fldChar w:fldCharType="separate"/>
      </w:r>
      <w:r>
        <w:rPr>
          <w:rFonts w:hint="eastAsia" w:ascii="仿宋_GB2312" w:eastAsia="仿宋_GB2312"/>
          <w:b/>
          <w:sz w:val="30"/>
          <w:szCs w:val="30"/>
        </w:rPr>
        <w:t>18</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206562DC">
      <w:pPr>
        <w:pStyle w:val="9"/>
        <w:rPr>
          <w:rFonts w:hint="eastAsia" w:hAnsiTheme="minorHAnsi" w:cstheme="minorBidi"/>
          <w:sz w:val="30"/>
          <w:szCs w:val="30"/>
        </w:rPr>
      </w:pPr>
      <w:r>
        <w:fldChar w:fldCharType="begin"/>
      </w:r>
      <w:r>
        <w:instrText xml:space="preserve"> HYPERLINK \l "_Toc207037047" </w:instrText>
      </w:r>
      <w:r>
        <w:fldChar w:fldCharType="separate"/>
      </w:r>
      <w:r>
        <w:rPr>
          <w:rStyle w:val="14"/>
          <w:rFonts w:hint="eastAsia" w:hAnsi="仿宋_GB2312" w:cs="仿宋_GB2312"/>
          <w:sz w:val="30"/>
          <w:szCs w:val="30"/>
        </w:rPr>
        <w:t>六、相关建议</w:t>
      </w:r>
      <w:r>
        <w:rPr>
          <w:rFonts w:hint="eastAsia"/>
          <w:sz w:val="30"/>
          <w:szCs w:val="30"/>
        </w:rPr>
        <w:tab/>
      </w:r>
      <w:r>
        <w:rPr>
          <w:rFonts w:hint="eastAsia"/>
          <w:sz w:val="30"/>
          <w:szCs w:val="30"/>
        </w:rPr>
        <w:fldChar w:fldCharType="begin"/>
      </w:r>
      <w:r>
        <w:rPr>
          <w:rFonts w:hint="eastAsia"/>
          <w:sz w:val="30"/>
          <w:szCs w:val="30"/>
        </w:rPr>
        <w:instrText xml:space="preserve"> PAGEREF _Toc207037047 \h </w:instrText>
      </w:r>
      <w:r>
        <w:rPr>
          <w:rFonts w:hint="eastAsia"/>
          <w:sz w:val="30"/>
          <w:szCs w:val="30"/>
        </w:rPr>
        <w:fldChar w:fldCharType="separate"/>
      </w:r>
      <w:r>
        <w:rPr>
          <w:rFonts w:hint="eastAsia"/>
          <w:sz w:val="30"/>
          <w:szCs w:val="30"/>
        </w:rPr>
        <w:t>19</w:t>
      </w:r>
      <w:r>
        <w:rPr>
          <w:rFonts w:hint="eastAsia"/>
          <w:sz w:val="30"/>
          <w:szCs w:val="30"/>
        </w:rPr>
        <w:fldChar w:fldCharType="end"/>
      </w:r>
      <w:r>
        <w:rPr>
          <w:rFonts w:hint="eastAsia"/>
          <w:sz w:val="30"/>
          <w:szCs w:val="30"/>
        </w:rPr>
        <w:fldChar w:fldCharType="end"/>
      </w:r>
    </w:p>
    <w:p w14:paraId="4DFE0F77">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"_Toc207037048" </w:instrText>
      </w:r>
      <w:r>
        <w:fldChar w:fldCharType="separate"/>
      </w:r>
      <w:r>
        <w:rPr>
          <w:rStyle w:val="14"/>
          <w:rFonts w:hint="eastAsia" w:ascii="仿宋_GB2312" w:hAnsi="仿宋_GB2312" w:eastAsia="仿宋_GB2312" w:cs="仿宋_GB2312"/>
          <w:b/>
          <w:sz w:val="30"/>
          <w:szCs w:val="30"/>
        </w:rPr>
        <w:t>（一）项目决策方面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_Toc207037048 \h </w:instrText>
      </w:r>
      <w:r>
        <w:rPr>
          <w:rFonts w:hint="eastAsia" w:ascii="仿宋_GB2312" w:eastAsia="仿宋_GB2312"/>
          <w:b/>
          <w:sz w:val="30"/>
          <w:szCs w:val="30"/>
        </w:rPr>
        <w:fldChar w:fldCharType="separate"/>
      </w:r>
      <w:r>
        <w:rPr>
          <w:rFonts w:hint="eastAsia" w:ascii="仿宋_GB2312" w:eastAsia="仿宋_GB2312"/>
          <w:b/>
          <w:sz w:val="30"/>
          <w:szCs w:val="30"/>
        </w:rPr>
        <w:t>19</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6B79B0AF">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"_Toc207037049" </w:instrText>
      </w:r>
      <w:r>
        <w:fldChar w:fldCharType="separate"/>
      </w:r>
      <w:r>
        <w:rPr>
          <w:rStyle w:val="14"/>
          <w:rFonts w:hint="eastAsia" w:ascii="仿宋_GB2312" w:hAnsi="仿宋_GB2312" w:eastAsia="仿宋_GB2312" w:cs="仿宋_GB2312"/>
          <w:b/>
          <w:sz w:val="30"/>
          <w:szCs w:val="30"/>
        </w:rPr>
        <w:t>（二）</w:t>
      </w:r>
      <w:r>
        <w:rPr>
          <w:rStyle w:val="14"/>
          <w:rFonts w:hint="eastAsia" w:ascii="仿宋_GB2312" w:eastAsia="仿宋_GB2312"/>
          <w:b/>
          <w:sz w:val="30"/>
          <w:szCs w:val="30"/>
        </w:rPr>
        <w:t>项目管理方面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_Toc207037049 \h </w:instrText>
      </w:r>
      <w:r>
        <w:rPr>
          <w:rFonts w:hint="eastAsia" w:ascii="仿宋_GB2312" w:eastAsia="仿宋_GB2312"/>
          <w:b/>
          <w:sz w:val="30"/>
          <w:szCs w:val="30"/>
        </w:rPr>
        <w:fldChar w:fldCharType="separate"/>
      </w:r>
      <w:r>
        <w:rPr>
          <w:rFonts w:hint="eastAsia" w:ascii="仿宋_GB2312" w:eastAsia="仿宋_GB2312"/>
          <w:b/>
          <w:sz w:val="30"/>
          <w:szCs w:val="30"/>
        </w:rPr>
        <w:t>19</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1C58E8CC">
      <w:pPr>
        <w:pStyle w:val="10"/>
        <w:tabs>
          <w:tab w:val="right" w:leader="dot" w:pos="9062"/>
        </w:tabs>
        <w:rPr>
          <w:rFonts w:hint="eastAsia" w:ascii="仿宋_GB2312" w:eastAsia="仿宋_GB2312" w:hAnsiTheme="minorHAnsi" w:cstheme="minorBidi"/>
          <w:b/>
          <w:sz w:val="30"/>
          <w:szCs w:val="30"/>
        </w:rPr>
      </w:pPr>
      <w:r>
        <w:fldChar w:fldCharType="begin"/>
      </w:r>
      <w:r>
        <w:instrText xml:space="preserve"> HYPERLINK \l "_Toc207037050" </w:instrText>
      </w:r>
      <w:r>
        <w:fldChar w:fldCharType="separate"/>
      </w:r>
      <w:r>
        <w:rPr>
          <w:rStyle w:val="14"/>
          <w:rFonts w:hint="eastAsia" w:ascii="仿宋_GB2312" w:eastAsia="仿宋_GB2312"/>
          <w:b/>
          <w:sz w:val="30"/>
          <w:szCs w:val="30"/>
        </w:rPr>
        <w:t>（三）项目绩效方面</w:t>
      </w:r>
      <w:r>
        <w:rPr>
          <w:rFonts w:hint="eastAsia" w:ascii="仿宋_GB2312" w:eastAsia="仿宋_GB2312"/>
          <w:b/>
          <w:sz w:val="30"/>
          <w:szCs w:val="30"/>
        </w:rPr>
        <w:tab/>
      </w:r>
      <w:r>
        <w:rPr>
          <w:rFonts w:hint="eastAsia" w:ascii="仿宋_GB2312" w:eastAsia="仿宋_GB2312"/>
          <w:b/>
          <w:sz w:val="30"/>
          <w:szCs w:val="30"/>
        </w:rPr>
        <w:fldChar w:fldCharType="begin"/>
      </w:r>
      <w:r>
        <w:rPr>
          <w:rFonts w:hint="eastAsia" w:ascii="仿宋_GB2312" w:eastAsia="仿宋_GB2312"/>
          <w:b/>
          <w:sz w:val="30"/>
          <w:szCs w:val="30"/>
        </w:rPr>
        <w:instrText xml:space="preserve"> PAGEREF _Toc207037050 \h </w:instrText>
      </w:r>
      <w:r>
        <w:rPr>
          <w:rFonts w:hint="eastAsia" w:ascii="仿宋_GB2312" w:eastAsia="仿宋_GB2312"/>
          <w:b/>
          <w:sz w:val="30"/>
          <w:szCs w:val="30"/>
        </w:rPr>
        <w:fldChar w:fldCharType="separate"/>
      </w:r>
      <w:r>
        <w:rPr>
          <w:rFonts w:hint="eastAsia" w:ascii="仿宋_GB2312" w:eastAsia="仿宋_GB2312"/>
          <w:b/>
          <w:sz w:val="30"/>
          <w:szCs w:val="30"/>
        </w:rPr>
        <w:t>19</w:t>
      </w:r>
      <w:r>
        <w:rPr>
          <w:rFonts w:hint="eastAsia" w:ascii="仿宋_GB2312" w:eastAsia="仿宋_GB2312"/>
          <w:b/>
          <w:sz w:val="30"/>
          <w:szCs w:val="30"/>
        </w:rPr>
        <w:fldChar w:fldCharType="end"/>
      </w:r>
      <w:r>
        <w:rPr>
          <w:rFonts w:hint="eastAsia" w:ascii="仿宋_GB2312" w:eastAsia="仿宋_GB2312"/>
          <w:b/>
          <w:sz w:val="30"/>
          <w:szCs w:val="30"/>
        </w:rPr>
        <w:fldChar w:fldCharType="end"/>
      </w:r>
    </w:p>
    <w:p w14:paraId="733F2D00">
      <w:pPr>
        <w:pStyle w:val="9"/>
        <w:rPr>
          <w:rFonts w:hint="eastAsia" w:hAnsiTheme="minorHAnsi" w:cstheme="minorBidi"/>
          <w:sz w:val="30"/>
          <w:szCs w:val="30"/>
        </w:rPr>
      </w:pPr>
      <w:r>
        <w:fldChar w:fldCharType="begin"/>
      </w:r>
      <w:r>
        <w:instrText xml:space="preserve"> HYPERLINK \l "_Toc207037051" </w:instrText>
      </w:r>
      <w:r>
        <w:fldChar w:fldCharType="separate"/>
      </w:r>
      <w:r>
        <w:rPr>
          <w:rStyle w:val="14"/>
          <w:rFonts w:hint="eastAsia" w:hAnsi="仿宋_GB2312" w:cs="仿宋_GB2312"/>
          <w:sz w:val="30"/>
          <w:szCs w:val="30"/>
        </w:rPr>
        <w:t>七、其他需要说明的问题</w:t>
      </w:r>
      <w:r>
        <w:rPr>
          <w:rFonts w:hint="eastAsia"/>
          <w:sz w:val="30"/>
          <w:szCs w:val="30"/>
        </w:rPr>
        <w:tab/>
      </w:r>
      <w:r>
        <w:rPr>
          <w:rFonts w:hint="eastAsia"/>
          <w:sz w:val="30"/>
          <w:szCs w:val="30"/>
        </w:rPr>
        <w:fldChar w:fldCharType="begin"/>
      </w:r>
      <w:r>
        <w:rPr>
          <w:rFonts w:hint="eastAsia"/>
          <w:sz w:val="30"/>
          <w:szCs w:val="30"/>
        </w:rPr>
        <w:instrText xml:space="preserve"> PAGEREF _Toc207037051 \h </w:instrText>
      </w:r>
      <w:r>
        <w:rPr>
          <w:rFonts w:hint="eastAsia"/>
          <w:sz w:val="30"/>
          <w:szCs w:val="30"/>
        </w:rPr>
        <w:fldChar w:fldCharType="separate"/>
      </w:r>
      <w:r>
        <w:rPr>
          <w:rFonts w:hint="eastAsia"/>
          <w:sz w:val="30"/>
          <w:szCs w:val="30"/>
        </w:rPr>
        <w:t>20</w:t>
      </w:r>
      <w:r>
        <w:rPr>
          <w:rFonts w:hint="eastAsia"/>
          <w:sz w:val="30"/>
          <w:szCs w:val="30"/>
        </w:rPr>
        <w:fldChar w:fldCharType="end"/>
      </w:r>
      <w:r>
        <w:rPr>
          <w:rFonts w:hint="eastAsia"/>
          <w:sz w:val="30"/>
          <w:szCs w:val="30"/>
        </w:rPr>
        <w:fldChar w:fldCharType="end"/>
      </w:r>
    </w:p>
    <w:p w14:paraId="5087D0D0">
      <w:pPr>
        <w:pStyle w:val="9"/>
        <w:tabs>
          <w:tab w:val="right" w:leader="dot" w:pos="8222"/>
          <w:tab w:val="clear" w:pos="8608"/>
        </w:tabs>
        <w:spacing w:line="360" w:lineRule="auto"/>
        <w:jc w:val="center"/>
        <w:rPr>
          <w:rFonts w:hint="eastAsia"/>
          <w:sz w:val="32"/>
          <w:szCs w:val="32"/>
        </w:rPr>
        <w:sectPr>
          <w:footerReference r:id="rId3" w:type="first"/>
          <w:pgSz w:w="11906" w:h="16838"/>
          <w:pgMar w:top="1440" w:right="1417" w:bottom="1440" w:left="1417" w:header="851" w:footer="992" w:gutter="0"/>
          <w:cols w:space="720" w:num="1"/>
          <w:titlePg/>
          <w:docGrid w:linePitch="312" w:charSpace="0"/>
        </w:sectPr>
      </w:pPr>
      <w:r>
        <w:rPr>
          <w:rFonts w:hint="eastAsia" w:hAnsi="仿宋_GB2312" w:cs="仿宋_GB2312"/>
          <w:sz w:val="30"/>
          <w:szCs w:val="30"/>
        </w:rPr>
        <w:fldChar w:fldCharType="end"/>
      </w:r>
    </w:p>
    <w:p w14:paraId="3F111F8C">
      <w:pPr>
        <w:tabs>
          <w:tab w:val="left" w:pos="2850"/>
        </w:tabs>
        <w:spacing w:line="360" w:lineRule="auto"/>
        <w:jc w:val="center"/>
        <w:rPr>
          <w:rFonts w:ascii="宋体" w:hAnsi="宋体"/>
          <w:b/>
          <w:snapToGrid w:val="0"/>
          <w:kern w:val="0"/>
          <w:sz w:val="44"/>
          <w:szCs w:val="44"/>
        </w:rPr>
      </w:pPr>
      <w:r>
        <w:rPr>
          <w:rFonts w:hint="eastAsia" w:ascii="宋体" w:hAnsi="宋体"/>
          <w:b/>
          <w:snapToGrid w:val="0"/>
          <w:kern w:val="0"/>
          <w:sz w:val="44"/>
          <w:szCs w:val="44"/>
        </w:rPr>
        <w:t>北京社会主义学院</w:t>
      </w:r>
    </w:p>
    <w:p w14:paraId="45AFBD69">
      <w:pPr>
        <w:tabs>
          <w:tab w:val="left" w:pos="2850"/>
        </w:tabs>
        <w:spacing w:line="360" w:lineRule="auto"/>
        <w:jc w:val="center"/>
        <w:rPr>
          <w:rFonts w:ascii="宋体" w:hAnsi="宋体"/>
          <w:b/>
          <w:snapToGrid w:val="0"/>
          <w:kern w:val="0"/>
          <w:sz w:val="44"/>
          <w:szCs w:val="44"/>
        </w:rPr>
      </w:pPr>
      <w:r>
        <w:rPr>
          <w:rFonts w:hint="eastAsia" w:ascii="宋体" w:hAnsi="宋体"/>
          <w:b/>
          <w:snapToGrid w:val="0"/>
          <w:kern w:val="0"/>
          <w:sz w:val="44"/>
          <w:szCs w:val="44"/>
        </w:rPr>
        <w:t>中华文化教育培训项目绩效评价报告</w:t>
      </w:r>
    </w:p>
    <w:p w14:paraId="4DBE70CB">
      <w:pPr>
        <w:jc w:val="center"/>
        <w:rPr>
          <w:rFonts w:ascii="仿宋_GB2312" w:hAnsi="宋体"/>
          <w:b/>
          <w:snapToGrid w:val="0"/>
          <w:kern w:val="0"/>
          <w:sz w:val="44"/>
          <w:szCs w:val="44"/>
        </w:rPr>
      </w:pPr>
    </w:p>
    <w:p w14:paraId="284243E1">
      <w:pPr>
        <w:spacing w:line="600" w:lineRule="atLeast"/>
        <w:ind w:firstLine="640" w:firstLineChars="200"/>
        <w:rPr>
          <w:rFonts w:ascii="仿宋_GB2312" w:hAnsi="仿宋_GB2312" w:eastAsia="仿宋_GB2312" w:cs="仿宋_GB2312"/>
          <w:sz w:val="32"/>
          <w:szCs w:val="32"/>
        </w:rPr>
      </w:pPr>
      <w:r>
        <w:rPr>
          <w:rFonts w:hint="eastAsia" w:ascii="仿宋_GB2312" w:eastAsia="仿宋_GB2312"/>
          <w:sz w:val="32"/>
          <w:szCs w:val="32"/>
        </w:rPr>
        <w:t>为深入贯彻落实《中共中央国务院关于全面实施预算绩效管理的意见》要求，加快建成全方位、全过程、全覆盖的预算绩效管理体系，切实增强部门支出责任和效率意识，提高财政资金使用效益，根据《关于2025年预算绩效管理工作的通知》文件要求</w:t>
      </w:r>
      <w:r>
        <w:rPr>
          <w:rFonts w:hint="eastAsia" w:ascii="仿宋_GB2312" w:eastAsia="仿宋_GB2312" w:cs="仿宋_GB2312"/>
          <w:color w:val="000000"/>
          <w:sz w:val="32"/>
          <w:szCs w:val="32"/>
        </w:rPr>
        <w:t>，北京社会主义学院（以下简称“北京社院”） “中华文化教育培训</w:t>
      </w:r>
      <w:r>
        <w:rPr>
          <w:rFonts w:hint="eastAsia" w:ascii="仿宋_GB2312" w:hAnsi="仿宋_GB2312" w:eastAsia="仿宋_GB2312" w:cs="仿宋_GB2312"/>
          <w:sz w:val="32"/>
          <w:szCs w:val="32"/>
        </w:rPr>
        <w:t>”项目的绩效情况实施评价，形成本绩效评价报告</w:t>
      </w:r>
      <w:bookmarkStart w:id="1" w:name="_Toc365968747"/>
      <w:r>
        <w:rPr>
          <w:rFonts w:hint="eastAsia" w:ascii="仿宋_GB2312" w:hAnsi="仿宋_GB2312" w:eastAsia="仿宋_GB2312" w:cs="仿宋_GB2312"/>
          <w:sz w:val="32"/>
          <w:szCs w:val="32"/>
        </w:rPr>
        <w:t>。</w:t>
      </w:r>
    </w:p>
    <w:p w14:paraId="0783841A">
      <w:pPr>
        <w:pStyle w:val="2"/>
        <w:keepNext w:val="0"/>
        <w:keepLines w:val="0"/>
        <w:spacing w:line="600" w:lineRule="atLeast"/>
        <w:ind w:hanging="3"/>
        <w:rPr>
          <w:rFonts w:hAnsi="仿宋_GB2312" w:cs="仿宋_GB2312"/>
        </w:rPr>
      </w:pPr>
      <w:bookmarkStart w:id="2" w:name="_Toc7743"/>
      <w:bookmarkStart w:id="3" w:name="_Toc426226402"/>
      <w:bookmarkStart w:id="4" w:name="_Toc28327"/>
      <w:bookmarkStart w:id="5" w:name="_Toc426246555"/>
      <w:bookmarkStart w:id="6" w:name="_Toc426246473"/>
      <w:bookmarkStart w:id="7" w:name="_Toc207037030"/>
      <w:r>
        <w:rPr>
          <w:rFonts w:hint="eastAsia" w:hAnsi="仿宋_GB2312" w:cs="仿宋_GB2312"/>
        </w:rPr>
        <w:t>一、项目概述</w:t>
      </w:r>
      <w:bookmarkEnd w:id="1"/>
      <w:bookmarkEnd w:id="2"/>
      <w:bookmarkEnd w:id="3"/>
      <w:bookmarkEnd w:id="4"/>
      <w:bookmarkEnd w:id="5"/>
      <w:bookmarkEnd w:id="6"/>
      <w:bookmarkEnd w:id="7"/>
    </w:p>
    <w:p w14:paraId="2916F006">
      <w:pPr>
        <w:pStyle w:val="3"/>
        <w:keepNext w:val="0"/>
        <w:keepLines w:val="0"/>
        <w:spacing w:line="600" w:lineRule="atLeast"/>
        <w:rPr>
          <w:rFonts w:ascii="仿宋_GB2312" w:hAnsi="仿宋_GB2312" w:cs="仿宋_GB2312"/>
        </w:rPr>
      </w:pPr>
      <w:bookmarkStart w:id="8" w:name="_Toc12935"/>
      <w:bookmarkStart w:id="9" w:name="_Toc207037031"/>
      <w:bookmarkStart w:id="10" w:name="_Toc365968748"/>
      <w:bookmarkStart w:id="11" w:name="_Toc426246556"/>
      <w:bookmarkStart w:id="12" w:name="_Toc426226403"/>
      <w:bookmarkStart w:id="13" w:name="_Toc4982"/>
      <w:bookmarkStart w:id="14" w:name="_Toc426246474"/>
      <w:r>
        <w:rPr>
          <w:rFonts w:hint="eastAsia" w:ascii="仿宋_GB2312" w:hAnsi="仿宋_GB2312" w:cs="仿宋_GB2312"/>
        </w:rPr>
        <w:t>（一）项目概况</w:t>
      </w:r>
      <w:bookmarkEnd w:id="8"/>
      <w:bookmarkEnd w:id="9"/>
      <w:bookmarkEnd w:id="10"/>
      <w:bookmarkEnd w:id="11"/>
      <w:bookmarkEnd w:id="12"/>
      <w:bookmarkEnd w:id="13"/>
      <w:bookmarkEnd w:id="14"/>
    </w:p>
    <w:p w14:paraId="6A5BAA4D">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1.立项背景</w:t>
      </w:r>
    </w:p>
    <w:p w14:paraId="6F0A7831">
      <w:pPr>
        <w:spacing w:line="600" w:lineRule="atLeast"/>
        <w:ind w:firstLine="640" w:firstLineChars="200"/>
        <w:rPr>
          <w:rFonts w:ascii="仿宋_GB2312" w:hAnsi="宋体" w:eastAsia="仿宋_GB2312"/>
          <w:sz w:val="32"/>
          <w:szCs w:val="32"/>
          <w:lang w:val="zh-CN"/>
        </w:rPr>
      </w:pPr>
      <w:r>
        <w:rPr>
          <w:rFonts w:hint="eastAsia" w:ascii="仿宋_GB2312" w:hAnsi="仿宋_GB2312" w:eastAsia="仿宋_GB2312" w:cs="仿宋_GB2312"/>
          <w:color w:val="000000"/>
          <w:sz w:val="32"/>
          <w:szCs w:val="32"/>
        </w:rPr>
        <w:t>1998年5月，北京社院加挂北京中华文化学院的牌子，开展以爱国主义为宗旨，以中华文化为主要内容的教育、研究和对外交流活动。依据中共中央印发的《社会主义学院工作条例》规定，北京社院应当</w:t>
      </w:r>
      <w:bookmarkStart w:id="15" w:name="_Hlk195994794"/>
      <w:r>
        <w:rPr>
          <w:rFonts w:hint="eastAsia" w:ascii="仿宋_GB2312" w:hAnsi="仿宋_GB2312" w:eastAsia="仿宋_GB2312" w:cs="仿宋_GB2312"/>
          <w:color w:val="000000"/>
          <w:sz w:val="32"/>
          <w:szCs w:val="32"/>
        </w:rPr>
        <w:t>面向海外侨胞开展国情教育和中华文化研修</w:t>
      </w:r>
      <w:bookmarkEnd w:id="15"/>
      <w:r>
        <w:rPr>
          <w:rFonts w:hint="eastAsia" w:ascii="仿宋_GB2312" w:hAnsi="仿宋_GB2312" w:eastAsia="仿宋_GB2312" w:cs="仿宋_GB2312"/>
          <w:color w:val="000000"/>
          <w:sz w:val="32"/>
          <w:szCs w:val="32"/>
        </w:rPr>
        <w:t>，增强国家意识和爱国精神，促进海外侨心凝聚。</w:t>
      </w:r>
    </w:p>
    <w:p w14:paraId="5F09FF6F">
      <w:pPr>
        <w:spacing w:line="600" w:lineRule="atLeast"/>
        <w:ind w:firstLine="640" w:firstLineChars="200"/>
        <w:rPr>
          <w:rFonts w:ascii="仿宋_GB2312" w:hAnsi="仿宋_GB2312" w:eastAsia="仿宋_GB2312" w:cs="仿宋_GB2312"/>
          <w:sz w:val="32"/>
          <w:szCs w:val="32"/>
          <w:lang w:bidi="ar"/>
        </w:rPr>
      </w:pPr>
      <w:r>
        <w:rPr>
          <w:rFonts w:hint="eastAsia" w:ascii="仿宋_GB2312" w:eastAsia="仿宋_GB2312" w:cs="仿宋_GB2312"/>
          <w:sz w:val="32"/>
          <w:szCs w:val="32"/>
        </w:rPr>
        <w:t>2.项目主要内容及实施情况</w:t>
      </w:r>
    </w:p>
    <w:p w14:paraId="28D98020">
      <w:pPr>
        <w:spacing w:line="600" w:lineRule="atLeast"/>
        <w:ind w:firstLine="640" w:firstLineChars="200"/>
        <w:rPr>
          <w:rFonts w:ascii="仿宋_GB2312" w:hAnsi="仿宋_GB2312" w:eastAsia="仿宋_GB2312" w:cs="仿宋_GB2312"/>
          <w:color w:val="000000"/>
          <w:sz w:val="32"/>
          <w:szCs w:val="32"/>
        </w:rPr>
      </w:pPr>
      <w:bookmarkStart w:id="16" w:name="_Toc426246558"/>
      <w:bookmarkStart w:id="17" w:name="_Toc426226408"/>
      <w:bookmarkStart w:id="18" w:name="_Toc31405"/>
      <w:bookmarkStart w:id="19" w:name="_Toc426246476"/>
      <w:bookmarkStart w:id="20" w:name="_Toc365968750"/>
      <w:bookmarkStart w:id="21" w:name="_Toc10462"/>
      <w:r>
        <w:rPr>
          <w:rFonts w:hint="eastAsia" w:ascii="仿宋_GB2312" w:hAnsi="仿宋_GB2312" w:eastAsia="仿宋_GB2312" w:cs="仿宋_GB2312"/>
          <w:color w:val="000000"/>
          <w:sz w:val="32"/>
          <w:szCs w:val="32"/>
        </w:rPr>
        <w:t>该项目建</w:t>
      </w:r>
      <w:r>
        <w:rPr>
          <w:rFonts w:hint="eastAsia" w:ascii="仿宋_GB2312" w:hAnsi="仿宋_GB2312" w:eastAsia="仿宋_GB2312" w:cs="仿宋_GB2312"/>
          <w:sz w:val="32"/>
          <w:szCs w:val="32"/>
        </w:rPr>
        <w:t>设周期一年，建设内容涉及13个培训班和2个参访团组</w:t>
      </w:r>
      <w:bookmarkStart w:id="22" w:name="OLE_LINK3"/>
      <w:r>
        <w:rPr>
          <w:rFonts w:hint="eastAsia" w:ascii="仿宋_GB2312" w:hAnsi="仿宋_GB2312" w:eastAsia="仿宋_GB2312" w:cs="仿宋_GB2312"/>
          <w:sz w:val="32"/>
          <w:szCs w:val="32"/>
        </w:rPr>
        <w:t>。</w:t>
      </w:r>
      <w:bookmarkEnd w:id="22"/>
      <w:r>
        <w:rPr>
          <w:rFonts w:hint="eastAsia" w:ascii="仿宋_GB2312" w:hAnsi="仿宋_GB2312" w:eastAsia="仿宋_GB2312" w:cs="仿宋_GB2312"/>
          <w:sz w:val="32"/>
          <w:szCs w:val="32"/>
        </w:rPr>
        <w:t>截至</w:t>
      </w:r>
      <w:r>
        <w:rPr>
          <w:rFonts w:hint="eastAsia" w:ascii="仿宋_GB2312" w:hAnsi="仿宋_GB2312" w:eastAsia="仿宋_GB2312" w:cs="仿宋_GB2312"/>
          <w:color w:val="000000"/>
          <w:sz w:val="32"/>
          <w:szCs w:val="32"/>
        </w:rPr>
        <w:t>2024年12月31日，已完成11个培训班及2个参访团活动。</w:t>
      </w:r>
    </w:p>
    <w:p w14:paraId="5FF452AE">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3.资金投入和使用情况</w:t>
      </w:r>
    </w:p>
    <w:p w14:paraId="27390DEC">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（1）经费预算情况</w:t>
      </w:r>
    </w:p>
    <w:p w14:paraId="5715C624">
      <w:pPr>
        <w:spacing w:line="60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该项目共申请财政资金37.5万元，全部来源于财政拨款，主要用于支付培训费、住宿费、餐费、课酬、印刷费等费用。</w:t>
      </w:r>
    </w:p>
    <w:p w14:paraId="6ABA8319">
      <w:pPr>
        <w:spacing w:line="60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2024年2月13日，北京市财政局下发《北京市财政局关于批复北京社会主义学院2024年预算的函》（京财教育指〔2024〕0193号）文件，批复该项目预算55.27万元。</w:t>
      </w:r>
    </w:p>
    <w:p w14:paraId="3E18CBB2">
      <w:pPr>
        <w:spacing w:line="60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2024年12月5日，依据《北京社会主义学院关于核减部分项目预算资金的函》，主动核减项目预算17.77万元。调减原因为培训</w:t>
      </w:r>
      <w:r>
        <w:rPr>
          <w:rFonts w:ascii="仿宋_GB2312" w:hAnsi="仿宋_GB2312" w:eastAsia="仿宋_GB2312" w:cs="仿宋_GB2312"/>
          <w:color w:val="000000"/>
          <w:sz w:val="32"/>
          <w:szCs w:val="32"/>
        </w:rPr>
        <w:t>计划有所调整，造成</w:t>
      </w:r>
      <w:r>
        <w:rPr>
          <w:rFonts w:hint="eastAsia" w:ascii="仿宋_GB2312" w:hAnsi="仿宋_GB2312" w:eastAsia="仿宋_GB2312" w:cs="仿宋_GB2312"/>
          <w:color w:val="000000"/>
          <w:sz w:val="32"/>
          <w:szCs w:val="32"/>
        </w:rPr>
        <w:t>劳务费、培训费结余，已于年底前上缴财政。</w:t>
      </w:r>
    </w:p>
    <w:p w14:paraId="6C863E7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（2）实际支出情况</w:t>
      </w:r>
    </w:p>
    <w:p w14:paraId="17BCA60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截至2024年12月31日，实际到位资金</w:t>
      </w:r>
      <w:r>
        <w:rPr>
          <w:rFonts w:hint="eastAsia" w:ascii="仿宋_GB2312" w:hAnsi="仿宋_GB2312" w:eastAsia="仿宋_GB2312" w:cs="仿宋_GB2312"/>
          <w:color w:val="000000"/>
          <w:sz w:val="32"/>
          <w:szCs w:val="32"/>
        </w:rPr>
        <w:t>37.5</w:t>
      </w:r>
      <w:r>
        <w:rPr>
          <w:rFonts w:hint="eastAsia" w:ascii="仿宋_GB2312" w:hAnsi="仿宋_GB2312" w:eastAsia="仿宋_GB2312" w:cs="仿宋_GB2312"/>
          <w:sz w:val="32"/>
          <w:szCs w:val="32"/>
        </w:rPr>
        <w:t>万元，实际支出资金36.75万元，其中培训费支出9.88万元、差旅费支出0.34万元、租赁费2.18万元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劳务费支出</w:t>
      </w:r>
      <w:r>
        <w:rPr>
          <w:rFonts w:ascii="仿宋_GB2312" w:hAnsi="仿宋_GB2312" w:eastAsia="仿宋_GB2312" w:cs="仿宋_GB2312"/>
          <w:sz w:val="32"/>
          <w:szCs w:val="32"/>
        </w:rPr>
        <w:t>17.79</w:t>
      </w:r>
      <w:r>
        <w:rPr>
          <w:rFonts w:hint="eastAsia" w:ascii="仿宋_GB2312" w:hAnsi="仿宋_GB2312" w:eastAsia="仿宋_GB2312" w:cs="仿宋_GB2312"/>
          <w:sz w:val="32"/>
          <w:szCs w:val="32"/>
        </w:rPr>
        <w:t>万元、其他商品和服务支出6.56万元。项目年度资金执行率98%，结余资金0.75万元，结余原因为课酬等劳务费结余。</w:t>
      </w:r>
    </w:p>
    <w:p w14:paraId="05E5203F">
      <w:pPr>
        <w:pStyle w:val="3"/>
        <w:keepNext w:val="0"/>
        <w:keepLines w:val="0"/>
        <w:spacing w:line="600" w:lineRule="atLeast"/>
        <w:rPr>
          <w:rFonts w:ascii="仿宋_GB2312" w:hAnsi="仿宋_GB2312" w:cs="仿宋_GB2312"/>
        </w:rPr>
      </w:pPr>
      <w:bookmarkStart w:id="23" w:name="_Toc207037032"/>
      <w:r>
        <w:rPr>
          <w:rFonts w:hint="eastAsia" w:ascii="仿宋_GB2312" w:hAnsi="仿宋_GB2312" w:cs="仿宋_GB2312"/>
        </w:rPr>
        <w:t>（二）项目绩效目标</w:t>
      </w:r>
      <w:bookmarkEnd w:id="16"/>
      <w:bookmarkEnd w:id="17"/>
      <w:bookmarkEnd w:id="18"/>
      <w:bookmarkEnd w:id="19"/>
      <w:bookmarkEnd w:id="20"/>
      <w:bookmarkEnd w:id="21"/>
      <w:bookmarkEnd w:id="23"/>
    </w:p>
    <w:p w14:paraId="6B1A2EBC">
      <w:pPr>
        <w:spacing w:line="600" w:lineRule="atLeast"/>
        <w:ind w:firstLine="640" w:firstLineChars="200"/>
        <w:rPr>
          <w:rFonts w:ascii="仿宋_GB2312" w:hAnsi="仿宋_GB2312" w:eastAsia="仿宋_GB2312" w:cs="仿宋_GB2312"/>
          <w:sz w:val="32"/>
          <w:szCs w:val="32"/>
        </w:rPr>
      </w:pPr>
      <w:bookmarkStart w:id="24" w:name="_Toc426226409"/>
      <w:r>
        <w:rPr>
          <w:rFonts w:hint="eastAsia" w:ascii="仿宋_GB2312" w:hAnsi="仿宋_GB2312" w:eastAsia="仿宋_GB2312" w:cs="仿宋_GB2312"/>
          <w:sz w:val="32"/>
          <w:szCs w:val="32"/>
        </w:rPr>
        <w:t>1.项目总体目标</w:t>
      </w:r>
      <w:bookmarkEnd w:id="24"/>
    </w:p>
    <w:p w14:paraId="7347B7D3">
      <w:pPr>
        <w:pStyle w:val="5"/>
        <w:spacing w:line="600" w:lineRule="atLeast"/>
        <w:ind w:firstLine="640" w:firstLineChars="200"/>
        <w:rPr>
          <w:rFonts w:ascii="仿宋_GB2312" w:hAnsi="仿宋_GB2312" w:eastAsia="仿宋_GB2312" w:cs="仿宋_GB2312"/>
          <w:sz w:val="32"/>
          <w:szCs w:val="32"/>
          <w:lang w:bidi="ar"/>
        </w:rPr>
      </w:pPr>
      <w:bookmarkStart w:id="25" w:name="_Toc426226411"/>
      <w:r>
        <w:rPr>
          <w:rFonts w:hint="eastAsia" w:ascii="仿宋_GB2312" w:hAnsi="仿宋_GB2312" w:eastAsia="仿宋_GB2312" w:cs="仿宋_GB2312"/>
          <w:sz w:val="32"/>
          <w:szCs w:val="32"/>
          <w:lang w:bidi="ar"/>
        </w:rPr>
        <w:t>加强与海外华人社团的联系沟通、不断增强彼此之间的信任和了解，争取每年与一至两个海外华人华侨社团相关人士就中华文化研修和华文教育培训等工作，进行联系沟通，力争建立长期合作关系。为进一步学习党的二十大精神和习近平新时代中国特色社会主义思想，根据习近平总书记关于侨务工作的重要论述精神和《社会主义学院工作条例》相关要求，确定以爱国主义为宗旨，以服务海外统战为目标，立足中华文化根基，开展国情和文化研修，讲述人类命运共同体理念和中华优秀传统文化等内容，激发海外学员的家国情怀，铸牢中华民族共同体意识。增进对中华文化的认识，传承和弘扬中华文化，增强中华文化自信，推动共同民族认知，服务于构筑中华民族共同体与人类命运共同体的伟大实践。加大文化参访点的调研、专家论证和合作。为了更好地弘扬中华传统文化，讲好北京故事、传播好北京声音，提高中华文化学院的学术影响力，提升中华文化学院工作水平。</w:t>
      </w:r>
    </w:p>
    <w:p w14:paraId="6698222C">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2.项目阶段性目标</w:t>
      </w:r>
      <w:bookmarkEnd w:id="25"/>
    </w:p>
    <w:p w14:paraId="3B0ECF93">
      <w:pPr>
        <w:spacing w:line="60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项目完成时间：2024年12月底前。</w:t>
      </w:r>
    </w:p>
    <w:p w14:paraId="25BA7399">
      <w:pPr>
        <w:pStyle w:val="2"/>
        <w:keepNext w:val="0"/>
        <w:keepLines w:val="0"/>
        <w:spacing w:line="600" w:lineRule="atLeast"/>
        <w:ind w:hanging="3"/>
        <w:rPr>
          <w:rFonts w:hAnsi="仿宋_GB2312" w:cs="仿宋_GB2312"/>
        </w:rPr>
      </w:pPr>
      <w:bookmarkStart w:id="26" w:name="_Toc6015"/>
      <w:bookmarkStart w:id="27" w:name="_Toc13428"/>
      <w:bookmarkStart w:id="28" w:name="_Toc26105"/>
      <w:bookmarkStart w:id="29" w:name="_Toc207037033"/>
      <w:bookmarkStart w:id="30" w:name="_Toc426226415"/>
      <w:bookmarkStart w:id="31" w:name="_Toc426246477"/>
      <w:bookmarkStart w:id="32" w:name="_Toc19893"/>
      <w:bookmarkStart w:id="33" w:name="_Toc7135"/>
      <w:bookmarkStart w:id="34" w:name="_Toc426246559"/>
      <w:bookmarkStart w:id="35" w:name="_Toc169183188"/>
      <w:bookmarkStart w:id="36" w:name="_Toc365968754"/>
      <w:r>
        <w:rPr>
          <w:rFonts w:hint="eastAsia" w:hAnsi="仿宋_GB2312" w:cs="仿宋_GB2312"/>
        </w:rPr>
        <w:t>二、绩效评价情况</w:t>
      </w:r>
      <w:bookmarkEnd w:id="26"/>
      <w:bookmarkEnd w:id="27"/>
      <w:bookmarkEnd w:id="28"/>
      <w:bookmarkEnd w:id="29"/>
    </w:p>
    <w:p w14:paraId="33E4FF12">
      <w:pPr>
        <w:pStyle w:val="3"/>
        <w:keepNext w:val="0"/>
        <w:keepLines w:val="0"/>
        <w:spacing w:line="600" w:lineRule="atLeast"/>
        <w:rPr>
          <w:rFonts w:ascii="仿宋_GB2312" w:hAnsi="仿宋_GB2312" w:cs="仿宋_GB2312"/>
        </w:rPr>
      </w:pPr>
      <w:bookmarkStart w:id="37" w:name="_Toc8825"/>
      <w:bookmarkStart w:id="38" w:name="_Toc6705"/>
      <w:bookmarkStart w:id="39" w:name="_Toc24045"/>
      <w:bookmarkStart w:id="40" w:name="_Toc207037034"/>
      <w:r>
        <w:rPr>
          <w:rFonts w:hint="eastAsia" w:ascii="仿宋_GB2312" w:hAnsi="仿宋_GB2312" w:cs="仿宋_GB2312"/>
        </w:rPr>
        <w:t>（一）绩效评价目的、对象和范围</w:t>
      </w:r>
      <w:bookmarkEnd w:id="37"/>
      <w:bookmarkEnd w:id="38"/>
      <w:bookmarkEnd w:id="39"/>
      <w:bookmarkEnd w:id="40"/>
    </w:p>
    <w:p w14:paraId="1C29B779">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1.绩效评价目的</w:t>
      </w:r>
    </w:p>
    <w:p w14:paraId="749BCBB7">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绩效评价，衡量和考核北京社院使用财政资金的绩效实现情况，了解、分析和检验资金使用是否达到预期目标，资金管理是否规范，资金使用是否有效。对该项目的项目决策、项目过程、项目产出和项目效益四个方面进行评价，通过评价发现问题，提出改进意见和建议，促进预算资金分配的规范化、资源配置的合理性，采取切实措施进一步改进和加强财政支出项目管理，从而有效提高财政资金使用效益。</w:t>
      </w:r>
    </w:p>
    <w:p w14:paraId="4452E498">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2.评价对象和范围</w:t>
      </w:r>
    </w:p>
    <w:p w14:paraId="5C59F951">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评价对象：中华文化教育培训项目。</w:t>
      </w:r>
    </w:p>
    <w:p w14:paraId="716E2DFC">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评价资金范围：项目预算经费</w:t>
      </w:r>
      <w:r>
        <w:rPr>
          <w:rFonts w:hint="eastAsia" w:ascii="仿宋_GB2312" w:hAnsi="仿宋_GB2312" w:eastAsia="仿宋_GB2312" w:cs="仿宋_GB2312"/>
          <w:color w:val="000000"/>
          <w:sz w:val="32"/>
          <w:szCs w:val="32"/>
        </w:rPr>
        <w:t>37.5</w:t>
      </w:r>
      <w:r>
        <w:rPr>
          <w:rFonts w:hint="eastAsia" w:ascii="仿宋_GB2312" w:hAnsi="仿宋_GB2312" w:eastAsia="仿宋_GB2312" w:cs="仿宋_GB2312"/>
          <w:sz w:val="32"/>
          <w:szCs w:val="32"/>
        </w:rPr>
        <w:t>万元。</w:t>
      </w:r>
    </w:p>
    <w:p w14:paraId="6FA420B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评价时间：2024年1月1日至2024年12月31日。</w:t>
      </w:r>
    </w:p>
    <w:p w14:paraId="679C47C9">
      <w:pPr>
        <w:pStyle w:val="3"/>
        <w:keepNext w:val="0"/>
        <w:keepLines w:val="0"/>
        <w:spacing w:line="600" w:lineRule="atLeast"/>
        <w:rPr>
          <w:rFonts w:ascii="仿宋_GB2312" w:hAnsi="仿宋_GB2312" w:cs="仿宋_GB2312"/>
        </w:rPr>
      </w:pPr>
      <w:bookmarkStart w:id="41" w:name="_Toc26995"/>
      <w:bookmarkStart w:id="42" w:name="_Toc29085"/>
      <w:bookmarkStart w:id="43" w:name="_Toc30848"/>
      <w:bookmarkStart w:id="44" w:name="_Toc207037035"/>
      <w:r>
        <w:rPr>
          <w:rFonts w:hint="eastAsia" w:ascii="仿宋_GB2312" w:hAnsi="仿宋_GB2312" w:cs="仿宋_GB2312"/>
        </w:rPr>
        <w:t>（二）绩效评价原则、指标体系、方法及标准</w:t>
      </w:r>
      <w:bookmarkEnd w:id="41"/>
      <w:bookmarkEnd w:id="42"/>
      <w:bookmarkEnd w:id="43"/>
      <w:bookmarkEnd w:id="44"/>
    </w:p>
    <w:p w14:paraId="1F774374">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1.评价原则和方法</w:t>
      </w:r>
    </w:p>
    <w:p w14:paraId="64D05FE1">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工作遵循“客观、公正、科学、规范”的原则，通过对项目的经济性、效率性、效益性的比较和分析，考核支出效率和支出效果。结合本项目特点，评价方法主要采用目标预定与实施效果比较的方法，进行定性分析和定量分析。</w:t>
      </w:r>
    </w:p>
    <w:p w14:paraId="4C0DA266">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14:paraId="151CF9DA">
      <w:pPr>
        <w:spacing w:line="600" w:lineRule="atLeast"/>
        <w:ind w:firstLine="640" w:firstLineChars="200"/>
        <w:rPr>
          <w:rFonts w:hint="eastAsia" w:ascii="仿宋_GB2312" w:hAnsi="仿宋" w:eastAsia="仿宋_GB2312" w:cs="Times New Roman"/>
          <w:sz w:val="32"/>
          <w:szCs w:val="32"/>
        </w:rPr>
      </w:pPr>
      <w:r>
        <w:rPr>
          <w:rFonts w:hint="eastAsia" w:ascii="仿宋_GB2312" w:hAnsi="仿宋" w:eastAsia="仿宋_GB2312" w:cs="Times New Roman"/>
          <w:sz w:val="32"/>
          <w:szCs w:val="32"/>
        </w:rPr>
        <w:t>根据《北京市预算绩效目标管理办法》（京财绩效〔2020〕2137号）及《北京市项目支出绩效评价管理办法》（京财绩效〔2020〕2146号）等文件要求，结合该项目的预期绩效目标，以资金使用结果为导向，重点对项目决策、项目管理、项目产出及项目效益进行综合评价。评价指标包括决策、过程、产出、效益4个一级指标，其下共设置10个二级指标、19个三级指标，分值设置满分100分，其中：决策总分10分，过程总分20分，产出总分40分，效益总分30分。</w:t>
      </w:r>
    </w:p>
    <w:p w14:paraId="4CF18584">
      <w:pPr>
        <w:spacing w:line="600" w:lineRule="atLeast"/>
        <w:ind w:firstLine="640" w:firstLineChars="200"/>
        <w:rPr>
          <w:rFonts w:ascii="仿宋_GB2312" w:hAnsi="仿宋" w:eastAsia="仿宋_GB2312" w:cs="Times New Roman"/>
          <w:sz w:val="32"/>
          <w:szCs w:val="32"/>
        </w:rPr>
      </w:pPr>
      <w:bookmarkStart w:id="138" w:name="_GoBack"/>
      <w:bookmarkEnd w:id="138"/>
      <w:r>
        <w:rPr>
          <w:rFonts w:hint="eastAsia" w:ascii="仿宋_GB2312" w:hAnsi="仿宋" w:eastAsia="仿宋_GB2312" w:cs="Times New Roman"/>
          <w:sz w:val="32"/>
          <w:szCs w:val="32"/>
        </w:rPr>
        <w:t>（1）项目决策：分值10分，从项目立项、绩效目标和资金投入三个方面评价项目立项依据充分性、立项程序规范性、绩效目标合理性、绩效指标明确性、预算编制科学性和资金分配合理性等内容。</w:t>
      </w:r>
    </w:p>
    <w:p w14:paraId="6C768E72">
      <w:pPr>
        <w:spacing w:line="600" w:lineRule="atLeas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（2）过程管理：分值20分，从资金管理、组织实施两方面评价资金到位率、预算执行率、资金使用合规性、管理制度健全性、制度执行有效性等内容。</w:t>
      </w:r>
    </w:p>
    <w:p w14:paraId="56B85FD7">
      <w:pPr>
        <w:spacing w:line="600" w:lineRule="atLeas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（3）项目产出：分值40分，从产出数量、产出质量、产出时效和产出成本四方面评价项目产出完成情况。</w:t>
      </w:r>
    </w:p>
    <w:p w14:paraId="21471982">
      <w:pPr>
        <w:spacing w:line="600" w:lineRule="atLeas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（4）项目效益：分值30分，综合评价项目实施带来的实施效益及项目受众满意度情况。</w:t>
      </w:r>
    </w:p>
    <w:p w14:paraId="13FEA781">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3．评价方法</w:t>
      </w:r>
    </w:p>
    <w:p w14:paraId="1AF7704B">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比较法。该评价方法的运用主要包括2个层面：一是将本项目执行周期内项目的实际执行情况与计划任务和要求形成比较，以评判计划或任务的完成情况；二是将本项目周期内的实际支出情况与预算情况形成比较，以评判资金执行的情况。</w:t>
      </w:r>
    </w:p>
    <w:p w14:paraId="4DB10A1B">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（2）专家评价法。本次评价在做好前期资料收集和调研的基础之上，邀请了</w:t>
      </w:r>
      <w:r>
        <w:rPr>
          <w:rFonts w:hint="eastAsia" w:ascii="仿宋_GB2312" w:hAnsi="仿宋_GB2312" w:eastAsia="仿宋_GB2312" w:cs="仿宋_GB2312"/>
          <w:sz w:val="32"/>
          <w:szCs w:val="32"/>
        </w:rPr>
        <w:t>5</w:t>
      </w:r>
      <w:r>
        <w:rPr>
          <w:rFonts w:ascii="仿宋_GB2312" w:hAnsi="仿宋_GB2312" w:eastAsia="仿宋_GB2312" w:cs="仿宋_GB2312"/>
          <w:sz w:val="32"/>
          <w:szCs w:val="32"/>
        </w:rPr>
        <w:t>位专家作为本次绩效评价工作的专家，召开项目绩效预评价会，根据预评价会上专家意见继续完善资料收集工作，之后召开项目绩效正式评价会，并邀请</w:t>
      </w:r>
      <w:r>
        <w:rPr>
          <w:rFonts w:hint="eastAsia" w:ascii="仿宋_GB2312" w:hAnsi="仿宋_GB2312" w:eastAsia="仿宋_GB2312" w:cs="仿宋_GB2312"/>
          <w:sz w:val="32"/>
          <w:szCs w:val="32"/>
        </w:rPr>
        <w:t>北京社院</w:t>
      </w:r>
      <w:r>
        <w:rPr>
          <w:rFonts w:ascii="仿宋_GB2312" w:hAnsi="仿宋_GB2312" w:eastAsia="仿宋_GB2312" w:cs="仿宋_GB2312"/>
          <w:sz w:val="32"/>
          <w:szCs w:val="32"/>
        </w:rPr>
        <w:t>等项目绩效评价相关工作人员参会。会上</w:t>
      </w:r>
      <w:r>
        <w:rPr>
          <w:rFonts w:hint="eastAsia" w:ascii="仿宋_GB2312" w:hAnsi="仿宋_GB2312" w:eastAsia="仿宋_GB2312" w:cs="仿宋_GB2312"/>
          <w:sz w:val="32"/>
          <w:szCs w:val="32"/>
        </w:rPr>
        <w:t>北京社院</w:t>
      </w:r>
      <w:r>
        <w:rPr>
          <w:rFonts w:ascii="仿宋_GB2312" w:hAnsi="仿宋_GB2312" w:eastAsia="仿宋_GB2312" w:cs="仿宋_GB2312"/>
          <w:sz w:val="32"/>
          <w:szCs w:val="32"/>
        </w:rPr>
        <w:t>相关工作人员作为项目</w:t>
      </w:r>
      <w:r>
        <w:rPr>
          <w:rFonts w:hint="eastAsia" w:ascii="仿宋_GB2312" w:hAnsi="仿宋_GB2312" w:eastAsia="仿宋_GB2312" w:cs="仿宋_GB2312"/>
          <w:sz w:val="32"/>
          <w:szCs w:val="32"/>
        </w:rPr>
        <w:t>实施</w:t>
      </w:r>
      <w:r>
        <w:rPr>
          <w:rFonts w:ascii="仿宋_GB2312" w:hAnsi="仿宋_GB2312" w:eastAsia="仿宋_GB2312" w:cs="仿宋_GB2312"/>
          <w:sz w:val="32"/>
          <w:szCs w:val="32"/>
        </w:rPr>
        <w:t>单位介绍项目执行情况并回答专家的提问，专家结合前期掌握的项目资料和会上了解的信息，按照项目绩效评价指标体系对项目打分，并提出相关建议。</w:t>
      </w:r>
    </w:p>
    <w:p w14:paraId="49399C2A">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（3）因素分析法。该评价方法的运用主要是以结果和问题为导向，分析影响效益实现、问题产生的原因，并提出针对性的意见和建议。</w:t>
      </w:r>
    </w:p>
    <w:p w14:paraId="7FB2AB0C">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（4）实地调研法。对</w:t>
      </w:r>
      <w:r>
        <w:rPr>
          <w:rFonts w:hint="eastAsia" w:ascii="仿宋_GB2312" w:hAnsi="仿宋_GB2312" w:eastAsia="仿宋_GB2312" w:cs="仿宋_GB2312"/>
          <w:sz w:val="32"/>
          <w:szCs w:val="32"/>
        </w:rPr>
        <w:t>北京社院</w:t>
      </w:r>
      <w:r>
        <w:rPr>
          <w:rFonts w:ascii="仿宋_GB2312" w:hAnsi="仿宋_GB2312" w:eastAsia="仿宋_GB2312" w:cs="仿宋_GB2312"/>
          <w:sz w:val="32"/>
          <w:szCs w:val="32"/>
        </w:rPr>
        <w:t>进行实地调研，通过查阅现场资料、访谈、座谈会等方式，了解项目资金使用情况、项目执行情况、项目效益情况。</w:t>
      </w:r>
    </w:p>
    <w:p w14:paraId="13AA9E6D">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4．评价标准</w:t>
      </w:r>
    </w:p>
    <w:p w14:paraId="66009CD6">
      <w:pPr>
        <w:spacing w:line="60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绩效评价结果采取评分和评级相结合的方式，总分设置为100分，等级划分为4档：90（含）-100分为优、80（含）-90分为良、60（含）-80分为中、60分以下为差。</w:t>
      </w:r>
    </w:p>
    <w:p w14:paraId="20B9D32D">
      <w:pPr>
        <w:pStyle w:val="3"/>
        <w:keepNext w:val="0"/>
        <w:keepLines w:val="0"/>
        <w:spacing w:line="600" w:lineRule="atLeast"/>
        <w:rPr>
          <w:rFonts w:ascii="仿宋_GB2312" w:hAnsi="仿宋_GB2312" w:cs="仿宋_GB2312"/>
        </w:rPr>
      </w:pPr>
      <w:bookmarkStart w:id="45" w:name="_Toc207037036"/>
      <w:r>
        <w:rPr>
          <w:rFonts w:hint="eastAsia" w:ascii="仿宋_GB2312" w:hAnsi="仿宋_GB2312" w:cs="仿宋_GB2312"/>
        </w:rPr>
        <w:t>（三）绩效评价工作过程</w:t>
      </w:r>
      <w:bookmarkEnd w:id="45"/>
    </w:p>
    <w:p w14:paraId="19B53839">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绩效评价工作程序主要分为评价准备、评价实施、评价总结三个阶段。</w:t>
      </w:r>
    </w:p>
    <w:p w14:paraId="57D90CA5">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1.评价准备阶段</w:t>
      </w:r>
    </w:p>
    <w:p w14:paraId="605BC5FF">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（1）做好绩效</w:t>
      </w:r>
      <w:r>
        <w:rPr>
          <w:rFonts w:ascii="仿宋_GB2312" w:hAnsi="仿宋_GB2312" w:eastAsia="仿宋_GB2312" w:cs="仿宋_GB2312"/>
          <w:sz w:val="32"/>
          <w:szCs w:val="32"/>
        </w:rPr>
        <w:t>评价</w:t>
      </w:r>
      <w:r>
        <w:rPr>
          <w:rFonts w:hint="eastAsia" w:ascii="仿宋_GB2312" w:hAnsi="仿宋_GB2312" w:eastAsia="仿宋_GB2312" w:cs="仿宋_GB2312"/>
          <w:sz w:val="32"/>
          <w:szCs w:val="32"/>
        </w:rPr>
        <w:t>培训工作。2025年4月对该项目进行绩效评价。正式评价前对项目评价工作人员进行了业务培训，明确了绩效评价工作要求，有序组织开展绩效评价工作。</w:t>
      </w:r>
    </w:p>
    <w:p w14:paraId="4976E88C">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（2）首次入户，收集业务资料。于2025年4月8日完成首次入户调研，与北京社院进行初步沟通，了解项目申报及执行情况，取得首批业务资料。</w:t>
      </w:r>
    </w:p>
    <w:p w14:paraId="1132F0F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制定工作方案，明确时间进度要求。根据首次入户调研及取得的首批资料了解项目基本情况，认真研究制定了绩效评价工作方案，确定了评价思路，明确了责任主体、具体工作内容和进度安排等事项，制定了项目评价工作方案。</w:t>
      </w:r>
    </w:p>
    <w:p w14:paraId="25C47F9A">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资料分析汇总。在入户调研的基础上，结合初期收集资料情况，对资料进一步核实、整理，形成工作底稿。对项目的进展及资金运用情况、目标内容的完成情况进行资料的补充、完善及归集整理，并辅导北京社院编写项目绩效报告。</w:t>
      </w:r>
    </w:p>
    <w:p w14:paraId="48194EB9">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（5）资料收集。2025年4月，对相关资料进行初步审核，并将发现的问题与北京社院进行沟通。对需要进一步完善的资料提出了补充要求。</w:t>
      </w:r>
    </w:p>
    <w:p w14:paraId="2F45418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（6）遴选专家组成评价专家组。根据项目的特点，依据客观、公正的原则，遴选2名管理专家、2名业务专家及1名财务专家组成评价专家组。</w:t>
      </w:r>
    </w:p>
    <w:p w14:paraId="163F8FBD">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召开专家预备会，完善指标体系。于2025年4月20日组织召开了专家预备会，5位专家从各自专业角度，结合对项目的整体了解情况，明确专家评价会对项目的关注重点，并针对存在的问题提出初步的意见,细化评价指标体系。会后针对关注的问题，与北京社院沟通并收集相关补充资料，进一步进行资料归集,并对北京社院项目的会前整体情况进行准确把握。</w:t>
      </w:r>
    </w:p>
    <w:p w14:paraId="026E4227">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2.评价实施阶段</w:t>
      </w:r>
    </w:p>
    <w:p w14:paraId="14473502">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绩效报告复核。在规定时间内按要求对北京社院提交的项目绩效报告和相关材料的完整性和真实性进行复核。复核内容主要包括：绩效报告中各项内容的完整性、真实性，各项数据的逻辑关系、勾稽关系的准确性。发现问题，及时反馈意见，要求北京社院进行修改、完善。同时，对重要的和存在疑问的基础数据资料进行核实确认，确保评价数据的真实性。</w:t>
      </w:r>
    </w:p>
    <w:p w14:paraId="2750923F">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（2）编制专家评价手册，准备专家评价所需资料。根据具体评价要求和评价项目情况，按照指标体系内容对资料分类整理成册，形成专家资料手册，完成评价前准备工作。</w:t>
      </w:r>
    </w:p>
    <w:p w14:paraId="776AB5B2">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（3）出具专家评价结论。</w:t>
      </w:r>
    </w:p>
    <w:p w14:paraId="3219E704">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召开正式评价会。召集专家组和项目单位于2025年4月26日召开正式评价会。会上各位专家对北京社院“中华文化教育培训”项目，结合单位提供的所有项目资料，通过各位专家质询结果，按照确定的指标评价体系进行评价打分，并形成《专家意见汇总书》和《专家评价书》，评价专家组将评价意见与项目单位进行现场沟通。</w:t>
      </w:r>
    </w:p>
    <w:p w14:paraId="0BC97795">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（4）汇总专家意见，形成项目绩效评价报告初稿。</w:t>
      </w:r>
    </w:p>
    <w:p w14:paraId="6B1C3CF9">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3.评价总结阶段</w:t>
      </w:r>
    </w:p>
    <w:p w14:paraId="695F3328">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（1）与北京社院沟通意见，在充分研究论证的基础上，修改和完善项目绩效评价报告。</w:t>
      </w:r>
    </w:p>
    <w:p w14:paraId="2C8EDE3B">
      <w:pPr>
        <w:spacing w:line="60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（2）协助做好此次评价后续工作，并将绩效评价报告报送北京社院进行归档。</w:t>
      </w:r>
    </w:p>
    <w:bookmarkEnd w:id="30"/>
    <w:bookmarkEnd w:id="31"/>
    <w:bookmarkEnd w:id="32"/>
    <w:bookmarkEnd w:id="33"/>
    <w:bookmarkEnd w:id="34"/>
    <w:p w14:paraId="3B4999FC">
      <w:pPr>
        <w:pStyle w:val="2"/>
        <w:keepNext w:val="0"/>
        <w:keepLines w:val="0"/>
        <w:spacing w:line="600" w:lineRule="atLeast"/>
        <w:ind w:hanging="3"/>
        <w:rPr>
          <w:rFonts w:hAnsi="仿宋_GB2312" w:cs="仿宋_GB2312"/>
        </w:rPr>
      </w:pPr>
      <w:bookmarkStart w:id="46" w:name="_Toc207037037"/>
      <w:bookmarkStart w:id="47" w:name="_Toc32663"/>
      <w:bookmarkStart w:id="48" w:name="_Toc426246562"/>
      <w:bookmarkStart w:id="49" w:name="_Toc426226418"/>
      <w:bookmarkStart w:id="50" w:name="_Toc426246480"/>
      <w:bookmarkStart w:id="51" w:name="_Toc27109"/>
      <w:r>
        <w:rPr>
          <w:rFonts w:hint="eastAsia" w:hAnsi="仿宋_GB2312" w:cs="仿宋_GB2312"/>
        </w:rPr>
        <w:t>三、综合评价</w:t>
      </w:r>
      <w:r>
        <w:rPr>
          <w:rFonts w:hAnsi="仿宋_GB2312" w:cs="仿宋_GB2312"/>
        </w:rPr>
        <w:t>情况及评价结论</w:t>
      </w:r>
      <w:bookmarkEnd w:id="46"/>
    </w:p>
    <w:p w14:paraId="2D5F5C3E">
      <w:pPr>
        <w:tabs>
          <w:tab w:val="left" w:pos="2850"/>
        </w:tabs>
        <w:spacing w:line="600" w:lineRule="atLeast"/>
        <w:ind w:firstLine="640" w:firstLineChars="200"/>
        <w:rPr>
          <w:rFonts w:ascii="仿宋_GB2312" w:hAnsi="仿宋_GB2312" w:cs="仿宋_GB2312"/>
          <w:bCs/>
          <w:sz w:val="32"/>
          <w:szCs w:val="32"/>
        </w:rPr>
      </w:pPr>
      <w:r>
        <w:rPr>
          <w:rFonts w:hint="eastAsia" w:ascii="仿宋_GB2312" w:hAnsi="仿宋_GB2312" w:cs="仿宋_GB2312"/>
          <w:bCs/>
          <w:sz w:val="32"/>
          <w:szCs w:val="32"/>
        </w:rPr>
        <w:t>中华文化教育培训项目绩效评价结论为</w:t>
      </w:r>
      <w:r>
        <w:rPr>
          <w:rFonts w:ascii="仿宋_GB2312" w:hAnsi="仿宋_GB2312" w:cs="仿宋_GB2312"/>
          <w:bCs/>
          <w:sz w:val="32"/>
          <w:szCs w:val="32"/>
        </w:rPr>
        <w:t>良。</w:t>
      </w:r>
    </w:p>
    <w:p w14:paraId="0661AB22">
      <w:pPr>
        <w:tabs>
          <w:tab w:val="left" w:pos="2850"/>
        </w:tabs>
        <w:spacing w:line="600" w:lineRule="atLeast"/>
        <w:ind w:firstLine="640" w:firstLineChars="200"/>
        <w:rPr>
          <w:rFonts w:hint="eastAsia" w:ascii="仿宋_GB2312" w:hAnsi="仿宋_GB2312" w:cs="仿宋_GB2312"/>
          <w:bCs/>
          <w:sz w:val="32"/>
          <w:szCs w:val="32"/>
        </w:rPr>
      </w:pPr>
      <w:r>
        <w:rPr>
          <w:rFonts w:hint="eastAsia" w:ascii="仿宋_GB2312" w:hAnsi="仿宋_GB2312" w:cs="仿宋_GB2312"/>
          <w:bCs/>
          <w:sz w:val="32"/>
          <w:szCs w:val="32"/>
        </w:rPr>
        <w:t>本次评价在项目资料整理、数据分析、现场调研的基础上，由专家依据项目绩效评价指标体系进行打分，综合得分83.92分，绩效评定等级为“良”，具体评分情况见下表。</w:t>
      </w:r>
    </w:p>
    <w:p w14:paraId="50BB2A68">
      <w:pPr>
        <w:spacing w:line="360" w:lineRule="auto"/>
        <w:contextualSpacing/>
        <w:jc w:val="center"/>
        <w:rPr>
          <w:rFonts w:ascii="仿宋_GB2312" w:hAnsi="仿宋_GB2312" w:cs="仿宋_GB2312"/>
          <w:b/>
          <w:sz w:val="28"/>
          <w:szCs w:val="28"/>
        </w:rPr>
      </w:pPr>
      <w:r>
        <w:rPr>
          <w:rFonts w:hint="eastAsia" w:ascii="仿宋_GB2312" w:hAnsi="仿宋_GB2312" w:cs="仿宋_GB2312"/>
          <w:b/>
          <w:sz w:val="28"/>
          <w:szCs w:val="28"/>
        </w:rPr>
        <w:t>绩效评价结论一览表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949"/>
        <w:gridCol w:w="2768"/>
        <w:gridCol w:w="2768"/>
      </w:tblGrid>
      <w:tr w14:paraId="37DC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shd w:val="clear" w:color="auto" w:fill="D9D9D9"/>
            <w:vAlign w:val="center"/>
          </w:tcPr>
          <w:p w14:paraId="79CAFAA3">
            <w:pPr>
              <w:jc w:val="center"/>
              <w:rPr>
                <w:rFonts w:ascii="宋体" w:hAnsi="宋体" w:cs="宋体"/>
                <w:b/>
                <w:bCs/>
                <w:kern w:val="0"/>
                <w:sz w:val="32"/>
                <w:szCs w:val="32"/>
              </w:rPr>
            </w:pPr>
            <w:r>
              <w:rPr>
                <w:rFonts w:hint="eastAsia" w:ascii="宋体" w:hAnsi="宋体" w:cs="宋体"/>
                <w:b/>
                <w:bCs/>
                <w:kern w:val="0"/>
                <w:sz w:val="32"/>
                <w:szCs w:val="32"/>
              </w:rPr>
              <w:t>评价内容</w:t>
            </w:r>
          </w:p>
        </w:tc>
        <w:tc>
          <w:tcPr>
            <w:tcW w:w="2768" w:type="dxa"/>
            <w:shd w:val="clear" w:color="auto" w:fill="D9D9D9"/>
            <w:vAlign w:val="center"/>
          </w:tcPr>
          <w:p w14:paraId="50A4531C">
            <w:pPr>
              <w:jc w:val="center"/>
              <w:rPr>
                <w:rFonts w:ascii="宋体" w:hAnsi="宋体" w:cs="宋体"/>
                <w:b/>
                <w:bCs/>
                <w:kern w:val="0"/>
                <w:sz w:val="32"/>
                <w:szCs w:val="32"/>
              </w:rPr>
            </w:pPr>
            <w:r>
              <w:rPr>
                <w:rFonts w:hint="eastAsia" w:ascii="宋体" w:hAnsi="宋体" w:cs="宋体"/>
                <w:b/>
                <w:bCs/>
                <w:kern w:val="0"/>
                <w:sz w:val="32"/>
                <w:szCs w:val="32"/>
              </w:rPr>
              <w:t>分值</w:t>
            </w:r>
          </w:p>
        </w:tc>
        <w:tc>
          <w:tcPr>
            <w:tcW w:w="2768" w:type="dxa"/>
            <w:shd w:val="clear" w:color="auto" w:fill="D9D9D9"/>
            <w:vAlign w:val="center"/>
          </w:tcPr>
          <w:p w14:paraId="775D2B93">
            <w:pPr>
              <w:jc w:val="center"/>
              <w:rPr>
                <w:rFonts w:ascii="宋体" w:hAnsi="宋体" w:cs="宋体"/>
                <w:b/>
                <w:bCs/>
                <w:kern w:val="0"/>
                <w:sz w:val="32"/>
                <w:szCs w:val="32"/>
              </w:rPr>
            </w:pPr>
            <w:r>
              <w:rPr>
                <w:rFonts w:hint="eastAsia" w:ascii="宋体" w:hAnsi="宋体" w:cs="宋体"/>
                <w:b/>
                <w:bCs/>
                <w:kern w:val="0"/>
                <w:sz w:val="32"/>
                <w:szCs w:val="32"/>
              </w:rPr>
              <w:t>评价得分</w:t>
            </w:r>
          </w:p>
        </w:tc>
      </w:tr>
      <w:tr w14:paraId="5225C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52C6AD65">
            <w:pPr>
              <w:jc w:val="center"/>
              <w:rPr>
                <w:rFonts w:ascii="宋体" w:hAnsi="宋体" w:cs="宋体"/>
                <w:kern w:val="0"/>
                <w:sz w:val="32"/>
                <w:szCs w:val="32"/>
              </w:rPr>
            </w:pPr>
            <w:r>
              <w:rPr>
                <w:rFonts w:hint="eastAsia" w:ascii="宋体" w:hAnsi="宋体" w:cs="宋体"/>
                <w:kern w:val="0"/>
                <w:sz w:val="32"/>
                <w:szCs w:val="32"/>
              </w:rPr>
              <w:t>项目决策情况</w:t>
            </w:r>
          </w:p>
        </w:tc>
        <w:tc>
          <w:tcPr>
            <w:tcW w:w="2768" w:type="dxa"/>
            <w:vAlign w:val="center"/>
          </w:tcPr>
          <w:p w14:paraId="188D832E">
            <w:pPr>
              <w:jc w:val="center"/>
              <w:rPr>
                <w:rFonts w:ascii="宋体" w:hAnsi="宋体" w:cs="宋体"/>
                <w:kern w:val="0"/>
                <w:sz w:val="32"/>
                <w:szCs w:val="32"/>
              </w:rPr>
            </w:pPr>
            <w:r>
              <w:rPr>
                <w:rFonts w:hint="eastAsia" w:ascii="宋体" w:hAnsi="宋体" w:cs="宋体"/>
                <w:kern w:val="0"/>
                <w:sz w:val="32"/>
                <w:szCs w:val="32"/>
              </w:rPr>
              <w:t>10</w:t>
            </w:r>
          </w:p>
        </w:tc>
        <w:tc>
          <w:tcPr>
            <w:tcW w:w="2768" w:type="dxa"/>
            <w:vAlign w:val="center"/>
          </w:tcPr>
          <w:p w14:paraId="3E372749">
            <w:pPr>
              <w:jc w:val="center"/>
              <w:rPr>
                <w:rFonts w:ascii="宋体" w:hAnsi="宋体" w:cs="宋体"/>
                <w:kern w:val="0"/>
                <w:sz w:val="32"/>
                <w:szCs w:val="32"/>
              </w:rPr>
            </w:pPr>
            <w:r>
              <w:rPr>
                <w:rFonts w:hint="eastAsia" w:ascii="宋体" w:hAnsi="宋体" w:cs="宋体"/>
                <w:kern w:val="0"/>
                <w:sz w:val="32"/>
                <w:szCs w:val="32"/>
              </w:rPr>
              <w:t>8.88</w:t>
            </w:r>
          </w:p>
        </w:tc>
      </w:tr>
      <w:tr w14:paraId="05BC4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228D251D">
            <w:pPr>
              <w:jc w:val="center"/>
              <w:rPr>
                <w:rFonts w:ascii="宋体" w:hAnsi="宋体" w:cs="宋体"/>
                <w:kern w:val="0"/>
                <w:sz w:val="32"/>
                <w:szCs w:val="32"/>
              </w:rPr>
            </w:pPr>
            <w:r>
              <w:rPr>
                <w:rFonts w:hint="eastAsia" w:ascii="宋体" w:hAnsi="宋体" w:cs="宋体"/>
                <w:kern w:val="0"/>
                <w:sz w:val="32"/>
                <w:szCs w:val="32"/>
              </w:rPr>
              <w:t>项目过程情况</w:t>
            </w:r>
          </w:p>
        </w:tc>
        <w:tc>
          <w:tcPr>
            <w:tcW w:w="2768" w:type="dxa"/>
            <w:vAlign w:val="center"/>
          </w:tcPr>
          <w:p w14:paraId="55021F07">
            <w:pPr>
              <w:jc w:val="center"/>
              <w:rPr>
                <w:rFonts w:ascii="宋体" w:hAnsi="宋体" w:cs="宋体"/>
                <w:kern w:val="0"/>
                <w:sz w:val="32"/>
                <w:szCs w:val="32"/>
              </w:rPr>
            </w:pPr>
            <w:r>
              <w:rPr>
                <w:rFonts w:hint="eastAsia" w:ascii="宋体" w:hAnsi="宋体" w:cs="宋体"/>
                <w:kern w:val="0"/>
                <w:sz w:val="32"/>
                <w:szCs w:val="32"/>
              </w:rPr>
              <w:t>20</w:t>
            </w:r>
          </w:p>
        </w:tc>
        <w:tc>
          <w:tcPr>
            <w:tcW w:w="2768" w:type="dxa"/>
            <w:vAlign w:val="center"/>
          </w:tcPr>
          <w:p w14:paraId="1EBAF23D">
            <w:pPr>
              <w:jc w:val="center"/>
              <w:rPr>
                <w:rFonts w:ascii="宋体" w:hAnsi="宋体" w:cs="宋体"/>
                <w:kern w:val="0"/>
                <w:sz w:val="32"/>
                <w:szCs w:val="32"/>
              </w:rPr>
            </w:pPr>
            <w:r>
              <w:rPr>
                <w:rFonts w:hint="eastAsia" w:ascii="宋体" w:hAnsi="宋体" w:cs="宋体"/>
                <w:kern w:val="0"/>
                <w:sz w:val="32"/>
                <w:szCs w:val="32"/>
              </w:rPr>
              <w:t>15.94</w:t>
            </w:r>
          </w:p>
        </w:tc>
      </w:tr>
      <w:tr w14:paraId="5758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24E64A97">
            <w:pPr>
              <w:jc w:val="center"/>
              <w:rPr>
                <w:rFonts w:ascii="宋体" w:hAnsi="宋体" w:cs="宋体"/>
                <w:kern w:val="0"/>
                <w:sz w:val="32"/>
                <w:szCs w:val="32"/>
              </w:rPr>
            </w:pPr>
            <w:r>
              <w:rPr>
                <w:rFonts w:hint="eastAsia" w:ascii="宋体" w:hAnsi="宋体" w:cs="宋体"/>
                <w:kern w:val="0"/>
                <w:sz w:val="32"/>
                <w:szCs w:val="32"/>
              </w:rPr>
              <w:t>项目产出情况</w:t>
            </w:r>
          </w:p>
        </w:tc>
        <w:tc>
          <w:tcPr>
            <w:tcW w:w="2768" w:type="dxa"/>
            <w:vAlign w:val="center"/>
          </w:tcPr>
          <w:p w14:paraId="61B24CBC">
            <w:pPr>
              <w:jc w:val="center"/>
              <w:rPr>
                <w:rFonts w:ascii="宋体" w:hAnsi="宋体" w:cs="宋体"/>
                <w:kern w:val="0"/>
                <w:sz w:val="32"/>
                <w:szCs w:val="32"/>
              </w:rPr>
            </w:pPr>
            <w:r>
              <w:rPr>
                <w:rFonts w:hint="eastAsia" w:ascii="宋体" w:hAnsi="宋体" w:cs="宋体"/>
                <w:kern w:val="0"/>
                <w:sz w:val="32"/>
                <w:szCs w:val="32"/>
              </w:rPr>
              <w:t>40</w:t>
            </w:r>
          </w:p>
        </w:tc>
        <w:tc>
          <w:tcPr>
            <w:tcW w:w="2768" w:type="dxa"/>
            <w:vAlign w:val="center"/>
          </w:tcPr>
          <w:p w14:paraId="1B6E30F0">
            <w:pPr>
              <w:jc w:val="center"/>
              <w:rPr>
                <w:rFonts w:ascii="宋体" w:hAnsi="宋体" w:cs="宋体"/>
                <w:kern w:val="0"/>
                <w:sz w:val="32"/>
                <w:szCs w:val="32"/>
              </w:rPr>
            </w:pPr>
            <w:r>
              <w:rPr>
                <w:rFonts w:hint="eastAsia" w:ascii="宋体" w:hAnsi="宋体" w:cs="宋体"/>
                <w:kern w:val="0"/>
                <w:sz w:val="32"/>
                <w:szCs w:val="32"/>
              </w:rPr>
              <w:t>34.50</w:t>
            </w:r>
          </w:p>
        </w:tc>
      </w:tr>
      <w:tr w14:paraId="2F9BD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1F2D8C71">
            <w:pPr>
              <w:jc w:val="center"/>
              <w:rPr>
                <w:rFonts w:ascii="宋体" w:hAnsi="宋体" w:cs="宋体"/>
                <w:kern w:val="0"/>
                <w:sz w:val="32"/>
                <w:szCs w:val="32"/>
              </w:rPr>
            </w:pPr>
            <w:r>
              <w:rPr>
                <w:rFonts w:hint="eastAsia" w:ascii="宋体" w:hAnsi="宋体" w:cs="宋体"/>
                <w:kern w:val="0"/>
                <w:sz w:val="32"/>
                <w:szCs w:val="32"/>
              </w:rPr>
              <w:t>项目效益情况</w:t>
            </w:r>
          </w:p>
        </w:tc>
        <w:tc>
          <w:tcPr>
            <w:tcW w:w="2768" w:type="dxa"/>
            <w:vAlign w:val="center"/>
          </w:tcPr>
          <w:p w14:paraId="6C578C1A">
            <w:pPr>
              <w:jc w:val="center"/>
              <w:rPr>
                <w:rFonts w:ascii="宋体" w:hAnsi="宋体" w:cs="宋体"/>
                <w:kern w:val="0"/>
                <w:sz w:val="32"/>
                <w:szCs w:val="32"/>
              </w:rPr>
            </w:pPr>
            <w:r>
              <w:rPr>
                <w:rFonts w:hint="eastAsia" w:ascii="宋体" w:hAnsi="宋体" w:cs="宋体"/>
                <w:kern w:val="0"/>
                <w:sz w:val="32"/>
                <w:szCs w:val="32"/>
              </w:rPr>
              <w:t>30</w:t>
            </w:r>
          </w:p>
        </w:tc>
        <w:tc>
          <w:tcPr>
            <w:tcW w:w="2768" w:type="dxa"/>
            <w:vAlign w:val="center"/>
          </w:tcPr>
          <w:p w14:paraId="26BC7C19">
            <w:pPr>
              <w:jc w:val="center"/>
              <w:rPr>
                <w:rFonts w:ascii="宋体" w:hAnsi="宋体" w:cs="宋体"/>
                <w:kern w:val="0"/>
                <w:sz w:val="32"/>
                <w:szCs w:val="32"/>
              </w:rPr>
            </w:pPr>
            <w:r>
              <w:rPr>
                <w:rFonts w:hint="eastAsia" w:ascii="宋体" w:hAnsi="宋体" w:cs="宋体"/>
                <w:kern w:val="0"/>
                <w:sz w:val="32"/>
                <w:szCs w:val="32"/>
              </w:rPr>
              <w:t>24.60</w:t>
            </w:r>
          </w:p>
        </w:tc>
      </w:tr>
      <w:tr w14:paraId="7039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11A65AB2">
            <w:pPr>
              <w:jc w:val="center"/>
              <w:rPr>
                <w:rFonts w:ascii="宋体" w:hAnsi="宋体" w:cs="宋体"/>
                <w:kern w:val="0"/>
                <w:sz w:val="32"/>
                <w:szCs w:val="32"/>
              </w:rPr>
            </w:pPr>
            <w:r>
              <w:rPr>
                <w:rFonts w:hint="eastAsia" w:ascii="宋体" w:hAnsi="宋体" w:cs="宋体"/>
                <w:kern w:val="0"/>
                <w:sz w:val="32"/>
                <w:szCs w:val="32"/>
              </w:rPr>
              <w:t>综合得分</w:t>
            </w:r>
          </w:p>
        </w:tc>
        <w:tc>
          <w:tcPr>
            <w:tcW w:w="2768" w:type="dxa"/>
            <w:vAlign w:val="center"/>
          </w:tcPr>
          <w:p w14:paraId="6ED5AE3F">
            <w:pPr>
              <w:jc w:val="center"/>
              <w:rPr>
                <w:rFonts w:ascii="宋体" w:hAnsi="宋体" w:cs="宋体"/>
                <w:kern w:val="0"/>
                <w:sz w:val="32"/>
                <w:szCs w:val="32"/>
              </w:rPr>
            </w:pPr>
            <w:r>
              <w:rPr>
                <w:rFonts w:hint="eastAsia" w:ascii="宋体" w:hAnsi="宋体" w:cs="宋体"/>
                <w:kern w:val="0"/>
                <w:sz w:val="32"/>
                <w:szCs w:val="32"/>
              </w:rPr>
              <w:t>100</w:t>
            </w:r>
          </w:p>
        </w:tc>
        <w:tc>
          <w:tcPr>
            <w:tcW w:w="2768" w:type="dxa"/>
            <w:vAlign w:val="center"/>
          </w:tcPr>
          <w:p w14:paraId="6619A399">
            <w:pPr>
              <w:jc w:val="center"/>
              <w:rPr>
                <w:rFonts w:ascii="宋体" w:hAnsi="宋体" w:cs="宋体"/>
                <w:kern w:val="0"/>
                <w:sz w:val="32"/>
                <w:szCs w:val="32"/>
              </w:rPr>
            </w:pPr>
            <w:r>
              <w:rPr>
                <w:rFonts w:hint="eastAsia" w:ascii="宋体" w:hAnsi="宋体" w:cs="宋体"/>
                <w:kern w:val="0"/>
                <w:sz w:val="32"/>
                <w:szCs w:val="32"/>
              </w:rPr>
              <w:t>83.92</w:t>
            </w:r>
          </w:p>
        </w:tc>
      </w:tr>
      <w:tr w14:paraId="06D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850" w:hRule="atLeast"/>
          <w:jc w:val="center"/>
        </w:trPr>
        <w:tc>
          <w:tcPr>
            <w:tcW w:w="2949" w:type="dxa"/>
            <w:vAlign w:val="center"/>
          </w:tcPr>
          <w:p w14:paraId="34911A05">
            <w:pPr>
              <w:jc w:val="center"/>
              <w:rPr>
                <w:rFonts w:ascii="宋体" w:hAnsi="宋体" w:cs="宋体"/>
                <w:kern w:val="0"/>
                <w:sz w:val="32"/>
                <w:szCs w:val="32"/>
              </w:rPr>
            </w:pPr>
            <w:r>
              <w:rPr>
                <w:rFonts w:hint="eastAsia" w:ascii="宋体" w:hAnsi="宋体" w:cs="宋体"/>
                <w:kern w:val="0"/>
                <w:sz w:val="32"/>
                <w:szCs w:val="32"/>
              </w:rPr>
              <w:t>绩效评定级别</w:t>
            </w:r>
          </w:p>
        </w:tc>
        <w:tc>
          <w:tcPr>
            <w:tcW w:w="5536" w:type="dxa"/>
            <w:gridSpan w:val="2"/>
            <w:vAlign w:val="center"/>
          </w:tcPr>
          <w:p w14:paraId="09AE8046">
            <w:pPr>
              <w:pStyle w:val="4"/>
              <w:adjustRightInd w:val="0"/>
              <w:snapToGrid w:val="0"/>
              <w:spacing w:before="120" w:after="60" w:line="300" w:lineRule="auto"/>
              <w:ind w:firstLine="0"/>
              <w:jc w:val="center"/>
              <w:rPr>
                <w:rFonts w:ascii="宋体" w:hAnsi="宋体" w:cs="宋体"/>
                <w:sz w:val="32"/>
                <w:szCs w:val="32"/>
              </w:rPr>
            </w:pPr>
            <w:r>
              <w:rPr>
                <w:rFonts w:hint="eastAsia" w:ascii="宋体" w:hAnsi="宋体" w:cs="宋体"/>
                <w:kern w:val="0"/>
                <w:sz w:val="32"/>
                <w:szCs w:val="32"/>
              </w:rPr>
              <w:t>良</w:t>
            </w:r>
          </w:p>
        </w:tc>
      </w:tr>
    </w:tbl>
    <w:p w14:paraId="5DF9BD55">
      <w:pPr>
        <w:pStyle w:val="2"/>
        <w:keepNext w:val="0"/>
        <w:keepLines w:val="0"/>
        <w:spacing w:line="360" w:lineRule="auto"/>
        <w:ind w:left="0"/>
        <w:rPr>
          <w:rFonts w:hint="eastAsia" w:hAnsi="仿宋_GB2312" w:cs="仿宋_GB2312"/>
        </w:rPr>
      </w:pPr>
    </w:p>
    <w:p w14:paraId="5A7E510D">
      <w:pPr>
        <w:pStyle w:val="2"/>
        <w:keepNext w:val="0"/>
        <w:keepLines w:val="0"/>
        <w:spacing w:line="360" w:lineRule="auto"/>
        <w:ind w:left="0" w:firstLine="643" w:firstLineChars="200"/>
        <w:rPr>
          <w:rFonts w:hAnsi="仿宋_GB2312" w:cs="仿宋_GB2312"/>
        </w:rPr>
      </w:pPr>
    </w:p>
    <w:p w14:paraId="3D20A95E">
      <w:pPr>
        <w:pStyle w:val="2"/>
        <w:keepNext w:val="0"/>
        <w:keepLines w:val="0"/>
        <w:spacing w:line="600" w:lineRule="exact"/>
        <w:ind w:left="0" w:firstLine="643" w:firstLineChars="200"/>
        <w:rPr>
          <w:rFonts w:hAnsi="仿宋_GB2312" w:cs="仿宋_GB2312"/>
        </w:rPr>
      </w:pPr>
      <w:bookmarkStart w:id="52" w:name="_Toc207037038"/>
      <w:r>
        <w:rPr>
          <w:rFonts w:hint="eastAsia" w:hAnsi="仿宋_GB2312" w:cs="仿宋_GB2312"/>
        </w:rPr>
        <w:t>四、</w:t>
      </w:r>
      <w:bookmarkEnd w:id="35"/>
      <w:r>
        <w:rPr>
          <w:rFonts w:hint="eastAsia" w:hAnsi="仿宋_GB2312" w:cs="仿宋_GB2312"/>
        </w:rPr>
        <w:t>绩效评价指标分析</w:t>
      </w:r>
      <w:bookmarkEnd w:id="36"/>
      <w:bookmarkEnd w:id="47"/>
      <w:bookmarkEnd w:id="48"/>
      <w:bookmarkEnd w:id="49"/>
      <w:bookmarkEnd w:id="50"/>
      <w:bookmarkEnd w:id="51"/>
      <w:bookmarkEnd w:id="52"/>
    </w:p>
    <w:p w14:paraId="749A33F6">
      <w:pPr>
        <w:pStyle w:val="3"/>
        <w:keepNext w:val="0"/>
        <w:keepLines w:val="0"/>
        <w:spacing w:line="600" w:lineRule="exact"/>
        <w:rPr>
          <w:rFonts w:ascii="仿宋_GB2312" w:hAnsi="仿宋_GB2312" w:cs="仿宋_GB2312"/>
        </w:rPr>
      </w:pPr>
      <w:bookmarkStart w:id="53" w:name="_Toc26595"/>
      <w:bookmarkStart w:id="54" w:name="_Toc426226419"/>
      <w:bookmarkStart w:id="55" w:name="_Toc27270"/>
      <w:bookmarkStart w:id="56" w:name="_Toc365968755"/>
      <w:bookmarkStart w:id="57" w:name="_Toc426246563"/>
      <w:bookmarkStart w:id="58" w:name="_Toc426246481"/>
      <w:bookmarkStart w:id="59" w:name="_Toc207037039"/>
      <w:r>
        <w:rPr>
          <w:rFonts w:hint="eastAsia" w:ascii="仿宋_GB2312" w:hAnsi="仿宋_GB2312" w:cs="仿宋_GB2312"/>
        </w:rPr>
        <w:t>（一）</w:t>
      </w:r>
      <w:bookmarkEnd w:id="53"/>
      <w:bookmarkEnd w:id="54"/>
      <w:bookmarkEnd w:id="55"/>
      <w:bookmarkEnd w:id="56"/>
      <w:bookmarkEnd w:id="57"/>
      <w:bookmarkEnd w:id="58"/>
      <w:r>
        <w:rPr>
          <w:rFonts w:hint="eastAsia" w:ascii="仿宋_GB2312" w:hAnsi="仿宋_GB2312" w:cs="仿宋_GB2312"/>
        </w:rPr>
        <w:t>项目决策情况</w:t>
      </w:r>
      <w:bookmarkEnd w:id="59"/>
    </w:p>
    <w:p w14:paraId="3E4682AD">
      <w:pPr>
        <w:spacing w:line="600" w:lineRule="exact"/>
        <w:ind w:firstLine="640" w:firstLineChars="200"/>
        <w:rPr>
          <w:rFonts w:ascii="仿宋_GB2312" w:hAnsi="仿宋_GB2312" w:eastAsia="仿宋_GB2312" w:cs="仿宋_GB2312"/>
          <w:sz w:val="32"/>
          <w:szCs w:val="32"/>
        </w:rPr>
      </w:pPr>
      <w:r>
        <w:rPr>
          <w:rFonts w:hint="eastAsia" w:ascii="仿宋_GB2312" w:hAnsi="仿宋" w:eastAsia="仿宋_GB2312" w:cs="Times New Roman"/>
          <w:sz w:val="32"/>
          <w:szCs w:val="32"/>
        </w:rPr>
        <w:t>1.项目立项评价分析</w:t>
      </w:r>
    </w:p>
    <w:p w14:paraId="15ABAB18">
      <w:pPr>
        <w:spacing w:line="600" w:lineRule="exact"/>
        <w:ind w:firstLine="640" w:firstLineChars="200"/>
        <w:rPr>
          <w:rFonts w:ascii="仿宋_GB2312" w:hAnsi="仿宋_GB2312" w:eastAsia="仿宋_GB2312" w:cs="仿宋_GB2312"/>
          <w:sz w:val="32"/>
          <w:szCs w:val="32"/>
          <w:lang w:val="zh-CN" w:bidi="ar"/>
        </w:rPr>
      </w:pPr>
      <w:r>
        <w:rPr>
          <w:rFonts w:hint="eastAsia" w:ascii="仿宋_GB2312" w:hAnsi="仿宋_GB2312" w:eastAsia="仿宋_GB2312" w:cs="仿宋_GB2312"/>
          <w:sz w:val="32"/>
          <w:szCs w:val="32"/>
          <w:lang w:val="zh-CN" w:bidi="ar"/>
        </w:rPr>
        <w:t>北京社院依据中共北京市委统一战线工作部《2024年北京统一战线教育培训班次计划》和《北京社会主义学院2024年工作要点》等文件，结合本单位《“十四五”（2021—2025年）事业发展规划》及《2024年工作要点》中关于北京社院教育培训工作开展要求，年度统一战线教育培训计划和实际需求，面向海外侨胞开展国情教育和中华文化研修工作，启动“中华文化教育培训”项目。于2023年11月15日召开2023年第26次院党组会议，讨论并通过了项目专项资金申报工作。</w:t>
      </w:r>
    </w:p>
    <w:p w14:paraId="5CB97CDB">
      <w:pPr>
        <w:spacing w:line="600" w:lineRule="exact"/>
        <w:ind w:firstLine="640" w:firstLineChars="200"/>
        <w:rPr>
          <w:rFonts w:ascii="仿宋_GB2312" w:hAnsi="仿宋_GB2312" w:eastAsia="仿宋_GB2312" w:cs="仿宋_GB2312"/>
          <w:sz w:val="32"/>
          <w:szCs w:val="32"/>
          <w:lang w:val="zh-CN" w:bidi="ar"/>
        </w:rPr>
      </w:pPr>
      <w:r>
        <w:rPr>
          <w:rFonts w:hint="eastAsia" w:ascii="仿宋_GB2312" w:hAnsi="仿宋_GB2312" w:eastAsia="仿宋_GB2312" w:cs="仿宋_GB2312"/>
          <w:sz w:val="32"/>
          <w:szCs w:val="32"/>
          <w:lang w:bidi="ar"/>
        </w:rPr>
        <w:t>该项目由北京社院</w:t>
      </w:r>
      <w:r>
        <w:rPr>
          <w:rFonts w:hint="eastAsia" w:ascii="仿宋_GB2312" w:hAnsi="仿宋_GB2312" w:eastAsia="仿宋_GB2312" w:cs="仿宋_GB2312"/>
          <w:sz w:val="32"/>
          <w:szCs w:val="32"/>
          <w:lang w:val="zh-CN" w:bidi="ar"/>
        </w:rPr>
        <w:t>文化交流工作处</w:t>
      </w:r>
      <w:r>
        <w:rPr>
          <w:rFonts w:hint="eastAsia" w:ascii="仿宋_GB2312" w:hAnsi="仿宋_GB2312" w:eastAsia="仿宋_GB2312" w:cs="仿宋_GB2312"/>
          <w:sz w:val="32"/>
          <w:szCs w:val="32"/>
          <w:lang w:bidi="ar"/>
        </w:rPr>
        <w:t>负责实施。</w:t>
      </w:r>
      <w:r>
        <w:rPr>
          <w:rFonts w:hint="eastAsia" w:ascii="仿宋_GB2312" w:eastAsia="仿宋_GB2312"/>
          <w:sz w:val="32"/>
          <w:szCs w:val="32"/>
        </w:rPr>
        <w:t>根据《中共北京市委办公厅关于印发〈北京社会主义学院职能配置、内设机构和人员编制规定〉的通知》，北京社院主要职责为培训民主党派和无党派人士、统一战线其他领域代表人士、统战干部，培养统一战线理论研究人才，承办市委、市政府举办的有关专题研讨班；组织开展马克思列宁主义、毛泽东思想、邓小平理论、“三个代表”重要思想、科学发展观、习近平新时代中国特色社会主义思想，以及党的统一战线理论和方针政策的研究和宣传，推进理论创新等。</w:t>
      </w:r>
    </w:p>
    <w:p w14:paraId="5158F109">
      <w:pPr>
        <w:pStyle w:val="5"/>
        <w:spacing w:line="600" w:lineRule="exact"/>
        <w:ind w:firstLine="640" w:firstLineChars="200"/>
        <w:rPr>
          <w:rFonts w:ascii="仿宋_GB2312" w:hAnsi="Times New Roman" w:eastAsia="仿宋_GB2312"/>
          <w:sz w:val="32"/>
          <w:szCs w:val="32"/>
        </w:rPr>
      </w:pPr>
      <w:r>
        <w:rPr>
          <w:rFonts w:hint="eastAsia" w:ascii="仿宋_GB2312" w:eastAsia="仿宋_GB2312"/>
          <w:sz w:val="32"/>
          <w:szCs w:val="32"/>
        </w:rPr>
        <w:t>评价认为</w:t>
      </w:r>
      <w:r>
        <w:rPr>
          <w:rFonts w:hint="eastAsia" w:ascii="仿宋_GB2312" w:hAnsi="Times New Roman" w:eastAsia="仿宋_GB2312"/>
          <w:sz w:val="32"/>
          <w:szCs w:val="32"/>
        </w:rPr>
        <w:t>，该项目具有一定立项必要性，</w:t>
      </w:r>
      <w:r>
        <w:rPr>
          <w:rFonts w:hint="eastAsia" w:ascii="仿宋_GB2312" w:hAnsi="Times New Roman" w:eastAsia="仿宋_GB2312" w:cs="黑体"/>
          <w:sz w:val="32"/>
          <w:szCs w:val="32"/>
        </w:rPr>
        <w:t>与</w:t>
      </w:r>
      <w:r>
        <w:rPr>
          <w:rFonts w:hint="eastAsia" w:ascii="仿宋_GB2312" w:hAnsi="Times New Roman" w:eastAsia="仿宋_GB2312"/>
          <w:sz w:val="32"/>
          <w:szCs w:val="32"/>
        </w:rPr>
        <w:t>北京社院</w:t>
      </w:r>
      <w:r>
        <w:rPr>
          <w:rFonts w:hint="eastAsia" w:ascii="仿宋_GB2312" w:hAnsi="Times New Roman" w:eastAsia="仿宋_GB2312" w:cs="黑体"/>
          <w:sz w:val="32"/>
          <w:szCs w:val="32"/>
        </w:rPr>
        <w:t>职责相符</w:t>
      </w:r>
      <w:r>
        <w:rPr>
          <w:rFonts w:hint="eastAsia" w:ascii="仿宋_GB2312" w:hAnsi="Times New Roman" w:eastAsia="仿宋_GB2312"/>
          <w:sz w:val="32"/>
          <w:szCs w:val="32"/>
        </w:rPr>
        <w:t>，与单位十四五中长期规划及2024年度工作要点中工作任务安排相一致。属于公共财政</w:t>
      </w:r>
      <w:r>
        <w:rPr>
          <w:rFonts w:hint="eastAsia" w:ascii="仿宋_GB2312" w:eastAsia="仿宋_GB2312"/>
          <w:sz w:val="32"/>
          <w:szCs w:val="32"/>
        </w:rPr>
        <w:t>支持范围，项目申请、设立过程较为规范完整。</w:t>
      </w:r>
    </w:p>
    <w:p w14:paraId="496262CC">
      <w:pPr>
        <w:spacing w:line="600" w:lineRule="exact"/>
        <w:ind w:firstLine="640" w:firstLineChars="200"/>
        <w:rPr>
          <w:rFonts w:ascii="仿宋_GB2312" w:hAnsi="仿宋" w:eastAsia="仿宋_GB2312" w:cs="Times New Roman"/>
          <w:sz w:val="32"/>
          <w:szCs w:val="32"/>
        </w:rPr>
      </w:pPr>
      <w:r>
        <w:rPr>
          <w:rFonts w:hint="eastAsia" w:ascii="仿宋_GB2312" w:hAnsi="仿宋_GB2312" w:eastAsia="仿宋_GB2312" w:cs="仿宋_GB2312"/>
          <w:sz w:val="32"/>
          <w:szCs w:val="32"/>
        </w:rPr>
        <w:t>2.</w:t>
      </w:r>
      <w:r>
        <w:rPr>
          <w:rFonts w:hint="eastAsia" w:ascii="仿宋_GB2312" w:hAnsi="仿宋" w:eastAsia="仿宋_GB2312" w:cs="Times New Roman"/>
          <w:sz w:val="32"/>
          <w:szCs w:val="32"/>
        </w:rPr>
        <w:t>绩效目标评价分析</w:t>
      </w:r>
    </w:p>
    <w:p w14:paraId="2E39BB85">
      <w:pPr>
        <w:spacing w:line="60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本项目实施目</w:t>
      </w:r>
      <w:r>
        <w:rPr>
          <w:rFonts w:hint="eastAsia" w:ascii="仿宋_GB2312" w:eastAsia="仿宋_GB2312"/>
          <w:sz w:val="32"/>
          <w:szCs w:val="32"/>
        </w:rPr>
        <w:t>标为把深入学习贯彻习近平新时代中国特色社会主义思想作为主题主线，确定以爱国主义为宗旨，以服务海外统战为目标，立足中华文化根基，开展国情和文化研修，讲述人类命运共同体理念和中华优秀传统文化等内容，激发海外学员的家国情怀，铸牢中华民族共同体意识。增进对中华文化的认识，传承和弘扬中华文化，增强中华文化自信，推动共同民族认知，服务于构筑中华民族共同体与人类命运共同体的伟大实践，讲好北京故事、传播好北京声音，提高中华文化学院的学术影响力，提升中华文化学院工作水平。</w:t>
      </w:r>
      <w:r>
        <w:rPr>
          <w:rFonts w:hint="eastAsia" w:ascii="仿宋_GB2312" w:hAnsi="仿宋_GB2312" w:eastAsia="仿宋_GB2312" w:cs="仿宋_GB2312"/>
          <w:sz w:val="32"/>
          <w:szCs w:val="32"/>
        </w:rPr>
        <w:t>北京社院</w:t>
      </w:r>
      <w:r>
        <w:rPr>
          <w:rFonts w:hint="eastAsia" w:ascii="仿宋_GB2312" w:eastAsia="仿宋_GB2312"/>
          <w:sz w:val="32"/>
          <w:szCs w:val="32"/>
        </w:rPr>
        <w:t>基于自身职能定位及项目管理经验的相关要求设置的项目绩效目标，分解了产出指标和效果指标，具体产出指标设定较为细化、量化、具体可衡量。</w:t>
      </w:r>
    </w:p>
    <w:p w14:paraId="2A5CBBD1">
      <w:pPr>
        <w:spacing w:line="600" w:lineRule="exact"/>
        <w:ind w:firstLine="640" w:firstLineChars="200"/>
        <w:rPr>
          <w:ins w:id="0" w:author="Administrator" w:date="2025-08-25T14:20:00Z"/>
          <w:rFonts w:ascii="仿宋_GB2312" w:eastAsia="仿宋_GB2312"/>
          <w:sz w:val="32"/>
          <w:szCs w:val="32"/>
        </w:rPr>
      </w:pPr>
      <w:r>
        <w:rPr>
          <w:rFonts w:hint="eastAsia" w:ascii="仿宋_GB2312" w:eastAsia="仿宋_GB2312"/>
          <w:sz w:val="32"/>
          <w:szCs w:val="32"/>
        </w:rPr>
        <w:t>评价认为，该项目总体绩效目标设立符合北京社院实际需求，项目总体目标和阶段目标符合学院实际，通过北京社院的努力能够实现。</w:t>
      </w:r>
    </w:p>
    <w:p w14:paraId="7771D673">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 w:eastAsia="仿宋_GB2312" w:cs="Times New Roman"/>
          <w:sz w:val="32"/>
          <w:szCs w:val="32"/>
        </w:rPr>
        <w:t>资金投入评价分析</w:t>
      </w:r>
    </w:p>
    <w:p w14:paraId="6109EF82">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北京社院考虑实际需求后确定实施内容，根据相关经费支出标准，分别从差旅费、租赁费、劳务费和培训费等科目对项目资金进行了预算测算，确定项目预算申报金额后，执行了财政预算项目评审程序。</w:t>
      </w:r>
      <w:r>
        <w:rPr>
          <w:rFonts w:hint="eastAsia" w:ascii="仿宋_GB2312" w:hAnsi="仿宋" w:eastAsia="仿宋_GB2312" w:cs="Times New Roman"/>
          <w:sz w:val="32"/>
          <w:szCs w:val="32"/>
          <w:lang w:val="en-GB"/>
        </w:rPr>
        <w:t>2023年10月25日</w:t>
      </w:r>
      <w:r>
        <w:rPr>
          <w:rFonts w:hint="eastAsia" w:ascii="仿宋_GB2312" w:hAnsi="仿宋" w:eastAsia="仿宋_GB2312" w:cs="Times New Roman"/>
          <w:sz w:val="32"/>
          <w:szCs w:val="32"/>
        </w:rPr>
        <w:t>，出具《项目预算评审报告》。项目申报总预算55.27万元，参考市场价格，经过</w:t>
      </w:r>
      <w:r>
        <w:rPr>
          <w:rFonts w:ascii="仿宋_GB2312" w:hAnsi="仿宋" w:eastAsia="仿宋_GB2312" w:cs="Times New Roman"/>
          <w:sz w:val="32"/>
          <w:szCs w:val="32"/>
        </w:rPr>
        <w:t>评审后，</w:t>
      </w:r>
      <w:r>
        <w:rPr>
          <w:rFonts w:hint="eastAsia" w:ascii="仿宋_GB2312" w:hAnsi="仿宋" w:eastAsia="仿宋_GB2312" w:cs="Times New Roman"/>
          <w:sz w:val="32"/>
          <w:szCs w:val="32"/>
        </w:rPr>
        <w:t>审定预算55.27万元。</w:t>
      </w:r>
    </w:p>
    <w:p w14:paraId="253F230B">
      <w:pPr>
        <w:spacing w:line="600" w:lineRule="exact"/>
        <w:ind w:firstLine="640" w:firstLineChars="200"/>
      </w:pPr>
      <w:r>
        <w:rPr>
          <w:rFonts w:hint="eastAsia" w:ascii="仿宋_GB2312" w:hAnsi="仿宋" w:eastAsia="仿宋_GB2312" w:cs="Times New Roman"/>
          <w:sz w:val="32"/>
          <w:szCs w:val="32"/>
        </w:rPr>
        <w:t>评价认为，该项目预算编制较为完整细化，并经过了预算评审，项目预算内容与项目实施内容较为匹配。</w:t>
      </w:r>
    </w:p>
    <w:p w14:paraId="40473C6E">
      <w:pPr>
        <w:pStyle w:val="3"/>
        <w:keepNext w:val="0"/>
        <w:keepLines w:val="0"/>
        <w:spacing w:line="600" w:lineRule="exact"/>
        <w:rPr>
          <w:rFonts w:ascii="仿宋_GB2312" w:hAnsi="仿宋_GB2312" w:cs="仿宋_GB2312"/>
        </w:rPr>
      </w:pPr>
      <w:bookmarkStart w:id="60" w:name="_Toc365968756"/>
      <w:bookmarkStart w:id="61" w:name="_Toc1206"/>
      <w:bookmarkStart w:id="62" w:name="_Toc426226421"/>
      <w:bookmarkStart w:id="63" w:name="_Toc15258"/>
      <w:bookmarkStart w:id="64" w:name="_Toc426246482"/>
      <w:bookmarkStart w:id="65" w:name="_Toc426246564"/>
      <w:bookmarkStart w:id="66" w:name="_Toc207037040"/>
      <w:r>
        <w:rPr>
          <w:rFonts w:hint="eastAsia" w:ascii="仿宋_GB2312" w:hAnsi="仿宋_GB2312" w:cs="仿宋_GB2312"/>
        </w:rPr>
        <w:t>（二）</w:t>
      </w:r>
      <w:bookmarkEnd w:id="60"/>
      <w:bookmarkEnd w:id="61"/>
      <w:bookmarkEnd w:id="62"/>
      <w:bookmarkEnd w:id="63"/>
      <w:bookmarkEnd w:id="64"/>
      <w:bookmarkEnd w:id="65"/>
      <w:r>
        <w:rPr>
          <w:rFonts w:hint="eastAsia" w:ascii="仿宋_GB2312" w:hAnsi="仿宋_GB2312" w:cs="仿宋_GB2312"/>
        </w:rPr>
        <w:t>项目过程情况</w:t>
      </w:r>
      <w:bookmarkEnd w:id="66"/>
    </w:p>
    <w:p w14:paraId="4E238C25">
      <w:pPr>
        <w:spacing w:line="600" w:lineRule="exact"/>
        <w:ind w:firstLine="640" w:firstLineChars="200"/>
        <w:rPr>
          <w:rFonts w:ascii="仿宋_GB2312" w:hAnsi="仿宋_GB2312" w:eastAsia="仿宋_GB2312" w:cs="仿宋_GB2312"/>
          <w:sz w:val="32"/>
          <w:szCs w:val="32"/>
        </w:rPr>
      </w:pPr>
      <w:bookmarkStart w:id="67" w:name="_Toc426226423"/>
      <w:r>
        <w:rPr>
          <w:rFonts w:hint="eastAsia" w:ascii="仿宋_GB2312" w:hAnsi="仿宋_GB2312" w:eastAsia="仿宋_GB2312" w:cs="仿宋_GB2312"/>
          <w:sz w:val="32"/>
          <w:szCs w:val="32"/>
        </w:rPr>
        <w:t>1.资金管理评价分析</w:t>
      </w:r>
    </w:p>
    <w:p w14:paraId="31EE5DC6">
      <w:pPr>
        <w:spacing w:line="600" w:lineRule="exact"/>
        <w:ind w:firstLine="640" w:firstLineChars="200"/>
        <w:rPr>
          <w:rFonts w:ascii="仿宋_GB2312" w:hAnsi="仿宋" w:eastAsia="仿宋_GB2312" w:cs="Times New Roman"/>
          <w:sz w:val="32"/>
          <w:szCs w:val="32"/>
        </w:rPr>
      </w:pPr>
      <w:r>
        <w:rPr>
          <w:rFonts w:hint="eastAsia" w:ascii="仿宋_GB2312" w:hAnsi="Arial" w:eastAsia="仿宋_GB2312" w:cs="仿宋_GB2312"/>
          <w:sz w:val="32"/>
          <w:szCs w:val="32"/>
        </w:rPr>
        <w:t>该项目年初申请预算总投入资金</w:t>
      </w:r>
      <w:r>
        <w:rPr>
          <w:rFonts w:hint="eastAsia" w:ascii="仿宋_GB2312" w:hAnsi="仿宋" w:eastAsia="仿宋_GB2312" w:cs="Times New Roman"/>
          <w:sz w:val="32"/>
          <w:szCs w:val="32"/>
        </w:rPr>
        <w:t>55.27</w:t>
      </w:r>
      <w:r>
        <w:rPr>
          <w:rFonts w:hint="eastAsia" w:ascii="仿宋_GB2312" w:hAnsi="Arial" w:eastAsia="仿宋_GB2312" w:cs="仿宋_GB2312"/>
          <w:sz w:val="32"/>
          <w:szCs w:val="32"/>
        </w:rPr>
        <w:t>万元</w:t>
      </w:r>
      <w:r>
        <w:rPr>
          <w:rFonts w:hint="eastAsia" w:ascii="仿宋_GB2312" w:hAnsi="仿宋_GB2312" w:eastAsia="仿宋_GB2312" w:cs="仿宋_GB2312"/>
          <w:sz w:val="32"/>
          <w:szCs w:val="32"/>
        </w:rPr>
        <w:t>，全部来源于财政拨款，经年中核减后项目资金为37.5万元。截至</w:t>
      </w:r>
      <w:r>
        <w:rPr>
          <w:rFonts w:hint="eastAsia" w:ascii="仿宋_GB2312" w:hAnsi="仿宋_GB2312" w:eastAsia="仿宋_GB2312" w:cs="仿宋_GB2312"/>
          <w:color w:val="000000"/>
          <w:sz w:val="32"/>
          <w:szCs w:val="32"/>
        </w:rPr>
        <w:t>2024年12月31日，资金到位率100%。</w:t>
      </w:r>
      <w:r>
        <w:rPr>
          <w:rFonts w:hint="eastAsia" w:ascii="仿宋_GB2312" w:hAnsi="仿宋_GB2312" w:eastAsia="仿宋_GB2312" w:cs="仿宋_GB2312"/>
          <w:sz w:val="32"/>
          <w:szCs w:val="32"/>
        </w:rPr>
        <w:t>实际支出资金36.75万元。项目年度资金执行率98%</w:t>
      </w:r>
      <w:r>
        <w:rPr>
          <w:rFonts w:hint="eastAsia" w:ascii="仿宋_GB2312" w:eastAsia="仿宋_GB2312"/>
          <w:kern w:val="32"/>
          <w:sz w:val="32"/>
          <w:szCs w:val="32"/>
        </w:rPr>
        <w:t>，到位</w:t>
      </w:r>
      <w:r>
        <w:rPr>
          <w:rFonts w:hint="eastAsia" w:ascii="仿宋_GB2312" w:hAnsi="仿宋_GB2312" w:eastAsia="仿宋_GB2312" w:cs="仿宋_GB2312"/>
          <w:sz w:val="32"/>
          <w:szCs w:val="32"/>
        </w:rPr>
        <w:t>结余资金0.75万元，结余原因为课酬等</w:t>
      </w:r>
      <w:r>
        <w:rPr>
          <w:rFonts w:ascii="仿宋_GB2312" w:hAnsi="仿宋_GB2312" w:eastAsia="仿宋_GB2312" w:cs="仿宋_GB2312"/>
          <w:sz w:val="32"/>
          <w:szCs w:val="32"/>
        </w:rPr>
        <w:t>劳务费</w:t>
      </w:r>
      <w:r>
        <w:rPr>
          <w:rFonts w:hint="eastAsia" w:ascii="仿宋_GB2312" w:hAnsi="仿宋_GB2312" w:eastAsia="仿宋_GB2312" w:cs="仿宋_GB2312"/>
          <w:sz w:val="32"/>
          <w:szCs w:val="32"/>
        </w:rPr>
        <w:t>结余。</w:t>
      </w:r>
    </w:p>
    <w:p w14:paraId="281BC6AD">
      <w:pPr>
        <w:spacing w:line="600" w:lineRule="exact"/>
        <w:ind w:firstLine="640" w:firstLineChars="200"/>
        <w:rPr>
          <w:rFonts w:ascii="仿宋_GB2312" w:hAnsi="仿宋" w:eastAsia="仿宋_GB2312" w:cs="Times New Roman"/>
          <w:sz w:val="32"/>
          <w:szCs w:val="32"/>
        </w:rPr>
      </w:pPr>
      <w:r>
        <w:rPr>
          <w:rFonts w:hint="eastAsia" w:ascii="仿宋_GB2312" w:eastAsia="仿宋_GB2312"/>
          <w:sz w:val="32"/>
          <w:szCs w:val="32"/>
        </w:rPr>
        <w:t>在资金的使用和管控方面，严格按照有关财务规章制度规定的开支范围及开支标准执行。</w:t>
      </w:r>
      <w:r>
        <w:rPr>
          <w:rFonts w:hint="eastAsia" w:ascii="仿宋_GB2312" w:hAnsi="仿宋" w:eastAsia="仿宋_GB2312" w:cs="Times New Roman"/>
          <w:sz w:val="32"/>
          <w:szCs w:val="32"/>
        </w:rPr>
        <w:t>项目支出时，履行了相关手续和报批流程，填写《北京社会主义学院经费使用审批单》《支出证明单》。</w:t>
      </w:r>
      <w:r>
        <w:rPr>
          <w:rFonts w:hint="eastAsia" w:ascii="仿宋_GB2312" w:eastAsia="仿宋_GB2312"/>
          <w:sz w:val="32"/>
          <w:szCs w:val="32"/>
        </w:rPr>
        <w:t>能够做到项目资金独立核算、专款专用，财务人员对其所管理的资金使用合法性、合理性和有效性实行全面监督。</w:t>
      </w:r>
    </w:p>
    <w:p w14:paraId="39027C78">
      <w:pPr>
        <w:spacing w:line="600" w:lineRule="exact"/>
        <w:ind w:firstLine="640" w:firstLineChars="200"/>
        <w:rPr>
          <w:ins w:id="1" w:author="Administrator" w:date="2025-08-25T14:22:00Z"/>
          <w:rFonts w:ascii="仿宋_GB2312" w:hAnsi="仿宋" w:eastAsia="仿宋_GB2312" w:cs="Times New Roman"/>
          <w:sz w:val="32"/>
          <w:szCs w:val="32"/>
        </w:rPr>
      </w:pPr>
      <w:r>
        <w:rPr>
          <w:rFonts w:hint="eastAsia" w:ascii="仿宋_GB2312" w:hAnsi="仿宋" w:eastAsia="仿宋_GB2312" w:cs="Times New Roman"/>
          <w:sz w:val="32"/>
          <w:szCs w:val="32"/>
        </w:rPr>
        <w:t>评价认为，该项目预算经费进行了预算评审，资金到位及时。在实际执行过程中，北京社院基本按照项目预算执行，资金使用审批程序及手续较为完整。</w:t>
      </w:r>
    </w:p>
    <w:bookmarkEnd w:id="67"/>
    <w:p w14:paraId="573203C1">
      <w:pPr>
        <w:spacing w:line="600" w:lineRule="exact"/>
        <w:ind w:firstLine="640" w:firstLineChars="200"/>
        <w:rPr>
          <w:rFonts w:ascii="仿宋_GB2312" w:hAnsi="仿宋_GB2312" w:eastAsia="仿宋_GB2312" w:cs="仿宋_GB2312"/>
          <w:sz w:val="32"/>
          <w:szCs w:val="32"/>
        </w:rPr>
      </w:pPr>
      <w:bookmarkStart w:id="68" w:name="_Toc426226424"/>
      <w:bookmarkStart w:id="69" w:name="_Toc365968757"/>
      <w:r>
        <w:rPr>
          <w:rFonts w:hint="eastAsia" w:ascii="仿宋_GB2312" w:hAnsi="仿宋_GB2312" w:eastAsia="仿宋_GB2312" w:cs="仿宋_GB2312"/>
          <w:sz w:val="32"/>
          <w:szCs w:val="32"/>
        </w:rPr>
        <w:t>2.组织实施</w:t>
      </w:r>
      <w:bookmarkEnd w:id="68"/>
      <w:r>
        <w:rPr>
          <w:rFonts w:hint="eastAsia" w:ascii="仿宋_GB2312" w:hAnsi="仿宋_GB2312" w:eastAsia="仿宋_GB2312" w:cs="仿宋_GB2312"/>
          <w:sz w:val="32"/>
          <w:szCs w:val="32"/>
        </w:rPr>
        <w:t>评价分析</w:t>
      </w:r>
    </w:p>
    <w:p w14:paraId="44E2AEF1">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（1）制度建设情况</w:t>
      </w:r>
    </w:p>
    <w:p w14:paraId="4449CB19">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为加强内部管理水平及财务管理，提高资金使用效益，北京社院编写《内部控制手册》及《内部控制制度汇编》</w:t>
      </w:r>
      <w:r>
        <w:rPr>
          <w:rFonts w:hint="eastAsia" w:ascii="仿宋_GB2312" w:eastAsia="仿宋_GB2312"/>
          <w:sz w:val="32"/>
          <w:szCs w:val="32"/>
        </w:rPr>
        <w:t>，</w:t>
      </w:r>
      <w:r>
        <w:rPr>
          <w:rFonts w:hint="eastAsia" w:ascii="仿宋_GB2312" w:hAnsi="仿宋" w:eastAsia="仿宋_GB2312" w:cs="Times New Roman"/>
          <w:sz w:val="32"/>
          <w:szCs w:val="32"/>
        </w:rPr>
        <w:t>主要内容包括单位层面内部控制、预算业务控制及收支业务控制，大额支出管理等。并依据《北京市市级党政机关差旅费管理办法》《北京市市级党政机关事业单位会议费管理办法》《北京市市级党政机关事业单位培训费管理办法》，及北京社院制定的《中共北京社会主义学院党组“三重一大”事项集体决策制度实施细则》《</w:t>
      </w:r>
      <w:bookmarkStart w:id="70" w:name="OLE_LINK7"/>
      <w:bookmarkStart w:id="71" w:name="OLE_LINK6"/>
      <w:r>
        <w:rPr>
          <w:rFonts w:hint="eastAsia" w:ascii="仿宋_GB2312" w:hAnsi="仿宋" w:eastAsia="仿宋_GB2312" w:cs="Times New Roman"/>
          <w:sz w:val="32"/>
          <w:szCs w:val="32"/>
        </w:rPr>
        <w:t>北京社会主义学院</w:t>
      </w:r>
      <w:bookmarkEnd w:id="70"/>
      <w:bookmarkEnd w:id="71"/>
      <w:r>
        <w:rPr>
          <w:rFonts w:hint="eastAsia" w:ascii="仿宋_GB2312" w:hAnsi="仿宋" w:eastAsia="仿宋_GB2312" w:cs="Times New Roman"/>
          <w:sz w:val="32"/>
          <w:szCs w:val="32"/>
        </w:rPr>
        <w:t>预算管理办法》《北京社会主义学院财务管理规定》《北京社会主义学院经费使用流程》《北京社会主义学院公务卡管理办法》《</w:t>
      </w:r>
      <w:bookmarkStart w:id="72" w:name="OLE_LINK8"/>
      <w:r>
        <w:rPr>
          <w:rFonts w:hint="eastAsia" w:ascii="仿宋_GB2312" w:hAnsi="仿宋" w:eastAsia="仿宋_GB2312" w:cs="Times New Roman"/>
          <w:sz w:val="32"/>
          <w:szCs w:val="32"/>
        </w:rPr>
        <w:t>北京社会主义学院</w:t>
      </w:r>
      <w:bookmarkEnd w:id="72"/>
      <w:r>
        <w:rPr>
          <w:rFonts w:hint="eastAsia" w:ascii="仿宋_GB2312" w:hAnsi="仿宋" w:eastAsia="仿宋_GB2312" w:cs="Times New Roman"/>
          <w:sz w:val="32"/>
          <w:szCs w:val="32"/>
        </w:rPr>
        <w:t>培训办班及会议活动服务保障管理办法》《北京社会主义学院合同管理办法》等相关制度执行。</w:t>
      </w:r>
    </w:p>
    <w:p w14:paraId="3ED60F1E">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评价认为，单位内部控制机制和财务管理制度基本健全，与预算收支及管理规范相关制度较为健全、完善，项目过程管理制度基本规范，能够对项目资金的安全性、有效性提供有力保障。</w:t>
      </w:r>
    </w:p>
    <w:p w14:paraId="3693C8A5">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（2）项目执行情况</w:t>
      </w:r>
    </w:p>
    <w:p w14:paraId="45976420">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该项目由北京社院文化交流工作处作为项目实施主体组织实施，场地主要在北京社会主义学院。项目实施前期发放学员（参访）手册、制定培训方案等，进行前期准备，项目实施中现场由北京社院文化交流工作处及其他单位的工作人员组织学员开展培训。</w:t>
      </w:r>
    </w:p>
    <w:p w14:paraId="0098BAFA">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评价认为，该项目具有明确工作目标，北</w:t>
      </w:r>
      <w:r>
        <w:rPr>
          <w:rFonts w:hint="eastAsia" w:ascii="仿宋_GB2312" w:hAnsi="仿宋_GB2312" w:eastAsia="仿宋_GB2312" w:cs="仿宋_GB2312"/>
          <w:kern w:val="0"/>
          <w:sz w:val="32"/>
          <w:szCs w:val="32"/>
        </w:rPr>
        <w:t>京社院作为项目实施单位，措施管理比较到</w:t>
      </w:r>
      <w:r>
        <w:rPr>
          <w:rFonts w:hint="eastAsia" w:ascii="仿宋_GB2312" w:hAnsi="仿宋" w:eastAsia="仿宋_GB2312" w:cs="Times New Roman"/>
          <w:sz w:val="32"/>
          <w:szCs w:val="32"/>
        </w:rPr>
        <w:t>位。</w:t>
      </w:r>
    </w:p>
    <w:p w14:paraId="3DFA2AA2">
      <w:pPr>
        <w:pStyle w:val="3"/>
        <w:keepNext w:val="0"/>
        <w:keepLines w:val="0"/>
        <w:spacing w:line="600" w:lineRule="exact"/>
        <w:rPr>
          <w:rFonts w:ascii="仿宋_GB2312" w:hAnsi="仿宋_GB2312" w:cs="仿宋_GB2312"/>
        </w:rPr>
      </w:pPr>
      <w:bookmarkStart w:id="73" w:name="_Toc426246565"/>
      <w:bookmarkStart w:id="74" w:name="_Toc426246483"/>
      <w:bookmarkStart w:id="75" w:name="_Toc2782"/>
      <w:bookmarkStart w:id="76" w:name="_Toc426226425"/>
      <w:bookmarkStart w:id="77" w:name="_Toc28109"/>
      <w:bookmarkStart w:id="78" w:name="_Toc207037041"/>
      <w:r>
        <w:rPr>
          <w:rFonts w:hint="eastAsia" w:ascii="仿宋_GB2312" w:hAnsi="仿宋_GB2312" w:cs="仿宋_GB2312"/>
        </w:rPr>
        <w:t>（三）</w:t>
      </w:r>
      <w:bookmarkEnd w:id="69"/>
      <w:bookmarkEnd w:id="73"/>
      <w:bookmarkEnd w:id="74"/>
      <w:bookmarkEnd w:id="75"/>
      <w:bookmarkEnd w:id="76"/>
      <w:bookmarkEnd w:id="77"/>
      <w:r>
        <w:rPr>
          <w:rFonts w:hint="eastAsia" w:ascii="仿宋_GB2312" w:hAnsi="仿宋_GB2312" w:cs="仿宋_GB2312"/>
        </w:rPr>
        <w:t>项目产出情况</w:t>
      </w:r>
      <w:bookmarkEnd w:id="78"/>
    </w:p>
    <w:p w14:paraId="591FE276">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1.产出数量情况分析</w:t>
      </w:r>
    </w:p>
    <w:p w14:paraId="35A3A4C0">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 xml:space="preserve">项目实施工作目标明确，项目设定数量指标为培训班次13次、参访团2个。截止到2024年12月31日，已完成举办培训班次11期，参访团2个。 </w:t>
      </w:r>
    </w:p>
    <w:p w14:paraId="0B7FA596">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2.产出质量情况分析</w:t>
      </w:r>
    </w:p>
    <w:p w14:paraId="49B8E6F4">
      <w:pPr>
        <w:spacing w:line="600" w:lineRule="exact"/>
        <w:ind w:firstLine="640" w:firstLineChars="200"/>
        <w:rPr>
          <w:ins w:id="2" w:author="Administrator" w:date="2025-08-25T14:23:00Z"/>
          <w:rFonts w:ascii="仿宋_GB2312" w:hAnsi="仿宋_GB2312" w:eastAsia="仿宋_GB2312" w:cs="仿宋_GB2312"/>
          <w:sz w:val="32"/>
          <w:szCs w:val="32"/>
        </w:rPr>
      </w:pPr>
      <w:r>
        <w:rPr>
          <w:rFonts w:hint="eastAsia" w:ascii="仿宋_GB2312" w:hAnsi="仿宋_GB2312" w:eastAsia="仿宋_GB2312" w:cs="仿宋_GB2312"/>
          <w:sz w:val="32"/>
          <w:szCs w:val="32"/>
        </w:rPr>
        <w:t>项目支出内容与市财政局批复较为一致，项目实施培训班及参访活动的培训参与度、培训覆盖率和培训合格率达到了年初设定的“≥95%”的绩效目标。通过举办各类培训班次，进一步学习贯彻党的二十大精神和习近平新时代中国特色社会主义思想，贯彻落实京津冀协同发展国家战略、《全国干部教育培训规划2023-2027年》等一系列文件精神，促进统战工作人员进一步解放思想、更新观念、开阔视野、放开胸怀，提高做好首都统战工作的能力素质。通过举办中华文化参访团等活动落实党的二十大关于加强两岸交流的精神，加强文化交流；增进了对祖国中华优秀传统文化的认识，传承和弘扬中华文化，增强中华文化自信，推动共同民族认知，服务于构筑中华民族共同体与人类命运共同体的伟大实践。</w:t>
      </w:r>
    </w:p>
    <w:p w14:paraId="7D6D5A57">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3.产出时效情况分析</w:t>
      </w:r>
    </w:p>
    <w:p w14:paraId="58D6E12D">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北京社院作为项目实施单位，基本能够按照时间节点完成相关工作。在各培训班及参访活动实施前，按照实际需求分别制定了详细的课程及活动日程安排</w:t>
      </w:r>
      <w:r>
        <w:rPr>
          <w:rFonts w:hint="eastAsia" w:ascii="仿宋_GB2312" w:hAnsi="仿宋" w:eastAsia="仿宋_GB2312" w:cs="Times New Roman"/>
          <w:sz w:val="32"/>
          <w:szCs w:val="32"/>
        </w:rPr>
        <w:t>，不存在培训时间冲突的情况</w:t>
      </w:r>
      <w:r>
        <w:rPr>
          <w:rFonts w:hint="eastAsia" w:ascii="仿宋_GB2312" w:hAnsi="仿宋_GB2312" w:eastAsia="仿宋_GB2312" w:cs="仿宋_GB2312"/>
          <w:sz w:val="32"/>
          <w:szCs w:val="32"/>
        </w:rPr>
        <w:t>。所有培训班次及活动均在2024年12月20日前完成，符合财政资金使用效率的要求。</w:t>
      </w:r>
    </w:p>
    <w:p w14:paraId="70B9B07D">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4.产出成本情况分析</w:t>
      </w:r>
    </w:p>
    <w:p w14:paraId="73E3BB05">
      <w:pPr>
        <w:spacing w:line="600" w:lineRule="exact"/>
        <w:ind w:firstLine="640" w:firstLineChars="200"/>
        <w:rPr>
          <w:ins w:id="3" w:author="Administrator" w:date="2025-08-25T14:24:00Z"/>
          <w:rStyle w:val="18"/>
        </w:rPr>
      </w:pPr>
      <w:r>
        <w:rPr>
          <w:rFonts w:hint="eastAsia" w:ascii="仿宋_GB2312" w:hAnsi="宋体" w:eastAsia="仿宋_GB2312"/>
          <w:bCs/>
          <w:sz w:val="32"/>
          <w:szCs w:val="32"/>
        </w:rPr>
        <w:t>该</w:t>
      </w:r>
      <w:r>
        <w:rPr>
          <w:rFonts w:hint="eastAsia" w:ascii="仿宋_GB2312" w:eastAsia="仿宋_GB2312"/>
          <w:sz w:val="32"/>
          <w:szCs w:val="32"/>
        </w:rPr>
        <w:t>项目</w:t>
      </w:r>
      <w:r>
        <w:rPr>
          <w:rFonts w:hint="eastAsia" w:ascii="仿宋_GB2312" w:hAnsi="仿宋_GB2312" w:eastAsia="仿宋_GB2312" w:cs="仿宋_GB2312"/>
          <w:sz w:val="32"/>
          <w:szCs w:val="32"/>
        </w:rPr>
        <w:t>批复年度资金37.5万元。截至2024年12月31日，实际支出金额36.75万元，项目</w:t>
      </w:r>
      <w:r>
        <w:rPr>
          <w:rFonts w:hint="eastAsia" w:ascii="仿宋_GB2312" w:eastAsia="仿宋_GB2312"/>
          <w:sz w:val="32"/>
          <w:szCs w:val="32"/>
        </w:rPr>
        <w:t>资金使用控制在总预算范围内。</w:t>
      </w:r>
      <w:r>
        <w:rPr>
          <w:rFonts w:hint="eastAsia" w:ascii="仿宋_GB2312" w:hAnsi="仿宋_GB2312" w:eastAsia="仿宋_GB2312" w:cs="仿宋_GB2312"/>
          <w:sz w:val="32"/>
          <w:szCs w:val="32"/>
        </w:rPr>
        <w:t>为保障财政资金支出的有效性和经济性，对项目预算进行了预算评审，成本控制措施基本有效。</w:t>
      </w:r>
      <w:bookmarkStart w:id="79" w:name="_Toc23411"/>
      <w:bookmarkStart w:id="80" w:name="_Toc4747"/>
      <w:bookmarkStart w:id="81" w:name="_Toc21065"/>
      <w:bookmarkStart w:id="82" w:name="_Toc2331"/>
      <w:bookmarkStart w:id="83" w:name="_Toc16232"/>
      <w:bookmarkStart w:id="84" w:name="_Toc17815"/>
      <w:bookmarkStart w:id="85" w:name="_Toc32543"/>
      <w:bookmarkStart w:id="86" w:name="_Toc31882"/>
      <w:bookmarkStart w:id="87" w:name="_Toc7921"/>
      <w:bookmarkStart w:id="88" w:name="_Toc9529"/>
      <w:bookmarkStart w:id="89" w:name="_Toc13341"/>
      <w:bookmarkStart w:id="90" w:name="_Toc23874"/>
      <w:bookmarkStart w:id="91" w:name="_Toc81"/>
      <w:bookmarkStart w:id="92" w:name="_Toc29253"/>
      <w:bookmarkStart w:id="93" w:name="_Toc31480"/>
      <w:bookmarkStart w:id="94" w:name="_Toc3633"/>
      <w:bookmarkStart w:id="95" w:name="_Toc32501"/>
      <w:bookmarkStart w:id="96" w:name="_Toc18873"/>
      <w:bookmarkStart w:id="97" w:name="_Toc24357"/>
      <w:bookmarkStart w:id="98" w:name="_Toc13373"/>
    </w:p>
    <w:p w14:paraId="285C205D">
      <w:pPr>
        <w:spacing w:line="600" w:lineRule="exact"/>
        <w:ind w:firstLine="640" w:firstLineChars="200"/>
        <w:rPr>
          <w:rFonts w:ascii="仿宋_GB2312" w:hAnsi="仿宋_GB2312" w:eastAsia="仿宋_GB2312" w:cs="仿宋_GB2312"/>
          <w:sz w:val="32"/>
          <w:szCs w:val="32"/>
        </w:rPr>
      </w:pPr>
      <w:bookmarkStart w:id="99" w:name="_Toc207037042"/>
      <w:r>
        <w:rPr>
          <w:rStyle w:val="18"/>
        </w:rPr>
        <w:t>（四）项目效益情况</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32716FC9">
      <w:pPr>
        <w:spacing w:line="600" w:lineRule="exact"/>
        <w:ind w:firstLine="640" w:firstLineChars="200"/>
        <w:rPr>
          <w:ins w:id="4" w:author="Administrator" w:date="2025-08-25T14:24:00Z"/>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该项目实施预计可以产生较好的社会效益及可持续影响效益。</w:t>
      </w:r>
    </w:p>
    <w:p w14:paraId="27CF9DC0">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1．项目实施效益情况分析</w:t>
      </w:r>
    </w:p>
    <w:p w14:paraId="66D5CEEC">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项目为常设性项目，其主要内容与文化交流工作处的工作职能和工作内容相匹配，人员保障、机构稳定，是文化交流工作处贯彻落实《社会主义学院工作条例》，发挥北京社会主义学院统一战线文化教育培训作用的一项重要举措。对海外代表人士的教育培训和人心回归的引导工作是一项基础性、长期性的工作，要以十年树木、百年树人的精神一直坚持下去。把教育培训和文化交流工作做在平时，才能在拓展民间外交渠道、在国际事务中传播好中国声音发挥应有作用。学院领导高度重视文化统战工作，从人力、物力、财力等多方面给予了充分保障，并且将不断完善相关制度建设，根据学院发展规划及年度工作安排，继续做好中华文化教育培训相关工作。</w:t>
      </w:r>
    </w:p>
    <w:p w14:paraId="7E433ACA">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2．满意度情况分析</w:t>
      </w:r>
    </w:p>
    <w:p w14:paraId="5F348008">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该项目实施得到了市委统战部和口内相关单位的积极支持和充分肯定，也以实际行动贯彻落实了《社会主义学院工作条例》</w:t>
      </w:r>
      <w:bookmarkStart w:id="100" w:name="OLE_LINK11"/>
      <w:bookmarkStart w:id="101" w:name="OLE_LINK12"/>
      <w:r>
        <w:rPr>
          <w:rFonts w:hint="eastAsia" w:ascii="仿宋_GB2312" w:hAnsi="仿宋_GB2312" w:eastAsia="仿宋_GB2312" w:cs="仿宋_GB2312"/>
          <w:color w:val="000000"/>
          <w:sz w:val="32"/>
          <w:szCs w:val="32"/>
        </w:rPr>
        <w:t>《全国干部教育培训规划2023-2027年》</w:t>
      </w:r>
      <w:bookmarkEnd w:id="100"/>
      <w:bookmarkEnd w:id="101"/>
      <w:r>
        <w:rPr>
          <w:rFonts w:hint="eastAsia" w:ascii="仿宋_GB2312" w:hAnsi="仿宋_GB2312" w:eastAsia="仿宋_GB2312" w:cs="仿宋_GB2312"/>
          <w:color w:val="000000"/>
          <w:sz w:val="32"/>
          <w:szCs w:val="32"/>
        </w:rPr>
        <w:t>等文件精神，体现了北京社会主义学院以爱国主义为宗旨，以文化共识增进政治共识为目标，以教育培训为抓手，打造中华文化研修“主阵地”的定位。截至目前，根据学员对教学组织、授课教授、后勤保障等方面的反馈，每期培训班的满意度均在90%以上，受训学员对项目开展情况反响良好。</w:t>
      </w:r>
    </w:p>
    <w:p w14:paraId="3DEAD23C">
      <w:pPr>
        <w:pStyle w:val="2"/>
        <w:keepNext w:val="0"/>
        <w:keepLines w:val="0"/>
        <w:spacing w:line="600" w:lineRule="exact"/>
        <w:ind w:left="0" w:firstLine="643" w:firstLineChars="200"/>
        <w:rPr>
          <w:rFonts w:hAnsi="仿宋_GB2312" w:cs="仿宋_GB2312"/>
        </w:rPr>
      </w:pPr>
      <w:bookmarkStart w:id="102" w:name="_Toc24685"/>
      <w:bookmarkStart w:id="103" w:name="_Toc429688603"/>
      <w:bookmarkStart w:id="104" w:name="_Toc429688493"/>
      <w:bookmarkStart w:id="105" w:name="_Toc28428"/>
      <w:bookmarkStart w:id="106" w:name="_Toc425537588"/>
      <w:bookmarkStart w:id="107" w:name="_Toc485981354"/>
      <w:bookmarkStart w:id="108" w:name="_Toc7584"/>
      <w:bookmarkStart w:id="109" w:name="_Toc207037043"/>
      <w:bookmarkStart w:id="110" w:name="_Toc426246567"/>
      <w:bookmarkStart w:id="111" w:name="_Toc365968759"/>
      <w:bookmarkStart w:id="112" w:name="_Toc426226427"/>
      <w:bookmarkStart w:id="113" w:name="_Toc426246485"/>
      <w:r>
        <w:rPr>
          <w:rFonts w:hint="eastAsia" w:hAnsi="仿宋_GB2312" w:cs="仿宋_GB2312"/>
        </w:rPr>
        <w:t>五、主要</w:t>
      </w:r>
      <w:r>
        <w:rPr>
          <w:rFonts w:hAnsi="仿宋_GB2312" w:cs="仿宋_GB2312"/>
        </w:rPr>
        <w:t>经验及做法、</w:t>
      </w:r>
      <w:r>
        <w:rPr>
          <w:rFonts w:hint="eastAsia" w:hAnsi="仿宋_GB2312" w:cs="仿宋_GB2312"/>
        </w:rPr>
        <w:t>存在的问题</w:t>
      </w:r>
      <w:bookmarkEnd w:id="102"/>
      <w:bookmarkEnd w:id="103"/>
      <w:bookmarkEnd w:id="104"/>
      <w:bookmarkEnd w:id="105"/>
      <w:bookmarkEnd w:id="106"/>
      <w:bookmarkEnd w:id="107"/>
      <w:bookmarkEnd w:id="108"/>
      <w:r>
        <w:rPr>
          <w:rFonts w:hint="eastAsia" w:hAnsi="仿宋_GB2312" w:cs="仿宋_GB2312"/>
        </w:rPr>
        <w:t>及</w:t>
      </w:r>
      <w:r>
        <w:rPr>
          <w:rFonts w:hAnsi="仿宋_GB2312" w:cs="仿宋_GB2312"/>
        </w:rPr>
        <w:t>原因分析</w:t>
      </w:r>
      <w:bookmarkEnd w:id="109"/>
    </w:p>
    <w:p w14:paraId="0E13E4EC">
      <w:pPr>
        <w:pStyle w:val="3"/>
        <w:keepNext w:val="0"/>
        <w:keepLines w:val="0"/>
        <w:spacing w:line="600" w:lineRule="exact"/>
        <w:rPr>
          <w:rFonts w:ascii="仿宋_GB2312" w:hAnsi="仿宋" w:cs="仿宋_GB2312"/>
        </w:rPr>
      </w:pPr>
      <w:bookmarkStart w:id="114" w:name="_Toc207037044"/>
      <w:r>
        <w:rPr>
          <w:rFonts w:hint="eastAsia" w:ascii="仿宋_GB2312" w:hAnsi="仿宋_GB2312" w:cs="仿宋_GB2312"/>
        </w:rPr>
        <w:t>（一）项目决策方面</w:t>
      </w:r>
      <w:bookmarkEnd w:id="114"/>
    </w:p>
    <w:p w14:paraId="0C6DD778">
      <w:pPr>
        <w:widowControl/>
        <w:spacing w:line="600" w:lineRule="exact"/>
        <w:ind w:firstLine="640" w:firstLineChars="200"/>
        <w:rPr>
          <w:rFonts w:ascii="仿宋_GB2312" w:hAnsi="Cambria" w:eastAsia="仿宋_GB2312"/>
          <w:bCs/>
          <w:color w:val="000000"/>
          <w:sz w:val="32"/>
          <w:szCs w:val="32"/>
        </w:rPr>
      </w:pPr>
      <w:r>
        <w:rPr>
          <w:rFonts w:hint="eastAsia" w:ascii="仿宋_GB2312" w:eastAsia="仿宋_GB2312"/>
          <w:sz w:val="32"/>
          <w:szCs w:val="32"/>
        </w:rPr>
        <w:t>立项决策科学性不足，作为延续性项目对往年</w:t>
      </w:r>
      <w:r>
        <w:rPr>
          <w:rFonts w:hint="eastAsia" w:ascii="仿宋_GB2312" w:hAnsi="仿宋_GB2312" w:eastAsia="仿宋_GB2312" w:cs="仿宋_GB2312"/>
          <w:color w:val="000000"/>
          <w:sz w:val="32"/>
          <w:szCs w:val="32"/>
        </w:rPr>
        <w:t>培训班及参访团活动的总结分析不足</w:t>
      </w:r>
      <w:r>
        <w:rPr>
          <w:rFonts w:hint="eastAsia" w:ascii="仿宋_GB2312" w:eastAsia="仿宋_GB2312"/>
          <w:sz w:val="32"/>
          <w:szCs w:val="32"/>
        </w:rPr>
        <w:t>，</w:t>
      </w:r>
      <w:r>
        <w:rPr>
          <w:rFonts w:hint="eastAsia" w:ascii="仿宋_GB2312" w:hAnsi="Cambria" w:eastAsia="仿宋_GB2312"/>
          <w:bCs/>
          <w:color w:val="000000"/>
          <w:sz w:val="32"/>
          <w:szCs w:val="32"/>
        </w:rPr>
        <w:t>绩效申报表填写不够完善，</w:t>
      </w:r>
      <w:r>
        <w:rPr>
          <w:rFonts w:hint="eastAsia" w:ascii="仿宋_GB2312" w:eastAsia="仿宋_GB2312"/>
          <w:sz w:val="32"/>
          <w:szCs w:val="32"/>
        </w:rPr>
        <w:t>绩效目标不够精炼，项目具体实施内容及预期效果不够明确。部分指标设置不够完整细化</w:t>
      </w:r>
      <w:r>
        <w:rPr>
          <w:rFonts w:hint="eastAsia" w:ascii="仿宋_GB2312" w:hAnsi="仿宋" w:eastAsia="仿宋_GB2312" w:cs="Times New Roman"/>
          <w:sz w:val="32"/>
          <w:szCs w:val="32"/>
        </w:rPr>
        <w:t>，考量标准不够清晰</w:t>
      </w:r>
      <w:r>
        <w:rPr>
          <w:rFonts w:hint="eastAsia" w:ascii="仿宋_GB2312" w:hAnsi="Cambria" w:eastAsia="仿宋_GB2312"/>
          <w:bCs/>
          <w:color w:val="000000"/>
          <w:sz w:val="32"/>
          <w:szCs w:val="32"/>
        </w:rPr>
        <w:t>。</w:t>
      </w:r>
    </w:p>
    <w:p w14:paraId="129E00C4">
      <w:pPr>
        <w:pStyle w:val="3"/>
        <w:keepNext w:val="0"/>
        <w:keepLines w:val="0"/>
        <w:spacing w:line="600" w:lineRule="exact"/>
        <w:rPr>
          <w:rFonts w:ascii="仿宋_GB2312" w:hAnsi="仿宋_GB2312" w:cs="仿宋_GB2312"/>
        </w:rPr>
      </w:pPr>
      <w:bookmarkStart w:id="115" w:name="_Toc207037045"/>
      <w:r>
        <w:rPr>
          <w:rFonts w:hint="eastAsia" w:ascii="仿宋_GB2312" w:hAnsi="仿宋_GB2312" w:cs="仿宋_GB2312"/>
        </w:rPr>
        <w:t>（二）项目管理方面</w:t>
      </w:r>
      <w:bookmarkEnd w:id="115"/>
    </w:p>
    <w:p w14:paraId="05624F7F">
      <w:pPr>
        <w:widowControl/>
        <w:spacing w:line="600" w:lineRule="exact"/>
        <w:ind w:firstLine="640" w:firstLineChars="200"/>
        <w:rPr>
          <w:rFonts w:ascii="仿宋_GB2312" w:eastAsia="仿宋_GB2312"/>
          <w:sz w:val="32"/>
          <w:szCs w:val="32"/>
        </w:rPr>
      </w:pPr>
      <w:r>
        <w:rPr>
          <w:rFonts w:hint="eastAsia" w:ascii="仿宋_GB2312" w:hAnsi="仿宋" w:eastAsia="仿宋_GB2312" w:cs="Times New Roman"/>
          <w:sz w:val="32"/>
          <w:szCs w:val="32"/>
        </w:rPr>
        <w:t>年中预算调整幅度较大，预算主动核减比例较高，项目预算编制准确性有待提高。项目过程管理需加强，项目留痕资料不够完整，预算与项目实施内容是否一致不够清晰</w:t>
      </w:r>
      <w:r>
        <w:rPr>
          <w:rFonts w:hint="eastAsia" w:ascii="仿宋_GB2312" w:hAnsi="Cambria" w:eastAsia="仿宋_GB2312"/>
          <w:bCs/>
          <w:color w:val="000000"/>
          <w:sz w:val="32"/>
          <w:szCs w:val="32"/>
        </w:rPr>
        <w:t>。</w:t>
      </w:r>
    </w:p>
    <w:p w14:paraId="3068476A">
      <w:pPr>
        <w:pStyle w:val="3"/>
        <w:keepNext w:val="0"/>
        <w:keepLines w:val="0"/>
        <w:spacing w:line="600" w:lineRule="exact"/>
        <w:rPr>
          <w:rFonts w:ascii="仿宋_GB2312" w:hAnsi="仿宋_GB2312" w:cs="仿宋_GB2312"/>
        </w:rPr>
      </w:pPr>
      <w:bookmarkStart w:id="116" w:name="_Toc207037046"/>
      <w:r>
        <w:rPr>
          <w:rFonts w:hint="eastAsia" w:ascii="仿宋_GB2312" w:hAnsi="仿宋_GB2312" w:cs="仿宋_GB2312"/>
        </w:rPr>
        <w:t>（三）项目绩效方面</w:t>
      </w:r>
      <w:bookmarkEnd w:id="116"/>
    </w:p>
    <w:p w14:paraId="59426EFC">
      <w:pPr>
        <w:spacing w:line="600" w:lineRule="exact"/>
        <w:ind w:firstLine="640" w:firstLineChars="200"/>
        <w:rPr>
          <w:rFonts w:ascii="仿宋_GB2312" w:eastAsia="仿宋_GB2312"/>
          <w:sz w:val="32"/>
          <w:szCs w:val="32"/>
        </w:rPr>
      </w:pPr>
      <w:bookmarkStart w:id="117" w:name="_Toc429688604"/>
      <w:bookmarkStart w:id="118" w:name="_Toc8570"/>
      <w:bookmarkStart w:id="119" w:name="_Toc429688494"/>
      <w:bookmarkStart w:id="120" w:name="_Toc425537589"/>
      <w:bookmarkStart w:id="121" w:name="_Toc485981355"/>
      <w:bookmarkStart w:id="122" w:name="_Toc17191"/>
      <w:bookmarkStart w:id="123" w:name="_Toc18095"/>
      <w:r>
        <w:rPr>
          <w:rFonts w:hint="eastAsia" w:ascii="仿宋_GB2312" w:hAnsi="仿宋_GB2312" w:eastAsia="仿宋_GB2312" w:cs="仿宋_GB2312"/>
          <w:kern w:val="0"/>
          <w:sz w:val="32"/>
          <w:szCs w:val="32"/>
        </w:rPr>
        <w:t>项目绩效成果展现不够充分，</w:t>
      </w:r>
      <w:r>
        <w:rPr>
          <w:rFonts w:hint="eastAsia" w:ascii="仿宋_GB2312" w:hAnsi="仿宋" w:eastAsia="仿宋_GB2312" w:cs="Times New Roman"/>
          <w:sz w:val="32"/>
          <w:szCs w:val="32"/>
        </w:rPr>
        <w:t>项目绩效资料归集不够完整</w:t>
      </w:r>
      <w:r>
        <w:rPr>
          <w:rFonts w:hint="eastAsia" w:ascii="仿宋_GB2312" w:eastAsia="仿宋_GB2312"/>
          <w:sz w:val="32"/>
          <w:szCs w:val="32"/>
        </w:rPr>
        <w:t>，项目相关验收资料的完整详实度还需提高</w:t>
      </w:r>
      <w:r>
        <w:rPr>
          <w:rFonts w:hint="eastAsia" w:ascii="仿宋_GB2312" w:hAnsi="仿宋" w:eastAsia="仿宋_GB2312" w:cs="Times New Roman"/>
          <w:sz w:val="32"/>
          <w:szCs w:val="32"/>
        </w:rPr>
        <w:t>。对于本项目实施后的阶段效果对比体现的充分性应当加强，项目效果指标实现的有效性佐证不够充分</w:t>
      </w:r>
      <w:r>
        <w:rPr>
          <w:rFonts w:hint="eastAsia" w:ascii="仿宋_GB2312" w:eastAsia="仿宋_GB2312"/>
          <w:sz w:val="32"/>
          <w:szCs w:val="32"/>
        </w:rPr>
        <w:t>。</w:t>
      </w:r>
      <w:r>
        <w:rPr>
          <w:rFonts w:hint="eastAsia" w:ascii="仿宋_GB2312" w:hAnsi="仿宋" w:eastAsia="仿宋_GB2312" w:cs="Times New Roman"/>
          <w:sz w:val="32"/>
          <w:szCs w:val="32"/>
        </w:rPr>
        <w:t>对满意度调查统计结果的分析不足，效果支撑不够充分</w:t>
      </w:r>
    </w:p>
    <w:p w14:paraId="1A7C9721">
      <w:pPr>
        <w:pStyle w:val="2"/>
        <w:keepNext w:val="0"/>
        <w:keepLines w:val="0"/>
        <w:spacing w:line="600" w:lineRule="exact"/>
        <w:ind w:left="0" w:firstLine="643" w:firstLineChars="200"/>
        <w:rPr>
          <w:rFonts w:hAnsi="仿宋_GB2312" w:cs="仿宋_GB2312"/>
        </w:rPr>
      </w:pPr>
      <w:bookmarkStart w:id="124" w:name="_Toc207037047"/>
      <w:r>
        <w:rPr>
          <w:rFonts w:hint="eastAsia" w:hAnsi="仿宋_GB2312" w:cs="仿宋_GB2312"/>
        </w:rPr>
        <w:t>六、相关建议</w:t>
      </w:r>
      <w:bookmarkEnd w:id="117"/>
      <w:bookmarkEnd w:id="118"/>
      <w:bookmarkEnd w:id="119"/>
      <w:bookmarkEnd w:id="120"/>
      <w:bookmarkEnd w:id="121"/>
      <w:bookmarkEnd w:id="122"/>
      <w:bookmarkEnd w:id="123"/>
      <w:bookmarkEnd w:id="124"/>
    </w:p>
    <w:p w14:paraId="3B92C614">
      <w:pPr>
        <w:pStyle w:val="3"/>
        <w:keepNext w:val="0"/>
        <w:keepLines w:val="0"/>
        <w:spacing w:line="600" w:lineRule="exact"/>
        <w:rPr>
          <w:rFonts w:ascii="仿宋_GB2312" w:hAnsi="仿宋"/>
        </w:rPr>
      </w:pPr>
      <w:bookmarkStart w:id="125" w:name="_Toc207037048"/>
      <w:r>
        <w:rPr>
          <w:rFonts w:hint="eastAsia" w:ascii="仿宋_GB2312" w:hAnsi="仿宋_GB2312" w:cs="仿宋_GB2312"/>
        </w:rPr>
        <w:t>（一）项目决策方面</w:t>
      </w:r>
      <w:bookmarkEnd w:id="125"/>
    </w:p>
    <w:p w14:paraId="3E50FBF3">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提高立项决策的科学性，依据单位中长期规划及年度工作重点，制定项目实施计划，规范立项可行性、紧迫性、经济性等论证。</w:t>
      </w:r>
      <w:r>
        <w:rPr>
          <w:rFonts w:hint="eastAsia" w:ascii="仿宋_GB2312" w:hAnsi="仿宋_GB2312" w:eastAsia="仿宋_GB2312"/>
          <w:color w:val="000000"/>
          <w:sz w:val="32"/>
          <w:szCs w:val="32"/>
        </w:rPr>
        <w:t>规范编制绩效目标表，结合具体工作内容，合理确定绩效目标。科学设定绩效指标，提高绩效指标的实现程度。提升质量指标、成本指标、进度指标的细化、量化程度，提升可考量性，明确可持续性影响指标，充分反映项目预期效益。</w:t>
      </w:r>
    </w:p>
    <w:p w14:paraId="5FA5D999">
      <w:pPr>
        <w:pStyle w:val="3"/>
        <w:keepNext w:val="0"/>
        <w:keepLines w:val="0"/>
        <w:spacing w:line="600" w:lineRule="exact"/>
        <w:rPr>
          <w:rFonts w:ascii="仿宋_GB2312" w:hAnsi="仿宋_GB2312" w:cs="仿宋_GB2312"/>
        </w:rPr>
      </w:pPr>
      <w:bookmarkStart w:id="126" w:name="_Toc207037049"/>
      <w:r>
        <w:rPr>
          <w:rFonts w:hint="eastAsia" w:ascii="仿宋_GB2312" w:hAnsi="仿宋_GB2312" w:cs="仿宋_GB2312"/>
        </w:rPr>
        <w:t>（二）</w:t>
      </w:r>
      <w:r>
        <w:rPr>
          <w:rFonts w:hint="eastAsia" w:ascii="仿宋_GB2312" w:hAnsi="Times New Roman"/>
          <w:color w:val="000000"/>
        </w:rPr>
        <w:t>项目管理方面</w:t>
      </w:r>
      <w:bookmarkEnd w:id="126"/>
    </w:p>
    <w:p w14:paraId="33F56E4B">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充分</w:t>
      </w:r>
      <w:r>
        <w:rPr>
          <w:rFonts w:hint="eastAsia" w:ascii="仿宋_GB2312" w:eastAsia="仿宋_GB2312"/>
          <w:color w:val="000000"/>
          <w:sz w:val="32"/>
          <w:szCs w:val="32"/>
        </w:rPr>
        <w:t>履行北京社院责任，</w:t>
      </w:r>
      <w:r>
        <w:rPr>
          <w:rFonts w:hint="eastAsia" w:ascii="仿宋_GB2312" w:hAnsi="仿宋" w:eastAsia="仿宋_GB2312" w:cs="Times New Roman"/>
          <w:sz w:val="32"/>
          <w:szCs w:val="32"/>
        </w:rPr>
        <w:t>结合项目内容制定项目组织实施方案，从项目立项背景出发，全面阐述项目实施内容、各责任主体的职责范围及分工、各项工作的进度安排、资金保障措施及机制等各方面内容，指导项目顺利开展。</w:t>
      </w:r>
    </w:p>
    <w:p w14:paraId="791A4E0D">
      <w:pPr>
        <w:pStyle w:val="3"/>
        <w:keepNext w:val="0"/>
        <w:keepLines w:val="0"/>
        <w:spacing w:line="600" w:lineRule="exact"/>
        <w:rPr>
          <w:rFonts w:ascii="仿宋_GB2312" w:hAnsi="Times New Roman"/>
          <w:color w:val="000000"/>
        </w:rPr>
      </w:pPr>
      <w:bookmarkStart w:id="127" w:name="_Toc207037050"/>
      <w:r>
        <w:rPr>
          <w:rFonts w:hint="eastAsia" w:ascii="仿宋_GB2312" w:hAnsi="Times New Roman"/>
          <w:color w:val="000000"/>
        </w:rPr>
        <w:t>（三）项目绩效方面</w:t>
      </w:r>
      <w:bookmarkEnd w:id="127"/>
    </w:p>
    <w:p w14:paraId="0960F86A">
      <w:pPr>
        <w:spacing w:line="60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及时全面规范归集项目实施的成果支撑材料。加强项目成果应用及相关数据和资料的汇总分析，统筹培训及交流结果应用，全面展示项目绩效。重视服务对象满意度调查及分析，对项目满意度调查情况进行分析，针对反馈出的问题进行改进。确保满意度指标对项目绩效效果的支撑。</w:t>
      </w:r>
    </w:p>
    <w:p w14:paraId="7F1F5813">
      <w:pPr>
        <w:pStyle w:val="2"/>
        <w:keepNext w:val="0"/>
        <w:keepLines w:val="0"/>
        <w:spacing w:line="600" w:lineRule="exact"/>
        <w:ind w:left="0" w:firstLine="643" w:firstLineChars="200"/>
        <w:rPr>
          <w:rFonts w:hAnsi="仿宋_GB2312" w:cs="仿宋_GB2312"/>
        </w:rPr>
      </w:pPr>
      <w:bookmarkStart w:id="128" w:name="_Toc207037051"/>
      <w:bookmarkStart w:id="129" w:name="_Toc429688495"/>
      <w:bookmarkStart w:id="130" w:name="_Toc2541"/>
      <w:bookmarkStart w:id="131" w:name="_Toc485981356"/>
      <w:bookmarkStart w:id="132" w:name="_Toc425537590"/>
      <w:bookmarkStart w:id="133" w:name="_Toc31266"/>
      <w:bookmarkStart w:id="134" w:name="_Toc2773"/>
      <w:bookmarkStart w:id="135" w:name="_Toc429688605"/>
      <w:r>
        <w:rPr>
          <w:rFonts w:hint="eastAsia" w:hAnsi="仿宋_GB2312" w:cs="仿宋_GB2312"/>
        </w:rPr>
        <w:t>七、</w:t>
      </w:r>
      <w:bookmarkStart w:id="136" w:name="_Toc2723"/>
      <w:bookmarkStart w:id="137" w:name="_Toc17975"/>
      <w:r>
        <w:rPr>
          <w:rFonts w:hint="eastAsia" w:hAnsi="仿宋_GB2312" w:cs="仿宋_GB2312"/>
        </w:rPr>
        <w:t>其他需要说明的问题</w:t>
      </w:r>
      <w:bookmarkEnd w:id="128"/>
      <w:bookmarkEnd w:id="136"/>
      <w:bookmarkEnd w:id="137"/>
    </w:p>
    <w:p w14:paraId="0D79FC8E">
      <w:pPr>
        <w:spacing w:line="600" w:lineRule="exact"/>
        <w:ind w:firstLine="640" w:firstLineChars="200"/>
        <w:rPr>
          <w:rFonts w:hint="eastAsia"/>
        </w:rPr>
      </w:pPr>
      <w:r>
        <w:rPr>
          <w:rFonts w:hint="eastAsia" w:ascii="仿宋_GB2312" w:eastAsia="仿宋_GB2312"/>
          <w:bCs/>
          <w:sz w:val="32"/>
          <w:szCs w:val="32"/>
        </w:rPr>
        <w:t>本次绩效评价工作基于</w:t>
      </w:r>
      <w:r>
        <w:rPr>
          <w:rFonts w:hint="eastAsia" w:ascii="仿宋_GB2312" w:hAnsi="仿宋_GB2312" w:eastAsia="仿宋_GB2312" w:cs="仿宋_GB2312"/>
          <w:sz w:val="32"/>
          <w:szCs w:val="32"/>
        </w:rPr>
        <w:t>北京社院</w:t>
      </w:r>
      <w:r>
        <w:rPr>
          <w:rFonts w:hint="eastAsia" w:ascii="仿宋_GB2312" w:eastAsia="仿宋_GB2312"/>
          <w:bCs/>
          <w:sz w:val="32"/>
          <w:szCs w:val="32"/>
        </w:rPr>
        <w:t>提供的资料为评价依据，项目资料完整性和</w:t>
      </w:r>
      <w:r>
        <w:rPr>
          <w:rFonts w:hint="eastAsia" w:ascii="仿宋_GB2312" w:hAnsi="仿宋" w:eastAsia="仿宋_GB2312" w:cs="Times New Roman"/>
          <w:sz w:val="32"/>
          <w:szCs w:val="32"/>
        </w:rPr>
        <w:t>真实性</w:t>
      </w:r>
      <w:r>
        <w:rPr>
          <w:rFonts w:hint="eastAsia" w:ascii="仿宋_GB2312" w:eastAsia="仿宋_GB2312"/>
          <w:bCs/>
          <w:sz w:val="32"/>
          <w:szCs w:val="32"/>
        </w:rPr>
        <w:t>由</w:t>
      </w:r>
      <w:r>
        <w:rPr>
          <w:rFonts w:hint="eastAsia" w:ascii="仿宋_GB2312" w:hAnsi="仿宋_GB2312" w:eastAsia="仿宋_GB2312" w:cs="仿宋_GB2312"/>
          <w:sz w:val="32"/>
          <w:szCs w:val="32"/>
        </w:rPr>
        <w:t>北京社院</w:t>
      </w:r>
      <w:r>
        <w:rPr>
          <w:rFonts w:hint="eastAsia" w:ascii="仿宋_GB2312" w:eastAsia="仿宋_GB2312"/>
          <w:bCs/>
          <w:sz w:val="32"/>
          <w:szCs w:val="32"/>
        </w:rPr>
        <w:t>负责。评价报告在综合了解相关</w:t>
      </w:r>
      <w:r>
        <w:rPr>
          <w:rFonts w:hint="eastAsia" w:ascii="仿宋_GB2312" w:hAnsi="仿宋_GB2312" w:eastAsia="仿宋_GB2312" w:cs="仿宋_GB2312"/>
          <w:sz w:val="32"/>
          <w:szCs w:val="32"/>
        </w:rPr>
        <w:t>项目决策、过程、产出和效益</w:t>
      </w:r>
      <w:r>
        <w:rPr>
          <w:rFonts w:hint="eastAsia" w:ascii="仿宋_GB2312" w:eastAsia="仿宋_GB2312"/>
          <w:bCs/>
          <w:sz w:val="32"/>
          <w:szCs w:val="32"/>
        </w:rPr>
        <w:t>等基础上，结合</w:t>
      </w:r>
      <w:r>
        <w:rPr>
          <w:rFonts w:hint="eastAsia" w:ascii="仿宋_GB2312" w:hAnsi="仿宋_GB2312" w:eastAsia="仿宋_GB2312" w:cs="仿宋_GB2312"/>
          <w:sz w:val="32"/>
          <w:szCs w:val="32"/>
        </w:rPr>
        <w:t>北京社院</w:t>
      </w:r>
      <w:r>
        <w:rPr>
          <w:rFonts w:hint="eastAsia" w:ascii="仿宋_GB2312" w:eastAsia="仿宋_GB2312"/>
          <w:bCs/>
          <w:sz w:val="32"/>
          <w:szCs w:val="32"/>
        </w:rPr>
        <w:t>提供的项目资料，以及专家组评价意见撰写。</w:t>
      </w:r>
      <w:bookmarkEnd w:id="0"/>
      <w:bookmarkEnd w:id="110"/>
      <w:bookmarkEnd w:id="111"/>
      <w:bookmarkEnd w:id="112"/>
      <w:bookmarkEnd w:id="113"/>
      <w:bookmarkEnd w:id="129"/>
      <w:bookmarkEnd w:id="130"/>
      <w:bookmarkEnd w:id="131"/>
      <w:bookmarkEnd w:id="132"/>
      <w:bookmarkEnd w:id="133"/>
      <w:bookmarkEnd w:id="134"/>
      <w:bookmarkEnd w:id="13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063B9">
    <w:pPr>
      <w:pStyle w:val="7"/>
      <w:jc w:val="cente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9E4"/>
    <w:rsid w:val="00051F93"/>
    <w:rsid w:val="00194B9A"/>
    <w:rsid w:val="001C2E25"/>
    <w:rsid w:val="002209E4"/>
    <w:rsid w:val="003A1D81"/>
    <w:rsid w:val="0048637B"/>
    <w:rsid w:val="00604DCD"/>
    <w:rsid w:val="006D6B52"/>
    <w:rsid w:val="008B592D"/>
    <w:rsid w:val="008C3B8E"/>
    <w:rsid w:val="00973C7C"/>
    <w:rsid w:val="009A44CA"/>
    <w:rsid w:val="00AD4384"/>
    <w:rsid w:val="00BB1714"/>
    <w:rsid w:val="00BF3C8E"/>
    <w:rsid w:val="00E43E35"/>
    <w:rsid w:val="00EE5864"/>
    <w:rsid w:val="00F63693"/>
    <w:rsid w:val="34E67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2"/>
      <w:lang w:val="en-US" w:eastAsia="zh-CN" w:bidi="ar-SA"/>
    </w:rPr>
  </w:style>
  <w:style w:type="paragraph" w:styleId="2">
    <w:name w:val="heading 1"/>
    <w:basedOn w:val="1"/>
    <w:next w:val="1"/>
    <w:link w:val="17"/>
    <w:qFormat/>
    <w:uiPriority w:val="0"/>
    <w:pPr>
      <w:keepNext/>
      <w:keepLines/>
      <w:spacing w:line="540" w:lineRule="exact"/>
      <w:ind w:left="643"/>
      <w:outlineLvl w:val="0"/>
    </w:pPr>
    <w:rPr>
      <w:rFonts w:ascii="仿宋_GB2312" w:eastAsia="仿宋_GB2312" w:cs="Times New Roman"/>
      <w:b/>
      <w:bCs/>
      <w:snapToGrid w:val="0"/>
      <w:kern w:val="44"/>
      <w:sz w:val="32"/>
      <w:szCs w:val="32"/>
    </w:rPr>
  </w:style>
  <w:style w:type="paragraph" w:styleId="3">
    <w:name w:val="heading 2"/>
    <w:basedOn w:val="1"/>
    <w:next w:val="1"/>
    <w:link w:val="18"/>
    <w:qFormat/>
    <w:uiPriority w:val="0"/>
    <w:pPr>
      <w:keepNext/>
      <w:keepLines/>
      <w:ind w:firstLine="640" w:firstLineChars="200"/>
      <w:outlineLvl w:val="1"/>
    </w:pPr>
    <w:rPr>
      <w:rFonts w:ascii="Arial" w:hAnsi="Arial" w:eastAsia="仿宋_GB2312" w:cs="Times New Roman"/>
      <w:snapToGrid w:val="0"/>
      <w:kern w:val="0"/>
      <w:sz w:val="32"/>
      <w:szCs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cs="Times New Roman"/>
      <w:szCs w:val="20"/>
    </w:rPr>
  </w:style>
  <w:style w:type="paragraph" w:styleId="5">
    <w:name w:val="caption"/>
    <w:basedOn w:val="1"/>
    <w:next w:val="1"/>
    <w:qFormat/>
    <w:uiPriority w:val="0"/>
    <w:rPr>
      <w:rFonts w:ascii="Arial" w:hAnsi="Arial" w:eastAsia="黑体" w:cs="Arial"/>
      <w:sz w:val="20"/>
    </w:rPr>
  </w:style>
  <w:style w:type="paragraph" w:styleId="6">
    <w:name w:val="Body Text"/>
    <w:basedOn w:val="1"/>
    <w:link w:val="19"/>
    <w:semiHidden/>
    <w:unhideWhenUsed/>
    <w:uiPriority w:val="99"/>
    <w:pPr>
      <w:spacing w:after="120"/>
    </w:pPr>
  </w:style>
  <w:style w:type="paragraph" w:styleId="7">
    <w:name w:val="footer"/>
    <w:basedOn w:val="1"/>
    <w:link w:val="16"/>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5"/>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toc 1"/>
    <w:basedOn w:val="1"/>
    <w:next w:val="1"/>
    <w:uiPriority w:val="39"/>
    <w:pPr>
      <w:tabs>
        <w:tab w:val="right" w:leader="dot" w:pos="8608"/>
      </w:tabs>
    </w:pPr>
    <w:rPr>
      <w:rFonts w:ascii="仿宋_GB2312" w:eastAsia="仿宋_GB2312" w:cs="Times New Roman"/>
      <w:b/>
      <w:sz w:val="28"/>
      <w:szCs w:val="28"/>
    </w:rPr>
  </w:style>
  <w:style w:type="paragraph" w:styleId="10">
    <w:name w:val="toc 2"/>
    <w:basedOn w:val="1"/>
    <w:next w:val="1"/>
    <w:uiPriority w:val="39"/>
    <w:pPr>
      <w:ind w:left="420" w:leftChars="200"/>
    </w:pPr>
    <w:rPr>
      <w:rFonts w:cs="Times New Roman"/>
      <w:szCs w:val="24"/>
    </w:rPr>
  </w:style>
  <w:style w:type="paragraph" w:styleId="11">
    <w:name w:val="Body Text First Indent"/>
    <w:basedOn w:val="6"/>
    <w:link w:val="20"/>
    <w:qFormat/>
    <w:uiPriority w:val="99"/>
    <w:pPr>
      <w:tabs>
        <w:tab w:val="left" w:pos="420"/>
      </w:tabs>
      <w:ind w:firstLine="420" w:firstLineChars="100"/>
    </w:pPr>
    <w:rPr>
      <w:rFonts w:ascii="Tahoma" w:hAnsi="Tahoma"/>
      <w:sz w:val="24"/>
      <w:szCs w:val="24"/>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页眉 Char"/>
    <w:basedOn w:val="13"/>
    <w:link w:val="8"/>
    <w:uiPriority w:val="99"/>
    <w:rPr>
      <w:sz w:val="18"/>
      <w:szCs w:val="18"/>
    </w:rPr>
  </w:style>
  <w:style w:type="character" w:customStyle="1" w:styleId="16">
    <w:name w:val="页脚 Char"/>
    <w:basedOn w:val="13"/>
    <w:link w:val="7"/>
    <w:uiPriority w:val="99"/>
    <w:rPr>
      <w:sz w:val="18"/>
      <w:szCs w:val="18"/>
    </w:rPr>
  </w:style>
  <w:style w:type="character" w:customStyle="1" w:styleId="17">
    <w:name w:val="标题 1 Char"/>
    <w:basedOn w:val="13"/>
    <w:link w:val="2"/>
    <w:uiPriority w:val="0"/>
    <w:rPr>
      <w:rFonts w:ascii="仿宋_GB2312" w:hAnsi="Times New Roman" w:eastAsia="仿宋_GB2312" w:cs="Times New Roman"/>
      <w:b/>
      <w:bCs/>
      <w:snapToGrid w:val="0"/>
      <w:kern w:val="44"/>
      <w:sz w:val="32"/>
      <w:szCs w:val="32"/>
    </w:rPr>
  </w:style>
  <w:style w:type="character" w:customStyle="1" w:styleId="18">
    <w:name w:val="标题 2 Char"/>
    <w:basedOn w:val="13"/>
    <w:link w:val="3"/>
    <w:uiPriority w:val="0"/>
    <w:rPr>
      <w:rFonts w:ascii="Arial" w:hAnsi="Arial" w:eastAsia="仿宋_GB2312" w:cs="Times New Roman"/>
      <w:snapToGrid w:val="0"/>
      <w:kern w:val="0"/>
      <w:sz w:val="32"/>
      <w:szCs w:val="32"/>
    </w:rPr>
  </w:style>
  <w:style w:type="character" w:customStyle="1" w:styleId="19">
    <w:name w:val="正文文本 Char"/>
    <w:basedOn w:val="13"/>
    <w:link w:val="6"/>
    <w:semiHidden/>
    <w:uiPriority w:val="99"/>
    <w:rPr>
      <w:rFonts w:ascii="Times New Roman" w:hAnsi="Times New Roman" w:eastAsia="宋体" w:cs="黑体"/>
    </w:rPr>
  </w:style>
  <w:style w:type="character" w:customStyle="1" w:styleId="20">
    <w:name w:val="正文首行缩进 Char"/>
    <w:basedOn w:val="19"/>
    <w:link w:val="11"/>
    <w:qFormat/>
    <w:uiPriority w:val="99"/>
    <w:rPr>
      <w:rFonts w:ascii="Tahoma" w:hAnsi="Tahoma" w:eastAsia="宋体" w:cs="黑体"/>
      <w:sz w:val="24"/>
      <w:szCs w:val="24"/>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8212</Words>
  <Characters>8528</Characters>
  <Lines>72</Lines>
  <Paragraphs>20</Paragraphs>
  <TotalTime>11</TotalTime>
  <ScaleCrop>false</ScaleCrop>
  <LinksUpToDate>false</LinksUpToDate>
  <CharactersWithSpaces>8554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2025-08-25T09:23:00Z</dcterms:created>
  <dc:creator>Administrator</dc:creator>
  <cp:lastModifiedBy>Administrator</cp:lastModifiedBy>
  <dcterms:modified xsi:type="dcterms:W3CDTF">2025-08-27T06:29:06Z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eyJoZGlkIjoiNWYwZjQyYmE3YmMwNTcwMzVmODNiNWU1YWZmYzNmY2QifQ==</vt:lpwstr>
  </property>
  <property fmtid="{D5CDD505-2E9C-101B-9397-08002B2CF9AE}" pid="3" name="KSOProductBuildVer">
    <vt:lpwstr>2052-12.1.0.22529</vt:lpwstr>
  </property>
  <property fmtid="{D5CDD505-2E9C-101B-9397-08002B2CF9AE}" pid="4" name="ICV">
    <vt:lpwstr>6B02765097F2436BA37497DEAF5A1F96_12</vt:lpwstr>
  </property>
</Properties>
</file>