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16FCE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534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586"/>
        <w:gridCol w:w="1603"/>
        <w:gridCol w:w="1273"/>
        <w:gridCol w:w="840"/>
        <w:gridCol w:w="890"/>
        <w:gridCol w:w="464"/>
        <w:gridCol w:w="515"/>
        <w:gridCol w:w="758"/>
        <w:gridCol w:w="1486"/>
      </w:tblGrid>
      <w:tr w14:paraId="257AA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FD40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0E7A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68575E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（2024年度）</w:t>
            </w:r>
          </w:p>
        </w:tc>
      </w:tr>
      <w:tr w14:paraId="24ED6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E7F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93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DD1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污水处理及医疗废弃物处置</w:t>
            </w:r>
          </w:p>
        </w:tc>
      </w:tr>
      <w:tr w14:paraId="19EB8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  <w:jc w:val="center"/>
        </w:trPr>
        <w:tc>
          <w:tcPr>
            <w:tcW w:w="7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44A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03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B14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68334">
            <w:pP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实施单位</w:t>
            </w:r>
          </w:p>
        </w:tc>
        <w:tc>
          <w:tcPr>
            <w:tcW w:w="27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142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首都医科大学附属北京佑安医院</w:t>
            </w:r>
          </w:p>
        </w:tc>
      </w:tr>
      <w:tr w14:paraId="14522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70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C66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C51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087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000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15E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136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C4D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8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FBF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0C9B4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70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317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7EAE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4E4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208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45B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326.2866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7F5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E46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98.87%</w:t>
            </w:r>
          </w:p>
        </w:tc>
        <w:tc>
          <w:tcPr>
            <w:tcW w:w="8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D1A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 w14:paraId="35AA8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9E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FE1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  <w:t>其中：当年财政拨款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BE5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865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7C0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326.2866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A57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57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ECC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7546D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48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E0F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 xml:space="preserve">      上年结转资金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748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FDD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F72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903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1D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049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E469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837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27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 xml:space="preserve">  其他资金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A9B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841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F46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07D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AE5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0EC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EB84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288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35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F1B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25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7E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7C50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9" w:hRule="exact"/>
          <w:jc w:val="center"/>
        </w:trPr>
        <w:tc>
          <w:tcPr>
            <w:tcW w:w="38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F81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261E0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整体保证在达到环保部门设计目标的同时兼顾性价比；实现好的社会效益的前提下经济效益的兼顾；在污水排放的前提下确保排放达标，使系统正常运行；在遵循绿色、环保、节能的前提下，建设环境友好工程，实现相关污水排放的可持续性发展。</w:t>
            </w:r>
          </w:p>
          <w:p w14:paraId="42B383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对医疗废物规范化管理，使医院的医疗废物符合《北京市医疗卫生机构医疗废物管理规定》、《医疗卫生机构医疗废物管理办法》和《医疗废物管理条例》的相关要求，符合国家法律、法规的相关规定。医疗废物规范化管理，能够有效预防医务人员发生职业暴露的风险。通过有效管理和专业处置，有效预防和控制医疗废物对人体健康和环境的危害。</w:t>
            </w:r>
          </w:p>
        </w:tc>
        <w:tc>
          <w:tcPr>
            <w:tcW w:w="225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61F39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  <w:p w14:paraId="632ECD26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整体保证在达到环保部门设计目标的同时兼顾性价比；实现好的社会效益的前提下经济效益的兼顾；在污水排放的前提下确保排放达标，使系统正常运行；在遵循绿色、环保、节能的前提下，建设环境友好工程，实现相关污水排放的可持续性发展。</w:t>
            </w:r>
          </w:p>
          <w:p w14:paraId="6CE1C25D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对医疗废物规范化管理，使医院的医疗废物符合《北京市医疗卫生机构医疗废物管理规定》、《医疗卫生机构医疗废物管理办法》和《医疗废物管理条例》的相关要求，符合国家法律、法规的相关规定。医疗废物规范化管理，能够有效预防医务人员发生职业暴露的风险。通过有效管理和专业处置，有效预防和控制医疗废物对人体健康和环境的危害。</w:t>
            </w:r>
          </w:p>
        </w:tc>
      </w:tr>
      <w:tr w14:paraId="76C3F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38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B01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 w14:paraId="62486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72E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8A9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80C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5B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3C2B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EF0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72352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741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6BA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FF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934F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31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6416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60分</w:t>
            </w:r>
          </w:p>
          <w:p w14:paraId="75AA14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  <w:p w14:paraId="50D023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08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708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全年处理污水量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A66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145088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吨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39D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208956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吨</w:t>
            </w:r>
          </w:p>
        </w:tc>
        <w:tc>
          <w:tcPr>
            <w:tcW w:w="2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D2D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B32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5D0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20A23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3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64A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7AF1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797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92B2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医疗废物处置量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4C8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598944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公斤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453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754730公斤</w:t>
            </w:r>
          </w:p>
        </w:tc>
        <w:tc>
          <w:tcPr>
            <w:tcW w:w="2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B94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024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A82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09D79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3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030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3D23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C5F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667A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污水排放达到国家环保部门标准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362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达标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B4F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达标</w:t>
            </w:r>
          </w:p>
        </w:tc>
        <w:tc>
          <w:tcPr>
            <w:tcW w:w="2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6BC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50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8077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0D1FFA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3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E4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012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60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612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医疗废弃物收集、转运整个环节符合相关规定</w:t>
            </w:r>
          </w:p>
          <w:p w14:paraId="48C12E1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3BC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达标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D9E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达标</w:t>
            </w:r>
          </w:p>
        </w:tc>
        <w:tc>
          <w:tcPr>
            <w:tcW w:w="2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534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EFC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14F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3AAE5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3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FA4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3C44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2D0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1B1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按相关标准完成污水处理及医疗废物处置</w:t>
            </w:r>
          </w:p>
          <w:p w14:paraId="0FC20E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82E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达标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72F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达标</w:t>
            </w:r>
          </w:p>
        </w:tc>
        <w:tc>
          <w:tcPr>
            <w:tcW w:w="2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F04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E4E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293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73B6A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exact"/>
          <w:jc w:val="center"/>
        </w:trPr>
        <w:tc>
          <w:tcPr>
            <w:tcW w:w="3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57B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4DB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05A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256B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成本控制在预算内，资金使用合法合规</w:t>
            </w:r>
          </w:p>
          <w:p w14:paraId="2203F9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840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330万元</w:t>
            </w: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0E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326.2866万元</w:t>
            </w:r>
          </w:p>
        </w:tc>
        <w:tc>
          <w:tcPr>
            <w:tcW w:w="2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505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A29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9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2EA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因招标后中标金额差异导致</w:t>
            </w:r>
          </w:p>
        </w:tc>
      </w:tr>
      <w:tr w14:paraId="50371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3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672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B57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 w14:paraId="5F08FA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EC3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46BC8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695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改善医院污水处理的工作环境条件，为其提供良好的工作环境，消除安全隐患</w:t>
            </w:r>
          </w:p>
          <w:p w14:paraId="686B1B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1B1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合格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0B1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合格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339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3F3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65C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7C08D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3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7A2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8E1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972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50239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6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BD6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污水排放达到国家环保部门标准、医疗废弃物收集、转运整个环节符合相关规定</w:t>
            </w:r>
          </w:p>
          <w:p w14:paraId="4B50A5B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4D2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达标</w:t>
            </w:r>
          </w:p>
        </w:tc>
        <w:tc>
          <w:tcPr>
            <w:tcW w:w="4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732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达标</w:t>
            </w:r>
          </w:p>
        </w:tc>
        <w:tc>
          <w:tcPr>
            <w:tcW w:w="2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467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D1D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A9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bookmarkStart w:id="0" w:name="_GoBack"/>
            <w:bookmarkEnd w:id="0"/>
          </w:p>
        </w:tc>
      </w:tr>
      <w:tr w14:paraId="58F95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  <w:jc w:val="center"/>
        </w:trPr>
        <w:tc>
          <w:tcPr>
            <w:tcW w:w="385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C130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EAB3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10分</w:t>
            </w:r>
          </w:p>
          <w:p w14:paraId="5C2861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ABC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6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CDB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医院受益职工满意度</w:t>
            </w:r>
          </w:p>
          <w:p w14:paraId="76D55E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B50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90%</w:t>
            </w:r>
          </w:p>
        </w:tc>
        <w:tc>
          <w:tcPr>
            <w:tcW w:w="4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3B8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90%</w:t>
            </w:r>
          </w:p>
        </w:tc>
        <w:tc>
          <w:tcPr>
            <w:tcW w:w="2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A0F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CB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AA3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3ABED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23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836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2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81A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0BF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99</w:t>
            </w:r>
          </w:p>
        </w:tc>
        <w:tc>
          <w:tcPr>
            <w:tcW w:w="12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27F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1389FA5A"/>
    <w:p w14:paraId="5B338DA7">
      <w:pPr>
        <w:rPr>
          <w:color w:val="FF0000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MxNzAzZTU5NzIxOWNiNDQ1ZjBlMTdjZjQ4M2JiMjMifQ=="/>
  </w:docVars>
  <w:rsids>
    <w:rsidRoot w:val="28FF42C9"/>
    <w:rsid w:val="00082B67"/>
    <w:rsid w:val="000E5A56"/>
    <w:rsid w:val="003301F1"/>
    <w:rsid w:val="00367039"/>
    <w:rsid w:val="003D30C9"/>
    <w:rsid w:val="00403060"/>
    <w:rsid w:val="0047277E"/>
    <w:rsid w:val="00495295"/>
    <w:rsid w:val="0057065C"/>
    <w:rsid w:val="00722E8F"/>
    <w:rsid w:val="00903FA4"/>
    <w:rsid w:val="00A04E38"/>
    <w:rsid w:val="00CA02CB"/>
    <w:rsid w:val="00CF6F4F"/>
    <w:rsid w:val="00EE77CB"/>
    <w:rsid w:val="00F01CF2"/>
    <w:rsid w:val="00F16353"/>
    <w:rsid w:val="00FC39A7"/>
    <w:rsid w:val="0167401F"/>
    <w:rsid w:val="05B2679E"/>
    <w:rsid w:val="1333393A"/>
    <w:rsid w:val="14C13ED9"/>
    <w:rsid w:val="18802B7F"/>
    <w:rsid w:val="19F87FDE"/>
    <w:rsid w:val="1A9C7638"/>
    <w:rsid w:val="1C46568C"/>
    <w:rsid w:val="1DBC03C1"/>
    <w:rsid w:val="1DFC61BB"/>
    <w:rsid w:val="28FF42C9"/>
    <w:rsid w:val="2AB34B90"/>
    <w:rsid w:val="2BDC3F07"/>
    <w:rsid w:val="379469C4"/>
    <w:rsid w:val="3B541EA8"/>
    <w:rsid w:val="46D3298A"/>
    <w:rsid w:val="4ABB7620"/>
    <w:rsid w:val="4D32521E"/>
    <w:rsid w:val="4F257483"/>
    <w:rsid w:val="58BE7B96"/>
    <w:rsid w:val="592D1AE8"/>
    <w:rsid w:val="5B560C66"/>
    <w:rsid w:val="63872CC8"/>
    <w:rsid w:val="661F4632"/>
    <w:rsid w:val="68B66FDB"/>
    <w:rsid w:val="6DC421C8"/>
    <w:rsid w:val="6E7838C8"/>
    <w:rsid w:val="6F0B78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1152</Words>
  <Characters>1273</Characters>
  <Lines>12</Lines>
  <Paragraphs>3</Paragraphs>
  <TotalTime>7</TotalTime>
  <ScaleCrop>false</ScaleCrop>
  <LinksUpToDate>false</LinksUpToDate>
  <CharactersWithSpaces>1281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2025-08-26T11:59:19Z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