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046FC">
      <w:pPr>
        <w:spacing w:line="560" w:lineRule="exact"/>
        <w:jc w:val="center"/>
        <w:rPr>
          <w:rFonts w:ascii="方正小标宋简体" w:eastAsia="方正小标宋简体"/>
          <w:sz w:val="36"/>
          <w:szCs w:val="36"/>
        </w:rPr>
      </w:pPr>
      <w:r>
        <w:rPr>
          <w:rFonts w:hint="eastAsia" w:ascii="方正小标宋简体" w:eastAsia="方正小标宋简体"/>
          <w:sz w:val="36"/>
          <w:szCs w:val="36"/>
          <w:lang w:eastAsia="zh-CN"/>
        </w:rPr>
        <w:t>2024</w:t>
      </w:r>
      <w:r>
        <w:rPr>
          <w:rFonts w:hint="eastAsia" w:ascii="方正小标宋简体" w:eastAsia="方正小标宋简体"/>
          <w:sz w:val="36"/>
          <w:szCs w:val="36"/>
        </w:rPr>
        <w:t>年度部门整体绩效评价报告</w:t>
      </w:r>
    </w:p>
    <w:p w14:paraId="6B64347B">
      <w:pPr>
        <w:jc w:val="both"/>
        <w:rPr>
          <w:rFonts w:ascii="仿宋_GB2312"/>
          <w:szCs w:val="30"/>
        </w:rPr>
      </w:pPr>
    </w:p>
    <w:p w14:paraId="189C04B7">
      <w:pPr>
        <w:spacing w:line="600" w:lineRule="exact"/>
        <w:ind w:firstLine="640" w:firstLineChars="200"/>
        <w:outlineLvl w:val="0"/>
        <w:rPr>
          <w:rFonts w:ascii="黑体" w:hAnsi="黑体" w:eastAsia="黑体" w:cs="宋体"/>
          <w:color w:val="000000"/>
          <w:kern w:val="0"/>
          <w:sz w:val="32"/>
          <w:szCs w:val="32"/>
        </w:rPr>
      </w:pPr>
      <w:bookmarkStart w:id="0" w:name="_Toc137450581"/>
      <w:bookmarkStart w:id="1" w:name="_Toc10785"/>
      <w:r>
        <w:rPr>
          <w:rFonts w:hint="eastAsia" w:ascii="黑体" w:hAnsi="黑体" w:eastAsia="黑体" w:cs="宋体"/>
          <w:color w:val="000000"/>
          <w:kern w:val="0"/>
          <w:sz w:val="32"/>
          <w:szCs w:val="32"/>
        </w:rPr>
        <w:t>一、部门概况</w:t>
      </w:r>
      <w:bookmarkEnd w:id="0"/>
      <w:bookmarkEnd w:id="1"/>
    </w:p>
    <w:p w14:paraId="75D21505">
      <w:pPr>
        <w:spacing w:line="600" w:lineRule="exact"/>
        <w:ind w:firstLine="640" w:firstLineChars="200"/>
        <w:outlineLvl w:val="1"/>
        <w:rPr>
          <w:rFonts w:ascii="楷体_GB2312" w:eastAsia="楷体_GB2312"/>
          <w:sz w:val="32"/>
          <w:szCs w:val="32"/>
        </w:rPr>
      </w:pPr>
      <w:bookmarkStart w:id="2" w:name="_Toc26124"/>
      <w:bookmarkStart w:id="3" w:name="_Toc137450582"/>
      <w:r>
        <w:rPr>
          <w:rFonts w:hint="eastAsia" w:ascii="楷体_GB2312" w:eastAsia="楷体_GB2312"/>
          <w:sz w:val="32"/>
          <w:szCs w:val="32"/>
        </w:rPr>
        <w:t>（一）机构设置及职责工作任务情况</w:t>
      </w:r>
      <w:bookmarkEnd w:id="2"/>
      <w:bookmarkEnd w:id="3"/>
    </w:p>
    <w:p w14:paraId="542A345D">
      <w:pPr>
        <w:keepNext/>
        <w:keepLines/>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4" w:name="_Toc23204"/>
      <w:r>
        <w:rPr>
          <w:rFonts w:hint="default" w:ascii="仿宋_GB2312" w:hAnsi="仿宋_GB2312" w:eastAsia="仿宋_GB2312" w:cs="仿宋_GB2312"/>
          <w:color w:val="000000"/>
          <w:kern w:val="0"/>
          <w:sz w:val="32"/>
          <w:szCs w:val="32"/>
          <w:lang w:val="en-US" w:eastAsia="zh-CN" w:bidi="ar-SA"/>
        </w:rPr>
        <w:t>1.</w:t>
      </w:r>
      <w:r>
        <w:rPr>
          <w:rFonts w:hint="eastAsia" w:ascii="仿宋_GB2312" w:hAnsi="仿宋_GB2312" w:eastAsia="仿宋_GB2312" w:cs="仿宋_GB2312"/>
          <w:color w:val="000000"/>
          <w:kern w:val="0"/>
          <w:sz w:val="32"/>
          <w:szCs w:val="32"/>
        </w:rPr>
        <w:t>机构设置</w:t>
      </w:r>
      <w:bookmarkEnd w:id="4"/>
    </w:p>
    <w:p w14:paraId="44E165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rPr>
        <w:t>北京市医院管理中心（以下简称“市医管中心”）</w:t>
      </w:r>
      <w:r>
        <w:rPr>
          <w:rFonts w:hint="eastAsia" w:ascii="仿宋_GB2312" w:hAnsi="仿宋_GB2312" w:eastAsia="仿宋_GB2312" w:cs="仿宋_GB2312"/>
          <w:sz w:val="32"/>
          <w:szCs w:val="32"/>
          <w:lang w:eastAsia="zh-CN"/>
        </w:rPr>
        <w:t>部门有23家二级单位，为北京市医院管理中心本级及22家所属医院。所属医院包括：首都医科大学附属北京友谊医院、首都医科大学附属北京同仁医院、首都医科大学宣武医院、首都医科大学附属北京朝阳医院、首都医科大学附属北京积水潭医院、首都医科大学附属北京天坛医院、首都医科大学附属北京安贞医院、首都医科大学附属北京儿童医院、首都医科大学附属首都儿童医学中心、首都医科大学附属北京口腔医院、首都医科大学附属北京妇产医院、首都医科大学附属北京安定医院、北京回龙观医院、首都医科大学附属北京地坛医院、首都医科大学附属北京佑安医院、首都医科大学附属北京胸科医院、北京老年医院、北京肿瘤医院、北京小汤山医院、首都医科大学附属北京世纪坛医院、首都医科大学附属北京中医医院、北京清华长庚医院。</w:t>
      </w:r>
    </w:p>
    <w:p w14:paraId="678F8F10">
      <w:pPr>
        <w:keepNext/>
        <w:keepLines/>
        <w:pageBreakBefore w:val="0"/>
        <w:numPr>
          <w:ilvl w:val="0"/>
          <w:numId w:val="0"/>
        </w:numPr>
        <w:kinsoku/>
        <w:wordWrap/>
        <w:overflowPunct/>
        <w:topLinePunct w:val="0"/>
        <w:autoSpaceDE/>
        <w:autoSpaceDN/>
        <w:bidi w:val="0"/>
        <w:adjustRightInd w:val="0"/>
        <w:snapToGrid w:val="0"/>
        <w:spacing w:line="600" w:lineRule="exact"/>
        <w:ind w:left="0" w:leftChars="0" w:firstLine="640" w:firstLineChars="200"/>
        <w:textAlignment w:val="auto"/>
        <w:outlineLvl w:val="2"/>
        <w:rPr>
          <w:rFonts w:ascii="仿宋_GB2312" w:hAnsi="宋体" w:eastAsia="仿宋_GB2312" w:cs="宋体"/>
          <w:color w:val="000000"/>
          <w:kern w:val="0"/>
          <w:sz w:val="32"/>
          <w:szCs w:val="32"/>
        </w:rPr>
      </w:pPr>
      <w:bookmarkStart w:id="5" w:name="_Toc16840"/>
      <w:r>
        <w:rPr>
          <w:rFonts w:hint="default" w:ascii="仿宋_GB2312" w:hAnsi="宋体" w:eastAsia="仿宋_GB2312" w:cs="宋体"/>
          <w:color w:val="000000"/>
          <w:kern w:val="0"/>
          <w:sz w:val="32"/>
          <w:szCs w:val="32"/>
          <w:lang w:val="en-US" w:eastAsia="zh-CN" w:bidi="ar-SA"/>
        </w:rPr>
        <w:t>2.</w:t>
      </w:r>
      <w:bookmarkEnd w:id="5"/>
      <w:r>
        <w:rPr>
          <w:rFonts w:hint="eastAsia" w:ascii="仿宋_GB2312" w:hAnsi="宋体" w:eastAsia="仿宋_GB2312" w:cs="宋体"/>
          <w:color w:val="000000"/>
          <w:kern w:val="0"/>
          <w:sz w:val="32"/>
          <w:szCs w:val="32"/>
        </w:rPr>
        <w:t>职责工作任务情况</w:t>
      </w:r>
    </w:p>
    <w:p w14:paraId="7366B1B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仿宋_GB2312" w:eastAsia="仿宋_GB2312" w:cs="仿宋_GB2312"/>
          <w:color w:val="000000"/>
          <w:kern w:val="0"/>
          <w:sz w:val="32"/>
          <w:szCs w:val="32"/>
        </w:rPr>
        <w:t>市医管中心</w:t>
      </w:r>
      <w:r>
        <w:rPr>
          <w:rFonts w:hint="eastAsia" w:ascii="仿宋_GB2312" w:hAnsi="宋体" w:eastAsia="仿宋_GB2312" w:cs="宋体"/>
          <w:color w:val="000000"/>
          <w:kern w:val="0"/>
          <w:sz w:val="32"/>
          <w:szCs w:val="32"/>
        </w:rPr>
        <w:t>是北京市卫生健康委员会所属的事业单位，根据《北京市医院管理中心职能配置、内设机构和人员编制规定》和《关于调整北京市医院管理中心职责机构编制的批复》等文件要求，主要职责如下：</w:t>
      </w:r>
    </w:p>
    <w:p w14:paraId="4B66B678">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组织所办医院贯彻落实有关法律法规、规章和政策措施、规划标准，参与相关行业规划和标准的研究拟订，组织制定所办医院发展规划并组织实施；</w:t>
      </w:r>
    </w:p>
    <w:p w14:paraId="2CF13D4C">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推进所办医院管理体制和运行机制改革，建立并完善现代医院管理制度；</w:t>
      </w:r>
    </w:p>
    <w:p w14:paraId="2CCC1A83">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承担所办医院国有资产保值增值的责任，优化资源配置，加强品牌建设，提高运行效益，对医院国有资产使用和处置进行监督管理；</w:t>
      </w:r>
    </w:p>
    <w:p w14:paraId="5271038D">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负责建立并完善所办医院绩效考核评价体系并组织实施；</w:t>
      </w:r>
    </w:p>
    <w:p w14:paraId="4F5FA802">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承担所办医院医疗、医技、护理、药事等服务质量管理的责任，组织所办医院加强行风建设、优化服务流程、规范服务行为，妥善处理医疗纠纷和重大医疗事故；</w:t>
      </w:r>
    </w:p>
    <w:p w14:paraId="3729A6E1">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负责督促、指导所办医院依法承担基本医疗、公共卫生服务和突发公共卫生事件的医疗救护；</w:t>
      </w:r>
    </w:p>
    <w:p w14:paraId="2D8A0DBE">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推进所办医院的科技、教育培训和人才队伍建设，以及重点学科建设和科技成果的推广、转化、应用；</w:t>
      </w:r>
    </w:p>
    <w:p w14:paraId="0C9A5DCD">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负责统筹推进所办医院网络安全和信息化建设工作；</w:t>
      </w:r>
    </w:p>
    <w:p w14:paraId="3FC9A11F">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负责加强对所办医院基本建设的管理和指导等工作；</w:t>
      </w:r>
    </w:p>
    <w:p w14:paraId="202E8DAF">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承担本市医院行业管理有关技术性辅助性工作的职责，为市卫生健康委管行业提供技术支撑</w:t>
      </w:r>
      <w:r>
        <w:rPr>
          <w:rFonts w:hint="eastAsia" w:ascii="仿宋_GB2312" w:hAnsi="宋体" w:eastAsia="仿宋_GB2312" w:cs="宋体"/>
          <w:color w:val="000000"/>
          <w:kern w:val="0"/>
          <w:sz w:val="32"/>
          <w:szCs w:val="32"/>
          <w:lang w:eastAsia="zh-CN"/>
        </w:rPr>
        <w:t>；</w:t>
      </w:r>
    </w:p>
    <w:p w14:paraId="35B7E55F">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宋体" w:eastAsia="仿宋_GB2312" w:cs="宋体"/>
          <w:color w:val="000000"/>
          <w:kern w:val="0"/>
          <w:sz w:val="32"/>
          <w:szCs w:val="32"/>
        </w:rPr>
        <w:t>完成市委、市政府及市卫生健康委交办的其他任务。</w:t>
      </w:r>
    </w:p>
    <w:p w14:paraId="6203155B">
      <w:pPr>
        <w:pageBreakBefore w:val="0"/>
        <w:kinsoku/>
        <w:wordWrap/>
        <w:overflowPunct/>
        <w:topLinePunct w:val="0"/>
        <w:autoSpaceDE/>
        <w:autoSpaceDN/>
        <w:bidi w:val="0"/>
        <w:spacing w:line="600" w:lineRule="exact"/>
        <w:ind w:firstLine="640" w:firstLineChars="200"/>
        <w:textAlignment w:val="auto"/>
        <w:outlineLvl w:val="1"/>
        <w:rPr>
          <w:rFonts w:ascii="仿宋_GB2312" w:hAnsi="宋体" w:eastAsia="仿宋_GB2312" w:cs="宋体"/>
          <w:color w:val="000000"/>
          <w:kern w:val="0"/>
          <w:sz w:val="32"/>
          <w:szCs w:val="32"/>
        </w:rPr>
      </w:pPr>
      <w:bookmarkStart w:id="6" w:name="_Toc137450583"/>
      <w:bookmarkStart w:id="7" w:name="_Toc17351"/>
      <w:r>
        <w:rPr>
          <w:rFonts w:hint="eastAsia" w:ascii="楷体_GB2312" w:eastAsia="楷体_GB2312"/>
          <w:sz w:val="32"/>
          <w:szCs w:val="32"/>
        </w:rPr>
        <w:t>（二）部门整体绩效目标设立情况</w:t>
      </w:r>
      <w:bookmarkEnd w:id="6"/>
      <w:bookmarkEnd w:id="7"/>
    </w:p>
    <w:p w14:paraId="47A5C8E2">
      <w:pPr>
        <w:pageBreakBefore w:val="0"/>
        <w:kinsoku/>
        <w:wordWrap/>
        <w:overflowPunct/>
        <w:topLinePunct w:val="0"/>
        <w:autoSpaceDE/>
        <w:autoSpaceDN/>
        <w:bidi w:val="0"/>
        <w:spacing w:line="600" w:lineRule="exact"/>
        <w:ind w:firstLine="640" w:firstLineChars="200"/>
        <w:textAlignment w:val="auto"/>
        <w:rPr>
          <w:rFonts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rPr>
        <w:t>市</w:t>
      </w:r>
      <w:r>
        <w:rPr>
          <w:rFonts w:hint="eastAsia" w:ascii="仿宋_GB2312" w:hAnsi="仿宋_GB2312" w:eastAsia="仿宋_GB2312" w:cs="仿宋_GB2312"/>
          <w:color w:val="000000"/>
          <w:kern w:val="0"/>
          <w:sz w:val="32"/>
          <w:szCs w:val="32"/>
          <w:highlight w:val="none"/>
          <w:lang w:val="en-US" w:eastAsia="zh-CN"/>
        </w:rPr>
        <w:t>医管中心</w:t>
      </w:r>
      <w:r>
        <w:rPr>
          <w:rFonts w:hint="eastAsia" w:ascii="仿宋_GB2312" w:hAnsi="仿宋_GB2312" w:eastAsia="仿宋_GB2312" w:cs="仿宋_GB2312"/>
          <w:color w:val="000000"/>
          <w:kern w:val="0"/>
          <w:sz w:val="32"/>
          <w:szCs w:val="32"/>
          <w:highlight w:val="none"/>
        </w:rPr>
        <w:t>部门整体绩效目标结合部门职责职能、中长期规划、202</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年重点工作、相关政策等进行设立，设置了部门绩效目标，具体内容为</w:t>
      </w:r>
      <w:r>
        <w:rPr>
          <w:rFonts w:hint="eastAsia" w:eastAsia="仿宋_GB2312" w:cs="仿宋_GB2312"/>
          <w:sz w:val="32"/>
          <w:szCs w:val="32"/>
          <w:highlight w:val="none"/>
        </w:rPr>
        <w:t>：</w:t>
      </w:r>
    </w:p>
    <w:p w14:paraId="485C933D">
      <w:pPr>
        <w:pageBreakBefore w:val="0"/>
        <w:kinsoku/>
        <w:wordWrap/>
        <w:overflowPunct/>
        <w:topLinePunct w:val="0"/>
        <w:autoSpaceDE/>
        <w:autoSpaceDN/>
        <w:bidi w:val="0"/>
        <w:spacing w:line="600" w:lineRule="exact"/>
        <w:ind w:firstLine="640" w:firstLineChars="200"/>
        <w:textAlignment w:val="auto"/>
        <w:rPr>
          <w:rFonts w:hint="eastAsia" w:eastAsia="仿宋_GB2312" w:cs="仿宋_GB2312"/>
          <w:b w:val="0"/>
          <w:bCs w:val="0"/>
          <w:sz w:val="32"/>
          <w:szCs w:val="32"/>
          <w:highlight w:val="none"/>
          <w:lang w:val="en-US" w:eastAsia="zh-CN"/>
        </w:rPr>
      </w:pPr>
      <w:r>
        <w:rPr>
          <w:rFonts w:hint="eastAsia" w:eastAsia="仿宋_GB2312" w:cs="仿宋_GB2312"/>
          <w:b w:val="0"/>
          <w:bCs w:val="0"/>
          <w:sz w:val="32"/>
          <w:szCs w:val="32"/>
          <w:highlight w:val="none"/>
          <w:lang w:val="en-US" w:eastAsia="zh-CN"/>
        </w:rPr>
        <w:t>动员市属医疗机构广大干部职工，以习近平新时代中国特色社会主义思想为指导，全面贯彻落实党的二十大精神，推动全面从严治党向纵深发展。紧密围绕“十四五”卫生事业发展规划和现代医院管理制度建设中确定的目标和主要工作任务，以深化医药卫生体制改革为主线，推进现代医院管理制度实施，探索科学的公立医院绩效管理体系，全面提升医院的运行效率、服务水平和核心竞争力。完善与加强医院绩效管理、降低成本高效运营，进一步增强医院的品牌和影响力，增强竞争优势和综合实力，持续推进研究型创新型医院建设，提高国有资产保值增效，把国家和北京深化医药卫生体制改革提出的各项任务和要求精神落实到位。</w:t>
      </w:r>
    </w:p>
    <w:p w14:paraId="48186CD5">
      <w:pPr>
        <w:pageBreakBefore w:val="0"/>
        <w:kinsoku/>
        <w:wordWrap/>
        <w:overflowPunct/>
        <w:topLinePunct w:val="0"/>
        <w:autoSpaceDE/>
        <w:autoSpaceDN/>
        <w:bidi w:val="0"/>
        <w:spacing w:line="600" w:lineRule="exact"/>
        <w:ind w:firstLine="640" w:firstLineChars="200"/>
        <w:textAlignment w:val="auto"/>
      </w:pPr>
      <w:r>
        <w:rPr>
          <w:rFonts w:hint="eastAsia" w:ascii="仿宋_GB2312" w:hAnsi="仿宋_GB2312" w:eastAsia="仿宋_GB2312" w:cs="仿宋_GB2312"/>
          <w:b w:val="0"/>
          <w:bCs w:val="0"/>
          <w:sz w:val="32"/>
          <w:szCs w:val="32"/>
          <w:highlight w:val="none"/>
          <w:lang w:val="en-US" w:eastAsia="zh-CN"/>
        </w:rPr>
        <w:t>围绕整体绩效目标情况，市医管中心从</w:t>
      </w:r>
      <w:r>
        <w:rPr>
          <w:rFonts w:hint="eastAsia" w:ascii="仿宋_GB2312" w:hAnsi="仿宋_GB2312" w:eastAsia="仿宋_GB2312" w:cs="仿宋_GB2312"/>
          <w:color w:val="000000"/>
          <w:kern w:val="0"/>
          <w:sz w:val="32"/>
          <w:szCs w:val="32"/>
          <w:highlight w:val="none"/>
          <w:lang w:val="en-US" w:eastAsia="zh-CN"/>
        </w:rPr>
        <w:t>27个</w:t>
      </w:r>
      <w:r>
        <w:rPr>
          <w:rFonts w:hint="eastAsia" w:ascii="仿宋_GB2312" w:hAnsi="仿宋_GB2312" w:eastAsia="仿宋_GB2312" w:cs="仿宋_GB2312"/>
          <w:b w:val="0"/>
          <w:bCs w:val="0"/>
          <w:sz w:val="32"/>
          <w:szCs w:val="32"/>
          <w:highlight w:val="none"/>
          <w:lang w:val="en-US" w:eastAsia="zh-CN"/>
        </w:rPr>
        <w:t>方面对整体绩效指标情况进行了分项设置，分别为：门诊人次≥3000万人次；累计出院患者人次≥95万人次；预约诊疗人次数≥2800万人次；手术人数≥40万人次；注册药师（士）人数≥1500人；国家级重点专（学）科数量≥75个；各类科技成果（医药科技成果、知识产权）≥200项；推进疏解提升项目规划建设，按计划推进重点工程数量=12个；推动“北京市示范性研究型病房”建设的市属医院数量≥18家；开展市属医院后勤服务评价的市属医院数量=22家；开展22家市属医院安全能力提升，加强应急能力建设，持续提升安全管理水平；处方合格率≥90%；平均床位使用率≥85%；实现分时段预约就诊医院的占比100%；门诊预约率≥95%；甲乙类等重点大型医用设备平均年使用率≥85%；成本收益率提高，人均医疗业务成本保持合理水平；平均住院天数≤8.5天；上半年完成全年财政项目立项并开展工作，9月份完成预算执行任务的60%以上，12月底完成全年预算执行任务；加大科技创新类投入≥4亿元；总资产≥500亿元；净资产≥300亿元；资产负债率≤40%；继续推进相约守护、守护天使志愿服务等工作，创新医患沟通形式；结合接诉即办反映的突出问题，出台改善医疗服务措施；患者满意度≥80分；建立并完善第三方参与的医院服务患者满意度评价机制。</w:t>
      </w:r>
    </w:p>
    <w:p w14:paraId="5CE3D156">
      <w:pPr>
        <w:pStyle w:val="20"/>
        <w:shd w:val="clear" w:color="auto" w:fill="FFFFFF"/>
        <w:spacing w:before="0" w:beforeAutospacing="0" w:after="0" w:afterAutospacing="0" w:line="580" w:lineRule="exact"/>
        <w:ind w:right="0" w:firstLine="640" w:firstLineChars="200"/>
        <w:jc w:val="both"/>
        <w:rPr>
          <w:rFonts w:ascii="仿宋_GB2312" w:eastAsia="仿宋_GB2312"/>
          <w:b w:val="0"/>
          <w:color w:val="000000"/>
          <w:sz w:val="32"/>
          <w:szCs w:val="32"/>
          <w:highlight w:val="green"/>
        </w:rPr>
      </w:pPr>
      <w:r>
        <w:rPr>
          <w:rFonts w:hint="eastAsia" w:ascii="仿宋_GB2312" w:eastAsia="仿宋_GB2312"/>
          <w:b w:val="0"/>
          <w:color w:val="000000"/>
          <w:sz w:val="32"/>
          <w:szCs w:val="32"/>
          <w:highlight w:val="none"/>
        </w:rPr>
        <w:t>上述绩效目标及绩效指标与市</w:t>
      </w:r>
      <w:r>
        <w:rPr>
          <w:rFonts w:hint="eastAsia" w:ascii="仿宋_GB2312" w:eastAsia="仿宋_GB2312"/>
          <w:b w:val="0"/>
          <w:color w:val="000000"/>
          <w:sz w:val="32"/>
          <w:szCs w:val="32"/>
          <w:highlight w:val="none"/>
          <w:lang w:val="en-US" w:eastAsia="zh-CN"/>
        </w:rPr>
        <w:t>医管中心</w:t>
      </w:r>
      <w:r>
        <w:rPr>
          <w:rFonts w:hint="eastAsia" w:ascii="仿宋_GB2312" w:eastAsia="仿宋_GB2312"/>
          <w:b w:val="0"/>
          <w:color w:val="000000"/>
          <w:sz w:val="32"/>
          <w:szCs w:val="32"/>
          <w:highlight w:val="none"/>
        </w:rPr>
        <w:t>主要职责任务相匹配，目标总体较为合理，但部分绩效指标的细化量化程度仍需进一步加强。</w:t>
      </w:r>
    </w:p>
    <w:p w14:paraId="06BE6FE5">
      <w:pPr>
        <w:pageBreakBefore w:val="0"/>
        <w:kinsoku/>
        <w:wordWrap/>
        <w:overflowPunct/>
        <w:topLinePunct w:val="0"/>
        <w:autoSpaceDE/>
        <w:autoSpaceDN/>
        <w:bidi w:val="0"/>
        <w:spacing w:line="600" w:lineRule="exact"/>
        <w:ind w:firstLine="640" w:firstLineChars="200"/>
        <w:textAlignment w:val="auto"/>
        <w:outlineLvl w:val="0"/>
        <w:rPr>
          <w:rFonts w:ascii="黑体" w:hAnsi="黑体" w:eastAsia="黑体" w:cs="宋体"/>
          <w:color w:val="000000"/>
          <w:kern w:val="0"/>
          <w:sz w:val="32"/>
          <w:szCs w:val="32"/>
        </w:rPr>
      </w:pPr>
      <w:bookmarkStart w:id="8" w:name="_Toc137450584"/>
      <w:bookmarkStart w:id="9" w:name="_Toc17651"/>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8"/>
      <w:bookmarkEnd w:id="9"/>
    </w:p>
    <w:p w14:paraId="0B6CAFAD">
      <w:pPr>
        <w:pageBreakBefore w:val="0"/>
        <w:kinsoku/>
        <w:wordWrap/>
        <w:overflowPunct/>
        <w:topLinePunct w:val="0"/>
        <w:autoSpaceDE/>
        <w:autoSpaceDN/>
        <w:bidi w:val="0"/>
        <w:spacing w:line="600" w:lineRule="exact"/>
        <w:ind w:firstLine="640" w:firstLineChars="200"/>
        <w:jc w:val="both"/>
        <w:textAlignment w:val="auto"/>
        <w:rPr>
          <w:rFonts w:hint="eastAsia" w:ascii="仿宋_GB2312" w:hAnsi="仿宋_GB2312" w:eastAsia="仿宋_GB2312" w:cs="仿宋_GB2312"/>
          <w:color w:val="000000"/>
          <w:kern w:val="0"/>
          <w:sz w:val="32"/>
          <w:szCs w:val="32"/>
          <w:highlight w:val="yellow"/>
        </w:rPr>
      </w:pPr>
      <w:r>
        <w:rPr>
          <w:rFonts w:hint="eastAsia" w:ascii="仿宋_GB2312" w:hAnsi="仿宋_GB2312" w:eastAsia="仿宋_GB2312" w:cs="仿宋_GB2312"/>
          <w:color w:val="000000"/>
          <w:kern w:val="0"/>
          <w:sz w:val="32"/>
          <w:szCs w:val="32"/>
          <w:highlight w:val="none"/>
          <w:lang w:val="en-US" w:eastAsia="zh-CN"/>
        </w:rPr>
        <w:t>2024年全年预算数10,050,205.52万元，其中，基本支出预算数8,572,984.35万元，项目支出预算数1,477,221.17万元。全年支出7,952,824.99万元，其中，基本支出7,162,405.85万元，项目支出790,419.14万元。预算执行率为79.13%。</w:t>
      </w:r>
    </w:p>
    <w:p w14:paraId="1504B427">
      <w:pPr>
        <w:pageBreakBefore w:val="0"/>
        <w:kinsoku/>
        <w:wordWrap/>
        <w:overflowPunct/>
        <w:topLinePunct w:val="0"/>
        <w:autoSpaceDE/>
        <w:autoSpaceDN/>
        <w:bidi w:val="0"/>
        <w:spacing w:line="600" w:lineRule="exact"/>
        <w:ind w:left="105" w:leftChars="50" w:firstLine="640" w:firstLineChars="200"/>
        <w:textAlignment w:val="auto"/>
        <w:outlineLvl w:val="0"/>
        <w:rPr>
          <w:rFonts w:ascii="黑体" w:hAnsi="黑体" w:eastAsia="黑体" w:cs="宋体"/>
          <w:color w:val="000000"/>
          <w:kern w:val="0"/>
          <w:sz w:val="32"/>
          <w:szCs w:val="32"/>
        </w:rPr>
      </w:pPr>
      <w:bookmarkStart w:id="10" w:name="_Toc137450585"/>
      <w:bookmarkStart w:id="11" w:name="_Toc2550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0"/>
      <w:bookmarkEnd w:id="11"/>
    </w:p>
    <w:p w14:paraId="5C89E945">
      <w:pPr>
        <w:pageBreakBefore w:val="0"/>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12" w:name="_Toc137450586"/>
      <w:bookmarkStart w:id="13" w:name="_Toc14833"/>
      <w:r>
        <w:rPr>
          <w:rFonts w:hint="eastAsia" w:ascii="楷体_GB2312" w:eastAsia="楷体_GB2312"/>
          <w:sz w:val="32"/>
          <w:szCs w:val="32"/>
        </w:rPr>
        <w:t>（一）产出完成情况分析</w:t>
      </w:r>
      <w:bookmarkEnd w:id="12"/>
      <w:bookmarkEnd w:id="13"/>
    </w:p>
    <w:p w14:paraId="4F44C4BC">
      <w:pPr>
        <w:pageBreakBefore w:val="0"/>
        <w:tabs>
          <w:tab w:val="left" w:pos="2310"/>
        </w:tabs>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kern w:val="0"/>
          <w:sz w:val="32"/>
          <w:szCs w:val="32"/>
        </w:rPr>
      </w:pPr>
      <w:bookmarkStart w:id="14" w:name="_Toc5410"/>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产出数量</w:t>
      </w:r>
      <w:bookmarkEnd w:id="14"/>
    </w:p>
    <w:p w14:paraId="3BF54ABB">
      <w:pPr>
        <w:pageBreakBefore w:val="0"/>
        <w:tabs>
          <w:tab w:val="left" w:pos="2310"/>
        </w:tabs>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年，市</w:t>
      </w:r>
      <w:r>
        <w:rPr>
          <w:rFonts w:hint="eastAsia" w:ascii="仿宋_GB2312" w:hAnsi="仿宋_GB2312" w:eastAsia="仿宋_GB2312" w:cs="仿宋_GB2312"/>
          <w:color w:val="000000"/>
          <w:kern w:val="0"/>
          <w:sz w:val="32"/>
          <w:szCs w:val="32"/>
          <w:highlight w:val="none"/>
          <w:lang w:val="en-US" w:eastAsia="zh-CN"/>
        </w:rPr>
        <w:t>医管中心</w:t>
      </w:r>
      <w:r>
        <w:rPr>
          <w:rFonts w:hint="eastAsia" w:ascii="仿宋_GB2312" w:hAnsi="仿宋_GB2312" w:eastAsia="仿宋_GB2312" w:cs="仿宋_GB2312"/>
          <w:color w:val="000000"/>
          <w:kern w:val="0"/>
          <w:sz w:val="32"/>
          <w:szCs w:val="32"/>
          <w:highlight w:val="none"/>
        </w:rPr>
        <w:t>工作取得新进展新成效，主要产出数量如下：</w:t>
      </w:r>
    </w:p>
    <w:p w14:paraId="0C3E5E4D">
      <w:pPr>
        <w:pageBreakBefore w:val="0"/>
        <w:tabs>
          <w:tab w:val="left" w:pos="2310"/>
        </w:tabs>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lang w:eastAsia="zh-CN"/>
        </w:rPr>
        <w:t>）2024</w:t>
      </w:r>
      <w:r>
        <w:rPr>
          <w:rFonts w:hint="eastAsia" w:ascii="仿宋_GB2312" w:hAnsi="仿宋_GB2312" w:eastAsia="仿宋_GB2312" w:cs="仿宋_GB2312"/>
          <w:color w:val="000000"/>
          <w:kern w:val="0"/>
          <w:sz w:val="32"/>
          <w:szCs w:val="32"/>
          <w:highlight w:val="none"/>
        </w:rPr>
        <w:t>年度市</w:t>
      </w:r>
      <w:r>
        <w:rPr>
          <w:rFonts w:hint="eastAsia" w:ascii="仿宋_GB2312" w:hAnsi="仿宋_GB2312" w:eastAsia="仿宋_GB2312" w:cs="仿宋_GB2312"/>
          <w:sz w:val="32"/>
          <w:szCs w:val="32"/>
          <w:highlight w:val="none"/>
        </w:rPr>
        <w:t>医管中心下属医疗机构</w:t>
      </w:r>
      <w:r>
        <w:rPr>
          <w:rFonts w:hint="eastAsia" w:ascii="仿宋_GB2312" w:hAnsi="仿宋_GB2312" w:eastAsia="仿宋_GB2312" w:cs="仿宋_GB2312"/>
          <w:color w:val="000000"/>
          <w:kern w:val="0"/>
          <w:sz w:val="32"/>
          <w:szCs w:val="32"/>
          <w:highlight w:val="none"/>
        </w:rPr>
        <w:t>接待门诊患者</w:t>
      </w:r>
      <w:r>
        <w:rPr>
          <w:rFonts w:hint="eastAsia" w:ascii="仿宋_GB2312" w:hAnsi="仿宋_GB2312" w:eastAsia="仿宋_GB2312" w:cs="仿宋_GB2312"/>
          <w:color w:val="000000"/>
          <w:kern w:val="0"/>
          <w:sz w:val="32"/>
          <w:szCs w:val="32"/>
          <w:highlight w:val="none"/>
          <w:lang w:val="en-US" w:eastAsia="zh-CN"/>
        </w:rPr>
        <w:t>3680</w:t>
      </w:r>
      <w:r>
        <w:rPr>
          <w:rFonts w:hint="eastAsia" w:ascii="仿宋_GB2312" w:hAnsi="仿宋_GB2312" w:eastAsia="仿宋_GB2312" w:cs="仿宋_GB2312"/>
          <w:color w:val="000000"/>
          <w:kern w:val="0"/>
          <w:sz w:val="32"/>
          <w:szCs w:val="32"/>
          <w:highlight w:val="none"/>
        </w:rPr>
        <w:t>万人次</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sz w:val="32"/>
          <w:szCs w:val="32"/>
          <w:highlight w:val="none"/>
          <w:lang w:val="en-US" w:eastAsia="zh-CN"/>
        </w:rPr>
        <w:t>门诊</w:t>
      </w:r>
      <w:r>
        <w:rPr>
          <w:rFonts w:hint="eastAsia" w:ascii="仿宋_GB2312" w:hAnsi="仿宋_GB2312" w:eastAsia="仿宋_GB2312" w:cs="仿宋_GB2312"/>
          <w:sz w:val="32"/>
          <w:szCs w:val="32"/>
          <w:highlight w:val="none"/>
        </w:rPr>
        <w:t>预约率</w:t>
      </w:r>
      <w:r>
        <w:rPr>
          <w:rFonts w:hint="eastAsia" w:ascii="仿宋_GB2312" w:hAnsi="仿宋_GB2312" w:eastAsia="仿宋_GB2312" w:cs="仿宋_GB2312"/>
          <w:sz w:val="32"/>
          <w:szCs w:val="32"/>
          <w:highlight w:val="none"/>
          <w:lang w:val="en-US" w:eastAsia="zh-CN"/>
        </w:rPr>
        <w:t>97%，</w:t>
      </w:r>
      <w:r>
        <w:rPr>
          <w:rFonts w:hint="eastAsia" w:ascii="仿宋_GB2312" w:hAnsi="仿宋_GB2312" w:eastAsia="仿宋_GB2312" w:cs="仿宋_GB2312"/>
          <w:sz w:val="32"/>
          <w:szCs w:val="32"/>
          <w:highlight w:val="none"/>
        </w:rPr>
        <w:t>预约诊疗人次数</w:t>
      </w:r>
      <w:r>
        <w:rPr>
          <w:rFonts w:hint="eastAsia" w:ascii="仿宋_GB2312" w:hAnsi="仿宋_GB2312" w:eastAsia="仿宋_GB2312" w:cs="仿宋_GB2312"/>
          <w:sz w:val="32"/>
          <w:szCs w:val="32"/>
          <w:highlight w:val="none"/>
          <w:lang w:val="en-US" w:eastAsia="zh-CN"/>
        </w:rPr>
        <w:t>3569.6万人次，</w:t>
      </w:r>
      <w:r>
        <w:rPr>
          <w:rFonts w:hint="eastAsia" w:ascii="仿宋_GB2312" w:hAnsi="仿宋_GB2312" w:eastAsia="仿宋_GB2312" w:cs="仿宋_GB2312"/>
          <w:color w:val="000000"/>
          <w:kern w:val="0"/>
          <w:sz w:val="32"/>
          <w:szCs w:val="32"/>
          <w:highlight w:val="none"/>
        </w:rPr>
        <w:t>累计出院患者</w:t>
      </w:r>
      <w:r>
        <w:rPr>
          <w:rFonts w:hint="eastAsia" w:ascii="仿宋_GB2312" w:hAnsi="仿宋_GB2312" w:eastAsia="仿宋_GB2312" w:cs="仿宋_GB2312"/>
          <w:color w:val="000000"/>
          <w:kern w:val="0"/>
          <w:sz w:val="32"/>
          <w:szCs w:val="32"/>
          <w:highlight w:val="none"/>
          <w:lang w:val="en-US" w:eastAsia="zh-CN"/>
        </w:rPr>
        <w:t>143.5</w:t>
      </w:r>
      <w:r>
        <w:rPr>
          <w:rFonts w:hint="eastAsia" w:ascii="仿宋_GB2312" w:hAnsi="仿宋_GB2312" w:eastAsia="仿宋_GB2312" w:cs="仿宋_GB2312"/>
          <w:color w:val="000000"/>
          <w:kern w:val="0"/>
          <w:sz w:val="32"/>
          <w:szCs w:val="32"/>
          <w:highlight w:val="none"/>
        </w:rPr>
        <w:t>万人</w:t>
      </w:r>
      <w:r>
        <w:rPr>
          <w:rFonts w:hint="eastAsia" w:ascii="仿宋_GB2312" w:hAnsi="仿宋_GB2312" w:eastAsia="仿宋_GB2312" w:cs="仿宋_GB2312"/>
          <w:color w:val="000000"/>
          <w:kern w:val="0"/>
          <w:sz w:val="32"/>
          <w:szCs w:val="32"/>
          <w:highlight w:val="none"/>
          <w:lang w:val="en-US" w:eastAsia="zh-CN"/>
        </w:rPr>
        <w:t>次</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手术</w:t>
      </w:r>
      <w:r>
        <w:rPr>
          <w:rFonts w:hint="eastAsia" w:ascii="仿宋_GB2312" w:hAnsi="仿宋_GB2312" w:eastAsia="仿宋_GB2312" w:cs="仿宋_GB2312"/>
          <w:color w:val="000000"/>
          <w:kern w:val="0"/>
          <w:sz w:val="32"/>
          <w:szCs w:val="32"/>
          <w:highlight w:val="none"/>
          <w:lang w:val="en-US" w:eastAsia="zh-CN"/>
        </w:rPr>
        <w:t>人数60.96万人次</w:t>
      </w:r>
      <w:r>
        <w:rPr>
          <w:rFonts w:hint="eastAsia" w:ascii="仿宋_GB2312" w:hAnsi="仿宋_GB2312" w:eastAsia="仿宋_GB2312" w:cs="仿宋_GB2312"/>
          <w:color w:val="000000"/>
          <w:kern w:val="0"/>
          <w:sz w:val="32"/>
          <w:szCs w:val="32"/>
          <w:highlight w:val="none"/>
          <w:lang w:eastAsia="zh-CN"/>
        </w:rPr>
        <w:t>。</w:t>
      </w:r>
    </w:p>
    <w:p w14:paraId="0F737A07">
      <w:pPr>
        <w:pageBreakBefore w:val="0"/>
        <w:numPr>
          <w:ilvl w:val="0"/>
          <w:numId w:val="2"/>
        </w:numPr>
        <w:tabs>
          <w:tab w:val="left" w:pos="2310"/>
        </w:tabs>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开展22家市属医院后勤服务评价，主动发现管理薄弱环节，制定相应管理措施，加强应急能力建设，持续提升安全管理水平。</w:t>
      </w:r>
    </w:p>
    <w:p w14:paraId="0F853A50">
      <w:pPr>
        <w:pageBreakBefore w:val="0"/>
        <w:numPr>
          <w:ilvl w:val="0"/>
          <w:numId w:val="2"/>
        </w:numPr>
        <w:tabs>
          <w:tab w:val="left" w:pos="2310"/>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推动18家市属医院“北京市示范性研究型病房”建设；</w:t>
      </w:r>
      <w:r>
        <w:rPr>
          <w:rFonts w:hint="eastAsia" w:ascii="仿宋_GB2312" w:hAnsi="仿宋_GB2312" w:eastAsia="仿宋_GB2312" w:cs="仿宋_GB2312"/>
          <w:color w:val="auto"/>
          <w:sz w:val="32"/>
          <w:szCs w:val="32"/>
          <w:highlight w:val="none"/>
          <w:lang w:val="en-US" w:eastAsia="zh-CN"/>
        </w:rPr>
        <w:t>加强学科建设，获批国家级重点专（学）科数量98项；持续加强成果转化，</w:t>
      </w:r>
      <w:r>
        <w:rPr>
          <w:rFonts w:hint="eastAsia" w:ascii="仿宋_GB2312" w:hAnsi="仿宋_GB2312" w:eastAsia="仿宋_GB2312" w:cs="仿宋_GB2312"/>
          <w:bCs/>
          <w:kern w:val="2"/>
          <w:sz w:val="32"/>
          <w:szCs w:val="32"/>
          <w:highlight w:val="none"/>
          <w:lang w:val="en-US" w:eastAsia="zh-CN"/>
        </w:rPr>
        <w:t>各类科技成果667项</w:t>
      </w:r>
      <w:r>
        <w:rPr>
          <w:rFonts w:hint="eastAsia" w:ascii="仿宋_GB2312" w:hAnsi="仿宋_GB2312" w:eastAsia="仿宋_GB2312" w:cs="仿宋_GB2312"/>
          <w:bCs/>
          <w:kern w:val="2"/>
          <w:sz w:val="32"/>
          <w:szCs w:val="32"/>
          <w:highlight w:val="none"/>
        </w:rPr>
        <w:t>。</w:t>
      </w:r>
    </w:p>
    <w:p w14:paraId="0811E679">
      <w:pPr>
        <w:pageBreakBefore w:val="0"/>
        <w:numPr>
          <w:ilvl w:val="0"/>
          <w:numId w:val="2"/>
        </w:numPr>
        <w:tabs>
          <w:tab w:val="left" w:pos="2310"/>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bCs/>
          <w:kern w:val="2"/>
          <w:sz w:val="32"/>
          <w:szCs w:val="32"/>
          <w:highlight w:val="none"/>
          <w:lang w:eastAsia="zh-CN"/>
        </w:rPr>
        <w:t>延长服务时间。率先开设周末门诊、夜间门诊，22家医院914个科室开设周末门诊，日均投放号源</w:t>
      </w:r>
      <w:r>
        <w:rPr>
          <w:rFonts w:hint="eastAsia" w:ascii="仿宋_GB2312" w:hAnsi="仿宋_GB2312" w:eastAsia="仿宋_GB2312" w:cs="仿宋_GB2312"/>
          <w:bCs/>
          <w:kern w:val="2"/>
          <w:sz w:val="32"/>
          <w:szCs w:val="32"/>
          <w:highlight w:val="none"/>
          <w:lang w:val="en-US" w:eastAsia="zh-CN"/>
        </w:rPr>
        <w:t>五万余个</w:t>
      </w:r>
      <w:r>
        <w:rPr>
          <w:rFonts w:hint="eastAsia" w:ascii="仿宋_GB2312" w:hAnsi="仿宋_GB2312" w:eastAsia="仿宋_GB2312" w:cs="仿宋_GB2312"/>
          <w:bCs/>
          <w:kern w:val="2"/>
          <w:sz w:val="32"/>
          <w:szCs w:val="32"/>
          <w:highlight w:val="none"/>
          <w:lang w:eastAsia="zh-CN"/>
        </w:rPr>
        <w:t>；4家医院周末门诊与工作日门诊量占比超60%。14家医院16个院区共107个科室提供晚间延时门诊服务，日均投放号源2990个，同比增加78.69%，为患者提供了更为便捷的就医途径。</w:t>
      </w:r>
    </w:p>
    <w:p w14:paraId="1205CEB6">
      <w:pPr>
        <w:pageBreakBefore w:val="0"/>
        <w:numPr>
          <w:ilvl w:val="0"/>
          <w:numId w:val="2"/>
        </w:numPr>
        <w:tabs>
          <w:tab w:val="left" w:pos="2310"/>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bCs/>
          <w:kern w:val="2"/>
          <w:sz w:val="32"/>
          <w:szCs w:val="32"/>
          <w:highlight w:val="none"/>
          <w:lang w:eastAsia="zh-CN"/>
        </w:rPr>
        <w:t>互联网诊疗规模持续扩大。22家市属医院均获批互联网诊疗资质，累计服务患者超243.56万人次，其中外地患者占比52.27%，2024年同比增长23.65%，</w:t>
      </w:r>
      <w:r>
        <w:rPr>
          <w:rFonts w:hint="eastAsia" w:ascii="仿宋_GB2312" w:hAnsi="仿宋_GB2312" w:eastAsia="仿宋_GB2312" w:cs="仿宋_GB2312"/>
          <w:sz w:val="32"/>
          <w:szCs w:val="32"/>
          <w:lang w:eastAsia="zh-CN"/>
        </w:rPr>
        <w:t>北京肿瘤医院</w:t>
      </w:r>
      <w:r>
        <w:rPr>
          <w:rFonts w:hint="eastAsia" w:ascii="仿宋_GB2312" w:hAnsi="仿宋_GB2312" w:eastAsia="仿宋_GB2312" w:cs="仿宋_GB2312"/>
          <w:bCs/>
          <w:kern w:val="2"/>
          <w:sz w:val="32"/>
          <w:szCs w:val="32"/>
          <w:highlight w:val="none"/>
          <w:lang w:eastAsia="zh-CN"/>
        </w:rPr>
        <w:t>、首都儿童医学中心互联网诊疗占比超10%，进一步扩增优质医疗服务供给，形成线上线下一体化的现代医院服务与管理模式。</w:t>
      </w:r>
    </w:p>
    <w:p w14:paraId="2F5FE273">
      <w:pPr>
        <w:pageBreakBefore w:val="0"/>
        <w:numPr>
          <w:ilvl w:val="0"/>
          <w:numId w:val="2"/>
        </w:numPr>
        <w:tabs>
          <w:tab w:val="left" w:pos="2310"/>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b w:val="0"/>
          <w:bCs w:val="0"/>
          <w:color w:val="auto"/>
          <w:sz w:val="32"/>
          <w:szCs w:val="32"/>
          <w:highlight w:val="none"/>
        </w:rPr>
        <w:t>强化儿科医疗服务保障，实现儿科门诊“应开尽</w:t>
      </w:r>
      <w:r>
        <w:rPr>
          <w:rFonts w:hint="eastAsia" w:ascii="仿宋_GB2312" w:hAnsi="仿宋_GB2312" w:eastAsia="仿宋_GB2312" w:cs="仿宋_GB2312"/>
          <w:color w:val="auto"/>
          <w:sz w:val="32"/>
          <w:szCs w:val="32"/>
          <w:highlight w:val="none"/>
        </w:rPr>
        <w:t>开”，</w:t>
      </w:r>
      <w:r>
        <w:rPr>
          <w:rFonts w:hint="eastAsia" w:ascii="仿宋_GB2312" w:hAnsi="仿宋_GB2312" w:eastAsia="仿宋_GB2312" w:cs="仿宋_GB2312"/>
          <w:color w:val="auto"/>
          <w:sz w:val="32"/>
          <w:szCs w:val="32"/>
          <w:highlight w:val="none"/>
          <w:lang w:bidi="ar"/>
        </w:rPr>
        <w:t>15个院区开设夜间门诊或延时门诊，20个院区开设周末儿科服务</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b w:val="0"/>
          <w:bCs w:val="0"/>
          <w:color w:val="auto"/>
          <w:sz w:val="32"/>
          <w:szCs w:val="32"/>
          <w:highlight w:val="none"/>
          <w:lang w:val="en-US" w:eastAsia="zh-CN"/>
        </w:rPr>
        <w:t>2024年12月以来</w:t>
      </w:r>
      <w:r>
        <w:rPr>
          <w:rFonts w:hint="eastAsia" w:ascii="仿宋_GB2312" w:hAnsi="仿宋_GB2312" w:eastAsia="仿宋_GB2312" w:cs="仿宋_GB2312"/>
          <w:color w:val="auto"/>
          <w:kern w:val="0"/>
          <w:sz w:val="32"/>
          <w:szCs w:val="32"/>
        </w:rPr>
        <w:t>儿科诊疗能力</w:t>
      </w:r>
      <w:r>
        <w:rPr>
          <w:rFonts w:hint="eastAsia" w:ascii="仿宋_GB2312" w:hAnsi="仿宋_GB2312" w:eastAsia="仿宋_GB2312" w:cs="仿宋_GB2312"/>
          <w:color w:val="auto"/>
          <w:kern w:val="0"/>
          <w:sz w:val="32"/>
          <w:szCs w:val="32"/>
          <w:lang w:eastAsia="zh-CN"/>
        </w:rPr>
        <w:t>扩容约</w:t>
      </w:r>
      <w:r>
        <w:rPr>
          <w:rFonts w:hint="eastAsia" w:ascii="仿宋_GB2312" w:hAnsi="仿宋_GB2312" w:eastAsia="仿宋_GB2312" w:cs="仿宋_GB2312"/>
          <w:color w:val="auto"/>
          <w:kern w:val="0"/>
          <w:sz w:val="32"/>
          <w:szCs w:val="32"/>
          <w:lang w:val="en-US" w:eastAsia="zh-CN"/>
        </w:rPr>
        <w:t>10%</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bidi="ar"/>
        </w:rPr>
        <w:t>有力保障儿童呼吸道传染病就医需求。</w:t>
      </w:r>
    </w:p>
    <w:p w14:paraId="6612B5FC">
      <w:pPr>
        <w:pageBreakBefore w:val="0"/>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bookmarkStart w:id="15" w:name="_Toc18855"/>
      <w:r>
        <w:rPr>
          <w:rFonts w:hint="default"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val="en-US" w:eastAsia="zh-CN"/>
        </w:rPr>
        <w:t>产出质量</w:t>
      </w:r>
      <w:bookmarkEnd w:id="15"/>
    </w:p>
    <w:p w14:paraId="54DA1882">
      <w:pPr>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eastAsia="zh-CN"/>
        </w:rPr>
        <w:t>202</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lang w:eastAsia="zh-CN"/>
        </w:rPr>
        <w:t>年，市</w:t>
      </w:r>
      <w:r>
        <w:rPr>
          <w:rFonts w:hint="eastAsia" w:ascii="仿宋_GB2312" w:hAnsi="仿宋_GB2312" w:eastAsia="仿宋_GB2312" w:cs="仿宋_GB2312"/>
          <w:sz w:val="32"/>
          <w:szCs w:val="32"/>
          <w:highlight w:val="none"/>
        </w:rPr>
        <w:t>医管中心</w:t>
      </w:r>
      <w:r>
        <w:rPr>
          <w:rFonts w:hint="eastAsia" w:ascii="仿宋_GB2312" w:hAnsi="仿宋_GB2312" w:eastAsia="仿宋_GB2312" w:cs="仿宋_GB2312"/>
          <w:color w:val="000000"/>
          <w:kern w:val="0"/>
          <w:sz w:val="32"/>
          <w:szCs w:val="32"/>
          <w:highlight w:val="none"/>
          <w:lang w:eastAsia="zh-CN"/>
        </w:rPr>
        <w:t>工作取得新进展新成效，主要产出质量</w:t>
      </w:r>
      <w:r>
        <w:rPr>
          <w:rFonts w:hint="eastAsia" w:ascii="仿宋_GB2312" w:hAnsi="仿宋_GB2312" w:eastAsia="仿宋_GB2312" w:cs="仿宋_GB2312"/>
          <w:color w:val="000000"/>
          <w:kern w:val="0"/>
          <w:sz w:val="32"/>
          <w:szCs w:val="32"/>
          <w:highlight w:val="none"/>
          <w:lang w:val="en-US" w:eastAsia="zh-CN"/>
        </w:rPr>
        <w:t>指标</w:t>
      </w:r>
      <w:r>
        <w:rPr>
          <w:rFonts w:hint="eastAsia" w:ascii="仿宋_GB2312" w:hAnsi="仿宋_GB2312" w:eastAsia="仿宋_GB2312" w:cs="仿宋_GB2312"/>
          <w:color w:val="000000"/>
          <w:kern w:val="0"/>
          <w:sz w:val="32"/>
          <w:szCs w:val="32"/>
          <w:highlight w:val="none"/>
          <w:lang w:eastAsia="zh-CN"/>
        </w:rPr>
        <w:t>如下：</w:t>
      </w:r>
    </w:p>
    <w:p w14:paraId="1276FD57">
      <w:pPr>
        <w:pageBreakBefore w:val="0"/>
        <w:numPr>
          <w:ilvl w:val="0"/>
          <w:numId w:val="3"/>
        </w:numPr>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sz w:val="32"/>
          <w:szCs w:val="32"/>
          <w:highlight w:val="none"/>
        </w:rPr>
        <w:t>下属医疗机构</w:t>
      </w:r>
      <w:r>
        <w:rPr>
          <w:rFonts w:hint="eastAsia" w:ascii="仿宋_GB2312" w:hAnsi="仿宋_GB2312" w:eastAsia="仿宋_GB2312" w:cs="仿宋_GB2312"/>
          <w:sz w:val="32"/>
          <w:szCs w:val="32"/>
          <w:highlight w:val="none"/>
          <w:lang w:val="en-US" w:eastAsia="zh-CN"/>
        </w:rPr>
        <w:t>100%实现分时段预约就诊，平均床位使用率96.1%</w:t>
      </w:r>
      <w:r>
        <w:rPr>
          <w:rFonts w:hint="eastAsia"/>
          <w:lang w:eastAsia="zh-CN"/>
        </w:rPr>
        <w:t>。</w:t>
      </w:r>
      <w:r>
        <w:rPr>
          <w:rFonts w:hint="eastAsia" w:ascii="仿宋_GB2312" w:hAnsi="仿宋_GB2312" w:eastAsia="仿宋_GB2312" w:cs="仿宋_GB2312"/>
          <w:sz w:val="32"/>
          <w:szCs w:val="32"/>
          <w:highlight w:val="none"/>
          <w:lang w:val="en-US" w:eastAsia="zh-CN"/>
        </w:rPr>
        <w:t>门急诊处方合格率98.04%。</w:t>
      </w:r>
    </w:p>
    <w:p w14:paraId="34F81931">
      <w:pPr>
        <w:pageBreakBefore w:val="0"/>
        <w:numPr>
          <w:ilvl w:val="0"/>
          <w:numId w:val="3"/>
        </w:numPr>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Style w:val="31"/>
          <w:rFonts w:hint="eastAsia" w:ascii="仿宋_GB2312" w:hAnsi="仿宋_GB2312" w:eastAsia="仿宋_GB2312" w:cs="仿宋_GB2312"/>
          <w:b w:val="0"/>
          <w:bCs w:val="0"/>
          <w:color w:val="auto"/>
          <w:highlight w:val="none"/>
        </w:rPr>
        <w:t>积极升级服务措施，</w:t>
      </w:r>
      <w:r>
        <w:rPr>
          <w:rStyle w:val="31"/>
          <w:rFonts w:hint="eastAsia" w:ascii="仿宋_GB2312" w:hAnsi="仿宋_GB2312" w:eastAsia="仿宋_GB2312" w:cs="仿宋_GB2312"/>
          <w:b w:val="0"/>
          <w:bCs w:val="0"/>
          <w:color w:val="auto"/>
          <w:highlight w:val="none"/>
          <w:lang w:val="en-US"/>
        </w:rPr>
        <w:t>提升群众办事效率</w:t>
      </w:r>
      <w:r>
        <w:rPr>
          <w:rStyle w:val="31"/>
          <w:rFonts w:hint="eastAsia" w:ascii="仿宋_GB2312" w:hAnsi="仿宋_GB2312" w:eastAsia="仿宋_GB2312" w:cs="仿宋_GB2312"/>
          <w:b w:val="0"/>
          <w:bCs w:val="0"/>
          <w:color w:val="auto"/>
          <w:highlight w:val="none"/>
        </w:rPr>
        <w:t>。设立一站式服务中心、实行“一柜通办”、方便患者“一站式”就近办理，优化大型检查预约改约、提供全方位多种途径，推广“全院一张床”管理、提高床位使用效率、缩短患者住院等待时间，优化支付服务、实现22家市属医院医保移动支付及电子票据全覆盖。</w:t>
      </w:r>
    </w:p>
    <w:p w14:paraId="0FA14BB8">
      <w:pPr>
        <w:pageBreakBefore w:val="0"/>
        <w:numPr>
          <w:ilvl w:val="0"/>
          <w:numId w:val="3"/>
        </w:numPr>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bidi="ar"/>
        </w:rPr>
        <w:t>积极扩展服务模式。</w:t>
      </w:r>
      <w:r>
        <w:rPr>
          <w:rFonts w:hint="eastAsia" w:ascii="仿宋_GB2312" w:hAnsi="仿宋_GB2312" w:eastAsia="仿宋_GB2312" w:cs="仿宋_GB2312"/>
          <w:b w:val="0"/>
          <w:bCs w:val="0"/>
          <w:color w:val="auto"/>
          <w:sz w:val="32"/>
          <w:szCs w:val="32"/>
          <w:highlight w:val="none"/>
          <w:lang w:bidi="ar"/>
        </w:rPr>
        <w:t>开设专病专症、药学、营养、MDT等门诊，满足患者精准就医需求</w:t>
      </w:r>
      <w:r>
        <w:rPr>
          <w:rFonts w:hint="eastAsia" w:ascii="仿宋_GB2312" w:hAnsi="仿宋_GB2312" w:eastAsia="仿宋_GB2312" w:cs="仿宋_GB2312"/>
          <w:b w:val="0"/>
          <w:bCs w:val="0"/>
          <w:color w:val="auto"/>
          <w:sz w:val="32"/>
          <w:szCs w:val="32"/>
          <w:highlight w:val="none"/>
          <w:lang w:eastAsia="zh-CN" w:bidi="ar"/>
        </w:rPr>
        <w:t>。</w:t>
      </w:r>
    </w:p>
    <w:p w14:paraId="0077DE9A">
      <w:pPr>
        <w:pageBreakBefore w:val="0"/>
        <w:numPr>
          <w:ilvl w:val="0"/>
          <w:numId w:val="3"/>
        </w:numPr>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创新药学服务模式</w:t>
      </w:r>
      <w:r>
        <w:rPr>
          <w:rFonts w:hint="eastAsia" w:ascii="仿宋_GB2312" w:hAnsi="仿宋_GB2312" w:eastAsia="仿宋_GB2312" w:cs="仿宋_GB2312"/>
          <w:b w:val="0"/>
          <w:bCs w:val="0"/>
          <w:color w:val="auto"/>
          <w:sz w:val="32"/>
          <w:szCs w:val="32"/>
          <w:highlight w:val="none"/>
          <w:lang w:bidi="ar"/>
        </w:rPr>
        <w:t>，针对多重用药患者，特别是</w:t>
      </w:r>
      <w:r>
        <w:rPr>
          <w:rFonts w:hint="eastAsia" w:ascii="仿宋_GB2312" w:hAnsi="仿宋_GB2312" w:eastAsia="仿宋_GB2312" w:cs="仿宋_GB2312"/>
          <w:color w:val="auto"/>
          <w:sz w:val="32"/>
          <w:szCs w:val="32"/>
          <w:highlight w:val="none"/>
          <w:lang w:bidi="ar"/>
        </w:rPr>
        <w:t>老年人、妇产、儿童等特殊人群，推广重整药学服务，</w:t>
      </w:r>
      <w:r>
        <w:rPr>
          <w:rFonts w:hint="eastAsia" w:ascii="仿宋_GB2312" w:hAnsi="仿宋_GB2312" w:eastAsia="仿宋_GB2312" w:cs="仿宋_GB2312"/>
          <w:color w:val="auto"/>
          <w:sz w:val="32"/>
          <w:szCs w:val="32"/>
          <w:highlight w:val="none"/>
        </w:rPr>
        <w:t>在22家市属医院开设药物重整门诊</w:t>
      </w:r>
      <w:r>
        <w:rPr>
          <w:rFonts w:hint="eastAsia" w:ascii="仿宋" w:hAnsi="仿宋" w:eastAsia="仿宋" w:cs="宋体"/>
          <w:color w:val="auto"/>
          <w:kern w:val="0"/>
          <w:sz w:val="32"/>
          <w:szCs w:val="32"/>
          <w:highlight w:val="none"/>
        </w:rPr>
        <w:t>，</w:t>
      </w:r>
      <w:r>
        <w:rPr>
          <w:rFonts w:hint="eastAsia" w:ascii="仿宋_GB2312" w:hAnsi="仿宋_GB2312" w:eastAsia="仿宋_GB2312" w:cs="仿宋_GB2312"/>
          <w:color w:val="auto"/>
          <w:sz w:val="32"/>
          <w:szCs w:val="32"/>
          <w:highlight w:val="none"/>
          <w:lang w:val="en-US" w:eastAsia="zh-CN" w:bidi="ar"/>
        </w:rPr>
        <w:t>有效</w:t>
      </w:r>
      <w:r>
        <w:rPr>
          <w:rFonts w:hint="eastAsia" w:ascii="仿宋_GB2312" w:hAnsi="仿宋_GB2312" w:eastAsia="仿宋_GB2312" w:cs="仿宋_GB2312"/>
          <w:color w:val="auto"/>
          <w:sz w:val="32"/>
          <w:szCs w:val="32"/>
          <w:highlight w:val="none"/>
          <w:lang w:bidi="ar"/>
        </w:rPr>
        <w:t>保障</w:t>
      </w:r>
      <w:r>
        <w:rPr>
          <w:rFonts w:hint="eastAsia" w:ascii="仿宋_GB2312" w:hAnsi="仿宋_GB2312" w:eastAsia="仿宋_GB2312" w:cs="仿宋_GB2312"/>
          <w:color w:val="auto"/>
          <w:sz w:val="32"/>
          <w:szCs w:val="32"/>
          <w:highlight w:val="none"/>
          <w:lang w:val="en-US" w:eastAsia="zh-CN" w:bidi="ar"/>
        </w:rPr>
        <w:t>患者</w:t>
      </w:r>
      <w:r>
        <w:rPr>
          <w:rFonts w:hint="eastAsia" w:ascii="仿宋_GB2312" w:hAnsi="仿宋_GB2312" w:eastAsia="仿宋_GB2312" w:cs="仿宋_GB2312"/>
          <w:color w:val="auto"/>
          <w:sz w:val="32"/>
          <w:szCs w:val="32"/>
          <w:highlight w:val="none"/>
          <w:lang w:bidi="ar"/>
        </w:rPr>
        <w:t>用药安全。</w:t>
      </w:r>
    </w:p>
    <w:p w14:paraId="72BC759D">
      <w:pPr>
        <w:pageBreakBefore w:val="0"/>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kern w:val="0"/>
          <w:sz w:val="32"/>
          <w:szCs w:val="32"/>
        </w:rPr>
      </w:pPr>
      <w:bookmarkStart w:id="16" w:name="_Toc30848"/>
      <w:r>
        <w:rPr>
          <w:rFonts w:hint="default"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产出进度</w:t>
      </w:r>
      <w:bookmarkEnd w:id="16"/>
    </w:p>
    <w:p w14:paraId="3BB3B1EF">
      <w:pPr>
        <w:pageBreakBefore w:val="0"/>
        <w:kinsoku/>
        <w:wordWrap/>
        <w:overflowPunct/>
        <w:topLinePunct w:val="0"/>
        <w:autoSpaceDE/>
        <w:autoSpaceDN/>
        <w:bidi w:val="0"/>
        <w:spacing w:line="600" w:lineRule="exact"/>
        <w:ind w:firstLine="640" w:firstLineChars="200"/>
        <w:textAlignment w:val="auto"/>
        <w:rPr>
          <w:rStyle w:val="31"/>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000000"/>
          <w:kern w:val="0"/>
          <w:sz w:val="32"/>
          <w:szCs w:val="32"/>
          <w:highlight w:val="none"/>
          <w:lang w:val="en-US" w:eastAsia="zh-CN"/>
        </w:rPr>
        <w:t>加强预算管理，按需落实资金保障和预算执行。</w:t>
      </w:r>
      <w:r>
        <w:rPr>
          <w:rFonts w:hint="eastAsia" w:ascii="仿宋_GB2312" w:hAnsi="仿宋_GB2312" w:eastAsia="仿宋_GB2312" w:cs="仿宋_GB2312"/>
          <w:b w:val="0"/>
          <w:bCs w:val="0"/>
          <w:color w:val="000000"/>
          <w:kern w:val="0"/>
          <w:sz w:val="32"/>
          <w:szCs w:val="32"/>
          <w:highlight w:val="none"/>
          <w:lang w:eastAsia="zh-CN"/>
        </w:rPr>
        <w:t>2024年</w:t>
      </w:r>
      <w:r>
        <w:rPr>
          <w:rFonts w:hint="eastAsia" w:ascii="仿宋_GB2312" w:hAnsi="仿宋_GB2312" w:eastAsia="仿宋_GB2312" w:cs="仿宋_GB2312"/>
          <w:b w:val="0"/>
          <w:bCs w:val="0"/>
          <w:color w:val="000000"/>
          <w:kern w:val="0"/>
          <w:sz w:val="32"/>
          <w:szCs w:val="32"/>
          <w:highlight w:val="none"/>
        </w:rPr>
        <w:t>上半年，市医管中心组织部门本级和下属医疗机构完成全年财政项目立项等相关工作</w:t>
      </w:r>
      <w:r>
        <w:rPr>
          <w:rFonts w:hint="eastAsia" w:ascii="仿宋_GB2312" w:hAnsi="仿宋_GB2312" w:eastAsia="仿宋_GB2312" w:cs="仿宋_GB2312"/>
          <w:b w:val="0"/>
          <w:bCs w:val="0"/>
          <w:color w:val="000000"/>
          <w:kern w:val="0"/>
          <w:sz w:val="32"/>
          <w:szCs w:val="32"/>
          <w:highlight w:val="none"/>
          <w:lang w:eastAsia="zh-CN"/>
        </w:rPr>
        <w:t>，</w:t>
      </w:r>
      <w:r>
        <w:rPr>
          <w:rFonts w:hint="eastAsia" w:ascii="仿宋_GB2312" w:hAnsi="仿宋_GB2312" w:eastAsia="仿宋_GB2312" w:cs="仿宋_GB2312"/>
          <w:b w:val="0"/>
          <w:bCs w:val="0"/>
          <w:color w:val="000000"/>
          <w:kern w:val="0"/>
          <w:sz w:val="32"/>
          <w:szCs w:val="32"/>
          <w:highlight w:val="none"/>
        </w:rPr>
        <w:t>12月底完成全年预算执行任务</w:t>
      </w:r>
      <w:r>
        <w:rPr>
          <w:rFonts w:hint="eastAsia" w:ascii="仿宋_GB2312" w:hAnsi="仿宋_GB2312" w:eastAsia="仿宋_GB2312" w:cs="仿宋_GB2312"/>
          <w:b w:val="0"/>
          <w:bCs w:val="0"/>
          <w:color w:val="000000"/>
          <w:kern w:val="0"/>
          <w:sz w:val="32"/>
          <w:szCs w:val="32"/>
          <w:highlight w:val="none"/>
          <w:lang w:eastAsia="zh-CN"/>
        </w:rPr>
        <w:t>。着力</w:t>
      </w:r>
      <w:r>
        <w:rPr>
          <w:rFonts w:hint="eastAsia" w:ascii="仿宋_GB2312" w:eastAsia="仿宋_GB2312"/>
          <w:color w:val="auto"/>
          <w:sz w:val="32"/>
          <w:szCs w:val="32"/>
          <w:lang w:eastAsia="zh-CN"/>
        </w:rPr>
        <w:t>在市属医院</w:t>
      </w:r>
      <w:r>
        <w:rPr>
          <w:rFonts w:hint="eastAsia" w:ascii="仿宋_GB2312" w:eastAsia="仿宋_GB2312"/>
          <w:color w:val="auto"/>
          <w:sz w:val="32"/>
          <w:szCs w:val="32"/>
        </w:rPr>
        <w:t>基本建设、设备购置、重点学科发展、人才队伍建设、符合国家规定的离退休人员费用和承担公共卫生服务等方面</w:t>
      </w:r>
      <w:r>
        <w:rPr>
          <w:rFonts w:hint="eastAsia" w:ascii="仿宋_GB2312" w:eastAsia="仿宋_GB2312"/>
          <w:color w:val="auto"/>
          <w:sz w:val="32"/>
          <w:szCs w:val="32"/>
          <w:lang w:eastAsia="zh-CN"/>
        </w:rPr>
        <w:t>保证投入，</w:t>
      </w:r>
      <w:r>
        <w:rPr>
          <w:rFonts w:hint="eastAsia" w:ascii="仿宋_GB2312" w:eastAsia="仿宋_GB2312"/>
          <w:color w:val="auto"/>
          <w:sz w:val="32"/>
          <w:szCs w:val="32"/>
        </w:rPr>
        <w:t>努力</w:t>
      </w:r>
      <w:r>
        <w:rPr>
          <w:rFonts w:hint="eastAsia" w:ascii="仿宋_GB2312" w:eastAsia="仿宋_GB2312"/>
          <w:color w:val="000000"/>
          <w:sz w:val="32"/>
          <w:szCs w:val="32"/>
        </w:rPr>
        <w:t>为群众提供优质高效的卫生健康服务。</w:t>
      </w:r>
    </w:p>
    <w:p w14:paraId="24DA03D3">
      <w:pPr>
        <w:pageBreakBefore w:val="0"/>
        <w:kinsoku/>
        <w:wordWrap/>
        <w:overflowPunct/>
        <w:topLinePunct w:val="0"/>
        <w:autoSpaceDE/>
        <w:autoSpaceDN/>
        <w:bidi w:val="0"/>
        <w:spacing w:line="600" w:lineRule="exact"/>
        <w:ind w:firstLine="640" w:firstLineChars="200"/>
        <w:textAlignment w:val="auto"/>
        <w:outlineLvl w:val="2"/>
        <w:rPr>
          <w:rFonts w:hint="eastAsia" w:ascii="仿宋_GB2312" w:hAnsi="仿宋_GB2312" w:eastAsia="仿宋_GB2312" w:cs="仿宋_GB2312"/>
          <w:color w:val="000000"/>
          <w:kern w:val="0"/>
          <w:sz w:val="32"/>
          <w:szCs w:val="32"/>
          <w:highlight w:val="none"/>
          <w:lang w:val="en-US" w:eastAsia="zh-CN"/>
        </w:rPr>
      </w:pPr>
      <w:bookmarkStart w:id="17" w:name="_Toc27308"/>
      <w:r>
        <w:rPr>
          <w:rFonts w:hint="default"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lang w:val="en-US" w:eastAsia="zh-CN"/>
        </w:rPr>
        <w:t>产出成本</w:t>
      </w:r>
      <w:bookmarkEnd w:id="17"/>
    </w:p>
    <w:p w14:paraId="503FEB09">
      <w:pPr>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2024年全年预算数10,050,205.52万元，其中，基本支出预算数8,572,984.35万元，项目支出预算数1,477,221.17万元。全年支出7,952,824.99万元，其中，基本支出7,162,405.85万元，项目支出790,419.14万元。</w:t>
      </w:r>
      <w:r>
        <w:rPr>
          <w:rFonts w:hint="eastAsia" w:ascii="仿宋_GB2312" w:hAnsi="宋体" w:eastAsia="仿宋_GB2312"/>
          <w:color w:val="000000"/>
          <w:kern w:val="0"/>
          <w:sz w:val="32"/>
          <w:szCs w:val="32"/>
        </w:rPr>
        <w:t>202</w:t>
      </w:r>
      <w:r>
        <w:rPr>
          <w:rFonts w:hint="eastAsia" w:ascii="仿宋_GB2312" w:hAnsi="宋体" w:eastAsia="仿宋_GB2312"/>
          <w:color w:val="000000"/>
          <w:kern w:val="0"/>
          <w:sz w:val="32"/>
          <w:szCs w:val="32"/>
          <w:lang w:val="en-US" w:eastAsia="zh-CN"/>
        </w:rPr>
        <w:t>4</w:t>
      </w:r>
      <w:r>
        <w:rPr>
          <w:rFonts w:hint="eastAsia" w:ascii="仿宋_GB2312" w:hAnsi="宋体" w:eastAsia="仿宋_GB2312"/>
          <w:color w:val="000000"/>
          <w:kern w:val="0"/>
          <w:sz w:val="32"/>
          <w:szCs w:val="32"/>
        </w:rPr>
        <w:t>年末结转和结余</w:t>
      </w:r>
      <w:r>
        <w:rPr>
          <w:rFonts w:hint="eastAsia" w:ascii="仿宋_GB2312" w:hAnsi="宋体" w:eastAsia="仿宋_GB2312"/>
          <w:color w:val="000000"/>
          <w:kern w:val="0"/>
          <w:sz w:val="32"/>
          <w:szCs w:val="32"/>
          <w:lang w:val="en-US" w:eastAsia="zh-CN"/>
        </w:rPr>
        <w:t>2,097,380.53</w:t>
      </w:r>
      <w:r>
        <w:rPr>
          <w:rFonts w:hint="eastAsia" w:ascii="仿宋_GB2312" w:hAnsi="宋体" w:eastAsia="仿宋_GB2312"/>
          <w:color w:val="000000"/>
          <w:kern w:val="0"/>
          <w:sz w:val="32"/>
          <w:szCs w:val="32"/>
        </w:rPr>
        <w:t>万元。</w:t>
      </w:r>
      <w:r>
        <w:rPr>
          <w:rFonts w:hint="eastAsia" w:eastAsia="仿宋_GB2312"/>
          <w:kern w:val="44"/>
          <w:sz w:val="32"/>
          <w:szCs w:val="32"/>
        </w:rPr>
        <w:t>市</w:t>
      </w:r>
      <w:r>
        <w:rPr>
          <w:rFonts w:hint="eastAsia" w:eastAsia="仿宋_GB2312"/>
          <w:kern w:val="44"/>
          <w:sz w:val="32"/>
          <w:szCs w:val="32"/>
          <w:lang w:val="en-US" w:eastAsia="zh-CN"/>
        </w:rPr>
        <w:t>医管中心</w:t>
      </w:r>
      <w:r>
        <w:rPr>
          <w:rFonts w:hint="eastAsia" w:ascii="仿宋_GB2312" w:hAnsi="宋体" w:eastAsia="仿宋_GB2312"/>
          <w:color w:val="000000"/>
          <w:kern w:val="0"/>
          <w:sz w:val="32"/>
          <w:szCs w:val="32"/>
        </w:rPr>
        <w:t>通过预算评审、集体决策、政府采购、成本效益分析等成本控制手段控制成本，成本控制合理。</w:t>
      </w:r>
    </w:p>
    <w:p w14:paraId="55070827">
      <w:pPr>
        <w:pageBreakBefore w:val="0"/>
        <w:kinsoku/>
        <w:wordWrap/>
        <w:overflowPunct/>
        <w:topLinePunct w:val="0"/>
        <w:autoSpaceDE/>
        <w:autoSpaceDN/>
        <w:bidi w:val="0"/>
        <w:spacing w:line="600" w:lineRule="exact"/>
        <w:ind w:left="105" w:leftChars="50" w:firstLine="640" w:firstLineChars="200"/>
        <w:textAlignment w:val="auto"/>
        <w:outlineLvl w:val="1"/>
        <w:rPr>
          <w:rFonts w:ascii="楷体_GB2312" w:eastAsia="楷体_GB2312"/>
          <w:sz w:val="32"/>
          <w:szCs w:val="32"/>
        </w:rPr>
      </w:pPr>
      <w:bookmarkStart w:id="18" w:name="_Toc137450587"/>
      <w:bookmarkStart w:id="19" w:name="_Toc11312"/>
      <w:r>
        <w:rPr>
          <w:rFonts w:hint="eastAsia" w:ascii="楷体_GB2312" w:eastAsia="楷体_GB2312"/>
          <w:sz w:val="32"/>
          <w:szCs w:val="32"/>
        </w:rPr>
        <w:t>（二）效果</w:t>
      </w:r>
      <w:r>
        <w:rPr>
          <w:rFonts w:ascii="楷体_GB2312" w:eastAsia="楷体_GB2312"/>
          <w:sz w:val="32"/>
          <w:szCs w:val="32"/>
        </w:rPr>
        <w:t>实现情况分析</w:t>
      </w:r>
      <w:bookmarkEnd w:id="18"/>
      <w:bookmarkEnd w:id="19"/>
    </w:p>
    <w:p w14:paraId="5BE99F7D">
      <w:pPr>
        <w:pageBreakBefore w:val="0"/>
        <w:numPr>
          <w:ilvl w:val="0"/>
          <w:numId w:val="0"/>
        </w:numPr>
        <w:kinsoku/>
        <w:wordWrap/>
        <w:overflowPunct/>
        <w:topLinePunct w:val="0"/>
        <w:autoSpaceDE/>
        <w:autoSpaceDN/>
        <w:bidi w:val="0"/>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20" w:name="_Toc8951"/>
      <w:r>
        <w:rPr>
          <w:rFonts w:hint="default" w:ascii="仿宋_GB2312" w:hAnsi="仿宋_GB2312" w:eastAsia="仿宋_GB2312" w:cs="仿宋_GB2312"/>
          <w:color w:val="000000"/>
          <w:kern w:val="0"/>
          <w:sz w:val="32"/>
          <w:szCs w:val="32"/>
          <w:lang w:val="en-US" w:eastAsia="zh-CN" w:bidi="ar-SA"/>
        </w:rPr>
        <w:t>1.</w:t>
      </w:r>
      <w:r>
        <w:rPr>
          <w:rFonts w:hint="eastAsia" w:ascii="仿宋_GB2312" w:hAnsi="仿宋_GB2312" w:eastAsia="仿宋_GB2312" w:cs="仿宋_GB2312"/>
          <w:color w:val="000000"/>
          <w:kern w:val="0"/>
          <w:sz w:val="32"/>
          <w:szCs w:val="32"/>
        </w:rPr>
        <w:t>经济效益</w:t>
      </w:r>
      <w:bookmarkEnd w:id="20"/>
    </w:p>
    <w:p w14:paraId="7F0C8B41">
      <w:pPr>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eastAsia="zh-CN"/>
        </w:rPr>
        <w:t>2024</w:t>
      </w:r>
      <w:r>
        <w:rPr>
          <w:rFonts w:hint="eastAsia" w:ascii="仿宋_GB2312" w:hAnsi="仿宋_GB2312" w:eastAsia="仿宋_GB2312" w:cs="仿宋_GB2312"/>
          <w:color w:val="000000"/>
          <w:kern w:val="0"/>
          <w:sz w:val="32"/>
          <w:szCs w:val="32"/>
          <w:highlight w:val="none"/>
        </w:rPr>
        <w:t>年</w:t>
      </w:r>
      <w:r>
        <w:rPr>
          <w:rFonts w:hint="eastAsia" w:ascii="仿宋_GB2312" w:hAnsi="仿宋_GB2312" w:eastAsia="仿宋_GB2312" w:cs="仿宋_GB2312"/>
          <w:color w:val="000000"/>
          <w:kern w:val="0"/>
          <w:sz w:val="32"/>
          <w:szCs w:val="32"/>
          <w:highlight w:val="none"/>
          <w:lang w:val="en-US" w:eastAsia="zh-CN"/>
        </w:rPr>
        <w:t>末</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市属医院总体</w:t>
      </w:r>
      <w:r>
        <w:rPr>
          <w:rFonts w:hint="eastAsia" w:ascii="仿宋_GB2312" w:hAnsi="仿宋_GB2312" w:eastAsia="仿宋_GB2312" w:cs="仿宋_GB2312"/>
          <w:color w:val="000000"/>
          <w:kern w:val="0"/>
          <w:sz w:val="32"/>
          <w:szCs w:val="32"/>
          <w:highlight w:val="none"/>
        </w:rPr>
        <w:t>资产负债率</w:t>
      </w:r>
      <w:r>
        <w:rPr>
          <w:rFonts w:hint="eastAsia" w:ascii="仿宋_GB2312" w:hAnsi="仿宋_GB2312" w:eastAsia="仿宋_GB2312" w:cs="仿宋_GB2312"/>
          <w:color w:val="000000"/>
          <w:kern w:val="0"/>
          <w:sz w:val="32"/>
          <w:szCs w:val="32"/>
          <w:highlight w:val="none"/>
          <w:lang w:val="en-US" w:eastAsia="zh-CN"/>
        </w:rPr>
        <w:t>31.39</w:t>
      </w:r>
      <w:r>
        <w:rPr>
          <w:rFonts w:hint="eastAsia" w:ascii="仿宋_GB2312" w:hAnsi="仿宋_GB2312" w:eastAsia="仿宋_GB2312" w:cs="仿宋_GB2312"/>
          <w:color w:val="000000"/>
          <w:kern w:val="0"/>
          <w:sz w:val="32"/>
          <w:szCs w:val="32"/>
          <w:highlight w:val="none"/>
        </w:rPr>
        <w:t>%。</w:t>
      </w:r>
    </w:p>
    <w:p w14:paraId="627A6D5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21" w:name="_Toc16988"/>
      <w:r>
        <w:rPr>
          <w:rFonts w:hint="default" w:ascii="仿宋_GB2312" w:hAnsi="仿宋_GB2312" w:eastAsia="仿宋_GB2312" w:cs="仿宋_GB2312"/>
          <w:color w:val="000000"/>
          <w:kern w:val="0"/>
          <w:sz w:val="32"/>
          <w:szCs w:val="32"/>
          <w:lang w:val="en-US" w:eastAsia="zh-CN" w:bidi="ar-SA"/>
        </w:rPr>
        <w:t>2.</w:t>
      </w:r>
      <w:r>
        <w:rPr>
          <w:rFonts w:hint="eastAsia" w:ascii="仿宋_GB2312" w:hAnsi="仿宋_GB2312" w:eastAsia="仿宋_GB2312" w:cs="仿宋_GB2312"/>
          <w:color w:val="000000"/>
          <w:kern w:val="0"/>
          <w:sz w:val="32"/>
          <w:szCs w:val="32"/>
        </w:rPr>
        <w:t>社会效益</w:t>
      </w:r>
      <w:bookmarkEnd w:id="21"/>
    </w:p>
    <w:p w14:paraId="2D3FFEFF">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接诉即办成绩稳中有升。严格落实接诉即办“十项机制”等要求，受理办理工单6.7万件，“三率”综合成绩稳步提升。</w:t>
      </w:r>
    </w:p>
    <w:p w14:paraId="5777397C">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b w:val="0"/>
          <w:bCs w:val="0"/>
          <w:color w:val="000000"/>
          <w:kern w:val="0"/>
          <w:sz w:val="32"/>
          <w:szCs w:val="32"/>
          <w:highlight w:val="none"/>
        </w:rPr>
        <w:t>优质医疗资源持续疏解扩容。友谊医院顺义院区、安贞医院通州院区、积水潭医院回龙观院区扩建工程和口腔医院迁建工程如期竣工并开诊运行；清华长庚医院二期工程完工；首都儿童医学中心通州院区实现主体结构封顶。</w:t>
      </w:r>
    </w:p>
    <w:p w14:paraId="78B317FF">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lang w:eastAsia="zh-CN"/>
        </w:rPr>
        <w:t>（</w:t>
      </w:r>
      <w:r>
        <w:rPr>
          <w:rFonts w:hint="eastAsia" w:ascii="仿宋_GB2312" w:hAnsi="仿宋_GB2312" w:eastAsia="仿宋_GB2312" w:cs="仿宋_GB2312"/>
          <w:b w:val="0"/>
          <w:bCs w:val="0"/>
          <w:color w:val="000000"/>
          <w:kern w:val="0"/>
          <w:sz w:val="32"/>
          <w:szCs w:val="32"/>
          <w:highlight w:val="none"/>
          <w:lang w:val="en-US" w:eastAsia="zh-CN"/>
        </w:rPr>
        <w:t>3</w:t>
      </w:r>
      <w:r>
        <w:rPr>
          <w:rFonts w:hint="eastAsia" w:ascii="仿宋_GB2312" w:hAnsi="仿宋_GB2312" w:eastAsia="仿宋_GB2312" w:cs="仿宋_GB2312"/>
          <w:b w:val="0"/>
          <w:bCs w:val="0"/>
          <w:color w:val="000000"/>
          <w:kern w:val="0"/>
          <w:sz w:val="32"/>
          <w:szCs w:val="32"/>
          <w:highlight w:val="none"/>
          <w:lang w:eastAsia="zh-CN"/>
        </w:rPr>
        <w:t>）</w:t>
      </w:r>
      <w:r>
        <w:rPr>
          <w:rFonts w:hint="eastAsia" w:ascii="仿宋_GB2312" w:hAnsi="仿宋_GB2312" w:eastAsia="仿宋_GB2312" w:cs="仿宋_GB2312"/>
          <w:b w:val="0"/>
          <w:bCs w:val="0"/>
          <w:color w:val="000000"/>
          <w:kern w:val="0"/>
          <w:sz w:val="32"/>
          <w:szCs w:val="32"/>
          <w:highlight w:val="none"/>
        </w:rPr>
        <w:t>深入贯彻落实京津冀协同发展战略，持续推进京津冀卫生健康协同发展。拓展</w:t>
      </w:r>
      <w:r>
        <w:rPr>
          <w:rFonts w:hint="eastAsia" w:ascii="仿宋_GB2312" w:hAnsi="仿宋_GB2312" w:eastAsia="仿宋_GB2312" w:cs="仿宋_GB2312"/>
          <w:b w:val="0"/>
          <w:bCs w:val="0"/>
          <w:color w:val="000000"/>
          <w:kern w:val="0"/>
          <w:sz w:val="32"/>
          <w:szCs w:val="32"/>
          <w:highlight w:val="none"/>
          <w:lang w:val="en-US" w:eastAsia="zh-CN"/>
        </w:rPr>
        <w:t>北京</w:t>
      </w:r>
      <w:r>
        <w:rPr>
          <w:rFonts w:hint="eastAsia" w:ascii="仿宋_GB2312" w:hAnsi="仿宋_GB2312" w:eastAsia="仿宋_GB2312" w:cs="仿宋_GB2312"/>
          <w:b w:val="0"/>
          <w:bCs w:val="0"/>
          <w:color w:val="000000"/>
          <w:kern w:val="0"/>
          <w:sz w:val="32"/>
          <w:szCs w:val="32"/>
          <w:highlight w:val="none"/>
        </w:rPr>
        <w:t>朝阳、天坛、儿童等市属医院与保定市儿童医院等津冀医疗机构合作的广度和深度，牵头建立京津冀医联体20个，助力北京“新两翼”建设。</w:t>
      </w:r>
    </w:p>
    <w:p w14:paraId="15331923">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lang w:eastAsia="zh-CN"/>
        </w:rPr>
        <w:t>（</w:t>
      </w:r>
      <w:r>
        <w:rPr>
          <w:rFonts w:hint="eastAsia" w:ascii="仿宋_GB2312" w:hAnsi="仿宋_GB2312" w:eastAsia="仿宋_GB2312" w:cs="仿宋_GB2312"/>
          <w:b w:val="0"/>
          <w:bCs w:val="0"/>
          <w:color w:val="000000"/>
          <w:kern w:val="0"/>
          <w:sz w:val="32"/>
          <w:szCs w:val="32"/>
          <w:highlight w:val="none"/>
          <w:lang w:val="en-US" w:eastAsia="zh-CN"/>
        </w:rPr>
        <w:t>4</w:t>
      </w:r>
      <w:r>
        <w:rPr>
          <w:rFonts w:hint="eastAsia" w:ascii="仿宋_GB2312" w:hAnsi="仿宋_GB2312" w:eastAsia="仿宋_GB2312" w:cs="仿宋_GB2312"/>
          <w:b w:val="0"/>
          <w:bCs w:val="0"/>
          <w:color w:val="000000"/>
          <w:kern w:val="0"/>
          <w:sz w:val="32"/>
          <w:szCs w:val="32"/>
          <w:highlight w:val="none"/>
          <w:lang w:eastAsia="zh-CN"/>
        </w:rPr>
        <w:t>）</w:t>
      </w:r>
      <w:r>
        <w:rPr>
          <w:rFonts w:hint="eastAsia" w:ascii="仿宋_GB2312" w:hAnsi="仿宋_GB2312" w:eastAsia="仿宋_GB2312" w:cs="仿宋_GB2312"/>
          <w:b w:val="0"/>
          <w:bCs w:val="0"/>
          <w:color w:val="000000"/>
          <w:kern w:val="0"/>
          <w:sz w:val="32"/>
          <w:szCs w:val="32"/>
          <w:highlight w:val="none"/>
        </w:rPr>
        <w:t>积极落实深化医药卫生体制改革重点任务，完成“三医联动”信息化工作。22家市属医院在全市首批110家医院中率先完成电子病历医疗影像</w:t>
      </w:r>
      <w:r>
        <w:rPr>
          <w:rFonts w:hint="eastAsia" w:ascii="仿宋_GB2312" w:hAnsi="仿宋_GB2312" w:eastAsia="仿宋_GB2312" w:cs="仿宋_GB2312"/>
          <w:b w:val="0"/>
          <w:bCs w:val="0"/>
          <w:color w:val="000000"/>
          <w:kern w:val="0"/>
          <w:sz w:val="32"/>
          <w:szCs w:val="32"/>
          <w:highlight w:val="none"/>
          <w:lang w:eastAsia="zh-CN"/>
        </w:rPr>
        <w:t>线上</w:t>
      </w:r>
      <w:r>
        <w:rPr>
          <w:rFonts w:hint="eastAsia" w:ascii="仿宋_GB2312" w:hAnsi="仿宋_GB2312" w:eastAsia="仿宋_GB2312" w:cs="仿宋_GB2312"/>
          <w:b w:val="0"/>
          <w:bCs w:val="0"/>
          <w:color w:val="000000"/>
          <w:kern w:val="0"/>
          <w:sz w:val="32"/>
          <w:szCs w:val="32"/>
          <w:highlight w:val="none"/>
        </w:rPr>
        <w:t>上传和共享应用、检查结果互认、互联网医院等重点任务。</w:t>
      </w:r>
    </w:p>
    <w:p w14:paraId="070DEE38">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5</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rPr>
        <w:t>积极推动分级诊疗和医联体建设</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rPr>
        <w:t>在京共组建了区域医联体26个和专科医联体22个。落实2024年162项重点服务举措，牵头建立紧密型儿科医联体29个，市属医院向基层预约转诊平台投放全量号源，引导群众基层首诊</w:t>
      </w:r>
      <w:r>
        <w:rPr>
          <w:rFonts w:hint="eastAsia" w:ascii="仿宋_GB2312" w:eastAsia="仿宋_GB2312"/>
          <w:b w:val="0"/>
          <w:bCs w:val="0"/>
          <w:color w:val="auto"/>
          <w:sz w:val="32"/>
          <w:szCs w:val="32"/>
          <w:highlight w:val="none"/>
          <w:lang w:val="en-US" w:eastAsia="zh-CN"/>
        </w:rPr>
        <w:t>。</w:t>
      </w:r>
    </w:p>
    <w:p w14:paraId="1BC5A4A7">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eastAsia="仿宋_GB2312"/>
          <w:b w:val="0"/>
          <w:bCs w:val="0"/>
          <w:color w:val="auto"/>
          <w:sz w:val="32"/>
          <w:szCs w:val="32"/>
          <w:highlight w:val="none"/>
        </w:rPr>
      </w:pP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6</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rPr>
        <w:t>医学人文建设成效明显</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rPr>
        <w:t>开展医学人文巡讲培训74场次，发布医学人文专刊45期，加强医学人文巡讲团建设，开展57个已建成人文科室的复验，已建成人文科室118个，培养人文讲师63人。在《人民日报（海外版）》发表人文科室系列报道5期。</w:t>
      </w:r>
    </w:p>
    <w:p w14:paraId="13BCE61F">
      <w:pPr>
        <w:pageBreakBefore w:val="0"/>
        <w:numPr>
          <w:ilvl w:val="0"/>
          <w:numId w:val="0"/>
        </w:numPr>
        <w:kinsoku/>
        <w:wordWrap/>
        <w:overflowPunct/>
        <w:topLinePunct w:val="0"/>
        <w:autoSpaceDE/>
        <w:autoSpaceDN/>
        <w:bidi w:val="0"/>
        <w:spacing w:line="600" w:lineRule="exact"/>
        <w:ind w:left="0" w:leftChars="0" w:firstLine="640" w:firstLineChars="200"/>
        <w:textAlignment w:val="auto"/>
        <w:outlineLvl w:val="2"/>
        <w:rPr>
          <w:rFonts w:ascii="仿宋_GB2312" w:hAnsi="仿宋_GB2312" w:eastAsia="仿宋_GB2312" w:cs="仿宋_GB2312"/>
          <w:color w:val="000000"/>
          <w:kern w:val="0"/>
          <w:sz w:val="32"/>
          <w:szCs w:val="32"/>
        </w:rPr>
      </w:pPr>
      <w:bookmarkStart w:id="22" w:name="_Toc30700"/>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服务对象满意度</w:t>
      </w:r>
      <w:bookmarkEnd w:id="22"/>
    </w:p>
    <w:p w14:paraId="6D732964">
      <w:pPr>
        <w:pageBreakBefore w:val="0"/>
        <w:widowControl/>
        <w:kinsoku/>
        <w:wordWrap/>
        <w:overflowPunct/>
        <w:topLinePunct w:val="0"/>
        <w:autoSpaceDE/>
        <w:autoSpaceDN/>
        <w:bidi w:val="0"/>
        <w:spacing w:line="600" w:lineRule="exact"/>
        <w:ind w:firstLine="640" w:firstLineChars="200"/>
        <w:jc w:val="both"/>
        <w:textAlignment w:val="auto"/>
        <w:rPr>
          <w:rFonts w:hint="default" w:ascii="仿宋_GB2312" w:hAnsi="仿宋_GB2312" w:eastAsia="仿宋_GB2312" w:cs="仿宋_GB2312"/>
          <w:color w:val="000000"/>
          <w:sz w:val="32"/>
          <w:szCs w:val="32"/>
          <w:highlight w:val="none"/>
          <w:lang w:val="en-US"/>
        </w:rPr>
      </w:pPr>
      <w:r>
        <w:rPr>
          <w:rFonts w:hint="eastAsia" w:ascii="仿宋_GB2312" w:hAnsi="仿宋_GB2312" w:eastAsia="仿宋_GB2312" w:cs="仿宋_GB2312"/>
          <w:color w:val="000000"/>
          <w:sz w:val="32"/>
          <w:szCs w:val="32"/>
          <w:highlight w:val="none"/>
          <w:lang w:val="en-US" w:eastAsia="zh-CN"/>
        </w:rPr>
        <w:t>2024年患者满意度综合得分为91.36分，同比上升1.05%，其中门诊患者满意度同比上升2.09%、住院患者满意度同比上升0.12%。</w:t>
      </w:r>
    </w:p>
    <w:p w14:paraId="6177B895">
      <w:pPr>
        <w:pageBreakBefore w:val="0"/>
        <w:kinsoku/>
        <w:wordWrap/>
        <w:overflowPunct/>
        <w:topLinePunct w:val="0"/>
        <w:autoSpaceDE/>
        <w:autoSpaceDN/>
        <w:bidi w:val="0"/>
        <w:spacing w:line="600" w:lineRule="exact"/>
        <w:ind w:firstLine="640" w:firstLineChars="200"/>
        <w:textAlignment w:val="auto"/>
        <w:outlineLvl w:val="0"/>
        <w:rPr>
          <w:rFonts w:ascii="黑体" w:hAnsi="黑体" w:eastAsia="黑体" w:cs="宋体"/>
          <w:color w:val="000000"/>
          <w:kern w:val="0"/>
          <w:sz w:val="32"/>
          <w:szCs w:val="32"/>
        </w:rPr>
      </w:pPr>
      <w:bookmarkStart w:id="23" w:name="_Toc32559"/>
      <w:bookmarkStart w:id="24" w:name="_Toc137450588"/>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23"/>
      <w:bookmarkEnd w:id="24"/>
    </w:p>
    <w:p w14:paraId="32900E7B">
      <w:pPr>
        <w:pageBreakBefore w:val="0"/>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25" w:name="_Toc137450589"/>
      <w:bookmarkStart w:id="26" w:name="_Toc2048"/>
      <w:r>
        <w:rPr>
          <w:rFonts w:hint="eastAsia" w:ascii="楷体_GB2312" w:eastAsia="楷体_GB2312"/>
          <w:sz w:val="32"/>
          <w:szCs w:val="32"/>
        </w:rPr>
        <w:t>（一）财务管理</w:t>
      </w:r>
      <w:bookmarkEnd w:id="25"/>
      <w:bookmarkEnd w:id="26"/>
    </w:p>
    <w:p w14:paraId="1540BCAC">
      <w:pPr>
        <w:pageBreakBefore w:val="0"/>
        <w:numPr>
          <w:ilvl w:val="0"/>
          <w:numId w:val="0"/>
        </w:numPr>
        <w:kinsoku/>
        <w:wordWrap/>
        <w:overflowPunct/>
        <w:topLinePunct w:val="0"/>
        <w:autoSpaceDE/>
        <w:autoSpaceDN/>
        <w:bidi w:val="0"/>
        <w:spacing w:line="600" w:lineRule="exact"/>
        <w:ind w:left="0" w:leftChars="0" w:firstLine="640" w:firstLineChars="200"/>
        <w:textAlignment w:val="auto"/>
        <w:outlineLvl w:val="2"/>
        <w:rPr>
          <w:rFonts w:ascii="仿宋_GB2312" w:hAnsi="仿宋_GB2312" w:eastAsia="仿宋_GB2312" w:cs="仿宋_GB2312"/>
          <w:b w:val="0"/>
          <w:bCs w:val="0"/>
          <w:color w:val="000000"/>
          <w:kern w:val="0"/>
          <w:sz w:val="32"/>
          <w:szCs w:val="32"/>
        </w:rPr>
      </w:pPr>
      <w:bookmarkStart w:id="27" w:name="_Toc3702"/>
      <w:r>
        <w:rPr>
          <w:rFonts w:hint="default" w:ascii="仿宋_GB2312" w:hAnsi="仿宋_GB2312" w:eastAsia="仿宋_GB2312" w:cs="仿宋_GB2312"/>
          <w:b w:val="0"/>
          <w:bCs w:val="0"/>
          <w:color w:val="000000"/>
          <w:kern w:val="0"/>
          <w:sz w:val="32"/>
          <w:szCs w:val="32"/>
          <w:lang w:val="en-US" w:eastAsia="zh-CN" w:bidi="ar-SA"/>
        </w:rPr>
        <w:t>1.</w:t>
      </w:r>
      <w:r>
        <w:rPr>
          <w:rFonts w:hint="eastAsia" w:ascii="仿宋_GB2312" w:hAnsi="仿宋_GB2312" w:eastAsia="仿宋_GB2312" w:cs="仿宋_GB2312"/>
          <w:b w:val="0"/>
          <w:bCs w:val="0"/>
          <w:color w:val="000000"/>
          <w:kern w:val="0"/>
          <w:sz w:val="32"/>
          <w:szCs w:val="32"/>
        </w:rPr>
        <w:t>财务管理制度健全性</w:t>
      </w:r>
      <w:bookmarkEnd w:id="27"/>
    </w:p>
    <w:p w14:paraId="558BC3BB">
      <w:pPr>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市医管中心在预算编制过程中，严格落实《中华人民共和国会计法》《中华人民共和国预算法</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要求，规范市属医院预算</w:t>
      </w:r>
      <w:r>
        <w:rPr>
          <w:rFonts w:hint="eastAsia" w:ascii="仿宋_GB2312" w:hAnsi="仿宋_GB2312" w:eastAsia="仿宋_GB2312" w:cs="仿宋_GB2312"/>
          <w:color w:val="000000"/>
          <w:sz w:val="32"/>
          <w:szCs w:val="32"/>
          <w:lang w:val="en-US" w:eastAsia="zh-CN"/>
        </w:rPr>
        <w:t>编制</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按要求</w:t>
      </w:r>
      <w:r>
        <w:rPr>
          <w:rFonts w:hint="eastAsia" w:ascii="仿宋_GB2312" w:hAnsi="仿宋_GB2312" w:eastAsia="仿宋_GB2312" w:cs="仿宋_GB2312"/>
          <w:color w:val="000000"/>
          <w:sz w:val="32"/>
          <w:szCs w:val="32"/>
        </w:rPr>
        <w:t>深入推进预算管理改革。</w:t>
      </w:r>
      <w:r>
        <w:rPr>
          <w:rFonts w:hint="eastAsia" w:ascii="仿宋_GB2312" w:hAnsi="仿宋_GB2312" w:eastAsia="仿宋_GB2312" w:cs="仿宋_GB2312"/>
          <w:sz w:val="32"/>
          <w:szCs w:val="32"/>
          <w:lang w:val="en-US" w:eastAsia="zh-CN"/>
        </w:rPr>
        <w:t>建立健全财务管理、预算管理、支出管理、采购管理、资产管理、合同管理等制度，使得财务管理有章可循。</w:t>
      </w:r>
      <w:r>
        <w:rPr>
          <w:rFonts w:hint="eastAsia" w:ascii="仿宋_GB2312" w:hAnsi="仿宋_GB2312" w:eastAsia="仿宋_GB2312" w:cs="仿宋_GB2312"/>
          <w:color w:val="000000"/>
          <w:sz w:val="32"/>
          <w:szCs w:val="32"/>
        </w:rPr>
        <w:t>在部门预算绩效管理中，依据部门的内控制度</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资金支出管理办法等，明确界定资金支出的审批控制流程以及监督和保障措施，财务管理制度健全，为加强资金管理奠定了基础。</w:t>
      </w:r>
    </w:p>
    <w:p w14:paraId="06FBD1B0">
      <w:pPr>
        <w:pageBreakBefore w:val="0"/>
        <w:kinsoku/>
        <w:wordWrap/>
        <w:overflowPunct/>
        <w:topLinePunct w:val="0"/>
        <w:autoSpaceDE/>
        <w:autoSpaceDN/>
        <w:bidi w:val="0"/>
        <w:spacing w:line="600" w:lineRule="exact"/>
        <w:ind w:firstLine="640" w:firstLineChars="200"/>
        <w:jc w:val="left"/>
        <w:textAlignment w:val="auto"/>
        <w:outlineLvl w:val="2"/>
        <w:rPr>
          <w:rFonts w:hint="eastAsia" w:ascii="仿宋_GB2312" w:hAnsi="仿宋_GB2312" w:eastAsia="仿宋_GB2312" w:cs="仿宋_GB2312"/>
          <w:b w:val="0"/>
          <w:bCs w:val="0"/>
          <w:color w:val="000000"/>
          <w:kern w:val="0"/>
          <w:sz w:val="32"/>
          <w:szCs w:val="32"/>
        </w:rPr>
      </w:pPr>
      <w:bookmarkStart w:id="28" w:name="_Toc25159"/>
      <w:r>
        <w:rPr>
          <w:rFonts w:hint="default" w:ascii="仿宋_GB2312" w:hAnsi="仿宋_GB2312" w:eastAsia="仿宋_GB2312" w:cs="仿宋_GB2312"/>
          <w:b w:val="0"/>
          <w:bCs w:val="0"/>
          <w:color w:val="000000"/>
          <w:kern w:val="0"/>
          <w:sz w:val="32"/>
          <w:szCs w:val="32"/>
          <w:lang w:val="en-US" w:eastAsia="zh-CN"/>
        </w:rPr>
        <w:t>2.</w:t>
      </w:r>
      <w:r>
        <w:rPr>
          <w:rFonts w:hint="eastAsia" w:ascii="仿宋_GB2312" w:hAnsi="仿宋_GB2312" w:eastAsia="仿宋_GB2312" w:cs="仿宋_GB2312"/>
          <w:b w:val="0"/>
          <w:bCs w:val="0"/>
          <w:color w:val="000000"/>
          <w:kern w:val="0"/>
          <w:sz w:val="32"/>
          <w:szCs w:val="32"/>
        </w:rPr>
        <w:t>资金使用合规性和安全性</w:t>
      </w:r>
      <w:bookmarkEnd w:id="28"/>
    </w:p>
    <w:p w14:paraId="4366B5B7">
      <w:pPr>
        <w:pageBreakBefore w:val="0"/>
        <w:numPr>
          <w:ilvl w:val="0"/>
          <w:numId w:val="0"/>
        </w:numPr>
        <w:kinsoku/>
        <w:wordWrap/>
        <w:overflowPunct/>
        <w:topLinePunct w:val="0"/>
        <w:autoSpaceDE/>
        <w:autoSpaceDN/>
        <w:bidi w:val="0"/>
        <w:spacing w:line="600" w:lineRule="exact"/>
        <w:ind w:left="0" w:leftChars="0" w:firstLine="640" w:firstLineChars="200"/>
        <w:jc w:val="left"/>
        <w:textAlignment w:val="auto"/>
        <w:outlineLvl w:val="2"/>
        <w:rPr>
          <w:rFonts w:hint="eastAsia" w:ascii="仿宋_GB2312" w:hAnsi="仿宋_GB2312" w:eastAsia="仿宋_GB2312" w:cs="仿宋_GB2312"/>
          <w:color w:val="000000"/>
          <w:kern w:val="0"/>
          <w:sz w:val="32"/>
          <w:szCs w:val="32"/>
          <w:highlight w:val="none"/>
          <w:lang w:val="en-US" w:eastAsia="zh-CN"/>
        </w:rPr>
      </w:pPr>
      <w:bookmarkStart w:id="29" w:name="_Toc4970"/>
      <w:r>
        <w:rPr>
          <w:rFonts w:hint="eastAsia" w:ascii="仿宋_GB2312" w:hAnsi="仿宋_GB2312" w:eastAsia="仿宋_GB2312" w:cs="仿宋_GB2312"/>
          <w:color w:val="000000"/>
          <w:kern w:val="0"/>
          <w:sz w:val="32"/>
          <w:szCs w:val="32"/>
        </w:rPr>
        <w:t>市医管中心加强财会监督，主动公开预算决算情况，严格执行政府采购有关要求；资金拨付有完整的审批程序和手续；项目论证严格遵照市财政局预算管理要求，认真开展事前绩效评估和预算评审；资金使用符合部门预算批复的用途；</w:t>
      </w:r>
      <w:r>
        <w:rPr>
          <w:rFonts w:hint="eastAsia" w:ascii="仿宋_GB2312" w:hAnsi="宋体" w:eastAsia="仿宋_GB2312"/>
          <w:color w:val="000000"/>
          <w:kern w:val="0"/>
          <w:sz w:val="32"/>
          <w:szCs w:val="32"/>
          <w:highlight w:val="none"/>
          <w:lang w:val="en-US" w:eastAsia="zh-CN"/>
        </w:rPr>
        <w:t>未发现</w:t>
      </w:r>
      <w:r>
        <w:rPr>
          <w:rFonts w:hint="eastAsia" w:ascii="仿宋_GB2312" w:hAnsi="仿宋_GB2312" w:eastAsia="仿宋_GB2312" w:cs="仿宋_GB2312"/>
          <w:color w:val="000000"/>
          <w:kern w:val="0"/>
          <w:sz w:val="32"/>
          <w:szCs w:val="32"/>
        </w:rPr>
        <w:t>截留、挤占、挪用情况；资金使用符合政府采购的程序和流程；资金使用符合公务卡结算相关制度和规定；市医管中心资金使用基本符合国家财经法规和财务管理制度规定以及有关专项资金管理办法的规定</w:t>
      </w:r>
      <w:r>
        <w:rPr>
          <w:rFonts w:hint="eastAsia" w:ascii="仿宋_GB2312" w:hAnsi="仿宋_GB2312" w:eastAsia="仿宋_GB2312" w:cs="仿宋_GB2312"/>
          <w:color w:val="000000"/>
          <w:kern w:val="0"/>
          <w:sz w:val="32"/>
          <w:szCs w:val="32"/>
          <w:highlight w:val="none"/>
          <w:lang w:val="en-US" w:eastAsia="zh-CN"/>
        </w:rPr>
        <w:t>。</w:t>
      </w:r>
    </w:p>
    <w:p w14:paraId="56C05907">
      <w:pPr>
        <w:pageBreakBefore w:val="0"/>
        <w:numPr>
          <w:ilvl w:val="0"/>
          <w:numId w:val="0"/>
        </w:numPr>
        <w:kinsoku/>
        <w:wordWrap/>
        <w:overflowPunct/>
        <w:topLinePunct w:val="0"/>
        <w:autoSpaceDE/>
        <w:autoSpaceDN/>
        <w:bidi w:val="0"/>
        <w:spacing w:line="600" w:lineRule="exact"/>
        <w:ind w:left="0" w:leftChars="0" w:firstLine="640" w:firstLineChars="200"/>
        <w:textAlignment w:val="auto"/>
        <w:outlineLvl w:val="2"/>
        <w:rPr>
          <w:rFonts w:ascii="仿宋_GB2312" w:hAnsi="仿宋_GB2312" w:eastAsia="仿宋_GB2312" w:cs="仿宋_GB2312"/>
          <w:b w:val="0"/>
          <w:bCs w:val="0"/>
          <w:color w:val="000000"/>
          <w:kern w:val="0"/>
          <w:sz w:val="32"/>
          <w:szCs w:val="32"/>
        </w:rPr>
      </w:pPr>
      <w:r>
        <w:rPr>
          <w:rFonts w:hint="default" w:ascii="仿宋_GB2312" w:hAnsi="仿宋_GB2312" w:eastAsia="仿宋_GB2312" w:cs="仿宋_GB2312"/>
          <w:b w:val="0"/>
          <w:bCs w:val="0"/>
          <w:color w:val="000000"/>
          <w:kern w:val="0"/>
          <w:sz w:val="32"/>
          <w:szCs w:val="32"/>
          <w:lang w:val="en-US" w:eastAsia="zh-CN" w:bidi="ar-SA"/>
        </w:rPr>
        <w:t>3.</w:t>
      </w:r>
      <w:r>
        <w:rPr>
          <w:rFonts w:hint="eastAsia" w:ascii="仿宋_GB2312" w:hAnsi="仿宋_GB2312" w:eastAsia="仿宋_GB2312" w:cs="仿宋_GB2312"/>
          <w:b w:val="0"/>
          <w:bCs w:val="0"/>
          <w:color w:val="000000"/>
          <w:kern w:val="0"/>
          <w:sz w:val="32"/>
          <w:szCs w:val="32"/>
        </w:rPr>
        <w:t>会计基础信息完善性</w:t>
      </w:r>
      <w:bookmarkEnd w:id="29"/>
    </w:p>
    <w:p w14:paraId="052CAF19">
      <w:pPr>
        <w:pageBreakBefore w:val="0"/>
        <w:kinsoku/>
        <w:wordWrap/>
        <w:overflowPunct/>
        <w:topLinePunct w:val="0"/>
        <w:autoSpaceDE/>
        <w:autoSpaceDN/>
        <w:bidi w:val="0"/>
        <w:adjustRightInd w:val="0"/>
        <w:snapToGrid w:val="0"/>
        <w:spacing w:line="600" w:lineRule="exact"/>
        <w:ind w:firstLine="640" w:firstLineChars="200"/>
        <w:textAlignment w:val="auto"/>
        <w:rPr>
          <w:rFonts w:eastAsia="仿宋_GB2312" w:cs="仿宋_GB2312"/>
          <w:sz w:val="32"/>
          <w:szCs w:val="32"/>
        </w:rPr>
      </w:pPr>
      <w:r>
        <w:rPr>
          <w:rFonts w:hint="eastAsia" w:eastAsia="仿宋_GB2312" w:cs="仿宋_GB2312"/>
          <w:sz w:val="32"/>
          <w:szCs w:val="32"/>
        </w:rPr>
        <w:t>市</w:t>
      </w:r>
      <w:r>
        <w:rPr>
          <w:rFonts w:hint="eastAsia" w:eastAsia="仿宋_GB2312" w:cs="仿宋_GB2312"/>
          <w:sz w:val="32"/>
          <w:szCs w:val="32"/>
          <w:lang w:val="en-US" w:eastAsia="zh-CN"/>
        </w:rPr>
        <w:t>医管中心</w:t>
      </w:r>
      <w:r>
        <w:rPr>
          <w:rFonts w:hint="eastAsia" w:eastAsia="仿宋_GB2312" w:cs="仿宋_GB2312"/>
          <w:sz w:val="32"/>
          <w:szCs w:val="32"/>
        </w:rPr>
        <w:t>按照《会计基础工作规范</w:t>
      </w:r>
      <w:r>
        <w:rPr>
          <w:rFonts w:hint="eastAsia" w:eastAsia="仿宋_GB2312" w:cs="仿宋_GB2312"/>
          <w:sz w:val="32"/>
          <w:szCs w:val="32"/>
          <w:lang w:eastAsia="zh-CN"/>
        </w:rPr>
        <w:t>》等</w:t>
      </w:r>
      <w:r>
        <w:rPr>
          <w:rFonts w:hint="eastAsia" w:eastAsia="仿宋_GB2312" w:cs="仿宋_GB2312"/>
          <w:sz w:val="32"/>
          <w:szCs w:val="32"/>
        </w:rPr>
        <w:t>文件要求执行，做好各项日常会计核算工作，认真审核原始凭证，严格执行审批流程和报销手续，及时处理会计账目，定期编制财务报表、完整归集票据、合同、协议、会议纪要等会计档案。会计档案按规定年限保存，基础数据信息和会计信息资料</w:t>
      </w:r>
      <w:bookmarkStart w:id="47" w:name="_GoBack"/>
      <w:bookmarkEnd w:id="47"/>
      <w:r>
        <w:rPr>
          <w:rFonts w:hint="eastAsia" w:eastAsia="仿宋_GB2312" w:cs="仿宋_GB2312"/>
          <w:sz w:val="32"/>
          <w:szCs w:val="32"/>
        </w:rPr>
        <w:t>真实、完整、准确。</w:t>
      </w:r>
    </w:p>
    <w:p w14:paraId="52A363C8">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highlight w:val="none"/>
        </w:rPr>
      </w:pPr>
      <w:bookmarkStart w:id="30" w:name="_Toc137450590"/>
      <w:bookmarkStart w:id="31" w:name="_Toc5035"/>
      <w:r>
        <w:rPr>
          <w:rFonts w:hint="eastAsia" w:ascii="楷体_GB2312" w:hAnsi="Times New Roman" w:eastAsia="楷体_GB2312" w:cs="Times New Roman"/>
          <w:kern w:val="2"/>
          <w:sz w:val="32"/>
          <w:szCs w:val="32"/>
          <w:highlight w:val="none"/>
          <w:lang w:val="en-US" w:eastAsia="zh-CN" w:bidi="ar-SA"/>
        </w:rPr>
        <w:t>（二）</w:t>
      </w:r>
      <w:r>
        <w:rPr>
          <w:rFonts w:hint="eastAsia" w:ascii="楷体_GB2312" w:eastAsia="楷体_GB2312"/>
          <w:sz w:val="32"/>
          <w:szCs w:val="32"/>
          <w:highlight w:val="none"/>
        </w:rPr>
        <w:t>资产管理</w:t>
      </w:r>
      <w:bookmarkEnd w:id="30"/>
      <w:bookmarkEnd w:id="31"/>
    </w:p>
    <w:p w14:paraId="1CF72C57">
      <w:pPr>
        <w:spacing w:line="580" w:lineRule="exact"/>
        <w:ind w:firstLine="640" w:firstLineChars="200"/>
        <w:rPr>
          <w:rFonts w:hint="eastAsia" w:ascii="仿宋_GB2312" w:hAnsi="宋体" w:eastAsia="仿宋_GB2312"/>
          <w:color w:val="000000"/>
          <w:kern w:val="0"/>
          <w:sz w:val="32"/>
          <w:szCs w:val="32"/>
          <w:highlight w:val="none"/>
        </w:rPr>
      </w:pPr>
      <w:r>
        <w:rPr>
          <w:rFonts w:hint="eastAsia" w:ascii="仿宋_GB2312" w:hAnsi="宋体" w:eastAsia="仿宋_GB2312"/>
          <w:color w:val="000000"/>
          <w:kern w:val="0"/>
          <w:sz w:val="32"/>
          <w:szCs w:val="32"/>
          <w:highlight w:val="none"/>
        </w:rPr>
        <w:t>根据财政部《事业单位国有资产管理暂行办法》</w:t>
      </w:r>
      <w:r>
        <w:rPr>
          <w:rFonts w:hint="eastAsia" w:ascii="仿宋_GB2312" w:hAnsi="宋体" w:eastAsia="仿宋_GB2312"/>
          <w:color w:val="000000"/>
          <w:kern w:val="0"/>
          <w:sz w:val="32"/>
          <w:szCs w:val="32"/>
          <w:highlight w:val="none"/>
          <w:lang w:val="en-US" w:eastAsia="zh-CN"/>
        </w:rPr>
        <w:t>和</w:t>
      </w:r>
      <w:r>
        <w:rPr>
          <w:rFonts w:hint="eastAsia" w:ascii="仿宋_GB2312" w:hAnsi="宋体" w:eastAsia="仿宋_GB2312"/>
          <w:color w:val="000000"/>
          <w:kern w:val="0"/>
          <w:sz w:val="32"/>
          <w:szCs w:val="32"/>
          <w:highlight w:val="none"/>
          <w:lang w:eastAsia="zh-CN"/>
        </w:rPr>
        <w:t>北京市有关国有资产管理</w:t>
      </w:r>
      <w:r>
        <w:rPr>
          <w:rFonts w:hint="eastAsia" w:ascii="仿宋_GB2312" w:hAnsi="宋体" w:eastAsia="仿宋_GB2312"/>
          <w:color w:val="000000"/>
          <w:kern w:val="0"/>
          <w:sz w:val="32"/>
          <w:szCs w:val="32"/>
          <w:highlight w:val="none"/>
          <w:lang w:val="en-US" w:eastAsia="zh-CN"/>
        </w:rPr>
        <w:t>文件等</w:t>
      </w:r>
      <w:r>
        <w:rPr>
          <w:rFonts w:hint="eastAsia" w:ascii="仿宋_GB2312" w:hAnsi="宋体" w:eastAsia="仿宋_GB2312"/>
          <w:color w:val="000000"/>
          <w:kern w:val="0"/>
          <w:sz w:val="32"/>
          <w:szCs w:val="32"/>
          <w:highlight w:val="none"/>
        </w:rPr>
        <w:t>，结合单位实际情况，制定了固定资产管理办法等一系列资产管理制度，明确了资产管理部门及职责、资产配置、资产处置、资产出租出借等相关要求，规范和加强了资产管理工作，维护了国有资产的安全完整。</w:t>
      </w:r>
    </w:p>
    <w:p w14:paraId="52A1FCBF">
      <w:pPr>
        <w:spacing w:line="580" w:lineRule="exact"/>
        <w:ind w:firstLine="640" w:firstLineChars="200"/>
        <w:rPr>
          <w:rFonts w:hint="eastAsia" w:ascii="仿宋_GB2312" w:hAnsi="宋体" w:eastAsia="仿宋_GB2312"/>
          <w:color w:val="000000"/>
          <w:kern w:val="0"/>
          <w:sz w:val="32"/>
          <w:szCs w:val="32"/>
          <w:highlight w:val="none"/>
        </w:rPr>
      </w:pPr>
      <w:r>
        <w:rPr>
          <w:rFonts w:hint="eastAsia" w:ascii="仿宋_GB2312" w:hAnsi="宋体" w:eastAsia="仿宋_GB2312"/>
          <w:color w:val="000000"/>
          <w:kern w:val="0"/>
          <w:sz w:val="32"/>
          <w:szCs w:val="32"/>
          <w:highlight w:val="none"/>
        </w:rPr>
        <w:t>2024年，市医管中心按照资产管理制度办法要求执行，办公设备</w:t>
      </w:r>
      <w:r>
        <w:rPr>
          <w:rFonts w:hint="eastAsia" w:ascii="仿宋_GB2312" w:hAnsi="宋体" w:eastAsia="仿宋_GB2312"/>
          <w:color w:val="000000"/>
          <w:kern w:val="0"/>
          <w:sz w:val="32"/>
          <w:szCs w:val="32"/>
          <w:highlight w:val="none"/>
          <w:lang w:val="en-US" w:eastAsia="zh-CN"/>
        </w:rPr>
        <w:t>未发现</w:t>
      </w:r>
      <w:r>
        <w:rPr>
          <w:rFonts w:hint="eastAsia" w:ascii="仿宋_GB2312" w:hAnsi="宋体" w:eastAsia="仿宋_GB2312"/>
          <w:color w:val="000000"/>
          <w:kern w:val="0"/>
          <w:sz w:val="32"/>
          <w:szCs w:val="32"/>
          <w:highlight w:val="none"/>
        </w:rPr>
        <w:t>超标准配置资产；资产使用规范，</w:t>
      </w:r>
      <w:r>
        <w:rPr>
          <w:rFonts w:hint="eastAsia" w:ascii="仿宋_GB2312" w:hAnsi="宋体" w:eastAsia="仿宋_GB2312"/>
          <w:color w:val="000000"/>
          <w:kern w:val="0"/>
          <w:sz w:val="32"/>
          <w:szCs w:val="32"/>
          <w:highlight w:val="none"/>
          <w:lang w:val="en-US" w:eastAsia="zh-CN"/>
        </w:rPr>
        <w:t>未发现</w:t>
      </w:r>
      <w:r>
        <w:rPr>
          <w:rFonts w:hint="eastAsia" w:ascii="仿宋_GB2312" w:hAnsi="宋体" w:eastAsia="仿宋_GB2312"/>
          <w:color w:val="000000"/>
          <w:kern w:val="0"/>
          <w:sz w:val="32"/>
          <w:szCs w:val="32"/>
          <w:highlight w:val="none"/>
        </w:rPr>
        <w:t>因管理不当发生严重资产损失和丢失情况；资产处置规范，</w:t>
      </w:r>
      <w:r>
        <w:rPr>
          <w:rFonts w:hint="eastAsia" w:ascii="仿宋_GB2312" w:hAnsi="宋体" w:eastAsia="仿宋_GB2312"/>
          <w:color w:val="000000"/>
          <w:kern w:val="0"/>
          <w:sz w:val="32"/>
          <w:szCs w:val="32"/>
          <w:highlight w:val="none"/>
          <w:lang w:val="en-US" w:eastAsia="zh-CN"/>
        </w:rPr>
        <w:t>未发现</w:t>
      </w:r>
      <w:r>
        <w:rPr>
          <w:rFonts w:hint="eastAsia" w:ascii="仿宋_GB2312" w:hAnsi="宋体" w:eastAsia="仿宋_GB2312"/>
          <w:color w:val="000000"/>
          <w:kern w:val="0"/>
          <w:sz w:val="32"/>
          <w:szCs w:val="32"/>
          <w:highlight w:val="none"/>
        </w:rPr>
        <w:t>不按要求进行报批或资产不公开处置行为。</w:t>
      </w:r>
    </w:p>
    <w:p w14:paraId="68A503E8">
      <w:pPr>
        <w:spacing w:line="580" w:lineRule="exact"/>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宋体" w:eastAsia="仿宋_GB2312"/>
          <w:color w:val="000000"/>
          <w:kern w:val="0"/>
          <w:sz w:val="32"/>
          <w:szCs w:val="32"/>
          <w:highlight w:val="none"/>
          <w:lang w:val="en-US" w:eastAsia="zh-CN"/>
        </w:rPr>
        <w:t>此外，一是把好资产配置入口关，对市属医院采用财政资金购置的医用设备等开展事前审核，提升资产配置可靠性。二是持续推进经营性国有资产集中统一监管工作，督促医院落实主体责任，稳妥有序开展相关工作。三是不断加强市属医院国有资产出租、出借和处置管理，依法依规审核</w:t>
      </w:r>
      <w:r>
        <w:rPr>
          <w:rFonts w:hint="eastAsia" w:ascii="仿宋_GB2312" w:hAnsi="仿宋_GB2312" w:eastAsia="仿宋_GB2312" w:cs="仿宋_GB2312"/>
          <w:b w:val="0"/>
          <w:bCs w:val="0"/>
          <w:sz w:val="32"/>
          <w:szCs w:val="32"/>
          <w:highlight w:val="none"/>
          <w:lang w:val="en-US" w:eastAsia="zh-CN"/>
        </w:rPr>
        <w:t>。</w:t>
      </w:r>
    </w:p>
    <w:p w14:paraId="6810A272">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32" w:name="_Toc137450591"/>
      <w:bookmarkStart w:id="33" w:name="_Toc24220"/>
      <w:r>
        <w:rPr>
          <w:rFonts w:hint="eastAsia" w:ascii="楷体_GB2312" w:hAnsi="Times New Roman" w:eastAsia="楷体_GB2312" w:cs="Times New Roman"/>
          <w:kern w:val="2"/>
          <w:sz w:val="32"/>
          <w:szCs w:val="32"/>
          <w:lang w:val="en-US" w:eastAsia="zh-CN" w:bidi="ar-SA"/>
        </w:rPr>
        <w:t>（三）</w:t>
      </w:r>
      <w:r>
        <w:rPr>
          <w:rFonts w:hint="eastAsia" w:ascii="楷体_GB2312" w:eastAsia="楷体_GB2312"/>
          <w:sz w:val="32"/>
          <w:szCs w:val="32"/>
        </w:rPr>
        <w:t>绩效</w:t>
      </w:r>
      <w:r>
        <w:rPr>
          <w:rFonts w:ascii="楷体_GB2312" w:eastAsia="楷体_GB2312"/>
          <w:sz w:val="32"/>
          <w:szCs w:val="32"/>
        </w:rPr>
        <w:t>管理</w:t>
      </w:r>
      <w:bookmarkEnd w:id="32"/>
      <w:bookmarkEnd w:id="33"/>
    </w:p>
    <w:p w14:paraId="46F4C888">
      <w:pPr>
        <w:pageBreakBefore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 xml:space="preserve">为贯彻落实市委 </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政府《关于全面实施预算绩效管理的实施意见》的精神，依据《北京市预算绩效管理办法》（京财绩效〔2019〕2129号）、《北京市市级部门预算绩效运行监控管理办法》（京财绩效〔2020〕2034号）等要求，进一步推动财政资金科学化、精细化管理，提高预算资金的使用效益，</w:t>
      </w:r>
      <w:r>
        <w:rPr>
          <w:rFonts w:hint="eastAsia" w:ascii="仿宋_GB2312" w:hAnsi="仿宋_GB2312" w:eastAsia="仿宋_GB2312" w:cs="仿宋_GB2312"/>
          <w:sz w:val="32"/>
          <w:szCs w:val="32"/>
          <w:lang w:val="en-US" w:eastAsia="zh-CN"/>
        </w:rPr>
        <w:t>市医管中心</w:t>
      </w:r>
      <w:r>
        <w:rPr>
          <w:rFonts w:hint="eastAsia" w:ascii="仿宋_GB2312" w:hAnsi="宋体" w:eastAsia="仿宋_GB2312"/>
          <w:color w:val="000000"/>
          <w:kern w:val="0"/>
          <w:sz w:val="32"/>
          <w:szCs w:val="32"/>
        </w:rPr>
        <w:t>强化全过程预算绩效管理，加强预算绩效运行监控，提高预算执行效率和资金使用效益。</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年，市医管中心组织部门本级和所属22家市属医院</w:t>
      </w:r>
      <w:r>
        <w:rPr>
          <w:rFonts w:hint="eastAsia" w:ascii="仿宋_GB2312" w:hAnsi="仿宋_GB2312" w:eastAsia="仿宋_GB2312" w:cs="仿宋_GB2312"/>
          <w:sz w:val="32"/>
          <w:szCs w:val="32"/>
          <w:lang w:eastAsia="zh-CN"/>
        </w:rPr>
        <w:t>认真</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事前绩效评估、</w:t>
      </w:r>
      <w:r>
        <w:rPr>
          <w:rFonts w:hint="eastAsia" w:ascii="仿宋_GB2312" w:hAnsi="仿宋_GB2312" w:eastAsia="仿宋_GB2312" w:cs="仿宋_GB2312"/>
          <w:sz w:val="32"/>
          <w:szCs w:val="32"/>
        </w:rPr>
        <w:t>绩效</w:t>
      </w:r>
      <w:r>
        <w:rPr>
          <w:rFonts w:hint="eastAsia" w:ascii="仿宋_GB2312" w:hAnsi="仿宋_GB2312" w:eastAsia="仿宋_GB2312" w:cs="仿宋_GB2312"/>
          <w:sz w:val="32"/>
          <w:szCs w:val="32"/>
          <w:lang w:val="en-US" w:eastAsia="zh-CN"/>
        </w:rPr>
        <w:t>评价</w:t>
      </w:r>
      <w:r>
        <w:rPr>
          <w:rFonts w:hint="eastAsia" w:ascii="仿宋_GB2312" w:hAnsi="仿宋_GB2312" w:eastAsia="仿宋_GB2312" w:cs="仿宋_GB2312"/>
          <w:sz w:val="32"/>
          <w:szCs w:val="32"/>
        </w:rPr>
        <w:t>、绩效监控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成本绩效分析</w:t>
      </w:r>
      <w:r>
        <w:rPr>
          <w:rFonts w:hint="eastAsia" w:ascii="仿宋_GB2312" w:hAnsi="仿宋_GB2312" w:eastAsia="仿宋_GB2312" w:cs="仿宋_GB2312"/>
          <w:sz w:val="32"/>
          <w:szCs w:val="32"/>
        </w:rPr>
        <w:t>以及部门整体绩效评价工作</w:t>
      </w:r>
      <w:r>
        <w:rPr>
          <w:rFonts w:hint="eastAsia" w:ascii="仿宋_GB2312" w:hAnsi="仿宋_GB2312" w:eastAsia="仿宋_GB2312" w:cs="仿宋_GB2312"/>
          <w:sz w:val="32"/>
          <w:szCs w:val="32"/>
          <w:lang w:eastAsia="zh-CN"/>
        </w:rPr>
        <w:t>，提升预算执行效果，做好</w:t>
      </w:r>
      <w:r>
        <w:rPr>
          <w:rFonts w:hint="eastAsia" w:ascii="仿宋_GB2312" w:hAnsi="仿宋_GB2312" w:eastAsia="仿宋_GB2312" w:cs="仿宋_GB2312"/>
          <w:sz w:val="32"/>
          <w:szCs w:val="32"/>
          <w:lang w:val="en-US" w:eastAsia="zh-CN"/>
        </w:rPr>
        <w:t>绩效评价</w:t>
      </w:r>
      <w:r>
        <w:rPr>
          <w:rFonts w:hint="eastAsia" w:ascii="仿宋_GB2312" w:hAnsi="仿宋_GB2312" w:eastAsia="仿宋_GB2312" w:cs="仿宋_GB2312"/>
          <w:sz w:val="32"/>
          <w:szCs w:val="32"/>
          <w:lang w:eastAsia="zh-CN"/>
        </w:rPr>
        <w:t>结果应用</w:t>
      </w:r>
      <w:r>
        <w:rPr>
          <w:rFonts w:hint="eastAsia" w:ascii="仿宋_GB2312" w:hAnsi="仿宋_GB2312" w:eastAsia="仿宋_GB2312" w:cs="仿宋_GB2312"/>
          <w:sz w:val="32"/>
          <w:szCs w:val="32"/>
          <w:highlight w:val="none"/>
          <w:lang w:val="en-US" w:eastAsia="zh-CN"/>
        </w:rPr>
        <w:t>。</w:t>
      </w:r>
    </w:p>
    <w:p w14:paraId="5B8E861C">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34" w:name="_Toc137450592"/>
      <w:bookmarkStart w:id="35" w:name="_Toc1619"/>
      <w:r>
        <w:rPr>
          <w:rFonts w:hint="eastAsia" w:ascii="楷体_GB2312" w:hAnsi="Times New Roman" w:eastAsia="楷体_GB2312" w:cs="Times New Roman"/>
          <w:kern w:val="2"/>
          <w:sz w:val="32"/>
          <w:szCs w:val="32"/>
          <w:lang w:val="en-US" w:eastAsia="zh-CN" w:bidi="ar-SA"/>
        </w:rPr>
        <w:t>（四）</w:t>
      </w:r>
      <w:r>
        <w:rPr>
          <w:rFonts w:hint="eastAsia" w:ascii="楷体_GB2312" w:eastAsia="楷体_GB2312"/>
          <w:sz w:val="32"/>
          <w:szCs w:val="32"/>
        </w:rPr>
        <w:t>结转结余率</w:t>
      </w:r>
      <w:bookmarkEnd w:id="34"/>
      <w:bookmarkEnd w:id="35"/>
    </w:p>
    <w:p w14:paraId="2462CC30">
      <w:pPr>
        <w:spacing w:line="580" w:lineRule="exact"/>
        <w:ind w:firstLine="640" w:firstLineChars="200"/>
        <w:rPr>
          <w:rFonts w:ascii="仿宋_GB2312" w:hAnsi="宋体" w:eastAsia="仿宋_GB2312"/>
          <w:color w:val="000000"/>
          <w:kern w:val="0"/>
          <w:sz w:val="32"/>
          <w:szCs w:val="32"/>
        </w:rPr>
      </w:pPr>
      <w:r>
        <w:rPr>
          <w:rFonts w:hint="eastAsia" w:eastAsia="仿宋_GB2312"/>
          <w:kern w:val="44"/>
          <w:sz w:val="32"/>
          <w:szCs w:val="32"/>
        </w:rPr>
        <w:t>市</w:t>
      </w:r>
      <w:r>
        <w:rPr>
          <w:rFonts w:hint="eastAsia" w:eastAsia="仿宋_GB2312"/>
          <w:kern w:val="44"/>
          <w:sz w:val="32"/>
          <w:szCs w:val="32"/>
          <w:lang w:val="en-US" w:eastAsia="zh-CN"/>
        </w:rPr>
        <w:t>医管中心</w:t>
      </w:r>
      <w:r>
        <w:rPr>
          <w:rFonts w:hint="eastAsia" w:ascii="仿宋_GB2312" w:hAnsi="宋体" w:eastAsia="仿宋_GB2312"/>
          <w:color w:val="000000"/>
          <w:kern w:val="0"/>
          <w:sz w:val="32"/>
          <w:szCs w:val="32"/>
        </w:rPr>
        <w:t>202</w:t>
      </w:r>
      <w:r>
        <w:rPr>
          <w:rFonts w:hint="eastAsia" w:ascii="仿宋_GB2312" w:hAnsi="宋体" w:eastAsia="仿宋_GB2312"/>
          <w:color w:val="000000"/>
          <w:kern w:val="0"/>
          <w:sz w:val="32"/>
          <w:szCs w:val="32"/>
          <w:lang w:val="en-US" w:eastAsia="zh-CN"/>
        </w:rPr>
        <w:t>4</w:t>
      </w:r>
      <w:r>
        <w:rPr>
          <w:rFonts w:hint="eastAsia" w:ascii="仿宋_GB2312" w:hAnsi="宋体" w:eastAsia="仿宋_GB2312"/>
          <w:color w:val="000000"/>
          <w:kern w:val="0"/>
          <w:sz w:val="32"/>
          <w:szCs w:val="32"/>
        </w:rPr>
        <w:t>年结转结余</w:t>
      </w:r>
      <w:r>
        <w:rPr>
          <w:rFonts w:hint="eastAsia" w:ascii="仿宋_GB2312" w:hAnsi="宋体" w:eastAsia="仿宋_GB2312"/>
          <w:color w:val="000000"/>
          <w:kern w:val="0"/>
          <w:sz w:val="32"/>
          <w:szCs w:val="32"/>
          <w:lang w:eastAsia="zh-Hans"/>
        </w:rPr>
        <w:t>率为</w:t>
      </w:r>
      <w:r>
        <w:rPr>
          <w:rFonts w:hint="eastAsia" w:ascii="仿宋_GB2312" w:hAnsi="宋体" w:eastAsia="仿宋_GB2312"/>
          <w:color w:val="000000"/>
          <w:kern w:val="0"/>
          <w:sz w:val="32"/>
          <w:szCs w:val="32"/>
          <w:lang w:val="en-US" w:eastAsia="zh-CN"/>
        </w:rPr>
        <w:t>20.87</w:t>
      </w:r>
      <w:r>
        <w:rPr>
          <w:rFonts w:ascii="仿宋_GB2312" w:hAnsi="宋体" w:eastAsia="仿宋_GB2312"/>
          <w:color w:val="000000"/>
          <w:kern w:val="0"/>
          <w:sz w:val="32"/>
          <w:szCs w:val="32"/>
          <w:lang w:eastAsia="zh-Hans"/>
        </w:rPr>
        <w:t>%</w:t>
      </w:r>
      <w:r>
        <w:rPr>
          <w:rFonts w:hint="eastAsia" w:ascii="仿宋_GB2312" w:hAnsi="宋体" w:eastAsia="仿宋_GB2312"/>
          <w:color w:val="000000"/>
          <w:kern w:val="0"/>
          <w:sz w:val="32"/>
          <w:szCs w:val="32"/>
          <w:lang w:eastAsia="zh-Hans"/>
        </w:rPr>
        <w:t>，</w:t>
      </w:r>
      <w:r>
        <w:rPr>
          <w:rFonts w:hint="eastAsia" w:ascii="仿宋_GB2312" w:hAnsi="宋体" w:eastAsia="仿宋_GB2312"/>
          <w:color w:val="000000"/>
          <w:kern w:val="0"/>
          <w:sz w:val="32"/>
          <w:szCs w:val="32"/>
          <w:lang w:val="en-US" w:eastAsia="zh-CN"/>
        </w:rPr>
        <w:t>主要是部分资金按要求可结转次年使用</w:t>
      </w:r>
      <w:r>
        <w:rPr>
          <w:rFonts w:hint="eastAsia" w:ascii="仿宋_GB2312" w:hAnsi="宋体" w:eastAsia="仿宋_GB2312"/>
          <w:color w:val="000000"/>
          <w:kern w:val="0"/>
          <w:sz w:val="32"/>
          <w:szCs w:val="32"/>
        </w:rPr>
        <w:t>。</w:t>
      </w:r>
    </w:p>
    <w:p w14:paraId="234F62E0">
      <w:pPr>
        <w:pageBreakBefore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36" w:name="_Toc137450593"/>
      <w:bookmarkStart w:id="37" w:name="_Toc31095"/>
      <w:r>
        <w:rPr>
          <w:rFonts w:hint="eastAsia" w:ascii="楷体_GB2312" w:hAnsi="Times New Roman" w:eastAsia="楷体_GB2312" w:cs="Times New Roman"/>
          <w:kern w:val="2"/>
          <w:sz w:val="32"/>
          <w:szCs w:val="32"/>
          <w:lang w:val="en-US" w:eastAsia="zh-CN" w:bidi="ar-SA"/>
        </w:rPr>
        <w:t>（五）</w:t>
      </w:r>
      <w:r>
        <w:rPr>
          <w:rFonts w:hint="eastAsia" w:ascii="楷体_GB2312" w:eastAsia="楷体_GB2312"/>
          <w:sz w:val="32"/>
          <w:szCs w:val="32"/>
        </w:rPr>
        <w:t>部门</w:t>
      </w:r>
      <w:r>
        <w:rPr>
          <w:rFonts w:ascii="楷体_GB2312" w:eastAsia="楷体_GB2312"/>
          <w:sz w:val="32"/>
          <w:szCs w:val="32"/>
        </w:rPr>
        <w:t>预决算</w:t>
      </w:r>
      <w:r>
        <w:rPr>
          <w:rFonts w:hint="eastAsia" w:ascii="楷体_GB2312" w:eastAsia="楷体_GB2312"/>
          <w:sz w:val="32"/>
          <w:szCs w:val="32"/>
          <w:lang w:val="en-US" w:eastAsia="zh-CN"/>
        </w:rPr>
        <w:t>差</w:t>
      </w:r>
      <w:r>
        <w:rPr>
          <w:rFonts w:ascii="楷体_GB2312" w:eastAsia="楷体_GB2312"/>
          <w:sz w:val="32"/>
          <w:szCs w:val="32"/>
        </w:rPr>
        <w:t>异率</w:t>
      </w:r>
      <w:bookmarkEnd w:id="36"/>
      <w:bookmarkEnd w:id="37"/>
    </w:p>
    <w:p w14:paraId="79EA063C">
      <w:pPr>
        <w:spacing w:line="58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kern w:val="44"/>
          <w:sz w:val="32"/>
          <w:szCs w:val="32"/>
          <w:highlight w:val="none"/>
        </w:rPr>
        <w:t>市</w:t>
      </w:r>
      <w:r>
        <w:rPr>
          <w:rFonts w:hint="eastAsia" w:ascii="仿宋_GB2312" w:hAnsi="仿宋_GB2312" w:eastAsia="仿宋_GB2312" w:cs="仿宋_GB2312"/>
          <w:kern w:val="44"/>
          <w:sz w:val="32"/>
          <w:szCs w:val="32"/>
          <w:highlight w:val="none"/>
          <w:lang w:val="en-US" w:eastAsia="zh-CN"/>
        </w:rPr>
        <w:t>医管中心</w:t>
      </w:r>
      <w:r>
        <w:rPr>
          <w:rFonts w:hint="eastAsia" w:ascii="仿宋_GB2312" w:hAnsi="仿宋_GB2312" w:eastAsia="仿宋_GB2312" w:cs="仿宋_GB2312"/>
          <w:color w:val="000000"/>
          <w:kern w:val="0"/>
          <w:sz w:val="32"/>
          <w:szCs w:val="32"/>
          <w:highlight w:val="none"/>
        </w:rPr>
        <w:t>年初部门支出预算金额</w:t>
      </w:r>
      <w:r>
        <w:rPr>
          <w:rFonts w:hint="eastAsia" w:ascii="仿宋_GB2312" w:hAnsi="仿宋_GB2312" w:eastAsia="仿宋_GB2312" w:cs="仿宋_GB2312"/>
          <w:color w:val="auto"/>
          <w:kern w:val="0"/>
          <w:sz w:val="32"/>
          <w:szCs w:val="32"/>
          <w:highlight w:val="none"/>
        </w:rPr>
        <w:t>为7,898,146.73</w:t>
      </w:r>
      <w:r>
        <w:rPr>
          <w:rFonts w:hint="eastAsia" w:ascii="仿宋_GB2312" w:hAnsi="仿宋_GB2312" w:eastAsia="仿宋_GB2312" w:cs="仿宋_GB2312"/>
          <w:color w:val="000000"/>
          <w:kern w:val="0"/>
          <w:sz w:val="32"/>
          <w:szCs w:val="32"/>
          <w:highlight w:val="none"/>
        </w:rPr>
        <w:t>万元，年度部门支出决算金额为7,952,824.99万元，202</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年部门预决算差</w:t>
      </w:r>
      <w:r>
        <w:rPr>
          <w:rFonts w:hint="eastAsia" w:ascii="仿宋_GB2312" w:hAnsi="仿宋_GB2312" w:eastAsia="仿宋_GB2312" w:cs="仿宋_GB2312"/>
          <w:kern w:val="44"/>
          <w:sz w:val="32"/>
          <w:szCs w:val="32"/>
          <w:highlight w:val="none"/>
        </w:rPr>
        <w:t>异率为</w:t>
      </w:r>
      <w:r>
        <w:rPr>
          <w:rFonts w:hint="eastAsia" w:ascii="仿宋_GB2312" w:hAnsi="仿宋_GB2312" w:eastAsia="仿宋_GB2312" w:cs="仿宋_GB2312"/>
          <w:kern w:val="44"/>
          <w:sz w:val="32"/>
          <w:szCs w:val="32"/>
          <w:highlight w:val="none"/>
          <w:lang w:val="en-US" w:eastAsia="zh-CN"/>
        </w:rPr>
        <w:t>0.69</w:t>
      </w:r>
      <w:r>
        <w:rPr>
          <w:rFonts w:hint="eastAsia" w:ascii="仿宋_GB2312" w:hAnsi="仿宋_GB2312" w:eastAsia="仿宋_GB2312" w:cs="仿宋_GB2312"/>
          <w:color w:val="000000"/>
          <w:kern w:val="0"/>
          <w:sz w:val="32"/>
          <w:szCs w:val="32"/>
          <w:highlight w:val="none"/>
          <w:lang w:eastAsia="zh-Hans"/>
        </w:rPr>
        <w:t>%</w:t>
      </w:r>
      <w:r>
        <w:rPr>
          <w:rFonts w:hint="eastAsia" w:ascii="仿宋_GB2312" w:hAnsi="仿宋_GB2312" w:eastAsia="仿宋_GB2312" w:cs="仿宋_GB2312"/>
          <w:color w:val="000000"/>
          <w:kern w:val="0"/>
          <w:sz w:val="32"/>
          <w:szCs w:val="32"/>
          <w:highlight w:val="none"/>
        </w:rPr>
        <w:t>。</w:t>
      </w:r>
    </w:p>
    <w:p w14:paraId="4C30CC11">
      <w:pPr>
        <w:keepNext w:val="0"/>
        <w:keepLines w:val="0"/>
        <w:pageBreakBefore w:val="0"/>
        <w:widowControl w:val="0"/>
        <w:kinsoku/>
        <w:wordWrap/>
        <w:overflowPunct/>
        <w:topLinePunct w:val="0"/>
        <w:autoSpaceDE/>
        <w:autoSpaceDN/>
        <w:bidi w:val="0"/>
        <w:spacing w:line="600" w:lineRule="exact"/>
        <w:ind w:left="105" w:leftChars="50" w:firstLine="640" w:firstLineChars="200"/>
        <w:textAlignment w:val="auto"/>
        <w:outlineLvl w:val="0"/>
        <w:rPr>
          <w:rFonts w:ascii="黑体" w:hAnsi="黑体" w:eastAsia="黑体"/>
          <w:sz w:val="32"/>
          <w:szCs w:val="32"/>
        </w:rPr>
      </w:pPr>
      <w:bookmarkStart w:id="38" w:name="_Toc137450594"/>
      <w:bookmarkStart w:id="39" w:name="_Toc31717"/>
      <w:r>
        <w:rPr>
          <w:rFonts w:hint="eastAsia" w:ascii="黑体" w:hAnsi="黑体" w:eastAsia="黑体"/>
          <w:sz w:val="32"/>
          <w:szCs w:val="32"/>
        </w:rPr>
        <w:t>五、总体</w:t>
      </w:r>
      <w:r>
        <w:rPr>
          <w:rFonts w:ascii="黑体" w:hAnsi="黑体" w:eastAsia="黑体"/>
          <w:sz w:val="32"/>
          <w:szCs w:val="32"/>
        </w:rPr>
        <w:t>评价结论</w:t>
      </w:r>
      <w:bookmarkEnd w:id="38"/>
      <w:bookmarkEnd w:id="39"/>
    </w:p>
    <w:p w14:paraId="41A25F1C">
      <w:pPr>
        <w:keepNext w:val="0"/>
        <w:keepLines w:val="0"/>
        <w:pageBreakBefore w:val="0"/>
        <w:widowControl w:val="0"/>
        <w:kinsoku/>
        <w:wordWrap/>
        <w:overflowPunct/>
        <w:topLinePunct w:val="0"/>
        <w:autoSpaceDE/>
        <w:autoSpaceDN/>
        <w:bidi w:val="0"/>
        <w:spacing w:line="600" w:lineRule="exact"/>
        <w:ind w:left="105" w:leftChars="50" w:firstLine="640" w:firstLineChars="200"/>
        <w:textAlignment w:val="auto"/>
        <w:outlineLvl w:val="1"/>
        <w:rPr>
          <w:rFonts w:ascii="楷体_GB2312" w:eastAsia="楷体_GB2312"/>
          <w:sz w:val="32"/>
          <w:szCs w:val="32"/>
        </w:rPr>
      </w:pPr>
      <w:bookmarkStart w:id="40" w:name="_Toc137450595"/>
      <w:bookmarkStart w:id="41" w:name="_Toc20729"/>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40"/>
      <w:bookmarkEnd w:id="41"/>
    </w:p>
    <w:p w14:paraId="27A48C68">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sz w:val="32"/>
          <w:szCs w:val="32"/>
          <w:highlight w:val="none"/>
        </w:rPr>
        <w:t>市医管中心</w:t>
      </w:r>
      <w:r>
        <w:rPr>
          <w:rFonts w:hint="eastAsia" w:ascii="仿宋_GB2312" w:hAnsi="仿宋_GB2312" w:eastAsia="仿宋_GB2312" w:cs="仿宋_GB2312"/>
          <w:sz w:val="32"/>
          <w:szCs w:val="32"/>
          <w:highlight w:val="none"/>
          <w:lang w:eastAsia="zh-CN"/>
        </w:rPr>
        <w:t>2024</w:t>
      </w:r>
      <w:r>
        <w:rPr>
          <w:rFonts w:hint="eastAsia" w:ascii="仿宋_GB2312" w:hAnsi="仿宋_GB2312" w:eastAsia="仿宋_GB2312" w:cs="仿宋_GB2312"/>
          <w:sz w:val="32"/>
          <w:szCs w:val="32"/>
          <w:highlight w:val="none"/>
        </w:rPr>
        <w:t>年度部门整体支出绩效评价</w:t>
      </w:r>
      <w:r>
        <w:rPr>
          <w:rFonts w:hint="eastAsia" w:ascii="仿宋_GB2312" w:hAnsi="仿宋_GB2312" w:eastAsia="仿宋_GB2312" w:cs="仿宋_GB2312"/>
          <w:kern w:val="44"/>
          <w:sz w:val="32"/>
          <w:szCs w:val="32"/>
          <w:highlight w:val="none"/>
        </w:rPr>
        <w:t>综合得分9</w:t>
      </w:r>
      <w:r>
        <w:rPr>
          <w:rFonts w:hint="eastAsia" w:ascii="仿宋_GB2312" w:hAnsi="仿宋_GB2312" w:eastAsia="仿宋_GB2312" w:cs="仿宋_GB2312"/>
          <w:kern w:val="44"/>
          <w:sz w:val="32"/>
          <w:szCs w:val="32"/>
          <w:highlight w:val="none"/>
          <w:lang w:val="en-US" w:eastAsia="zh-CN"/>
        </w:rPr>
        <w:t>5.826</w:t>
      </w:r>
      <w:r>
        <w:rPr>
          <w:rFonts w:hint="eastAsia" w:ascii="仿宋_GB2312" w:hAnsi="仿宋_GB2312" w:eastAsia="仿宋_GB2312" w:cs="仿宋_GB2312"/>
          <w:kern w:val="44"/>
          <w:sz w:val="32"/>
          <w:szCs w:val="32"/>
          <w:highlight w:val="none"/>
        </w:rPr>
        <w:t>分，其中当年预算执行情况</w:t>
      </w:r>
      <w:r>
        <w:rPr>
          <w:rFonts w:hint="eastAsia" w:ascii="仿宋_GB2312" w:hAnsi="仿宋_GB2312" w:eastAsia="仿宋_GB2312" w:cs="仿宋_GB2312"/>
          <w:kern w:val="44"/>
          <w:sz w:val="32"/>
          <w:szCs w:val="32"/>
          <w:highlight w:val="none"/>
          <w:lang w:val="en-US" w:eastAsia="zh-CN"/>
        </w:rPr>
        <w:t>15.826</w:t>
      </w:r>
      <w:r>
        <w:rPr>
          <w:rFonts w:hint="eastAsia" w:ascii="仿宋_GB2312" w:hAnsi="仿宋_GB2312" w:eastAsia="仿宋_GB2312" w:cs="仿宋_GB2312"/>
          <w:kern w:val="44"/>
          <w:sz w:val="32"/>
          <w:szCs w:val="32"/>
          <w:highlight w:val="none"/>
        </w:rPr>
        <w:t>分、整体绩效目标实现情况</w:t>
      </w:r>
      <w:r>
        <w:rPr>
          <w:rFonts w:hint="eastAsia" w:ascii="仿宋_GB2312" w:hAnsi="仿宋_GB2312" w:eastAsia="仿宋_GB2312" w:cs="仿宋_GB2312"/>
          <w:kern w:val="44"/>
          <w:sz w:val="32"/>
          <w:szCs w:val="32"/>
          <w:highlight w:val="none"/>
          <w:lang w:val="en-US" w:eastAsia="zh-CN"/>
        </w:rPr>
        <w:t>60</w:t>
      </w:r>
      <w:r>
        <w:rPr>
          <w:rFonts w:hint="eastAsia" w:ascii="仿宋_GB2312" w:hAnsi="仿宋_GB2312" w:eastAsia="仿宋_GB2312" w:cs="仿宋_GB2312"/>
          <w:kern w:val="44"/>
          <w:sz w:val="32"/>
          <w:szCs w:val="32"/>
          <w:highlight w:val="none"/>
        </w:rPr>
        <w:t>分、预算管理情况</w:t>
      </w:r>
      <w:r>
        <w:rPr>
          <w:rFonts w:hint="eastAsia" w:ascii="仿宋_GB2312" w:hAnsi="仿宋_GB2312" w:eastAsia="仿宋_GB2312" w:cs="仿宋_GB2312"/>
          <w:kern w:val="44"/>
          <w:sz w:val="32"/>
          <w:szCs w:val="32"/>
          <w:highlight w:val="none"/>
          <w:lang w:val="en-US" w:eastAsia="zh-CN"/>
        </w:rPr>
        <w:t>20</w:t>
      </w:r>
      <w:r>
        <w:rPr>
          <w:rFonts w:hint="eastAsia" w:ascii="仿宋_GB2312" w:hAnsi="仿宋_GB2312" w:eastAsia="仿宋_GB2312" w:cs="仿宋_GB2312"/>
          <w:kern w:val="44"/>
          <w:sz w:val="32"/>
          <w:szCs w:val="32"/>
          <w:highlight w:val="none"/>
        </w:rPr>
        <w:t>分，绩效评定结论为“优”。具体情况详见下表：</w:t>
      </w:r>
    </w:p>
    <w:tbl>
      <w:tblPr>
        <w:tblStyle w:val="24"/>
        <w:tblW w:w="8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493"/>
        <w:gridCol w:w="1575"/>
        <w:gridCol w:w="1740"/>
        <w:gridCol w:w="1666"/>
      </w:tblGrid>
      <w:tr w14:paraId="6F707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blHeader/>
          <w:jc w:val="center"/>
        </w:trPr>
        <w:tc>
          <w:tcPr>
            <w:tcW w:w="3493" w:type="dxa"/>
            <w:tcBorders>
              <w:tl2br w:val="nil"/>
              <w:tr2bl w:val="nil"/>
            </w:tcBorders>
            <w:shd w:val="clear" w:color="auto" w:fill="auto"/>
            <w:noWrap w:val="0"/>
            <w:vAlign w:val="center"/>
          </w:tcPr>
          <w:p w14:paraId="618D8EF8">
            <w:pPr>
              <w:widowControl/>
              <w:jc w:val="center"/>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评价内容</w:t>
            </w:r>
          </w:p>
        </w:tc>
        <w:tc>
          <w:tcPr>
            <w:tcW w:w="1575" w:type="dxa"/>
            <w:tcBorders>
              <w:tl2br w:val="nil"/>
              <w:tr2bl w:val="nil"/>
            </w:tcBorders>
            <w:shd w:val="clear" w:color="auto" w:fill="auto"/>
            <w:noWrap w:val="0"/>
            <w:vAlign w:val="center"/>
          </w:tcPr>
          <w:p w14:paraId="5945D32D">
            <w:pPr>
              <w:widowControl/>
              <w:jc w:val="center"/>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分值</w:t>
            </w:r>
          </w:p>
        </w:tc>
        <w:tc>
          <w:tcPr>
            <w:tcW w:w="1740" w:type="dxa"/>
            <w:tcBorders>
              <w:tl2br w:val="nil"/>
              <w:tr2bl w:val="nil"/>
            </w:tcBorders>
            <w:shd w:val="clear" w:color="auto" w:fill="auto"/>
            <w:noWrap w:val="0"/>
            <w:vAlign w:val="center"/>
          </w:tcPr>
          <w:p w14:paraId="3BAC50E9">
            <w:pPr>
              <w:widowControl/>
              <w:jc w:val="center"/>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评价得分</w:t>
            </w:r>
          </w:p>
        </w:tc>
        <w:tc>
          <w:tcPr>
            <w:tcW w:w="1666" w:type="dxa"/>
            <w:tcBorders>
              <w:tl2br w:val="nil"/>
              <w:tr2bl w:val="nil"/>
            </w:tcBorders>
            <w:shd w:val="clear" w:color="auto" w:fill="auto"/>
            <w:noWrap w:val="0"/>
            <w:vAlign w:val="center"/>
          </w:tcPr>
          <w:p w14:paraId="4FDBAB1A">
            <w:pPr>
              <w:widowControl/>
              <w:jc w:val="center"/>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得分率</w:t>
            </w:r>
          </w:p>
        </w:tc>
      </w:tr>
      <w:tr w14:paraId="150F3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5" w:hRule="atLeast"/>
          <w:jc w:val="center"/>
        </w:trPr>
        <w:tc>
          <w:tcPr>
            <w:tcW w:w="3493" w:type="dxa"/>
            <w:tcBorders>
              <w:tl2br w:val="nil"/>
              <w:tr2bl w:val="nil"/>
            </w:tcBorders>
            <w:shd w:val="clear" w:color="auto" w:fill="auto"/>
            <w:noWrap w:val="0"/>
            <w:vAlign w:val="center"/>
          </w:tcPr>
          <w:p w14:paraId="1C34BFF6">
            <w:pPr>
              <w:widowControl/>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当年预算执行情况</w:t>
            </w:r>
          </w:p>
        </w:tc>
        <w:tc>
          <w:tcPr>
            <w:tcW w:w="1575" w:type="dxa"/>
            <w:tcBorders>
              <w:tl2br w:val="nil"/>
              <w:tr2bl w:val="nil"/>
            </w:tcBorders>
            <w:shd w:val="clear" w:color="auto" w:fill="auto"/>
            <w:noWrap w:val="0"/>
            <w:vAlign w:val="center"/>
          </w:tcPr>
          <w:p w14:paraId="13C66433">
            <w:pPr>
              <w:widowControl/>
              <w:jc w:val="center"/>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20</w:t>
            </w:r>
          </w:p>
        </w:tc>
        <w:tc>
          <w:tcPr>
            <w:tcW w:w="1740" w:type="dxa"/>
            <w:tcBorders>
              <w:tl2br w:val="nil"/>
              <w:tr2bl w:val="nil"/>
            </w:tcBorders>
            <w:shd w:val="clear" w:color="auto" w:fill="auto"/>
            <w:noWrap w:val="0"/>
            <w:vAlign w:val="center"/>
          </w:tcPr>
          <w:p w14:paraId="4498E7B2">
            <w:pPr>
              <w:keepNext w:val="0"/>
              <w:keepLines w:val="0"/>
              <w:widowControl/>
              <w:suppressLineNumbers w:val="0"/>
              <w:jc w:val="center"/>
              <w:textAlignment w:val="center"/>
              <w:rPr>
                <w:rFonts w:hint="default" w:ascii="仿宋_GB2312" w:hAnsi="仿宋_GB2312" w:eastAsia="仿宋_GB2312" w:cs="仿宋_GB2312"/>
                <w:kern w:val="0"/>
                <w:sz w:val="32"/>
                <w:szCs w:val="32"/>
                <w:highlight w:val="none"/>
                <w:lang w:val="en-US" w:eastAsia="zh-CN"/>
              </w:rPr>
            </w:pPr>
            <w:r>
              <w:rPr>
                <w:rFonts w:hint="eastAsia" w:ascii="仿宋_GB2312" w:hAnsi="宋体" w:eastAsia="仿宋_GB2312" w:cs="仿宋_GB2312"/>
                <w:i w:val="0"/>
                <w:iCs w:val="0"/>
                <w:color w:val="000000"/>
                <w:kern w:val="0"/>
                <w:sz w:val="32"/>
                <w:szCs w:val="32"/>
                <w:u w:val="none"/>
                <w:lang w:val="en-US" w:eastAsia="zh-CN" w:bidi="ar"/>
              </w:rPr>
              <w:t>15.826</w:t>
            </w:r>
          </w:p>
        </w:tc>
        <w:tc>
          <w:tcPr>
            <w:tcW w:w="1666" w:type="dxa"/>
            <w:tcBorders>
              <w:tl2br w:val="nil"/>
              <w:tr2bl w:val="nil"/>
            </w:tcBorders>
            <w:shd w:val="clear" w:color="auto" w:fill="auto"/>
            <w:noWrap w:val="0"/>
            <w:vAlign w:val="center"/>
          </w:tcPr>
          <w:p w14:paraId="34F045F6">
            <w:pPr>
              <w:keepNext w:val="0"/>
              <w:keepLines w:val="0"/>
              <w:widowControl/>
              <w:suppressLineNumbers w:val="0"/>
              <w:jc w:val="center"/>
              <w:textAlignment w:val="center"/>
              <w:rPr>
                <w:rFonts w:ascii="仿宋_GB2312" w:hAnsi="仿宋_GB2312" w:eastAsia="仿宋_GB2312" w:cs="仿宋_GB2312"/>
                <w:kern w:val="0"/>
                <w:sz w:val="32"/>
                <w:szCs w:val="32"/>
                <w:highlight w:val="none"/>
              </w:rPr>
            </w:pPr>
            <w:r>
              <w:rPr>
                <w:rFonts w:hint="eastAsia" w:ascii="仿宋_GB2312" w:hAnsi="宋体" w:eastAsia="仿宋_GB2312" w:cs="仿宋_GB2312"/>
                <w:i w:val="0"/>
                <w:iCs w:val="0"/>
                <w:color w:val="000000"/>
                <w:kern w:val="0"/>
                <w:sz w:val="32"/>
                <w:szCs w:val="32"/>
                <w:u w:val="none"/>
                <w:lang w:val="en-US" w:eastAsia="zh-CN" w:bidi="ar"/>
              </w:rPr>
              <w:t>79.13%</w:t>
            </w:r>
          </w:p>
        </w:tc>
      </w:tr>
      <w:tr w14:paraId="6E1E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5" w:hRule="atLeast"/>
          <w:jc w:val="center"/>
        </w:trPr>
        <w:tc>
          <w:tcPr>
            <w:tcW w:w="3493" w:type="dxa"/>
            <w:tcBorders>
              <w:tl2br w:val="nil"/>
              <w:tr2bl w:val="nil"/>
            </w:tcBorders>
            <w:shd w:val="clear" w:color="auto" w:fill="auto"/>
            <w:noWrap w:val="0"/>
            <w:vAlign w:val="center"/>
          </w:tcPr>
          <w:p w14:paraId="07FC1D18">
            <w:pPr>
              <w:widowControl/>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整体绩效目标实现情况</w:t>
            </w:r>
          </w:p>
        </w:tc>
        <w:tc>
          <w:tcPr>
            <w:tcW w:w="1575" w:type="dxa"/>
            <w:tcBorders>
              <w:tl2br w:val="nil"/>
              <w:tr2bl w:val="nil"/>
            </w:tcBorders>
            <w:shd w:val="clear" w:color="auto" w:fill="auto"/>
            <w:noWrap w:val="0"/>
            <w:vAlign w:val="center"/>
          </w:tcPr>
          <w:p w14:paraId="78B23062">
            <w:pPr>
              <w:widowControl/>
              <w:jc w:val="center"/>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60</w:t>
            </w:r>
          </w:p>
        </w:tc>
        <w:tc>
          <w:tcPr>
            <w:tcW w:w="1740" w:type="dxa"/>
            <w:tcBorders>
              <w:tl2br w:val="nil"/>
              <w:tr2bl w:val="nil"/>
            </w:tcBorders>
            <w:shd w:val="clear" w:color="auto" w:fill="auto"/>
            <w:noWrap w:val="0"/>
            <w:vAlign w:val="center"/>
          </w:tcPr>
          <w:p w14:paraId="3CC5B0DC">
            <w:pPr>
              <w:keepNext w:val="0"/>
              <w:keepLines w:val="0"/>
              <w:widowControl/>
              <w:suppressLineNumbers w:val="0"/>
              <w:jc w:val="center"/>
              <w:textAlignment w:val="center"/>
              <w:rPr>
                <w:rFonts w:hint="default" w:ascii="仿宋_GB2312" w:hAnsi="仿宋_GB2312" w:eastAsia="仿宋_GB2312" w:cs="仿宋_GB2312"/>
                <w:kern w:val="0"/>
                <w:sz w:val="32"/>
                <w:szCs w:val="32"/>
                <w:highlight w:val="none"/>
                <w:lang w:val="en-US" w:eastAsia="zh-CN"/>
              </w:rPr>
            </w:pPr>
            <w:r>
              <w:rPr>
                <w:rFonts w:hint="eastAsia" w:ascii="仿宋_GB2312" w:hAnsi="宋体" w:eastAsia="仿宋_GB2312" w:cs="仿宋_GB2312"/>
                <w:i w:val="0"/>
                <w:iCs w:val="0"/>
                <w:color w:val="000000"/>
                <w:kern w:val="0"/>
                <w:sz w:val="32"/>
                <w:szCs w:val="32"/>
                <w:u w:val="none"/>
                <w:lang w:val="en-US" w:eastAsia="zh-CN" w:bidi="ar"/>
              </w:rPr>
              <w:t>60</w:t>
            </w:r>
          </w:p>
        </w:tc>
        <w:tc>
          <w:tcPr>
            <w:tcW w:w="1666" w:type="dxa"/>
            <w:tcBorders>
              <w:tl2br w:val="nil"/>
              <w:tr2bl w:val="nil"/>
            </w:tcBorders>
            <w:shd w:val="clear" w:color="auto" w:fill="auto"/>
            <w:noWrap w:val="0"/>
            <w:vAlign w:val="center"/>
          </w:tcPr>
          <w:p w14:paraId="110C0F90">
            <w:pPr>
              <w:keepNext w:val="0"/>
              <w:keepLines w:val="0"/>
              <w:widowControl/>
              <w:suppressLineNumbers w:val="0"/>
              <w:jc w:val="center"/>
              <w:textAlignment w:val="center"/>
              <w:rPr>
                <w:rFonts w:ascii="仿宋_GB2312" w:hAnsi="仿宋_GB2312" w:eastAsia="仿宋_GB2312" w:cs="仿宋_GB2312"/>
                <w:kern w:val="0"/>
                <w:sz w:val="32"/>
                <w:szCs w:val="32"/>
                <w:highlight w:val="none"/>
              </w:rPr>
            </w:pPr>
            <w:r>
              <w:rPr>
                <w:rFonts w:hint="eastAsia" w:ascii="仿宋_GB2312" w:hAnsi="宋体" w:eastAsia="仿宋_GB2312" w:cs="仿宋_GB2312"/>
                <w:i w:val="0"/>
                <w:iCs w:val="0"/>
                <w:color w:val="000000"/>
                <w:kern w:val="0"/>
                <w:sz w:val="32"/>
                <w:szCs w:val="32"/>
                <w:u w:val="none"/>
                <w:lang w:val="en-US" w:eastAsia="zh-CN" w:bidi="ar"/>
              </w:rPr>
              <w:t>100.00%</w:t>
            </w:r>
          </w:p>
        </w:tc>
      </w:tr>
      <w:tr w14:paraId="3368F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5" w:hRule="atLeast"/>
          <w:jc w:val="center"/>
        </w:trPr>
        <w:tc>
          <w:tcPr>
            <w:tcW w:w="3493" w:type="dxa"/>
            <w:tcBorders>
              <w:tl2br w:val="nil"/>
              <w:tr2bl w:val="nil"/>
            </w:tcBorders>
            <w:shd w:val="clear" w:color="auto" w:fill="auto"/>
            <w:noWrap w:val="0"/>
            <w:vAlign w:val="center"/>
          </w:tcPr>
          <w:p w14:paraId="39A51BF0">
            <w:pPr>
              <w:widowControl/>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预算管理情况</w:t>
            </w:r>
          </w:p>
        </w:tc>
        <w:tc>
          <w:tcPr>
            <w:tcW w:w="1575" w:type="dxa"/>
            <w:tcBorders>
              <w:tl2br w:val="nil"/>
              <w:tr2bl w:val="nil"/>
            </w:tcBorders>
            <w:shd w:val="clear" w:color="auto" w:fill="auto"/>
            <w:noWrap w:val="0"/>
            <w:vAlign w:val="center"/>
          </w:tcPr>
          <w:p w14:paraId="18792A76">
            <w:pPr>
              <w:widowControl/>
              <w:jc w:val="center"/>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20</w:t>
            </w:r>
          </w:p>
        </w:tc>
        <w:tc>
          <w:tcPr>
            <w:tcW w:w="1740" w:type="dxa"/>
            <w:tcBorders>
              <w:tl2br w:val="nil"/>
              <w:tr2bl w:val="nil"/>
            </w:tcBorders>
            <w:shd w:val="clear" w:color="auto" w:fill="auto"/>
            <w:noWrap w:val="0"/>
            <w:vAlign w:val="center"/>
          </w:tcPr>
          <w:p w14:paraId="4CF2343B">
            <w:pPr>
              <w:keepNext w:val="0"/>
              <w:keepLines w:val="0"/>
              <w:widowControl/>
              <w:suppressLineNumbers w:val="0"/>
              <w:jc w:val="center"/>
              <w:textAlignment w:val="center"/>
              <w:rPr>
                <w:rFonts w:hint="default" w:ascii="仿宋_GB2312" w:hAnsi="仿宋_GB2312" w:eastAsia="仿宋_GB2312" w:cs="仿宋_GB2312"/>
                <w:kern w:val="0"/>
                <w:sz w:val="32"/>
                <w:szCs w:val="32"/>
                <w:highlight w:val="none"/>
                <w:lang w:val="en-US" w:eastAsia="zh-CN"/>
              </w:rPr>
            </w:pPr>
            <w:r>
              <w:rPr>
                <w:rFonts w:hint="eastAsia" w:ascii="仿宋_GB2312" w:hAnsi="宋体" w:eastAsia="仿宋_GB2312" w:cs="仿宋_GB2312"/>
                <w:i w:val="0"/>
                <w:iCs w:val="0"/>
                <w:color w:val="000000"/>
                <w:kern w:val="0"/>
                <w:sz w:val="32"/>
                <w:szCs w:val="32"/>
                <w:u w:val="none"/>
                <w:lang w:val="en-US" w:eastAsia="zh-CN" w:bidi="ar"/>
              </w:rPr>
              <w:t>20</w:t>
            </w:r>
          </w:p>
        </w:tc>
        <w:tc>
          <w:tcPr>
            <w:tcW w:w="1666" w:type="dxa"/>
            <w:tcBorders>
              <w:tl2br w:val="nil"/>
              <w:tr2bl w:val="nil"/>
            </w:tcBorders>
            <w:shd w:val="clear" w:color="auto" w:fill="auto"/>
            <w:noWrap w:val="0"/>
            <w:vAlign w:val="center"/>
          </w:tcPr>
          <w:p w14:paraId="7C2DAAA4">
            <w:pPr>
              <w:keepNext w:val="0"/>
              <w:keepLines w:val="0"/>
              <w:widowControl/>
              <w:suppressLineNumbers w:val="0"/>
              <w:jc w:val="center"/>
              <w:textAlignment w:val="center"/>
              <w:rPr>
                <w:rFonts w:ascii="仿宋_GB2312" w:hAnsi="仿宋_GB2312" w:eastAsia="仿宋_GB2312" w:cs="仿宋_GB2312"/>
                <w:kern w:val="0"/>
                <w:sz w:val="32"/>
                <w:szCs w:val="32"/>
                <w:highlight w:val="none"/>
              </w:rPr>
            </w:pPr>
            <w:r>
              <w:rPr>
                <w:rFonts w:hint="eastAsia" w:ascii="仿宋_GB2312" w:hAnsi="宋体" w:eastAsia="仿宋_GB2312" w:cs="仿宋_GB2312"/>
                <w:i w:val="0"/>
                <w:iCs w:val="0"/>
                <w:color w:val="000000"/>
                <w:kern w:val="0"/>
                <w:sz w:val="32"/>
                <w:szCs w:val="32"/>
                <w:u w:val="none"/>
                <w:lang w:val="en-US" w:eastAsia="zh-CN" w:bidi="ar"/>
              </w:rPr>
              <w:t>100.00%</w:t>
            </w:r>
          </w:p>
        </w:tc>
      </w:tr>
      <w:tr w14:paraId="3D12A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2" w:hRule="atLeast"/>
          <w:jc w:val="center"/>
        </w:trPr>
        <w:tc>
          <w:tcPr>
            <w:tcW w:w="3493" w:type="dxa"/>
            <w:tcBorders>
              <w:tl2br w:val="nil"/>
              <w:tr2bl w:val="nil"/>
            </w:tcBorders>
            <w:shd w:val="clear" w:color="auto" w:fill="auto"/>
            <w:noWrap w:val="0"/>
            <w:vAlign w:val="center"/>
          </w:tcPr>
          <w:p w14:paraId="59CC5348">
            <w:pPr>
              <w:widowControl/>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综合得分</w:t>
            </w:r>
          </w:p>
        </w:tc>
        <w:tc>
          <w:tcPr>
            <w:tcW w:w="1575" w:type="dxa"/>
            <w:tcBorders>
              <w:tl2br w:val="nil"/>
              <w:tr2bl w:val="nil"/>
            </w:tcBorders>
            <w:shd w:val="clear" w:color="auto" w:fill="auto"/>
            <w:noWrap w:val="0"/>
            <w:vAlign w:val="center"/>
          </w:tcPr>
          <w:p w14:paraId="76A21797">
            <w:pPr>
              <w:widowControl/>
              <w:jc w:val="center"/>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100</w:t>
            </w:r>
          </w:p>
        </w:tc>
        <w:tc>
          <w:tcPr>
            <w:tcW w:w="1740" w:type="dxa"/>
            <w:tcBorders>
              <w:tl2br w:val="nil"/>
              <w:tr2bl w:val="nil"/>
            </w:tcBorders>
            <w:shd w:val="clear" w:color="auto" w:fill="auto"/>
            <w:noWrap w:val="0"/>
            <w:vAlign w:val="center"/>
          </w:tcPr>
          <w:p w14:paraId="4A6B6824">
            <w:pPr>
              <w:keepNext w:val="0"/>
              <w:keepLines w:val="0"/>
              <w:widowControl/>
              <w:suppressLineNumbers w:val="0"/>
              <w:jc w:val="center"/>
              <w:textAlignment w:val="center"/>
              <w:rPr>
                <w:rFonts w:hint="default" w:ascii="仿宋_GB2312" w:hAnsi="仿宋_GB2312" w:eastAsia="仿宋_GB2312" w:cs="仿宋_GB2312"/>
                <w:kern w:val="0"/>
                <w:sz w:val="32"/>
                <w:szCs w:val="32"/>
                <w:highlight w:val="none"/>
                <w:lang w:val="en-US" w:eastAsia="zh-CN"/>
              </w:rPr>
            </w:pPr>
            <w:r>
              <w:rPr>
                <w:rFonts w:hint="eastAsia" w:ascii="仿宋_GB2312" w:hAnsi="宋体" w:eastAsia="仿宋_GB2312" w:cs="仿宋_GB2312"/>
                <w:i w:val="0"/>
                <w:iCs w:val="0"/>
                <w:color w:val="000000"/>
                <w:kern w:val="0"/>
                <w:sz w:val="32"/>
                <w:szCs w:val="32"/>
                <w:u w:val="none"/>
                <w:lang w:val="en-US" w:eastAsia="zh-CN" w:bidi="ar"/>
              </w:rPr>
              <w:t>95.826</w:t>
            </w:r>
          </w:p>
        </w:tc>
        <w:tc>
          <w:tcPr>
            <w:tcW w:w="1666" w:type="dxa"/>
            <w:tcBorders>
              <w:tl2br w:val="nil"/>
              <w:tr2bl w:val="nil"/>
            </w:tcBorders>
            <w:shd w:val="clear" w:color="auto" w:fill="auto"/>
            <w:noWrap w:val="0"/>
            <w:vAlign w:val="center"/>
          </w:tcPr>
          <w:p w14:paraId="360F3653">
            <w:pPr>
              <w:keepNext w:val="0"/>
              <w:keepLines w:val="0"/>
              <w:widowControl/>
              <w:suppressLineNumbers w:val="0"/>
              <w:jc w:val="center"/>
              <w:textAlignment w:val="center"/>
              <w:rPr>
                <w:rFonts w:ascii="仿宋_GB2312" w:hAnsi="仿宋_GB2312" w:eastAsia="仿宋_GB2312" w:cs="仿宋_GB2312"/>
                <w:kern w:val="0"/>
                <w:sz w:val="32"/>
                <w:szCs w:val="32"/>
                <w:highlight w:val="none"/>
              </w:rPr>
            </w:pPr>
            <w:r>
              <w:rPr>
                <w:rFonts w:hint="eastAsia" w:ascii="仿宋_GB2312" w:hAnsi="宋体" w:eastAsia="仿宋_GB2312" w:cs="仿宋_GB2312"/>
                <w:i w:val="0"/>
                <w:iCs w:val="0"/>
                <w:color w:val="000000"/>
                <w:kern w:val="0"/>
                <w:sz w:val="32"/>
                <w:szCs w:val="32"/>
                <w:u w:val="none"/>
                <w:lang w:val="en-US" w:eastAsia="zh-CN" w:bidi="ar"/>
              </w:rPr>
              <w:t>95.83%</w:t>
            </w:r>
          </w:p>
        </w:tc>
      </w:tr>
      <w:tr w14:paraId="6C2FB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5" w:hRule="atLeast"/>
          <w:jc w:val="center"/>
        </w:trPr>
        <w:tc>
          <w:tcPr>
            <w:tcW w:w="3493" w:type="dxa"/>
            <w:tcBorders>
              <w:tl2br w:val="nil"/>
              <w:tr2bl w:val="nil"/>
            </w:tcBorders>
            <w:shd w:val="clear" w:color="auto" w:fill="auto"/>
            <w:noWrap w:val="0"/>
            <w:vAlign w:val="center"/>
          </w:tcPr>
          <w:p w14:paraId="2A15D350">
            <w:pPr>
              <w:widowControl/>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绩效评定级别</w:t>
            </w:r>
          </w:p>
        </w:tc>
        <w:tc>
          <w:tcPr>
            <w:tcW w:w="4981" w:type="dxa"/>
            <w:gridSpan w:val="3"/>
            <w:tcBorders>
              <w:tl2br w:val="nil"/>
              <w:tr2bl w:val="nil"/>
            </w:tcBorders>
            <w:shd w:val="clear" w:color="auto" w:fill="auto"/>
            <w:noWrap w:val="0"/>
            <w:vAlign w:val="center"/>
          </w:tcPr>
          <w:p w14:paraId="393C3EC8">
            <w:pPr>
              <w:widowControl/>
              <w:jc w:val="center"/>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优</w:t>
            </w:r>
          </w:p>
        </w:tc>
      </w:tr>
    </w:tbl>
    <w:p w14:paraId="689F1E51">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outlineLvl w:val="1"/>
        <w:rPr>
          <w:rFonts w:ascii="楷体_GB2312" w:eastAsia="楷体_GB2312"/>
          <w:sz w:val="32"/>
          <w:szCs w:val="32"/>
        </w:rPr>
      </w:pPr>
      <w:bookmarkStart w:id="42" w:name="_Toc11474"/>
      <w:bookmarkStart w:id="43" w:name="_Toc137450596"/>
      <w:r>
        <w:rPr>
          <w:rFonts w:hint="eastAsia" w:ascii="楷体_GB2312" w:hAnsi="Times New Roman" w:eastAsia="楷体_GB2312" w:cs="Times New Roman"/>
          <w:kern w:val="2"/>
          <w:sz w:val="32"/>
          <w:szCs w:val="32"/>
          <w:lang w:val="en-US" w:eastAsia="zh-CN" w:bidi="ar-SA"/>
        </w:rPr>
        <w:t>（二）</w:t>
      </w:r>
      <w:r>
        <w:rPr>
          <w:rFonts w:hint="eastAsia" w:ascii="楷体_GB2312" w:eastAsia="楷体_GB2312"/>
          <w:sz w:val="32"/>
          <w:szCs w:val="32"/>
        </w:rPr>
        <w:t>存在的问题及原因分析</w:t>
      </w:r>
      <w:bookmarkEnd w:id="42"/>
      <w:bookmarkEnd w:id="43"/>
    </w:p>
    <w:p w14:paraId="17194462">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outlineLvl w:val="2"/>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2024年市医管中心通过对纳入2024年部门预算管理的所有填报绩效目标的项目开展绩效自评、成本预算绩效分析、绩效监控等工作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但部门整体绩效目标及绩效指标设置有待进一步细化、量化，在明确部门工作的重点方向的基础上，目标任务的量化程度可进一步提高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部分医院对绩效考核目标理解模糊，可衡量性仍存在不足，关于项目预期达到的效果归纳与阐述有待完善。</w:t>
      </w:r>
    </w:p>
    <w:p w14:paraId="20E834E9">
      <w:pPr>
        <w:keepNext w:val="0"/>
        <w:keepLines w:val="0"/>
        <w:pageBreakBefore w:val="0"/>
        <w:widowControl w:val="0"/>
        <w:kinsoku/>
        <w:wordWrap/>
        <w:overflowPunct/>
        <w:topLinePunct w:val="0"/>
        <w:autoSpaceDE/>
        <w:autoSpaceDN/>
        <w:bidi w:val="0"/>
        <w:spacing w:line="600" w:lineRule="exact"/>
        <w:ind w:left="105" w:leftChars="50" w:firstLine="640" w:firstLineChars="200"/>
        <w:textAlignment w:val="auto"/>
        <w:outlineLvl w:val="0"/>
        <w:rPr>
          <w:rFonts w:hint="eastAsia" w:ascii="黑体" w:hAnsi="黑体" w:eastAsia="黑体" w:cs="Times New Roman"/>
          <w:sz w:val="32"/>
          <w:szCs w:val="32"/>
        </w:rPr>
      </w:pPr>
      <w:bookmarkStart w:id="44" w:name="_Toc28348"/>
      <w:bookmarkStart w:id="45" w:name="_Toc137450597"/>
      <w:r>
        <w:rPr>
          <w:rFonts w:hint="eastAsia" w:ascii="黑体" w:hAnsi="黑体" w:eastAsia="黑体" w:cs="Times New Roman"/>
          <w:sz w:val="32"/>
          <w:szCs w:val="32"/>
          <w:lang w:val="en-US" w:eastAsia="zh-CN"/>
        </w:rPr>
        <w:t>六、</w:t>
      </w:r>
      <w:r>
        <w:rPr>
          <w:rFonts w:hint="eastAsia" w:ascii="黑体" w:hAnsi="黑体" w:eastAsia="黑体" w:cs="Times New Roman"/>
          <w:sz w:val="32"/>
          <w:szCs w:val="32"/>
        </w:rPr>
        <w:t>措施建议</w:t>
      </w:r>
      <w:bookmarkEnd w:id="44"/>
      <w:bookmarkEnd w:id="45"/>
    </w:p>
    <w:p w14:paraId="71681370">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一是强化培训。定期组织医院召开绩效政策解读会，结合案例分析指标内涵，引导医院将绩效目标融入日常工作，提升全员参与感。二是强化指导。建立项目共性指标体系，对延续性项目的指标进行梳理、规范，对新增项目的指标填报进行指导，形成分类别、分层次的指标体系，规范以后年度的填报工作。</w:t>
      </w:r>
    </w:p>
    <w:p w14:paraId="5420CEEE">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p>
    <w:p w14:paraId="3CEB9A76">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附件：2024年部门整体绩效评价指标体系评分表</w:t>
      </w:r>
    </w:p>
    <w:p w14:paraId="3B719A35">
      <w:pPr>
        <w:rPr>
          <w:rFonts w:ascii="仿宋_GB2312" w:hAnsi="仿宋_GB2312" w:eastAsia="仿宋_GB2312" w:cs="仿宋_GB2312"/>
          <w:sz w:val="32"/>
          <w:szCs w:val="32"/>
        </w:rPr>
        <w:sectPr>
          <w:footerReference r:id="rId3" w:type="default"/>
          <w:pgSz w:w="11906" w:h="16838"/>
          <w:pgMar w:top="1440" w:right="1800" w:bottom="1440" w:left="1800" w:header="851" w:footer="0" w:gutter="0"/>
          <w:pgBorders>
            <w:top w:val="none" w:sz="0" w:space="0"/>
            <w:left w:val="none" w:sz="0" w:space="0"/>
            <w:bottom w:val="none" w:sz="0" w:space="0"/>
            <w:right w:val="none" w:sz="0" w:space="0"/>
          </w:pgBorders>
          <w:pgNumType w:fmt="numberInDash" w:start="1"/>
          <w:cols w:space="425" w:num="1"/>
          <w:docGrid w:type="lines" w:linePitch="435" w:charSpace="0"/>
        </w:sectPr>
      </w:pPr>
    </w:p>
    <w:p w14:paraId="296281FC">
      <w:pPr>
        <w:spacing w:line="20" w:lineRule="exact"/>
        <w:rPr>
          <w:rFonts w:ascii="方正小标宋简体" w:eastAsia="方正小标宋简体"/>
          <w:sz w:val="36"/>
          <w:szCs w:val="36"/>
        </w:rPr>
      </w:pPr>
    </w:p>
    <w:p w14:paraId="0C442311">
      <w:pPr>
        <w:spacing w:line="560" w:lineRule="exact"/>
        <w:jc w:val="left"/>
        <w:outlineLvl w:val="0"/>
        <w:rPr>
          <w:rFonts w:hint="eastAsia" w:ascii="仿宋_GB2312" w:hAnsi="仿宋_GB2312" w:eastAsia="仿宋_GB2312" w:cs="仿宋_GB2312"/>
          <w:sz w:val="32"/>
        </w:rPr>
      </w:pPr>
      <w:bookmarkStart w:id="46" w:name="_Toc22162"/>
      <w:r>
        <w:rPr>
          <w:rFonts w:hint="eastAsia" w:ascii="仿宋_GB2312" w:hAnsi="仿宋_GB2312" w:eastAsia="仿宋_GB2312" w:cs="仿宋_GB2312"/>
          <w:sz w:val="32"/>
        </w:rPr>
        <w:t>附件</w:t>
      </w:r>
      <w:bookmarkEnd w:id="46"/>
    </w:p>
    <w:p w14:paraId="729DCD39">
      <w:pPr>
        <w:pStyle w:val="3"/>
        <w:jc w:val="center"/>
        <w:rPr>
          <w:rFonts w:hint="eastAsia" w:ascii="方正小标宋简体" w:hAnsi="黑体" w:eastAsia="方正小标宋简体" w:cs="宋体"/>
          <w:b w:val="0"/>
          <w:bCs w:val="0"/>
          <w:color w:val="000000"/>
          <w:kern w:val="0"/>
          <w:sz w:val="44"/>
          <w:szCs w:val="44"/>
          <w:highlight w:val="none"/>
        </w:rPr>
      </w:pPr>
      <w:r>
        <w:rPr>
          <w:rFonts w:hint="eastAsia" w:ascii="方正小标宋简体" w:hAnsi="黑体" w:eastAsia="方正小标宋简体" w:cs="宋体"/>
          <w:b w:val="0"/>
          <w:bCs w:val="0"/>
          <w:color w:val="000000"/>
          <w:kern w:val="0"/>
          <w:sz w:val="44"/>
          <w:szCs w:val="44"/>
          <w:highlight w:val="none"/>
          <w:lang w:eastAsia="zh-CN"/>
        </w:rPr>
        <w:t>2024</w:t>
      </w:r>
      <w:r>
        <w:rPr>
          <w:rFonts w:hint="eastAsia" w:ascii="方正小标宋简体" w:hAnsi="黑体" w:eastAsia="方正小标宋简体" w:cs="宋体"/>
          <w:b w:val="0"/>
          <w:bCs w:val="0"/>
          <w:color w:val="000000"/>
          <w:kern w:val="0"/>
          <w:sz w:val="44"/>
          <w:szCs w:val="44"/>
          <w:highlight w:val="none"/>
        </w:rPr>
        <w:t>年部门整体绩效评价指标体系评分表</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816"/>
        <w:gridCol w:w="1677"/>
        <w:gridCol w:w="1501"/>
        <w:gridCol w:w="1669"/>
        <w:gridCol w:w="793"/>
        <w:gridCol w:w="816"/>
        <w:gridCol w:w="2372"/>
        <w:gridCol w:w="3714"/>
      </w:tblGrid>
      <w:tr w14:paraId="0973A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D58FEA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一、当年预算执行情况（20分）</w:t>
            </w:r>
          </w:p>
        </w:tc>
      </w:tr>
      <w:tr w14:paraId="2B819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2FFC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　</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07F2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　</w:t>
            </w: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A6C9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预算数（万元）</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A69A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执行数（万元）</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87B4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预算执行率</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21F5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ADD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1159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AD78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评分标准</w:t>
            </w:r>
          </w:p>
        </w:tc>
      </w:tr>
      <w:tr w14:paraId="6BB83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trPr>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0D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当年预算执行情况（20）</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CDE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资金总体</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w:t>
            </w:r>
            <w:r>
              <w:rPr>
                <w:rFonts w:hint="eastAsia" w:ascii="宋体" w:hAnsi="宋体" w:cs="宋体"/>
                <w:i w:val="0"/>
                <w:iCs w:val="0"/>
                <w:color w:val="000000"/>
                <w:kern w:val="0"/>
                <w:sz w:val="20"/>
                <w:szCs w:val="20"/>
                <w:u w:val="none"/>
                <w:lang w:val="en-US" w:eastAsia="zh-CN" w:bidi="ar"/>
              </w:rPr>
              <w:t>）</w:t>
            </w: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2E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050</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205.52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3BF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7,952,824.99</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2B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79.13</w:t>
            </w:r>
            <w:r>
              <w:rPr>
                <w:rFonts w:hint="eastAsia" w:ascii="宋体" w:hAnsi="宋体" w:eastAsia="宋体" w:cs="宋体"/>
                <w:i w:val="0"/>
                <w:iCs w:val="0"/>
                <w:color w:val="000000"/>
                <w:kern w:val="0"/>
                <w:sz w:val="20"/>
                <w:szCs w:val="20"/>
                <w:u w:val="none"/>
                <w:lang w:val="en-US" w:eastAsia="zh-CN" w:bidi="ar"/>
              </w:rPr>
              <w:t>%</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D1B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4F75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15.826</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FD7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部门全年执行数与全年预算数的比率。资金总体=基本支出+项目支出+其他</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7F9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①得分一档最高不能超过该指标分值上限（20分）。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bl>
    <w:p w14:paraId="3AAD60BA"/>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816"/>
        <w:gridCol w:w="3528"/>
        <w:gridCol w:w="1263"/>
        <w:gridCol w:w="1323"/>
        <w:gridCol w:w="566"/>
        <w:gridCol w:w="626"/>
        <w:gridCol w:w="2600"/>
        <w:gridCol w:w="2636"/>
      </w:tblGrid>
      <w:tr w14:paraId="4853A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C34F22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二、整体绩效目标实现情况（60分）</w:t>
            </w:r>
          </w:p>
        </w:tc>
      </w:tr>
      <w:tr w14:paraId="3FA08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83B1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097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　</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579C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　</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06DC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AC5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完成值</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1994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E2E0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9614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DFF8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评分标准</w:t>
            </w:r>
          </w:p>
        </w:tc>
      </w:tr>
      <w:tr w14:paraId="2F705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trPr>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52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72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产出（30）</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4668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数量指标：</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1.门诊人次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2.累计出院患者人次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门诊</w:t>
            </w:r>
            <w:r>
              <w:rPr>
                <w:rFonts w:hint="eastAsia" w:ascii="宋体" w:hAnsi="宋体" w:eastAsia="宋体" w:cs="宋体"/>
                <w:i w:val="0"/>
                <w:iCs w:val="0"/>
                <w:color w:val="000000"/>
                <w:kern w:val="0"/>
                <w:sz w:val="20"/>
                <w:szCs w:val="20"/>
                <w:highlight w:val="none"/>
                <w:u w:val="none"/>
                <w:lang w:val="en-US" w:eastAsia="zh-CN" w:bidi="ar"/>
              </w:rPr>
              <w:t>预约人次数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4.手术人数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5.注册药师（士）人数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6.国家级重点专</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学</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科数量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7</w:t>
            </w:r>
            <w:r>
              <w:rPr>
                <w:rFonts w:hint="eastAsia" w:ascii="宋体" w:hAnsi="宋体" w:eastAsia="宋体" w:cs="宋体"/>
                <w:i w:val="0"/>
                <w:iCs w:val="0"/>
                <w:color w:val="000000"/>
                <w:kern w:val="0"/>
                <w:sz w:val="20"/>
                <w:szCs w:val="20"/>
                <w:highlight w:val="none"/>
                <w:u w:val="none"/>
                <w:lang w:val="en-US" w:eastAsia="zh-CN" w:bidi="ar"/>
              </w:rPr>
              <w:t>.各类科技成果（医药科技成果、知识产权）</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8</w:t>
            </w:r>
            <w:r>
              <w:rPr>
                <w:rFonts w:hint="eastAsia" w:ascii="宋体" w:hAnsi="宋体" w:eastAsia="宋体" w:cs="宋体"/>
                <w:i w:val="0"/>
                <w:iCs w:val="0"/>
                <w:color w:val="000000"/>
                <w:kern w:val="0"/>
                <w:sz w:val="20"/>
                <w:szCs w:val="20"/>
                <w:highlight w:val="none"/>
                <w:u w:val="none"/>
                <w:lang w:val="en-US" w:eastAsia="zh-CN" w:bidi="ar"/>
              </w:rPr>
              <w:t>.推进疏解提升项目规划建设，按计划推进重点工程数量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9</w:t>
            </w:r>
            <w:r>
              <w:rPr>
                <w:rFonts w:hint="eastAsia" w:ascii="宋体" w:hAnsi="宋体" w:eastAsia="宋体" w:cs="宋体"/>
                <w:i w:val="0"/>
                <w:iCs w:val="0"/>
                <w:color w:val="000000"/>
                <w:kern w:val="0"/>
                <w:sz w:val="20"/>
                <w:szCs w:val="20"/>
                <w:highlight w:val="none"/>
                <w:u w:val="none"/>
                <w:lang w:val="en-US" w:eastAsia="zh-CN" w:bidi="ar"/>
              </w:rPr>
              <w:t>.推动“北京市示范性研究型病房”建设的市属医院数量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.开展市属医院后勤服务评价的市属医院数量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1</w:t>
            </w:r>
            <w:r>
              <w:rPr>
                <w:rFonts w:hint="eastAsia" w:ascii="宋体" w:hAnsi="宋体" w:eastAsia="宋体" w:cs="宋体"/>
                <w:i w:val="0"/>
                <w:iCs w:val="0"/>
                <w:color w:val="000000"/>
                <w:kern w:val="0"/>
                <w:sz w:val="20"/>
                <w:szCs w:val="20"/>
                <w:highlight w:val="none"/>
                <w:u w:val="none"/>
                <w:lang w:val="en-US" w:eastAsia="zh-CN" w:bidi="ar"/>
              </w:rPr>
              <w:t>.开展市属医院安全能力提升，加强应急能力建设，持续提升安全管理水平</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20F3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1.≥3000万人次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2.≥95万</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3.≥2800万人次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4.≥40万人次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5.≥1500人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6.≥75个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7</w:t>
            </w:r>
            <w:r>
              <w:rPr>
                <w:rFonts w:hint="eastAsia" w:ascii="宋体" w:hAnsi="宋体" w:eastAsia="宋体" w:cs="宋体"/>
                <w:i w:val="0"/>
                <w:iCs w:val="0"/>
                <w:color w:val="000000"/>
                <w:kern w:val="0"/>
                <w:sz w:val="20"/>
                <w:szCs w:val="20"/>
                <w:highlight w:val="none"/>
                <w:u w:val="none"/>
                <w:lang w:val="en-US" w:eastAsia="zh-CN" w:bidi="ar"/>
              </w:rPr>
              <w:t>.≥200项</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8</w:t>
            </w:r>
            <w:r>
              <w:rPr>
                <w:rFonts w:hint="eastAsia" w:ascii="宋体" w:hAnsi="宋体" w:eastAsia="宋体" w:cs="宋体"/>
                <w:i w:val="0"/>
                <w:iCs w:val="0"/>
                <w:color w:val="000000"/>
                <w:kern w:val="0"/>
                <w:sz w:val="20"/>
                <w:szCs w:val="20"/>
                <w:highlight w:val="none"/>
                <w:u w:val="none"/>
                <w:lang w:val="en-US" w:eastAsia="zh-CN" w:bidi="ar"/>
              </w:rPr>
              <w:t>.=12个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9</w:t>
            </w:r>
            <w:r>
              <w:rPr>
                <w:rFonts w:hint="eastAsia" w:ascii="宋体" w:hAnsi="宋体" w:eastAsia="宋体" w:cs="宋体"/>
                <w:i w:val="0"/>
                <w:iCs w:val="0"/>
                <w:color w:val="000000"/>
                <w:kern w:val="0"/>
                <w:sz w:val="20"/>
                <w:szCs w:val="20"/>
                <w:highlight w:val="none"/>
                <w:u w:val="none"/>
                <w:lang w:val="en-US" w:eastAsia="zh-CN" w:bidi="ar"/>
              </w:rPr>
              <w:t>.≥18家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22家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1</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22家</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3D895">
            <w:pPr>
              <w:keepNext w:val="0"/>
              <w:keepLines w:val="0"/>
              <w:widowControl/>
              <w:suppressLineNumbers w:val="0"/>
              <w:jc w:val="center"/>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3680万人次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143.5万人次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3569.6万人次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60.96万人次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5.≥1500人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98个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7</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667项</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8</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12个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cs="宋体"/>
                <w:i w:val="0"/>
                <w:iCs w:val="0"/>
                <w:color w:val="000000"/>
                <w:kern w:val="0"/>
                <w:sz w:val="20"/>
                <w:szCs w:val="20"/>
                <w:highlight w:val="none"/>
                <w:u w:val="none"/>
                <w:lang w:val="en-US" w:eastAsia="zh-CN" w:bidi="ar"/>
              </w:rPr>
              <w:t>9</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18家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0</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22家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1</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22家</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7F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893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6E6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06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bl>
    <w:p w14:paraId="03D956FB">
      <w:pPr>
        <w:pStyle w:val="3"/>
      </w:pPr>
    </w:p>
    <w:p w14:paraId="6CA9F252"/>
    <w:p w14:paraId="2B8606F3"/>
    <w:p w14:paraId="0452C54E">
      <w:pPr>
        <w:spacing w:line="20" w:lineRule="exact"/>
        <w:rPr>
          <w:rFonts w:ascii="方正小标宋简体" w:eastAsia="方正小标宋简体"/>
          <w:sz w:val="36"/>
          <w:szCs w:val="36"/>
        </w:rPr>
      </w:pPr>
    </w:p>
    <w:p w14:paraId="2E651808">
      <w:pPr>
        <w:spacing w:line="20" w:lineRule="exact"/>
        <w:rPr>
          <w:rFonts w:ascii="方正小标宋简体" w:eastAsia="方正小标宋简体"/>
          <w:sz w:val="36"/>
          <w:szCs w:val="36"/>
        </w:rPr>
      </w:pPr>
    </w:p>
    <w:tbl>
      <w:tblPr>
        <w:tblStyle w:val="24"/>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816"/>
        <w:gridCol w:w="3539"/>
        <w:gridCol w:w="1264"/>
        <w:gridCol w:w="1264"/>
        <w:gridCol w:w="623"/>
        <w:gridCol w:w="626"/>
        <w:gridCol w:w="2607"/>
        <w:gridCol w:w="2608"/>
      </w:tblGrid>
      <w:tr w14:paraId="7F2C2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21CF7">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一级</w:t>
            </w:r>
          </w:p>
          <w:p w14:paraId="32A6296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7AF7D">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二级</w:t>
            </w:r>
          </w:p>
          <w:p w14:paraId="7D365AC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　</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273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　</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DE3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8F3C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完成值</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7F7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9487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5840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1C2B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评分标准</w:t>
            </w:r>
          </w:p>
        </w:tc>
      </w:tr>
      <w:tr w14:paraId="4D589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28C1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w:t>
            </w:r>
          </w:p>
        </w:tc>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D2AA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产出（30）</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C00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处方合格率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平均床位使用率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实现分时段预约就诊医院的占比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 </w:t>
            </w:r>
            <w:r>
              <w:rPr>
                <w:rFonts w:hint="eastAsia" w:ascii="宋体" w:hAnsi="宋体" w:cs="宋体"/>
                <w:i w:val="0"/>
                <w:iCs w:val="0"/>
                <w:color w:val="000000"/>
                <w:kern w:val="0"/>
                <w:sz w:val="20"/>
                <w:szCs w:val="20"/>
                <w:u w:val="none"/>
                <w:lang w:val="en-US" w:eastAsia="zh-CN" w:bidi="ar"/>
              </w:rPr>
              <w:t>门诊</w:t>
            </w:r>
            <w:r>
              <w:rPr>
                <w:rFonts w:hint="eastAsia" w:ascii="宋体" w:hAnsi="宋体" w:eastAsia="宋体" w:cs="宋体"/>
                <w:i w:val="0"/>
                <w:iCs w:val="0"/>
                <w:color w:val="000000"/>
                <w:kern w:val="0"/>
                <w:sz w:val="20"/>
                <w:szCs w:val="20"/>
                <w:u w:val="none"/>
                <w:lang w:val="en-US" w:eastAsia="zh-CN" w:bidi="ar"/>
              </w:rPr>
              <w:t>预约率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 甲乙类等重点大型医用设备平均年使用率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 成本收益率提高，人均医疗业务成本保持合理水平</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99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2.≥85%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5.≥85%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6.定性好</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222A1">
            <w:pPr>
              <w:keepNext w:val="0"/>
              <w:keepLines w:val="0"/>
              <w:widowControl/>
              <w:suppressLineNumbers w:val="0"/>
              <w:jc w:val="center"/>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98.04%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96.1%</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100%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97%</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85%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6.定性好</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9D4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46F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3C5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产出质量：质量达标率=质量达标工作数/实际完成工作数×100%。质量达标工作数：一定时期（年度或规划期）内部门（单位）实际完成工作数中达到部门绩效目标要求（绩效标准值）的工作任务数量。</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72A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14:paraId="67911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7175E">
            <w:pPr>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CF4AB">
            <w:pPr>
              <w:jc w:val="center"/>
              <w:rPr>
                <w:rFonts w:hint="eastAsia" w:ascii="宋体" w:hAnsi="宋体" w:eastAsia="宋体" w:cs="宋体"/>
                <w:i w:val="0"/>
                <w:iCs w:val="0"/>
                <w:color w:val="000000"/>
                <w:sz w:val="20"/>
                <w:szCs w:val="20"/>
                <w:u w:val="none"/>
              </w:rPr>
            </w:pP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90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平均住院天数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上半年完成全年财政项目立项并开展工作，9月份完成预算执行任务的60%以上，12月底完成全年预算执行任务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经济成本指标：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0"/>
                <w:szCs w:val="20"/>
                <w:u w:val="none"/>
                <w:lang w:val="en-US" w:eastAsia="zh-CN" w:bidi="ar"/>
              </w:rPr>
              <w:t>加大科技创新类投入</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F4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2.定性好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3.≥4亿元</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5A2F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=6.16</w:t>
            </w:r>
            <w:r>
              <w:rPr>
                <w:rFonts w:hint="eastAsia" w:ascii="宋体" w:hAnsi="宋体" w:eastAsia="宋体" w:cs="宋体"/>
                <w:i w:val="0"/>
                <w:iCs w:val="0"/>
                <w:color w:val="000000"/>
                <w:kern w:val="0"/>
                <w:sz w:val="20"/>
                <w:szCs w:val="20"/>
                <w:highlight w:val="none"/>
                <w:u w:val="none"/>
                <w:lang w:val="en-US" w:eastAsia="zh-CN" w:bidi="ar"/>
              </w:rPr>
              <w:t>天</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2.定性好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u w:val="none"/>
                <w:lang w:val="en-US" w:eastAsia="zh-CN" w:bidi="ar"/>
              </w:rPr>
              <w:t>≥4亿元</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B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55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77F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产出进度：按时完成率=（按时完成工作数/实际完成工作数）×100%。按时完成工作数：部门（单位）按照整体绩效目标确定的时限实际完成的工作任务数量。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产出成本：单位产出相对于上一年度的节约额；②单位产出相对于市场同类产出的节约额；③部门公用经费的控制情况。</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DD7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bl>
    <w:p w14:paraId="329A443C">
      <w:pPr>
        <w:pStyle w:val="3"/>
      </w:pPr>
    </w:p>
    <w:tbl>
      <w:tblPr>
        <w:tblStyle w:val="24"/>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816"/>
        <w:gridCol w:w="3304"/>
        <w:gridCol w:w="1499"/>
        <w:gridCol w:w="1264"/>
        <w:gridCol w:w="624"/>
        <w:gridCol w:w="624"/>
        <w:gridCol w:w="2608"/>
        <w:gridCol w:w="2608"/>
      </w:tblGrid>
      <w:tr w14:paraId="7782B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84B4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1399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　</w:t>
            </w: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39BB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　</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4AE1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17A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完成值</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A33A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1630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FBD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896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评分标准</w:t>
            </w:r>
          </w:p>
        </w:tc>
      </w:tr>
      <w:tr w14:paraId="236F5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9C6D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w:t>
            </w:r>
          </w:p>
        </w:tc>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655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效果（30）</w:t>
            </w: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231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1.总资产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2.净资产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3.资产负债率</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116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1.≥500亿元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2.≥300亿元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3.≤40%</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E7D2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1.≥500亿元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2.≥300亿元</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=31.39</w:t>
            </w:r>
            <w:r>
              <w:rPr>
                <w:rFonts w:hint="eastAsia" w:ascii="宋体" w:hAnsi="宋体" w:eastAsia="宋体" w:cs="宋体"/>
                <w:i w:val="0"/>
                <w:iCs w:val="0"/>
                <w:color w:val="000000"/>
                <w:kern w:val="0"/>
                <w:sz w:val="20"/>
                <w:szCs w:val="20"/>
                <w:highlight w:val="none"/>
                <w:u w:val="none"/>
                <w:lang w:val="en-US" w:eastAsia="zh-CN" w:bidi="ar"/>
              </w:rPr>
              <w:t>%</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E3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17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562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经济效益：部门（单位）履行职责对经济发展所带来的直接或间接影响。</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708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部门根据实际情况选择指标进行填写，并将其细化为相应的个性化指标。对于效益类指标可从受益对象瞄准度、受益广度和受益深度上进行设计分析。</w:t>
            </w:r>
          </w:p>
        </w:tc>
      </w:tr>
      <w:tr w14:paraId="48BB8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2A056">
            <w:pPr>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24688">
            <w:pPr>
              <w:jc w:val="center"/>
              <w:rPr>
                <w:rFonts w:hint="eastAsia" w:ascii="宋体" w:hAnsi="宋体" w:eastAsia="宋体" w:cs="宋体"/>
                <w:i w:val="0"/>
                <w:iCs w:val="0"/>
                <w:color w:val="000000"/>
                <w:sz w:val="20"/>
                <w:szCs w:val="20"/>
                <w:u w:val="none"/>
              </w:rPr>
            </w:pP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6EB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1.继续推进相约守护、守护天使志愿服务等工作，创新医患沟通形式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2.结合接诉即办反映的突出问题出台改善医疗服务措施</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B4B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1.定性好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2.定性好</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B3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1.定性好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2.定性好</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6C9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68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D72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社会效益：部门（单位）履行职责对社会发展所带来的直接或间接影响。</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A54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部门根据实际情况选择指标进行填写，并将其细化为相应的个性化指标。对于效益类指标可从受益对象瞄准度、受益广度和受益深度上进行设计分析。</w:t>
            </w:r>
          </w:p>
        </w:tc>
      </w:tr>
      <w:tr w14:paraId="5F3B3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A14B5">
            <w:pPr>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A4EF3">
            <w:pPr>
              <w:jc w:val="center"/>
              <w:rPr>
                <w:rFonts w:hint="eastAsia" w:ascii="宋体" w:hAnsi="宋体" w:eastAsia="宋体" w:cs="宋体"/>
                <w:i w:val="0"/>
                <w:iCs w:val="0"/>
                <w:color w:val="000000"/>
                <w:sz w:val="20"/>
                <w:szCs w:val="20"/>
                <w:u w:val="none"/>
              </w:rPr>
            </w:pP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B7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1.患者满意度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2.建立并完善第三方参与的医院服务患者满意度评价机制</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A05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2.定性好</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371CC">
            <w:pPr>
              <w:keepNext w:val="0"/>
              <w:keepLines w:val="0"/>
              <w:widowControl/>
              <w:suppressLineNumbers w:val="0"/>
              <w:jc w:val="center"/>
              <w:textAlignment w:val="center"/>
              <w:rPr>
                <w:rFonts w:hint="eastAsia" w:ascii="宋体" w:hAnsi="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91.</w:t>
            </w:r>
            <w:r>
              <w:rPr>
                <w:rFonts w:hint="eastAsia" w:ascii="宋体" w:hAnsi="宋体" w:cs="宋体"/>
                <w:i w:val="0"/>
                <w:iCs w:val="0"/>
                <w:color w:val="000000"/>
                <w:kern w:val="0"/>
                <w:sz w:val="20"/>
                <w:szCs w:val="20"/>
                <w:highlight w:val="none"/>
                <w:u w:val="none"/>
                <w:lang w:val="en-US" w:eastAsia="zh-CN" w:bidi="ar"/>
              </w:rPr>
              <w:t>359分</w:t>
            </w:r>
          </w:p>
          <w:p w14:paraId="58C0D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2.定性好</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124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24E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042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服务对象满意度：部门（单位）的服务对象对部门履职效果的满意程度。</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E6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部门根据实际情况选择指标进行填写，并将其细化为相应的个性化指标。对于效益类指标可从受益对象瞄准度、受益广度和受益深度上进行设计分析。</w:t>
            </w:r>
          </w:p>
        </w:tc>
      </w:tr>
    </w:tbl>
    <w:p w14:paraId="4D074E5D">
      <w:pPr>
        <w:sectPr>
          <w:footerReference r:id="rId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716"/>
        <w:gridCol w:w="1329"/>
        <w:gridCol w:w="1175"/>
        <w:gridCol w:w="1297"/>
        <w:gridCol w:w="963"/>
        <w:gridCol w:w="1003"/>
        <w:gridCol w:w="3368"/>
        <w:gridCol w:w="3507"/>
      </w:tblGrid>
      <w:tr w14:paraId="2630F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5E66D8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三、预算管理情况（20分）</w:t>
            </w:r>
          </w:p>
        </w:tc>
      </w:tr>
      <w:tr w14:paraId="16242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33AA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D6F6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77B0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C005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B0D5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完成值</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C7A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131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1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C78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EB5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评分标准</w:t>
            </w:r>
          </w:p>
        </w:tc>
      </w:tr>
      <w:tr w14:paraId="615C2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4E0A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预算管理情况（20）</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07A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财务管理（4）</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045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财务管理制度健全性</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815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EDC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471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93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94D4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财务管理制度健全性：</w:t>
            </w:r>
            <w:r>
              <w:rPr>
                <w:rFonts w:hint="eastAsia" w:ascii="宋体" w:hAnsi="宋体" w:eastAsia="宋体" w:cs="宋体"/>
                <w:i w:val="0"/>
                <w:iCs w:val="0"/>
                <w:color w:val="000000"/>
                <w:kern w:val="0"/>
                <w:sz w:val="20"/>
                <w:szCs w:val="20"/>
                <w:u w:val="none"/>
                <w:lang w:val="en-US" w:eastAsia="zh-CN" w:bidi="ar"/>
              </w:rPr>
              <w:t>部门（单位）为加强财务管理、规范财务行为而制定的管理制度。</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2A2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14:paraId="7F08B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trPr>
        <w:tc>
          <w:tcPr>
            <w:tcW w:w="2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831F6">
            <w:pPr>
              <w:jc w:val="center"/>
              <w:rPr>
                <w:rFonts w:hint="eastAsia" w:ascii="宋体" w:hAnsi="宋体" w:eastAsia="宋体" w:cs="宋体"/>
                <w:i w:val="0"/>
                <w:iCs w:val="0"/>
                <w:color w:val="000000"/>
                <w:sz w:val="20"/>
                <w:szCs w:val="20"/>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581FA">
            <w:pPr>
              <w:jc w:val="center"/>
              <w:rPr>
                <w:rFonts w:hint="eastAsia" w:ascii="宋体" w:hAnsi="宋体" w:eastAsia="宋体" w:cs="宋体"/>
                <w:i w:val="0"/>
                <w:iCs w:val="0"/>
                <w:color w:val="000000"/>
                <w:sz w:val="20"/>
                <w:szCs w:val="20"/>
                <w:u w:val="none"/>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72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资金使用合规性和安全性</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2B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A8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61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C50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B945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资金使用合规性和安全性：</w:t>
            </w:r>
            <w:r>
              <w:rPr>
                <w:rFonts w:hint="eastAsia" w:ascii="宋体" w:hAnsi="宋体" w:eastAsia="宋体" w:cs="宋体"/>
                <w:i w:val="0"/>
                <w:iCs w:val="0"/>
                <w:color w:val="000000"/>
                <w:kern w:val="0"/>
                <w:sz w:val="20"/>
                <w:szCs w:val="20"/>
                <w:u w:val="none"/>
                <w:lang w:val="en-US" w:eastAsia="zh-CN" w:bidi="ar"/>
              </w:rPr>
              <w:t>部门（单位）使用预算资金是否符合相关的预算财务管理制度的规定，是否符合相关规定的开支范围，用以反映考核部门（单位）预算资金的规范运行和安全运行情况。</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E3F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14:paraId="2869E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C4163">
            <w:pPr>
              <w:jc w:val="center"/>
              <w:rPr>
                <w:rFonts w:hint="eastAsia" w:ascii="宋体" w:hAnsi="宋体" w:eastAsia="宋体" w:cs="宋体"/>
                <w:i w:val="0"/>
                <w:iCs w:val="0"/>
                <w:color w:val="000000"/>
                <w:sz w:val="20"/>
                <w:szCs w:val="20"/>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B47D4">
            <w:pPr>
              <w:jc w:val="center"/>
              <w:rPr>
                <w:rFonts w:hint="eastAsia" w:ascii="宋体" w:hAnsi="宋体" w:eastAsia="宋体" w:cs="宋体"/>
                <w:i w:val="0"/>
                <w:iCs w:val="0"/>
                <w:color w:val="000000"/>
                <w:sz w:val="20"/>
                <w:szCs w:val="20"/>
                <w:u w:val="none"/>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DE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会计基础信息完善性</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77B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32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45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D53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1EA8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会计基础信息完善性：</w:t>
            </w:r>
            <w:r>
              <w:rPr>
                <w:rFonts w:hint="eastAsia" w:ascii="宋体" w:hAnsi="宋体" w:eastAsia="宋体" w:cs="宋体"/>
                <w:i w:val="0"/>
                <w:iCs w:val="0"/>
                <w:color w:val="000000"/>
                <w:kern w:val="0"/>
                <w:sz w:val="20"/>
                <w:szCs w:val="20"/>
                <w:u w:val="none"/>
                <w:lang w:val="en-US" w:eastAsia="zh-CN" w:bidi="ar"/>
              </w:rPr>
              <w:t>部门（单位）会计基础信息情况。</w:t>
            </w: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E21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①基础数据信息和会计信息资料是否真实；②基础数据信息和会计信息资料是否完整；③基础数据信息和会计信息资料是否准确。每有一项不合格扣0.5分，扣完为止。</w:t>
            </w:r>
          </w:p>
        </w:tc>
      </w:tr>
    </w:tbl>
    <w:p w14:paraId="28E0FB63"/>
    <w:tbl>
      <w:tblPr>
        <w:tblStyle w:val="24"/>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716"/>
        <w:gridCol w:w="1330"/>
        <w:gridCol w:w="1165"/>
        <w:gridCol w:w="1270"/>
        <w:gridCol w:w="995"/>
        <w:gridCol w:w="995"/>
        <w:gridCol w:w="3346"/>
        <w:gridCol w:w="3530"/>
      </w:tblGrid>
      <w:tr w14:paraId="58FCE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FD9B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A4EB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C5DD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C74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7849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完成值</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4C6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DB2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59D1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B59C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评分标准</w:t>
            </w:r>
          </w:p>
        </w:tc>
      </w:tr>
      <w:tr w14:paraId="21D69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288" w:type="pct"/>
            <w:vMerge w:val="restart"/>
            <w:tcBorders>
              <w:top w:val="nil"/>
              <w:left w:val="single" w:color="000000" w:sz="4" w:space="0"/>
              <w:bottom w:val="single" w:color="000000" w:sz="4" w:space="0"/>
              <w:right w:val="single" w:color="000000" w:sz="4" w:space="0"/>
            </w:tcBorders>
            <w:shd w:val="clear" w:color="auto" w:fill="auto"/>
            <w:vAlign w:val="center"/>
          </w:tcPr>
          <w:p w14:paraId="6E8AB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预算管理情况（20）</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160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资产管理（4）</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C1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21E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42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17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D4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30EC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资产管理规范性：</w:t>
            </w:r>
            <w:r>
              <w:rPr>
                <w:rFonts w:hint="eastAsia" w:ascii="宋体" w:hAnsi="宋体" w:eastAsia="宋体" w:cs="宋体"/>
                <w:i w:val="0"/>
                <w:iCs w:val="0"/>
                <w:color w:val="000000"/>
                <w:kern w:val="0"/>
                <w:sz w:val="20"/>
                <w:szCs w:val="20"/>
                <w:u w:val="none"/>
                <w:lang w:val="en-US" w:eastAsia="zh-CN" w:bidi="ar"/>
              </w:rPr>
              <w:t>部门（单位）的资产是否保持安全完整，资产配置是否合理，资产使用和资产处理是否规范，用以反映和考核部门（单位）资产管理的整体水平。</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3A5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他资产管理制度办法执行情况。每有一项不合格扣0.8分，扣完为止。</w:t>
            </w:r>
          </w:p>
        </w:tc>
      </w:tr>
      <w:tr w14:paraId="3AEB8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60" w:hRule="atLeast"/>
        </w:trPr>
        <w:tc>
          <w:tcPr>
            <w:tcW w:w="288" w:type="pct"/>
            <w:vMerge w:val="continue"/>
            <w:tcBorders>
              <w:top w:val="nil"/>
              <w:left w:val="single" w:color="000000" w:sz="4" w:space="0"/>
              <w:bottom w:val="single" w:color="000000" w:sz="4" w:space="0"/>
              <w:right w:val="single" w:color="000000" w:sz="4" w:space="0"/>
            </w:tcBorders>
            <w:shd w:val="clear" w:color="auto" w:fill="auto"/>
            <w:vAlign w:val="center"/>
          </w:tcPr>
          <w:p w14:paraId="329141B0">
            <w:pPr>
              <w:jc w:val="center"/>
              <w:rPr>
                <w:rFonts w:hint="eastAsia" w:ascii="宋体" w:hAnsi="宋体" w:eastAsia="宋体" w:cs="宋体"/>
                <w:i w:val="0"/>
                <w:iCs w:val="0"/>
                <w:color w:val="000000"/>
                <w:sz w:val="20"/>
                <w:szCs w:val="20"/>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F6C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绩效管理（4）</w:t>
            </w:r>
          </w:p>
        </w:tc>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C9C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绩效管理情况</w:t>
            </w: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326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D7E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414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5EA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DF5C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绩效管理情况：</w:t>
            </w:r>
            <w:r>
              <w:rPr>
                <w:rFonts w:hint="eastAsia" w:ascii="宋体" w:hAnsi="宋体" w:eastAsia="宋体" w:cs="宋体"/>
                <w:i w:val="0"/>
                <w:iCs w:val="0"/>
                <w:color w:val="000000"/>
                <w:kern w:val="0"/>
                <w:sz w:val="20"/>
                <w:szCs w:val="20"/>
                <w:u w:val="none"/>
                <w:lang w:val="en-US" w:eastAsia="zh-CN" w:bidi="ar"/>
              </w:rPr>
              <w:t>考核部门（单位）在绩效管理信息的汇总和应用情况。</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389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①部门（单位）是否及时对绩效信息进行汇总分析整理；②部门（单位）是否对绩效目标偏离情况及时进行矫正。每有一项不合格扣2分。</w:t>
            </w:r>
          </w:p>
        </w:tc>
      </w:tr>
    </w:tbl>
    <w:p w14:paraId="74543B8B">
      <w:pPr>
        <w:pStyle w:val="3"/>
      </w:pPr>
    </w:p>
    <w:p w14:paraId="7DD31438"/>
    <w:p w14:paraId="2796317C">
      <w:pPr>
        <w:pStyle w:val="30"/>
      </w:pPr>
    </w:p>
    <w:p w14:paraId="3049E33E">
      <w:pPr>
        <w:pStyle w:val="30"/>
      </w:pPr>
    </w:p>
    <w:p w14:paraId="3F698037">
      <w:pPr>
        <w:pStyle w:val="30"/>
      </w:pPr>
    </w:p>
    <w:p w14:paraId="04B9A4DC"/>
    <w:tbl>
      <w:tblPr>
        <w:tblStyle w:val="24"/>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716"/>
        <w:gridCol w:w="1354"/>
        <w:gridCol w:w="2417"/>
        <w:gridCol w:w="1009"/>
        <w:gridCol w:w="1009"/>
        <w:gridCol w:w="3313"/>
        <w:gridCol w:w="3529"/>
      </w:tblGrid>
      <w:tr w14:paraId="46818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412F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0E8B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C216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2023年</w:t>
            </w:r>
          </w:p>
        </w:tc>
        <w:tc>
          <w:tcPr>
            <w:tcW w:w="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FE6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2024年</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D0CA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D2E5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1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2081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A7DD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评分标准</w:t>
            </w:r>
          </w:p>
        </w:tc>
      </w:tr>
      <w:tr w14:paraId="08A7B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906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预算管理情况（20）</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C5E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447A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cs="宋体"/>
                <w:i w:val="0"/>
                <w:iCs w:val="0"/>
                <w:color w:val="000000"/>
                <w:kern w:val="0"/>
                <w:sz w:val="20"/>
                <w:szCs w:val="20"/>
                <w:highlight w:val="none"/>
                <w:u w:val="none"/>
                <w:lang w:val="en-US" w:eastAsia="zh-CN" w:bidi="ar"/>
              </w:rPr>
              <w:t>23.95</w:t>
            </w:r>
            <w:r>
              <w:rPr>
                <w:rFonts w:hint="eastAsia" w:ascii="宋体" w:hAnsi="宋体" w:eastAsia="宋体" w:cs="宋体"/>
                <w:i w:val="0"/>
                <w:iCs w:val="0"/>
                <w:color w:val="000000"/>
                <w:kern w:val="0"/>
                <w:sz w:val="20"/>
                <w:szCs w:val="20"/>
                <w:highlight w:val="none"/>
                <w:u w:val="none"/>
                <w:lang w:val="en-US" w:eastAsia="zh-CN" w:bidi="ar"/>
              </w:rPr>
              <w:t>%</w:t>
            </w:r>
          </w:p>
        </w:tc>
        <w:tc>
          <w:tcPr>
            <w:tcW w:w="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CD6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20.87%</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7D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23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4</w:t>
            </w:r>
          </w:p>
        </w:tc>
        <w:tc>
          <w:tcPr>
            <w:tcW w:w="1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AA7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结转结余率=结转结余总额/支出预算数×100%。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结转结余总额：部门（单位）本年度的结转资金与结余资金之和。</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367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70697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8F591">
            <w:pPr>
              <w:jc w:val="center"/>
              <w:rPr>
                <w:rFonts w:hint="eastAsia" w:ascii="宋体" w:hAnsi="宋体" w:eastAsia="宋体" w:cs="宋体"/>
                <w:i w:val="0"/>
                <w:iCs w:val="0"/>
                <w:color w:val="000000"/>
                <w:sz w:val="20"/>
                <w:szCs w:val="20"/>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31F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部门预决算差异率（4）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A06F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-0.75%</w:t>
            </w:r>
          </w:p>
        </w:tc>
        <w:tc>
          <w:tcPr>
            <w:tcW w:w="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E904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cs="宋体"/>
                <w:i w:val="0"/>
                <w:iCs w:val="0"/>
                <w:color w:val="000000"/>
                <w:kern w:val="0"/>
                <w:sz w:val="20"/>
                <w:szCs w:val="20"/>
                <w:highlight w:val="none"/>
                <w:u w:val="none"/>
                <w:lang w:val="en-US" w:eastAsia="zh-CN" w:bidi="ar"/>
              </w:rPr>
              <w:t>-0.69</w:t>
            </w:r>
            <w:r>
              <w:rPr>
                <w:rFonts w:hint="eastAsia" w:ascii="宋体" w:hAnsi="宋体" w:eastAsia="宋体" w:cs="宋体"/>
                <w:i w:val="0"/>
                <w:iCs w:val="0"/>
                <w:color w:val="000000"/>
                <w:kern w:val="0"/>
                <w:sz w:val="20"/>
                <w:szCs w:val="20"/>
                <w:highlight w:val="none"/>
                <w:u w:val="none"/>
                <w:lang w:val="en-US" w:eastAsia="zh-CN" w:bidi="ar"/>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99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2E5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8C9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通过年度部门决算与年初部门预算对比，对部门的年度支出情况进行考核，衡量部门预算的约束力。</w:t>
            </w: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BAD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部门预决算差异率高于市级平均差异率（28.3%）的，每高出10%（含），扣0.4分，扣完为止。</w:t>
            </w:r>
          </w:p>
        </w:tc>
      </w:tr>
      <w:tr w14:paraId="0E9E4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C28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F78FB">
            <w:pPr>
              <w:jc w:val="center"/>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A30D5">
            <w:pPr>
              <w:jc w:val="center"/>
              <w:rPr>
                <w:rFonts w:hint="eastAsia" w:ascii="宋体" w:hAnsi="宋体" w:eastAsia="宋体" w:cs="宋体"/>
                <w:i w:val="0"/>
                <w:iCs w:val="0"/>
                <w:color w:val="000000"/>
                <w:sz w:val="20"/>
                <w:szCs w:val="20"/>
                <w:u w:val="none"/>
              </w:rPr>
            </w:pPr>
          </w:p>
        </w:tc>
        <w:tc>
          <w:tcPr>
            <w:tcW w:w="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B7023">
            <w:pPr>
              <w:jc w:val="center"/>
              <w:rPr>
                <w:rFonts w:hint="eastAsia" w:ascii="宋体" w:hAnsi="宋体" w:eastAsia="宋体" w:cs="宋体"/>
                <w:i w:val="0"/>
                <w:iCs w:val="0"/>
                <w:color w:val="000000"/>
                <w:sz w:val="20"/>
                <w:szCs w:val="20"/>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4F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33BD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9</w:t>
            </w:r>
            <w:r>
              <w:rPr>
                <w:rFonts w:hint="eastAsia" w:ascii="宋体" w:hAnsi="宋体" w:cs="宋体"/>
                <w:i w:val="0"/>
                <w:iCs w:val="0"/>
                <w:color w:val="000000"/>
                <w:kern w:val="0"/>
                <w:sz w:val="20"/>
                <w:szCs w:val="20"/>
                <w:u w:val="none"/>
                <w:lang w:val="en-US" w:eastAsia="zh-CN" w:bidi="ar"/>
              </w:rPr>
              <w:t>5.826</w:t>
            </w:r>
          </w:p>
        </w:tc>
        <w:tc>
          <w:tcPr>
            <w:tcW w:w="1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AF676">
            <w:pPr>
              <w:jc w:val="center"/>
              <w:rPr>
                <w:rFonts w:hint="eastAsia" w:ascii="宋体" w:hAnsi="宋体" w:eastAsia="宋体" w:cs="宋体"/>
                <w:i w:val="0"/>
                <w:iCs w:val="0"/>
                <w:color w:val="000000"/>
                <w:sz w:val="20"/>
                <w:szCs w:val="20"/>
                <w:u w:val="none"/>
              </w:rPr>
            </w:pPr>
          </w:p>
        </w:tc>
        <w:tc>
          <w:tcPr>
            <w:tcW w:w="1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53964">
            <w:pPr>
              <w:rPr>
                <w:rFonts w:hint="eastAsia" w:ascii="宋体" w:hAnsi="宋体" w:eastAsia="宋体" w:cs="宋体"/>
                <w:i w:val="0"/>
                <w:iCs w:val="0"/>
                <w:color w:val="000000"/>
                <w:sz w:val="20"/>
                <w:szCs w:val="20"/>
                <w:u w:val="none"/>
              </w:rPr>
            </w:pPr>
          </w:p>
        </w:tc>
      </w:tr>
    </w:tbl>
    <w:p w14:paraId="7165522D">
      <w:pPr>
        <w:pStyle w:val="3"/>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C6A662-6F10-4393-846E-4FEFF170C3B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2072824-A4E8-40D1-AB27-77E8B235C171}"/>
  </w:font>
  <w:font w:name="仿宋">
    <w:panose1 w:val="02010609060101010101"/>
    <w:charset w:val="86"/>
    <w:family w:val="auto"/>
    <w:pitch w:val="default"/>
    <w:sig w:usb0="800002BF" w:usb1="38CF7CFA" w:usb2="00000016" w:usb3="00000000" w:csb0="00040001" w:csb1="00000000"/>
    <w:embedRegular r:id="rId3" w:fontKey="{A3D6DBA8-93A4-4E4D-804C-0B0D8555EB65}"/>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embedRegular r:id="rId4" w:fontKey="{F7E86DCB-60EE-4D61-B9AF-76FE1A88843B}"/>
  </w:font>
  <w:font w:name="楷体_GB2312">
    <w:panose1 w:val="02010609030101010101"/>
    <w:charset w:val="86"/>
    <w:family w:val="auto"/>
    <w:pitch w:val="default"/>
    <w:sig w:usb0="00000001" w:usb1="080E0000" w:usb2="00000000" w:usb3="00000000" w:csb0="00040000" w:csb1="00000000"/>
    <w:embedRegular r:id="rId5" w:fontKey="{D93E8D58-D1C9-4959-99E9-E54E8DFFD672}"/>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B2EC9">
    <w:pPr>
      <w:pStyle w:val="14"/>
      <w:ind w:firstLine="360"/>
      <w:jc w:val="center"/>
    </w:pPr>
    <w:r>
      <mc:AlternateContent>
        <mc:Choice Requires="wps">
          <w:drawing>
            <wp:anchor distT="0" distB="0" distL="114300" distR="114300" simplePos="0" relativeHeight="251660288" behindDoc="0" locked="0" layoutInCell="1" allowOverlap="1">
              <wp:simplePos x="0" y="0"/>
              <wp:positionH relativeFrom="margin">
                <wp:posOffset>2465705</wp:posOffset>
              </wp:positionH>
              <wp:positionV relativeFrom="paragraph">
                <wp:posOffset>-416560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9AF860">
                          <w:pPr>
                            <w:pStyle w:val="14"/>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4.15pt;margin-top:-32.8pt;height:144pt;width:144pt;mso-position-horizontal-relative:margin;mso-wrap-style:none;z-index:251660288;mso-width-relative:page;mso-height-relative:page;" filled="f" stroked="f" coordsize="21600,21600" o:gfxdata="UEsDBAoAAAAAAIdO4kAAAAAAAAAAAAAAAAAEAAAAZHJzL1BLAwQUAAAACACHTuJA8Ff7C9kAAAAL&#10;AQAADwAAAGRycy9kb3ducmV2LnhtbE2PwU7DMAyG70i8Q2Qkblu6doSqazqJiXJEYuXAMWu8ttAk&#10;VZJ15e0xJzja/vT7+8v9YkY2ow+DsxI26wQY2tbpwXYS3pt6lQMLUVmtRmdRwjcG2Fe3N6UqtLva&#10;N5yPsWMUYkOhJPQxTgXnoe3RqLB2E1q6nZ03KtLoO669ulK4GXmaJIIbNVj60KsJDz22X8eLkXCo&#10;m8bPGPz4gS919vn6tMXnRcr7u02yAxZxiX8w/OqTOlTkdHIXqwMbJWR5nhEqYSUeBDAixKOgzUlC&#10;mqZb4FXJ/3eofgBQSwMEFAAAAAgAh07iQIzXDnwqAgAAV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CLNm&#10;WdjqneUROirm7eoYIGCnaxSlV2LQCtPWdWZ4GXGc/9x3UY9/g+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8Ff7C9kAAAALAQAADwAAAAAAAAABACAAAAAiAAAAZHJzL2Rvd25yZXYueG1sUEsBAhQA&#10;FAAAAAgAh07iQIzXDnwqAgAAVQQAAA4AAAAAAAAAAQAgAAAAKAEAAGRycy9lMm9Eb2MueG1sUEsF&#10;BgAAAAAGAAYAWQEAAMQFAAAAAA==&#10;">
              <v:fill on="f" focussize="0,0"/>
              <v:stroke on="f" weight="0.5pt"/>
              <v:imagedata o:title=""/>
              <o:lock v:ext="edit" aspectratio="f"/>
              <v:textbox inset="0mm,0mm,0mm,0mm" style="mso-fit-shape-to-text:t;">
                <w:txbxContent>
                  <w:p w14:paraId="189AF860">
                    <w:pPr>
                      <w:pStyle w:val="14"/>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1274848E">
    <w:pPr>
      <w:pStyle w:val="14"/>
      <w:tabs>
        <w:tab w:val="clear" w:pos="4153"/>
      </w:tabs>
      <w:ind w:firstLine="42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44250">
    <w:pPr>
      <w:pStyle w:val="1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A6D514">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78A6D514">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21 -</w:t>
                    </w:r>
                    <w:r>
                      <w:rPr>
                        <w:rFonts w:ascii="宋体" w:hAnsi="宋体"/>
                        <w:sz w:val="28"/>
                        <w:szCs w:val="28"/>
                      </w:rPr>
                      <w:fldChar w:fldCharType="end"/>
                    </w:r>
                  </w:p>
                </w:txbxContent>
              </v:textbox>
            </v:shape>
          </w:pict>
        </mc:Fallback>
      </mc:AlternateContent>
    </w:r>
  </w:p>
  <w:p w14:paraId="260B508C">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A36F94"/>
    <w:multiLevelType w:val="singleLevel"/>
    <w:tmpl w:val="FEA36F94"/>
    <w:lvl w:ilvl="0" w:tentative="0">
      <w:start w:val="1"/>
      <w:numFmt w:val="decimal"/>
      <w:suff w:val="nothing"/>
      <w:lvlText w:val="（%1）"/>
      <w:lvlJc w:val="left"/>
    </w:lvl>
  </w:abstractNum>
  <w:abstractNum w:abstractNumId="1">
    <w:nsid w:val="338FFE60"/>
    <w:multiLevelType w:val="singleLevel"/>
    <w:tmpl w:val="338FFE60"/>
    <w:lvl w:ilvl="0" w:tentative="0">
      <w:start w:val="2"/>
      <w:numFmt w:val="decimal"/>
      <w:suff w:val="nothing"/>
      <w:lvlText w:val="（%1）"/>
      <w:lvlJc w:val="left"/>
    </w:lvl>
  </w:abstractNum>
  <w:abstractNum w:abstractNumId="2">
    <w:nsid w:val="5A996C73"/>
    <w:multiLevelType w:val="singleLevel"/>
    <w:tmpl w:val="5A996C73"/>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1F854E36"/>
    <w:rsid w:val="0005031E"/>
    <w:rsid w:val="00057B5C"/>
    <w:rsid w:val="00074203"/>
    <w:rsid w:val="001C7CFE"/>
    <w:rsid w:val="002E57E0"/>
    <w:rsid w:val="0035788A"/>
    <w:rsid w:val="003E37AD"/>
    <w:rsid w:val="004119F8"/>
    <w:rsid w:val="004677B0"/>
    <w:rsid w:val="00485541"/>
    <w:rsid w:val="00491B7C"/>
    <w:rsid w:val="00504CF8"/>
    <w:rsid w:val="00506617"/>
    <w:rsid w:val="005527CE"/>
    <w:rsid w:val="00593050"/>
    <w:rsid w:val="005B5B21"/>
    <w:rsid w:val="005C3E12"/>
    <w:rsid w:val="007D71FE"/>
    <w:rsid w:val="007E6A99"/>
    <w:rsid w:val="00807056"/>
    <w:rsid w:val="008510E4"/>
    <w:rsid w:val="009039D1"/>
    <w:rsid w:val="00915711"/>
    <w:rsid w:val="0096549D"/>
    <w:rsid w:val="00976F79"/>
    <w:rsid w:val="00990B46"/>
    <w:rsid w:val="00997DE1"/>
    <w:rsid w:val="009C6A0A"/>
    <w:rsid w:val="009E59BB"/>
    <w:rsid w:val="00A220D6"/>
    <w:rsid w:val="00AE4CC3"/>
    <w:rsid w:val="00B2297E"/>
    <w:rsid w:val="00B349D2"/>
    <w:rsid w:val="00B34E34"/>
    <w:rsid w:val="00BA08A2"/>
    <w:rsid w:val="00BD1FFB"/>
    <w:rsid w:val="00BE19C5"/>
    <w:rsid w:val="00BF298A"/>
    <w:rsid w:val="00C5491B"/>
    <w:rsid w:val="00C57CFC"/>
    <w:rsid w:val="00C64BFE"/>
    <w:rsid w:val="00CA3D67"/>
    <w:rsid w:val="00CE4E7F"/>
    <w:rsid w:val="00D15F3A"/>
    <w:rsid w:val="00D63F60"/>
    <w:rsid w:val="00D65C66"/>
    <w:rsid w:val="00DB760B"/>
    <w:rsid w:val="00DC4723"/>
    <w:rsid w:val="00DF4331"/>
    <w:rsid w:val="00E20B71"/>
    <w:rsid w:val="00E65ED0"/>
    <w:rsid w:val="00E94D9D"/>
    <w:rsid w:val="00F36E50"/>
    <w:rsid w:val="00F60790"/>
    <w:rsid w:val="01230859"/>
    <w:rsid w:val="028642E4"/>
    <w:rsid w:val="02E75237"/>
    <w:rsid w:val="036E5B7F"/>
    <w:rsid w:val="039B5B6E"/>
    <w:rsid w:val="05832F9C"/>
    <w:rsid w:val="05AA653C"/>
    <w:rsid w:val="06345E06"/>
    <w:rsid w:val="0806406E"/>
    <w:rsid w:val="0AC35DF4"/>
    <w:rsid w:val="0AE14E99"/>
    <w:rsid w:val="0AEF4AB3"/>
    <w:rsid w:val="0B862505"/>
    <w:rsid w:val="0B9B34CC"/>
    <w:rsid w:val="0BA73FE6"/>
    <w:rsid w:val="0E3F5F5F"/>
    <w:rsid w:val="0F2A6706"/>
    <w:rsid w:val="0F34385A"/>
    <w:rsid w:val="0FD348E1"/>
    <w:rsid w:val="0FDF55C2"/>
    <w:rsid w:val="13244499"/>
    <w:rsid w:val="13A730B3"/>
    <w:rsid w:val="13EE5672"/>
    <w:rsid w:val="16290DB7"/>
    <w:rsid w:val="166C6741"/>
    <w:rsid w:val="1682657E"/>
    <w:rsid w:val="18B34435"/>
    <w:rsid w:val="1908399E"/>
    <w:rsid w:val="1A2E3B89"/>
    <w:rsid w:val="1A5D3A40"/>
    <w:rsid w:val="1B854CE1"/>
    <w:rsid w:val="1BB65F08"/>
    <w:rsid w:val="1BE80B1A"/>
    <w:rsid w:val="1C064463"/>
    <w:rsid w:val="1E253DA2"/>
    <w:rsid w:val="1F68589B"/>
    <w:rsid w:val="1F854E36"/>
    <w:rsid w:val="1FFC514E"/>
    <w:rsid w:val="21D544E9"/>
    <w:rsid w:val="220F17A9"/>
    <w:rsid w:val="23513222"/>
    <w:rsid w:val="24EB2749"/>
    <w:rsid w:val="25236D9F"/>
    <w:rsid w:val="264C11F7"/>
    <w:rsid w:val="26BF13F3"/>
    <w:rsid w:val="27940A85"/>
    <w:rsid w:val="298C2693"/>
    <w:rsid w:val="2ACE1AD5"/>
    <w:rsid w:val="2AD455C5"/>
    <w:rsid w:val="2BC84B7C"/>
    <w:rsid w:val="2BFB3113"/>
    <w:rsid w:val="2C5E5782"/>
    <w:rsid w:val="2C7A5269"/>
    <w:rsid w:val="2CA0447E"/>
    <w:rsid w:val="2DE03FF9"/>
    <w:rsid w:val="2E053A60"/>
    <w:rsid w:val="2E0F68E2"/>
    <w:rsid w:val="2EB51CDA"/>
    <w:rsid w:val="2EC77B76"/>
    <w:rsid w:val="2F1762A9"/>
    <w:rsid w:val="2FAD2D59"/>
    <w:rsid w:val="30240B15"/>
    <w:rsid w:val="304573BA"/>
    <w:rsid w:val="306A5B0E"/>
    <w:rsid w:val="30A376D9"/>
    <w:rsid w:val="311A3CC6"/>
    <w:rsid w:val="31A57A34"/>
    <w:rsid w:val="31AA7BFD"/>
    <w:rsid w:val="31C14498"/>
    <w:rsid w:val="326E66F4"/>
    <w:rsid w:val="33701E69"/>
    <w:rsid w:val="33E653BE"/>
    <w:rsid w:val="36105698"/>
    <w:rsid w:val="3701166A"/>
    <w:rsid w:val="37184804"/>
    <w:rsid w:val="371D138F"/>
    <w:rsid w:val="3725161F"/>
    <w:rsid w:val="37832414"/>
    <w:rsid w:val="378D334C"/>
    <w:rsid w:val="38046D40"/>
    <w:rsid w:val="382A3AD4"/>
    <w:rsid w:val="392B4CC2"/>
    <w:rsid w:val="394357EC"/>
    <w:rsid w:val="39DA66B4"/>
    <w:rsid w:val="3AA35483"/>
    <w:rsid w:val="3AC076D3"/>
    <w:rsid w:val="3B997B02"/>
    <w:rsid w:val="3BD3F35B"/>
    <w:rsid w:val="3CFB8225"/>
    <w:rsid w:val="3EB721BA"/>
    <w:rsid w:val="3ED23981"/>
    <w:rsid w:val="3EEF0A2C"/>
    <w:rsid w:val="3F753B54"/>
    <w:rsid w:val="3FB78D2F"/>
    <w:rsid w:val="40D05B99"/>
    <w:rsid w:val="410C4DF8"/>
    <w:rsid w:val="422946FA"/>
    <w:rsid w:val="43375A55"/>
    <w:rsid w:val="434B3911"/>
    <w:rsid w:val="441D2943"/>
    <w:rsid w:val="442C68FE"/>
    <w:rsid w:val="45235D3D"/>
    <w:rsid w:val="45B406F6"/>
    <w:rsid w:val="45E839E0"/>
    <w:rsid w:val="46830221"/>
    <w:rsid w:val="46A55C75"/>
    <w:rsid w:val="47F20D26"/>
    <w:rsid w:val="48A42D59"/>
    <w:rsid w:val="48A55930"/>
    <w:rsid w:val="4948541D"/>
    <w:rsid w:val="49E60633"/>
    <w:rsid w:val="4A426804"/>
    <w:rsid w:val="4B141FF5"/>
    <w:rsid w:val="4B834E9F"/>
    <w:rsid w:val="4DAB2962"/>
    <w:rsid w:val="4E1E0EED"/>
    <w:rsid w:val="4EC45C9F"/>
    <w:rsid w:val="4F3E4643"/>
    <w:rsid w:val="506C27EE"/>
    <w:rsid w:val="52150BC3"/>
    <w:rsid w:val="5240491E"/>
    <w:rsid w:val="52596D01"/>
    <w:rsid w:val="525D19D6"/>
    <w:rsid w:val="52AC4D28"/>
    <w:rsid w:val="53B4601F"/>
    <w:rsid w:val="54194F4A"/>
    <w:rsid w:val="551602BE"/>
    <w:rsid w:val="5674488C"/>
    <w:rsid w:val="57CF3230"/>
    <w:rsid w:val="585B7CD5"/>
    <w:rsid w:val="59DB1232"/>
    <w:rsid w:val="5A506F9B"/>
    <w:rsid w:val="5AB11A83"/>
    <w:rsid w:val="5AE57637"/>
    <w:rsid w:val="5C5B7293"/>
    <w:rsid w:val="5C641B24"/>
    <w:rsid w:val="5CBC430B"/>
    <w:rsid w:val="5CBC7EA7"/>
    <w:rsid w:val="5CDF6E42"/>
    <w:rsid w:val="5D515502"/>
    <w:rsid w:val="5D644E9F"/>
    <w:rsid w:val="5F7B4096"/>
    <w:rsid w:val="5FD1ED14"/>
    <w:rsid w:val="5FDEF407"/>
    <w:rsid w:val="60A7067E"/>
    <w:rsid w:val="615A3AE7"/>
    <w:rsid w:val="628A7368"/>
    <w:rsid w:val="632E2B36"/>
    <w:rsid w:val="637A3FCD"/>
    <w:rsid w:val="647E7432"/>
    <w:rsid w:val="64A95CB6"/>
    <w:rsid w:val="64F373A8"/>
    <w:rsid w:val="65A45773"/>
    <w:rsid w:val="65BC0C01"/>
    <w:rsid w:val="65FD165F"/>
    <w:rsid w:val="673FBF97"/>
    <w:rsid w:val="67C65192"/>
    <w:rsid w:val="680E6048"/>
    <w:rsid w:val="69C574B1"/>
    <w:rsid w:val="6A717D4B"/>
    <w:rsid w:val="6A924615"/>
    <w:rsid w:val="6B9D971E"/>
    <w:rsid w:val="6BAF1584"/>
    <w:rsid w:val="6D7A6F31"/>
    <w:rsid w:val="6D7BBDEB"/>
    <w:rsid w:val="6E3F02ED"/>
    <w:rsid w:val="6E8E3516"/>
    <w:rsid w:val="6EC27B94"/>
    <w:rsid w:val="6EFE3D04"/>
    <w:rsid w:val="6F6C2EC0"/>
    <w:rsid w:val="6F8E44F9"/>
    <w:rsid w:val="708674AD"/>
    <w:rsid w:val="709FB583"/>
    <w:rsid w:val="70BD7BEF"/>
    <w:rsid w:val="70ED1CD7"/>
    <w:rsid w:val="719D6674"/>
    <w:rsid w:val="71D85AC2"/>
    <w:rsid w:val="71F50FCA"/>
    <w:rsid w:val="72470D9A"/>
    <w:rsid w:val="73D33FAF"/>
    <w:rsid w:val="757F1917"/>
    <w:rsid w:val="759E4F65"/>
    <w:rsid w:val="75FE6CDF"/>
    <w:rsid w:val="76451FEC"/>
    <w:rsid w:val="76741FAA"/>
    <w:rsid w:val="76993830"/>
    <w:rsid w:val="76F03726"/>
    <w:rsid w:val="79967A89"/>
    <w:rsid w:val="79CD61AE"/>
    <w:rsid w:val="79DA0EE4"/>
    <w:rsid w:val="7A8552D9"/>
    <w:rsid w:val="7A931F0C"/>
    <w:rsid w:val="7AB15FB2"/>
    <w:rsid w:val="7ABA3C6D"/>
    <w:rsid w:val="7ABF67D4"/>
    <w:rsid w:val="7AE06F02"/>
    <w:rsid w:val="7AF15BFD"/>
    <w:rsid w:val="7AFD02F0"/>
    <w:rsid w:val="7B8EF9D4"/>
    <w:rsid w:val="7BA60048"/>
    <w:rsid w:val="7BFFE0DB"/>
    <w:rsid w:val="7C103A75"/>
    <w:rsid w:val="7C27F396"/>
    <w:rsid w:val="7C7F2100"/>
    <w:rsid w:val="7E097FCF"/>
    <w:rsid w:val="7EE12CFA"/>
    <w:rsid w:val="977ECFDA"/>
    <w:rsid w:val="98B6CBB8"/>
    <w:rsid w:val="BD6FD787"/>
    <w:rsid w:val="DBFD63F2"/>
    <w:rsid w:val="DF66DEE2"/>
    <w:rsid w:val="F5ABE4C5"/>
    <w:rsid w:val="FE976A3D"/>
    <w:rsid w:val="FFE53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2"/>
    <w:autoRedefine/>
    <w:unhideWhenUsed/>
    <w:qFormat/>
    <w:uiPriority w:val="0"/>
    <w:pPr>
      <w:keepNext/>
      <w:keepLines/>
      <w:spacing w:before="260" w:after="260" w:line="416" w:lineRule="auto"/>
      <w:outlineLvl w:val="2"/>
    </w:pPr>
    <w:rPr>
      <w:b/>
      <w:bCs/>
      <w:sz w:val="32"/>
      <w:szCs w:val="32"/>
    </w:rPr>
  </w:style>
  <w:style w:type="paragraph" w:styleId="5">
    <w:name w:val="heading 4"/>
    <w:basedOn w:val="1"/>
    <w:next w:val="1"/>
    <w:autoRedefine/>
    <w:unhideWhenUsed/>
    <w:qFormat/>
    <w:uiPriority w:val="0"/>
    <w:pPr>
      <w:keepNext/>
      <w:keepLines/>
      <w:spacing w:before="280" w:after="290" w:line="376" w:lineRule="auto"/>
      <w:outlineLvl w:val="3"/>
    </w:pPr>
    <w:rPr>
      <w:rFonts w:ascii="Cambria" w:hAnsi="Cambria"/>
      <w:sz w:val="28"/>
      <w:szCs w:val="28"/>
    </w:rPr>
  </w:style>
  <w:style w:type="character" w:default="1" w:styleId="26">
    <w:name w:val="Default Paragraph Font"/>
    <w:autoRedefine/>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next w:val="1"/>
    <w:autoRedefine/>
    <w:qFormat/>
    <w:uiPriority w:val="0"/>
    <w:pPr>
      <w:ind w:firstLine="420" w:firstLineChars="200"/>
    </w:pPr>
  </w:style>
  <w:style w:type="paragraph" w:styleId="7">
    <w:name w:val="caption"/>
    <w:basedOn w:val="1"/>
    <w:next w:val="1"/>
    <w:autoRedefine/>
    <w:semiHidden/>
    <w:unhideWhenUsed/>
    <w:qFormat/>
    <w:uiPriority w:val="0"/>
    <w:rPr>
      <w:rFonts w:ascii="Arial" w:hAnsi="Arial" w:eastAsia="黑体"/>
      <w:sz w:val="20"/>
    </w:rPr>
  </w:style>
  <w:style w:type="paragraph" w:styleId="8">
    <w:name w:val="annotation text"/>
    <w:basedOn w:val="1"/>
    <w:link w:val="39"/>
    <w:autoRedefine/>
    <w:qFormat/>
    <w:uiPriority w:val="0"/>
    <w:pPr>
      <w:jc w:val="left"/>
    </w:pPr>
  </w:style>
  <w:style w:type="paragraph" w:styleId="9">
    <w:name w:val="Body Text"/>
    <w:basedOn w:val="1"/>
    <w:autoRedefine/>
    <w:qFormat/>
    <w:uiPriority w:val="0"/>
  </w:style>
  <w:style w:type="paragraph" w:styleId="10">
    <w:name w:val="Body Text Indent"/>
    <w:basedOn w:val="1"/>
    <w:autoRedefine/>
    <w:qFormat/>
    <w:uiPriority w:val="0"/>
    <w:pPr>
      <w:ind w:firstLine="560" w:firstLineChars="200"/>
    </w:pPr>
    <w:rPr>
      <w:rFonts w:ascii="仿宋_GB2312" w:eastAsia="仿宋_GB2312"/>
      <w:sz w:val="28"/>
      <w:szCs w:val="32"/>
    </w:rPr>
  </w:style>
  <w:style w:type="paragraph" w:styleId="11">
    <w:name w:val="Block Text"/>
    <w:basedOn w:val="1"/>
    <w:autoRedefine/>
    <w:qFormat/>
    <w:uiPriority w:val="0"/>
    <w:pPr>
      <w:widowControl/>
      <w:spacing w:after="120"/>
      <w:ind w:left="1440" w:leftChars="700" w:right="1440" w:rightChars="700"/>
      <w:jc w:val="left"/>
    </w:pPr>
    <w:rPr>
      <w:rFonts w:ascii="宋体" w:hAnsi="宋体" w:eastAsia="仿宋" w:cs="宋体"/>
      <w:kern w:val="0"/>
      <w:sz w:val="32"/>
      <w:szCs w:val="24"/>
    </w:rPr>
  </w:style>
  <w:style w:type="paragraph" w:styleId="12">
    <w:name w:val="toc 3"/>
    <w:basedOn w:val="1"/>
    <w:next w:val="1"/>
    <w:autoRedefine/>
    <w:qFormat/>
    <w:uiPriority w:val="0"/>
    <w:pPr>
      <w:ind w:left="420"/>
    </w:pPr>
    <w:rPr>
      <w:rFonts w:ascii="等线" w:hAnsi="等线" w:eastAsia="等线"/>
      <w:b/>
      <w:sz w:val="30"/>
      <w:szCs w:val="30"/>
    </w:rPr>
  </w:style>
  <w:style w:type="paragraph" w:styleId="13">
    <w:name w:val="Balloon Text"/>
    <w:basedOn w:val="1"/>
    <w:link w:val="41"/>
    <w:autoRedefine/>
    <w:qFormat/>
    <w:uiPriority w:val="0"/>
    <w:rPr>
      <w:sz w:val="18"/>
      <w:szCs w:val="18"/>
    </w:rPr>
  </w:style>
  <w:style w:type="paragraph" w:styleId="14">
    <w:name w:val="footer"/>
    <w:basedOn w:val="1"/>
    <w:autoRedefine/>
    <w:qFormat/>
    <w:uiPriority w:val="99"/>
    <w:pPr>
      <w:tabs>
        <w:tab w:val="center" w:pos="4153"/>
        <w:tab w:val="right" w:pos="8306"/>
      </w:tabs>
      <w:snapToGrid w:val="0"/>
      <w:jc w:val="left"/>
    </w:pPr>
    <w:rPr>
      <w:sz w:val="18"/>
      <w:szCs w:val="20"/>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autoRedefine/>
    <w:qFormat/>
    <w:uiPriority w:val="39"/>
  </w:style>
  <w:style w:type="paragraph" w:styleId="17">
    <w:name w:val="toc 2"/>
    <w:basedOn w:val="1"/>
    <w:next w:val="1"/>
    <w:autoRedefine/>
    <w:qFormat/>
    <w:uiPriority w:val="39"/>
    <w:pPr>
      <w:ind w:left="420" w:leftChars="200"/>
    </w:pPr>
  </w:style>
  <w:style w:type="paragraph" w:styleId="18">
    <w:name w:val="Body Text 2"/>
    <w:basedOn w:val="1"/>
    <w:autoRedefine/>
    <w:qFormat/>
    <w:uiPriority w:val="0"/>
    <w:pPr>
      <w:spacing w:after="120" w:line="480" w:lineRule="auto"/>
    </w:pPr>
  </w:style>
  <w:style w:type="paragraph" w:styleId="19">
    <w:name w:val="HTML Preformatted"/>
    <w:basedOn w:val="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szCs w:val="24"/>
    </w:rPr>
  </w:style>
  <w:style w:type="paragraph" w:styleId="20">
    <w:name w:val="Normal (Web)"/>
    <w:basedOn w:val="1"/>
    <w:autoRedefine/>
    <w:qFormat/>
    <w:uiPriority w:val="0"/>
    <w:pPr>
      <w:spacing w:beforeAutospacing="1" w:afterAutospacing="1"/>
      <w:jc w:val="left"/>
    </w:pPr>
    <w:rPr>
      <w:kern w:val="0"/>
      <w:sz w:val="24"/>
    </w:rPr>
  </w:style>
  <w:style w:type="paragraph" w:styleId="21">
    <w:name w:val="index 1"/>
    <w:basedOn w:val="1"/>
    <w:next w:val="1"/>
    <w:autoRedefine/>
    <w:qFormat/>
    <w:uiPriority w:val="0"/>
  </w:style>
  <w:style w:type="paragraph" w:styleId="22">
    <w:name w:val="annotation subject"/>
    <w:basedOn w:val="8"/>
    <w:next w:val="8"/>
    <w:link w:val="40"/>
    <w:autoRedefine/>
    <w:qFormat/>
    <w:uiPriority w:val="0"/>
    <w:rPr>
      <w:b/>
      <w:bCs/>
    </w:rPr>
  </w:style>
  <w:style w:type="paragraph" w:styleId="23">
    <w:name w:val="Body Text First Indent 2"/>
    <w:basedOn w:val="10"/>
    <w:autoRedefine/>
    <w:unhideWhenUsed/>
    <w:qFormat/>
    <w:uiPriority w:val="99"/>
    <w:pPr>
      <w:ind w:firstLine="420"/>
    </w:pPr>
  </w:style>
  <w:style w:type="table" w:styleId="25">
    <w:name w:val="Table Grid"/>
    <w:basedOn w:val="2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Emphasis"/>
    <w:basedOn w:val="26"/>
    <w:autoRedefine/>
    <w:qFormat/>
    <w:uiPriority w:val="0"/>
    <w:rPr>
      <w:i/>
    </w:rPr>
  </w:style>
  <w:style w:type="character" w:styleId="28">
    <w:name w:val="Hyperlink"/>
    <w:basedOn w:val="26"/>
    <w:autoRedefine/>
    <w:unhideWhenUsed/>
    <w:qFormat/>
    <w:uiPriority w:val="99"/>
    <w:rPr>
      <w:color w:val="0563C1" w:themeColor="hyperlink"/>
      <w:u w:val="single"/>
      <w14:textFill>
        <w14:solidFill>
          <w14:schemeClr w14:val="hlink"/>
        </w14:solidFill>
      </w14:textFill>
    </w:rPr>
  </w:style>
  <w:style w:type="character" w:styleId="29">
    <w:name w:val="annotation reference"/>
    <w:basedOn w:val="26"/>
    <w:autoRedefine/>
    <w:qFormat/>
    <w:uiPriority w:val="0"/>
    <w:rPr>
      <w:sz w:val="21"/>
      <w:szCs w:val="21"/>
    </w:rPr>
  </w:style>
  <w:style w:type="paragraph" w:customStyle="1" w:styleId="30">
    <w:name w:val="BlockQuote"/>
    <w:basedOn w:val="1"/>
    <w:qFormat/>
    <w:uiPriority w:val="0"/>
    <w:pPr>
      <w:spacing w:after="120"/>
      <w:ind w:left="1440" w:leftChars="700" w:right="1440" w:rightChars="700"/>
      <w:jc w:val="left"/>
    </w:pPr>
    <w:rPr>
      <w:rFonts w:ascii="宋体" w:hAnsi="宋体" w:eastAsia="仿宋"/>
      <w:kern w:val="0"/>
    </w:rPr>
  </w:style>
  <w:style w:type="character" w:customStyle="1" w:styleId="31">
    <w:name w:val="NormalCharacter"/>
    <w:link w:val="32"/>
    <w:autoRedefine/>
    <w:qFormat/>
    <w:uiPriority w:val="0"/>
    <w:rPr>
      <w:rFonts w:ascii="宋体" w:hAnsi="宋体" w:eastAsia="宋体"/>
      <w:kern w:val="2"/>
      <w:sz w:val="32"/>
      <w:szCs w:val="32"/>
      <w:lang w:val="en-US" w:eastAsia="zh-CN"/>
    </w:rPr>
  </w:style>
  <w:style w:type="paragraph" w:customStyle="1" w:styleId="32">
    <w:name w:val="UserStyle_1"/>
    <w:basedOn w:val="1"/>
    <w:link w:val="31"/>
    <w:autoRedefine/>
    <w:qFormat/>
    <w:uiPriority w:val="0"/>
    <w:pPr>
      <w:textAlignment w:val="baseline"/>
    </w:pPr>
    <w:rPr>
      <w:rFonts w:ascii="宋体" w:hAnsi="宋体"/>
      <w:sz w:val="32"/>
      <w:szCs w:val="32"/>
    </w:rPr>
  </w:style>
  <w:style w:type="paragraph" w:customStyle="1" w:styleId="33">
    <w:name w:val="UserStyle_0"/>
    <w:basedOn w:val="1"/>
    <w:link w:val="31"/>
    <w:qFormat/>
    <w:uiPriority w:val="0"/>
    <w:pPr>
      <w:jc w:val="both"/>
      <w:textAlignment w:val="baseline"/>
    </w:pPr>
    <w:rPr>
      <w:rFonts w:ascii="宋体" w:hAnsi="宋体" w:eastAsia="宋体"/>
      <w:kern w:val="2"/>
      <w:sz w:val="32"/>
      <w:szCs w:val="32"/>
      <w:lang w:val="en-US" w:eastAsia="zh-CN"/>
    </w:rPr>
  </w:style>
  <w:style w:type="paragraph" w:customStyle="1" w:styleId="34">
    <w:name w:val="正文首行缩进1"/>
    <w:basedOn w:val="9"/>
    <w:next w:val="35"/>
    <w:autoRedefine/>
    <w:qFormat/>
    <w:uiPriority w:val="0"/>
    <w:pPr>
      <w:spacing w:after="120"/>
      <w:ind w:firstLine="420" w:firstLineChars="100"/>
    </w:pPr>
  </w:style>
  <w:style w:type="paragraph" w:customStyle="1" w:styleId="35">
    <w:name w:val="正文首行缩进 21"/>
    <w:basedOn w:val="10"/>
    <w:autoRedefine/>
    <w:qFormat/>
    <w:uiPriority w:val="0"/>
    <w:pPr>
      <w:ind w:firstLine="200"/>
    </w:pPr>
    <w:rPr>
      <w:sz w:val="21"/>
      <w:szCs w:val="21"/>
    </w:rPr>
  </w:style>
  <w:style w:type="paragraph" w:customStyle="1" w:styleId="36">
    <w:name w:val="WPSOffice手动目录 1"/>
    <w:autoRedefine/>
    <w:qFormat/>
    <w:uiPriority w:val="0"/>
    <w:rPr>
      <w:rFonts w:ascii="Times New Roman" w:hAnsi="Times New Roman" w:eastAsia="宋体" w:cs="Times New Roman"/>
      <w:lang w:val="en-US" w:eastAsia="zh-CN" w:bidi="ar-SA"/>
    </w:rPr>
  </w:style>
  <w:style w:type="paragraph" w:customStyle="1" w:styleId="37">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8">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39">
    <w:name w:val="批注文字 字符"/>
    <w:basedOn w:val="26"/>
    <w:link w:val="8"/>
    <w:autoRedefine/>
    <w:qFormat/>
    <w:uiPriority w:val="0"/>
    <w:rPr>
      <w:kern w:val="2"/>
      <w:sz w:val="21"/>
      <w:szCs w:val="24"/>
    </w:rPr>
  </w:style>
  <w:style w:type="character" w:customStyle="1" w:styleId="40">
    <w:name w:val="批注主题 字符"/>
    <w:basedOn w:val="39"/>
    <w:link w:val="22"/>
    <w:autoRedefine/>
    <w:qFormat/>
    <w:uiPriority w:val="0"/>
    <w:rPr>
      <w:b/>
      <w:bCs/>
      <w:kern w:val="2"/>
      <w:sz w:val="21"/>
      <w:szCs w:val="24"/>
    </w:rPr>
  </w:style>
  <w:style w:type="character" w:customStyle="1" w:styleId="41">
    <w:name w:val="批注框文本 字符"/>
    <w:basedOn w:val="26"/>
    <w:link w:val="13"/>
    <w:autoRedefine/>
    <w:qFormat/>
    <w:uiPriority w:val="0"/>
    <w:rPr>
      <w:kern w:val="2"/>
      <w:sz w:val="18"/>
      <w:szCs w:val="18"/>
    </w:rPr>
  </w:style>
  <w:style w:type="character" w:customStyle="1" w:styleId="42">
    <w:name w:val="标题 3 字符"/>
    <w:basedOn w:val="26"/>
    <w:link w:val="4"/>
    <w:autoRedefine/>
    <w:qFormat/>
    <w:uiPriority w:val="0"/>
    <w:rPr>
      <w:b/>
      <w:bCs/>
      <w:kern w:val="2"/>
      <w:sz w:val="32"/>
      <w:szCs w:val="32"/>
    </w:rPr>
  </w:style>
  <w:style w:type="paragraph" w:customStyle="1" w:styleId="43">
    <w:name w:val="WPSOffice手动目录 3"/>
    <w:autoRedefine/>
    <w:qFormat/>
    <w:uiPriority w:val="0"/>
    <w:pPr>
      <w:ind w:leftChars="400"/>
    </w:pPr>
    <w:rPr>
      <w:rFonts w:ascii="Times New Roman" w:hAnsi="Times New Roman" w:eastAsia="宋体" w:cs="Times New Roman"/>
      <w:sz w:val="20"/>
      <w:szCs w:val="20"/>
    </w:rPr>
  </w:style>
  <w:style w:type="character" w:customStyle="1" w:styleId="44">
    <w:name w:val="font21"/>
    <w:basedOn w:val="26"/>
    <w:qFormat/>
    <w:uiPriority w:val="0"/>
    <w:rPr>
      <w:rFonts w:hint="eastAsia" w:ascii="宋体" w:hAnsi="宋体" w:eastAsia="宋体" w:cs="宋体"/>
      <w:color w:val="000000"/>
      <w:sz w:val="24"/>
      <w:szCs w:val="24"/>
      <w:u w:val="none"/>
    </w:rPr>
  </w:style>
  <w:style w:type="character" w:customStyle="1" w:styleId="45">
    <w:name w:val="font41"/>
    <w:basedOn w:val="2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19</Pages>
  <Words>6002</Words>
  <Characters>6561</Characters>
  <Lines>92</Lines>
  <Paragraphs>26</Paragraphs>
  <TotalTime>36</TotalTime>
  <ScaleCrop>false</ScaleCrop>
  <LinksUpToDate>false</LinksUpToDate>
  <CharactersWithSpaces>6566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2023-06-15T02:17:00Z</dcterms:created>
  <dc:creator>小颖</dc:creator>
  <cp:lastModifiedBy>WPS_1473407263</cp:lastModifiedBy>
  <dcterms:modified xsi:type="dcterms:W3CDTF">2025-08-27T09:23:00Z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C1CC3376FF524464B7A1F188773FDDD9_13</vt:lpwstr>
  </property>
  <property fmtid="{D5CDD505-2E9C-101B-9397-08002B2CF9AE}" pid="4" name="KSOTemplateDocerSaveRecord">
    <vt:lpwstr>eyJoZGlkIjoiOGZjOTIyZTk1MWUzYzcwYWVhMTQ2MmI0OGMyNTNmYjgiLCJ1c2VySWQiOiIyMzkzMjk2NTEifQ==</vt:lpwstr>
  </property>
</Properties>
</file>