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eastAsia="微软简隶书"/>
          <w:b/>
          <w:sz w:val="44"/>
          <w:szCs w:val="44"/>
        </w:rPr>
      </w:pPr>
    </w:p>
    <w:p>
      <w:pPr>
        <w:jc w:val="center"/>
        <w:rPr>
          <w:rFonts w:ascii="Arial" w:hAnsi="Arial" w:eastAsia="微软简隶书"/>
          <w:b/>
          <w:sz w:val="44"/>
          <w:szCs w:val="44"/>
        </w:rPr>
      </w:pPr>
    </w:p>
    <w:p>
      <w:pPr>
        <w:jc w:val="center"/>
        <w:rPr>
          <w:rFonts w:ascii="Arial" w:hAnsi="Arial" w:eastAsia="微软简隶书"/>
          <w:b/>
          <w:sz w:val="44"/>
          <w:szCs w:val="44"/>
        </w:rPr>
      </w:pPr>
    </w:p>
    <w:p>
      <w:pPr>
        <w:jc w:val="center"/>
        <w:rPr>
          <w:rFonts w:ascii="Arial" w:hAnsi="Arial" w:eastAsia="微软简隶书"/>
          <w:b/>
          <w:sz w:val="44"/>
          <w:szCs w:val="44"/>
        </w:rPr>
      </w:pPr>
    </w:p>
    <w:p>
      <w:pPr>
        <w:jc w:val="center"/>
        <w:rPr>
          <w:rFonts w:hint="eastAsia" w:ascii="方正小标宋简体" w:hAnsi="方正小标宋简体" w:eastAsia="方正小标宋简体" w:cs="方正小标宋简体"/>
          <w:sz w:val="52"/>
          <w:szCs w:val="40"/>
          <w:lang w:val="en-US"/>
        </w:rPr>
      </w:pPr>
      <w:r>
        <w:rPr>
          <w:rFonts w:hint="eastAsia" w:ascii="方正小标宋简体" w:hAnsi="方正小标宋简体" w:eastAsia="方正小标宋简体" w:cs="方正小标宋简体"/>
          <w:sz w:val="52"/>
          <w:szCs w:val="40"/>
        </w:rPr>
        <w:t>北京市</w:t>
      </w:r>
      <w:r>
        <w:rPr>
          <w:rFonts w:hint="eastAsia" w:ascii="方正小标宋简体" w:hAnsi="方正小标宋简体" w:eastAsia="方正小标宋简体" w:cs="方正小标宋简体"/>
          <w:sz w:val="52"/>
          <w:szCs w:val="40"/>
          <w:lang w:val="en-US" w:eastAsia="zh-CN"/>
        </w:rPr>
        <w:t>西城区人民检察院</w:t>
      </w:r>
    </w:p>
    <w:p>
      <w:pPr>
        <w:jc w:val="center"/>
        <w:rPr>
          <w:rFonts w:hint="default" w:ascii="方正小标宋简体" w:hAnsi="方正小标宋简体" w:eastAsia="方正小标宋简体" w:cs="方正小标宋简体"/>
          <w:sz w:val="52"/>
          <w:szCs w:val="40"/>
          <w:lang w:val="en-US"/>
        </w:rPr>
      </w:pPr>
      <w:r>
        <w:rPr>
          <w:rFonts w:hint="eastAsia" w:ascii="方正小标宋简体" w:hAnsi="方正小标宋简体" w:eastAsia="方正小标宋简体" w:cs="方正小标宋简体"/>
          <w:sz w:val="52"/>
          <w:szCs w:val="40"/>
        </w:rPr>
        <w:t>202</w:t>
      </w:r>
      <w:r>
        <w:rPr>
          <w:rFonts w:hint="eastAsia" w:ascii="方正小标宋简体" w:hAnsi="方正小标宋简体" w:eastAsia="方正小标宋简体" w:cs="方正小标宋简体"/>
          <w:sz w:val="52"/>
          <w:szCs w:val="40"/>
          <w:lang w:val="en-US" w:eastAsia="zh-CN"/>
        </w:rPr>
        <w:t>4年度安保安检工作经费</w:t>
      </w:r>
    </w:p>
    <w:p>
      <w:pPr>
        <w:jc w:val="center"/>
        <w:rPr>
          <w:rFonts w:ascii="隶书" w:hAnsi="Arial" w:eastAsia="隶书"/>
          <w:sz w:val="44"/>
          <w:szCs w:val="32"/>
        </w:rPr>
      </w:pPr>
      <w:r>
        <w:rPr>
          <w:rFonts w:hint="eastAsia" w:ascii="方正小标宋简体" w:hAnsi="方正小标宋简体" w:eastAsia="方正小标宋简体" w:cs="方正小标宋简体"/>
          <w:sz w:val="52"/>
          <w:szCs w:val="40"/>
        </w:rPr>
        <w:t>绩效评价报告</w:t>
      </w:r>
    </w:p>
    <w:p>
      <w:pPr>
        <w:jc w:val="center"/>
        <w:rPr>
          <w:rFonts w:ascii="Arial" w:hAnsi="Arial" w:eastAsia="方正姚体"/>
          <w:b/>
          <w:sz w:val="28"/>
          <w:szCs w:val="32"/>
        </w:rPr>
      </w:pPr>
    </w:p>
    <w:p>
      <w:pPr>
        <w:jc w:val="center"/>
        <w:rPr>
          <w:rFonts w:ascii="Arial" w:hAnsi="Arial" w:eastAsia="隶书"/>
          <w:sz w:val="32"/>
          <w:szCs w:val="32"/>
        </w:rPr>
      </w:pPr>
    </w:p>
    <w:p>
      <w:pPr>
        <w:jc w:val="center"/>
        <w:rPr>
          <w:rFonts w:ascii="Arial" w:hAnsi="Arial" w:eastAsia="黑体"/>
          <w:sz w:val="32"/>
          <w:szCs w:val="32"/>
        </w:rPr>
      </w:pPr>
    </w:p>
    <w:p>
      <w:pPr>
        <w:jc w:val="center"/>
        <w:rPr>
          <w:rFonts w:ascii="Arial" w:hAnsi="Arial" w:eastAsia="黑体"/>
          <w:sz w:val="32"/>
          <w:szCs w:val="32"/>
        </w:rPr>
      </w:pPr>
    </w:p>
    <w:p>
      <w:pPr>
        <w:jc w:val="center"/>
        <w:rPr>
          <w:rFonts w:ascii="Arial" w:hAnsi="Arial" w:eastAsia="黑体"/>
          <w:sz w:val="32"/>
          <w:szCs w:val="32"/>
        </w:rPr>
      </w:pPr>
    </w:p>
    <w:p>
      <w:pPr>
        <w:jc w:val="center"/>
        <w:rPr>
          <w:rFonts w:ascii="Arial" w:hAnsi="Arial" w:eastAsia="黑体"/>
          <w:sz w:val="32"/>
          <w:szCs w:val="32"/>
        </w:rPr>
      </w:pPr>
    </w:p>
    <w:p>
      <w:pPr>
        <w:jc w:val="center"/>
        <w:rPr>
          <w:rFonts w:ascii="Arial" w:hAnsi="Arial" w:eastAsia="黑体"/>
          <w:sz w:val="32"/>
          <w:szCs w:val="32"/>
        </w:rPr>
      </w:pPr>
    </w:p>
    <w:p>
      <w:pPr>
        <w:jc w:val="center"/>
        <w:rPr>
          <w:rFonts w:ascii="Arial" w:hAnsi="Arial" w:eastAsia="黑体"/>
          <w:sz w:val="32"/>
          <w:szCs w:val="32"/>
        </w:rPr>
      </w:pPr>
    </w:p>
    <w:p>
      <w:pPr>
        <w:tabs>
          <w:tab w:val="left" w:pos="615"/>
        </w:tabs>
        <w:jc w:val="center"/>
        <w:rPr>
          <w:rFonts w:hint="eastAsia" w:ascii="Arial" w:hAnsi="Arial" w:eastAsia="黑体"/>
          <w:b w:val="0"/>
          <w:bCs w:val="0"/>
          <w:sz w:val="36"/>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outlineLvl w:val="0"/>
        <w:rPr>
          <w:rFonts w:hint="eastAsia" w:ascii="方正小标宋简体" w:hAnsi="方正小标宋简体" w:eastAsia="方正小标宋简体" w:cs="方正小标宋简体"/>
          <w:sz w:val="36"/>
          <w:szCs w:val="36"/>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outlineLvl w:val="0"/>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目 录</w:t>
      </w:r>
    </w:p>
    <w:p>
      <w:pPr>
        <w:pStyle w:val="13"/>
        <w:tabs>
          <w:tab w:val="right" w:leader="dot" w:pos="8306"/>
        </w:tabs>
        <w:rPr>
          <w:rFonts w:hint="eastAsia" w:asciiTheme="majorEastAsia" w:hAnsiTheme="majorEastAsia" w:eastAsiaTheme="majorEastAsia" w:cstheme="majorEastAsia"/>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TOC \o "1-3" \h \u </w:instrText>
      </w:r>
      <w:r>
        <w:rPr>
          <w:rFonts w:hint="eastAsia" w:ascii="仿宋_GB2312" w:hAnsi="仿宋_GB2312" w:eastAsia="仿宋_GB2312" w:cs="仿宋_GB2312"/>
          <w:sz w:val="32"/>
          <w:szCs w:val="32"/>
          <w:lang w:val="en-US" w:eastAsia="zh-CN"/>
        </w:rPr>
        <w:fldChar w:fldCharType="separate"/>
      </w: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_Toc10200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kern w:val="1"/>
          <w:sz w:val="32"/>
          <w:szCs w:val="32"/>
          <w:lang w:val="en-US" w:eastAsia="zh-CN" w:bidi="ar-SA"/>
        </w:rPr>
        <w:t>一、</w:t>
      </w:r>
      <w:r>
        <w:rPr>
          <w:rFonts w:hint="eastAsia" w:asciiTheme="majorEastAsia" w:hAnsiTheme="majorEastAsia" w:eastAsiaTheme="majorEastAsia" w:cstheme="majorEastAsia"/>
          <w:sz w:val="32"/>
          <w:szCs w:val="32"/>
          <w:lang w:val="en-US" w:eastAsia="zh-CN"/>
        </w:rPr>
        <w:t>基本情况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_Toc10200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_Toc26782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lang w:val="en-US" w:eastAsia="zh-CN"/>
        </w:rPr>
        <w:t>（一）项目概况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_Toc26782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_Toc17599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lang w:val="en-US" w:eastAsia="zh-CN"/>
        </w:rPr>
        <w:t>（二）项目绩效目标</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_Toc17599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3</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_Toc16174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rPr>
        <w:t>二、绩效评价工作开展情况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_Toc16174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4</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_Toc9437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kern w:val="0"/>
          <w:sz w:val="32"/>
          <w:szCs w:val="32"/>
          <w:lang w:val="en-US" w:eastAsia="zh-CN" w:bidi="ar-SA"/>
        </w:rPr>
        <w:t>（一）绩效评价目的、对象和范围</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_Toc9437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4</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_Toc12431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rPr>
        <w:t>（二）绩效评价原则、评价指标体系、评价方法、</w:t>
      </w:r>
    </w:p>
    <w:p>
      <w:pPr>
        <w:pStyle w:val="14"/>
        <w:tabs>
          <w:tab w:val="right" w:leader="dot" w:pos="8306"/>
        </w:tabs>
        <w:ind w:firstLine="960" w:firstLineChars="300"/>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评价标准等</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_Toc12431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5</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_Toc25645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rPr>
        <w:t>（三）绩效评价工作过程</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_Toc25645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_Toc24165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rPr>
        <w:t>三、综合评价情况及评价结论</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_Toc24165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8</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_Toc9461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lang w:val="en-US"/>
        </w:rPr>
        <w:t>四</w:t>
      </w:r>
      <w:r>
        <w:rPr>
          <w:rFonts w:hint="eastAsia" w:asciiTheme="majorEastAsia" w:hAnsiTheme="majorEastAsia" w:eastAsiaTheme="majorEastAsia" w:cstheme="majorEastAsia"/>
          <w:sz w:val="32"/>
          <w:szCs w:val="32"/>
        </w:rPr>
        <w:t>、绩效评价</w:t>
      </w:r>
      <w:r>
        <w:rPr>
          <w:rFonts w:hint="eastAsia" w:asciiTheme="majorEastAsia" w:hAnsiTheme="majorEastAsia" w:eastAsiaTheme="majorEastAsia" w:cstheme="majorEastAsia"/>
          <w:sz w:val="32"/>
          <w:szCs w:val="32"/>
          <w:lang w:val="en-US"/>
        </w:rPr>
        <w:t>指标</w:t>
      </w:r>
      <w:r>
        <w:rPr>
          <w:rFonts w:hint="eastAsia" w:asciiTheme="majorEastAsia" w:hAnsiTheme="majorEastAsia" w:eastAsiaTheme="majorEastAsia" w:cstheme="majorEastAsia"/>
          <w:sz w:val="32"/>
          <w:szCs w:val="32"/>
        </w:rPr>
        <w:t>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_Toc9461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9</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_Toc5194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rPr>
        <w:t>（一）</w:t>
      </w:r>
      <w:r>
        <w:rPr>
          <w:rFonts w:hint="eastAsia" w:asciiTheme="majorEastAsia" w:hAnsiTheme="majorEastAsia" w:eastAsiaTheme="majorEastAsia" w:cstheme="majorEastAsia"/>
          <w:sz w:val="32"/>
          <w:szCs w:val="32"/>
          <w:lang w:val="en-US"/>
        </w:rPr>
        <w:t>项目决策情况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_Toc5194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9</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_Toc5420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val="0"/>
          <w:kern w:val="1"/>
          <w:sz w:val="32"/>
          <w:szCs w:val="32"/>
          <w:lang w:val="en-US" w:eastAsia="zh-CN" w:bidi="ar-SA"/>
        </w:rPr>
        <w:t>（二）项目过程情况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_Toc5420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11</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_Toc7701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val="0"/>
          <w:kern w:val="1"/>
          <w:sz w:val="32"/>
          <w:szCs w:val="32"/>
          <w:lang w:val="en-US" w:eastAsia="zh-CN" w:bidi="ar-SA"/>
        </w:rPr>
        <w:t>（三）项目产出情况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_Toc7701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12</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_Toc14364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val="0"/>
          <w:kern w:val="1"/>
          <w:sz w:val="32"/>
          <w:szCs w:val="32"/>
          <w:highlight w:val="none"/>
          <w:lang w:val="en-US" w:eastAsia="zh-CN" w:bidi="ar-SA"/>
        </w:rPr>
        <w:t>（四）项目效益情况</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_Toc14364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13</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_Toc1390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sz w:val="32"/>
          <w:szCs w:val="32"/>
          <w:lang w:val="en-US"/>
        </w:rPr>
        <w:t>五</w:t>
      </w:r>
      <w:r>
        <w:rPr>
          <w:rFonts w:hint="eastAsia" w:asciiTheme="majorEastAsia" w:hAnsiTheme="majorEastAsia" w:eastAsiaTheme="majorEastAsia" w:cstheme="majorEastAsia"/>
          <w:sz w:val="32"/>
          <w:szCs w:val="32"/>
        </w:rPr>
        <w:t>、主要经验及做法、</w:t>
      </w:r>
      <w:r>
        <w:rPr>
          <w:rFonts w:hint="eastAsia" w:asciiTheme="majorEastAsia" w:hAnsiTheme="majorEastAsia" w:eastAsiaTheme="majorEastAsia" w:cstheme="majorEastAsia"/>
          <w:sz w:val="32"/>
          <w:szCs w:val="32"/>
          <w:lang w:val="en-US"/>
        </w:rPr>
        <w:t>存在的问题及原因分析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_Toc1390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14</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_Toc24113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val="0"/>
          <w:kern w:val="1"/>
          <w:sz w:val="32"/>
          <w:szCs w:val="32"/>
          <w:highlight w:val="none"/>
          <w:lang w:val="en-US" w:eastAsia="zh-CN" w:bidi="ar-SA"/>
        </w:rPr>
        <w:t>（一）主要经验及做法</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_Toc24113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14</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4"/>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_Toc6385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val="0"/>
          <w:kern w:val="1"/>
          <w:sz w:val="32"/>
          <w:szCs w:val="32"/>
          <w:highlight w:val="none"/>
          <w:lang w:val="en-US" w:eastAsia="zh-CN" w:bidi="ar-SA"/>
        </w:rPr>
        <w:t>（二）存在的问题及原因分析</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_Toc6385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14</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_Toc23365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kern w:val="0"/>
          <w:sz w:val="32"/>
          <w:szCs w:val="32"/>
          <w:lang w:val="en-US" w:eastAsia="zh-CN" w:bidi="ar-SA"/>
        </w:rPr>
        <w:t>六、有关建议</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_Toc23365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15</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pStyle w:val="13"/>
        <w:tabs>
          <w:tab w:val="right" w:leader="dot" w:pos="8306"/>
        </w:tabs>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lang w:val="en-US" w:eastAsia="zh-CN"/>
        </w:rPr>
        <w:fldChar w:fldCharType="begin"/>
      </w:r>
      <w:r>
        <w:rPr>
          <w:rFonts w:hint="eastAsia" w:asciiTheme="majorEastAsia" w:hAnsiTheme="majorEastAsia" w:eastAsiaTheme="majorEastAsia" w:cstheme="majorEastAsia"/>
          <w:sz w:val="32"/>
          <w:szCs w:val="32"/>
          <w:lang w:val="en-US" w:eastAsia="zh-CN"/>
        </w:rPr>
        <w:instrText xml:space="preserve"> HYPERLINK \l _Toc3565 </w:instrText>
      </w:r>
      <w:r>
        <w:rPr>
          <w:rFonts w:hint="eastAsia" w:asciiTheme="majorEastAsia" w:hAnsiTheme="majorEastAsia" w:eastAsiaTheme="majorEastAsia" w:cstheme="majorEastAsia"/>
          <w:sz w:val="32"/>
          <w:szCs w:val="32"/>
          <w:lang w:val="en-US" w:eastAsia="zh-CN"/>
        </w:rPr>
        <w:fldChar w:fldCharType="separate"/>
      </w:r>
      <w:r>
        <w:rPr>
          <w:rFonts w:hint="eastAsia" w:asciiTheme="majorEastAsia" w:hAnsiTheme="majorEastAsia" w:eastAsiaTheme="majorEastAsia" w:cstheme="majorEastAsia"/>
          <w:bCs/>
          <w:kern w:val="0"/>
          <w:sz w:val="32"/>
          <w:szCs w:val="32"/>
        </w:rPr>
        <w:t>七、附件</w:t>
      </w:r>
      <w:r>
        <w:rPr>
          <w:rFonts w:hint="eastAsia" w:asciiTheme="majorEastAsia" w:hAnsiTheme="majorEastAsia" w:eastAsiaTheme="majorEastAsia" w:cstheme="majorEastAsia"/>
          <w:sz w:val="32"/>
          <w:szCs w:val="32"/>
        </w:rPr>
        <w:tab/>
      </w:r>
      <w:r>
        <w:rPr>
          <w:rFonts w:hint="eastAsia" w:asciiTheme="majorEastAsia" w:hAnsiTheme="majorEastAsia" w:eastAsiaTheme="majorEastAsia" w:cstheme="majorEastAsia"/>
          <w:sz w:val="32"/>
          <w:szCs w:val="32"/>
        </w:rPr>
        <w:fldChar w:fldCharType="begin"/>
      </w:r>
      <w:r>
        <w:rPr>
          <w:rFonts w:hint="eastAsia" w:asciiTheme="majorEastAsia" w:hAnsiTheme="majorEastAsia" w:eastAsiaTheme="majorEastAsia" w:cstheme="majorEastAsia"/>
          <w:sz w:val="32"/>
          <w:szCs w:val="32"/>
        </w:rPr>
        <w:instrText xml:space="preserve"> PAGEREF _Toc3565 \h </w:instrText>
      </w:r>
      <w:r>
        <w:rPr>
          <w:rFonts w:hint="eastAsia" w:asciiTheme="majorEastAsia" w:hAnsiTheme="majorEastAsia" w:eastAsiaTheme="majorEastAsia" w:cstheme="majorEastAsia"/>
          <w:sz w:val="32"/>
          <w:szCs w:val="32"/>
        </w:rPr>
        <w:fldChar w:fldCharType="separate"/>
      </w:r>
      <w:r>
        <w:rPr>
          <w:rFonts w:hint="eastAsia" w:asciiTheme="majorEastAsia" w:hAnsiTheme="majorEastAsia" w:eastAsiaTheme="majorEastAsia" w:cstheme="majorEastAsia"/>
          <w:sz w:val="32"/>
          <w:szCs w:val="32"/>
        </w:rPr>
        <w:t>15</w:t>
      </w:r>
      <w:r>
        <w:rPr>
          <w:rFonts w:hint="eastAsia" w:asciiTheme="majorEastAsia" w:hAnsiTheme="majorEastAsia" w:eastAsiaTheme="majorEastAsia" w:cstheme="majorEastAsia"/>
          <w:sz w:val="32"/>
          <w:szCs w:val="32"/>
        </w:rPr>
        <w:fldChar w:fldCharType="end"/>
      </w:r>
      <w:r>
        <w:rPr>
          <w:rFonts w:hint="eastAsia" w:asciiTheme="majorEastAsia" w:hAnsiTheme="majorEastAsia" w:eastAsiaTheme="majorEastAsia" w:cstheme="majorEastAsia"/>
          <w:sz w:val="32"/>
          <w:szCs w:val="32"/>
          <w:lang w:val="en-US" w:eastAsia="zh-CN"/>
        </w:rPr>
        <w:fldChar w:fldCharType="end"/>
      </w:r>
    </w:p>
    <w:p>
      <w:pPr>
        <w:keepNext/>
        <w:keepLines/>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仿宋_GB2312" w:hAnsi="仿宋_GB2312" w:eastAsia="仿宋_GB2312" w:cs="仿宋_GB2312"/>
          <w:sz w:val="32"/>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2"/>
        <w:jc w:val="center"/>
        <w:rPr>
          <w:rFonts w:hint="eastAsia" w:ascii="方正小标宋简体" w:hAnsi="方正小标宋简体" w:eastAsia="方正小标宋简体" w:cs="方正小标宋简体"/>
          <w:i w:val="0"/>
          <w:iCs w:val="0"/>
          <w:sz w:val="36"/>
          <w:szCs w:val="36"/>
          <w:lang w:val="en-US" w:eastAsia="zh-CN"/>
        </w:rPr>
      </w:pPr>
      <w:r>
        <w:rPr>
          <w:rFonts w:hint="eastAsia" w:ascii="仿宋_GB2312" w:hAnsi="仿宋_GB2312" w:eastAsia="仿宋_GB2312" w:cs="仿宋_GB2312"/>
          <w:sz w:val="32"/>
          <w:szCs w:val="32"/>
          <w:lang w:val="en-US" w:eastAsia="zh-CN"/>
        </w:rPr>
        <w:fldChar w:fldCharType="end"/>
      </w:r>
      <w:r>
        <w:rPr>
          <w:rFonts w:hint="eastAsia" w:ascii="方正小标宋简体" w:hAnsi="方正小标宋简体" w:eastAsia="方正小标宋简体" w:cs="方正小标宋简体"/>
          <w:i w:val="0"/>
          <w:iCs w:val="0"/>
          <w:sz w:val="36"/>
          <w:szCs w:val="36"/>
          <w:lang w:val="en-US" w:eastAsia="zh-CN"/>
        </w:rPr>
        <w:t>北京市西城区人民检察院2024年度</w:t>
      </w:r>
      <w:r>
        <w:rPr>
          <w:rFonts w:hint="eastAsia" w:ascii="方正小标宋简体" w:hAnsi="方正小标宋简体" w:eastAsia="方正小标宋简体" w:cs="方正小标宋简体"/>
          <w:i w:val="0"/>
          <w:iCs w:val="0"/>
          <w:sz w:val="36"/>
          <w:szCs w:val="36"/>
          <w:lang w:val="en-US" w:eastAsia="zh-CN"/>
        </w:rPr>
        <w:br w:type="textWrapping"/>
      </w:r>
      <w:r>
        <w:rPr>
          <w:rFonts w:hint="eastAsia" w:ascii="方正小标宋简体" w:hAnsi="方正小标宋简体" w:eastAsia="方正小标宋简体" w:cs="方正小标宋简体"/>
          <w:i w:val="0"/>
          <w:iCs w:val="0"/>
          <w:sz w:val="36"/>
          <w:szCs w:val="36"/>
          <w:lang w:val="en-US" w:eastAsia="zh-CN"/>
        </w:rPr>
        <w:t>“安保安检工作经费”项目绩效评价报告</w:t>
      </w:r>
    </w:p>
    <w:p>
      <w:pPr>
        <w:keepNext w:val="0"/>
        <w:keepLines w:val="0"/>
        <w:pageBreakBefore w:val="0"/>
        <w:widowControl w:val="0"/>
        <w:kinsoku/>
        <w:wordWrap/>
        <w:overflowPunct/>
        <w:topLinePunct w:val="0"/>
        <w:autoSpaceDE/>
        <w:autoSpaceDN/>
        <w:bidi w:val="0"/>
        <w:adjustRightInd/>
        <w:snapToGrid/>
        <w:spacing w:before="313" w:beforeLines="10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进一步推进预算绩效管理工作，提升财政资金使用效率和部门绩效管理水平，根据《中共北京市委北京市人民政府关于全面实施预算绩效管理的实施意见》(京发〔2019〕12号)、《北京市预算绩效管理办法》(京财绩效〔2019〕2129号)和《北京市项目支出绩效评价管理办法》(京财绩效〔2020〕2146号)等制度规范文件要求，结合</w:t>
      </w:r>
      <w:r>
        <w:rPr>
          <w:rFonts w:hint="eastAsia" w:ascii="仿宋_GB2312" w:hAnsi="楷体" w:eastAsia="仿宋_GB2312"/>
          <w:bCs/>
          <w:kern w:val="0"/>
          <w:sz w:val="32"/>
          <w:szCs w:val="28"/>
        </w:rPr>
        <w:t>《北京市财政局关于</w:t>
      </w:r>
      <w:r>
        <w:rPr>
          <w:rFonts w:hint="eastAsia" w:ascii="仿宋_GB2312" w:hAnsi="楷体" w:eastAsia="仿宋_GB2312"/>
          <w:bCs/>
          <w:kern w:val="0"/>
          <w:sz w:val="32"/>
          <w:szCs w:val="28"/>
          <w:lang w:val="en-US" w:eastAsia="zh-CN"/>
        </w:rPr>
        <w:t>开展</w:t>
      </w:r>
      <w:r>
        <w:rPr>
          <w:rFonts w:hint="eastAsia" w:ascii="仿宋_GB2312" w:hAnsi="楷体" w:eastAsia="仿宋_GB2312"/>
          <w:bCs/>
          <w:kern w:val="0"/>
          <w:sz w:val="32"/>
          <w:szCs w:val="28"/>
        </w:rPr>
        <w:t>202</w:t>
      </w:r>
      <w:r>
        <w:rPr>
          <w:rFonts w:hint="eastAsia" w:ascii="仿宋_GB2312" w:hAnsi="楷体" w:eastAsia="仿宋_GB2312"/>
          <w:bCs/>
          <w:kern w:val="0"/>
          <w:sz w:val="32"/>
          <w:szCs w:val="28"/>
          <w:lang w:val="en-US" w:eastAsia="zh-CN"/>
        </w:rPr>
        <w:t>5</w:t>
      </w:r>
      <w:r>
        <w:rPr>
          <w:rFonts w:hint="eastAsia" w:ascii="仿宋_GB2312" w:hAnsi="楷体" w:eastAsia="仿宋_GB2312"/>
          <w:bCs/>
          <w:kern w:val="0"/>
          <w:sz w:val="32"/>
          <w:szCs w:val="28"/>
        </w:rPr>
        <w:t>年预算绩效管理</w:t>
      </w:r>
      <w:r>
        <w:rPr>
          <w:rFonts w:hint="eastAsia" w:ascii="仿宋_GB2312" w:hAnsi="楷体" w:eastAsia="仿宋_GB2312"/>
          <w:bCs/>
          <w:kern w:val="0"/>
          <w:sz w:val="32"/>
          <w:szCs w:val="28"/>
          <w:lang w:val="en-US" w:eastAsia="zh-CN"/>
        </w:rPr>
        <w:t>相关</w:t>
      </w:r>
      <w:r>
        <w:rPr>
          <w:rFonts w:hint="eastAsia" w:ascii="仿宋_GB2312" w:hAnsi="楷体" w:eastAsia="仿宋_GB2312"/>
          <w:bCs/>
          <w:kern w:val="0"/>
          <w:sz w:val="32"/>
          <w:szCs w:val="28"/>
        </w:rPr>
        <w:t>工作的</w:t>
      </w:r>
      <w:r>
        <w:rPr>
          <w:rFonts w:hint="eastAsia" w:ascii="仿宋_GB2312" w:hAnsi="楷体" w:eastAsia="仿宋_GB2312"/>
          <w:bCs/>
          <w:kern w:val="0"/>
          <w:sz w:val="32"/>
          <w:szCs w:val="28"/>
          <w:lang w:val="en-US" w:eastAsia="zh-CN"/>
        </w:rPr>
        <w:t>通知</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京财绩效</w:t>
      </w:r>
      <w:r>
        <w:rPr>
          <w:rFonts w:hint="eastAsia" w:ascii="仿宋_GB2312" w:hAnsi="楷体" w:eastAsia="仿宋_GB2312"/>
          <w:bCs/>
          <w:kern w:val="0"/>
          <w:sz w:val="32"/>
          <w:szCs w:val="28"/>
        </w:rPr>
        <w:t>〔202</w:t>
      </w:r>
      <w:r>
        <w:rPr>
          <w:rFonts w:hint="eastAsia" w:ascii="仿宋_GB2312" w:hAnsi="楷体" w:eastAsia="仿宋_GB2312"/>
          <w:bCs/>
          <w:kern w:val="0"/>
          <w:sz w:val="32"/>
          <w:szCs w:val="28"/>
          <w:lang w:val="en-US" w:eastAsia="zh-CN"/>
        </w:rPr>
        <w:t>5</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val="en-US" w:eastAsia="zh-CN"/>
        </w:rPr>
        <w:t>245</w:t>
      </w:r>
      <w:r>
        <w:rPr>
          <w:rFonts w:hint="eastAsia" w:ascii="仿宋_GB2312" w:hAnsi="楷体" w:eastAsia="仿宋_GB2312"/>
          <w:bCs/>
          <w:kern w:val="0"/>
          <w:sz w:val="32"/>
          <w:szCs w:val="28"/>
        </w:rPr>
        <w:t>号</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rPr>
        <w:t>的工作安排</w:t>
      </w:r>
      <w:r>
        <w:rPr>
          <w:rFonts w:hint="eastAsia" w:ascii="仿宋_GB2312" w:hAnsi="楷体" w:eastAsia="仿宋_GB2312"/>
          <w:bCs/>
          <w:kern w:val="0"/>
          <w:sz w:val="32"/>
          <w:szCs w:val="28"/>
          <w:lang w:eastAsia="zh-CN"/>
        </w:rPr>
        <w:t>，西城检察院</w:t>
      </w:r>
      <w:r>
        <w:rPr>
          <w:rFonts w:hint="eastAsia" w:ascii="仿宋_GB2312" w:hAnsi="仿宋_GB2312" w:eastAsia="仿宋_GB2312" w:cs="仿宋_GB2312"/>
          <w:sz w:val="32"/>
          <w:szCs w:val="32"/>
          <w:lang w:val="en-US" w:eastAsia="zh-CN"/>
        </w:rPr>
        <w:t>对2024年度“安保安检工作经费”项目的预算资金支出绩效情况实施评价，形成本绩效评价报告。</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hint="eastAsia" w:ascii="黑体" w:hAnsi="黑体" w:eastAsia="黑体" w:cs="黑体"/>
          <w:sz w:val="32"/>
          <w:szCs w:val="32"/>
          <w:lang w:val="en-US" w:eastAsia="zh-CN"/>
        </w:rPr>
      </w:pPr>
      <w:bookmarkStart w:id="0" w:name="_Toc10200"/>
      <w:r>
        <w:rPr>
          <w:rFonts w:hint="eastAsia" w:ascii="黑体" w:hAnsi="黑体" w:eastAsia="黑体" w:cs="黑体"/>
          <w:kern w:val="1"/>
          <w:sz w:val="32"/>
          <w:szCs w:val="32"/>
          <w:lang w:val="en-US" w:eastAsia="zh-CN" w:bidi="ar-SA"/>
        </w:rPr>
        <w:t>一、</w:t>
      </w:r>
      <w:r>
        <w:rPr>
          <w:rFonts w:hint="eastAsia" w:ascii="黑体" w:hAnsi="黑体" w:eastAsia="黑体" w:cs="黑体"/>
          <w:sz w:val="32"/>
          <w:szCs w:val="32"/>
          <w:lang w:val="en-US" w:eastAsia="zh-CN"/>
        </w:rPr>
        <w:t>基本情况</w:t>
      </w:r>
      <w:bookmarkEnd w:id="0"/>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1" w:name="_Toc26782"/>
      <w:r>
        <w:rPr>
          <w:rFonts w:hint="eastAsia" w:ascii="楷体_GB2312" w:hAnsi="楷体_GB2312" w:eastAsia="楷体_GB2312" w:cs="楷体_GB2312"/>
          <w:b/>
          <w:bCs/>
          <w:sz w:val="32"/>
          <w:szCs w:val="32"/>
          <w:lang w:val="en-US" w:eastAsia="zh-CN"/>
        </w:rPr>
        <w:t>（一）项目概况</w:t>
      </w:r>
      <w:bookmarkEnd w:id="1"/>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rPr>
        <w:t>北京市西城区人民检察院总建筑面积34136.36平方米，设置西门、东北门门卫两处、中控室一处、车库地下B1.B2.B3三层。</w:t>
      </w:r>
      <w:r>
        <w:rPr>
          <w:rFonts w:hint="eastAsia" w:ascii="仿宋_GB2312" w:eastAsia="仿宋_GB2312"/>
          <w:sz w:val="32"/>
          <w:szCs w:val="32"/>
          <w:lang w:val="en-US" w:eastAsia="zh-CN"/>
        </w:rPr>
        <w:t>因西城检察院</w:t>
      </w:r>
      <w:r>
        <w:rPr>
          <w:rFonts w:hint="eastAsia" w:ascii="仿宋_GB2312" w:eastAsia="仿宋_GB2312"/>
          <w:sz w:val="32"/>
          <w:szCs w:val="32"/>
        </w:rPr>
        <w:t>为涉密单位，</w:t>
      </w:r>
      <w:r>
        <w:rPr>
          <w:rFonts w:hint="eastAsia" w:ascii="仿宋_GB2312" w:eastAsia="仿宋_GB2312"/>
          <w:sz w:val="32"/>
          <w:szCs w:val="32"/>
          <w:lang w:val="en-US" w:eastAsia="zh-CN"/>
        </w:rPr>
        <w:t>为确保院内安全，需在</w:t>
      </w:r>
      <w:r>
        <w:rPr>
          <w:rFonts w:hint="eastAsia" w:ascii="仿宋_GB2312" w:eastAsia="仿宋_GB2312"/>
          <w:sz w:val="32"/>
          <w:szCs w:val="32"/>
        </w:rPr>
        <w:t>两处门岗，东北门</w:t>
      </w:r>
      <w:r>
        <w:rPr>
          <w:rFonts w:hint="eastAsia" w:ascii="仿宋_GB2312" w:eastAsia="仿宋_GB2312"/>
          <w:sz w:val="32"/>
          <w:szCs w:val="32"/>
          <w:lang w:val="en-US" w:eastAsia="zh-CN"/>
        </w:rPr>
        <w:t>安排</w:t>
      </w:r>
      <w:r>
        <w:rPr>
          <w:rFonts w:hint="eastAsia" w:ascii="仿宋_GB2312" w:eastAsia="仿宋_GB2312"/>
          <w:sz w:val="32"/>
          <w:szCs w:val="32"/>
        </w:rPr>
        <w:t>24小时值班、西门值班时间早8点至9点，晚17点30分至19点。地库内设置停车场，上下班高峰期需对车场停车进行引导，维护车场秩序。</w:t>
      </w:r>
      <w:r>
        <w:rPr>
          <w:rFonts w:hint="eastAsia" w:ascii="仿宋_GB2312" w:eastAsia="仿宋_GB2312"/>
          <w:sz w:val="32"/>
          <w:szCs w:val="32"/>
          <w:lang w:val="en-US" w:eastAsia="zh-CN"/>
        </w:rPr>
        <w:t>因</w:t>
      </w:r>
      <w:r>
        <w:rPr>
          <w:rFonts w:hint="eastAsia" w:ascii="仿宋_GB2312" w:eastAsia="仿宋_GB2312"/>
          <w:sz w:val="32"/>
          <w:szCs w:val="32"/>
        </w:rPr>
        <w:t>办公大楼基础设施设备陈旧老化，消防等安全问题突出，安全隐患较多，为及时发现安全隐患并及时处置，提升安保防控的综合效率，确保</w:t>
      </w:r>
      <w:r>
        <w:rPr>
          <w:rFonts w:hint="eastAsia" w:ascii="仿宋_GB2312" w:eastAsia="仿宋_GB2312"/>
          <w:sz w:val="32"/>
          <w:szCs w:val="32"/>
          <w:lang w:val="en-US" w:eastAsia="zh-CN"/>
        </w:rPr>
        <w:t>办公办案场所</w:t>
      </w:r>
      <w:r>
        <w:rPr>
          <w:rFonts w:hint="eastAsia" w:ascii="仿宋_GB2312" w:eastAsia="仿宋_GB2312"/>
          <w:sz w:val="32"/>
          <w:szCs w:val="32"/>
        </w:rPr>
        <w:t>正常的工作秩序，为干警创造良好的生活环境，依据《中华人民共和国消防法》等有关规定，安保需实行24小时安全巡逻。</w:t>
      </w:r>
      <w:r>
        <w:rPr>
          <w:rFonts w:hint="eastAsia" w:ascii="仿宋_GB2312" w:eastAsia="仿宋_GB2312"/>
          <w:sz w:val="32"/>
          <w:szCs w:val="32"/>
          <w:lang w:val="en-US" w:eastAsia="zh-CN"/>
        </w:rPr>
        <w:t>西城检察院</w:t>
      </w:r>
      <w:r>
        <w:rPr>
          <w:rFonts w:hint="eastAsia" w:ascii="仿宋_GB2312" w:eastAsia="仿宋_GB2312"/>
          <w:sz w:val="32"/>
          <w:szCs w:val="32"/>
        </w:rPr>
        <w:t>南厅（服务大厅）、一楼（中厅金融基地）设置安检一处，安保人员需熟练使用安检仪，对来访</w:t>
      </w:r>
      <w:r>
        <w:rPr>
          <w:rFonts w:hint="eastAsia" w:ascii="仿宋_GB2312" w:eastAsia="仿宋_GB2312"/>
          <w:sz w:val="32"/>
          <w:szCs w:val="32"/>
          <w:highlight w:val="none"/>
        </w:rPr>
        <w:t>人员进行安检、引导、秩序维护等工作，并协助处置处突事件。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2024年，西城检察院</w:t>
      </w:r>
      <w:r>
        <w:rPr>
          <w:rFonts w:hint="eastAsia" w:ascii="仿宋_GB2312" w:hAnsi="仿宋_GB2312" w:eastAsia="仿宋_GB2312" w:cs="仿宋_GB2312"/>
          <w:b w:val="0"/>
          <w:bCs w:val="0"/>
          <w:color w:val="auto"/>
          <w:spacing w:val="0"/>
          <w:sz w:val="32"/>
          <w:szCs w:val="32"/>
          <w:highlight w:val="none"/>
          <w:lang w:val="en-US" w:eastAsia="zh-CN"/>
        </w:rPr>
        <w:t>全年受理案件5679件，审结5229件</w:t>
      </w:r>
      <w:r>
        <w:rPr>
          <w:rFonts w:hint="eastAsia" w:ascii="仿宋_GB2312" w:hAnsi="仿宋_GB2312" w:eastAsia="仿宋_GB2312" w:cs="仿宋_GB2312"/>
          <w:sz w:val="32"/>
          <w:szCs w:val="32"/>
          <w:highlight w:val="none"/>
          <w:lang w:val="en-US" w:eastAsia="zh-CN"/>
        </w:rPr>
        <w:t>。</w:t>
      </w:r>
      <w:r>
        <w:rPr>
          <w:rFonts w:hint="eastAsia" w:eastAsia="仿宋_GB2312"/>
          <w:sz w:val="32"/>
          <w:szCs w:val="32"/>
          <w:highlight w:val="none"/>
          <w:lang w:val="en-US" w:eastAsia="zh-CN"/>
        </w:rPr>
        <w:t>西城</w:t>
      </w:r>
      <w:r>
        <w:rPr>
          <w:rFonts w:hint="eastAsia" w:eastAsia="仿宋_GB2312"/>
          <w:sz w:val="32"/>
          <w:szCs w:val="32"/>
          <w:highlight w:val="none"/>
        </w:rPr>
        <w:t>检察院</w:t>
      </w:r>
      <w:r>
        <w:rPr>
          <w:rFonts w:hint="eastAsia" w:eastAsia="仿宋_GB2312"/>
          <w:sz w:val="32"/>
          <w:szCs w:val="32"/>
          <w:highlight w:val="none"/>
          <w:lang w:val="en-US" w:eastAsia="zh-CN"/>
        </w:rPr>
        <w:t>办公办案地址位置环境比较复杂</w:t>
      </w:r>
      <w:r>
        <w:rPr>
          <w:rFonts w:hint="eastAsia" w:eastAsia="仿宋_GB2312"/>
          <w:sz w:val="32"/>
          <w:szCs w:val="32"/>
          <w:highlight w:val="none"/>
        </w:rPr>
        <w:t>，来访群众人次较多，安检安保工作压力很大</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highlight w:val="none"/>
          <w:lang w:val="en-US" w:eastAsia="zh-CN"/>
        </w:rPr>
        <w:t>为了</w:t>
      </w:r>
      <w:r>
        <w:rPr>
          <w:rFonts w:hint="eastAsia" w:ascii="仿宋_GB2312" w:eastAsia="仿宋_GB2312"/>
          <w:sz w:val="32"/>
          <w:szCs w:val="32"/>
          <w:highlight w:val="none"/>
        </w:rPr>
        <w:t>保障机关门岗</w:t>
      </w:r>
      <w:r>
        <w:rPr>
          <w:rFonts w:hint="eastAsia" w:ascii="仿宋_GB2312" w:eastAsia="仿宋_GB2312"/>
          <w:sz w:val="32"/>
          <w:szCs w:val="32"/>
        </w:rPr>
        <w:t>执勤、信访接待引导、秩序维护、滞留人员劝返、处置违法上访突发事件，消防应急处置等任务；做好防爆安全、人身安全、物品安全、中控消防安全等检查工作，保障检察工作正常、有序开展，维护首都安全稳定。</w:t>
      </w:r>
      <w:r>
        <w:rPr>
          <w:rFonts w:hint="eastAsia" w:ascii="仿宋_GB2312" w:eastAsia="仿宋_GB2312"/>
          <w:sz w:val="32"/>
          <w:szCs w:val="32"/>
          <w:lang w:val="en-US" w:eastAsia="zh-CN"/>
        </w:rPr>
        <w:t>西城检察院</w:t>
      </w:r>
      <w:r>
        <w:rPr>
          <w:rFonts w:hint="eastAsia" w:ascii="仿宋_GB2312" w:eastAsia="仿宋_GB2312"/>
          <w:sz w:val="32"/>
          <w:szCs w:val="32"/>
        </w:rPr>
        <w:t>申请财政资金保障</w:t>
      </w:r>
      <w:r>
        <w:rPr>
          <w:rFonts w:hint="eastAsia" w:ascii="仿宋_GB2312" w:eastAsia="仿宋_GB2312"/>
          <w:sz w:val="32"/>
          <w:szCs w:val="32"/>
          <w:lang w:val="en-US" w:eastAsia="zh-CN"/>
        </w:rPr>
        <w:t>安保安检</w:t>
      </w:r>
      <w:r>
        <w:rPr>
          <w:rFonts w:hint="eastAsia" w:ascii="仿宋_GB2312" w:eastAsia="仿宋_GB2312"/>
          <w:sz w:val="32"/>
          <w:szCs w:val="32"/>
        </w:rPr>
        <w:t>工作，通过委托</w:t>
      </w:r>
      <w:r>
        <w:rPr>
          <w:rFonts w:hint="eastAsia" w:ascii="仿宋_GB2312" w:eastAsia="仿宋_GB2312"/>
          <w:sz w:val="32"/>
          <w:szCs w:val="32"/>
          <w:lang w:eastAsia="zh-CN"/>
        </w:rPr>
        <w:t>相关</w:t>
      </w:r>
      <w:bookmarkStart w:id="70" w:name="_GoBack"/>
      <w:bookmarkEnd w:id="70"/>
      <w:r>
        <w:rPr>
          <w:rFonts w:hint="eastAsia" w:ascii="仿宋_GB2312" w:eastAsia="仿宋_GB2312"/>
          <w:sz w:val="32"/>
          <w:szCs w:val="32"/>
        </w:rPr>
        <w:t>服务公司配备专业保安人员为</w:t>
      </w:r>
      <w:r>
        <w:rPr>
          <w:rFonts w:hint="eastAsia" w:ascii="仿宋_GB2312" w:eastAsia="仿宋_GB2312"/>
          <w:sz w:val="32"/>
          <w:szCs w:val="32"/>
          <w:lang w:val="en-US" w:eastAsia="zh-CN"/>
        </w:rPr>
        <w:t>西城检察院</w:t>
      </w:r>
      <w:r>
        <w:rPr>
          <w:rFonts w:hint="eastAsia" w:ascii="仿宋_GB2312" w:eastAsia="仿宋_GB2312"/>
          <w:sz w:val="32"/>
          <w:szCs w:val="32"/>
        </w:rPr>
        <w:t>提供各项安保</w:t>
      </w:r>
      <w:r>
        <w:rPr>
          <w:rFonts w:hint="eastAsia" w:ascii="仿宋_GB2312" w:eastAsia="仿宋_GB2312"/>
          <w:sz w:val="32"/>
          <w:szCs w:val="32"/>
          <w:lang w:val="en-US" w:eastAsia="zh-CN"/>
        </w:rPr>
        <w:t>安检</w:t>
      </w:r>
      <w:r>
        <w:rPr>
          <w:rFonts w:hint="eastAsia" w:ascii="仿宋_GB2312" w:eastAsia="仿宋_GB2312"/>
          <w:sz w:val="32"/>
          <w:szCs w:val="32"/>
        </w:rPr>
        <w:t xml:space="preserve">服务。  </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2.主要内容</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2024年，该项目主要用于西城检察院机关场所安检、接待引导、秩序维护、安全保卫、滞留人员劝返、制止违法行为、协助处置违法突发事件等；院区巡逻、门卫值守、义务防火、防盗、防破坏、紧急疏散、防汛抢险，安全检查、防范和制止损害干警安全的行为和事件发生，对各类危险物品进行控制，对车辆停放进行规范管理，对甲方组织的大型活动、各种突发事件、日常工作、临时性工作配合等事项做好服务工作，确保办公办案场所的安全和工作秩序。</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3.项目实施情况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“安保安检工作经费”主要由西城检察院的</w:t>
      </w:r>
      <w:r>
        <w:rPr>
          <w:rFonts w:hint="eastAsia" w:ascii="仿宋_GB2312" w:hAnsi="仿宋_GB2312" w:eastAsia="仿宋_GB2312" w:cs="仿宋_GB2312"/>
          <w:sz w:val="32"/>
          <w:szCs w:val="32"/>
          <w:highlight w:val="none"/>
          <w:lang w:val="en-US" w:eastAsia="zh-CN"/>
        </w:rPr>
        <w:t>办公室（行政事务管理部）组织实施。</w:t>
      </w:r>
      <w:r>
        <w:rPr>
          <w:rFonts w:hint="eastAsia" w:ascii="仿宋_GB2312" w:hAnsi="仿宋_GB2312" w:eastAsia="仿宋_GB2312" w:cs="仿宋_GB2312"/>
          <w:sz w:val="32"/>
          <w:szCs w:val="32"/>
          <w:lang w:val="en-US" w:eastAsia="zh-CN"/>
        </w:rPr>
        <w:t>实施范围分别为西城检察院的安保安检服务。</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4.资金投入和使用情况</w:t>
      </w:r>
    </w:p>
    <w:p>
      <w:pPr>
        <w:spacing w:line="560" w:lineRule="exact"/>
        <w:ind w:firstLine="640" w:firstLineChars="200"/>
        <w:rPr>
          <w:rFonts w:hint="default" w:ascii="仿宋_GB2312" w:hAnsi="楷体" w:eastAsia="仿宋_GB2312"/>
          <w:bCs/>
          <w:kern w:val="0"/>
          <w:sz w:val="32"/>
          <w:szCs w:val="28"/>
          <w:lang w:val="en-US" w:eastAsia="zh-CN"/>
        </w:rPr>
      </w:pP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1</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资金投入情况</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202</w:t>
      </w:r>
      <w:r>
        <w:rPr>
          <w:rFonts w:hint="eastAsia" w:ascii="仿宋_GB2312" w:hAnsi="楷体" w:eastAsia="仿宋_GB2312"/>
          <w:bCs/>
          <w:kern w:val="0"/>
          <w:sz w:val="32"/>
          <w:szCs w:val="28"/>
          <w:lang w:val="en-US" w:eastAsia="zh-CN"/>
        </w:rPr>
        <w:t>4</w:t>
      </w:r>
      <w:r>
        <w:rPr>
          <w:rFonts w:hint="eastAsia" w:ascii="仿宋_GB2312" w:hAnsi="楷体" w:eastAsia="仿宋_GB2312"/>
          <w:bCs/>
          <w:kern w:val="0"/>
          <w:sz w:val="32"/>
          <w:szCs w:val="28"/>
        </w:rPr>
        <w:t>年，根据北京市财政局《关于批复北京市</w:t>
      </w:r>
      <w:r>
        <w:rPr>
          <w:rFonts w:hint="eastAsia" w:ascii="仿宋_GB2312" w:hAnsi="楷体" w:eastAsia="仿宋_GB2312"/>
          <w:bCs/>
          <w:kern w:val="0"/>
          <w:sz w:val="32"/>
          <w:szCs w:val="28"/>
          <w:lang w:val="en-US" w:eastAsia="zh-CN"/>
        </w:rPr>
        <w:t>西城</w:t>
      </w:r>
      <w:r>
        <w:rPr>
          <w:rFonts w:hint="eastAsia" w:ascii="仿宋_GB2312" w:hAnsi="楷体" w:eastAsia="仿宋_GB2312"/>
          <w:bCs/>
          <w:kern w:val="0"/>
          <w:sz w:val="32"/>
          <w:szCs w:val="28"/>
        </w:rPr>
        <w:t>区人民检察院202</w:t>
      </w:r>
      <w:r>
        <w:rPr>
          <w:rFonts w:hint="eastAsia" w:ascii="仿宋_GB2312" w:hAnsi="楷体" w:eastAsia="仿宋_GB2312"/>
          <w:bCs/>
          <w:kern w:val="0"/>
          <w:sz w:val="32"/>
          <w:szCs w:val="28"/>
          <w:lang w:val="en-US" w:eastAsia="zh-CN"/>
        </w:rPr>
        <w:t>4</w:t>
      </w:r>
      <w:r>
        <w:rPr>
          <w:rFonts w:hint="eastAsia" w:ascii="仿宋_GB2312" w:hAnsi="楷体" w:eastAsia="仿宋_GB2312"/>
          <w:bCs/>
          <w:kern w:val="0"/>
          <w:sz w:val="32"/>
          <w:szCs w:val="28"/>
        </w:rPr>
        <w:t>年预算的函》（京财</w:t>
      </w:r>
      <w:r>
        <w:rPr>
          <w:rFonts w:hint="eastAsia" w:ascii="仿宋_GB2312" w:hAnsi="楷体" w:eastAsia="仿宋_GB2312"/>
          <w:bCs/>
          <w:kern w:val="0"/>
          <w:sz w:val="32"/>
          <w:szCs w:val="28"/>
          <w:highlight w:val="none"/>
        </w:rPr>
        <w:t>公检法指〔202</w:t>
      </w:r>
      <w:r>
        <w:rPr>
          <w:rFonts w:hint="eastAsia" w:ascii="仿宋_GB2312" w:hAnsi="楷体" w:eastAsia="仿宋_GB2312"/>
          <w:bCs/>
          <w:kern w:val="0"/>
          <w:sz w:val="32"/>
          <w:szCs w:val="28"/>
          <w:highlight w:val="none"/>
          <w:lang w:val="en-US" w:eastAsia="zh-CN"/>
        </w:rPr>
        <w:t>4</w:t>
      </w:r>
      <w:r>
        <w:rPr>
          <w:rFonts w:hint="eastAsia" w:ascii="仿宋_GB2312" w:hAnsi="楷体" w:eastAsia="仿宋_GB2312"/>
          <w:bCs/>
          <w:kern w:val="0"/>
          <w:sz w:val="32"/>
          <w:szCs w:val="28"/>
          <w:highlight w:val="none"/>
        </w:rPr>
        <w:t>〕</w:t>
      </w:r>
      <w:r>
        <w:rPr>
          <w:rFonts w:hint="eastAsia" w:ascii="仿宋_GB2312" w:hAnsi="楷体" w:eastAsia="仿宋_GB2312"/>
          <w:bCs/>
          <w:kern w:val="0"/>
          <w:sz w:val="32"/>
          <w:szCs w:val="28"/>
          <w:highlight w:val="none"/>
          <w:lang w:val="en-US" w:eastAsia="zh-CN"/>
        </w:rPr>
        <w:t>112</w:t>
      </w:r>
      <w:r>
        <w:rPr>
          <w:rFonts w:hint="eastAsia" w:ascii="仿宋_GB2312" w:hAnsi="楷体" w:eastAsia="仿宋_GB2312"/>
          <w:bCs/>
          <w:kern w:val="0"/>
          <w:sz w:val="32"/>
          <w:szCs w:val="28"/>
          <w:highlight w:val="none"/>
        </w:rPr>
        <w:t>号），</w:t>
      </w:r>
      <w:r>
        <w:rPr>
          <w:rFonts w:hint="eastAsia" w:ascii="仿宋_GB2312" w:hAnsi="楷体" w:eastAsia="仿宋_GB2312"/>
          <w:bCs/>
          <w:kern w:val="0"/>
          <w:sz w:val="32"/>
          <w:szCs w:val="28"/>
        </w:rPr>
        <w:t>市财政批复项目</w:t>
      </w:r>
      <w:r>
        <w:rPr>
          <w:rFonts w:hint="eastAsia" w:ascii="仿宋_GB2312" w:hAnsi="楷体" w:eastAsia="仿宋_GB2312"/>
          <w:bCs/>
          <w:kern w:val="0"/>
          <w:sz w:val="32"/>
          <w:szCs w:val="28"/>
          <w:lang w:val="en-US" w:eastAsia="zh-CN"/>
        </w:rPr>
        <w:t>预算113.52</w:t>
      </w:r>
      <w:r>
        <w:rPr>
          <w:rFonts w:hint="eastAsia" w:ascii="仿宋_GB2312" w:hAnsi="楷体" w:eastAsia="仿宋_GB2312"/>
          <w:bCs/>
          <w:kern w:val="0"/>
          <w:sz w:val="32"/>
          <w:szCs w:val="28"/>
        </w:rPr>
        <w:t>万元</w:t>
      </w:r>
      <w:r>
        <w:rPr>
          <w:rFonts w:hint="eastAsia" w:ascii="仿宋_GB2312" w:hAnsi="楷体" w:eastAsia="仿宋_GB2312"/>
          <w:bCs/>
          <w:kern w:val="0"/>
          <w:sz w:val="32"/>
          <w:szCs w:val="28"/>
          <w:lang w:eastAsia="zh-CN"/>
        </w:rPr>
        <w:t>，</w:t>
      </w:r>
      <w:r>
        <w:rPr>
          <w:rFonts w:hint="eastAsia" w:ascii="仿宋_GB2312" w:hAnsi="楷体" w:eastAsia="仿宋_GB2312"/>
          <w:bCs/>
          <w:kern w:val="0"/>
          <w:sz w:val="32"/>
          <w:szCs w:val="28"/>
          <w:lang w:val="en-US" w:eastAsia="zh-CN"/>
        </w:rPr>
        <w:t>资金到位率100%，项目资金全部由市财政拨款</w:t>
      </w:r>
      <w:r>
        <w:rPr>
          <w:rFonts w:hint="eastAsia" w:ascii="仿宋_GB2312" w:hAnsi="楷体" w:eastAsia="仿宋_GB2312"/>
          <w:bCs/>
          <w:kern w:val="0"/>
          <w:sz w:val="32"/>
          <w:szCs w:val="28"/>
        </w:rPr>
        <w:t>。</w:t>
      </w:r>
    </w:p>
    <w:p>
      <w:pPr>
        <w:spacing w:line="560" w:lineRule="exact"/>
        <w:ind w:firstLine="640" w:firstLineChars="200"/>
        <w:rPr>
          <w:rFonts w:hint="default" w:ascii="仿宋_GB2312" w:hAnsi="楷体" w:eastAsia="仿宋_GB2312"/>
          <w:bCs/>
          <w:kern w:val="0"/>
          <w:sz w:val="32"/>
          <w:szCs w:val="28"/>
          <w:lang w:val="en-US" w:eastAsia="zh-CN"/>
        </w:rPr>
      </w:pPr>
      <w:r>
        <w:rPr>
          <w:rFonts w:hint="eastAsia" w:ascii="仿宋_GB2312" w:hAnsi="楷体" w:eastAsia="仿宋_GB2312"/>
          <w:bCs/>
          <w:kern w:val="0"/>
          <w:sz w:val="32"/>
          <w:szCs w:val="28"/>
          <w:lang w:val="en-US" w:eastAsia="zh-CN"/>
        </w:rPr>
        <w:t>（2）资金使用情况</w:t>
      </w:r>
    </w:p>
    <w:p>
      <w:pPr>
        <w:pStyle w:val="15"/>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楷体" w:eastAsia="仿宋_GB2312"/>
          <w:bCs/>
          <w:kern w:val="0"/>
          <w:sz w:val="32"/>
          <w:szCs w:val="28"/>
        </w:rPr>
        <w:t>截至</w:t>
      </w:r>
      <w:r>
        <w:rPr>
          <w:rFonts w:hint="eastAsia" w:ascii="仿宋_GB2312" w:hAnsi="楷体" w:eastAsia="仿宋_GB2312"/>
          <w:bCs/>
          <w:kern w:val="0"/>
          <w:sz w:val="32"/>
          <w:szCs w:val="28"/>
          <w:lang w:val="en-US" w:eastAsia="zh-CN"/>
        </w:rPr>
        <w:t>2024年</w:t>
      </w:r>
      <w:r>
        <w:rPr>
          <w:rFonts w:hint="eastAsia" w:ascii="仿宋_GB2312" w:hAnsi="楷体" w:eastAsia="仿宋_GB2312"/>
          <w:bCs/>
          <w:kern w:val="0"/>
          <w:sz w:val="32"/>
          <w:szCs w:val="28"/>
        </w:rPr>
        <w:t>12月31日，</w:t>
      </w:r>
      <w:r>
        <w:rPr>
          <w:rFonts w:hint="eastAsia" w:ascii="仿宋_GB2312" w:hAnsi="楷体" w:eastAsia="仿宋_GB2312"/>
          <w:bCs/>
          <w:kern w:val="0"/>
          <w:sz w:val="32"/>
          <w:szCs w:val="28"/>
          <w:lang w:val="en-US" w:eastAsia="zh-CN"/>
        </w:rPr>
        <w:t>该项目</w:t>
      </w:r>
      <w:r>
        <w:rPr>
          <w:rFonts w:hint="eastAsia" w:ascii="仿宋_GB2312" w:hAnsi="楷体" w:eastAsia="仿宋_GB2312"/>
          <w:bCs/>
          <w:kern w:val="0"/>
          <w:sz w:val="32"/>
          <w:szCs w:val="28"/>
        </w:rPr>
        <w:t>实际支出</w:t>
      </w:r>
      <w:r>
        <w:rPr>
          <w:rFonts w:hint="eastAsia" w:ascii="仿宋_GB2312" w:hAnsi="楷体" w:eastAsia="仿宋_GB2312"/>
          <w:bCs/>
          <w:kern w:val="0"/>
          <w:sz w:val="32"/>
          <w:szCs w:val="28"/>
          <w:highlight w:val="none"/>
          <w:lang w:val="en-US" w:eastAsia="zh-CN"/>
        </w:rPr>
        <w:t>113.52</w:t>
      </w:r>
      <w:r>
        <w:rPr>
          <w:rFonts w:hint="eastAsia" w:ascii="仿宋_GB2312" w:hAnsi="楷体" w:eastAsia="仿宋_GB2312"/>
          <w:bCs/>
          <w:kern w:val="0"/>
          <w:sz w:val="32"/>
          <w:szCs w:val="28"/>
        </w:rPr>
        <w:t>万元，预算执行率</w:t>
      </w:r>
      <w:r>
        <w:rPr>
          <w:rFonts w:hint="eastAsia" w:ascii="仿宋_GB2312" w:hAnsi="楷体" w:eastAsia="仿宋_GB2312"/>
          <w:bCs/>
          <w:kern w:val="0"/>
          <w:sz w:val="32"/>
          <w:szCs w:val="28"/>
          <w:lang w:val="en-US" w:eastAsia="zh-CN"/>
        </w:rPr>
        <w:t>100</w:t>
      </w:r>
      <w:r>
        <w:rPr>
          <w:rFonts w:hint="eastAsia" w:ascii="仿宋_GB2312" w:hAnsi="楷体" w:eastAsia="仿宋_GB2312"/>
          <w:bCs/>
          <w:kern w:val="0"/>
          <w:sz w:val="32"/>
          <w:szCs w:val="28"/>
        </w:rPr>
        <w:t>%</w:t>
      </w:r>
      <w:r>
        <w:rPr>
          <w:rFonts w:hint="eastAsia" w:ascii="仿宋_GB2312" w:hAnsi="楷体" w:eastAsia="仿宋_GB2312"/>
          <w:bCs/>
          <w:kern w:val="0"/>
          <w:sz w:val="32"/>
          <w:szCs w:val="28"/>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2" w:name="_Toc17599"/>
      <w:r>
        <w:rPr>
          <w:rFonts w:hint="eastAsia" w:ascii="楷体_GB2312" w:hAnsi="楷体_GB2312" w:eastAsia="楷体_GB2312" w:cs="楷体_GB2312"/>
          <w:b/>
          <w:bCs/>
          <w:sz w:val="32"/>
          <w:szCs w:val="32"/>
          <w:lang w:val="en-US" w:eastAsia="zh-CN"/>
        </w:rPr>
        <w:t>（二）项目绩效目标</w:t>
      </w:r>
      <w:bookmarkEnd w:id="2"/>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1.总体目标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_GB2312" w:hAnsi="楷体" w:eastAsia="仿宋_GB2312" w:cstheme="minorBidi"/>
          <w:bCs/>
          <w:kern w:val="0"/>
          <w:sz w:val="32"/>
          <w:szCs w:val="28"/>
          <w:lang w:val="en-US" w:eastAsia="zh-CN" w:bidi="ar-SA"/>
        </w:rPr>
      </w:pPr>
      <w:r>
        <w:rPr>
          <w:rFonts w:hint="eastAsia" w:ascii="仿宋_GB2312" w:hAnsi="楷体" w:eastAsia="仿宋_GB2312" w:cstheme="minorBidi"/>
          <w:bCs/>
          <w:kern w:val="0"/>
          <w:sz w:val="32"/>
          <w:szCs w:val="28"/>
          <w:lang w:val="en-US" w:eastAsia="zh-CN" w:bidi="ar-SA"/>
        </w:rPr>
        <w:t>保障全院机关门岗执勤、信访接待引导、秩序维护、滞留人员劝返、处置违法上访突发事件，消防应急处置等任务； 做好防爆安全、人身安全、物品安全、中控消防安全等检查工作，保障检察工作正常、有序开展，维护首都安全稳定。</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2.阶段性目标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产出数量指标</w:t>
      </w:r>
      <w:r>
        <w:rPr>
          <w:rFonts w:hint="eastAsia" w:ascii="仿宋_GB2312" w:hAnsi="仿宋_GB2312" w:eastAsia="仿宋_GB2312" w:cs="仿宋_GB2312"/>
          <w:sz w:val="32"/>
          <w:szCs w:val="32"/>
          <w:lang w:val="en-US" w:eastAsia="zh-CN"/>
        </w:rPr>
        <w:t>：22名安检员。</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638" w:leftChars="304" w:firstLine="0" w:firstLineChars="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产出质量指标</w:t>
      </w:r>
      <w:r>
        <w:rPr>
          <w:rFonts w:hint="eastAsia" w:ascii="仿宋_GB2312" w:hAnsi="仿宋_GB2312" w:eastAsia="仿宋_GB2312" w:cs="仿宋_GB2312"/>
          <w:sz w:val="32"/>
          <w:szCs w:val="32"/>
          <w:lang w:val="en-US" w:eastAsia="zh-CN"/>
        </w:rPr>
        <w:t>：</w:t>
      </w:r>
      <w:bookmarkStart w:id="3" w:name="OLE_LINK6"/>
      <w:r>
        <w:rPr>
          <w:rFonts w:hint="default" w:ascii="仿宋_GB2312" w:hAnsi="仿宋_GB2312" w:eastAsia="仿宋_GB2312" w:cs="仿宋_GB2312"/>
          <w:sz w:val="32"/>
          <w:szCs w:val="32"/>
          <w:lang w:val="en-US" w:eastAsia="zh-CN"/>
        </w:rPr>
        <w:t>保障办案人员、办案场所、设施安全</w:t>
      </w:r>
      <w:r>
        <w:rPr>
          <w:rFonts w:hint="eastAsia" w:ascii="仿宋_GB2312" w:hAnsi="仿宋_GB2312" w:eastAsia="仿宋_GB2312" w:cs="仿宋_GB2312"/>
          <w:sz w:val="32"/>
          <w:szCs w:val="32"/>
          <w:lang w:val="en-US" w:eastAsia="zh-CN"/>
        </w:rPr>
        <w:t>。</w:t>
      </w:r>
      <w:bookmarkEnd w:id="3"/>
      <w:r>
        <w:rPr>
          <w:rFonts w:hint="default" w:ascii="仿宋_GB2312" w:hAnsi="仿宋_GB2312" w:eastAsia="仿宋_GB2312" w:cs="仿宋_GB2312"/>
          <w:sz w:val="32"/>
          <w:szCs w:val="32"/>
          <w:lang w:val="en-US" w:eastAsia="zh-CN"/>
        </w:rPr>
        <w:t>产出时效指标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及时处理突发情况</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ab/>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产出成本指标：项目成本不超过113.52万元。</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社会效益指标</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维护正常办公秩序，保证检察院正常履行检察职能，降低各类风险发生的几率，从而起到防护作用</w:t>
      </w:r>
      <w:r>
        <w:rPr>
          <w:rFonts w:hint="eastAsia" w:ascii="仿宋_GB2312" w:hAnsi="仿宋_GB2312" w:eastAsia="仿宋_GB2312" w:cs="仿宋_GB2312"/>
          <w:sz w:val="32"/>
          <w:szCs w:val="32"/>
          <w:highlight w:val="none"/>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可持续影响指标：充分发挥单位职能，保障各项检察业务工作有序开展，维护社会安全稳定，强化法律监督等方面具有可持续性。</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服务对象满意度指标</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干警满意度</w:t>
      </w:r>
      <w:r>
        <w:rPr>
          <w:rFonts w:hint="default" w:ascii="仿宋_GB2312" w:hAnsi="仿宋_GB2312" w:eastAsia="仿宋_GB2312" w:cs="仿宋_GB2312"/>
          <w:sz w:val="32"/>
          <w:szCs w:val="32"/>
          <w:highlight w:val="none"/>
          <w:lang w:val="en-US" w:eastAsia="zh-CN"/>
        </w:rPr>
        <w:tab/>
      </w:r>
      <w:r>
        <w:rPr>
          <w:rFonts w:hint="eastAsia" w:ascii="仿宋_GB2312" w:hAnsi="仿宋_GB2312" w:eastAsia="仿宋_GB2312" w:cs="仿宋_GB2312"/>
          <w:sz w:val="32"/>
          <w:szCs w:val="32"/>
          <w:highlight w:val="none"/>
          <w:lang w:val="en-US" w:eastAsia="zh-CN"/>
        </w:rPr>
        <w:t>达到95%以上。</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ascii="黑体" w:hAnsi="黑体" w:eastAsia="黑体" w:cs="黑体"/>
          <w:sz w:val="32"/>
          <w:szCs w:val="32"/>
        </w:rPr>
      </w:pPr>
      <w:bookmarkStart w:id="4" w:name="_Toc16174"/>
      <w:bookmarkStart w:id="5" w:name="_Toc31059"/>
      <w:bookmarkStart w:id="6" w:name="_Toc21807"/>
      <w:r>
        <w:rPr>
          <w:rFonts w:hint="eastAsia" w:ascii="黑体" w:hAnsi="黑体" w:eastAsia="黑体" w:cs="黑体"/>
          <w:sz w:val="32"/>
          <w:szCs w:val="32"/>
        </w:rPr>
        <w:t>二、绩效评价工作开展情况</w:t>
      </w:r>
      <w:bookmarkEnd w:id="4"/>
      <w:bookmarkEnd w:id="5"/>
      <w:bookmarkEnd w:id="6"/>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7" w:name="_Toc4643"/>
      <w:bookmarkStart w:id="8" w:name="_Toc16340"/>
      <w:bookmarkStart w:id="9" w:name="_Toc18636"/>
      <w:bookmarkStart w:id="10" w:name="_Toc9437"/>
      <w:r>
        <w:rPr>
          <w:rFonts w:hint="eastAsia" w:ascii="楷体_GB2312" w:hAnsi="楷体_GB2312" w:eastAsia="楷体_GB2312" w:cs="楷体_GB2312"/>
          <w:b/>
          <w:bCs/>
          <w:sz w:val="32"/>
          <w:szCs w:val="32"/>
          <w:lang w:val="en-US" w:eastAsia="zh-CN"/>
        </w:rPr>
        <w:t>（一）绩效评价目的、对象和范围</w:t>
      </w:r>
      <w:bookmarkEnd w:id="7"/>
      <w:bookmarkEnd w:id="8"/>
      <w:bookmarkEnd w:id="9"/>
      <w:bookmarkEnd w:id="10"/>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1.评价目的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楷体" w:eastAsia="仿宋_GB2312" w:cstheme="minorBidi"/>
          <w:bCs/>
          <w:kern w:val="0"/>
          <w:sz w:val="32"/>
          <w:szCs w:val="28"/>
          <w:lang w:val="en-US" w:eastAsia="zh-CN" w:bidi="ar-SA"/>
        </w:rPr>
      </w:pPr>
      <w:r>
        <w:rPr>
          <w:rFonts w:hint="eastAsia" w:ascii="仿宋_GB2312" w:hAnsi="楷体" w:eastAsia="仿宋_GB2312" w:cstheme="minorBidi"/>
          <w:bCs/>
          <w:kern w:val="0"/>
          <w:sz w:val="32"/>
          <w:szCs w:val="28"/>
          <w:lang w:val="en-US" w:eastAsia="zh-CN" w:bidi="ar-SA"/>
        </w:rPr>
        <w:t>通过对西城检察院2024年度安保安检工作经费项目开展绩效评价，</w:t>
      </w:r>
      <w:r>
        <w:rPr>
          <w:rFonts w:hint="eastAsia" w:ascii="仿宋_GB2312" w:eastAsia="仿宋_GB2312"/>
          <w:sz w:val="32"/>
          <w:szCs w:val="32"/>
        </w:rPr>
        <w:t>全面、客观地反映</w:t>
      </w:r>
      <w:r>
        <w:rPr>
          <w:rFonts w:hint="eastAsia" w:ascii="仿宋_GB2312" w:eastAsia="仿宋_GB2312"/>
          <w:sz w:val="32"/>
          <w:szCs w:val="32"/>
          <w:lang w:val="en-US" w:eastAsia="zh-CN"/>
        </w:rPr>
        <w:t>该项目</w:t>
      </w:r>
      <w:r>
        <w:rPr>
          <w:rFonts w:hint="eastAsia" w:ascii="仿宋_GB2312" w:eastAsia="仿宋_GB2312"/>
          <w:sz w:val="32"/>
          <w:szCs w:val="32"/>
        </w:rPr>
        <w:t>使用财政资金的绩效实现情况</w:t>
      </w:r>
      <w:r>
        <w:rPr>
          <w:rFonts w:hint="eastAsia" w:ascii="仿宋_GB2312" w:eastAsia="仿宋_GB2312"/>
          <w:sz w:val="32"/>
          <w:szCs w:val="32"/>
          <w:lang w:eastAsia="zh-CN"/>
        </w:rPr>
        <w:t>。</w:t>
      </w:r>
      <w:r>
        <w:rPr>
          <w:rFonts w:hint="eastAsia" w:ascii="仿宋_GB2312" w:hAnsi="仿宋_GB2312" w:eastAsia="仿宋_GB2312" w:cs="仿宋_GB2312"/>
          <w:bCs/>
          <w:color w:val="auto"/>
          <w:kern w:val="44"/>
          <w:sz w:val="32"/>
          <w:szCs w:val="32"/>
          <w:lang w:val="en-US" w:eastAsia="zh-CN"/>
        </w:rPr>
        <w:t>一是加强预算绩效管理，强化支出责任，提高财政资金使用效益；二是进一步总结和分析项目资</w:t>
      </w:r>
      <w:r>
        <w:rPr>
          <w:rFonts w:hint="eastAsia" w:ascii="仿宋_GB2312" w:hAnsi="仿宋_GB2312" w:eastAsia="仿宋_GB2312" w:cs="仿宋_GB2312"/>
          <w:bCs/>
          <w:color w:val="auto"/>
          <w:kern w:val="44"/>
          <w:sz w:val="32"/>
          <w:szCs w:val="32"/>
        </w:rPr>
        <w:t>金的实施效果，检验财政支出预期目标实现程度，考核财政支出效率和综合效果；三是</w:t>
      </w:r>
      <w:r>
        <w:rPr>
          <w:rFonts w:hint="eastAsia" w:ascii="仿宋_GB2312" w:hAnsi="楷体" w:eastAsia="仿宋_GB2312" w:cstheme="minorBidi"/>
          <w:bCs/>
          <w:kern w:val="0"/>
          <w:sz w:val="32"/>
          <w:szCs w:val="28"/>
          <w:lang w:val="en-US" w:eastAsia="zh-CN" w:bidi="ar-SA"/>
        </w:rPr>
        <w:t>为以后年度安保安检项目预算资金安排提供</w:t>
      </w:r>
      <w:r>
        <w:rPr>
          <w:rFonts w:hint="eastAsia" w:ascii="仿宋_GB2312" w:hAnsi="仿宋_GB2312" w:eastAsia="仿宋_GB2312" w:cs="仿宋_GB2312"/>
          <w:bCs/>
          <w:color w:val="auto"/>
          <w:kern w:val="44"/>
          <w:sz w:val="32"/>
          <w:szCs w:val="32"/>
        </w:rPr>
        <w:t>参考依据。</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2.评价对象</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kern w:val="1"/>
          <w:sz w:val="32"/>
          <w:szCs w:val="32"/>
          <w:lang w:val="en-US" w:eastAsia="zh-CN" w:bidi="ar-SA"/>
        </w:rPr>
      </w:pPr>
      <w:r>
        <w:rPr>
          <w:rFonts w:hint="eastAsia" w:ascii="仿宋_GB2312" w:hAnsi="仿宋_GB2312" w:eastAsia="仿宋_GB2312" w:cs="仿宋_GB2312"/>
          <w:kern w:val="1"/>
          <w:sz w:val="32"/>
          <w:szCs w:val="32"/>
          <w:lang w:val="en-US" w:eastAsia="zh-CN" w:bidi="ar-SA"/>
        </w:rPr>
        <w:t>绩效</w:t>
      </w:r>
      <w:r>
        <w:rPr>
          <w:rFonts w:hint="default" w:ascii="仿宋_GB2312" w:hAnsi="仿宋_GB2312" w:eastAsia="仿宋_GB2312" w:cs="仿宋_GB2312"/>
          <w:kern w:val="1"/>
          <w:sz w:val="32"/>
          <w:szCs w:val="32"/>
          <w:lang w:val="en-US" w:eastAsia="zh-CN" w:bidi="ar-SA"/>
        </w:rPr>
        <w:t>评价对象为</w:t>
      </w:r>
      <w:r>
        <w:rPr>
          <w:rFonts w:hint="eastAsia" w:ascii="仿宋_GB2312" w:hAnsi="仿宋_GB2312" w:eastAsia="仿宋_GB2312" w:cs="仿宋_GB2312"/>
          <w:kern w:val="1"/>
          <w:sz w:val="32"/>
          <w:szCs w:val="32"/>
          <w:lang w:val="en-US" w:eastAsia="zh-CN" w:bidi="ar-SA"/>
        </w:rPr>
        <w:t>西城检察院</w:t>
      </w:r>
      <w:r>
        <w:rPr>
          <w:rFonts w:hint="default" w:ascii="仿宋_GB2312" w:hAnsi="仿宋_GB2312" w:eastAsia="仿宋_GB2312" w:cs="仿宋_GB2312"/>
          <w:kern w:val="1"/>
          <w:sz w:val="32"/>
          <w:szCs w:val="32"/>
          <w:lang w:val="en-US" w:eastAsia="zh-CN" w:bidi="ar-SA"/>
        </w:rPr>
        <w:t>202</w:t>
      </w:r>
      <w:r>
        <w:rPr>
          <w:rFonts w:hint="eastAsia" w:ascii="仿宋_GB2312" w:hAnsi="仿宋_GB2312" w:eastAsia="仿宋_GB2312" w:cs="仿宋_GB2312"/>
          <w:kern w:val="1"/>
          <w:sz w:val="32"/>
          <w:szCs w:val="32"/>
          <w:lang w:val="en-US" w:eastAsia="zh-CN" w:bidi="ar-SA"/>
        </w:rPr>
        <w:t>4</w:t>
      </w:r>
      <w:r>
        <w:rPr>
          <w:rFonts w:hint="default" w:ascii="仿宋_GB2312" w:hAnsi="仿宋_GB2312" w:eastAsia="仿宋_GB2312" w:cs="仿宋_GB2312"/>
          <w:kern w:val="1"/>
          <w:sz w:val="32"/>
          <w:szCs w:val="32"/>
          <w:lang w:val="en-US" w:eastAsia="zh-CN" w:bidi="ar-SA"/>
        </w:rPr>
        <w:t>年度“安保安检</w:t>
      </w:r>
      <w:r>
        <w:rPr>
          <w:rFonts w:hint="eastAsia" w:ascii="仿宋_GB2312" w:hAnsi="仿宋_GB2312" w:eastAsia="仿宋_GB2312" w:cs="仿宋_GB2312"/>
          <w:kern w:val="1"/>
          <w:sz w:val="32"/>
          <w:szCs w:val="32"/>
          <w:lang w:val="en-US" w:eastAsia="zh-CN" w:bidi="ar-SA"/>
        </w:rPr>
        <w:t>工作经费</w:t>
      </w:r>
      <w:r>
        <w:rPr>
          <w:rFonts w:hint="default" w:ascii="仿宋_GB2312" w:hAnsi="仿宋_GB2312" w:eastAsia="仿宋_GB2312" w:cs="仿宋_GB2312"/>
          <w:kern w:val="1"/>
          <w:sz w:val="32"/>
          <w:szCs w:val="32"/>
          <w:lang w:val="en-US" w:eastAsia="zh-CN" w:bidi="ar-SA"/>
        </w:rPr>
        <w:t>”项目，预算资金</w:t>
      </w:r>
      <w:r>
        <w:rPr>
          <w:rFonts w:hint="eastAsia" w:ascii="仿宋_GB2312" w:hAnsi="仿宋_GB2312" w:eastAsia="仿宋_GB2312" w:cs="仿宋_GB2312"/>
          <w:kern w:val="1"/>
          <w:sz w:val="32"/>
          <w:szCs w:val="32"/>
          <w:lang w:val="en-US" w:eastAsia="zh-CN" w:bidi="ar-SA"/>
        </w:rPr>
        <w:t>113.52</w:t>
      </w:r>
      <w:r>
        <w:rPr>
          <w:rFonts w:hint="default" w:ascii="仿宋_GB2312" w:hAnsi="仿宋_GB2312" w:eastAsia="仿宋_GB2312" w:cs="仿宋_GB2312"/>
          <w:kern w:val="1"/>
          <w:sz w:val="32"/>
          <w:szCs w:val="32"/>
          <w:lang w:val="en-US" w:eastAsia="zh-CN" w:bidi="ar-SA"/>
        </w:rPr>
        <w:t>万元</w:t>
      </w:r>
      <w:r>
        <w:rPr>
          <w:rFonts w:hint="eastAsia" w:ascii="仿宋_GB2312" w:hAnsi="仿宋_GB2312" w:eastAsia="仿宋_GB2312" w:cs="仿宋_GB2312"/>
          <w:kern w:val="1"/>
          <w:sz w:val="32"/>
          <w:szCs w:val="32"/>
          <w:lang w:val="en-US" w:eastAsia="zh-CN" w:bidi="ar-SA"/>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评价范围</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绩效评价的范围主要包括以下几个方面：</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（1）决策情况；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（2）资金投入管理和使用情况；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（3）相关管理制度办法的健全性及执行情况；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（4）实现的产出情况；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（5）取得的效益情况；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（6）其他相关内容。</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11" w:name="_Toc17285"/>
      <w:bookmarkStart w:id="12" w:name="_Toc2861"/>
      <w:bookmarkStart w:id="13" w:name="_Toc32718"/>
      <w:bookmarkStart w:id="14" w:name="_Toc12431"/>
      <w:r>
        <w:rPr>
          <w:rFonts w:hint="eastAsia" w:ascii="楷体_GB2312" w:hAnsi="楷体_GB2312" w:eastAsia="楷体_GB2312" w:cs="楷体_GB2312"/>
          <w:b/>
          <w:bCs/>
          <w:sz w:val="32"/>
          <w:szCs w:val="32"/>
          <w:lang w:val="en-US" w:eastAsia="zh-CN"/>
        </w:rPr>
        <w:t>（二）绩效评价原则、评价指标体系、评价方法、评价标准等</w:t>
      </w:r>
      <w:bookmarkEnd w:id="11"/>
      <w:bookmarkEnd w:id="12"/>
      <w:bookmarkEnd w:id="13"/>
      <w:bookmarkEnd w:id="14"/>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1.绩效评价原则、评价方法</w:t>
      </w:r>
    </w:p>
    <w:p>
      <w:pPr>
        <w:spacing w:line="56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本次评价本着问题导向、系统评价、科学客观、讲求绩效的原则，采用全面评价和重点评价相结合、现场评价和非现场评价相结合、定性分析与定量分析相结合的方式，运用</w:t>
      </w:r>
      <w:r>
        <w:rPr>
          <w:rFonts w:hint="eastAsia" w:ascii="仿宋_GB2312" w:hAnsi="仿宋_GB2312" w:eastAsia="仿宋_GB2312" w:cs="仿宋_GB2312"/>
          <w:bCs/>
          <w:color w:val="auto"/>
          <w:kern w:val="44"/>
          <w:sz w:val="32"/>
          <w:szCs w:val="32"/>
        </w:rPr>
        <w:t>比较法和因素分析法相结合的绩效评价方法</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bCs/>
          <w:color w:val="auto"/>
          <w:kern w:val="44"/>
          <w:sz w:val="32"/>
          <w:szCs w:val="32"/>
        </w:rPr>
        <w:t>对该项目</w:t>
      </w:r>
      <w:r>
        <w:rPr>
          <w:rFonts w:hint="eastAsia" w:ascii="仿宋_GB2312" w:hAnsi="仿宋_GB2312" w:eastAsia="仿宋_GB2312" w:cs="仿宋_GB2312"/>
          <w:bCs/>
          <w:color w:val="auto"/>
          <w:kern w:val="44"/>
          <w:sz w:val="32"/>
          <w:szCs w:val="32"/>
          <w:lang w:val="en-US" w:eastAsia="zh-CN"/>
        </w:rPr>
        <w:t>预先制定的绩效目标</w:t>
      </w:r>
      <w:r>
        <w:rPr>
          <w:rFonts w:hint="default" w:ascii="仿宋_GB2312" w:hAnsi="仿宋_GB2312" w:eastAsia="仿宋_GB2312" w:cs="仿宋_GB2312"/>
          <w:sz w:val="32"/>
          <w:szCs w:val="32"/>
          <w:lang w:val="en-US" w:eastAsia="zh-CN"/>
        </w:rPr>
        <w:t>进行综合评价。</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2.绩效评价指标体系、评价标准</w:t>
      </w:r>
    </w:p>
    <w:p>
      <w:pPr>
        <w:pStyle w:val="19"/>
        <w:spacing w:line="560" w:lineRule="exact"/>
        <w:ind w:firstLine="640"/>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bCs/>
          <w:color w:val="auto"/>
          <w:kern w:val="44"/>
          <w:sz w:val="32"/>
          <w:szCs w:val="32"/>
        </w:rPr>
        <w:t>根据</w:t>
      </w:r>
      <w:r>
        <w:rPr>
          <w:rFonts w:hint="eastAsia" w:ascii="仿宋_GB2312" w:hAnsi="仿宋_GB2312" w:eastAsia="仿宋_GB2312" w:cs="仿宋_GB2312"/>
          <w:sz w:val="32"/>
          <w:szCs w:val="32"/>
          <w:lang w:val="en-US" w:eastAsia="zh-CN"/>
        </w:rPr>
        <w:t>《北京市项目支出绩效评价管理办法》(京财绩效〔2020〕2146号)</w:t>
      </w:r>
      <w:r>
        <w:rPr>
          <w:rFonts w:hint="eastAsia" w:ascii="仿宋_GB2312" w:hAnsi="仿宋_GB2312" w:eastAsia="仿宋_GB2312" w:cs="仿宋_GB2312"/>
          <w:bCs/>
          <w:color w:val="auto"/>
          <w:kern w:val="44"/>
          <w:sz w:val="32"/>
          <w:szCs w:val="32"/>
        </w:rPr>
        <w:t>相关精神，结合项目特点</w:t>
      </w:r>
      <w:r>
        <w:rPr>
          <w:rFonts w:hint="eastAsia" w:ascii="仿宋_GB2312" w:hAnsi="仿宋_GB2312" w:eastAsia="仿宋_GB2312" w:cs="仿宋_GB2312"/>
          <w:bCs/>
          <w:color w:val="auto"/>
          <w:kern w:val="44"/>
          <w:sz w:val="32"/>
          <w:szCs w:val="32"/>
          <w:highlight w:val="none"/>
        </w:rPr>
        <w:t>，</w:t>
      </w:r>
      <w:r>
        <w:rPr>
          <w:rFonts w:hint="eastAsia" w:ascii="仿宋_GB2312" w:hAnsi="仿宋_GB2312" w:eastAsia="仿宋_GB2312" w:cs="仿宋_GB2312"/>
          <w:bCs/>
          <w:color w:val="auto"/>
          <w:kern w:val="44"/>
          <w:sz w:val="32"/>
          <w:szCs w:val="32"/>
          <w:highlight w:val="none"/>
          <w:lang w:val="en-US" w:eastAsia="zh-CN"/>
        </w:rPr>
        <w:t>按照绩效评价</w:t>
      </w:r>
      <w:r>
        <w:rPr>
          <w:rFonts w:hint="eastAsia" w:ascii="仿宋_GB2312" w:eastAsia="仿宋_GB2312"/>
          <w:sz w:val="32"/>
          <w:szCs w:val="32"/>
          <w:highlight w:val="none"/>
        </w:rPr>
        <w:t>计划标准</w:t>
      </w:r>
      <w:r>
        <w:rPr>
          <w:rFonts w:hint="eastAsia" w:ascii="仿宋_GB2312" w:eastAsia="仿宋_GB2312"/>
          <w:sz w:val="32"/>
          <w:szCs w:val="32"/>
          <w:highlight w:val="none"/>
          <w:lang w:val="en-US" w:eastAsia="zh-CN"/>
        </w:rPr>
        <w:t>即</w:t>
      </w:r>
      <w:r>
        <w:rPr>
          <w:rFonts w:hint="eastAsia" w:ascii="仿宋_GB2312" w:eastAsia="仿宋_GB2312"/>
          <w:sz w:val="32"/>
          <w:szCs w:val="32"/>
          <w:highlight w:val="none"/>
        </w:rPr>
        <w:t>以</w:t>
      </w:r>
      <w:r>
        <w:rPr>
          <w:rFonts w:hint="eastAsia" w:ascii="仿宋_GB2312" w:eastAsia="仿宋_GB2312"/>
          <w:sz w:val="32"/>
          <w:szCs w:val="32"/>
          <w:highlight w:val="none"/>
          <w:lang w:val="en-US" w:eastAsia="zh-CN"/>
        </w:rPr>
        <w:t>该项目</w:t>
      </w:r>
      <w:r>
        <w:rPr>
          <w:rFonts w:hint="eastAsia" w:ascii="仿宋_GB2312" w:eastAsia="仿宋_GB2312"/>
          <w:sz w:val="32"/>
          <w:szCs w:val="32"/>
          <w:highlight w:val="none"/>
        </w:rPr>
        <w:t>预先制定的目标、计划、预算、定额作为评价标准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最终</w:t>
      </w:r>
      <w:r>
        <w:rPr>
          <w:rFonts w:hint="eastAsia" w:ascii="仿宋_GB2312" w:hAnsi="仿宋_GB2312" w:eastAsia="仿宋_GB2312" w:cs="仿宋_GB2312"/>
          <w:bCs/>
          <w:color w:val="auto"/>
          <w:kern w:val="44"/>
          <w:sz w:val="32"/>
          <w:szCs w:val="32"/>
          <w:highlight w:val="none"/>
        </w:rPr>
        <w:t>确定了绩效评价项目的绩效评价指标体系。</w:t>
      </w:r>
    </w:p>
    <w:p>
      <w:pPr>
        <w:spacing w:line="560" w:lineRule="exact"/>
        <w:ind w:firstLine="640" w:firstLineChars="200"/>
        <w:rPr>
          <w:rFonts w:hint="default" w:ascii="仿宋_GB2312" w:hAnsi="仿宋_GB2312" w:eastAsia="仿宋_GB2312" w:cs="仿宋_GB2312"/>
          <w:bCs/>
          <w:color w:val="auto"/>
          <w:kern w:val="44"/>
          <w:sz w:val="32"/>
          <w:szCs w:val="32"/>
          <w:lang w:val="en-US" w:eastAsia="zh-CN"/>
        </w:rPr>
      </w:pPr>
      <w:r>
        <w:rPr>
          <w:rFonts w:hint="eastAsia" w:ascii="仿宋_GB2312" w:hAnsi="仿宋_GB2312" w:eastAsia="仿宋_GB2312" w:cs="仿宋_GB2312"/>
          <w:bCs/>
          <w:color w:val="auto"/>
          <w:kern w:val="44"/>
          <w:sz w:val="32"/>
          <w:szCs w:val="32"/>
          <w:lang w:val="en-US" w:eastAsia="zh-CN"/>
        </w:rPr>
        <w:t>绩效评价指标体系</w:t>
      </w:r>
      <w:r>
        <w:rPr>
          <w:rFonts w:hint="eastAsia" w:ascii="仿宋_GB2312" w:hAnsi="仿宋_GB2312" w:eastAsia="仿宋_GB2312" w:cs="仿宋_GB2312"/>
          <w:bCs/>
          <w:color w:val="auto"/>
          <w:kern w:val="44"/>
          <w:sz w:val="32"/>
          <w:szCs w:val="32"/>
        </w:rPr>
        <w:t>主要包括决策、</w:t>
      </w:r>
      <w:r>
        <w:rPr>
          <w:rFonts w:hint="eastAsia" w:ascii="仿宋_GB2312" w:hAnsi="仿宋_GB2312" w:eastAsia="仿宋_GB2312" w:cs="仿宋_GB2312"/>
          <w:bCs/>
          <w:color w:val="auto"/>
          <w:kern w:val="44"/>
          <w:sz w:val="32"/>
          <w:szCs w:val="32"/>
          <w:lang w:val="en-US" w:eastAsia="zh-CN"/>
        </w:rPr>
        <w:t>过程</w:t>
      </w:r>
      <w:r>
        <w:rPr>
          <w:rFonts w:hint="eastAsia" w:ascii="仿宋_GB2312" w:hAnsi="仿宋_GB2312" w:eastAsia="仿宋_GB2312" w:cs="仿宋_GB2312"/>
          <w:bCs/>
          <w:color w:val="auto"/>
          <w:kern w:val="44"/>
          <w:sz w:val="32"/>
          <w:szCs w:val="32"/>
        </w:rPr>
        <w:t>、</w:t>
      </w:r>
      <w:r>
        <w:rPr>
          <w:rFonts w:hint="eastAsia" w:ascii="仿宋_GB2312" w:hAnsi="仿宋_GB2312" w:eastAsia="仿宋_GB2312" w:cs="仿宋_GB2312"/>
          <w:bCs/>
          <w:color w:val="auto"/>
          <w:kern w:val="44"/>
          <w:sz w:val="32"/>
          <w:szCs w:val="32"/>
          <w:lang w:val="en-US" w:eastAsia="zh-CN"/>
        </w:rPr>
        <w:t>产出、效益四</w:t>
      </w:r>
      <w:r>
        <w:rPr>
          <w:rFonts w:hint="eastAsia" w:ascii="仿宋_GB2312" w:hAnsi="仿宋_GB2312" w:eastAsia="仿宋_GB2312" w:cs="仿宋_GB2312"/>
          <w:bCs/>
          <w:color w:val="auto"/>
          <w:kern w:val="44"/>
          <w:sz w:val="32"/>
          <w:szCs w:val="32"/>
          <w:highlight w:val="none"/>
        </w:rPr>
        <w:t>个方</w:t>
      </w:r>
      <w:r>
        <w:rPr>
          <w:rFonts w:hint="eastAsia" w:ascii="仿宋_GB2312" w:hAnsi="仿宋_GB2312" w:eastAsia="仿宋_GB2312" w:cs="仿宋_GB2312"/>
          <w:bCs/>
          <w:color w:val="auto"/>
          <w:kern w:val="44"/>
          <w:sz w:val="32"/>
          <w:szCs w:val="32"/>
        </w:rPr>
        <w:t>面，满分100分。一是决策指标（1</w:t>
      </w:r>
      <w:r>
        <w:rPr>
          <w:rFonts w:hint="eastAsia" w:ascii="仿宋_GB2312" w:hAnsi="仿宋_GB2312" w:eastAsia="仿宋_GB2312" w:cs="仿宋_GB2312"/>
          <w:bCs/>
          <w:color w:val="auto"/>
          <w:kern w:val="44"/>
          <w:sz w:val="32"/>
          <w:szCs w:val="32"/>
          <w:lang w:val="en-US" w:eastAsia="zh-CN"/>
        </w:rPr>
        <w:t>0</w:t>
      </w:r>
      <w:r>
        <w:rPr>
          <w:rFonts w:hint="eastAsia" w:ascii="仿宋_GB2312" w:hAnsi="仿宋_GB2312" w:eastAsia="仿宋_GB2312" w:cs="仿宋_GB2312"/>
          <w:bCs/>
          <w:color w:val="auto"/>
          <w:kern w:val="44"/>
          <w:sz w:val="32"/>
          <w:szCs w:val="32"/>
        </w:rPr>
        <w:t>分），主要评价绩效目标、决策依据和决策程序</w:t>
      </w:r>
      <w:r>
        <w:rPr>
          <w:rFonts w:hint="eastAsia" w:ascii="仿宋_GB2312" w:hAnsi="仿宋_GB2312" w:eastAsia="仿宋_GB2312" w:cs="仿宋_GB2312"/>
          <w:bCs/>
          <w:color w:val="auto"/>
          <w:kern w:val="44"/>
          <w:sz w:val="32"/>
          <w:szCs w:val="32"/>
          <w:lang w:val="en-US" w:eastAsia="zh-CN"/>
        </w:rPr>
        <w:t>及资金投入情况</w:t>
      </w:r>
      <w:r>
        <w:rPr>
          <w:rFonts w:hint="eastAsia" w:ascii="仿宋_GB2312" w:hAnsi="仿宋_GB2312" w:eastAsia="仿宋_GB2312" w:cs="仿宋_GB2312"/>
          <w:bCs/>
          <w:color w:val="auto"/>
          <w:kern w:val="44"/>
          <w:sz w:val="32"/>
          <w:szCs w:val="32"/>
        </w:rPr>
        <w:t>；二是</w:t>
      </w:r>
      <w:r>
        <w:rPr>
          <w:rFonts w:hint="eastAsia" w:ascii="仿宋_GB2312" w:hAnsi="仿宋_GB2312" w:eastAsia="仿宋_GB2312" w:cs="仿宋_GB2312"/>
          <w:bCs/>
          <w:color w:val="auto"/>
          <w:kern w:val="44"/>
          <w:sz w:val="32"/>
          <w:szCs w:val="32"/>
          <w:lang w:val="en-US" w:eastAsia="zh-CN"/>
        </w:rPr>
        <w:t>过程</w:t>
      </w:r>
      <w:r>
        <w:rPr>
          <w:rFonts w:hint="eastAsia" w:ascii="仿宋_GB2312" w:hAnsi="仿宋_GB2312" w:eastAsia="仿宋_GB2312" w:cs="仿宋_GB2312"/>
          <w:bCs/>
          <w:color w:val="auto"/>
          <w:kern w:val="44"/>
          <w:sz w:val="32"/>
          <w:szCs w:val="32"/>
        </w:rPr>
        <w:t>指标（</w:t>
      </w:r>
      <w:r>
        <w:rPr>
          <w:rFonts w:hint="eastAsia" w:ascii="仿宋_GB2312" w:hAnsi="仿宋_GB2312" w:eastAsia="仿宋_GB2312" w:cs="仿宋_GB2312"/>
          <w:bCs/>
          <w:color w:val="auto"/>
          <w:kern w:val="44"/>
          <w:sz w:val="32"/>
          <w:szCs w:val="32"/>
          <w:lang w:val="en-US" w:eastAsia="zh-CN"/>
        </w:rPr>
        <w:t>20</w:t>
      </w:r>
      <w:r>
        <w:rPr>
          <w:rFonts w:hint="eastAsia" w:ascii="仿宋_GB2312" w:hAnsi="仿宋_GB2312" w:eastAsia="仿宋_GB2312" w:cs="仿宋_GB2312"/>
          <w:bCs/>
          <w:color w:val="auto"/>
          <w:kern w:val="44"/>
          <w:sz w:val="32"/>
          <w:szCs w:val="32"/>
        </w:rPr>
        <w:t>分），主要评价预算管理、资金到位、财务管理、组织机构、制度建设和过程控制；三是</w:t>
      </w:r>
      <w:r>
        <w:rPr>
          <w:rFonts w:hint="eastAsia" w:ascii="仿宋_GB2312" w:hAnsi="仿宋_GB2312" w:eastAsia="仿宋_GB2312" w:cs="仿宋_GB2312"/>
          <w:bCs/>
          <w:color w:val="auto"/>
          <w:kern w:val="44"/>
          <w:sz w:val="32"/>
          <w:szCs w:val="32"/>
          <w:lang w:val="en-US" w:eastAsia="zh-CN"/>
        </w:rPr>
        <w:t>产出</w:t>
      </w:r>
      <w:r>
        <w:rPr>
          <w:rFonts w:hint="eastAsia" w:ascii="仿宋_GB2312" w:hAnsi="仿宋_GB2312" w:eastAsia="仿宋_GB2312" w:cs="仿宋_GB2312"/>
          <w:bCs/>
          <w:color w:val="auto"/>
          <w:kern w:val="44"/>
          <w:sz w:val="32"/>
          <w:szCs w:val="32"/>
        </w:rPr>
        <w:t>指标（</w:t>
      </w:r>
      <w:r>
        <w:rPr>
          <w:rFonts w:hint="eastAsia" w:ascii="仿宋_GB2312" w:hAnsi="仿宋_GB2312" w:eastAsia="仿宋_GB2312" w:cs="仿宋_GB2312"/>
          <w:bCs/>
          <w:color w:val="auto"/>
          <w:kern w:val="44"/>
          <w:sz w:val="32"/>
          <w:szCs w:val="32"/>
          <w:lang w:val="en-US" w:eastAsia="zh-CN"/>
        </w:rPr>
        <w:t>40</w:t>
      </w:r>
      <w:r>
        <w:rPr>
          <w:rFonts w:hint="eastAsia" w:ascii="仿宋_GB2312" w:hAnsi="仿宋_GB2312" w:eastAsia="仿宋_GB2312" w:cs="仿宋_GB2312"/>
          <w:bCs/>
          <w:color w:val="auto"/>
          <w:kern w:val="44"/>
          <w:sz w:val="32"/>
          <w:szCs w:val="32"/>
        </w:rPr>
        <w:t>分），主要评价产出</w:t>
      </w:r>
      <w:r>
        <w:rPr>
          <w:rFonts w:hint="eastAsia" w:ascii="仿宋_GB2312" w:hAnsi="仿宋_GB2312" w:eastAsia="仿宋_GB2312" w:cs="仿宋_GB2312"/>
          <w:bCs/>
          <w:color w:val="auto"/>
          <w:kern w:val="44"/>
          <w:sz w:val="32"/>
          <w:szCs w:val="32"/>
          <w:lang w:val="en-US" w:eastAsia="zh-CN"/>
        </w:rPr>
        <w:t>数量、质量、时效及成本等指标的实现情况；四</w:t>
      </w:r>
      <w:r>
        <w:rPr>
          <w:rFonts w:hint="eastAsia" w:ascii="仿宋_GB2312" w:hAnsi="仿宋_GB2312" w:eastAsia="仿宋_GB2312" w:cs="仿宋_GB2312"/>
          <w:bCs/>
          <w:color w:val="auto"/>
          <w:kern w:val="44"/>
          <w:sz w:val="32"/>
          <w:szCs w:val="32"/>
        </w:rPr>
        <w:t>是</w:t>
      </w:r>
      <w:r>
        <w:rPr>
          <w:rFonts w:hint="eastAsia" w:ascii="仿宋_GB2312" w:hAnsi="仿宋_GB2312" w:eastAsia="仿宋_GB2312" w:cs="仿宋_GB2312"/>
          <w:bCs/>
          <w:color w:val="auto"/>
          <w:kern w:val="44"/>
          <w:sz w:val="32"/>
          <w:szCs w:val="32"/>
          <w:lang w:val="en-US" w:eastAsia="zh-CN"/>
        </w:rPr>
        <w:t>效益</w:t>
      </w:r>
      <w:r>
        <w:rPr>
          <w:rFonts w:hint="eastAsia" w:ascii="仿宋_GB2312" w:hAnsi="仿宋_GB2312" w:eastAsia="仿宋_GB2312" w:cs="仿宋_GB2312"/>
          <w:bCs/>
          <w:color w:val="auto"/>
          <w:kern w:val="44"/>
          <w:sz w:val="32"/>
          <w:szCs w:val="32"/>
        </w:rPr>
        <w:t>指标（</w:t>
      </w:r>
      <w:r>
        <w:rPr>
          <w:rFonts w:hint="eastAsia" w:ascii="仿宋_GB2312" w:hAnsi="仿宋_GB2312" w:eastAsia="仿宋_GB2312" w:cs="仿宋_GB2312"/>
          <w:bCs/>
          <w:color w:val="auto"/>
          <w:kern w:val="44"/>
          <w:sz w:val="32"/>
          <w:szCs w:val="32"/>
          <w:lang w:val="en-US" w:eastAsia="zh-CN"/>
        </w:rPr>
        <w:t>30</w:t>
      </w:r>
      <w:r>
        <w:rPr>
          <w:rFonts w:hint="eastAsia" w:ascii="仿宋_GB2312" w:hAnsi="仿宋_GB2312" w:eastAsia="仿宋_GB2312" w:cs="仿宋_GB2312"/>
          <w:bCs/>
          <w:color w:val="auto"/>
          <w:kern w:val="44"/>
          <w:sz w:val="32"/>
          <w:szCs w:val="32"/>
        </w:rPr>
        <w:t>分）</w:t>
      </w:r>
      <w:r>
        <w:rPr>
          <w:rFonts w:hint="eastAsia" w:ascii="仿宋_GB2312" w:hAnsi="仿宋_GB2312" w:eastAsia="仿宋_GB2312" w:cs="仿宋_GB2312"/>
          <w:bCs/>
          <w:color w:val="auto"/>
          <w:kern w:val="44"/>
          <w:sz w:val="32"/>
          <w:szCs w:val="32"/>
          <w:lang w:eastAsia="zh-CN"/>
        </w:rPr>
        <w:t>，</w:t>
      </w:r>
      <w:r>
        <w:rPr>
          <w:rFonts w:hint="eastAsia" w:ascii="仿宋_GB2312" w:hAnsi="仿宋_GB2312" w:eastAsia="仿宋_GB2312" w:cs="仿宋_GB2312"/>
          <w:bCs/>
          <w:color w:val="auto"/>
          <w:kern w:val="44"/>
          <w:sz w:val="32"/>
          <w:szCs w:val="32"/>
          <w:lang w:val="en-US" w:eastAsia="zh-CN"/>
        </w:rPr>
        <w:t>主要评价项目实现</w:t>
      </w:r>
      <w:r>
        <w:rPr>
          <w:rFonts w:hint="eastAsia" w:ascii="仿宋_GB2312" w:hAnsi="仿宋_GB2312" w:eastAsia="仿宋_GB2312" w:cs="仿宋_GB2312"/>
          <w:bCs/>
          <w:color w:val="auto"/>
          <w:kern w:val="44"/>
          <w:sz w:val="32"/>
          <w:szCs w:val="32"/>
        </w:rPr>
        <w:t>效果、</w:t>
      </w:r>
      <w:r>
        <w:rPr>
          <w:rFonts w:hint="eastAsia" w:ascii="仿宋_GB2312" w:hAnsi="仿宋_GB2312" w:eastAsia="仿宋_GB2312" w:cs="仿宋_GB2312"/>
          <w:bCs/>
          <w:color w:val="auto"/>
          <w:kern w:val="44"/>
          <w:sz w:val="32"/>
          <w:szCs w:val="32"/>
          <w:lang w:val="en-US" w:eastAsia="zh-CN"/>
        </w:rPr>
        <w:t>服务对象满意度</w:t>
      </w:r>
      <w:r>
        <w:rPr>
          <w:rFonts w:hint="eastAsia" w:ascii="仿宋_GB2312" w:hAnsi="仿宋_GB2312" w:eastAsia="仿宋_GB2312" w:cs="仿宋_GB2312"/>
          <w:bCs/>
          <w:color w:val="auto"/>
          <w:kern w:val="44"/>
          <w:sz w:val="32"/>
          <w:szCs w:val="32"/>
        </w:rPr>
        <w:t>等内容。</w:t>
      </w:r>
      <w:r>
        <w:rPr>
          <w:rFonts w:hint="eastAsia" w:ascii="仿宋_GB2312" w:hAnsi="仿宋_GB2312" w:eastAsia="仿宋_GB2312" w:cs="仿宋_GB2312"/>
          <w:bCs/>
          <w:color w:val="auto"/>
          <w:kern w:val="44"/>
          <w:sz w:val="32"/>
          <w:szCs w:val="32"/>
          <w:lang w:val="en-US" w:eastAsia="zh-CN"/>
        </w:rPr>
        <w:t>具体见表1：</w:t>
      </w:r>
    </w:p>
    <w:p>
      <w:pPr>
        <w:spacing w:line="560" w:lineRule="exact"/>
        <w:ind w:firstLine="562" w:firstLineChars="200"/>
        <w:jc w:val="center"/>
        <w:rPr>
          <w:rFonts w:hint="eastAsia"/>
          <w:sz w:val="28"/>
          <w:szCs w:val="28"/>
        </w:rPr>
      </w:pPr>
      <w:r>
        <w:rPr>
          <w:rFonts w:hint="eastAsia" w:ascii="宋体" w:hAnsi="宋体" w:eastAsia="宋体" w:cs="宋体"/>
          <w:b/>
          <w:bCs/>
          <w:kern w:val="0"/>
          <w:sz w:val="28"/>
          <w:szCs w:val="28"/>
          <w:lang w:val="en-US" w:eastAsia="zh-CN"/>
        </w:rPr>
        <w:t>表1：</w:t>
      </w:r>
      <w:r>
        <w:rPr>
          <w:rFonts w:hint="eastAsia" w:ascii="宋体" w:hAnsi="宋体" w:eastAsia="宋体" w:cs="宋体"/>
          <w:b/>
          <w:bCs/>
          <w:kern w:val="0"/>
          <w:sz w:val="28"/>
          <w:szCs w:val="28"/>
        </w:rPr>
        <w:t>“安保安检</w:t>
      </w:r>
      <w:r>
        <w:rPr>
          <w:rFonts w:hint="eastAsia" w:ascii="宋体" w:hAnsi="宋体" w:eastAsia="宋体" w:cs="宋体"/>
          <w:b/>
          <w:bCs/>
          <w:kern w:val="0"/>
          <w:sz w:val="28"/>
          <w:szCs w:val="28"/>
          <w:lang w:val="en-US" w:eastAsia="zh-CN"/>
        </w:rPr>
        <w:t>工作经费</w:t>
      </w:r>
      <w:r>
        <w:rPr>
          <w:rFonts w:hint="eastAsia" w:ascii="宋体" w:hAnsi="宋体" w:eastAsia="宋体" w:cs="宋体"/>
          <w:b/>
          <w:bCs/>
          <w:kern w:val="0"/>
          <w:sz w:val="28"/>
          <w:szCs w:val="28"/>
        </w:rPr>
        <w:t>”项目绩效评价指标体系表</w:t>
      </w:r>
    </w:p>
    <w:tbl>
      <w:tblPr>
        <w:tblStyle w:val="16"/>
        <w:tblW w:w="8813" w:type="dxa"/>
        <w:tblInd w:w="-34" w:type="dxa"/>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6"/>
        <w:gridCol w:w="1276"/>
        <w:gridCol w:w="2410"/>
        <w:gridCol w:w="992"/>
        <w:gridCol w:w="2859"/>
      </w:tblGrid>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1276"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一级指标</w:t>
            </w:r>
          </w:p>
        </w:tc>
        <w:tc>
          <w:tcPr>
            <w:tcW w:w="1276"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二级指标</w:t>
            </w:r>
          </w:p>
        </w:tc>
        <w:tc>
          <w:tcPr>
            <w:tcW w:w="2410"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三级指标</w:t>
            </w:r>
          </w:p>
        </w:tc>
        <w:tc>
          <w:tcPr>
            <w:tcW w:w="992"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分值</w:t>
            </w:r>
          </w:p>
        </w:tc>
        <w:tc>
          <w:tcPr>
            <w:tcW w:w="2859" w:type="dxa"/>
            <w:tcBorders>
              <w:tl2br w:val="nil"/>
              <w:tr2bl w:val="nil"/>
            </w:tcBorders>
            <w:noWrap w:val="0"/>
            <w:vAlign w:val="center"/>
          </w:tcPr>
          <w:p>
            <w:pPr>
              <w:widowControl/>
              <w:jc w:val="center"/>
              <w:textAlignment w:val="center"/>
              <w:rPr>
                <w:rFonts w:hint="default" w:ascii="宋体" w:hAnsi="宋体" w:cs="宋体" w:eastAsiaTheme="minorEastAsia"/>
                <w:b/>
                <w:bCs/>
                <w:color w:val="000000"/>
                <w:sz w:val="24"/>
                <w:szCs w:val="24"/>
                <w:lang w:val="en-US" w:eastAsia="zh-CN"/>
              </w:rPr>
            </w:pPr>
            <w:r>
              <w:rPr>
                <w:rFonts w:hint="eastAsia" w:ascii="宋体" w:hAnsi="宋体" w:cs="宋体"/>
                <w:b/>
                <w:bCs/>
                <w:color w:val="000000"/>
                <w:kern w:val="0"/>
                <w:sz w:val="24"/>
                <w:szCs w:val="24"/>
                <w:lang w:val="en-US" w:eastAsia="zh-CN" w:bidi="ar"/>
              </w:rPr>
              <w:t>指标解释</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val="en-US" w:eastAsia="zh-CN" w:bidi="ar"/>
              </w:rPr>
              <w:t>项目</w:t>
            </w:r>
            <w:r>
              <w:rPr>
                <w:rFonts w:hint="eastAsia" w:ascii="宋体" w:hAnsi="宋体" w:cs="宋体"/>
                <w:color w:val="000000"/>
                <w:kern w:val="0"/>
                <w:sz w:val="24"/>
                <w:szCs w:val="24"/>
                <w:lang w:bidi="ar"/>
              </w:rPr>
              <w:t>决策</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（10分）</w:t>
            </w:r>
          </w:p>
        </w:tc>
        <w:tc>
          <w:tcPr>
            <w:tcW w:w="1276" w:type="dxa"/>
            <w:vMerge w:val="restart"/>
            <w:tcBorders>
              <w:tl2br w:val="nil"/>
              <w:tr2bl w:val="nil"/>
            </w:tcBorders>
            <w:noWrap w:val="0"/>
            <w:vAlign w:val="center"/>
          </w:tcPr>
          <w:p>
            <w:pPr>
              <w:widowControl/>
              <w:jc w:val="center"/>
              <w:textAlignment w:val="center"/>
              <w:rPr>
                <w:rFonts w:hint="eastAsia" w:eastAsiaTheme="minorEastAsia"/>
                <w:lang w:eastAsia="zh-CN"/>
              </w:rPr>
            </w:pPr>
            <w:r>
              <w:rPr>
                <w:rFonts w:hint="eastAsia" w:ascii="宋体" w:hAnsi="宋体" w:cs="宋体"/>
                <w:color w:val="000000"/>
                <w:kern w:val="0"/>
                <w:sz w:val="24"/>
                <w:szCs w:val="24"/>
                <w:lang w:bidi="ar"/>
              </w:rPr>
              <w:t>项目立项</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立项依据充分性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59" w:type="dxa"/>
            <w:tcBorders>
              <w:tl2br w:val="nil"/>
              <w:tr2bl w:val="nil"/>
            </w:tcBorders>
            <w:noWrap w:val="0"/>
            <w:vAlign w:val="center"/>
          </w:tcPr>
          <w:p>
            <w:pPr>
              <w:jc w:val="both"/>
              <w:rPr>
                <w:rFonts w:hint="eastAsia" w:ascii="宋体" w:hAnsi="宋体" w:cs="宋体"/>
                <w:color w:val="000000"/>
                <w:sz w:val="24"/>
                <w:szCs w:val="24"/>
              </w:rPr>
            </w:pPr>
            <w:r>
              <w:rPr>
                <w:rFonts w:hint="eastAsia" w:ascii="宋体" w:hAnsi="宋体" w:eastAsia="宋体" w:cs="宋体"/>
                <w:color w:val="000000"/>
                <w:kern w:val="0"/>
                <w:sz w:val="18"/>
                <w:szCs w:val="18"/>
              </w:rPr>
              <w:t>项目立项是否与部门职责范围相符，属于部门履职所需。</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立项程序规范性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项目是否按照规定的程序申请设立；审批文件、材料是否符合相关要求；事前是否已经过必要的可行性研究、集体决策。</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restart"/>
            <w:tcBorders>
              <w:tl2br w:val="nil"/>
              <w:tr2bl w:val="nil"/>
            </w:tcBorders>
            <w:noWrap w:val="0"/>
            <w:vAlign w:val="center"/>
          </w:tcPr>
          <w:p>
            <w:pPr>
              <w:widowControl/>
              <w:jc w:val="center"/>
              <w:textAlignment w:val="center"/>
              <w:rPr>
                <w:rFonts w:hint="eastAsia" w:eastAsiaTheme="minorEastAsia"/>
                <w:lang w:eastAsia="zh-CN"/>
              </w:rPr>
            </w:pPr>
            <w:r>
              <w:rPr>
                <w:rFonts w:hint="eastAsia" w:ascii="宋体" w:hAnsi="宋体" w:cs="宋体"/>
                <w:color w:val="000000"/>
                <w:kern w:val="0"/>
                <w:sz w:val="24"/>
                <w:szCs w:val="24"/>
                <w:lang w:bidi="ar"/>
              </w:rPr>
              <w:t>绩效目标</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绩效目标合理性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59"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p>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③项目预期产出效益和效果是否符合正常的业绩水平</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④是否与预算确定的项目投资额或资金量相匹配。</w:t>
            </w:r>
            <w:r>
              <w:rPr>
                <w:rFonts w:hint="eastAsia"/>
                <w:color w:val="000000"/>
                <w:sz w:val="22"/>
              </w:rPr>
              <w:t>　</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绩效指标明确性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1</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restart"/>
            <w:tcBorders>
              <w:tl2br w:val="nil"/>
              <w:tr2bl w:val="nil"/>
            </w:tcBorders>
            <w:noWrap w:val="0"/>
            <w:vAlign w:val="center"/>
          </w:tcPr>
          <w:p>
            <w:pPr>
              <w:widowControl/>
              <w:jc w:val="center"/>
              <w:textAlignment w:val="center"/>
              <w:rPr>
                <w:rFonts w:hint="eastAsia" w:eastAsiaTheme="minorEastAsia"/>
                <w:lang w:eastAsia="zh-CN"/>
              </w:rPr>
            </w:pPr>
            <w:r>
              <w:rPr>
                <w:rFonts w:hint="eastAsia" w:ascii="宋体" w:hAnsi="宋体" w:cs="宋体"/>
                <w:color w:val="000000"/>
                <w:kern w:val="0"/>
                <w:sz w:val="24"/>
                <w:szCs w:val="24"/>
                <w:lang w:bidi="ar"/>
              </w:rPr>
              <w:t>资金投入</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预算编制科学性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③预算额度测算依据是否充分，是否按照标准编制；④预算确定的项目投资额或资金量是否与工作任务相匹配。</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资金分配合理性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1</w:t>
            </w:r>
          </w:p>
        </w:tc>
        <w:tc>
          <w:tcPr>
            <w:tcW w:w="2859"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r>
              <w:rPr>
                <w:rFonts w:hint="eastAsia"/>
                <w:color w:val="000000"/>
                <w:sz w:val="22"/>
              </w:rPr>
              <w:t>　</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val="en-US" w:eastAsia="zh-CN" w:bidi="ar"/>
              </w:rPr>
              <w:t>项目</w:t>
            </w:r>
            <w:r>
              <w:rPr>
                <w:rFonts w:hint="eastAsia" w:ascii="宋体" w:hAnsi="宋体" w:cs="宋体"/>
                <w:color w:val="000000"/>
                <w:kern w:val="0"/>
                <w:sz w:val="24"/>
                <w:szCs w:val="24"/>
                <w:lang w:bidi="ar"/>
              </w:rPr>
              <w:t>过程</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（20分）</w:t>
            </w:r>
          </w:p>
        </w:tc>
        <w:tc>
          <w:tcPr>
            <w:tcW w:w="1276" w:type="dxa"/>
            <w:vMerge w:val="restart"/>
            <w:tcBorders>
              <w:tl2br w:val="nil"/>
              <w:tr2bl w:val="nil"/>
            </w:tcBorders>
            <w:noWrap w:val="0"/>
            <w:vAlign w:val="center"/>
          </w:tcPr>
          <w:p>
            <w:pPr>
              <w:widowControl/>
              <w:jc w:val="center"/>
              <w:textAlignment w:val="center"/>
              <w:rPr>
                <w:rFonts w:hint="eastAsia" w:eastAsiaTheme="minorEastAsia"/>
                <w:lang w:eastAsia="zh-CN"/>
              </w:rPr>
            </w:pPr>
            <w:r>
              <w:rPr>
                <w:rFonts w:hint="eastAsia" w:ascii="宋体" w:hAnsi="宋体" w:cs="宋体"/>
                <w:color w:val="000000"/>
                <w:kern w:val="0"/>
                <w:sz w:val="24"/>
                <w:szCs w:val="24"/>
                <w:lang w:bidi="ar"/>
              </w:rPr>
              <w:t>资金管理</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资金到位率</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59" w:type="dxa"/>
            <w:tcBorders>
              <w:tl2br w:val="nil"/>
              <w:tr2bl w:val="nil"/>
            </w:tcBorders>
            <w:noWrap w:val="0"/>
            <w:vAlign w:val="center"/>
          </w:tcPr>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资金到位率=(实际到位资金/预算资金)×100%实际到位资金：</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预算执行率</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59" w:type="dxa"/>
            <w:tcBorders>
              <w:tl2br w:val="nil"/>
              <w:tr2bl w:val="nil"/>
            </w:tcBorders>
            <w:noWrap w:val="0"/>
            <w:vAlign w:val="center"/>
          </w:tcPr>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预算执行率=(实际支出资金/实际到位资金)x 100%。。</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资金使用合规性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3</w:t>
            </w:r>
          </w:p>
        </w:tc>
        <w:tc>
          <w:tcPr>
            <w:tcW w:w="2859" w:type="dxa"/>
            <w:tcBorders>
              <w:tl2br w:val="nil"/>
              <w:tr2bl w:val="nil"/>
            </w:tcBorders>
            <w:noWrap w:val="0"/>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p>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③是否符合项目预算批复或合同规定的用途；</w:t>
            </w:r>
          </w:p>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④是否存在截留、挤占、挪用、虚列支出等情况</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restart"/>
            <w:tcBorders>
              <w:tl2br w:val="nil"/>
              <w:tr2bl w:val="nil"/>
            </w:tcBorders>
            <w:noWrap w:val="0"/>
            <w:vAlign w:val="center"/>
          </w:tcPr>
          <w:p>
            <w:pPr>
              <w:widowControl/>
              <w:jc w:val="center"/>
              <w:textAlignment w:val="center"/>
              <w:rPr>
                <w:rFonts w:hint="eastAsia" w:eastAsiaTheme="minorEastAsia"/>
                <w:lang w:eastAsia="zh-CN"/>
              </w:rPr>
            </w:pPr>
            <w:r>
              <w:rPr>
                <w:rFonts w:hint="eastAsia" w:ascii="宋体" w:hAnsi="宋体" w:cs="宋体"/>
                <w:color w:val="000000"/>
                <w:kern w:val="0"/>
                <w:sz w:val="24"/>
                <w:szCs w:val="24"/>
                <w:lang w:bidi="ar"/>
              </w:rPr>
              <w:t>组织实施</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管理制度健全性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59"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①是否已制定或具有相应的财务和业务管理制度；</w:t>
            </w:r>
          </w:p>
          <w:p>
            <w:pPr>
              <w:widowControl/>
              <w:jc w:val="both"/>
              <w:textAlignment w:val="center"/>
              <w:rPr>
                <w:rFonts w:ascii="宋体" w:hAnsi="宋体" w:cs="宋体"/>
                <w:color w:val="000000"/>
                <w:sz w:val="24"/>
                <w:szCs w:val="24"/>
              </w:rPr>
            </w:pPr>
            <w:r>
              <w:rPr>
                <w:rFonts w:hint="eastAsia" w:ascii="宋体" w:hAnsi="宋体" w:eastAsia="宋体" w:cs="宋体"/>
                <w:color w:val="000000"/>
                <w:kern w:val="0"/>
                <w:sz w:val="18"/>
                <w:szCs w:val="18"/>
              </w:rPr>
              <w:t>②财务和业务管理制度是否合法、合规、完整。</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制度执行有效性</w:t>
            </w:r>
          </w:p>
        </w:tc>
        <w:tc>
          <w:tcPr>
            <w:tcW w:w="992"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59"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①是否遵守相关法律法规和相关管理规定；</w:t>
            </w:r>
          </w:p>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②项目调整及支出调整手续是否完备；</w:t>
            </w:r>
          </w:p>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③项目合同书、验收报告等资料是否齐全并及时归档；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val="en-US" w:eastAsia="zh-CN" w:bidi="ar"/>
              </w:rPr>
              <w:t>项目</w:t>
            </w:r>
            <w:r>
              <w:rPr>
                <w:rFonts w:hint="eastAsia" w:ascii="宋体" w:hAnsi="宋体" w:cs="宋体"/>
                <w:color w:val="000000"/>
                <w:kern w:val="0"/>
                <w:sz w:val="24"/>
                <w:szCs w:val="24"/>
                <w:lang w:bidi="ar"/>
              </w:rPr>
              <w:t>产出</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（40分）</w:t>
            </w:r>
          </w:p>
        </w:tc>
        <w:tc>
          <w:tcPr>
            <w:tcW w:w="1276"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产出数量</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实际完成率</w:t>
            </w:r>
          </w:p>
        </w:tc>
        <w:tc>
          <w:tcPr>
            <w:tcW w:w="992" w:type="dxa"/>
            <w:tcBorders>
              <w:tl2br w:val="nil"/>
              <w:tr2bl w:val="nil"/>
            </w:tcBorders>
            <w:noWrap w:val="0"/>
            <w:vAlign w:val="center"/>
          </w:tcPr>
          <w:p>
            <w:pPr>
              <w:widowControl/>
              <w:jc w:val="center"/>
              <w:textAlignment w:val="center"/>
              <w:rPr>
                <w:rFonts w:hint="default" w:ascii="宋体" w:hAnsi="宋体" w:cs="宋体" w:eastAsiaTheme="minorEastAsia"/>
                <w:color w:val="000000"/>
                <w:sz w:val="24"/>
                <w:szCs w:val="24"/>
                <w:lang w:val="en-US" w:eastAsia="zh-CN"/>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项目产出数量指标。</w:t>
            </w:r>
            <w:r>
              <w:rPr>
                <w:rFonts w:hint="eastAsia"/>
                <w:color w:val="000000"/>
                <w:sz w:val="22"/>
              </w:rPr>
              <w:t>　</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产出质量</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质量达标率</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项目产出质量指标。</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产出时效</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完成及时性</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项目按照时间节点完成相关工作。</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产出成本</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成本节约率</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预算控制是否符合成本效益原则。</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restart"/>
            <w:tcBorders>
              <w:tl2br w:val="nil"/>
              <w:tr2bl w:val="nil"/>
            </w:tcBorders>
            <w:noWrap w:val="0"/>
            <w:vAlign w:val="center"/>
          </w:tcPr>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val="en-US" w:eastAsia="zh-CN" w:bidi="ar"/>
              </w:rPr>
              <w:t>项目</w:t>
            </w:r>
            <w:r>
              <w:rPr>
                <w:rFonts w:hint="eastAsia" w:ascii="宋体" w:hAnsi="宋体" w:cs="宋体"/>
                <w:color w:val="000000"/>
                <w:kern w:val="0"/>
                <w:sz w:val="24"/>
                <w:szCs w:val="24"/>
                <w:lang w:bidi="ar"/>
              </w:rPr>
              <w:t>效益</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（30分）</w:t>
            </w:r>
          </w:p>
        </w:tc>
        <w:tc>
          <w:tcPr>
            <w:tcW w:w="1276" w:type="dxa"/>
            <w:vMerge w:val="restart"/>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项目效益　</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产生的社会效益</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default" w:ascii="宋体" w:hAnsi="宋体" w:cs="宋体" w:eastAsiaTheme="minorEastAsia"/>
                <w:color w:val="000000"/>
                <w:sz w:val="24"/>
                <w:szCs w:val="24"/>
                <w:lang w:val="en-US" w:eastAsia="zh-CN"/>
              </w:rPr>
            </w:pPr>
            <w:r>
              <w:rPr>
                <w:rFonts w:hint="eastAsia" w:ascii="宋体" w:hAnsi="宋体" w:eastAsia="宋体" w:cs="宋体"/>
                <w:color w:val="000000"/>
                <w:kern w:val="0"/>
                <w:sz w:val="18"/>
                <w:szCs w:val="18"/>
                <w:lang w:val="en-US" w:eastAsia="zh-CN"/>
              </w:rPr>
              <w:t>维护公共安全</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产生的可持续影响</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jc w:val="both"/>
              <w:rPr>
                <w:rFonts w:hint="eastAsia" w:ascii="宋体" w:hAnsi="宋体" w:cs="宋体"/>
                <w:color w:val="000000"/>
                <w:sz w:val="24"/>
                <w:szCs w:val="24"/>
              </w:rPr>
            </w:pPr>
            <w:r>
              <w:rPr>
                <w:rFonts w:hint="eastAsia" w:ascii="宋体" w:hAnsi="宋体" w:eastAsia="宋体" w:cs="宋体"/>
                <w:color w:val="000000"/>
                <w:kern w:val="0"/>
                <w:sz w:val="18"/>
                <w:szCs w:val="18"/>
              </w:rPr>
              <w:t>能够</w:t>
            </w:r>
            <w:r>
              <w:rPr>
                <w:rFonts w:hint="eastAsia" w:ascii="宋体" w:hAnsi="宋体" w:eastAsia="宋体" w:cs="宋体"/>
                <w:color w:val="000000"/>
                <w:kern w:val="0"/>
                <w:sz w:val="18"/>
                <w:szCs w:val="18"/>
                <w:lang w:val="en-US" w:eastAsia="zh-CN"/>
              </w:rPr>
              <w:t>在</w:t>
            </w:r>
            <w:r>
              <w:rPr>
                <w:rFonts w:hint="eastAsia" w:ascii="宋体" w:hAnsi="宋体" w:eastAsia="宋体" w:cs="宋体"/>
                <w:color w:val="000000"/>
                <w:kern w:val="0"/>
                <w:sz w:val="18"/>
                <w:szCs w:val="18"/>
              </w:rPr>
              <w:t>预防、减少违法犯罪等方面起到积极作用。</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27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276" w:type="dxa"/>
            <w:tcBorders>
              <w:tl2br w:val="nil"/>
              <w:tr2bl w:val="nil"/>
            </w:tcBorders>
            <w:noWrap w:val="0"/>
            <w:vAlign w:val="center"/>
          </w:tcPr>
          <w:p>
            <w:pPr>
              <w:jc w:val="center"/>
              <w:rPr>
                <w:rFonts w:hint="default" w:ascii="宋体" w:hAnsi="宋体" w:cs="宋体" w:eastAsiaTheme="minorEastAsia"/>
                <w:color w:val="000000"/>
                <w:sz w:val="24"/>
                <w:szCs w:val="24"/>
                <w:lang w:val="en-US" w:eastAsia="zh-CN"/>
              </w:rPr>
            </w:pPr>
            <w:r>
              <w:rPr>
                <w:rFonts w:hint="eastAsia" w:ascii="宋体" w:hAnsi="宋体" w:cs="宋体"/>
                <w:color w:val="000000"/>
                <w:sz w:val="24"/>
                <w:szCs w:val="24"/>
                <w:lang w:val="en-US" w:eastAsia="zh-CN"/>
              </w:rPr>
              <w:t>满意度</w:t>
            </w:r>
          </w:p>
        </w:tc>
        <w:tc>
          <w:tcPr>
            <w:tcW w:w="241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服务对象满意度指标</w:t>
            </w:r>
          </w:p>
        </w:tc>
        <w:tc>
          <w:tcPr>
            <w:tcW w:w="992"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59"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院全体人员对安保安检服务工作满意</w:t>
            </w:r>
            <w:r>
              <w:rPr>
                <w:rFonts w:hint="eastAsia" w:ascii="宋体" w:hAnsi="宋体" w:eastAsia="宋体" w:cs="宋体"/>
                <w:color w:val="000000"/>
                <w:kern w:val="0"/>
                <w:sz w:val="18"/>
                <w:szCs w:val="18"/>
                <w:lang w:val="en-US" w:eastAsia="zh-CN"/>
              </w:rPr>
              <w:t>率</w:t>
            </w:r>
            <w:r>
              <w:rPr>
                <w:rFonts w:hint="eastAsia" w:ascii="宋体" w:hAnsi="宋体" w:eastAsia="宋体" w:cs="宋体"/>
                <w:color w:val="000000"/>
                <w:kern w:val="0"/>
                <w:sz w:val="18"/>
                <w:szCs w:val="18"/>
              </w:rPr>
              <w:t>达到9</w:t>
            </w:r>
            <w:r>
              <w:rPr>
                <w:rFonts w:hint="eastAsia" w:ascii="宋体" w:hAnsi="宋体" w:eastAsia="宋体" w:cs="宋体"/>
                <w:color w:val="000000"/>
                <w:kern w:val="0"/>
                <w:sz w:val="18"/>
                <w:szCs w:val="18"/>
                <w:lang w:val="en-US" w:eastAsia="zh-CN"/>
              </w:rPr>
              <w:t>0%</w:t>
            </w:r>
            <w:r>
              <w:rPr>
                <w:rFonts w:hint="eastAsia" w:ascii="宋体" w:hAnsi="宋体" w:eastAsia="宋体" w:cs="宋体"/>
                <w:color w:val="000000"/>
                <w:kern w:val="0"/>
                <w:sz w:val="18"/>
                <w:szCs w:val="18"/>
              </w:rPr>
              <w:t>。</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4962" w:type="dxa"/>
            <w:gridSpan w:val="3"/>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合计</w:t>
            </w:r>
          </w:p>
        </w:tc>
        <w:tc>
          <w:tcPr>
            <w:tcW w:w="992" w:type="dxa"/>
            <w:tcBorders>
              <w:tl2br w:val="nil"/>
              <w:tr2bl w:val="nil"/>
            </w:tcBorders>
            <w:noWrap/>
            <w:vAlign w:val="center"/>
          </w:tcPr>
          <w:p>
            <w:pPr>
              <w:widowControl/>
              <w:jc w:val="center"/>
              <w:textAlignment w:val="center"/>
              <w:rPr>
                <w:rFonts w:hint="default" w:ascii="宋体" w:hAnsi="宋体" w:cs="宋体" w:eastAsiaTheme="minorEastAsia"/>
                <w:b/>
                <w:bCs/>
                <w:color w:val="000000"/>
                <w:sz w:val="24"/>
                <w:szCs w:val="24"/>
                <w:lang w:val="en-US" w:eastAsia="zh-CN"/>
              </w:rPr>
            </w:pPr>
            <w:r>
              <w:rPr>
                <w:rFonts w:hint="eastAsia" w:ascii="宋体" w:hAnsi="宋体" w:cs="宋体"/>
                <w:b/>
                <w:bCs/>
                <w:color w:val="000000"/>
                <w:kern w:val="0"/>
                <w:sz w:val="24"/>
                <w:szCs w:val="24"/>
                <w:lang w:val="en-US" w:eastAsia="zh-CN" w:bidi="ar"/>
              </w:rPr>
              <w:t>100</w:t>
            </w:r>
          </w:p>
        </w:tc>
        <w:tc>
          <w:tcPr>
            <w:tcW w:w="2859" w:type="dxa"/>
            <w:tcBorders>
              <w:tl2br w:val="nil"/>
              <w:tr2bl w:val="nil"/>
            </w:tcBorders>
            <w:noWrap w:val="0"/>
            <w:vAlign w:val="center"/>
          </w:tcPr>
          <w:p>
            <w:pPr>
              <w:jc w:val="center"/>
              <w:rPr>
                <w:rFonts w:hint="eastAsia" w:ascii="宋体" w:hAnsi="宋体" w:cs="宋体"/>
                <w:color w:val="000000"/>
                <w:sz w:val="24"/>
                <w:szCs w:val="24"/>
              </w:rPr>
            </w:pPr>
          </w:p>
        </w:tc>
      </w:tr>
    </w:tbl>
    <w:p>
      <w:pPr>
        <w:keepNext w:val="0"/>
        <w:keepLines w:val="0"/>
        <w:pageBreakBefore w:val="0"/>
        <w:widowControl w:val="0"/>
        <w:suppressLineNumbers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评价指标体系总分值为 100 分，其中项目决策 10 分，项目过程 20 分，项目产出 40 分，项目效益 30 分。绩效评价综合绩效级别分为 4 个等级： </w:t>
      </w:r>
    </w:p>
    <w:p>
      <w:pPr>
        <w:keepNext w:val="0"/>
        <w:keepLines w:val="0"/>
        <w:widowControl/>
        <w:suppressLineNumbers w:val="0"/>
        <w:ind w:left="420" w:leftChars="0" w:firstLine="420" w:firstLineChars="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综合得分在 90（含）-100 分为优； </w:t>
      </w:r>
    </w:p>
    <w:p>
      <w:pPr>
        <w:keepNext w:val="0"/>
        <w:keepLines w:val="0"/>
        <w:widowControl/>
        <w:suppressLineNumbers w:val="0"/>
        <w:ind w:left="420" w:leftChars="0" w:firstLine="420" w:firstLineChars="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综合得分在 80（含）-90 分为良； </w:t>
      </w:r>
    </w:p>
    <w:p>
      <w:pPr>
        <w:keepNext w:val="0"/>
        <w:keepLines w:val="0"/>
        <w:widowControl/>
        <w:suppressLineNumbers w:val="0"/>
        <w:ind w:left="420" w:leftChars="0" w:firstLine="420" w:firstLineChars="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 xml:space="preserve">综合得分在 60（含）-80 分为中； </w:t>
      </w:r>
    </w:p>
    <w:p>
      <w:pPr>
        <w:keepNext w:val="0"/>
        <w:keepLines w:val="0"/>
        <w:widowControl/>
        <w:suppressLineNumbers w:val="0"/>
        <w:ind w:left="420" w:leftChars="0" w:firstLine="420" w:firstLineChars="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kern w:val="0"/>
          <w:sz w:val="32"/>
          <w:szCs w:val="32"/>
          <w:highlight w:val="none"/>
          <w:lang w:val="en-US" w:eastAsia="zh-CN" w:bidi="ar"/>
        </w:rPr>
        <w:t>综合得分在 60 分以下为较差。</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15" w:name="_Toc25645"/>
      <w:r>
        <w:rPr>
          <w:rFonts w:hint="eastAsia" w:ascii="楷体_GB2312" w:hAnsi="楷体_GB2312" w:eastAsia="楷体_GB2312" w:cs="楷体_GB2312"/>
          <w:b/>
          <w:bCs/>
          <w:sz w:val="32"/>
          <w:szCs w:val="32"/>
          <w:lang w:val="en-US" w:eastAsia="zh-CN"/>
        </w:rPr>
        <w:t>（三）绩效评价工作过程</w:t>
      </w:r>
      <w:bookmarkEnd w:id="15"/>
    </w:p>
    <w:p>
      <w:pPr>
        <w:spacing w:line="560" w:lineRule="exact"/>
        <w:ind w:firstLine="640" w:firstLineChars="200"/>
        <w:rPr>
          <w:rFonts w:hint="eastAsia" w:ascii="仿宋_GB2312" w:hAnsi="仿宋_GB2312" w:eastAsia="仿宋_GB2312" w:cs="仿宋_GB2312"/>
          <w:b w:val="0"/>
          <w:bCs/>
          <w:color w:val="auto"/>
          <w:kern w:val="44"/>
          <w:sz w:val="32"/>
          <w:szCs w:val="32"/>
        </w:rPr>
      </w:pPr>
      <w:r>
        <w:rPr>
          <w:rFonts w:hint="eastAsia" w:ascii="仿宋_GB2312" w:hAnsi="仿宋_GB2312" w:eastAsia="仿宋_GB2312" w:cs="仿宋_GB2312"/>
          <w:bCs/>
          <w:color w:val="auto"/>
          <w:kern w:val="44"/>
          <w:sz w:val="32"/>
          <w:szCs w:val="32"/>
        </w:rPr>
        <w:t>为确保绩效评价工作的客观公正，评价工作组严格按照绩效</w:t>
      </w:r>
      <w:r>
        <w:rPr>
          <w:rFonts w:hint="eastAsia" w:ascii="仿宋_GB2312" w:hAnsi="仿宋_GB2312" w:eastAsia="仿宋_GB2312" w:cs="仿宋_GB2312"/>
          <w:b w:val="0"/>
          <w:bCs/>
          <w:color w:val="auto"/>
          <w:kern w:val="44"/>
          <w:sz w:val="32"/>
          <w:szCs w:val="32"/>
        </w:rPr>
        <w:t>评价工作程序组织实施绩效评价工作，主要程序如下：</w:t>
      </w:r>
    </w:p>
    <w:p>
      <w:pPr>
        <w:spacing w:line="360" w:lineRule="auto"/>
        <w:ind w:firstLine="640" w:firstLineChars="200"/>
        <w:outlineLvl w:val="2"/>
        <w:rPr>
          <w:rFonts w:ascii="仿宋_GB2312" w:eastAsia="仿宋_GB2312"/>
          <w:sz w:val="32"/>
          <w:szCs w:val="32"/>
        </w:rPr>
      </w:pPr>
      <w:bookmarkStart w:id="16" w:name="_Toc103181725"/>
      <w:bookmarkStart w:id="17" w:name="_Toc104318857"/>
      <w:bookmarkStart w:id="18" w:name="_Toc8184"/>
      <w:bookmarkStart w:id="19" w:name="_Toc31215"/>
      <w:bookmarkStart w:id="20" w:name="_Toc24165"/>
      <w:bookmarkStart w:id="21" w:name="_Toc5063"/>
      <w:r>
        <w:rPr>
          <w:rFonts w:hint="eastAsia" w:ascii="仿宋_GB2312" w:eastAsia="仿宋_GB2312"/>
          <w:sz w:val="32"/>
          <w:szCs w:val="32"/>
        </w:rPr>
        <w:t>1.准备阶段</w:t>
      </w:r>
      <w:bookmarkEnd w:id="16"/>
      <w:bookmarkEnd w:id="17"/>
    </w:p>
    <w:p>
      <w:pPr>
        <w:spacing w:line="360" w:lineRule="auto"/>
        <w:ind w:firstLine="640" w:firstLineChars="200"/>
        <w:rPr>
          <w:rFonts w:ascii="仿宋_GB2312" w:eastAsia="仿宋_GB2312"/>
          <w:sz w:val="32"/>
          <w:szCs w:val="32"/>
        </w:rPr>
      </w:pPr>
      <w:r>
        <w:rPr>
          <w:rFonts w:hint="eastAsia" w:ascii="仿宋_GB2312" w:eastAsia="仿宋_GB2312"/>
          <w:sz w:val="32"/>
          <w:szCs w:val="32"/>
        </w:rPr>
        <w:t>20</w:t>
      </w:r>
      <w:r>
        <w:rPr>
          <w:rFonts w:hint="eastAsia" w:ascii="仿宋_GB2312" w:eastAsia="仿宋_GB2312"/>
          <w:sz w:val="32"/>
          <w:szCs w:val="32"/>
          <w:highlight w:val="none"/>
        </w:rPr>
        <w:t>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月</w:t>
      </w:r>
      <w:r>
        <w:rPr>
          <w:rFonts w:hint="eastAsia" w:ascii="仿宋_GB2312" w:eastAsia="仿宋_GB2312"/>
          <w:sz w:val="32"/>
          <w:szCs w:val="32"/>
        </w:rPr>
        <w:t>，</w:t>
      </w:r>
      <w:r>
        <w:rPr>
          <w:rFonts w:hint="eastAsia" w:ascii="仿宋_GB2312" w:eastAsia="仿宋_GB2312"/>
          <w:sz w:val="32"/>
          <w:szCs w:val="32"/>
          <w:lang w:val="en-US" w:eastAsia="zh-CN"/>
        </w:rPr>
        <w:t>开始</w:t>
      </w:r>
      <w:r>
        <w:rPr>
          <w:rFonts w:hint="eastAsia" w:ascii="仿宋_GB2312" w:eastAsia="仿宋_GB2312"/>
          <w:sz w:val="32"/>
          <w:szCs w:val="32"/>
        </w:rPr>
        <w:t>对该项目进行绩效评价。围绕项目特点和绩效评价重点进行内部研讨，制定评价工作实施方案，建立沟通协调机制</w:t>
      </w:r>
      <w:r>
        <w:rPr>
          <w:rFonts w:hint="eastAsia" w:ascii="仿宋_GB2312" w:eastAsia="仿宋_GB2312"/>
          <w:sz w:val="32"/>
          <w:szCs w:val="32"/>
          <w:lang w:eastAsia="zh-CN"/>
        </w:rPr>
        <w:t>，并</w:t>
      </w:r>
      <w:r>
        <w:rPr>
          <w:rFonts w:hint="eastAsia" w:ascii="仿宋_GB2312" w:eastAsia="仿宋_GB2312"/>
          <w:sz w:val="32"/>
          <w:szCs w:val="32"/>
        </w:rPr>
        <w:t>根据绩效评价要求收集相应资料。</w:t>
      </w:r>
    </w:p>
    <w:p>
      <w:pPr>
        <w:spacing w:line="360" w:lineRule="auto"/>
        <w:ind w:firstLine="640" w:firstLineChars="200"/>
        <w:outlineLvl w:val="2"/>
        <w:rPr>
          <w:rFonts w:ascii="仿宋_GB2312" w:eastAsia="仿宋_GB2312"/>
          <w:sz w:val="32"/>
          <w:szCs w:val="32"/>
        </w:rPr>
      </w:pPr>
      <w:bookmarkStart w:id="22" w:name="_Toc103181726"/>
      <w:bookmarkStart w:id="23" w:name="_Toc104318858"/>
      <w:r>
        <w:rPr>
          <w:rFonts w:hint="eastAsia" w:ascii="仿宋_GB2312" w:eastAsia="仿宋_GB2312"/>
          <w:sz w:val="32"/>
          <w:szCs w:val="32"/>
        </w:rPr>
        <w:t>2.实施阶段</w:t>
      </w:r>
      <w:bookmarkEnd w:id="22"/>
      <w:bookmarkEnd w:id="23"/>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lang w:val="en-US" w:eastAsia="zh-CN"/>
        </w:rPr>
        <w:t>进行</w:t>
      </w:r>
      <w:r>
        <w:rPr>
          <w:rFonts w:hint="eastAsia" w:ascii="仿宋_GB2312" w:eastAsia="仿宋_GB2312"/>
          <w:sz w:val="32"/>
          <w:szCs w:val="32"/>
        </w:rPr>
        <w:t>现场调研，对所收集的资料进行查验、查对、整理分析</w:t>
      </w:r>
      <w:r>
        <w:rPr>
          <w:rFonts w:hint="eastAsia" w:ascii="仿宋_GB2312" w:eastAsia="仿宋_GB2312"/>
          <w:sz w:val="32"/>
          <w:szCs w:val="32"/>
          <w:lang w:eastAsia="zh-CN"/>
        </w:rPr>
        <w:t>，</w:t>
      </w:r>
      <w:r>
        <w:rPr>
          <w:rFonts w:hint="eastAsia" w:ascii="仿宋_GB2312" w:eastAsia="仿宋_GB2312"/>
          <w:sz w:val="32"/>
          <w:szCs w:val="32"/>
        </w:rPr>
        <w:t>完善绩效报告，形成绩效报告终稿</w:t>
      </w:r>
      <w:r>
        <w:rPr>
          <w:rFonts w:hint="eastAsia" w:ascii="仿宋_GB2312" w:eastAsia="仿宋_GB2312"/>
          <w:sz w:val="32"/>
          <w:szCs w:val="32"/>
          <w:highlight w:val="none"/>
        </w:rPr>
        <w:t>；根据前期工作情况补充完善评价项目相关资料，细化评价指标体系。</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年5月</w:t>
      </w:r>
      <w:r>
        <w:rPr>
          <w:rFonts w:hint="eastAsia" w:ascii="仿宋_GB2312" w:eastAsia="仿宋_GB2312"/>
          <w:sz w:val="32"/>
          <w:szCs w:val="32"/>
          <w:highlight w:val="none"/>
          <w:lang w:val="en-US" w:eastAsia="zh-CN"/>
        </w:rPr>
        <w:t>底</w:t>
      </w:r>
      <w:r>
        <w:rPr>
          <w:rFonts w:hint="eastAsia" w:ascii="仿宋_GB2312" w:eastAsia="仿宋_GB2312"/>
          <w:sz w:val="32"/>
          <w:szCs w:val="32"/>
          <w:highlight w:val="none"/>
        </w:rPr>
        <w:t>，就绩效评价的概念与背景、项目立项背景、评价对象内容、评价方式和方法、评价指标体系、</w:t>
      </w:r>
      <w:r>
        <w:rPr>
          <w:rFonts w:hint="eastAsia" w:ascii="仿宋_GB2312" w:eastAsia="仿宋_GB2312"/>
          <w:sz w:val="32"/>
          <w:szCs w:val="32"/>
          <w:highlight w:val="none"/>
          <w:lang w:val="en-US" w:eastAsia="zh-CN"/>
        </w:rPr>
        <w:t>及</w:t>
      </w:r>
      <w:r>
        <w:rPr>
          <w:rFonts w:hint="eastAsia" w:ascii="仿宋_GB2312" w:eastAsia="仿宋_GB2312"/>
          <w:sz w:val="32"/>
          <w:szCs w:val="32"/>
          <w:highlight w:val="none"/>
        </w:rPr>
        <w:t>对现场评价中发现的问题与项目</w:t>
      </w:r>
      <w:r>
        <w:rPr>
          <w:rFonts w:hint="eastAsia" w:ascii="仿宋_GB2312" w:eastAsia="仿宋_GB2312"/>
          <w:sz w:val="32"/>
          <w:szCs w:val="32"/>
          <w:highlight w:val="none"/>
          <w:lang w:eastAsia="zh-CN"/>
        </w:rPr>
        <w:t>负责</w:t>
      </w:r>
      <w:r>
        <w:rPr>
          <w:rFonts w:hint="eastAsia" w:ascii="仿宋_GB2312" w:eastAsia="仿宋_GB2312"/>
          <w:sz w:val="32"/>
          <w:szCs w:val="32"/>
          <w:highlight w:val="none"/>
        </w:rPr>
        <w:t>人员进行了沟通，</w:t>
      </w:r>
      <w:r>
        <w:rPr>
          <w:rFonts w:hint="eastAsia" w:ascii="仿宋_GB2312" w:eastAsia="仿宋_GB2312"/>
          <w:sz w:val="32"/>
          <w:szCs w:val="32"/>
          <w:highlight w:val="none"/>
          <w:lang w:val="en-US" w:eastAsia="zh-CN"/>
        </w:rPr>
        <w:t>并</w:t>
      </w:r>
      <w:r>
        <w:rPr>
          <w:rFonts w:hint="eastAsia" w:ascii="仿宋_GB2312" w:eastAsia="仿宋_GB2312"/>
          <w:sz w:val="32"/>
          <w:szCs w:val="32"/>
          <w:highlight w:val="none"/>
        </w:rPr>
        <w:t>根据沟通情况对该项目进行综合评价。</w:t>
      </w:r>
    </w:p>
    <w:p>
      <w:pPr>
        <w:spacing w:line="360" w:lineRule="auto"/>
        <w:ind w:firstLine="640" w:firstLineChars="200"/>
        <w:outlineLvl w:val="2"/>
        <w:rPr>
          <w:rFonts w:ascii="仿宋_GB2312" w:eastAsia="仿宋_GB2312"/>
          <w:sz w:val="32"/>
          <w:szCs w:val="32"/>
          <w:highlight w:val="none"/>
        </w:rPr>
      </w:pPr>
      <w:bookmarkStart w:id="24" w:name="_Toc104318859"/>
      <w:bookmarkStart w:id="25" w:name="_Toc103181727"/>
      <w:r>
        <w:rPr>
          <w:rFonts w:hint="eastAsia" w:ascii="仿宋_GB2312" w:eastAsia="仿宋_GB2312"/>
          <w:sz w:val="32"/>
          <w:szCs w:val="32"/>
          <w:highlight w:val="none"/>
        </w:rPr>
        <w:t>3.评价分析阶段</w:t>
      </w:r>
      <w:bookmarkEnd w:id="24"/>
      <w:bookmarkEnd w:id="25"/>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根据收集到的项目相关资料，对项目决策、管理、绩效情况进行综合分析，按照规定的文本格式和内容撰写绩效评价报告。</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rPr>
        <w:t>三、综合评价情况及评价结论</w:t>
      </w:r>
      <w:bookmarkEnd w:id="18"/>
      <w:bookmarkEnd w:id="19"/>
      <w:bookmarkEnd w:id="20"/>
      <w:bookmarkEnd w:id="21"/>
    </w:p>
    <w:p>
      <w:pPr>
        <w:spacing w:line="560" w:lineRule="exact"/>
        <w:ind w:firstLine="640"/>
        <w:rPr>
          <w:rFonts w:hint="eastAsia" w:ascii="仿宋_GB2312" w:hAnsi="Times New Roman" w:eastAsia="仿宋_GB2312" w:cs="Times New Roman"/>
          <w:sz w:val="24"/>
          <w:szCs w:val="24"/>
          <w:highlight w:val="none"/>
        </w:rPr>
      </w:pPr>
      <w:bookmarkStart w:id="26" w:name="_Toc7265"/>
      <w:bookmarkStart w:id="27" w:name="_Toc8158011"/>
      <w:r>
        <w:rPr>
          <w:rFonts w:hint="eastAsia" w:ascii="仿宋_GB2312" w:hAnsi="Times New Roman" w:eastAsia="仿宋_GB2312" w:cs="Times New Roman"/>
          <w:color w:val="auto"/>
          <w:sz w:val="32"/>
          <w:szCs w:val="32"/>
          <w:highlight w:val="none"/>
          <w:lang w:val="en-US" w:eastAsia="zh-CN"/>
        </w:rPr>
        <w:t>“安保安检工作经费”</w:t>
      </w:r>
      <w:r>
        <w:rPr>
          <w:rFonts w:hint="eastAsia" w:ascii="仿宋_GB2312" w:hAnsi="Times New Roman" w:eastAsia="仿宋_GB2312" w:cs="Times New Roman"/>
          <w:color w:val="auto"/>
          <w:sz w:val="32"/>
          <w:szCs w:val="32"/>
          <w:highlight w:val="none"/>
        </w:rPr>
        <w:t>项目综合得分</w:t>
      </w:r>
      <w:r>
        <w:rPr>
          <w:rFonts w:hint="eastAsia" w:ascii="仿宋_GB2312" w:hAnsi="Times New Roman" w:eastAsia="仿宋_GB2312" w:cs="Times New Roman"/>
          <w:color w:val="auto"/>
          <w:sz w:val="32"/>
          <w:szCs w:val="32"/>
          <w:highlight w:val="none"/>
          <w:lang w:val="en-US" w:eastAsia="zh-CN"/>
        </w:rPr>
        <w:t>89.5</w:t>
      </w:r>
      <w:r>
        <w:rPr>
          <w:rFonts w:hint="eastAsia" w:ascii="仿宋_GB2312" w:hAnsi="Times New Roman" w:eastAsia="仿宋_GB2312" w:cs="Times New Roman"/>
          <w:color w:val="auto"/>
          <w:sz w:val="32"/>
          <w:szCs w:val="32"/>
          <w:highlight w:val="none"/>
        </w:rPr>
        <w:t>分，其中，项目决策</w:t>
      </w:r>
      <w:r>
        <w:rPr>
          <w:rFonts w:hint="eastAsia" w:ascii="仿宋_GB2312" w:hAnsi="Times New Roman" w:eastAsia="仿宋_GB2312" w:cs="Times New Roman"/>
          <w:color w:val="auto"/>
          <w:sz w:val="32"/>
          <w:szCs w:val="32"/>
          <w:highlight w:val="none"/>
          <w:lang w:val="en-US" w:eastAsia="zh-CN"/>
        </w:rPr>
        <w:t>8.0</w:t>
      </w:r>
      <w:r>
        <w:rPr>
          <w:rFonts w:hint="eastAsia" w:ascii="仿宋_GB2312" w:hAnsi="Times New Roman" w:eastAsia="仿宋_GB2312" w:cs="Times New Roman"/>
          <w:color w:val="auto"/>
          <w:sz w:val="32"/>
          <w:szCs w:val="32"/>
          <w:highlight w:val="none"/>
        </w:rPr>
        <w:t>分、项目</w:t>
      </w:r>
      <w:r>
        <w:rPr>
          <w:rFonts w:hint="eastAsia" w:ascii="仿宋_GB2312" w:hAnsi="Times New Roman" w:eastAsia="仿宋_GB2312" w:cs="Times New Roman"/>
          <w:color w:val="auto"/>
          <w:sz w:val="32"/>
          <w:szCs w:val="32"/>
          <w:highlight w:val="none"/>
          <w:lang w:val="en-US" w:eastAsia="zh-CN"/>
        </w:rPr>
        <w:t>过程18.0</w:t>
      </w:r>
      <w:r>
        <w:rPr>
          <w:rFonts w:hint="eastAsia" w:ascii="仿宋_GB2312" w:hAnsi="Times New Roman" w:eastAsia="仿宋_GB2312" w:cs="Times New Roman"/>
          <w:color w:val="auto"/>
          <w:sz w:val="32"/>
          <w:szCs w:val="32"/>
          <w:highlight w:val="none"/>
        </w:rPr>
        <w:t>分、</w:t>
      </w:r>
      <w:r>
        <w:rPr>
          <w:rFonts w:hint="eastAsia" w:ascii="仿宋_GB2312" w:hAnsi="Times New Roman" w:eastAsia="仿宋_GB2312" w:cs="Times New Roman"/>
          <w:color w:val="auto"/>
          <w:sz w:val="32"/>
          <w:szCs w:val="32"/>
          <w:highlight w:val="none"/>
          <w:lang w:val="en-US" w:eastAsia="zh-CN"/>
        </w:rPr>
        <w:t>项目产出39.0分、</w:t>
      </w:r>
      <w:r>
        <w:rPr>
          <w:rFonts w:hint="eastAsia" w:ascii="仿宋_GB2312" w:hAnsi="Times New Roman" w:eastAsia="仿宋_GB2312" w:cs="Times New Roman"/>
          <w:color w:val="auto"/>
          <w:sz w:val="32"/>
          <w:szCs w:val="32"/>
          <w:highlight w:val="none"/>
        </w:rPr>
        <w:t>项目</w:t>
      </w:r>
      <w:r>
        <w:rPr>
          <w:rFonts w:hint="eastAsia" w:ascii="仿宋_GB2312" w:hAnsi="Times New Roman" w:eastAsia="仿宋_GB2312" w:cs="Times New Roman"/>
          <w:color w:val="auto"/>
          <w:sz w:val="32"/>
          <w:szCs w:val="32"/>
          <w:highlight w:val="none"/>
          <w:lang w:val="en-US" w:eastAsia="zh-CN"/>
        </w:rPr>
        <w:t>效益24.5</w:t>
      </w:r>
      <w:r>
        <w:rPr>
          <w:rFonts w:hint="eastAsia" w:ascii="仿宋_GB2312" w:hAnsi="Times New Roman" w:eastAsia="仿宋_GB2312" w:cs="Times New Roman"/>
          <w:color w:val="auto"/>
          <w:sz w:val="32"/>
          <w:szCs w:val="32"/>
          <w:highlight w:val="none"/>
        </w:rPr>
        <w:t>分，项目综合绩效评定结论为“</w:t>
      </w:r>
      <w:r>
        <w:rPr>
          <w:rFonts w:hint="eastAsia" w:ascii="仿宋_GB2312" w:hAnsi="Times New Roman" w:eastAsia="仿宋_GB2312" w:cs="Times New Roman"/>
          <w:color w:val="auto"/>
          <w:sz w:val="32"/>
          <w:szCs w:val="32"/>
          <w:highlight w:val="none"/>
          <w:lang w:val="en-US" w:eastAsia="zh-CN"/>
        </w:rPr>
        <w:t xml:space="preserve"> 良 </w:t>
      </w:r>
      <w:r>
        <w:rPr>
          <w:rFonts w:hint="eastAsia" w:ascii="仿宋_GB2312" w:hAnsi="Times New Roman" w:eastAsia="仿宋_GB2312" w:cs="Times New Roman"/>
          <w:color w:val="auto"/>
          <w:sz w:val="32"/>
          <w:szCs w:val="32"/>
          <w:highlight w:val="none"/>
        </w:rPr>
        <w:t>”。具体情况详见</w:t>
      </w:r>
      <w:r>
        <w:rPr>
          <w:rFonts w:hint="eastAsia" w:ascii="仿宋_GB2312" w:hAnsi="Times New Roman" w:eastAsia="仿宋_GB2312" w:cs="Times New Roman"/>
          <w:color w:val="auto"/>
          <w:sz w:val="32"/>
          <w:szCs w:val="32"/>
          <w:highlight w:val="none"/>
          <w:lang w:val="en-US" w:eastAsia="zh-CN"/>
        </w:rPr>
        <w:t>表2</w:t>
      </w:r>
      <w:r>
        <w:rPr>
          <w:rFonts w:hint="eastAsia" w:ascii="仿宋_GB2312" w:hAnsi="Times New Roman" w:eastAsia="仿宋_GB2312" w:cs="Times New Roman"/>
          <w:color w:val="auto"/>
          <w:sz w:val="32"/>
          <w:szCs w:val="32"/>
          <w:highlight w:val="none"/>
        </w:rPr>
        <w:t>。</w:t>
      </w:r>
    </w:p>
    <w:p>
      <w:pPr>
        <w:pStyle w:val="10"/>
        <w:keepNext w:val="0"/>
        <w:keepLines w:val="0"/>
        <w:pageBreakBefore w:val="0"/>
        <w:widowControl w:val="0"/>
        <w:kinsoku/>
        <w:wordWrap/>
        <w:overflowPunct/>
        <w:topLinePunct w:val="0"/>
        <w:autoSpaceDE/>
        <w:autoSpaceDN/>
        <w:bidi w:val="0"/>
        <w:adjustRightInd/>
        <w:snapToGrid/>
        <w:spacing w:before="313" w:beforeLines="100" w:after="157" w:afterLines="50" w:line="360" w:lineRule="auto"/>
        <w:ind w:left="-141" w:leftChars="-67"/>
        <w:jc w:val="center"/>
        <w:textAlignment w:val="auto"/>
        <w:rPr>
          <w:rFonts w:hint="eastAsia" w:asciiTheme="majorEastAsia" w:hAnsiTheme="majorEastAsia" w:eastAsiaTheme="majorEastAsia" w:cstheme="majorEastAsia"/>
          <w:b/>
          <w:bCs w:val="0"/>
          <w:sz w:val="28"/>
          <w:szCs w:val="28"/>
          <w:highlight w:val="none"/>
        </w:rPr>
      </w:pPr>
      <w:r>
        <w:rPr>
          <w:rFonts w:hint="eastAsia" w:asciiTheme="majorEastAsia" w:hAnsiTheme="majorEastAsia" w:eastAsiaTheme="majorEastAsia" w:cstheme="majorEastAsia"/>
          <w:b/>
          <w:bCs w:val="0"/>
          <w:sz w:val="28"/>
          <w:szCs w:val="28"/>
          <w:highlight w:val="none"/>
          <w:lang w:val="en-US" w:eastAsia="zh-CN"/>
        </w:rPr>
        <w:t>表2：“安保安检工作经费”</w:t>
      </w:r>
      <w:r>
        <w:rPr>
          <w:rFonts w:hint="eastAsia" w:asciiTheme="majorEastAsia" w:hAnsiTheme="majorEastAsia" w:eastAsiaTheme="majorEastAsia" w:cstheme="majorEastAsia"/>
          <w:b/>
          <w:bCs w:val="0"/>
          <w:sz w:val="28"/>
          <w:szCs w:val="28"/>
          <w:highlight w:val="none"/>
        </w:rPr>
        <w:t>项目绩效评价结论一览表</w:t>
      </w:r>
    </w:p>
    <w:tbl>
      <w:tblPr>
        <w:tblStyle w:val="16"/>
        <w:tblW w:w="83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57" w:type="dxa"/>
          <w:bottom w:w="0" w:type="dxa"/>
          <w:right w:w="57" w:type="dxa"/>
        </w:tblCellMar>
      </w:tblPr>
      <w:tblGrid>
        <w:gridCol w:w="2728"/>
        <w:gridCol w:w="2835"/>
        <w:gridCol w:w="28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324"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评价内容</w:t>
            </w:r>
          </w:p>
        </w:tc>
        <w:tc>
          <w:tcPr>
            <w:tcW w:w="2835"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分值</w:t>
            </w:r>
          </w:p>
        </w:tc>
        <w:tc>
          <w:tcPr>
            <w:tcW w:w="2836"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评价得分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196" w:hRule="atLeast"/>
          <w:jc w:val="center"/>
        </w:trPr>
        <w:tc>
          <w:tcPr>
            <w:tcW w:w="2728" w:type="dxa"/>
            <w:tcBorders>
              <w:tl2br w:val="nil"/>
              <w:tr2bl w:val="nil"/>
            </w:tcBorders>
            <w:shd w:val="clear" w:color="auto" w:fill="auto"/>
            <w:noWrap w:val="0"/>
            <w:vAlign w:val="center"/>
          </w:tcPr>
          <w:p>
            <w:pPr>
              <w:pStyle w:val="7"/>
              <w:adjustRightInd w:val="0"/>
              <w:snapToGrid w:val="0"/>
              <w:spacing w:before="120" w:after="60" w:line="300" w:lineRule="auto"/>
              <w:ind w:left="0" w:leftChars="0" w:firstLine="0" w:firstLineChars="0"/>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项目决策</w:t>
            </w:r>
          </w:p>
        </w:tc>
        <w:tc>
          <w:tcPr>
            <w:tcW w:w="2835" w:type="dxa"/>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10.0</w:t>
            </w:r>
          </w:p>
        </w:tc>
        <w:tc>
          <w:tcPr>
            <w:tcW w:w="2836" w:type="dxa"/>
            <w:tcBorders>
              <w:tl2br w:val="nil"/>
              <w:tr2bl w:val="nil"/>
            </w:tcBorders>
            <w:shd w:val="clear" w:color="auto" w:fill="auto"/>
            <w:noWrap w:val="0"/>
            <w:vAlign w:val="center"/>
          </w:tcPr>
          <w:p>
            <w:pPr>
              <w:adjustRightInd w:val="0"/>
              <w:snapToGrid w:val="0"/>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196"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过程</w:t>
            </w:r>
          </w:p>
        </w:tc>
        <w:tc>
          <w:tcPr>
            <w:tcW w:w="2835" w:type="dxa"/>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20.0</w:t>
            </w:r>
          </w:p>
        </w:tc>
        <w:tc>
          <w:tcPr>
            <w:tcW w:w="2836" w:type="dxa"/>
            <w:tcBorders>
              <w:tl2br w:val="nil"/>
              <w:tr2bl w:val="nil"/>
            </w:tcBorders>
            <w:shd w:val="clear" w:color="auto" w:fill="auto"/>
            <w:noWrap w:val="0"/>
            <w:vAlign w:val="center"/>
          </w:tcPr>
          <w:p>
            <w:pPr>
              <w:adjustRightInd w:val="0"/>
              <w:snapToGrid w:val="0"/>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196"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val="0"/>
                <w:bCs/>
                <w:sz w:val="24"/>
                <w:szCs w:val="24"/>
                <w:highlight w:val="none"/>
                <w:lang w:eastAsia="zh-CN"/>
              </w:rPr>
            </w:pPr>
            <w:r>
              <w:rPr>
                <w:rFonts w:hint="eastAsia" w:ascii="仿宋" w:hAnsi="仿宋" w:eastAsia="仿宋" w:cs="仿宋"/>
                <w:b w:val="0"/>
                <w:bCs/>
                <w:sz w:val="24"/>
                <w:szCs w:val="24"/>
                <w:highlight w:val="none"/>
              </w:rPr>
              <w:t>项目</w:t>
            </w:r>
            <w:r>
              <w:rPr>
                <w:rFonts w:hint="eastAsia" w:ascii="仿宋" w:hAnsi="仿宋" w:eastAsia="仿宋" w:cs="仿宋"/>
                <w:b w:val="0"/>
                <w:bCs/>
                <w:sz w:val="24"/>
                <w:szCs w:val="24"/>
                <w:highlight w:val="none"/>
                <w:lang w:val="en-US" w:eastAsia="zh-CN"/>
              </w:rPr>
              <w:t>产出</w:t>
            </w:r>
          </w:p>
        </w:tc>
        <w:tc>
          <w:tcPr>
            <w:tcW w:w="2835" w:type="dxa"/>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40.0</w:t>
            </w:r>
          </w:p>
        </w:tc>
        <w:tc>
          <w:tcPr>
            <w:tcW w:w="2836" w:type="dxa"/>
            <w:tcBorders>
              <w:tl2br w:val="nil"/>
              <w:tr2bl w:val="nil"/>
            </w:tcBorders>
            <w:shd w:val="clear" w:color="auto" w:fill="auto"/>
            <w:noWrap w:val="0"/>
            <w:vAlign w:val="center"/>
          </w:tcPr>
          <w:p>
            <w:pPr>
              <w:adjustRightInd w:val="0"/>
              <w:snapToGrid w:val="0"/>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196"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项目效益</w:t>
            </w:r>
          </w:p>
        </w:tc>
        <w:tc>
          <w:tcPr>
            <w:tcW w:w="2835" w:type="dxa"/>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30.0</w:t>
            </w:r>
          </w:p>
        </w:tc>
        <w:tc>
          <w:tcPr>
            <w:tcW w:w="2836" w:type="dxa"/>
            <w:tcBorders>
              <w:tl2br w:val="nil"/>
              <w:tr2bl w:val="nil"/>
            </w:tcBorders>
            <w:shd w:val="clear" w:color="auto" w:fill="auto"/>
            <w:noWrap w:val="0"/>
            <w:vAlign w:val="center"/>
          </w:tcPr>
          <w:p>
            <w:pPr>
              <w:adjustRightInd w:val="0"/>
              <w:snapToGrid w:val="0"/>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262"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综合得分</w:t>
            </w:r>
          </w:p>
        </w:tc>
        <w:tc>
          <w:tcPr>
            <w:tcW w:w="2835" w:type="dxa"/>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100</w:t>
            </w:r>
          </w:p>
        </w:tc>
        <w:tc>
          <w:tcPr>
            <w:tcW w:w="2836" w:type="dxa"/>
            <w:tcBorders>
              <w:tl2br w:val="nil"/>
              <w:tr2bl w:val="nil"/>
            </w:tcBorders>
            <w:shd w:val="clear" w:color="auto" w:fill="auto"/>
            <w:noWrap w:val="0"/>
            <w:vAlign w:val="center"/>
          </w:tcPr>
          <w:p>
            <w:pPr>
              <w:adjustRightInd w:val="0"/>
              <w:snapToGrid w:val="0"/>
              <w:jc w:val="center"/>
              <w:rPr>
                <w:rFonts w:hint="default"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89.5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57" w:type="dxa"/>
            <w:bottom w:w="0" w:type="dxa"/>
            <w:right w:w="57" w:type="dxa"/>
          </w:tblCellMar>
        </w:tblPrEx>
        <w:trPr>
          <w:cantSplit/>
          <w:trHeight w:val="305" w:hRule="atLeast"/>
          <w:jc w:val="center"/>
        </w:trPr>
        <w:tc>
          <w:tcPr>
            <w:tcW w:w="2728" w:type="dxa"/>
            <w:tcBorders>
              <w:tl2br w:val="nil"/>
              <w:tr2bl w:val="nil"/>
            </w:tcBorders>
            <w:shd w:val="clear" w:color="auto" w:fill="auto"/>
            <w:noWrap w:val="0"/>
            <w:vAlign w:val="center"/>
          </w:tcPr>
          <w:p>
            <w:pPr>
              <w:adjustRightInd w:val="0"/>
              <w:snapToGrid w:val="0"/>
              <w:spacing w:before="120" w:after="60" w:line="300" w:lineRule="auto"/>
              <w:jc w:val="center"/>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绩效评定级别</w:t>
            </w:r>
          </w:p>
        </w:tc>
        <w:tc>
          <w:tcPr>
            <w:tcW w:w="5671" w:type="dxa"/>
            <w:gridSpan w:val="2"/>
            <w:tcBorders>
              <w:tl2br w:val="nil"/>
              <w:tr2bl w:val="nil"/>
            </w:tcBorders>
            <w:shd w:val="clear" w:color="auto" w:fill="auto"/>
            <w:noWrap w:val="0"/>
            <w:vAlign w:val="center"/>
          </w:tcPr>
          <w:p>
            <w:pPr>
              <w:adjustRightInd w:val="0"/>
              <w:snapToGrid w:val="0"/>
              <w:jc w:val="center"/>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良</w:t>
            </w:r>
          </w:p>
        </w:tc>
      </w:tr>
      <w:bookmarkEnd w:id="26"/>
      <w:bookmarkEnd w:id="27"/>
    </w:tbl>
    <w:p>
      <w:pPr>
        <w:pStyle w:val="7"/>
      </w:pP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ascii="黑体" w:hAnsi="黑体" w:eastAsia="黑体" w:cs="黑体"/>
          <w:sz w:val="32"/>
          <w:szCs w:val="32"/>
        </w:rPr>
      </w:pPr>
      <w:bookmarkStart w:id="28" w:name="_Toc23343"/>
      <w:bookmarkStart w:id="29" w:name="_Toc9461"/>
      <w:bookmarkStart w:id="30" w:name="_Toc18659"/>
      <w:r>
        <w:rPr>
          <w:rFonts w:hint="eastAsia" w:ascii="黑体" w:hAnsi="黑体" w:eastAsia="黑体" w:cs="黑体"/>
          <w:sz w:val="32"/>
          <w:szCs w:val="32"/>
          <w:lang w:val="en-US"/>
        </w:rPr>
        <w:t>四</w:t>
      </w:r>
      <w:r>
        <w:rPr>
          <w:rFonts w:hint="eastAsia" w:ascii="黑体" w:hAnsi="黑体" w:eastAsia="黑体" w:cs="黑体"/>
          <w:sz w:val="32"/>
          <w:szCs w:val="32"/>
        </w:rPr>
        <w:t>、绩效评价</w:t>
      </w:r>
      <w:r>
        <w:rPr>
          <w:rFonts w:hint="eastAsia" w:ascii="黑体" w:hAnsi="黑体" w:eastAsia="黑体" w:cs="黑体"/>
          <w:sz w:val="32"/>
          <w:szCs w:val="32"/>
          <w:lang w:val="en-US"/>
        </w:rPr>
        <w:t>指标</w:t>
      </w:r>
      <w:r>
        <w:rPr>
          <w:rFonts w:hint="eastAsia" w:ascii="黑体" w:hAnsi="黑体" w:eastAsia="黑体" w:cs="黑体"/>
          <w:sz w:val="32"/>
          <w:szCs w:val="32"/>
        </w:rPr>
        <w:t>分析</w:t>
      </w:r>
      <w:bookmarkEnd w:id="28"/>
      <w:bookmarkEnd w:id="29"/>
      <w:bookmarkEnd w:id="30"/>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31" w:name="_Toc25208"/>
      <w:bookmarkStart w:id="32" w:name="_Toc5003"/>
      <w:bookmarkStart w:id="33" w:name="_Toc18343"/>
      <w:bookmarkStart w:id="34" w:name="_Toc15979"/>
      <w:bookmarkStart w:id="35" w:name="_Toc8759"/>
      <w:bookmarkStart w:id="36" w:name="_Toc20616"/>
      <w:bookmarkStart w:id="37" w:name="_Toc5194"/>
      <w:bookmarkStart w:id="38" w:name="_Toc7993"/>
      <w:r>
        <w:rPr>
          <w:rFonts w:hint="eastAsia" w:ascii="楷体_GB2312" w:hAnsi="楷体_GB2312" w:eastAsia="楷体_GB2312" w:cs="楷体_GB2312"/>
          <w:b/>
          <w:bCs/>
          <w:sz w:val="32"/>
          <w:szCs w:val="32"/>
          <w:lang w:val="en-US" w:eastAsia="zh-CN"/>
        </w:rPr>
        <w:t>（一）</w:t>
      </w:r>
      <w:bookmarkEnd w:id="31"/>
      <w:bookmarkEnd w:id="32"/>
      <w:bookmarkEnd w:id="33"/>
      <w:bookmarkEnd w:id="34"/>
      <w:bookmarkEnd w:id="35"/>
      <w:r>
        <w:rPr>
          <w:rFonts w:hint="eastAsia" w:ascii="楷体_GB2312" w:hAnsi="楷体_GB2312" w:eastAsia="楷体_GB2312" w:cs="楷体_GB2312"/>
          <w:b/>
          <w:bCs/>
          <w:sz w:val="32"/>
          <w:szCs w:val="32"/>
          <w:lang w:val="en-US" w:eastAsia="zh-CN"/>
        </w:rPr>
        <w:t>项目决策情况</w:t>
      </w:r>
      <w:bookmarkEnd w:id="36"/>
      <w:bookmarkEnd w:id="37"/>
      <w:bookmarkEnd w:id="38"/>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Cs/>
          <w:color w:val="auto"/>
          <w:kern w:val="44"/>
          <w:sz w:val="32"/>
          <w:szCs w:val="32"/>
          <w:highlight w:val="none"/>
        </w:rPr>
      </w:pPr>
      <w:r>
        <w:rPr>
          <w:rFonts w:hint="eastAsia" w:ascii="仿宋_GB2312" w:hAnsi="仿宋_GB2312" w:eastAsia="仿宋_GB2312" w:cs="仿宋_GB2312"/>
          <w:bCs/>
          <w:color w:val="auto"/>
          <w:kern w:val="44"/>
          <w:sz w:val="32"/>
          <w:szCs w:val="32"/>
        </w:rPr>
        <w:t>项目决策指标，满分</w:t>
      </w:r>
      <w:r>
        <w:rPr>
          <w:rFonts w:hint="eastAsia" w:ascii="仿宋_GB2312" w:hAnsi="仿宋_GB2312" w:eastAsia="仿宋_GB2312" w:cs="仿宋_GB2312"/>
          <w:bCs/>
          <w:color w:val="auto"/>
          <w:kern w:val="44"/>
          <w:sz w:val="32"/>
          <w:szCs w:val="32"/>
          <w:lang w:val="en-US" w:eastAsia="zh-CN"/>
        </w:rPr>
        <w:t>10.00</w:t>
      </w:r>
      <w:r>
        <w:rPr>
          <w:rFonts w:hint="eastAsia" w:ascii="仿宋_GB2312" w:hAnsi="仿宋_GB2312" w:eastAsia="仿宋_GB2312" w:cs="仿宋_GB2312"/>
          <w:bCs/>
          <w:color w:val="auto"/>
          <w:kern w:val="44"/>
          <w:sz w:val="32"/>
          <w:szCs w:val="32"/>
        </w:rPr>
        <w:t>分，评定得分</w:t>
      </w:r>
      <w:r>
        <w:rPr>
          <w:rFonts w:hint="eastAsia" w:ascii="仿宋_GB2312" w:hAnsi="仿宋_GB2312" w:eastAsia="仿宋_GB2312" w:cs="仿宋_GB2312"/>
          <w:bCs/>
          <w:color w:val="auto"/>
          <w:kern w:val="44"/>
          <w:sz w:val="32"/>
          <w:szCs w:val="32"/>
          <w:highlight w:val="none"/>
        </w:rPr>
        <w:t>为</w:t>
      </w:r>
      <w:r>
        <w:rPr>
          <w:rFonts w:hint="eastAsia" w:ascii="仿宋_GB2312" w:hAnsi="仿宋_GB2312" w:eastAsia="仿宋_GB2312" w:cs="仿宋_GB2312"/>
          <w:color w:val="auto"/>
          <w:sz w:val="32"/>
          <w:szCs w:val="32"/>
          <w:highlight w:val="none"/>
          <w:lang w:val="en-US" w:eastAsia="zh-CN"/>
        </w:rPr>
        <w:t>8.0</w:t>
      </w:r>
      <w:r>
        <w:rPr>
          <w:rFonts w:hint="eastAsia" w:ascii="仿宋_GB2312" w:hAnsi="仿宋_GB2312" w:eastAsia="仿宋_GB2312" w:cs="仿宋_GB2312"/>
          <w:bCs/>
          <w:color w:val="auto"/>
          <w:kern w:val="44"/>
          <w:sz w:val="32"/>
          <w:szCs w:val="32"/>
          <w:highlight w:val="none"/>
        </w:rPr>
        <w:t>分。</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该项目主要目标是通过安保安检工作，维护</w:t>
      </w:r>
      <w:r>
        <w:rPr>
          <w:rFonts w:hint="eastAsia" w:ascii="仿宋_GB2312" w:hAnsi="仿宋_GB2312" w:eastAsia="仿宋_GB2312" w:cs="仿宋_GB2312"/>
          <w:sz w:val="32"/>
          <w:szCs w:val="32"/>
          <w:lang w:val="en-US" w:eastAsia="zh-CN"/>
        </w:rPr>
        <w:t>西城检察院</w:t>
      </w:r>
      <w:bookmarkStart w:id="39" w:name="OLE_LINK5"/>
      <w:r>
        <w:rPr>
          <w:rFonts w:hint="eastAsia" w:ascii="仿宋_GB2312" w:hAnsi="仿宋_GB2312" w:eastAsia="仿宋_GB2312" w:cs="仿宋_GB2312"/>
          <w:sz w:val="32"/>
          <w:szCs w:val="32"/>
          <w:lang w:val="en-US" w:eastAsia="zh-CN"/>
        </w:rPr>
        <w:t>全院机关门岗执勤、信访接待引导、秩序维护、滞留人员劝返、处置违法上访突发事件，消防应急处置等任务；做好防爆安全、人身安全、物品安全、中控消防安全等检查工作，保障我院检察工作正常、有序开展，维护首都安全稳定</w:t>
      </w:r>
      <w:bookmarkEnd w:id="39"/>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该项目立项依据较为充分。</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月，</w:t>
      </w:r>
      <w:r>
        <w:rPr>
          <w:rFonts w:hint="eastAsia" w:eastAsia="仿宋_GB2312"/>
          <w:sz w:val="32"/>
          <w:szCs w:val="32"/>
        </w:rPr>
        <w:t>根据北京市财政局《关于批复北京市</w:t>
      </w:r>
      <w:r>
        <w:rPr>
          <w:rFonts w:hint="eastAsia" w:ascii="仿宋_GB2312" w:hAnsi="仿宋_GB2312" w:eastAsia="仿宋_GB2312" w:cs="仿宋_GB2312"/>
          <w:sz w:val="32"/>
          <w:szCs w:val="32"/>
          <w:lang w:val="en-US" w:eastAsia="zh-CN"/>
        </w:rPr>
        <w:t>西城区人民检察院2024年预算的函》（京财公检法指〔202</w:t>
      </w:r>
      <w:r>
        <w:rPr>
          <w:rFonts w:hint="eastAsia" w:ascii="仿宋_GB2312" w:hAnsi="仿宋_GB2312" w:eastAsia="仿宋_GB2312" w:cs="仿宋_GB2312"/>
          <w:sz w:val="32"/>
          <w:szCs w:val="32"/>
          <w:highlight w:val="none"/>
          <w:lang w:val="en-US" w:eastAsia="zh-CN"/>
        </w:rPr>
        <w:t>4〕112号）</w:t>
      </w:r>
      <w:r>
        <w:rPr>
          <w:rFonts w:hint="default" w:ascii="仿宋_GB2312" w:hAnsi="仿宋_GB2312" w:eastAsia="仿宋_GB2312" w:cs="仿宋_GB2312"/>
          <w:sz w:val="32"/>
          <w:szCs w:val="32"/>
          <w:lang w:val="en-US" w:eastAsia="zh-CN"/>
        </w:rPr>
        <w:t>批复该项目预算</w:t>
      </w:r>
      <w:r>
        <w:rPr>
          <w:rFonts w:hint="eastAsia" w:ascii="仿宋_GB2312" w:hAnsi="仿宋_GB2312" w:eastAsia="仿宋_GB2312" w:cs="仿宋_GB2312"/>
          <w:sz w:val="32"/>
          <w:szCs w:val="32"/>
          <w:lang w:val="en-US" w:eastAsia="zh-CN"/>
        </w:rPr>
        <w:t>113.52</w:t>
      </w:r>
      <w:r>
        <w:rPr>
          <w:rFonts w:hint="default" w:ascii="仿宋_GB2312" w:hAnsi="仿宋_GB2312" w:eastAsia="仿宋_GB2312" w:cs="仿宋_GB2312"/>
          <w:sz w:val="32"/>
          <w:szCs w:val="32"/>
          <w:lang w:val="en-US" w:eastAsia="zh-CN"/>
        </w:rPr>
        <w:t>万元。</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2.绩效目标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（1）绩效目标合理性评价分析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该项目制定了总体绩效目标，在申报202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年预算时填制了“项目支出绩效目标申报表”，设立了相应绩效目标，明确了保障</w:t>
      </w:r>
      <w:r>
        <w:rPr>
          <w:rFonts w:hint="eastAsia" w:ascii="仿宋_GB2312" w:hAnsi="仿宋_GB2312" w:eastAsia="仿宋_GB2312" w:cs="仿宋_GB2312"/>
          <w:sz w:val="32"/>
          <w:szCs w:val="32"/>
          <w:lang w:val="en-US" w:eastAsia="zh-CN"/>
        </w:rPr>
        <w:t>全院机关门岗执勤、信访接待引导、秩序维护、滞留人员劝返、处置违法上访突发事件，消防应急处置等任务；做好防爆安全、人身安全、物品安全、中控消防安全等检查工作，保障我院检察工作正常、有序开展，维护首都安全稳定</w:t>
      </w:r>
      <w:r>
        <w:rPr>
          <w:rFonts w:hint="default" w:ascii="仿宋_GB2312" w:hAnsi="仿宋_GB2312" w:eastAsia="仿宋_GB2312" w:cs="仿宋_GB2312"/>
          <w:sz w:val="32"/>
          <w:szCs w:val="32"/>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（2）绩效指标明确性评价分析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该项目根据总体绩效目标设定了具体的绩效指标，明确了项目的绩效</w:t>
      </w:r>
      <w:r>
        <w:rPr>
          <w:rFonts w:hint="eastAsia" w:ascii="仿宋_GB2312" w:hAnsi="仿宋_GB2312" w:eastAsia="仿宋_GB2312" w:cs="仿宋_GB2312"/>
          <w:sz w:val="32"/>
          <w:szCs w:val="32"/>
          <w:lang w:val="en-US" w:eastAsia="zh-CN"/>
        </w:rPr>
        <w:t>质量</w:t>
      </w:r>
      <w:r>
        <w:rPr>
          <w:rFonts w:hint="default" w:ascii="仿宋_GB2312" w:hAnsi="仿宋_GB2312" w:eastAsia="仿宋_GB2312" w:cs="仿宋_GB2312"/>
          <w:sz w:val="32"/>
          <w:szCs w:val="32"/>
          <w:lang w:val="en-US" w:eastAsia="zh-CN"/>
        </w:rPr>
        <w:t>、效果指标，并按照产出指标和效益指标细化分解了项目具体工作任务。</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项目绩效目标与实际工作内容虽然相关，但仅是任务描述；还存在绩效指标明确性不足，指标设定较为笼统，不够细化，可衡量性不足。如产出指标</w:t>
      </w:r>
      <w:r>
        <w:rPr>
          <w:rFonts w:hint="eastAsia" w:ascii="仿宋_GB2312" w:hAnsi="仿宋_GB2312" w:eastAsia="仿宋_GB2312" w:cs="仿宋_GB2312"/>
          <w:sz w:val="32"/>
          <w:szCs w:val="32"/>
          <w:lang w:val="en-US" w:eastAsia="zh-CN"/>
        </w:rPr>
        <w:t>未设置</w:t>
      </w:r>
      <w:r>
        <w:rPr>
          <w:rFonts w:hint="default" w:ascii="仿宋_GB2312" w:hAnsi="仿宋_GB2312" w:eastAsia="仿宋_GB2312" w:cs="仿宋_GB2312"/>
          <w:sz w:val="32"/>
          <w:szCs w:val="32"/>
          <w:lang w:val="en-US" w:eastAsia="zh-CN"/>
        </w:rPr>
        <w:t>数量指标未结合实际需求，细化具体</w:t>
      </w:r>
      <w:r>
        <w:rPr>
          <w:rFonts w:hint="eastAsia" w:ascii="仿宋_GB2312" w:hAnsi="仿宋_GB2312" w:eastAsia="仿宋_GB2312" w:cs="仿宋_GB2312"/>
          <w:sz w:val="32"/>
          <w:szCs w:val="32"/>
          <w:lang w:val="en-US" w:eastAsia="zh-CN"/>
        </w:rPr>
        <w:t>项目、</w:t>
      </w:r>
      <w:r>
        <w:rPr>
          <w:rFonts w:hint="default" w:ascii="仿宋_GB2312" w:hAnsi="仿宋_GB2312" w:eastAsia="仿宋_GB2312" w:cs="仿宋_GB2312"/>
          <w:sz w:val="32"/>
          <w:szCs w:val="32"/>
          <w:lang w:val="en-US" w:eastAsia="zh-CN"/>
        </w:rPr>
        <w:t>岗位安排多少人员等</w:t>
      </w:r>
      <w:r>
        <w:rPr>
          <w:rFonts w:hint="eastAsia" w:ascii="仿宋_GB2312" w:hAnsi="仿宋_GB2312" w:eastAsia="仿宋_GB2312" w:cs="仿宋_GB2312"/>
          <w:sz w:val="32"/>
          <w:szCs w:val="32"/>
          <w:lang w:val="en-US" w:eastAsia="zh-CN"/>
        </w:rPr>
        <w:t>数量指标</w:t>
      </w:r>
      <w:r>
        <w:rPr>
          <w:rFonts w:hint="default" w:ascii="仿宋_GB2312" w:hAnsi="仿宋_GB2312" w:eastAsia="仿宋_GB2312" w:cs="仿宋_GB2312"/>
          <w:sz w:val="32"/>
          <w:szCs w:val="32"/>
          <w:lang w:val="en-US" w:eastAsia="zh-CN"/>
        </w:rPr>
        <w:t>内容，设置较为笼统；部分质量指标不明确，缺乏评价有效性；</w:t>
      </w:r>
      <w:r>
        <w:rPr>
          <w:rFonts w:hint="eastAsia" w:ascii="仿宋_GB2312" w:hAnsi="仿宋_GB2312" w:eastAsia="仿宋_GB2312" w:cs="仿宋_GB2312"/>
          <w:sz w:val="32"/>
          <w:szCs w:val="32"/>
          <w:lang w:val="en-US" w:eastAsia="zh-CN"/>
        </w:rPr>
        <w:t>该项目未设置成本指标，无法反映项目实施产生的各方面成本的预期控制范围。</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3.资金投入</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（1）预算编制科学性评价分析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在西城检察院大楼各设定岗点安排人员22人，按照人员数量及相关标准编制预算113.52万元。</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w:t>
      </w:r>
      <w:r>
        <w:rPr>
          <w:rFonts w:hint="default" w:ascii="仿宋_GB2312" w:hAnsi="仿宋_GB2312" w:eastAsia="仿宋_GB2312" w:cs="仿宋_GB2312"/>
          <w:sz w:val="32"/>
          <w:szCs w:val="32"/>
          <w:lang w:val="en-US" w:eastAsia="zh-CN"/>
        </w:rPr>
        <w:t>该项目内容符合单位现实需求，项目立项程序较规范；项目总体绩效目标较明确，预算支出方向与实际工作内容较相符，预算资金量与实际工作量较匹配</w:t>
      </w:r>
      <w:r>
        <w:rPr>
          <w:rFonts w:hint="eastAsia" w:ascii="仿宋_GB2312" w:hAnsi="仿宋_GB2312" w:eastAsia="仿宋_GB2312" w:cs="仿宋_GB2312"/>
          <w:sz w:val="32"/>
          <w:szCs w:val="32"/>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（2）资金分配合理性评价分析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该项目预算资金根据</w:t>
      </w:r>
      <w:r>
        <w:rPr>
          <w:rFonts w:hint="eastAsia" w:ascii="仿宋_GB2312" w:hAnsi="仿宋_GB2312" w:eastAsia="仿宋_GB2312" w:cs="仿宋_GB2312"/>
          <w:sz w:val="32"/>
          <w:szCs w:val="32"/>
          <w:lang w:val="en-US" w:eastAsia="zh-CN"/>
        </w:rPr>
        <w:t>需求进行合理分配，根据</w:t>
      </w:r>
      <w:r>
        <w:rPr>
          <w:rFonts w:hint="default" w:ascii="仿宋_GB2312" w:hAnsi="仿宋_GB2312" w:eastAsia="仿宋_GB2312" w:cs="仿宋_GB2312"/>
          <w:sz w:val="32"/>
          <w:szCs w:val="32"/>
          <w:lang w:val="en-US" w:eastAsia="zh-CN"/>
        </w:rPr>
        <w:t>合同约定及项目实施进度</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具体</w:t>
      </w:r>
      <w:r>
        <w:rPr>
          <w:rFonts w:hint="eastAsia" w:ascii="仿宋_GB2312" w:hAnsi="仿宋_GB2312" w:eastAsia="仿宋_GB2312" w:cs="仿宋_GB2312"/>
          <w:sz w:val="32"/>
          <w:szCs w:val="32"/>
          <w:lang w:val="en-US" w:eastAsia="zh-CN"/>
        </w:rPr>
        <w:t>服务</w:t>
      </w:r>
      <w:r>
        <w:rPr>
          <w:rFonts w:hint="default" w:ascii="仿宋_GB2312" w:hAnsi="仿宋_GB2312" w:eastAsia="仿宋_GB2312" w:cs="仿宋_GB2312"/>
          <w:sz w:val="32"/>
          <w:szCs w:val="32"/>
          <w:lang w:val="en-US" w:eastAsia="zh-CN"/>
        </w:rPr>
        <w:t>内容</w:t>
      </w:r>
      <w:r>
        <w:rPr>
          <w:rFonts w:hint="eastAsia" w:ascii="仿宋_GB2312" w:hAnsi="仿宋_GB2312" w:eastAsia="仿宋_GB2312" w:cs="仿宋_GB2312"/>
          <w:sz w:val="32"/>
          <w:szCs w:val="32"/>
          <w:lang w:val="en-US" w:eastAsia="zh-CN"/>
        </w:rPr>
        <w:t>分2次进行支付</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在</w:t>
      </w:r>
      <w:r>
        <w:rPr>
          <w:rFonts w:hint="default" w:ascii="仿宋_GB2312" w:hAnsi="仿宋_GB2312" w:eastAsia="仿宋_GB2312" w:cs="仿宋_GB2312"/>
          <w:sz w:val="32"/>
          <w:szCs w:val="32"/>
          <w:lang w:val="en-US" w:eastAsia="zh-CN"/>
        </w:rPr>
        <w:t>预算资金</w:t>
      </w:r>
      <w:r>
        <w:rPr>
          <w:rFonts w:hint="eastAsia" w:ascii="仿宋_GB2312" w:hAnsi="仿宋_GB2312" w:eastAsia="仿宋_GB2312" w:cs="仿宋_GB2312"/>
          <w:sz w:val="32"/>
          <w:szCs w:val="32"/>
          <w:lang w:val="en-US" w:eastAsia="zh-CN"/>
        </w:rPr>
        <w:t>分配方面</w:t>
      </w:r>
      <w:r>
        <w:rPr>
          <w:rFonts w:hint="default" w:ascii="仿宋_GB2312" w:hAnsi="仿宋_GB2312" w:eastAsia="仿宋_GB2312" w:cs="仿宋_GB2312"/>
          <w:sz w:val="32"/>
          <w:szCs w:val="32"/>
          <w:lang w:val="en-US" w:eastAsia="zh-CN"/>
        </w:rPr>
        <w:t>，结合总体绩效目标和绩效指标内容，对项目预算资金分配进行</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内部审核。</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default" w:ascii="楷体_GB2312" w:hAnsi="楷体_GB2312" w:eastAsia="楷体_GB2312" w:cs="楷体_GB2312"/>
          <w:b/>
          <w:bCs/>
          <w:sz w:val="32"/>
          <w:szCs w:val="32"/>
          <w:lang w:val="en-US" w:eastAsia="zh-CN"/>
        </w:rPr>
      </w:pPr>
      <w:bookmarkStart w:id="40" w:name="_Toc25311"/>
      <w:bookmarkStart w:id="41" w:name="_Toc18944"/>
      <w:bookmarkStart w:id="42" w:name="_Toc5420"/>
      <w:r>
        <w:rPr>
          <w:rFonts w:hint="eastAsia" w:ascii="楷体_GB2312" w:hAnsi="楷体_GB2312" w:eastAsia="楷体_GB2312" w:cs="楷体_GB2312"/>
          <w:b/>
          <w:bCs/>
          <w:sz w:val="32"/>
          <w:szCs w:val="32"/>
          <w:lang w:val="en-US" w:eastAsia="zh-CN"/>
        </w:rPr>
        <w:t>（二）项目过程情况</w:t>
      </w:r>
      <w:bookmarkEnd w:id="40"/>
      <w:bookmarkEnd w:id="41"/>
      <w:bookmarkEnd w:id="42"/>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lang w:val="en-US" w:eastAsia="zh-CN" w:bidi="ar-SA"/>
        </w:rPr>
      </w:pPr>
      <w:bookmarkStart w:id="43" w:name="_Toc6844"/>
      <w:bookmarkStart w:id="44" w:name="_Toc23490"/>
      <w:r>
        <w:rPr>
          <w:rFonts w:hint="eastAsia" w:ascii="仿宋_GB2312" w:hAnsi="仿宋_GB2312" w:eastAsia="仿宋_GB2312" w:cs="仿宋_GB2312"/>
          <w:b w:val="0"/>
          <w:bCs w:val="0"/>
          <w:kern w:val="1"/>
          <w:sz w:val="32"/>
          <w:szCs w:val="32"/>
          <w:lang w:val="en-US" w:eastAsia="zh-CN" w:bidi="ar-SA"/>
        </w:rPr>
        <w:t>项目过程指标，满分20.0分，评价</w:t>
      </w:r>
      <w:r>
        <w:rPr>
          <w:rFonts w:hint="eastAsia" w:ascii="仿宋_GB2312" w:hAnsi="仿宋_GB2312" w:eastAsia="仿宋_GB2312" w:cs="仿宋_GB2312"/>
          <w:b w:val="0"/>
          <w:bCs w:val="0"/>
          <w:kern w:val="1"/>
          <w:sz w:val="32"/>
          <w:szCs w:val="32"/>
          <w:highlight w:val="none"/>
          <w:lang w:val="en-US" w:eastAsia="zh-CN" w:bidi="ar-SA"/>
        </w:rPr>
        <w:t>得分为18.0分。</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bookmarkEnd w:id="43"/>
      <w:bookmarkEnd w:id="44"/>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eastAsia" w:ascii="仿宋_GB2312" w:hAnsi="仿宋_GB2312" w:eastAsia="仿宋_GB2312" w:cs="仿宋_GB2312"/>
          <w:b w:val="0"/>
          <w:bCs w:val="0"/>
          <w:kern w:val="1"/>
          <w:sz w:val="32"/>
          <w:szCs w:val="32"/>
          <w:lang w:val="en-US" w:eastAsia="zh-CN" w:bidi="ar-SA"/>
        </w:rPr>
        <w:t>（1）资金到位率评价分析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eastAsia" w:ascii="仿宋_GB2312" w:hAnsi="仿宋_GB2312" w:eastAsia="仿宋_GB2312" w:cs="仿宋_GB2312"/>
          <w:b w:val="0"/>
          <w:bCs w:val="0"/>
          <w:kern w:val="1"/>
          <w:sz w:val="32"/>
          <w:szCs w:val="32"/>
          <w:lang w:val="en-US" w:eastAsia="zh-CN" w:bidi="ar-SA"/>
        </w:rPr>
        <w:t>该项目的资金到位率为=（实际到位资金/预算资金）×100%=（113.52万元/113.52万元）×100%=100%。</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eastAsia" w:ascii="仿宋_GB2312" w:hAnsi="仿宋_GB2312" w:eastAsia="仿宋_GB2312" w:cs="仿宋_GB2312"/>
          <w:b w:val="0"/>
          <w:bCs w:val="0"/>
          <w:kern w:val="1"/>
          <w:sz w:val="32"/>
          <w:szCs w:val="32"/>
          <w:lang w:val="en-US" w:eastAsia="zh-CN" w:bidi="ar-SA"/>
        </w:rPr>
        <w:t>（2）预算执行率评价分析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lang w:val="en-US" w:eastAsia="zh-CN" w:bidi="ar-SA"/>
        </w:rPr>
      </w:pPr>
      <w:r>
        <w:rPr>
          <w:rFonts w:hint="eastAsia" w:ascii="仿宋_GB2312" w:hAnsi="仿宋_GB2312" w:eastAsia="仿宋_GB2312" w:cs="仿宋_GB2312"/>
          <w:b w:val="0"/>
          <w:bCs w:val="0"/>
          <w:kern w:val="1"/>
          <w:sz w:val="32"/>
          <w:szCs w:val="32"/>
          <w:lang w:val="en-US" w:eastAsia="zh-CN" w:bidi="ar-SA"/>
        </w:rPr>
        <w:t xml:space="preserve"> 该项目的预算执行率=（实际支出资金/实际到位资金）×100%=（113.52万元/113.52万元）×100%=100%。</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（3）资金使用合规性</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lang w:val="en-US" w:eastAsia="zh-CN" w:bidi="ar-SA"/>
        </w:rPr>
        <w:t>按照与</w:t>
      </w:r>
      <w:r>
        <w:rPr>
          <w:rFonts w:hint="eastAsia" w:ascii="仿宋_GB2312" w:hAnsi="仿宋_GB2312" w:eastAsia="仿宋_GB2312" w:cs="仿宋_GB2312"/>
          <w:b w:val="0"/>
          <w:bCs w:val="0"/>
          <w:kern w:val="1"/>
          <w:sz w:val="32"/>
          <w:szCs w:val="32"/>
          <w:lang w:val="en-US" w:eastAsia="zh-CN" w:bidi="ar-SA"/>
        </w:rPr>
        <w:t>安保安检服务供应商</w:t>
      </w:r>
      <w:r>
        <w:rPr>
          <w:rFonts w:hint="default" w:ascii="仿宋_GB2312" w:hAnsi="仿宋_GB2312" w:eastAsia="仿宋_GB2312" w:cs="仿宋_GB2312"/>
          <w:b w:val="0"/>
          <w:bCs w:val="0"/>
          <w:kern w:val="1"/>
          <w:sz w:val="32"/>
          <w:szCs w:val="32"/>
          <w:lang w:val="en-US" w:eastAsia="zh-CN" w:bidi="ar-SA"/>
        </w:rPr>
        <w:t>签订的合同，</w:t>
      </w:r>
      <w:r>
        <w:rPr>
          <w:rFonts w:hint="eastAsia" w:ascii="仿宋_GB2312" w:hAnsi="仿宋_GB2312" w:eastAsia="仿宋_GB2312" w:cs="仿宋_GB2312"/>
          <w:b w:val="0"/>
          <w:bCs w:val="0"/>
          <w:kern w:val="1"/>
          <w:sz w:val="32"/>
          <w:szCs w:val="32"/>
          <w:lang w:val="en-US" w:eastAsia="zh-CN" w:bidi="ar-SA"/>
        </w:rPr>
        <w:t>实行半年付。</w:t>
      </w:r>
      <w:r>
        <w:rPr>
          <w:rFonts w:hint="default" w:ascii="仿宋_GB2312" w:hAnsi="仿宋_GB2312" w:eastAsia="仿宋_GB2312" w:cs="仿宋_GB2312"/>
          <w:b w:val="0"/>
          <w:bCs w:val="0"/>
          <w:kern w:val="1"/>
          <w:sz w:val="32"/>
          <w:szCs w:val="32"/>
          <w:lang w:val="en-US" w:eastAsia="zh-CN" w:bidi="ar-SA"/>
        </w:rPr>
        <w:t>根据单位《</w:t>
      </w:r>
      <w:r>
        <w:rPr>
          <w:rFonts w:hint="eastAsia" w:ascii="仿宋_GB2312" w:hAnsi="仿宋_GB2312" w:eastAsia="仿宋_GB2312" w:cs="仿宋_GB2312"/>
          <w:b w:val="0"/>
          <w:bCs w:val="0"/>
          <w:kern w:val="1"/>
          <w:sz w:val="32"/>
          <w:szCs w:val="32"/>
          <w:lang w:val="en-US" w:eastAsia="zh-CN" w:bidi="ar-SA"/>
        </w:rPr>
        <w:t>预算项目管理办法</w:t>
      </w:r>
      <w:r>
        <w:rPr>
          <w:rFonts w:hint="default" w:ascii="仿宋_GB2312" w:hAnsi="仿宋_GB2312" w:eastAsia="仿宋_GB2312" w:cs="仿宋_GB2312"/>
          <w:b w:val="0"/>
          <w:bCs w:val="0"/>
          <w:kern w:val="1"/>
          <w:sz w:val="32"/>
          <w:szCs w:val="32"/>
          <w:lang w:val="en-US" w:eastAsia="zh-CN" w:bidi="ar-SA"/>
        </w:rPr>
        <w:t>》、《经费支出管理办法》等制度进行财务管理。项目进行了独立核算，</w:t>
      </w:r>
      <w:r>
        <w:rPr>
          <w:rFonts w:hint="eastAsia" w:ascii="仿宋_GB2312" w:hAnsi="仿宋_GB2312" w:eastAsia="仿宋_GB2312" w:cs="仿宋_GB2312"/>
          <w:b w:val="0"/>
          <w:bCs w:val="0"/>
          <w:kern w:val="1"/>
          <w:sz w:val="32"/>
          <w:szCs w:val="32"/>
          <w:lang w:val="en-US" w:eastAsia="zh-CN" w:bidi="ar-SA"/>
        </w:rPr>
        <w:t>分批次每半年</w:t>
      </w:r>
      <w:r>
        <w:rPr>
          <w:rFonts w:hint="default" w:ascii="仿宋_GB2312" w:hAnsi="仿宋_GB2312" w:eastAsia="仿宋_GB2312" w:cs="仿宋_GB2312"/>
          <w:b w:val="0"/>
          <w:bCs w:val="0"/>
          <w:kern w:val="1"/>
          <w:sz w:val="32"/>
          <w:szCs w:val="32"/>
          <w:lang w:val="en-US" w:eastAsia="zh-CN" w:bidi="ar-SA"/>
        </w:rPr>
        <w:t>定期支付安保安检费用</w:t>
      </w:r>
      <w:r>
        <w:rPr>
          <w:rFonts w:hint="default" w:ascii="仿宋_GB2312" w:hAnsi="仿宋_GB2312" w:eastAsia="仿宋_GB2312" w:cs="仿宋_GB2312"/>
          <w:b w:val="0"/>
          <w:bCs w:val="0"/>
          <w:kern w:val="1"/>
          <w:sz w:val="32"/>
          <w:szCs w:val="32"/>
          <w:highlight w:val="none"/>
          <w:lang w:val="en-US" w:eastAsia="zh-CN" w:bidi="ar-SA"/>
        </w:rPr>
        <w:t>，每笔支出均有完整的审批程序和手续</w:t>
      </w:r>
      <w:r>
        <w:rPr>
          <w:rFonts w:hint="eastAsia" w:ascii="仿宋_GB2312" w:hAnsi="仿宋_GB2312" w:eastAsia="仿宋_GB2312" w:cs="仿宋_GB2312"/>
          <w:b w:val="0"/>
          <w:bCs w:val="0"/>
          <w:kern w:val="1"/>
          <w:sz w:val="32"/>
          <w:szCs w:val="32"/>
          <w:highlight w:val="none"/>
          <w:lang w:val="en-US" w:eastAsia="zh-CN" w:bidi="ar-SA"/>
        </w:rPr>
        <w:t>符合</w:t>
      </w:r>
      <w:r>
        <w:rPr>
          <w:rFonts w:hint="default" w:ascii="仿宋_GB2312" w:hAnsi="仿宋_GB2312" w:eastAsia="仿宋_GB2312" w:cs="仿宋_GB2312"/>
          <w:b w:val="0"/>
          <w:bCs w:val="0"/>
          <w:kern w:val="1"/>
          <w:sz w:val="32"/>
          <w:szCs w:val="32"/>
          <w:highlight w:val="none"/>
          <w:lang w:val="en-US" w:eastAsia="zh-CN" w:bidi="ar-SA"/>
        </w:rPr>
        <w:t>结清项目款项要求，财务数据真实、准确。</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2.组织实施</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（1）管理制度健全性评价分析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lang w:val="en-US" w:eastAsia="zh-CN" w:bidi="ar-SA"/>
        </w:rPr>
        <w:t>西城检察院</w:t>
      </w:r>
      <w:r>
        <w:rPr>
          <w:rFonts w:hint="default" w:ascii="仿宋_GB2312" w:hAnsi="仿宋_GB2312" w:eastAsia="仿宋_GB2312" w:cs="仿宋_GB2312"/>
          <w:b w:val="0"/>
          <w:bCs w:val="0"/>
          <w:kern w:val="1"/>
          <w:sz w:val="32"/>
          <w:szCs w:val="32"/>
          <w:lang w:val="en-US" w:eastAsia="zh-CN" w:bidi="ar-SA"/>
        </w:rPr>
        <w:t>建立了较为完善内部控制制度</w:t>
      </w:r>
      <w:r>
        <w:rPr>
          <w:rFonts w:hint="default" w:ascii="仿宋_GB2312" w:hAnsi="仿宋_GB2312" w:eastAsia="仿宋_GB2312" w:cs="仿宋_GB2312"/>
          <w:b w:val="0"/>
          <w:bCs w:val="0"/>
          <w:kern w:val="1"/>
          <w:sz w:val="32"/>
          <w:szCs w:val="32"/>
          <w:highlight w:val="none"/>
          <w:lang w:val="en-US" w:eastAsia="zh-CN" w:bidi="ar-SA"/>
        </w:rPr>
        <w:t>，明确了财务和</w:t>
      </w:r>
      <w:r>
        <w:rPr>
          <w:rFonts w:hint="eastAsia" w:ascii="仿宋_GB2312" w:hAnsi="仿宋_GB2312" w:eastAsia="仿宋_GB2312" w:cs="仿宋_GB2312"/>
          <w:b w:val="0"/>
          <w:bCs w:val="0"/>
          <w:kern w:val="1"/>
          <w:sz w:val="32"/>
          <w:szCs w:val="32"/>
          <w:highlight w:val="none"/>
          <w:lang w:val="en-US" w:eastAsia="zh-CN" w:bidi="ar-SA"/>
        </w:rPr>
        <w:t>项目管理</w:t>
      </w:r>
      <w:r>
        <w:rPr>
          <w:rFonts w:hint="default" w:ascii="仿宋_GB2312" w:hAnsi="仿宋_GB2312" w:eastAsia="仿宋_GB2312" w:cs="仿宋_GB2312"/>
          <w:b w:val="0"/>
          <w:bCs w:val="0"/>
          <w:kern w:val="1"/>
          <w:sz w:val="32"/>
          <w:szCs w:val="32"/>
          <w:highlight w:val="none"/>
          <w:lang w:val="en-US" w:eastAsia="zh-CN" w:bidi="ar-SA"/>
        </w:rPr>
        <w:t>方面相关制度规定。</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一是</w:t>
      </w:r>
      <w:r>
        <w:rPr>
          <w:rFonts w:hint="eastAsia" w:ascii="仿宋_GB2312" w:hAnsi="仿宋_GB2312" w:eastAsia="仿宋_GB2312" w:cs="仿宋_GB2312"/>
          <w:b w:val="0"/>
          <w:bCs w:val="0"/>
          <w:kern w:val="1"/>
          <w:sz w:val="32"/>
          <w:szCs w:val="32"/>
          <w:lang w:val="en-US" w:eastAsia="zh-CN" w:bidi="ar-SA"/>
        </w:rPr>
        <w:t>合同</w:t>
      </w:r>
      <w:r>
        <w:rPr>
          <w:rFonts w:hint="default" w:ascii="仿宋_GB2312" w:hAnsi="仿宋_GB2312" w:eastAsia="仿宋_GB2312" w:cs="仿宋_GB2312"/>
          <w:b w:val="0"/>
          <w:bCs w:val="0"/>
          <w:kern w:val="1"/>
          <w:sz w:val="32"/>
          <w:szCs w:val="32"/>
          <w:lang w:val="en-US" w:eastAsia="zh-CN" w:bidi="ar-SA"/>
        </w:rPr>
        <w:t>管理方面，根据《中华人民共和国</w:t>
      </w:r>
      <w:r>
        <w:rPr>
          <w:rFonts w:hint="eastAsia" w:ascii="仿宋_GB2312" w:hAnsi="仿宋_GB2312" w:eastAsia="仿宋_GB2312" w:cs="仿宋_GB2312"/>
          <w:b w:val="0"/>
          <w:bCs w:val="0"/>
          <w:kern w:val="1"/>
          <w:sz w:val="32"/>
          <w:szCs w:val="32"/>
          <w:lang w:val="en-US" w:eastAsia="zh-CN" w:bidi="ar-SA"/>
        </w:rPr>
        <w:t>民法典</w:t>
      </w:r>
      <w:r>
        <w:rPr>
          <w:rFonts w:hint="default" w:ascii="仿宋_GB2312" w:hAnsi="仿宋_GB2312" w:eastAsia="仿宋_GB2312" w:cs="仿宋_GB2312"/>
          <w:b w:val="0"/>
          <w:bCs w:val="0"/>
          <w:kern w:val="1"/>
          <w:sz w:val="32"/>
          <w:szCs w:val="32"/>
          <w:lang w:val="en-US" w:eastAsia="zh-CN" w:bidi="ar-SA"/>
        </w:rPr>
        <w:t>》及相关的规章制度，单位结合实际情况制定了</w:t>
      </w:r>
      <w:r>
        <w:rPr>
          <w:rFonts w:hint="eastAsia" w:ascii="仿宋_GB2312" w:hAnsi="仿宋_GB2312" w:eastAsia="仿宋_GB2312" w:cs="仿宋_GB2312"/>
          <w:b w:val="0"/>
          <w:bCs w:val="0"/>
          <w:kern w:val="1"/>
          <w:sz w:val="32"/>
          <w:szCs w:val="32"/>
          <w:lang w:val="en-US" w:eastAsia="zh-CN" w:bidi="ar-SA"/>
        </w:rPr>
        <w:t>《北京市西城区人民检察院合同管理办法（试行）》</w:t>
      </w:r>
      <w:r>
        <w:rPr>
          <w:rFonts w:hint="default" w:ascii="仿宋_GB2312" w:hAnsi="仿宋_GB2312" w:eastAsia="仿宋_GB2312" w:cs="仿宋_GB2312"/>
          <w:b w:val="0"/>
          <w:bCs w:val="0"/>
          <w:kern w:val="1"/>
          <w:sz w:val="32"/>
          <w:szCs w:val="32"/>
          <w:lang w:val="en-US" w:eastAsia="zh-CN" w:bidi="ar-SA"/>
        </w:rPr>
        <w:t>等内控制度。</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二是</w:t>
      </w:r>
      <w:r>
        <w:rPr>
          <w:rFonts w:hint="eastAsia" w:ascii="仿宋_GB2312" w:hAnsi="仿宋_GB2312" w:eastAsia="仿宋_GB2312" w:cs="仿宋_GB2312"/>
          <w:b w:val="0"/>
          <w:bCs w:val="0"/>
          <w:kern w:val="1"/>
          <w:sz w:val="32"/>
          <w:szCs w:val="32"/>
          <w:lang w:val="en-US" w:eastAsia="zh-CN" w:bidi="ar-SA"/>
        </w:rPr>
        <w:t>采购</w:t>
      </w:r>
      <w:r>
        <w:rPr>
          <w:rFonts w:hint="default" w:ascii="仿宋_GB2312" w:hAnsi="仿宋_GB2312" w:eastAsia="仿宋_GB2312" w:cs="仿宋_GB2312"/>
          <w:b w:val="0"/>
          <w:bCs w:val="0"/>
          <w:kern w:val="1"/>
          <w:sz w:val="32"/>
          <w:szCs w:val="32"/>
          <w:lang w:val="en-US" w:eastAsia="zh-CN" w:bidi="ar-SA"/>
        </w:rPr>
        <w:t>管理方面，</w:t>
      </w:r>
      <w:r>
        <w:rPr>
          <w:rFonts w:hint="eastAsia" w:ascii="仿宋_GB2312" w:hAnsi="仿宋_GB2312" w:eastAsia="仿宋_GB2312" w:cs="仿宋_GB2312"/>
          <w:b w:val="0"/>
          <w:bCs w:val="0"/>
          <w:kern w:val="1"/>
          <w:sz w:val="32"/>
          <w:szCs w:val="32"/>
          <w:lang w:val="en-US" w:eastAsia="zh-CN" w:bidi="ar-SA"/>
        </w:rPr>
        <w:t>根据《中华人民共和国政府采购法》《政府采购货物和服务招标投标管理办法》《政府采购非招标采购方式管理办法》以及北京市采购管理相关文件规定，</w:t>
      </w:r>
      <w:r>
        <w:rPr>
          <w:rFonts w:hint="default" w:ascii="仿宋_GB2312" w:hAnsi="仿宋_GB2312" w:eastAsia="仿宋_GB2312" w:cs="仿宋_GB2312"/>
          <w:b w:val="0"/>
          <w:bCs w:val="0"/>
          <w:kern w:val="1"/>
          <w:sz w:val="32"/>
          <w:szCs w:val="32"/>
          <w:lang w:val="en-US" w:eastAsia="zh-CN" w:bidi="ar-SA"/>
        </w:rPr>
        <w:t>制</w:t>
      </w:r>
      <w:r>
        <w:rPr>
          <w:rFonts w:hint="eastAsia" w:ascii="仿宋_GB2312" w:hAnsi="仿宋_GB2312" w:eastAsia="仿宋_GB2312" w:cs="仿宋_GB2312"/>
          <w:b w:val="0"/>
          <w:bCs w:val="0"/>
          <w:kern w:val="1"/>
          <w:sz w:val="32"/>
          <w:szCs w:val="32"/>
          <w:lang w:val="en-US" w:eastAsia="zh-CN" w:bidi="ar-SA"/>
        </w:rPr>
        <w:t>定了《北京市西城区人民检察院采购管理办法（试行）》</w:t>
      </w:r>
      <w:r>
        <w:rPr>
          <w:rFonts w:hint="default" w:ascii="仿宋_GB2312" w:hAnsi="仿宋_GB2312" w:eastAsia="仿宋_GB2312" w:cs="仿宋_GB2312"/>
          <w:b w:val="0"/>
          <w:bCs w:val="0"/>
          <w:kern w:val="1"/>
          <w:sz w:val="32"/>
          <w:szCs w:val="32"/>
          <w:lang w:val="en-US" w:eastAsia="zh-CN" w:bidi="ar-SA"/>
        </w:rPr>
        <w:t>管理制度。</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综上，该项目涉及的管理制度相对健全完善，上述财务和</w:t>
      </w:r>
      <w:r>
        <w:rPr>
          <w:rFonts w:hint="eastAsia" w:ascii="仿宋_GB2312" w:hAnsi="仿宋_GB2312" w:eastAsia="仿宋_GB2312" w:cs="仿宋_GB2312"/>
          <w:b w:val="0"/>
          <w:bCs w:val="0"/>
          <w:kern w:val="1"/>
          <w:sz w:val="32"/>
          <w:szCs w:val="32"/>
          <w:lang w:val="en-US" w:eastAsia="zh-CN" w:bidi="ar-SA"/>
        </w:rPr>
        <w:t>项目</w:t>
      </w:r>
      <w:r>
        <w:rPr>
          <w:rFonts w:hint="default" w:ascii="仿宋_GB2312" w:hAnsi="仿宋_GB2312" w:eastAsia="仿宋_GB2312" w:cs="仿宋_GB2312"/>
          <w:b w:val="0"/>
          <w:bCs w:val="0"/>
          <w:kern w:val="1"/>
          <w:sz w:val="32"/>
          <w:szCs w:val="32"/>
          <w:lang w:val="en-US" w:eastAsia="zh-CN" w:bidi="ar-SA"/>
        </w:rPr>
        <w:t>管理制度对项目顺利实施的提供了政策保障。</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（2）制度执行有效性评价分析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lang w:val="en-US" w:eastAsia="zh-CN" w:bidi="ar-SA"/>
        </w:rPr>
      </w:pPr>
      <w:r>
        <w:rPr>
          <w:rFonts w:hint="default" w:ascii="仿宋_GB2312" w:hAnsi="仿宋_GB2312" w:eastAsia="仿宋_GB2312" w:cs="仿宋_GB2312"/>
          <w:b w:val="0"/>
          <w:bCs w:val="0"/>
          <w:kern w:val="1"/>
          <w:sz w:val="32"/>
          <w:szCs w:val="32"/>
          <w:lang w:val="en-US" w:eastAsia="zh-CN" w:bidi="ar-SA"/>
        </w:rPr>
        <w:t>该项目执行能够按照内部控制制度规范执行，在院领导领导下，</w:t>
      </w:r>
      <w:r>
        <w:rPr>
          <w:rFonts w:hint="eastAsia" w:ascii="仿宋_GB2312" w:hAnsi="仿宋_GB2312" w:eastAsia="仿宋_GB2312" w:cs="仿宋_GB2312"/>
          <w:b w:val="0"/>
          <w:bCs w:val="0"/>
          <w:kern w:val="1"/>
          <w:sz w:val="32"/>
          <w:szCs w:val="32"/>
          <w:lang w:val="en-US" w:eastAsia="zh-CN" w:bidi="ar-SA"/>
        </w:rPr>
        <w:t>办公室（行政事务管理部）</w:t>
      </w:r>
      <w:r>
        <w:rPr>
          <w:rFonts w:hint="default" w:ascii="仿宋_GB2312" w:hAnsi="仿宋_GB2312" w:eastAsia="仿宋_GB2312" w:cs="仿宋_GB2312"/>
          <w:b w:val="0"/>
          <w:bCs w:val="0"/>
          <w:kern w:val="1"/>
          <w:sz w:val="32"/>
          <w:szCs w:val="32"/>
          <w:lang w:val="en-US" w:eastAsia="zh-CN" w:bidi="ar-SA"/>
        </w:rPr>
        <w:t>全面负责项目的统筹规划，完成具体项目的申报、日常管理和考核工作</w:t>
      </w:r>
      <w:r>
        <w:rPr>
          <w:rFonts w:hint="eastAsia" w:ascii="仿宋_GB2312" w:hAnsi="仿宋_GB2312" w:eastAsia="仿宋_GB2312" w:cs="仿宋_GB2312"/>
          <w:b w:val="0"/>
          <w:bCs w:val="0"/>
          <w:kern w:val="1"/>
          <w:sz w:val="32"/>
          <w:szCs w:val="32"/>
          <w:lang w:val="en-US" w:eastAsia="zh-CN" w:bidi="ar-SA"/>
        </w:rPr>
        <w:t>，</w:t>
      </w:r>
      <w:r>
        <w:rPr>
          <w:rFonts w:hint="default" w:ascii="仿宋_GB2312" w:hAnsi="仿宋_GB2312" w:eastAsia="仿宋_GB2312" w:cs="仿宋_GB2312"/>
          <w:b w:val="0"/>
          <w:bCs w:val="0"/>
          <w:kern w:val="1"/>
          <w:sz w:val="32"/>
          <w:szCs w:val="32"/>
          <w:lang w:val="en-US" w:eastAsia="zh-CN" w:bidi="ar-SA"/>
        </w:rPr>
        <w:t>该项目资金拨付有完整的审批程序；项目财务和</w:t>
      </w:r>
      <w:r>
        <w:rPr>
          <w:rFonts w:hint="eastAsia" w:ascii="仿宋_GB2312" w:hAnsi="仿宋_GB2312" w:eastAsia="仿宋_GB2312" w:cs="仿宋_GB2312"/>
          <w:b w:val="0"/>
          <w:bCs w:val="0"/>
          <w:kern w:val="1"/>
          <w:sz w:val="32"/>
          <w:szCs w:val="32"/>
          <w:lang w:val="en-US" w:eastAsia="zh-CN" w:bidi="ar-SA"/>
        </w:rPr>
        <w:t>项目</w:t>
      </w:r>
      <w:r>
        <w:rPr>
          <w:rFonts w:hint="default" w:ascii="仿宋_GB2312" w:hAnsi="仿宋_GB2312" w:eastAsia="仿宋_GB2312" w:cs="仿宋_GB2312"/>
          <w:b w:val="0"/>
          <w:bCs w:val="0"/>
          <w:kern w:val="1"/>
          <w:sz w:val="32"/>
          <w:szCs w:val="32"/>
          <w:lang w:val="en-US" w:eastAsia="zh-CN" w:bidi="ar-SA"/>
        </w:rPr>
        <w:t>管理制度较健全，能够按照制度规范执行项目。</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default" w:ascii="楷体_GB2312" w:hAnsi="楷体_GB2312" w:eastAsia="楷体_GB2312" w:cs="楷体_GB2312"/>
          <w:b/>
          <w:bCs/>
          <w:sz w:val="32"/>
          <w:szCs w:val="32"/>
          <w:lang w:val="en-US" w:eastAsia="zh-CN"/>
        </w:rPr>
      </w:pPr>
      <w:bookmarkStart w:id="45" w:name="_Toc7701"/>
      <w:r>
        <w:rPr>
          <w:rFonts w:hint="default" w:ascii="楷体_GB2312" w:hAnsi="楷体_GB2312" w:eastAsia="楷体_GB2312" w:cs="楷体_GB2312"/>
          <w:b/>
          <w:bCs/>
          <w:sz w:val="32"/>
          <w:szCs w:val="32"/>
          <w:lang w:val="en-US" w:eastAsia="zh-CN"/>
        </w:rPr>
        <w:t>（三）项目产出情况</w:t>
      </w:r>
      <w:bookmarkEnd w:id="45"/>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highlight w:val="yellow"/>
          <w:lang w:val="en-US" w:eastAsia="zh-CN" w:bidi="ar-SA"/>
        </w:rPr>
      </w:pPr>
      <w:r>
        <w:rPr>
          <w:rFonts w:hint="eastAsia" w:ascii="仿宋_GB2312" w:hAnsi="仿宋_GB2312" w:eastAsia="仿宋_GB2312" w:cs="仿宋_GB2312"/>
          <w:b w:val="0"/>
          <w:bCs w:val="0"/>
          <w:kern w:val="1"/>
          <w:sz w:val="32"/>
          <w:szCs w:val="32"/>
          <w:lang w:val="en-US" w:eastAsia="zh-CN" w:bidi="ar-SA"/>
        </w:rPr>
        <w:t>项目产出指标，满分40.00分</w:t>
      </w:r>
      <w:r>
        <w:rPr>
          <w:rFonts w:hint="eastAsia" w:ascii="仿宋_GB2312" w:hAnsi="仿宋_GB2312" w:eastAsia="仿宋_GB2312" w:cs="仿宋_GB2312"/>
          <w:b w:val="0"/>
          <w:bCs w:val="0"/>
          <w:kern w:val="1"/>
          <w:sz w:val="32"/>
          <w:szCs w:val="32"/>
          <w:highlight w:val="none"/>
          <w:lang w:val="en-US" w:eastAsia="zh-CN" w:bidi="ar-SA"/>
        </w:rPr>
        <w:t>，评价得分为39.0分。</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1.产出数量 实际完成率评价分析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计划：安保安检服务项目提供22名安检人员。</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实际：2024年西城检察院已完成安保安检人员22人。</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2.产出质量</w:t>
      </w:r>
      <w:r>
        <w:rPr>
          <w:rFonts w:hint="eastAsia" w:ascii="仿宋_GB2312" w:hAnsi="仿宋_GB2312" w:eastAsia="仿宋_GB2312" w:cs="仿宋_GB2312"/>
          <w:b/>
          <w:bCs/>
          <w:sz w:val="32"/>
          <w:szCs w:val="32"/>
          <w:lang w:val="en-US" w:eastAsia="zh-CN"/>
        </w:rPr>
        <w:t xml:space="preserve"> </w:t>
      </w:r>
      <w:r>
        <w:rPr>
          <w:rFonts w:hint="default" w:ascii="仿宋_GB2312" w:hAnsi="仿宋_GB2312" w:eastAsia="仿宋_GB2312" w:cs="仿宋_GB2312"/>
          <w:b/>
          <w:bCs/>
          <w:sz w:val="32"/>
          <w:szCs w:val="32"/>
          <w:lang w:val="en-US" w:eastAsia="zh-CN"/>
        </w:rPr>
        <w:t>质量达标率评价分析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highlight w:val="none"/>
          <w:lang w:val="en-US" w:eastAsia="zh-CN" w:bidi="ar-SA"/>
        </w:rPr>
        <w:t>计划：</w:t>
      </w:r>
      <w:r>
        <w:rPr>
          <w:rFonts w:hint="default" w:ascii="仿宋_GB2312" w:hAnsi="仿宋_GB2312" w:eastAsia="仿宋_GB2312" w:cs="仿宋_GB2312"/>
          <w:sz w:val="32"/>
          <w:szCs w:val="32"/>
          <w:lang w:val="en-US" w:eastAsia="zh-CN"/>
        </w:rPr>
        <w:t>保障办案人员、办案场所、设施安全</w:t>
      </w:r>
      <w:r>
        <w:rPr>
          <w:rFonts w:hint="eastAsia" w:ascii="仿宋_GB2312" w:hAnsi="仿宋_GB2312" w:eastAsia="仿宋_GB2312" w:cs="仿宋_GB2312"/>
          <w:b w:val="0"/>
          <w:bCs w:val="0"/>
          <w:kern w:val="1"/>
          <w:sz w:val="32"/>
          <w:szCs w:val="32"/>
          <w:highlight w:val="none"/>
          <w:lang w:val="en-US" w:eastAsia="zh-CN" w:bidi="ar-SA"/>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val="0"/>
          <w:bCs w:val="0"/>
          <w:kern w:val="1"/>
          <w:sz w:val="32"/>
          <w:szCs w:val="32"/>
          <w:highlight w:val="none"/>
          <w:lang w:val="en-US" w:eastAsia="zh-CN" w:bidi="ar-SA"/>
        </w:rPr>
        <w:t>实际：</w:t>
      </w:r>
      <w:r>
        <w:rPr>
          <w:rFonts w:hint="eastAsia" w:ascii="仿宋_GB2312" w:hAnsi="楷体" w:eastAsia="仿宋_GB2312"/>
          <w:bCs/>
          <w:kern w:val="0"/>
          <w:sz w:val="32"/>
          <w:szCs w:val="28"/>
          <w:lang w:val="en-US" w:eastAsia="zh-CN"/>
        </w:rPr>
        <w:t>已通过年初计划完成全年质量指标，有效减少了外来人员违规进入事件和应对突发事件的紧急措施</w:t>
      </w:r>
      <w:r>
        <w:rPr>
          <w:rFonts w:hint="default" w:ascii="仿宋_GB2312" w:hAnsi="仿宋_GB2312" w:eastAsia="仿宋_GB2312" w:cs="仿宋_GB2312"/>
          <w:sz w:val="32"/>
          <w:szCs w:val="32"/>
          <w:lang w:val="en-US" w:eastAsia="zh-CN"/>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3.产出时效 完成及时性评价分析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计划：及时处理突发情况。</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宋体"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实际：根据安保安检服务供应商的服务方案，保障了该项目的执行，能够及时处理突发情况，产出时效性较好。但绩效指标设置较为笼统，未体现整个项目的实施进度，不够细化。</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4.产出成本 成本节约率评价分析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计划：控制项目成本不超过113.52万元。</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Cs/>
          <w:kern w:val="44"/>
          <w:sz w:val="32"/>
          <w:szCs w:val="32"/>
          <w:lang w:val="en-US" w:eastAsia="zh-CN"/>
        </w:rPr>
      </w:pPr>
      <w:r>
        <w:rPr>
          <w:rFonts w:hint="eastAsia" w:ascii="仿宋_GB2312" w:hAnsi="仿宋_GB2312" w:eastAsia="仿宋_GB2312" w:cs="仿宋_GB2312"/>
          <w:b w:val="0"/>
          <w:bCs w:val="0"/>
          <w:color w:val="auto"/>
          <w:kern w:val="1"/>
          <w:sz w:val="32"/>
          <w:szCs w:val="32"/>
          <w:highlight w:val="none"/>
          <w:lang w:val="en-US" w:eastAsia="zh-CN" w:bidi="ar-SA"/>
        </w:rPr>
        <w:t>实际：西城检察院2024年安保安检合同金额113.52万元，实际支付113.52万元。按照合同约定配备安保安检人员22人，并保证了每天24小时有人轮班在岗。</w:t>
      </w:r>
      <w:r>
        <w:rPr>
          <w:rFonts w:hint="eastAsia" w:ascii="仿宋_GB2312" w:hAnsi="仿宋_GB2312" w:eastAsia="仿宋_GB2312" w:cs="仿宋_GB2312"/>
          <w:bCs/>
          <w:color w:val="auto"/>
          <w:kern w:val="44"/>
          <w:sz w:val="32"/>
          <w:szCs w:val="32"/>
          <w:lang w:eastAsia="zh-CN"/>
        </w:rPr>
        <w:t>截至</w:t>
      </w:r>
      <w:r>
        <w:rPr>
          <w:rFonts w:hint="eastAsia" w:ascii="仿宋_GB2312" w:hAnsi="仿宋_GB2312" w:eastAsia="仿宋_GB2312" w:cs="仿宋_GB2312"/>
          <w:bCs/>
          <w:color w:val="auto"/>
          <w:kern w:val="44"/>
          <w:sz w:val="32"/>
          <w:szCs w:val="32"/>
          <w:lang w:val="en-US" w:eastAsia="zh-CN"/>
        </w:rPr>
        <w:t>2024年12月，该</w:t>
      </w:r>
      <w:r>
        <w:rPr>
          <w:rFonts w:hint="eastAsia" w:ascii="仿宋_GB2312" w:hAnsi="仿宋_GB2312" w:eastAsia="仿宋_GB2312" w:cs="仿宋_GB2312"/>
          <w:bCs/>
          <w:color w:val="auto"/>
          <w:kern w:val="44"/>
          <w:sz w:val="32"/>
          <w:szCs w:val="32"/>
        </w:rPr>
        <w:t>项目实际支出</w:t>
      </w:r>
      <w:r>
        <w:rPr>
          <w:rFonts w:hint="eastAsia" w:ascii="仿宋_GB2312" w:hAnsi="仿宋_GB2312" w:eastAsia="仿宋_GB2312" w:cs="仿宋_GB2312"/>
          <w:b w:val="0"/>
          <w:bCs w:val="0"/>
          <w:kern w:val="1"/>
          <w:sz w:val="32"/>
          <w:szCs w:val="32"/>
          <w:highlight w:val="none"/>
          <w:lang w:val="en-US" w:eastAsia="zh-CN" w:bidi="ar-SA"/>
        </w:rPr>
        <w:t>113.52</w:t>
      </w:r>
      <w:r>
        <w:rPr>
          <w:rFonts w:hint="eastAsia" w:ascii="仿宋_GB2312" w:hAnsi="仿宋_GB2312" w:eastAsia="仿宋_GB2312" w:cs="仿宋_GB2312"/>
          <w:bCs/>
          <w:color w:val="auto"/>
          <w:kern w:val="44"/>
          <w:sz w:val="32"/>
          <w:szCs w:val="32"/>
        </w:rPr>
        <w:t>万元，</w:t>
      </w:r>
      <w:r>
        <w:rPr>
          <w:rFonts w:hint="eastAsia" w:ascii="仿宋_GB2312" w:hAnsi="仿宋_GB2312" w:eastAsia="仿宋_GB2312" w:cs="仿宋_GB2312"/>
          <w:bCs/>
          <w:color w:val="auto"/>
          <w:kern w:val="44"/>
          <w:sz w:val="32"/>
          <w:szCs w:val="32"/>
          <w:lang w:eastAsia="zh-CN"/>
        </w:rPr>
        <w:t>未超出预算控制数。</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46" w:name="_Toc14364"/>
      <w:r>
        <w:rPr>
          <w:rFonts w:hint="eastAsia" w:ascii="楷体_GB2312" w:hAnsi="楷体_GB2312" w:eastAsia="楷体_GB2312" w:cs="楷体_GB2312"/>
          <w:b/>
          <w:bCs/>
          <w:sz w:val="32"/>
          <w:szCs w:val="32"/>
          <w:lang w:val="en-US" w:eastAsia="zh-CN"/>
        </w:rPr>
        <w:t>（四）项目效益情况</w:t>
      </w:r>
      <w:bookmarkEnd w:id="46"/>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lang w:val="en-US" w:eastAsia="zh-CN" w:bidi="ar-SA"/>
        </w:rPr>
        <w:t>项目效益指标，满分30.00分，评价</w:t>
      </w:r>
      <w:r>
        <w:rPr>
          <w:rFonts w:hint="eastAsia" w:ascii="仿宋_GB2312" w:hAnsi="仿宋_GB2312" w:eastAsia="仿宋_GB2312" w:cs="仿宋_GB2312"/>
          <w:b w:val="0"/>
          <w:bCs w:val="0"/>
          <w:kern w:val="1"/>
          <w:sz w:val="32"/>
          <w:szCs w:val="32"/>
          <w:highlight w:val="none"/>
          <w:lang w:val="en-US" w:eastAsia="zh-CN" w:bidi="ar-SA"/>
        </w:rPr>
        <w:t>得分为24.50分。</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w:t>
      </w:r>
      <w:r>
        <w:rPr>
          <w:rFonts w:hint="default" w:ascii="仿宋_GB2312" w:hAnsi="仿宋_GB2312" w:eastAsia="仿宋_GB2312" w:cs="仿宋_GB2312"/>
          <w:b/>
          <w:bCs/>
          <w:sz w:val="32"/>
          <w:szCs w:val="32"/>
          <w:lang w:val="en-US" w:eastAsia="zh-CN"/>
        </w:rPr>
        <w:t>效益评价分析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highlight w:val="none"/>
          <w:shd w:val="clear"/>
          <w:lang w:val="en-US" w:eastAsia="zh-CN" w:bidi="ar-SA"/>
        </w:rPr>
        <w:t>该项目的实施，完成了对</w:t>
      </w:r>
      <w:r>
        <w:rPr>
          <w:rFonts w:hint="eastAsia" w:ascii="仿宋_GB2312" w:hAnsi="仿宋_GB2312" w:eastAsia="仿宋_GB2312" w:cs="仿宋_GB2312"/>
          <w:b w:val="0"/>
          <w:bCs w:val="0"/>
          <w:kern w:val="1"/>
          <w:sz w:val="32"/>
          <w:szCs w:val="32"/>
          <w:highlight w:val="none"/>
          <w:shd w:val="clear"/>
          <w:lang w:val="en-US" w:eastAsia="zh-CN" w:bidi="ar-SA"/>
        </w:rPr>
        <w:t>单位</w:t>
      </w:r>
      <w:r>
        <w:rPr>
          <w:rFonts w:hint="default" w:ascii="仿宋_GB2312" w:hAnsi="仿宋_GB2312" w:eastAsia="仿宋_GB2312" w:cs="仿宋_GB2312"/>
          <w:b w:val="0"/>
          <w:bCs w:val="0"/>
          <w:kern w:val="1"/>
          <w:sz w:val="32"/>
          <w:szCs w:val="32"/>
          <w:highlight w:val="none"/>
          <w:shd w:val="clear"/>
          <w:lang w:val="en-US" w:eastAsia="zh-CN" w:bidi="ar-SA"/>
        </w:rPr>
        <w:t>配备</w:t>
      </w:r>
      <w:r>
        <w:rPr>
          <w:rFonts w:hint="eastAsia" w:ascii="仿宋_GB2312" w:hAnsi="仿宋_GB2312" w:eastAsia="仿宋_GB2312" w:cs="仿宋_GB2312"/>
          <w:b w:val="0"/>
          <w:bCs w:val="0"/>
          <w:kern w:val="1"/>
          <w:sz w:val="32"/>
          <w:szCs w:val="32"/>
          <w:highlight w:val="none"/>
          <w:shd w:val="clear"/>
          <w:lang w:val="en-US" w:eastAsia="zh-CN" w:bidi="ar-SA"/>
        </w:rPr>
        <w:t xml:space="preserve">安保安检人员22人 </w:t>
      </w:r>
      <w:r>
        <w:rPr>
          <w:rFonts w:hint="default" w:ascii="仿宋_GB2312" w:hAnsi="仿宋_GB2312" w:eastAsia="仿宋_GB2312" w:cs="仿宋_GB2312"/>
          <w:b w:val="0"/>
          <w:bCs w:val="0"/>
          <w:kern w:val="1"/>
          <w:sz w:val="32"/>
          <w:szCs w:val="32"/>
          <w:highlight w:val="none"/>
          <w:shd w:val="clear"/>
          <w:lang w:val="en-US" w:eastAsia="zh-CN" w:bidi="ar-SA"/>
        </w:rPr>
        <w:t>，</w:t>
      </w:r>
      <w:r>
        <w:rPr>
          <w:rFonts w:hint="default" w:ascii="仿宋_GB2312" w:hAnsi="仿宋_GB2312" w:eastAsia="仿宋_GB2312" w:cs="仿宋_GB2312"/>
          <w:b w:val="0"/>
          <w:bCs w:val="0"/>
          <w:kern w:val="1"/>
          <w:sz w:val="32"/>
          <w:szCs w:val="32"/>
          <w:highlight w:val="none"/>
          <w:lang w:val="en-US" w:eastAsia="zh-CN" w:bidi="ar-SA"/>
        </w:rPr>
        <w:t>保障</w:t>
      </w:r>
      <w:r>
        <w:rPr>
          <w:rFonts w:hint="eastAsia" w:ascii="仿宋_GB2312" w:hAnsi="仿宋_GB2312" w:eastAsia="仿宋_GB2312" w:cs="仿宋_GB2312"/>
          <w:b w:val="0"/>
          <w:bCs w:val="0"/>
          <w:kern w:val="1"/>
          <w:sz w:val="32"/>
          <w:szCs w:val="32"/>
          <w:highlight w:val="none"/>
          <w:lang w:val="en-US" w:eastAsia="zh-CN" w:bidi="ar-SA"/>
        </w:rPr>
        <w:t>了</w:t>
      </w:r>
      <w:r>
        <w:rPr>
          <w:rFonts w:hint="default" w:ascii="仿宋_GB2312" w:hAnsi="仿宋_GB2312" w:eastAsia="仿宋_GB2312" w:cs="仿宋_GB2312"/>
          <w:b w:val="0"/>
          <w:bCs w:val="0"/>
          <w:kern w:val="1"/>
          <w:sz w:val="32"/>
          <w:szCs w:val="32"/>
          <w:highlight w:val="none"/>
          <w:lang w:val="en-US" w:eastAsia="zh-CN" w:bidi="ar-SA"/>
        </w:rPr>
        <w:t>检察工作</w:t>
      </w:r>
      <w:r>
        <w:rPr>
          <w:rFonts w:hint="eastAsia" w:ascii="仿宋_GB2312" w:hAnsi="仿宋_GB2312" w:eastAsia="仿宋_GB2312" w:cs="仿宋_GB2312"/>
          <w:b w:val="0"/>
          <w:bCs w:val="0"/>
          <w:kern w:val="1"/>
          <w:sz w:val="32"/>
          <w:szCs w:val="32"/>
          <w:highlight w:val="none"/>
          <w:lang w:val="en-US" w:eastAsia="zh-CN" w:bidi="ar-SA"/>
        </w:rPr>
        <w:t>有序</w:t>
      </w:r>
      <w:r>
        <w:rPr>
          <w:rFonts w:hint="default" w:ascii="仿宋_GB2312" w:hAnsi="仿宋_GB2312" w:eastAsia="仿宋_GB2312" w:cs="仿宋_GB2312"/>
          <w:b w:val="0"/>
          <w:bCs w:val="0"/>
          <w:kern w:val="1"/>
          <w:sz w:val="32"/>
          <w:szCs w:val="32"/>
          <w:highlight w:val="none"/>
          <w:lang w:val="en-US" w:eastAsia="zh-CN" w:bidi="ar-SA"/>
        </w:rPr>
        <w:t>开展</w:t>
      </w:r>
      <w:r>
        <w:rPr>
          <w:rFonts w:hint="eastAsia" w:ascii="仿宋_GB2312" w:hAnsi="仿宋_GB2312" w:eastAsia="仿宋_GB2312" w:cs="仿宋_GB2312"/>
          <w:b w:val="0"/>
          <w:bCs w:val="0"/>
          <w:kern w:val="1"/>
          <w:sz w:val="32"/>
          <w:szCs w:val="32"/>
          <w:highlight w:val="none"/>
          <w:lang w:val="en-US" w:eastAsia="zh-CN" w:bidi="ar-SA"/>
        </w:rPr>
        <w:t>，</w:t>
      </w:r>
      <w:r>
        <w:rPr>
          <w:rFonts w:hint="default" w:ascii="仿宋_GB2312" w:hAnsi="仿宋_GB2312" w:eastAsia="仿宋_GB2312" w:cs="仿宋_GB2312"/>
          <w:b w:val="0"/>
          <w:bCs w:val="0"/>
          <w:kern w:val="1"/>
          <w:sz w:val="32"/>
          <w:szCs w:val="32"/>
          <w:highlight w:val="none"/>
          <w:lang w:val="en-US" w:eastAsia="zh-CN" w:bidi="ar-SA"/>
        </w:rPr>
        <w:t>提升</w:t>
      </w:r>
      <w:r>
        <w:rPr>
          <w:rFonts w:hint="eastAsia" w:ascii="仿宋_GB2312" w:hAnsi="仿宋_GB2312" w:eastAsia="仿宋_GB2312" w:cs="仿宋_GB2312"/>
          <w:b w:val="0"/>
          <w:bCs w:val="0"/>
          <w:kern w:val="1"/>
          <w:sz w:val="32"/>
          <w:szCs w:val="32"/>
          <w:highlight w:val="none"/>
          <w:lang w:val="en-US" w:eastAsia="zh-CN" w:bidi="ar-SA"/>
        </w:rPr>
        <w:t>了</w:t>
      </w:r>
      <w:r>
        <w:rPr>
          <w:rFonts w:hint="default" w:ascii="仿宋_GB2312" w:hAnsi="仿宋_GB2312" w:eastAsia="仿宋_GB2312" w:cs="仿宋_GB2312"/>
          <w:b w:val="0"/>
          <w:bCs w:val="0"/>
          <w:kern w:val="1"/>
          <w:sz w:val="32"/>
          <w:szCs w:val="32"/>
          <w:highlight w:val="none"/>
          <w:lang w:val="en-US" w:eastAsia="zh-CN" w:bidi="ar-SA"/>
        </w:rPr>
        <w:t>检察工作效率，</w:t>
      </w:r>
      <w:r>
        <w:rPr>
          <w:rFonts w:hint="eastAsia" w:ascii="仿宋_GB2312" w:hAnsi="仿宋_GB2312" w:eastAsia="仿宋_GB2312" w:cs="仿宋_GB2312"/>
          <w:b w:val="0"/>
          <w:bCs w:val="0"/>
          <w:kern w:val="1"/>
          <w:sz w:val="32"/>
          <w:szCs w:val="32"/>
          <w:highlight w:val="none"/>
          <w:lang w:val="en-US" w:eastAsia="zh-CN" w:bidi="ar-SA"/>
        </w:rPr>
        <w:t>维护</w:t>
      </w:r>
      <w:r>
        <w:rPr>
          <w:rFonts w:hint="default" w:ascii="仿宋_GB2312" w:hAnsi="仿宋_GB2312" w:eastAsia="仿宋_GB2312" w:cs="仿宋_GB2312"/>
          <w:b w:val="0"/>
          <w:bCs w:val="0"/>
          <w:kern w:val="1"/>
          <w:sz w:val="32"/>
          <w:szCs w:val="32"/>
          <w:highlight w:val="none"/>
          <w:lang w:val="en-US" w:eastAsia="zh-CN" w:bidi="ar-SA"/>
        </w:rPr>
        <w:t>良好检察工作氛围</w:t>
      </w:r>
      <w:r>
        <w:rPr>
          <w:rFonts w:hint="eastAsia" w:ascii="仿宋_GB2312" w:hAnsi="仿宋_GB2312" w:eastAsia="仿宋_GB2312" w:cs="仿宋_GB2312"/>
          <w:b w:val="0"/>
          <w:bCs w:val="0"/>
          <w:kern w:val="1"/>
          <w:sz w:val="32"/>
          <w:szCs w:val="32"/>
          <w:highlight w:val="none"/>
          <w:lang w:val="en-US" w:eastAsia="zh-CN" w:bidi="ar-SA"/>
        </w:rPr>
        <w:t>、社会稳定</w:t>
      </w:r>
      <w:r>
        <w:rPr>
          <w:rFonts w:hint="default" w:ascii="仿宋_GB2312" w:hAnsi="仿宋_GB2312" w:eastAsia="仿宋_GB2312" w:cs="仿宋_GB2312"/>
          <w:b w:val="0"/>
          <w:bCs w:val="0"/>
          <w:kern w:val="1"/>
          <w:sz w:val="32"/>
          <w:szCs w:val="32"/>
          <w:highlight w:val="none"/>
          <w:lang w:val="en-US" w:eastAsia="zh-CN" w:bidi="ar-SA"/>
        </w:rPr>
        <w:t>的作用效果显著。</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highlight w:val="none"/>
          <w:lang w:val="en-US" w:eastAsia="zh-CN" w:bidi="ar-SA"/>
        </w:rPr>
        <w:t>但该项目实施产生效益效果的证明资料不够充分；绩效资料不能充分体现该项目实施对</w:t>
      </w:r>
      <w:r>
        <w:rPr>
          <w:rFonts w:hint="eastAsia" w:ascii="仿宋_GB2312" w:hAnsi="仿宋_GB2312" w:eastAsia="仿宋_GB2312" w:cs="仿宋_GB2312"/>
          <w:b w:val="0"/>
          <w:bCs w:val="0"/>
          <w:kern w:val="1"/>
          <w:sz w:val="32"/>
          <w:szCs w:val="32"/>
          <w:highlight w:val="none"/>
          <w:lang w:val="en-US" w:eastAsia="zh-CN" w:bidi="ar-SA"/>
        </w:rPr>
        <w:t>维护社会稳定的社会效益</w:t>
      </w:r>
      <w:r>
        <w:rPr>
          <w:rFonts w:hint="default" w:ascii="仿宋_GB2312" w:hAnsi="仿宋_GB2312" w:eastAsia="仿宋_GB2312" w:cs="仿宋_GB2312"/>
          <w:b w:val="0"/>
          <w:bCs w:val="0"/>
          <w:kern w:val="1"/>
          <w:sz w:val="32"/>
          <w:szCs w:val="32"/>
          <w:highlight w:val="none"/>
          <w:lang w:val="en-US" w:eastAsia="zh-CN" w:bidi="ar-SA"/>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w:t>
      </w:r>
      <w:r>
        <w:rPr>
          <w:rFonts w:hint="default" w:ascii="仿宋_GB2312" w:hAnsi="仿宋_GB2312" w:eastAsia="仿宋_GB2312" w:cs="仿宋_GB2312"/>
          <w:b/>
          <w:bCs/>
          <w:sz w:val="32"/>
          <w:szCs w:val="32"/>
          <w:lang w:val="en-US" w:eastAsia="zh-CN"/>
        </w:rPr>
        <w:t>.满意度评价分析</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highlight w:val="none"/>
          <w:lang w:val="en-US" w:eastAsia="zh-CN" w:bidi="ar-SA"/>
        </w:rPr>
        <w:t>该项目的实施，基本符合年初绩效目标的要求，全院干警人员满意度</w:t>
      </w:r>
      <w:r>
        <w:rPr>
          <w:rFonts w:hint="eastAsia" w:ascii="仿宋_GB2312" w:hAnsi="仿宋_GB2312" w:eastAsia="仿宋_GB2312" w:cs="仿宋_GB2312"/>
          <w:b w:val="0"/>
          <w:bCs w:val="0"/>
          <w:kern w:val="1"/>
          <w:sz w:val="32"/>
          <w:szCs w:val="32"/>
          <w:highlight w:val="none"/>
          <w:lang w:val="en-US" w:eastAsia="zh-CN" w:bidi="ar-SA"/>
        </w:rPr>
        <w:t>的调查问卷不足</w:t>
      </w:r>
      <w:r>
        <w:rPr>
          <w:rFonts w:hint="default" w:ascii="仿宋_GB2312" w:hAnsi="仿宋_GB2312" w:eastAsia="仿宋_GB2312" w:cs="仿宋_GB2312"/>
          <w:b w:val="0"/>
          <w:bCs w:val="0"/>
          <w:kern w:val="1"/>
          <w:sz w:val="32"/>
          <w:szCs w:val="32"/>
          <w:highlight w:val="none"/>
          <w:lang w:val="en-US" w:eastAsia="zh-CN" w:bidi="ar-SA"/>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ascii="黑体" w:hAnsi="黑体" w:eastAsia="黑体" w:cs="黑体"/>
          <w:sz w:val="32"/>
          <w:szCs w:val="32"/>
          <w:lang w:val="en-US"/>
        </w:rPr>
      </w:pPr>
      <w:bookmarkStart w:id="47" w:name="_Toc19474"/>
      <w:bookmarkStart w:id="48" w:name="_Toc20059"/>
      <w:bookmarkStart w:id="49" w:name="_Toc25247"/>
      <w:bookmarkStart w:id="50" w:name="_Toc21163"/>
      <w:bookmarkStart w:id="51" w:name="_Toc31908"/>
      <w:bookmarkStart w:id="52" w:name="_Toc185"/>
      <w:bookmarkStart w:id="53" w:name="_Toc13136"/>
      <w:bookmarkStart w:id="54" w:name="_Toc1390"/>
      <w:bookmarkStart w:id="55" w:name="_Toc26699"/>
      <w:bookmarkStart w:id="56" w:name="_Toc8995882"/>
      <w:r>
        <w:rPr>
          <w:rFonts w:hint="eastAsia" w:ascii="黑体" w:hAnsi="黑体" w:eastAsia="黑体" w:cs="黑体"/>
          <w:sz w:val="32"/>
          <w:szCs w:val="32"/>
          <w:lang w:val="en-US"/>
        </w:rPr>
        <w:t>五</w:t>
      </w:r>
      <w:r>
        <w:rPr>
          <w:rFonts w:hint="eastAsia" w:ascii="黑体" w:hAnsi="黑体" w:eastAsia="黑体" w:cs="黑体"/>
          <w:sz w:val="32"/>
          <w:szCs w:val="32"/>
        </w:rPr>
        <w:t>、</w:t>
      </w:r>
      <w:bookmarkEnd w:id="47"/>
      <w:bookmarkEnd w:id="48"/>
      <w:bookmarkEnd w:id="49"/>
      <w:bookmarkEnd w:id="50"/>
      <w:bookmarkEnd w:id="51"/>
      <w:r>
        <w:rPr>
          <w:rFonts w:hint="eastAsia" w:ascii="黑体" w:hAnsi="黑体" w:eastAsia="黑体" w:cs="黑体"/>
          <w:sz w:val="32"/>
          <w:szCs w:val="32"/>
        </w:rPr>
        <w:t>主要经验及</w:t>
      </w:r>
      <w:r>
        <w:rPr>
          <w:rFonts w:hint="eastAsia" w:ascii="黑体" w:hAnsi="黑体" w:eastAsia="黑体" w:cs="黑体"/>
          <w:sz w:val="32"/>
          <w:szCs w:val="32"/>
          <w:lang w:val="en-US" w:eastAsia="zh-CN"/>
        </w:rPr>
        <w:t>做法</w:t>
      </w:r>
      <w:r>
        <w:rPr>
          <w:rFonts w:hint="eastAsia" w:ascii="黑体" w:hAnsi="黑体" w:eastAsia="黑体" w:cs="黑体"/>
          <w:sz w:val="32"/>
          <w:szCs w:val="32"/>
        </w:rPr>
        <w:t>、</w:t>
      </w:r>
      <w:r>
        <w:rPr>
          <w:rFonts w:hint="eastAsia" w:ascii="黑体" w:hAnsi="黑体" w:eastAsia="黑体" w:cs="黑体"/>
          <w:sz w:val="32"/>
          <w:szCs w:val="32"/>
          <w:lang w:val="en-US"/>
        </w:rPr>
        <w:t>存在的问题及原因分析</w:t>
      </w:r>
      <w:bookmarkEnd w:id="52"/>
      <w:bookmarkEnd w:id="53"/>
      <w:bookmarkEnd w:id="54"/>
      <w:bookmarkEnd w:id="55"/>
      <w:bookmarkEnd w:id="56"/>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eastAsia" w:ascii="楷体_GB2312" w:hAnsi="楷体_GB2312" w:eastAsia="楷体_GB2312" w:cs="楷体_GB2312"/>
          <w:b/>
          <w:bCs/>
          <w:sz w:val="32"/>
          <w:szCs w:val="32"/>
          <w:lang w:val="en-US" w:eastAsia="zh-CN"/>
        </w:rPr>
      </w:pPr>
      <w:bookmarkStart w:id="57" w:name="_Toc24113"/>
      <w:r>
        <w:rPr>
          <w:rFonts w:hint="eastAsia" w:ascii="楷体_GB2312" w:hAnsi="楷体_GB2312" w:eastAsia="楷体_GB2312" w:cs="楷体_GB2312"/>
          <w:b/>
          <w:bCs/>
          <w:sz w:val="32"/>
          <w:szCs w:val="32"/>
          <w:lang w:val="en-US" w:eastAsia="zh-CN"/>
        </w:rPr>
        <w:t>（一）主要经验及做法</w:t>
      </w:r>
      <w:bookmarkEnd w:id="57"/>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val="0"/>
          <w:bCs w:val="0"/>
          <w:kern w:val="1"/>
          <w:sz w:val="32"/>
          <w:szCs w:val="32"/>
          <w:highlight w:val="none"/>
          <w:lang w:val="en-US" w:eastAsia="zh-CN" w:bidi="ar-SA"/>
        </w:rPr>
        <w:t>西城检察院开展预算</w:t>
      </w:r>
      <w:r>
        <w:rPr>
          <w:rFonts w:hint="default" w:ascii="仿宋_GB2312" w:hAnsi="仿宋_GB2312" w:eastAsia="仿宋_GB2312" w:cs="仿宋_GB2312"/>
          <w:b w:val="0"/>
          <w:bCs w:val="0"/>
          <w:kern w:val="1"/>
          <w:sz w:val="32"/>
          <w:szCs w:val="32"/>
          <w:highlight w:val="none"/>
          <w:lang w:val="en-US" w:eastAsia="zh-CN" w:bidi="ar-SA"/>
        </w:rPr>
        <w:t>绩效评价工作，</w:t>
      </w:r>
      <w:r>
        <w:rPr>
          <w:rFonts w:hint="eastAsia" w:ascii="仿宋_GB2312" w:hAnsi="仿宋_GB2312" w:eastAsia="仿宋_GB2312" w:cs="仿宋_GB2312"/>
          <w:b w:val="0"/>
          <w:bCs w:val="0"/>
          <w:kern w:val="1"/>
          <w:sz w:val="32"/>
          <w:szCs w:val="32"/>
          <w:highlight w:val="none"/>
          <w:lang w:val="en-US" w:eastAsia="zh-CN" w:bidi="ar-SA"/>
        </w:rPr>
        <w:t>得到各级领导高度重视，要求</w:t>
      </w:r>
      <w:r>
        <w:rPr>
          <w:rFonts w:hint="default" w:ascii="仿宋_GB2312" w:hAnsi="仿宋_GB2312" w:eastAsia="仿宋_GB2312" w:cs="仿宋_GB2312"/>
          <w:b w:val="0"/>
          <w:bCs w:val="0"/>
          <w:kern w:val="1"/>
          <w:sz w:val="32"/>
          <w:szCs w:val="32"/>
          <w:highlight w:val="none"/>
          <w:lang w:val="en-US" w:eastAsia="zh-CN" w:bidi="ar-SA"/>
        </w:rPr>
        <w:t>牢固树立预算绩效管理意识，</w:t>
      </w:r>
      <w:r>
        <w:rPr>
          <w:rFonts w:hint="eastAsia" w:ascii="仿宋_GB2312" w:hAnsi="仿宋_GB2312" w:eastAsia="仿宋_GB2312" w:cs="仿宋_GB2312"/>
          <w:b w:val="0"/>
          <w:bCs w:val="0"/>
          <w:kern w:val="1"/>
          <w:sz w:val="32"/>
          <w:szCs w:val="32"/>
          <w:highlight w:val="none"/>
          <w:lang w:val="en-US" w:eastAsia="zh-CN" w:bidi="ar-SA"/>
        </w:rPr>
        <w:t>督促各相关部门在评价工作过程中积极配合，保障绩效自评工作有效开展。</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default" w:ascii="楷体_GB2312" w:hAnsi="楷体_GB2312" w:eastAsia="楷体_GB2312" w:cs="楷体_GB2312"/>
          <w:b/>
          <w:bCs/>
          <w:sz w:val="32"/>
          <w:szCs w:val="32"/>
          <w:lang w:val="en-US" w:eastAsia="zh-CN"/>
        </w:rPr>
      </w:pPr>
      <w:bookmarkStart w:id="58" w:name="_Toc6385"/>
      <w:r>
        <w:rPr>
          <w:rFonts w:hint="default" w:ascii="楷体_GB2312" w:hAnsi="楷体_GB2312" w:eastAsia="楷体_GB2312" w:cs="楷体_GB2312"/>
          <w:b/>
          <w:bCs/>
          <w:sz w:val="32"/>
          <w:szCs w:val="32"/>
          <w:lang w:val="en-US" w:eastAsia="zh-CN"/>
        </w:rPr>
        <w:t>（二）存在的问题及原因分析</w:t>
      </w:r>
      <w:bookmarkEnd w:id="5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bookmarkStart w:id="59" w:name="_Toc945129639"/>
      <w:bookmarkStart w:id="60" w:name="_Toc17417"/>
      <w:r>
        <w:rPr>
          <w:rFonts w:hint="eastAsia" w:ascii="仿宋_GB2312" w:hAnsi="仿宋_GB2312" w:eastAsia="仿宋_GB2312" w:cs="仿宋_GB2312"/>
          <w:bCs/>
          <w:color w:val="auto"/>
          <w:kern w:val="44"/>
          <w:sz w:val="32"/>
          <w:szCs w:val="32"/>
          <w:highlight w:val="none"/>
          <w:lang w:val="en-US" w:eastAsia="zh-CN"/>
        </w:rPr>
        <w:t>1.绩效目标设置细化程度有待进一步提升。</w:t>
      </w:r>
      <w:bookmarkEnd w:id="59"/>
      <w:bookmarkEnd w:id="6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楷体" w:eastAsia="仿宋_GB2312"/>
          <w:bCs/>
          <w:kern w:val="0"/>
          <w:sz w:val="32"/>
          <w:szCs w:val="28"/>
        </w:rPr>
        <w:t>由于产出绩效指标设置不够合理、准确、量化，且缺少计划事件安排，考核、验收依据等，产出数量与需求设置存在较大差异，产出质量达标率、完成及时性虽按期完成，但均无依据支撑。</w:t>
      </w:r>
      <w:r>
        <w:rPr>
          <w:rFonts w:hint="eastAsia" w:ascii="仿宋_GB2312" w:hAnsi="仿宋_GB2312" w:eastAsia="仿宋_GB2312" w:cs="仿宋_GB2312"/>
          <w:bCs/>
          <w:color w:val="auto"/>
          <w:kern w:val="44"/>
          <w:sz w:val="32"/>
          <w:szCs w:val="32"/>
          <w:highlight w:val="none"/>
          <w:lang w:val="en-US" w:eastAsia="zh-CN"/>
        </w:rPr>
        <w:t>如产出数量指标中安保安检人员数量未根据不同的岗位内容分类细化；质量指标与产出内容对应性不够充分；时效指标未结合关键性时间节点进行设置。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bookmarkStart w:id="61" w:name="_Toc29033"/>
      <w:r>
        <w:rPr>
          <w:rFonts w:hint="eastAsia" w:ascii="仿宋_GB2312" w:hAnsi="仿宋_GB2312" w:eastAsia="仿宋_GB2312" w:cs="仿宋_GB2312"/>
          <w:bCs/>
          <w:color w:val="auto"/>
          <w:kern w:val="44"/>
          <w:sz w:val="32"/>
          <w:szCs w:val="32"/>
          <w:highlight w:val="none"/>
          <w:lang w:val="en-US" w:eastAsia="zh-CN"/>
        </w:rPr>
        <w:t>2.项目效果实现程度呈现不够充分。</w:t>
      </w:r>
      <w:bookmarkEnd w:id="6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44"/>
          <w:sz w:val="32"/>
          <w:szCs w:val="32"/>
          <w:highlight w:val="none"/>
          <w:lang w:val="en-US" w:eastAsia="zh-CN"/>
        </w:rPr>
      </w:pPr>
      <w:r>
        <w:rPr>
          <w:rFonts w:hint="eastAsia" w:ascii="仿宋_GB2312" w:hAnsi="仿宋_GB2312" w:eastAsia="仿宋_GB2312" w:cs="仿宋_GB2312"/>
          <w:bCs/>
          <w:color w:val="auto"/>
          <w:kern w:val="44"/>
          <w:sz w:val="32"/>
          <w:szCs w:val="32"/>
          <w:highlight w:val="none"/>
          <w:lang w:val="en-US" w:eastAsia="zh-CN"/>
        </w:rPr>
        <w:t>项目绩效资料归集不够完整，项目绩效</w:t>
      </w:r>
      <w:r>
        <w:rPr>
          <w:rFonts w:hint="eastAsia" w:ascii="仿宋_GB2312" w:hAnsi="楷体" w:eastAsia="仿宋_GB2312"/>
          <w:bCs/>
          <w:kern w:val="0"/>
          <w:sz w:val="32"/>
          <w:szCs w:val="28"/>
        </w:rPr>
        <w:t>呈现</w:t>
      </w:r>
      <w:r>
        <w:rPr>
          <w:rFonts w:hint="eastAsia" w:ascii="仿宋_GB2312" w:hAnsi="楷体" w:eastAsia="仿宋_GB2312"/>
          <w:bCs/>
          <w:kern w:val="0"/>
          <w:sz w:val="32"/>
          <w:szCs w:val="28"/>
          <w:lang w:val="en-US" w:eastAsia="zh-CN"/>
        </w:rPr>
        <w:t>不够充分</w:t>
      </w:r>
      <w:r>
        <w:rPr>
          <w:rFonts w:hint="eastAsia" w:ascii="仿宋_GB2312" w:hAnsi="楷体" w:eastAsia="仿宋_GB2312"/>
          <w:bCs/>
          <w:kern w:val="0"/>
          <w:sz w:val="32"/>
          <w:szCs w:val="28"/>
        </w:rPr>
        <w:t>。该项目</w:t>
      </w:r>
      <w:r>
        <w:rPr>
          <w:rFonts w:hint="eastAsia" w:ascii="仿宋_GB2312" w:hAnsi="楷体" w:eastAsia="仿宋_GB2312"/>
          <w:bCs/>
          <w:kern w:val="0"/>
          <w:sz w:val="32"/>
          <w:szCs w:val="28"/>
          <w:lang w:val="en-US" w:eastAsia="zh-CN"/>
        </w:rPr>
        <w:t>虽然</w:t>
      </w:r>
      <w:r>
        <w:rPr>
          <w:rFonts w:hint="eastAsia" w:ascii="仿宋_GB2312" w:hAnsi="楷体" w:eastAsia="仿宋_GB2312"/>
          <w:bCs/>
          <w:kern w:val="0"/>
          <w:sz w:val="32"/>
          <w:szCs w:val="28"/>
        </w:rPr>
        <w:t>有效保障了</w:t>
      </w:r>
      <w:r>
        <w:rPr>
          <w:rFonts w:hint="eastAsia" w:ascii="仿宋_GB2312" w:hAnsi="楷体" w:eastAsia="仿宋_GB2312"/>
          <w:bCs/>
          <w:kern w:val="0"/>
          <w:sz w:val="32"/>
          <w:szCs w:val="28"/>
          <w:lang w:val="en-US" w:eastAsia="zh-CN"/>
        </w:rPr>
        <w:t>西城检察院的</w:t>
      </w:r>
      <w:r>
        <w:rPr>
          <w:rFonts w:hint="eastAsia" w:ascii="仿宋_GB2312" w:hAnsi="楷体" w:eastAsia="仿宋_GB2312"/>
          <w:bCs/>
          <w:kern w:val="0"/>
          <w:sz w:val="32"/>
          <w:szCs w:val="28"/>
        </w:rPr>
        <w:t>办公</w:t>
      </w:r>
      <w:r>
        <w:rPr>
          <w:rFonts w:hint="eastAsia" w:ascii="仿宋_GB2312" w:hAnsi="楷体" w:eastAsia="仿宋_GB2312"/>
          <w:bCs/>
          <w:kern w:val="0"/>
          <w:sz w:val="32"/>
          <w:szCs w:val="28"/>
          <w:lang w:val="en-US" w:eastAsia="zh-CN"/>
        </w:rPr>
        <w:t>办案</w:t>
      </w:r>
      <w:r>
        <w:rPr>
          <w:rFonts w:hint="eastAsia" w:ascii="仿宋_GB2312" w:hAnsi="楷体" w:eastAsia="仿宋_GB2312"/>
          <w:bCs/>
          <w:kern w:val="0"/>
          <w:sz w:val="32"/>
          <w:szCs w:val="28"/>
        </w:rPr>
        <w:t>安全，减少了事故发生，但</w:t>
      </w:r>
      <w:r>
        <w:rPr>
          <w:rFonts w:hint="eastAsia" w:ascii="仿宋_GB2312" w:hAnsi="楷体" w:eastAsia="仿宋_GB2312"/>
          <w:bCs/>
          <w:kern w:val="0"/>
          <w:sz w:val="32"/>
          <w:szCs w:val="28"/>
          <w:lang w:val="en-US" w:eastAsia="zh-CN"/>
        </w:rPr>
        <w:t>未对该项目整体情况进行验收总结，</w:t>
      </w:r>
      <w:r>
        <w:rPr>
          <w:rFonts w:hint="eastAsia" w:ascii="仿宋_GB2312" w:hAnsi="楷体" w:eastAsia="仿宋_GB2312"/>
          <w:bCs/>
          <w:kern w:val="0"/>
          <w:sz w:val="32"/>
          <w:szCs w:val="28"/>
        </w:rPr>
        <w:t>对于</w:t>
      </w:r>
      <w:r>
        <w:rPr>
          <w:rFonts w:hint="eastAsia" w:ascii="仿宋_GB2312" w:hAnsi="楷体" w:eastAsia="仿宋_GB2312"/>
          <w:bCs/>
          <w:kern w:val="0"/>
          <w:sz w:val="32"/>
          <w:szCs w:val="28"/>
          <w:lang w:val="en-US" w:eastAsia="zh-CN"/>
        </w:rPr>
        <w:t>项目管理成果证明</w:t>
      </w:r>
      <w:r>
        <w:rPr>
          <w:rFonts w:hint="eastAsia" w:ascii="仿宋_GB2312" w:hAnsi="楷体" w:eastAsia="仿宋_GB2312"/>
          <w:bCs/>
          <w:kern w:val="0"/>
          <w:sz w:val="32"/>
          <w:szCs w:val="28"/>
        </w:rPr>
        <w:t>材料</w:t>
      </w:r>
      <w:r>
        <w:rPr>
          <w:rFonts w:hint="eastAsia" w:ascii="仿宋_GB2312" w:hAnsi="楷体" w:eastAsia="仿宋_GB2312"/>
          <w:bCs/>
          <w:kern w:val="0"/>
          <w:sz w:val="32"/>
          <w:szCs w:val="28"/>
          <w:lang w:val="en-US" w:eastAsia="zh-CN"/>
        </w:rPr>
        <w:t>归集</w:t>
      </w:r>
      <w:r>
        <w:rPr>
          <w:rFonts w:hint="eastAsia" w:ascii="仿宋_GB2312" w:hAnsi="楷体" w:eastAsia="仿宋_GB2312"/>
          <w:bCs/>
          <w:kern w:val="0"/>
          <w:sz w:val="32"/>
          <w:szCs w:val="28"/>
        </w:rPr>
        <w:t>较少，不足以体现项目全年实施的效益效果。</w:t>
      </w:r>
      <w:r>
        <w:rPr>
          <w:rFonts w:hint="eastAsia" w:ascii="仿宋_GB2312" w:hAnsi="仿宋_GB2312" w:eastAsia="仿宋_GB2312" w:cs="仿宋_GB2312"/>
          <w:bCs/>
          <w:color w:val="auto"/>
          <w:kern w:val="44"/>
          <w:sz w:val="32"/>
          <w:szCs w:val="32"/>
          <w:highlight w:val="none"/>
          <w:lang w:val="en-US" w:eastAsia="zh-CN"/>
        </w:rPr>
        <w:t>此外效益指标设定较为宽泛，通过纵向、横向比较对实现效果进行总结分析的相关资料不充分，导致项目效果实现程度呈现不够。</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hint="default" w:ascii="黑体" w:hAnsi="黑体" w:eastAsia="黑体" w:cs="黑体"/>
          <w:kern w:val="0"/>
          <w:sz w:val="32"/>
          <w:szCs w:val="32"/>
          <w:lang w:val="en-US" w:eastAsia="zh-CN" w:bidi="ar-SA"/>
        </w:rPr>
      </w:pPr>
      <w:bookmarkStart w:id="62" w:name="_Toc23365"/>
      <w:r>
        <w:rPr>
          <w:rFonts w:hint="default" w:ascii="黑体" w:hAnsi="黑体" w:eastAsia="黑体" w:cs="黑体"/>
          <w:kern w:val="0"/>
          <w:sz w:val="32"/>
          <w:szCs w:val="32"/>
          <w:lang w:val="en-US" w:eastAsia="zh-CN" w:bidi="ar-SA"/>
        </w:rPr>
        <w:t>六、有关</w:t>
      </w:r>
      <w:r>
        <w:rPr>
          <w:rFonts w:hint="default" w:ascii="黑体" w:hAnsi="黑体" w:eastAsia="黑体" w:cs="黑体"/>
          <w:sz w:val="32"/>
          <w:szCs w:val="32"/>
          <w:lang w:val="en-US" w:eastAsia="zh-CN"/>
        </w:rPr>
        <w:t>建议</w:t>
      </w:r>
      <w:bookmarkEnd w:id="62"/>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default" w:ascii="楷体_GB2312" w:hAnsi="楷体_GB2312" w:eastAsia="楷体_GB2312" w:cs="楷体_GB2312"/>
          <w:b/>
          <w:bCs/>
          <w:sz w:val="32"/>
          <w:szCs w:val="32"/>
          <w:lang w:val="en-US" w:eastAsia="zh-CN"/>
        </w:rPr>
      </w:pPr>
      <w:r>
        <w:rPr>
          <w:rFonts w:hint="default" w:ascii="仿宋_GB2312" w:hAnsi="仿宋_GB2312" w:eastAsia="仿宋_GB2312" w:cs="仿宋_GB2312"/>
          <w:b w:val="0"/>
          <w:bCs w:val="0"/>
          <w:kern w:val="1"/>
          <w:sz w:val="32"/>
          <w:szCs w:val="32"/>
          <w:highlight w:val="none"/>
          <w:lang w:val="en-US" w:eastAsia="zh-CN" w:bidi="ar-SA"/>
        </w:rPr>
        <w:t>（</w:t>
      </w:r>
      <w:r>
        <w:rPr>
          <w:rFonts w:hint="default" w:ascii="楷体_GB2312" w:hAnsi="楷体_GB2312" w:eastAsia="楷体_GB2312" w:cs="楷体_GB2312"/>
          <w:b/>
          <w:bCs/>
          <w:sz w:val="32"/>
          <w:szCs w:val="32"/>
          <w:lang w:val="en-US" w:eastAsia="zh-CN"/>
        </w:rPr>
        <w:t>一）加强绩效目标研究，科学、合理设置绩效指标</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textAlignment w:val="auto"/>
        <w:outlineLvl w:val="9"/>
        <w:rPr>
          <w:rFonts w:hint="default" w:ascii="仿宋_GB2312" w:hAnsi="仿宋_GB2312" w:eastAsia="仿宋_GB2312" w:cs="仿宋_GB2312"/>
          <w:b w:val="0"/>
          <w:bCs w:val="0"/>
          <w:kern w:val="1"/>
          <w:sz w:val="32"/>
          <w:szCs w:val="32"/>
          <w:highlight w:val="none"/>
          <w:lang w:val="en-US" w:eastAsia="zh-CN" w:bidi="ar-SA"/>
        </w:rPr>
      </w:pPr>
      <w:r>
        <w:rPr>
          <w:rFonts w:hint="default" w:ascii="仿宋_GB2312" w:hAnsi="仿宋_GB2312" w:eastAsia="仿宋_GB2312" w:cs="仿宋_GB2312"/>
          <w:b w:val="0"/>
          <w:bCs w:val="0"/>
          <w:kern w:val="1"/>
          <w:sz w:val="32"/>
          <w:szCs w:val="32"/>
          <w:highlight w:val="none"/>
          <w:lang w:val="en-US" w:eastAsia="zh-CN" w:bidi="ar-SA"/>
        </w:rPr>
        <w:t>一是建议项目单位结合项目总体绩效目标，合理分解并细化年度绩效目标和指标，做到重点突出、相应匹配，确保绩效目标设置为与项目实施内容及预算支出方向相符，为年度工作任务安排提供有效指引。二是加强对预算绩效管理文件的研究学习，在深入分析项目实施内容的基础上，全面设置符合项目实际的、合理且易于考量的产出及效果指标，为后续开展绩效评价工作提供科学合理的考核标准。如数量指标应进一步明确</w:t>
      </w:r>
      <w:r>
        <w:rPr>
          <w:rFonts w:hint="eastAsia" w:ascii="仿宋_GB2312" w:hAnsi="仿宋_GB2312" w:eastAsia="仿宋_GB2312" w:cs="仿宋_GB2312"/>
          <w:b w:val="0"/>
          <w:bCs w:val="0"/>
          <w:kern w:val="1"/>
          <w:sz w:val="32"/>
          <w:szCs w:val="32"/>
          <w:highlight w:val="none"/>
          <w:lang w:val="en-US" w:eastAsia="zh-CN" w:bidi="ar-SA"/>
        </w:rPr>
        <w:t>安保安检人员</w:t>
      </w:r>
      <w:r>
        <w:rPr>
          <w:rFonts w:hint="default" w:ascii="仿宋_GB2312" w:hAnsi="仿宋_GB2312" w:eastAsia="仿宋_GB2312" w:cs="仿宋_GB2312"/>
          <w:b w:val="0"/>
          <w:bCs w:val="0"/>
          <w:kern w:val="1"/>
          <w:sz w:val="32"/>
          <w:szCs w:val="32"/>
          <w:highlight w:val="none"/>
          <w:lang w:val="en-US" w:eastAsia="zh-CN" w:bidi="ar-SA"/>
        </w:rPr>
        <w:t>数量、</w:t>
      </w:r>
      <w:r>
        <w:rPr>
          <w:rFonts w:hint="eastAsia" w:ascii="仿宋_GB2312" w:hAnsi="仿宋_GB2312" w:eastAsia="仿宋_GB2312" w:cs="仿宋_GB2312"/>
          <w:b w:val="0"/>
          <w:bCs w:val="0"/>
          <w:kern w:val="1"/>
          <w:sz w:val="32"/>
          <w:szCs w:val="32"/>
          <w:highlight w:val="none"/>
          <w:lang w:val="en-US" w:eastAsia="zh-CN" w:bidi="ar-SA"/>
        </w:rPr>
        <w:t>岗位</w:t>
      </w:r>
      <w:r>
        <w:rPr>
          <w:rFonts w:hint="default" w:ascii="仿宋_GB2312" w:hAnsi="仿宋_GB2312" w:eastAsia="仿宋_GB2312" w:cs="仿宋_GB2312"/>
          <w:b w:val="0"/>
          <w:bCs w:val="0"/>
          <w:kern w:val="1"/>
          <w:sz w:val="32"/>
          <w:szCs w:val="32"/>
          <w:highlight w:val="none"/>
          <w:lang w:val="en-US" w:eastAsia="zh-CN" w:bidi="ar-SA"/>
        </w:rPr>
        <w:t>数量。</w:t>
      </w:r>
    </w:p>
    <w:p>
      <w:pPr>
        <w:pStyle w:val="15"/>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3" w:firstLineChars="200"/>
        <w:textAlignment w:val="auto"/>
        <w:outlineLvl w:val="1"/>
        <w:rPr>
          <w:rFonts w:hint="default" w:ascii="楷体_GB2312" w:hAnsi="楷体_GB2312" w:eastAsia="楷体_GB2312" w:cs="楷体_GB2312"/>
          <w:b/>
          <w:bCs/>
          <w:sz w:val="32"/>
          <w:szCs w:val="32"/>
          <w:lang w:val="en-US" w:eastAsia="zh-CN"/>
        </w:rPr>
      </w:pPr>
      <w:r>
        <w:rPr>
          <w:rFonts w:hint="default" w:ascii="楷体_GB2312" w:hAnsi="楷体_GB2312" w:eastAsia="楷体_GB2312" w:cs="楷体_GB2312"/>
          <w:b/>
          <w:bCs/>
          <w:sz w:val="32"/>
          <w:szCs w:val="32"/>
          <w:lang w:val="en-US" w:eastAsia="zh-CN"/>
        </w:rPr>
        <w:t>（二）进一步提升项目精细化管理水平，充分体现实施效益效果</w:t>
      </w:r>
    </w:p>
    <w:p>
      <w:pPr>
        <w:widowControl w:val="0"/>
        <w:numPr>
          <w:ilvl w:val="0"/>
          <w:numId w:val="0"/>
        </w:numPr>
        <w:ind w:firstLine="643" w:firstLineChars="200"/>
        <w:jc w:val="both"/>
        <w:rPr>
          <w:rFonts w:hint="default" w:ascii="仿宋_GB2312" w:hAnsi="仿宋_GB2312" w:eastAsia="仿宋_GB2312" w:cs="仿宋_GB2312"/>
          <w:b w:val="0"/>
          <w:bCs w:val="0"/>
          <w:kern w:val="1"/>
          <w:sz w:val="32"/>
          <w:szCs w:val="32"/>
          <w:highlight w:val="none"/>
          <w:lang w:val="en-US" w:eastAsia="zh-CN" w:bidi="ar-SA"/>
        </w:rPr>
      </w:pPr>
      <w:r>
        <w:rPr>
          <w:rFonts w:hint="eastAsia" w:ascii="仿宋_GB2312" w:hAnsi="仿宋_GB2312" w:eastAsia="仿宋_GB2312" w:cs="仿宋_GB2312"/>
          <w:b/>
          <w:bCs/>
          <w:kern w:val="1"/>
          <w:sz w:val="32"/>
          <w:szCs w:val="32"/>
          <w:highlight w:val="none"/>
          <w:lang w:val="en-US" w:eastAsia="zh-CN" w:bidi="ar-SA"/>
        </w:rPr>
        <w:t>一是</w:t>
      </w:r>
      <w:r>
        <w:rPr>
          <w:rFonts w:hint="default" w:ascii="仿宋_GB2312" w:hAnsi="仿宋_GB2312" w:eastAsia="仿宋_GB2312" w:cs="仿宋_GB2312"/>
          <w:b/>
          <w:bCs/>
          <w:kern w:val="1"/>
          <w:sz w:val="32"/>
          <w:szCs w:val="32"/>
          <w:highlight w:val="none"/>
          <w:lang w:val="en-US" w:eastAsia="zh-CN" w:bidi="ar-SA"/>
        </w:rPr>
        <w:t>建议合理设置绩效指标</w:t>
      </w:r>
      <w:r>
        <w:rPr>
          <w:rFonts w:hint="default" w:ascii="仿宋_GB2312" w:hAnsi="仿宋_GB2312" w:eastAsia="仿宋_GB2312" w:cs="仿宋_GB2312"/>
          <w:b w:val="0"/>
          <w:bCs w:val="0"/>
          <w:kern w:val="1"/>
          <w:sz w:val="32"/>
          <w:szCs w:val="32"/>
          <w:highlight w:val="none"/>
          <w:lang w:val="en-US" w:eastAsia="zh-CN" w:bidi="ar-SA"/>
        </w:rPr>
        <w:t>，增强指标可考核性</w:t>
      </w:r>
      <w:r>
        <w:rPr>
          <w:rFonts w:hint="eastAsia" w:ascii="仿宋_GB2312" w:hAnsi="仿宋_GB2312" w:eastAsia="仿宋_GB2312" w:cs="仿宋_GB2312"/>
          <w:b w:val="0"/>
          <w:bCs w:val="0"/>
          <w:kern w:val="1"/>
          <w:sz w:val="32"/>
          <w:szCs w:val="32"/>
          <w:highlight w:val="none"/>
          <w:lang w:val="en-US" w:eastAsia="zh-CN" w:bidi="ar-SA"/>
        </w:rPr>
        <w:t>，进一步</w:t>
      </w:r>
      <w:r>
        <w:rPr>
          <w:rFonts w:hint="default" w:ascii="仿宋_GB2312" w:hAnsi="仿宋_GB2312" w:eastAsia="仿宋_GB2312" w:cs="仿宋_GB2312"/>
          <w:b w:val="0"/>
          <w:bCs w:val="0"/>
          <w:kern w:val="1"/>
          <w:sz w:val="32"/>
          <w:szCs w:val="32"/>
          <w:highlight w:val="none"/>
          <w:lang w:val="en-US" w:eastAsia="zh-CN" w:bidi="ar-SA"/>
        </w:rPr>
        <w:t>完善绩效指标内容</w:t>
      </w:r>
      <w:r>
        <w:rPr>
          <w:rFonts w:hint="eastAsia" w:ascii="仿宋_GB2312" w:hAnsi="仿宋_GB2312" w:eastAsia="仿宋_GB2312" w:cs="仿宋_GB2312"/>
          <w:b w:val="0"/>
          <w:bCs w:val="0"/>
          <w:kern w:val="1"/>
          <w:sz w:val="32"/>
          <w:szCs w:val="32"/>
          <w:highlight w:val="none"/>
          <w:lang w:val="en-US" w:eastAsia="zh-CN" w:bidi="ar-SA"/>
        </w:rPr>
        <w:t>，</w:t>
      </w:r>
      <w:r>
        <w:rPr>
          <w:rFonts w:hint="default" w:ascii="仿宋_GB2312" w:hAnsi="仿宋_GB2312" w:eastAsia="仿宋_GB2312" w:cs="仿宋_GB2312"/>
          <w:b w:val="0"/>
          <w:bCs w:val="0"/>
          <w:kern w:val="1"/>
          <w:sz w:val="32"/>
          <w:szCs w:val="32"/>
          <w:highlight w:val="none"/>
          <w:lang w:val="en-US" w:eastAsia="zh-CN" w:bidi="ar-SA"/>
        </w:rPr>
        <w:t>细化进度指标的各阶段任务和时间节点。</w:t>
      </w:r>
      <w:r>
        <w:rPr>
          <w:rFonts w:hint="eastAsia" w:ascii="仿宋_GB2312" w:hAnsi="仿宋_GB2312" w:eastAsia="仿宋_GB2312" w:cs="仿宋_GB2312"/>
          <w:b/>
          <w:bCs/>
          <w:kern w:val="1"/>
          <w:sz w:val="32"/>
          <w:szCs w:val="32"/>
          <w:highlight w:val="none"/>
          <w:lang w:val="en-US" w:eastAsia="zh-CN" w:bidi="ar-SA"/>
        </w:rPr>
        <w:t>二是建议加强项目管理</w:t>
      </w:r>
      <w:r>
        <w:rPr>
          <w:rFonts w:hint="eastAsia" w:ascii="仿宋_GB2312" w:hAnsi="仿宋_GB2312" w:eastAsia="仿宋_GB2312" w:cs="仿宋_GB2312"/>
          <w:b w:val="0"/>
          <w:bCs w:val="0"/>
          <w:kern w:val="1"/>
          <w:sz w:val="32"/>
          <w:szCs w:val="32"/>
          <w:highlight w:val="none"/>
          <w:lang w:val="en-US" w:eastAsia="zh-CN" w:bidi="ar-SA"/>
        </w:rPr>
        <w:t>，制定项目实施方案，明确管理责任、保障措施等内容，加大对服务机构履约能力、保安人员服务质量的监督考核力度，规范实际与需求偏差纠正书面手续，逐步提高项目精细化管理水平。</w:t>
      </w:r>
    </w:p>
    <w:p>
      <w:pPr>
        <w:pStyle w:val="15"/>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60" w:lineRule="exact"/>
        <w:ind w:left="0" w:leftChars="0" w:firstLine="640" w:firstLineChars="200"/>
        <w:textAlignment w:val="auto"/>
        <w:outlineLvl w:val="0"/>
        <w:rPr>
          <w:rFonts w:hint="eastAsia" w:ascii="黑体" w:hAnsi="黑体" w:eastAsia="黑体"/>
          <w:bCs/>
          <w:kern w:val="0"/>
          <w:sz w:val="32"/>
          <w:szCs w:val="28"/>
        </w:rPr>
      </w:pPr>
      <w:bookmarkStart w:id="63" w:name="_Toc104547456"/>
      <w:bookmarkStart w:id="64" w:name="_Toc9970"/>
      <w:bookmarkStart w:id="65" w:name="_Toc3565"/>
      <w:r>
        <w:rPr>
          <w:rFonts w:hint="eastAsia" w:ascii="黑体" w:hAnsi="黑体" w:eastAsia="黑体"/>
          <w:bCs/>
          <w:kern w:val="0"/>
          <w:sz w:val="32"/>
          <w:szCs w:val="28"/>
        </w:rPr>
        <w:t>七、</w:t>
      </w:r>
      <w:r>
        <w:rPr>
          <w:rFonts w:hint="eastAsia" w:ascii="黑体" w:hAnsi="黑体" w:eastAsia="黑体" w:cs="黑体"/>
          <w:sz w:val="32"/>
          <w:szCs w:val="32"/>
          <w:lang w:val="en-US" w:eastAsia="zh-CN"/>
        </w:rPr>
        <w:t>附件</w:t>
      </w:r>
      <w:bookmarkEnd w:id="63"/>
      <w:bookmarkEnd w:id="64"/>
      <w:bookmarkEnd w:id="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bCs/>
          <w:kern w:val="0"/>
          <w:sz w:val="32"/>
          <w:szCs w:val="28"/>
        </w:rPr>
      </w:pPr>
      <w:r>
        <w:rPr>
          <w:rFonts w:ascii="仿宋_GB2312" w:hAnsi="宋体" w:eastAsia="仿宋_GB2312"/>
          <w:bCs/>
          <w:kern w:val="0"/>
          <w:sz w:val="32"/>
          <w:szCs w:val="28"/>
        </w:rPr>
        <w:t>附件</w:t>
      </w:r>
      <w:r>
        <w:rPr>
          <w:rFonts w:hint="eastAsia" w:ascii="仿宋_GB2312" w:hAnsi="宋体" w:eastAsia="仿宋_GB2312"/>
          <w:bCs/>
          <w:kern w:val="0"/>
          <w:sz w:val="32"/>
          <w:szCs w:val="28"/>
          <w:lang w:val="en-US" w:eastAsia="zh-CN"/>
        </w:rPr>
        <w:t>1.</w:t>
      </w:r>
      <w:r>
        <w:rPr>
          <w:rFonts w:hint="eastAsia" w:ascii="仿宋_GB2312" w:hAnsi="宋体" w:eastAsia="仿宋_GB2312"/>
          <w:bCs/>
          <w:kern w:val="0"/>
          <w:sz w:val="32"/>
          <w:szCs w:val="28"/>
        </w:rPr>
        <w:t>项目预算执行情况表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bCs/>
          <w:kern w:val="0"/>
          <w:sz w:val="32"/>
          <w:szCs w:val="28"/>
        </w:rPr>
      </w:pPr>
      <w:r>
        <w:rPr>
          <w:rFonts w:ascii="仿宋_GB2312" w:hAnsi="宋体" w:eastAsia="仿宋_GB2312"/>
          <w:bCs/>
          <w:kern w:val="0"/>
          <w:sz w:val="32"/>
          <w:szCs w:val="28"/>
        </w:rPr>
        <w:t>附件</w:t>
      </w:r>
      <w:r>
        <w:rPr>
          <w:rFonts w:hint="eastAsia" w:ascii="仿宋_GB2312" w:hAnsi="宋体" w:eastAsia="仿宋_GB2312"/>
          <w:bCs/>
          <w:kern w:val="0"/>
          <w:sz w:val="32"/>
          <w:szCs w:val="28"/>
        </w:rPr>
        <w:t>2.项目绩效目标完成情况及收支明细表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bCs/>
          <w:kern w:val="0"/>
          <w:sz w:val="32"/>
          <w:szCs w:val="28"/>
        </w:rPr>
      </w:pPr>
      <w:r>
        <w:rPr>
          <w:rFonts w:ascii="仿宋_GB2312" w:hAnsi="宋体" w:eastAsia="仿宋_GB2312"/>
          <w:bCs/>
          <w:kern w:val="0"/>
          <w:sz w:val="32"/>
          <w:szCs w:val="28"/>
        </w:rPr>
        <w:t>附件</w:t>
      </w:r>
      <w:r>
        <w:rPr>
          <w:rFonts w:hint="eastAsia" w:ascii="仿宋_GB2312" w:hAnsi="宋体" w:eastAsia="仿宋_GB2312"/>
          <w:bCs/>
          <w:kern w:val="0"/>
          <w:sz w:val="32"/>
          <w:szCs w:val="28"/>
        </w:rPr>
        <w:t>3.项目支出指标体系及评分情况表</w:t>
      </w:r>
    </w:p>
    <w:p>
      <w:pPr>
        <w:rPr>
          <w:rFonts w:hint="default" w:ascii="仿宋_GB2312" w:hAnsi="宋体" w:eastAsia="仿宋_GB2312"/>
          <w:bCs/>
          <w:kern w:val="0"/>
          <w:sz w:val="32"/>
          <w:szCs w:val="28"/>
          <w:lang w:val="en-US" w:eastAsia="zh-CN"/>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仿宋_GB2312" w:hAnsi="Calibri" w:eastAsiaTheme="minorEastAsia"/>
          <w:sz w:val="32"/>
          <w:szCs w:val="32"/>
          <w:lang w:val="en-US" w:eastAsia="zh-CN"/>
        </w:rPr>
      </w:pPr>
      <w:r>
        <w:rPr>
          <w:rFonts w:hint="eastAsia" w:ascii="仿宋_GB2312" w:hAnsi="Calibri"/>
          <w:sz w:val="32"/>
          <w:szCs w:val="32"/>
        </w:rPr>
        <w:t>附件1</w:t>
      </w:r>
      <w:r>
        <w:rPr>
          <w:rFonts w:hint="eastAsia" w:ascii="仿宋_GB2312" w:hAnsi="Calibri"/>
          <w:sz w:val="32"/>
          <w:szCs w:val="32"/>
          <w:lang w:val="en-US" w:eastAsia="zh-CN"/>
        </w:rPr>
        <w:t>.</w:t>
      </w:r>
      <w:r>
        <w:rPr>
          <w:rFonts w:hint="eastAsia" w:ascii="仿宋_GB2312" w:hAnsi="宋体" w:eastAsia="仿宋_GB2312"/>
          <w:bCs/>
          <w:kern w:val="0"/>
          <w:sz w:val="32"/>
          <w:szCs w:val="28"/>
        </w:rPr>
        <w:t>项目预算执行情况表</w:t>
      </w:r>
    </w:p>
    <w:tbl>
      <w:tblPr>
        <w:tblStyle w:val="16"/>
        <w:tblW w:w="14943" w:type="dxa"/>
        <w:tblInd w:w="0" w:type="dxa"/>
        <w:tblLayout w:type="fixed"/>
        <w:tblCellMar>
          <w:top w:w="0" w:type="dxa"/>
          <w:left w:w="0" w:type="dxa"/>
          <w:bottom w:w="0" w:type="dxa"/>
          <w:right w:w="0" w:type="dxa"/>
        </w:tblCellMar>
      </w:tblPr>
      <w:tblGrid>
        <w:gridCol w:w="1119"/>
        <w:gridCol w:w="240"/>
        <w:gridCol w:w="821"/>
        <w:gridCol w:w="749"/>
        <w:gridCol w:w="746"/>
        <w:gridCol w:w="761"/>
        <w:gridCol w:w="739"/>
        <w:gridCol w:w="480"/>
        <w:gridCol w:w="743"/>
        <w:gridCol w:w="835"/>
        <w:gridCol w:w="831"/>
        <w:gridCol w:w="758"/>
        <w:gridCol w:w="824"/>
        <w:gridCol w:w="829"/>
        <w:gridCol w:w="639"/>
        <w:gridCol w:w="804"/>
        <w:gridCol w:w="966"/>
        <w:gridCol w:w="784"/>
        <w:gridCol w:w="1275"/>
      </w:tblGrid>
      <w:tr>
        <w:tblPrEx>
          <w:tblCellMar>
            <w:top w:w="0" w:type="dxa"/>
            <w:left w:w="0" w:type="dxa"/>
            <w:bottom w:w="0" w:type="dxa"/>
            <w:right w:w="0" w:type="dxa"/>
          </w:tblCellMar>
        </w:tblPrEx>
        <w:trPr>
          <w:trHeight w:val="447" w:hRule="atLeast"/>
        </w:trPr>
        <w:tc>
          <w:tcPr>
            <w:tcW w:w="14943" w:type="dxa"/>
            <w:gridSpan w:val="19"/>
            <w:tcBorders>
              <w:top w:val="nil"/>
              <w:left w:val="nil"/>
              <w:bottom w:val="nil"/>
              <w:right w:val="nil"/>
            </w:tcBorders>
            <w:noWrap/>
            <w:tcMar>
              <w:top w:w="12" w:type="dxa"/>
              <w:left w:w="12" w:type="dxa"/>
              <w:right w:w="12" w:type="dxa"/>
            </w:tcMar>
            <w:vAlign w:val="bottom"/>
          </w:tcPr>
          <w:p>
            <w:pPr>
              <w:keepNext w:val="0"/>
              <w:keepLines w:val="0"/>
              <w:pageBreakBefore w:val="0"/>
              <w:widowControl/>
              <w:kinsoku/>
              <w:wordWrap/>
              <w:overflowPunct/>
              <w:topLinePunct w:val="0"/>
              <w:autoSpaceDE/>
              <w:autoSpaceDN/>
              <w:bidi w:val="0"/>
              <w:adjustRightInd/>
              <w:snapToGrid/>
              <w:jc w:val="center"/>
              <w:textAlignment w:val="bottom"/>
              <w:rPr>
                <w:rFonts w:ascii="宋体" w:hAnsi="宋体" w:cs="宋体"/>
                <w:b/>
                <w:color w:val="000000"/>
                <w:sz w:val="28"/>
                <w:szCs w:val="28"/>
              </w:rPr>
            </w:pPr>
            <w:r>
              <w:rPr>
                <w:rFonts w:hint="eastAsia" w:ascii="宋体" w:hAnsi="宋体" w:cs="宋体"/>
                <w:b/>
                <w:color w:val="000000"/>
                <w:kern w:val="0"/>
                <w:sz w:val="28"/>
                <w:szCs w:val="28"/>
              </w:rPr>
              <w:t>项目预算执行情况表</w:t>
            </w:r>
          </w:p>
        </w:tc>
      </w:tr>
      <w:tr>
        <w:tblPrEx>
          <w:tblCellMar>
            <w:top w:w="0" w:type="dxa"/>
            <w:left w:w="0" w:type="dxa"/>
            <w:bottom w:w="0" w:type="dxa"/>
            <w:right w:w="0" w:type="dxa"/>
          </w:tblCellMar>
        </w:tblPrEx>
        <w:trPr>
          <w:trHeight w:val="436" w:hRule="atLeast"/>
        </w:trPr>
        <w:tc>
          <w:tcPr>
            <w:tcW w:w="1119" w:type="dxa"/>
            <w:tcBorders>
              <w:top w:val="nil"/>
              <w:left w:val="nil"/>
              <w:bottom w:val="nil"/>
              <w:right w:val="nil"/>
            </w:tcBorders>
            <w:noWrap/>
            <w:tcMar>
              <w:top w:w="12" w:type="dxa"/>
              <w:left w:w="12" w:type="dxa"/>
              <w:right w:w="12" w:type="dxa"/>
            </w:tcMar>
            <w:vAlign w:val="bottom"/>
          </w:tcPr>
          <w:p>
            <w:pPr>
              <w:widowControl/>
              <w:jc w:val="center"/>
              <w:textAlignment w:val="bottom"/>
              <w:rPr>
                <w:rFonts w:ascii="宋体" w:hAnsi="宋体" w:cs="宋体"/>
                <w:color w:val="000000"/>
                <w:sz w:val="24"/>
              </w:rPr>
            </w:pPr>
            <w:r>
              <w:rPr>
                <w:rFonts w:hint="eastAsia" w:ascii="宋体" w:hAnsi="宋体" w:cs="宋体"/>
                <w:color w:val="000000"/>
                <w:kern w:val="0"/>
                <w:sz w:val="24"/>
              </w:rPr>
              <w:t>项目名称：</w:t>
            </w:r>
          </w:p>
        </w:tc>
        <w:tc>
          <w:tcPr>
            <w:tcW w:w="6945" w:type="dxa"/>
            <w:gridSpan w:val="10"/>
            <w:tcBorders>
              <w:top w:val="nil"/>
              <w:left w:val="nil"/>
              <w:bottom w:val="nil"/>
              <w:right w:val="nil"/>
            </w:tcBorders>
            <w:noWrap/>
            <w:tcMar>
              <w:top w:w="12" w:type="dxa"/>
              <w:left w:w="12" w:type="dxa"/>
              <w:right w:w="12" w:type="dxa"/>
            </w:tcMar>
            <w:vAlign w:val="bottom"/>
          </w:tcPr>
          <w:p>
            <w:pPr>
              <w:widowControl/>
              <w:adjustRightInd w:val="0"/>
              <w:snapToGrid w:val="0"/>
              <w:jc w:val="left"/>
              <w:textAlignment w:val="bottom"/>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rPr>
              <w:t>安保安检工作经费</w:t>
            </w:r>
          </w:p>
        </w:tc>
        <w:tc>
          <w:tcPr>
            <w:tcW w:w="758" w:type="dxa"/>
            <w:tcBorders>
              <w:top w:val="nil"/>
              <w:left w:val="nil"/>
              <w:bottom w:val="nil"/>
              <w:right w:val="nil"/>
            </w:tcBorders>
            <w:noWrap/>
            <w:tcMar>
              <w:top w:w="12" w:type="dxa"/>
              <w:left w:w="12" w:type="dxa"/>
              <w:right w:w="12" w:type="dxa"/>
            </w:tcMar>
            <w:vAlign w:val="bottom"/>
          </w:tcPr>
          <w:p>
            <w:pPr>
              <w:jc w:val="center"/>
              <w:rPr>
                <w:rFonts w:ascii="宋体" w:hAnsi="宋体" w:cs="宋体"/>
                <w:color w:val="000000"/>
                <w:sz w:val="24"/>
              </w:rPr>
            </w:pPr>
          </w:p>
        </w:tc>
        <w:tc>
          <w:tcPr>
            <w:tcW w:w="82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829"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639"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80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966"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78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1275" w:type="dxa"/>
            <w:tcBorders>
              <w:top w:val="nil"/>
              <w:left w:val="nil"/>
              <w:bottom w:val="nil"/>
              <w:right w:val="nil"/>
            </w:tcBorders>
            <w:noWrap/>
            <w:tcMar>
              <w:top w:w="12" w:type="dxa"/>
              <w:left w:w="12" w:type="dxa"/>
              <w:right w:w="12"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49" w:hRule="atLeast"/>
        </w:trPr>
        <w:tc>
          <w:tcPr>
            <w:tcW w:w="1119" w:type="dxa"/>
            <w:tcBorders>
              <w:top w:val="nil"/>
              <w:left w:val="nil"/>
              <w:bottom w:val="nil"/>
              <w:right w:val="nil"/>
            </w:tcBorders>
            <w:noWrap/>
            <w:tcMar>
              <w:top w:w="12" w:type="dxa"/>
              <w:left w:w="12" w:type="dxa"/>
              <w:right w:w="12" w:type="dxa"/>
            </w:tcMar>
            <w:vAlign w:val="center"/>
          </w:tcPr>
          <w:p>
            <w:pPr>
              <w:jc w:val="left"/>
              <w:rPr>
                <w:rFonts w:ascii="黑体" w:hAnsi="宋体" w:eastAsia="黑体" w:cs="黑体"/>
                <w:color w:val="000000"/>
                <w:sz w:val="24"/>
              </w:rPr>
            </w:pPr>
          </w:p>
        </w:tc>
        <w:tc>
          <w:tcPr>
            <w:tcW w:w="240" w:type="dxa"/>
            <w:tcBorders>
              <w:top w:val="nil"/>
              <w:left w:val="nil"/>
              <w:bottom w:val="nil"/>
              <w:right w:val="nil"/>
            </w:tcBorders>
            <w:noWrap/>
            <w:tcMar>
              <w:top w:w="12" w:type="dxa"/>
              <w:left w:w="12" w:type="dxa"/>
              <w:right w:w="12" w:type="dxa"/>
            </w:tcMar>
            <w:vAlign w:val="center"/>
          </w:tcPr>
          <w:p>
            <w:pPr>
              <w:adjustRightInd w:val="0"/>
              <w:snapToGrid w:val="0"/>
              <w:jc w:val="center"/>
              <w:rPr>
                <w:rFonts w:ascii="宋体" w:hAnsi="宋体" w:cs="宋体"/>
                <w:b/>
                <w:color w:val="000000"/>
                <w:sz w:val="24"/>
              </w:rPr>
            </w:pPr>
          </w:p>
        </w:tc>
        <w:tc>
          <w:tcPr>
            <w:tcW w:w="821" w:type="dxa"/>
            <w:tcBorders>
              <w:top w:val="nil"/>
              <w:left w:val="nil"/>
              <w:bottom w:val="nil"/>
              <w:right w:val="nil"/>
            </w:tcBorders>
            <w:noWrap/>
            <w:tcMar>
              <w:top w:w="12" w:type="dxa"/>
              <w:left w:w="12" w:type="dxa"/>
              <w:right w:w="12" w:type="dxa"/>
            </w:tcMar>
            <w:vAlign w:val="center"/>
          </w:tcPr>
          <w:p>
            <w:pPr>
              <w:adjustRightInd w:val="0"/>
              <w:snapToGrid w:val="0"/>
              <w:jc w:val="center"/>
              <w:rPr>
                <w:rFonts w:ascii="宋体" w:hAnsi="宋体" w:cs="宋体"/>
                <w:b/>
                <w:color w:val="000000"/>
                <w:sz w:val="24"/>
              </w:rPr>
            </w:pPr>
          </w:p>
        </w:tc>
        <w:tc>
          <w:tcPr>
            <w:tcW w:w="749" w:type="dxa"/>
            <w:tcBorders>
              <w:top w:val="nil"/>
              <w:left w:val="nil"/>
              <w:bottom w:val="nil"/>
              <w:right w:val="nil"/>
            </w:tcBorders>
            <w:noWrap/>
            <w:tcMar>
              <w:top w:w="12" w:type="dxa"/>
              <w:left w:w="12" w:type="dxa"/>
              <w:right w:w="12" w:type="dxa"/>
            </w:tcMar>
            <w:vAlign w:val="center"/>
          </w:tcPr>
          <w:p>
            <w:pPr>
              <w:adjustRightInd w:val="0"/>
              <w:snapToGrid w:val="0"/>
              <w:jc w:val="center"/>
              <w:rPr>
                <w:rFonts w:ascii="宋体" w:hAnsi="宋体" w:cs="宋体"/>
                <w:b/>
                <w:color w:val="000000"/>
                <w:sz w:val="24"/>
              </w:rPr>
            </w:pPr>
          </w:p>
        </w:tc>
        <w:tc>
          <w:tcPr>
            <w:tcW w:w="746"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761"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739"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480"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743"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835"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831" w:type="dxa"/>
            <w:tcBorders>
              <w:top w:val="nil"/>
              <w:left w:val="nil"/>
              <w:bottom w:val="nil"/>
              <w:right w:val="nil"/>
            </w:tcBorders>
            <w:noWrap/>
            <w:tcMar>
              <w:top w:w="12" w:type="dxa"/>
              <w:left w:w="12" w:type="dxa"/>
              <w:right w:w="12" w:type="dxa"/>
            </w:tcMar>
            <w:vAlign w:val="bottom"/>
          </w:tcPr>
          <w:p>
            <w:pPr>
              <w:adjustRightInd w:val="0"/>
              <w:snapToGrid w:val="0"/>
              <w:jc w:val="center"/>
              <w:rPr>
                <w:rFonts w:ascii="宋体" w:hAnsi="宋体" w:cs="宋体"/>
                <w:b/>
                <w:color w:val="000000"/>
                <w:sz w:val="24"/>
              </w:rPr>
            </w:pPr>
          </w:p>
        </w:tc>
        <w:tc>
          <w:tcPr>
            <w:tcW w:w="758"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82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829"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639"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80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966"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784" w:type="dxa"/>
            <w:tcBorders>
              <w:top w:val="nil"/>
              <w:left w:val="nil"/>
              <w:bottom w:val="nil"/>
              <w:right w:val="nil"/>
            </w:tcBorders>
            <w:noWrap/>
            <w:tcMar>
              <w:top w:w="12" w:type="dxa"/>
              <w:left w:w="12" w:type="dxa"/>
              <w:right w:w="12" w:type="dxa"/>
            </w:tcMar>
            <w:vAlign w:val="bottom"/>
          </w:tcPr>
          <w:p>
            <w:pPr>
              <w:jc w:val="center"/>
              <w:rPr>
                <w:rFonts w:ascii="宋体" w:hAnsi="宋体" w:cs="宋体"/>
                <w:b/>
                <w:color w:val="000000"/>
                <w:sz w:val="24"/>
              </w:rPr>
            </w:pPr>
          </w:p>
        </w:tc>
        <w:tc>
          <w:tcPr>
            <w:tcW w:w="1275" w:type="dxa"/>
            <w:tcBorders>
              <w:top w:val="nil"/>
              <w:left w:val="nil"/>
              <w:bottom w:val="single" w:color="000000" w:sz="4" w:space="0"/>
              <w:right w:val="nil"/>
            </w:tcBorders>
            <w:noWrap/>
            <w:tcMar>
              <w:top w:w="12" w:type="dxa"/>
              <w:left w:w="12" w:type="dxa"/>
              <w:right w:w="12" w:type="dxa"/>
            </w:tcMar>
            <w:vAlign w:val="bottom"/>
          </w:tcPr>
          <w:p>
            <w:pPr>
              <w:widowControl/>
              <w:jc w:val="right"/>
              <w:textAlignment w:val="bottom"/>
              <w:rPr>
                <w:rFonts w:ascii="宋体" w:hAnsi="宋体" w:cs="宋体"/>
                <w:color w:val="000000"/>
                <w:sz w:val="24"/>
              </w:rPr>
            </w:pPr>
            <w:r>
              <w:rPr>
                <w:rFonts w:hint="eastAsia" w:ascii="宋体" w:hAnsi="宋体" w:cs="宋体"/>
                <w:color w:val="000000"/>
                <w:kern w:val="0"/>
                <w:sz w:val="24"/>
              </w:rPr>
              <w:t>单位：万元</w:t>
            </w:r>
          </w:p>
        </w:tc>
      </w:tr>
      <w:tr>
        <w:tblPrEx>
          <w:tblCellMar>
            <w:top w:w="0" w:type="dxa"/>
            <w:left w:w="0" w:type="dxa"/>
            <w:bottom w:w="0" w:type="dxa"/>
            <w:right w:w="0" w:type="dxa"/>
          </w:tblCellMar>
        </w:tblPrEx>
        <w:trPr>
          <w:trHeight w:val="510" w:hRule="atLeast"/>
        </w:trPr>
        <w:tc>
          <w:tcPr>
            <w:tcW w:w="1359" w:type="dxa"/>
            <w:gridSpan w:val="2"/>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w:t>
            </w:r>
          </w:p>
        </w:tc>
        <w:tc>
          <w:tcPr>
            <w:tcW w:w="1570" w:type="dxa"/>
            <w:gridSpan w:val="2"/>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预算批复</w:t>
            </w:r>
          </w:p>
        </w:tc>
        <w:tc>
          <w:tcPr>
            <w:tcW w:w="2726" w:type="dxa"/>
            <w:gridSpan w:val="4"/>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 xml:space="preserve">资金到位情况 </w:t>
            </w:r>
          </w:p>
        </w:tc>
        <w:tc>
          <w:tcPr>
            <w:tcW w:w="6263" w:type="dxa"/>
            <w:gridSpan w:val="8"/>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w:t>
            </w:r>
          </w:p>
        </w:tc>
        <w:tc>
          <w:tcPr>
            <w:tcW w:w="966"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本年支出进度(%)</w:t>
            </w:r>
          </w:p>
        </w:tc>
        <w:tc>
          <w:tcPr>
            <w:tcW w:w="2059" w:type="dxa"/>
            <w:gridSpan w:val="2"/>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执行差额</w:t>
            </w:r>
          </w:p>
        </w:tc>
      </w:tr>
      <w:tr>
        <w:tblPrEx>
          <w:tblCellMar>
            <w:top w:w="0" w:type="dxa"/>
            <w:left w:w="0" w:type="dxa"/>
            <w:bottom w:w="0" w:type="dxa"/>
            <w:right w:w="0" w:type="dxa"/>
          </w:tblCellMar>
        </w:tblPrEx>
        <w:trPr>
          <w:trHeight w:val="450" w:hRule="atLeast"/>
        </w:trPr>
        <w:tc>
          <w:tcPr>
            <w:tcW w:w="1359"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82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总预算</w:t>
            </w:r>
          </w:p>
        </w:tc>
        <w:tc>
          <w:tcPr>
            <w:tcW w:w="74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746"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合计</w:t>
            </w:r>
          </w:p>
        </w:tc>
        <w:tc>
          <w:tcPr>
            <w:tcW w:w="76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第一、二季度</w:t>
            </w:r>
          </w:p>
        </w:tc>
        <w:tc>
          <w:tcPr>
            <w:tcW w:w="73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第三季度</w:t>
            </w:r>
          </w:p>
        </w:tc>
        <w:tc>
          <w:tcPr>
            <w:tcW w:w="48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第四季度</w:t>
            </w:r>
          </w:p>
        </w:tc>
        <w:tc>
          <w:tcPr>
            <w:tcW w:w="74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合计</w:t>
            </w:r>
          </w:p>
        </w:tc>
        <w:tc>
          <w:tcPr>
            <w:tcW w:w="5520" w:type="dxa"/>
            <w:gridSpan w:val="7"/>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本年支出</w:t>
            </w:r>
          </w:p>
        </w:tc>
        <w:tc>
          <w:tcPr>
            <w:tcW w:w="9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6"/>
                <w:szCs w:val="16"/>
              </w:rPr>
            </w:pPr>
          </w:p>
        </w:tc>
        <w:tc>
          <w:tcPr>
            <w:tcW w:w="78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执行差额数</w:t>
            </w:r>
          </w:p>
        </w:tc>
        <w:tc>
          <w:tcPr>
            <w:tcW w:w="127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差额原因</w:t>
            </w:r>
          </w:p>
        </w:tc>
      </w:tr>
      <w:tr>
        <w:tblPrEx>
          <w:tblCellMar>
            <w:top w:w="0" w:type="dxa"/>
            <w:left w:w="0" w:type="dxa"/>
            <w:bottom w:w="0" w:type="dxa"/>
            <w:right w:w="0" w:type="dxa"/>
          </w:tblCellMar>
        </w:tblPrEx>
        <w:trPr>
          <w:trHeight w:val="690" w:hRule="atLeast"/>
        </w:trPr>
        <w:tc>
          <w:tcPr>
            <w:tcW w:w="1359"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82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74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746"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76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73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48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74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83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小计</w:t>
            </w:r>
          </w:p>
        </w:tc>
        <w:tc>
          <w:tcPr>
            <w:tcW w:w="831"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第一、二季度</w:t>
            </w:r>
          </w:p>
        </w:tc>
        <w:tc>
          <w:tcPr>
            <w:tcW w:w="7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其中：财政拨款</w:t>
            </w:r>
          </w:p>
        </w:tc>
        <w:tc>
          <w:tcPr>
            <w:tcW w:w="82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第三季度</w:t>
            </w:r>
          </w:p>
        </w:tc>
        <w:tc>
          <w:tcPr>
            <w:tcW w:w="82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其中：财政拨款</w:t>
            </w:r>
          </w:p>
        </w:tc>
        <w:tc>
          <w:tcPr>
            <w:tcW w:w="639"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第四季度 </w:t>
            </w:r>
          </w:p>
        </w:tc>
        <w:tc>
          <w:tcPr>
            <w:tcW w:w="80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6"/>
                <w:szCs w:val="16"/>
              </w:rPr>
            </w:pPr>
            <w:r>
              <w:rPr>
                <w:rFonts w:hint="eastAsia" w:ascii="宋体" w:hAnsi="宋体" w:cs="宋体"/>
                <w:color w:val="000000"/>
                <w:kern w:val="0"/>
                <w:sz w:val="16"/>
                <w:szCs w:val="16"/>
              </w:rPr>
              <w:t>其中：财政拨款</w:t>
            </w:r>
          </w:p>
        </w:tc>
        <w:tc>
          <w:tcPr>
            <w:tcW w:w="96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6"/>
                <w:szCs w:val="16"/>
              </w:rPr>
            </w:pPr>
          </w:p>
        </w:tc>
        <w:tc>
          <w:tcPr>
            <w:tcW w:w="78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6"/>
                <w:szCs w:val="16"/>
              </w:rPr>
            </w:pPr>
          </w:p>
        </w:tc>
        <w:tc>
          <w:tcPr>
            <w:tcW w:w="127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6"/>
                <w:szCs w:val="16"/>
              </w:rPr>
            </w:pPr>
          </w:p>
        </w:tc>
      </w:tr>
      <w:tr>
        <w:tblPrEx>
          <w:tblCellMar>
            <w:top w:w="0" w:type="dxa"/>
            <w:left w:w="0" w:type="dxa"/>
            <w:bottom w:w="0" w:type="dxa"/>
            <w:right w:w="0" w:type="dxa"/>
          </w:tblCellMar>
        </w:tblPrEx>
        <w:trPr>
          <w:trHeight w:val="420" w:hRule="atLeast"/>
        </w:trPr>
        <w:tc>
          <w:tcPr>
            <w:tcW w:w="1359" w:type="dxa"/>
            <w:gridSpan w:val="2"/>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宋体" w:hAnsi="宋体" w:cs="宋体"/>
                <w:color w:val="000000"/>
                <w:sz w:val="18"/>
                <w:szCs w:val="18"/>
              </w:rPr>
            </w:pPr>
          </w:p>
        </w:tc>
        <w:tc>
          <w:tcPr>
            <w:tcW w:w="821"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749"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746"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761"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739"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80"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743"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835"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831"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758"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824"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829"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639"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804"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966"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784"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1275" w:type="dxa"/>
            <w:tcBorders>
              <w:top w:val="nil"/>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w:t>
            </w:r>
          </w:p>
        </w:tc>
      </w:tr>
      <w:tr>
        <w:tblPrEx>
          <w:tblCellMar>
            <w:top w:w="0" w:type="dxa"/>
            <w:left w:w="0" w:type="dxa"/>
            <w:bottom w:w="0" w:type="dxa"/>
            <w:right w:w="0" w:type="dxa"/>
          </w:tblCellMar>
        </w:tblPrEx>
        <w:trPr>
          <w:trHeight w:val="420" w:hRule="atLeast"/>
        </w:trPr>
        <w:tc>
          <w:tcPr>
            <w:tcW w:w="1359"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kern w:val="0"/>
                <w:sz w:val="20"/>
                <w:szCs w:val="20"/>
              </w:rPr>
            </w:pPr>
          </w:p>
          <w:p>
            <w:pPr>
              <w:widowControl/>
              <w:jc w:val="center"/>
              <w:textAlignment w:val="center"/>
              <w:rPr>
                <w:rFonts w:ascii="宋体" w:hAnsi="宋体" w:cs="宋体"/>
                <w:color w:val="000000"/>
                <w:sz w:val="20"/>
                <w:szCs w:val="20"/>
              </w:rPr>
            </w:pPr>
            <w:r>
              <w:rPr>
                <w:rFonts w:hint="eastAsia" w:ascii="宋体" w:hAnsi="宋体" w:cs="宋体"/>
                <w:color w:val="000000"/>
                <w:kern w:val="0"/>
                <w:sz w:val="24"/>
              </w:rPr>
              <w:t>合计</w:t>
            </w:r>
          </w:p>
          <w:p>
            <w:pPr>
              <w:widowControl/>
              <w:jc w:val="center"/>
              <w:textAlignment w:val="center"/>
              <w:rPr>
                <w:rFonts w:ascii="宋体" w:hAnsi="宋体" w:cs="宋体"/>
                <w:color w:val="000000"/>
                <w:sz w:val="20"/>
                <w:szCs w:val="20"/>
              </w:rPr>
            </w:pPr>
          </w:p>
        </w:tc>
        <w:tc>
          <w:tcPr>
            <w:tcW w:w="821"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113.52</w:t>
            </w:r>
          </w:p>
        </w:tc>
        <w:tc>
          <w:tcPr>
            <w:tcW w:w="749"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113.52</w:t>
            </w:r>
          </w:p>
        </w:tc>
        <w:tc>
          <w:tcPr>
            <w:tcW w:w="746"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113.52</w:t>
            </w:r>
          </w:p>
        </w:tc>
        <w:tc>
          <w:tcPr>
            <w:tcW w:w="761"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bookmarkStart w:id="66" w:name="OLE_LINK4"/>
            <w:r>
              <w:rPr>
                <w:rFonts w:hint="eastAsia" w:ascii="宋体" w:hAnsi="宋体" w:eastAsia="宋体" w:cs="宋体"/>
                <w:color w:val="000000"/>
                <w:sz w:val="20"/>
                <w:szCs w:val="20"/>
                <w:lang w:val="en-US" w:eastAsia="zh-CN"/>
              </w:rPr>
              <w:t>113.52</w:t>
            </w:r>
            <w:bookmarkEnd w:id="66"/>
          </w:p>
        </w:tc>
        <w:tc>
          <w:tcPr>
            <w:tcW w:w="739"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val="en-US" w:eastAsia="zh-CN"/>
              </w:rPr>
            </w:pPr>
          </w:p>
        </w:tc>
        <w:tc>
          <w:tcPr>
            <w:tcW w:w="480"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743"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cs="宋体" w:eastAsiaTheme="minorEastAsia"/>
                <w:color w:val="000000"/>
                <w:sz w:val="20"/>
                <w:szCs w:val="20"/>
                <w:lang w:val="en-US" w:eastAsia="zh-CN"/>
              </w:rPr>
            </w:pPr>
            <w:r>
              <w:rPr>
                <w:rFonts w:hint="eastAsia" w:ascii="宋体" w:hAnsi="宋体" w:eastAsia="宋体" w:cs="宋体"/>
                <w:color w:val="000000"/>
                <w:sz w:val="20"/>
                <w:szCs w:val="20"/>
                <w:lang w:val="en-US" w:eastAsia="zh-CN"/>
              </w:rPr>
              <w:t>113.52</w:t>
            </w:r>
          </w:p>
        </w:tc>
        <w:tc>
          <w:tcPr>
            <w:tcW w:w="835"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79.464</w:t>
            </w:r>
          </w:p>
        </w:tc>
        <w:tc>
          <w:tcPr>
            <w:tcW w:w="831"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bookmarkStart w:id="67" w:name="OLE_LINK2"/>
            <w:r>
              <w:rPr>
                <w:rFonts w:hint="eastAsia" w:ascii="宋体" w:hAnsi="宋体" w:eastAsia="宋体" w:cs="宋体"/>
                <w:color w:val="000000"/>
                <w:sz w:val="20"/>
                <w:szCs w:val="20"/>
                <w:lang w:val="en-US" w:eastAsia="zh-CN"/>
              </w:rPr>
              <w:t>79.464</w:t>
            </w:r>
            <w:bookmarkEnd w:id="67"/>
          </w:p>
        </w:tc>
        <w:tc>
          <w:tcPr>
            <w:tcW w:w="758"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lang w:val="en-US" w:eastAsia="zh-CN"/>
              </w:rPr>
              <w:t>79.464</w:t>
            </w:r>
          </w:p>
        </w:tc>
        <w:tc>
          <w:tcPr>
            <w:tcW w:w="824"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p>
        </w:tc>
        <w:tc>
          <w:tcPr>
            <w:tcW w:w="829"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34.056</w:t>
            </w:r>
          </w:p>
        </w:tc>
        <w:tc>
          <w:tcPr>
            <w:tcW w:w="639"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bookmarkStart w:id="68" w:name="OLE_LINK3"/>
            <w:r>
              <w:rPr>
                <w:rFonts w:hint="eastAsia" w:ascii="宋体" w:hAnsi="宋体" w:eastAsia="宋体" w:cs="宋体"/>
                <w:color w:val="000000"/>
                <w:sz w:val="20"/>
                <w:szCs w:val="20"/>
                <w:lang w:val="en-US" w:eastAsia="zh-CN"/>
              </w:rPr>
              <w:t>34.056</w:t>
            </w:r>
            <w:bookmarkEnd w:id="68"/>
          </w:p>
        </w:tc>
        <w:tc>
          <w:tcPr>
            <w:tcW w:w="804"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lang w:val="en-US" w:eastAsia="zh-CN"/>
              </w:rPr>
              <w:t>34.056</w:t>
            </w:r>
          </w:p>
        </w:tc>
        <w:tc>
          <w:tcPr>
            <w:tcW w:w="966"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sz w:val="20"/>
                <w:szCs w:val="20"/>
                <w:lang w:val="en-US" w:eastAsia="zh-CN"/>
              </w:rPr>
              <w:t>100</w:t>
            </w:r>
            <w:r>
              <w:rPr>
                <w:rFonts w:hint="eastAsia" w:ascii="宋体" w:hAnsi="宋体" w:eastAsia="宋体" w:cs="宋体"/>
                <w:color w:val="000000"/>
                <w:sz w:val="20"/>
                <w:szCs w:val="20"/>
              </w:rPr>
              <w:t>%</w:t>
            </w:r>
          </w:p>
        </w:tc>
        <w:tc>
          <w:tcPr>
            <w:tcW w:w="784"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127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宋体" w:hAnsi="宋体" w:eastAsia="宋体" w:cs="宋体"/>
                <w:color w:val="000000"/>
                <w:sz w:val="18"/>
                <w:szCs w:val="18"/>
              </w:rPr>
            </w:pPr>
          </w:p>
        </w:tc>
      </w:tr>
      <w:tr>
        <w:tblPrEx>
          <w:tblCellMar>
            <w:top w:w="0" w:type="dxa"/>
            <w:left w:w="0" w:type="dxa"/>
            <w:bottom w:w="0" w:type="dxa"/>
            <w:right w:w="0" w:type="dxa"/>
          </w:tblCellMar>
        </w:tblPrEx>
        <w:trPr>
          <w:trHeight w:val="1875" w:hRule="atLeast"/>
        </w:trPr>
        <w:tc>
          <w:tcPr>
            <w:tcW w:w="14943" w:type="dxa"/>
            <w:gridSpan w:val="19"/>
            <w:tcBorders>
              <w:top w:val="single" w:color="000000" w:sz="4" w:space="0"/>
              <w:left w:val="nil"/>
              <w:bottom w:val="nil"/>
              <w:right w:val="nil"/>
            </w:tcBorders>
            <w:tcMar>
              <w:top w:w="12" w:type="dxa"/>
              <w:left w:w="12" w:type="dxa"/>
              <w:right w:w="12" w:type="dxa"/>
            </w:tcMar>
          </w:tcPr>
          <w:p>
            <w:pPr>
              <w:widowControl/>
              <w:spacing w:before="156" w:beforeLines="50"/>
              <w:jc w:val="left"/>
              <w:textAlignment w:val="top"/>
              <w:rPr>
                <w:rFonts w:ascii="宋体" w:hAnsi="宋体" w:cs="宋体"/>
                <w:color w:val="000000"/>
                <w:sz w:val="20"/>
                <w:szCs w:val="20"/>
              </w:rPr>
            </w:pPr>
            <w:r>
              <w:rPr>
                <w:rFonts w:hint="eastAsia" w:ascii="宋体" w:hAnsi="宋体" w:cs="宋体"/>
                <w:color w:val="000000"/>
                <w:kern w:val="0"/>
                <w:sz w:val="20"/>
                <w:szCs w:val="20"/>
              </w:rPr>
              <w:t>注：1.此表按项目支出年度分项目进行填写；</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2.执行差额数=预算执行-预算批复（16=7-1）；</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3.本年支出小计:8=9+11+13；预算执行合计:7=8；项目本年支出进度:15=8/1*100%；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4.表中数据以单位实际帐面数据为准，保留小数点后两位数字。</w:t>
            </w:r>
          </w:p>
        </w:tc>
      </w:tr>
    </w:tbl>
    <w:p>
      <w:pPr>
        <w:rPr>
          <w:rFonts w:hint="default" w:ascii="仿宋_GB2312" w:hAnsi="宋体" w:eastAsia="仿宋_GB2312"/>
          <w:bCs/>
          <w:kern w:val="0"/>
          <w:sz w:val="32"/>
          <w:szCs w:val="28"/>
          <w:lang w:val="en-US" w:eastAsia="zh-CN"/>
        </w:rPr>
      </w:pPr>
      <w:r>
        <w:rPr>
          <w:rFonts w:hint="default" w:ascii="仿宋_GB2312" w:hAnsi="宋体" w:eastAsia="仿宋_GB2312"/>
          <w:bCs/>
          <w:kern w:val="0"/>
          <w:sz w:val="32"/>
          <w:szCs w:val="28"/>
          <w:lang w:val="en-US" w:eastAsia="zh-CN"/>
        </w:rPr>
        <w:br w:type="page"/>
      </w:r>
    </w:p>
    <w:p>
      <w:pPr>
        <w:keepNext w:val="0"/>
        <w:keepLines w:val="0"/>
        <w:pageBreakBefore w:val="0"/>
        <w:widowControl w:val="0"/>
        <w:kinsoku/>
        <w:wordWrap/>
        <w:overflowPunct/>
        <w:topLinePunct w:val="0"/>
        <w:autoSpaceDE/>
        <w:autoSpaceDN/>
        <w:bidi w:val="0"/>
        <w:adjustRightInd/>
        <w:snapToGrid/>
        <w:textAlignment w:val="auto"/>
        <w:outlineLvl w:val="1"/>
        <w:rPr>
          <w:rFonts w:ascii="仿宋_GB2312" w:hAnsi="Calibri"/>
          <w:sz w:val="32"/>
          <w:szCs w:val="32"/>
        </w:rPr>
      </w:pPr>
      <w:r>
        <w:rPr>
          <w:rFonts w:hint="eastAsia" w:ascii="仿宋_GB2312" w:hAnsi="Calibri"/>
          <w:sz w:val="32"/>
          <w:szCs w:val="32"/>
        </w:rPr>
        <w:t>附件2</w:t>
      </w:r>
      <w:r>
        <w:rPr>
          <w:rFonts w:hint="eastAsia" w:ascii="仿宋_GB2312" w:hAnsi="Calibri"/>
          <w:sz w:val="32"/>
          <w:szCs w:val="32"/>
          <w:lang w:val="en-US" w:eastAsia="zh-CN"/>
        </w:rPr>
        <w:t>.</w:t>
      </w:r>
      <w:r>
        <w:rPr>
          <w:rFonts w:hint="eastAsia" w:ascii="仿宋_GB2312" w:hAnsi="宋体" w:eastAsia="仿宋_GB2312"/>
          <w:bCs/>
          <w:kern w:val="0"/>
          <w:sz w:val="32"/>
          <w:szCs w:val="28"/>
        </w:rPr>
        <w:t>项目绩效目标完成情况及收支明细表</w:t>
      </w:r>
    </w:p>
    <w:tbl>
      <w:tblPr>
        <w:tblStyle w:val="16"/>
        <w:tblW w:w="13911" w:type="dxa"/>
        <w:tblInd w:w="98" w:type="dxa"/>
        <w:tblLayout w:type="fixed"/>
        <w:tblCellMar>
          <w:top w:w="0" w:type="dxa"/>
          <w:left w:w="108" w:type="dxa"/>
          <w:bottom w:w="0" w:type="dxa"/>
          <w:right w:w="108" w:type="dxa"/>
        </w:tblCellMar>
      </w:tblPr>
      <w:tblGrid>
        <w:gridCol w:w="1868"/>
        <w:gridCol w:w="4247"/>
        <w:gridCol w:w="3700"/>
        <w:gridCol w:w="4096"/>
      </w:tblGrid>
      <w:tr>
        <w:tblPrEx>
          <w:tblCellMar>
            <w:top w:w="0" w:type="dxa"/>
            <w:left w:w="108" w:type="dxa"/>
            <w:bottom w:w="0" w:type="dxa"/>
            <w:right w:w="108" w:type="dxa"/>
          </w:tblCellMar>
        </w:tblPrEx>
        <w:trPr>
          <w:trHeight w:val="702" w:hRule="atLeast"/>
        </w:trPr>
        <w:tc>
          <w:tcPr>
            <w:tcW w:w="13911" w:type="dxa"/>
            <w:gridSpan w:val="4"/>
            <w:tcBorders>
              <w:top w:val="nil"/>
              <w:left w:val="nil"/>
              <w:bottom w:val="nil"/>
              <w:right w:val="nil"/>
            </w:tcBorders>
            <w:shd w:val="clear" w:color="auto" w:fill="auto"/>
            <w:noWrap/>
            <w:vAlign w:val="center"/>
          </w:tcPr>
          <w:p>
            <w:pPr>
              <w:widowControl/>
              <w:jc w:val="center"/>
              <w:textAlignment w:val="center"/>
              <w:rPr>
                <w:sz w:val="24"/>
              </w:rPr>
            </w:pPr>
            <w:r>
              <w:rPr>
                <w:rFonts w:hint="eastAsia"/>
                <w:sz w:val="24"/>
              </w:rPr>
              <w:t>项目绩效目标完成情况及收支明细表</w:t>
            </w:r>
          </w:p>
          <w:p>
            <w:pPr>
              <w:pStyle w:val="7"/>
              <w:ind w:firstLine="480"/>
              <w:jc w:val="center"/>
              <w:rPr>
                <w:sz w:val="24"/>
              </w:rPr>
            </w:pPr>
            <w:r>
              <w:rPr>
                <w:rFonts w:hint="eastAsia" w:ascii="宋体" w:hAnsi="宋体" w:cs="宋体"/>
                <w:color w:val="000000"/>
                <w:kern w:val="0"/>
                <w:sz w:val="24"/>
                <w:lang w:bidi="ar"/>
              </w:rPr>
              <w:t>（202</w:t>
            </w:r>
            <w:r>
              <w:rPr>
                <w:rFonts w:hint="eastAsia" w:ascii="宋体" w:hAnsi="宋体" w:cs="宋体"/>
                <w:color w:val="000000"/>
                <w:kern w:val="0"/>
                <w:sz w:val="24"/>
                <w:lang w:val="en-US" w:eastAsia="zh-CN" w:bidi="ar"/>
              </w:rPr>
              <w:t>4</w:t>
            </w:r>
            <w:r>
              <w:rPr>
                <w:rFonts w:hint="eastAsia" w:ascii="宋体" w:hAnsi="宋体" w:cs="宋体"/>
                <w:color w:val="000000"/>
                <w:kern w:val="0"/>
                <w:sz w:val="24"/>
                <w:lang w:bidi="ar"/>
              </w:rPr>
              <w:t>年度）</w:t>
            </w:r>
          </w:p>
        </w:tc>
      </w:tr>
      <w:tr>
        <w:tblPrEx>
          <w:tblCellMar>
            <w:top w:w="0" w:type="dxa"/>
            <w:left w:w="108" w:type="dxa"/>
            <w:bottom w:w="0" w:type="dxa"/>
            <w:right w:w="108" w:type="dxa"/>
          </w:tblCellMar>
        </w:tblPrEx>
        <w:trPr>
          <w:trHeight w:val="412" w:hRule="atLeast"/>
        </w:trPr>
        <w:tc>
          <w:tcPr>
            <w:tcW w:w="1868" w:type="dxa"/>
            <w:tcBorders>
              <w:top w:val="nil"/>
              <w:left w:val="nil"/>
              <w:bottom w:val="nil"/>
              <w:right w:val="nil"/>
            </w:tcBorders>
            <w:shd w:val="clear" w:color="auto" w:fill="auto"/>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项目名称：</w:t>
            </w:r>
          </w:p>
        </w:tc>
        <w:tc>
          <w:tcPr>
            <w:tcW w:w="4247" w:type="dxa"/>
            <w:tcBorders>
              <w:top w:val="nil"/>
              <w:left w:val="nil"/>
              <w:bottom w:val="nil"/>
              <w:right w:val="nil"/>
            </w:tcBorders>
            <w:shd w:val="clear" w:color="auto" w:fill="auto"/>
            <w:noWrap/>
            <w:vAlign w:val="center"/>
          </w:tcPr>
          <w:p>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bidi="ar"/>
              </w:rPr>
              <w:t>安保安检工作经费</w:t>
            </w:r>
          </w:p>
        </w:tc>
        <w:tc>
          <w:tcPr>
            <w:tcW w:w="3700" w:type="dxa"/>
            <w:tcBorders>
              <w:top w:val="nil"/>
              <w:left w:val="nil"/>
              <w:bottom w:val="nil"/>
              <w:right w:val="nil"/>
            </w:tcBorders>
            <w:shd w:val="clear" w:color="auto" w:fill="auto"/>
            <w:noWrap/>
            <w:vAlign w:val="center"/>
          </w:tcPr>
          <w:p>
            <w:pPr>
              <w:rPr>
                <w:rFonts w:ascii="宋体" w:hAnsi="宋体" w:eastAsia="宋体" w:cs="宋体"/>
                <w:color w:val="000000"/>
                <w:sz w:val="24"/>
              </w:rPr>
            </w:pPr>
          </w:p>
        </w:tc>
        <w:tc>
          <w:tcPr>
            <w:tcW w:w="4096" w:type="dxa"/>
            <w:tcBorders>
              <w:top w:val="nil"/>
              <w:left w:val="nil"/>
              <w:bottom w:val="nil"/>
              <w:right w:val="nil"/>
            </w:tcBorders>
            <w:shd w:val="clear" w:color="auto" w:fill="auto"/>
            <w:noWrap/>
            <w:vAlign w:val="center"/>
          </w:tcPr>
          <w:p>
            <w:pPr>
              <w:widowControl/>
              <w:jc w:val="right"/>
              <w:textAlignment w:val="center"/>
              <w:rPr>
                <w:rFonts w:ascii="宋体" w:hAnsi="宋体" w:eastAsia="宋体" w:cs="宋体"/>
                <w:color w:val="000000"/>
                <w:sz w:val="24"/>
              </w:rPr>
            </w:pPr>
            <w:r>
              <w:rPr>
                <w:rFonts w:hint="eastAsia" w:ascii="宋体" w:hAnsi="宋体" w:eastAsia="宋体" w:cs="宋体"/>
                <w:color w:val="000000"/>
                <w:kern w:val="0"/>
                <w:sz w:val="24"/>
                <w:lang w:bidi="ar"/>
              </w:rPr>
              <w:t>金额单位：万元</w:t>
            </w:r>
          </w:p>
        </w:tc>
      </w:tr>
      <w:tr>
        <w:tblPrEx>
          <w:tblCellMar>
            <w:top w:w="0" w:type="dxa"/>
            <w:left w:w="108" w:type="dxa"/>
            <w:bottom w:w="0" w:type="dxa"/>
            <w:right w:w="108" w:type="dxa"/>
          </w:tblCellMar>
        </w:tblPrEx>
        <w:trPr>
          <w:trHeight w:val="333" w:hRule="atLeast"/>
        </w:trPr>
        <w:tc>
          <w:tcPr>
            <w:tcW w:w="18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4"/>
                <w:lang w:bidi="ar"/>
              </w:rPr>
            </w:pPr>
            <w:r>
              <w:rPr>
                <w:rFonts w:hint="eastAsia" w:ascii="宋体" w:hAnsi="宋体" w:eastAsia="宋体" w:cs="宋体"/>
                <w:color w:val="000000"/>
                <w:kern w:val="0"/>
                <w:sz w:val="24"/>
                <w:lang w:bidi="ar"/>
              </w:rPr>
              <w:t>绩效目标</w:t>
            </w:r>
          </w:p>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完成情况</w:t>
            </w:r>
          </w:p>
        </w:tc>
        <w:tc>
          <w:tcPr>
            <w:tcW w:w="42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计划内容</w:t>
            </w:r>
          </w:p>
        </w:tc>
        <w:tc>
          <w:tcPr>
            <w:tcW w:w="3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目标调整情况</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实际完成情况</w:t>
            </w:r>
          </w:p>
        </w:tc>
      </w:tr>
      <w:tr>
        <w:tblPrEx>
          <w:tblCellMar>
            <w:top w:w="0" w:type="dxa"/>
            <w:left w:w="108" w:type="dxa"/>
            <w:bottom w:w="0" w:type="dxa"/>
            <w:right w:w="108" w:type="dxa"/>
          </w:tblCellMar>
        </w:tblPrEx>
        <w:trPr>
          <w:trHeight w:val="1550"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val="0"/>
              <w:ind w:firstLine="0"/>
              <w:textAlignment w:val="auto"/>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1、保障全院机关门岗执勤、信访接待引导、秩序维护、滞留人员劝返、处置违法上访突发事件，消防应急处置等任务； 2、做好防爆安全、人身安全、物品安全、中控消防安全等检查工作，保障我院检察工作正常、有序开展，维护首都安全稳定。</w:t>
            </w:r>
          </w:p>
        </w:tc>
        <w:tc>
          <w:tcPr>
            <w:tcW w:w="3700" w:type="dxa"/>
            <w:tcBorders>
              <w:top w:val="single" w:color="000000" w:sz="4" w:space="0"/>
              <w:left w:val="single" w:color="000000" w:sz="4" w:space="0"/>
              <w:right w:val="single" w:color="000000" w:sz="4" w:space="0"/>
            </w:tcBorders>
            <w:shd w:val="clear" w:color="auto" w:fill="auto"/>
            <w:noWrap/>
            <w:vAlign w:val="center"/>
          </w:tcPr>
          <w:p>
            <w:pPr>
              <w:widowControl/>
              <w:adjustRightInd w:val="0"/>
              <w:snapToGrid w:val="0"/>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无</w:t>
            </w:r>
          </w:p>
        </w:tc>
        <w:tc>
          <w:tcPr>
            <w:tcW w:w="4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adjustRightInd w:val="0"/>
              <w:snapToGrid w:val="0"/>
              <w:jc w:val="left"/>
              <w:textAlignment w:val="center"/>
              <w:rPr>
                <w:rFonts w:hint="default" w:ascii="宋体" w:hAnsi="宋体" w:eastAsia="宋体" w:cs="宋体"/>
                <w:color w:val="000000"/>
                <w:sz w:val="20"/>
                <w:szCs w:val="20"/>
                <w:lang w:val="en-US"/>
              </w:rPr>
            </w:pPr>
            <w:r>
              <w:rPr>
                <w:rFonts w:hint="eastAsia" w:ascii="宋体" w:hAnsi="宋体" w:eastAsia="宋体" w:cs="宋体"/>
                <w:color w:val="000000"/>
                <w:sz w:val="20"/>
                <w:szCs w:val="20"/>
                <w:lang w:val="en-US" w:eastAsia="zh-CN"/>
              </w:rPr>
              <w:t>已按要求完成全年任务。</w:t>
            </w:r>
          </w:p>
        </w:tc>
      </w:tr>
      <w:tr>
        <w:tblPrEx>
          <w:tblCellMar>
            <w:top w:w="0" w:type="dxa"/>
            <w:left w:w="108" w:type="dxa"/>
            <w:bottom w:w="0" w:type="dxa"/>
            <w:right w:w="108" w:type="dxa"/>
          </w:tblCellMar>
        </w:tblPrEx>
        <w:trPr>
          <w:trHeight w:val="388" w:hRule="atLeast"/>
        </w:trPr>
        <w:tc>
          <w:tcPr>
            <w:tcW w:w="18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资金到位情况</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项目资金</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预算批复数</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资金到位数</w:t>
            </w:r>
          </w:p>
        </w:tc>
      </w:tr>
      <w:tr>
        <w:tblPrEx>
          <w:tblCellMar>
            <w:top w:w="0" w:type="dxa"/>
            <w:left w:w="108" w:type="dxa"/>
            <w:bottom w:w="0" w:type="dxa"/>
            <w:right w:w="108" w:type="dxa"/>
          </w:tblCellMar>
        </w:tblPrEx>
        <w:trPr>
          <w:trHeight w:val="304"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财政拨款</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4"/>
                <w:lang w:val="en-US" w:eastAsia="zh-CN"/>
              </w:rPr>
            </w:pPr>
            <w:bookmarkStart w:id="69" w:name="OLE_LINK1"/>
            <w:r>
              <w:rPr>
                <w:rFonts w:hint="eastAsia" w:ascii="宋体" w:hAnsi="宋体" w:eastAsia="宋体" w:cs="宋体"/>
                <w:color w:val="000000"/>
                <w:sz w:val="24"/>
                <w:lang w:val="en-US" w:eastAsia="zh-CN"/>
              </w:rPr>
              <w:t>113.52</w:t>
            </w:r>
            <w:bookmarkEnd w:id="69"/>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113.52</w:t>
            </w:r>
          </w:p>
        </w:tc>
      </w:tr>
      <w:tr>
        <w:tblPrEx>
          <w:tblCellMar>
            <w:top w:w="0" w:type="dxa"/>
            <w:left w:w="108" w:type="dxa"/>
            <w:bottom w:w="0" w:type="dxa"/>
            <w:right w:w="108" w:type="dxa"/>
          </w:tblCellMar>
        </w:tblPrEx>
        <w:trPr>
          <w:trHeight w:val="404"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项目单位自筹资金</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rPr>
            </w:pPr>
            <w:r>
              <w:rPr>
                <w:rFonts w:hint="eastAsia" w:ascii="宋体" w:hAnsi="宋体" w:eastAsia="宋体" w:cs="宋体"/>
                <w:color w:val="000000"/>
                <w:sz w:val="24"/>
              </w:rPr>
              <w:t>-</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rPr>
            </w:pPr>
            <w:r>
              <w:rPr>
                <w:rFonts w:hint="eastAsia" w:ascii="宋体" w:hAnsi="宋体" w:eastAsia="宋体" w:cs="宋体"/>
                <w:color w:val="000000"/>
                <w:sz w:val="24"/>
              </w:rPr>
              <w:t>-</w:t>
            </w:r>
          </w:p>
        </w:tc>
      </w:tr>
      <w:tr>
        <w:tblPrEx>
          <w:tblCellMar>
            <w:top w:w="0" w:type="dxa"/>
            <w:left w:w="108" w:type="dxa"/>
            <w:bottom w:w="0" w:type="dxa"/>
            <w:right w:w="108" w:type="dxa"/>
          </w:tblCellMar>
        </w:tblPrEx>
        <w:trPr>
          <w:trHeight w:val="290"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lang w:bidi="ar"/>
              </w:rPr>
              <w:t>其他资金</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rPr>
            </w:pPr>
            <w:r>
              <w:rPr>
                <w:rFonts w:hint="eastAsia" w:ascii="宋体" w:hAnsi="宋体" w:eastAsia="宋体" w:cs="宋体"/>
                <w:color w:val="000000"/>
                <w:sz w:val="24"/>
              </w:rPr>
              <w:t>-</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rPr>
            </w:pPr>
            <w:r>
              <w:rPr>
                <w:rFonts w:hint="eastAsia" w:ascii="宋体" w:hAnsi="宋体" w:eastAsia="宋体" w:cs="宋体"/>
                <w:color w:val="000000"/>
                <w:sz w:val="24"/>
              </w:rPr>
              <w:t>-</w:t>
            </w:r>
          </w:p>
        </w:tc>
      </w:tr>
      <w:tr>
        <w:tblPrEx>
          <w:tblCellMar>
            <w:top w:w="0" w:type="dxa"/>
            <w:left w:w="108" w:type="dxa"/>
            <w:bottom w:w="0" w:type="dxa"/>
            <w:right w:w="108" w:type="dxa"/>
          </w:tblCellMar>
        </w:tblPrEx>
        <w:trPr>
          <w:trHeight w:val="347"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合计</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113.52</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eastAsia="宋体" w:cs="宋体"/>
                <w:color w:val="000000"/>
                <w:sz w:val="24"/>
                <w:lang w:val="en-US" w:eastAsia="zh-CN"/>
              </w:rPr>
              <w:t>113.52</w:t>
            </w:r>
          </w:p>
        </w:tc>
      </w:tr>
      <w:tr>
        <w:tblPrEx>
          <w:tblCellMar>
            <w:top w:w="0" w:type="dxa"/>
            <w:left w:w="108" w:type="dxa"/>
            <w:bottom w:w="0" w:type="dxa"/>
            <w:right w:w="108" w:type="dxa"/>
          </w:tblCellMar>
        </w:tblPrEx>
        <w:trPr>
          <w:trHeight w:val="337" w:hRule="atLeast"/>
        </w:trPr>
        <w:tc>
          <w:tcPr>
            <w:tcW w:w="186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资金支出情况</w:t>
            </w: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项目预算支出明细</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预算批复数</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实际支出数</w:t>
            </w:r>
          </w:p>
        </w:tc>
      </w:tr>
      <w:tr>
        <w:tblPrEx>
          <w:tblCellMar>
            <w:top w:w="0" w:type="dxa"/>
            <w:left w:w="108" w:type="dxa"/>
            <w:bottom w:w="0" w:type="dxa"/>
            <w:right w:w="108" w:type="dxa"/>
          </w:tblCellMar>
        </w:tblPrEx>
        <w:trPr>
          <w:trHeight w:val="433"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adjustRightInd w:val="0"/>
              <w:snapToGrid w:val="0"/>
              <w:rPr>
                <w:rFonts w:hint="default" w:ascii="宋体" w:hAnsi="宋体" w:eastAsia="宋体" w:cs="宋体"/>
                <w:color w:val="000000"/>
                <w:sz w:val="24"/>
                <w:lang w:val="en-US" w:eastAsia="zh-CN"/>
              </w:rPr>
            </w:pPr>
            <w:r>
              <w:rPr>
                <w:rFonts w:hint="eastAsia" w:ascii="宋体" w:hAnsi="宋体" w:eastAsia="宋体" w:cs="宋体"/>
                <w:color w:val="000000"/>
                <w:kern w:val="0"/>
                <w:sz w:val="24"/>
                <w:lang w:val="en-US" w:eastAsia="zh-CN" w:bidi="ar"/>
              </w:rPr>
              <w:t>安保安检工作经费</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113.52</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113.52</w:t>
            </w:r>
          </w:p>
        </w:tc>
      </w:tr>
      <w:tr>
        <w:tblPrEx>
          <w:tblCellMar>
            <w:top w:w="0" w:type="dxa"/>
            <w:left w:w="108" w:type="dxa"/>
            <w:bottom w:w="0" w:type="dxa"/>
            <w:right w:w="108" w:type="dxa"/>
          </w:tblCellMar>
        </w:tblPrEx>
        <w:trPr>
          <w:trHeight w:val="300" w:hRule="atLeast"/>
        </w:trPr>
        <w:tc>
          <w:tcPr>
            <w:tcW w:w="1868"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pPr>
              <w:jc w:val="center"/>
              <w:rPr>
                <w:rFonts w:ascii="宋体" w:hAnsi="宋体" w:eastAsia="宋体" w:cs="宋体"/>
                <w:color w:val="000000"/>
                <w:sz w:val="24"/>
              </w:rPr>
            </w:pPr>
          </w:p>
        </w:tc>
        <w:tc>
          <w:tcPr>
            <w:tcW w:w="42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lang w:bidi="ar"/>
              </w:rPr>
              <w:t>合</w:t>
            </w:r>
            <w:r>
              <w:rPr>
                <w:rFonts w:hint="eastAsia" w:ascii="宋体" w:hAnsi="宋体" w:cs="宋体"/>
                <w:color w:val="000000"/>
                <w:kern w:val="0"/>
                <w:sz w:val="24"/>
                <w:lang w:bidi="ar"/>
              </w:rPr>
              <w:t xml:space="preserve">   </w:t>
            </w:r>
            <w:r>
              <w:rPr>
                <w:rFonts w:hint="eastAsia" w:ascii="宋体" w:hAnsi="宋体" w:eastAsia="宋体" w:cs="宋体"/>
                <w:color w:val="000000"/>
                <w:kern w:val="0"/>
                <w:sz w:val="24"/>
                <w:lang w:bidi="ar"/>
              </w:rPr>
              <w:t>计</w:t>
            </w:r>
          </w:p>
        </w:tc>
        <w:tc>
          <w:tcPr>
            <w:tcW w:w="37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sz w:val="24"/>
                <w:lang w:val="en-US" w:eastAsia="zh-CN"/>
              </w:rPr>
              <w:t>113.52</w:t>
            </w:r>
          </w:p>
        </w:tc>
        <w:tc>
          <w:tcPr>
            <w:tcW w:w="40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sz w:val="24"/>
                <w:lang w:val="en-US" w:eastAsia="zh-CN"/>
              </w:rPr>
              <w:t>113.52</w:t>
            </w:r>
          </w:p>
        </w:tc>
      </w:tr>
    </w:tbl>
    <w:p>
      <w:pPr>
        <w:pStyle w:val="7"/>
        <w:ind w:firstLine="480"/>
        <w:rPr>
          <w:rFonts w:ascii="宋体" w:hAnsi="宋体" w:eastAsia="宋体" w:cs="宋体"/>
          <w:color w:val="000000"/>
          <w:kern w:val="0"/>
          <w:sz w:val="24"/>
          <w:lang w:bidi="ar"/>
        </w:rPr>
      </w:pPr>
      <w:r>
        <w:rPr>
          <w:rFonts w:hint="eastAsia" w:ascii="宋体" w:hAnsi="宋体" w:eastAsia="宋体" w:cs="宋体"/>
          <w:color w:val="000000"/>
          <w:kern w:val="0"/>
          <w:sz w:val="24"/>
          <w:lang w:bidi="ar"/>
        </w:rPr>
        <w:t>注：1.预算批复数为项目年度批复的预算数，包含年初批复和年中的追加核减数；</w:t>
      </w:r>
    </w:p>
    <w:p>
      <w:pPr>
        <w:pStyle w:val="7"/>
        <w:ind w:left="540" w:firstLine="480"/>
        <w:rPr>
          <w:rFonts w:ascii="宋体" w:hAnsi="宋体" w:eastAsia="宋体" w:cs="宋体"/>
          <w:color w:val="000000"/>
          <w:kern w:val="0"/>
          <w:sz w:val="24"/>
          <w:lang w:bidi="ar"/>
        </w:rPr>
      </w:pPr>
      <w:r>
        <w:rPr>
          <w:rFonts w:hint="eastAsia" w:ascii="宋体" w:hAnsi="宋体" w:cs="宋体"/>
          <w:color w:val="000000"/>
          <w:kern w:val="0"/>
          <w:sz w:val="24"/>
          <w:lang w:bidi="ar"/>
        </w:rPr>
        <w:t>2.</w:t>
      </w:r>
      <w:r>
        <w:rPr>
          <w:rFonts w:hint="eastAsia" w:ascii="宋体" w:hAnsi="宋体" w:eastAsia="宋体" w:cs="宋体"/>
          <w:color w:val="000000"/>
          <w:kern w:val="0"/>
          <w:sz w:val="24"/>
          <w:lang w:bidi="ar"/>
        </w:rPr>
        <w:t>实际支出数是指对应项目明细的实际支出数。</w:t>
      </w:r>
    </w:p>
    <w:p>
      <w:pPr>
        <w:pStyle w:val="7"/>
        <w:ind w:left="540" w:firstLine="0" w:firstLineChars="0"/>
        <w:rPr>
          <w:rFonts w:ascii="宋体" w:hAnsi="宋体" w:eastAsia="宋体" w:cs="宋体"/>
          <w:color w:val="000000"/>
          <w:kern w:val="0"/>
          <w:sz w:val="24"/>
          <w:lang w:bidi="ar"/>
        </w:rPr>
      </w:pPr>
      <w:r>
        <w:rPr>
          <w:rFonts w:hint="eastAsia" w:ascii="宋体" w:hAnsi="宋体" w:eastAsia="宋体" w:cs="宋体"/>
          <w:color w:val="000000"/>
          <w:kern w:val="0"/>
          <w:sz w:val="24"/>
          <w:lang w:bidi="ar"/>
        </w:rPr>
        <w:t xml:space="preserve"> </w:t>
      </w:r>
      <w:r>
        <w:rPr>
          <w:rFonts w:hint="eastAsia" w:ascii="宋体" w:hAnsi="宋体" w:cs="宋体"/>
          <w:color w:val="000000"/>
          <w:kern w:val="0"/>
          <w:sz w:val="24"/>
          <w:lang w:bidi="ar"/>
        </w:rPr>
        <w:t xml:space="preserve">   </w:t>
      </w:r>
      <w:r>
        <w:rPr>
          <w:rFonts w:hint="eastAsia" w:ascii="宋体" w:hAnsi="宋体" w:eastAsia="宋体" w:cs="宋体"/>
          <w:color w:val="000000"/>
          <w:kern w:val="0"/>
          <w:sz w:val="24"/>
          <w:lang w:bidi="ar"/>
        </w:rPr>
        <w:t>3.表中数据以单位实际账面数据为准，保留小数点后两位数字。</w:t>
      </w:r>
    </w:p>
    <w:p>
      <w:pPr>
        <w:rPr>
          <w:rFonts w:hint="eastAsia" w:ascii="仿宋" w:hAnsi="仿宋" w:eastAsia="仿宋" w:cs="仿宋"/>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宋体" w:hAnsi="宋体" w:eastAsia="宋体" w:cs="宋体"/>
          <w:b/>
          <w:bCs/>
          <w:kern w:val="0"/>
          <w:sz w:val="28"/>
          <w:szCs w:val="28"/>
        </w:rPr>
      </w:pPr>
      <w:r>
        <w:rPr>
          <w:rFonts w:hint="eastAsia" w:ascii="仿宋_GB2312" w:hAnsi="Calibri"/>
          <w:sz w:val="32"/>
          <w:szCs w:val="32"/>
        </w:rPr>
        <w:t>附件</w:t>
      </w:r>
      <w:r>
        <w:rPr>
          <w:rFonts w:hint="eastAsia" w:ascii="仿宋_GB2312" w:hAnsi="Calibri"/>
          <w:sz w:val="32"/>
          <w:szCs w:val="32"/>
          <w:lang w:val="en-US" w:eastAsia="zh-CN"/>
        </w:rPr>
        <w:t>3.</w:t>
      </w:r>
      <w:r>
        <w:rPr>
          <w:rFonts w:hint="eastAsia" w:ascii="仿宋_GB2312" w:hAnsi="宋体" w:eastAsia="仿宋_GB2312"/>
          <w:bCs/>
          <w:kern w:val="0"/>
          <w:sz w:val="32"/>
          <w:szCs w:val="28"/>
        </w:rPr>
        <w:t>项目支出指标体系及评分情况表</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lang w:val="en-US" w:eastAsia="zh-CN"/>
        </w:rPr>
      </w:pPr>
      <w:r>
        <w:rPr>
          <w:rFonts w:hint="eastAsia" w:ascii="宋体" w:hAnsi="宋体" w:eastAsia="宋体" w:cs="宋体"/>
          <w:b/>
          <w:bCs/>
          <w:kern w:val="0"/>
          <w:sz w:val="28"/>
          <w:szCs w:val="28"/>
        </w:rPr>
        <w:t>“安保安检</w:t>
      </w:r>
      <w:r>
        <w:rPr>
          <w:rFonts w:hint="eastAsia" w:ascii="宋体" w:hAnsi="宋体" w:eastAsia="宋体" w:cs="宋体"/>
          <w:b/>
          <w:bCs/>
          <w:kern w:val="0"/>
          <w:sz w:val="28"/>
          <w:szCs w:val="28"/>
          <w:lang w:val="en-US" w:eastAsia="zh-CN"/>
        </w:rPr>
        <w:t>工作经费</w:t>
      </w:r>
      <w:r>
        <w:rPr>
          <w:rFonts w:hint="eastAsia" w:ascii="宋体" w:hAnsi="宋体" w:eastAsia="宋体" w:cs="宋体"/>
          <w:b/>
          <w:bCs/>
          <w:kern w:val="0"/>
          <w:sz w:val="28"/>
          <w:szCs w:val="28"/>
        </w:rPr>
        <w:t>”项目绩效评价指标体系</w:t>
      </w:r>
      <w:r>
        <w:rPr>
          <w:rFonts w:hint="eastAsia" w:ascii="宋体" w:hAnsi="宋体" w:eastAsia="宋体" w:cs="宋体"/>
          <w:b/>
          <w:bCs/>
          <w:kern w:val="0"/>
          <w:sz w:val="28"/>
          <w:szCs w:val="28"/>
          <w:lang w:val="en-US" w:eastAsia="zh-CN"/>
        </w:rPr>
        <w:t>及评分情况表</w:t>
      </w:r>
    </w:p>
    <w:tbl>
      <w:tblPr>
        <w:tblStyle w:val="16"/>
        <w:tblW w:w="9936" w:type="dxa"/>
        <w:jc w:val="center"/>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6"/>
        <w:gridCol w:w="1374"/>
        <w:gridCol w:w="1950"/>
        <w:gridCol w:w="883"/>
        <w:gridCol w:w="2884"/>
        <w:gridCol w:w="1759"/>
      </w:tblGrid>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1086" w:type="dxa"/>
            <w:tcBorders>
              <w:tl2br w:val="nil"/>
              <w:tr2bl w:val="nil"/>
            </w:tcBorders>
            <w:noWrap/>
            <w:vAlign w:val="center"/>
          </w:tcPr>
          <w:p>
            <w:pPr>
              <w:widowControl/>
              <w:jc w:val="center"/>
              <w:textAlignment w:val="center"/>
              <w:rPr>
                <w:rFonts w:hint="eastAsia" w:ascii="宋体" w:hAnsi="宋体" w:cs="宋体"/>
                <w:b/>
                <w:bCs/>
                <w:color w:val="000000"/>
                <w:kern w:val="0"/>
                <w:sz w:val="24"/>
                <w:szCs w:val="24"/>
                <w:lang w:bidi="ar"/>
              </w:rPr>
            </w:pPr>
            <w:r>
              <w:rPr>
                <w:rFonts w:hint="eastAsia" w:ascii="宋体" w:hAnsi="宋体" w:cs="宋体"/>
                <w:b/>
                <w:bCs/>
                <w:color w:val="000000"/>
                <w:kern w:val="0"/>
                <w:sz w:val="24"/>
                <w:szCs w:val="24"/>
                <w:lang w:bidi="ar"/>
              </w:rPr>
              <w:t>一级</w:t>
            </w:r>
          </w:p>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指标</w:t>
            </w:r>
          </w:p>
        </w:tc>
        <w:tc>
          <w:tcPr>
            <w:tcW w:w="1374" w:type="dxa"/>
            <w:tcBorders>
              <w:tl2br w:val="nil"/>
              <w:tr2bl w:val="nil"/>
            </w:tcBorders>
            <w:noWrap/>
            <w:vAlign w:val="center"/>
          </w:tcPr>
          <w:p>
            <w:pPr>
              <w:widowControl/>
              <w:jc w:val="center"/>
              <w:textAlignment w:val="center"/>
              <w:rPr>
                <w:rFonts w:hint="eastAsia" w:ascii="宋体" w:hAnsi="宋体" w:cs="宋体"/>
                <w:b/>
                <w:bCs/>
                <w:color w:val="000000"/>
                <w:kern w:val="0"/>
                <w:sz w:val="24"/>
                <w:szCs w:val="24"/>
                <w:lang w:bidi="ar"/>
              </w:rPr>
            </w:pPr>
            <w:r>
              <w:rPr>
                <w:rFonts w:hint="eastAsia" w:ascii="宋体" w:hAnsi="宋体" w:cs="宋体"/>
                <w:b/>
                <w:bCs/>
                <w:color w:val="000000"/>
                <w:kern w:val="0"/>
                <w:sz w:val="24"/>
                <w:szCs w:val="24"/>
                <w:lang w:bidi="ar"/>
              </w:rPr>
              <w:t>二级</w:t>
            </w:r>
          </w:p>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指标</w:t>
            </w:r>
          </w:p>
        </w:tc>
        <w:tc>
          <w:tcPr>
            <w:tcW w:w="1950"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三级指标</w:t>
            </w:r>
          </w:p>
        </w:tc>
        <w:tc>
          <w:tcPr>
            <w:tcW w:w="883" w:type="dxa"/>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分值</w:t>
            </w:r>
          </w:p>
        </w:tc>
        <w:tc>
          <w:tcPr>
            <w:tcW w:w="2884" w:type="dxa"/>
            <w:tcBorders>
              <w:tl2br w:val="nil"/>
              <w:tr2bl w:val="nil"/>
            </w:tcBorders>
            <w:noWrap w:val="0"/>
            <w:vAlign w:val="center"/>
          </w:tcPr>
          <w:p>
            <w:pPr>
              <w:widowControl/>
              <w:jc w:val="center"/>
              <w:textAlignment w:val="center"/>
              <w:rPr>
                <w:rFonts w:hint="default" w:ascii="宋体" w:hAnsi="宋体" w:cs="宋体" w:eastAsiaTheme="minorEastAsia"/>
                <w:b/>
                <w:bCs/>
                <w:color w:val="000000"/>
                <w:sz w:val="24"/>
                <w:szCs w:val="24"/>
                <w:lang w:val="en-US" w:eastAsia="zh-CN"/>
              </w:rPr>
            </w:pPr>
            <w:r>
              <w:rPr>
                <w:rFonts w:hint="eastAsia" w:ascii="宋体" w:hAnsi="宋体" w:cs="宋体"/>
                <w:b/>
                <w:bCs/>
                <w:color w:val="000000"/>
                <w:kern w:val="0"/>
                <w:sz w:val="24"/>
                <w:szCs w:val="24"/>
                <w:lang w:val="en-US" w:eastAsia="zh-CN" w:bidi="ar"/>
              </w:rPr>
              <w:t>指标解释</w:t>
            </w:r>
          </w:p>
        </w:tc>
        <w:tc>
          <w:tcPr>
            <w:tcW w:w="1759" w:type="dxa"/>
            <w:tcBorders>
              <w:tl2br w:val="nil"/>
              <w:tr2bl w:val="nil"/>
            </w:tcBorders>
            <w:noWrap w:val="0"/>
            <w:vAlign w:val="center"/>
          </w:tcPr>
          <w:p>
            <w:pPr>
              <w:widowControl/>
              <w:jc w:val="center"/>
              <w:textAlignment w:val="center"/>
              <w:rPr>
                <w:rFonts w:hint="default" w:ascii="宋体" w:hAnsi="宋体" w:cs="宋体"/>
                <w:b/>
                <w:bCs/>
                <w:color w:val="000000"/>
                <w:kern w:val="0"/>
                <w:sz w:val="24"/>
                <w:szCs w:val="24"/>
                <w:lang w:val="en-US" w:eastAsia="zh-CN" w:bidi="ar"/>
              </w:rPr>
            </w:pPr>
            <w:r>
              <w:rPr>
                <w:rFonts w:hint="eastAsia" w:ascii="宋体" w:hAnsi="宋体" w:cs="宋体"/>
                <w:b/>
                <w:bCs/>
                <w:color w:val="000000"/>
                <w:kern w:val="0"/>
                <w:sz w:val="24"/>
                <w:szCs w:val="24"/>
                <w:lang w:val="en-US" w:eastAsia="zh-CN" w:bidi="ar"/>
              </w:rPr>
              <w:t>评分</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086"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项</w:t>
            </w:r>
          </w:p>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目</w:t>
            </w:r>
          </w:p>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决</w:t>
            </w:r>
          </w:p>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bidi="ar"/>
              </w:rPr>
              <w:t>策</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（10分）</w:t>
            </w: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项目立项</w:t>
            </w:r>
          </w:p>
          <w:p>
            <w:pPr>
              <w:widowControl/>
              <w:jc w:val="center"/>
              <w:textAlignment w:val="center"/>
              <w:rPr>
                <w:rFonts w:hint="eastAsia" w:ascii="宋体" w:hAnsi="宋体" w:cs="宋体" w:eastAsiaTheme="minorEastAsia"/>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4分</w:t>
            </w:r>
            <w:r>
              <w:rPr>
                <w:rFonts w:hint="eastAsia" w:ascii="宋体" w:hAnsi="宋体" w:cs="宋体"/>
                <w:color w:val="000000"/>
                <w:kern w:val="0"/>
                <w:sz w:val="24"/>
                <w:szCs w:val="24"/>
                <w:lang w:eastAsia="zh-CN" w:bidi="ar"/>
              </w:rPr>
              <w:t>）</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立项依据充分性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84" w:type="dxa"/>
            <w:tcBorders>
              <w:tl2br w:val="nil"/>
              <w:tr2bl w:val="nil"/>
            </w:tcBorders>
            <w:noWrap w:val="0"/>
            <w:vAlign w:val="center"/>
          </w:tcPr>
          <w:p>
            <w:pPr>
              <w:jc w:val="both"/>
              <w:rPr>
                <w:rFonts w:hint="eastAsia" w:ascii="宋体" w:hAnsi="宋体" w:cs="宋体"/>
                <w:color w:val="000000"/>
                <w:sz w:val="24"/>
                <w:szCs w:val="24"/>
              </w:rPr>
            </w:pPr>
            <w:r>
              <w:rPr>
                <w:rFonts w:hint="eastAsia" w:ascii="宋体" w:hAnsi="宋体" w:eastAsia="宋体" w:cs="宋体"/>
                <w:color w:val="000000"/>
                <w:kern w:val="0"/>
                <w:sz w:val="18"/>
                <w:szCs w:val="18"/>
              </w:rPr>
              <w:t>项目立项是否与部门职责范围相符，属于部门履职所需。</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2</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7"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立项程序规范性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项目是否按照规定的程序申请设立；审批文件、材料是否符合相关要求；事前是否已经过必要的可行性研究、集体决策。</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2</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75"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绩效目标</w:t>
            </w:r>
          </w:p>
          <w:p>
            <w:pPr>
              <w:widowControl/>
              <w:jc w:val="center"/>
              <w:textAlignment w:val="center"/>
              <w:rPr>
                <w:rFonts w:hint="eastAsia" w:ascii="宋体" w:hAnsi="宋体" w:cs="宋体" w:eastAsiaTheme="minorEastAsia"/>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3分</w:t>
            </w:r>
            <w:r>
              <w:rPr>
                <w:rFonts w:hint="eastAsia" w:ascii="宋体" w:hAnsi="宋体" w:cs="宋体"/>
                <w:color w:val="000000"/>
                <w:kern w:val="0"/>
                <w:sz w:val="24"/>
                <w:szCs w:val="24"/>
                <w:lang w:eastAsia="zh-CN" w:bidi="ar"/>
              </w:rPr>
              <w:t>）</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绩效目标合理性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84"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p>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③项目预期产出效益和效果是否符合正常的业绩水平</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④是否与预算确定的项目投资额或资金量相匹配。</w:t>
            </w:r>
            <w:r>
              <w:rPr>
                <w:rFonts w:hint="eastAsia"/>
                <w:color w:val="000000"/>
                <w:sz w:val="22"/>
              </w:rPr>
              <w:t>　</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1</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6"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绩效指标明确性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1</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p>
        </w:tc>
        <w:tc>
          <w:tcPr>
            <w:tcW w:w="1759"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i w:val="0"/>
                <w:iCs w:val="0"/>
                <w:color w:val="000000"/>
                <w:kern w:val="0"/>
                <w:sz w:val="24"/>
                <w:szCs w:val="24"/>
                <w:u w:val="none"/>
                <w:lang w:val="en-US" w:eastAsia="zh-CN" w:bidi="ar"/>
              </w:rPr>
              <w:t>0.5</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6"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资金投入</w:t>
            </w:r>
          </w:p>
          <w:p>
            <w:pPr>
              <w:widowControl/>
              <w:jc w:val="center"/>
              <w:textAlignment w:val="center"/>
              <w:rPr>
                <w:rFonts w:hint="eastAsia" w:ascii="宋体" w:hAnsi="宋体" w:cs="宋体" w:eastAsiaTheme="minorEastAsia"/>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3分</w:t>
            </w:r>
            <w:r>
              <w:rPr>
                <w:rFonts w:hint="eastAsia" w:ascii="宋体" w:hAnsi="宋体" w:cs="宋体"/>
                <w:color w:val="000000"/>
                <w:kern w:val="0"/>
                <w:sz w:val="24"/>
                <w:szCs w:val="24"/>
                <w:lang w:eastAsia="zh-CN" w:bidi="ar"/>
              </w:rPr>
              <w:t>）</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预算编制科学性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③预算额度测算依据是否充分，是否按照标准编制；④预算确定的项目投资额或资金量是否与工作任务相匹配。</w:t>
            </w:r>
          </w:p>
        </w:tc>
        <w:tc>
          <w:tcPr>
            <w:tcW w:w="1759"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i w:val="0"/>
                <w:iCs w:val="0"/>
                <w:color w:val="000000"/>
                <w:kern w:val="0"/>
                <w:sz w:val="24"/>
                <w:szCs w:val="24"/>
                <w:u w:val="none"/>
                <w:lang w:val="en-US" w:eastAsia="zh-CN" w:bidi="ar"/>
              </w:rPr>
              <w:t>1.5</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8"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资金分配合理性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1</w:t>
            </w:r>
          </w:p>
        </w:tc>
        <w:tc>
          <w:tcPr>
            <w:tcW w:w="2884"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r>
              <w:rPr>
                <w:rFonts w:hint="eastAsia"/>
                <w:color w:val="000000"/>
                <w:sz w:val="22"/>
              </w:rPr>
              <w:t>　</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1</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086"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p>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项</w:t>
            </w:r>
          </w:p>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目</w:t>
            </w:r>
          </w:p>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过</w:t>
            </w:r>
          </w:p>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bidi="ar"/>
              </w:rPr>
              <w:t>程</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（20分）</w:t>
            </w: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资金管理</w:t>
            </w:r>
          </w:p>
          <w:p>
            <w:pPr>
              <w:widowControl/>
              <w:jc w:val="center"/>
              <w:textAlignment w:val="center"/>
              <w:rPr>
                <w:rFonts w:hint="eastAsia" w:ascii="宋体" w:hAnsi="宋体" w:cs="宋体" w:eastAsiaTheme="minorEastAsia"/>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10分</w:t>
            </w:r>
            <w:r>
              <w:rPr>
                <w:rFonts w:hint="eastAsia" w:ascii="宋体" w:hAnsi="宋体" w:cs="宋体"/>
                <w:color w:val="000000"/>
                <w:kern w:val="0"/>
                <w:sz w:val="24"/>
                <w:szCs w:val="24"/>
                <w:lang w:eastAsia="zh-CN" w:bidi="ar"/>
              </w:rPr>
              <w:t>）</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资金到位率</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2</w:t>
            </w:r>
          </w:p>
        </w:tc>
        <w:tc>
          <w:tcPr>
            <w:tcW w:w="2884" w:type="dxa"/>
            <w:tcBorders>
              <w:tl2br w:val="nil"/>
              <w:tr2bl w:val="nil"/>
            </w:tcBorders>
            <w:noWrap w:val="0"/>
            <w:vAlign w:val="center"/>
          </w:tcPr>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资金到位率=(实际到位资金/预算资金)×100%实际到位资金：</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2</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预算执行率</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84" w:type="dxa"/>
            <w:tcBorders>
              <w:tl2br w:val="nil"/>
              <w:tr2bl w:val="nil"/>
            </w:tcBorders>
            <w:noWrap w:val="0"/>
            <w:vAlign w:val="center"/>
          </w:tcPr>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预算执行率=(实际支出资金/实际到位资金)x 100%。。</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5</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7"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资金使用合规性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3</w:t>
            </w:r>
          </w:p>
        </w:tc>
        <w:tc>
          <w:tcPr>
            <w:tcW w:w="2884" w:type="dxa"/>
            <w:tcBorders>
              <w:tl2br w:val="nil"/>
              <w:tr2bl w:val="nil"/>
            </w:tcBorders>
            <w:noWrap w:val="0"/>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p>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③是否符合项目预算批复或合同规定的用途；</w:t>
            </w:r>
          </w:p>
          <w:p>
            <w:pPr>
              <w:widowControl/>
              <w:jc w:val="left"/>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④是否存在截留、挤占、挪用、虚列支出等情况</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3</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7"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组织实施</w:t>
            </w:r>
          </w:p>
          <w:p>
            <w:pPr>
              <w:widowControl/>
              <w:jc w:val="center"/>
              <w:textAlignment w:val="center"/>
              <w:rPr>
                <w:rFonts w:hint="eastAsia" w:ascii="宋体" w:hAnsi="宋体" w:cs="宋体" w:eastAsiaTheme="minorEastAsia"/>
                <w:color w:val="000000"/>
                <w:kern w:val="0"/>
                <w:sz w:val="24"/>
                <w:szCs w:val="24"/>
                <w:lang w:eastAsia="zh-CN" w:bidi="ar"/>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10分</w:t>
            </w:r>
            <w:r>
              <w:rPr>
                <w:rFonts w:hint="eastAsia" w:ascii="宋体" w:hAnsi="宋体" w:cs="宋体"/>
                <w:color w:val="000000"/>
                <w:kern w:val="0"/>
                <w:sz w:val="24"/>
                <w:szCs w:val="24"/>
                <w:lang w:eastAsia="zh-CN" w:bidi="ar"/>
              </w:rPr>
              <w:t>）</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管理制度健全性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84"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①是否已制定或具有相应的财务和业务管理制度；</w:t>
            </w:r>
          </w:p>
          <w:p>
            <w:pPr>
              <w:widowControl/>
              <w:jc w:val="both"/>
              <w:textAlignment w:val="center"/>
              <w:rPr>
                <w:rFonts w:ascii="宋体" w:hAnsi="宋体" w:cs="宋体"/>
                <w:color w:val="000000"/>
                <w:sz w:val="24"/>
                <w:szCs w:val="24"/>
              </w:rPr>
            </w:pPr>
            <w:r>
              <w:rPr>
                <w:rFonts w:hint="eastAsia" w:ascii="宋体" w:hAnsi="宋体" w:eastAsia="宋体" w:cs="宋体"/>
                <w:color w:val="000000"/>
                <w:kern w:val="0"/>
                <w:sz w:val="18"/>
                <w:szCs w:val="18"/>
              </w:rPr>
              <w:t>②财务和业务管理制度是否合法、合规、完整。</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4</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5"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制度执行有效性</w:t>
            </w:r>
          </w:p>
        </w:tc>
        <w:tc>
          <w:tcPr>
            <w:tcW w:w="883" w:type="dxa"/>
            <w:tcBorders>
              <w:tl2br w:val="nil"/>
              <w:tr2bl w:val="nil"/>
            </w:tcBorders>
            <w:noWrap w:val="0"/>
            <w:vAlign w:val="center"/>
          </w:tcPr>
          <w:p>
            <w:pPr>
              <w:widowControl/>
              <w:jc w:val="center"/>
              <w:textAlignment w:val="center"/>
              <w:rPr>
                <w:rFonts w:hint="eastAsia" w:ascii="宋体" w:hAnsi="宋体" w:cs="宋体" w:eastAsiaTheme="minorEastAsia"/>
                <w:color w:val="000000"/>
                <w:sz w:val="24"/>
                <w:szCs w:val="24"/>
                <w:lang w:eastAsia="zh-CN"/>
              </w:rPr>
            </w:pPr>
            <w:r>
              <w:rPr>
                <w:rFonts w:hint="eastAsia" w:ascii="宋体" w:hAnsi="宋体" w:cs="宋体"/>
                <w:color w:val="000000"/>
                <w:kern w:val="0"/>
                <w:sz w:val="24"/>
                <w:szCs w:val="24"/>
                <w:lang w:val="en-US" w:eastAsia="zh-CN" w:bidi="ar"/>
              </w:rPr>
              <w:t>5</w:t>
            </w:r>
          </w:p>
        </w:tc>
        <w:tc>
          <w:tcPr>
            <w:tcW w:w="2884" w:type="dxa"/>
            <w:tcBorders>
              <w:tl2br w:val="nil"/>
              <w:tr2bl w:val="nil"/>
            </w:tcBorders>
            <w:noWrap w:val="0"/>
            <w:vAlign w:val="center"/>
          </w:tcPr>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①是否遵守相关法律法规和相关管理规定；</w:t>
            </w:r>
          </w:p>
          <w:p>
            <w:pPr>
              <w:widowControl/>
              <w:jc w:val="both"/>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②项目调整及支出调整手续是否完备；</w:t>
            </w:r>
          </w:p>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③项目合同书、验收报告等资料是否齐全并及时归档；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i w:val="0"/>
                <w:iCs w:val="0"/>
                <w:color w:val="000000"/>
                <w:kern w:val="0"/>
                <w:sz w:val="24"/>
                <w:szCs w:val="24"/>
                <w:u w:val="none"/>
                <w:lang w:val="en-US" w:eastAsia="zh-CN" w:bidi="ar"/>
              </w:rPr>
              <w:t>4</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086"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项目</w:t>
            </w:r>
          </w:p>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bidi="ar"/>
              </w:rPr>
              <w:t>产出</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（40分）</w:t>
            </w:r>
          </w:p>
        </w:tc>
        <w:tc>
          <w:tcPr>
            <w:tcW w:w="1374"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产出数量</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实际完成率</w:t>
            </w:r>
          </w:p>
        </w:tc>
        <w:tc>
          <w:tcPr>
            <w:tcW w:w="883" w:type="dxa"/>
            <w:tcBorders>
              <w:tl2br w:val="nil"/>
              <w:tr2bl w:val="nil"/>
            </w:tcBorders>
            <w:noWrap w:val="0"/>
            <w:vAlign w:val="center"/>
          </w:tcPr>
          <w:p>
            <w:pPr>
              <w:widowControl/>
              <w:jc w:val="center"/>
              <w:textAlignment w:val="center"/>
              <w:rPr>
                <w:rFonts w:hint="default" w:ascii="宋体" w:hAnsi="宋体" w:cs="宋体" w:eastAsiaTheme="minorEastAsia"/>
                <w:color w:val="000000"/>
                <w:sz w:val="24"/>
                <w:szCs w:val="24"/>
                <w:highlight w:val="none"/>
                <w:lang w:val="en-US" w:eastAsia="zh-CN"/>
              </w:rPr>
            </w:pPr>
            <w:r>
              <w:rPr>
                <w:rFonts w:hint="eastAsia" w:ascii="宋体" w:hAnsi="宋体" w:cs="宋体"/>
                <w:color w:val="000000"/>
                <w:kern w:val="0"/>
                <w:sz w:val="24"/>
                <w:szCs w:val="24"/>
                <w:highlight w:val="none"/>
                <w:lang w:val="en-US" w:eastAsia="zh-CN" w:bidi="ar"/>
              </w:rPr>
              <w:t>10</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highlight w:val="none"/>
              </w:rPr>
            </w:pPr>
            <w:r>
              <w:rPr>
                <w:rFonts w:hint="eastAsia" w:ascii="宋体" w:hAnsi="宋体" w:eastAsia="宋体" w:cs="宋体"/>
                <w:color w:val="000000"/>
                <w:kern w:val="0"/>
                <w:sz w:val="18"/>
                <w:szCs w:val="18"/>
                <w:highlight w:val="none"/>
              </w:rPr>
              <w:t>项目产出数量指标。</w:t>
            </w:r>
            <w:r>
              <w:rPr>
                <w:rFonts w:hint="eastAsia"/>
                <w:color w:val="000000"/>
                <w:sz w:val="22"/>
                <w:highlight w:val="none"/>
              </w:rPr>
              <w:t>　</w:t>
            </w:r>
          </w:p>
        </w:tc>
        <w:tc>
          <w:tcPr>
            <w:tcW w:w="1759" w:type="dxa"/>
            <w:tcBorders>
              <w:tl2br w:val="nil"/>
              <w:tr2bl w:val="nil"/>
            </w:tcBorders>
            <w:noWrap w:val="0"/>
            <w:vAlign w:val="center"/>
          </w:tcPr>
          <w:p>
            <w:pPr>
              <w:widowControl/>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color w:val="000000"/>
                <w:kern w:val="0"/>
                <w:sz w:val="24"/>
                <w:szCs w:val="24"/>
                <w:lang w:val="en-US" w:eastAsia="zh-CN"/>
              </w:rPr>
              <w:t>10</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产出质量</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质量达标率</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val="en-US" w:eastAsia="zh-CN" w:bidi="ar"/>
              </w:rPr>
              <w:t>10</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highlight w:val="none"/>
              </w:rPr>
            </w:pPr>
            <w:r>
              <w:rPr>
                <w:rFonts w:hint="eastAsia" w:ascii="宋体" w:hAnsi="宋体" w:eastAsia="宋体" w:cs="宋体"/>
                <w:color w:val="000000"/>
                <w:kern w:val="0"/>
                <w:sz w:val="18"/>
                <w:szCs w:val="18"/>
                <w:highlight w:val="none"/>
              </w:rPr>
              <w:t>项目产出质量指标。</w:t>
            </w:r>
          </w:p>
        </w:tc>
        <w:tc>
          <w:tcPr>
            <w:tcW w:w="1759" w:type="dxa"/>
            <w:tcBorders>
              <w:tl2br w:val="nil"/>
              <w:tr2bl w:val="nil"/>
            </w:tcBorders>
            <w:noWrap w:val="0"/>
            <w:vAlign w:val="center"/>
          </w:tcPr>
          <w:p>
            <w:pPr>
              <w:widowControl/>
              <w:jc w:val="center"/>
              <w:textAlignment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9</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产出时效</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完成及时性</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val="en-US" w:eastAsia="zh-CN" w:bidi="ar"/>
              </w:rPr>
              <w:t>10</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highlight w:val="none"/>
              </w:rPr>
            </w:pPr>
            <w:r>
              <w:rPr>
                <w:rFonts w:hint="eastAsia" w:ascii="宋体" w:hAnsi="宋体" w:eastAsia="宋体" w:cs="宋体"/>
                <w:color w:val="000000"/>
                <w:kern w:val="0"/>
                <w:sz w:val="18"/>
                <w:szCs w:val="18"/>
                <w:highlight w:val="none"/>
              </w:rPr>
              <w:t>项目按照时间节点完成相关工作。</w:t>
            </w:r>
          </w:p>
        </w:tc>
        <w:tc>
          <w:tcPr>
            <w:tcW w:w="1759" w:type="dxa"/>
            <w:tcBorders>
              <w:tl2br w:val="nil"/>
              <w:tr2bl w:val="nil"/>
            </w:tcBorders>
            <w:noWrap w:val="0"/>
            <w:vAlign w:val="center"/>
          </w:tcPr>
          <w:p>
            <w:pPr>
              <w:widowControl/>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color w:val="000000"/>
                <w:kern w:val="0"/>
                <w:sz w:val="24"/>
                <w:szCs w:val="24"/>
                <w:lang w:val="en-US" w:eastAsia="zh-CN"/>
              </w:rPr>
              <w:t>10</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产出成本</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bidi="ar"/>
              </w:rPr>
              <w:t>成本节约率</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highlight w:val="none"/>
              </w:rPr>
            </w:pPr>
            <w:r>
              <w:rPr>
                <w:rFonts w:hint="eastAsia" w:ascii="宋体" w:hAnsi="宋体" w:cs="宋体"/>
                <w:color w:val="000000"/>
                <w:kern w:val="0"/>
                <w:sz w:val="24"/>
                <w:szCs w:val="24"/>
                <w:highlight w:val="none"/>
                <w:lang w:val="en-US" w:eastAsia="zh-CN" w:bidi="ar"/>
              </w:rPr>
              <w:t>10</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highlight w:val="none"/>
              </w:rPr>
            </w:pPr>
            <w:r>
              <w:rPr>
                <w:rFonts w:hint="eastAsia" w:ascii="宋体" w:hAnsi="宋体" w:eastAsia="宋体" w:cs="宋体"/>
                <w:color w:val="000000"/>
                <w:kern w:val="0"/>
                <w:sz w:val="18"/>
                <w:szCs w:val="18"/>
                <w:highlight w:val="none"/>
              </w:rPr>
              <w:t>预算控制是否符合成本效益原则。</w:t>
            </w:r>
          </w:p>
        </w:tc>
        <w:tc>
          <w:tcPr>
            <w:tcW w:w="1759" w:type="dxa"/>
            <w:tcBorders>
              <w:tl2br w:val="nil"/>
              <w:tr2bl w:val="nil"/>
            </w:tcBorders>
            <w:noWrap w:val="0"/>
            <w:vAlign w:val="center"/>
          </w:tcPr>
          <w:p>
            <w:pPr>
              <w:widowControl/>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color w:val="000000"/>
                <w:kern w:val="0"/>
                <w:sz w:val="24"/>
                <w:szCs w:val="24"/>
                <w:lang w:val="en-US" w:eastAsia="zh-CN"/>
              </w:rPr>
              <w:t>10</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jc w:val="center"/>
        </w:trPr>
        <w:tc>
          <w:tcPr>
            <w:tcW w:w="1086"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项目</w:t>
            </w:r>
          </w:p>
          <w:p>
            <w:pPr>
              <w:widowControl/>
              <w:jc w:val="center"/>
              <w:textAlignment w:val="center"/>
              <w:rPr>
                <w:rFonts w:hint="eastAsia" w:ascii="宋体" w:hAnsi="宋体" w:eastAsia="宋体" w:cs="宋体"/>
                <w:color w:val="000000"/>
                <w:kern w:val="0"/>
                <w:sz w:val="24"/>
                <w:szCs w:val="24"/>
                <w:lang w:eastAsia="zh-CN" w:bidi="ar"/>
              </w:rPr>
            </w:pPr>
            <w:r>
              <w:rPr>
                <w:rFonts w:hint="eastAsia" w:ascii="宋体" w:hAnsi="宋体" w:cs="宋体"/>
                <w:color w:val="000000"/>
                <w:kern w:val="0"/>
                <w:sz w:val="24"/>
                <w:szCs w:val="24"/>
                <w:lang w:bidi="ar"/>
              </w:rPr>
              <w:t>效益</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（30分）</w:t>
            </w:r>
          </w:p>
        </w:tc>
        <w:tc>
          <w:tcPr>
            <w:tcW w:w="1374" w:type="dxa"/>
            <w:vMerge w:val="restart"/>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项目效益</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val="en-US" w:eastAsia="zh-CN" w:bidi="ar"/>
              </w:rPr>
              <w:t>20分</w:t>
            </w:r>
            <w:r>
              <w:rPr>
                <w:rFonts w:hint="eastAsia" w:ascii="宋体" w:hAnsi="宋体" w:cs="宋体"/>
                <w:color w:val="000000"/>
                <w:kern w:val="0"/>
                <w:sz w:val="24"/>
                <w:szCs w:val="24"/>
                <w:lang w:eastAsia="zh-CN" w:bidi="ar"/>
              </w:rPr>
              <w:t>）</w:t>
            </w:r>
            <w:r>
              <w:rPr>
                <w:rFonts w:hint="eastAsia" w:ascii="宋体" w:hAnsi="宋体" w:cs="宋体"/>
                <w:color w:val="000000"/>
                <w:kern w:val="0"/>
                <w:sz w:val="24"/>
                <w:szCs w:val="24"/>
                <w:lang w:bidi="ar"/>
              </w:rPr>
              <w:t>　</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产生的社会效益</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84" w:type="dxa"/>
            <w:tcBorders>
              <w:tl2br w:val="nil"/>
              <w:tr2bl w:val="nil"/>
            </w:tcBorders>
            <w:noWrap w:val="0"/>
            <w:vAlign w:val="center"/>
          </w:tcPr>
          <w:p>
            <w:pPr>
              <w:widowControl/>
              <w:jc w:val="both"/>
              <w:textAlignment w:val="center"/>
              <w:rPr>
                <w:rFonts w:hint="default" w:ascii="宋体" w:hAnsi="宋体" w:cs="宋体" w:eastAsiaTheme="minorEastAsia"/>
                <w:color w:val="000000"/>
                <w:sz w:val="24"/>
                <w:szCs w:val="24"/>
                <w:lang w:val="en-US" w:eastAsia="zh-CN"/>
              </w:rPr>
            </w:pPr>
            <w:r>
              <w:rPr>
                <w:rFonts w:hint="eastAsia" w:ascii="宋体" w:hAnsi="宋体" w:eastAsia="宋体" w:cs="宋体"/>
                <w:color w:val="000000"/>
                <w:kern w:val="0"/>
                <w:sz w:val="18"/>
                <w:szCs w:val="18"/>
                <w:lang w:val="en-US" w:eastAsia="zh-CN"/>
              </w:rPr>
              <w:t>维护公共安全</w:t>
            </w:r>
          </w:p>
        </w:tc>
        <w:tc>
          <w:tcPr>
            <w:tcW w:w="175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4"/>
                <w:szCs w:val="24"/>
                <w:lang w:val="en-US" w:eastAsia="zh-CN"/>
              </w:rPr>
            </w:pPr>
            <w:r>
              <w:rPr>
                <w:rFonts w:hint="eastAsia" w:ascii="宋体" w:hAnsi="宋体" w:eastAsia="宋体" w:cs="宋体"/>
                <w:b w:val="0"/>
                <w:bCs w:val="0"/>
                <w:i w:val="0"/>
                <w:iCs w:val="0"/>
                <w:color w:val="000000"/>
                <w:kern w:val="0"/>
                <w:sz w:val="24"/>
                <w:szCs w:val="24"/>
                <w:u w:val="none"/>
                <w:lang w:val="en-US" w:eastAsia="zh-CN" w:bidi="ar"/>
              </w:rPr>
              <w:t>8</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950" w:type="dxa"/>
            <w:tcBorders>
              <w:tl2br w:val="nil"/>
              <w:tr2bl w:val="nil"/>
            </w:tcBorders>
            <w:noWrap w:val="0"/>
            <w:vAlign w:val="center"/>
          </w:tcPr>
          <w:p>
            <w:pPr>
              <w:widowControl/>
              <w:jc w:val="center"/>
              <w:textAlignment w:val="center"/>
              <w:rPr>
                <w:rFonts w:hint="eastAsia" w:ascii="宋体" w:hAnsi="宋体" w:cs="宋体"/>
                <w:color w:val="000000"/>
                <w:kern w:val="0"/>
                <w:sz w:val="24"/>
                <w:szCs w:val="24"/>
                <w:lang w:bidi="ar"/>
              </w:rPr>
            </w:pPr>
            <w:r>
              <w:rPr>
                <w:rFonts w:hint="eastAsia" w:ascii="宋体" w:hAnsi="宋体" w:cs="宋体"/>
                <w:color w:val="000000"/>
                <w:kern w:val="0"/>
                <w:sz w:val="24"/>
                <w:szCs w:val="24"/>
                <w:lang w:bidi="ar"/>
              </w:rPr>
              <w:t>产生的可持续</w:t>
            </w:r>
          </w:p>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影响</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84" w:type="dxa"/>
            <w:tcBorders>
              <w:tl2br w:val="nil"/>
              <w:tr2bl w:val="nil"/>
            </w:tcBorders>
            <w:noWrap w:val="0"/>
            <w:vAlign w:val="center"/>
          </w:tcPr>
          <w:p>
            <w:pPr>
              <w:jc w:val="both"/>
              <w:rPr>
                <w:rFonts w:hint="eastAsia" w:ascii="宋体" w:hAnsi="宋体" w:cs="宋体"/>
                <w:color w:val="000000"/>
                <w:sz w:val="24"/>
                <w:szCs w:val="24"/>
              </w:rPr>
            </w:pPr>
            <w:r>
              <w:rPr>
                <w:rFonts w:hint="eastAsia" w:ascii="宋体" w:hAnsi="宋体" w:eastAsia="宋体" w:cs="宋体"/>
                <w:color w:val="000000"/>
                <w:kern w:val="0"/>
                <w:sz w:val="18"/>
                <w:szCs w:val="18"/>
              </w:rPr>
              <w:t>保障我院检察工作正常、有序开展，维护首都安全稳定</w:t>
            </w:r>
          </w:p>
        </w:tc>
        <w:tc>
          <w:tcPr>
            <w:tcW w:w="1759"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i w:val="0"/>
                <w:iCs w:val="0"/>
                <w:color w:val="000000"/>
                <w:kern w:val="0"/>
                <w:sz w:val="24"/>
                <w:szCs w:val="24"/>
                <w:u w:val="none"/>
                <w:lang w:val="en-US" w:eastAsia="zh-CN" w:bidi="ar"/>
              </w:rPr>
              <w:t>8.5</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086" w:type="dxa"/>
            <w:vMerge w:val="continue"/>
            <w:tcBorders>
              <w:tl2br w:val="nil"/>
              <w:tr2bl w:val="nil"/>
            </w:tcBorders>
            <w:noWrap w:val="0"/>
            <w:vAlign w:val="center"/>
          </w:tcPr>
          <w:p>
            <w:pPr>
              <w:jc w:val="center"/>
              <w:rPr>
                <w:rFonts w:hint="eastAsia" w:ascii="宋体" w:hAnsi="宋体" w:cs="宋体"/>
                <w:color w:val="000000"/>
                <w:sz w:val="24"/>
                <w:szCs w:val="24"/>
              </w:rPr>
            </w:pPr>
          </w:p>
        </w:tc>
        <w:tc>
          <w:tcPr>
            <w:tcW w:w="1374" w:type="dxa"/>
            <w:tcBorders>
              <w:tl2br w:val="nil"/>
              <w:tr2bl w:val="nil"/>
            </w:tcBorders>
            <w:noWrap w:val="0"/>
            <w:vAlign w:val="center"/>
          </w:tcPr>
          <w:p>
            <w:pPr>
              <w:jc w:val="center"/>
              <w:rPr>
                <w:rFonts w:hint="eastAsia" w:ascii="宋体" w:hAnsi="宋体" w:cs="宋体" w:eastAsiaTheme="minorEastAsia"/>
                <w:color w:val="000000"/>
                <w:sz w:val="24"/>
                <w:szCs w:val="24"/>
                <w:lang w:val="en-US" w:eastAsia="zh-CN"/>
              </w:rPr>
            </w:pPr>
            <w:r>
              <w:rPr>
                <w:rFonts w:hint="eastAsia" w:ascii="宋体" w:hAnsi="宋体" w:cs="宋体"/>
                <w:color w:val="000000"/>
                <w:sz w:val="24"/>
                <w:szCs w:val="24"/>
                <w:lang w:val="en-US" w:eastAsia="zh-CN"/>
              </w:rPr>
              <w:t>满意度（10分）</w:t>
            </w:r>
          </w:p>
        </w:tc>
        <w:tc>
          <w:tcPr>
            <w:tcW w:w="1950"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bidi="ar"/>
              </w:rPr>
              <w:t>服务对象满意度指标</w:t>
            </w:r>
          </w:p>
        </w:tc>
        <w:tc>
          <w:tcPr>
            <w:tcW w:w="883" w:type="dxa"/>
            <w:tcBorders>
              <w:tl2br w:val="nil"/>
              <w:tr2bl w:val="nil"/>
            </w:tcBorders>
            <w:noWrap w:val="0"/>
            <w:vAlign w:val="center"/>
          </w:tcPr>
          <w:p>
            <w:pPr>
              <w:widowControl/>
              <w:jc w:val="center"/>
              <w:textAlignment w:val="center"/>
              <w:rPr>
                <w:rFonts w:hint="eastAsia" w:ascii="宋体" w:hAnsi="宋体" w:cs="宋体"/>
                <w:color w:val="000000"/>
                <w:sz w:val="24"/>
                <w:szCs w:val="24"/>
              </w:rPr>
            </w:pPr>
            <w:r>
              <w:rPr>
                <w:rFonts w:hint="eastAsia" w:ascii="宋体" w:hAnsi="宋体" w:cs="宋体"/>
                <w:color w:val="000000"/>
                <w:kern w:val="0"/>
                <w:sz w:val="24"/>
                <w:szCs w:val="24"/>
                <w:lang w:val="en-US" w:eastAsia="zh-CN" w:bidi="ar"/>
              </w:rPr>
              <w:t>10</w:t>
            </w:r>
          </w:p>
        </w:tc>
        <w:tc>
          <w:tcPr>
            <w:tcW w:w="2884" w:type="dxa"/>
            <w:tcBorders>
              <w:tl2br w:val="nil"/>
              <w:tr2bl w:val="nil"/>
            </w:tcBorders>
            <w:noWrap w:val="0"/>
            <w:vAlign w:val="center"/>
          </w:tcPr>
          <w:p>
            <w:pPr>
              <w:widowControl/>
              <w:jc w:val="both"/>
              <w:textAlignment w:val="center"/>
              <w:rPr>
                <w:rFonts w:hint="eastAsia" w:ascii="宋体" w:hAnsi="宋体" w:cs="宋体"/>
                <w:color w:val="000000"/>
                <w:sz w:val="24"/>
                <w:szCs w:val="24"/>
              </w:rPr>
            </w:pPr>
            <w:r>
              <w:rPr>
                <w:rFonts w:hint="eastAsia" w:ascii="宋体" w:hAnsi="宋体" w:eastAsia="宋体" w:cs="宋体"/>
                <w:color w:val="000000"/>
                <w:kern w:val="0"/>
                <w:sz w:val="18"/>
                <w:szCs w:val="18"/>
              </w:rPr>
              <w:t>院全体人员对安保安检服务工作满意</w:t>
            </w:r>
            <w:r>
              <w:rPr>
                <w:rFonts w:hint="eastAsia" w:ascii="宋体" w:hAnsi="宋体" w:eastAsia="宋体" w:cs="宋体"/>
                <w:color w:val="000000"/>
                <w:kern w:val="0"/>
                <w:sz w:val="18"/>
                <w:szCs w:val="18"/>
                <w:lang w:val="en-US" w:eastAsia="zh-CN"/>
              </w:rPr>
              <w:t>率</w:t>
            </w:r>
            <w:r>
              <w:rPr>
                <w:rFonts w:hint="eastAsia" w:ascii="宋体" w:hAnsi="宋体" w:eastAsia="宋体" w:cs="宋体"/>
                <w:color w:val="000000"/>
                <w:kern w:val="0"/>
                <w:sz w:val="18"/>
                <w:szCs w:val="18"/>
              </w:rPr>
              <w:t>达到9</w:t>
            </w:r>
            <w:r>
              <w:rPr>
                <w:rFonts w:hint="eastAsia" w:ascii="宋体" w:hAnsi="宋体" w:eastAsia="宋体" w:cs="宋体"/>
                <w:color w:val="000000"/>
                <w:kern w:val="0"/>
                <w:sz w:val="18"/>
                <w:szCs w:val="18"/>
                <w:lang w:val="en-US" w:eastAsia="zh-CN"/>
              </w:rPr>
              <w:t>0%</w:t>
            </w:r>
            <w:r>
              <w:rPr>
                <w:rFonts w:hint="eastAsia" w:ascii="宋体" w:hAnsi="宋体" w:eastAsia="宋体" w:cs="宋体"/>
                <w:color w:val="000000"/>
                <w:kern w:val="0"/>
                <w:sz w:val="18"/>
                <w:szCs w:val="18"/>
              </w:rPr>
              <w:t>。</w:t>
            </w:r>
          </w:p>
        </w:tc>
        <w:tc>
          <w:tcPr>
            <w:tcW w:w="1759"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b w:val="0"/>
                <w:bCs w:val="0"/>
                <w:color w:val="000000"/>
                <w:kern w:val="0"/>
                <w:sz w:val="24"/>
                <w:szCs w:val="24"/>
                <w:lang w:val="en-US"/>
              </w:rPr>
            </w:pPr>
            <w:r>
              <w:rPr>
                <w:rFonts w:hint="eastAsia" w:ascii="宋体" w:hAnsi="宋体" w:eastAsia="宋体" w:cs="宋体"/>
                <w:b w:val="0"/>
                <w:bCs w:val="0"/>
                <w:i w:val="0"/>
                <w:iCs w:val="0"/>
                <w:color w:val="000000"/>
                <w:kern w:val="0"/>
                <w:sz w:val="24"/>
                <w:szCs w:val="24"/>
                <w:u w:val="none"/>
                <w:lang w:val="en-US" w:eastAsia="zh-CN" w:bidi="ar"/>
              </w:rPr>
              <w:t>8</w:t>
            </w:r>
          </w:p>
        </w:tc>
      </w:tr>
      <w:tr>
        <w:tblPrEx>
          <w:tblBorders>
            <w:top w:val="double" w:color="000000" w:sz="4" w:space="0"/>
            <w:left w:val="single" w:color="000000" w:sz="4" w:space="0"/>
            <w:bottom w:val="doub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4410" w:type="dxa"/>
            <w:gridSpan w:val="3"/>
            <w:tcBorders>
              <w:tl2br w:val="nil"/>
              <w:tr2bl w:val="nil"/>
            </w:tcBorders>
            <w:noWrap/>
            <w:vAlign w:val="center"/>
          </w:tcPr>
          <w:p>
            <w:pPr>
              <w:widowControl/>
              <w:jc w:val="center"/>
              <w:textAlignment w:val="center"/>
              <w:rPr>
                <w:rFonts w:hint="eastAsia" w:ascii="宋体" w:hAnsi="宋体" w:cs="宋体"/>
                <w:b/>
                <w:bCs/>
                <w:color w:val="000000"/>
                <w:sz w:val="24"/>
                <w:szCs w:val="24"/>
              </w:rPr>
            </w:pPr>
            <w:r>
              <w:rPr>
                <w:rFonts w:hint="eastAsia" w:ascii="宋体" w:hAnsi="宋体" w:cs="宋体"/>
                <w:b/>
                <w:bCs/>
                <w:color w:val="000000"/>
                <w:kern w:val="0"/>
                <w:sz w:val="24"/>
                <w:szCs w:val="24"/>
                <w:lang w:bidi="ar"/>
              </w:rPr>
              <w:t>合计</w:t>
            </w:r>
          </w:p>
        </w:tc>
        <w:tc>
          <w:tcPr>
            <w:tcW w:w="883" w:type="dxa"/>
            <w:tcBorders>
              <w:tl2br w:val="nil"/>
              <w:tr2bl w:val="nil"/>
            </w:tcBorders>
            <w:noWrap/>
            <w:vAlign w:val="center"/>
          </w:tcPr>
          <w:p>
            <w:pPr>
              <w:widowControl/>
              <w:jc w:val="center"/>
              <w:textAlignment w:val="center"/>
              <w:rPr>
                <w:rFonts w:hint="default" w:ascii="宋体" w:hAnsi="宋体" w:cs="宋体" w:eastAsiaTheme="minorEastAsia"/>
                <w:b/>
                <w:bCs/>
                <w:color w:val="000000"/>
                <w:sz w:val="24"/>
                <w:szCs w:val="24"/>
                <w:lang w:val="en-US" w:eastAsia="zh-CN"/>
              </w:rPr>
            </w:pPr>
            <w:r>
              <w:rPr>
                <w:rFonts w:hint="eastAsia" w:ascii="宋体" w:hAnsi="宋体" w:cs="宋体"/>
                <w:b/>
                <w:bCs/>
                <w:color w:val="000000"/>
                <w:kern w:val="0"/>
                <w:sz w:val="24"/>
                <w:szCs w:val="24"/>
                <w:lang w:val="en-US" w:eastAsia="zh-CN" w:bidi="ar"/>
              </w:rPr>
              <w:t>100</w:t>
            </w:r>
          </w:p>
        </w:tc>
        <w:tc>
          <w:tcPr>
            <w:tcW w:w="2884" w:type="dxa"/>
            <w:tcBorders>
              <w:tl2br w:val="nil"/>
              <w:tr2bl w:val="nil"/>
            </w:tcBorders>
            <w:noWrap w:val="0"/>
            <w:vAlign w:val="center"/>
          </w:tcPr>
          <w:p>
            <w:pPr>
              <w:jc w:val="center"/>
              <w:rPr>
                <w:rFonts w:hint="eastAsia" w:ascii="宋体" w:hAnsi="宋体" w:cs="宋体"/>
                <w:color w:val="000000"/>
                <w:sz w:val="24"/>
                <w:szCs w:val="24"/>
              </w:rPr>
            </w:pPr>
          </w:p>
        </w:tc>
        <w:tc>
          <w:tcPr>
            <w:tcW w:w="1759" w:type="dxa"/>
            <w:tcBorders>
              <w:tl2br w:val="nil"/>
              <w:tr2bl w:val="nil"/>
            </w:tcBorders>
            <w:noWrap w:val="0"/>
            <w:vAlign w:val="center"/>
          </w:tcPr>
          <w:p>
            <w:pPr>
              <w:jc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89.5</w:t>
            </w:r>
          </w:p>
        </w:tc>
      </w:tr>
    </w:tbl>
    <w:p>
      <w:pPr>
        <w:rPr>
          <w:rFonts w:hint="default" w:ascii="仿宋_GB2312" w:hAnsi="Calibri"/>
          <w:sz w:val="32"/>
          <w:szCs w:val="32"/>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266162D-9C0F-4577-A6A0-21E6020DC3D0}"/>
  </w:font>
  <w:font w:name="黑体">
    <w:panose1 w:val="02010609060101010101"/>
    <w:charset w:val="86"/>
    <w:family w:val="auto"/>
    <w:pitch w:val="default"/>
    <w:sig w:usb0="800002BF" w:usb1="38CF7CFA" w:usb2="00000016" w:usb3="00000000" w:csb0="00040001" w:csb1="00000000"/>
    <w:embedRegular r:id="rId2" w:fontKey="{4561E404-E692-4D6E-8089-CF328095661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E540E8B9-BEB5-4865-BE7F-FC4241137767}"/>
  </w:font>
  <w:font w:name="Cambria">
    <w:panose1 w:val="02040503050406030204"/>
    <w:charset w:val="00"/>
    <w:family w:val="roman"/>
    <w:pitch w:val="default"/>
    <w:sig w:usb0="E00002FF" w:usb1="400004FF" w:usb2="00000000" w:usb3="00000000" w:csb0="2000019F" w:csb1="00000000"/>
  </w:font>
  <w:font w:name="微软简隶书">
    <w:altName w:val="宋体"/>
    <w:panose1 w:val="00000000000000000000"/>
    <w:charset w:val="86"/>
    <w:family w:val="auto"/>
    <w:pitch w:val="default"/>
    <w:sig w:usb0="00000000" w:usb1="00000000" w:usb2="00000010" w:usb3="00000000" w:csb0="00040000" w:csb1="00000000"/>
    <w:embedRegular r:id="rId4" w:fontKey="{54DA206C-8E25-4C45-8D0C-62209FD44247}"/>
  </w:font>
  <w:font w:name="方正小标宋简体">
    <w:panose1 w:val="02010601030101010101"/>
    <w:charset w:val="86"/>
    <w:family w:val="auto"/>
    <w:pitch w:val="default"/>
    <w:sig w:usb0="00000001" w:usb1="080E0000" w:usb2="00000000" w:usb3="00000000" w:csb0="00040000" w:csb1="00000000"/>
    <w:embedRegular r:id="rId5" w:fontKey="{53A1786D-E0EC-496C-B458-C204FE72C68A}"/>
  </w:font>
  <w:font w:name="隶书">
    <w:panose1 w:val="02010509060101010101"/>
    <w:charset w:val="86"/>
    <w:family w:val="modern"/>
    <w:pitch w:val="default"/>
    <w:sig w:usb0="00000000" w:usb1="00000000" w:usb2="00000000" w:usb3="00000000" w:csb0="00000000" w:csb1="00000000"/>
    <w:embedRegular r:id="rId6" w:fontKey="{ACDE2359-DEF2-4ADD-9312-4B268C8B655A}"/>
  </w:font>
  <w:font w:name="方正姚体">
    <w:panose1 w:val="02010601030101010101"/>
    <w:charset w:val="86"/>
    <w:family w:val="auto"/>
    <w:pitch w:val="default"/>
    <w:sig w:usb0="00000000" w:usb1="00000000" w:usb2="00000000" w:usb3="00000000" w:csb0="00000000" w:csb1="00000000"/>
    <w:embedRegular r:id="rId7" w:fontKey="{7DE7BB01-C8A3-4117-B467-272E5ED3D8B4}"/>
  </w:font>
  <w:font w:name="仿宋_GB2312">
    <w:panose1 w:val="02010609030101010101"/>
    <w:charset w:val="86"/>
    <w:family w:val="modern"/>
    <w:pitch w:val="default"/>
    <w:sig w:usb0="00000001" w:usb1="080E0000" w:usb2="00000000" w:usb3="00000000" w:csb0="00040000" w:csb1="00000000"/>
    <w:embedRegular r:id="rId8" w:fontKey="{981EB8B2-B511-4BDA-8A4C-10D2CB1EEA07}"/>
  </w:font>
  <w:font w:name="楷体">
    <w:panose1 w:val="02010609060101010101"/>
    <w:charset w:val="86"/>
    <w:family w:val="modern"/>
    <w:pitch w:val="default"/>
    <w:sig w:usb0="800002BF" w:usb1="38CF7CFA" w:usb2="00000016" w:usb3="00000000" w:csb0="00040001" w:csb1="00000000"/>
    <w:embedRegular r:id="rId9" w:fontKey="{C1F5D35B-8E79-4CAB-82AE-59F2BA0E7A8A}"/>
  </w:font>
  <w:font w:name="楷体_GB2312">
    <w:panose1 w:val="02010609030101010101"/>
    <w:charset w:val="86"/>
    <w:family w:val="modern"/>
    <w:pitch w:val="default"/>
    <w:sig w:usb0="00000001" w:usb1="080E0000" w:usb2="00000000" w:usb3="00000000" w:csb0="00040000" w:csb1="00000000"/>
    <w:embedRegular r:id="rId10" w:fontKey="{17D42258-8BE7-4C46-8022-84EBA728048F}"/>
  </w:font>
  <w:font w:name="仿宋">
    <w:panose1 w:val="02010609060101010101"/>
    <w:charset w:val="86"/>
    <w:family w:val="auto"/>
    <w:pitch w:val="default"/>
    <w:sig w:usb0="800002BF" w:usb1="38CF7CFA" w:usb2="00000016" w:usb3="00000000" w:csb0="00040001" w:csb1="00000000"/>
    <w:embedRegular r:id="rId11" w:fontKey="{3ABF5F7E-0F21-4E6E-98D2-4F8BF0439C5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1"/>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742AD7"/>
    <w:multiLevelType w:val="multilevel"/>
    <w:tmpl w:val="5B742AD7"/>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pStyle w:val="6"/>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5ODkyODMwNWM2NmE5NjYxNWUxYWNjNWYxMGU4ZmMifQ=="/>
  </w:docVars>
  <w:rsids>
    <w:rsidRoot w:val="28C404BF"/>
    <w:rsid w:val="00337586"/>
    <w:rsid w:val="004B6AD5"/>
    <w:rsid w:val="00DD7F99"/>
    <w:rsid w:val="012E0B9D"/>
    <w:rsid w:val="0260049F"/>
    <w:rsid w:val="029173D6"/>
    <w:rsid w:val="031F56D3"/>
    <w:rsid w:val="040A7DF2"/>
    <w:rsid w:val="043D3DFB"/>
    <w:rsid w:val="045D7E84"/>
    <w:rsid w:val="04700566"/>
    <w:rsid w:val="04CA58A6"/>
    <w:rsid w:val="053234B1"/>
    <w:rsid w:val="072B636A"/>
    <w:rsid w:val="07AC0F23"/>
    <w:rsid w:val="086A057B"/>
    <w:rsid w:val="0900390A"/>
    <w:rsid w:val="092A39D1"/>
    <w:rsid w:val="092E32B4"/>
    <w:rsid w:val="09D13A5E"/>
    <w:rsid w:val="09F549A3"/>
    <w:rsid w:val="0A3D61C1"/>
    <w:rsid w:val="0A5A7F58"/>
    <w:rsid w:val="0AAC68B2"/>
    <w:rsid w:val="0AE522E5"/>
    <w:rsid w:val="0B3E43C5"/>
    <w:rsid w:val="0B864448"/>
    <w:rsid w:val="0BE2081A"/>
    <w:rsid w:val="0C300E1D"/>
    <w:rsid w:val="0C364580"/>
    <w:rsid w:val="0C47589D"/>
    <w:rsid w:val="0CD94B5E"/>
    <w:rsid w:val="0D166AF0"/>
    <w:rsid w:val="0E1A239E"/>
    <w:rsid w:val="0E507D05"/>
    <w:rsid w:val="0E6735CA"/>
    <w:rsid w:val="0E7616B1"/>
    <w:rsid w:val="0EFD3B60"/>
    <w:rsid w:val="0F8B736D"/>
    <w:rsid w:val="0F9254AE"/>
    <w:rsid w:val="0FBB4EDE"/>
    <w:rsid w:val="11153C7E"/>
    <w:rsid w:val="111F2093"/>
    <w:rsid w:val="11F502F7"/>
    <w:rsid w:val="122F74DD"/>
    <w:rsid w:val="12891058"/>
    <w:rsid w:val="12F9465F"/>
    <w:rsid w:val="13872628"/>
    <w:rsid w:val="13911775"/>
    <w:rsid w:val="13C710F9"/>
    <w:rsid w:val="14581A93"/>
    <w:rsid w:val="14942891"/>
    <w:rsid w:val="15530543"/>
    <w:rsid w:val="170450F8"/>
    <w:rsid w:val="173B52B1"/>
    <w:rsid w:val="18BC3036"/>
    <w:rsid w:val="19FB4632"/>
    <w:rsid w:val="19FE255B"/>
    <w:rsid w:val="1A1B3085"/>
    <w:rsid w:val="1A4E4EBA"/>
    <w:rsid w:val="1A736AA5"/>
    <w:rsid w:val="1ABE2DD7"/>
    <w:rsid w:val="1B572F6A"/>
    <w:rsid w:val="1BC41FF1"/>
    <w:rsid w:val="1C190783"/>
    <w:rsid w:val="1C547AC4"/>
    <w:rsid w:val="1D3D5017"/>
    <w:rsid w:val="1D491D3F"/>
    <w:rsid w:val="1D772D50"/>
    <w:rsid w:val="1E8B1FEC"/>
    <w:rsid w:val="20143515"/>
    <w:rsid w:val="20FE77D0"/>
    <w:rsid w:val="212F2E00"/>
    <w:rsid w:val="216655B5"/>
    <w:rsid w:val="217801DA"/>
    <w:rsid w:val="2198641B"/>
    <w:rsid w:val="21B940B4"/>
    <w:rsid w:val="224F5DC4"/>
    <w:rsid w:val="225C12FF"/>
    <w:rsid w:val="225F0103"/>
    <w:rsid w:val="226A67C4"/>
    <w:rsid w:val="22721D38"/>
    <w:rsid w:val="22745153"/>
    <w:rsid w:val="22E60454"/>
    <w:rsid w:val="238B0D7A"/>
    <w:rsid w:val="23D26F32"/>
    <w:rsid w:val="25D94D85"/>
    <w:rsid w:val="25DD7D8F"/>
    <w:rsid w:val="26261BBA"/>
    <w:rsid w:val="264032D7"/>
    <w:rsid w:val="26EC2487"/>
    <w:rsid w:val="27337CE7"/>
    <w:rsid w:val="276C079A"/>
    <w:rsid w:val="27D90EB7"/>
    <w:rsid w:val="28C404BF"/>
    <w:rsid w:val="292E258C"/>
    <w:rsid w:val="297E2476"/>
    <w:rsid w:val="29B81DBD"/>
    <w:rsid w:val="29F03235"/>
    <w:rsid w:val="2A095F13"/>
    <w:rsid w:val="2A905831"/>
    <w:rsid w:val="2A9F38E6"/>
    <w:rsid w:val="2AD30362"/>
    <w:rsid w:val="2ADF07C0"/>
    <w:rsid w:val="2AE9611E"/>
    <w:rsid w:val="2B2D6EF0"/>
    <w:rsid w:val="2B5F67EA"/>
    <w:rsid w:val="2CA23123"/>
    <w:rsid w:val="2D4D499C"/>
    <w:rsid w:val="2D7E3F04"/>
    <w:rsid w:val="2D9B64A2"/>
    <w:rsid w:val="2E9C3440"/>
    <w:rsid w:val="2EC82D8E"/>
    <w:rsid w:val="2F12493A"/>
    <w:rsid w:val="2F8E588B"/>
    <w:rsid w:val="30082206"/>
    <w:rsid w:val="30ED1608"/>
    <w:rsid w:val="312043A0"/>
    <w:rsid w:val="31560430"/>
    <w:rsid w:val="3196159F"/>
    <w:rsid w:val="31EE063D"/>
    <w:rsid w:val="322F3928"/>
    <w:rsid w:val="34A504E0"/>
    <w:rsid w:val="350D3683"/>
    <w:rsid w:val="359E48E4"/>
    <w:rsid w:val="35A07DAF"/>
    <w:rsid w:val="363C3B54"/>
    <w:rsid w:val="36683518"/>
    <w:rsid w:val="36BD137C"/>
    <w:rsid w:val="376D4DD4"/>
    <w:rsid w:val="378A4771"/>
    <w:rsid w:val="37A70B41"/>
    <w:rsid w:val="37E522B0"/>
    <w:rsid w:val="37F60FE9"/>
    <w:rsid w:val="382316B2"/>
    <w:rsid w:val="387E4B3B"/>
    <w:rsid w:val="388B7759"/>
    <w:rsid w:val="38AF47E6"/>
    <w:rsid w:val="393160B0"/>
    <w:rsid w:val="39866E2B"/>
    <w:rsid w:val="39D36C95"/>
    <w:rsid w:val="3A1C0AAF"/>
    <w:rsid w:val="3A402A4A"/>
    <w:rsid w:val="3A7C0BE3"/>
    <w:rsid w:val="3AB6385C"/>
    <w:rsid w:val="3B9F5BDA"/>
    <w:rsid w:val="3BB07701"/>
    <w:rsid w:val="3C45257D"/>
    <w:rsid w:val="3CCC2853"/>
    <w:rsid w:val="3CD03F0C"/>
    <w:rsid w:val="3D16040F"/>
    <w:rsid w:val="3D327514"/>
    <w:rsid w:val="3DC31B8E"/>
    <w:rsid w:val="3E4A2A81"/>
    <w:rsid w:val="3E720C9E"/>
    <w:rsid w:val="3ECF7E9E"/>
    <w:rsid w:val="3F41495E"/>
    <w:rsid w:val="3FBE0763"/>
    <w:rsid w:val="3FE82251"/>
    <w:rsid w:val="40927B10"/>
    <w:rsid w:val="40BF75CD"/>
    <w:rsid w:val="41172F1F"/>
    <w:rsid w:val="41BD553C"/>
    <w:rsid w:val="41D849BA"/>
    <w:rsid w:val="42302473"/>
    <w:rsid w:val="430B38BA"/>
    <w:rsid w:val="43F65ECD"/>
    <w:rsid w:val="44434EC4"/>
    <w:rsid w:val="45732507"/>
    <w:rsid w:val="45A42B29"/>
    <w:rsid w:val="45E66E11"/>
    <w:rsid w:val="46497A69"/>
    <w:rsid w:val="466301CA"/>
    <w:rsid w:val="46674F9B"/>
    <w:rsid w:val="469737AB"/>
    <w:rsid w:val="47275003"/>
    <w:rsid w:val="47F92430"/>
    <w:rsid w:val="492D46A0"/>
    <w:rsid w:val="499139ED"/>
    <w:rsid w:val="4A867F75"/>
    <w:rsid w:val="4AC1355E"/>
    <w:rsid w:val="4B685902"/>
    <w:rsid w:val="4BA34B8C"/>
    <w:rsid w:val="4BAB3A41"/>
    <w:rsid w:val="4BF55C09"/>
    <w:rsid w:val="4C673407"/>
    <w:rsid w:val="4CF16CD9"/>
    <w:rsid w:val="4D321ED3"/>
    <w:rsid w:val="4DD67A13"/>
    <w:rsid w:val="4DE6191C"/>
    <w:rsid w:val="4E373984"/>
    <w:rsid w:val="4EA23F91"/>
    <w:rsid w:val="4EF5058B"/>
    <w:rsid w:val="4F3F5521"/>
    <w:rsid w:val="505C407E"/>
    <w:rsid w:val="50760AA7"/>
    <w:rsid w:val="51981FF4"/>
    <w:rsid w:val="524D13AE"/>
    <w:rsid w:val="52A7138E"/>
    <w:rsid w:val="52C2650E"/>
    <w:rsid w:val="52CC3152"/>
    <w:rsid w:val="532710EE"/>
    <w:rsid w:val="539B1826"/>
    <w:rsid w:val="540B3A04"/>
    <w:rsid w:val="54934099"/>
    <w:rsid w:val="54B3750A"/>
    <w:rsid w:val="54B971CF"/>
    <w:rsid w:val="55532FB0"/>
    <w:rsid w:val="55532FBB"/>
    <w:rsid w:val="56BB1258"/>
    <w:rsid w:val="56CA1D95"/>
    <w:rsid w:val="578E4EC9"/>
    <w:rsid w:val="57E85B73"/>
    <w:rsid w:val="58352206"/>
    <w:rsid w:val="58553110"/>
    <w:rsid w:val="586423C0"/>
    <w:rsid w:val="59100855"/>
    <w:rsid w:val="591A5DA5"/>
    <w:rsid w:val="592D6DF5"/>
    <w:rsid w:val="594373A7"/>
    <w:rsid w:val="59940F96"/>
    <w:rsid w:val="5A4F7EA5"/>
    <w:rsid w:val="5AD14263"/>
    <w:rsid w:val="5BA97484"/>
    <w:rsid w:val="5C4B77FC"/>
    <w:rsid w:val="5C8C6F77"/>
    <w:rsid w:val="5C9018ED"/>
    <w:rsid w:val="5CEE3E66"/>
    <w:rsid w:val="5DBE7604"/>
    <w:rsid w:val="5E497B4F"/>
    <w:rsid w:val="5E9A4ACA"/>
    <w:rsid w:val="5F467CC6"/>
    <w:rsid w:val="5F4D4F80"/>
    <w:rsid w:val="5FD21C77"/>
    <w:rsid w:val="60075FAF"/>
    <w:rsid w:val="60902F1D"/>
    <w:rsid w:val="609B3C2C"/>
    <w:rsid w:val="60EB5CEF"/>
    <w:rsid w:val="61D45A07"/>
    <w:rsid w:val="62365E13"/>
    <w:rsid w:val="629D0106"/>
    <w:rsid w:val="629E17B2"/>
    <w:rsid w:val="62F5466A"/>
    <w:rsid w:val="633D0FCB"/>
    <w:rsid w:val="634234A2"/>
    <w:rsid w:val="63AD43A2"/>
    <w:rsid w:val="63D75FF3"/>
    <w:rsid w:val="64775FE6"/>
    <w:rsid w:val="64C2120B"/>
    <w:rsid w:val="654E5711"/>
    <w:rsid w:val="667D6AF5"/>
    <w:rsid w:val="6693265F"/>
    <w:rsid w:val="66A27075"/>
    <w:rsid w:val="66C806C0"/>
    <w:rsid w:val="66D81E98"/>
    <w:rsid w:val="66FE3167"/>
    <w:rsid w:val="677964C7"/>
    <w:rsid w:val="677C35F9"/>
    <w:rsid w:val="67C41CBB"/>
    <w:rsid w:val="67E13526"/>
    <w:rsid w:val="682A263D"/>
    <w:rsid w:val="685C5CB6"/>
    <w:rsid w:val="6AB93EBD"/>
    <w:rsid w:val="6B005CDC"/>
    <w:rsid w:val="6B3158B9"/>
    <w:rsid w:val="6B40098D"/>
    <w:rsid w:val="6B405AFC"/>
    <w:rsid w:val="6B4311C8"/>
    <w:rsid w:val="6C0F571A"/>
    <w:rsid w:val="6C91359B"/>
    <w:rsid w:val="6CBB72E6"/>
    <w:rsid w:val="6D932607"/>
    <w:rsid w:val="6DC621DF"/>
    <w:rsid w:val="6DD87ED4"/>
    <w:rsid w:val="6E7C4E1E"/>
    <w:rsid w:val="6E906D9A"/>
    <w:rsid w:val="6EAB48DE"/>
    <w:rsid w:val="6F9F5C9F"/>
    <w:rsid w:val="6FC54822"/>
    <w:rsid w:val="6FEB4920"/>
    <w:rsid w:val="70956979"/>
    <w:rsid w:val="709D01DD"/>
    <w:rsid w:val="7236154A"/>
    <w:rsid w:val="72C41448"/>
    <w:rsid w:val="72D374BB"/>
    <w:rsid w:val="72D66E3F"/>
    <w:rsid w:val="737954EF"/>
    <w:rsid w:val="739F333E"/>
    <w:rsid w:val="73E13D0E"/>
    <w:rsid w:val="746F1DA5"/>
    <w:rsid w:val="751467C2"/>
    <w:rsid w:val="755D54F2"/>
    <w:rsid w:val="762B56D2"/>
    <w:rsid w:val="7639646C"/>
    <w:rsid w:val="764222BD"/>
    <w:rsid w:val="769767EC"/>
    <w:rsid w:val="76F25BFD"/>
    <w:rsid w:val="77740388"/>
    <w:rsid w:val="77814A03"/>
    <w:rsid w:val="77846B1B"/>
    <w:rsid w:val="77C224B2"/>
    <w:rsid w:val="78B33DB1"/>
    <w:rsid w:val="78E201F2"/>
    <w:rsid w:val="78E25770"/>
    <w:rsid w:val="7A8B05E5"/>
    <w:rsid w:val="7AD16D6A"/>
    <w:rsid w:val="7AE73A62"/>
    <w:rsid w:val="7AEC5358"/>
    <w:rsid w:val="7B2F5245"/>
    <w:rsid w:val="7B624FA4"/>
    <w:rsid w:val="7BBF7E6E"/>
    <w:rsid w:val="7BC16FE7"/>
    <w:rsid w:val="7C407D3A"/>
    <w:rsid w:val="7C610980"/>
    <w:rsid w:val="7CE278A4"/>
    <w:rsid w:val="7CE77C9A"/>
    <w:rsid w:val="7CFE2A5C"/>
    <w:rsid w:val="7D761851"/>
    <w:rsid w:val="7DA33F24"/>
    <w:rsid w:val="7DC12ACC"/>
    <w:rsid w:val="7E371BBC"/>
    <w:rsid w:val="7EA631D3"/>
    <w:rsid w:val="7EB97C47"/>
    <w:rsid w:val="7EE3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iPriority="99"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autoSpaceDE w:val="0"/>
      <w:autoSpaceDN w:val="0"/>
      <w:adjustRightInd w:val="0"/>
      <w:jc w:val="center"/>
      <w:outlineLvl w:val="0"/>
    </w:pPr>
    <w:rPr>
      <w:rFonts w:ascii="Arial" w:hAnsi="Arial"/>
      <w:kern w:val="0"/>
      <w:sz w:val="44"/>
      <w:szCs w:val="44"/>
      <w:lang w:val="zh-CN"/>
    </w:rPr>
  </w:style>
  <w:style w:type="paragraph" w:styleId="4">
    <w:name w:val="heading 2"/>
    <w:basedOn w:val="1"/>
    <w:next w:val="1"/>
    <w:qFormat/>
    <w:uiPriority w:val="9"/>
    <w:pPr>
      <w:keepNext/>
      <w:keepLines/>
      <w:spacing w:before="260" w:after="260" w:line="416" w:lineRule="auto"/>
      <w:outlineLvl w:val="1"/>
    </w:pPr>
    <w:rPr>
      <w:rFonts w:ascii="Cambria" w:hAnsi="Cambria"/>
      <w:b/>
      <w:bCs/>
      <w:szCs w:val="32"/>
      <w:lang w:val="zh-CN"/>
    </w:rPr>
  </w:style>
  <w:style w:type="paragraph" w:styleId="5">
    <w:name w:val="heading 3"/>
    <w:basedOn w:val="1"/>
    <w:next w:val="1"/>
    <w:qFormat/>
    <w:uiPriority w:val="0"/>
    <w:pPr>
      <w:keepNext/>
      <w:keepLines/>
      <w:spacing w:before="260" w:after="260" w:line="416" w:lineRule="auto"/>
      <w:outlineLvl w:val="2"/>
    </w:pPr>
    <w:rPr>
      <w:b/>
      <w:bCs/>
      <w:szCs w:val="32"/>
    </w:rPr>
  </w:style>
  <w:style w:type="paragraph" w:styleId="6">
    <w:name w:val="heading 4"/>
    <w:basedOn w:val="1"/>
    <w:next w:val="1"/>
    <w:qFormat/>
    <w:uiPriority w:val="0"/>
    <w:pPr>
      <w:keepNext/>
      <w:keepLines/>
      <w:numPr>
        <w:ilvl w:val="3"/>
        <w:numId w:val="1"/>
      </w:numPr>
      <w:spacing w:before="280" w:after="290" w:line="374" w:lineRule="auto"/>
      <w:outlineLvl w:val="3"/>
    </w:pPr>
    <w:rPr>
      <w:rFonts w:ascii="Arial" w:hAnsi="Arial" w:eastAsia="黑体"/>
      <w:b/>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HTML Address"/>
    <w:basedOn w:val="1"/>
    <w:unhideWhenUsed/>
    <w:qFormat/>
    <w:uiPriority w:val="99"/>
    <w:rPr>
      <w:i/>
      <w:iCs/>
    </w:rPr>
  </w:style>
  <w:style w:type="paragraph" w:styleId="7">
    <w:name w:val="Normal Indent"/>
    <w:basedOn w:val="1"/>
    <w:unhideWhenUsed/>
    <w:qFormat/>
    <w:uiPriority w:val="99"/>
    <w:pPr>
      <w:ind w:firstLine="420" w:firstLineChars="200"/>
    </w:pPr>
  </w:style>
  <w:style w:type="paragraph" w:styleId="8">
    <w:name w:val="Body Text"/>
    <w:basedOn w:val="1"/>
    <w:next w:val="1"/>
    <w:qFormat/>
    <w:uiPriority w:val="0"/>
    <w:pPr>
      <w:widowControl/>
      <w:spacing w:before="100" w:beforeAutospacing="1" w:after="100" w:afterAutospacing="1"/>
      <w:jc w:val="left"/>
    </w:pPr>
    <w:rPr>
      <w:rFonts w:ascii="宋体" w:hAnsi="宋体" w:eastAsia="宋体" w:cs="宋体"/>
      <w:kern w:val="0"/>
      <w:sz w:val="24"/>
    </w:rPr>
  </w:style>
  <w:style w:type="paragraph" w:styleId="9">
    <w:name w:val="Body Text Indent"/>
    <w:basedOn w:val="1"/>
    <w:semiHidden/>
    <w:unhideWhenUsed/>
    <w:qFormat/>
    <w:uiPriority w:val="99"/>
    <w:pPr>
      <w:spacing w:after="120"/>
      <w:ind w:left="420" w:leftChars="200"/>
    </w:pPr>
  </w:style>
  <w:style w:type="paragraph" w:styleId="10">
    <w:name w:val="Body Text Indent 2"/>
    <w:basedOn w:val="1"/>
    <w:unhideWhenUsed/>
    <w:qFormat/>
    <w:uiPriority w:val="99"/>
    <w:pPr>
      <w:spacing w:after="120" w:line="480" w:lineRule="auto"/>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Body Text First Indent 2"/>
    <w:basedOn w:val="9"/>
    <w:qFormat/>
    <w:uiPriority w:val="99"/>
    <w:pPr>
      <w:spacing w:after="360"/>
      <w:ind w:left="0" w:leftChars="0" w:firstLine="420" w:firstLineChars="200"/>
    </w:pPr>
    <w:rPr>
      <w:kern w:val="1"/>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列出段落1"/>
    <w:basedOn w:val="1"/>
    <w:qFormat/>
    <w:uiPriority w:val="34"/>
    <w:pPr>
      <w:ind w:firstLine="420" w:firstLineChars="200"/>
    </w:pPr>
    <w:rPr>
      <w:rFonts w:ascii="Calibri" w:hAnsi="Calibri" w:cs="黑体"/>
      <w:szCs w:val="22"/>
    </w:rPr>
  </w:style>
  <w:style w:type="paragraph" w:customStyle="1" w:styleId="20">
    <w:name w:val="引言二级条标题"/>
    <w:basedOn w:val="1"/>
    <w:next w:val="1"/>
    <w:qFormat/>
    <w:uiPriority w:val="0"/>
    <w:pPr>
      <w:tabs>
        <w:tab w:val="left" w:pos="1140"/>
      </w:tabs>
      <w:ind w:firstLine="360"/>
    </w:pPr>
    <w:rPr>
      <w:rFonts w:ascii="Calibri" w:hAnsi="Calibri" w:eastAsia="黑体"/>
      <w:b/>
      <w:bCs/>
      <w:sz w:val="22"/>
      <w:szCs w:val="21"/>
      <w:lang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318</Words>
  <Characters>331</Characters>
  <Lines>0</Lines>
  <Paragraphs>0</Paragraphs>
  <TotalTime>4</TotalTime>
  <ScaleCrop>false</ScaleCrop>
  <LinksUpToDate>false</LinksUpToDate>
  <CharactersWithSpaces>350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2024-05-04T04:57:00Z</dcterms:created>
  <dc:creator>WH</dc:creator>
  <cp:lastModifiedBy>XCjcy</cp:lastModifiedBy>
  <dcterms:modified xsi:type="dcterms:W3CDTF">2025-08-27T01:09:39Z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3FE9F99D34FA4C13AD262B603AC5D31F_11</vt:lpwstr>
  </property>
  <property fmtid="{D5CDD505-2E9C-101B-9397-08002B2CF9AE}" pid="4" name="KSOTemplateDocerSaveRecord">
    <vt:lpwstr>eyJoZGlkIjoiMTY5ODkyODMwNWM2NmE5NjYxNWUxYWNjNWYxMGU4ZmMiLCJ1c2VySWQiOiI3NDI1OTg4OTEifQ==</vt:lpwstr>
  </property>
</Properties>
</file>