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2"/>
          <w:szCs w:val="52"/>
        </w:rPr>
      </w:pPr>
      <w:bookmarkStart w:id="0" w:name="_Toc31230"/>
      <w:bookmarkStart w:id="1" w:name="_Toc20248"/>
    </w:p>
    <w:p>
      <w:pPr>
        <w:jc w:val="center"/>
        <w:rPr>
          <w:b/>
          <w:bCs/>
          <w:sz w:val="52"/>
          <w:szCs w:val="52"/>
        </w:rPr>
      </w:pPr>
    </w:p>
    <w:p>
      <w:pPr>
        <w:jc w:val="center"/>
        <w:rPr>
          <w:b/>
          <w:bCs/>
          <w:sz w:val="52"/>
          <w:szCs w:val="52"/>
        </w:rPr>
      </w:pPr>
    </w:p>
    <w:p>
      <w:pPr>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北京市</w:t>
      </w:r>
      <w:r>
        <w:rPr>
          <w:rFonts w:hint="eastAsia" w:ascii="方正小标宋简体" w:hAnsi="方正小标宋简体" w:eastAsia="方正小标宋简体" w:cs="方正小标宋简体"/>
          <w:b w:val="0"/>
          <w:bCs w:val="0"/>
          <w:sz w:val="52"/>
          <w:szCs w:val="52"/>
          <w:lang w:val="en-US" w:eastAsia="zh-CN"/>
        </w:rPr>
        <w:t>西城区</w:t>
      </w:r>
      <w:r>
        <w:rPr>
          <w:rFonts w:hint="eastAsia" w:ascii="方正小标宋简体" w:hAnsi="方正小标宋简体" w:eastAsia="方正小标宋简体" w:cs="方正小标宋简体"/>
          <w:b w:val="0"/>
          <w:bCs w:val="0"/>
          <w:sz w:val="52"/>
          <w:szCs w:val="52"/>
        </w:rPr>
        <w:t>人民检察院</w:t>
      </w:r>
    </w:p>
    <w:p>
      <w:pPr>
        <w:jc w:val="center"/>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202</w:t>
      </w:r>
      <w:r>
        <w:rPr>
          <w:rFonts w:hint="eastAsia" w:ascii="方正小标宋简体" w:hAnsi="方正小标宋简体" w:eastAsia="方正小标宋简体" w:cs="方正小标宋简体"/>
          <w:b w:val="0"/>
          <w:bCs w:val="0"/>
          <w:sz w:val="52"/>
          <w:szCs w:val="52"/>
          <w:lang w:val="en-US" w:eastAsia="zh-CN"/>
        </w:rPr>
        <w:t>4</w:t>
      </w:r>
      <w:r>
        <w:rPr>
          <w:rFonts w:hint="eastAsia" w:ascii="方正小标宋简体" w:hAnsi="方正小标宋简体" w:eastAsia="方正小标宋简体" w:cs="方正小标宋简体"/>
          <w:b w:val="0"/>
          <w:bCs w:val="0"/>
          <w:sz w:val="52"/>
          <w:szCs w:val="52"/>
        </w:rPr>
        <w:t>年度部门整体绩效评价报告</w:t>
      </w:r>
    </w:p>
    <w:p>
      <w:pPr>
        <w:jc w:val="center"/>
        <w:rPr>
          <w:b/>
          <w:bCs/>
          <w:sz w:val="52"/>
        </w:rPr>
      </w:pPr>
    </w:p>
    <w:p>
      <w:pPr>
        <w:rPr>
          <w:rFonts w:eastAsia="黑体"/>
          <w:sz w:val="30"/>
        </w:rPr>
      </w:pPr>
    </w:p>
    <w:p>
      <w:pPr>
        <w:rPr>
          <w:rFonts w:eastAsia="黑体"/>
          <w:sz w:val="30"/>
        </w:rPr>
      </w:pPr>
    </w:p>
    <w:p>
      <w:pPr>
        <w:jc w:val="center"/>
        <w:rPr>
          <w:rFonts w:eastAsia="黑体"/>
          <w:sz w:val="30"/>
        </w:rPr>
      </w:pPr>
    </w:p>
    <w:p>
      <w:pPr>
        <w:jc w:val="center"/>
        <w:rPr>
          <w:rFonts w:eastAsia="黑体"/>
          <w:sz w:val="30"/>
        </w:rPr>
      </w:pPr>
    </w:p>
    <w:p>
      <w:pPr>
        <w:jc w:val="center"/>
        <w:rPr>
          <w:rFonts w:eastAsia="黑体"/>
          <w:sz w:val="30"/>
        </w:rPr>
      </w:pPr>
    </w:p>
    <w:p>
      <w:pPr>
        <w:rPr>
          <w:rFonts w:eastAsia="黑体"/>
          <w:sz w:val="30"/>
          <w:u w:val="single"/>
        </w:rPr>
      </w:pPr>
    </w:p>
    <w:p>
      <w:pPr>
        <w:rPr>
          <w:rFonts w:eastAsia="黑体"/>
          <w:sz w:val="30"/>
          <w:u w:val="single"/>
        </w:rPr>
      </w:pPr>
    </w:p>
    <w:p>
      <w:pPr>
        <w:rPr>
          <w:rFonts w:eastAsia="黑体"/>
          <w:sz w:val="30"/>
          <w:u w:val="single"/>
        </w:rPr>
      </w:pPr>
    </w:p>
    <w:p>
      <w:pPr>
        <w:rPr>
          <w:rFonts w:eastAsia="黑体"/>
          <w:sz w:val="30"/>
          <w:u w:val="single"/>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kern w:val="2"/>
          <w:sz w:val="36"/>
          <w:szCs w:val="44"/>
          <w:lang w:val="en-US" w:eastAsia="zh-CN" w:bidi="ar-SA"/>
        </w:rPr>
        <w:sectPr>
          <w:footerReference r:id="rId3" w:type="default"/>
          <w:pgSz w:w="11906" w:h="16838"/>
          <w:pgMar w:top="1440" w:right="1800" w:bottom="1440" w:left="1800" w:header="851" w:footer="964" w:gutter="0"/>
          <w:pgNumType w:fmt="decimal" w:start="1"/>
          <w:cols w:space="425" w:num="1"/>
          <w:docGrid w:type="lines" w:linePitch="435" w:charSpace="0"/>
        </w:sectPr>
      </w:pPr>
    </w:p>
    <w:sdt>
      <w:sdtPr>
        <w:rPr>
          <w:rFonts w:hint="eastAsia" w:ascii="方正小标宋简体" w:hAnsi="方正小标宋简体" w:eastAsia="方正小标宋简体" w:cs="方正小标宋简体"/>
          <w:kern w:val="2"/>
          <w:sz w:val="36"/>
          <w:szCs w:val="44"/>
          <w:lang w:val="en-US" w:eastAsia="zh-CN" w:bidi="ar-SA"/>
        </w:rPr>
        <w:id w:val="147480459"/>
        <w15:color w:val="DBDBDB"/>
        <w:docPartObj>
          <w:docPartGallery w:val="Table of Contents"/>
          <w:docPartUnique/>
        </w:docPartObj>
      </w:sdtPr>
      <w:sdtEndPr>
        <w:rPr>
          <w:rFonts w:hint="eastAsia" w:asciiTheme="majorEastAsia" w:hAnsiTheme="majorEastAsia" w:eastAsiaTheme="majorEastAsia" w:cstheme="majorEastAsia"/>
          <w:kern w:val="2"/>
          <w:sz w:val="32"/>
          <w:szCs w:val="32"/>
          <w:lang w:val="en-US" w:eastAsia="zh-CN" w:bidi="ar-SA"/>
        </w:rPr>
      </w:sdtEndPr>
      <w:sdtContent>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ajorEastAsia" w:hAnsiTheme="majorEastAsia" w:eastAsiaTheme="majorEastAsia" w:cstheme="majorEastAsia"/>
              <w:kern w:val="2"/>
              <w:sz w:val="32"/>
              <w:szCs w:val="32"/>
              <w:lang w:val="en-US" w:eastAsia="zh-CN" w:bidi="ar-SA"/>
            </w:rPr>
          </w:pPr>
          <w:r>
            <w:rPr>
              <w:rFonts w:hint="eastAsia" w:ascii="方正小标宋简体" w:hAnsi="方正小标宋简体" w:eastAsia="方正小标宋简体" w:cs="方正小标宋简体"/>
              <w:sz w:val="36"/>
              <w:szCs w:val="44"/>
            </w:rPr>
            <w:t>目</w:t>
          </w:r>
          <w:r>
            <w:rPr>
              <w:rFonts w:hint="eastAsia" w:ascii="方正小标宋简体" w:hAnsi="方正小标宋简体" w:eastAsia="方正小标宋简体" w:cs="方正小标宋简体"/>
              <w:sz w:val="36"/>
              <w:szCs w:val="44"/>
              <w:lang w:val="en-US" w:eastAsia="zh-CN"/>
            </w:rPr>
            <w:t xml:space="preserve">  </w:t>
          </w:r>
          <w:r>
            <w:rPr>
              <w:rFonts w:hint="eastAsia" w:ascii="方正小标宋简体" w:hAnsi="方正小标宋简体" w:eastAsia="方正小标宋简体" w:cs="方正小标宋简体"/>
              <w:sz w:val="36"/>
              <w:szCs w:val="44"/>
            </w:rPr>
            <w:t>录</w:t>
          </w: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TOC \o "1-2" \h \u </w:instrText>
          </w:r>
          <w:r>
            <w:rPr>
              <w:rFonts w:hint="eastAsia" w:asciiTheme="majorEastAsia" w:hAnsiTheme="majorEastAsia" w:eastAsiaTheme="majorEastAsia" w:cstheme="majorEastAsia"/>
              <w:sz w:val="32"/>
              <w:szCs w:val="32"/>
              <w:lang w:eastAsia="zh-CN"/>
            </w:rPr>
            <w:fldChar w:fldCharType="separate"/>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_Toc14589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rPr>
            <w:t>一、部门概况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_Toc14589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_Toc18154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（一）机构设置及职责工作任务情况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_Toc18154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_Toc358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（二）</w:t>
          </w:r>
          <w:r>
            <w:rPr>
              <w:rFonts w:hint="eastAsia" w:asciiTheme="majorEastAsia" w:hAnsiTheme="majorEastAsia" w:eastAsiaTheme="majorEastAsia" w:cstheme="majorEastAsia"/>
              <w:sz w:val="32"/>
              <w:szCs w:val="32"/>
              <w:highlight w:val="none"/>
            </w:rPr>
            <w:t>部门整体绩效目标设立情况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_Toc358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2</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_Toc23638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highlight w:val="none"/>
            </w:rPr>
            <w:t>二、当年预算执行情况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_Toc23638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2</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_Toc18124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highlight w:val="none"/>
            </w:rPr>
            <w:t>三、整体绩效目标实现情况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_Toc18124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2</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_Toc1611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highlight w:val="none"/>
            </w:rPr>
            <w:t>（一）产出完成情况分析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_Toc1611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2</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_Toc14614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（二）效果实现情况分析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_Toc14614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7</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_Toc17168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highlight w:val="none"/>
            </w:rPr>
            <w:t>四、预算管理情况分析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_Toc17168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7</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_Toc7047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（一）财务管理</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_Toc7047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7</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_Toc22174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lang w:eastAsia="zh-CN"/>
            </w:rPr>
            <w:t>（</w:t>
          </w:r>
          <w:r>
            <w:rPr>
              <w:rFonts w:hint="eastAsia" w:asciiTheme="majorEastAsia" w:hAnsiTheme="majorEastAsia" w:eastAsiaTheme="majorEastAsia" w:cstheme="majorEastAsia"/>
              <w:sz w:val="32"/>
              <w:szCs w:val="32"/>
              <w:lang w:val="en-US" w:eastAsia="zh-CN"/>
            </w:rPr>
            <w:t>二</w:t>
          </w:r>
          <w:r>
            <w:rPr>
              <w:rFonts w:hint="eastAsia" w:asciiTheme="majorEastAsia" w:hAnsiTheme="majorEastAsia" w:eastAsiaTheme="majorEastAsia" w:cstheme="majorEastAsia"/>
              <w:sz w:val="32"/>
              <w:szCs w:val="32"/>
              <w:lang w:eastAsia="zh-CN"/>
            </w:rPr>
            <w:t>）</w:t>
          </w:r>
          <w:r>
            <w:rPr>
              <w:rFonts w:hint="eastAsia" w:asciiTheme="majorEastAsia" w:hAnsiTheme="majorEastAsia" w:eastAsiaTheme="majorEastAsia" w:cstheme="majorEastAsia"/>
              <w:sz w:val="32"/>
              <w:szCs w:val="32"/>
            </w:rPr>
            <w:t>资产管理</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_Toc22174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_Toc8402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（三）绩效管理</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_Toc8402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_Toc13567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（四）</w:t>
          </w:r>
          <w:r>
            <w:rPr>
              <w:rFonts w:hint="eastAsia" w:asciiTheme="majorEastAsia" w:hAnsiTheme="majorEastAsia" w:eastAsiaTheme="majorEastAsia" w:cstheme="majorEastAsia"/>
              <w:sz w:val="32"/>
              <w:szCs w:val="32"/>
              <w:highlight w:val="none"/>
            </w:rPr>
            <w:t>结转结余率</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_Toc13567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_Toc12427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highlight w:val="none"/>
            </w:rPr>
            <w:t>（五）部门预决算差异率</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_Toc12427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_Toc9307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五、总体评价结论</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_Toc9307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_Toc10623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（一）评价得分情况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_Toc10623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_Toc31880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sz w:val="32"/>
              <w:szCs w:val="32"/>
            </w:rPr>
            <w:t>（二）存在的问题及原因分析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_Toc31880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9</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_Toc3964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highlight w:val="none"/>
              <w:lang w:val="en-US" w:eastAsia="zh-CN"/>
            </w:rPr>
            <w:t>六、</w:t>
          </w:r>
          <w:r>
            <w:rPr>
              <w:rFonts w:hint="eastAsia" w:asciiTheme="majorEastAsia" w:hAnsiTheme="majorEastAsia" w:eastAsiaTheme="majorEastAsia" w:cstheme="majorEastAsia"/>
              <w:kern w:val="0"/>
              <w:sz w:val="32"/>
              <w:szCs w:val="32"/>
              <w:highlight w:val="none"/>
            </w:rPr>
            <w:t>措施建议</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_Toc3964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10</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eastAsia="zh-CN"/>
            </w:rPr>
            <w:fldChar w:fldCharType="begin"/>
          </w:r>
          <w:r>
            <w:rPr>
              <w:rFonts w:hint="eastAsia" w:asciiTheme="majorEastAsia" w:hAnsiTheme="majorEastAsia" w:eastAsiaTheme="majorEastAsia" w:cstheme="majorEastAsia"/>
              <w:sz w:val="32"/>
              <w:szCs w:val="32"/>
              <w:lang w:eastAsia="zh-CN"/>
            </w:rPr>
            <w:instrText xml:space="preserve"> HYPERLINK \l _Toc22566 </w:instrText>
          </w:r>
          <w:r>
            <w:rPr>
              <w:rFonts w:hint="eastAsia" w:asciiTheme="majorEastAsia" w:hAnsiTheme="majorEastAsia" w:eastAsiaTheme="majorEastAsia" w:cstheme="majorEastAsia"/>
              <w:sz w:val="32"/>
              <w:szCs w:val="32"/>
              <w:lang w:eastAsia="zh-CN"/>
            </w:rPr>
            <w:fldChar w:fldCharType="separate"/>
          </w:r>
          <w:r>
            <w:rPr>
              <w:rFonts w:hint="eastAsia" w:asciiTheme="majorEastAsia" w:hAnsiTheme="majorEastAsia" w:eastAsiaTheme="majorEastAsia" w:cstheme="majorEastAsia"/>
              <w:kern w:val="0"/>
              <w:sz w:val="32"/>
              <w:szCs w:val="32"/>
              <w:highlight w:val="none"/>
              <w:lang w:val="en-US" w:eastAsia="zh-CN"/>
            </w:rPr>
            <w:t>七、附件</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_Toc22566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10</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eastAsia="zh-CN"/>
            </w:rPr>
            <w:fldChar w:fldCharType="end"/>
          </w:r>
        </w:p>
        <w:p>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rightChars="0" w:firstLine="0" w:firstLineChars="0"/>
            <w:jc w:val="center"/>
            <w:textAlignment w:val="auto"/>
            <w:rPr>
              <w:rFonts w:hint="eastAsia" w:asciiTheme="majorEastAsia" w:hAnsiTheme="majorEastAsia" w:eastAsiaTheme="majorEastAsia" w:cstheme="majorEastAsia"/>
              <w:kern w:val="2"/>
              <w:sz w:val="32"/>
              <w:szCs w:val="32"/>
              <w:lang w:val="en-US" w:eastAsia="zh-CN" w:bidi="ar-SA"/>
            </w:rPr>
          </w:pPr>
          <w:r>
            <w:rPr>
              <w:rFonts w:hint="eastAsia" w:asciiTheme="majorEastAsia" w:hAnsiTheme="majorEastAsia" w:eastAsiaTheme="majorEastAsia" w:cstheme="majorEastAsia"/>
              <w:sz w:val="32"/>
              <w:szCs w:val="32"/>
              <w:lang w:eastAsia="zh-CN"/>
            </w:rPr>
            <w:fldChar w:fldCharType="end"/>
          </w:r>
        </w:p>
      </w:sdtContent>
    </w:sdt>
    <w:p>
      <w:pPr>
        <w:rPr>
          <w:rFonts w:hint="eastAsia" w:ascii="华文中宋" w:hAnsi="华文中宋" w:eastAsia="华文中宋" w:cs="华文中宋"/>
          <w:kern w:val="2"/>
          <w:sz w:val="21"/>
          <w:szCs w:val="44"/>
          <w:lang w:val="en-US" w:eastAsia="zh-CN" w:bidi="ar-SA"/>
        </w:rPr>
      </w:pPr>
    </w:p>
    <w:p>
      <w:pPr>
        <w:rPr>
          <w:rFonts w:hint="eastAsia" w:ascii="华文中宋" w:hAnsi="华文中宋" w:eastAsia="华文中宋" w:cs="华文中宋"/>
          <w:sz w:val="44"/>
          <w:szCs w:val="44"/>
          <w:lang w:eastAsia="zh-CN"/>
        </w:rPr>
      </w:pPr>
    </w:p>
    <w:p>
      <w:pPr>
        <w:spacing w:line="560" w:lineRule="exact"/>
        <w:jc w:val="center"/>
        <w:outlineLvl w:val="0"/>
        <w:rPr>
          <w:rFonts w:hint="eastAsia" w:ascii="方正小标宋简体" w:hAnsi="方正小标宋简体" w:eastAsia="方正小标宋简体" w:cs="方正小标宋简体"/>
          <w:sz w:val="40"/>
          <w:szCs w:val="40"/>
          <w:lang w:eastAsia="zh-CN"/>
        </w:rPr>
        <w:sectPr>
          <w:footerReference r:id="rId4" w:type="default"/>
          <w:pgSz w:w="11906" w:h="16838"/>
          <w:pgMar w:top="1440" w:right="1800" w:bottom="1440" w:left="1800" w:header="851" w:footer="964" w:gutter="0"/>
          <w:pgNumType w:fmt="decimal" w:start="1"/>
          <w:cols w:space="425" w:num="1"/>
          <w:docGrid w:type="lines" w:linePitch="435" w:charSpace="0"/>
        </w:sectPr>
      </w:pPr>
      <w:bookmarkStart w:id="2" w:name="_Toc11306"/>
      <w:bookmarkStart w:id="3" w:name="_Toc341"/>
    </w:p>
    <w:p>
      <w:pPr>
        <w:spacing w:line="560" w:lineRule="exact"/>
        <w:jc w:val="center"/>
        <w:outlineLvl w:val="0"/>
        <w:rPr>
          <w:rFonts w:hint="eastAsia" w:ascii="方正小标宋简体" w:hAnsi="方正小标宋简体" w:eastAsia="方正小标宋简体" w:cs="方正小标宋简体"/>
          <w:sz w:val="40"/>
          <w:szCs w:val="40"/>
          <w:lang w:eastAsia="zh-CN"/>
        </w:rPr>
      </w:pPr>
      <w:r>
        <w:rPr>
          <w:rFonts w:hint="eastAsia" w:ascii="方正小标宋简体" w:hAnsi="方正小标宋简体" w:eastAsia="方正小标宋简体" w:cs="方正小标宋简体"/>
          <w:sz w:val="40"/>
          <w:szCs w:val="40"/>
          <w:lang w:eastAsia="zh-CN"/>
        </w:rPr>
        <w:t>北京市</w:t>
      </w:r>
      <w:r>
        <w:rPr>
          <w:rFonts w:hint="eastAsia" w:ascii="方正小标宋简体" w:hAnsi="方正小标宋简体" w:eastAsia="方正小标宋简体" w:cs="方正小标宋简体"/>
          <w:sz w:val="40"/>
          <w:szCs w:val="40"/>
          <w:lang w:val="en-US" w:eastAsia="zh-CN"/>
        </w:rPr>
        <w:t>西城</w:t>
      </w:r>
      <w:r>
        <w:rPr>
          <w:rFonts w:hint="eastAsia" w:ascii="方正小标宋简体" w:hAnsi="方正小标宋简体" w:eastAsia="方正小标宋简体" w:cs="方正小标宋简体"/>
          <w:sz w:val="40"/>
          <w:szCs w:val="40"/>
          <w:lang w:eastAsia="zh-CN"/>
        </w:rPr>
        <w:t>区人民检察院</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ascii="仿宋_GB2312"/>
          <w:szCs w:val="30"/>
        </w:rPr>
      </w:pPr>
      <w:bookmarkStart w:id="4" w:name="_Toc5316"/>
      <w:bookmarkStart w:id="5" w:name="_Toc30173"/>
      <w:bookmarkStart w:id="6" w:name="_Toc23400"/>
      <w:bookmarkStart w:id="7" w:name="_Toc5318"/>
      <w:bookmarkStart w:id="8" w:name="_Toc22641"/>
      <w:bookmarkStart w:id="9" w:name="_Toc21394"/>
      <w:r>
        <w:rPr>
          <w:rFonts w:hint="eastAsia" w:ascii="方正小标宋简体" w:hAnsi="方正小标宋简体" w:eastAsia="方正小标宋简体" w:cs="方正小标宋简体"/>
          <w:sz w:val="40"/>
          <w:szCs w:val="40"/>
          <w:lang w:val="en-US" w:eastAsia="zh-CN"/>
        </w:rPr>
        <w:t>2024年度</w:t>
      </w:r>
      <w:r>
        <w:rPr>
          <w:rFonts w:hint="eastAsia" w:ascii="方正小标宋简体" w:hAnsi="方正小标宋简体" w:eastAsia="方正小标宋简体" w:cs="方正小标宋简体"/>
          <w:sz w:val="40"/>
          <w:szCs w:val="40"/>
        </w:rPr>
        <w:t>部门整体绩效</w:t>
      </w:r>
      <w:r>
        <w:rPr>
          <w:rFonts w:hint="eastAsia" w:ascii="方正小标宋简体" w:hAnsi="方正小标宋简体" w:eastAsia="方正小标宋简体" w:cs="方正小标宋简体"/>
          <w:sz w:val="40"/>
          <w:szCs w:val="40"/>
          <w:lang w:eastAsia="zh-CN"/>
        </w:rPr>
        <w:t>评价</w:t>
      </w:r>
      <w:r>
        <w:rPr>
          <w:rFonts w:hint="eastAsia" w:ascii="方正小标宋简体" w:hAnsi="方正小标宋简体" w:eastAsia="方正小标宋简体" w:cs="方正小标宋简体"/>
          <w:sz w:val="40"/>
          <w:szCs w:val="40"/>
        </w:rPr>
        <w:t>报告</w:t>
      </w:r>
      <w:bookmarkEnd w:id="4"/>
      <w:bookmarkEnd w:id="5"/>
      <w:bookmarkEnd w:id="6"/>
      <w:bookmarkEnd w:id="7"/>
      <w:bookmarkEnd w:id="8"/>
      <w:bookmarkEnd w:id="9"/>
    </w:p>
    <w:p>
      <w:pPr>
        <w:keepNext w:val="0"/>
        <w:keepLines w:val="0"/>
        <w:pageBreakBefore w:val="0"/>
        <w:widowControl w:val="0"/>
        <w:kinsoku/>
        <w:wordWrap/>
        <w:overflowPunct/>
        <w:topLinePunct w:val="0"/>
        <w:autoSpaceDE/>
        <w:autoSpaceDN/>
        <w:bidi w:val="0"/>
        <w:adjustRightInd/>
        <w:snapToGrid/>
        <w:spacing w:before="313" w:beforeLines="100" w:line="580" w:lineRule="exact"/>
        <w:ind w:left="0" w:leftChars="0" w:firstLine="640" w:firstLineChars="200"/>
        <w:textAlignment w:val="auto"/>
        <w:outlineLvl w:val="9"/>
        <w:rPr>
          <w:rFonts w:hint="eastAsia" w:ascii="黑体" w:hAnsi="黑体" w:eastAsia="黑体" w:cs="宋体"/>
          <w:color w:val="000000"/>
          <w:kern w:val="0"/>
          <w:sz w:val="32"/>
          <w:szCs w:val="32"/>
        </w:rPr>
      </w:pPr>
      <w:bookmarkStart w:id="10" w:name="_Toc32148"/>
      <w:bookmarkStart w:id="11" w:name="_Toc20561"/>
      <w:bookmarkStart w:id="12" w:name="_Toc31264"/>
      <w:bookmarkStart w:id="13" w:name="_Toc14589"/>
      <w:bookmarkStart w:id="14" w:name="_Toc8942"/>
      <w:r>
        <w:rPr>
          <w:rFonts w:hint="eastAsia" w:ascii="仿宋_GB2312" w:hAnsi="楷体" w:eastAsia="仿宋_GB2312"/>
          <w:bCs/>
          <w:kern w:val="0"/>
          <w:sz w:val="32"/>
          <w:szCs w:val="28"/>
        </w:rPr>
        <w:t>为进一步加强预算绩效管理，强化支出责任，提高财政资金使用效益，考核财政支出效率和综合效果，根据</w:t>
      </w:r>
      <w:r>
        <w:rPr>
          <w:rFonts w:hint="eastAsia" w:ascii="仿宋_GB2312" w:hAnsi="仿宋_GB2312" w:eastAsia="仿宋_GB2312" w:cs="仿宋_GB2312"/>
          <w:sz w:val="32"/>
        </w:rPr>
        <w:t>《中共北京市委 北京市人民政府关于全面实施预算绩效管理的实施意见》（京发〔2019〕12号）</w:t>
      </w:r>
      <w:r>
        <w:rPr>
          <w:rFonts w:hint="eastAsia" w:ascii="仿宋_GB2312" w:hAnsi="楷体" w:eastAsia="仿宋_GB2312"/>
          <w:bCs/>
          <w:kern w:val="0"/>
          <w:sz w:val="32"/>
          <w:szCs w:val="28"/>
        </w:rPr>
        <w:t>《北京市项目支出绩效评价管理办法》（京财绩效〔2020〕2146号），结合《北京市财政局关于</w:t>
      </w:r>
      <w:r>
        <w:rPr>
          <w:rFonts w:hint="eastAsia" w:ascii="仿宋_GB2312" w:hAnsi="楷体" w:eastAsia="仿宋_GB2312"/>
          <w:bCs/>
          <w:kern w:val="0"/>
          <w:sz w:val="32"/>
          <w:szCs w:val="28"/>
          <w:lang w:val="en-US" w:eastAsia="zh-CN"/>
        </w:rPr>
        <w:t>开展</w:t>
      </w:r>
      <w:r>
        <w:rPr>
          <w:rFonts w:hint="eastAsia" w:ascii="仿宋_GB2312" w:hAnsi="楷体" w:eastAsia="仿宋_GB2312"/>
          <w:bCs/>
          <w:kern w:val="0"/>
          <w:sz w:val="32"/>
          <w:szCs w:val="28"/>
        </w:rPr>
        <w:t>202</w:t>
      </w:r>
      <w:r>
        <w:rPr>
          <w:rFonts w:hint="eastAsia" w:ascii="仿宋_GB2312" w:hAnsi="楷体" w:eastAsia="仿宋_GB2312"/>
          <w:bCs/>
          <w:kern w:val="0"/>
          <w:sz w:val="32"/>
          <w:szCs w:val="28"/>
          <w:lang w:val="en-US" w:eastAsia="zh-CN"/>
        </w:rPr>
        <w:t>5</w:t>
      </w:r>
      <w:r>
        <w:rPr>
          <w:rFonts w:hint="eastAsia" w:ascii="仿宋_GB2312" w:hAnsi="楷体" w:eastAsia="仿宋_GB2312"/>
          <w:bCs/>
          <w:kern w:val="0"/>
          <w:sz w:val="32"/>
          <w:szCs w:val="28"/>
        </w:rPr>
        <w:t>年预算绩效管理</w:t>
      </w:r>
      <w:r>
        <w:rPr>
          <w:rFonts w:hint="eastAsia" w:ascii="仿宋_GB2312" w:hAnsi="楷体" w:eastAsia="仿宋_GB2312"/>
          <w:bCs/>
          <w:kern w:val="0"/>
          <w:sz w:val="32"/>
          <w:szCs w:val="28"/>
          <w:lang w:val="en-US" w:eastAsia="zh-CN"/>
        </w:rPr>
        <w:t>相关</w:t>
      </w:r>
      <w:r>
        <w:rPr>
          <w:rFonts w:hint="eastAsia" w:ascii="仿宋_GB2312" w:hAnsi="楷体" w:eastAsia="仿宋_GB2312"/>
          <w:bCs/>
          <w:kern w:val="0"/>
          <w:sz w:val="32"/>
          <w:szCs w:val="28"/>
        </w:rPr>
        <w:t>工作的</w:t>
      </w:r>
      <w:r>
        <w:rPr>
          <w:rFonts w:hint="eastAsia" w:ascii="仿宋_GB2312" w:hAnsi="楷体" w:eastAsia="仿宋_GB2312"/>
          <w:bCs/>
          <w:kern w:val="0"/>
          <w:sz w:val="32"/>
          <w:szCs w:val="28"/>
          <w:lang w:val="en-US" w:eastAsia="zh-CN"/>
        </w:rPr>
        <w:t>通知</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京财绩效</w:t>
      </w:r>
      <w:r>
        <w:rPr>
          <w:rFonts w:hint="eastAsia" w:ascii="仿宋_GB2312" w:hAnsi="楷体" w:eastAsia="仿宋_GB2312"/>
          <w:bCs/>
          <w:kern w:val="0"/>
          <w:sz w:val="32"/>
          <w:szCs w:val="28"/>
        </w:rPr>
        <w:t>〔202</w:t>
      </w:r>
      <w:r>
        <w:rPr>
          <w:rFonts w:hint="eastAsia" w:ascii="仿宋_GB2312" w:hAnsi="楷体" w:eastAsia="仿宋_GB2312"/>
          <w:bCs/>
          <w:kern w:val="0"/>
          <w:sz w:val="32"/>
          <w:szCs w:val="28"/>
          <w:lang w:val="en-US" w:eastAsia="zh-CN"/>
        </w:rPr>
        <w:t>5</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val="en-US" w:eastAsia="zh-CN"/>
        </w:rPr>
        <w:t>245</w:t>
      </w:r>
      <w:r>
        <w:rPr>
          <w:rFonts w:hint="eastAsia" w:ascii="仿宋_GB2312" w:hAnsi="楷体" w:eastAsia="仿宋_GB2312"/>
          <w:bCs/>
          <w:kern w:val="0"/>
          <w:sz w:val="32"/>
          <w:szCs w:val="28"/>
        </w:rPr>
        <w:t>号</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rPr>
        <w:t>的工作安排，北京市</w:t>
      </w:r>
      <w:r>
        <w:rPr>
          <w:rFonts w:hint="eastAsia" w:ascii="仿宋_GB2312" w:hAnsi="楷体" w:eastAsia="仿宋_GB2312"/>
          <w:bCs/>
          <w:kern w:val="0"/>
          <w:sz w:val="32"/>
          <w:szCs w:val="28"/>
          <w:lang w:val="en-US" w:eastAsia="zh-CN"/>
        </w:rPr>
        <w:t>西城区</w:t>
      </w:r>
      <w:r>
        <w:rPr>
          <w:rFonts w:hint="eastAsia" w:ascii="仿宋_GB2312" w:hAnsi="楷体" w:eastAsia="仿宋_GB2312"/>
          <w:bCs/>
          <w:kern w:val="0"/>
          <w:sz w:val="32"/>
          <w:szCs w:val="28"/>
        </w:rPr>
        <w:t>人民检察院</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以下称西城检察院</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rPr>
        <w:t>组建绩效评价工作组，</w:t>
      </w:r>
      <w:r>
        <w:rPr>
          <w:rFonts w:ascii="仿宋_GB2312" w:hAnsi="楷体" w:eastAsia="仿宋_GB2312"/>
          <w:bCs/>
          <w:kern w:val="0"/>
          <w:sz w:val="32"/>
          <w:szCs w:val="28"/>
        </w:rPr>
        <w:t>对202</w:t>
      </w:r>
      <w:r>
        <w:rPr>
          <w:rFonts w:hint="eastAsia" w:ascii="仿宋_GB2312" w:hAnsi="楷体" w:eastAsia="仿宋_GB2312"/>
          <w:bCs/>
          <w:kern w:val="0"/>
          <w:sz w:val="32"/>
          <w:szCs w:val="28"/>
          <w:lang w:val="en-US" w:eastAsia="zh-CN"/>
        </w:rPr>
        <w:t>4</w:t>
      </w:r>
      <w:r>
        <w:rPr>
          <w:rFonts w:ascii="仿宋_GB2312" w:hAnsi="楷体" w:eastAsia="仿宋_GB2312"/>
          <w:bCs/>
          <w:kern w:val="0"/>
          <w:sz w:val="32"/>
          <w:szCs w:val="28"/>
        </w:rPr>
        <w:t>年度部门整体</w:t>
      </w:r>
      <w:r>
        <w:rPr>
          <w:rFonts w:hint="eastAsia" w:ascii="仿宋_GB2312" w:hAnsi="楷体" w:eastAsia="仿宋_GB2312"/>
          <w:bCs/>
          <w:kern w:val="0"/>
          <w:sz w:val="32"/>
          <w:szCs w:val="28"/>
        </w:rPr>
        <w:t>实施</w:t>
      </w:r>
      <w:r>
        <w:rPr>
          <w:rFonts w:ascii="仿宋_GB2312" w:hAnsi="楷体" w:eastAsia="仿宋_GB2312"/>
          <w:bCs/>
          <w:kern w:val="0"/>
          <w:sz w:val="32"/>
          <w:szCs w:val="28"/>
        </w:rPr>
        <w:t>绩效评价，</w:t>
      </w:r>
      <w:r>
        <w:rPr>
          <w:rFonts w:hint="eastAsia" w:ascii="仿宋_GB2312" w:hAnsi="楷体" w:eastAsia="仿宋_GB2312"/>
          <w:bCs/>
          <w:kern w:val="0"/>
          <w:sz w:val="32"/>
          <w:szCs w:val="28"/>
        </w:rPr>
        <w:t>形成本绩效评价报告。</w:t>
      </w:r>
    </w:p>
    <w:p>
      <w:pPr>
        <w:spacing w:line="600" w:lineRule="exact"/>
        <w:ind w:firstLine="640" w:firstLineChars="200"/>
        <w:outlineLvl w:val="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bookmarkEnd w:id="10"/>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rPr>
      </w:pPr>
      <w:bookmarkStart w:id="15" w:name="_Toc18154"/>
      <w:bookmarkStart w:id="16" w:name="_Toc19565"/>
      <w:bookmarkStart w:id="17" w:name="_Toc3082"/>
      <w:bookmarkStart w:id="18" w:name="_Toc5162"/>
      <w:bookmarkStart w:id="19" w:name="_Toc26578"/>
      <w:r>
        <w:rPr>
          <w:rFonts w:hint="eastAsia" w:ascii="楷体_GB2312" w:eastAsia="楷体_GB2312"/>
          <w:sz w:val="32"/>
          <w:szCs w:val="32"/>
        </w:rPr>
        <w:t>（一）机构设置及职责工作任务情况</w:t>
      </w:r>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楷体" w:eastAsia="仿宋_GB2312"/>
          <w:bCs/>
          <w:kern w:val="0"/>
          <w:sz w:val="32"/>
          <w:szCs w:val="28"/>
        </w:rPr>
        <w:t>根据北京市委全面深化改革委员会审议通过的《北京市检察机关内设机构改革方案》(京政法发〔2019〕8号)，</w:t>
      </w:r>
      <w:r>
        <w:rPr>
          <w:rFonts w:hint="eastAsia" w:ascii="仿宋_GB2312" w:hAnsi="楷体" w:eastAsia="仿宋_GB2312"/>
          <w:bCs/>
          <w:kern w:val="0"/>
          <w:sz w:val="32"/>
          <w:szCs w:val="28"/>
          <w:lang w:val="en-US" w:eastAsia="zh-CN"/>
        </w:rPr>
        <w:t>西城检察院为北京市第一类基层检察院，</w:t>
      </w:r>
      <w:r>
        <w:rPr>
          <w:rFonts w:hint="eastAsia" w:ascii="仿宋_GB2312" w:hAnsi="仿宋_GB2312" w:eastAsia="仿宋_GB2312" w:cs="仿宋_GB2312"/>
          <w:bCs/>
          <w:sz w:val="32"/>
          <w:szCs w:val="32"/>
          <w:lang w:val="en-US" w:eastAsia="zh-CN"/>
        </w:rPr>
        <w:t>财政预算级次为省级。共设置11个内设机构，分别为：第一检察部、第二检察部、第三检察部、第四检察部、第五检察部、第六检察部、第七检察部、第八检察部（法律政策研究室）、办公室（行政事务管理部）、政治部（机关党委、机关纪委）、检务督察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ascii="仿宋_GB2312" w:hAnsi="仿宋_GB2312" w:eastAsia="仿宋_GB2312" w:cs="仿宋_GB2312"/>
          <w:bCs/>
          <w:sz w:val="32"/>
          <w:szCs w:val="32"/>
          <w:lang w:val="en-US" w:eastAsia="zh-CN"/>
        </w:rPr>
        <w:t>北京市西城区人民检察院的主要职责是在辖区内依法独立行使检察权。一是接受北京市人民检察院和区委的领导，对本区人民代表大会及其常务委员会负责并报告工作；二是负责办理各类刑事、民事、行政、公益诉讼案件等，发挥法律监督职能，维护公平正义；三是负责本院的检察队伍建设工作，聚力提升检察队伍素质能力；四是负责本院的物资装备和后勤管理工作；五是负责由上级人民检察院交办的其他工作。</w:t>
      </w:r>
    </w:p>
    <w:p>
      <w:pPr>
        <w:numPr>
          <w:ilvl w:val="0"/>
          <w:numId w:val="1"/>
        </w:numPr>
        <w:spacing w:line="600" w:lineRule="exact"/>
        <w:ind w:firstLine="640" w:firstLineChars="200"/>
        <w:outlineLvl w:val="1"/>
        <w:rPr>
          <w:rFonts w:hint="eastAsia" w:ascii="楷体_GB2312" w:eastAsia="楷体_GB2312"/>
          <w:sz w:val="32"/>
          <w:szCs w:val="32"/>
          <w:highlight w:val="none"/>
        </w:rPr>
      </w:pPr>
      <w:bookmarkStart w:id="20" w:name="_Toc8650"/>
      <w:bookmarkStart w:id="21" w:name="_Toc358"/>
      <w:bookmarkStart w:id="22" w:name="_Toc7539"/>
      <w:bookmarkStart w:id="23" w:name="_Toc9257"/>
      <w:bookmarkStart w:id="24" w:name="_Toc24620"/>
      <w:r>
        <w:rPr>
          <w:rFonts w:hint="eastAsia" w:ascii="楷体_GB2312" w:eastAsia="楷体_GB2312"/>
          <w:sz w:val="32"/>
          <w:szCs w:val="32"/>
          <w:highlight w:val="none"/>
        </w:rPr>
        <w:t>部门整体绩效目标设立情况</w:t>
      </w:r>
      <w:bookmarkEnd w:id="20"/>
      <w:bookmarkEnd w:id="21"/>
      <w:bookmarkEnd w:id="22"/>
      <w:bookmarkEnd w:id="23"/>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黑体" w:cs="黑体"/>
          <w:b w:val="0"/>
          <w:bCs w:val="0"/>
          <w:color w:val="auto"/>
          <w:spacing w:val="0"/>
          <w:sz w:val="32"/>
          <w:szCs w:val="32"/>
          <w:highlight w:val="none"/>
          <w:lang w:val="en-US" w:eastAsia="zh-CN"/>
        </w:rPr>
      </w:pPr>
      <w:bookmarkStart w:id="25" w:name="_Toc28668"/>
      <w:bookmarkStart w:id="26" w:name="_Toc8831"/>
      <w:bookmarkStart w:id="27" w:name="_Toc8109"/>
      <w:bookmarkStart w:id="28" w:name="_Toc5939"/>
      <w:r>
        <w:rPr>
          <w:rFonts w:hint="eastAsia" w:ascii="仿宋_GB2312" w:hAnsi="仿宋_GB2312" w:eastAsia="仿宋_GB2312" w:cs="仿宋_GB2312"/>
          <w:b w:val="0"/>
          <w:bCs w:val="0"/>
          <w:color w:val="auto"/>
          <w:spacing w:val="0"/>
          <w:sz w:val="32"/>
          <w:szCs w:val="32"/>
          <w:highlight w:val="none"/>
          <w:lang w:val="en-US" w:eastAsia="zh-CN"/>
        </w:rPr>
        <w:t>2024年，在区委和市检察院坚强领导下，在区人大及其常委会有力监督下，在区政府、区政协及社会各界大力支持下，区检察院坚持以习近平新时代中国特色社会主义思想为指导，深入贯彻落实党的二十大和二十届二中、三中全会精神，坚持聚焦首都功能核心区战略定位，立足区委“2-1-1-5-2”中国式现代化西城实践框架体系，围绕“高质效办好每一个案件”基本价值追求，深入推进“两个工程”，以“首善之首”高标准、“红墙先锋”新作为，奋力推进西城检察工作高质量发展。</w:t>
      </w:r>
    </w:p>
    <w:p>
      <w:pPr>
        <w:spacing w:line="600" w:lineRule="exact"/>
        <w:ind w:firstLine="640" w:firstLineChars="200"/>
        <w:outlineLvl w:val="0"/>
        <w:rPr>
          <w:rFonts w:ascii="黑体" w:hAnsi="黑体" w:eastAsia="黑体" w:cs="宋体"/>
          <w:color w:val="000000"/>
          <w:kern w:val="0"/>
          <w:sz w:val="32"/>
          <w:szCs w:val="32"/>
          <w:highlight w:val="none"/>
        </w:rPr>
      </w:pPr>
      <w:bookmarkStart w:id="29" w:name="_Toc23638"/>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25"/>
      <w:bookmarkEnd w:id="26"/>
      <w:bookmarkEnd w:id="27"/>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color w:val="auto"/>
          <w:spacing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2024年度，全年预算数11654.16万元，其中，基本支出预算数10890.17万元，项目支出预算数763.99万元。资金总体支出10748.39万元，其中，基本支出10071.2万元，项目支出677.19万元，预算执行率为92.23%。</w:t>
      </w:r>
    </w:p>
    <w:p>
      <w:pPr>
        <w:spacing w:line="600" w:lineRule="exact"/>
        <w:ind w:left="105" w:leftChars="50" w:firstLine="480" w:firstLineChars="150"/>
        <w:outlineLvl w:val="0"/>
        <w:rPr>
          <w:rFonts w:ascii="黑体" w:hAnsi="黑体" w:eastAsia="黑体" w:cs="宋体"/>
          <w:color w:val="000000"/>
          <w:kern w:val="0"/>
          <w:sz w:val="32"/>
          <w:szCs w:val="32"/>
          <w:highlight w:val="none"/>
        </w:rPr>
      </w:pPr>
      <w:bookmarkStart w:id="30" w:name="_Toc10510"/>
      <w:bookmarkStart w:id="31" w:name="_Toc25800"/>
      <w:bookmarkStart w:id="32" w:name="_Toc6166"/>
      <w:bookmarkStart w:id="33" w:name="_Toc18124"/>
      <w:bookmarkStart w:id="34" w:name="_Toc5791"/>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30"/>
      <w:bookmarkEnd w:id="31"/>
      <w:bookmarkEnd w:id="32"/>
      <w:bookmarkEnd w:id="33"/>
      <w:bookmarkEnd w:id="34"/>
    </w:p>
    <w:p>
      <w:pPr>
        <w:spacing w:line="600" w:lineRule="exact"/>
        <w:ind w:left="105" w:leftChars="50" w:firstLine="480" w:firstLineChars="150"/>
        <w:outlineLvl w:val="1"/>
        <w:rPr>
          <w:rFonts w:ascii="楷体_GB2312" w:eastAsia="楷体_GB2312"/>
          <w:sz w:val="32"/>
          <w:szCs w:val="32"/>
          <w:highlight w:val="none"/>
        </w:rPr>
      </w:pPr>
      <w:bookmarkStart w:id="35" w:name="_Toc1424"/>
      <w:bookmarkStart w:id="36" w:name="_Toc1611"/>
      <w:bookmarkStart w:id="37" w:name="_Toc6280"/>
      <w:bookmarkStart w:id="38" w:name="_Toc15062"/>
      <w:bookmarkStart w:id="39" w:name="_Toc625"/>
      <w:r>
        <w:rPr>
          <w:rFonts w:hint="eastAsia" w:ascii="楷体_GB2312" w:eastAsia="楷体_GB2312"/>
          <w:sz w:val="32"/>
          <w:szCs w:val="32"/>
          <w:highlight w:val="none"/>
        </w:rPr>
        <w:t>（一）产出完成情况分析</w:t>
      </w:r>
      <w:bookmarkEnd w:id="35"/>
      <w:bookmarkEnd w:id="36"/>
      <w:bookmarkEnd w:id="37"/>
      <w:bookmarkEnd w:id="38"/>
      <w:bookmarkEnd w:id="39"/>
    </w:p>
    <w:p>
      <w:pPr>
        <w:spacing w:line="560" w:lineRule="exact"/>
        <w:ind w:left="105" w:leftChars="50" w:firstLine="480" w:firstLineChars="150"/>
        <w:outlineLvl w:val="2"/>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w:t>
      </w:r>
    </w:p>
    <w:p>
      <w:pPr>
        <w:pStyle w:val="16"/>
        <w:spacing w:line="56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1）安保安检工作经费</w:t>
      </w:r>
    </w:p>
    <w:p>
      <w:pPr>
        <w:pStyle w:val="16"/>
        <w:spacing w:line="56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年度指标值：开展安保安检工作，保障全院干警工作安全。</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全年实际值：签订安保安检服务合同，项目全年执行，委派22名安保人员进行日常安保安检工作，于2024年年底完成服务，保障了正常的办公秩序，顺利开展各项检察工作。</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2）绩效评审咨询服务费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年度指标值：开展项目绩效评价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全年实际值：2024年的绩效评价工作针对单位的重点项目支出实施了绩效评价，评价项目2个，其中：部门评价项目与单位自评项目各1个，对2024年度单位整体项目绩效开展了绩效评价工作。</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（3）运维保障工作经费</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年度指标值：用于加大新媒体宣传、检务公开等检察工作力度，加强公共关系建设。</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全年实际值：该项目主要内容为对院官网、微博、微信及平台号等相关内容进行编辑更新，进一步提高了检察工作宣传效果，提升了人民群众对检察工作的满意度。</w:t>
      </w:r>
      <w:bookmarkStart w:id="97" w:name="_GoBack"/>
      <w:bookmarkEnd w:id="97"/>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信息化运维项目</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年度指标值：开展信息化运维工作，保障网络正常运行，系统运维合格率100%。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highlight w:val="yellow"/>
        </w:rPr>
      </w:pPr>
      <w:r>
        <w:rPr>
          <w:rFonts w:hint="eastAsia" w:ascii="仿宋_GB2312" w:hAnsi="宋体" w:eastAsia="仿宋_GB2312" w:cs="宋体"/>
          <w:color w:val="000000"/>
          <w:kern w:val="0"/>
          <w:sz w:val="32"/>
          <w:szCs w:val="32"/>
          <w:lang w:val="en-US" w:eastAsia="zh-CN"/>
        </w:rPr>
        <w:t>全年实际值：</w:t>
      </w:r>
      <w:r>
        <w:rPr>
          <w:rFonts w:hint="eastAsia" w:ascii="仿宋_GB2312" w:hAnsi="宋体" w:eastAsia="仿宋_GB2312" w:cs="宋体"/>
          <w:bCs w:val="0"/>
          <w:color w:val="000000"/>
          <w:kern w:val="0"/>
          <w:sz w:val="32"/>
          <w:szCs w:val="32"/>
          <w:lang w:val="en-US" w:eastAsia="zh-CN"/>
        </w:rPr>
        <w:t>检察信息化系统2024年全年运行态势平稳良好，保证了</w:t>
      </w:r>
      <w:r>
        <w:rPr>
          <w:rFonts w:hint="eastAsia" w:ascii="仿宋_GB2312" w:hAnsi="宋体" w:eastAsia="仿宋_GB2312" w:cs="宋体"/>
          <w:bCs w:val="0"/>
          <w:color w:val="000000"/>
          <w:kern w:val="0"/>
          <w:sz w:val="32"/>
          <w:szCs w:val="32"/>
        </w:rPr>
        <w:t>信息化网络设备稳定运行</w:t>
      </w:r>
      <w:r>
        <w:rPr>
          <w:rFonts w:hint="eastAsia" w:ascii="仿宋_GB2312" w:hAnsi="宋体" w:eastAsia="仿宋_GB2312" w:cs="宋体"/>
          <w:bCs w:val="0"/>
          <w:color w:val="000000"/>
          <w:kern w:val="0"/>
          <w:sz w:val="32"/>
          <w:szCs w:val="32"/>
          <w:lang w:eastAsia="zh-CN"/>
        </w:rPr>
        <w:t>，</w:t>
      </w:r>
      <w:r>
        <w:rPr>
          <w:rFonts w:hint="eastAsia" w:ascii="仿宋_GB2312" w:hAnsi="宋体" w:eastAsia="仿宋_GB2312" w:cs="宋体"/>
          <w:bCs w:val="0"/>
          <w:color w:val="000000"/>
          <w:kern w:val="0"/>
          <w:sz w:val="32"/>
          <w:szCs w:val="32"/>
        </w:rPr>
        <w:t>满足</w:t>
      </w:r>
      <w:r>
        <w:rPr>
          <w:rFonts w:hint="eastAsia" w:ascii="仿宋_GB2312" w:hAnsi="宋体" w:eastAsia="仿宋_GB2312" w:cs="宋体"/>
          <w:bCs w:val="0"/>
          <w:color w:val="000000"/>
          <w:kern w:val="0"/>
          <w:sz w:val="32"/>
          <w:szCs w:val="32"/>
          <w:lang w:val="en-US" w:eastAsia="zh-CN"/>
        </w:rPr>
        <w:t>了</w:t>
      </w:r>
      <w:r>
        <w:rPr>
          <w:rFonts w:hint="eastAsia" w:ascii="仿宋_GB2312" w:hAnsi="宋体" w:eastAsia="仿宋_GB2312" w:cs="宋体"/>
          <w:bCs w:val="0"/>
          <w:color w:val="000000"/>
          <w:kern w:val="0"/>
          <w:sz w:val="32"/>
          <w:szCs w:val="32"/>
        </w:rPr>
        <w:t>检察业务工作需要</w:t>
      </w:r>
      <w:r>
        <w:rPr>
          <w:rFonts w:hint="eastAsia" w:ascii="仿宋_GB2312" w:hAnsi="宋体" w:eastAsia="仿宋_GB2312" w:cs="宋体"/>
          <w:bCs w:val="0"/>
          <w:color w:val="000000"/>
          <w:kern w:val="0"/>
          <w:sz w:val="32"/>
          <w:szCs w:val="32"/>
          <w:lang w:eastAsia="zh-CN"/>
        </w:rPr>
        <w:t>。</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（5）互联网接入费项目</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年度指标值：为实现全院计算机外网系统、指挥中心等接入互联网宽带工作，保障检察院对信息化不断增长的需求，保障检务公开需要，需专线接入互联网。</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全年实际值：按照工作部署和要求，在2024年按要求完成项目进度并通过验收。保障检察业务公开与信息化建设顺利进行。</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（6）业务装备费</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年度指标值：按照购置计划执行</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全年实际值：用于购置检察干警办案所需技术装备。</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（7）办案业务费</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年度指标值：满足检察机关政法执法办案需求，保障各项检察业务顺利开展。</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全年实际值：2024年，</w:t>
      </w:r>
      <w:bookmarkStart w:id="40" w:name="OLE_LINK1"/>
      <w:r>
        <w:rPr>
          <w:rFonts w:hint="eastAsia" w:ascii="仿宋_GB2312" w:hAnsi="宋体" w:eastAsia="仿宋_GB2312" w:cs="宋体"/>
          <w:color w:val="000000"/>
          <w:kern w:val="0"/>
          <w:sz w:val="32"/>
          <w:szCs w:val="32"/>
          <w:highlight w:val="none"/>
          <w:lang w:val="en-US" w:eastAsia="zh-CN"/>
        </w:rPr>
        <w:t>全年共受理案件5679件，</w:t>
      </w:r>
      <w:r>
        <w:rPr>
          <w:rFonts w:hint="eastAsia" w:ascii="仿宋_GB2312" w:hAnsi="仿宋_GB2312" w:eastAsia="仿宋_GB2312" w:cs="仿宋_GB2312"/>
          <w:b w:val="0"/>
          <w:bCs w:val="0"/>
          <w:color w:val="auto"/>
          <w:spacing w:val="0"/>
          <w:sz w:val="32"/>
          <w:szCs w:val="32"/>
          <w:highlight w:val="none"/>
          <w:lang w:val="en-US" w:eastAsia="zh-CN"/>
        </w:rPr>
        <w:t>审结5229件。</w:t>
      </w:r>
    </w:p>
    <w:bookmarkEnd w:id="40"/>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lang w:val="en-US" w:eastAsia="zh-CN"/>
        </w:rPr>
        <w:t>（8）</w:t>
      </w:r>
      <w:r>
        <w:rPr>
          <w:rFonts w:hint="eastAsia" w:ascii="仿宋_GB2312" w:hAnsi="宋体" w:eastAsia="仿宋_GB2312" w:cs="宋体"/>
          <w:color w:val="000000"/>
          <w:kern w:val="0"/>
          <w:sz w:val="32"/>
          <w:szCs w:val="32"/>
          <w:lang w:val="en-US" w:eastAsia="zh-CN"/>
        </w:rPr>
        <w:t>其他收入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年度指标值：区级资金使用项目，使用资金规范合理，节约。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全年实际值：该项目为保障服务管辖区域的检察办案工作。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安保安检</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lang w:val="en-US" w:eastAsia="zh-CN"/>
        </w:rPr>
        <w:t>：保证了全院干警工作安全，维护了</w:t>
      </w:r>
      <w:r>
        <w:rPr>
          <w:rFonts w:hint="eastAsia" w:ascii="仿宋_GB2312" w:hAnsi="宋体" w:eastAsia="仿宋_GB2312" w:cs="宋体"/>
          <w:color w:val="000000"/>
          <w:kern w:val="0"/>
          <w:sz w:val="32"/>
          <w:szCs w:val="32"/>
          <w:lang w:val="en-US" w:eastAsia="zh-CN"/>
        </w:rPr>
        <w:t>正常的办公秩序，保障各项检察业务工作有序开展</w:t>
      </w:r>
      <w:r>
        <w:rPr>
          <w:rFonts w:hint="eastAsia" w:ascii="仿宋_GB2312" w:hAnsi="仿宋_GB2312" w:eastAsia="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绩效评审咨询服务工作：提高单位资金使用效率，提高规范化使用财政资金和内部控制管理的水平</w:t>
      </w:r>
      <w:r>
        <w:rPr>
          <w:rFonts w:hint="eastAsia" w:ascii="仿宋_GB2312" w:hAnsi="宋体" w:eastAsia="仿宋_GB2312" w:cs="宋体"/>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w:t>
      </w:r>
      <w:r>
        <w:rPr>
          <w:rFonts w:hint="eastAsia" w:ascii="仿宋_GB2312" w:hAnsi="宋体" w:eastAsia="仿宋_GB2312" w:cs="宋体"/>
          <w:color w:val="000000"/>
          <w:kern w:val="0"/>
          <w:sz w:val="32"/>
          <w:szCs w:val="32"/>
          <w:lang w:val="en-US" w:eastAsia="zh-CN"/>
        </w:rPr>
        <w:t>运维保障工作经费</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通过该项目的执行，加强了新媒体建设，深化检务公开，提升了群众对检察工作满意度；同时做好了法治宣传工作，提高了检察机关公信力，传播了检察正能量；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信息化运维费</w:t>
      </w:r>
      <w:r>
        <w:rPr>
          <w:rFonts w:hint="eastAsia" w:ascii="仿宋_GB2312" w:hAnsi="仿宋_GB2312" w:eastAsia="仿宋_GB2312" w:cs="仿宋_GB2312"/>
          <w:color w:val="000000"/>
          <w:kern w:val="0"/>
          <w:sz w:val="32"/>
          <w:szCs w:val="32"/>
          <w:lang w:val="en-US" w:eastAsia="zh-CN"/>
        </w:rPr>
        <w:t>：项目全年系统运维合格率100%</w:t>
      </w:r>
      <w:r>
        <w:rPr>
          <w:rFonts w:hint="eastAsia" w:ascii="仿宋_GB2312" w:hAnsi="仿宋_GB2312" w:eastAsia="仿宋_GB2312" w:cs="仿宋_GB2312"/>
          <w:bCs/>
          <w:sz w:val="32"/>
          <w:szCs w:val="32"/>
        </w:rPr>
        <w:t>，满足</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检察业务工作需要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优化</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检察院网络环境，保障</w:t>
      </w:r>
      <w:r>
        <w:rPr>
          <w:rFonts w:hint="eastAsia" w:ascii="仿宋_GB2312" w:hAnsi="仿宋_GB2312" w:eastAsia="仿宋_GB2312" w:cs="仿宋_GB2312"/>
          <w:bCs/>
          <w:sz w:val="32"/>
          <w:szCs w:val="32"/>
          <w:lang w:val="en-US" w:eastAsia="zh-CN"/>
        </w:rPr>
        <w:t>了</w:t>
      </w:r>
      <w:r>
        <w:rPr>
          <w:rFonts w:hint="eastAsia" w:ascii="仿宋_GB2312" w:hAnsi="仿宋_GB2312" w:eastAsia="仿宋_GB2312" w:cs="仿宋_GB2312"/>
          <w:bCs/>
          <w:sz w:val="32"/>
          <w:szCs w:val="32"/>
        </w:rPr>
        <w:t>检察业务高效开展</w:t>
      </w:r>
      <w:r>
        <w:rPr>
          <w:rFonts w:hint="eastAsia" w:ascii="仿宋_GB2312" w:hAnsi="仿宋_GB2312" w:eastAsia="仿宋_GB2312" w:cs="仿宋_GB2312"/>
          <w:bCs/>
          <w:sz w:val="32"/>
          <w:szCs w:val="32"/>
          <w:lang w:eastAsia="zh-CN"/>
        </w:rPr>
        <w:t>；</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（5）互联网接入费：满足了专线接入互联网的工作需求，保障了检察业务公开与检察门户网站运行维护；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szCs w:val="32"/>
          <w:highlight w:val="yellow"/>
        </w:rPr>
      </w:pPr>
      <w:r>
        <w:rPr>
          <w:rFonts w:hint="eastAsia" w:ascii="仿宋_GB2312" w:hAnsi="宋体" w:eastAsia="仿宋_GB2312" w:cs="宋体"/>
          <w:color w:val="000000"/>
          <w:kern w:val="0"/>
          <w:sz w:val="32"/>
          <w:szCs w:val="32"/>
          <w:lang w:val="en-US" w:eastAsia="zh-CN"/>
        </w:rPr>
        <w:t>（6）业务装备费项目：</w:t>
      </w:r>
      <w:r>
        <w:rPr>
          <w:rFonts w:hint="eastAsia" w:ascii="仿宋_GB2312" w:hAnsi="宋体" w:eastAsia="仿宋_GB2312" w:cs="宋体"/>
          <w:color w:val="000000"/>
          <w:kern w:val="0"/>
          <w:sz w:val="32"/>
          <w:szCs w:val="32"/>
          <w:lang w:val="en-US" w:eastAsia="zh-CN" w:bidi="ar-SA"/>
        </w:rPr>
        <w:t>通过购置设备，进一步提高检察信息化水平，满足检察机关取证需要；规范检察执法，提高执法办案水平；强化检察系统间沟通，更好满足检察业务工作。</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yellow"/>
          <w:lang w:val="en-US" w:eastAsia="zh-CN"/>
        </w:rPr>
      </w:pPr>
      <w:r>
        <w:rPr>
          <w:rFonts w:hint="eastAsia" w:ascii="仿宋_GB2312" w:hAnsi="宋体" w:eastAsia="仿宋_GB2312" w:cs="宋体"/>
          <w:color w:val="000000"/>
          <w:kern w:val="0"/>
          <w:sz w:val="32"/>
          <w:szCs w:val="32"/>
          <w:lang w:val="en-US" w:eastAsia="zh-CN"/>
        </w:rPr>
        <w:t>（7）办案业务费：</w:t>
      </w:r>
      <w:r>
        <w:rPr>
          <w:rFonts w:hint="eastAsia" w:ascii="仿宋_GB2312" w:hAnsi="宋体" w:eastAsia="仿宋_GB2312" w:cs="宋体"/>
          <w:color w:val="000000"/>
          <w:kern w:val="0"/>
          <w:sz w:val="32"/>
          <w:szCs w:val="32"/>
          <w:highlight w:val="none"/>
          <w:lang w:val="en-US" w:eastAsia="zh-CN"/>
        </w:rPr>
        <w:t>共受理案件5679件，</w:t>
      </w:r>
      <w:r>
        <w:rPr>
          <w:rFonts w:hint="eastAsia" w:ascii="仿宋_GB2312" w:hAnsi="仿宋_GB2312" w:eastAsia="仿宋_GB2312" w:cs="仿宋_GB2312"/>
          <w:b w:val="0"/>
          <w:bCs w:val="0"/>
          <w:color w:val="auto"/>
          <w:spacing w:val="0"/>
          <w:sz w:val="32"/>
          <w:szCs w:val="32"/>
          <w:highlight w:val="none"/>
          <w:lang w:val="en-US" w:eastAsia="zh-CN"/>
        </w:rPr>
        <w:t>审结5229件。</w:t>
      </w:r>
      <w:r>
        <w:rPr>
          <w:rFonts w:hint="eastAsia" w:ascii="仿宋_GB2312" w:hAnsi="宋体" w:eastAsia="仿宋_GB2312" w:cs="宋体"/>
          <w:color w:val="000000"/>
          <w:kern w:val="0"/>
          <w:sz w:val="32"/>
          <w:szCs w:val="32"/>
          <w:lang w:val="en-US" w:eastAsia="zh-CN"/>
        </w:rPr>
        <w:t>维护了国家政治安全、确保社会大局稳定、促进社会公平正义、保障人民安居乐业。</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（8）其他收入</w:t>
      </w:r>
      <w:r>
        <w:rPr>
          <w:rFonts w:hint="eastAsia" w:ascii="仿宋_GB2312" w:hAnsi="宋体" w:eastAsia="仿宋_GB2312" w:cs="宋体"/>
          <w:color w:val="000000"/>
          <w:kern w:val="0"/>
          <w:sz w:val="32"/>
          <w:szCs w:val="32"/>
          <w:highlight w:val="none"/>
          <w:lang w:val="en-US" w:eastAsia="zh-CN"/>
        </w:rPr>
        <w:t>：区级资金使用项目，使用资金规范合理，节约。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pPr>
        <w:spacing w:line="56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西城检察院2024年度</w:t>
      </w:r>
      <w:r>
        <w:rPr>
          <w:rFonts w:hint="eastAsia" w:ascii="仿宋_GB2312" w:hAnsi="宋体" w:eastAsia="仿宋_GB2312" w:cs="宋体"/>
          <w:color w:val="000000"/>
          <w:kern w:val="0"/>
          <w:sz w:val="32"/>
          <w:szCs w:val="32"/>
        </w:rPr>
        <w:t>完成部门整体预算项目内容，实施进度良好。</w:t>
      </w:r>
      <w:r>
        <w:rPr>
          <w:rFonts w:hint="eastAsia" w:ascii="仿宋_GB2312" w:hAnsi="仿宋_GB2312" w:eastAsia="仿宋_GB2312" w:cs="仿宋_GB2312"/>
          <w:sz w:val="32"/>
          <w:szCs w:val="32"/>
        </w:rPr>
        <w:t>按照年初预算批复及年中追加、核减调整预算批复，202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全部</w:t>
      </w:r>
      <w:r>
        <w:rPr>
          <w:rFonts w:hint="eastAsia" w:ascii="仿宋_GB2312" w:hAnsi="仿宋_GB2312" w:eastAsia="仿宋_GB2312" w:cs="仿宋_GB2312"/>
          <w:sz w:val="32"/>
          <w:szCs w:val="32"/>
        </w:rPr>
        <w:t>完成各项检察工作。</w:t>
      </w:r>
      <w:r>
        <w:rPr>
          <w:rFonts w:hint="eastAsia" w:ascii="仿宋_GB2312" w:hAnsi="仿宋_GB2312" w:eastAsia="仿宋_GB2312" w:cs="仿宋_GB2312"/>
          <w:sz w:val="32"/>
          <w:szCs w:val="32"/>
          <w:lang w:val="en-US" w:eastAsia="zh-CN"/>
        </w:rPr>
        <w:t>各项目完成情况如下：</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宋体"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（1）安保安检工作项目，按照年初绩效目标的要求，已在2024年底前完成并通过验收</w:t>
      </w:r>
      <w:r>
        <w:rPr>
          <w:rFonts w:hint="eastAsia"/>
          <w:lang w:eastAsia="zh-CN"/>
        </w:rPr>
        <w:t>；</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w:t>
      </w:r>
      <w:r>
        <w:rPr>
          <w:rFonts w:hint="eastAsia" w:ascii="仿宋_GB2312" w:hAnsi="仿宋_GB2312" w:eastAsia="仿宋_GB2312" w:cs="仿宋_GB2312"/>
          <w:color w:val="000000"/>
          <w:kern w:val="0"/>
          <w:sz w:val="32"/>
          <w:szCs w:val="32"/>
          <w:lang w:val="en-US" w:eastAsia="zh-CN"/>
        </w:rPr>
        <w:t>绩效评审咨询服务工作已在2024年度完成；</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（3）运维保障工作经费</w:t>
      </w:r>
      <w:r>
        <w:rPr>
          <w:rFonts w:hint="eastAsia" w:ascii="仿宋_GB2312" w:hAnsi="仿宋_GB2312" w:eastAsia="仿宋_GB2312" w:cs="仿宋_GB2312"/>
          <w:color w:val="000000"/>
          <w:kern w:val="0"/>
          <w:sz w:val="32"/>
          <w:szCs w:val="32"/>
          <w:lang w:val="en-US" w:eastAsia="zh-CN"/>
        </w:rPr>
        <w:t>项目已在2024年度完成并通过验收；</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（4）信息化运维项目，截至评价日，该项目主要工作能够按照计划时间开展，产出时效性较好，按期完成了各阶段及年度总体工作任务；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宋体" w:eastAsia="仿宋_GB2312" w:cs="宋体"/>
          <w:color w:val="000000"/>
          <w:kern w:val="0"/>
          <w:sz w:val="32"/>
          <w:szCs w:val="32"/>
          <w:lang w:val="en-US" w:eastAsia="zh-CN"/>
        </w:rPr>
        <w:t>（5）互联网接入费项目，按要求完成项目进度并通过验收；</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（6）业务装备费项目，整体完成度较好，已按年初购置计划执行并验收合格；</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（7）办案业务费项目，已在2024年按要求完成项目进度，项目中</w:t>
      </w:r>
      <w:r>
        <w:rPr>
          <w:rFonts w:hint="eastAsia" w:ascii="仿宋_GB2312" w:hAnsi="宋体" w:eastAsia="仿宋_GB2312" w:cs="宋体"/>
          <w:b w:val="0"/>
          <w:bCs w:val="0"/>
          <w:color w:val="000000"/>
          <w:kern w:val="0"/>
          <w:sz w:val="32"/>
          <w:szCs w:val="32"/>
          <w:lang w:val="en-US" w:eastAsia="zh-CN"/>
        </w:rPr>
        <w:t>涉及的合同、</w:t>
      </w:r>
      <w:r>
        <w:rPr>
          <w:rFonts w:hint="eastAsia" w:ascii="仿宋_GB2312" w:hAnsi="宋体" w:eastAsia="仿宋_GB2312" w:cs="宋体"/>
          <w:color w:val="000000"/>
          <w:kern w:val="0"/>
          <w:sz w:val="32"/>
          <w:szCs w:val="32"/>
        </w:rPr>
        <w:t>验收报告、技术鉴定等资料</w:t>
      </w:r>
      <w:r>
        <w:rPr>
          <w:rFonts w:hint="eastAsia" w:ascii="仿宋_GB2312" w:hAnsi="宋体" w:eastAsia="仿宋_GB2312" w:cs="宋体"/>
          <w:color w:val="000000"/>
          <w:kern w:val="0"/>
          <w:sz w:val="32"/>
          <w:szCs w:val="32"/>
          <w:lang w:val="en-US" w:eastAsia="zh-CN"/>
        </w:rPr>
        <w:t>均</w:t>
      </w:r>
      <w:r>
        <w:rPr>
          <w:rFonts w:hint="eastAsia" w:ascii="仿宋_GB2312" w:hAnsi="宋体" w:eastAsia="仿宋_GB2312" w:cs="宋体"/>
          <w:color w:val="000000"/>
          <w:kern w:val="0"/>
          <w:sz w:val="32"/>
          <w:szCs w:val="32"/>
        </w:rPr>
        <w:t>齐全并及时归档</w:t>
      </w:r>
      <w:r>
        <w:rPr>
          <w:rFonts w:hint="eastAsia" w:ascii="仿宋_GB2312" w:hAnsi="宋体" w:eastAsia="仿宋_GB2312" w:cs="宋体"/>
          <w:color w:val="000000"/>
          <w:kern w:val="0"/>
          <w:sz w:val="32"/>
          <w:szCs w:val="32"/>
          <w:lang w:eastAsia="zh-CN"/>
        </w:rPr>
        <w:t>；</w:t>
      </w:r>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bidi="ar-SA"/>
        </w:rPr>
        <w:t>（8）</w:t>
      </w:r>
      <w:r>
        <w:rPr>
          <w:rFonts w:hint="eastAsia" w:ascii="仿宋_GB2312" w:hAnsi="宋体" w:eastAsia="仿宋_GB2312" w:cs="宋体"/>
          <w:color w:val="000000"/>
          <w:kern w:val="0"/>
          <w:sz w:val="32"/>
          <w:szCs w:val="32"/>
          <w:highlight w:val="none"/>
          <w:lang w:val="en-US" w:eastAsia="zh-CN"/>
        </w:rPr>
        <w:t>其他收入项</w:t>
      </w:r>
      <w:r>
        <w:rPr>
          <w:rFonts w:hint="eastAsia" w:ascii="仿宋_GB2312" w:hAnsi="宋体" w:eastAsia="仿宋_GB2312" w:cs="宋体"/>
          <w:color w:val="000000"/>
          <w:kern w:val="0"/>
          <w:sz w:val="32"/>
          <w:szCs w:val="32"/>
          <w:lang w:val="en-US" w:eastAsia="zh-CN"/>
        </w:rPr>
        <w:t>目</w:t>
      </w:r>
      <w:r>
        <w:rPr>
          <w:rFonts w:hint="eastAsia" w:ascii="仿宋_GB2312" w:hAnsi="宋体" w:eastAsia="仿宋_GB2312" w:cs="宋体"/>
          <w:color w:val="000000"/>
          <w:kern w:val="0"/>
          <w:sz w:val="32"/>
          <w:szCs w:val="32"/>
          <w:highlight w:val="none"/>
          <w:lang w:val="en-US" w:eastAsia="zh-CN"/>
        </w:rPr>
        <w:t>：区级资金使用项目，使用资金规范合理，节约。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2024年，西城检察院项目支出预算数763.99万元，项目支出决算数677.19万元，其中：安保安检工作产出成本113.52万元；绩效评审咨询服务费14万元；运维保障工作经费41.16万元；信息化运维费产出成本80.26万元；互联网接入费产出成本13.80万元；业务装备费产出成本49.49万元；办案业务费产出成本341.76万元；区级财政资金项目产出成本23.2万元。</w:t>
      </w:r>
    </w:p>
    <w:p>
      <w:pPr>
        <w:spacing w:line="600" w:lineRule="exact"/>
        <w:ind w:left="105" w:leftChars="50" w:firstLine="480" w:firstLineChars="150"/>
        <w:outlineLvl w:val="1"/>
        <w:rPr>
          <w:rFonts w:ascii="楷体_GB2312" w:eastAsia="楷体_GB2312"/>
          <w:sz w:val="32"/>
          <w:szCs w:val="32"/>
        </w:rPr>
      </w:pPr>
      <w:bookmarkStart w:id="41" w:name="_Toc1684"/>
      <w:bookmarkStart w:id="42" w:name="_Toc25763"/>
      <w:bookmarkStart w:id="43" w:name="_Toc8834"/>
      <w:bookmarkStart w:id="44" w:name="_Toc30206"/>
      <w:bookmarkStart w:id="45" w:name="_Toc14614"/>
      <w:r>
        <w:rPr>
          <w:rFonts w:hint="eastAsia" w:ascii="楷体_GB2312" w:eastAsia="楷体_GB2312"/>
          <w:sz w:val="32"/>
          <w:szCs w:val="32"/>
        </w:rPr>
        <w:t>（二）效果</w:t>
      </w:r>
      <w:r>
        <w:rPr>
          <w:rFonts w:ascii="楷体_GB2312" w:eastAsia="楷体_GB2312"/>
          <w:sz w:val="32"/>
          <w:szCs w:val="32"/>
        </w:rPr>
        <w:t>实现情况分析</w:t>
      </w:r>
      <w:bookmarkEnd w:id="41"/>
      <w:bookmarkEnd w:id="42"/>
      <w:bookmarkEnd w:id="43"/>
      <w:bookmarkEnd w:id="44"/>
      <w:bookmarkEnd w:id="45"/>
    </w:p>
    <w:p>
      <w:pPr>
        <w:pStyle w:val="18"/>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2"/>
        <w:rPr>
          <w:rFonts w:hint="eastAsia" w:ascii="仿宋_GB2312" w:hAnsi="宋体" w:eastAsia="仿宋_GB2312" w:cs="宋体"/>
          <w:b w:val="0"/>
          <w:bCs w:val="0"/>
          <w:color w:val="000000"/>
          <w:kern w:val="0"/>
          <w:sz w:val="32"/>
          <w:szCs w:val="32"/>
          <w:highlight w:val="none"/>
          <w:lang w:eastAsia="zh-CN"/>
        </w:rPr>
      </w:pPr>
      <w:r>
        <w:rPr>
          <w:rFonts w:hint="eastAsia" w:ascii="仿宋_GB2312" w:hAnsi="宋体" w:eastAsia="仿宋_GB2312" w:cs="宋体"/>
          <w:b w:val="0"/>
          <w:bCs w:val="0"/>
          <w:color w:val="000000"/>
          <w:kern w:val="0"/>
          <w:sz w:val="32"/>
          <w:szCs w:val="32"/>
          <w:highlight w:val="none"/>
          <w:lang w:val="en-US" w:eastAsia="zh-CN"/>
        </w:rPr>
        <w:t>1.</w:t>
      </w:r>
      <w:r>
        <w:rPr>
          <w:rFonts w:hint="eastAsia" w:ascii="仿宋_GB2312" w:hAnsi="宋体" w:eastAsia="仿宋_GB2312" w:cs="宋体"/>
          <w:b w:val="0"/>
          <w:bCs w:val="0"/>
          <w:color w:val="000000"/>
          <w:kern w:val="0"/>
          <w:sz w:val="32"/>
          <w:szCs w:val="32"/>
          <w:highlight w:val="none"/>
        </w:rPr>
        <w:t>社会效益</w:t>
      </w:r>
    </w:p>
    <w:p>
      <w:pPr>
        <w:pStyle w:val="18"/>
        <w:keepNext w:val="0"/>
        <w:keepLines w:val="0"/>
        <w:numPr>
          <w:ilvl w:val="-1"/>
          <w:numId w:val="0"/>
        </w:numPr>
        <w:spacing w:line="560" w:lineRule="exact"/>
        <w:ind w:firstLine="640" w:firstLineChars="200"/>
        <w:outlineLvl w:val="9"/>
        <w:rPr>
          <w:rFonts w:hint="eastAsia" w:ascii="仿宋_GB2312" w:hAnsi="宋体" w:eastAsia="仿宋_GB2312" w:cs="宋体"/>
          <w:b w:val="0"/>
          <w:bCs w:val="0"/>
          <w:color w:val="000000"/>
          <w:kern w:val="0"/>
          <w:sz w:val="32"/>
          <w:szCs w:val="32"/>
          <w:highlight w:val="none"/>
          <w:lang w:val="en-US" w:eastAsia="zh-CN"/>
        </w:rPr>
      </w:pPr>
      <w:r>
        <w:rPr>
          <w:rFonts w:hint="eastAsia" w:ascii="仿宋_GB2312" w:hAnsi="仿宋_GB2312" w:eastAsia="仿宋_GB2312" w:cs="仿宋_GB2312"/>
          <w:b w:val="0"/>
          <w:bCs w:val="0"/>
          <w:color w:val="auto"/>
          <w:spacing w:val="0"/>
          <w:sz w:val="32"/>
          <w:szCs w:val="32"/>
          <w:highlight w:val="none"/>
          <w:lang w:val="en-US" w:eastAsia="zh-CN"/>
        </w:rPr>
        <w:t>2024年，西城检察院在区委和市检察院坚强领导下，在区人大及其常委会有力监督下，在区政府、区政协及社会各界大力支持下，坚持以习近平新时代中国特色社会主义思想为指导，深入贯彻落实党的二十大和二十届二中、三中全会精神，坚持聚焦首都功能核心区战略定位，立足区委“2-1-1-5-2”中国式现代化西城实践框架体系，围绕“高质效办好每一个案件”基本价值追求，深入推进“两个工程”，以“首善之首”高标准、“红墙先锋”新作为，奋力推进西城检察工作高质量发展。</w:t>
      </w:r>
    </w:p>
    <w:p>
      <w:pPr>
        <w:pStyle w:val="18"/>
        <w:numPr>
          <w:ilvl w:val="-1"/>
          <w:numId w:val="0"/>
        </w:numPr>
        <w:spacing w:line="560" w:lineRule="exact"/>
        <w:ind w:firstLine="640" w:firstLineChars="200"/>
        <w:outlineLvl w:val="2"/>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lang w:val="en-US" w:eastAsia="zh-CN"/>
        </w:rPr>
        <w:t>2.</w:t>
      </w:r>
      <w:r>
        <w:rPr>
          <w:rFonts w:hint="eastAsia" w:ascii="仿宋_GB2312" w:hAnsi="宋体" w:eastAsia="仿宋_GB2312" w:cs="宋体"/>
          <w:b w:val="0"/>
          <w:bCs w:val="0"/>
          <w:color w:val="000000"/>
          <w:kern w:val="0"/>
          <w:sz w:val="32"/>
          <w:szCs w:val="32"/>
          <w:highlight w:val="none"/>
        </w:rPr>
        <w:t>可持续性影响</w:t>
      </w:r>
    </w:p>
    <w:p>
      <w:pPr>
        <w:pStyle w:val="18"/>
        <w:spacing w:line="560" w:lineRule="exact"/>
        <w:ind w:firstLine="640" w:firstLineChars="200"/>
        <w:rPr>
          <w:rFonts w:hint="eastAsia" w:ascii="仿宋_GB2312" w:hAnsi="宋体" w:eastAsia="仿宋_GB2312" w:cs="宋体"/>
          <w:b w:val="0"/>
          <w:bCs w:val="0"/>
          <w:color w:val="000000"/>
          <w:kern w:val="0"/>
          <w:sz w:val="32"/>
          <w:szCs w:val="32"/>
          <w:highlight w:val="none"/>
          <w:lang w:val="en-US" w:eastAsia="zh-CN"/>
        </w:rPr>
      </w:pPr>
      <w:r>
        <w:rPr>
          <w:rFonts w:hint="eastAsia" w:ascii="仿宋_GB2312" w:hAnsi="宋体" w:eastAsia="仿宋_GB2312" w:cs="宋体"/>
          <w:b w:val="0"/>
          <w:bCs w:val="0"/>
          <w:color w:val="000000"/>
          <w:kern w:val="0"/>
          <w:sz w:val="32"/>
          <w:szCs w:val="32"/>
          <w:highlight w:val="none"/>
          <w:lang w:val="en-US" w:eastAsia="zh-CN"/>
        </w:rPr>
        <w:t>西城检察院充分发挥单位职能，保障各项检察业务工作有序开展，围绕中心工作履行检察职能，在维护首都工作大局，维护社会安全稳定，强化法律监督等方面具有可持续性。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2"/>
        <w:rPr>
          <w:rFonts w:hint="eastAsia" w:ascii="仿宋_GB2312" w:hAnsi="宋体" w:eastAsia="仿宋_GB2312" w:cs="宋体"/>
          <w:b w:val="0"/>
          <w:bCs w:val="0"/>
          <w:color w:val="000000"/>
          <w:kern w:val="0"/>
          <w:sz w:val="32"/>
          <w:szCs w:val="32"/>
          <w:highlight w:val="none"/>
        </w:rPr>
      </w:pPr>
      <w:r>
        <w:rPr>
          <w:rFonts w:hint="eastAsia" w:ascii="仿宋_GB2312" w:hAnsi="宋体" w:eastAsia="仿宋_GB2312" w:cs="宋体"/>
          <w:b w:val="0"/>
          <w:bCs w:val="0"/>
          <w:color w:val="000000"/>
          <w:kern w:val="0"/>
          <w:sz w:val="32"/>
          <w:szCs w:val="32"/>
          <w:highlight w:val="none"/>
          <w:lang w:val="en-US" w:eastAsia="zh-CN"/>
        </w:rPr>
        <w:t>3.</w:t>
      </w:r>
      <w:r>
        <w:rPr>
          <w:rFonts w:hint="eastAsia" w:ascii="仿宋_GB2312" w:hAnsi="宋体" w:eastAsia="仿宋_GB2312" w:cs="宋体"/>
          <w:b w:val="0"/>
          <w:bCs w:val="0"/>
          <w:color w:val="000000"/>
          <w:kern w:val="0"/>
          <w:sz w:val="32"/>
          <w:szCs w:val="32"/>
          <w:highlight w:val="none"/>
        </w:rPr>
        <w:t>服务对象满意度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color w:val="auto"/>
          <w:sz w:val="32"/>
          <w:szCs w:val="32"/>
          <w:highlight w:val="none"/>
          <w:lang w:val="en-US" w:eastAsia="zh-CN"/>
        </w:rPr>
      </w:pPr>
      <w:bookmarkStart w:id="46" w:name="_Toc17963"/>
      <w:bookmarkStart w:id="47" w:name="_Toc17168"/>
      <w:bookmarkStart w:id="48" w:name="_Toc22647"/>
      <w:bookmarkStart w:id="49" w:name="_Toc18664"/>
      <w:bookmarkStart w:id="50" w:name="_Toc19106"/>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上</w:t>
      </w:r>
      <w:r>
        <w:rPr>
          <w:rFonts w:hint="eastAsia" w:ascii="仿宋_GB2312" w:hAnsi="仿宋_GB2312" w:eastAsia="仿宋_GB2312" w:cs="仿宋_GB2312"/>
          <w:sz w:val="32"/>
          <w:szCs w:val="32"/>
        </w:rPr>
        <w:t>午，在</w:t>
      </w:r>
      <w:r>
        <w:rPr>
          <w:rFonts w:hint="eastAsia" w:ascii="仿宋_GB2312" w:hAnsi="仿宋_GB2312" w:eastAsia="仿宋_GB2312" w:cs="仿宋_GB2312"/>
          <w:sz w:val="32"/>
          <w:szCs w:val="32"/>
          <w:lang w:val="en-US" w:eastAsia="zh-CN"/>
        </w:rPr>
        <w:t>西城区</w:t>
      </w:r>
      <w:r>
        <w:rPr>
          <w:rFonts w:hint="eastAsia" w:ascii="仿宋_GB2312" w:hAnsi="仿宋_GB2312" w:eastAsia="仿宋_GB2312" w:cs="仿宋_GB2312"/>
          <w:sz w:val="32"/>
          <w:szCs w:val="32"/>
        </w:rPr>
        <w:t>第十</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届人民代表大会第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次会议上，</w:t>
      </w:r>
      <w:r>
        <w:rPr>
          <w:rFonts w:hint="eastAsia" w:ascii="仿宋_GB2312" w:hAnsi="仿宋_GB2312" w:eastAsia="仿宋_GB2312" w:cs="仿宋_GB2312"/>
          <w:sz w:val="32"/>
          <w:szCs w:val="32"/>
          <w:lang w:val="en-US" w:eastAsia="zh-CN"/>
        </w:rPr>
        <w:t>经人大代表表决，充分肯定西城检察院2024年的工作业绩和成效，西城检察院工作报告</w:t>
      </w:r>
      <w:r>
        <w:rPr>
          <w:rFonts w:hint="eastAsia" w:ascii="仿宋_GB2312" w:hAnsi="仿宋_GB2312" w:eastAsia="仿宋_GB2312" w:cs="仿宋_GB2312"/>
          <w:sz w:val="32"/>
          <w:szCs w:val="32"/>
        </w:rPr>
        <w:t>高票通过。</w:t>
      </w:r>
    </w:p>
    <w:p>
      <w:pPr>
        <w:spacing w:line="600" w:lineRule="exact"/>
        <w:ind w:left="105" w:leftChars="50" w:firstLine="480" w:firstLineChars="150"/>
        <w:outlineLvl w:val="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46"/>
      <w:bookmarkEnd w:id="47"/>
      <w:bookmarkEnd w:id="48"/>
      <w:bookmarkEnd w:id="49"/>
      <w:bookmarkEnd w:id="50"/>
    </w:p>
    <w:p>
      <w:pPr>
        <w:spacing w:line="600" w:lineRule="exact"/>
        <w:ind w:left="105" w:leftChars="50" w:firstLine="480" w:firstLineChars="150"/>
        <w:outlineLvl w:val="1"/>
        <w:rPr>
          <w:rFonts w:ascii="楷体_GB2312" w:eastAsia="楷体_GB2312"/>
          <w:sz w:val="32"/>
          <w:szCs w:val="32"/>
        </w:rPr>
      </w:pPr>
      <w:bookmarkStart w:id="51" w:name="_Toc20391"/>
      <w:bookmarkStart w:id="52" w:name="_Toc19959"/>
      <w:bookmarkStart w:id="53" w:name="_Toc29143"/>
      <w:bookmarkStart w:id="54" w:name="_Toc32474"/>
      <w:bookmarkStart w:id="55" w:name="_Toc7047"/>
      <w:r>
        <w:rPr>
          <w:rFonts w:hint="eastAsia" w:ascii="楷体_GB2312" w:eastAsia="楷体_GB2312"/>
          <w:sz w:val="32"/>
          <w:szCs w:val="32"/>
        </w:rPr>
        <w:t>（一）财务管理</w:t>
      </w:r>
      <w:bookmarkEnd w:id="51"/>
      <w:bookmarkEnd w:id="52"/>
      <w:bookmarkEnd w:id="53"/>
      <w:bookmarkEnd w:id="54"/>
      <w:bookmarkEnd w:id="55"/>
    </w:p>
    <w:p>
      <w:pPr>
        <w:spacing w:line="56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西城检察院各项资金支出均参照国家、北京市相关制度及本单位相关财务制度执行，严格落实资金拨付审批程序，以保障资金及时发放到位。</w:t>
      </w:r>
    </w:p>
    <w:p>
      <w:pPr>
        <w:spacing w:line="600" w:lineRule="exact"/>
        <w:ind w:left="105" w:leftChars="50" w:firstLine="480" w:firstLineChars="150"/>
        <w:outlineLvl w:val="1"/>
        <w:rPr>
          <w:rFonts w:hint="eastAsia" w:ascii="楷体_GB2312" w:eastAsia="楷体_GB2312"/>
          <w:sz w:val="32"/>
          <w:szCs w:val="32"/>
        </w:rPr>
      </w:pPr>
      <w:bookmarkStart w:id="56" w:name="_Toc5544"/>
      <w:bookmarkStart w:id="57" w:name="_Toc22174"/>
      <w:bookmarkStart w:id="58" w:name="_Toc11625"/>
      <w:bookmarkStart w:id="59" w:name="_Toc18008"/>
      <w:bookmarkStart w:id="60" w:name="_Toc8185"/>
      <w:r>
        <w:rPr>
          <w:rFonts w:hint="eastAsia" w:ascii="楷体_GB2312" w:eastAsia="楷体_GB2312"/>
          <w:sz w:val="32"/>
          <w:szCs w:val="32"/>
          <w:lang w:eastAsia="zh-CN"/>
        </w:rPr>
        <w:t>（</w:t>
      </w:r>
      <w:r>
        <w:rPr>
          <w:rFonts w:hint="eastAsia" w:ascii="楷体_GB2312" w:eastAsia="楷体_GB2312"/>
          <w:sz w:val="32"/>
          <w:szCs w:val="32"/>
          <w:lang w:val="en-US" w:eastAsia="zh-CN"/>
        </w:rPr>
        <w:t>二</w:t>
      </w:r>
      <w:r>
        <w:rPr>
          <w:rFonts w:hint="eastAsia" w:ascii="楷体_GB2312" w:eastAsia="楷体_GB2312"/>
          <w:sz w:val="32"/>
          <w:szCs w:val="32"/>
          <w:lang w:eastAsia="zh-CN"/>
        </w:rPr>
        <w:t>）</w:t>
      </w:r>
      <w:r>
        <w:rPr>
          <w:rFonts w:hint="eastAsia" w:ascii="楷体_GB2312" w:eastAsia="楷体_GB2312"/>
          <w:sz w:val="32"/>
          <w:szCs w:val="32"/>
        </w:rPr>
        <w:t>资产管理</w:t>
      </w:r>
      <w:bookmarkEnd w:id="56"/>
      <w:bookmarkEnd w:id="57"/>
      <w:bookmarkEnd w:id="58"/>
      <w:bookmarkEnd w:id="59"/>
      <w:bookmarkEnd w:id="60"/>
    </w:p>
    <w:p>
      <w:pPr>
        <w:spacing w:line="56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西城检察院建立了《北京市西城区人民检察院内部控制手册》，资产管理制度较为健全。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numPr>
          <w:ilvl w:val="0"/>
          <w:numId w:val="1"/>
        </w:numPr>
        <w:spacing w:line="600" w:lineRule="exact"/>
        <w:ind w:left="0" w:leftChars="0" w:firstLine="640" w:firstLineChars="200"/>
        <w:outlineLvl w:val="1"/>
        <w:rPr>
          <w:rFonts w:ascii="楷体_GB2312" w:eastAsia="楷体_GB2312"/>
          <w:sz w:val="32"/>
          <w:szCs w:val="32"/>
        </w:rPr>
      </w:pPr>
      <w:bookmarkStart w:id="61" w:name="_Toc1653"/>
      <w:bookmarkStart w:id="62" w:name="_Toc5684"/>
      <w:bookmarkStart w:id="63" w:name="_Toc954"/>
      <w:bookmarkStart w:id="64" w:name="_Toc8402"/>
      <w:bookmarkStart w:id="65" w:name="_Toc30546"/>
      <w:r>
        <w:rPr>
          <w:rFonts w:hint="eastAsia" w:ascii="楷体_GB2312" w:eastAsia="楷体_GB2312"/>
          <w:sz w:val="32"/>
          <w:szCs w:val="32"/>
        </w:rPr>
        <w:t>绩效</w:t>
      </w:r>
      <w:r>
        <w:rPr>
          <w:rFonts w:ascii="楷体_GB2312" w:eastAsia="楷体_GB2312"/>
          <w:sz w:val="32"/>
          <w:szCs w:val="32"/>
        </w:rPr>
        <w:t>管理</w:t>
      </w:r>
      <w:bookmarkEnd w:id="61"/>
      <w:bookmarkEnd w:id="62"/>
      <w:bookmarkEnd w:id="63"/>
      <w:bookmarkEnd w:id="64"/>
      <w:bookmarkEnd w:id="65"/>
    </w:p>
    <w:p>
      <w:pPr>
        <w:snapToGrid w:val="0"/>
        <w:spacing w:line="520" w:lineRule="exact"/>
        <w:ind w:firstLine="640" w:firstLineChars="200"/>
        <w:rPr>
          <w:rFonts w:hint="eastAsia" w:ascii="仿宋_GB2312" w:hAnsi="仿宋" w:eastAsia="仿宋_GB2312"/>
          <w:sz w:val="32"/>
          <w:szCs w:val="32"/>
          <w:highlight w:val="none"/>
        </w:rPr>
      </w:pPr>
      <w:bookmarkStart w:id="66" w:name="_Toc28435"/>
      <w:bookmarkStart w:id="67" w:name="_Toc11233"/>
      <w:bookmarkStart w:id="68" w:name="_Toc10417"/>
      <w:bookmarkStart w:id="69" w:name="_Toc24687"/>
      <w:r>
        <w:rPr>
          <w:rFonts w:hint="eastAsia" w:ascii="仿宋_GB2312" w:hAnsi="宋体" w:eastAsia="仿宋_GB2312" w:cs="宋体"/>
          <w:color w:val="000000"/>
          <w:kern w:val="0"/>
          <w:sz w:val="32"/>
          <w:szCs w:val="32"/>
        </w:rPr>
        <w:t>西城检察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sz w:val="32"/>
          <w:szCs w:val="32"/>
          <w:highlight w:val="none"/>
        </w:rPr>
      </w:pPr>
      <w:bookmarkStart w:id="70" w:name="_Toc13567"/>
      <w:r>
        <w:rPr>
          <w:rFonts w:hint="eastAsia" w:ascii="楷体_GB2312" w:eastAsia="楷体_GB2312"/>
          <w:sz w:val="32"/>
          <w:szCs w:val="32"/>
          <w:highlight w:val="none"/>
        </w:rPr>
        <w:t>结转结余率</w:t>
      </w:r>
      <w:bookmarkEnd w:id="66"/>
      <w:bookmarkEnd w:id="67"/>
      <w:bookmarkEnd w:id="68"/>
      <w:bookmarkEnd w:id="69"/>
      <w:bookmarkEnd w:id="70"/>
    </w:p>
    <w:p>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highlight w:val="none"/>
          <w:lang w:val="en-US" w:eastAsia="zh-CN" w:bidi="ar-SA"/>
        </w:rPr>
        <w:t xml:space="preserve">  </w:t>
      </w:r>
      <w:r>
        <w:rPr>
          <w:rFonts w:hint="eastAsia" w:ascii="仿宋_GB2312" w:hAnsi="宋体" w:eastAsia="仿宋_GB2312" w:cs="宋体"/>
          <w:color w:val="000000"/>
          <w:kern w:val="0"/>
          <w:sz w:val="32"/>
          <w:szCs w:val="32"/>
          <w:lang w:val="en-US" w:eastAsia="zh-CN" w:bidi="ar-SA"/>
        </w:rPr>
        <w:t xml:space="preserve">  2024年结转结余资金总额为905.77万元，支出预算资金为11654.16万元，结转结余率为7.77%。</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outlineLvl w:val="1"/>
        <w:rPr>
          <w:rFonts w:ascii="楷体_GB2312" w:eastAsia="楷体_GB2312"/>
          <w:sz w:val="32"/>
          <w:szCs w:val="32"/>
          <w:highlight w:val="none"/>
        </w:rPr>
      </w:pPr>
      <w:bookmarkStart w:id="71" w:name="_Toc6259"/>
      <w:bookmarkStart w:id="72" w:name="_Toc12427"/>
      <w:bookmarkStart w:id="73" w:name="_Toc12915"/>
      <w:bookmarkStart w:id="74" w:name="_Toc19888"/>
      <w:bookmarkStart w:id="75" w:name="_Toc7772"/>
      <w:r>
        <w:rPr>
          <w:rFonts w:hint="eastAsia" w:ascii="楷体_GB2312" w:eastAsia="楷体_GB2312"/>
          <w:sz w:val="32"/>
          <w:szCs w:val="32"/>
          <w:highlight w:val="none"/>
        </w:rPr>
        <w:t>（五）部门</w:t>
      </w:r>
      <w:r>
        <w:rPr>
          <w:rFonts w:ascii="楷体_GB2312" w:eastAsia="楷体_GB2312"/>
          <w:sz w:val="32"/>
          <w:szCs w:val="32"/>
          <w:highlight w:val="none"/>
        </w:rPr>
        <w:t>预决算差异率</w:t>
      </w:r>
      <w:bookmarkEnd w:id="71"/>
      <w:bookmarkEnd w:id="72"/>
      <w:bookmarkEnd w:id="73"/>
      <w:bookmarkEnd w:id="74"/>
      <w:bookmarkEnd w:id="75"/>
    </w:p>
    <w:p>
      <w:pPr>
        <w:spacing w:line="60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kern w:val="0"/>
          <w:sz w:val="32"/>
          <w:szCs w:val="32"/>
          <w:highlight w:val="none"/>
          <w:lang w:val="en-US" w:eastAsia="zh-CN"/>
        </w:rPr>
        <w:t>年初</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11654.16</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资金总体支出</w:t>
      </w:r>
      <w:r>
        <w:rPr>
          <w:rFonts w:hint="eastAsia" w:ascii="仿宋_GB2312" w:hAnsi="宋体" w:eastAsia="仿宋_GB2312" w:cs="宋体"/>
          <w:color w:val="000000"/>
          <w:kern w:val="0"/>
          <w:sz w:val="32"/>
          <w:szCs w:val="32"/>
          <w:highlight w:val="none"/>
          <w:lang w:val="en-US" w:eastAsia="zh-CN"/>
        </w:rPr>
        <w:t>10748.39</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lang w:val="en-US" w:eastAsia="zh-CN"/>
        </w:rPr>
        <w:t>预决算差异率为7.77%。</w:t>
      </w:r>
    </w:p>
    <w:p>
      <w:pPr>
        <w:spacing w:line="600" w:lineRule="exact"/>
        <w:ind w:left="105" w:leftChars="50" w:firstLine="480" w:firstLineChars="150"/>
        <w:outlineLvl w:val="0"/>
        <w:rPr>
          <w:rFonts w:ascii="黑体" w:hAnsi="黑体" w:eastAsia="黑体"/>
          <w:sz w:val="32"/>
          <w:szCs w:val="32"/>
        </w:rPr>
      </w:pPr>
      <w:bookmarkStart w:id="76" w:name="_Toc27132"/>
      <w:bookmarkStart w:id="77" w:name="_Toc18052"/>
      <w:bookmarkStart w:id="78" w:name="_Toc7165"/>
      <w:bookmarkStart w:id="79" w:name="_Toc9307"/>
      <w:bookmarkStart w:id="80" w:name="_Toc20465"/>
      <w:r>
        <w:rPr>
          <w:rFonts w:hint="eastAsia" w:ascii="黑体" w:hAnsi="黑体" w:eastAsia="黑体"/>
          <w:sz w:val="32"/>
          <w:szCs w:val="32"/>
        </w:rPr>
        <w:t>五、总体</w:t>
      </w:r>
      <w:r>
        <w:rPr>
          <w:rFonts w:ascii="黑体" w:hAnsi="黑体" w:eastAsia="黑体"/>
          <w:sz w:val="32"/>
          <w:szCs w:val="32"/>
        </w:rPr>
        <w:t>评价结论</w:t>
      </w:r>
      <w:bookmarkEnd w:id="76"/>
      <w:bookmarkEnd w:id="77"/>
      <w:bookmarkEnd w:id="78"/>
      <w:bookmarkEnd w:id="79"/>
      <w:bookmarkEnd w:id="80"/>
    </w:p>
    <w:p>
      <w:pPr>
        <w:spacing w:line="600" w:lineRule="exact"/>
        <w:ind w:left="105" w:leftChars="50" w:firstLine="480" w:firstLineChars="150"/>
        <w:outlineLvl w:val="1"/>
        <w:rPr>
          <w:rFonts w:hint="eastAsia" w:ascii="楷体_GB2312" w:eastAsia="楷体_GB2312"/>
          <w:sz w:val="32"/>
          <w:szCs w:val="32"/>
        </w:rPr>
      </w:pPr>
      <w:bookmarkStart w:id="81" w:name="_Toc16634"/>
      <w:bookmarkStart w:id="82" w:name="_Toc19878"/>
      <w:bookmarkStart w:id="83" w:name="_Toc10623"/>
      <w:bookmarkStart w:id="84" w:name="_Toc6411"/>
      <w:bookmarkStart w:id="85" w:name="_Toc10302"/>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lang w:val="en-US" w:eastAsia="zh-CN" w:bidi="ar-SA"/>
        </w:rPr>
        <w:t>通过开展整体支出绩效评</w:t>
      </w:r>
      <w:r>
        <w:rPr>
          <w:rFonts w:hint="eastAsia" w:ascii="仿宋_GB2312" w:hAnsi="宋体" w:eastAsia="仿宋_GB2312" w:cs="宋体"/>
          <w:color w:val="000000"/>
          <w:kern w:val="0"/>
          <w:sz w:val="32"/>
          <w:szCs w:val="32"/>
          <w:highlight w:val="none"/>
          <w:lang w:val="en-US" w:eastAsia="zh-CN" w:bidi="ar-SA"/>
        </w:rPr>
        <w:t>价，西城检察院综合得分 92.45分，部门综合绩效评定结论为“优”，具体评分情况：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当年预算执行情况。该指标分值20分，评价得分18.45分。预算执行比较到位，基本能够较好的按照预算管理相关制度执行，预算执行率为92.23%，</w:t>
      </w:r>
      <w:r>
        <w:rPr>
          <w:rFonts w:hint="eastAsia" w:ascii="仿宋_GB2312" w:hAnsi="宋体" w:eastAsia="仿宋_GB2312" w:cs="宋体"/>
          <w:color w:val="000000"/>
          <w:kern w:val="0"/>
          <w:sz w:val="32"/>
          <w:szCs w:val="32"/>
          <w:lang w:val="en-US" w:eastAsia="zh-CN" w:bidi="ar-SA"/>
        </w:rPr>
        <w:t>资金总体能够确</w:t>
      </w:r>
      <w:r>
        <w:rPr>
          <w:rFonts w:hint="eastAsia" w:ascii="仿宋_GB2312" w:hAnsi="宋体" w:eastAsia="仿宋_GB2312" w:cs="宋体"/>
          <w:color w:val="000000"/>
          <w:kern w:val="0"/>
          <w:sz w:val="32"/>
          <w:szCs w:val="32"/>
          <w:highlight w:val="none"/>
          <w:lang w:val="en-US" w:eastAsia="zh-CN" w:bidi="ar-SA"/>
        </w:rPr>
        <w:t>保各项工作顺利开展。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整体绩效目标实现情况。该指标分值60分，评分得分56分。各职能单元产出完成情况较好，职能实现效果明显，服务对</w:t>
      </w:r>
      <w:r>
        <w:rPr>
          <w:rFonts w:hint="eastAsia" w:ascii="仿宋_GB2312" w:hAnsi="宋体" w:eastAsia="仿宋_GB2312" w:cs="宋体"/>
          <w:color w:val="000000"/>
          <w:kern w:val="0"/>
          <w:sz w:val="32"/>
          <w:szCs w:val="32"/>
          <w:lang w:val="en-US" w:eastAsia="zh-CN" w:bidi="ar-SA"/>
        </w:rPr>
        <w:t>象满意度基本达标。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预算管理情况。该指标分值20分，评分得分18分。2024年结转结余率7.77%，比2023年高出5%。财务管理制度健全，立项程序规范，绩效目标明确且与相关政策、职能要求相符；绩效指标与绩效目标、预算匹配度较好；绩效指标全面、合理、完整；绩效及资产管理较规范。</w:t>
      </w:r>
    </w:p>
    <w:p>
      <w:pPr>
        <w:numPr>
          <w:ilvl w:val="0"/>
          <w:numId w:val="2"/>
        </w:numPr>
        <w:spacing w:line="600" w:lineRule="exact"/>
        <w:ind w:left="105" w:leftChars="50" w:firstLine="480" w:firstLineChars="150"/>
        <w:outlineLvl w:val="1"/>
        <w:rPr>
          <w:rFonts w:hint="eastAsia" w:ascii="楷体_GB2312" w:eastAsia="楷体_GB2312"/>
          <w:sz w:val="32"/>
          <w:szCs w:val="32"/>
        </w:rPr>
      </w:pPr>
      <w:bookmarkStart w:id="86" w:name="_Toc31226"/>
      <w:bookmarkStart w:id="87" w:name="_Toc32289"/>
      <w:bookmarkStart w:id="88" w:name="_Toc1134"/>
      <w:bookmarkStart w:id="89" w:name="_Toc31880"/>
      <w:bookmarkStart w:id="90" w:name="_Toc10702"/>
      <w:r>
        <w:rPr>
          <w:rFonts w:hint="eastAsia" w:ascii="楷体_GB2312" w:eastAsia="楷体_GB2312"/>
          <w:sz w:val="32"/>
          <w:szCs w:val="32"/>
        </w:rPr>
        <w:t>存在的问题及原因分析</w:t>
      </w:r>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评价认为，2024年度预算项目的实施总体良好，但仍存在以下问题：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绩效目标和绩效指标设置不够合理，较为笼统，可操作性不强。项目总体绩效目标实际设定为项目的实施内容；部分项目的产出指标与项目内容对应性不强，不能全面反映项目年度总体工作部署、工作计划和工作实施方案内容；另部分项目效益指标缺少定性和定量并结合项目实际进行工作内容关联等，可衡量性不强，不利于后期监管、考核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2.个别项目预算编制不够精确，预决算存在一定误差，年初预算编制时未充分结合项目安排情况及项目资金的支出计划，且未能</w:t>
      </w:r>
      <w:r>
        <w:rPr>
          <w:rFonts w:hint="eastAsia" w:ascii="仿宋_GB2312" w:hAnsi="宋体" w:eastAsia="仿宋_GB2312" w:cs="宋体"/>
          <w:color w:val="000000"/>
          <w:kern w:val="0"/>
          <w:sz w:val="32"/>
          <w:szCs w:val="32"/>
        </w:rPr>
        <w:t>及时对绩效目标偏离情况进行矫正</w:t>
      </w:r>
      <w:r>
        <w:rPr>
          <w:rFonts w:hint="eastAsia" w:ascii="仿宋_GB2312" w:hAnsi="宋体" w:eastAsia="仿宋_GB2312" w:cs="宋体"/>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部分项目效益资料归集不充分。缺少效益证明资料，不能充分体现履行部门职能和工作职责、不能充分体现提高检察机关司法公信力、扩大检察机关在社会的影响力、高检察机关规范化管理水平、提高人民满意程度、通过加强检察队伍的培训，促进政法队伍建设革命化、正规化、专业化、职业化水平，提高人民对检察队伍的认同度的项目效益效果，绩效资料归集程度不高。</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宋体"/>
          <w:color w:val="000000"/>
          <w:kern w:val="0"/>
          <w:sz w:val="32"/>
          <w:szCs w:val="32"/>
          <w:highlight w:val="none"/>
        </w:rPr>
      </w:pPr>
      <w:bookmarkStart w:id="91" w:name="_Toc4115"/>
      <w:bookmarkStart w:id="92" w:name="_Toc4669"/>
      <w:bookmarkStart w:id="93" w:name="_Toc28243"/>
      <w:bookmarkStart w:id="94" w:name="_Toc11226"/>
      <w:bookmarkStart w:id="95" w:name="_Toc3964"/>
      <w:r>
        <w:rPr>
          <w:rFonts w:hint="eastAsia" w:ascii="黑体" w:hAnsi="黑体" w:eastAsia="黑体" w:cs="宋体"/>
          <w:color w:val="000000"/>
          <w:kern w:val="0"/>
          <w:sz w:val="32"/>
          <w:szCs w:val="32"/>
          <w:highlight w:val="none"/>
          <w:lang w:val="en-US" w:eastAsia="zh-CN"/>
        </w:rPr>
        <w:t>六、</w:t>
      </w:r>
      <w:r>
        <w:rPr>
          <w:rFonts w:hint="eastAsia" w:ascii="黑体" w:hAnsi="黑体" w:eastAsia="黑体" w:cs="宋体"/>
          <w:color w:val="000000"/>
          <w:kern w:val="0"/>
          <w:sz w:val="32"/>
          <w:szCs w:val="32"/>
          <w:highlight w:val="none"/>
        </w:rPr>
        <w:t>措施建议</w:t>
      </w:r>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建议合理设置绩效目标、科学制定绩效指标，增强绩效指标体系的可考核性；根据工作任务和工作服务内容合理设置数量指标、细化进度指标中各阶段任务和时间节点、明确质量指标标准要求、效益指标应完善项目实施工作方案，从提高检察工作、办案数量、质量，系统资源使用效果等方面合理明确指标内容；应根据项目实施内容开展服务对象满意度调查。</w:t>
      </w:r>
    </w:p>
    <w:p>
      <w:pPr>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（二）建议在充分前期调研和可行性研究分析基础上，明确项目实际需求、工作量和工作内容，科学合理的编制项目预算，细化预算测算过程及测算依据，提升项目预算资金申请的合理性及资金使用的合规性。</w:t>
      </w:r>
    </w:p>
    <w:p>
      <w:pPr>
        <w:pStyle w:val="13"/>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三）建议</w:t>
      </w:r>
      <w:r>
        <w:rPr>
          <w:rFonts w:hint="eastAsia" w:ascii="仿宋_GB2312" w:hAnsi="仿宋_GB2312" w:eastAsia="仿宋_GB2312" w:cs="仿宋_GB2312"/>
          <w:sz w:val="32"/>
          <w:szCs w:val="32"/>
          <w:highlight w:val="none"/>
          <w:lang w:val="en-US" w:eastAsia="zh-CN"/>
        </w:rPr>
        <w:t>注意绩效资料的收集和整理</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项目实施过程中应注</w:t>
      </w:r>
      <w:r>
        <w:rPr>
          <w:rFonts w:hint="eastAsia" w:ascii="仿宋_GB2312" w:hAnsi="仿宋_GB2312" w:cs="仿宋_GB2312"/>
          <w:sz w:val="32"/>
          <w:szCs w:val="32"/>
          <w:highlight w:val="none"/>
          <w:lang w:val="en-US" w:eastAsia="zh-CN"/>
        </w:rPr>
        <w:t>重绩效</w:t>
      </w:r>
      <w:r>
        <w:rPr>
          <w:rFonts w:hint="eastAsia" w:ascii="仿宋_GB2312" w:hAnsi="仿宋_GB2312" w:eastAsia="仿宋_GB2312" w:cs="仿宋_GB2312"/>
          <w:sz w:val="32"/>
          <w:szCs w:val="32"/>
          <w:highlight w:val="none"/>
          <w:lang w:val="en-US" w:eastAsia="zh-CN"/>
        </w:rPr>
        <w:t>资料的收集和档案整理，以便于财政资金</w:t>
      </w:r>
      <w:r>
        <w:rPr>
          <w:rFonts w:hint="eastAsia" w:ascii="仿宋_GB2312" w:hAnsi="仿宋_GB2312" w:cs="仿宋_GB2312"/>
          <w:sz w:val="32"/>
          <w:szCs w:val="32"/>
          <w:highlight w:val="none"/>
          <w:lang w:val="en-US" w:eastAsia="zh-CN"/>
        </w:rPr>
        <w:t>使用</w:t>
      </w:r>
      <w:r>
        <w:rPr>
          <w:rFonts w:hint="eastAsia" w:ascii="仿宋_GB2312" w:hAnsi="仿宋_GB2312" w:eastAsia="仿宋_GB2312" w:cs="仿宋_GB2312"/>
          <w:sz w:val="32"/>
          <w:szCs w:val="32"/>
          <w:highlight w:val="none"/>
          <w:lang w:val="en-US" w:eastAsia="zh-CN"/>
        </w:rPr>
        <w:t>的经济性、效率性和效果性进行绩效分析。</w:t>
      </w:r>
      <w:r>
        <w:rPr>
          <w:rFonts w:hint="eastAsia" w:ascii="仿宋_GB2312" w:hAnsi="仿宋_GB2312" w:eastAsia="仿宋_GB2312" w:cs="仿宋_GB2312"/>
          <w:color w:val="000000"/>
          <w:kern w:val="0"/>
          <w:sz w:val="32"/>
          <w:szCs w:val="32"/>
          <w:highlight w:val="none"/>
          <w:lang w:val="en-US" w:eastAsia="zh-CN"/>
        </w:rPr>
        <w:t xml:space="preserve"> </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0"/>
        <w:rPr>
          <w:rFonts w:hint="eastAsia" w:ascii="仿宋_GB2312" w:hAnsi="宋体" w:eastAsia="仿宋_GB2312" w:cs="宋体"/>
          <w:color w:val="000000"/>
          <w:kern w:val="0"/>
          <w:sz w:val="32"/>
          <w:szCs w:val="32"/>
          <w:lang w:val="en-US" w:eastAsia="zh-CN"/>
        </w:rPr>
      </w:pPr>
      <w:bookmarkStart w:id="96" w:name="_Toc22566"/>
      <w:r>
        <w:rPr>
          <w:rFonts w:hint="eastAsia" w:ascii="黑体" w:hAnsi="黑体" w:eastAsia="黑体" w:cs="宋体"/>
          <w:color w:val="000000"/>
          <w:kern w:val="0"/>
          <w:sz w:val="32"/>
          <w:szCs w:val="32"/>
          <w:highlight w:val="none"/>
          <w:lang w:val="en-US" w:eastAsia="zh-CN"/>
        </w:rPr>
        <w:t>七、附件</w:t>
      </w:r>
      <w:bookmarkEnd w:id="96"/>
      <w:r>
        <w:rPr>
          <w:rFonts w:hint="eastAsia" w:ascii="仿宋_GB2312" w:hAnsi="宋体" w:eastAsia="仿宋_GB2312" w:cs="宋体"/>
          <w:color w:val="000000"/>
          <w:kern w:val="0"/>
          <w:sz w:val="32"/>
          <w:szCs w:val="32"/>
          <w:highlight w:val="none"/>
          <w:lang w:val="en-US" w:eastAsia="zh-CN"/>
        </w:rPr>
        <w:t xml:space="preserve">     </w:t>
      </w:r>
      <w:r>
        <w:rPr>
          <w:rFonts w:hint="eastAsia" w:ascii="仿宋_GB2312" w:hAnsi="宋体" w:eastAsia="仿宋_GB2312" w:cs="宋体"/>
          <w:color w:val="000000"/>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highlight w:val="none"/>
          <w:lang w:eastAsia="zh-CN"/>
        </w:rPr>
        <w:sectPr>
          <w:footerReference r:id="rId5" w:type="default"/>
          <w:pgSz w:w="11906" w:h="16838"/>
          <w:pgMar w:top="1440" w:right="1800" w:bottom="1440" w:left="1800" w:header="851" w:footer="964" w:gutter="0"/>
          <w:pgNumType w:fmt="decimal" w:start="1"/>
          <w:cols w:space="425"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年部门整体绩效评价指标体系评分</w:t>
      </w:r>
      <w:r>
        <w:rPr>
          <w:rFonts w:hint="eastAsia" w:ascii="仿宋_GB2312" w:hAnsi="仿宋_GB2312" w:eastAsia="仿宋_GB2312" w:cs="仿宋_GB2312"/>
          <w:sz w:val="32"/>
          <w:szCs w:val="32"/>
          <w:highlight w:val="none"/>
          <w:lang w:eastAsia="zh-CN"/>
        </w:rPr>
        <w:t>表</w:t>
      </w:r>
    </w:p>
    <w:p>
      <w:pPr>
        <w:spacing w:line="560" w:lineRule="exact"/>
        <w:jc w:val="left"/>
        <w:rPr>
          <w:rFonts w:hint="default" w:ascii="方正黑体_GBK" w:hAnsi="方正黑体_GBK" w:eastAsia="方正黑体_GBK" w:cs="方正黑体_GBK"/>
          <w:sz w:val="32"/>
          <w:highlight w:val="none"/>
          <w:lang w:val="en-US" w:eastAsia="zh-CN"/>
        </w:rPr>
      </w:pPr>
      <w:r>
        <w:rPr>
          <w:rFonts w:hint="eastAsia" w:ascii="方正黑体_GBK" w:hAnsi="方正黑体_GBK" w:eastAsia="方正黑体_GBK" w:cs="方正黑体_GBK"/>
          <w:sz w:val="32"/>
          <w:highlight w:val="none"/>
          <w:lang w:eastAsia="zh-CN"/>
        </w:rPr>
        <w:t>附件</w:t>
      </w:r>
      <w:r>
        <w:rPr>
          <w:rFonts w:hint="eastAsia" w:ascii="方正黑体_GBK" w:hAnsi="方正黑体_GBK" w:eastAsia="方正黑体_GBK" w:cs="方正黑体_GBK"/>
          <w:sz w:val="32"/>
          <w:highlight w:val="none"/>
          <w:lang w:val="en-US" w:eastAsia="zh-CN"/>
        </w:rPr>
        <w:t>4-1</w:t>
      </w:r>
    </w:p>
    <w:tbl>
      <w:tblPr>
        <w:tblStyle w:val="14"/>
        <w:tblW w:w="14174" w:type="dxa"/>
        <w:tblInd w:w="0" w:type="dxa"/>
        <w:tblLayout w:type="fixed"/>
        <w:tblCellMar>
          <w:top w:w="0" w:type="dxa"/>
          <w:left w:w="108" w:type="dxa"/>
          <w:bottom w:w="0" w:type="dxa"/>
          <w:right w:w="108" w:type="dxa"/>
        </w:tblCellMar>
      </w:tblPr>
      <w:tblGrid>
        <w:gridCol w:w="1079"/>
        <w:gridCol w:w="1082"/>
        <w:gridCol w:w="1116"/>
        <w:gridCol w:w="1116"/>
        <w:gridCol w:w="1990"/>
        <w:gridCol w:w="661"/>
        <w:gridCol w:w="828"/>
        <w:gridCol w:w="2719"/>
        <w:gridCol w:w="3583"/>
      </w:tblGrid>
      <w:tr>
        <w:tblPrEx>
          <w:tblCellMar>
            <w:top w:w="0" w:type="dxa"/>
            <w:left w:w="108" w:type="dxa"/>
            <w:bottom w:w="0" w:type="dxa"/>
            <w:right w:w="108" w:type="dxa"/>
          </w:tblCellMar>
        </w:tblPrEx>
        <w:trPr>
          <w:cantSplit/>
          <w:trHeight w:val="90" w:hRule="atLeast"/>
        </w:trPr>
        <w:tc>
          <w:tcPr>
            <w:tcW w:w="14174" w:type="dxa"/>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highlight w:val="none"/>
                <w:lang w:eastAsia="zh-CN"/>
              </w:rPr>
            </w:pPr>
            <w:r>
              <w:rPr>
                <w:rFonts w:hint="eastAsia" w:ascii="仿宋" w:hAnsi="仿宋" w:eastAsia="仿宋" w:cs="仿宋"/>
                <w:b/>
                <w:bCs/>
                <w:color w:val="000000"/>
                <w:kern w:val="0"/>
                <w:sz w:val="44"/>
                <w:szCs w:val="44"/>
                <w:highlight w:val="none"/>
              </w:rPr>
              <w:t>202</w:t>
            </w:r>
            <w:r>
              <w:rPr>
                <w:rFonts w:hint="eastAsia" w:ascii="仿宋" w:hAnsi="仿宋" w:eastAsia="仿宋" w:cs="仿宋"/>
                <w:b/>
                <w:bCs/>
                <w:color w:val="000000"/>
                <w:kern w:val="0"/>
                <w:sz w:val="44"/>
                <w:szCs w:val="44"/>
                <w:highlight w:val="none"/>
                <w:lang w:val="en-US" w:eastAsia="zh-CN"/>
              </w:rPr>
              <w:t>4</w:t>
            </w:r>
            <w:r>
              <w:rPr>
                <w:rFonts w:hint="eastAsia" w:ascii="仿宋" w:hAnsi="仿宋" w:eastAsia="仿宋" w:cs="仿宋"/>
                <w:b/>
                <w:bCs/>
                <w:color w:val="000000"/>
                <w:kern w:val="0"/>
                <w:sz w:val="44"/>
                <w:szCs w:val="44"/>
                <w:highlight w:val="none"/>
              </w:rPr>
              <w:t>年部门整体绩效评价指标体系评分表</w:t>
            </w:r>
          </w:p>
        </w:tc>
      </w:tr>
      <w:tr>
        <w:tblPrEx>
          <w:tblCellMar>
            <w:top w:w="0" w:type="dxa"/>
            <w:left w:w="108" w:type="dxa"/>
            <w:bottom w:w="0" w:type="dxa"/>
            <w:right w:w="108" w:type="dxa"/>
          </w:tblCellMar>
        </w:tblPrEx>
        <w:trPr>
          <w:cantSplit/>
          <w:trHeight w:val="470" w:hRule="atLeast"/>
        </w:trPr>
        <w:tc>
          <w:tcPr>
            <w:tcW w:w="14174" w:type="dxa"/>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r>
              <w:rPr>
                <w:rFonts w:hint="eastAsia" w:ascii="宋体" w:hAnsi="宋体" w:cs="宋体"/>
                <w:color w:val="000000"/>
                <w:kern w:val="0"/>
                <w:sz w:val="20"/>
                <w:szCs w:val="20"/>
                <w:highlight w:val="none"/>
              </w:rPr>
              <w:t>当年预算执行情况（20分）</w:t>
            </w:r>
          </w:p>
        </w:tc>
      </w:tr>
      <w:tr>
        <w:tblPrEx>
          <w:tblCellMar>
            <w:top w:w="0" w:type="dxa"/>
            <w:left w:w="108" w:type="dxa"/>
            <w:bottom w:w="0" w:type="dxa"/>
            <w:right w:w="108" w:type="dxa"/>
          </w:tblCellMar>
        </w:tblPrEx>
        <w:trPr>
          <w:cantSplit/>
          <w:trHeight w:val="660" w:hRule="atLeast"/>
        </w:trPr>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预算数（万元）</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执行数（万元）</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预算执行率</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指标解释</w:t>
            </w:r>
          </w:p>
        </w:tc>
        <w:tc>
          <w:tcPr>
            <w:tcW w:w="35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评分标准</w:t>
            </w:r>
          </w:p>
        </w:tc>
      </w:tr>
      <w:tr>
        <w:tblPrEx>
          <w:tblCellMar>
            <w:top w:w="0" w:type="dxa"/>
            <w:left w:w="108" w:type="dxa"/>
            <w:bottom w:w="0" w:type="dxa"/>
            <w:right w:w="108" w:type="dxa"/>
          </w:tblCellMar>
        </w:tblPrEx>
        <w:trPr>
          <w:cantSplit/>
          <w:trHeight w:val="1118" w:hRule="atLeast"/>
        </w:trPr>
        <w:tc>
          <w:tcPr>
            <w:tcW w:w="107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当年预算执行情况（20）</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资金总体</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11654.16</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10748.39</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92.23%</w:t>
            </w:r>
          </w:p>
        </w:tc>
        <w:tc>
          <w:tcPr>
            <w:tcW w:w="661"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p>
        </w:tc>
        <w:tc>
          <w:tcPr>
            <w:tcW w:w="828"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18.45</w:t>
            </w:r>
            <w:r>
              <w:rPr>
                <w:rFonts w:hint="eastAsia" w:ascii="宋体" w:hAnsi="宋体" w:cs="宋体"/>
                <w:color w:val="000000"/>
                <w:kern w:val="0"/>
                <w:sz w:val="20"/>
                <w:szCs w:val="20"/>
                <w:highlight w:val="none"/>
              </w:rPr>
              <w:t>　</w:t>
            </w:r>
          </w:p>
        </w:tc>
        <w:tc>
          <w:tcPr>
            <w:tcW w:w="271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部门全年执行数与全年预算数的比率。资金总体=基本支出+项目支出+其他</w:t>
            </w:r>
          </w:p>
        </w:tc>
        <w:tc>
          <w:tcPr>
            <w:tcW w:w="3583"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lang w:eastAsia="zh-CN"/>
              </w:rPr>
            </w:pPr>
            <w:r>
              <w:rPr>
                <w:rFonts w:hint="eastAsia" w:ascii="宋体" w:hAnsi="宋体" w:cs="宋体"/>
                <w:color w:val="000000"/>
                <w:kern w:val="0"/>
                <w:sz w:val="18"/>
                <w:szCs w:val="18"/>
                <w:highlight w:val="none"/>
              </w:rPr>
              <w:t>①得分一档最高不能超过该指标分值上限（20分）。</w:t>
            </w:r>
          </w:p>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1020"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基本支出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10890.17</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10071.2</w:t>
            </w:r>
            <w:r>
              <w:rPr>
                <w:rFonts w:hint="eastAsia" w:ascii="宋体" w:hAnsi="宋体" w:cs="宋体"/>
                <w:color w:val="000000"/>
                <w:kern w:val="0"/>
                <w:sz w:val="20"/>
                <w:szCs w:val="20"/>
                <w:highlight w:val="none"/>
              </w:rPr>
              <w:t>　</w:t>
            </w:r>
          </w:p>
        </w:tc>
        <w:tc>
          <w:tcPr>
            <w:tcW w:w="199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6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828"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271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44"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项目支出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763.99</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677.19</w:t>
            </w:r>
          </w:p>
        </w:tc>
        <w:tc>
          <w:tcPr>
            <w:tcW w:w="199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6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828"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271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056"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其他</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199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66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828"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highlight w:val="yellow"/>
              </w:rPr>
            </w:pPr>
          </w:p>
        </w:tc>
        <w:tc>
          <w:tcPr>
            <w:tcW w:w="271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479" w:hRule="atLeast"/>
        </w:trPr>
        <w:tc>
          <w:tcPr>
            <w:tcW w:w="14174" w:type="dxa"/>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yellow"/>
              </w:rPr>
            </w:pPr>
            <w:r>
              <w:rPr>
                <w:rFonts w:hint="eastAsia" w:ascii="宋体" w:hAnsi="宋体" w:cs="宋体"/>
                <w:color w:val="000000"/>
                <w:kern w:val="0"/>
                <w:sz w:val="18"/>
                <w:szCs w:val="18"/>
                <w:highlight w:val="none"/>
              </w:rPr>
              <w:t>二</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整体绩效目标实现情况（60分）</w:t>
            </w:r>
          </w:p>
        </w:tc>
      </w:tr>
      <w:tr>
        <w:tblPrEx>
          <w:tblCellMar>
            <w:top w:w="0" w:type="dxa"/>
            <w:left w:w="108" w:type="dxa"/>
            <w:bottom w:w="0" w:type="dxa"/>
            <w:right w:w="108" w:type="dxa"/>
          </w:tblCellMar>
        </w:tblPrEx>
        <w:trPr>
          <w:cantSplit/>
          <w:trHeight w:val="499" w:hRule="atLeast"/>
        </w:trPr>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108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指标值</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完成值</w:t>
            </w:r>
          </w:p>
        </w:tc>
        <w:tc>
          <w:tcPr>
            <w:tcW w:w="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828"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35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434" w:hRule="atLeast"/>
        </w:trPr>
        <w:tc>
          <w:tcPr>
            <w:tcW w:w="107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整体绩效目标实现情况（60）</w:t>
            </w:r>
          </w:p>
        </w:tc>
        <w:tc>
          <w:tcPr>
            <w:tcW w:w="10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产出（30）</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数量</w:t>
            </w:r>
            <w:r>
              <w:rPr>
                <w:rFonts w:hint="eastAsia" w:ascii="宋体" w:hAnsi="宋体" w:cs="宋体"/>
                <w:color w:val="000000"/>
                <w:kern w:val="0"/>
                <w:sz w:val="20"/>
                <w:szCs w:val="20"/>
                <w:highlight w:val="none"/>
              </w:rPr>
              <w:t>指标执行率</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100%</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0"/>
                <w:szCs w:val="20"/>
                <w:highlight w:val="none"/>
              </w:rPr>
            </w:pPr>
          </w:p>
          <w:p>
            <w:pPr>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271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产出数量</w:t>
            </w:r>
            <w:r>
              <w:rPr>
                <w:rFonts w:hint="eastAsia" w:ascii="宋体" w:hAnsi="宋体" w:cs="宋体"/>
                <w:color w:val="000000"/>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highlight w:val="none"/>
              </w:rPr>
              <w:t>产出质量</w:t>
            </w:r>
            <w:r>
              <w:rPr>
                <w:rFonts w:hint="eastAsia" w:ascii="宋体" w:hAnsi="宋体" w:cs="宋体"/>
                <w:color w:val="000000"/>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highlight w:val="none"/>
              </w:rPr>
              <w:t>产出进度：</w:t>
            </w:r>
            <w:r>
              <w:rPr>
                <w:rFonts w:hint="eastAsia" w:ascii="宋体" w:hAnsi="宋体" w:cs="宋体"/>
                <w:color w:val="000000"/>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highlight w:val="none"/>
              </w:rPr>
              <w:t>产出成本</w:t>
            </w:r>
            <w:r>
              <w:rPr>
                <w:rFonts w:hint="eastAsia" w:ascii="宋体" w:hAnsi="宋体" w:cs="宋体"/>
                <w:color w:val="000000"/>
                <w:kern w:val="0"/>
                <w:sz w:val="18"/>
                <w:szCs w:val="18"/>
                <w:highlight w:val="none"/>
              </w:rPr>
              <w:t>：单位产出相对于上一年度的节约额；②单位产出相对于市场同类产出的节约额；③部门公用经费的控制情况。</w:t>
            </w:r>
          </w:p>
        </w:tc>
        <w:tc>
          <w:tcPr>
            <w:tcW w:w="358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993"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产出指标质量指标</w:t>
            </w:r>
            <w:r>
              <w:rPr>
                <w:rFonts w:hint="eastAsia" w:ascii="宋体" w:hAnsi="宋体" w:cs="宋体"/>
                <w:color w:val="000000"/>
                <w:kern w:val="0"/>
                <w:sz w:val="20"/>
                <w:szCs w:val="20"/>
                <w:highlight w:val="none"/>
                <w:lang w:val="en-US" w:eastAsia="zh-CN"/>
              </w:rPr>
              <w:t>项目</w:t>
            </w:r>
            <w:r>
              <w:rPr>
                <w:rFonts w:hint="eastAsia" w:ascii="宋体" w:hAnsi="宋体" w:cs="宋体"/>
                <w:color w:val="000000"/>
                <w:kern w:val="0"/>
                <w:sz w:val="20"/>
                <w:szCs w:val="20"/>
                <w:highlight w:val="none"/>
              </w:rPr>
              <w:t>质量　</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好</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271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1151"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指标3</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产出指标时效指标完成效率　</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按时完成项目</w:t>
            </w:r>
            <w:r>
              <w:rPr>
                <w:rFonts w:hint="eastAsia" w:ascii="宋体" w:hAnsi="宋体" w:cs="宋体"/>
                <w:color w:val="000000"/>
                <w:kern w:val="0"/>
                <w:sz w:val="18"/>
                <w:szCs w:val="18"/>
                <w:highlight w:val="none"/>
              </w:rPr>
              <w:t>　</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w:t>
            </w:r>
          </w:p>
        </w:tc>
        <w:tc>
          <w:tcPr>
            <w:tcW w:w="271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yellow"/>
              </w:rPr>
            </w:pPr>
          </w:p>
        </w:tc>
      </w:tr>
      <w:tr>
        <w:tblPrEx>
          <w:tblCellMar>
            <w:top w:w="0" w:type="dxa"/>
            <w:left w:w="108" w:type="dxa"/>
            <w:bottom w:w="0" w:type="dxa"/>
            <w:right w:w="108" w:type="dxa"/>
          </w:tblCellMar>
        </w:tblPrEx>
        <w:trPr>
          <w:cantSplit/>
          <w:trHeight w:val="848" w:hRule="atLeast"/>
        </w:trPr>
        <w:tc>
          <w:tcPr>
            <w:tcW w:w="1079" w:type="dxa"/>
            <w:vMerge w:val="continue"/>
            <w:tcBorders>
              <w:left w:val="single" w:color="auto" w:sz="4" w:space="0"/>
              <w:bottom w:val="single" w:color="000000" w:sz="4" w:space="0"/>
              <w:right w:val="single" w:color="auto" w:sz="4" w:space="0"/>
            </w:tcBorders>
            <w:noWrap w:val="0"/>
            <w:vAlign w:val="center"/>
          </w:tcPr>
          <w:p>
            <w:pPr>
              <w:widowControl/>
              <w:jc w:val="center"/>
              <w:rPr>
                <w:highlight w:val="yellow"/>
              </w:rPr>
            </w:pPr>
          </w:p>
        </w:tc>
        <w:tc>
          <w:tcPr>
            <w:tcW w:w="1082" w:type="dxa"/>
            <w:vMerge w:val="continue"/>
            <w:tcBorders>
              <w:left w:val="single" w:color="auto" w:sz="4" w:space="0"/>
              <w:bottom w:val="single" w:color="auto" w:sz="4" w:space="0"/>
              <w:right w:val="single" w:color="auto" w:sz="4" w:space="0"/>
            </w:tcBorders>
            <w:noWrap w:val="0"/>
            <w:vAlign w:val="center"/>
          </w:tcPr>
          <w:p>
            <w:pPr>
              <w:widowControl/>
              <w:jc w:val="center"/>
              <w:rPr>
                <w:highlight w:val="yellow"/>
              </w:rPr>
            </w:pP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20"/>
                <w:szCs w:val="20"/>
                <w:highlight w:val="none"/>
              </w:rPr>
              <w:t>指标</w:t>
            </w:r>
            <w:r>
              <w:rPr>
                <w:rFonts w:hint="eastAsia" w:ascii="宋体" w:hAnsi="宋体" w:cs="宋体"/>
                <w:color w:val="000000"/>
                <w:kern w:val="0"/>
                <w:sz w:val="20"/>
                <w:szCs w:val="20"/>
                <w:highlight w:val="none"/>
                <w:lang w:val="en-US" w:eastAsia="zh-CN"/>
              </w:rPr>
              <w:t>4</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产出指标</w:t>
            </w:r>
            <w:r>
              <w:rPr>
                <w:rFonts w:hint="eastAsia" w:ascii="宋体" w:hAnsi="宋体" w:cs="宋体"/>
                <w:color w:val="000000"/>
                <w:kern w:val="0"/>
                <w:sz w:val="20"/>
                <w:szCs w:val="20"/>
                <w:highlight w:val="none"/>
                <w:lang w:val="en-US" w:eastAsia="zh-CN"/>
              </w:rPr>
              <w:t>成本</w:t>
            </w:r>
            <w:r>
              <w:rPr>
                <w:rFonts w:hint="eastAsia" w:ascii="宋体" w:hAnsi="宋体" w:cs="宋体"/>
                <w:color w:val="000000"/>
                <w:kern w:val="0"/>
                <w:sz w:val="20"/>
                <w:szCs w:val="20"/>
                <w:highlight w:val="none"/>
              </w:rPr>
              <w:t>指标</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rPr>
              <w:t>项目支出预算数</w:t>
            </w:r>
            <w:r>
              <w:rPr>
                <w:rFonts w:hint="eastAsia" w:ascii="宋体" w:hAnsi="宋体" w:cs="宋体"/>
                <w:color w:val="000000"/>
                <w:kern w:val="0"/>
                <w:sz w:val="18"/>
                <w:szCs w:val="18"/>
                <w:highlight w:val="none"/>
                <w:lang w:val="en-US" w:eastAsia="zh-CN"/>
              </w:rPr>
              <w:t>763.99</w:t>
            </w:r>
            <w:r>
              <w:rPr>
                <w:rFonts w:hint="eastAsia" w:ascii="宋体" w:hAnsi="宋体" w:cs="宋体"/>
                <w:color w:val="000000"/>
                <w:kern w:val="0"/>
                <w:sz w:val="18"/>
                <w:szCs w:val="18"/>
                <w:highlight w:val="none"/>
              </w:rPr>
              <w:t>万元，项目支出决算数</w:t>
            </w:r>
            <w:r>
              <w:rPr>
                <w:rFonts w:hint="eastAsia" w:ascii="宋体" w:hAnsi="宋体" w:cs="宋体"/>
                <w:color w:val="000000"/>
                <w:kern w:val="0"/>
                <w:sz w:val="18"/>
                <w:szCs w:val="18"/>
                <w:highlight w:val="none"/>
                <w:lang w:val="en-US" w:eastAsia="zh-CN"/>
              </w:rPr>
              <w:t>677.19</w:t>
            </w:r>
            <w:r>
              <w:rPr>
                <w:rFonts w:hint="eastAsia" w:ascii="宋体" w:hAnsi="宋体" w:cs="宋体"/>
                <w:color w:val="000000"/>
                <w:kern w:val="0"/>
                <w:sz w:val="18"/>
                <w:szCs w:val="18"/>
                <w:highlight w:val="none"/>
              </w:rPr>
              <w:t>万元</w:t>
            </w:r>
            <w:r>
              <w:rPr>
                <w:rFonts w:hint="eastAsia" w:ascii="宋体" w:hAnsi="宋体" w:cs="宋体"/>
                <w:color w:val="000000"/>
                <w:kern w:val="0"/>
                <w:sz w:val="18"/>
                <w:szCs w:val="18"/>
                <w:highlight w:val="none"/>
                <w:lang w:eastAsia="zh-CN"/>
              </w:rPr>
              <w:t>。</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271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c>
          <w:tcPr>
            <w:tcW w:w="358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p>
        </w:tc>
      </w:tr>
      <w:tr>
        <w:tblPrEx>
          <w:tblCellMar>
            <w:top w:w="0" w:type="dxa"/>
            <w:left w:w="108" w:type="dxa"/>
            <w:bottom w:w="0" w:type="dxa"/>
            <w:right w:w="108" w:type="dxa"/>
          </w:tblCellMar>
        </w:tblPrEx>
        <w:trPr>
          <w:cantSplit/>
          <w:trHeight w:val="675"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效果（30）</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指标1</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社会效益</w:t>
            </w:r>
            <w:r>
              <w:rPr>
                <w:rFonts w:hint="eastAsia" w:ascii="宋体" w:hAnsi="宋体" w:cs="宋体"/>
                <w:color w:val="000000"/>
                <w:kern w:val="0"/>
                <w:sz w:val="20"/>
                <w:szCs w:val="20"/>
                <w:highlight w:val="none"/>
              </w:rPr>
              <w:t>　</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保障检察工作需要，提高办公效率，满足四大检察业务办案需要，提高检察机关司法公信力</w:t>
            </w:r>
            <w:r>
              <w:rPr>
                <w:rFonts w:hint="eastAsia" w:ascii="宋体" w:hAnsi="宋体" w:cs="宋体"/>
                <w:color w:val="000000"/>
                <w:kern w:val="0"/>
                <w:sz w:val="18"/>
                <w:szCs w:val="18"/>
                <w:highlight w:val="none"/>
                <w:lang w:val="en-US" w:eastAsia="zh-CN"/>
              </w:rPr>
              <w:t>。</w:t>
            </w:r>
            <w:r>
              <w:rPr>
                <w:rFonts w:hint="eastAsia" w:ascii="宋体" w:hAnsi="宋体" w:eastAsia="宋体" w:cs="宋体"/>
                <w:color w:val="000000"/>
                <w:kern w:val="0"/>
                <w:sz w:val="20"/>
                <w:szCs w:val="20"/>
                <w:highlight w:val="none"/>
              </w:rPr>
              <w:t>　</w:t>
            </w:r>
          </w:p>
        </w:tc>
        <w:tc>
          <w:tcPr>
            <w:tcW w:w="6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828" w:type="dxa"/>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w:t>
            </w:r>
          </w:p>
        </w:tc>
        <w:tc>
          <w:tcPr>
            <w:tcW w:w="2719"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经济效益</w:t>
            </w:r>
            <w:r>
              <w:rPr>
                <w:rFonts w:hint="eastAsia" w:ascii="宋体" w:hAnsi="宋体" w:cs="宋体"/>
                <w:color w:val="000000"/>
                <w:kern w:val="0"/>
                <w:sz w:val="18"/>
                <w:szCs w:val="18"/>
                <w:highlight w:val="none"/>
              </w:rPr>
              <w:t>：部门（单位）履行职责对经济发展所带来的直接或间接影响。</w:t>
            </w:r>
            <w:r>
              <w:rPr>
                <w:rFonts w:hint="eastAsia" w:ascii="宋体" w:hAnsi="宋体" w:cs="宋体"/>
                <w:b/>
                <w:bCs/>
                <w:color w:val="000000"/>
                <w:kern w:val="0"/>
                <w:sz w:val="18"/>
                <w:szCs w:val="18"/>
                <w:highlight w:val="none"/>
              </w:rPr>
              <w:t>社会效益</w:t>
            </w:r>
            <w:r>
              <w:rPr>
                <w:rFonts w:hint="eastAsia" w:ascii="宋体" w:hAnsi="宋体" w:cs="宋体"/>
                <w:color w:val="000000"/>
                <w:kern w:val="0"/>
                <w:sz w:val="18"/>
                <w:szCs w:val="18"/>
                <w:highlight w:val="none"/>
              </w:rPr>
              <w:t>：部门（单位）履行职责对社会发展所带来的直接或间接影响。</w:t>
            </w:r>
            <w:r>
              <w:rPr>
                <w:rFonts w:hint="eastAsia" w:ascii="宋体" w:hAnsi="宋体" w:cs="宋体"/>
                <w:b/>
                <w:bCs/>
                <w:color w:val="000000"/>
                <w:kern w:val="0"/>
                <w:sz w:val="18"/>
                <w:szCs w:val="18"/>
                <w:highlight w:val="none"/>
              </w:rPr>
              <w:t>环境效益</w:t>
            </w:r>
            <w:r>
              <w:rPr>
                <w:rFonts w:hint="eastAsia" w:ascii="宋体" w:hAnsi="宋体" w:cs="宋体"/>
                <w:color w:val="000000"/>
                <w:kern w:val="0"/>
                <w:sz w:val="18"/>
                <w:szCs w:val="18"/>
                <w:highlight w:val="none"/>
              </w:rPr>
              <w:t>：部门（单位）履行职责对环境所带来的直接或间接影响。</w:t>
            </w:r>
            <w:r>
              <w:rPr>
                <w:rFonts w:hint="eastAsia" w:ascii="宋体" w:hAnsi="宋体" w:cs="宋体"/>
                <w:b/>
                <w:bCs/>
                <w:color w:val="000000"/>
                <w:kern w:val="0"/>
                <w:sz w:val="18"/>
                <w:szCs w:val="18"/>
                <w:highlight w:val="none"/>
              </w:rPr>
              <w:t>可持续性影响：</w:t>
            </w:r>
            <w:r>
              <w:rPr>
                <w:rFonts w:hint="eastAsia" w:ascii="宋体" w:hAnsi="宋体" w:cs="宋体"/>
                <w:color w:val="000000"/>
                <w:kern w:val="0"/>
                <w:sz w:val="18"/>
                <w:szCs w:val="18"/>
                <w:highlight w:val="none"/>
              </w:rPr>
              <w:t>部门绩效目标实现的长效机制建设情况，部门工作效率提升措施的创新。</w:t>
            </w:r>
            <w:r>
              <w:rPr>
                <w:rFonts w:hint="eastAsia" w:ascii="宋体" w:hAnsi="宋体" w:cs="宋体"/>
                <w:b/>
                <w:bCs/>
                <w:color w:val="000000"/>
                <w:kern w:val="0"/>
                <w:sz w:val="18"/>
                <w:szCs w:val="18"/>
                <w:highlight w:val="none"/>
              </w:rPr>
              <w:t>服务对象满意度</w:t>
            </w:r>
            <w:r>
              <w:rPr>
                <w:rFonts w:hint="eastAsia" w:ascii="宋体" w:hAnsi="宋体" w:cs="宋体"/>
                <w:color w:val="000000"/>
                <w:kern w:val="0"/>
                <w:sz w:val="18"/>
                <w:szCs w:val="18"/>
                <w:highlight w:val="none"/>
              </w:rPr>
              <w:t>：部门（单位）的服务对象对部门履职效果的满意程度。</w:t>
            </w:r>
          </w:p>
        </w:tc>
        <w:tc>
          <w:tcPr>
            <w:tcW w:w="3583"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1244"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116" w:type="dxa"/>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指标2</w:t>
            </w:r>
          </w:p>
        </w:tc>
        <w:tc>
          <w:tcPr>
            <w:tcW w:w="1116" w:type="dxa"/>
            <w:tcBorders>
              <w:top w:val="nil"/>
              <w:left w:val="nil"/>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满意度指标</w:t>
            </w:r>
          </w:p>
          <w:p>
            <w:pPr>
              <w:widowControl/>
              <w:jc w:val="center"/>
              <w:rPr>
                <w:rFonts w:hint="eastAsia" w:ascii="宋体" w:hAnsi="宋体" w:cs="宋体"/>
                <w:color w:val="000000"/>
                <w:kern w:val="0"/>
                <w:sz w:val="20"/>
                <w:szCs w:val="20"/>
                <w:highlight w:val="none"/>
              </w:rPr>
            </w:pPr>
          </w:p>
        </w:tc>
        <w:tc>
          <w:tcPr>
            <w:tcW w:w="1990" w:type="dxa"/>
            <w:tcBorders>
              <w:top w:val="nil"/>
              <w:left w:val="nil"/>
              <w:right w:val="single" w:color="auto" w:sz="4" w:space="0"/>
            </w:tcBorders>
            <w:noWrap w:val="0"/>
            <w:vAlign w:val="center"/>
          </w:tcPr>
          <w:p>
            <w:pPr>
              <w:widowControl/>
              <w:jc w:val="both"/>
              <w:rPr>
                <w:rFonts w:hint="eastAsia" w:ascii="宋体" w:hAnsi="宋体" w:cs="宋体"/>
                <w:color w:val="000000"/>
                <w:kern w:val="0"/>
                <w:sz w:val="20"/>
                <w:szCs w:val="20"/>
                <w:highlight w:val="none"/>
              </w:rPr>
            </w:pPr>
            <w:r>
              <w:rPr>
                <w:rFonts w:hint="eastAsia" w:ascii="宋体" w:hAnsi="宋体" w:eastAsia="宋体" w:cs="宋体"/>
                <w:color w:val="000000"/>
                <w:kern w:val="0"/>
                <w:sz w:val="18"/>
                <w:szCs w:val="18"/>
                <w:highlight w:val="none"/>
                <w:lang w:val="en-US" w:eastAsia="zh-CN"/>
              </w:rPr>
              <w:t>提升群众对检察工作满意度。</w:t>
            </w:r>
          </w:p>
        </w:tc>
        <w:tc>
          <w:tcPr>
            <w:tcW w:w="661"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15</w:t>
            </w:r>
          </w:p>
        </w:tc>
        <w:tc>
          <w:tcPr>
            <w:tcW w:w="828" w:type="dxa"/>
            <w:tcBorders>
              <w:top w:val="nil"/>
              <w:left w:val="nil"/>
              <w:bottom w:val="single" w:color="auto" w:sz="4" w:space="0"/>
              <w:right w:val="nil"/>
            </w:tcBorders>
            <w:noWrap/>
            <w:vAlign w:val="center"/>
          </w:tcPr>
          <w:p>
            <w:pPr>
              <w:widowControl/>
              <w:jc w:val="center"/>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w:t>
            </w:r>
          </w:p>
        </w:tc>
        <w:tc>
          <w:tcPr>
            <w:tcW w:w="271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c>
          <w:tcPr>
            <w:tcW w:w="358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highlight w:val="none"/>
              </w:rPr>
            </w:pPr>
          </w:p>
        </w:tc>
      </w:tr>
      <w:tr>
        <w:tblPrEx>
          <w:tblCellMar>
            <w:top w:w="0" w:type="dxa"/>
            <w:left w:w="108" w:type="dxa"/>
            <w:bottom w:w="0" w:type="dxa"/>
            <w:right w:w="108" w:type="dxa"/>
          </w:tblCellMar>
        </w:tblPrEx>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预算管理情况（20分）</w:t>
            </w:r>
          </w:p>
        </w:tc>
      </w:tr>
      <w:tr>
        <w:tblPrEx>
          <w:tblCellMar>
            <w:top w:w="0" w:type="dxa"/>
            <w:left w:w="108" w:type="dxa"/>
            <w:bottom w:w="0" w:type="dxa"/>
            <w:right w:w="108" w:type="dxa"/>
          </w:tblCellMar>
        </w:tblPrEx>
        <w:trPr>
          <w:cantSplit/>
          <w:trHeight w:val="702" w:hRule="atLeast"/>
        </w:trPr>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w:t>
            </w:r>
            <w:r>
              <w:rPr>
                <w:rFonts w:ascii="宋体" w:hAnsi="宋体" w:cs="宋体"/>
                <w:color w:val="000000"/>
                <w:kern w:val="0"/>
                <w:sz w:val="20"/>
                <w:szCs w:val="20"/>
                <w:highlight w:val="none"/>
              </w:rPr>
              <w:t>值</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w:t>
            </w:r>
            <w:r>
              <w:rPr>
                <w:rFonts w:ascii="宋体" w:hAnsi="宋体" w:cs="宋体"/>
                <w:color w:val="000000"/>
                <w:kern w:val="0"/>
                <w:sz w:val="20"/>
                <w:szCs w:val="20"/>
                <w:highlight w:val="none"/>
              </w:rPr>
              <w:t>值</w:t>
            </w:r>
          </w:p>
        </w:tc>
        <w:tc>
          <w:tcPr>
            <w:tcW w:w="661"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w:t>
            </w:r>
            <w:r>
              <w:rPr>
                <w:rFonts w:ascii="宋体" w:hAnsi="宋体" w:cs="宋体"/>
                <w:color w:val="000000"/>
                <w:kern w:val="0"/>
                <w:sz w:val="20"/>
                <w:szCs w:val="20"/>
                <w:highlight w:val="none"/>
              </w:rPr>
              <w:t>值</w:t>
            </w:r>
          </w:p>
        </w:tc>
        <w:tc>
          <w:tcPr>
            <w:tcW w:w="828"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w:t>
            </w:r>
            <w:r>
              <w:rPr>
                <w:rFonts w:ascii="宋体" w:hAnsi="宋体" w:cs="宋体"/>
                <w:color w:val="000000"/>
                <w:kern w:val="0"/>
                <w:sz w:val="20"/>
                <w:szCs w:val="20"/>
                <w:highlight w:val="none"/>
              </w:rPr>
              <w:t>分</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35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230" w:hRule="atLeast"/>
        </w:trPr>
        <w:tc>
          <w:tcPr>
            <w:tcW w:w="107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预算管理情况（20）</w:t>
            </w:r>
          </w:p>
        </w:tc>
        <w:tc>
          <w:tcPr>
            <w:tcW w:w="10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财务管理（4）</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财务管理制度健全性</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rPr>
              <w:t>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完整、合规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rPr>
              <w:t>预算资金管理办法、资产管理办法等各项制度健全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部门内部财务管理制度</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会计核算制度完整、合规</w:t>
            </w:r>
            <w:r>
              <w:rPr>
                <w:rFonts w:hint="eastAsia" w:ascii="宋体" w:hAnsi="宋体" w:cs="宋体"/>
                <w:color w:val="000000"/>
                <w:kern w:val="0"/>
                <w:sz w:val="18"/>
                <w:szCs w:val="18"/>
                <w:highlight w:val="none"/>
                <w:lang w:eastAsia="zh-CN"/>
              </w:rPr>
              <w:t>。</w:t>
            </w:r>
          </w:p>
        </w:tc>
        <w:tc>
          <w:tcPr>
            <w:tcW w:w="661"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828"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财务管理制度健全性:</w:t>
            </w:r>
            <w:r>
              <w:rPr>
                <w:rFonts w:hint="eastAsia" w:ascii="宋体" w:hAnsi="宋体" w:cs="宋体"/>
                <w:color w:val="000000"/>
                <w:kern w:val="0"/>
                <w:sz w:val="18"/>
                <w:szCs w:val="18"/>
                <w:highlight w:val="none"/>
              </w:rPr>
              <w:t>部门（单位）为加强财务管理、规范财务行为而制定的管理制度。</w:t>
            </w:r>
          </w:p>
        </w:tc>
        <w:tc>
          <w:tcPr>
            <w:tcW w:w="3583"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220" w:hRule="atLeast"/>
        </w:trPr>
        <w:tc>
          <w:tcPr>
            <w:tcW w:w="1079"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资金使用合规性和安全性</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lang w:val="en-US" w:eastAsia="zh-CN"/>
              </w:rPr>
              <w:t>财政</w:t>
            </w:r>
            <w:r>
              <w:rPr>
                <w:rFonts w:hint="eastAsia" w:ascii="宋体" w:hAnsi="宋体" w:cs="宋体"/>
                <w:color w:val="000000"/>
                <w:kern w:val="0"/>
                <w:sz w:val="18"/>
                <w:szCs w:val="18"/>
                <w:highlight w:val="none"/>
              </w:rPr>
              <w:t>资金</w:t>
            </w:r>
            <w:r>
              <w:rPr>
                <w:rFonts w:hint="eastAsia" w:ascii="宋体" w:hAnsi="宋体" w:cs="宋体"/>
                <w:color w:val="000000"/>
                <w:kern w:val="0"/>
                <w:sz w:val="18"/>
                <w:szCs w:val="18"/>
                <w:highlight w:val="none"/>
                <w:lang w:val="en-US" w:eastAsia="zh-CN"/>
              </w:rPr>
              <w:t>支出</w:t>
            </w:r>
            <w:r>
              <w:rPr>
                <w:rFonts w:hint="eastAsia" w:ascii="宋体" w:hAnsi="宋体" w:cs="宋体"/>
                <w:color w:val="000000"/>
                <w:kern w:val="0"/>
                <w:sz w:val="18"/>
                <w:szCs w:val="18"/>
                <w:highlight w:val="none"/>
              </w:rPr>
              <w:t>合规</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安全</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eastAsia="zh-CN"/>
              </w:rPr>
            </w:pPr>
            <w:r>
              <w:rPr>
                <w:rFonts w:hint="eastAsia" w:ascii="宋体" w:hAnsi="宋体" w:cs="宋体"/>
                <w:color w:val="000000"/>
                <w:kern w:val="0"/>
                <w:sz w:val="18"/>
                <w:szCs w:val="18"/>
                <w:highlight w:val="none"/>
                <w:lang w:val="en-US" w:eastAsia="zh-CN"/>
              </w:rPr>
              <w:t>2024年度资金支出</w:t>
            </w:r>
            <w:r>
              <w:rPr>
                <w:rFonts w:hint="eastAsia" w:ascii="宋体" w:hAnsi="宋体" w:cs="宋体"/>
                <w:color w:val="000000"/>
                <w:kern w:val="0"/>
                <w:sz w:val="18"/>
                <w:szCs w:val="18"/>
                <w:highlight w:val="none"/>
              </w:rPr>
              <w:t>符合国家财经法规和财务管理制度规定以及有关专项资金管理办法的规定</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资金的拨付审批程序和手续</w:t>
            </w:r>
            <w:r>
              <w:rPr>
                <w:rFonts w:hint="eastAsia" w:ascii="宋体" w:hAnsi="宋体" w:cs="宋体"/>
                <w:color w:val="000000"/>
                <w:kern w:val="0"/>
                <w:sz w:val="18"/>
                <w:szCs w:val="18"/>
                <w:highlight w:val="none"/>
                <w:lang w:val="en-US" w:eastAsia="zh-CN"/>
              </w:rPr>
              <w:t>齐全；各项支出均</w:t>
            </w:r>
            <w:r>
              <w:rPr>
                <w:rFonts w:hint="eastAsia" w:ascii="宋体" w:hAnsi="宋体" w:cs="宋体"/>
                <w:color w:val="000000"/>
                <w:kern w:val="0"/>
                <w:sz w:val="18"/>
                <w:szCs w:val="18"/>
                <w:highlight w:val="none"/>
              </w:rPr>
              <w:t>符合部门预算批复的用途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存在截留、挤占、挪用情况</w:t>
            </w:r>
            <w:r>
              <w:rPr>
                <w:rFonts w:hint="eastAsia" w:ascii="宋体" w:hAnsi="宋体" w:cs="宋体"/>
                <w:color w:val="000000"/>
                <w:kern w:val="0"/>
                <w:sz w:val="18"/>
                <w:szCs w:val="18"/>
                <w:highlight w:val="none"/>
                <w:lang w:eastAsia="zh-CN"/>
              </w:rPr>
              <w:t>。</w:t>
            </w:r>
          </w:p>
        </w:tc>
        <w:tc>
          <w:tcPr>
            <w:tcW w:w="661"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828" w:type="dxa"/>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资金使用合规性和安全性:</w:t>
            </w:r>
            <w:r>
              <w:rPr>
                <w:rFonts w:hint="eastAsia" w:ascii="宋体" w:hAnsi="宋体" w:cs="宋体"/>
                <w:color w:val="000000"/>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3583"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highlight w:val="none"/>
              </w:rPr>
            </w:pPr>
          </w:p>
        </w:tc>
        <w:tc>
          <w:tcPr>
            <w:tcW w:w="11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会计基础信息完善性</w:t>
            </w:r>
          </w:p>
        </w:tc>
        <w:tc>
          <w:tcPr>
            <w:tcW w:w="11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会计基础信息完善</w:t>
            </w:r>
            <w:r>
              <w:rPr>
                <w:rFonts w:hint="eastAsia" w:ascii="宋体" w:hAnsi="宋体" w:cs="宋体"/>
                <w:color w:val="000000"/>
                <w:kern w:val="0"/>
                <w:sz w:val="18"/>
                <w:szCs w:val="18"/>
                <w:highlight w:val="none"/>
                <w:lang w:val="en-US" w:eastAsia="zh-CN"/>
              </w:rPr>
              <w:t>程度</w:t>
            </w:r>
            <w:r>
              <w:rPr>
                <w:rFonts w:hint="eastAsia" w:ascii="宋体" w:hAnsi="宋体" w:cs="宋体"/>
                <w:color w:val="000000"/>
                <w:kern w:val="0"/>
                <w:sz w:val="18"/>
                <w:szCs w:val="18"/>
                <w:highlight w:val="none"/>
              </w:rPr>
              <w:t>　</w:t>
            </w:r>
          </w:p>
        </w:tc>
        <w:tc>
          <w:tcPr>
            <w:tcW w:w="199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基础数据信息和会计信息资料真实</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完整、准确</w:t>
            </w:r>
            <w:r>
              <w:rPr>
                <w:rFonts w:hint="eastAsia" w:ascii="宋体" w:hAnsi="宋体" w:cs="宋体"/>
                <w:color w:val="000000"/>
                <w:kern w:val="0"/>
                <w:sz w:val="20"/>
                <w:szCs w:val="20"/>
                <w:highlight w:val="none"/>
              </w:rPr>
              <w:t>　</w:t>
            </w:r>
          </w:p>
        </w:tc>
        <w:tc>
          <w:tcPr>
            <w:tcW w:w="661" w:type="dxa"/>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828"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27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会计基础信息完善性:</w:t>
            </w:r>
            <w:r>
              <w:rPr>
                <w:rFonts w:hint="eastAsia" w:ascii="宋体" w:hAnsi="宋体" w:cs="宋体"/>
                <w:color w:val="000000"/>
                <w:kern w:val="0"/>
                <w:sz w:val="18"/>
                <w:szCs w:val="18"/>
                <w:highlight w:val="none"/>
              </w:rPr>
              <w:t>部门（单位）会计基础信息情况。</w:t>
            </w:r>
          </w:p>
        </w:tc>
        <w:tc>
          <w:tcPr>
            <w:tcW w:w="358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资产管理（4）</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资产管理规范性</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18"/>
                <w:szCs w:val="18"/>
                <w:highlight w:val="none"/>
                <w:lang w:val="en-US" w:eastAsia="zh-CN"/>
              </w:rPr>
              <w:t>国有资产使用、保管、处置程序合规性</w:t>
            </w:r>
          </w:p>
        </w:tc>
        <w:tc>
          <w:tcPr>
            <w:tcW w:w="19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highlight w:val="none"/>
              </w:rPr>
            </w:pPr>
            <w:r>
              <w:rPr>
                <w:rFonts w:hint="eastAsia" w:ascii="宋体" w:hAnsi="宋体" w:cs="宋体"/>
                <w:color w:val="000000"/>
                <w:kern w:val="0"/>
                <w:sz w:val="18"/>
                <w:szCs w:val="18"/>
                <w:highlight w:val="none"/>
              </w:rPr>
              <w:t>资产管理制度</w:t>
            </w:r>
            <w:r>
              <w:rPr>
                <w:rFonts w:hint="eastAsia" w:ascii="宋体" w:hAnsi="宋体" w:cs="宋体"/>
                <w:color w:val="000000"/>
                <w:kern w:val="0"/>
                <w:sz w:val="18"/>
                <w:szCs w:val="18"/>
                <w:highlight w:val="none"/>
                <w:lang w:val="en-US" w:eastAsia="zh-CN"/>
              </w:rPr>
              <w:t>健全；各项</w:t>
            </w:r>
            <w:r>
              <w:rPr>
                <w:rFonts w:hint="eastAsia" w:ascii="宋体" w:hAnsi="宋体" w:cs="宋体"/>
                <w:color w:val="000000"/>
                <w:kern w:val="0"/>
                <w:sz w:val="18"/>
                <w:szCs w:val="18"/>
                <w:highlight w:val="none"/>
              </w:rPr>
              <w:t>资产使用规范，</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存在未经批准擅自出租、出借资产行为；</w:t>
            </w:r>
            <w:r>
              <w:rPr>
                <w:rFonts w:hint="eastAsia" w:ascii="宋体" w:hAnsi="宋体" w:cs="宋体"/>
                <w:color w:val="000000"/>
                <w:kern w:val="0"/>
                <w:sz w:val="18"/>
                <w:szCs w:val="18"/>
                <w:highlight w:val="none"/>
                <w:lang w:val="en-US" w:eastAsia="zh-CN"/>
              </w:rPr>
              <w:t>国有</w:t>
            </w:r>
            <w:r>
              <w:rPr>
                <w:rFonts w:hint="eastAsia" w:ascii="宋体" w:hAnsi="宋体" w:cs="宋体"/>
                <w:color w:val="000000"/>
                <w:kern w:val="0"/>
                <w:sz w:val="18"/>
                <w:szCs w:val="18"/>
                <w:highlight w:val="none"/>
              </w:rPr>
              <w:t>资产处置</w:t>
            </w:r>
            <w:r>
              <w:rPr>
                <w:rFonts w:hint="eastAsia" w:ascii="宋体" w:hAnsi="宋体" w:cs="宋体"/>
                <w:color w:val="000000"/>
                <w:kern w:val="0"/>
                <w:sz w:val="18"/>
                <w:szCs w:val="18"/>
                <w:highlight w:val="none"/>
                <w:lang w:val="en-US" w:eastAsia="zh-CN"/>
              </w:rPr>
              <w:t>均按照北京市财政相关要求办理</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不</w:t>
            </w:r>
            <w:r>
              <w:rPr>
                <w:rFonts w:hint="eastAsia" w:ascii="宋体" w:hAnsi="宋体" w:cs="宋体"/>
                <w:color w:val="000000"/>
                <w:kern w:val="0"/>
                <w:sz w:val="18"/>
                <w:szCs w:val="18"/>
                <w:highlight w:val="none"/>
              </w:rPr>
              <w:t>存在不按要求进行报批或资产不公开处置行为</w:t>
            </w:r>
          </w:p>
        </w:tc>
        <w:tc>
          <w:tcPr>
            <w:tcW w:w="6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4</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资产管理规范性:</w:t>
            </w:r>
            <w:r>
              <w:rPr>
                <w:rFonts w:hint="eastAsia" w:ascii="宋体" w:hAnsi="宋体" w:cs="宋体"/>
                <w:color w:val="000000"/>
                <w:kern w:val="0"/>
                <w:sz w:val="18"/>
                <w:szCs w:val="18"/>
                <w:highlight w:val="none"/>
              </w:rPr>
              <w:t>部门（单位）的资产是否保持安全完整，资产配置是否合理，资产使用和资产处理是否规范，用以反映和考核部门（单位）资产管理的整体水平。</w:t>
            </w:r>
          </w:p>
        </w:tc>
        <w:tc>
          <w:tcPr>
            <w:tcW w:w="358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210"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绩效管理（4）</w:t>
            </w:r>
          </w:p>
        </w:tc>
        <w:tc>
          <w:tcPr>
            <w:tcW w:w="11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绩效管理情况</w:t>
            </w:r>
          </w:p>
        </w:tc>
        <w:tc>
          <w:tcPr>
            <w:tcW w:w="1116"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绩效管理信息的汇总和应用情况。</w:t>
            </w:r>
          </w:p>
        </w:tc>
        <w:tc>
          <w:tcPr>
            <w:tcW w:w="199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对绩效信息及时进行了汇总分析整理，但在项目执行过程中未及时对偏离绩效目标情况进行调整。</w:t>
            </w:r>
          </w:p>
        </w:tc>
        <w:tc>
          <w:tcPr>
            <w:tcW w:w="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828"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绩效管理情况:</w:t>
            </w:r>
            <w:r>
              <w:rPr>
                <w:rFonts w:hint="eastAsia" w:ascii="宋体" w:hAnsi="宋体" w:cs="宋体"/>
                <w:color w:val="000000"/>
                <w:kern w:val="0"/>
                <w:sz w:val="18"/>
                <w:szCs w:val="18"/>
                <w:highlight w:val="none"/>
              </w:rPr>
              <w:t>考核部门（单位）在绩效管理信息的汇总和应用情况。</w:t>
            </w:r>
          </w:p>
        </w:tc>
        <w:tc>
          <w:tcPr>
            <w:tcW w:w="3583"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94"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　</w:t>
            </w:r>
          </w:p>
        </w:tc>
        <w:tc>
          <w:tcPr>
            <w:tcW w:w="22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r>
              <w:rPr>
                <w:rFonts w:hint="eastAsia" w:ascii="宋体" w:hAnsi="宋体" w:cs="宋体"/>
                <w:color w:val="000000"/>
                <w:kern w:val="0"/>
                <w:sz w:val="20"/>
                <w:szCs w:val="20"/>
                <w:highlight w:val="none"/>
                <w:lang w:val="en-US" w:eastAsia="zh-CN"/>
              </w:rPr>
              <w:t>23</w:t>
            </w:r>
            <w:r>
              <w:rPr>
                <w:rFonts w:hint="eastAsia" w:ascii="宋体" w:hAnsi="宋体" w:cs="宋体"/>
                <w:color w:val="000000"/>
                <w:kern w:val="0"/>
                <w:sz w:val="20"/>
                <w:szCs w:val="20"/>
                <w:highlight w:val="none"/>
              </w:rPr>
              <w:t>年</w:t>
            </w:r>
          </w:p>
        </w:tc>
        <w:tc>
          <w:tcPr>
            <w:tcW w:w="1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202</w:t>
            </w: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年</w:t>
            </w:r>
          </w:p>
        </w:tc>
        <w:tc>
          <w:tcPr>
            <w:tcW w:w="6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3583" w:type="dxa"/>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tblPrEx>
          <w:tblCellMar>
            <w:top w:w="0" w:type="dxa"/>
            <w:left w:w="108" w:type="dxa"/>
            <w:bottom w:w="0" w:type="dxa"/>
            <w:right w:w="108" w:type="dxa"/>
          </w:tblCellMar>
        </w:tblPrEx>
        <w:trPr>
          <w:cantSplit/>
          <w:trHeight w:val="1944"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结转结余率（4）</w:t>
            </w:r>
          </w:p>
        </w:tc>
        <w:tc>
          <w:tcPr>
            <w:tcW w:w="2232"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2.22%</w:t>
            </w:r>
          </w:p>
        </w:tc>
        <w:tc>
          <w:tcPr>
            <w:tcW w:w="199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7.77</w:t>
            </w:r>
            <w:r>
              <w:rPr>
                <w:rFonts w:hint="eastAsia" w:ascii="宋体" w:hAnsi="宋体" w:cs="宋体"/>
                <w:color w:val="000000"/>
                <w:kern w:val="0"/>
                <w:sz w:val="20"/>
                <w:szCs w:val="20"/>
                <w:highlight w:val="none"/>
              </w:rPr>
              <w:t>%</w:t>
            </w:r>
          </w:p>
        </w:tc>
        <w:tc>
          <w:tcPr>
            <w:tcW w:w="66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828"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w:t>
            </w:r>
            <w:r>
              <w:rPr>
                <w:rFonts w:hint="eastAsia" w:ascii="宋体" w:hAnsi="宋体" w:cs="宋体"/>
                <w:color w:val="000000"/>
                <w:kern w:val="0"/>
                <w:sz w:val="20"/>
                <w:szCs w:val="20"/>
                <w:highlight w:val="none"/>
              </w:rPr>
              <w:t>　</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结转结余率=结转结余总额/支出预算数×100%。</w:t>
            </w:r>
          </w:p>
          <w:p>
            <w:pPr>
              <w:pStyle w:val="16"/>
              <w:rPr>
                <w:rFonts w:hint="eastAsia"/>
                <w:lang w:eastAsia="zh-CN"/>
              </w:rPr>
            </w:pPr>
          </w:p>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结转结余总额：部门（单位）本年度的结转资金与结余资金之和。</w:t>
            </w:r>
          </w:p>
        </w:tc>
        <w:tc>
          <w:tcPr>
            <w:tcW w:w="3583"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部门结转结余率低于上年的不扣分；高于上年结余率，</w:t>
            </w:r>
            <w:r>
              <w:rPr>
                <w:rFonts w:hint="eastAsia" w:ascii="宋体" w:hAnsi="宋体" w:cs="宋体"/>
                <w:b/>
                <w:bCs/>
                <w:color w:val="000000"/>
                <w:kern w:val="0"/>
                <w:sz w:val="18"/>
                <w:szCs w:val="18"/>
                <w:highlight w:val="none"/>
              </w:rPr>
              <w:t>每高出1个百分点扣0.4分</w:t>
            </w:r>
            <w:r>
              <w:rPr>
                <w:rFonts w:hint="eastAsia" w:ascii="宋体" w:hAnsi="宋体" w:cs="宋体"/>
                <w:color w:val="000000"/>
                <w:kern w:val="0"/>
                <w:sz w:val="18"/>
                <w:szCs w:val="18"/>
                <w:highlight w:val="none"/>
              </w:rPr>
              <w:t>，扣完为止。（说明：预算调整和结转结余指标，如非预算部门主观因素导致扣分的，在评分结果征求意见环节，经与相关部门预算主管处室共同研究，可作为例外情况酌情考虑。）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1083" w:hRule="atLeast"/>
        </w:trPr>
        <w:tc>
          <w:tcPr>
            <w:tcW w:w="107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highlight w:val="yellow"/>
              </w:rPr>
            </w:pPr>
          </w:p>
        </w:tc>
        <w:tc>
          <w:tcPr>
            <w:tcW w:w="1082"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部门预决算差异率（4）</w:t>
            </w:r>
          </w:p>
        </w:tc>
        <w:tc>
          <w:tcPr>
            <w:tcW w:w="2232" w:type="dxa"/>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199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7.77</w:t>
            </w:r>
            <w:r>
              <w:rPr>
                <w:rFonts w:hint="eastAsia" w:ascii="宋体" w:hAnsi="宋体" w:cs="宋体"/>
                <w:color w:val="000000"/>
                <w:kern w:val="0"/>
                <w:sz w:val="20"/>
                <w:szCs w:val="20"/>
                <w:highlight w:val="none"/>
              </w:rPr>
              <w:t>%</w:t>
            </w:r>
          </w:p>
        </w:tc>
        <w:tc>
          <w:tcPr>
            <w:tcW w:w="66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828"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27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通过年度部门决算与年初部门预算对比，对部门的年度支出情况进行考核，衡量部门预算的约束力。</w:t>
            </w:r>
          </w:p>
        </w:tc>
        <w:tc>
          <w:tcPr>
            <w:tcW w:w="358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部门预决算差异率高于市级平均差异率的，每高出10%（含），扣0.4分，扣完为止。</w:t>
            </w:r>
          </w:p>
        </w:tc>
      </w:tr>
      <w:tr>
        <w:tblPrEx>
          <w:tblCellMar>
            <w:top w:w="0" w:type="dxa"/>
            <w:left w:w="108" w:type="dxa"/>
            <w:bottom w:w="0" w:type="dxa"/>
            <w:right w:w="108" w:type="dxa"/>
          </w:tblCellMar>
        </w:tblPrEx>
        <w:trPr>
          <w:cantSplit/>
          <w:trHeight w:val="484" w:hRule="atLeast"/>
        </w:trPr>
        <w:tc>
          <w:tcPr>
            <w:tcW w:w="6383"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合计</w:t>
            </w:r>
          </w:p>
        </w:tc>
        <w:tc>
          <w:tcPr>
            <w:tcW w:w="66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100</w:t>
            </w:r>
          </w:p>
        </w:tc>
        <w:tc>
          <w:tcPr>
            <w:tcW w:w="828"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92.45</w:t>
            </w:r>
            <w:r>
              <w:rPr>
                <w:rFonts w:hint="eastAsia" w:ascii="宋体" w:hAnsi="宋体" w:cs="宋体"/>
                <w:color w:val="000000"/>
                <w:kern w:val="0"/>
                <w:sz w:val="20"/>
                <w:szCs w:val="20"/>
                <w:highlight w:val="none"/>
              </w:rPr>
              <w:t>　</w:t>
            </w:r>
          </w:p>
        </w:tc>
        <w:tc>
          <w:tcPr>
            <w:tcW w:w="6302"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pPr>
        <w:pStyle w:val="16"/>
        <w:rPr>
          <w:rFonts w:hint="default" w:ascii="仿宋_GB2312" w:hAnsi="宋体" w:eastAsia="仿宋_GB2312" w:cs="宋体"/>
          <w:color w:val="000000"/>
          <w:kern w:val="0"/>
          <w:sz w:val="32"/>
          <w:szCs w:val="32"/>
          <w:lang w:val="en-US" w:eastAsia="zh-CN"/>
        </w:rPr>
      </w:pPr>
    </w:p>
    <w:sectPr>
      <w:footerReference r:id="rId6" w:type="default"/>
      <w:pgSz w:w="16838" w:h="11906" w:orient="landscape"/>
      <w:pgMar w:top="1800" w:right="1440" w:bottom="1800" w:left="1440" w:header="851" w:footer="992" w:gutter="0"/>
      <w:pgNumType w:fmt="decimal" w:start="1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1F0C3F-4C19-4630-9D65-944A5311049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72444BE-CFEA-49F1-B2F4-FA1F399F02FE}"/>
  </w:font>
  <w:font w:name="方正小标宋简体">
    <w:panose1 w:val="02010601030101010101"/>
    <w:charset w:val="86"/>
    <w:family w:val="auto"/>
    <w:pitch w:val="default"/>
    <w:sig w:usb0="00000001" w:usb1="080E0000" w:usb2="00000000" w:usb3="00000000" w:csb0="00040000" w:csb1="00000000"/>
    <w:embedRegular r:id="rId3" w:fontKey="{FC09B642-3E4C-469F-B556-A6A8315C3E7C}"/>
  </w:font>
  <w:font w:name="华文中宋">
    <w:altName w:val="宋体"/>
    <w:panose1 w:val="02010600040101010101"/>
    <w:charset w:val="86"/>
    <w:family w:val="auto"/>
    <w:pitch w:val="default"/>
    <w:sig w:usb0="00000000" w:usb1="00000000" w:usb2="00000000" w:usb3="00000000" w:csb0="00000000" w:csb1="00000000"/>
    <w:embedRegular r:id="rId4" w:fontKey="{8DE8DB65-B025-47E5-8782-157CFB60F318}"/>
  </w:font>
  <w:font w:name="楷体">
    <w:panose1 w:val="02010609060101010101"/>
    <w:charset w:val="86"/>
    <w:family w:val="modern"/>
    <w:pitch w:val="default"/>
    <w:sig w:usb0="800002BF" w:usb1="38CF7CFA" w:usb2="00000016" w:usb3="00000000" w:csb0="00040001" w:csb1="00000000"/>
    <w:embedRegular r:id="rId5" w:fontKey="{C8D5AEC4-BF72-4047-9193-B7FEA6B07A0C}"/>
  </w:font>
  <w:font w:name="楷体_GB2312">
    <w:panose1 w:val="02010609030101010101"/>
    <w:charset w:val="86"/>
    <w:family w:val="modern"/>
    <w:pitch w:val="default"/>
    <w:sig w:usb0="00000001" w:usb1="080E0000" w:usb2="00000000" w:usb3="00000000" w:csb0="00040000" w:csb1="00000000"/>
    <w:embedRegular r:id="rId6" w:fontKey="{50DBC78A-168E-4C0F-BE9D-86CC666D8140}"/>
  </w:font>
  <w:font w:name="仿宋">
    <w:panose1 w:val="02010609060101010101"/>
    <w:charset w:val="86"/>
    <w:family w:val="auto"/>
    <w:pitch w:val="default"/>
    <w:sig w:usb0="800002BF" w:usb1="38CF7CFA" w:usb2="00000016" w:usb3="00000000" w:csb0="00040001" w:csb1="00000000"/>
    <w:embedRegular r:id="rId7" w:fontKey="{94B4A532-57C3-4F5B-8B4B-D1CAD8C5FFF2}"/>
  </w:font>
  <w:font w:name="方正黑体_GBK">
    <w:panose1 w:val="02000000000000000000"/>
    <w:charset w:val="86"/>
    <w:family w:val="auto"/>
    <w:pitch w:val="default"/>
    <w:sig w:usb0="A00002BF" w:usb1="38CF7CFA" w:usb2="00082016" w:usb3="00000000" w:csb0="00040001" w:csb1="00000000"/>
    <w:embedRegular r:id="rId8" w:fontKey="{F5BACD80-578C-4458-B4B6-8746296853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center"/>
      <w:rPr>
        <w:sz w:val="21"/>
        <w:szCs w:val="21"/>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8"/>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95759B"/>
    <w:multiLevelType w:val="singleLevel"/>
    <w:tmpl w:val="9795759B"/>
    <w:lvl w:ilvl="0" w:tentative="0">
      <w:start w:val="2"/>
      <w:numFmt w:val="chineseCounting"/>
      <w:suff w:val="nothing"/>
      <w:lvlText w:val="（%1）"/>
      <w:lvlJc w:val="left"/>
      <w:rPr>
        <w:rFonts w:hint="eastAsia"/>
      </w:rPr>
    </w:lvl>
  </w:abstractNum>
  <w:abstractNum w:abstractNumId="1">
    <w:nsid w:val="A65835EA"/>
    <w:multiLevelType w:val="singleLevel"/>
    <w:tmpl w:val="A65835E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hNTkzNmZkZDRkMzE2MjBmYTFiNGIwOGEwODdkNzgifQ=="/>
  </w:docVars>
  <w:rsids>
    <w:rsidRoot w:val="F77F09F4"/>
    <w:rsid w:val="00522A0F"/>
    <w:rsid w:val="00654958"/>
    <w:rsid w:val="01434B1E"/>
    <w:rsid w:val="02192F0F"/>
    <w:rsid w:val="025A0B9C"/>
    <w:rsid w:val="029C5324"/>
    <w:rsid w:val="030A5C08"/>
    <w:rsid w:val="032A1252"/>
    <w:rsid w:val="040612A7"/>
    <w:rsid w:val="04271A07"/>
    <w:rsid w:val="0438372D"/>
    <w:rsid w:val="050F7C41"/>
    <w:rsid w:val="05237BC9"/>
    <w:rsid w:val="061676C4"/>
    <w:rsid w:val="075F5423"/>
    <w:rsid w:val="07B018B9"/>
    <w:rsid w:val="080A1514"/>
    <w:rsid w:val="083E7A39"/>
    <w:rsid w:val="087A7DC5"/>
    <w:rsid w:val="09104908"/>
    <w:rsid w:val="09462582"/>
    <w:rsid w:val="09644D9F"/>
    <w:rsid w:val="09AB6FF0"/>
    <w:rsid w:val="09D3371F"/>
    <w:rsid w:val="09D34448"/>
    <w:rsid w:val="09E05076"/>
    <w:rsid w:val="0A3E54A5"/>
    <w:rsid w:val="0B9044CB"/>
    <w:rsid w:val="0BBA2AEE"/>
    <w:rsid w:val="0BD10BC8"/>
    <w:rsid w:val="0BFE7494"/>
    <w:rsid w:val="0C970EB6"/>
    <w:rsid w:val="0CDC5FA5"/>
    <w:rsid w:val="0D1A56E1"/>
    <w:rsid w:val="0D3D1B91"/>
    <w:rsid w:val="0D694EE3"/>
    <w:rsid w:val="0DA11C8E"/>
    <w:rsid w:val="0DD65208"/>
    <w:rsid w:val="0E1E5269"/>
    <w:rsid w:val="0E271FDA"/>
    <w:rsid w:val="0E8D2D6C"/>
    <w:rsid w:val="0EF13238"/>
    <w:rsid w:val="0F5E220A"/>
    <w:rsid w:val="0FA933C0"/>
    <w:rsid w:val="101C4E2F"/>
    <w:rsid w:val="102962AF"/>
    <w:rsid w:val="10DA1F09"/>
    <w:rsid w:val="11283816"/>
    <w:rsid w:val="11FF376C"/>
    <w:rsid w:val="123D4FD6"/>
    <w:rsid w:val="12E601BF"/>
    <w:rsid w:val="13C44CA3"/>
    <w:rsid w:val="13D66799"/>
    <w:rsid w:val="13DA4490"/>
    <w:rsid w:val="14874B0C"/>
    <w:rsid w:val="15A81F54"/>
    <w:rsid w:val="15C56A7A"/>
    <w:rsid w:val="16397FED"/>
    <w:rsid w:val="17777287"/>
    <w:rsid w:val="19502AFF"/>
    <w:rsid w:val="19654099"/>
    <w:rsid w:val="19C10B6F"/>
    <w:rsid w:val="1A0965FD"/>
    <w:rsid w:val="1A747D1C"/>
    <w:rsid w:val="1A8707A2"/>
    <w:rsid w:val="1ACF1DF1"/>
    <w:rsid w:val="1B32070E"/>
    <w:rsid w:val="1B541017"/>
    <w:rsid w:val="1BDB0DA5"/>
    <w:rsid w:val="1C5542E1"/>
    <w:rsid w:val="1CA84BFE"/>
    <w:rsid w:val="1CAE6035"/>
    <w:rsid w:val="1CE2194A"/>
    <w:rsid w:val="1CF535D1"/>
    <w:rsid w:val="1D320E82"/>
    <w:rsid w:val="1E134BAC"/>
    <w:rsid w:val="1E546BED"/>
    <w:rsid w:val="1F061932"/>
    <w:rsid w:val="1F9C6B9D"/>
    <w:rsid w:val="200447AC"/>
    <w:rsid w:val="203A1C7D"/>
    <w:rsid w:val="20B96B7B"/>
    <w:rsid w:val="20CF013D"/>
    <w:rsid w:val="21164E7E"/>
    <w:rsid w:val="21F45804"/>
    <w:rsid w:val="21F55A85"/>
    <w:rsid w:val="221A633F"/>
    <w:rsid w:val="2240669E"/>
    <w:rsid w:val="226A5FE8"/>
    <w:rsid w:val="2277734E"/>
    <w:rsid w:val="22BD388B"/>
    <w:rsid w:val="23B157B4"/>
    <w:rsid w:val="240B45F1"/>
    <w:rsid w:val="2432352D"/>
    <w:rsid w:val="246C2801"/>
    <w:rsid w:val="249B6B56"/>
    <w:rsid w:val="25383CCD"/>
    <w:rsid w:val="261852B0"/>
    <w:rsid w:val="264F4424"/>
    <w:rsid w:val="26A046AB"/>
    <w:rsid w:val="26A56238"/>
    <w:rsid w:val="26A85D28"/>
    <w:rsid w:val="272445CF"/>
    <w:rsid w:val="28060EC4"/>
    <w:rsid w:val="283A33CE"/>
    <w:rsid w:val="28414686"/>
    <w:rsid w:val="28454CD5"/>
    <w:rsid w:val="28587274"/>
    <w:rsid w:val="28CA7A11"/>
    <w:rsid w:val="28D21782"/>
    <w:rsid w:val="2A036979"/>
    <w:rsid w:val="2A0C1533"/>
    <w:rsid w:val="2A6F7C17"/>
    <w:rsid w:val="2ADA0B26"/>
    <w:rsid w:val="2B347CF1"/>
    <w:rsid w:val="2BE4517A"/>
    <w:rsid w:val="2C5C6E56"/>
    <w:rsid w:val="2CB32D44"/>
    <w:rsid w:val="2D2500D2"/>
    <w:rsid w:val="2DAF6045"/>
    <w:rsid w:val="2DEF06E0"/>
    <w:rsid w:val="2E327C8C"/>
    <w:rsid w:val="2EDC3F2F"/>
    <w:rsid w:val="2F544C9F"/>
    <w:rsid w:val="2FBF0FF5"/>
    <w:rsid w:val="30306EB7"/>
    <w:rsid w:val="303E1C20"/>
    <w:rsid w:val="30CB2D3F"/>
    <w:rsid w:val="30FF6E8C"/>
    <w:rsid w:val="31116128"/>
    <w:rsid w:val="318F1443"/>
    <w:rsid w:val="31B709E7"/>
    <w:rsid w:val="31FE215F"/>
    <w:rsid w:val="3206667E"/>
    <w:rsid w:val="32B43E83"/>
    <w:rsid w:val="32C92C74"/>
    <w:rsid w:val="337F6DD1"/>
    <w:rsid w:val="339A4C4A"/>
    <w:rsid w:val="34784F8C"/>
    <w:rsid w:val="349C6E3D"/>
    <w:rsid w:val="35834422"/>
    <w:rsid w:val="35AE2C2F"/>
    <w:rsid w:val="36230BAA"/>
    <w:rsid w:val="365F701A"/>
    <w:rsid w:val="37173543"/>
    <w:rsid w:val="376368BC"/>
    <w:rsid w:val="377961B5"/>
    <w:rsid w:val="383A1E2B"/>
    <w:rsid w:val="387E4B3B"/>
    <w:rsid w:val="38F46534"/>
    <w:rsid w:val="395871B1"/>
    <w:rsid w:val="39AF198F"/>
    <w:rsid w:val="39FF0A14"/>
    <w:rsid w:val="3A1E0383"/>
    <w:rsid w:val="3A585EEB"/>
    <w:rsid w:val="3A6B7341"/>
    <w:rsid w:val="3AD13600"/>
    <w:rsid w:val="3B5F0C53"/>
    <w:rsid w:val="3BAF53F0"/>
    <w:rsid w:val="3BD17472"/>
    <w:rsid w:val="3BDB4951"/>
    <w:rsid w:val="3BEC6B92"/>
    <w:rsid w:val="3C775E39"/>
    <w:rsid w:val="3C7D24A5"/>
    <w:rsid w:val="3C825D15"/>
    <w:rsid w:val="3D1C4983"/>
    <w:rsid w:val="3D322D24"/>
    <w:rsid w:val="3D47778D"/>
    <w:rsid w:val="3D624A4D"/>
    <w:rsid w:val="3DAB225F"/>
    <w:rsid w:val="3DDD1FB7"/>
    <w:rsid w:val="3EC40B14"/>
    <w:rsid w:val="3EFE6FA3"/>
    <w:rsid w:val="3F1C06AA"/>
    <w:rsid w:val="3F8E5FAB"/>
    <w:rsid w:val="3FF76880"/>
    <w:rsid w:val="3FFE3C89"/>
    <w:rsid w:val="40C61775"/>
    <w:rsid w:val="422F3D9B"/>
    <w:rsid w:val="4234303F"/>
    <w:rsid w:val="42BB7342"/>
    <w:rsid w:val="42E462DF"/>
    <w:rsid w:val="433E1A96"/>
    <w:rsid w:val="434A3F97"/>
    <w:rsid w:val="434A5E50"/>
    <w:rsid w:val="4387550A"/>
    <w:rsid w:val="439E71C0"/>
    <w:rsid w:val="43EA6025"/>
    <w:rsid w:val="44AC734B"/>
    <w:rsid w:val="4514455B"/>
    <w:rsid w:val="45724C63"/>
    <w:rsid w:val="45CD0EAF"/>
    <w:rsid w:val="46D36915"/>
    <w:rsid w:val="46E411C2"/>
    <w:rsid w:val="46F40F54"/>
    <w:rsid w:val="47AB676D"/>
    <w:rsid w:val="481B57FD"/>
    <w:rsid w:val="48287347"/>
    <w:rsid w:val="482F25AD"/>
    <w:rsid w:val="48456D36"/>
    <w:rsid w:val="486F44A0"/>
    <w:rsid w:val="487E2692"/>
    <w:rsid w:val="495B1F97"/>
    <w:rsid w:val="49816F29"/>
    <w:rsid w:val="49DF1E14"/>
    <w:rsid w:val="49E32734"/>
    <w:rsid w:val="4A2D629B"/>
    <w:rsid w:val="4A4D0811"/>
    <w:rsid w:val="4A530A99"/>
    <w:rsid w:val="4A740D05"/>
    <w:rsid w:val="4A96227E"/>
    <w:rsid w:val="4AB27E7D"/>
    <w:rsid w:val="4B486A0B"/>
    <w:rsid w:val="4B4E6E60"/>
    <w:rsid w:val="4C180061"/>
    <w:rsid w:val="4C7E5967"/>
    <w:rsid w:val="4D023786"/>
    <w:rsid w:val="4D5878CF"/>
    <w:rsid w:val="4DAE2408"/>
    <w:rsid w:val="4DB84D64"/>
    <w:rsid w:val="4E660E76"/>
    <w:rsid w:val="4ED4081D"/>
    <w:rsid w:val="4EFC3478"/>
    <w:rsid w:val="4F756861"/>
    <w:rsid w:val="5061704A"/>
    <w:rsid w:val="50703A1E"/>
    <w:rsid w:val="50B27620"/>
    <w:rsid w:val="51660FE6"/>
    <w:rsid w:val="51810627"/>
    <w:rsid w:val="51922AAE"/>
    <w:rsid w:val="51F577C4"/>
    <w:rsid w:val="522C1A7E"/>
    <w:rsid w:val="52823AA7"/>
    <w:rsid w:val="52AF489A"/>
    <w:rsid w:val="52C020D5"/>
    <w:rsid w:val="534C4A87"/>
    <w:rsid w:val="54A6749B"/>
    <w:rsid w:val="55754785"/>
    <w:rsid w:val="55990927"/>
    <w:rsid w:val="55B232AD"/>
    <w:rsid w:val="5758778F"/>
    <w:rsid w:val="578C4726"/>
    <w:rsid w:val="58531E75"/>
    <w:rsid w:val="5862780F"/>
    <w:rsid w:val="591C713E"/>
    <w:rsid w:val="5A0D685F"/>
    <w:rsid w:val="5A27389C"/>
    <w:rsid w:val="5AC41C45"/>
    <w:rsid w:val="5AD84130"/>
    <w:rsid w:val="5B4611CC"/>
    <w:rsid w:val="5B6D0D13"/>
    <w:rsid w:val="5C7817E6"/>
    <w:rsid w:val="5C7821AA"/>
    <w:rsid w:val="5CC50F1C"/>
    <w:rsid w:val="5D315702"/>
    <w:rsid w:val="5D3E2967"/>
    <w:rsid w:val="5E612A9E"/>
    <w:rsid w:val="5E615A3F"/>
    <w:rsid w:val="5ED65EE3"/>
    <w:rsid w:val="5ED8051E"/>
    <w:rsid w:val="5F20089F"/>
    <w:rsid w:val="5F245F13"/>
    <w:rsid w:val="604F39DB"/>
    <w:rsid w:val="607C66DA"/>
    <w:rsid w:val="608A77B2"/>
    <w:rsid w:val="62727FC5"/>
    <w:rsid w:val="62AE6985"/>
    <w:rsid w:val="62B80F5F"/>
    <w:rsid w:val="62D21B31"/>
    <w:rsid w:val="647C42DD"/>
    <w:rsid w:val="64874BF3"/>
    <w:rsid w:val="655A0EB6"/>
    <w:rsid w:val="65644876"/>
    <w:rsid w:val="66F567CF"/>
    <w:rsid w:val="67632201"/>
    <w:rsid w:val="678371C8"/>
    <w:rsid w:val="681F6A38"/>
    <w:rsid w:val="6842726D"/>
    <w:rsid w:val="698C2876"/>
    <w:rsid w:val="6A1B7B8C"/>
    <w:rsid w:val="6A7F534A"/>
    <w:rsid w:val="6B1B6095"/>
    <w:rsid w:val="6B405556"/>
    <w:rsid w:val="6B5E04F6"/>
    <w:rsid w:val="6BE06DE9"/>
    <w:rsid w:val="6BF24939"/>
    <w:rsid w:val="6D131462"/>
    <w:rsid w:val="6D2F22F7"/>
    <w:rsid w:val="6D7A10F0"/>
    <w:rsid w:val="6DBC07AF"/>
    <w:rsid w:val="6E2616BF"/>
    <w:rsid w:val="6E267FC2"/>
    <w:rsid w:val="6E3D488F"/>
    <w:rsid w:val="6F286FD3"/>
    <w:rsid w:val="6F4023CE"/>
    <w:rsid w:val="713C3C71"/>
    <w:rsid w:val="71484FAD"/>
    <w:rsid w:val="71BE0C14"/>
    <w:rsid w:val="72881782"/>
    <w:rsid w:val="74922FF7"/>
    <w:rsid w:val="74D524DB"/>
    <w:rsid w:val="751111C4"/>
    <w:rsid w:val="75663347"/>
    <w:rsid w:val="75843F24"/>
    <w:rsid w:val="76DE05CB"/>
    <w:rsid w:val="76EB1019"/>
    <w:rsid w:val="77364B02"/>
    <w:rsid w:val="775D7A36"/>
    <w:rsid w:val="77E85551"/>
    <w:rsid w:val="787D6B06"/>
    <w:rsid w:val="78D94FCB"/>
    <w:rsid w:val="79E13D7A"/>
    <w:rsid w:val="79E62725"/>
    <w:rsid w:val="7A361C0C"/>
    <w:rsid w:val="7A521D8B"/>
    <w:rsid w:val="7A68255C"/>
    <w:rsid w:val="7A6B31CB"/>
    <w:rsid w:val="7AB7FF50"/>
    <w:rsid w:val="7AB90CE5"/>
    <w:rsid w:val="7B3A66C0"/>
    <w:rsid w:val="7BFEB0DB"/>
    <w:rsid w:val="7C9F02AF"/>
    <w:rsid w:val="7CA56471"/>
    <w:rsid w:val="7D43090B"/>
    <w:rsid w:val="7DA65393"/>
    <w:rsid w:val="7DB47ADF"/>
    <w:rsid w:val="7F88415D"/>
    <w:rsid w:val="7F8940C8"/>
    <w:rsid w:val="7FAD230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iPriority="99"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spacing w:after="360"/>
      <w:ind w:firstLine="840"/>
    </w:pPr>
    <w:rPr>
      <w:rFonts w:eastAsia="仿宋_GB2312"/>
      <w:kern w:val="1"/>
      <w:sz w:val="32"/>
      <w:szCs w:val="20"/>
    </w:rPr>
  </w:style>
  <w:style w:type="paragraph" w:styleId="6">
    <w:name w:val="HTML Address"/>
    <w:basedOn w:val="1"/>
    <w:unhideWhenUsed/>
    <w:qFormat/>
    <w:uiPriority w:val="99"/>
    <w:rPr>
      <w:i/>
      <w:iCs/>
    </w:rPr>
  </w:style>
  <w:style w:type="paragraph" w:styleId="7">
    <w:name w:val="toc 3"/>
    <w:basedOn w:val="1"/>
    <w:next w:val="1"/>
    <w:qFormat/>
    <w:uiPriority w:val="0"/>
    <w:pPr>
      <w:ind w:left="840" w:leftChars="400"/>
    </w:p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5"/>
    <w:qFormat/>
    <w:uiPriority w:val="99"/>
    <w:pPr>
      <w:ind w:firstLine="420" w:firstLineChars="200"/>
    </w:pPr>
  </w:style>
  <w:style w:type="paragraph" w:customStyle="1" w:styleId="16">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7">
    <w:name w:val="列出段落1"/>
    <w:basedOn w:val="1"/>
    <w:qFormat/>
    <w:uiPriority w:val="34"/>
    <w:pPr>
      <w:ind w:firstLine="420" w:firstLineChars="200"/>
    </w:pPr>
    <w:rPr>
      <w:rFonts w:ascii="Calibri" w:hAnsi="Calibri" w:cs="黑体"/>
      <w:szCs w:val="22"/>
    </w:rPr>
  </w:style>
  <w:style w:type="paragraph" w:customStyle="1" w:styleId="18">
    <w:name w:val="List Paragraph"/>
    <w:basedOn w:val="1"/>
    <w:qFormat/>
    <w:uiPriority w:val="34"/>
    <w:pPr>
      <w:ind w:firstLine="420" w:firstLineChars="200"/>
    </w:p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4969</Words>
  <Characters>5262</Characters>
  <Lines>0</Lines>
  <Paragraphs>0</Paragraphs>
  <TotalTime>2</TotalTime>
  <ScaleCrop>false</ScaleCrop>
  <LinksUpToDate>false</LinksUpToDate>
  <CharactersWithSpaces>5326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XCjcy</dc:creator>
  <cp:lastModifiedBy>XCjcy</cp:lastModifiedBy>
  <dcterms:modified xsi:type="dcterms:W3CDTF">2025-08-27T01:04:07Z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ED57CF4EFAB340989BC419E3D1B8B78E_13</vt:lpwstr>
  </property>
  <property fmtid="{D5CDD505-2E9C-101B-9397-08002B2CF9AE}" pid="4" name="KSOTemplateDocerSaveRecord">
    <vt:lpwstr>eyJoZGlkIjoiMTY5ODkyODMwNWM2NmE5NjYxNWUxYWNjNWYxMGU4ZmMiLCJ1c2VySWQiOiI3NDI1OTg4OTEifQ==</vt:lpwstr>
  </property>
</Properties>
</file>