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4C03DC">
      <w:pPr>
        <w:tabs>
          <w:tab w:val="center" w:pos="4422"/>
          <w:tab w:val="right" w:pos="8844"/>
        </w:tabs>
        <w:spacing w:line="360" w:lineRule="exact"/>
        <w:jc w:val="center"/>
        <w:rPr>
          <w:rFonts w:ascii="Arial Narrow" w:hAnsi="Arial Narrow" w:eastAsia="方正小标宋简体" w:cs="Arial"/>
          <w:bCs/>
          <w:color w:val="000000"/>
          <w:kern w:val="0"/>
          <w:sz w:val="36"/>
          <w:szCs w:val="36"/>
        </w:rPr>
      </w:pPr>
    </w:p>
    <w:p w14:paraId="2C3CBC08">
      <w:pPr>
        <w:tabs>
          <w:tab w:val="center" w:pos="4422"/>
          <w:tab w:val="right" w:pos="8844"/>
        </w:tabs>
        <w:spacing w:line="360" w:lineRule="exact"/>
        <w:jc w:val="center"/>
        <w:rPr>
          <w:rFonts w:ascii="Arial Narrow" w:hAnsi="Arial Narrow" w:eastAsia="方正小标宋简体" w:cs="Arial"/>
          <w:bCs/>
          <w:color w:val="000000"/>
          <w:kern w:val="0"/>
          <w:sz w:val="36"/>
          <w:szCs w:val="36"/>
        </w:rPr>
      </w:pPr>
    </w:p>
    <w:p w14:paraId="31063FB8">
      <w:pPr>
        <w:tabs>
          <w:tab w:val="center" w:pos="4422"/>
          <w:tab w:val="right" w:pos="8844"/>
        </w:tabs>
        <w:spacing w:line="360" w:lineRule="exact"/>
        <w:jc w:val="center"/>
        <w:rPr>
          <w:rFonts w:ascii="Arial Narrow" w:hAnsi="Arial Narrow" w:eastAsia="方正小标宋简体" w:cs="Arial"/>
          <w:bCs/>
          <w:color w:val="000000"/>
          <w:kern w:val="0"/>
          <w:sz w:val="36"/>
          <w:szCs w:val="36"/>
        </w:rPr>
      </w:pPr>
    </w:p>
    <w:p w14:paraId="57C75441">
      <w:pPr>
        <w:tabs>
          <w:tab w:val="center" w:pos="4422"/>
          <w:tab w:val="right" w:pos="8844"/>
        </w:tabs>
        <w:spacing w:line="360" w:lineRule="exact"/>
        <w:jc w:val="center"/>
        <w:rPr>
          <w:rFonts w:ascii="Arial Narrow" w:hAnsi="Arial Narrow" w:eastAsia="方正小标宋简体" w:cs="Arial"/>
          <w:bCs/>
          <w:color w:val="000000"/>
          <w:kern w:val="0"/>
          <w:sz w:val="36"/>
          <w:szCs w:val="36"/>
        </w:rPr>
      </w:pPr>
    </w:p>
    <w:p w14:paraId="14F8165C">
      <w:pPr>
        <w:tabs>
          <w:tab w:val="center" w:pos="4422"/>
          <w:tab w:val="right" w:pos="8844"/>
        </w:tabs>
        <w:spacing w:line="360" w:lineRule="exact"/>
        <w:jc w:val="center"/>
        <w:rPr>
          <w:rFonts w:ascii="Arial Narrow" w:hAnsi="Arial Narrow" w:eastAsia="方正小标宋简体" w:cs="Arial"/>
          <w:bCs/>
          <w:color w:val="000000"/>
          <w:kern w:val="0"/>
          <w:sz w:val="36"/>
          <w:szCs w:val="36"/>
        </w:rPr>
      </w:pPr>
    </w:p>
    <w:p w14:paraId="0C7E8B9C">
      <w:pPr>
        <w:tabs>
          <w:tab w:val="center" w:pos="4422"/>
          <w:tab w:val="right" w:pos="8844"/>
        </w:tabs>
        <w:spacing w:line="360" w:lineRule="exact"/>
        <w:jc w:val="center"/>
        <w:rPr>
          <w:rFonts w:ascii="Arial Narrow" w:hAnsi="Arial Narrow" w:eastAsia="方正小标宋简体" w:cs="Arial"/>
          <w:bCs/>
          <w:color w:val="000000"/>
          <w:kern w:val="0"/>
          <w:sz w:val="36"/>
          <w:szCs w:val="36"/>
        </w:rPr>
      </w:pPr>
    </w:p>
    <w:p w14:paraId="6DBE9E62">
      <w:pPr>
        <w:tabs>
          <w:tab w:val="center" w:pos="4422"/>
          <w:tab w:val="right" w:pos="8844"/>
        </w:tabs>
        <w:spacing w:line="360" w:lineRule="exact"/>
        <w:jc w:val="center"/>
        <w:rPr>
          <w:rFonts w:ascii="Arial Narrow" w:hAnsi="Arial Narrow" w:eastAsia="方正小标宋简体" w:cs="Arial"/>
          <w:bCs/>
          <w:color w:val="000000"/>
          <w:kern w:val="0"/>
          <w:sz w:val="36"/>
          <w:szCs w:val="36"/>
        </w:rPr>
      </w:pPr>
    </w:p>
    <w:p w14:paraId="44CF1714">
      <w:pPr>
        <w:tabs>
          <w:tab w:val="center" w:pos="4422"/>
          <w:tab w:val="right" w:pos="8844"/>
        </w:tabs>
        <w:spacing w:line="360" w:lineRule="exact"/>
        <w:jc w:val="center"/>
        <w:rPr>
          <w:rFonts w:ascii="Arial Narrow" w:hAnsi="Arial Narrow" w:eastAsia="方正小标宋简体" w:cs="Arial"/>
          <w:bCs/>
          <w:color w:val="000000"/>
          <w:kern w:val="0"/>
          <w:sz w:val="36"/>
          <w:szCs w:val="36"/>
        </w:rPr>
      </w:pPr>
    </w:p>
    <w:p w14:paraId="57B52F4F">
      <w:pPr>
        <w:tabs>
          <w:tab w:val="center" w:pos="4422"/>
          <w:tab w:val="right" w:pos="8844"/>
        </w:tabs>
        <w:spacing w:line="360" w:lineRule="exact"/>
        <w:jc w:val="center"/>
        <w:rPr>
          <w:rFonts w:ascii="Arial Narrow" w:hAnsi="Arial Narrow" w:eastAsia="方正小标宋简体" w:cs="Arial"/>
          <w:bCs/>
          <w:color w:val="000000"/>
          <w:kern w:val="0"/>
          <w:sz w:val="36"/>
          <w:szCs w:val="36"/>
        </w:rPr>
      </w:pPr>
      <w:r>
        <w:rPr>
          <w:rFonts w:ascii="Arial Narrow" w:hAnsi="Arial Narrow" w:eastAsia="方正小标宋简体" w:cs="Arial"/>
          <w:bCs/>
          <w:color w:val="000000"/>
          <w:kern w:val="0"/>
          <w:sz w:val="36"/>
          <w:szCs w:val="36"/>
        </w:rPr>
        <w:t>北京互联网法院</w:t>
      </w:r>
    </w:p>
    <w:p w14:paraId="5CE4C9C1">
      <w:pPr>
        <w:tabs>
          <w:tab w:val="center" w:pos="4422"/>
          <w:tab w:val="right" w:pos="8844"/>
        </w:tabs>
        <w:spacing w:line="360" w:lineRule="exact"/>
        <w:jc w:val="center"/>
        <w:rPr>
          <w:rFonts w:ascii="Arial Narrow" w:hAnsi="Arial Narrow" w:eastAsia="仿宋_GB2312" w:cs="Arial"/>
          <w:sz w:val="32"/>
          <w:szCs w:val="32"/>
        </w:rPr>
      </w:pPr>
    </w:p>
    <w:p w14:paraId="501CEC12">
      <w:pPr>
        <w:jc w:val="center"/>
        <w:rPr>
          <w:rFonts w:ascii="Arial Narrow" w:hAnsi="Arial Narrow" w:eastAsia="方正小标宋简体" w:cs="Arial"/>
          <w:bCs/>
          <w:color w:val="000000"/>
          <w:kern w:val="0"/>
          <w:sz w:val="36"/>
          <w:szCs w:val="36"/>
        </w:rPr>
      </w:pPr>
      <w:r>
        <w:rPr>
          <w:rFonts w:ascii="Arial Narrow" w:hAnsi="Arial Narrow" w:eastAsia="方正小标宋简体" w:cs="Arial"/>
          <w:bCs/>
          <w:color w:val="000000"/>
          <w:kern w:val="0"/>
          <w:sz w:val="36"/>
          <w:szCs w:val="36"/>
        </w:rPr>
        <w:t>202</w:t>
      </w:r>
      <w:r>
        <w:rPr>
          <w:rFonts w:hint="eastAsia" w:ascii="Arial Narrow" w:hAnsi="Arial Narrow" w:eastAsia="方正小标宋简体" w:cs="Arial"/>
          <w:bCs/>
          <w:color w:val="000000"/>
          <w:kern w:val="0"/>
          <w:sz w:val="36"/>
          <w:szCs w:val="36"/>
        </w:rPr>
        <w:t>4</w:t>
      </w:r>
      <w:r>
        <w:rPr>
          <w:rFonts w:ascii="Arial Narrow" w:hAnsi="Arial Narrow" w:eastAsia="方正小标宋简体" w:cs="Arial"/>
          <w:bCs/>
          <w:color w:val="000000"/>
          <w:kern w:val="0"/>
          <w:sz w:val="36"/>
          <w:szCs w:val="36"/>
        </w:rPr>
        <w:t>年部门整体绩效评价报告</w:t>
      </w:r>
    </w:p>
    <w:p w14:paraId="00994B28">
      <w:pPr>
        <w:pStyle w:val="19"/>
        <w:rPr>
          <w:rFonts w:ascii="Arial Narrow" w:hAnsi="Arial Narrow" w:cs="Arial"/>
        </w:rPr>
      </w:pPr>
    </w:p>
    <w:p w14:paraId="13E4DE21">
      <w:pPr>
        <w:pStyle w:val="19"/>
        <w:rPr>
          <w:rFonts w:ascii="Arial Narrow" w:hAnsi="Arial Narrow" w:cs="Arial"/>
          <w:lang w:val="zh-CN"/>
        </w:rPr>
      </w:pPr>
    </w:p>
    <w:p w14:paraId="4E2A4BFD">
      <w:pPr>
        <w:spacing w:line="360" w:lineRule="auto"/>
        <w:rPr>
          <w:rFonts w:ascii="Arial Narrow" w:hAnsi="Arial Narrow" w:cs="Arial"/>
          <w:b/>
          <w:bCs/>
          <w:sz w:val="32"/>
          <w:szCs w:val="32"/>
        </w:rPr>
      </w:pPr>
    </w:p>
    <w:p w14:paraId="47B21080">
      <w:pPr>
        <w:snapToGrid w:val="0"/>
        <w:spacing w:line="420" w:lineRule="auto"/>
        <w:ind w:right="120" w:firstLine="614" w:firstLineChars="192"/>
        <w:rPr>
          <w:rFonts w:ascii="Arial Narrow" w:hAnsi="Arial Narrow" w:cs="Arial"/>
          <w:sz w:val="32"/>
          <w:szCs w:val="32"/>
        </w:rPr>
      </w:pPr>
      <w:r>
        <w:rPr>
          <w:rFonts w:ascii="Arial Narrow" w:hAnsi="Arial Narrow" w:cs="Arial"/>
          <w:sz w:val="32"/>
          <w:szCs w:val="32"/>
        </w:rPr>
        <w:t xml:space="preserve">主管部门  </w:t>
      </w:r>
      <w:r>
        <w:rPr>
          <w:rFonts w:ascii="Arial Narrow" w:hAnsi="Arial Narrow" w:cs="Arial"/>
          <w:sz w:val="32"/>
          <w:szCs w:val="32"/>
          <w:u w:val="single"/>
        </w:rPr>
        <w:t xml:space="preserve">     北京互联网法院       </w:t>
      </w:r>
    </w:p>
    <w:p w14:paraId="152FC9BB">
      <w:pPr>
        <w:snapToGrid w:val="0"/>
        <w:spacing w:line="420" w:lineRule="auto"/>
        <w:ind w:right="120" w:firstLine="614" w:firstLineChars="192"/>
        <w:rPr>
          <w:rFonts w:ascii="Arial Narrow" w:hAnsi="Arial Narrow" w:cs="Arial"/>
          <w:sz w:val="32"/>
          <w:szCs w:val="32"/>
          <w:u w:val="single"/>
        </w:rPr>
      </w:pPr>
      <w:r>
        <w:rPr>
          <w:rFonts w:ascii="Arial Narrow" w:hAnsi="Arial Narrow" w:cs="Arial"/>
          <w:sz w:val="32"/>
          <w:szCs w:val="32"/>
        </w:rPr>
        <w:t xml:space="preserve">项目单位  </w:t>
      </w:r>
      <w:r>
        <w:rPr>
          <w:rFonts w:ascii="Arial Narrow" w:hAnsi="Arial Narrow" w:cs="Arial"/>
          <w:sz w:val="32"/>
          <w:szCs w:val="32"/>
          <w:u w:val="single"/>
        </w:rPr>
        <w:t xml:space="preserve">     北京互联网法院       </w:t>
      </w:r>
    </w:p>
    <w:p w14:paraId="655ACC7E">
      <w:pPr>
        <w:snapToGrid w:val="0"/>
        <w:spacing w:line="420" w:lineRule="auto"/>
        <w:ind w:right="120" w:firstLine="614" w:firstLineChars="192"/>
        <w:rPr>
          <w:rFonts w:ascii="Arial Narrow" w:hAnsi="Arial Narrow" w:cs="Arial"/>
          <w:sz w:val="32"/>
          <w:szCs w:val="32"/>
          <w:u w:val="single"/>
        </w:rPr>
      </w:pPr>
      <w:r>
        <w:rPr>
          <w:rFonts w:ascii="Arial Narrow" w:hAnsi="Arial Narrow" w:cs="Arial"/>
          <w:sz w:val="32"/>
          <w:szCs w:val="32"/>
        </w:rPr>
        <w:t xml:space="preserve">项目名称  </w:t>
      </w:r>
      <w:r>
        <w:rPr>
          <w:rFonts w:ascii="Arial Narrow" w:hAnsi="Arial Narrow" w:cs="Arial"/>
          <w:sz w:val="32"/>
          <w:szCs w:val="32"/>
          <w:u w:val="single"/>
        </w:rPr>
        <w:t xml:space="preserve">     部门整体绩效评价  </w:t>
      </w:r>
      <w:r>
        <w:rPr>
          <w:rFonts w:hint="eastAsia" w:ascii="Arial Narrow" w:hAnsi="Arial Narrow" w:cs="Arial"/>
          <w:sz w:val="32"/>
          <w:szCs w:val="32"/>
          <w:u w:val="single"/>
        </w:rPr>
        <w:t xml:space="preserve"> </w:t>
      </w:r>
      <w:r>
        <w:rPr>
          <w:rFonts w:ascii="Arial Narrow" w:hAnsi="Arial Narrow" w:cs="Arial"/>
          <w:sz w:val="32"/>
          <w:szCs w:val="32"/>
          <w:u w:val="single"/>
        </w:rPr>
        <w:t xml:space="preserve">  </w:t>
      </w:r>
    </w:p>
    <w:p w14:paraId="6763FB80">
      <w:pPr>
        <w:snapToGrid w:val="0"/>
        <w:spacing w:line="420" w:lineRule="auto"/>
        <w:ind w:right="120" w:firstLine="614" w:firstLineChars="192"/>
        <w:rPr>
          <w:rFonts w:ascii="Arial Narrow" w:hAnsi="Arial Narrow" w:cs="Arial"/>
          <w:sz w:val="32"/>
          <w:szCs w:val="32"/>
        </w:rPr>
      </w:pPr>
      <w:r>
        <w:rPr>
          <w:rFonts w:ascii="Arial Narrow" w:hAnsi="Arial Narrow" w:cs="Arial"/>
          <w:sz w:val="32"/>
          <w:szCs w:val="32"/>
        </w:rPr>
        <w:t xml:space="preserve">评价单位  </w:t>
      </w:r>
      <w:r>
        <w:rPr>
          <w:rFonts w:ascii="Arial Narrow" w:hAnsi="Arial Narrow" w:cs="Arial"/>
          <w:sz w:val="32"/>
          <w:szCs w:val="32"/>
          <w:u w:val="single"/>
        </w:rPr>
        <w:t xml:space="preserve">     北京互联网法院 </w:t>
      </w:r>
      <w:r>
        <w:rPr>
          <w:rFonts w:hint="eastAsia" w:ascii="Arial Narrow" w:hAnsi="Arial Narrow" w:cs="Arial"/>
          <w:sz w:val="32"/>
          <w:szCs w:val="32"/>
          <w:u w:val="single"/>
        </w:rPr>
        <w:t xml:space="preserve">      </w:t>
      </w:r>
    </w:p>
    <w:p w14:paraId="01B455C4">
      <w:pPr>
        <w:pStyle w:val="19"/>
        <w:jc w:val="center"/>
        <w:rPr>
          <w:rFonts w:ascii="Arial Narrow" w:hAnsi="Arial Narrow" w:cs="Arial"/>
          <w:color w:val="auto"/>
          <w:sz w:val="48"/>
          <w:szCs w:val="48"/>
          <w:lang w:val="zh-CN"/>
        </w:rPr>
      </w:pPr>
      <w:r>
        <w:rPr>
          <w:rFonts w:ascii="Arial Narrow" w:hAnsi="Arial Narrow" w:cs="Arial"/>
          <w:color w:val="auto"/>
          <w:lang w:val="zh-CN"/>
        </w:rPr>
        <w:t>202</w:t>
      </w:r>
      <w:r>
        <w:rPr>
          <w:rFonts w:hint="eastAsia" w:ascii="Arial Narrow" w:hAnsi="Arial Narrow" w:cs="Arial"/>
          <w:color w:val="auto"/>
          <w:lang w:val="zh-CN"/>
        </w:rPr>
        <w:t>5</w:t>
      </w:r>
      <w:r>
        <w:rPr>
          <w:rFonts w:ascii="Arial Narrow" w:hAnsi="Arial Narrow" w:cs="Arial"/>
          <w:color w:val="auto"/>
          <w:lang w:val="zh-CN"/>
        </w:rPr>
        <w:t>年5月1</w:t>
      </w:r>
      <w:r>
        <w:rPr>
          <w:rFonts w:hint="eastAsia" w:ascii="Arial Narrow" w:hAnsi="Arial Narrow" w:cs="Arial"/>
          <w:color w:val="auto"/>
          <w:lang w:val="zh-CN"/>
        </w:rPr>
        <w:t>9</w:t>
      </w:r>
      <w:r>
        <w:rPr>
          <w:rFonts w:ascii="Arial Narrow" w:hAnsi="Arial Narrow" w:cs="Arial"/>
          <w:color w:val="auto"/>
          <w:lang w:val="zh-CN"/>
        </w:rPr>
        <w:t>日</w:t>
      </w:r>
      <w:r>
        <w:rPr>
          <w:rFonts w:ascii="Arial Narrow" w:hAnsi="Arial Narrow" w:cs="Arial"/>
          <w:lang w:val="zh-CN"/>
        </w:rPr>
        <w:br w:type="page"/>
      </w:r>
      <w:r>
        <w:rPr>
          <w:rFonts w:ascii="Arial Narrow" w:hAnsi="Arial Narrow" w:cs="Arial"/>
          <w:color w:val="auto"/>
          <w:sz w:val="48"/>
          <w:szCs w:val="48"/>
          <w:lang w:val="zh-CN"/>
        </w:rPr>
        <w:t>目     录</w:t>
      </w:r>
    </w:p>
    <w:p w14:paraId="7E4AE1C4">
      <w:pPr>
        <w:rPr>
          <w:rFonts w:ascii="Arial Narrow" w:hAnsi="Arial Narrow" w:cs="Arial"/>
          <w:lang w:val="zh-CN"/>
        </w:rPr>
      </w:pPr>
    </w:p>
    <w:p w14:paraId="47C1E55B">
      <w:pPr>
        <w:pStyle w:val="8"/>
        <w:rPr>
          <w:rFonts w:hint="eastAsia" w:asciiTheme="minorHAnsi" w:hAnsiTheme="minorHAnsi" w:eastAsiaTheme="minorEastAsia" w:cstheme="minorBidi"/>
          <w:szCs w:val="22"/>
        </w:rPr>
      </w:pPr>
      <w:r>
        <w:rPr>
          <w:rFonts w:ascii="宋体" w:hAnsi="宋体" w:cs="Arial"/>
          <w:sz w:val="24"/>
        </w:rPr>
        <w:fldChar w:fldCharType="begin"/>
      </w:r>
      <w:r>
        <w:rPr>
          <w:rFonts w:ascii="宋体" w:hAnsi="宋体" w:cs="Arial"/>
          <w:sz w:val="24"/>
        </w:rPr>
        <w:instrText xml:space="preserve"> TOC \o "1-3" \h \z \u </w:instrText>
      </w:r>
      <w:r>
        <w:rPr>
          <w:rFonts w:ascii="宋体" w:hAnsi="宋体" w:cs="Arial"/>
          <w:sz w:val="24"/>
        </w:rPr>
        <w:fldChar w:fldCharType="separate"/>
      </w:r>
      <w:r>
        <w:fldChar w:fldCharType="begin"/>
      </w:r>
      <w:r>
        <w:instrText xml:space="preserve"> HYPERLINK \l "_Toc135162113" </w:instrText>
      </w:r>
      <w:r>
        <w:fldChar w:fldCharType="separate"/>
      </w:r>
      <w:r>
        <w:rPr>
          <w:rStyle w:val="14"/>
          <w:rFonts w:ascii="楷体" w:hAnsi="楷体" w:eastAsia="楷体" w:cs="Arial"/>
        </w:rPr>
        <w:t>一、部门概况</w:t>
      </w:r>
      <w:r>
        <w:tab/>
      </w:r>
      <w:r>
        <w:fldChar w:fldCharType="begin"/>
      </w:r>
      <w:r>
        <w:instrText xml:space="preserve"> PAGEREF _Toc135162113 \h </w:instrText>
      </w:r>
      <w:r>
        <w:fldChar w:fldCharType="separate"/>
      </w:r>
      <w:r>
        <w:t>3</w:t>
      </w:r>
      <w:r>
        <w:fldChar w:fldCharType="end"/>
      </w:r>
      <w:r>
        <w:fldChar w:fldCharType="end"/>
      </w:r>
    </w:p>
    <w:p w14:paraId="74889F82">
      <w:pPr>
        <w:pStyle w:val="9"/>
        <w:tabs>
          <w:tab w:val="right" w:leader="dot" w:pos="8834"/>
        </w:tabs>
        <w:rPr>
          <w:rFonts w:hint="eastAsia" w:asciiTheme="minorHAnsi" w:hAnsiTheme="minorHAnsi" w:eastAsiaTheme="minorEastAsia" w:cstheme="minorBidi"/>
          <w:szCs w:val="22"/>
        </w:rPr>
      </w:pPr>
      <w:r>
        <w:fldChar w:fldCharType="begin"/>
      </w:r>
      <w:r>
        <w:instrText xml:space="preserve"> HYPERLINK \l "_Toc135162114" </w:instrText>
      </w:r>
      <w:r>
        <w:fldChar w:fldCharType="separate"/>
      </w:r>
      <w:r>
        <w:rPr>
          <w:rStyle w:val="14"/>
          <w:rFonts w:ascii="楷体" w:hAnsi="楷体" w:eastAsia="楷体" w:cs="Arial"/>
          <w:b/>
          <w:bCs/>
          <w:kern w:val="0"/>
        </w:rPr>
        <w:t>（一）机构设置及职责工作任务情况</w:t>
      </w:r>
      <w:r>
        <w:tab/>
      </w:r>
      <w:r>
        <w:fldChar w:fldCharType="begin"/>
      </w:r>
      <w:r>
        <w:instrText xml:space="preserve"> PAGEREF _Toc135162114 \h </w:instrText>
      </w:r>
      <w:r>
        <w:fldChar w:fldCharType="separate"/>
      </w:r>
      <w:r>
        <w:t>3</w:t>
      </w:r>
      <w:r>
        <w:fldChar w:fldCharType="end"/>
      </w:r>
      <w:r>
        <w:fldChar w:fldCharType="end"/>
      </w:r>
    </w:p>
    <w:p w14:paraId="385C3B0F">
      <w:pPr>
        <w:pStyle w:val="9"/>
        <w:tabs>
          <w:tab w:val="right" w:leader="dot" w:pos="8834"/>
        </w:tabs>
        <w:rPr>
          <w:rFonts w:hint="eastAsia" w:asciiTheme="minorHAnsi" w:hAnsiTheme="minorHAnsi" w:eastAsiaTheme="minorEastAsia" w:cstheme="minorBidi"/>
          <w:szCs w:val="22"/>
        </w:rPr>
      </w:pPr>
      <w:r>
        <w:fldChar w:fldCharType="begin"/>
      </w:r>
      <w:r>
        <w:instrText xml:space="preserve"> HYPERLINK \l "_Toc135162115" </w:instrText>
      </w:r>
      <w:r>
        <w:fldChar w:fldCharType="separate"/>
      </w:r>
      <w:r>
        <w:rPr>
          <w:rStyle w:val="14"/>
          <w:rFonts w:ascii="楷体" w:hAnsi="楷体" w:eastAsia="楷体" w:cs="Arial"/>
          <w:b/>
          <w:bCs/>
          <w:kern w:val="0"/>
        </w:rPr>
        <w:t>（二）部门整体绩效目标设立情况</w:t>
      </w:r>
      <w:r>
        <w:tab/>
      </w:r>
      <w:r>
        <w:fldChar w:fldCharType="begin"/>
      </w:r>
      <w:r>
        <w:instrText xml:space="preserve"> PAGEREF _Toc135162115 \h </w:instrText>
      </w:r>
      <w:r>
        <w:fldChar w:fldCharType="separate"/>
      </w:r>
      <w:r>
        <w:t>4</w:t>
      </w:r>
      <w:r>
        <w:fldChar w:fldCharType="end"/>
      </w:r>
      <w:r>
        <w:fldChar w:fldCharType="end"/>
      </w:r>
    </w:p>
    <w:p w14:paraId="4552799A">
      <w:pPr>
        <w:pStyle w:val="5"/>
        <w:tabs>
          <w:tab w:val="right" w:leader="dot" w:pos="8834"/>
        </w:tabs>
        <w:rPr>
          <w:rFonts w:hint="eastAsia" w:asciiTheme="minorHAnsi" w:hAnsiTheme="minorHAnsi" w:eastAsiaTheme="minorEastAsia" w:cstheme="minorBidi"/>
          <w:szCs w:val="22"/>
        </w:rPr>
      </w:pPr>
      <w:r>
        <w:fldChar w:fldCharType="begin"/>
      </w:r>
      <w:r>
        <w:instrText xml:space="preserve"> HYPERLINK \l "_Toc135162116" </w:instrText>
      </w:r>
      <w:r>
        <w:fldChar w:fldCharType="separate"/>
      </w:r>
      <w:r>
        <w:rPr>
          <w:rStyle w:val="14"/>
          <w:rFonts w:ascii="楷体" w:hAnsi="楷体" w:eastAsia="楷体" w:cs="Arial"/>
          <w:kern w:val="0"/>
        </w:rPr>
        <w:t>1、部门整体绩效目标及设立依据</w:t>
      </w:r>
      <w:r>
        <w:tab/>
      </w:r>
      <w:r>
        <w:fldChar w:fldCharType="begin"/>
      </w:r>
      <w:r>
        <w:instrText xml:space="preserve"> PAGEREF _Toc135162116 \h </w:instrText>
      </w:r>
      <w:r>
        <w:fldChar w:fldCharType="separate"/>
      </w:r>
      <w:r>
        <w:t>4</w:t>
      </w:r>
      <w:r>
        <w:fldChar w:fldCharType="end"/>
      </w:r>
      <w:r>
        <w:fldChar w:fldCharType="end"/>
      </w:r>
    </w:p>
    <w:p w14:paraId="080FE9E8">
      <w:pPr>
        <w:pStyle w:val="5"/>
        <w:tabs>
          <w:tab w:val="right" w:leader="dot" w:pos="8834"/>
        </w:tabs>
        <w:rPr>
          <w:rFonts w:hint="eastAsia" w:asciiTheme="minorHAnsi" w:hAnsiTheme="minorHAnsi" w:eastAsiaTheme="minorEastAsia" w:cstheme="minorBidi"/>
          <w:szCs w:val="22"/>
        </w:rPr>
      </w:pPr>
      <w:r>
        <w:fldChar w:fldCharType="begin"/>
      </w:r>
      <w:r>
        <w:instrText xml:space="preserve"> HYPERLINK \l "_Toc135162117" </w:instrText>
      </w:r>
      <w:r>
        <w:fldChar w:fldCharType="separate"/>
      </w:r>
      <w:r>
        <w:rPr>
          <w:rStyle w:val="14"/>
          <w:rFonts w:ascii="楷体" w:hAnsi="楷体" w:eastAsia="楷体" w:cs="Arial"/>
          <w:kern w:val="0"/>
        </w:rPr>
        <w:t>2、目标与职责任务匹配情况、目标合理性</w:t>
      </w:r>
      <w:r>
        <w:tab/>
      </w:r>
      <w:r>
        <w:fldChar w:fldCharType="begin"/>
      </w:r>
      <w:r>
        <w:instrText xml:space="preserve"> PAGEREF _Toc135162117 \h </w:instrText>
      </w:r>
      <w:r>
        <w:fldChar w:fldCharType="separate"/>
      </w:r>
      <w:r>
        <w:t>5</w:t>
      </w:r>
      <w:r>
        <w:fldChar w:fldCharType="end"/>
      </w:r>
      <w:r>
        <w:fldChar w:fldCharType="end"/>
      </w:r>
    </w:p>
    <w:p w14:paraId="658D1E67">
      <w:pPr>
        <w:pStyle w:val="8"/>
        <w:rPr>
          <w:rFonts w:hint="eastAsia" w:asciiTheme="minorHAnsi" w:hAnsiTheme="minorHAnsi" w:eastAsiaTheme="minorEastAsia" w:cstheme="minorBidi"/>
          <w:szCs w:val="22"/>
        </w:rPr>
      </w:pPr>
      <w:r>
        <w:fldChar w:fldCharType="begin"/>
      </w:r>
      <w:r>
        <w:instrText xml:space="preserve"> HYPERLINK \l "_Toc135162118" </w:instrText>
      </w:r>
      <w:r>
        <w:fldChar w:fldCharType="separate"/>
      </w:r>
      <w:r>
        <w:rPr>
          <w:rStyle w:val="14"/>
          <w:rFonts w:ascii="楷体" w:hAnsi="楷体" w:eastAsia="楷体" w:cs="Arial"/>
        </w:rPr>
        <w:t>二、当年预算执行情况</w:t>
      </w:r>
      <w:r>
        <w:tab/>
      </w:r>
      <w:r>
        <w:fldChar w:fldCharType="begin"/>
      </w:r>
      <w:r>
        <w:instrText xml:space="preserve"> PAGEREF _Toc135162118 \h </w:instrText>
      </w:r>
      <w:r>
        <w:fldChar w:fldCharType="separate"/>
      </w:r>
      <w:r>
        <w:t>5</w:t>
      </w:r>
      <w:r>
        <w:fldChar w:fldCharType="end"/>
      </w:r>
      <w:r>
        <w:fldChar w:fldCharType="end"/>
      </w:r>
    </w:p>
    <w:p w14:paraId="71D44D4D">
      <w:pPr>
        <w:pStyle w:val="8"/>
        <w:rPr>
          <w:rFonts w:hint="eastAsia" w:asciiTheme="minorHAnsi" w:hAnsiTheme="minorHAnsi" w:eastAsiaTheme="minorEastAsia" w:cstheme="minorBidi"/>
          <w:szCs w:val="22"/>
        </w:rPr>
      </w:pPr>
      <w:r>
        <w:fldChar w:fldCharType="begin"/>
      </w:r>
      <w:r>
        <w:instrText xml:space="preserve"> HYPERLINK \l "_Toc135162119" </w:instrText>
      </w:r>
      <w:r>
        <w:fldChar w:fldCharType="separate"/>
      </w:r>
      <w:r>
        <w:rPr>
          <w:rStyle w:val="14"/>
          <w:rFonts w:ascii="楷体" w:hAnsi="楷体" w:eastAsia="楷体" w:cs="Arial"/>
        </w:rPr>
        <w:t>三、整体绩效目标实现情况</w:t>
      </w:r>
      <w:r>
        <w:tab/>
      </w:r>
      <w:r>
        <w:fldChar w:fldCharType="begin"/>
      </w:r>
      <w:r>
        <w:instrText xml:space="preserve"> PAGEREF _Toc135162119 \h </w:instrText>
      </w:r>
      <w:r>
        <w:fldChar w:fldCharType="separate"/>
      </w:r>
      <w:r>
        <w:t>5</w:t>
      </w:r>
      <w:r>
        <w:fldChar w:fldCharType="end"/>
      </w:r>
      <w:r>
        <w:fldChar w:fldCharType="end"/>
      </w:r>
    </w:p>
    <w:p w14:paraId="78A674C9">
      <w:pPr>
        <w:pStyle w:val="9"/>
        <w:tabs>
          <w:tab w:val="right" w:leader="dot" w:pos="8834"/>
        </w:tabs>
        <w:rPr>
          <w:rFonts w:hint="eastAsia" w:asciiTheme="minorHAnsi" w:hAnsiTheme="minorHAnsi" w:eastAsiaTheme="minorEastAsia" w:cstheme="minorBidi"/>
          <w:szCs w:val="22"/>
        </w:rPr>
      </w:pPr>
      <w:r>
        <w:fldChar w:fldCharType="begin"/>
      </w:r>
      <w:r>
        <w:instrText xml:space="preserve"> HYPERLINK \l "_Toc135162120" </w:instrText>
      </w:r>
      <w:r>
        <w:fldChar w:fldCharType="separate"/>
      </w:r>
      <w:r>
        <w:rPr>
          <w:rStyle w:val="14"/>
          <w:rFonts w:ascii="楷体" w:hAnsi="楷体" w:eastAsia="楷体" w:cs="Arial"/>
          <w:b/>
          <w:bCs/>
          <w:kern w:val="0"/>
        </w:rPr>
        <w:t>（一）产出完成情况分析</w:t>
      </w:r>
      <w:r>
        <w:tab/>
      </w:r>
      <w:r>
        <w:fldChar w:fldCharType="begin"/>
      </w:r>
      <w:r>
        <w:instrText xml:space="preserve"> PAGEREF _Toc135162120 \h </w:instrText>
      </w:r>
      <w:r>
        <w:fldChar w:fldCharType="separate"/>
      </w:r>
      <w:r>
        <w:t>6</w:t>
      </w:r>
      <w:r>
        <w:fldChar w:fldCharType="end"/>
      </w:r>
      <w:r>
        <w:fldChar w:fldCharType="end"/>
      </w:r>
    </w:p>
    <w:p w14:paraId="24DB3FED">
      <w:pPr>
        <w:pStyle w:val="5"/>
        <w:tabs>
          <w:tab w:val="right" w:leader="dot" w:pos="8834"/>
        </w:tabs>
        <w:rPr>
          <w:rFonts w:hint="eastAsia" w:asciiTheme="minorHAnsi" w:hAnsiTheme="minorHAnsi" w:eastAsiaTheme="minorEastAsia" w:cstheme="minorBidi"/>
          <w:szCs w:val="22"/>
        </w:rPr>
      </w:pPr>
      <w:r>
        <w:fldChar w:fldCharType="begin"/>
      </w:r>
      <w:r>
        <w:instrText xml:space="preserve"> HYPERLINK \l "_Toc135162121" </w:instrText>
      </w:r>
      <w:r>
        <w:fldChar w:fldCharType="separate"/>
      </w:r>
      <w:r>
        <w:rPr>
          <w:rStyle w:val="14"/>
          <w:rFonts w:ascii="楷体" w:hAnsi="楷体" w:eastAsia="楷体" w:cs="Arial"/>
          <w:kern w:val="0"/>
        </w:rPr>
        <w:t>1.产出数量</w:t>
      </w:r>
      <w:r>
        <w:tab/>
      </w:r>
      <w:r>
        <w:fldChar w:fldCharType="begin"/>
      </w:r>
      <w:r>
        <w:instrText xml:space="preserve"> PAGEREF _Toc135162121 \h </w:instrText>
      </w:r>
      <w:r>
        <w:fldChar w:fldCharType="separate"/>
      </w:r>
      <w:r>
        <w:t>6</w:t>
      </w:r>
      <w:r>
        <w:fldChar w:fldCharType="end"/>
      </w:r>
      <w:r>
        <w:fldChar w:fldCharType="end"/>
      </w:r>
    </w:p>
    <w:p w14:paraId="0A303926">
      <w:pPr>
        <w:pStyle w:val="5"/>
        <w:tabs>
          <w:tab w:val="right" w:leader="dot" w:pos="8834"/>
        </w:tabs>
        <w:rPr>
          <w:rFonts w:hint="eastAsia" w:asciiTheme="minorHAnsi" w:hAnsiTheme="minorHAnsi" w:eastAsiaTheme="minorEastAsia" w:cstheme="minorBidi"/>
          <w:szCs w:val="22"/>
        </w:rPr>
      </w:pPr>
      <w:r>
        <w:fldChar w:fldCharType="begin"/>
      </w:r>
      <w:r>
        <w:instrText xml:space="preserve"> HYPERLINK \l "_Toc135162122" </w:instrText>
      </w:r>
      <w:r>
        <w:fldChar w:fldCharType="separate"/>
      </w:r>
      <w:r>
        <w:rPr>
          <w:rStyle w:val="14"/>
          <w:rFonts w:ascii="楷体" w:hAnsi="楷体" w:eastAsia="楷体" w:cs="Arial"/>
          <w:kern w:val="0"/>
        </w:rPr>
        <w:t>2.产出质量</w:t>
      </w:r>
      <w:r>
        <w:tab/>
      </w:r>
      <w:r>
        <w:fldChar w:fldCharType="begin"/>
      </w:r>
      <w:r>
        <w:instrText xml:space="preserve"> PAGEREF _Toc135162122 \h </w:instrText>
      </w:r>
      <w:r>
        <w:fldChar w:fldCharType="separate"/>
      </w:r>
      <w:r>
        <w:t>6</w:t>
      </w:r>
      <w:r>
        <w:fldChar w:fldCharType="end"/>
      </w:r>
      <w:r>
        <w:fldChar w:fldCharType="end"/>
      </w:r>
    </w:p>
    <w:p w14:paraId="770D164E">
      <w:pPr>
        <w:pStyle w:val="5"/>
        <w:tabs>
          <w:tab w:val="right" w:leader="dot" w:pos="8834"/>
        </w:tabs>
        <w:rPr>
          <w:rFonts w:hint="eastAsia" w:asciiTheme="minorHAnsi" w:hAnsiTheme="minorHAnsi" w:eastAsiaTheme="minorEastAsia" w:cstheme="minorBidi"/>
          <w:szCs w:val="22"/>
        </w:rPr>
      </w:pPr>
      <w:r>
        <w:fldChar w:fldCharType="begin"/>
      </w:r>
      <w:r>
        <w:instrText xml:space="preserve"> HYPERLINK \l "_Toc135162123" </w:instrText>
      </w:r>
      <w:r>
        <w:fldChar w:fldCharType="separate"/>
      </w:r>
      <w:r>
        <w:rPr>
          <w:rStyle w:val="14"/>
          <w:rFonts w:ascii="楷体" w:hAnsi="楷体" w:eastAsia="楷体" w:cs="Arial"/>
          <w:kern w:val="0"/>
        </w:rPr>
        <w:t>3.产出进度</w:t>
      </w:r>
      <w:r>
        <w:tab/>
      </w:r>
      <w:r>
        <w:fldChar w:fldCharType="begin"/>
      </w:r>
      <w:r>
        <w:instrText xml:space="preserve"> PAGEREF _Toc135162123 \h </w:instrText>
      </w:r>
      <w:r>
        <w:fldChar w:fldCharType="separate"/>
      </w:r>
      <w:r>
        <w:t>6</w:t>
      </w:r>
      <w:r>
        <w:fldChar w:fldCharType="end"/>
      </w:r>
      <w:r>
        <w:fldChar w:fldCharType="end"/>
      </w:r>
    </w:p>
    <w:p w14:paraId="4C1DB4AF">
      <w:pPr>
        <w:pStyle w:val="5"/>
        <w:tabs>
          <w:tab w:val="right" w:leader="dot" w:pos="8834"/>
        </w:tabs>
        <w:rPr>
          <w:rFonts w:hint="eastAsia" w:asciiTheme="minorHAnsi" w:hAnsiTheme="minorHAnsi" w:eastAsiaTheme="minorEastAsia" w:cstheme="minorBidi"/>
          <w:szCs w:val="22"/>
        </w:rPr>
      </w:pPr>
      <w:r>
        <w:fldChar w:fldCharType="begin"/>
      </w:r>
      <w:r>
        <w:instrText xml:space="preserve"> HYPERLINK \l "_Toc135162124" </w:instrText>
      </w:r>
      <w:r>
        <w:fldChar w:fldCharType="separate"/>
      </w:r>
      <w:r>
        <w:rPr>
          <w:rStyle w:val="14"/>
          <w:rFonts w:ascii="楷体" w:hAnsi="楷体" w:eastAsia="楷体" w:cs="Arial"/>
          <w:kern w:val="0"/>
        </w:rPr>
        <w:t>4.产出成本</w:t>
      </w:r>
      <w:r>
        <w:tab/>
      </w:r>
      <w:r>
        <w:fldChar w:fldCharType="begin"/>
      </w:r>
      <w:r>
        <w:instrText xml:space="preserve"> PAGEREF _Toc135162124 \h </w:instrText>
      </w:r>
      <w:r>
        <w:fldChar w:fldCharType="separate"/>
      </w:r>
      <w:r>
        <w:t>6</w:t>
      </w:r>
      <w:r>
        <w:fldChar w:fldCharType="end"/>
      </w:r>
      <w:r>
        <w:fldChar w:fldCharType="end"/>
      </w:r>
    </w:p>
    <w:p w14:paraId="2AA96B47">
      <w:pPr>
        <w:pStyle w:val="9"/>
        <w:tabs>
          <w:tab w:val="right" w:leader="dot" w:pos="8834"/>
        </w:tabs>
        <w:rPr>
          <w:rFonts w:hint="eastAsia" w:asciiTheme="minorHAnsi" w:hAnsiTheme="minorHAnsi" w:eastAsiaTheme="minorEastAsia" w:cstheme="minorBidi"/>
          <w:szCs w:val="22"/>
        </w:rPr>
      </w:pPr>
      <w:r>
        <w:fldChar w:fldCharType="begin"/>
      </w:r>
      <w:r>
        <w:instrText xml:space="preserve"> HYPERLINK \l "_Toc135162125" </w:instrText>
      </w:r>
      <w:r>
        <w:fldChar w:fldCharType="separate"/>
      </w:r>
      <w:r>
        <w:rPr>
          <w:rStyle w:val="14"/>
          <w:rFonts w:ascii="楷体" w:hAnsi="楷体" w:eastAsia="楷体" w:cs="Arial"/>
          <w:b/>
          <w:bCs/>
          <w:kern w:val="0"/>
        </w:rPr>
        <w:t>（二）效果实现情况分析</w:t>
      </w:r>
      <w:r>
        <w:tab/>
      </w:r>
      <w:r>
        <w:fldChar w:fldCharType="begin"/>
      </w:r>
      <w:r>
        <w:instrText xml:space="preserve"> PAGEREF _Toc135162125 \h </w:instrText>
      </w:r>
      <w:r>
        <w:fldChar w:fldCharType="separate"/>
      </w:r>
      <w:r>
        <w:t>7</w:t>
      </w:r>
      <w:r>
        <w:fldChar w:fldCharType="end"/>
      </w:r>
      <w:r>
        <w:fldChar w:fldCharType="end"/>
      </w:r>
    </w:p>
    <w:p w14:paraId="40854421">
      <w:pPr>
        <w:pStyle w:val="5"/>
        <w:tabs>
          <w:tab w:val="right" w:leader="dot" w:pos="8834"/>
        </w:tabs>
        <w:rPr>
          <w:rFonts w:hint="eastAsia" w:asciiTheme="minorHAnsi" w:hAnsiTheme="minorHAnsi" w:eastAsiaTheme="minorEastAsia" w:cstheme="minorBidi"/>
          <w:szCs w:val="22"/>
        </w:rPr>
      </w:pPr>
      <w:r>
        <w:fldChar w:fldCharType="begin"/>
      </w:r>
      <w:r>
        <w:instrText xml:space="preserve"> HYPERLINK \l "_Toc135162126" </w:instrText>
      </w:r>
      <w:r>
        <w:fldChar w:fldCharType="separate"/>
      </w:r>
      <w:r>
        <w:rPr>
          <w:rStyle w:val="14"/>
          <w:rFonts w:ascii="楷体" w:hAnsi="楷体" w:eastAsia="楷体" w:cs="Arial"/>
          <w:kern w:val="0"/>
        </w:rPr>
        <w:t>1.经济效益</w:t>
      </w:r>
      <w:r>
        <w:tab/>
      </w:r>
      <w:r>
        <w:fldChar w:fldCharType="begin"/>
      </w:r>
      <w:r>
        <w:instrText xml:space="preserve"> PAGEREF _Toc135162126 \h </w:instrText>
      </w:r>
      <w:r>
        <w:fldChar w:fldCharType="separate"/>
      </w:r>
      <w:r>
        <w:t>7</w:t>
      </w:r>
      <w:r>
        <w:fldChar w:fldCharType="end"/>
      </w:r>
      <w:r>
        <w:fldChar w:fldCharType="end"/>
      </w:r>
    </w:p>
    <w:p w14:paraId="53938ED0">
      <w:pPr>
        <w:pStyle w:val="5"/>
        <w:tabs>
          <w:tab w:val="right" w:leader="dot" w:pos="8834"/>
        </w:tabs>
        <w:rPr>
          <w:rFonts w:hint="eastAsia" w:asciiTheme="minorHAnsi" w:hAnsiTheme="minorHAnsi" w:eastAsiaTheme="minorEastAsia" w:cstheme="minorBidi"/>
          <w:szCs w:val="22"/>
        </w:rPr>
      </w:pPr>
      <w:r>
        <w:fldChar w:fldCharType="begin"/>
      </w:r>
      <w:r>
        <w:instrText xml:space="preserve"> HYPERLINK \l "_Toc135162127" </w:instrText>
      </w:r>
      <w:r>
        <w:fldChar w:fldCharType="separate"/>
      </w:r>
      <w:r>
        <w:rPr>
          <w:rStyle w:val="14"/>
          <w:rFonts w:ascii="楷体" w:hAnsi="楷体" w:eastAsia="楷体" w:cs="Arial"/>
          <w:kern w:val="0"/>
        </w:rPr>
        <w:t>2.社会效益</w:t>
      </w:r>
      <w:r>
        <w:tab/>
      </w:r>
      <w:r>
        <w:fldChar w:fldCharType="begin"/>
      </w:r>
      <w:r>
        <w:instrText xml:space="preserve"> PAGEREF _Toc135162127 \h </w:instrText>
      </w:r>
      <w:r>
        <w:fldChar w:fldCharType="separate"/>
      </w:r>
      <w:r>
        <w:t>7</w:t>
      </w:r>
      <w:r>
        <w:fldChar w:fldCharType="end"/>
      </w:r>
      <w:r>
        <w:fldChar w:fldCharType="end"/>
      </w:r>
    </w:p>
    <w:p w14:paraId="5EDA9FD2">
      <w:pPr>
        <w:pStyle w:val="5"/>
        <w:tabs>
          <w:tab w:val="right" w:leader="dot" w:pos="8834"/>
        </w:tabs>
        <w:rPr>
          <w:rFonts w:hint="eastAsia" w:asciiTheme="minorHAnsi" w:hAnsiTheme="minorHAnsi" w:eastAsiaTheme="minorEastAsia" w:cstheme="minorBidi"/>
          <w:szCs w:val="22"/>
        </w:rPr>
      </w:pPr>
      <w:r>
        <w:fldChar w:fldCharType="begin"/>
      </w:r>
      <w:r>
        <w:instrText xml:space="preserve"> HYPERLINK \l "_Toc135162128" </w:instrText>
      </w:r>
      <w:r>
        <w:fldChar w:fldCharType="separate"/>
      </w:r>
      <w:r>
        <w:rPr>
          <w:rStyle w:val="14"/>
          <w:rFonts w:ascii="楷体" w:hAnsi="楷体" w:eastAsia="楷体" w:cs="Arial"/>
          <w:kern w:val="0"/>
        </w:rPr>
        <w:t>3.可持续性影响</w:t>
      </w:r>
      <w:r>
        <w:tab/>
      </w:r>
      <w:r>
        <w:fldChar w:fldCharType="begin"/>
      </w:r>
      <w:r>
        <w:instrText xml:space="preserve"> PAGEREF _Toc135162128 \h </w:instrText>
      </w:r>
      <w:r>
        <w:fldChar w:fldCharType="separate"/>
      </w:r>
      <w:r>
        <w:t>7</w:t>
      </w:r>
      <w:r>
        <w:fldChar w:fldCharType="end"/>
      </w:r>
      <w:r>
        <w:fldChar w:fldCharType="end"/>
      </w:r>
    </w:p>
    <w:p w14:paraId="04322877">
      <w:pPr>
        <w:pStyle w:val="8"/>
        <w:rPr>
          <w:rFonts w:hint="eastAsia" w:asciiTheme="minorHAnsi" w:hAnsiTheme="minorHAnsi" w:eastAsiaTheme="minorEastAsia" w:cstheme="minorBidi"/>
          <w:szCs w:val="22"/>
        </w:rPr>
      </w:pPr>
      <w:r>
        <w:fldChar w:fldCharType="begin"/>
      </w:r>
      <w:r>
        <w:instrText xml:space="preserve"> HYPERLINK \l "_Toc135162129" </w:instrText>
      </w:r>
      <w:r>
        <w:fldChar w:fldCharType="separate"/>
      </w:r>
      <w:r>
        <w:rPr>
          <w:rStyle w:val="14"/>
          <w:rFonts w:ascii="楷体" w:hAnsi="楷体" w:eastAsia="楷体" w:cs="Arial"/>
        </w:rPr>
        <w:t>四、预算管理情况分析</w:t>
      </w:r>
      <w:r>
        <w:tab/>
      </w:r>
      <w:r>
        <w:fldChar w:fldCharType="begin"/>
      </w:r>
      <w:r>
        <w:instrText xml:space="preserve"> PAGEREF _Toc135162129 \h </w:instrText>
      </w:r>
      <w:r>
        <w:fldChar w:fldCharType="separate"/>
      </w:r>
      <w:r>
        <w:t>8</w:t>
      </w:r>
      <w:r>
        <w:fldChar w:fldCharType="end"/>
      </w:r>
      <w:r>
        <w:fldChar w:fldCharType="end"/>
      </w:r>
    </w:p>
    <w:p w14:paraId="1347034C">
      <w:pPr>
        <w:pStyle w:val="9"/>
        <w:tabs>
          <w:tab w:val="right" w:leader="dot" w:pos="8834"/>
        </w:tabs>
        <w:rPr>
          <w:rFonts w:hint="eastAsia" w:asciiTheme="minorHAnsi" w:hAnsiTheme="minorHAnsi" w:eastAsiaTheme="minorEastAsia" w:cstheme="minorBidi"/>
          <w:szCs w:val="22"/>
        </w:rPr>
      </w:pPr>
      <w:r>
        <w:fldChar w:fldCharType="begin"/>
      </w:r>
      <w:r>
        <w:instrText xml:space="preserve"> HYPERLINK \l "_Toc135162130" </w:instrText>
      </w:r>
      <w:r>
        <w:fldChar w:fldCharType="separate"/>
      </w:r>
      <w:r>
        <w:rPr>
          <w:rStyle w:val="14"/>
          <w:rFonts w:ascii="楷体" w:hAnsi="楷体" w:eastAsia="楷体" w:cs="Arial"/>
          <w:b/>
          <w:bCs/>
          <w:kern w:val="0"/>
        </w:rPr>
        <w:t>（一）财务管理</w:t>
      </w:r>
      <w:r>
        <w:tab/>
      </w:r>
      <w:r>
        <w:fldChar w:fldCharType="begin"/>
      </w:r>
      <w:r>
        <w:instrText xml:space="preserve"> PAGEREF _Toc135162130 \h </w:instrText>
      </w:r>
      <w:r>
        <w:fldChar w:fldCharType="separate"/>
      </w:r>
      <w:r>
        <w:t>8</w:t>
      </w:r>
      <w:r>
        <w:fldChar w:fldCharType="end"/>
      </w:r>
      <w:r>
        <w:fldChar w:fldCharType="end"/>
      </w:r>
    </w:p>
    <w:p w14:paraId="26563894">
      <w:pPr>
        <w:pStyle w:val="5"/>
        <w:tabs>
          <w:tab w:val="right" w:leader="dot" w:pos="8834"/>
        </w:tabs>
        <w:rPr>
          <w:rFonts w:hint="eastAsia" w:asciiTheme="minorHAnsi" w:hAnsiTheme="minorHAnsi" w:eastAsiaTheme="minorEastAsia" w:cstheme="minorBidi"/>
          <w:szCs w:val="22"/>
        </w:rPr>
      </w:pPr>
      <w:r>
        <w:fldChar w:fldCharType="begin"/>
      </w:r>
      <w:r>
        <w:instrText xml:space="preserve"> HYPERLINK \l "_Toc135162131" </w:instrText>
      </w:r>
      <w:r>
        <w:fldChar w:fldCharType="separate"/>
      </w:r>
      <w:r>
        <w:rPr>
          <w:rStyle w:val="14"/>
          <w:rFonts w:ascii="楷体" w:hAnsi="楷体" w:eastAsia="楷体" w:cs="Arial"/>
          <w:kern w:val="0"/>
        </w:rPr>
        <w:t>1.财务管理制度健全性</w:t>
      </w:r>
      <w:r>
        <w:tab/>
      </w:r>
      <w:r>
        <w:fldChar w:fldCharType="begin"/>
      </w:r>
      <w:r>
        <w:instrText xml:space="preserve"> PAGEREF _Toc135162131 \h </w:instrText>
      </w:r>
      <w:r>
        <w:fldChar w:fldCharType="separate"/>
      </w:r>
      <w:r>
        <w:t>8</w:t>
      </w:r>
      <w:r>
        <w:fldChar w:fldCharType="end"/>
      </w:r>
      <w:r>
        <w:fldChar w:fldCharType="end"/>
      </w:r>
    </w:p>
    <w:p w14:paraId="54C5418F">
      <w:pPr>
        <w:pStyle w:val="5"/>
        <w:tabs>
          <w:tab w:val="right" w:leader="dot" w:pos="8834"/>
        </w:tabs>
        <w:rPr>
          <w:rFonts w:hint="eastAsia" w:asciiTheme="minorHAnsi" w:hAnsiTheme="minorHAnsi" w:eastAsiaTheme="minorEastAsia" w:cstheme="minorBidi"/>
          <w:szCs w:val="22"/>
        </w:rPr>
      </w:pPr>
      <w:r>
        <w:fldChar w:fldCharType="begin"/>
      </w:r>
      <w:r>
        <w:instrText xml:space="preserve"> HYPERLINK \l "_Toc135162132" </w:instrText>
      </w:r>
      <w:r>
        <w:fldChar w:fldCharType="separate"/>
      </w:r>
      <w:r>
        <w:rPr>
          <w:rStyle w:val="14"/>
          <w:rFonts w:ascii="楷体" w:hAnsi="楷体" w:eastAsia="楷体" w:cs="Arial"/>
          <w:kern w:val="0"/>
        </w:rPr>
        <w:t>2.资金使用合规性和安全性</w:t>
      </w:r>
      <w:r>
        <w:tab/>
      </w:r>
      <w:r>
        <w:fldChar w:fldCharType="begin"/>
      </w:r>
      <w:r>
        <w:instrText xml:space="preserve"> PAGEREF _Toc135162132 \h </w:instrText>
      </w:r>
      <w:r>
        <w:fldChar w:fldCharType="separate"/>
      </w:r>
      <w:r>
        <w:t>8</w:t>
      </w:r>
      <w:r>
        <w:fldChar w:fldCharType="end"/>
      </w:r>
      <w:r>
        <w:fldChar w:fldCharType="end"/>
      </w:r>
    </w:p>
    <w:p w14:paraId="2E70E2D7">
      <w:pPr>
        <w:pStyle w:val="5"/>
        <w:tabs>
          <w:tab w:val="right" w:leader="dot" w:pos="8834"/>
        </w:tabs>
        <w:rPr>
          <w:rFonts w:hint="eastAsia" w:asciiTheme="minorHAnsi" w:hAnsiTheme="minorHAnsi" w:eastAsiaTheme="minorEastAsia" w:cstheme="minorBidi"/>
          <w:szCs w:val="22"/>
        </w:rPr>
      </w:pPr>
      <w:r>
        <w:fldChar w:fldCharType="begin"/>
      </w:r>
      <w:r>
        <w:instrText xml:space="preserve"> HYPERLINK \l "_Toc135162133" </w:instrText>
      </w:r>
      <w:r>
        <w:fldChar w:fldCharType="separate"/>
      </w:r>
      <w:r>
        <w:rPr>
          <w:rStyle w:val="14"/>
          <w:rFonts w:ascii="楷体" w:hAnsi="楷体" w:eastAsia="楷体" w:cs="Arial"/>
          <w:kern w:val="0"/>
        </w:rPr>
        <w:t>3.会计基础信息完善性</w:t>
      </w:r>
      <w:r>
        <w:tab/>
      </w:r>
      <w:r>
        <w:fldChar w:fldCharType="begin"/>
      </w:r>
      <w:r>
        <w:instrText xml:space="preserve"> PAGEREF _Toc135162133 \h </w:instrText>
      </w:r>
      <w:r>
        <w:fldChar w:fldCharType="separate"/>
      </w:r>
      <w:r>
        <w:t>8</w:t>
      </w:r>
      <w:r>
        <w:fldChar w:fldCharType="end"/>
      </w:r>
      <w:r>
        <w:fldChar w:fldCharType="end"/>
      </w:r>
    </w:p>
    <w:p w14:paraId="3BBB2E6B">
      <w:pPr>
        <w:pStyle w:val="9"/>
        <w:tabs>
          <w:tab w:val="right" w:leader="dot" w:pos="8834"/>
        </w:tabs>
        <w:rPr>
          <w:rFonts w:hint="eastAsia" w:asciiTheme="minorHAnsi" w:hAnsiTheme="minorHAnsi" w:eastAsiaTheme="minorEastAsia" w:cstheme="minorBidi"/>
          <w:szCs w:val="22"/>
        </w:rPr>
      </w:pPr>
      <w:r>
        <w:fldChar w:fldCharType="begin"/>
      </w:r>
      <w:r>
        <w:instrText xml:space="preserve"> HYPERLINK \l "_Toc135162134" </w:instrText>
      </w:r>
      <w:r>
        <w:fldChar w:fldCharType="separate"/>
      </w:r>
      <w:r>
        <w:rPr>
          <w:rStyle w:val="14"/>
          <w:rFonts w:ascii="楷体" w:hAnsi="楷体" w:eastAsia="楷体" w:cs="Arial"/>
          <w:b/>
          <w:bCs/>
          <w:kern w:val="0"/>
        </w:rPr>
        <w:t>（二）资产管理</w:t>
      </w:r>
      <w:r>
        <w:tab/>
      </w:r>
      <w:r>
        <w:fldChar w:fldCharType="begin"/>
      </w:r>
      <w:r>
        <w:instrText xml:space="preserve"> PAGEREF _Toc135162134 \h </w:instrText>
      </w:r>
      <w:r>
        <w:fldChar w:fldCharType="separate"/>
      </w:r>
      <w:r>
        <w:t>8</w:t>
      </w:r>
      <w:r>
        <w:fldChar w:fldCharType="end"/>
      </w:r>
      <w:r>
        <w:fldChar w:fldCharType="end"/>
      </w:r>
    </w:p>
    <w:p w14:paraId="16F09052">
      <w:pPr>
        <w:pStyle w:val="9"/>
        <w:tabs>
          <w:tab w:val="right" w:leader="dot" w:pos="8834"/>
        </w:tabs>
        <w:rPr>
          <w:rFonts w:hint="eastAsia" w:asciiTheme="minorHAnsi" w:hAnsiTheme="minorHAnsi" w:eastAsiaTheme="minorEastAsia" w:cstheme="minorBidi"/>
          <w:szCs w:val="22"/>
        </w:rPr>
      </w:pPr>
      <w:r>
        <w:fldChar w:fldCharType="begin"/>
      </w:r>
      <w:r>
        <w:instrText xml:space="preserve"> HYPERLINK \l "_Toc135162135" </w:instrText>
      </w:r>
      <w:r>
        <w:fldChar w:fldCharType="separate"/>
      </w:r>
      <w:r>
        <w:rPr>
          <w:rStyle w:val="14"/>
          <w:rFonts w:ascii="楷体" w:hAnsi="楷体" w:eastAsia="楷体" w:cs="Arial"/>
          <w:b/>
          <w:bCs/>
          <w:kern w:val="0"/>
        </w:rPr>
        <w:t>（三）绩效管理</w:t>
      </w:r>
      <w:r>
        <w:tab/>
      </w:r>
      <w:r>
        <w:fldChar w:fldCharType="begin"/>
      </w:r>
      <w:r>
        <w:instrText xml:space="preserve"> PAGEREF _Toc135162135 \h </w:instrText>
      </w:r>
      <w:r>
        <w:fldChar w:fldCharType="separate"/>
      </w:r>
      <w:r>
        <w:t>9</w:t>
      </w:r>
      <w:r>
        <w:fldChar w:fldCharType="end"/>
      </w:r>
      <w:r>
        <w:fldChar w:fldCharType="end"/>
      </w:r>
    </w:p>
    <w:p w14:paraId="25DD5E47">
      <w:pPr>
        <w:pStyle w:val="5"/>
        <w:tabs>
          <w:tab w:val="right" w:leader="dot" w:pos="8834"/>
        </w:tabs>
        <w:rPr>
          <w:rFonts w:hint="eastAsia" w:asciiTheme="minorHAnsi" w:hAnsiTheme="minorHAnsi" w:eastAsiaTheme="minorEastAsia" w:cstheme="minorBidi"/>
          <w:szCs w:val="22"/>
        </w:rPr>
      </w:pPr>
      <w:r>
        <w:fldChar w:fldCharType="begin"/>
      </w:r>
      <w:r>
        <w:instrText xml:space="preserve"> HYPERLINK \l "_Toc135162136" </w:instrText>
      </w:r>
      <w:r>
        <w:fldChar w:fldCharType="separate"/>
      </w:r>
      <w:r>
        <w:rPr>
          <w:rStyle w:val="14"/>
          <w:rFonts w:ascii="楷体" w:hAnsi="楷体" w:eastAsia="楷体" w:cs="Arial"/>
          <w:kern w:val="0"/>
        </w:rPr>
        <w:t>1．绩效管理组织机构</w:t>
      </w:r>
      <w:r>
        <w:tab/>
      </w:r>
      <w:r>
        <w:fldChar w:fldCharType="begin"/>
      </w:r>
      <w:r>
        <w:instrText xml:space="preserve"> PAGEREF _Toc135162136 \h </w:instrText>
      </w:r>
      <w:r>
        <w:fldChar w:fldCharType="separate"/>
      </w:r>
      <w:r>
        <w:t>9</w:t>
      </w:r>
      <w:r>
        <w:fldChar w:fldCharType="end"/>
      </w:r>
      <w:r>
        <w:fldChar w:fldCharType="end"/>
      </w:r>
    </w:p>
    <w:p w14:paraId="38767E05">
      <w:pPr>
        <w:pStyle w:val="5"/>
        <w:tabs>
          <w:tab w:val="right" w:leader="dot" w:pos="8834"/>
        </w:tabs>
        <w:rPr>
          <w:rFonts w:hint="eastAsia" w:asciiTheme="minorHAnsi" w:hAnsiTheme="minorHAnsi" w:eastAsiaTheme="minorEastAsia" w:cstheme="minorBidi"/>
          <w:szCs w:val="22"/>
        </w:rPr>
      </w:pPr>
      <w:r>
        <w:fldChar w:fldCharType="begin"/>
      </w:r>
      <w:r>
        <w:instrText xml:space="preserve"> HYPERLINK \l "_Toc135162137" </w:instrText>
      </w:r>
      <w:r>
        <w:fldChar w:fldCharType="separate"/>
      </w:r>
      <w:r>
        <w:rPr>
          <w:rStyle w:val="14"/>
          <w:rFonts w:ascii="楷体" w:hAnsi="楷体" w:eastAsia="楷体" w:cs="Arial"/>
          <w:kern w:val="0"/>
        </w:rPr>
        <w:t>2．绩效信息收集</w:t>
      </w:r>
      <w:r>
        <w:tab/>
      </w:r>
      <w:r>
        <w:fldChar w:fldCharType="begin"/>
      </w:r>
      <w:r>
        <w:instrText xml:space="preserve"> PAGEREF _Toc135162137 \h </w:instrText>
      </w:r>
      <w:r>
        <w:fldChar w:fldCharType="separate"/>
      </w:r>
      <w:r>
        <w:t>9</w:t>
      </w:r>
      <w:r>
        <w:fldChar w:fldCharType="end"/>
      </w:r>
      <w:r>
        <w:fldChar w:fldCharType="end"/>
      </w:r>
    </w:p>
    <w:p w14:paraId="34CD5072">
      <w:pPr>
        <w:pStyle w:val="9"/>
        <w:tabs>
          <w:tab w:val="right" w:leader="dot" w:pos="8834"/>
        </w:tabs>
        <w:rPr>
          <w:rFonts w:hint="eastAsia" w:asciiTheme="minorHAnsi" w:hAnsiTheme="minorHAnsi" w:eastAsiaTheme="minorEastAsia" w:cstheme="minorBidi"/>
          <w:szCs w:val="22"/>
        </w:rPr>
      </w:pPr>
      <w:r>
        <w:fldChar w:fldCharType="begin"/>
      </w:r>
      <w:r>
        <w:instrText xml:space="preserve"> HYPERLINK \l "_Toc135162138" </w:instrText>
      </w:r>
      <w:r>
        <w:fldChar w:fldCharType="separate"/>
      </w:r>
      <w:r>
        <w:rPr>
          <w:rStyle w:val="14"/>
          <w:rFonts w:ascii="楷体" w:hAnsi="楷体" w:eastAsia="楷体" w:cs="Arial"/>
          <w:b/>
          <w:bCs/>
          <w:kern w:val="0"/>
        </w:rPr>
        <w:t>（四）结转结余率</w:t>
      </w:r>
      <w:r>
        <w:tab/>
      </w:r>
      <w:r>
        <w:fldChar w:fldCharType="begin"/>
      </w:r>
      <w:r>
        <w:instrText xml:space="preserve"> PAGEREF _Toc135162138 \h </w:instrText>
      </w:r>
      <w:r>
        <w:fldChar w:fldCharType="separate"/>
      </w:r>
      <w:r>
        <w:t>10</w:t>
      </w:r>
      <w:r>
        <w:fldChar w:fldCharType="end"/>
      </w:r>
      <w:r>
        <w:fldChar w:fldCharType="end"/>
      </w:r>
    </w:p>
    <w:p w14:paraId="4393FBF5">
      <w:pPr>
        <w:pStyle w:val="9"/>
        <w:tabs>
          <w:tab w:val="right" w:leader="dot" w:pos="8834"/>
        </w:tabs>
        <w:rPr>
          <w:rFonts w:hint="eastAsia" w:asciiTheme="minorHAnsi" w:hAnsiTheme="minorHAnsi" w:eastAsiaTheme="minorEastAsia" w:cstheme="minorBidi"/>
          <w:szCs w:val="22"/>
        </w:rPr>
      </w:pPr>
      <w:r>
        <w:fldChar w:fldCharType="begin"/>
      </w:r>
      <w:r>
        <w:instrText xml:space="preserve"> HYPERLINK \l "_Toc135162139" </w:instrText>
      </w:r>
      <w:r>
        <w:fldChar w:fldCharType="separate"/>
      </w:r>
      <w:r>
        <w:rPr>
          <w:rStyle w:val="14"/>
          <w:rFonts w:ascii="楷体" w:hAnsi="楷体" w:eastAsia="楷体" w:cs="Arial"/>
          <w:b/>
          <w:bCs/>
          <w:kern w:val="0"/>
        </w:rPr>
        <w:t>（五）部门预决算差异率</w:t>
      </w:r>
      <w:r>
        <w:tab/>
      </w:r>
      <w:r>
        <w:fldChar w:fldCharType="begin"/>
      </w:r>
      <w:r>
        <w:instrText xml:space="preserve"> PAGEREF _Toc135162139 \h </w:instrText>
      </w:r>
      <w:r>
        <w:fldChar w:fldCharType="separate"/>
      </w:r>
      <w:r>
        <w:t>10</w:t>
      </w:r>
      <w:r>
        <w:fldChar w:fldCharType="end"/>
      </w:r>
      <w:r>
        <w:fldChar w:fldCharType="end"/>
      </w:r>
    </w:p>
    <w:p w14:paraId="1F35B7FA">
      <w:pPr>
        <w:pStyle w:val="8"/>
        <w:rPr>
          <w:rFonts w:hint="eastAsia" w:asciiTheme="minorHAnsi" w:hAnsiTheme="minorHAnsi" w:eastAsiaTheme="minorEastAsia" w:cstheme="minorBidi"/>
          <w:szCs w:val="22"/>
        </w:rPr>
      </w:pPr>
      <w:r>
        <w:fldChar w:fldCharType="begin"/>
      </w:r>
      <w:r>
        <w:instrText xml:space="preserve"> HYPERLINK \l "_Toc135162140" </w:instrText>
      </w:r>
      <w:r>
        <w:fldChar w:fldCharType="separate"/>
      </w:r>
      <w:r>
        <w:rPr>
          <w:rStyle w:val="14"/>
          <w:rFonts w:ascii="楷体" w:hAnsi="楷体" w:eastAsia="楷体" w:cs="Arial"/>
        </w:rPr>
        <w:t>五、总体评价结论</w:t>
      </w:r>
      <w:r>
        <w:tab/>
      </w:r>
      <w:r>
        <w:fldChar w:fldCharType="begin"/>
      </w:r>
      <w:r>
        <w:instrText xml:space="preserve"> PAGEREF _Toc135162140 \h </w:instrText>
      </w:r>
      <w:r>
        <w:fldChar w:fldCharType="separate"/>
      </w:r>
      <w:r>
        <w:t>10</w:t>
      </w:r>
      <w:r>
        <w:fldChar w:fldCharType="end"/>
      </w:r>
      <w:r>
        <w:fldChar w:fldCharType="end"/>
      </w:r>
    </w:p>
    <w:p w14:paraId="6ADFC0B8">
      <w:pPr>
        <w:pStyle w:val="9"/>
        <w:tabs>
          <w:tab w:val="right" w:leader="dot" w:pos="8834"/>
        </w:tabs>
        <w:rPr>
          <w:rFonts w:hint="eastAsia" w:asciiTheme="minorHAnsi" w:hAnsiTheme="minorHAnsi" w:eastAsiaTheme="minorEastAsia" w:cstheme="minorBidi"/>
          <w:szCs w:val="22"/>
        </w:rPr>
      </w:pPr>
      <w:r>
        <w:fldChar w:fldCharType="begin"/>
      </w:r>
      <w:r>
        <w:instrText xml:space="preserve"> HYPERLINK \l "_Toc135162141" </w:instrText>
      </w:r>
      <w:r>
        <w:fldChar w:fldCharType="separate"/>
      </w:r>
      <w:r>
        <w:rPr>
          <w:rStyle w:val="14"/>
          <w:rFonts w:ascii="楷体" w:hAnsi="楷体" w:eastAsia="楷体" w:cs="Arial"/>
          <w:b/>
          <w:bCs/>
          <w:kern w:val="0"/>
        </w:rPr>
        <w:t>（一）评价得分情况</w:t>
      </w:r>
      <w:r>
        <w:tab/>
      </w:r>
      <w:r>
        <w:fldChar w:fldCharType="begin"/>
      </w:r>
      <w:r>
        <w:instrText xml:space="preserve"> PAGEREF _Toc135162141 \h </w:instrText>
      </w:r>
      <w:r>
        <w:fldChar w:fldCharType="separate"/>
      </w:r>
      <w:r>
        <w:t>10</w:t>
      </w:r>
      <w:r>
        <w:fldChar w:fldCharType="end"/>
      </w:r>
      <w:r>
        <w:fldChar w:fldCharType="end"/>
      </w:r>
    </w:p>
    <w:p w14:paraId="24F136F3">
      <w:pPr>
        <w:pStyle w:val="9"/>
        <w:tabs>
          <w:tab w:val="right" w:leader="dot" w:pos="8834"/>
        </w:tabs>
        <w:rPr>
          <w:rFonts w:hint="eastAsia" w:asciiTheme="minorHAnsi" w:hAnsiTheme="minorHAnsi" w:eastAsiaTheme="minorEastAsia" w:cstheme="minorBidi"/>
          <w:szCs w:val="22"/>
        </w:rPr>
      </w:pPr>
      <w:r>
        <w:fldChar w:fldCharType="begin"/>
      </w:r>
      <w:r>
        <w:instrText xml:space="preserve"> HYPERLINK \l "_Toc135162142" </w:instrText>
      </w:r>
      <w:r>
        <w:fldChar w:fldCharType="separate"/>
      </w:r>
      <w:r>
        <w:rPr>
          <w:rStyle w:val="14"/>
          <w:rFonts w:ascii="楷体" w:hAnsi="楷体" w:eastAsia="楷体" w:cs="Arial"/>
          <w:b/>
          <w:bCs/>
          <w:kern w:val="0"/>
        </w:rPr>
        <w:t>（二）存在的问题及原因分析</w:t>
      </w:r>
      <w:r>
        <w:tab/>
      </w:r>
      <w:r>
        <w:fldChar w:fldCharType="begin"/>
      </w:r>
      <w:r>
        <w:instrText xml:space="preserve"> PAGEREF _Toc135162142 \h </w:instrText>
      </w:r>
      <w:r>
        <w:fldChar w:fldCharType="separate"/>
      </w:r>
      <w:r>
        <w:t>10</w:t>
      </w:r>
      <w:r>
        <w:fldChar w:fldCharType="end"/>
      </w:r>
      <w:r>
        <w:fldChar w:fldCharType="end"/>
      </w:r>
    </w:p>
    <w:p w14:paraId="54D5D587">
      <w:pPr>
        <w:pStyle w:val="8"/>
        <w:rPr>
          <w:rFonts w:hint="eastAsia" w:asciiTheme="minorHAnsi" w:hAnsiTheme="minorHAnsi" w:eastAsiaTheme="minorEastAsia" w:cstheme="minorBidi"/>
          <w:szCs w:val="22"/>
        </w:rPr>
      </w:pPr>
      <w:r>
        <w:fldChar w:fldCharType="begin"/>
      </w:r>
      <w:r>
        <w:instrText xml:space="preserve"> HYPERLINK \l "_Toc135162143" </w:instrText>
      </w:r>
      <w:r>
        <w:fldChar w:fldCharType="separate"/>
      </w:r>
      <w:r>
        <w:rPr>
          <w:rStyle w:val="14"/>
          <w:rFonts w:ascii="楷体" w:hAnsi="楷体" w:eastAsia="楷体" w:cs="Arial"/>
        </w:rPr>
        <w:t>六、措施建议</w:t>
      </w:r>
      <w:r>
        <w:tab/>
      </w:r>
      <w:r>
        <w:fldChar w:fldCharType="begin"/>
      </w:r>
      <w:r>
        <w:instrText xml:space="preserve"> PAGEREF _Toc135162143 \h </w:instrText>
      </w:r>
      <w:r>
        <w:fldChar w:fldCharType="separate"/>
      </w:r>
      <w:r>
        <w:t>11</w:t>
      </w:r>
      <w:r>
        <w:fldChar w:fldCharType="end"/>
      </w:r>
      <w:r>
        <w:fldChar w:fldCharType="end"/>
      </w:r>
    </w:p>
    <w:p w14:paraId="2A6D804C">
      <w:pPr>
        <w:pStyle w:val="8"/>
        <w:rPr>
          <w:rFonts w:hint="eastAsia" w:asciiTheme="minorHAnsi" w:hAnsiTheme="minorHAnsi" w:eastAsiaTheme="minorEastAsia" w:cstheme="minorBidi"/>
          <w:szCs w:val="22"/>
        </w:rPr>
      </w:pPr>
      <w:r>
        <w:fldChar w:fldCharType="begin"/>
      </w:r>
      <w:r>
        <w:instrText xml:space="preserve"> HYPERLINK \l "_Toc135162144" </w:instrText>
      </w:r>
      <w:r>
        <w:fldChar w:fldCharType="separate"/>
      </w:r>
      <w:r>
        <w:rPr>
          <w:rStyle w:val="14"/>
          <w:rFonts w:ascii="楷体" w:hAnsi="楷体" w:eastAsia="楷体" w:cs="Arial"/>
        </w:rPr>
        <w:t>七、附件</w:t>
      </w:r>
      <w:r>
        <w:tab/>
      </w:r>
      <w:r>
        <w:fldChar w:fldCharType="begin"/>
      </w:r>
      <w:r>
        <w:instrText xml:space="preserve"> PAGEREF _Toc135162144 \h </w:instrText>
      </w:r>
      <w:r>
        <w:fldChar w:fldCharType="separate"/>
      </w:r>
      <w:r>
        <w:t>11</w:t>
      </w:r>
      <w:r>
        <w:fldChar w:fldCharType="end"/>
      </w:r>
      <w:r>
        <w:fldChar w:fldCharType="end"/>
      </w:r>
    </w:p>
    <w:p w14:paraId="491E5364">
      <w:pPr>
        <w:pStyle w:val="8"/>
        <w:spacing w:line="400" w:lineRule="exact"/>
        <w:rPr>
          <w:rFonts w:hint="eastAsia" w:ascii="宋体" w:hAnsi="宋体" w:cs="Arial"/>
          <w:sz w:val="24"/>
          <w:lang w:val="zh-CN"/>
        </w:rPr>
      </w:pPr>
      <w:r>
        <w:rPr>
          <w:rFonts w:ascii="宋体" w:hAnsi="宋体" w:cs="Arial"/>
          <w:sz w:val="24"/>
          <w:lang w:val="zh-CN"/>
        </w:rPr>
        <w:fldChar w:fldCharType="end"/>
      </w:r>
    </w:p>
    <w:p w14:paraId="521AE8FC">
      <w:pPr>
        <w:widowControl/>
        <w:jc w:val="left"/>
        <w:rPr>
          <w:rFonts w:hint="eastAsia" w:ascii="宋体" w:hAnsi="宋体" w:cs="Arial"/>
          <w:sz w:val="24"/>
          <w:lang w:val="zh-CN"/>
        </w:rPr>
      </w:pPr>
      <w:r>
        <w:rPr>
          <w:rFonts w:ascii="宋体" w:hAnsi="宋体" w:cs="Arial"/>
          <w:sz w:val="24"/>
          <w:lang w:val="zh-CN"/>
        </w:rPr>
        <w:br w:type="page"/>
      </w:r>
    </w:p>
    <w:p w14:paraId="4723E6C2">
      <w:pPr>
        <w:pStyle w:val="8"/>
        <w:spacing w:line="400" w:lineRule="exact"/>
        <w:rPr>
          <w:rFonts w:ascii="Arial Narrow" w:hAnsi="Arial Narrow" w:eastAsia="方正小标宋简体" w:cs="Arial"/>
          <w:bCs/>
          <w:color w:val="000000"/>
          <w:kern w:val="0"/>
          <w:sz w:val="36"/>
          <w:szCs w:val="36"/>
        </w:rPr>
      </w:pPr>
      <w:r>
        <w:rPr>
          <w:rFonts w:ascii="Arial Narrow" w:hAnsi="Arial Narrow" w:eastAsia="方正小标宋简体" w:cs="Arial"/>
          <w:bCs/>
          <w:color w:val="000000"/>
          <w:kern w:val="0"/>
          <w:sz w:val="36"/>
          <w:szCs w:val="36"/>
        </w:rPr>
        <w:t>北京互联网法院</w:t>
      </w:r>
    </w:p>
    <w:p w14:paraId="475888DA">
      <w:pPr>
        <w:jc w:val="center"/>
        <w:rPr>
          <w:rFonts w:ascii="Arial Narrow" w:hAnsi="Arial Narrow" w:eastAsia="方正小标宋简体" w:cs="Arial"/>
          <w:bCs/>
          <w:color w:val="000000"/>
          <w:kern w:val="0"/>
          <w:sz w:val="36"/>
          <w:szCs w:val="36"/>
        </w:rPr>
      </w:pPr>
      <w:r>
        <w:rPr>
          <w:rFonts w:ascii="Arial Narrow" w:hAnsi="Arial Narrow" w:eastAsia="方正小标宋简体" w:cs="Arial"/>
          <w:bCs/>
          <w:color w:val="000000"/>
          <w:kern w:val="0"/>
          <w:sz w:val="36"/>
          <w:szCs w:val="36"/>
        </w:rPr>
        <w:t>202</w:t>
      </w:r>
      <w:r>
        <w:rPr>
          <w:rFonts w:hint="eastAsia" w:ascii="Arial Narrow" w:hAnsi="Arial Narrow" w:eastAsia="方正小标宋简体" w:cs="Arial"/>
          <w:bCs/>
          <w:color w:val="000000"/>
          <w:kern w:val="0"/>
          <w:sz w:val="36"/>
          <w:szCs w:val="36"/>
        </w:rPr>
        <w:t>4</w:t>
      </w:r>
      <w:r>
        <w:rPr>
          <w:rFonts w:ascii="Arial Narrow" w:hAnsi="Arial Narrow" w:eastAsia="方正小标宋简体" w:cs="Arial"/>
          <w:bCs/>
          <w:color w:val="000000"/>
          <w:kern w:val="0"/>
          <w:sz w:val="36"/>
          <w:szCs w:val="36"/>
        </w:rPr>
        <w:t>年部门整体绩效评价报告</w:t>
      </w:r>
    </w:p>
    <w:p w14:paraId="2A86EE03">
      <w:pPr>
        <w:rPr>
          <w:rFonts w:ascii="Arial Narrow" w:hAnsi="Arial Narrow" w:cs="Arial"/>
          <w:bCs/>
          <w:sz w:val="36"/>
          <w:szCs w:val="36"/>
        </w:rPr>
      </w:pPr>
    </w:p>
    <w:p w14:paraId="1565A243">
      <w:pPr>
        <w:pStyle w:val="2"/>
        <w:ind w:firstLine="602"/>
        <w:rPr>
          <w:rFonts w:hint="eastAsia" w:ascii="楷体" w:hAnsi="楷体" w:eastAsia="楷体" w:cs="Arial"/>
          <w:sz w:val="30"/>
          <w:szCs w:val="30"/>
        </w:rPr>
      </w:pPr>
      <w:bookmarkStart w:id="0" w:name="_Toc135162113"/>
      <w:bookmarkStart w:id="1" w:name="_Toc169183181"/>
      <w:r>
        <w:rPr>
          <w:rFonts w:ascii="楷体" w:hAnsi="楷体" w:eastAsia="楷体" w:cs="Arial"/>
          <w:sz w:val="30"/>
          <w:szCs w:val="30"/>
        </w:rPr>
        <w:t>一、部门概况</w:t>
      </w:r>
      <w:bookmarkEnd w:id="0"/>
    </w:p>
    <w:p w14:paraId="770EAE84">
      <w:pPr>
        <w:adjustRightInd w:val="0"/>
        <w:snapToGrid w:val="0"/>
        <w:spacing w:line="360" w:lineRule="auto"/>
        <w:ind w:firstLine="602" w:firstLineChars="200"/>
        <w:outlineLvl w:val="1"/>
        <w:rPr>
          <w:rFonts w:hint="eastAsia" w:ascii="楷体" w:hAnsi="楷体" w:eastAsia="楷体" w:cs="Arial"/>
          <w:b/>
          <w:bCs/>
          <w:kern w:val="0"/>
          <w:sz w:val="30"/>
          <w:szCs w:val="30"/>
        </w:rPr>
      </w:pPr>
      <w:bookmarkStart w:id="2" w:name="_Toc1388100"/>
      <w:bookmarkStart w:id="3" w:name="_Toc35940450"/>
      <w:bookmarkStart w:id="4" w:name="_Toc135162114"/>
      <w:r>
        <w:rPr>
          <w:rFonts w:ascii="楷体" w:hAnsi="楷体" w:eastAsia="楷体" w:cs="Arial"/>
          <w:b/>
          <w:bCs/>
          <w:kern w:val="0"/>
          <w:sz w:val="30"/>
          <w:szCs w:val="30"/>
        </w:rPr>
        <w:t>（一）</w:t>
      </w:r>
      <w:bookmarkEnd w:id="2"/>
      <w:bookmarkEnd w:id="3"/>
      <w:r>
        <w:rPr>
          <w:rFonts w:ascii="楷体" w:hAnsi="楷体" w:eastAsia="楷体" w:cs="Arial"/>
          <w:b/>
          <w:bCs/>
          <w:kern w:val="0"/>
          <w:sz w:val="30"/>
          <w:szCs w:val="30"/>
        </w:rPr>
        <w:t>机构设置及职责工作任务情况</w:t>
      </w:r>
      <w:bookmarkEnd w:id="4"/>
    </w:p>
    <w:p w14:paraId="0949F76A">
      <w:pPr>
        <w:adjustRightInd w:val="0"/>
        <w:snapToGrid w:val="0"/>
        <w:spacing w:line="360" w:lineRule="auto"/>
        <w:ind w:firstLine="560" w:firstLineChars="200"/>
        <w:rPr>
          <w:rFonts w:hint="eastAsia" w:ascii="宋体" w:hAnsi="宋体" w:cs="Arial"/>
          <w:sz w:val="28"/>
          <w:szCs w:val="28"/>
        </w:rPr>
      </w:pPr>
      <w:bookmarkStart w:id="5" w:name="_Hlk104407637"/>
      <w:r>
        <w:rPr>
          <w:rFonts w:ascii="宋体" w:hAnsi="宋体" w:cs="Arial"/>
          <w:sz w:val="28"/>
          <w:szCs w:val="28"/>
        </w:rPr>
        <w:t>北京互联网法院成立于2018年9月9日，根据最高人民法院关于互联网法院审理案件司法解释的规定，北京互联网法院集中管辖北京市辖区内应当由基层人民法院受理的第一审特定类型互联网案件，主要包括网络购物合同、互联网金融借款合同、著作权权属及侵权纠纷等十一类涉互联网第一审民事、商事、知识产权、行政案件。法院按照“网上案件网上审理”的基本思路，通过全流程一体化在线服务平台，实现案件起诉、调解、立案、送达、庭审、宣判、执行、上诉等诉讼环节的在线进行，切实做到高效便民，切实提高审判质效，从而推动我国科技强国战略的实施和网络空间治理的法治化进程。</w:t>
      </w:r>
    </w:p>
    <w:p w14:paraId="75A561EA">
      <w:pPr>
        <w:adjustRightInd w:val="0"/>
        <w:snapToGrid w:val="0"/>
        <w:spacing w:line="360" w:lineRule="auto"/>
        <w:ind w:firstLine="560" w:firstLineChars="200"/>
        <w:textAlignment w:val="baseline"/>
        <w:rPr>
          <w:rFonts w:hint="eastAsia" w:ascii="宋体" w:hAnsi="宋体" w:cs="Arial"/>
          <w:sz w:val="28"/>
          <w:szCs w:val="28"/>
        </w:rPr>
      </w:pPr>
      <w:r>
        <w:rPr>
          <w:rFonts w:ascii="宋体" w:hAnsi="宋体" w:cs="Arial"/>
          <w:sz w:val="28"/>
          <w:szCs w:val="28"/>
        </w:rPr>
        <w:t>2018年8月9日，最高人民法院印发《关于增设北京互联网法院、广州互联网法院的方案》的通知，并明确要求应于2018年9月底前完成北京互联网法院的具体组建和正式挂牌工作。</w:t>
      </w:r>
    </w:p>
    <w:p w14:paraId="64AA47FD">
      <w:pPr>
        <w:adjustRightInd w:val="0"/>
        <w:snapToGrid w:val="0"/>
        <w:spacing w:line="360" w:lineRule="auto"/>
        <w:ind w:firstLine="560" w:firstLineChars="200"/>
        <w:textAlignment w:val="baseline"/>
        <w:rPr>
          <w:rFonts w:hint="eastAsia" w:ascii="宋体" w:hAnsi="宋体" w:cs="Arial"/>
          <w:sz w:val="28"/>
          <w:szCs w:val="28"/>
        </w:rPr>
      </w:pPr>
      <w:r>
        <w:rPr>
          <w:rFonts w:ascii="宋体" w:hAnsi="宋体" w:cs="Arial"/>
          <w:sz w:val="28"/>
          <w:szCs w:val="28"/>
        </w:rPr>
        <w:t>2018年9月6日，最高人民法院公布了《关于互联网法院审理案件若干问题的规定》，确定互联网法院的管辖范围和上诉机制和在线审理机制运行规则，规范了适应互联网法院全程在线的诉讼模式，结合审判实际对在线诉讼中如何正确适用民事诉讼法作出规定，为互联网法院依法办理案件设定规则边界和探索空间，有利于将互联网法院打造为推动审理方式、诉讼规则与互联网技术深度融合的司法实践平台。</w:t>
      </w:r>
    </w:p>
    <w:p w14:paraId="7398AA05">
      <w:pPr>
        <w:adjustRightInd w:val="0"/>
        <w:snapToGrid w:val="0"/>
        <w:spacing w:line="360" w:lineRule="auto"/>
        <w:ind w:firstLine="560" w:firstLineChars="200"/>
        <w:textAlignment w:val="baseline"/>
        <w:rPr>
          <w:rFonts w:hint="eastAsia" w:ascii="宋体" w:hAnsi="宋体" w:cs="Arial"/>
          <w:sz w:val="28"/>
          <w:szCs w:val="28"/>
        </w:rPr>
      </w:pPr>
      <w:r>
        <w:rPr>
          <w:rFonts w:ascii="宋体" w:hAnsi="宋体" w:cs="Arial"/>
          <w:sz w:val="28"/>
          <w:szCs w:val="28"/>
        </w:rPr>
        <w:t>北京互联网法院集中管辖北京市辖区内应当由基层人民法院受理的第一审网络购物合同、网络服务合同、金融借款合同纠纷、小额借款合同等特定类型互联网案件。</w:t>
      </w:r>
    </w:p>
    <w:p w14:paraId="42BF7E59">
      <w:pPr>
        <w:adjustRightInd w:val="0"/>
        <w:snapToGrid w:val="0"/>
        <w:spacing w:line="360" w:lineRule="auto"/>
        <w:ind w:firstLine="560" w:firstLineChars="200"/>
        <w:rPr>
          <w:rFonts w:hint="eastAsia" w:ascii="宋体" w:hAnsi="宋体" w:cs="Arial"/>
          <w:sz w:val="28"/>
          <w:szCs w:val="28"/>
        </w:rPr>
      </w:pPr>
      <w:r>
        <w:rPr>
          <w:rFonts w:ascii="宋体" w:hAnsi="宋体" w:cs="Arial"/>
          <w:sz w:val="28"/>
          <w:szCs w:val="28"/>
        </w:rPr>
        <w:t>北京互联网法院主体性质为行政单位，单位编制人数130人，实有</w:t>
      </w:r>
      <w:r>
        <w:rPr>
          <w:rFonts w:hint="eastAsia" w:ascii="宋体" w:hAnsi="宋体" w:cs="Arial"/>
          <w:sz w:val="28"/>
          <w:szCs w:val="28"/>
        </w:rPr>
        <w:t>人员192人，其中公务员</w:t>
      </w:r>
      <w:r>
        <w:rPr>
          <w:rFonts w:ascii="宋体" w:hAnsi="宋体" w:cs="Arial"/>
          <w:sz w:val="28"/>
          <w:szCs w:val="28"/>
        </w:rPr>
        <w:t>人数12</w:t>
      </w:r>
      <w:r>
        <w:rPr>
          <w:rFonts w:hint="eastAsia" w:ascii="宋体" w:hAnsi="宋体" w:cs="Arial"/>
          <w:sz w:val="28"/>
          <w:szCs w:val="28"/>
        </w:rPr>
        <w:t>2</w:t>
      </w:r>
      <w:r>
        <w:rPr>
          <w:rFonts w:ascii="宋体" w:hAnsi="宋体" w:cs="Arial"/>
          <w:sz w:val="28"/>
          <w:szCs w:val="28"/>
        </w:rPr>
        <w:t>人</w:t>
      </w:r>
      <w:r>
        <w:rPr>
          <w:rFonts w:hint="eastAsia" w:ascii="宋体" w:hAnsi="宋体" w:cs="Arial"/>
          <w:sz w:val="28"/>
          <w:szCs w:val="28"/>
        </w:rPr>
        <w:t>，单位两聘人员70人</w:t>
      </w:r>
      <w:r>
        <w:rPr>
          <w:rFonts w:ascii="宋体" w:hAnsi="宋体" w:cs="Arial"/>
          <w:sz w:val="28"/>
          <w:szCs w:val="28"/>
        </w:rPr>
        <w:t>。北京互联网法院内设机构8个，1个立案庭（诉讼服务中心），3个综合审判庭，1个执行局，1个审判管理办公室（研究室），1个政治部（机关党委），1个综合办公室（司法警察大队）。</w:t>
      </w:r>
    </w:p>
    <w:bookmarkEnd w:id="5"/>
    <w:p w14:paraId="475EF1FA">
      <w:pPr>
        <w:adjustRightInd w:val="0"/>
        <w:snapToGrid w:val="0"/>
        <w:spacing w:line="360" w:lineRule="auto"/>
        <w:ind w:firstLine="602" w:firstLineChars="200"/>
        <w:outlineLvl w:val="1"/>
        <w:rPr>
          <w:rFonts w:hint="eastAsia" w:ascii="楷体" w:hAnsi="楷体" w:eastAsia="楷体" w:cs="Arial"/>
          <w:b/>
          <w:bCs/>
          <w:kern w:val="0"/>
          <w:sz w:val="30"/>
          <w:szCs w:val="30"/>
        </w:rPr>
      </w:pPr>
      <w:bookmarkStart w:id="6" w:name="_Toc1388101"/>
      <w:bookmarkStart w:id="7" w:name="_Toc35940451"/>
      <w:bookmarkStart w:id="8" w:name="_Toc135162115"/>
      <w:r>
        <w:rPr>
          <w:rFonts w:ascii="楷体" w:hAnsi="楷体" w:eastAsia="楷体" w:cs="Arial"/>
          <w:b/>
          <w:bCs/>
          <w:kern w:val="0"/>
          <w:sz w:val="30"/>
          <w:szCs w:val="30"/>
        </w:rPr>
        <w:t>（二）</w:t>
      </w:r>
      <w:bookmarkEnd w:id="6"/>
      <w:bookmarkEnd w:id="7"/>
      <w:r>
        <w:rPr>
          <w:rFonts w:ascii="楷体" w:hAnsi="楷体" w:eastAsia="楷体" w:cs="Arial"/>
          <w:b/>
          <w:bCs/>
          <w:kern w:val="0"/>
          <w:sz w:val="30"/>
          <w:szCs w:val="30"/>
        </w:rPr>
        <w:t>部门整体绩效目标设立情况</w:t>
      </w:r>
      <w:bookmarkEnd w:id="8"/>
    </w:p>
    <w:p w14:paraId="2075CEE7">
      <w:pPr>
        <w:adjustRightInd w:val="0"/>
        <w:snapToGrid w:val="0"/>
        <w:spacing w:line="360" w:lineRule="auto"/>
        <w:ind w:left="105" w:leftChars="50" w:firstLine="450" w:firstLineChars="150"/>
        <w:outlineLvl w:val="2"/>
        <w:rPr>
          <w:rFonts w:hint="eastAsia" w:ascii="楷体" w:hAnsi="楷体" w:eastAsia="楷体" w:cs="Arial"/>
          <w:color w:val="000000"/>
          <w:kern w:val="0"/>
          <w:sz w:val="30"/>
          <w:szCs w:val="30"/>
        </w:rPr>
      </w:pPr>
      <w:bookmarkStart w:id="9" w:name="_Toc536635280"/>
      <w:bookmarkStart w:id="10" w:name="_Toc520819470"/>
      <w:bookmarkStart w:id="11" w:name="_Toc1388102"/>
      <w:bookmarkStart w:id="12" w:name="_Toc35940452"/>
      <w:bookmarkStart w:id="13" w:name="_Toc536635216"/>
      <w:bookmarkStart w:id="14" w:name="_Toc135162116"/>
      <w:r>
        <w:rPr>
          <w:rFonts w:ascii="楷体" w:hAnsi="楷体" w:eastAsia="楷体" w:cs="Arial"/>
          <w:color w:val="000000"/>
          <w:kern w:val="0"/>
          <w:sz w:val="30"/>
          <w:szCs w:val="30"/>
        </w:rPr>
        <w:t>1</w:t>
      </w:r>
      <w:bookmarkEnd w:id="9"/>
      <w:bookmarkEnd w:id="10"/>
      <w:bookmarkEnd w:id="11"/>
      <w:bookmarkEnd w:id="12"/>
      <w:bookmarkEnd w:id="13"/>
      <w:r>
        <w:rPr>
          <w:rFonts w:ascii="楷体" w:hAnsi="楷体" w:eastAsia="楷体" w:cs="Arial"/>
          <w:color w:val="000000"/>
          <w:kern w:val="0"/>
          <w:sz w:val="30"/>
          <w:szCs w:val="30"/>
        </w:rPr>
        <w:t>、部门整体绩效目标及设立依据</w:t>
      </w:r>
      <w:bookmarkEnd w:id="14"/>
    </w:p>
    <w:p w14:paraId="628F278B">
      <w:pPr>
        <w:adjustRightInd w:val="0"/>
        <w:snapToGrid w:val="0"/>
        <w:spacing w:line="360" w:lineRule="auto"/>
        <w:ind w:firstLine="560" w:firstLineChars="200"/>
        <w:rPr>
          <w:rFonts w:hint="eastAsia" w:ascii="宋体" w:hAnsi="宋体" w:cs="Arial"/>
          <w:sz w:val="28"/>
          <w:szCs w:val="28"/>
        </w:rPr>
      </w:pPr>
      <w:r>
        <w:rPr>
          <w:rFonts w:ascii="宋体" w:hAnsi="宋体" w:cs="Arial"/>
          <w:sz w:val="28"/>
          <w:szCs w:val="28"/>
        </w:rPr>
        <w:t xml:space="preserve"> 202</w:t>
      </w:r>
      <w:r>
        <w:rPr>
          <w:rFonts w:hint="eastAsia" w:ascii="宋体" w:hAnsi="宋体" w:cs="Arial"/>
          <w:sz w:val="28"/>
          <w:szCs w:val="28"/>
        </w:rPr>
        <w:t>4</w:t>
      </w:r>
      <w:r>
        <w:rPr>
          <w:rFonts w:ascii="宋体" w:hAnsi="宋体" w:cs="Arial"/>
          <w:sz w:val="28"/>
          <w:szCs w:val="28"/>
        </w:rPr>
        <w:t>年，北京互联网法院部门整体支出的绩效目标为：</w:t>
      </w:r>
      <w:r>
        <w:rPr>
          <w:rFonts w:hint="eastAsia" w:ascii="宋体" w:hAnsi="宋体" w:cs="Arial"/>
          <w:sz w:val="28"/>
          <w:szCs w:val="28"/>
        </w:rPr>
        <w:t>深入学习贯彻落实党的二十大精神，以习近平新时代中国特色社会主义思想为指引，在最高人民法院指导下构建新型互联网案件诉讼程序和司法规则，推进网络空间治理法治化的法院。北京互联网法院将集中管辖全市辖区内特定类型涉互联网第一审案件，探索建立与互联网时代相适应的审判模式，推动起诉、调解、立案、庭审、判决、执行等诉讼环节全程网络化。</w:t>
      </w:r>
    </w:p>
    <w:p w14:paraId="28ECDF1B">
      <w:pPr>
        <w:adjustRightInd w:val="0"/>
        <w:snapToGrid w:val="0"/>
        <w:spacing w:line="360" w:lineRule="auto"/>
        <w:ind w:firstLine="560" w:firstLineChars="200"/>
        <w:rPr>
          <w:rFonts w:hint="eastAsia" w:ascii="宋体" w:hAnsi="宋体" w:cs="Arial"/>
          <w:sz w:val="28"/>
          <w:szCs w:val="28"/>
        </w:rPr>
      </w:pPr>
      <w:r>
        <w:rPr>
          <w:rFonts w:ascii="宋体" w:hAnsi="宋体" w:cs="Arial"/>
          <w:sz w:val="28"/>
          <w:szCs w:val="28"/>
        </w:rPr>
        <w:t>为全面推进预算绩效管理工作，顺利完成确保预算绩效管理工作有序、高效推进，北京互联网法院整体支出绩效目标的设立主要是根据北京市财政局部门支出绩效管理工作要求，按照《中华人民共和国预算法》、《中共北京市委 北京市人民政府关于全面实施预算绩效管理的实施意见》(京发〔2019〕12号)、</w:t>
      </w:r>
      <w:r>
        <w:rPr>
          <w:rFonts w:hint="eastAsia" w:ascii="宋体" w:hAnsi="宋体" w:cs="Arial"/>
          <w:sz w:val="28"/>
          <w:szCs w:val="28"/>
        </w:rPr>
        <w:t>《北京市财政支出绩效评价管理暂行办法》(京财预[2012]272号)</w:t>
      </w:r>
      <w:r>
        <w:rPr>
          <w:rFonts w:ascii="宋体" w:hAnsi="宋体" w:cs="Arial"/>
          <w:sz w:val="28"/>
          <w:szCs w:val="28"/>
        </w:rPr>
        <w:t>的要求和规定，制定了202</w:t>
      </w:r>
      <w:r>
        <w:rPr>
          <w:rFonts w:hint="eastAsia" w:ascii="宋体" w:hAnsi="宋体" w:cs="Arial"/>
          <w:sz w:val="28"/>
          <w:szCs w:val="28"/>
        </w:rPr>
        <w:t>4</w:t>
      </w:r>
      <w:r>
        <w:rPr>
          <w:rFonts w:ascii="宋体" w:hAnsi="宋体" w:cs="Arial"/>
          <w:sz w:val="28"/>
          <w:szCs w:val="28"/>
        </w:rPr>
        <w:t>年度部门整体绩效目标，与职责相关性较强。</w:t>
      </w:r>
    </w:p>
    <w:p w14:paraId="2237DFF5">
      <w:pPr>
        <w:adjustRightInd w:val="0"/>
        <w:snapToGrid w:val="0"/>
        <w:spacing w:line="360" w:lineRule="auto"/>
        <w:ind w:left="105" w:leftChars="50" w:firstLine="450" w:firstLineChars="150"/>
        <w:outlineLvl w:val="2"/>
        <w:rPr>
          <w:rFonts w:hint="eastAsia" w:ascii="楷体" w:hAnsi="楷体" w:eastAsia="楷体" w:cs="Arial"/>
          <w:color w:val="000000"/>
          <w:kern w:val="0"/>
          <w:sz w:val="30"/>
          <w:szCs w:val="30"/>
        </w:rPr>
      </w:pPr>
      <w:bookmarkStart w:id="15" w:name="_Toc135162117"/>
      <w:r>
        <w:rPr>
          <w:rFonts w:ascii="楷体" w:hAnsi="楷体" w:eastAsia="楷体" w:cs="Arial"/>
          <w:color w:val="000000"/>
          <w:kern w:val="0"/>
          <w:sz w:val="30"/>
          <w:szCs w:val="30"/>
        </w:rPr>
        <w:t>2、目标与职责任务匹配情况、目标合理性</w:t>
      </w:r>
      <w:bookmarkEnd w:id="15"/>
    </w:p>
    <w:p w14:paraId="549788FA">
      <w:pPr>
        <w:adjustRightInd w:val="0"/>
        <w:snapToGrid w:val="0"/>
        <w:spacing w:line="360" w:lineRule="auto"/>
        <w:ind w:firstLine="560" w:firstLineChars="200"/>
        <w:rPr>
          <w:rFonts w:hint="eastAsia" w:ascii="宋体" w:hAnsi="宋体" w:cs="Arial"/>
          <w:sz w:val="28"/>
          <w:szCs w:val="28"/>
        </w:rPr>
      </w:pPr>
      <w:r>
        <w:rPr>
          <w:rFonts w:ascii="宋体" w:hAnsi="宋体" w:cs="Arial"/>
          <w:sz w:val="28"/>
          <w:szCs w:val="28"/>
        </w:rPr>
        <w:t>北京互联网法院部门围绕部门职责制定了202</w:t>
      </w:r>
      <w:r>
        <w:rPr>
          <w:rFonts w:hint="eastAsia" w:ascii="宋体" w:hAnsi="宋体" w:cs="Arial"/>
          <w:sz w:val="28"/>
          <w:szCs w:val="28"/>
        </w:rPr>
        <w:t>4</w:t>
      </w:r>
      <w:r>
        <w:rPr>
          <w:rFonts w:ascii="宋体" w:hAnsi="宋体" w:cs="Arial"/>
          <w:sz w:val="28"/>
          <w:szCs w:val="28"/>
        </w:rPr>
        <w:t>年度工作计划，设立了部门整体绩效目标，具有较为详尽的工作计划，年度工作目标与部门职能的适应。202</w:t>
      </w:r>
      <w:r>
        <w:rPr>
          <w:rFonts w:hint="eastAsia" w:ascii="宋体" w:hAnsi="宋体" w:cs="Arial"/>
          <w:sz w:val="28"/>
          <w:szCs w:val="28"/>
        </w:rPr>
        <w:t>4</w:t>
      </w:r>
      <w:r>
        <w:rPr>
          <w:rFonts w:ascii="宋体" w:hAnsi="宋体" w:cs="Arial"/>
          <w:sz w:val="28"/>
          <w:szCs w:val="28"/>
        </w:rPr>
        <w:t>年初，北京互联网法院及时填报绩效目标申报表，包括</w:t>
      </w:r>
      <w:r>
        <w:rPr>
          <w:rFonts w:hint="eastAsia" w:ascii="宋体" w:hAnsi="宋体" w:cs="Arial"/>
          <w:sz w:val="28"/>
          <w:szCs w:val="28"/>
        </w:rPr>
        <w:t>办案业务费、业务维修（护）费、安检工作经费、知网数据库、会计审计及咨询工作经费、法院业务装备费、互联网法院审判区租金、互联网法院网络运维费、互联网接入费、应用技术服务费、媒体数据服务、新址搬迁开办费、政务云平台租赁费、网络安全等保测评服务、运行管理经费、搬迁工作经费</w:t>
      </w:r>
      <w:r>
        <w:rPr>
          <w:rFonts w:ascii="宋体" w:hAnsi="宋体" w:cs="Arial"/>
          <w:sz w:val="28"/>
          <w:szCs w:val="28"/>
        </w:rPr>
        <w:t>等1</w:t>
      </w:r>
      <w:r>
        <w:rPr>
          <w:rFonts w:hint="eastAsia" w:ascii="宋体" w:hAnsi="宋体" w:cs="Arial"/>
          <w:sz w:val="28"/>
          <w:szCs w:val="28"/>
        </w:rPr>
        <w:t>6</w:t>
      </w:r>
      <w:r>
        <w:rPr>
          <w:rFonts w:ascii="宋体" w:hAnsi="宋体" w:cs="Arial"/>
          <w:sz w:val="28"/>
          <w:szCs w:val="28"/>
        </w:rPr>
        <w:t xml:space="preserve">个预算项目的绩效目标申报表，整体预算支出包括基本经费及项目经费内容，整体绩效目标与法院职责任务匹配度高，设定的目标合理，具备可实现性。 </w:t>
      </w:r>
    </w:p>
    <w:p w14:paraId="546EC9E4">
      <w:pPr>
        <w:pStyle w:val="2"/>
        <w:ind w:firstLine="602"/>
        <w:rPr>
          <w:rFonts w:hint="eastAsia" w:ascii="楷体" w:hAnsi="楷体" w:eastAsia="楷体" w:cs="Arial"/>
          <w:sz w:val="30"/>
          <w:szCs w:val="30"/>
        </w:rPr>
      </w:pPr>
      <w:bookmarkStart w:id="16" w:name="_Toc135162118"/>
      <w:r>
        <w:rPr>
          <w:rFonts w:ascii="楷体" w:hAnsi="楷体" w:eastAsia="楷体" w:cs="Arial"/>
          <w:sz w:val="30"/>
          <w:szCs w:val="30"/>
        </w:rPr>
        <w:t>二、当年预算执行情况</w:t>
      </w:r>
      <w:bookmarkEnd w:id="16"/>
    </w:p>
    <w:p w14:paraId="2CF420DA">
      <w:pPr>
        <w:ind w:firstLine="565" w:firstLineChars="202"/>
        <w:rPr>
          <w:rFonts w:hint="eastAsia" w:ascii="宋体" w:hAnsi="宋体" w:cs="Arial"/>
          <w:sz w:val="28"/>
          <w:szCs w:val="28"/>
        </w:rPr>
      </w:pPr>
      <w:bookmarkStart w:id="17" w:name="_Toc135162119"/>
      <w:r>
        <w:rPr>
          <w:rFonts w:hint="eastAsia" w:ascii="宋体" w:hAnsi="宋体" w:cs="Arial"/>
          <w:sz w:val="28"/>
          <w:szCs w:val="28"/>
        </w:rPr>
        <w:t>2024年1月，北京市财政局下发关于批复北京互联网法院2024年预算的函》（京财公检法指[2024]0137号）文件，批复北京互联网法院部门收入预算19,186.06万元，其中：财政拨款收入19,186.06万元，其他收入0.00万元。批复北京互联网法院部门支出预算19,188.05万元，其中，基本支出预算数7,822.05万元，项目支出预算数11,366.00万元。</w:t>
      </w:r>
    </w:p>
    <w:p w14:paraId="2C9D10F4">
      <w:pPr>
        <w:ind w:firstLine="565" w:firstLineChars="202"/>
        <w:rPr>
          <w:rFonts w:hint="eastAsia" w:ascii="宋体" w:hAnsi="宋体" w:cs="Arial"/>
          <w:sz w:val="28"/>
          <w:szCs w:val="28"/>
        </w:rPr>
      </w:pPr>
      <w:r>
        <w:rPr>
          <w:rFonts w:hint="eastAsia" w:ascii="宋体" w:hAnsi="宋体" w:cs="Arial"/>
          <w:sz w:val="28"/>
          <w:szCs w:val="28"/>
        </w:rPr>
        <w:t>2024年调整后的预算收入为23,872.61万元，其中财政拨款收入23,871.61万元，其他收入1.00万元；调整后的预算支出23,873.60万元，其中基本支出7,582.98万元，项目支出16,290.61万元。</w:t>
      </w:r>
    </w:p>
    <w:p w14:paraId="20A03E9A">
      <w:pPr>
        <w:ind w:firstLine="565" w:firstLineChars="202"/>
        <w:rPr>
          <w:rFonts w:hint="eastAsia" w:ascii="宋体" w:hAnsi="宋体" w:cs="Arial"/>
          <w:sz w:val="28"/>
          <w:szCs w:val="28"/>
        </w:rPr>
      </w:pPr>
      <w:r>
        <w:rPr>
          <w:rFonts w:hint="eastAsia" w:ascii="宋体" w:hAnsi="宋体" w:cs="Arial"/>
          <w:sz w:val="28"/>
          <w:szCs w:val="28"/>
        </w:rPr>
        <w:t>2024年总体收入为23,872.61万元，其中财政拨款收入23,871.61万元，其他收入1.00万元。</w:t>
      </w:r>
    </w:p>
    <w:p w14:paraId="05AD329C">
      <w:pPr>
        <w:ind w:firstLine="565" w:firstLineChars="202"/>
        <w:rPr>
          <w:rFonts w:hint="eastAsia" w:ascii="楷体" w:hAnsi="楷体" w:eastAsia="楷体"/>
          <w:sz w:val="30"/>
          <w:szCs w:val="30"/>
        </w:rPr>
      </w:pPr>
      <w:r>
        <w:rPr>
          <w:rFonts w:hint="eastAsia" w:ascii="宋体" w:hAnsi="宋体" w:cs="Arial"/>
          <w:sz w:val="28"/>
          <w:szCs w:val="28"/>
        </w:rPr>
        <w:t>2024年资金总体支出为20,798.63万元，其中，基本支出7,281.33万元，项目支出13,517.30万元；2024年整体支出预算执行率为87.12%；2024年初结转和结余1.99万元，2024年末结转结余3,096.35万元。。</w:t>
      </w:r>
    </w:p>
    <w:p w14:paraId="1275ED8A">
      <w:pPr>
        <w:pStyle w:val="2"/>
        <w:ind w:firstLine="602"/>
        <w:rPr>
          <w:rFonts w:hint="eastAsia" w:ascii="楷体" w:hAnsi="楷体" w:eastAsia="楷体" w:cs="Arial"/>
          <w:sz w:val="30"/>
          <w:szCs w:val="30"/>
        </w:rPr>
      </w:pPr>
      <w:r>
        <w:rPr>
          <w:rFonts w:ascii="楷体" w:hAnsi="楷体" w:eastAsia="楷体" w:cs="Arial"/>
          <w:sz w:val="30"/>
          <w:szCs w:val="30"/>
        </w:rPr>
        <w:t>三、</w:t>
      </w:r>
      <w:bookmarkEnd w:id="1"/>
      <w:r>
        <w:rPr>
          <w:rFonts w:ascii="楷体" w:hAnsi="楷体" w:eastAsia="楷体" w:cs="Arial"/>
          <w:sz w:val="30"/>
          <w:szCs w:val="30"/>
        </w:rPr>
        <w:t>整体绩效目标实现情况</w:t>
      </w:r>
      <w:bookmarkEnd w:id="17"/>
    </w:p>
    <w:p w14:paraId="51268E8A">
      <w:pPr>
        <w:adjustRightInd w:val="0"/>
        <w:snapToGrid w:val="0"/>
        <w:spacing w:line="360" w:lineRule="auto"/>
        <w:ind w:firstLine="602" w:firstLineChars="200"/>
        <w:outlineLvl w:val="1"/>
        <w:rPr>
          <w:rFonts w:hint="eastAsia" w:ascii="楷体" w:hAnsi="楷体" w:eastAsia="楷体" w:cs="Arial"/>
          <w:b/>
          <w:bCs/>
          <w:kern w:val="0"/>
          <w:sz w:val="30"/>
          <w:szCs w:val="30"/>
        </w:rPr>
      </w:pPr>
      <w:bookmarkStart w:id="18" w:name="_Toc135162120"/>
      <w:r>
        <w:rPr>
          <w:rFonts w:ascii="楷体" w:hAnsi="楷体" w:eastAsia="楷体" w:cs="Arial"/>
          <w:b/>
          <w:bCs/>
          <w:kern w:val="0"/>
          <w:sz w:val="30"/>
          <w:szCs w:val="30"/>
        </w:rPr>
        <w:t>（一）产出完成情况分析</w:t>
      </w:r>
      <w:bookmarkEnd w:id="18"/>
    </w:p>
    <w:p w14:paraId="4F3721F1">
      <w:pPr>
        <w:adjustRightInd w:val="0"/>
        <w:snapToGrid w:val="0"/>
        <w:spacing w:line="360" w:lineRule="auto"/>
        <w:ind w:left="105" w:leftChars="50" w:firstLine="450" w:firstLineChars="150"/>
        <w:outlineLvl w:val="2"/>
        <w:rPr>
          <w:rFonts w:hint="eastAsia" w:ascii="楷体" w:hAnsi="楷体" w:eastAsia="楷体" w:cs="Arial"/>
          <w:color w:val="000000"/>
          <w:kern w:val="0"/>
          <w:sz w:val="30"/>
          <w:szCs w:val="30"/>
        </w:rPr>
      </w:pPr>
      <w:bookmarkStart w:id="19" w:name="_Toc135162121"/>
      <w:r>
        <w:rPr>
          <w:rFonts w:ascii="楷体" w:hAnsi="楷体" w:eastAsia="楷体" w:cs="Arial"/>
          <w:color w:val="000000"/>
          <w:kern w:val="0"/>
          <w:sz w:val="30"/>
          <w:szCs w:val="30"/>
        </w:rPr>
        <w:t>1.产出数量</w:t>
      </w:r>
      <w:bookmarkEnd w:id="19"/>
    </w:p>
    <w:p w14:paraId="74CF1EB6">
      <w:pPr>
        <w:adjustRightInd w:val="0"/>
        <w:snapToGrid w:val="0"/>
        <w:spacing w:line="360" w:lineRule="auto"/>
        <w:ind w:left="105" w:leftChars="50" w:firstLine="420" w:firstLineChars="150"/>
        <w:rPr>
          <w:rFonts w:hint="eastAsia" w:ascii="宋体" w:hAnsi="宋体" w:cs="Arial"/>
          <w:sz w:val="28"/>
          <w:szCs w:val="28"/>
        </w:rPr>
      </w:pPr>
      <w:r>
        <w:rPr>
          <w:rFonts w:ascii="宋体" w:hAnsi="宋体" w:cs="Arial"/>
          <w:sz w:val="28"/>
          <w:szCs w:val="28"/>
        </w:rPr>
        <w:t>2024年北京互联网法院</w:t>
      </w:r>
      <w:r>
        <w:rPr>
          <w:rFonts w:hint="eastAsia" w:ascii="宋体" w:hAnsi="宋体" w:cs="Arial"/>
          <w:sz w:val="28"/>
          <w:szCs w:val="28"/>
        </w:rPr>
        <w:t>整体绩效目标为完成支出预算数的9</w:t>
      </w:r>
      <w:r>
        <w:rPr>
          <w:rFonts w:ascii="宋体" w:hAnsi="宋体" w:cs="Arial"/>
          <w:sz w:val="28"/>
          <w:szCs w:val="28"/>
        </w:rPr>
        <w:t>5%</w:t>
      </w:r>
      <w:r>
        <w:rPr>
          <w:rFonts w:hint="eastAsia" w:ascii="宋体" w:hAnsi="宋体" w:cs="Arial"/>
          <w:sz w:val="28"/>
          <w:szCs w:val="28"/>
        </w:rPr>
        <w:t>以上，实际完成支出预算数的87.12%。</w:t>
      </w:r>
    </w:p>
    <w:p w14:paraId="4796D695">
      <w:pPr>
        <w:adjustRightInd w:val="0"/>
        <w:snapToGrid w:val="0"/>
        <w:spacing w:line="360" w:lineRule="auto"/>
        <w:ind w:left="105" w:leftChars="50" w:firstLine="450" w:firstLineChars="150"/>
        <w:outlineLvl w:val="2"/>
        <w:rPr>
          <w:rFonts w:hint="eastAsia" w:ascii="楷体" w:hAnsi="楷体" w:eastAsia="楷体" w:cs="Arial"/>
          <w:color w:val="000000"/>
          <w:kern w:val="0"/>
          <w:sz w:val="30"/>
          <w:szCs w:val="30"/>
        </w:rPr>
      </w:pPr>
      <w:bookmarkStart w:id="20" w:name="_Toc135162122"/>
      <w:r>
        <w:rPr>
          <w:rFonts w:ascii="楷体" w:hAnsi="楷体" w:eastAsia="楷体" w:cs="Arial"/>
          <w:color w:val="000000"/>
          <w:kern w:val="0"/>
          <w:sz w:val="30"/>
          <w:szCs w:val="30"/>
        </w:rPr>
        <w:t>2.产出质量</w:t>
      </w:r>
      <w:bookmarkEnd w:id="20"/>
    </w:p>
    <w:p w14:paraId="0C640728">
      <w:pPr>
        <w:adjustRightInd w:val="0"/>
        <w:snapToGrid w:val="0"/>
        <w:spacing w:line="360" w:lineRule="auto"/>
        <w:ind w:firstLine="560" w:firstLineChars="200"/>
        <w:rPr>
          <w:rFonts w:hint="eastAsia" w:ascii="宋体" w:hAnsi="宋体" w:cs="Arial"/>
          <w:sz w:val="28"/>
          <w:szCs w:val="28"/>
        </w:rPr>
      </w:pPr>
      <w:r>
        <w:rPr>
          <w:rFonts w:ascii="宋体" w:hAnsi="宋体" w:cs="Arial"/>
          <w:sz w:val="28"/>
          <w:szCs w:val="28"/>
        </w:rPr>
        <w:t>2024年，北京互联网法院坚持厉行节约，严控“三公”经费支出，确保全院每一项支出都落到实处，</w:t>
      </w:r>
      <w:r>
        <w:rPr>
          <w:rFonts w:hint="eastAsia" w:ascii="宋体" w:hAnsi="宋体" w:cs="Arial"/>
          <w:sz w:val="28"/>
          <w:szCs w:val="28"/>
        </w:rPr>
        <w:t>支出使用规范,基本达到预期效果。</w:t>
      </w:r>
    </w:p>
    <w:p w14:paraId="6C4F8C8A">
      <w:pPr>
        <w:adjustRightInd w:val="0"/>
        <w:snapToGrid w:val="0"/>
        <w:spacing w:line="360" w:lineRule="auto"/>
        <w:ind w:left="105" w:leftChars="50" w:firstLine="450" w:firstLineChars="150"/>
        <w:outlineLvl w:val="2"/>
        <w:rPr>
          <w:rFonts w:hint="eastAsia" w:ascii="楷体" w:hAnsi="楷体" w:eastAsia="楷体" w:cs="Arial"/>
          <w:color w:val="000000"/>
          <w:kern w:val="0"/>
          <w:sz w:val="30"/>
          <w:szCs w:val="30"/>
        </w:rPr>
      </w:pPr>
      <w:bookmarkStart w:id="21" w:name="_Toc135162123"/>
      <w:r>
        <w:rPr>
          <w:rFonts w:ascii="楷体" w:hAnsi="楷体" w:eastAsia="楷体" w:cs="Arial"/>
          <w:color w:val="000000"/>
          <w:kern w:val="0"/>
          <w:sz w:val="30"/>
          <w:szCs w:val="30"/>
        </w:rPr>
        <w:t>3.产出进度</w:t>
      </w:r>
      <w:bookmarkEnd w:id="21"/>
    </w:p>
    <w:p w14:paraId="6C2686A1">
      <w:pPr>
        <w:adjustRightInd w:val="0"/>
        <w:snapToGrid w:val="0"/>
        <w:spacing w:line="360" w:lineRule="auto"/>
        <w:ind w:firstLine="400"/>
        <w:jc w:val="left"/>
        <w:rPr>
          <w:rFonts w:hint="eastAsia" w:ascii="宋体" w:hAnsi="宋体" w:cs="Arial"/>
          <w:sz w:val="28"/>
          <w:szCs w:val="28"/>
        </w:rPr>
      </w:pPr>
      <w:r>
        <w:rPr>
          <w:rFonts w:ascii="宋体" w:hAnsi="宋体" w:cs="Arial"/>
          <w:sz w:val="28"/>
          <w:szCs w:val="28"/>
        </w:rPr>
        <w:t>2024年北京互联网法院全年</w:t>
      </w:r>
      <w:r>
        <w:rPr>
          <w:rFonts w:hint="eastAsia" w:ascii="宋体" w:hAnsi="宋体" w:cs="Arial"/>
          <w:sz w:val="28"/>
          <w:szCs w:val="28"/>
        </w:rPr>
        <w:t>支出</w:t>
      </w:r>
      <w:r>
        <w:rPr>
          <w:rFonts w:ascii="宋体" w:hAnsi="宋体" w:cs="Arial"/>
          <w:sz w:val="28"/>
          <w:szCs w:val="28"/>
        </w:rPr>
        <w:t>预算数</w:t>
      </w:r>
      <w:r>
        <w:rPr>
          <w:rFonts w:hint="eastAsia" w:ascii="宋体" w:hAnsi="宋体" w:cs="Arial"/>
          <w:sz w:val="28"/>
          <w:szCs w:val="28"/>
        </w:rPr>
        <w:t>23,873.60万元，</w:t>
      </w:r>
      <w:r>
        <w:rPr>
          <w:rFonts w:ascii="宋体" w:hAnsi="宋体" w:cs="Arial"/>
          <w:sz w:val="28"/>
          <w:szCs w:val="28"/>
        </w:rPr>
        <w:t>资金总体支出</w:t>
      </w:r>
      <w:r>
        <w:rPr>
          <w:rFonts w:hint="eastAsia" w:ascii="宋体" w:hAnsi="宋体" w:cs="Arial"/>
          <w:sz w:val="28"/>
          <w:szCs w:val="28"/>
        </w:rPr>
        <w:t>20,798.63万元，</w:t>
      </w:r>
      <w:r>
        <w:rPr>
          <w:rFonts w:ascii="宋体" w:hAnsi="宋体" w:cs="Arial"/>
          <w:sz w:val="28"/>
          <w:szCs w:val="28"/>
        </w:rPr>
        <w:t>预算执行率为</w:t>
      </w:r>
      <w:r>
        <w:rPr>
          <w:rFonts w:hint="eastAsia" w:ascii="宋体" w:hAnsi="宋体" w:cs="Arial"/>
          <w:sz w:val="28"/>
          <w:szCs w:val="28"/>
        </w:rPr>
        <w:t>87.12%。</w:t>
      </w:r>
    </w:p>
    <w:p w14:paraId="2A38195D">
      <w:pPr>
        <w:adjustRightInd w:val="0"/>
        <w:snapToGrid w:val="0"/>
        <w:spacing w:line="360" w:lineRule="auto"/>
        <w:ind w:left="105" w:leftChars="50" w:firstLine="450" w:firstLineChars="150"/>
        <w:outlineLvl w:val="2"/>
        <w:rPr>
          <w:rFonts w:hint="eastAsia" w:ascii="楷体" w:hAnsi="楷体" w:eastAsia="楷体" w:cs="Arial"/>
          <w:color w:val="000000"/>
          <w:kern w:val="0"/>
          <w:sz w:val="30"/>
          <w:szCs w:val="30"/>
        </w:rPr>
      </w:pPr>
      <w:bookmarkStart w:id="22" w:name="_Toc135162124"/>
      <w:r>
        <w:rPr>
          <w:rFonts w:ascii="楷体" w:hAnsi="楷体" w:eastAsia="楷体" w:cs="Arial"/>
          <w:color w:val="000000"/>
          <w:kern w:val="0"/>
          <w:sz w:val="30"/>
          <w:szCs w:val="30"/>
        </w:rPr>
        <w:t>4.产出成本</w:t>
      </w:r>
      <w:bookmarkEnd w:id="22"/>
    </w:p>
    <w:p w14:paraId="36F8F7A4">
      <w:pPr>
        <w:adjustRightInd w:val="0"/>
        <w:snapToGrid w:val="0"/>
        <w:spacing w:line="360" w:lineRule="auto"/>
        <w:ind w:firstLine="400"/>
        <w:jc w:val="left"/>
        <w:rPr>
          <w:rFonts w:hint="eastAsia" w:ascii="宋体" w:hAnsi="宋体" w:cs="Arial"/>
          <w:sz w:val="28"/>
          <w:szCs w:val="28"/>
        </w:rPr>
      </w:pPr>
      <w:r>
        <w:rPr>
          <w:rFonts w:ascii="宋体" w:hAnsi="宋体" w:cs="Arial"/>
          <w:sz w:val="28"/>
          <w:szCs w:val="28"/>
        </w:rPr>
        <w:t>北京互联网法院坚持厉行节约，严控“三公”经费支出，确保全院每一项支出都落到实处，在执行部门支出预算时能够将项目成本控制在项目预算范围内</w:t>
      </w:r>
      <w:r>
        <w:rPr>
          <w:rFonts w:hint="eastAsia" w:ascii="宋体" w:hAnsi="宋体" w:cs="Arial"/>
          <w:sz w:val="28"/>
          <w:szCs w:val="28"/>
        </w:rPr>
        <w:t>；</w:t>
      </w:r>
      <w:r>
        <w:rPr>
          <w:rFonts w:ascii="宋体" w:hAnsi="宋体" w:cs="Arial"/>
          <w:sz w:val="28"/>
          <w:szCs w:val="28"/>
        </w:rPr>
        <w:t>202</w:t>
      </w:r>
      <w:r>
        <w:rPr>
          <w:rFonts w:hint="eastAsia" w:ascii="宋体" w:hAnsi="宋体" w:cs="Arial"/>
          <w:sz w:val="28"/>
          <w:szCs w:val="28"/>
        </w:rPr>
        <w:t>4</w:t>
      </w:r>
      <w:r>
        <w:rPr>
          <w:rFonts w:ascii="宋体" w:hAnsi="宋体" w:cs="Arial"/>
          <w:sz w:val="28"/>
          <w:szCs w:val="28"/>
        </w:rPr>
        <w:t>年全年</w:t>
      </w:r>
      <w:r>
        <w:rPr>
          <w:rFonts w:hint="eastAsia" w:ascii="宋体" w:hAnsi="宋体" w:cs="Arial"/>
          <w:sz w:val="28"/>
          <w:szCs w:val="28"/>
        </w:rPr>
        <w:t>支出</w:t>
      </w:r>
      <w:r>
        <w:rPr>
          <w:rFonts w:ascii="宋体" w:hAnsi="宋体" w:cs="Arial"/>
          <w:sz w:val="28"/>
          <w:szCs w:val="28"/>
        </w:rPr>
        <w:t>预算数23,873.60万元，202</w:t>
      </w:r>
      <w:r>
        <w:rPr>
          <w:rFonts w:hint="eastAsia" w:ascii="宋体" w:hAnsi="宋体" w:cs="Arial"/>
          <w:sz w:val="28"/>
          <w:szCs w:val="28"/>
        </w:rPr>
        <w:t>4</w:t>
      </w:r>
      <w:r>
        <w:rPr>
          <w:rFonts w:ascii="宋体" w:hAnsi="宋体" w:cs="Arial"/>
          <w:sz w:val="28"/>
          <w:szCs w:val="28"/>
        </w:rPr>
        <w:t>年度决算支出20,798.63万元，比202</w:t>
      </w:r>
      <w:r>
        <w:rPr>
          <w:rFonts w:hint="eastAsia" w:ascii="宋体" w:hAnsi="宋体" w:cs="Arial"/>
          <w:sz w:val="28"/>
          <w:szCs w:val="28"/>
        </w:rPr>
        <w:t>3</w:t>
      </w:r>
      <w:r>
        <w:rPr>
          <w:rFonts w:ascii="宋体" w:hAnsi="宋体" w:cs="Arial"/>
          <w:sz w:val="28"/>
          <w:szCs w:val="28"/>
        </w:rPr>
        <w:t>年度决算支出</w:t>
      </w:r>
      <w:r>
        <w:rPr>
          <w:rFonts w:hint="eastAsia" w:ascii="宋体" w:hAnsi="宋体" w:cs="Arial"/>
          <w:sz w:val="28"/>
          <w:szCs w:val="28"/>
        </w:rPr>
        <w:t>15,773.44增加5,025.19</w:t>
      </w:r>
      <w:r>
        <w:rPr>
          <w:rFonts w:ascii="宋体" w:hAnsi="宋体" w:cs="Arial"/>
          <w:sz w:val="28"/>
          <w:szCs w:val="28"/>
        </w:rPr>
        <w:t>万元,</w:t>
      </w:r>
      <w:r>
        <w:rPr>
          <w:rFonts w:hint="eastAsia" w:ascii="宋体" w:hAnsi="宋体" w:cs="Arial"/>
          <w:sz w:val="28"/>
          <w:szCs w:val="28"/>
        </w:rPr>
        <w:t>增长31.86%</w:t>
      </w:r>
      <w:r>
        <w:rPr>
          <w:rFonts w:ascii="宋体" w:hAnsi="宋体" w:cs="Arial"/>
          <w:sz w:val="28"/>
          <w:szCs w:val="28"/>
        </w:rPr>
        <w:t>；其中：202</w:t>
      </w:r>
      <w:r>
        <w:rPr>
          <w:rFonts w:hint="eastAsia" w:ascii="宋体" w:hAnsi="宋体" w:cs="Arial"/>
          <w:sz w:val="28"/>
          <w:szCs w:val="28"/>
        </w:rPr>
        <w:t>4</w:t>
      </w:r>
      <w:r>
        <w:rPr>
          <w:rFonts w:ascii="宋体" w:hAnsi="宋体" w:cs="Arial"/>
          <w:sz w:val="28"/>
          <w:szCs w:val="28"/>
        </w:rPr>
        <w:t>年基本支出7,281.33万元，比202</w:t>
      </w:r>
      <w:r>
        <w:rPr>
          <w:rFonts w:hint="eastAsia" w:ascii="宋体" w:hAnsi="宋体" w:cs="Arial"/>
          <w:sz w:val="28"/>
          <w:szCs w:val="28"/>
        </w:rPr>
        <w:t>3</w:t>
      </w:r>
      <w:r>
        <w:rPr>
          <w:rFonts w:ascii="宋体" w:hAnsi="宋体" w:cs="Arial"/>
          <w:sz w:val="28"/>
          <w:szCs w:val="28"/>
        </w:rPr>
        <w:t>年基本支出</w:t>
      </w:r>
      <w:r>
        <w:rPr>
          <w:rFonts w:hint="eastAsia" w:ascii="宋体" w:hAnsi="宋体" w:cs="Arial"/>
          <w:sz w:val="28"/>
          <w:szCs w:val="28"/>
        </w:rPr>
        <w:t>7,344.32</w:t>
      </w:r>
      <w:r>
        <w:rPr>
          <w:rFonts w:ascii="宋体" w:hAnsi="宋体" w:cs="Arial"/>
          <w:sz w:val="28"/>
          <w:szCs w:val="28"/>
        </w:rPr>
        <w:t>万元</w:t>
      </w:r>
      <w:r>
        <w:rPr>
          <w:rFonts w:hint="eastAsia" w:ascii="宋体" w:hAnsi="宋体" w:cs="Arial"/>
          <w:sz w:val="28"/>
          <w:szCs w:val="28"/>
        </w:rPr>
        <w:t>减少</w:t>
      </w:r>
      <w:r>
        <w:rPr>
          <w:rFonts w:ascii="宋体" w:hAnsi="宋体" w:cs="Arial"/>
          <w:sz w:val="28"/>
          <w:szCs w:val="28"/>
        </w:rPr>
        <w:t>62.99万元，</w:t>
      </w:r>
      <w:r>
        <w:rPr>
          <w:rFonts w:hint="eastAsia" w:ascii="宋体" w:hAnsi="宋体" w:cs="Arial"/>
          <w:sz w:val="28"/>
          <w:szCs w:val="28"/>
        </w:rPr>
        <w:t>下降</w:t>
      </w:r>
      <w:r>
        <w:rPr>
          <w:rFonts w:ascii="宋体" w:hAnsi="宋体" w:cs="Arial"/>
          <w:sz w:val="28"/>
          <w:szCs w:val="28"/>
        </w:rPr>
        <w:t>0.86%；项目支出13,517.30万元,比202</w:t>
      </w:r>
      <w:r>
        <w:rPr>
          <w:rFonts w:hint="eastAsia" w:ascii="宋体" w:hAnsi="宋体" w:cs="Arial"/>
          <w:sz w:val="28"/>
          <w:szCs w:val="28"/>
        </w:rPr>
        <w:t>3</w:t>
      </w:r>
      <w:r>
        <w:rPr>
          <w:rFonts w:ascii="宋体" w:hAnsi="宋体" w:cs="Arial"/>
          <w:sz w:val="28"/>
          <w:szCs w:val="28"/>
        </w:rPr>
        <w:t>项目支出</w:t>
      </w:r>
      <w:r>
        <w:rPr>
          <w:rFonts w:hint="eastAsia" w:ascii="宋体" w:hAnsi="宋体" w:cs="Arial"/>
          <w:sz w:val="28"/>
          <w:szCs w:val="28"/>
        </w:rPr>
        <w:t>8,429.12</w:t>
      </w:r>
      <w:r>
        <w:rPr>
          <w:rFonts w:ascii="宋体" w:hAnsi="宋体" w:cs="Arial"/>
          <w:sz w:val="28"/>
          <w:szCs w:val="28"/>
        </w:rPr>
        <w:t>万元</w:t>
      </w:r>
      <w:r>
        <w:rPr>
          <w:rFonts w:hint="eastAsia" w:ascii="宋体" w:hAnsi="宋体" w:cs="Arial"/>
          <w:sz w:val="28"/>
          <w:szCs w:val="28"/>
        </w:rPr>
        <w:t>增加</w:t>
      </w:r>
      <w:r>
        <w:rPr>
          <w:rFonts w:ascii="宋体" w:hAnsi="宋体" w:cs="Arial"/>
          <w:sz w:val="28"/>
          <w:szCs w:val="28"/>
        </w:rPr>
        <w:t>5,088.18万元，</w:t>
      </w:r>
      <w:r>
        <w:rPr>
          <w:rFonts w:hint="eastAsia" w:ascii="宋体" w:hAnsi="宋体" w:cs="Arial"/>
          <w:sz w:val="28"/>
          <w:szCs w:val="28"/>
        </w:rPr>
        <w:t>增长</w:t>
      </w:r>
      <w:r>
        <w:rPr>
          <w:rFonts w:ascii="宋体" w:hAnsi="宋体" w:cs="Arial"/>
          <w:sz w:val="28"/>
          <w:szCs w:val="28"/>
        </w:rPr>
        <w:t>60.36</w:t>
      </w:r>
      <w:r>
        <w:rPr>
          <w:rFonts w:hint="eastAsia" w:ascii="宋体" w:hAnsi="宋体" w:cs="Arial"/>
          <w:sz w:val="28"/>
          <w:szCs w:val="28"/>
        </w:rPr>
        <w:t>%</w:t>
      </w:r>
      <w:r>
        <w:rPr>
          <w:rFonts w:ascii="宋体" w:hAnsi="宋体" w:cs="Arial"/>
          <w:sz w:val="28"/>
          <w:szCs w:val="28"/>
        </w:rPr>
        <w:t>。</w:t>
      </w:r>
      <w:bookmarkStart w:id="46" w:name="_GoBack"/>
      <w:bookmarkEnd w:id="46"/>
    </w:p>
    <w:p w14:paraId="236D665D">
      <w:pPr>
        <w:adjustRightInd w:val="0"/>
        <w:snapToGrid w:val="0"/>
        <w:spacing w:line="360" w:lineRule="auto"/>
        <w:ind w:firstLine="602" w:firstLineChars="200"/>
        <w:outlineLvl w:val="1"/>
        <w:rPr>
          <w:rFonts w:hint="eastAsia" w:ascii="楷体" w:hAnsi="楷体" w:eastAsia="楷体" w:cs="Arial"/>
          <w:b/>
          <w:bCs/>
          <w:kern w:val="0"/>
          <w:sz w:val="30"/>
          <w:szCs w:val="30"/>
        </w:rPr>
      </w:pPr>
      <w:bookmarkStart w:id="23" w:name="_Toc135162125"/>
      <w:r>
        <w:rPr>
          <w:rFonts w:ascii="楷体" w:hAnsi="楷体" w:eastAsia="楷体" w:cs="Arial"/>
          <w:b/>
          <w:bCs/>
          <w:kern w:val="0"/>
          <w:sz w:val="30"/>
          <w:szCs w:val="30"/>
        </w:rPr>
        <w:t>（二）效果实现情况分析</w:t>
      </w:r>
      <w:bookmarkEnd w:id="23"/>
    </w:p>
    <w:p w14:paraId="36FCB3E2">
      <w:pPr>
        <w:adjustRightInd w:val="0"/>
        <w:snapToGrid w:val="0"/>
        <w:spacing w:line="360" w:lineRule="auto"/>
        <w:ind w:left="105" w:leftChars="50" w:firstLine="450" w:firstLineChars="150"/>
        <w:outlineLvl w:val="2"/>
        <w:rPr>
          <w:rFonts w:hint="eastAsia" w:ascii="楷体" w:hAnsi="楷体" w:eastAsia="楷体" w:cs="Arial"/>
          <w:color w:val="000000"/>
          <w:kern w:val="0"/>
          <w:sz w:val="30"/>
          <w:szCs w:val="30"/>
        </w:rPr>
      </w:pPr>
      <w:bookmarkStart w:id="24" w:name="_Toc135162126"/>
      <w:r>
        <w:rPr>
          <w:rFonts w:ascii="楷体" w:hAnsi="楷体" w:eastAsia="楷体" w:cs="Arial"/>
          <w:color w:val="000000"/>
          <w:kern w:val="0"/>
          <w:sz w:val="30"/>
          <w:szCs w:val="30"/>
        </w:rPr>
        <w:t>1.经济效益</w:t>
      </w:r>
      <w:bookmarkEnd w:id="24"/>
    </w:p>
    <w:p w14:paraId="5244E196">
      <w:pPr>
        <w:adjustRightInd w:val="0"/>
        <w:snapToGrid w:val="0"/>
        <w:spacing w:line="360" w:lineRule="auto"/>
        <w:ind w:firstLine="400"/>
        <w:jc w:val="left"/>
        <w:rPr>
          <w:rFonts w:hint="eastAsia" w:ascii="宋体" w:hAnsi="宋体" w:cs="Arial"/>
          <w:sz w:val="28"/>
          <w:szCs w:val="28"/>
        </w:rPr>
      </w:pPr>
      <w:r>
        <w:rPr>
          <w:rFonts w:ascii="宋体" w:hAnsi="宋体" w:cs="Arial"/>
          <w:sz w:val="28"/>
          <w:szCs w:val="28"/>
        </w:rPr>
        <w:t>202</w:t>
      </w:r>
      <w:r>
        <w:rPr>
          <w:rFonts w:hint="eastAsia" w:ascii="宋体" w:hAnsi="宋体" w:cs="Arial"/>
          <w:sz w:val="28"/>
          <w:szCs w:val="28"/>
        </w:rPr>
        <w:t>4</w:t>
      </w:r>
      <w:r>
        <w:rPr>
          <w:rFonts w:ascii="宋体" w:hAnsi="宋体" w:cs="Arial"/>
          <w:sz w:val="28"/>
          <w:szCs w:val="28"/>
        </w:rPr>
        <w:t>年北京互联网法院坚持厉行节约，严控“三公”经费支出，确保全院每一项支出都落到实处。202</w:t>
      </w:r>
      <w:r>
        <w:rPr>
          <w:rFonts w:hint="eastAsia" w:ascii="宋体" w:hAnsi="宋体" w:cs="Arial"/>
          <w:sz w:val="28"/>
          <w:szCs w:val="28"/>
        </w:rPr>
        <w:t>4</w:t>
      </w:r>
      <w:r>
        <w:rPr>
          <w:rFonts w:ascii="宋体" w:hAnsi="宋体" w:cs="Arial"/>
          <w:sz w:val="28"/>
          <w:szCs w:val="28"/>
        </w:rPr>
        <w:t>年“三公”经费决算数</w:t>
      </w:r>
      <w:r>
        <w:rPr>
          <w:rFonts w:hint="eastAsia" w:ascii="宋体" w:hAnsi="宋体" w:cs="Arial"/>
          <w:sz w:val="28"/>
          <w:szCs w:val="28"/>
        </w:rPr>
        <w:t>30</w:t>
      </w:r>
      <w:r>
        <w:rPr>
          <w:rFonts w:ascii="宋体" w:hAnsi="宋体" w:cs="Arial"/>
          <w:sz w:val="28"/>
          <w:szCs w:val="28"/>
        </w:rPr>
        <w:t>.</w:t>
      </w:r>
      <w:r>
        <w:rPr>
          <w:rFonts w:hint="eastAsia" w:ascii="宋体" w:hAnsi="宋体" w:cs="Arial"/>
          <w:sz w:val="28"/>
          <w:szCs w:val="28"/>
        </w:rPr>
        <w:t>23</w:t>
      </w:r>
      <w:r>
        <w:rPr>
          <w:rFonts w:ascii="宋体" w:hAnsi="宋体" w:cs="Arial"/>
          <w:sz w:val="28"/>
          <w:szCs w:val="28"/>
        </w:rPr>
        <w:t>万元，202</w:t>
      </w:r>
      <w:r>
        <w:rPr>
          <w:rFonts w:hint="eastAsia" w:ascii="宋体" w:hAnsi="宋体" w:cs="Arial"/>
          <w:sz w:val="28"/>
          <w:szCs w:val="28"/>
        </w:rPr>
        <w:t>4</w:t>
      </w:r>
      <w:r>
        <w:rPr>
          <w:rFonts w:ascii="宋体" w:hAnsi="宋体" w:cs="Arial"/>
          <w:sz w:val="28"/>
          <w:szCs w:val="28"/>
        </w:rPr>
        <w:t>年“三公”经费</w:t>
      </w:r>
      <w:r>
        <w:rPr>
          <w:rFonts w:hint="eastAsia" w:ascii="宋体" w:hAnsi="宋体" w:cs="Arial"/>
          <w:sz w:val="28"/>
          <w:szCs w:val="28"/>
        </w:rPr>
        <w:t>预算数47</w:t>
      </w:r>
      <w:r>
        <w:rPr>
          <w:rFonts w:ascii="宋体" w:hAnsi="宋体" w:cs="Arial"/>
          <w:sz w:val="28"/>
          <w:szCs w:val="28"/>
        </w:rPr>
        <w:t>.</w:t>
      </w:r>
      <w:r>
        <w:rPr>
          <w:rFonts w:hint="eastAsia" w:ascii="宋体" w:hAnsi="宋体" w:cs="Arial"/>
          <w:sz w:val="28"/>
          <w:szCs w:val="28"/>
        </w:rPr>
        <w:t>74</w:t>
      </w:r>
      <w:r>
        <w:rPr>
          <w:rFonts w:ascii="宋体" w:hAnsi="宋体" w:cs="Arial"/>
          <w:sz w:val="28"/>
          <w:szCs w:val="28"/>
        </w:rPr>
        <w:t>万元</w:t>
      </w:r>
      <w:r>
        <w:rPr>
          <w:rFonts w:hint="eastAsia" w:ascii="宋体" w:hAnsi="宋体" w:cs="Arial"/>
          <w:sz w:val="28"/>
          <w:szCs w:val="28"/>
        </w:rPr>
        <w:t>，2</w:t>
      </w:r>
      <w:r>
        <w:rPr>
          <w:rFonts w:ascii="宋体" w:hAnsi="宋体" w:cs="Arial"/>
          <w:sz w:val="28"/>
          <w:szCs w:val="28"/>
        </w:rPr>
        <w:t>02</w:t>
      </w:r>
      <w:r>
        <w:rPr>
          <w:rFonts w:hint="eastAsia" w:ascii="宋体" w:hAnsi="宋体" w:cs="Arial"/>
          <w:sz w:val="28"/>
          <w:szCs w:val="28"/>
        </w:rPr>
        <w:t>4年</w:t>
      </w:r>
      <w:r>
        <w:rPr>
          <w:rFonts w:ascii="宋体" w:hAnsi="宋体" w:cs="Arial"/>
          <w:sz w:val="28"/>
          <w:szCs w:val="28"/>
        </w:rPr>
        <w:t>“三公”</w:t>
      </w:r>
      <w:r>
        <w:rPr>
          <w:rFonts w:hint="eastAsia" w:ascii="宋体" w:hAnsi="宋体" w:cs="Arial"/>
          <w:sz w:val="28"/>
          <w:szCs w:val="28"/>
        </w:rPr>
        <w:t>经费预算控制率为63</w:t>
      </w:r>
      <w:r>
        <w:rPr>
          <w:rFonts w:ascii="宋体" w:hAnsi="宋体" w:cs="Arial"/>
          <w:sz w:val="28"/>
          <w:szCs w:val="28"/>
        </w:rPr>
        <w:t>.</w:t>
      </w:r>
      <w:r>
        <w:rPr>
          <w:rFonts w:hint="eastAsia" w:ascii="宋体" w:hAnsi="宋体" w:cs="Arial"/>
          <w:sz w:val="28"/>
          <w:szCs w:val="28"/>
        </w:rPr>
        <w:t>32</w:t>
      </w:r>
      <w:r>
        <w:rPr>
          <w:rFonts w:ascii="宋体" w:hAnsi="宋体" w:cs="Arial"/>
          <w:sz w:val="28"/>
          <w:szCs w:val="28"/>
        </w:rPr>
        <w:t>%</w:t>
      </w:r>
      <w:r>
        <w:rPr>
          <w:rFonts w:hint="eastAsia" w:ascii="宋体" w:hAnsi="宋体" w:cs="Arial"/>
          <w:sz w:val="28"/>
          <w:szCs w:val="28"/>
        </w:rPr>
        <w:t>。</w:t>
      </w:r>
    </w:p>
    <w:p w14:paraId="34B7ABA7">
      <w:pPr>
        <w:adjustRightInd w:val="0"/>
        <w:snapToGrid w:val="0"/>
        <w:spacing w:line="360" w:lineRule="auto"/>
        <w:ind w:left="105" w:leftChars="50" w:firstLine="450" w:firstLineChars="150"/>
        <w:outlineLvl w:val="2"/>
        <w:rPr>
          <w:rFonts w:hint="eastAsia" w:ascii="楷体" w:hAnsi="楷体" w:eastAsia="楷体" w:cs="Arial"/>
          <w:color w:val="000000"/>
          <w:kern w:val="0"/>
          <w:sz w:val="30"/>
          <w:szCs w:val="30"/>
        </w:rPr>
      </w:pPr>
      <w:bookmarkStart w:id="25" w:name="_Toc135162127"/>
      <w:r>
        <w:rPr>
          <w:rFonts w:ascii="楷体" w:hAnsi="楷体" w:eastAsia="楷体" w:cs="Arial"/>
          <w:color w:val="000000"/>
          <w:kern w:val="0"/>
          <w:sz w:val="30"/>
          <w:szCs w:val="30"/>
        </w:rPr>
        <w:t>2.社会效益</w:t>
      </w:r>
      <w:bookmarkEnd w:id="25"/>
    </w:p>
    <w:p w14:paraId="06B43B0B">
      <w:pPr>
        <w:adjustRightInd w:val="0"/>
        <w:snapToGrid w:val="0"/>
        <w:spacing w:line="360" w:lineRule="auto"/>
        <w:ind w:firstLine="567"/>
        <w:jc w:val="left"/>
        <w:rPr>
          <w:rFonts w:hint="eastAsia" w:ascii="宋体" w:hAnsi="宋体" w:cs="Arial"/>
          <w:sz w:val="28"/>
          <w:szCs w:val="28"/>
        </w:rPr>
      </w:pPr>
      <w:r>
        <w:rPr>
          <w:rFonts w:hint="eastAsia" w:ascii="宋体" w:hAnsi="宋体" w:cs="Arial"/>
          <w:sz w:val="28"/>
          <w:szCs w:val="28"/>
        </w:rPr>
        <w:t>2</w:t>
      </w:r>
      <w:r>
        <w:rPr>
          <w:rFonts w:ascii="宋体" w:hAnsi="宋体" w:cs="Arial"/>
          <w:sz w:val="28"/>
          <w:szCs w:val="28"/>
        </w:rPr>
        <w:t>02</w:t>
      </w:r>
      <w:r>
        <w:rPr>
          <w:rFonts w:hint="eastAsia" w:ascii="宋体" w:hAnsi="宋体" w:cs="Arial"/>
          <w:sz w:val="28"/>
          <w:szCs w:val="28"/>
        </w:rPr>
        <w:t>4年，北京互联网法院深入开展党的二十届三中全会精神宣传贯彻，通过“一把手”带头宣讲全会精神、举办专题研讨班等，全面深刻领会全会精神，严格落实请示报告制度；抓实主责主业，不断提升审执工作质效，通过开展“审执质效争优年”专项行动，审判效率、质量、效果指标全面趋优向好。全年收案24461件，结案26684件，结收比109.09%，法官人均结案556件。</w:t>
      </w:r>
    </w:p>
    <w:p w14:paraId="6F45C86B">
      <w:pPr>
        <w:adjustRightInd w:val="0"/>
        <w:snapToGrid w:val="0"/>
        <w:spacing w:line="360" w:lineRule="auto"/>
        <w:ind w:firstLine="567"/>
        <w:jc w:val="left"/>
        <w:rPr>
          <w:rFonts w:hint="eastAsia" w:ascii="宋体" w:hAnsi="宋体" w:cs="Arial"/>
          <w:sz w:val="28"/>
          <w:szCs w:val="28"/>
        </w:rPr>
      </w:pPr>
      <w:bookmarkStart w:id="26" w:name="_Toc135162128"/>
      <w:r>
        <w:rPr>
          <w:rFonts w:ascii="宋体" w:hAnsi="宋体" w:cs="Arial"/>
          <w:sz w:val="28"/>
          <w:szCs w:val="28"/>
        </w:rPr>
        <w:t>北京互联网法院预算管理比较规范，管理机构健全，单位建立健全了财务管理制度，通过法院办案业务费、</w:t>
      </w:r>
      <w:r>
        <w:rPr>
          <w:rFonts w:hint="eastAsia" w:ascii="宋体" w:hAnsi="宋体" w:cs="Arial"/>
          <w:sz w:val="28"/>
          <w:szCs w:val="28"/>
        </w:rPr>
        <w:t>审判区租金</w:t>
      </w:r>
      <w:r>
        <w:rPr>
          <w:rFonts w:ascii="宋体" w:hAnsi="宋体" w:cs="Arial"/>
          <w:sz w:val="28"/>
          <w:szCs w:val="28"/>
        </w:rPr>
        <w:t>、安检工作经费、</w:t>
      </w:r>
      <w:r>
        <w:rPr>
          <w:rFonts w:hint="eastAsia" w:ascii="宋体" w:hAnsi="宋体" w:cs="Arial"/>
          <w:sz w:val="28"/>
          <w:szCs w:val="28"/>
        </w:rPr>
        <w:t>网络</w:t>
      </w:r>
      <w:r>
        <w:rPr>
          <w:rFonts w:ascii="宋体" w:hAnsi="宋体" w:cs="Arial"/>
          <w:sz w:val="28"/>
          <w:szCs w:val="28"/>
        </w:rPr>
        <w:t>运维费</w:t>
      </w:r>
      <w:r>
        <w:rPr>
          <w:rFonts w:hint="eastAsia" w:ascii="宋体" w:hAnsi="宋体" w:cs="Arial"/>
          <w:sz w:val="28"/>
          <w:szCs w:val="28"/>
        </w:rPr>
        <w:t>、互联网接入费、政务云平台租赁费</w:t>
      </w:r>
      <w:r>
        <w:rPr>
          <w:rFonts w:ascii="宋体" w:hAnsi="宋体" w:cs="Arial"/>
          <w:sz w:val="28"/>
          <w:szCs w:val="28"/>
        </w:rPr>
        <w:t>等主要项目的执行，</w:t>
      </w:r>
      <w:r>
        <w:rPr>
          <w:rFonts w:hint="eastAsia" w:ascii="宋体" w:hAnsi="宋体" w:cs="Arial"/>
          <w:sz w:val="28"/>
          <w:szCs w:val="28"/>
        </w:rPr>
        <w:t>较好地完成了2</w:t>
      </w:r>
      <w:r>
        <w:rPr>
          <w:rFonts w:ascii="宋体" w:hAnsi="宋体" w:cs="Arial"/>
          <w:sz w:val="28"/>
          <w:szCs w:val="28"/>
        </w:rPr>
        <w:t>02</w:t>
      </w:r>
      <w:r>
        <w:rPr>
          <w:rFonts w:hint="eastAsia" w:ascii="宋体" w:hAnsi="宋体" w:cs="Arial"/>
          <w:sz w:val="28"/>
          <w:szCs w:val="28"/>
        </w:rPr>
        <w:t>4年工作目标。</w:t>
      </w:r>
    </w:p>
    <w:p w14:paraId="29D06D50">
      <w:pPr>
        <w:adjustRightInd w:val="0"/>
        <w:snapToGrid w:val="0"/>
        <w:spacing w:line="360" w:lineRule="auto"/>
        <w:ind w:left="105" w:leftChars="50" w:firstLine="744" w:firstLineChars="248"/>
        <w:outlineLvl w:val="2"/>
        <w:rPr>
          <w:rFonts w:hint="eastAsia" w:ascii="楷体" w:hAnsi="楷体" w:eastAsia="楷体" w:cs="Arial"/>
          <w:color w:val="000000"/>
          <w:kern w:val="0"/>
          <w:sz w:val="30"/>
          <w:szCs w:val="30"/>
        </w:rPr>
      </w:pPr>
      <w:r>
        <w:rPr>
          <w:rFonts w:ascii="楷体" w:hAnsi="楷体" w:eastAsia="楷体" w:cs="Arial"/>
          <w:color w:val="000000"/>
          <w:kern w:val="0"/>
          <w:sz w:val="30"/>
          <w:szCs w:val="30"/>
        </w:rPr>
        <w:t>3.可持续性影响</w:t>
      </w:r>
      <w:bookmarkEnd w:id="26"/>
    </w:p>
    <w:p w14:paraId="3BFE69C2">
      <w:pPr>
        <w:adjustRightInd w:val="0"/>
        <w:snapToGrid w:val="0"/>
        <w:spacing w:line="360" w:lineRule="auto"/>
        <w:ind w:firstLine="709"/>
        <w:jc w:val="left"/>
        <w:rPr>
          <w:rFonts w:hint="eastAsia" w:ascii="宋体" w:hAnsi="宋体" w:cs="Arial"/>
          <w:sz w:val="28"/>
          <w:szCs w:val="28"/>
        </w:rPr>
      </w:pPr>
      <w:r>
        <w:rPr>
          <w:rFonts w:ascii="宋体" w:hAnsi="宋体" w:cs="Arial"/>
          <w:sz w:val="28"/>
          <w:szCs w:val="28"/>
        </w:rPr>
        <w:t>202</w:t>
      </w:r>
      <w:r>
        <w:rPr>
          <w:rFonts w:hint="eastAsia" w:ascii="宋体" w:hAnsi="宋体" w:cs="Arial"/>
          <w:sz w:val="28"/>
          <w:szCs w:val="28"/>
        </w:rPr>
        <w:t>4</w:t>
      </w:r>
      <w:r>
        <w:rPr>
          <w:rFonts w:ascii="宋体" w:hAnsi="宋体" w:cs="Arial"/>
          <w:sz w:val="28"/>
          <w:szCs w:val="28"/>
        </w:rPr>
        <w:t>年，北京互联网法院通过各项职能的有效发挥，</w:t>
      </w:r>
      <w:r>
        <w:rPr>
          <w:rFonts w:hint="eastAsia" w:ascii="宋体" w:hAnsi="宋体" w:cs="Arial"/>
          <w:sz w:val="28"/>
          <w:szCs w:val="28"/>
        </w:rPr>
        <w:t>始终坚持为民司法、全面从严治党加强队伍建设，持续强化规则引领，为网络空间治理贡献“北互智慧”，加强未成年人保护，更好守护数字时代“原住民”；积极进行法治宣传，不断提升互联网司法影响力；深化司法为民工作机制，努力增强人民群众司法获得感。</w:t>
      </w:r>
    </w:p>
    <w:p w14:paraId="2A2C0D32">
      <w:pPr>
        <w:pStyle w:val="2"/>
        <w:ind w:firstLine="602"/>
        <w:rPr>
          <w:rFonts w:hint="eastAsia" w:ascii="楷体" w:hAnsi="楷体" w:eastAsia="楷体" w:cs="Arial"/>
          <w:sz w:val="30"/>
          <w:szCs w:val="30"/>
        </w:rPr>
      </w:pPr>
      <w:bookmarkStart w:id="27" w:name="_Toc135162129"/>
      <w:r>
        <w:rPr>
          <w:rFonts w:ascii="楷体" w:hAnsi="楷体" w:eastAsia="楷体" w:cs="Arial"/>
          <w:sz w:val="30"/>
          <w:szCs w:val="30"/>
        </w:rPr>
        <w:t>四、预算管理情况分析</w:t>
      </w:r>
      <w:bookmarkEnd w:id="27"/>
    </w:p>
    <w:p w14:paraId="77030935">
      <w:pPr>
        <w:adjustRightInd w:val="0"/>
        <w:snapToGrid w:val="0"/>
        <w:spacing w:line="360" w:lineRule="auto"/>
        <w:ind w:firstLine="602" w:firstLineChars="200"/>
        <w:outlineLvl w:val="1"/>
        <w:rPr>
          <w:rFonts w:hint="eastAsia" w:ascii="楷体" w:hAnsi="楷体" w:eastAsia="楷体" w:cs="Arial"/>
          <w:b/>
          <w:bCs/>
          <w:kern w:val="0"/>
          <w:sz w:val="30"/>
          <w:szCs w:val="30"/>
        </w:rPr>
      </w:pPr>
      <w:bookmarkStart w:id="28" w:name="_Toc135162130"/>
      <w:r>
        <w:rPr>
          <w:rFonts w:ascii="楷体" w:hAnsi="楷体" w:eastAsia="楷体" w:cs="Arial"/>
          <w:b/>
          <w:bCs/>
          <w:kern w:val="0"/>
          <w:sz w:val="30"/>
          <w:szCs w:val="30"/>
        </w:rPr>
        <w:t>（一）财务管理</w:t>
      </w:r>
      <w:bookmarkEnd w:id="28"/>
    </w:p>
    <w:p w14:paraId="4A85327C">
      <w:pPr>
        <w:adjustRightInd w:val="0"/>
        <w:snapToGrid w:val="0"/>
        <w:spacing w:line="360" w:lineRule="auto"/>
        <w:ind w:left="105" w:leftChars="50" w:firstLine="450" w:firstLineChars="150"/>
        <w:outlineLvl w:val="2"/>
        <w:rPr>
          <w:rFonts w:hint="eastAsia" w:ascii="楷体" w:hAnsi="楷体" w:eastAsia="楷体" w:cs="Arial"/>
          <w:color w:val="000000"/>
          <w:kern w:val="0"/>
          <w:sz w:val="30"/>
          <w:szCs w:val="30"/>
        </w:rPr>
      </w:pPr>
      <w:bookmarkStart w:id="29" w:name="_Toc135162131"/>
      <w:r>
        <w:rPr>
          <w:rFonts w:ascii="楷体" w:hAnsi="楷体" w:eastAsia="楷体" w:cs="Arial"/>
          <w:color w:val="000000"/>
          <w:kern w:val="0"/>
          <w:sz w:val="30"/>
          <w:szCs w:val="30"/>
        </w:rPr>
        <w:t>1.财务管理制度健全性</w:t>
      </w:r>
      <w:bookmarkEnd w:id="29"/>
    </w:p>
    <w:p w14:paraId="72EE9F2D">
      <w:pPr>
        <w:adjustRightInd w:val="0"/>
        <w:snapToGrid w:val="0"/>
        <w:spacing w:line="360" w:lineRule="auto"/>
        <w:ind w:firstLine="560" w:firstLineChars="200"/>
        <w:rPr>
          <w:rFonts w:hint="eastAsia" w:ascii="宋体" w:hAnsi="宋体" w:cs="Arial"/>
          <w:sz w:val="28"/>
          <w:szCs w:val="28"/>
        </w:rPr>
      </w:pPr>
      <w:r>
        <w:rPr>
          <w:rFonts w:ascii="宋体" w:hAnsi="宋体" w:cs="Arial"/>
          <w:sz w:val="28"/>
          <w:szCs w:val="28"/>
        </w:rPr>
        <w:t>北京互联网法院根据《中华人民共和国会计法》、《中华人民共和国预算法》、财政部《政府会计制度》、《行政事业单位内部控制规范（试行）》（财会〔2012〕21号）制定了内部相关财务管理办法并进行执行，对招投标、政府采购等各项资金的使用范围、支付流程等进行规范。</w:t>
      </w:r>
    </w:p>
    <w:p w14:paraId="475D8346">
      <w:pPr>
        <w:adjustRightInd w:val="0"/>
        <w:snapToGrid w:val="0"/>
        <w:spacing w:line="360" w:lineRule="auto"/>
        <w:ind w:firstLine="560" w:firstLineChars="200"/>
        <w:rPr>
          <w:rFonts w:hint="eastAsia" w:ascii="宋体" w:hAnsi="宋体" w:cs="Arial"/>
          <w:sz w:val="28"/>
          <w:szCs w:val="28"/>
        </w:rPr>
      </w:pPr>
      <w:r>
        <w:rPr>
          <w:rFonts w:ascii="宋体" w:hAnsi="宋体" w:cs="Arial"/>
          <w:sz w:val="28"/>
          <w:szCs w:val="28"/>
        </w:rPr>
        <w:t>202</w:t>
      </w:r>
      <w:r>
        <w:rPr>
          <w:rFonts w:hint="eastAsia" w:ascii="宋体" w:hAnsi="宋体" w:cs="Arial"/>
          <w:sz w:val="28"/>
          <w:szCs w:val="28"/>
        </w:rPr>
        <w:t>4</w:t>
      </w:r>
      <w:r>
        <w:rPr>
          <w:rFonts w:ascii="宋体" w:hAnsi="宋体" w:cs="Arial"/>
          <w:sz w:val="28"/>
          <w:szCs w:val="28"/>
        </w:rPr>
        <w:t>年，北京互联网法院严格执行各种规章制度，按照规定程序履行部门职责，认真落实各项工作，切实保障法院审判工作及综合行政事务管理的有序进行，实现了年度工作目标。</w:t>
      </w:r>
    </w:p>
    <w:p w14:paraId="6981ED11">
      <w:pPr>
        <w:adjustRightInd w:val="0"/>
        <w:snapToGrid w:val="0"/>
        <w:spacing w:line="360" w:lineRule="auto"/>
        <w:ind w:left="105" w:leftChars="50" w:firstLine="450" w:firstLineChars="150"/>
        <w:outlineLvl w:val="2"/>
        <w:rPr>
          <w:rFonts w:hint="eastAsia" w:ascii="楷体" w:hAnsi="楷体" w:eastAsia="楷体" w:cs="Arial"/>
          <w:color w:val="000000"/>
          <w:kern w:val="0"/>
          <w:sz w:val="30"/>
          <w:szCs w:val="30"/>
        </w:rPr>
      </w:pPr>
      <w:bookmarkStart w:id="30" w:name="_Toc135162132"/>
      <w:r>
        <w:rPr>
          <w:rFonts w:ascii="楷体" w:hAnsi="楷体" w:eastAsia="楷体" w:cs="Arial"/>
          <w:color w:val="000000"/>
          <w:kern w:val="0"/>
          <w:sz w:val="30"/>
          <w:szCs w:val="30"/>
        </w:rPr>
        <w:t>2.资金使用合规性和安全性</w:t>
      </w:r>
      <w:bookmarkEnd w:id="30"/>
    </w:p>
    <w:p w14:paraId="3870A0CF">
      <w:pPr>
        <w:pStyle w:val="4"/>
        <w:adjustRightInd w:val="0"/>
        <w:snapToGrid w:val="0"/>
        <w:spacing w:line="358" w:lineRule="auto"/>
        <w:ind w:right="244" w:firstLine="561"/>
        <w:rPr>
          <w:rFonts w:hint="eastAsia" w:cs="Arial"/>
          <w:kern w:val="2"/>
          <w:lang w:eastAsia="zh-CN"/>
        </w:rPr>
      </w:pPr>
      <w:r>
        <w:rPr>
          <w:rFonts w:cs="Arial"/>
          <w:kern w:val="2"/>
          <w:lang w:eastAsia="zh-CN"/>
        </w:rPr>
        <w:t>202</w:t>
      </w:r>
      <w:r>
        <w:rPr>
          <w:rFonts w:hint="eastAsia" w:cs="Arial"/>
          <w:kern w:val="2"/>
          <w:lang w:eastAsia="zh-CN"/>
        </w:rPr>
        <w:t>4</w:t>
      </w:r>
      <w:r>
        <w:rPr>
          <w:rFonts w:cs="Arial"/>
          <w:kern w:val="2"/>
          <w:lang w:eastAsia="zh-CN"/>
        </w:rPr>
        <w:t>年，北京互联网法院对预算资金的支付符合国家财经法规和财务管理制度规定，资金拨付有完整的审批程序和手续；经费支出符合部门预算批复的用途，无截留挪用、虚列支出等情况，资金使用合规、安全。</w:t>
      </w:r>
    </w:p>
    <w:p w14:paraId="53D5F3CC">
      <w:pPr>
        <w:adjustRightInd w:val="0"/>
        <w:snapToGrid w:val="0"/>
        <w:spacing w:line="360" w:lineRule="auto"/>
        <w:ind w:left="105" w:leftChars="50" w:firstLine="450" w:firstLineChars="150"/>
        <w:outlineLvl w:val="2"/>
        <w:rPr>
          <w:rFonts w:hint="eastAsia" w:ascii="楷体" w:hAnsi="楷体" w:eastAsia="楷体" w:cs="Arial"/>
          <w:color w:val="000000"/>
          <w:kern w:val="0"/>
          <w:sz w:val="30"/>
          <w:szCs w:val="30"/>
        </w:rPr>
      </w:pPr>
      <w:bookmarkStart w:id="31" w:name="_Toc135162133"/>
      <w:r>
        <w:rPr>
          <w:rFonts w:ascii="楷体" w:hAnsi="楷体" w:eastAsia="楷体" w:cs="Arial"/>
          <w:color w:val="000000"/>
          <w:kern w:val="0"/>
          <w:sz w:val="30"/>
          <w:szCs w:val="30"/>
        </w:rPr>
        <w:t>3.会计基础信息完善性</w:t>
      </w:r>
      <w:bookmarkEnd w:id="31"/>
    </w:p>
    <w:p w14:paraId="51F6C7B4">
      <w:pPr>
        <w:pStyle w:val="4"/>
        <w:adjustRightInd w:val="0"/>
        <w:snapToGrid w:val="0"/>
        <w:spacing w:line="358" w:lineRule="auto"/>
        <w:ind w:right="244" w:firstLine="561"/>
        <w:rPr>
          <w:rFonts w:hint="eastAsia" w:cs="Arial"/>
          <w:kern w:val="2"/>
          <w:lang w:eastAsia="zh-CN"/>
        </w:rPr>
      </w:pPr>
      <w:r>
        <w:rPr>
          <w:rFonts w:cs="Arial"/>
          <w:kern w:val="2"/>
          <w:lang w:eastAsia="zh-CN"/>
        </w:rPr>
        <w:t>202</w:t>
      </w:r>
      <w:r>
        <w:rPr>
          <w:rFonts w:hint="eastAsia" w:cs="Arial"/>
          <w:kern w:val="2"/>
          <w:lang w:eastAsia="zh-CN"/>
        </w:rPr>
        <w:t>4</w:t>
      </w:r>
      <w:r>
        <w:rPr>
          <w:rFonts w:cs="Arial"/>
          <w:kern w:val="2"/>
          <w:lang w:eastAsia="zh-CN"/>
        </w:rPr>
        <w:t>年，北京互联网法院严格执行财务管理制度、会计核算制度，财务数据和会计信息真实准确、完整齐全。</w:t>
      </w:r>
    </w:p>
    <w:p w14:paraId="03582221">
      <w:pPr>
        <w:adjustRightInd w:val="0"/>
        <w:snapToGrid w:val="0"/>
        <w:spacing w:line="360" w:lineRule="auto"/>
        <w:ind w:firstLine="602" w:firstLineChars="200"/>
        <w:outlineLvl w:val="1"/>
        <w:rPr>
          <w:rFonts w:hint="eastAsia" w:ascii="楷体" w:hAnsi="楷体" w:eastAsia="楷体" w:cs="Arial"/>
          <w:b/>
          <w:bCs/>
          <w:kern w:val="0"/>
          <w:sz w:val="30"/>
          <w:szCs w:val="30"/>
        </w:rPr>
      </w:pPr>
      <w:bookmarkStart w:id="32" w:name="_Toc135162134"/>
      <w:r>
        <w:rPr>
          <w:rFonts w:ascii="楷体" w:hAnsi="楷体" w:eastAsia="楷体" w:cs="Arial"/>
          <w:b/>
          <w:bCs/>
          <w:kern w:val="0"/>
          <w:sz w:val="30"/>
          <w:szCs w:val="30"/>
        </w:rPr>
        <w:t>（二）资产管理</w:t>
      </w:r>
      <w:bookmarkEnd w:id="32"/>
    </w:p>
    <w:p w14:paraId="6FD10253">
      <w:pPr>
        <w:adjustRightInd w:val="0"/>
        <w:snapToGrid w:val="0"/>
        <w:spacing w:line="360" w:lineRule="auto"/>
        <w:ind w:firstLine="560" w:firstLineChars="200"/>
        <w:rPr>
          <w:rFonts w:hint="eastAsia" w:ascii="宋体" w:hAnsi="宋体" w:cs="Arial"/>
          <w:sz w:val="28"/>
          <w:szCs w:val="28"/>
        </w:rPr>
      </w:pPr>
      <w:r>
        <w:rPr>
          <w:rFonts w:hint="eastAsia" w:ascii="宋体" w:hAnsi="宋体" w:cs="Arial"/>
          <w:sz w:val="28"/>
          <w:szCs w:val="28"/>
        </w:rPr>
        <w:t>截止2024年12月31日，北京互联网法院资产总额11,446.71万元，其中流动资产5,682.52万元，占资产总额的</w:t>
      </w:r>
      <w:r>
        <w:rPr>
          <w:rFonts w:ascii="宋体" w:hAnsi="宋体" w:cs="Arial"/>
          <w:sz w:val="28"/>
          <w:szCs w:val="28"/>
        </w:rPr>
        <w:t>49.64</w:t>
      </w:r>
      <w:r>
        <w:rPr>
          <w:rFonts w:hint="eastAsia" w:ascii="宋体" w:hAnsi="宋体" w:cs="Arial"/>
          <w:sz w:val="28"/>
          <w:szCs w:val="28"/>
        </w:rPr>
        <w:t>%；非流动资产</w:t>
      </w:r>
      <w:r>
        <w:rPr>
          <w:rFonts w:ascii="宋体" w:hAnsi="宋体" w:cs="Arial"/>
          <w:sz w:val="28"/>
          <w:szCs w:val="28"/>
        </w:rPr>
        <w:t>4,182.94</w:t>
      </w:r>
      <w:r>
        <w:rPr>
          <w:rFonts w:hint="eastAsia" w:ascii="宋体" w:hAnsi="宋体" w:cs="Arial"/>
          <w:sz w:val="28"/>
          <w:szCs w:val="28"/>
        </w:rPr>
        <w:t>万元，占资产总额的</w:t>
      </w:r>
      <w:r>
        <w:rPr>
          <w:rFonts w:ascii="宋体" w:hAnsi="宋体" w:cs="Arial"/>
          <w:sz w:val="28"/>
          <w:szCs w:val="28"/>
        </w:rPr>
        <w:t>36.54</w:t>
      </w:r>
      <w:r>
        <w:rPr>
          <w:rFonts w:hint="eastAsia" w:ascii="宋体" w:hAnsi="宋体" w:cs="Arial"/>
          <w:sz w:val="28"/>
          <w:szCs w:val="28"/>
        </w:rPr>
        <w:t>%；受托代理资产1,581.26万元，占资产总额的13.81%。</w:t>
      </w:r>
    </w:p>
    <w:p w14:paraId="1FA85A84">
      <w:pPr>
        <w:adjustRightInd w:val="0"/>
        <w:snapToGrid w:val="0"/>
        <w:spacing w:line="360" w:lineRule="auto"/>
        <w:ind w:firstLine="560" w:firstLineChars="200"/>
        <w:rPr>
          <w:rFonts w:hint="eastAsia" w:ascii="宋体" w:hAnsi="宋体" w:cs="Arial"/>
          <w:sz w:val="28"/>
          <w:szCs w:val="28"/>
        </w:rPr>
      </w:pPr>
      <w:r>
        <w:rPr>
          <w:rFonts w:ascii="宋体" w:hAnsi="宋体" w:cs="Arial"/>
          <w:sz w:val="28"/>
          <w:szCs w:val="28"/>
        </w:rPr>
        <w:t>为了加强资产管理，维护资产的安全和完整，提高资产的使用效益，北京互联网法院根据《行政事业单位内部控制规范（试行）》、《行政事业单位国有资产管理办法》、《北京市市级行政事业单位国有资产处置管理办法》及财政部相关规定，结合单位实际情况，制定了资产管理制度，包括《资产管理办法》和《办公用品及低值易耗品管理办法》，规范和加强了资产管理工作，维护了国有资产的安全完整、合理配置和有效利用，并设专人负责日常财产物质管理，并建立固定资产、低值易耗品、办公用品领用制度。</w:t>
      </w:r>
    </w:p>
    <w:p w14:paraId="18A5354D">
      <w:pPr>
        <w:adjustRightInd w:val="0"/>
        <w:snapToGrid w:val="0"/>
        <w:spacing w:line="360" w:lineRule="auto"/>
        <w:ind w:firstLine="602" w:firstLineChars="200"/>
        <w:outlineLvl w:val="1"/>
        <w:rPr>
          <w:rFonts w:hint="eastAsia" w:ascii="楷体" w:hAnsi="楷体" w:eastAsia="楷体" w:cs="Arial"/>
          <w:b/>
          <w:bCs/>
          <w:kern w:val="0"/>
          <w:sz w:val="30"/>
          <w:szCs w:val="30"/>
        </w:rPr>
      </w:pPr>
      <w:bookmarkStart w:id="33" w:name="_Toc135162135"/>
      <w:r>
        <w:rPr>
          <w:rFonts w:ascii="楷体" w:hAnsi="楷体" w:eastAsia="楷体" w:cs="Arial"/>
          <w:b/>
          <w:bCs/>
          <w:kern w:val="0"/>
          <w:sz w:val="30"/>
          <w:szCs w:val="30"/>
        </w:rPr>
        <w:t>（三）绩效管理</w:t>
      </w:r>
      <w:bookmarkEnd w:id="33"/>
    </w:p>
    <w:p w14:paraId="14FA790E">
      <w:pPr>
        <w:adjustRightInd w:val="0"/>
        <w:snapToGrid w:val="0"/>
        <w:spacing w:line="360" w:lineRule="auto"/>
        <w:ind w:left="105" w:leftChars="50" w:firstLine="450" w:firstLineChars="150"/>
        <w:outlineLvl w:val="2"/>
        <w:rPr>
          <w:rFonts w:hint="eastAsia" w:ascii="楷体" w:hAnsi="楷体" w:eastAsia="楷体" w:cs="Arial"/>
          <w:color w:val="000000"/>
          <w:kern w:val="0"/>
          <w:sz w:val="30"/>
          <w:szCs w:val="30"/>
        </w:rPr>
      </w:pPr>
      <w:bookmarkStart w:id="34" w:name="_Toc135162136"/>
      <w:bookmarkStart w:id="35" w:name="_Toc453822264"/>
      <w:r>
        <w:rPr>
          <w:rFonts w:ascii="楷体" w:hAnsi="楷体" w:eastAsia="楷体" w:cs="Arial"/>
          <w:color w:val="000000"/>
          <w:kern w:val="0"/>
          <w:sz w:val="30"/>
          <w:szCs w:val="30"/>
        </w:rPr>
        <w:t>1．绩效管理组织机构</w:t>
      </w:r>
      <w:bookmarkEnd w:id="34"/>
      <w:bookmarkEnd w:id="35"/>
    </w:p>
    <w:p w14:paraId="50DBF40A">
      <w:pPr>
        <w:adjustRightInd w:val="0"/>
        <w:snapToGrid w:val="0"/>
        <w:spacing w:line="360" w:lineRule="auto"/>
        <w:ind w:firstLine="560" w:firstLineChars="200"/>
        <w:rPr>
          <w:rFonts w:hint="eastAsia" w:ascii="宋体" w:hAnsi="宋体" w:cs="Arial"/>
          <w:sz w:val="28"/>
          <w:szCs w:val="28"/>
        </w:rPr>
      </w:pPr>
      <w:r>
        <w:rPr>
          <w:rFonts w:ascii="宋体" w:hAnsi="宋体" w:cs="Arial"/>
          <w:sz w:val="28"/>
          <w:szCs w:val="28"/>
        </w:rPr>
        <w:t>为及时跟踪监控预算执行情况，确保部门整体绩效目标的实现，北京互联网法院成立了绩效评价工作组，指导负责组织、协调、处理预算绩效工作的重大事项，根据《中华人民共和国预算法》、《北京市财政支出绩效评价管理暂行办法》、</w:t>
      </w:r>
      <w:r>
        <w:rPr>
          <w:rFonts w:hint="eastAsia" w:ascii="宋体" w:hAnsi="宋体" w:cs="Arial"/>
          <w:sz w:val="28"/>
          <w:szCs w:val="28"/>
        </w:rPr>
        <w:t>《北京市财政局关于开展2025年预算绩效管理相关工作的函》</w:t>
      </w:r>
      <w:r>
        <w:rPr>
          <w:rFonts w:ascii="宋体" w:hAnsi="宋体" w:cs="Arial"/>
          <w:sz w:val="28"/>
          <w:szCs w:val="28"/>
        </w:rPr>
        <w:t>等有关规定，按照规定程序开展绩效考评工作，协助完成预算绩效评价工作。</w:t>
      </w:r>
    </w:p>
    <w:p w14:paraId="212DFD40">
      <w:pPr>
        <w:adjustRightInd w:val="0"/>
        <w:snapToGrid w:val="0"/>
        <w:spacing w:line="360" w:lineRule="auto"/>
        <w:ind w:left="105" w:leftChars="50" w:firstLine="450" w:firstLineChars="150"/>
        <w:outlineLvl w:val="2"/>
        <w:rPr>
          <w:rFonts w:hint="eastAsia" w:ascii="楷体" w:hAnsi="楷体" w:eastAsia="楷体" w:cs="Arial"/>
          <w:color w:val="000000"/>
          <w:kern w:val="0"/>
          <w:sz w:val="30"/>
          <w:szCs w:val="30"/>
        </w:rPr>
      </w:pPr>
      <w:bookmarkStart w:id="36" w:name="_Toc453822265"/>
      <w:bookmarkStart w:id="37" w:name="_Toc135162137"/>
      <w:r>
        <w:rPr>
          <w:rFonts w:ascii="楷体" w:hAnsi="楷体" w:eastAsia="楷体" w:cs="Arial"/>
          <w:color w:val="000000"/>
          <w:kern w:val="0"/>
          <w:sz w:val="30"/>
          <w:szCs w:val="30"/>
        </w:rPr>
        <w:t>2．绩效信息收集</w:t>
      </w:r>
      <w:bookmarkEnd w:id="36"/>
      <w:bookmarkEnd w:id="37"/>
    </w:p>
    <w:p w14:paraId="0686A836">
      <w:pPr>
        <w:adjustRightInd w:val="0"/>
        <w:snapToGrid w:val="0"/>
        <w:spacing w:line="360" w:lineRule="auto"/>
        <w:ind w:firstLine="560" w:firstLineChars="200"/>
        <w:rPr>
          <w:rFonts w:hint="eastAsia" w:ascii="宋体" w:hAnsi="宋体" w:cs="Arial"/>
          <w:sz w:val="28"/>
          <w:szCs w:val="28"/>
        </w:rPr>
      </w:pPr>
      <w:r>
        <w:rPr>
          <w:rFonts w:ascii="宋体" w:hAnsi="宋体" w:cs="Arial"/>
          <w:sz w:val="28"/>
          <w:szCs w:val="28"/>
        </w:rPr>
        <w:t>绩效评价工作组对202</w:t>
      </w:r>
      <w:r>
        <w:rPr>
          <w:rFonts w:hint="eastAsia" w:ascii="宋体" w:hAnsi="宋体" w:cs="Arial"/>
          <w:sz w:val="28"/>
          <w:szCs w:val="28"/>
        </w:rPr>
        <w:t>4</w:t>
      </w:r>
      <w:r>
        <w:rPr>
          <w:rFonts w:ascii="宋体" w:hAnsi="宋体" w:cs="Arial"/>
          <w:sz w:val="28"/>
          <w:szCs w:val="28"/>
        </w:rPr>
        <w:t>年预算项目的目标执行情况与资金使用情况进行跟踪、调查，获取相关绩效信息</w:t>
      </w:r>
      <w:r>
        <w:rPr>
          <w:rFonts w:hint="eastAsia" w:ascii="宋体" w:hAnsi="宋体" w:cs="Arial"/>
          <w:sz w:val="28"/>
          <w:szCs w:val="28"/>
        </w:rPr>
        <w:t>；同时，</w:t>
      </w:r>
      <w:r>
        <w:rPr>
          <w:rFonts w:ascii="宋体" w:hAnsi="宋体" w:cs="Arial"/>
          <w:sz w:val="28"/>
          <w:szCs w:val="28"/>
        </w:rPr>
        <w:t>结合重点项目的实际情况收集相关资料，并进行全面核实和分析，及时发现项目预算执行中的问题，及时调整、纠正</w:t>
      </w:r>
      <w:r>
        <w:rPr>
          <w:rFonts w:hint="eastAsia" w:ascii="宋体" w:hAnsi="宋体" w:cs="Arial"/>
          <w:sz w:val="28"/>
          <w:szCs w:val="28"/>
        </w:rPr>
        <w:t>；最后，</w:t>
      </w:r>
      <w:r>
        <w:rPr>
          <w:rFonts w:ascii="宋体" w:hAnsi="宋体" w:cs="Arial"/>
          <w:sz w:val="28"/>
          <w:szCs w:val="28"/>
        </w:rPr>
        <w:t>结合全年日常跟踪及绩效跟踪报告情况，对部门整体财政支出情况实施总结分析，撰写部门</w:t>
      </w:r>
      <w:r>
        <w:rPr>
          <w:rFonts w:hint="eastAsia" w:ascii="宋体" w:hAnsi="宋体" w:cs="Arial"/>
          <w:sz w:val="28"/>
          <w:szCs w:val="28"/>
        </w:rPr>
        <w:t>整体</w:t>
      </w:r>
      <w:r>
        <w:rPr>
          <w:rFonts w:ascii="宋体" w:hAnsi="宋体" w:cs="Arial"/>
          <w:sz w:val="28"/>
          <w:szCs w:val="28"/>
        </w:rPr>
        <w:t>绩效报告</w:t>
      </w:r>
      <w:r>
        <w:rPr>
          <w:rFonts w:hint="eastAsia" w:ascii="宋体" w:hAnsi="宋体" w:cs="Arial"/>
          <w:sz w:val="28"/>
          <w:szCs w:val="28"/>
        </w:rPr>
        <w:t>，</w:t>
      </w:r>
      <w:r>
        <w:rPr>
          <w:rFonts w:ascii="宋体" w:hAnsi="宋体" w:cs="Arial"/>
          <w:sz w:val="28"/>
          <w:szCs w:val="28"/>
        </w:rPr>
        <w:t>及时向财政部上报绩效信息。</w:t>
      </w:r>
    </w:p>
    <w:p w14:paraId="76EFC680">
      <w:pPr>
        <w:adjustRightInd w:val="0"/>
        <w:snapToGrid w:val="0"/>
        <w:spacing w:line="360" w:lineRule="auto"/>
        <w:ind w:firstLine="602" w:firstLineChars="200"/>
        <w:outlineLvl w:val="1"/>
        <w:rPr>
          <w:rFonts w:hint="eastAsia" w:ascii="楷体" w:hAnsi="楷体" w:eastAsia="楷体" w:cs="Arial"/>
          <w:b/>
          <w:bCs/>
          <w:kern w:val="0"/>
          <w:sz w:val="30"/>
          <w:szCs w:val="30"/>
        </w:rPr>
      </w:pPr>
      <w:bookmarkStart w:id="38" w:name="_Toc135162138"/>
      <w:r>
        <w:rPr>
          <w:rFonts w:ascii="楷体" w:hAnsi="楷体" w:eastAsia="楷体" w:cs="Arial"/>
          <w:b/>
          <w:bCs/>
          <w:kern w:val="0"/>
          <w:sz w:val="30"/>
          <w:szCs w:val="30"/>
        </w:rPr>
        <w:t>（四）结转结余率</w:t>
      </w:r>
      <w:bookmarkEnd w:id="38"/>
    </w:p>
    <w:p w14:paraId="679F271E">
      <w:pPr>
        <w:ind w:firstLine="708" w:firstLineChars="253"/>
        <w:rPr>
          <w:rFonts w:hint="eastAsia" w:ascii="宋体" w:hAnsi="宋体" w:cs="Arial"/>
          <w:sz w:val="28"/>
          <w:szCs w:val="28"/>
        </w:rPr>
      </w:pPr>
      <w:r>
        <w:rPr>
          <w:rFonts w:ascii="宋体" w:hAnsi="宋体" w:cs="Arial"/>
          <w:sz w:val="28"/>
          <w:szCs w:val="28"/>
        </w:rPr>
        <w:t>202</w:t>
      </w:r>
      <w:r>
        <w:rPr>
          <w:rFonts w:hint="eastAsia" w:ascii="宋体" w:hAnsi="宋体" w:cs="Arial"/>
          <w:sz w:val="28"/>
          <w:szCs w:val="28"/>
        </w:rPr>
        <w:t>4</w:t>
      </w:r>
      <w:r>
        <w:rPr>
          <w:rFonts w:ascii="宋体" w:hAnsi="宋体" w:cs="Arial"/>
          <w:sz w:val="28"/>
          <w:szCs w:val="28"/>
        </w:rPr>
        <w:t>年北京互联网法院的部门结转结余率为12.97%，上年结转结余率为</w:t>
      </w:r>
      <w:r>
        <w:rPr>
          <w:rFonts w:hint="eastAsia" w:ascii="宋体" w:hAnsi="宋体" w:cs="Arial"/>
          <w:sz w:val="28"/>
          <w:szCs w:val="28"/>
        </w:rPr>
        <w:t>2</w:t>
      </w:r>
      <w:r>
        <w:rPr>
          <w:rFonts w:ascii="宋体" w:hAnsi="宋体" w:cs="Arial"/>
          <w:sz w:val="28"/>
          <w:szCs w:val="28"/>
        </w:rPr>
        <w:t>.</w:t>
      </w:r>
      <w:r>
        <w:rPr>
          <w:rFonts w:hint="eastAsia" w:ascii="宋体" w:hAnsi="宋体" w:cs="Arial"/>
          <w:sz w:val="28"/>
          <w:szCs w:val="28"/>
        </w:rPr>
        <w:t>40</w:t>
      </w:r>
      <w:r>
        <w:rPr>
          <w:rFonts w:ascii="宋体" w:hAnsi="宋体" w:cs="Arial"/>
          <w:sz w:val="28"/>
          <w:szCs w:val="28"/>
        </w:rPr>
        <w:t>%，202</w:t>
      </w:r>
      <w:r>
        <w:rPr>
          <w:rFonts w:hint="eastAsia" w:ascii="宋体" w:hAnsi="宋体" w:cs="Arial"/>
          <w:sz w:val="28"/>
          <w:szCs w:val="28"/>
        </w:rPr>
        <w:t>4</w:t>
      </w:r>
      <w:r>
        <w:rPr>
          <w:rFonts w:ascii="宋体" w:hAnsi="宋体" w:cs="Arial"/>
          <w:sz w:val="28"/>
          <w:szCs w:val="28"/>
        </w:rPr>
        <w:t>年结转结余率比上年</w:t>
      </w:r>
      <w:r>
        <w:rPr>
          <w:rFonts w:hint="eastAsia" w:ascii="宋体" w:hAnsi="宋体" w:cs="Arial"/>
          <w:sz w:val="28"/>
          <w:szCs w:val="28"/>
        </w:rPr>
        <w:t>上升</w:t>
      </w:r>
      <w:r>
        <w:rPr>
          <w:rFonts w:ascii="宋体" w:hAnsi="宋体" w:cs="Arial"/>
          <w:sz w:val="28"/>
          <w:szCs w:val="28"/>
        </w:rPr>
        <w:t>1</w:t>
      </w:r>
      <w:r>
        <w:rPr>
          <w:rFonts w:hint="eastAsia" w:ascii="宋体" w:hAnsi="宋体" w:cs="Arial"/>
          <w:sz w:val="28"/>
          <w:szCs w:val="28"/>
        </w:rPr>
        <w:t>0</w:t>
      </w:r>
      <w:r>
        <w:rPr>
          <w:rFonts w:ascii="宋体" w:hAnsi="宋体" w:cs="Arial"/>
          <w:sz w:val="28"/>
          <w:szCs w:val="28"/>
        </w:rPr>
        <w:t>.</w:t>
      </w:r>
      <w:r>
        <w:rPr>
          <w:rFonts w:hint="eastAsia" w:ascii="宋体" w:hAnsi="宋体" w:cs="Arial"/>
          <w:sz w:val="28"/>
          <w:szCs w:val="28"/>
        </w:rPr>
        <w:t>5</w:t>
      </w:r>
      <w:r>
        <w:rPr>
          <w:rFonts w:ascii="宋体" w:hAnsi="宋体" w:cs="Arial"/>
          <w:sz w:val="28"/>
          <w:szCs w:val="28"/>
        </w:rPr>
        <w:t>7%，</w:t>
      </w:r>
      <w:r>
        <w:rPr>
          <w:rFonts w:hint="eastAsia" w:ascii="宋体" w:hAnsi="宋体" w:cs="Arial"/>
          <w:sz w:val="28"/>
          <w:szCs w:val="28"/>
        </w:rPr>
        <w:t>上升的主要原因系2024年进行新址装修改造及信息化迁移工作，部分相关费用支出增加，年中追加经费，形成结转结余下年使用。</w:t>
      </w:r>
      <w:r>
        <w:rPr>
          <w:rFonts w:ascii="宋体" w:hAnsi="宋体" w:cs="Arial"/>
          <w:sz w:val="28"/>
          <w:szCs w:val="28"/>
        </w:rPr>
        <w:t>部门预算编制</w:t>
      </w:r>
      <w:r>
        <w:rPr>
          <w:rFonts w:hint="eastAsia" w:ascii="宋体" w:hAnsi="宋体" w:cs="Arial"/>
          <w:sz w:val="28"/>
          <w:szCs w:val="28"/>
        </w:rPr>
        <w:t>较为合理</w:t>
      </w:r>
      <w:r>
        <w:rPr>
          <w:rFonts w:ascii="宋体" w:hAnsi="宋体" w:cs="Arial"/>
          <w:sz w:val="28"/>
          <w:szCs w:val="28"/>
        </w:rPr>
        <w:t>，</w:t>
      </w:r>
      <w:r>
        <w:rPr>
          <w:rFonts w:hint="eastAsia" w:ascii="宋体" w:hAnsi="宋体" w:cs="Arial"/>
          <w:sz w:val="28"/>
          <w:szCs w:val="28"/>
        </w:rPr>
        <w:t>但</w:t>
      </w:r>
      <w:r>
        <w:rPr>
          <w:rFonts w:ascii="宋体" w:hAnsi="宋体" w:cs="Arial"/>
          <w:sz w:val="28"/>
          <w:szCs w:val="28"/>
        </w:rPr>
        <w:t>部门预算执行力度</w:t>
      </w:r>
      <w:r>
        <w:rPr>
          <w:rFonts w:hint="eastAsia" w:ascii="宋体" w:hAnsi="宋体" w:cs="Arial"/>
          <w:sz w:val="28"/>
          <w:szCs w:val="28"/>
        </w:rPr>
        <w:t>需进一步</w:t>
      </w:r>
      <w:r>
        <w:rPr>
          <w:rFonts w:ascii="宋体" w:hAnsi="宋体" w:cs="Arial"/>
          <w:sz w:val="28"/>
          <w:szCs w:val="28"/>
        </w:rPr>
        <w:t>加强。</w:t>
      </w:r>
    </w:p>
    <w:p w14:paraId="5FAC853C">
      <w:pPr>
        <w:adjustRightInd w:val="0"/>
        <w:snapToGrid w:val="0"/>
        <w:spacing w:line="360" w:lineRule="auto"/>
        <w:ind w:firstLine="602" w:firstLineChars="200"/>
        <w:outlineLvl w:val="1"/>
        <w:rPr>
          <w:rFonts w:hint="eastAsia" w:ascii="楷体" w:hAnsi="楷体" w:eastAsia="楷体" w:cs="Arial"/>
          <w:b/>
          <w:bCs/>
          <w:kern w:val="0"/>
          <w:sz w:val="30"/>
          <w:szCs w:val="30"/>
        </w:rPr>
      </w:pPr>
      <w:bookmarkStart w:id="39" w:name="_Toc135162139"/>
      <w:r>
        <w:rPr>
          <w:rFonts w:ascii="楷体" w:hAnsi="楷体" w:eastAsia="楷体" w:cs="Arial"/>
          <w:b/>
          <w:bCs/>
          <w:kern w:val="0"/>
          <w:sz w:val="30"/>
          <w:szCs w:val="30"/>
        </w:rPr>
        <w:t>（五）部门预决算差异率</w:t>
      </w:r>
      <w:bookmarkEnd w:id="39"/>
    </w:p>
    <w:p w14:paraId="208F3C8D">
      <w:pPr>
        <w:pStyle w:val="4"/>
        <w:spacing w:line="309" w:lineRule="auto"/>
        <w:ind w:right="116" w:firstLine="548" w:firstLineChars="196"/>
        <w:rPr>
          <w:rFonts w:hint="eastAsia" w:cs="Arial"/>
          <w:kern w:val="2"/>
          <w:lang w:eastAsia="zh-CN"/>
        </w:rPr>
      </w:pPr>
      <w:r>
        <w:rPr>
          <w:rFonts w:cs="Arial"/>
          <w:kern w:val="2"/>
          <w:lang w:eastAsia="zh-CN"/>
        </w:rPr>
        <w:t>202</w:t>
      </w:r>
      <w:r>
        <w:rPr>
          <w:rFonts w:hint="eastAsia" w:cs="Arial"/>
          <w:kern w:val="2"/>
          <w:lang w:eastAsia="zh-CN"/>
        </w:rPr>
        <w:t>4</w:t>
      </w:r>
      <w:r>
        <w:rPr>
          <w:rFonts w:cs="Arial"/>
          <w:kern w:val="2"/>
          <w:lang w:eastAsia="zh-CN"/>
        </w:rPr>
        <w:t>年北京互联网法院部门年初预算数为19,188.05</w:t>
      </w:r>
      <w:r>
        <w:rPr>
          <w:rFonts w:hint="eastAsia" w:cs="Arial"/>
          <w:kern w:val="2"/>
          <w:lang w:eastAsia="zh-CN"/>
        </w:rPr>
        <w:t>万</w:t>
      </w:r>
      <w:r>
        <w:rPr>
          <w:rFonts w:cs="Arial"/>
          <w:kern w:val="2"/>
          <w:lang w:eastAsia="zh-CN"/>
        </w:rPr>
        <w:t>元，调整后预算数为23,873.60万元，202</w:t>
      </w:r>
      <w:r>
        <w:rPr>
          <w:rFonts w:hint="eastAsia" w:cs="Arial"/>
          <w:kern w:val="2"/>
          <w:lang w:eastAsia="zh-CN"/>
        </w:rPr>
        <w:t>4</w:t>
      </w:r>
      <w:r>
        <w:rPr>
          <w:rFonts w:cs="Arial"/>
          <w:kern w:val="2"/>
          <w:lang w:eastAsia="zh-CN"/>
        </w:rPr>
        <w:t>年决算数为20,798.63万元，预算执行率为</w:t>
      </w:r>
      <w:r>
        <w:rPr>
          <w:rFonts w:hint="eastAsia" w:cs="Arial"/>
          <w:lang w:eastAsia="zh-CN"/>
        </w:rPr>
        <w:t>87.12</w:t>
      </w:r>
      <w:r>
        <w:rPr>
          <w:rFonts w:cs="Arial"/>
          <w:kern w:val="2"/>
          <w:lang w:eastAsia="zh-CN"/>
        </w:rPr>
        <w:t>%。部门预决算差异率为12.88%</w:t>
      </w:r>
      <w:r>
        <w:rPr>
          <w:rFonts w:hint="eastAsia" w:cs="Arial"/>
          <w:kern w:val="2"/>
          <w:lang w:eastAsia="zh-CN"/>
        </w:rPr>
        <w:t>。</w:t>
      </w:r>
    </w:p>
    <w:p w14:paraId="6A0DCB14">
      <w:pPr>
        <w:pStyle w:val="2"/>
        <w:ind w:firstLine="602"/>
        <w:rPr>
          <w:rFonts w:hint="eastAsia" w:ascii="楷体" w:hAnsi="楷体" w:eastAsia="楷体" w:cs="Arial"/>
          <w:sz w:val="30"/>
          <w:szCs w:val="30"/>
        </w:rPr>
      </w:pPr>
      <w:bookmarkStart w:id="40" w:name="_Toc135162140"/>
      <w:r>
        <w:rPr>
          <w:rFonts w:ascii="楷体" w:hAnsi="楷体" w:eastAsia="楷体" w:cs="Arial"/>
          <w:sz w:val="30"/>
          <w:szCs w:val="30"/>
        </w:rPr>
        <w:t>五、总体评价结论</w:t>
      </w:r>
      <w:bookmarkEnd w:id="40"/>
    </w:p>
    <w:p w14:paraId="2E34BA6C">
      <w:pPr>
        <w:adjustRightInd w:val="0"/>
        <w:snapToGrid w:val="0"/>
        <w:spacing w:line="360" w:lineRule="auto"/>
        <w:ind w:firstLine="602" w:firstLineChars="200"/>
        <w:outlineLvl w:val="1"/>
        <w:rPr>
          <w:rFonts w:hint="eastAsia" w:ascii="楷体" w:hAnsi="楷体" w:eastAsia="楷体" w:cs="Arial"/>
          <w:b/>
          <w:bCs/>
          <w:kern w:val="0"/>
          <w:sz w:val="30"/>
          <w:szCs w:val="30"/>
        </w:rPr>
      </w:pPr>
      <w:bookmarkStart w:id="41" w:name="_Toc135162141"/>
      <w:r>
        <w:rPr>
          <w:rFonts w:ascii="楷体" w:hAnsi="楷体" w:eastAsia="楷体" w:cs="Arial"/>
          <w:b/>
          <w:bCs/>
          <w:kern w:val="0"/>
          <w:sz w:val="30"/>
          <w:szCs w:val="30"/>
        </w:rPr>
        <w:t>（一）评价得分情况</w:t>
      </w:r>
      <w:bookmarkEnd w:id="41"/>
    </w:p>
    <w:p w14:paraId="37E09A40">
      <w:pPr>
        <w:adjustRightInd w:val="0"/>
        <w:snapToGrid w:val="0"/>
        <w:spacing w:line="360" w:lineRule="auto"/>
        <w:ind w:firstLine="560" w:firstLineChars="200"/>
        <w:rPr>
          <w:rFonts w:hint="eastAsia" w:ascii="宋体" w:hAnsi="宋体" w:cs="Arial"/>
          <w:sz w:val="28"/>
          <w:szCs w:val="28"/>
        </w:rPr>
      </w:pPr>
      <w:r>
        <w:rPr>
          <w:rFonts w:ascii="宋体" w:hAnsi="宋体" w:cs="Arial"/>
          <w:sz w:val="28"/>
          <w:szCs w:val="28"/>
        </w:rPr>
        <w:t>202</w:t>
      </w:r>
      <w:r>
        <w:rPr>
          <w:rFonts w:hint="eastAsia" w:ascii="宋体" w:hAnsi="宋体" w:cs="Arial"/>
          <w:sz w:val="28"/>
          <w:szCs w:val="28"/>
        </w:rPr>
        <w:t>4</w:t>
      </w:r>
      <w:r>
        <w:rPr>
          <w:rFonts w:ascii="宋体" w:hAnsi="宋体" w:cs="Arial"/>
          <w:sz w:val="28"/>
          <w:szCs w:val="28"/>
        </w:rPr>
        <w:t>年度北京互联网法院部门整体支出绩效评价总体得分为87.52分，评价等级为“</w:t>
      </w:r>
      <w:r>
        <w:rPr>
          <w:rFonts w:hint="eastAsia" w:ascii="宋体" w:hAnsi="宋体" w:cs="Arial"/>
          <w:sz w:val="28"/>
          <w:szCs w:val="28"/>
        </w:rPr>
        <w:t>良</w:t>
      </w:r>
      <w:r>
        <w:rPr>
          <w:rFonts w:ascii="宋体" w:hAnsi="宋体" w:cs="Arial"/>
          <w:sz w:val="28"/>
          <w:szCs w:val="28"/>
        </w:rPr>
        <w:t>”。其中，部门当年预算执行情况分值20分，得分1</w:t>
      </w:r>
      <w:r>
        <w:rPr>
          <w:rFonts w:hint="eastAsia" w:ascii="宋体" w:hAnsi="宋体" w:cs="Arial"/>
          <w:sz w:val="28"/>
          <w:szCs w:val="28"/>
        </w:rPr>
        <w:t>7</w:t>
      </w:r>
      <w:r>
        <w:rPr>
          <w:rFonts w:ascii="宋体" w:hAnsi="宋体" w:cs="Arial"/>
          <w:sz w:val="28"/>
          <w:szCs w:val="28"/>
        </w:rPr>
        <w:t>.</w:t>
      </w:r>
      <w:r>
        <w:rPr>
          <w:rFonts w:hint="eastAsia" w:ascii="宋体" w:hAnsi="宋体" w:cs="Arial"/>
          <w:sz w:val="28"/>
          <w:szCs w:val="28"/>
        </w:rPr>
        <w:t>4</w:t>
      </w:r>
      <w:r>
        <w:rPr>
          <w:rFonts w:ascii="宋体" w:hAnsi="宋体" w:cs="Arial"/>
          <w:sz w:val="28"/>
          <w:szCs w:val="28"/>
        </w:rPr>
        <w:t>2分；整体绩效目标实现情况分值60分，得分5</w:t>
      </w:r>
      <w:r>
        <w:rPr>
          <w:rFonts w:hint="eastAsia" w:ascii="宋体" w:hAnsi="宋体" w:cs="Arial"/>
          <w:sz w:val="28"/>
          <w:szCs w:val="28"/>
        </w:rPr>
        <w:t>6</w:t>
      </w:r>
      <w:r>
        <w:rPr>
          <w:rFonts w:ascii="宋体" w:hAnsi="宋体" w:cs="Arial"/>
          <w:sz w:val="28"/>
          <w:szCs w:val="28"/>
        </w:rPr>
        <w:t>.</w:t>
      </w:r>
      <w:r>
        <w:rPr>
          <w:rFonts w:hint="eastAsia" w:ascii="宋体" w:hAnsi="宋体" w:cs="Arial"/>
          <w:sz w:val="28"/>
          <w:szCs w:val="28"/>
        </w:rPr>
        <w:t>10</w:t>
      </w:r>
      <w:r>
        <w:rPr>
          <w:rFonts w:ascii="宋体" w:hAnsi="宋体" w:cs="Arial"/>
          <w:sz w:val="28"/>
          <w:szCs w:val="28"/>
        </w:rPr>
        <w:t>分；预算管理情况分值20分，得分1</w:t>
      </w:r>
      <w:r>
        <w:rPr>
          <w:rFonts w:hint="eastAsia" w:ascii="宋体" w:hAnsi="宋体" w:cs="Arial"/>
          <w:sz w:val="28"/>
          <w:szCs w:val="28"/>
        </w:rPr>
        <w:t>4</w:t>
      </w:r>
      <w:r>
        <w:rPr>
          <w:rFonts w:ascii="宋体" w:hAnsi="宋体" w:cs="Arial"/>
          <w:sz w:val="28"/>
          <w:szCs w:val="28"/>
        </w:rPr>
        <w:t>分。</w:t>
      </w:r>
    </w:p>
    <w:p w14:paraId="3E8A5AFF">
      <w:pPr>
        <w:adjustRightInd w:val="0"/>
        <w:snapToGrid w:val="0"/>
        <w:spacing w:line="360" w:lineRule="auto"/>
        <w:ind w:firstLine="602" w:firstLineChars="200"/>
        <w:outlineLvl w:val="1"/>
        <w:rPr>
          <w:rFonts w:hint="eastAsia" w:ascii="楷体" w:hAnsi="楷体" w:eastAsia="楷体" w:cs="Arial"/>
          <w:b/>
          <w:bCs/>
          <w:kern w:val="0"/>
          <w:sz w:val="30"/>
          <w:szCs w:val="30"/>
        </w:rPr>
      </w:pPr>
      <w:bookmarkStart w:id="42" w:name="_Toc135162142"/>
      <w:r>
        <w:rPr>
          <w:rFonts w:ascii="楷体" w:hAnsi="楷体" w:eastAsia="楷体" w:cs="Arial"/>
          <w:b/>
          <w:bCs/>
          <w:kern w:val="0"/>
          <w:sz w:val="30"/>
          <w:szCs w:val="30"/>
        </w:rPr>
        <w:t>（二）存在的问题及原因分析</w:t>
      </w:r>
      <w:bookmarkEnd w:id="42"/>
    </w:p>
    <w:p w14:paraId="5CD1C8FE">
      <w:pPr>
        <w:adjustRightInd w:val="0"/>
        <w:snapToGrid w:val="0"/>
        <w:spacing w:line="360" w:lineRule="auto"/>
        <w:ind w:firstLine="560" w:firstLineChars="200"/>
        <w:rPr>
          <w:rFonts w:hint="eastAsia" w:ascii="宋体" w:hAnsi="宋体" w:cs="Arial"/>
          <w:sz w:val="28"/>
          <w:szCs w:val="28"/>
        </w:rPr>
      </w:pPr>
      <w:r>
        <w:rPr>
          <w:rFonts w:ascii="宋体" w:hAnsi="宋体" w:cs="Arial"/>
          <w:sz w:val="28"/>
          <w:szCs w:val="28"/>
        </w:rPr>
        <w:t>截至202</w:t>
      </w:r>
      <w:r>
        <w:rPr>
          <w:rFonts w:hint="eastAsia" w:ascii="宋体" w:hAnsi="宋体" w:cs="Arial"/>
          <w:sz w:val="28"/>
          <w:szCs w:val="28"/>
        </w:rPr>
        <w:t>4</w:t>
      </w:r>
      <w:r>
        <w:rPr>
          <w:rFonts w:ascii="宋体" w:hAnsi="宋体" w:cs="Arial"/>
          <w:sz w:val="28"/>
          <w:szCs w:val="28"/>
        </w:rPr>
        <w:t>年12月31日，北京互联网法院部门整体支出及项目支出整体执行较好，进度控制在合理水平。但是，在本次</w:t>
      </w:r>
      <w:r>
        <w:rPr>
          <w:rFonts w:hint="eastAsia" w:ascii="宋体" w:hAnsi="宋体" w:cs="Arial"/>
          <w:sz w:val="28"/>
          <w:szCs w:val="28"/>
        </w:rPr>
        <w:t>整体支出</w:t>
      </w:r>
      <w:r>
        <w:rPr>
          <w:rFonts w:ascii="宋体" w:hAnsi="宋体" w:cs="Arial"/>
          <w:sz w:val="28"/>
          <w:szCs w:val="28"/>
        </w:rPr>
        <w:t>绩效评价过程中，主要存在的问题为：</w:t>
      </w:r>
    </w:p>
    <w:p w14:paraId="5E9F3172">
      <w:pPr>
        <w:adjustRightInd w:val="0"/>
        <w:snapToGrid w:val="0"/>
        <w:spacing w:line="360" w:lineRule="auto"/>
        <w:ind w:firstLine="560"/>
        <w:rPr>
          <w:rFonts w:hint="eastAsia" w:ascii="宋体" w:hAnsi="宋体" w:cs="Arial"/>
          <w:sz w:val="28"/>
          <w:szCs w:val="28"/>
        </w:rPr>
      </w:pPr>
      <w:r>
        <w:rPr>
          <w:rFonts w:hint="eastAsia" w:ascii="宋体" w:hAnsi="宋体" w:cs="Arial"/>
          <w:sz w:val="28"/>
          <w:szCs w:val="28"/>
        </w:rPr>
        <w:t>个别项目预算编制不太科学，搬迁工作经费项目预算执行率</w:t>
      </w:r>
      <w:r>
        <w:rPr>
          <w:rFonts w:ascii="宋体" w:hAnsi="宋体" w:cs="Arial"/>
          <w:sz w:val="28"/>
          <w:szCs w:val="28"/>
        </w:rPr>
        <w:t>76.58%</w:t>
      </w:r>
      <w:r>
        <w:rPr>
          <w:rFonts w:hint="eastAsia" w:ascii="宋体" w:hAnsi="宋体" w:cs="Arial"/>
          <w:sz w:val="28"/>
          <w:szCs w:val="28"/>
        </w:rPr>
        <w:t>，年末结转结余</w:t>
      </w:r>
      <w:r>
        <w:rPr>
          <w:rFonts w:ascii="宋体" w:hAnsi="宋体" w:cs="Arial"/>
          <w:sz w:val="28"/>
          <w:szCs w:val="28"/>
        </w:rPr>
        <w:t>2,693.25</w:t>
      </w:r>
      <w:r>
        <w:rPr>
          <w:rFonts w:hint="eastAsia" w:ascii="宋体" w:hAnsi="宋体" w:cs="Arial"/>
          <w:sz w:val="28"/>
          <w:szCs w:val="28"/>
        </w:rPr>
        <w:t>万元，年末结转结余金额较大，2024年年末结转结余率</w:t>
      </w:r>
      <w:r>
        <w:rPr>
          <w:rFonts w:ascii="宋体" w:hAnsi="宋体" w:cs="Arial"/>
          <w:sz w:val="28"/>
          <w:szCs w:val="28"/>
        </w:rPr>
        <w:t>12.97%</w:t>
      </w:r>
      <w:r>
        <w:rPr>
          <w:rFonts w:hint="eastAsia" w:ascii="宋体" w:hAnsi="宋体" w:cs="Arial"/>
          <w:sz w:val="28"/>
          <w:szCs w:val="28"/>
        </w:rPr>
        <w:t>，比上年年末结转结余率</w:t>
      </w:r>
      <w:r>
        <w:rPr>
          <w:rFonts w:ascii="宋体" w:hAnsi="宋体" w:cs="Arial"/>
          <w:sz w:val="28"/>
          <w:szCs w:val="28"/>
        </w:rPr>
        <w:t>2.40%</w:t>
      </w:r>
      <w:r>
        <w:rPr>
          <w:rFonts w:hint="eastAsia" w:ascii="宋体" w:hAnsi="宋体" w:cs="Arial"/>
          <w:sz w:val="28"/>
          <w:szCs w:val="28"/>
        </w:rPr>
        <w:t xml:space="preserve">增长10.57%。 </w:t>
      </w:r>
    </w:p>
    <w:p w14:paraId="1A0B54D0">
      <w:pPr>
        <w:pStyle w:val="2"/>
        <w:ind w:firstLine="602"/>
        <w:rPr>
          <w:rFonts w:hint="eastAsia" w:ascii="楷体" w:hAnsi="楷体" w:eastAsia="楷体" w:cs="Arial"/>
          <w:sz w:val="30"/>
          <w:szCs w:val="30"/>
        </w:rPr>
      </w:pPr>
      <w:bookmarkStart w:id="43" w:name="_Toc135162143"/>
      <w:r>
        <w:rPr>
          <w:rFonts w:ascii="楷体" w:hAnsi="楷体" w:eastAsia="楷体" w:cs="Arial"/>
          <w:sz w:val="30"/>
          <w:szCs w:val="30"/>
        </w:rPr>
        <w:t>六、措施建议</w:t>
      </w:r>
      <w:bookmarkEnd w:id="43"/>
    </w:p>
    <w:p w14:paraId="3FC17399">
      <w:pPr>
        <w:adjustRightInd w:val="0"/>
        <w:snapToGrid w:val="0"/>
        <w:spacing w:line="360" w:lineRule="auto"/>
        <w:ind w:firstLine="565" w:firstLineChars="202"/>
        <w:rPr>
          <w:rFonts w:hint="eastAsia" w:ascii="宋体" w:hAnsi="宋体" w:cs="Arial"/>
          <w:sz w:val="28"/>
          <w:szCs w:val="28"/>
        </w:rPr>
      </w:pPr>
      <w:r>
        <w:rPr>
          <w:rFonts w:hint="eastAsia" w:ascii="宋体" w:hAnsi="宋体" w:cs="Arial"/>
          <w:sz w:val="28"/>
          <w:szCs w:val="28"/>
        </w:rPr>
        <w:t>做好财政预算资金的统筹规划和事前安排，在</w:t>
      </w:r>
      <w:r>
        <w:rPr>
          <w:rFonts w:ascii="宋体" w:hAnsi="宋体" w:cs="Arial"/>
          <w:sz w:val="28"/>
          <w:szCs w:val="28"/>
        </w:rPr>
        <w:t>项目实施过程中，</w:t>
      </w:r>
      <w:r>
        <w:rPr>
          <w:rFonts w:hint="eastAsia" w:ascii="宋体" w:hAnsi="宋体" w:cs="Arial"/>
          <w:sz w:val="28"/>
          <w:szCs w:val="28"/>
        </w:rPr>
        <w:t>及时</w:t>
      </w:r>
      <w:r>
        <w:rPr>
          <w:rFonts w:ascii="宋体" w:hAnsi="宋体" w:cs="Arial"/>
          <w:sz w:val="28"/>
          <w:szCs w:val="28"/>
        </w:rPr>
        <w:t>对</w:t>
      </w:r>
      <w:r>
        <w:rPr>
          <w:rFonts w:hint="eastAsia" w:ascii="宋体" w:hAnsi="宋体" w:cs="Arial"/>
          <w:sz w:val="28"/>
          <w:szCs w:val="28"/>
        </w:rPr>
        <w:t>项目</w:t>
      </w:r>
      <w:r>
        <w:rPr>
          <w:rFonts w:ascii="宋体" w:hAnsi="宋体" w:cs="Arial"/>
          <w:sz w:val="28"/>
          <w:szCs w:val="28"/>
        </w:rPr>
        <w:t>预算金额进行调整，确保财政资金的高效利用。</w:t>
      </w:r>
    </w:p>
    <w:p w14:paraId="7DBBE7D7">
      <w:pPr>
        <w:pStyle w:val="2"/>
        <w:ind w:firstLine="602"/>
        <w:rPr>
          <w:rFonts w:hint="eastAsia" w:ascii="楷体" w:hAnsi="楷体" w:eastAsia="楷体" w:cs="Arial"/>
          <w:sz w:val="30"/>
          <w:szCs w:val="30"/>
        </w:rPr>
      </w:pPr>
      <w:bookmarkStart w:id="44" w:name="_Toc103006301"/>
      <w:bookmarkStart w:id="45" w:name="_Toc135162144"/>
      <w:r>
        <w:rPr>
          <w:rFonts w:hint="eastAsia" w:ascii="楷体" w:hAnsi="楷体" w:eastAsia="楷体" w:cs="Arial"/>
          <w:sz w:val="30"/>
          <w:szCs w:val="30"/>
        </w:rPr>
        <w:t>七、附件</w:t>
      </w:r>
      <w:bookmarkEnd w:id="44"/>
      <w:bookmarkEnd w:id="45"/>
    </w:p>
    <w:p w14:paraId="1C7337C2">
      <w:pPr>
        <w:spacing w:line="600" w:lineRule="exact"/>
        <w:ind w:firstLine="641"/>
        <w:rPr>
          <w:rFonts w:hint="eastAsia" w:ascii="宋体" w:hAnsi="宋体" w:cs="Arial"/>
          <w:sz w:val="28"/>
          <w:szCs w:val="28"/>
        </w:rPr>
      </w:pPr>
      <w:r>
        <w:rPr>
          <w:rFonts w:hint="eastAsia" w:ascii="宋体" w:hAnsi="宋体" w:cs="Arial"/>
          <w:sz w:val="28"/>
          <w:szCs w:val="28"/>
        </w:rPr>
        <w:t>2024年部门整体绩效评价指标体系评分表</w:t>
      </w:r>
    </w:p>
    <w:p w14:paraId="643BA8A0">
      <w:pPr>
        <w:spacing w:line="600" w:lineRule="exact"/>
        <w:ind w:firstLine="641"/>
        <w:rPr>
          <w:rFonts w:hint="eastAsia" w:ascii="宋体" w:hAnsi="宋体" w:cs="Arial"/>
          <w:sz w:val="28"/>
          <w:szCs w:val="28"/>
        </w:rPr>
      </w:pPr>
    </w:p>
    <w:p w14:paraId="79A8F3D3">
      <w:pPr>
        <w:spacing w:line="600" w:lineRule="exact"/>
        <w:ind w:firstLine="641"/>
        <w:rPr>
          <w:rFonts w:hint="eastAsia" w:ascii="宋体" w:hAnsi="宋体" w:cs="Arial"/>
          <w:sz w:val="28"/>
          <w:szCs w:val="28"/>
        </w:rPr>
      </w:pPr>
    </w:p>
    <w:p w14:paraId="282F90F2">
      <w:pPr>
        <w:spacing w:line="600" w:lineRule="exact"/>
        <w:ind w:firstLine="641"/>
        <w:rPr>
          <w:rFonts w:ascii="Arial Narrow" w:hAnsi="Arial Narrow" w:cs="Arial"/>
          <w:spacing w:val="4"/>
          <w:kern w:val="0"/>
          <w:sz w:val="28"/>
          <w:szCs w:val="28"/>
        </w:rPr>
      </w:pPr>
    </w:p>
    <w:p w14:paraId="0B2EDC3B">
      <w:pPr>
        <w:spacing w:line="360" w:lineRule="auto"/>
        <w:ind w:firstLine="480" w:firstLineChars="200"/>
        <w:rPr>
          <w:rFonts w:ascii="Arial Narrow" w:hAnsi="Arial Narrow" w:cs="Arial"/>
          <w:sz w:val="24"/>
        </w:rPr>
      </w:pPr>
    </w:p>
    <w:p w14:paraId="40F2C57F">
      <w:pPr>
        <w:spacing w:line="360" w:lineRule="auto"/>
        <w:ind w:firstLine="480" w:firstLineChars="200"/>
        <w:rPr>
          <w:rFonts w:ascii="Arial Narrow" w:hAnsi="Arial Narrow" w:cs="Arial"/>
          <w:sz w:val="24"/>
        </w:rPr>
      </w:pPr>
    </w:p>
    <w:p w14:paraId="1FC3733D">
      <w:pPr>
        <w:spacing w:line="360" w:lineRule="auto"/>
        <w:ind w:right="1743" w:firstLine="602" w:firstLineChars="200"/>
        <w:jc w:val="right"/>
        <w:rPr>
          <w:rFonts w:ascii="Arial Narrow" w:hAnsi="Arial Narrow" w:cs="Arial"/>
          <w:b/>
          <w:bCs/>
          <w:sz w:val="30"/>
          <w:szCs w:val="30"/>
        </w:rPr>
      </w:pPr>
      <w:r>
        <w:rPr>
          <w:rFonts w:ascii="Arial Narrow" w:hAnsi="Arial Narrow" w:cs="Arial"/>
          <w:b/>
          <w:bCs/>
          <w:sz w:val="30"/>
          <w:szCs w:val="30"/>
        </w:rPr>
        <w:t>北京</w:t>
      </w:r>
      <w:r>
        <w:rPr>
          <w:rFonts w:hint="eastAsia" w:ascii="Arial Narrow" w:hAnsi="Arial Narrow" w:cs="Arial"/>
          <w:b/>
          <w:bCs/>
          <w:sz w:val="30"/>
          <w:szCs w:val="30"/>
        </w:rPr>
        <w:t>互联网法院</w:t>
      </w:r>
    </w:p>
    <w:p w14:paraId="2828C0A8">
      <w:pPr>
        <w:spacing w:line="360" w:lineRule="auto"/>
        <w:ind w:firstLine="5040" w:firstLineChars="1800"/>
        <w:rPr>
          <w:rFonts w:ascii="Arial Narrow" w:hAnsi="Arial Narrow" w:cs="Arial"/>
        </w:rPr>
      </w:pPr>
      <w:r>
        <w:rPr>
          <w:rFonts w:ascii="Arial Narrow" w:hAnsi="Arial Narrow" w:cs="Arial"/>
          <w:sz w:val="28"/>
          <w:szCs w:val="28"/>
        </w:rPr>
        <w:t>202</w:t>
      </w:r>
      <w:r>
        <w:rPr>
          <w:rFonts w:hint="eastAsia" w:ascii="Arial Narrow" w:hAnsi="Arial Narrow" w:cs="Arial"/>
          <w:sz w:val="28"/>
          <w:szCs w:val="28"/>
        </w:rPr>
        <w:t>5</w:t>
      </w:r>
      <w:r>
        <w:rPr>
          <w:rFonts w:ascii="Arial Narrow" w:hAnsi="Arial Narrow" w:cs="Arial"/>
          <w:sz w:val="28"/>
          <w:szCs w:val="28"/>
        </w:rPr>
        <w:t>年5月1</w:t>
      </w:r>
      <w:r>
        <w:rPr>
          <w:rFonts w:hint="eastAsia" w:ascii="Arial Narrow" w:hAnsi="Arial Narrow" w:cs="Arial"/>
          <w:sz w:val="28"/>
          <w:szCs w:val="28"/>
        </w:rPr>
        <w:t>9</w:t>
      </w:r>
      <w:r>
        <w:rPr>
          <w:rFonts w:ascii="Arial Narrow" w:hAnsi="Arial Narrow" w:cs="Arial"/>
          <w:sz w:val="28"/>
          <w:szCs w:val="28"/>
        </w:rPr>
        <w:t>日</w:t>
      </w:r>
    </w:p>
    <w:sectPr>
      <w:headerReference r:id="rId3" w:type="default"/>
      <w:footerReference r:id="rId4" w:type="default"/>
      <w:pgSz w:w="11906" w:h="16838"/>
      <w:pgMar w:top="1911" w:right="1474" w:bottom="1882" w:left="1588" w:header="851" w:footer="1531"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Arial Narrow">
    <w:panose1 w:val="020B0606020202030204"/>
    <w:charset w:val="00"/>
    <w:family w:val="swiss"/>
    <w:pitch w:val="default"/>
    <w:sig w:usb0="00000287" w:usb1="00000800" w:usb2="00000000" w:usb3="00000000" w:csb0="2000009F" w:csb1="DFD70000"/>
  </w:font>
  <w:font w:name="方正小标宋简体">
    <w:altName w:val="微软雅黑"/>
    <w:panose1 w:val="00000000000000000000"/>
    <w:charset w:val="86"/>
    <w:family w:val="auto"/>
    <w:pitch w:val="default"/>
    <w:sig w:usb0="00000000" w:usb1="00000000" w:usb2="00000012" w:usb3="00000000" w:csb0="00040001" w:csb1="0000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swiss"/>
    <w:pitch w:val="default"/>
    <w:sig w:usb0="E0002EFF" w:usb1="C000785B" w:usb2="00000009" w:usb3="00000000" w:csb0="400001FF" w:csb1="FFFF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02883164"/>
    </w:sdtPr>
    <w:sdtContent>
      <w:p w14:paraId="04C74103">
        <w:pPr>
          <w:pStyle w:val="6"/>
          <w:jc w:val="center"/>
        </w:pPr>
        <w:r>
          <w:fldChar w:fldCharType="begin"/>
        </w:r>
        <w:r>
          <w:instrText xml:space="preserve">PAGE   \* MERGEFORMAT</w:instrText>
        </w:r>
        <w:r>
          <w:fldChar w:fldCharType="separate"/>
        </w:r>
        <w:r>
          <w:rPr>
            <w:lang w:val="zh-CN"/>
          </w:rPr>
          <w:t>2</w:t>
        </w:r>
        <w:r>
          <w:fldChar w:fldCharType="end"/>
        </w:r>
      </w:p>
    </w:sdtContent>
  </w:sdt>
  <w:p w14:paraId="6B15D060">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ACBEC4">
    <w:pPr>
      <w:tabs>
        <w:tab w:val="left" w:pos="1300"/>
      </w:tabs>
    </w:pP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0CB2"/>
    <w:rsid w:val="00000C51"/>
    <w:rsid w:val="000120A2"/>
    <w:rsid w:val="00020CB8"/>
    <w:rsid w:val="00022AA5"/>
    <w:rsid w:val="0003722F"/>
    <w:rsid w:val="000410E3"/>
    <w:rsid w:val="000420B9"/>
    <w:rsid w:val="00045523"/>
    <w:rsid w:val="000536F0"/>
    <w:rsid w:val="00053853"/>
    <w:rsid w:val="00055CD5"/>
    <w:rsid w:val="000625CF"/>
    <w:rsid w:val="00064288"/>
    <w:rsid w:val="00066E4B"/>
    <w:rsid w:val="0007038A"/>
    <w:rsid w:val="000728DE"/>
    <w:rsid w:val="00075658"/>
    <w:rsid w:val="000828F1"/>
    <w:rsid w:val="00085BAF"/>
    <w:rsid w:val="00086AF5"/>
    <w:rsid w:val="000976F3"/>
    <w:rsid w:val="000A3E8E"/>
    <w:rsid w:val="000A5A08"/>
    <w:rsid w:val="000B0C69"/>
    <w:rsid w:val="000D1F33"/>
    <w:rsid w:val="000D2A54"/>
    <w:rsid w:val="000D3B5D"/>
    <w:rsid w:val="000D5D70"/>
    <w:rsid w:val="000E1ACF"/>
    <w:rsid w:val="000E4BB2"/>
    <w:rsid w:val="000E564C"/>
    <w:rsid w:val="000F301F"/>
    <w:rsid w:val="000F361A"/>
    <w:rsid w:val="000F6C36"/>
    <w:rsid w:val="00103383"/>
    <w:rsid w:val="00106A0A"/>
    <w:rsid w:val="001129C0"/>
    <w:rsid w:val="001168EE"/>
    <w:rsid w:val="00120DC6"/>
    <w:rsid w:val="0013115F"/>
    <w:rsid w:val="0013158D"/>
    <w:rsid w:val="001332C7"/>
    <w:rsid w:val="00141705"/>
    <w:rsid w:val="0014492E"/>
    <w:rsid w:val="001471CC"/>
    <w:rsid w:val="00151281"/>
    <w:rsid w:val="001546F5"/>
    <w:rsid w:val="00157E3D"/>
    <w:rsid w:val="0016066D"/>
    <w:rsid w:val="0016161D"/>
    <w:rsid w:val="001766E7"/>
    <w:rsid w:val="00180895"/>
    <w:rsid w:val="001851DB"/>
    <w:rsid w:val="00193D0E"/>
    <w:rsid w:val="00193F51"/>
    <w:rsid w:val="001A4BDB"/>
    <w:rsid w:val="001A7457"/>
    <w:rsid w:val="001C25D5"/>
    <w:rsid w:val="001C3525"/>
    <w:rsid w:val="001C43E8"/>
    <w:rsid w:val="001C6238"/>
    <w:rsid w:val="001C7849"/>
    <w:rsid w:val="001D6CD6"/>
    <w:rsid w:val="001E09C1"/>
    <w:rsid w:val="001E78E0"/>
    <w:rsid w:val="001F17BE"/>
    <w:rsid w:val="00200E18"/>
    <w:rsid w:val="00203858"/>
    <w:rsid w:val="00203B4D"/>
    <w:rsid w:val="00203C83"/>
    <w:rsid w:val="002051B3"/>
    <w:rsid w:val="002148A9"/>
    <w:rsid w:val="00214F86"/>
    <w:rsid w:val="00220641"/>
    <w:rsid w:val="0022404B"/>
    <w:rsid w:val="002251B5"/>
    <w:rsid w:val="0022700C"/>
    <w:rsid w:val="00227410"/>
    <w:rsid w:val="002376EE"/>
    <w:rsid w:val="00240C20"/>
    <w:rsid w:val="0024198D"/>
    <w:rsid w:val="002420BA"/>
    <w:rsid w:val="00256677"/>
    <w:rsid w:val="002577DB"/>
    <w:rsid w:val="00257ABA"/>
    <w:rsid w:val="00263761"/>
    <w:rsid w:val="002703EA"/>
    <w:rsid w:val="00282443"/>
    <w:rsid w:val="00287A3D"/>
    <w:rsid w:val="00290946"/>
    <w:rsid w:val="002925FF"/>
    <w:rsid w:val="002A0A04"/>
    <w:rsid w:val="002A1E12"/>
    <w:rsid w:val="002A3C6E"/>
    <w:rsid w:val="002A63E3"/>
    <w:rsid w:val="002B4B59"/>
    <w:rsid w:val="002C763C"/>
    <w:rsid w:val="002E325A"/>
    <w:rsid w:val="002E4482"/>
    <w:rsid w:val="002F1CCF"/>
    <w:rsid w:val="003028A5"/>
    <w:rsid w:val="00304B3C"/>
    <w:rsid w:val="003101A8"/>
    <w:rsid w:val="00313C00"/>
    <w:rsid w:val="00314C98"/>
    <w:rsid w:val="003317EC"/>
    <w:rsid w:val="00335E59"/>
    <w:rsid w:val="003447D4"/>
    <w:rsid w:val="003557E4"/>
    <w:rsid w:val="00362AF2"/>
    <w:rsid w:val="003726DA"/>
    <w:rsid w:val="0037747D"/>
    <w:rsid w:val="00384BCF"/>
    <w:rsid w:val="0038535E"/>
    <w:rsid w:val="00393E4A"/>
    <w:rsid w:val="003962A1"/>
    <w:rsid w:val="00396772"/>
    <w:rsid w:val="003A424E"/>
    <w:rsid w:val="003A5D97"/>
    <w:rsid w:val="003A7DE2"/>
    <w:rsid w:val="003B69F2"/>
    <w:rsid w:val="003B79F1"/>
    <w:rsid w:val="003C478A"/>
    <w:rsid w:val="003D0056"/>
    <w:rsid w:val="003D33F0"/>
    <w:rsid w:val="003E4FCD"/>
    <w:rsid w:val="003E6666"/>
    <w:rsid w:val="003E6BDC"/>
    <w:rsid w:val="003E7FCD"/>
    <w:rsid w:val="003F06F2"/>
    <w:rsid w:val="003F730D"/>
    <w:rsid w:val="003F7A1E"/>
    <w:rsid w:val="00401AED"/>
    <w:rsid w:val="004036A7"/>
    <w:rsid w:val="00404B8B"/>
    <w:rsid w:val="00407385"/>
    <w:rsid w:val="00415AE3"/>
    <w:rsid w:val="004160E8"/>
    <w:rsid w:val="00441FFF"/>
    <w:rsid w:val="00443AD9"/>
    <w:rsid w:val="0044496B"/>
    <w:rsid w:val="00451B12"/>
    <w:rsid w:val="00466767"/>
    <w:rsid w:val="00471DC9"/>
    <w:rsid w:val="0047463F"/>
    <w:rsid w:val="0048322E"/>
    <w:rsid w:val="004917AC"/>
    <w:rsid w:val="0049329E"/>
    <w:rsid w:val="004934DE"/>
    <w:rsid w:val="004B7A95"/>
    <w:rsid w:val="004C465F"/>
    <w:rsid w:val="004C703B"/>
    <w:rsid w:val="004D5D92"/>
    <w:rsid w:val="004E13A2"/>
    <w:rsid w:val="004E2241"/>
    <w:rsid w:val="004E4AB7"/>
    <w:rsid w:val="004E73DD"/>
    <w:rsid w:val="004F2D4A"/>
    <w:rsid w:val="004F3245"/>
    <w:rsid w:val="004F509B"/>
    <w:rsid w:val="004F50EA"/>
    <w:rsid w:val="005138BC"/>
    <w:rsid w:val="005152A8"/>
    <w:rsid w:val="005232BC"/>
    <w:rsid w:val="00533322"/>
    <w:rsid w:val="005334C6"/>
    <w:rsid w:val="00554B9D"/>
    <w:rsid w:val="005601DB"/>
    <w:rsid w:val="005628B7"/>
    <w:rsid w:val="005654F5"/>
    <w:rsid w:val="0056797C"/>
    <w:rsid w:val="00571C8B"/>
    <w:rsid w:val="005878A2"/>
    <w:rsid w:val="00590727"/>
    <w:rsid w:val="00590994"/>
    <w:rsid w:val="0059148D"/>
    <w:rsid w:val="005A4021"/>
    <w:rsid w:val="005B49A7"/>
    <w:rsid w:val="005B5F02"/>
    <w:rsid w:val="005C2261"/>
    <w:rsid w:val="005C4E95"/>
    <w:rsid w:val="005E0BCE"/>
    <w:rsid w:val="005E32F1"/>
    <w:rsid w:val="005E577B"/>
    <w:rsid w:val="005F36FD"/>
    <w:rsid w:val="005F42D8"/>
    <w:rsid w:val="005F4696"/>
    <w:rsid w:val="00602414"/>
    <w:rsid w:val="00610860"/>
    <w:rsid w:val="00615899"/>
    <w:rsid w:val="00616C6A"/>
    <w:rsid w:val="0061709B"/>
    <w:rsid w:val="006277A2"/>
    <w:rsid w:val="006302FD"/>
    <w:rsid w:val="0063446F"/>
    <w:rsid w:val="00640017"/>
    <w:rsid w:val="00650D10"/>
    <w:rsid w:val="00651594"/>
    <w:rsid w:val="00656C80"/>
    <w:rsid w:val="00664A68"/>
    <w:rsid w:val="00664FC5"/>
    <w:rsid w:val="006675A8"/>
    <w:rsid w:val="0068097C"/>
    <w:rsid w:val="0069056C"/>
    <w:rsid w:val="006A44CE"/>
    <w:rsid w:val="006A7688"/>
    <w:rsid w:val="006B5C17"/>
    <w:rsid w:val="006B77A0"/>
    <w:rsid w:val="006C0244"/>
    <w:rsid w:val="006C2B3A"/>
    <w:rsid w:val="006D198D"/>
    <w:rsid w:val="006D2253"/>
    <w:rsid w:val="006D7018"/>
    <w:rsid w:val="006E53EA"/>
    <w:rsid w:val="006E5529"/>
    <w:rsid w:val="006E5C1F"/>
    <w:rsid w:val="006E7B13"/>
    <w:rsid w:val="006E7E5C"/>
    <w:rsid w:val="006F270B"/>
    <w:rsid w:val="006F3B8C"/>
    <w:rsid w:val="007041D5"/>
    <w:rsid w:val="0071142C"/>
    <w:rsid w:val="00714043"/>
    <w:rsid w:val="00720302"/>
    <w:rsid w:val="00722ED6"/>
    <w:rsid w:val="00725AFC"/>
    <w:rsid w:val="00727156"/>
    <w:rsid w:val="00727F35"/>
    <w:rsid w:val="00731EB8"/>
    <w:rsid w:val="00735325"/>
    <w:rsid w:val="00755722"/>
    <w:rsid w:val="00772B89"/>
    <w:rsid w:val="00781B3E"/>
    <w:rsid w:val="00796E55"/>
    <w:rsid w:val="00797D83"/>
    <w:rsid w:val="007A2F3C"/>
    <w:rsid w:val="007B31F3"/>
    <w:rsid w:val="007B454C"/>
    <w:rsid w:val="007B5DF5"/>
    <w:rsid w:val="007C007D"/>
    <w:rsid w:val="007C3978"/>
    <w:rsid w:val="007D3D2F"/>
    <w:rsid w:val="007E1643"/>
    <w:rsid w:val="007E22EB"/>
    <w:rsid w:val="007E697D"/>
    <w:rsid w:val="007F5BF3"/>
    <w:rsid w:val="007F5CA4"/>
    <w:rsid w:val="007F70CD"/>
    <w:rsid w:val="00802218"/>
    <w:rsid w:val="00802981"/>
    <w:rsid w:val="00803F07"/>
    <w:rsid w:val="008100FF"/>
    <w:rsid w:val="00813659"/>
    <w:rsid w:val="008243D4"/>
    <w:rsid w:val="00842DA5"/>
    <w:rsid w:val="008435D0"/>
    <w:rsid w:val="00850EB4"/>
    <w:rsid w:val="00857E99"/>
    <w:rsid w:val="00862819"/>
    <w:rsid w:val="00877A21"/>
    <w:rsid w:val="00877C5E"/>
    <w:rsid w:val="00880875"/>
    <w:rsid w:val="008847C9"/>
    <w:rsid w:val="008935A9"/>
    <w:rsid w:val="008A14E4"/>
    <w:rsid w:val="008A6032"/>
    <w:rsid w:val="008B5830"/>
    <w:rsid w:val="008B5E62"/>
    <w:rsid w:val="008C5F84"/>
    <w:rsid w:val="008D354D"/>
    <w:rsid w:val="008E695A"/>
    <w:rsid w:val="009004A0"/>
    <w:rsid w:val="00907A4E"/>
    <w:rsid w:val="00923C9F"/>
    <w:rsid w:val="00926B4E"/>
    <w:rsid w:val="00945410"/>
    <w:rsid w:val="00952BBB"/>
    <w:rsid w:val="00955C8F"/>
    <w:rsid w:val="00957885"/>
    <w:rsid w:val="00960D5E"/>
    <w:rsid w:val="009633FD"/>
    <w:rsid w:val="00963442"/>
    <w:rsid w:val="00963E2C"/>
    <w:rsid w:val="0097219C"/>
    <w:rsid w:val="00975EB8"/>
    <w:rsid w:val="00976311"/>
    <w:rsid w:val="009764BA"/>
    <w:rsid w:val="00977109"/>
    <w:rsid w:val="0098436A"/>
    <w:rsid w:val="00985FBC"/>
    <w:rsid w:val="009953FC"/>
    <w:rsid w:val="00995BC9"/>
    <w:rsid w:val="009A3C20"/>
    <w:rsid w:val="009A7C95"/>
    <w:rsid w:val="009B0CB2"/>
    <w:rsid w:val="009B4335"/>
    <w:rsid w:val="009B548D"/>
    <w:rsid w:val="009C0A79"/>
    <w:rsid w:val="009C1FBE"/>
    <w:rsid w:val="009D03A3"/>
    <w:rsid w:val="009D2747"/>
    <w:rsid w:val="009D3284"/>
    <w:rsid w:val="009D4387"/>
    <w:rsid w:val="009D5187"/>
    <w:rsid w:val="009D6FDE"/>
    <w:rsid w:val="009E162C"/>
    <w:rsid w:val="009E27F7"/>
    <w:rsid w:val="009F4FBD"/>
    <w:rsid w:val="009F55F8"/>
    <w:rsid w:val="009F60E1"/>
    <w:rsid w:val="009F67AA"/>
    <w:rsid w:val="00A020EC"/>
    <w:rsid w:val="00A0276A"/>
    <w:rsid w:val="00A04F06"/>
    <w:rsid w:val="00A0552E"/>
    <w:rsid w:val="00A12413"/>
    <w:rsid w:val="00A241A0"/>
    <w:rsid w:val="00A25C91"/>
    <w:rsid w:val="00A2641F"/>
    <w:rsid w:val="00A26AC1"/>
    <w:rsid w:val="00A34ACC"/>
    <w:rsid w:val="00A35141"/>
    <w:rsid w:val="00A35559"/>
    <w:rsid w:val="00A4138B"/>
    <w:rsid w:val="00A424F5"/>
    <w:rsid w:val="00A465FD"/>
    <w:rsid w:val="00A529EA"/>
    <w:rsid w:val="00A545B2"/>
    <w:rsid w:val="00A57AFC"/>
    <w:rsid w:val="00A80DEC"/>
    <w:rsid w:val="00A81561"/>
    <w:rsid w:val="00A817F0"/>
    <w:rsid w:val="00A8201C"/>
    <w:rsid w:val="00A90ADA"/>
    <w:rsid w:val="00A90BFA"/>
    <w:rsid w:val="00A923C5"/>
    <w:rsid w:val="00A95CB3"/>
    <w:rsid w:val="00AA0E54"/>
    <w:rsid w:val="00AA3909"/>
    <w:rsid w:val="00AA6276"/>
    <w:rsid w:val="00B0012F"/>
    <w:rsid w:val="00B033CA"/>
    <w:rsid w:val="00B10CB2"/>
    <w:rsid w:val="00B1225D"/>
    <w:rsid w:val="00B22EE8"/>
    <w:rsid w:val="00B26860"/>
    <w:rsid w:val="00B34DD6"/>
    <w:rsid w:val="00B47F7C"/>
    <w:rsid w:val="00B508E6"/>
    <w:rsid w:val="00B50917"/>
    <w:rsid w:val="00B50B86"/>
    <w:rsid w:val="00B568B0"/>
    <w:rsid w:val="00B56D25"/>
    <w:rsid w:val="00B6067C"/>
    <w:rsid w:val="00B62ADB"/>
    <w:rsid w:val="00B726B3"/>
    <w:rsid w:val="00B80DA7"/>
    <w:rsid w:val="00B84165"/>
    <w:rsid w:val="00B90C32"/>
    <w:rsid w:val="00B92ACD"/>
    <w:rsid w:val="00B92E76"/>
    <w:rsid w:val="00BA08A0"/>
    <w:rsid w:val="00BA1A14"/>
    <w:rsid w:val="00BA380C"/>
    <w:rsid w:val="00BA6C38"/>
    <w:rsid w:val="00BB40D5"/>
    <w:rsid w:val="00BC3922"/>
    <w:rsid w:val="00BC4A70"/>
    <w:rsid w:val="00BD0C27"/>
    <w:rsid w:val="00BD67B3"/>
    <w:rsid w:val="00BD7960"/>
    <w:rsid w:val="00BF302F"/>
    <w:rsid w:val="00BF48A1"/>
    <w:rsid w:val="00C050EE"/>
    <w:rsid w:val="00C25A92"/>
    <w:rsid w:val="00C26CD7"/>
    <w:rsid w:val="00C303A6"/>
    <w:rsid w:val="00C40166"/>
    <w:rsid w:val="00C5405D"/>
    <w:rsid w:val="00C84652"/>
    <w:rsid w:val="00C96DA4"/>
    <w:rsid w:val="00CA1493"/>
    <w:rsid w:val="00CA2F22"/>
    <w:rsid w:val="00CA54DA"/>
    <w:rsid w:val="00CA5FE8"/>
    <w:rsid w:val="00CB17A1"/>
    <w:rsid w:val="00CB76D7"/>
    <w:rsid w:val="00CC3A98"/>
    <w:rsid w:val="00CD5C26"/>
    <w:rsid w:val="00CE4B1E"/>
    <w:rsid w:val="00CE6507"/>
    <w:rsid w:val="00CE6526"/>
    <w:rsid w:val="00CF1557"/>
    <w:rsid w:val="00CF599A"/>
    <w:rsid w:val="00D06734"/>
    <w:rsid w:val="00D113C4"/>
    <w:rsid w:val="00D1651D"/>
    <w:rsid w:val="00D31DC4"/>
    <w:rsid w:val="00D34EC5"/>
    <w:rsid w:val="00D37396"/>
    <w:rsid w:val="00D40FB7"/>
    <w:rsid w:val="00D455A1"/>
    <w:rsid w:val="00D4565C"/>
    <w:rsid w:val="00D502FC"/>
    <w:rsid w:val="00D51364"/>
    <w:rsid w:val="00D55611"/>
    <w:rsid w:val="00D56EF5"/>
    <w:rsid w:val="00D6740B"/>
    <w:rsid w:val="00D67EBC"/>
    <w:rsid w:val="00D85DA3"/>
    <w:rsid w:val="00D903DC"/>
    <w:rsid w:val="00D91929"/>
    <w:rsid w:val="00DA5662"/>
    <w:rsid w:val="00DA6145"/>
    <w:rsid w:val="00DB6A28"/>
    <w:rsid w:val="00DC0CB9"/>
    <w:rsid w:val="00DC3E4B"/>
    <w:rsid w:val="00DC44DA"/>
    <w:rsid w:val="00DC7375"/>
    <w:rsid w:val="00DE1359"/>
    <w:rsid w:val="00DE51E4"/>
    <w:rsid w:val="00E0322C"/>
    <w:rsid w:val="00E124D3"/>
    <w:rsid w:val="00E12991"/>
    <w:rsid w:val="00E15EDD"/>
    <w:rsid w:val="00E17104"/>
    <w:rsid w:val="00E2179F"/>
    <w:rsid w:val="00E23316"/>
    <w:rsid w:val="00E24C83"/>
    <w:rsid w:val="00E3489D"/>
    <w:rsid w:val="00E350F3"/>
    <w:rsid w:val="00E352D6"/>
    <w:rsid w:val="00E45F4B"/>
    <w:rsid w:val="00E556B5"/>
    <w:rsid w:val="00E621EC"/>
    <w:rsid w:val="00E66AB4"/>
    <w:rsid w:val="00E67ED6"/>
    <w:rsid w:val="00E7319E"/>
    <w:rsid w:val="00E75F21"/>
    <w:rsid w:val="00E84487"/>
    <w:rsid w:val="00E95600"/>
    <w:rsid w:val="00E961F1"/>
    <w:rsid w:val="00EA1F2F"/>
    <w:rsid w:val="00EA5654"/>
    <w:rsid w:val="00EA686D"/>
    <w:rsid w:val="00EA7224"/>
    <w:rsid w:val="00EC05BC"/>
    <w:rsid w:val="00EC0D4F"/>
    <w:rsid w:val="00EC62B6"/>
    <w:rsid w:val="00ED0D22"/>
    <w:rsid w:val="00EE421D"/>
    <w:rsid w:val="00EE4369"/>
    <w:rsid w:val="00EE68FC"/>
    <w:rsid w:val="00EF3870"/>
    <w:rsid w:val="00F018BC"/>
    <w:rsid w:val="00F05F3E"/>
    <w:rsid w:val="00F22CCC"/>
    <w:rsid w:val="00F23B5F"/>
    <w:rsid w:val="00F40F30"/>
    <w:rsid w:val="00F47CD2"/>
    <w:rsid w:val="00F51AE1"/>
    <w:rsid w:val="00F54278"/>
    <w:rsid w:val="00F554B0"/>
    <w:rsid w:val="00F60919"/>
    <w:rsid w:val="00F67187"/>
    <w:rsid w:val="00F67E96"/>
    <w:rsid w:val="00F7286E"/>
    <w:rsid w:val="00F73E1E"/>
    <w:rsid w:val="00F7429D"/>
    <w:rsid w:val="00F7543D"/>
    <w:rsid w:val="00F758AA"/>
    <w:rsid w:val="00F804C2"/>
    <w:rsid w:val="00F92DC7"/>
    <w:rsid w:val="00F95B89"/>
    <w:rsid w:val="00F96DDB"/>
    <w:rsid w:val="00FA20CF"/>
    <w:rsid w:val="00FB2E8E"/>
    <w:rsid w:val="00FC085C"/>
    <w:rsid w:val="00FC30C7"/>
    <w:rsid w:val="00FD3C49"/>
    <w:rsid w:val="00FD5F2C"/>
    <w:rsid w:val="00FE38DA"/>
    <w:rsid w:val="5A562570"/>
    <w:rsid w:val="7BAF6519"/>
    <w:rsid w:val="DFBF6A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8"/>
    <w:qFormat/>
    <w:uiPriority w:val="0"/>
    <w:pPr>
      <w:keepNext/>
      <w:keepLines/>
      <w:adjustRightInd w:val="0"/>
      <w:snapToGrid w:val="0"/>
      <w:spacing w:before="156" w:beforeLines="50" w:line="360" w:lineRule="auto"/>
      <w:ind w:firstLine="562" w:firstLineChars="200"/>
      <w:outlineLvl w:val="0"/>
    </w:pPr>
    <w:rPr>
      <w:rFonts w:ascii="宋体" w:hAnsi="宋体"/>
      <w:b/>
      <w:bCs/>
      <w:kern w:val="0"/>
      <w:sz w:val="28"/>
      <w:szCs w:val="28"/>
    </w:rPr>
  </w:style>
  <w:style w:type="paragraph" w:styleId="3">
    <w:name w:val="heading 2"/>
    <w:basedOn w:val="1"/>
    <w:next w:val="1"/>
    <w:link w:val="25"/>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2">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4">
    <w:name w:val="Body Text"/>
    <w:basedOn w:val="1"/>
    <w:link w:val="22"/>
    <w:qFormat/>
    <w:uiPriority w:val="1"/>
    <w:pPr>
      <w:autoSpaceDE w:val="0"/>
      <w:autoSpaceDN w:val="0"/>
      <w:ind w:left="102"/>
      <w:jc w:val="left"/>
    </w:pPr>
    <w:rPr>
      <w:rFonts w:ascii="宋体" w:hAnsi="宋体" w:cs="宋体"/>
      <w:kern w:val="0"/>
      <w:sz w:val="28"/>
      <w:szCs w:val="28"/>
      <w:lang w:eastAsia="en-US"/>
    </w:rPr>
  </w:style>
  <w:style w:type="paragraph" w:styleId="5">
    <w:name w:val="toc 3"/>
    <w:basedOn w:val="1"/>
    <w:next w:val="1"/>
    <w:unhideWhenUsed/>
    <w:qFormat/>
    <w:uiPriority w:val="39"/>
    <w:pPr>
      <w:ind w:left="840" w:leftChars="400"/>
    </w:pPr>
  </w:style>
  <w:style w:type="paragraph" w:styleId="6">
    <w:name w:val="footer"/>
    <w:basedOn w:val="1"/>
    <w:link w:val="17"/>
    <w:unhideWhenUsed/>
    <w:qFormat/>
    <w:uiPriority w:val="99"/>
    <w:pPr>
      <w:tabs>
        <w:tab w:val="center" w:pos="4153"/>
        <w:tab w:val="right" w:pos="8306"/>
      </w:tabs>
      <w:snapToGrid w:val="0"/>
      <w:jc w:val="left"/>
    </w:pPr>
    <w:rPr>
      <w:sz w:val="18"/>
      <w:szCs w:val="18"/>
    </w:rPr>
  </w:style>
  <w:style w:type="paragraph" w:styleId="7">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tabs>
        <w:tab w:val="right" w:leader="dot" w:pos="8834"/>
      </w:tabs>
      <w:adjustRightInd w:val="0"/>
      <w:snapToGrid w:val="0"/>
      <w:spacing w:line="380" w:lineRule="exact"/>
      <w:jc w:val="center"/>
    </w:pPr>
  </w:style>
  <w:style w:type="paragraph" w:styleId="9">
    <w:name w:val="toc 2"/>
    <w:basedOn w:val="1"/>
    <w:next w:val="1"/>
    <w:unhideWhenUsed/>
    <w:qFormat/>
    <w:uiPriority w:val="39"/>
    <w:pPr>
      <w:ind w:left="420" w:leftChars="200"/>
    </w:pPr>
  </w:style>
  <w:style w:type="paragraph" w:styleId="10">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character" w:styleId="13">
    <w:name w:val="page number"/>
    <w:basedOn w:val="12"/>
    <w:qFormat/>
    <w:uiPriority w:val="0"/>
  </w:style>
  <w:style w:type="character" w:styleId="14">
    <w:name w:val="Hyperlink"/>
    <w:unhideWhenUsed/>
    <w:qFormat/>
    <w:uiPriority w:val="99"/>
    <w:rPr>
      <w:color w:val="0000FF"/>
      <w:u w:val="single"/>
    </w:rPr>
  </w:style>
  <w:style w:type="character" w:customStyle="1" w:styleId="15">
    <w:name w:val="标题 1 字符"/>
    <w:basedOn w:val="12"/>
    <w:qFormat/>
    <w:uiPriority w:val="9"/>
    <w:rPr>
      <w:rFonts w:ascii="Times New Roman" w:hAnsi="Times New Roman" w:eastAsia="宋体" w:cs="Times New Roman"/>
      <w:b/>
      <w:bCs/>
      <w:kern w:val="44"/>
      <w:sz w:val="44"/>
      <w:szCs w:val="44"/>
    </w:rPr>
  </w:style>
  <w:style w:type="character" w:customStyle="1" w:styleId="16">
    <w:name w:val="页脚 字符"/>
    <w:basedOn w:val="12"/>
    <w:qFormat/>
    <w:uiPriority w:val="99"/>
    <w:rPr>
      <w:rFonts w:ascii="Times New Roman" w:hAnsi="Times New Roman" w:eastAsia="宋体" w:cs="Times New Roman"/>
      <w:sz w:val="18"/>
      <w:szCs w:val="18"/>
    </w:rPr>
  </w:style>
  <w:style w:type="character" w:customStyle="1" w:styleId="17">
    <w:name w:val="页脚 字符1"/>
    <w:link w:val="6"/>
    <w:qFormat/>
    <w:uiPriority w:val="99"/>
    <w:rPr>
      <w:rFonts w:ascii="Times New Roman" w:hAnsi="Times New Roman" w:eastAsia="宋体" w:cs="Times New Roman"/>
      <w:sz w:val="18"/>
      <w:szCs w:val="18"/>
    </w:rPr>
  </w:style>
  <w:style w:type="character" w:customStyle="1" w:styleId="18">
    <w:name w:val="标题 1 字符1"/>
    <w:link w:val="2"/>
    <w:qFormat/>
    <w:uiPriority w:val="0"/>
    <w:rPr>
      <w:rFonts w:ascii="宋体" w:hAnsi="宋体" w:eastAsia="宋体" w:cs="Times New Roman"/>
      <w:b/>
      <w:bCs/>
      <w:kern w:val="0"/>
      <w:sz w:val="28"/>
      <w:szCs w:val="28"/>
    </w:rPr>
  </w:style>
  <w:style w:type="paragraph" w:customStyle="1" w:styleId="19">
    <w:name w:val="TOC 标题1"/>
    <w:basedOn w:val="2"/>
    <w:next w:val="1"/>
    <w:unhideWhenUsed/>
    <w:qFormat/>
    <w:uiPriority w:val="39"/>
    <w:pPr>
      <w:widowControl/>
      <w:adjustRightInd/>
      <w:snapToGrid/>
      <w:spacing w:before="480" w:beforeLines="0" w:line="276" w:lineRule="auto"/>
      <w:ind w:firstLine="0" w:firstLineChars="0"/>
      <w:jc w:val="left"/>
      <w:outlineLvl w:val="9"/>
    </w:pPr>
    <w:rPr>
      <w:rFonts w:ascii="Cambria" w:hAnsi="Cambria"/>
      <w:color w:val="365F91"/>
    </w:rPr>
  </w:style>
  <w:style w:type="paragraph" w:customStyle="1" w:styleId="20">
    <w:name w:val="_Style 13"/>
    <w:basedOn w:val="1"/>
    <w:next w:val="1"/>
    <w:unhideWhenUsed/>
    <w:qFormat/>
    <w:uiPriority w:val="39"/>
    <w:pPr>
      <w:ind w:left="840" w:leftChars="400"/>
    </w:pPr>
  </w:style>
  <w:style w:type="character" w:customStyle="1" w:styleId="21">
    <w:name w:val="页眉 字符"/>
    <w:basedOn w:val="12"/>
    <w:link w:val="7"/>
    <w:qFormat/>
    <w:uiPriority w:val="99"/>
    <w:rPr>
      <w:rFonts w:ascii="Times New Roman" w:hAnsi="Times New Roman" w:eastAsia="宋体" w:cs="Times New Roman"/>
      <w:sz w:val="18"/>
      <w:szCs w:val="18"/>
    </w:rPr>
  </w:style>
  <w:style w:type="character" w:customStyle="1" w:styleId="22">
    <w:name w:val="正文文本 字符"/>
    <w:basedOn w:val="12"/>
    <w:link w:val="4"/>
    <w:qFormat/>
    <w:uiPriority w:val="1"/>
    <w:rPr>
      <w:rFonts w:ascii="宋体" w:hAnsi="宋体" w:eastAsia="宋体" w:cs="宋体"/>
      <w:kern w:val="0"/>
      <w:sz w:val="28"/>
      <w:szCs w:val="28"/>
      <w:lang w:eastAsia="en-US"/>
    </w:rPr>
  </w:style>
  <w:style w:type="paragraph" w:customStyle="1" w:styleId="23">
    <w:name w:val="_Style 22"/>
    <w:basedOn w:val="1"/>
    <w:next w:val="24"/>
    <w:qFormat/>
    <w:uiPriority w:val="34"/>
    <w:pPr>
      <w:ind w:firstLine="420" w:firstLineChars="200"/>
    </w:pPr>
    <w:rPr>
      <w:rFonts w:ascii="Calibri" w:hAnsi="Calibri"/>
      <w:szCs w:val="22"/>
    </w:rPr>
  </w:style>
  <w:style w:type="paragraph" w:styleId="24">
    <w:name w:val="List Paragraph"/>
    <w:basedOn w:val="1"/>
    <w:qFormat/>
    <w:uiPriority w:val="34"/>
    <w:pPr>
      <w:ind w:firstLine="420" w:firstLineChars="200"/>
    </w:pPr>
  </w:style>
  <w:style w:type="character" w:customStyle="1" w:styleId="25">
    <w:name w:val="标题 2 字符"/>
    <w:basedOn w:val="12"/>
    <w:link w:val="3"/>
    <w:semiHidden/>
    <w:qFormat/>
    <w:uiPriority w:val="9"/>
    <w:rPr>
      <w:rFonts w:asciiTheme="majorHAnsi" w:hAnsiTheme="majorHAnsi" w:eastAsiaTheme="majorEastAsia" w:cstheme="majorBidi"/>
      <w:b/>
      <w:bCs/>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4731</Words>
  <Characters>5367</Characters>
  <Lines>53</Lines>
  <Paragraphs>15</Paragraphs>
  <TotalTime>464</TotalTime>
  <ScaleCrop>false</ScaleCrop>
  <LinksUpToDate>false</LinksUpToDate>
  <CharactersWithSpaces>5463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2023-05-24T07:55:00Z</dcterms:created>
  <dc:creator>宋 小梅</dc:creator>
  <cp:lastModifiedBy>柒月兮丶</cp:lastModifiedBy>
  <cp:lastPrinted>2022-04-03T01:25:00Z</cp:lastPrinted>
  <dcterms:modified xsi:type="dcterms:W3CDTF">2025-08-22T07:15:41Z</dcterms:modified>
  <cp:revision>138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eyJoZGlkIjoiNzhiZDY1ODBmZDc2NmM0MmVkMjAwNzQ2NTdhOGUzZWYiLCJ1c2VySWQiOiI2OTMwNzk3NzkifQ==</vt:lpwstr>
  </property>
  <property fmtid="{D5CDD505-2E9C-101B-9397-08002B2CF9AE}" pid="4" name="ICV">
    <vt:lpwstr>C05C41FA19DA40289937035EC88829C0_12</vt:lpwstr>
  </property>
</Properties>
</file>