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207461">
      <w:pPr>
        <w:spacing w:line="560" w:lineRule="exact"/>
        <w:jc w:val="center"/>
        <w:rPr>
          <w:rFonts w:hint="eastAsia" w:ascii="方正小标宋简体" w:hAnsi="方正小标宋简体" w:eastAsia="方正小标宋简体" w:cs="方正小标宋简体"/>
          <w:sz w:val="36"/>
          <w:szCs w:val="36"/>
        </w:rPr>
      </w:pPr>
      <w:bookmarkStart w:id="0" w:name="_GoBack"/>
      <w:bookmarkEnd w:id="0"/>
      <w:r>
        <w:rPr>
          <w:rFonts w:hint="eastAsia" w:ascii="方正小标宋简体" w:hAnsi="方正小标宋简体" w:eastAsia="方正小标宋简体" w:cs="方正小标宋简体"/>
          <w:sz w:val="36"/>
          <w:szCs w:val="36"/>
        </w:rPr>
        <w:t>中国北京同仁堂（集团）有限责任公司所属事业单位</w:t>
      </w:r>
    </w:p>
    <w:p w14:paraId="3E15F7F6">
      <w:pPr>
        <w:spacing w:line="560" w:lineRule="exact"/>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2024年部门整体绩效评价报告</w:t>
      </w:r>
    </w:p>
    <w:p w14:paraId="69980519">
      <w:pPr>
        <w:jc w:val="center"/>
        <w:rPr>
          <w:rFonts w:ascii="仿宋_GB2312"/>
          <w:szCs w:val="30"/>
        </w:rPr>
      </w:pPr>
    </w:p>
    <w:p w14:paraId="12C7E85E">
      <w:pPr>
        <w:spacing w:line="600" w:lineRule="exact"/>
        <w:ind w:firstLine="640" w:firstLineChars="20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14:paraId="59487857">
      <w:pPr>
        <w:spacing w:line="600" w:lineRule="exact"/>
        <w:ind w:firstLine="640" w:firstLineChars="200"/>
        <w:rPr>
          <w:rFonts w:hint="eastAsia" w:ascii="楷体_GB2312" w:eastAsia="楷体_GB2312"/>
          <w:sz w:val="32"/>
          <w:szCs w:val="32"/>
        </w:rPr>
      </w:pPr>
      <w:r>
        <w:rPr>
          <w:rFonts w:hint="eastAsia" w:ascii="楷体_GB2312" w:eastAsia="楷体_GB2312"/>
          <w:sz w:val="32"/>
          <w:szCs w:val="32"/>
        </w:rPr>
        <w:t>（一）机构设置及职责工作任务情况</w:t>
      </w:r>
    </w:p>
    <w:p w14:paraId="7871AD3A">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中国北京同仁堂（集团）有限责任公司组建于1992年，2001年经北京市人民政府批准改制为国有独资公司，是中药行业的知名老字号。同仁堂集团坚持以中医中药为主攻方向，目前在经营格局上形成了以制药工业为核心，以健康养生、医疗养老、商业零售、国际药业为支撑的五大板块，构建了集种植(养殖)、制造、销售、医疗、康养、研发于一体的大健康产业链条。</w:t>
      </w:r>
    </w:p>
    <w:p w14:paraId="3E5F8324">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中国北京同仁堂（集团）有限责任公司所属1个预算单位，为北京医药职工大学（中国北京同仁堂（集团）有限责任公司党校）。</w:t>
      </w:r>
    </w:p>
    <w:p w14:paraId="4F1B022D">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北京医药职工大学（中国北京同仁堂（集团）有限责任公司党校），成立于1982年6月，为财政补助事业单位，主要职责是承担医药行业专科学历教育，培养高级技术应用人才，以及相关专业技能培训、技能等级认定；开展党员、干部教育培训等。</w:t>
      </w:r>
    </w:p>
    <w:p w14:paraId="55FAD034">
      <w:pPr>
        <w:spacing w:line="600" w:lineRule="exact"/>
        <w:ind w:firstLine="640" w:firstLineChars="200"/>
        <w:rPr>
          <w:rFonts w:hint="eastAsia" w:ascii="楷体_GB2312" w:eastAsia="楷体_GB2312"/>
          <w:sz w:val="32"/>
          <w:szCs w:val="32"/>
        </w:rPr>
      </w:pPr>
      <w:r>
        <w:rPr>
          <w:rFonts w:hint="eastAsia" w:ascii="楷体_GB2312" w:eastAsia="楷体_GB2312"/>
          <w:sz w:val="32"/>
          <w:szCs w:val="32"/>
        </w:rPr>
        <w:t>（二）部门整体绩效目标设立情况</w:t>
      </w:r>
    </w:p>
    <w:p w14:paraId="67D9F977">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2024年是全面贯彻落实党的二十大精神、落实党的纪律教育要求和深入学习二十届三中全</w:t>
      </w:r>
      <w:r>
        <w:rPr>
          <w:rFonts w:hint="eastAsia" w:ascii="仿宋_GB2312" w:eastAsia="仿宋_GB2312"/>
          <w:sz w:val="32"/>
          <w:szCs w:val="32"/>
          <w:lang w:eastAsia="zh-CN"/>
        </w:rPr>
        <w:t>会</w:t>
      </w:r>
      <w:r>
        <w:rPr>
          <w:rFonts w:hint="eastAsia" w:ascii="仿宋_GB2312" w:eastAsia="仿宋_GB2312"/>
          <w:sz w:val="32"/>
          <w:szCs w:val="32"/>
        </w:rPr>
        <w:t>精神的重要之年，在集团党委的坚强领导下，中国北京同仁堂（集团）有限责任公司所属事业单位北京医药职工大学（中国北京同仁堂（集团）有限责任公司党校）以习近平新时代中国特色社会主义思想为指导，扎实推动各项工作。学习贯彻党的二十大会议精神，全面贯彻党中央决策部署和习近平总书记关于党校工作、继续教育和职业教育工作的重要指示批示精神，落实集团公司第三次党代会精神、学校“十四五”发展规划各项要求，以党的建设为引领，以文化传承为根基，以创新发展为动力，以教育培训为切入，传承精华、守正创新，为推动中医药事业和产业高质量发展培养应用型、技能型人才，不断提高北京医药职工大学（中国北京同仁堂（集团）有限责任公司党校）治理体系和治理能力现代化，实现学校教育事业的高质量转型发展。部门整体绩效目标设置与单位职责、年度工作任务较为相符。</w:t>
      </w:r>
    </w:p>
    <w:p w14:paraId="27700815">
      <w:pPr>
        <w:spacing w:line="600" w:lineRule="exact"/>
        <w:ind w:firstLine="640" w:firstLineChars="20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二、当年预算执行情况</w:t>
      </w:r>
    </w:p>
    <w:p w14:paraId="17B70D0A">
      <w:pPr>
        <w:spacing w:line="600" w:lineRule="exact"/>
        <w:ind w:firstLine="640" w:firstLineChars="200"/>
        <w:rPr>
          <w:rFonts w:hint="eastAsia" w:eastAsia="宋体"/>
          <w:lang w:eastAsia="zh-CN"/>
        </w:rPr>
      </w:pPr>
      <w:r>
        <w:rPr>
          <w:rFonts w:hint="eastAsia" w:ascii="仿宋_GB2312" w:eastAsia="仿宋_GB2312"/>
          <w:sz w:val="32"/>
          <w:szCs w:val="32"/>
        </w:rPr>
        <w:t>2024年全年预算数4215.15万元，其中，基本支出预算数3292.46万元，项目支出预算数922.69万元。</w:t>
      </w:r>
      <w:r>
        <w:rPr>
          <w:rFonts w:hint="eastAsia" w:ascii="仿宋_GB2312" w:eastAsia="仿宋_GB2312"/>
          <w:sz w:val="32"/>
          <w:szCs w:val="32"/>
          <w:lang w:eastAsia="zh-CN"/>
        </w:rPr>
        <w:t>全年</w:t>
      </w:r>
      <w:r>
        <w:rPr>
          <w:rFonts w:hint="eastAsia" w:ascii="仿宋_GB2312" w:eastAsia="仿宋_GB2312"/>
          <w:sz w:val="32"/>
          <w:szCs w:val="32"/>
        </w:rPr>
        <w:t>支出3113.81万元，其中，基本支出2918.08万元，项目支出195.73万元。预算执行率为73.87</w:t>
      </w:r>
      <w:r>
        <w:rPr>
          <w:rFonts w:hint="eastAsia" w:ascii="仿宋_GB2312" w:eastAsia="仿宋_GB2312"/>
          <w:sz w:val="32"/>
          <w:szCs w:val="32"/>
          <w:lang w:eastAsia="zh-CN"/>
        </w:rPr>
        <w:t>%。</w:t>
      </w:r>
    </w:p>
    <w:p w14:paraId="77C63ADD">
      <w:pPr>
        <w:spacing w:line="600" w:lineRule="exact"/>
        <w:ind w:left="0" w:leftChars="0" w:firstLine="0" w:firstLineChars="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lang w:eastAsia="zh-CN"/>
        </w:rPr>
        <w:t xml:space="preserve">    </w:t>
      </w:r>
      <w:r>
        <w:rPr>
          <w:rFonts w:hint="eastAsia" w:ascii="黑体" w:hAnsi="黑体" w:eastAsia="黑体" w:cs="宋体"/>
          <w:color w:val="000000"/>
          <w:kern w:val="0"/>
          <w:sz w:val="32"/>
          <w:szCs w:val="32"/>
        </w:rPr>
        <w:t>三、整体绩效目标实现情况</w:t>
      </w:r>
    </w:p>
    <w:p w14:paraId="575133BD">
      <w:pPr>
        <w:spacing w:line="600" w:lineRule="exact"/>
        <w:ind w:firstLine="640" w:firstLineChars="200"/>
        <w:rPr>
          <w:rFonts w:hint="eastAsia" w:ascii="仿宋_GB2312" w:eastAsia="仿宋_GB2312" w:cs="Times New Roman"/>
          <w:sz w:val="32"/>
          <w:szCs w:val="32"/>
        </w:rPr>
      </w:pPr>
      <w:r>
        <w:rPr>
          <w:rFonts w:hint="eastAsia" w:ascii="仿宋_GB2312" w:eastAsia="仿宋_GB2312" w:cs="Times New Roman"/>
          <w:sz w:val="32"/>
          <w:szCs w:val="32"/>
        </w:rPr>
        <w:t>中国北京同仁堂（集团）有限责任公司所属事业单位北京医药职工大学（中国北京同仁堂（集团）有限责任公司党校），以下简称“医药职工大学（党校）”。在集团党委的坚强领导下，以习近平新时代中国特色社会主义思想为指导，以培养医药人才为使命，坚持育人为本，聚焦主责主业，扎实推动各项工作。整体绩效目标实现情况如下：</w:t>
      </w:r>
    </w:p>
    <w:p w14:paraId="4AA0E32A">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textAlignment w:val="auto"/>
        <w:rPr>
          <w:rFonts w:hint="eastAsia" w:ascii="楷体_GB2312" w:hAnsi="Calibri" w:eastAsia="楷体_GB2312" w:cs="Times New Roman"/>
          <w:sz w:val="32"/>
          <w:szCs w:val="32"/>
          <w:lang w:val="en-US" w:eastAsia="zh-CN"/>
        </w:rPr>
      </w:pPr>
      <w:r>
        <w:rPr>
          <w:rFonts w:hint="eastAsia" w:ascii="楷体_GB2312" w:hAnsi="Calibri" w:eastAsia="楷体_GB2312" w:cs="Times New Roman"/>
          <w:sz w:val="32"/>
          <w:szCs w:val="32"/>
          <w:lang w:val="en-US" w:eastAsia="zh-CN"/>
        </w:rPr>
        <w:t>产出完成情况分析</w:t>
      </w:r>
    </w:p>
    <w:p w14:paraId="58A8DF2D">
      <w:pPr>
        <w:spacing w:line="600" w:lineRule="exact"/>
        <w:ind w:firstLine="640" w:firstLineChars="200"/>
        <w:rPr>
          <w:rFonts w:hint="eastAsia" w:ascii="仿宋_GB2312" w:hAnsi="Calibri" w:eastAsia="仿宋_GB2312" w:cs="Times New Roman"/>
          <w:sz w:val="32"/>
          <w:szCs w:val="32"/>
          <w:lang w:val="en-US" w:eastAsia="zh-CN"/>
        </w:rPr>
      </w:pPr>
      <w:r>
        <w:rPr>
          <w:rFonts w:hint="eastAsia" w:ascii="仿宋_GB2312" w:hAnsi="Calibri" w:eastAsia="仿宋_GB2312" w:cs="Times New Roman"/>
          <w:sz w:val="32"/>
          <w:szCs w:val="32"/>
          <w:lang w:val="en-US" w:eastAsia="zh-CN"/>
        </w:rPr>
        <w:t>1.产出数量</w:t>
      </w:r>
    </w:p>
    <w:p w14:paraId="3454D64F">
      <w:pPr>
        <w:spacing w:line="600" w:lineRule="exact"/>
        <w:ind w:firstLine="640" w:firstLineChars="200"/>
        <w:rPr>
          <w:rFonts w:hint="eastAsia" w:ascii="仿宋_GB2312" w:hAnsi="Calibri" w:eastAsia="仿宋_GB2312" w:cs="Times New Roman"/>
          <w:sz w:val="32"/>
          <w:szCs w:val="32"/>
          <w:lang w:val="en-US" w:eastAsia="zh-CN"/>
        </w:rPr>
      </w:pPr>
      <w:r>
        <w:rPr>
          <w:rFonts w:hint="eastAsia" w:ascii="仿宋_GB2312" w:hAnsi="Calibri" w:eastAsia="仿宋_GB2312" w:cs="Times New Roman"/>
          <w:sz w:val="32"/>
          <w:szCs w:val="32"/>
          <w:lang w:val="en-US" w:eastAsia="zh-CN"/>
        </w:rPr>
        <w:t>（1）教育教学方面。</w:t>
      </w:r>
      <w:r>
        <w:rPr>
          <w:rFonts w:hint="eastAsia" w:ascii="仿宋_GB2312" w:eastAsia="仿宋_GB2312" w:cs="Times New Roman"/>
          <w:sz w:val="32"/>
          <w:szCs w:val="32"/>
          <w:lang w:val="en-US" w:eastAsia="zh-CN"/>
        </w:rPr>
        <w:t>医药职工大学（党校）稳步推进学校教育教学工作，进一步提升教学质量。本年度学校教师共承担课程160余门，6500余课时，圆满完成各项教学课程任务指标。通过线上线下结合，精心设计课程教案、丰富教学案例，将思政元素融入教学内容，教师能力水平不断提升。同时进一步加强对教师、教育教学质量监控管理，学校修订完善了12项教学管理制度、建立教学督导监控体系，加强对教师、教学监督检查工作，改进教学质量。</w:t>
      </w:r>
    </w:p>
    <w:p w14:paraId="19A4177A">
      <w:pPr>
        <w:spacing w:line="600" w:lineRule="exact"/>
        <w:ind w:firstLine="640" w:firstLineChars="200"/>
        <w:rPr>
          <w:rFonts w:hint="eastAsia" w:ascii="仿宋_GB2312" w:hAnsi="Calibri" w:eastAsia="仿宋_GB2312" w:cs="Times New Roman"/>
          <w:sz w:val="32"/>
          <w:szCs w:val="32"/>
          <w:lang w:val="en-US" w:eastAsia="zh-CN"/>
        </w:rPr>
      </w:pPr>
      <w:r>
        <w:rPr>
          <w:rFonts w:hint="eastAsia" w:ascii="仿宋_GB2312" w:hAnsi="Calibri" w:eastAsia="仿宋_GB2312" w:cs="Times New Roman"/>
          <w:sz w:val="32"/>
          <w:szCs w:val="32"/>
          <w:lang w:val="en-US" w:eastAsia="zh-CN"/>
        </w:rPr>
        <w:t>（2）党员干部培训方面。医药职工大学（党校）按照年度培训计划，完成多项培训任务。依据集团培训要点和学校全年培训计划，学校坚持以习近平新时代中国特色社会主义思想为中心内容，把学习党章、党规、党纪作为重要内容，将党的路线方针政策、党和国家中心工作、重大决策部署等融入培训全过程，不断深化党员干部教育培训改革，突出党的理论教育和党性教育主业主课地位。2024年学校共完成培训69项，参训51288人次。</w:t>
      </w:r>
    </w:p>
    <w:p w14:paraId="4BADC920">
      <w:pPr>
        <w:spacing w:line="600" w:lineRule="exact"/>
        <w:ind w:firstLine="640" w:firstLineChars="200"/>
        <w:rPr>
          <w:rFonts w:hint="eastAsia" w:ascii="仿宋_GB2312" w:hAnsi="Calibri" w:eastAsia="仿宋_GB2312" w:cs="Times New Roman"/>
          <w:sz w:val="32"/>
          <w:szCs w:val="32"/>
          <w:lang w:val="en-US" w:eastAsia="zh-CN"/>
        </w:rPr>
      </w:pPr>
      <w:r>
        <w:rPr>
          <w:rFonts w:hint="eastAsia" w:ascii="仿宋_GB2312" w:hAnsi="Calibri" w:eastAsia="仿宋_GB2312" w:cs="Times New Roman"/>
          <w:sz w:val="32"/>
          <w:szCs w:val="32"/>
          <w:lang w:val="en-US" w:eastAsia="zh-CN"/>
        </w:rPr>
        <w:t>（3）教学研究方面。医药职工大学（党校）开展教学科研建设，提升教师能力素养。创新思政教育；加大对中医药文化、“大健康”宣传；开展校企协同共育培养双向教师人才队伍；党建引领新质生产力赋能促老字号质量提升；提高职业院校核心竞争力，学校以2024年《成人教育高质量发展—教学资源建设类项目》、《人才培养质量建设—学校教育教学质量提升项目》为抓手，完成中药图谱资源库四期建设，完成大思政课程、特色文化课程、医古文、中药化学成分提取、计算机新技术助力中医药发展等8项校级教学课件制作。同时为保持学校教科研水平持续稳步发展，已完成2025年《人才培养质量建设—学校教育教学质量提升项目》、《成人教育高质量发展—教学资源建设类项目》、《教师队伍建设—实践教学能力提升项目》等项目申报工作。同时积极开展校企合作，与集团纪委共同建设“常态化警示教育展示区暨同仁堂党校的党纪课程实景教育课堂”、与集团信息化管理部共同参与筹建学校“人工智能大模型应用实验室”，与医养集团联合参与共建“北京同仁堂食药联合实验室”等产业链共建项目。</w:t>
      </w:r>
    </w:p>
    <w:p w14:paraId="6CC7BD25">
      <w:pPr>
        <w:spacing w:line="600" w:lineRule="exact"/>
        <w:ind w:firstLine="640" w:firstLineChars="200"/>
        <w:rPr>
          <w:rFonts w:hint="eastAsia" w:ascii="仿宋_GB2312" w:hAnsi="Calibri" w:eastAsia="仿宋_GB2312" w:cs="Times New Roman"/>
          <w:sz w:val="32"/>
          <w:szCs w:val="32"/>
          <w:lang w:val="en-US" w:eastAsia="zh-CN"/>
        </w:rPr>
      </w:pPr>
      <w:r>
        <w:rPr>
          <w:rFonts w:hint="eastAsia" w:ascii="仿宋_GB2312" w:hAnsi="Calibri" w:eastAsia="仿宋_GB2312" w:cs="Times New Roman"/>
          <w:sz w:val="32"/>
          <w:szCs w:val="32"/>
          <w:lang w:val="en-US" w:eastAsia="zh-CN"/>
        </w:rPr>
        <w:t>（4）教学保障方面。医药职工大学（党校）为改善办学条件，进一步做好学校机房网络设备、计算机教室、信息化系统服务器、电话系统、广播系统、信息发布系统、安防系统、短信平台、学习平台、即时通讯平台、多媒体设备、LED屏幕等信息化设备和平台的日常管理与维护。专人值班保障教学活动顺利进行，对各部门举行的教学、考试、培训、会议、活动提供技术支持服务。新增网络安全设备6台，运维应用系统和软硬件5个，接入100M互联网带宽链路1条。进一步丰富学校图书馆数字资源，构建覆盖多学科领域的数字资源系统，整合海量电子图书、中外文期刊数据库及专业教学视频资源，显著提升资源可及性与服务覆盖面，有效支撑教师教学备课、科研创新以及学生课程学习、学术研究等全过程需求。持续建设医药职大知识资源总库、临床诊疗决策知识系统、党校知识服务平台（标准版）、中医药系列知识服务平台。</w:t>
      </w:r>
    </w:p>
    <w:p w14:paraId="3176D3A5">
      <w:pPr>
        <w:spacing w:line="600" w:lineRule="exact"/>
        <w:ind w:firstLine="640" w:firstLineChars="200"/>
        <w:rPr>
          <w:rFonts w:hint="eastAsia" w:ascii="仿宋_GB2312" w:hAnsi="Calibri" w:eastAsia="仿宋_GB2312" w:cs="Times New Roman"/>
          <w:sz w:val="32"/>
          <w:szCs w:val="32"/>
          <w:lang w:val="en-US" w:eastAsia="zh-CN"/>
        </w:rPr>
      </w:pPr>
      <w:r>
        <w:rPr>
          <w:rFonts w:hint="eastAsia" w:ascii="仿宋_GB2312" w:hAnsi="Calibri" w:eastAsia="仿宋_GB2312" w:cs="Times New Roman"/>
          <w:sz w:val="32"/>
          <w:szCs w:val="32"/>
          <w:lang w:val="en-US" w:eastAsia="zh-CN"/>
        </w:rPr>
        <w:t>2.产出质量</w:t>
      </w:r>
    </w:p>
    <w:p w14:paraId="30F28A5D">
      <w:pPr>
        <w:spacing w:line="600" w:lineRule="exact"/>
        <w:ind w:firstLine="640" w:firstLineChars="200"/>
        <w:rPr>
          <w:rFonts w:hint="eastAsia" w:ascii="仿宋_GB2312" w:hAnsi="Calibri" w:eastAsia="仿宋_GB2312" w:cs="Times New Roman"/>
          <w:sz w:val="32"/>
          <w:szCs w:val="32"/>
          <w:lang w:val="en-US" w:eastAsia="zh-CN"/>
        </w:rPr>
      </w:pPr>
      <w:r>
        <w:rPr>
          <w:rFonts w:hint="eastAsia" w:ascii="仿宋_GB2312" w:hAnsi="Calibri" w:eastAsia="仿宋_GB2312" w:cs="Times New Roman"/>
          <w:sz w:val="32"/>
          <w:szCs w:val="32"/>
          <w:lang w:val="en-US" w:eastAsia="zh-CN"/>
        </w:rPr>
        <w:t>医药职工大学（党校）多措并举统筹推进年度各项工作贯彻落实，确保各项工作实施效果良好，严把质量关。在工作实施过程中，注重项目执行及资金使用情况的定期跟踪。在工作实施结束后，注重工作成果验收，委托业务以合同规定的工作内容、考核标准为基本依据进行验收。各项目完成质量符合绩效目标设定的质量标准要求，部门工作产出质量较好。</w:t>
      </w:r>
    </w:p>
    <w:p w14:paraId="7850A723">
      <w:pPr>
        <w:spacing w:line="600" w:lineRule="exact"/>
        <w:ind w:firstLine="640" w:firstLineChars="200"/>
        <w:rPr>
          <w:rFonts w:hint="eastAsia" w:ascii="仿宋_GB2312" w:hAnsi="Calibri" w:eastAsia="仿宋_GB2312" w:cs="Times New Roman"/>
          <w:sz w:val="32"/>
          <w:szCs w:val="32"/>
          <w:lang w:val="en-US" w:eastAsia="zh-CN"/>
        </w:rPr>
      </w:pPr>
      <w:r>
        <w:rPr>
          <w:rFonts w:hint="eastAsia" w:ascii="仿宋_GB2312" w:hAnsi="Calibri" w:eastAsia="仿宋_GB2312" w:cs="Times New Roman"/>
          <w:sz w:val="32"/>
          <w:szCs w:val="32"/>
          <w:lang w:val="en-US" w:eastAsia="zh-CN"/>
        </w:rPr>
        <w:t>3.产出进度</w:t>
      </w:r>
    </w:p>
    <w:p w14:paraId="4FB05406">
      <w:pPr>
        <w:spacing w:line="600" w:lineRule="exact"/>
        <w:ind w:firstLine="640" w:firstLineChars="200"/>
        <w:rPr>
          <w:rFonts w:hint="default" w:ascii="仿宋_GB2312" w:hAnsi="Calibri" w:eastAsia="仿宋_GB2312" w:cs="Times New Roman"/>
          <w:sz w:val="32"/>
          <w:szCs w:val="32"/>
          <w:lang w:val="en-US" w:eastAsia="zh-CN"/>
        </w:rPr>
      </w:pPr>
      <w:r>
        <w:rPr>
          <w:rFonts w:hint="eastAsia" w:ascii="仿宋_GB2312" w:hAnsi="Calibri" w:eastAsia="仿宋_GB2312" w:cs="Times New Roman"/>
          <w:sz w:val="32"/>
          <w:szCs w:val="32"/>
          <w:lang w:val="en-US" w:eastAsia="zh-CN"/>
        </w:rPr>
        <w:t>根据部门整体工作目标完成情况分析，医药职工大学（党校）能够按照计划要求完成部门年度重点工作任务。通过年度各项工作有序推进落实，有效保障了各项工作实施进度及产出时效性。</w:t>
      </w:r>
    </w:p>
    <w:p w14:paraId="2DBF2B99">
      <w:pPr>
        <w:spacing w:line="600" w:lineRule="exact"/>
        <w:ind w:firstLine="640" w:firstLineChars="200"/>
        <w:rPr>
          <w:rFonts w:hint="eastAsia" w:ascii="仿宋_GB2312" w:hAnsi="Calibri" w:eastAsia="仿宋_GB2312" w:cs="Times New Roman"/>
          <w:sz w:val="32"/>
          <w:szCs w:val="32"/>
          <w:lang w:val="en-US" w:eastAsia="zh-CN"/>
        </w:rPr>
      </w:pPr>
      <w:r>
        <w:rPr>
          <w:rFonts w:hint="eastAsia" w:ascii="仿宋_GB2312" w:hAnsi="Calibri" w:eastAsia="仿宋_GB2312" w:cs="Times New Roman"/>
          <w:sz w:val="32"/>
          <w:szCs w:val="32"/>
          <w:lang w:val="en-US" w:eastAsia="zh-CN"/>
        </w:rPr>
        <w:t>4.产出成本</w:t>
      </w:r>
    </w:p>
    <w:p w14:paraId="40B6E522">
      <w:pPr>
        <w:spacing w:line="600" w:lineRule="exact"/>
        <w:ind w:firstLine="640" w:firstLineChars="200"/>
        <w:rPr>
          <w:rFonts w:hint="default" w:ascii="仿宋_GB2312" w:hAnsi="Calibri" w:eastAsia="仿宋_GB2312" w:cs="Times New Roman"/>
          <w:sz w:val="32"/>
          <w:szCs w:val="32"/>
          <w:lang w:val="en-US" w:eastAsia="zh-CN"/>
        </w:rPr>
      </w:pPr>
      <w:r>
        <w:rPr>
          <w:rFonts w:hint="eastAsia" w:ascii="仿宋_GB2312" w:hAnsi="Calibri" w:eastAsia="仿宋_GB2312" w:cs="Times New Roman"/>
          <w:sz w:val="32"/>
          <w:szCs w:val="32"/>
          <w:lang w:val="en-US" w:eastAsia="zh-CN"/>
        </w:rPr>
        <w:t>医药职工大学（党校）按照从严控制的原则规范资金支出，</w:t>
      </w:r>
      <w:r>
        <w:rPr>
          <w:rFonts w:hint="default" w:ascii="仿宋_GB2312" w:hAnsi="Calibri" w:eastAsia="仿宋_GB2312" w:cs="Times New Roman"/>
          <w:sz w:val="32"/>
          <w:szCs w:val="32"/>
          <w:lang w:val="en-US" w:eastAsia="zh-CN"/>
        </w:rPr>
        <w:t>履行</w:t>
      </w:r>
      <w:r>
        <w:rPr>
          <w:rFonts w:hint="eastAsia" w:ascii="仿宋_GB2312" w:hAnsi="Calibri" w:eastAsia="仿宋_GB2312" w:cs="Times New Roman"/>
          <w:sz w:val="32"/>
          <w:szCs w:val="32"/>
          <w:lang w:val="en-US" w:eastAsia="zh-CN"/>
        </w:rPr>
        <w:t>部门内部控制</w:t>
      </w:r>
      <w:r>
        <w:rPr>
          <w:rFonts w:hint="default" w:ascii="仿宋_GB2312" w:hAnsi="Calibri" w:eastAsia="仿宋_GB2312" w:cs="Times New Roman"/>
          <w:sz w:val="32"/>
          <w:szCs w:val="32"/>
          <w:lang w:val="en-US" w:eastAsia="zh-CN"/>
        </w:rPr>
        <w:t>资金支出审批手续</w:t>
      </w:r>
      <w:r>
        <w:rPr>
          <w:rFonts w:hint="eastAsia" w:ascii="仿宋_GB2312" w:hAnsi="Calibri" w:eastAsia="仿宋_GB2312" w:cs="Times New Roman"/>
          <w:sz w:val="32"/>
          <w:szCs w:val="32"/>
          <w:lang w:val="en-US" w:eastAsia="zh-CN"/>
        </w:rPr>
        <w:t>。</w:t>
      </w:r>
      <w:r>
        <w:rPr>
          <w:rFonts w:hint="default" w:ascii="仿宋_GB2312" w:hAnsi="Calibri" w:eastAsia="仿宋_GB2312" w:cs="Times New Roman"/>
          <w:sz w:val="32"/>
          <w:szCs w:val="32"/>
          <w:lang w:val="en-US" w:eastAsia="zh-CN"/>
        </w:rPr>
        <w:t>同时在部门预算执行过程中，采取厉行节约措施</w:t>
      </w:r>
      <w:r>
        <w:rPr>
          <w:rFonts w:hint="eastAsia" w:ascii="仿宋_GB2312" w:hAnsi="Calibri" w:eastAsia="仿宋_GB2312" w:cs="Times New Roman"/>
          <w:sz w:val="32"/>
          <w:szCs w:val="32"/>
          <w:lang w:val="en-US" w:eastAsia="zh-CN"/>
        </w:rPr>
        <w:t>，</w:t>
      </w:r>
      <w:r>
        <w:rPr>
          <w:rFonts w:hint="default" w:ascii="仿宋_GB2312" w:hAnsi="Calibri" w:eastAsia="仿宋_GB2312" w:cs="Times New Roman"/>
          <w:sz w:val="32"/>
          <w:szCs w:val="32"/>
          <w:lang w:val="en-US" w:eastAsia="zh-CN"/>
        </w:rPr>
        <w:t>有效控制各项费用支出，实际经费支出严格履行采购程序并按合同执行，经费支出符合部门履职范围，部门总体资金支出控制在预算范围内，部门整体成本控制情况较好。</w:t>
      </w:r>
    </w:p>
    <w:p w14:paraId="6C8CF20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_GB2312" w:hAnsi="Calibri" w:eastAsia="楷体_GB2312" w:cs="Times New Roman"/>
          <w:sz w:val="32"/>
          <w:szCs w:val="32"/>
          <w:lang w:val="en-US" w:eastAsia="zh-CN"/>
        </w:rPr>
      </w:pPr>
      <w:r>
        <w:rPr>
          <w:rFonts w:hint="eastAsia" w:ascii="楷体_GB2312" w:hAnsi="Calibri" w:eastAsia="楷体_GB2312" w:cs="Times New Roman"/>
          <w:sz w:val="32"/>
          <w:szCs w:val="32"/>
          <w:lang w:val="en-US" w:eastAsia="zh-CN"/>
        </w:rPr>
        <w:t>（二）效果实现情况分析</w:t>
      </w:r>
    </w:p>
    <w:p w14:paraId="4C82A96E">
      <w:pPr>
        <w:spacing w:line="600" w:lineRule="exact"/>
        <w:ind w:firstLine="640" w:firstLineChars="200"/>
        <w:rPr>
          <w:rFonts w:hint="eastAsia" w:ascii="仿宋_GB2312" w:hAnsi="Calibri" w:eastAsia="仿宋_GB2312" w:cs="Times New Roman"/>
          <w:sz w:val="32"/>
          <w:szCs w:val="32"/>
          <w:lang w:val="en-US" w:eastAsia="zh-CN"/>
        </w:rPr>
      </w:pPr>
      <w:r>
        <w:rPr>
          <w:rFonts w:hint="eastAsia" w:ascii="仿宋_GB2312" w:hAnsi="Calibri" w:eastAsia="仿宋_GB2312" w:cs="Times New Roman"/>
          <w:sz w:val="32"/>
          <w:szCs w:val="32"/>
          <w:lang w:val="en-US" w:eastAsia="zh-CN"/>
        </w:rPr>
        <w:t>1.经济效益</w:t>
      </w:r>
    </w:p>
    <w:p w14:paraId="30C7D782">
      <w:pPr>
        <w:spacing w:line="600" w:lineRule="exact"/>
        <w:ind w:firstLine="640" w:firstLineChars="200"/>
        <w:rPr>
          <w:rFonts w:hint="eastAsia" w:ascii="仿宋_GB2312" w:hAnsi="Calibri" w:eastAsia="仿宋_GB2312" w:cs="Times New Roman"/>
          <w:sz w:val="32"/>
          <w:szCs w:val="32"/>
          <w:lang w:val="en-US" w:eastAsia="zh-CN"/>
        </w:rPr>
      </w:pPr>
      <w:r>
        <w:rPr>
          <w:rFonts w:hint="eastAsia" w:ascii="仿宋_GB2312" w:hAnsi="Calibri" w:eastAsia="仿宋_GB2312" w:cs="Times New Roman"/>
          <w:sz w:val="32"/>
          <w:szCs w:val="32"/>
          <w:lang w:val="en-US" w:eastAsia="zh-CN"/>
        </w:rPr>
        <w:t>医药职工大学（党校）根据学校“十四五”发展建设规划，结合年度重点工作任务，按照“保重点、控一般、促统筹、提绩效”的预算管理要求，优化支出结构，落实过紧日子要求，积极运用零基预算理念，根据部门职责和实际任务，从严从紧安排各项经费。在安排预算项目时，保持与学校履行职能及事业发展计划相协调，与学校财力相适应，切实将预算资金用于学校高质量发展建设方面。</w:t>
      </w:r>
    </w:p>
    <w:p w14:paraId="2DDC6EA6">
      <w:pPr>
        <w:spacing w:line="600" w:lineRule="exact"/>
        <w:ind w:firstLine="640" w:firstLineChars="200"/>
        <w:rPr>
          <w:rFonts w:hint="eastAsia" w:ascii="仿宋_GB2312" w:hAnsi="Calibri" w:eastAsia="仿宋_GB2312" w:cs="Times New Roman"/>
          <w:sz w:val="32"/>
          <w:szCs w:val="32"/>
          <w:lang w:val="en-US" w:eastAsia="zh-CN"/>
        </w:rPr>
      </w:pPr>
      <w:r>
        <w:rPr>
          <w:rFonts w:hint="eastAsia" w:ascii="仿宋_GB2312" w:hAnsi="Calibri" w:eastAsia="仿宋_GB2312" w:cs="Times New Roman"/>
          <w:sz w:val="32"/>
          <w:szCs w:val="32"/>
          <w:lang w:val="en-US" w:eastAsia="zh-CN"/>
        </w:rPr>
        <w:t>2.社会效益</w:t>
      </w:r>
    </w:p>
    <w:p w14:paraId="781D19AF">
      <w:pPr>
        <w:spacing w:line="600" w:lineRule="exact"/>
        <w:ind w:firstLine="640" w:firstLineChars="200"/>
        <w:rPr>
          <w:rFonts w:hint="eastAsia" w:ascii="仿宋_GB2312" w:hAnsi="Calibri" w:eastAsia="仿宋_GB2312" w:cs="Times New Roman"/>
          <w:sz w:val="32"/>
          <w:szCs w:val="32"/>
          <w:lang w:val="en-US" w:eastAsia="zh-CN"/>
        </w:rPr>
      </w:pPr>
      <w:r>
        <w:rPr>
          <w:rFonts w:hint="eastAsia" w:ascii="仿宋_GB2312" w:hAnsi="Calibri" w:eastAsia="仿宋_GB2312" w:cs="Times New Roman"/>
          <w:sz w:val="32"/>
          <w:szCs w:val="32"/>
          <w:lang w:val="en-US" w:eastAsia="zh-CN"/>
        </w:rPr>
        <w:t>（1）提高站位服务大局，发挥学校作为培训主阵地的积极作用。坚持党校姓党，突出主业主课，推进习近平新时代中国特色社会主义思想生动进课堂、扎实进头脑，增强“四个意识”，坚定“四个自信”，做到“两个维护”，强化理论武装、增强党性修养、优化知识结构，提高领导干部履职能力、专业素质，更好地满足组织需求和岗位需求。</w:t>
      </w:r>
    </w:p>
    <w:p w14:paraId="1E620CD4">
      <w:pPr>
        <w:spacing w:line="600" w:lineRule="exact"/>
        <w:ind w:firstLine="640" w:firstLineChars="200"/>
        <w:rPr>
          <w:rFonts w:hint="eastAsia" w:ascii="仿宋_GB2312" w:hAnsi="Calibri" w:eastAsia="仿宋_GB2312" w:cs="Times New Roman"/>
          <w:sz w:val="32"/>
          <w:szCs w:val="32"/>
          <w:lang w:val="en-US" w:eastAsia="zh-CN"/>
        </w:rPr>
      </w:pPr>
      <w:r>
        <w:rPr>
          <w:rFonts w:hint="eastAsia" w:ascii="仿宋_GB2312" w:hAnsi="Calibri" w:eastAsia="仿宋_GB2312" w:cs="Times New Roman"/>
          <w:sz w:val="32"/>
          <w:szCs w:val="32"/>
          <w:lang w:val="en-US" w:eastAsia="zh-CN"/>
        </w:rPr>
        <w:t>（2）深化教育教学改革，人才培养质量稳步提高。持续建设具有“校本特色”的系列教学资源。一是依托企业建立大思政课程教学模式，实现真正以育人为中心有生命力的高质量思政课课堂，提高学校思政课理论水平以及教师专业素养和教学能力。二是建立特色“文化课程”，将优秀的文化以易于学生接受的方式展现出来，宣讲及普及“大健康”理念，彰显学校公益责任、企业社会责任。三是建立“双师型”教师培育雏形，在校企合作基础上，培养职业院校教师人才队伍。四是新质生产力赋能将职业院校教学与老字号企业质量提升协同发展。</w:t>
      </w:r>
    </w:p>
    <w:p w14:paraId="39AD39AB">
      <w:pPr>
        <w:spacing w:line="600" w:lineRule="exact"/>
        <w:ind w:firstLine="640" w:firstLineChars="200"/>
        <w:rPr>
          <w:rFonts w:hint="eastAsia" w:ascii="仿宋_GB2312" w:hAnsi="Calibri" w:eastAsia="仿宋_GB2312" w:cs="Times New Roman"/>
          <w:sz w:val="32"/>
          <w:szCs w:val="32"/>
          <w:lang w:val="en-US" w:eastAsia="zh-CN"/>
        </w:rPr>
      </w:pPr>
      <w:r>
        <w:rPr>
          <w:rFonts w:hint="eastAsia" w:ascii="仿宋_GB2312" w:hAnsi="Calibri" w:eastAsia="仿宋_GB2312" w:cs="Times New Roman"/>
          <w:sz w:val="32"/>
          <w:szCs w:val="32"/>
          <w:lang w:val="en-US" w:eastAsia="zh-CN"/>
        </w:rPr>
        <w:t>3.环境效益</w:t>
      </w:r>
    </w:p>
    <w:p w14:paraId="0467FFBF">
      <w:pPr>
        <w:spacing w:line="600" w:lineRule="exact"/>
        <w:ind w:firstLine="640" w:firstLineChars="200"/>
        <w:rPr>
          <w:rFonts w:hint="eastAsia" w:ascii="仿宋_GB2312" w:hAnsi="Calibri" w:eastAsia="仿宋_GB2312" w:cs="Times New Roman"/>
          <w:sz w:val="32"/>
          <w:szCs w:val="32"/>
          <w:lang w:val="en-US" w:eastAsia="zh-CN"/>
        </w:rPr>
      </w:pPr>
      <w:r>
        <w:rPr>
          <w:rFonts w:hint="eastAsia" w:ascii="仿宋_GB2312" w:hAnsi="Calibri" w:eastAsia="仿宋_GB2312" w:cs="Times New Roman"/>
          <w:sz w:val="32"/>
          <w:szCs w:val="32"/>
          <w:lang w:val="en-US" w:eastAsia="zh-CN"/>
        </w:rPr>
        <w:t>医药职工大学（党校）不断深化主动治理的工作思想，努力办好人民满意的教育。学校及时调整生活垃圾分类管理工作领导专班成员，规范化、制度化、常态化深入推进落实垃圾分类以及反对食品浪费等相关工作。以此次活动为契机，充分发挥学校教职工示范引领作用，呼吁教职工积极参与桶前值守活动，提高教职工社会责任感。推进安全工作，建设平安校园。开展安全隐患大检查工作，共开展安全隐患大检查30次，排除安全隐患55项。加强安全宣传教育，组织开展应急疏散、消防技能和防恐演练共计13次。</w:t>
      </w:r>
    </w:p>
    <w:p w14:paraId="3EB67F1A">
      <w:pPr>
        <w:spacing w:line="600" w:lineRule="exact"/>
        <w:ind w:firstLine="640" w:firstLineChars="200"/>
        <w:rPr>
          <w:rFonts w:hint="eastAsia" w:ascii="仿宋_GB2312" w:hAnsi="Calibri" w:eastAsia="仿宋_GB2312" w:cs="Times New Roman"/>
          <w:sz w:val="32"/>
          <w:szCs w:val="32"/>
          <w:lang w:val="en-US" w:eastAsia="zh-CN"/>
        </w:rPr>
      </w:pPr>
      <w:r>
        <w:rPr>
          <w:rFonts w:hint="eastAsia" w:ascii="仿宋_GB2312" w:hAnsi="Calibri" w:eastAsia="仿宋_GB2312" w:cs="Times New Roman"/>
          <w:sz w:val="32"/>
          <w:szCs w:val="32"/>
          <w:lang w:val="en-US" w:eastAsia="zh-CN"/>
        </w:rPr>
        <w:t>4.可持续性影响</w:t>
      </w:r>
    </w:p>
    <w:p w14:paraId="75DADEC0">
      <w:pPr>
        <w:spacing w:line="600" w:lineRule="exact"/>
        <w:ind w:firstLine="640" w:firstLineChars="200"/>
        <w:rPr>
          <w:rFonts w:hint="eastAsia" w:ascii="仿宋_GB2312" w:hAnsi="Calibri" w:eastAsia="仿宋_GB2312" w:cs="Times New Roman"/>
          <w:sz w:val="32"/>
          <w:szCs w:val="32"/>
          <w:lang w:val="en-US" w:eastAsia="zh-CN"/>
        </w:rPr>
      </w:pPr>
      <w:r>
        <w:rPr>
          <w:rFonts w:hint="eastAsia" w:ascii="仿宋_GB2312" w:hAnsi="Calibri" w:eastAsia="仿宋_GB2312" w:cs="Times New Roman"/>
          <w:sz w:val="32"/>
          <w:szCs w:val="32"/>
          <w:lang w:val="en-US" w:eastAsia="zh-CN"/>
        </w:rPr>
        <w:t>医药职工大学（党校）深入实施“十四五”发展建设规划，不断改革创新，加强干部教师队伍建设，强化基础管理工作，持续提升办学水平和风险防控能力，聚焦教育教学和培训中心工作，加快专业建设调整，不断提高教育教学质量，确保了学校安全稳定，各项工作质量稳步提高，较好地完成了全年各项工作任务。</w:t>
      </w:r>
    </w:p>
    <w:p w14:paraId="6097322A">
      <w:pPr>
        <w:spacing w:line="600" w:lineRule="exact"/>
        <w:ind w:firstLine="640" w:firstLineChars="200"/>
        <w:rPr>
          <w:rFonts w:hint="eastAsia" w:ascii="仿宋_GB2312" w:hAnsi="Calibri" w:eastAsia="仿宋_GB2312" w:cs="Times New Roman"/>
          <w:sz w:val="32"/>
          <w:szCs w:val="32"/>
          <w:lang w:val="en-US" w:eastAsia="zh-CN"/>
        </w:rPr>
      </w:pPr>
      <w:r>
        <w:rPr>
          <w:rFonts w:hint="eastAsia" w:ascii="仿宋_GB2312" w:hAnsi="Calibri" w:eastAsia="仿宋_GB2312" w:cs="Times New Roman"/>
          <w:sz w:val="32"/>
          <w:szCs w:val="32"/>
          <w:lang w:val="en-US" w:eastAsia="zh-CN"/>
        </w:rPr>
        <w:t>5.服务对象满意度</w:t>
      </w:r>
    </w:p>
    <w:p w14:paraId="0D3993FE">
      <w:pPr>
        <w:spacing w:line="600" w:lineRule="exact"/>
        <w:ind w:firstLine="640" w:firstLineChars="200"/>
        <w:rPr>
          <w:rFonts w:hint="eastAsia" w:ascii="仿宋_GB2312" w:eastAsia="仿宋_GB2312" w:cs="Times New Roman"/>
          <w:sz w:val="32"/>
          <w:szCs w:val="32"/>
        </w:rPr>
      </w:pPr>
      <w:r>
        <w:rPr>
          <w:rFonts w:hint="eastAsia" w:ascii="仿宋_GB2312" w:hAnsi="Calibri" w:eastAsia="仿宋_GB2312" w:cs="Times New Roman"/>
          <w:sz w:val="32"/>
          <w:szCs w:val="32"/>
          <w:lang w:val="en-US" w:eastAsia="zh-CN"/>
        </w:rPr>
        <w:t>医药职工大学（党校）通过问卷调查的方式，对学生、教职工及企业单位进行了满意度调查，学生满意度为85%以上，教职工满意度为90%以上，企业单位满意度为90%以上，服务对象满意度较好。</w:t>
      </w:r>
    </w:p>
    <w:p w14:paraId="3F1B5D25">
      <w:pPr>
        <w:spacing w:line="600" w:lineRule="exact"/>
        <w:ind w:firstLine="640" w:firstLineChars="200"/>
        <w:rPr>
          <w:rFonts w:hint="eastAsia" w:ascii="仿宋_GB2312" w:eastAsia="仿宋_GB2312" w:cs="Times New Roman"/>
          <w:sz w:val="32"/>
          <w:szCs w:val="32"/>
        </w:rPr>
      </w:pPr>
      <w:r>
        <w:rPr>
          <w:rFonts w:hint="eastAsia" w:ascii="仿宋_GB2312" w:eastAsia="仿宋_GB2312" w:cs="Times New Roman"/>
          <w:sz w:val="32"/>
          <w:szCs w:val="32"/>
        </w:rPr>
        <w:t>2024年，学校各项工作取得了积极成效，但也清醒地认识到工作中存在的问题和不足</w:t>
      </w:r>
      <w:r>
        <w:rPr>
          <w:rFonts w:hint="eastAsia" w:ascii="仿宋_GB2312" w:eastAsia="仿宋_GB2312" w:cs="Times New Roman"/>
          <w:sz w:val="32"/>
          <w:szCs w:val="32"/>
          <w:lang w:eastAsia="zh-CN"/>
        </w:rPr>
        <w:t>。</w:t>
      </w:r>
      <w:r>
        <w:rPr>
          <w:rFonts w:hint="eastAsia" w:ascii="仿宋_GB2312" w:eastAsia="仿宋_GB2312" w:cs="Times New Roman"/>
          <w:sz w:val="32"/>
          <w:szCs w:val="32"/>
        </w:rPr>
        <w:t>学校将高度重视，进一步提高学校各项工作中的制度性、规范性</w:t>
      </w:r>
      <w:r>
        <w:rPr>
          <w:rFonts w:hint="eastAsia" w:ascii="仿宋_GB2312" w:eastAsia="仿宋_GB2312" w:cs="Times New Roman"/>
          <w:sz w:val="32"/>
          <w:szCs w:val="32"/>
          <w:lang w:val="en-US" w:eastAsia="zh-CN"/>
        </w:rPr>
        <w:t>和</w:t>
      </w:r>
      <w:r>
        <w:rPr>
          <w:rFonts w:hint="eastAsia" w:ascii="仿宋_GB2312" w:eastAsia="仿宋_GB2312" w:cs="Times New Roman"/>
          <w:sz w:val="32"/>
          <w:szCs w:val="32"/>
        </w:rPr>
        <w:t>主动性，在制度的框架下做好各项工作，促进学校各项工作不断向前发展。</w:t>
      </w:r>
    </w:p>
    <w:p w14:paraId="5AC90A45">
      <w:pPr>
        <w:spacing w:line="600" w:lineRule="exact"/>
        <w:ind w:firstLine="640" w:firstLineChars="20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四、预算管理情况分析</w:t>
      </w:r>
    </w:p>
    <w:p w14:paraId="4B9333E0">
      <w:pPr>
        <w:spacing w:line="600" w:lineRule="exact"/>
        <w:ind w:firstLine="640" w:firstLineChars="200"/>
        <w:rPr>
          <w:rFonts w:hint="eastAsia" w:ascii="楷体_GB2312" w:eastAsia="楷体_GB2312"/>
          <w:sz w:val="32"/>
          <w:szCs w:val="32"/>
        </w:rPr>
      </w:pPr>
      <w:r>
        <w:rPr>
          <w:rFonts w:hint="eastAsia" w:ascii="楷体_GB2312" w:eastAsia="楷体_GB2312"/>
          <w:sz w:val="32"/>
          <w:szCs w:val="32"/>
        </w:rPr>
        <w:t>（一）财务管理</w:t>
      </w:r>
    </w:p>
    <w:p w14:paraId="214A6A08">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1.财务管理制度健全性</w:t>
      </w:r>
    </w:p>
    <w:p w14:paraId="521C6A79">
      <w:pPr>
        <w:spacing w:line="600" w:lineRule="exact"/>
        <w:ind w:firstLine="640" w:firstLineChars="200"/>
        <w:rPr>
          <w:rFonts w:hint="eastAsia" w:ascii="仿宋_GB2312" w:eastAsia="仿宋_GB2312" w:cs="Times New Roman"/>
          <w:sz w:val="32"/>
          <w:szCs w:val="32"/>
        </w:rPr>
      </w:pPr>
      <w:r>
        <w:rPr>
          <w:rFonts w:hint="eastAsia" w:ascii="仿宋_GB2312" w:eastAsia="仿宋_GB2312" w:cs="Times New Roman"/>
          <w:sz w:val="32"/>
          <w:szCs w:val="32"/>
        </w:rPr>
        <w:t>医药职工大学（党校）始终以底线思维积极推进管理制度建设，强化风险意识，完善各类业务流程、工作制度、管理办法，建立健全内控制度机制，优化内控机构建设，力争织密织牢学校财经安全网，把好学校财经安全关，当好学校财经监督“守门员”。相关制度涵盖了预算编制、执行、监督以及绩效评价等多个环节，确保了财务工作的规范性和高效性，明确了各项经费的使用范围和审批流程，有效防范资金风险。同时，医药职工大学（党校）还建立了定期的财务审计和内部控制机制，对财务活动进行全面监督和检查，及时发现并纠正存在的问题，确保财务管理的合规性和安全性。</w:t>
      </w:r>
    </w:p>
    <w:p w14:paraId="30DE8176">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2.资金使用合规性和安全性</w:t>
      </w:r>
    </w:p>
    <w:p w14:paraId="77CDBD2B">
      <w:pPr>
        <w:spacing w:line="600" w:lineRule="exact"/>
        <w:ind w:firstLine="640" w:firstLineChars="200"/>
        <w:rPr>
          <w:rFonts w:hint="eastAsia" w:ascii="仿宋_GB2312" w:eastAsia="仿宋_GB2312" w:cs="Times New Roman"/>
          <w:sz w:val="32"/>
          <w:szCs w:val="32"/>
        </w:rPr>
      </w:pPr>
      <w:r>
        <w:rPr>
          <w:rFonts w:hint="eastAsia" w:ascii="仿宋_GB2312" w:eastAsia="仿宋_GB2312" w:cs="Times New Roman"/>
          <w:sz w:val="32"/>
          <w:szCs w:val="32"/>
        </w:rPr>
        <w:t>医药职工大学（党校）立足财务管理职能职责，不断强化资金支付管理，切实把好资金支出关口，确保财政资金规范、安全和高效运行。（1）着力严把关细审核。严格执行对账制度，每日与开户银行做好资金清算，保证日清日结。按期核对支付明细，对支付过程中存在的问题做到及时查明原因，及时整改办理，保障数据一致。通过预算管理一体化平台对支付数据实行全流程监控，确保账账相符、账实相符。严格执行相关制度，对超规定标准和限额的开支一律拒付。对资料不全、审核不过关的不予支付，保证资金支付的合法性、合理性。（2）着力控风险促合规。将审核、支付、清算、复核列为重要风险点，按照“岗位分设、相互制衡”的原则，规范岗位设置和职能分工，严格执行“AB岗+双审核”制度，实行环节控制，依流程办事，确保资金支付业务不相容、岗位相互分离，避免发生系统性风险。完善预算动态监控预警机制，将各类资金全部纳入预算执行常态化监督范围，杜绝资金支付不规范、不合规情况的发生。</w:t>
      </w:r>
    </w:p>
    <w:p w14:paraId="4761C04B">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3.会计基础信息完善性</w:t>
      </w:r>
    </w:p>
    <w:p w14:paraId="2EFF82D4">
      <w:pPr>
        <w:spacing w:line="600" w:lineRule="exact"/>
        <w:ind w:firstLine="640" w:firstLineChars="200"/>
        <w:rPr>
          <w:rFonts w:hint="eastAsia" w:ascii="仿宋_GB2312" w:eastAsia="仿宋_GB2312" w:cs="Times New Roman"/>
          <w:sz w:val="32"/>
          <w:szCs w:val="32"/>
        </w:rPr>
      </w:pPr>
      <w:r>
        <w:rPr>
          <w:rFonts w:hint="eastAsia" w:ascii="仿宋_GB2312" w:eastAsia="仿宋_GB2312" w:cs="Times New Roman"/>
          <w:sz w:val="32"/>
          <w:szCs w:val="32"/>
        </w:rPr>
        <w:t>医药职工大学（党校）通过不断完善财务制度、规范会计核算、加强会计监督，以提高会计基础工作水平，确保单位会计基础信息真实、合法和完整。强化对原始凭证的审核把关，发生资金收入、支出后及时登记入账，确保会计信息合法、真实，准确、及时，保证各项财务、业务资料安全、完整和规范，提高财务管理水平。学校会计基础信息较为完善，日常核算符合相关制度规定。</w:t>
      </w:r>
    </w:p>
    <w:p w14:paraId="69BFBEF6">
      <w:pPr>
        <w:spacing w:line="600" w:lineRule="exact"/>
        <w:ind w:firstLine="640" w:firstLineChars="200"/>
        <w:rPr>
          <w:rFonts w:hint="eastAsia" w:ascii="楷体_GB2312" w:eastAsia="楷体_GB2312"/>
          <w:sz w:val="32"/>
          <w:szCs w:val="32"/>
        </w:rPr>
      </w:pPr>
      <w:r>
        <w:rPr>
          <w:rFonts w:hint="eastAsia" w:ascii="楷体_GB2312" w:eastAsia="楷体_GB2312"/>
          <w:sz w:val="32"/>
          <w:szCs w:val="32"/>
        </w:rPr>
        <w:t>（二）资产管理</w:t>
      </w:r>
    </w:p>
    <w:p w14:paraId="1E0564B6">
      <w:pPr>
        <w:spacing w:line="600" w:lineRule="exact"/>
        <w:ind w:firstLine="640" w:firstLineChars="200"/>
        <w:rPr>
          <w:rFonts w:hint="eastAsia" w:ascii="仿宋_GB2312" w:eastAsia="仿宋_GB2312" w:cs="Times New Roman"/>
          <w:sz w:val="32"/>
          <w:szCs w:val="32"/>
        </w:rPr>
      </w:pPr>
      <w:r>
        <w:rPr>
          <w:rFonts w:hint="eastAsia" w:ascii="仿宋_GB2312" w:eastAsia="仿宋_GB2312" w:cs="Times New Roman"/>
          <w:sz w:val="32"/>
          <w:szCs w:val="32"/>
        </w:rPr>
        <w:t>医药职工大学（党校）建立健全国有资产管理制度，明确资产使用人和管理人的岗位责任，按照相关规定设置国有资产台账，加强和规范资产配置、使用和处置管理，维护资产安全完整，提高资产使用效率。学校配置资产根据依法履行职能和事业发展的需要，结合资产存量、资产配置标准、绩效目标和资金承受能力，优先通过调剂方式进行配置，不能调剂的，可以采用购置、建设等方式。学校汇总编制本单位行政事业性国有资产报告，定期或者不定期对资产进行盘点、对账，做到账实相符和账账相符。对需要办理权属登记的资产依法及时办理。</w:t>
      </w:r>
    </w:p>
    <w:p w14:paraId="669B4535">
      <w:pPr>
        <w:spacing w:line="600" w:lineRule="exact"/>
        <w:ind w:firstLine="640" w:firstLineChars="200"/>
        <w:rPr>
          <w:rFonts w:hint="eastAsia" w:ascii="楷体_GB2312" w:eastAsia="楷体_GB2312"/>
          <w:sz w:val="32"/>
          <w:szCs w:val="32"/>
        </w:rPr>
      </w:pPr>
      <w:r>
        <w:rPr>
          <w:rFonts w:hint="eastAsia" w:ascii="楷体_GB2312" w:eastAsia="楷体_GB2312"/>
          <w:sz w:val="32"/>
          <w:szCs w:val="32"/>
        </w:rPr>
        <w:t>（三）绩效管理</w:t>
      </w:r>
    </w:p>
    <w:p w14:paraId="3CDB3605">
      <w:pPr>
        <w:spacing w:line="600" w:lineRule="exact"/>
        <w:ind w:firstLine="640" w:firstLineChars="200"/>
        <w:rPr>
          <w:rFonts w:hint="eastAsia" w:ascii="仿宋_GB2312" w:eastAsia="仿宋_GB2312" w:cs="Times New Roman"/>
          <w:sz w:val="32"/>
          <w:szCs w:val="32"/>
        </w:rPr>
      </w:pPr>
      <w:r>
        <w:rPr>
          <w:rFonts w:hint="eastAsia" w:ascii="仿宋_GB2312" w:eastAsia="仿宋_GB2312" w:cs="Times New Roman"/>
          <w:sz w:val="32"/>
          <w:szCs w:val="32"/>
        </w:rPr>
        <w:t>2024年，为贯彻落实中央和北京市全面实施预算绩效管理的工作部署，医药职工大学（党校）预算绩效管理工作在上级主管部门的正确领导下，高标准、严要求，突出工作重点，坚持“花钱必问效，无效必问责”的绩效管理理念，扎实推进预算绩效管理工作，不断完善全方位、全过程、全覆盖预算绩效管理体系建设，将学校全面实施预算绩效管理工作提质增效。</w:t>
      </w:r>
    </w:p>
    <w:p w14:paraId="17C81FD9">
      <w:pPr>
        <w:spacing w:line="600" w:lineRule="exact"/>
        <w:ind w:firstLine="640" w:firstLineChars="200"/>
        <w:rPr>
          <w:rFonts w:hint="eastAsia" w:ascii="仿宋_GB2312" w:eastAsia="仿宋_GB2312" w:cs="Times New Roman"/>
          <w:sz w:val="32"/>
          <w:szCs w:val="32"/>
        </w:rPr>
      </w:pPr>
      <w:r>
        <w:rPr>
          <w:rFonts w:hint="eastAsia" w:ascii="仿宋_GB2312" w:eastAsia="仿宋_GB2312" w:cs="Times New Roman"/>
          <w:sz w:val="32"/>
          <w:szCs w:val="32"/>
        </w:rPr>
        <w:t>学校按照相关工作要求，建立绩效目标管理、绩效监控、绩效评价管理和内部工作规程等相关工作机制，完善全过程预算绩效管理链条，明确绩效评价工作的各项要求，增强绩效意识，压实绩效主体责任，使绩效管理工作制度化、规范化，有效提升绩效目标管理水平，夯实预算绩效管理基础，为更好深化预算绩效目标管理提供了有力支撑，推动预算绩效管理工作迈上新台阶。</w:t>
      </w:r>
    </w:p>
    <w:p w14:paraId="39C90D65">
      <w:pPr>
        <w:spacing w:line="600" w:lineRule="exact"/>
        <w:ind w:firstLine="640" w:firstLineChars="200"/>
        <w:rPr>
          <w:rFonts w:hint="eastAsia" w:ascii="仿宋_GB2312" w:eastAsia="仿宋_GB2312" w:cs="Times New Roman"/>
          <w:sz w:val="32"/>
          <w:szCs w:val="32"/>
        </w:rPr>
      </w:pPr>
      <w:r>
        <w:rPr>
          <w:rFonts w:hint="eastAsia" w:ascii="仿宋_GB2312" w:eastAsia="仿宋_GB2312" w:cs="Times New Roman"/>
          <w:sz w:val="32"/>
          <w:szCs w:val="32"/>
        </w:rPr>
        <w:t>开展事前绩效评估，强化预算绩效源头管控，严格按照“无绩效不预算”的原则，切实把好守牢财政支出第一道关口。坚持“谁申报、谁负责”“谁分配、谁评估”，压实预算部室申报责任，有效提高预算资金分配合理性、科学性，引导各部室加强绩效管理，形成预算安排评估先行的长效机制。</w:t>
      </w:r>
    </w:p>
    <w:p w14:paraId="1B81F51A">
      <w:pPr>
        <w:spacing w:line="600" w:lineRule="exact"/>
        <w:ind w:firstLine="640" w:firstLineChars="200"/>
        <w:rPr>
          <w:rFonts w:hint="eastAsia" w:ascii="仿宋_GB2312" w:eastAsia="仿宋_GB2312" w:cs="Times New Roman"/>
          <w:sz w:val="32"/>
          <w:szCs w:val="32"/>
        </w:rPr>
      </w:pPr>
      <w:r>
        <w:rPr>
          <w:rFonts w:hint="eastAsia" w:ascii="仿宋_GB2312" w:eastAsia="仿宋_GB2312" w:cs="Times New Roman"/>
          <w:sz w:val="32"/>
          <w:szCs w:val="32"/>
        </w:rPr>
        <w:t>稳步开展预算绩效监控。学校对绩效监控工作认识程度不断提高，把绩效目标完成情况和预算执行情况作为双监控核心内容，着力压实学校绩效运行监控主体责任。将绩效实现情况与预期绩效目标进行比较，积极开展自主监控，全面掌握项目实施情况及存在的问题，分析偏差原因并提出切实有效的改进措施，积极发挥纠错纠偏的作用，发挥绩效监控的及时性、有效性。促进绩效目标如期实现，提高资金使用效益，不断提高资金使用质量。</w:t>
      </w:r>
    </w:p>
    <w:p w14:paraId="79FBC1C4">
      <w:pPr>
        <w:spacing w:line="600" w:lineRule="exact"/>
        <w:ind w:firstLine="640" w:firstLineChars="200"/>
        <w:rPr>
          <w:rFonts w:hint="eastAsia" w:ascii="仿宋_GB2312" w:eastAsia="仿宋_GB2312" w:cs="Times New Roman"/>
          <w:sz w:val="32"/>
          <w:szCs w:val="32"/>
        </w:rPr>
      </w:pPr>
      <w:r>
        <w:rPr>
          <w:rFonts w:hint="eastAsia" w:ascii="仿宋_GB2312" w:eastAsia="仿宋_GB2312" w:cs="Times New Roman"/>
          <w:sz w:val="32"/>
          <w:szCs w:val="32"/>
        </w:rPr>
        <w:t>加强绩效评价结果应用与公开。将重点绩效评价结果、存在问题和意见建议反馈至被评价部室，督促部室将评价结果作为完善政策、改进管理的依据，进一步健全规章制度，完善预算管理，增强支出责任，规范资金使用，提高资金使用效率。对于项目支出，优先保障绩效评价结果为优、良的项目，减少绩效评价结果为中的项目资金安排，取消无绩效或低绩效项目。按照“谁评价、谁公开”的原则，随部门决算同步公开绩效评价结果，推动预算绩效信息公开，使社会公众了解有关项目的实际绩效水平，主动接受社会监督。</w:t>
      </w:r>
    </w:p>
    <w:p w14:paraId="59B38EAB">
      <w:pPr>
        <w:spacing w:line="600" w:lineRule="exact"/>
        <w:ind w:firstLine="640" w:firstLineChars="200"/>
        <w:rPr>
          <w:rFonts w:hint="eastAsia" w:ascii="仿宋_GB2312" w:eastAsia="仿宋_GB2312" w:cs="Times New Roman"/>
          <w:sz w:val="32"/>
          <w:szCs w:val="32"/>
        </w:rPr>
      </w:pPr>
      <w:r>
        <w:rPr>
          <w:rFonts w:hint="eastAsia" w:ascii="仿宋_GB2312" w:eastAsia="仿宋_GB2312" w:cs="Times New Roman"/>
          <w:sz w:val="32"/>
          <w:szCs w:val="32"/>
        </w:rPr>
        <w:t>2024年按期完成全年项目支出各项工作任务，经济效益较好，社会效益显著。部分项目执行进度存在缓慢或调整事项，指标完成率有待进一步提高。</w:t>
      </w:r>
    </w:p>
    <w:p w14:paraId="3617F7E7">
      <w:pPr>
        <w:spacing w:line="600" w:lineRule="exact"/>
        <w:ind w:firstLine="640" w:firstLineChars="200"/>
        <w:rPr>
          <w:rFonts w:hint="eastAsia" w:ascii="楷体_GB2312" w:eastAsia="楷体_GB2312"/>
          <w:sz w:val="32"/>
          <w:szCs w:val="32"/>
        </w:rPr>
      </w:pPr>
      <w:r>
        <w:rPr>
          <w:rFonts w:hint="eastAsia" w:ascii="楷体_GB2312" w:eastAsia="楷体_GB2312"/>
          <w:sz w:val="32"/>
          <w:szCs w:val="32"/>
        </w:rPr>
        <w:t>（四）结转结余率</w:t>
      </w:r>
    </w:p>
    <w:p w14:paraId="21C9EA38">
      <w:pPr>
        <w:spacing w:line="600" w:lineRule="exact"/>
        <w:ind w:firstLine="640" w:firstLineChars="200"/>
        <w:rPr>
          <w:rFonts w:hint="eastAsia" w:ascii="仿宋_GB2312" w:eastAsia="仿宋_GB2312" w:cs="Times New Roman"/>
          <w:sz w:val="32"/>
          <w:szCs w:val="32"/>
        </w:rPr>
      </w:pPr>
      <w:r>
        <w:rPr>
          <w:rFonts w:hint="eastAsia" w:ascii="仿宋_GB2312" w:eastAsia="仿宋_GB2312" w:cs="Times New Roman"/>
          <w:sz w:val="32"/>
          <w:szCs w:val="32"/>
        </w:rPr>
        <w:t>2024年中国北京同仁堂（集团）有限责任公司所属事业单位北京医药职工大学（中国北京同仁堂（集团）有限责任公司党校）年末结转结余资金为1101.35万元，全年支出预算为4215.15万元，资金结转结余率为26.13%。年度资金结转结余控制力度有待进一步加强。</w:t>
      </w:r>
    </w:p>
    <w:p w14:paraId="77824910">
      <w:pPr>
        <w:spacing w:line="600" w:lineRule="exact"/>
        <w:ind w:firstLine="640" w:firstLineChars="200"/>
        <w:rPr>
          <w:rFonts w:hint="eastAsia" w:ascii="楷体_GB2312" w:eastAsia="楷体_GB2312"/>
          <w:sz w:val="32"/>
          <w:szCs w:val="32"/>
        </w:rPr>
      </w:pPr>
      <w:r>
        <w:rPr>
          <w:rFonts w:hint="eastAsia" w:ascii="楷体_GB2312" w:eastAsia="楷体_GB2312"/>
          <w:sz w:val="32"/>
          <w:szCs w:val="32"/>
        </w:rPr>
        <w:t>（五）部门预决算差异率</w:t>
      </w:r>
    </w:p>
    <w:p w14:paraId="0594D7C7">
      <w:pPr>
        <w:spacing w:line="600" w:lineRule="exact"/>
        <w:ind w:firstLine="640" w:firstLineChars="200"/>
        <w:rPr>
          <w:rFonts w:hint="eastAsia" w:ascii="仿宋_GB2312" w:eastAsia="仿宋_GB2312" w:cs="Times New Roman"/>
          <w:sz w:val="32"/>
          <w:szCs w:val="32"/>
        </w:rPr>
      </w:pPr>
      <w:r>
        <w:rPr>
          <w:rFonts w:hint="eastAsia" w:ascii="仿宋_GB2312" w:eastAsia="仿宋_GB2312" w:cs="Times New Roman"/>
          <w:sz w:val="32"/>
          <w:szCs w:val="32"/>
        </w:rPr>
        <w:t>1.收入预、决算差异率。</w:t>
      </w:r>
    </w:p>
    <w:p w14:paraId="15C772A2">
      <w:pPr>
        <w:spacing w:line="600" w:lineRule="exact"/>
        <w:ind w:firstLine="640" w:firstLineChars="200"/>
        <w:rPr>
          <w:rFonts w:hint="eastAsia" w:ascii="仿宋_GB2312" w:eastAsia="仿宋_GB2312" w:cs="Times New Roman"/>
          <w:sz w:val="32"/>
          <w:szCs w:val="32"/>
        </w:rPr>
      </w:pPr>
      <w:r>
        <w:rPr>
          <w:rFonts w:hint="eastAsia" w:ascii="仿宋_GB2312" w:eastAsia="仿宋_GB2312" w:cs="Times New Roman"/>
          <w:sz w:val="32"/>
          <w:szCs w:val="32"/>
        </w:rPr>
        <w:t>2024年全年预算收入共计4215.15万元，其中：财政拨款收入2996.09万元，事业收入331.24万元，其他收入2.1</w:t>
      </w:r>
      <w:r>
        <w:rPr>
          <w:rFonts w:hint="eastAsia" w:ascii="仿宋_GB2312" w:eastAsia="仿宋_GB2312" w:cs="Times New Roman"/>
          <w:sz w:val="32"/>
          <w:szCs w:val="32"/>
          <w:lang w:val="en-US" w:eastAsia="zh-CN"/>
        </w:rPr>
        <w:t>3</w:t>
      </w:r>
      <w:r>
        <w:rPr>
          <w:rFonts w:hint="eastAsia" w:ascii="仿宋_GB2312" w:eastAsia="仿宋_GB2312" w:cs="Times New Roman"/>
          <w:sz w:val="32"/>
          <w:szCs w:val="32"/>
        </w:rPr>
        <w:t>万元，年初结转和结余885.6</w:t>
      </w:r>
      <w:r>
        <w:rPr>
          <w:rFonts w:hint="eastAsia" w:ascii="仿宋_GB2312" w:eastAsia="仿宋_GB2312" w:cs="Times New Roman"/>
          <w:sz w:val="32"/>
          <w:szCs w:val="32"/>
          <w:lang w:val="en-US" w:eastAsia="zh-CN"/>
        </w:rPr>
        <w:t>9</w:t>
      </w:r>
      <w:r>
        <w:rPr>
          <w:rFonts w:hint="eastAsia" w:ascii="仿宋_GB2312" w:eastAsia="仿宋_GB2312" w:cs="Times New Roman"/>
          <w:sz w:val="32"/>
          <w:szCs w:val="32"/>
        </w:rPr>
        <w:t>万元。</w:t>
      </w:r>
    </w:p>
    <w:p w14:paraId="7E78A7FF">
      <w:pPr>
        <w:spacing w:line="600" w:lineRule="exact"/>
        <w:ind w:firstLine="640" w:firstLineChars="200"/>
        <w:rPr>
          <w:rFonts w:hint="eastAsia" w:ascii="仿宋_GB2312" w:eastAsia="仿宋_GB2312" w:cs="Times New Roman"/>
          <w:sz w:val="32"/>
          <w:szCs w:val="32"/>
        </w:rPr>
      </w:pPr>
      <w:r>
        <w:rPr>
          <w:rFonts w:hint="eastAsia" w:ascii="仿宋_GB2312" w:eastAsia="仿宋_GB2312" w:cs="Times New Roman"/>
          <w:sz w:val="32"/>
          <w:szCs w:val="32"/>
        </w:rPr>
        <w:t>2024年决算收入共计4215.15万元，其中：财政拨款收入2996.09万元，事业收入331.24万元，其他收入2.1</w:t>
      </w:r>
      <w:r>
        <w:rPr>
          <w:rFonts w:hint="eastAsia" w:ascii="仿宋_GB2312" w:eastAsia="仿宋_GB2312" w:cs="Times New Roman"/>
          <w:sz w:val="32"/>
          <w:szCs w:val="32"/>
          <w:lang w:val="en-US" w:eastAsia="zh-CN"/>
        </w:rPr>
        <w:t>3</w:t>
      </w:r>
      <w:r>
        <w:rPr>
          <w:rFonts w:hint="eastAsia" w:ascii="仿宋_GB2312" w:eastAsia="仿宋_GB2312" w:cs="Times New Roman"/>
          <w:sz w:val="32"/>
          <w:szCs w:val="32"/>
        </w:rPr>
        <w:t>万元，年初结转和结余885.6</w:t>
      </w:r>
      <w:r>
        <w:rPr>
          <w:rFonts w:hint="eastAsia" w:ascii="仿宋_GB2312" w:eastAsia="仿宋_GB2312" w:cs="Times New Roman"/>
          <w:sz w:val="32"/>
          <w:szCs w:val="32"/>
          <w:lang w:val="en-US" w:eastAsia="zh-CN"/>
        </w:rPr>
        <w:t>9</w:t>
      </w:r>
      <w:r>
        <w:rPr>
          <w:rFonts w:hint="eastAsia" w:ascii="仿宋_GB2312" w:eastAsia="仿宋_GB2312" w:cs="Times New Roman"/>
          <w:sz w:val="32"/>
          <w:szCs w:val="32"/>
        </w:rPr>
        <w:t>万元。</w:t>
      </w:r>
    </w:p>
    <w:p w14:paraId="3F28C62D">
      <w:pPr>
        <w:spacing w:line="600" w:lineRule="exact"/>
        <w:ind w:firstLine="640" w:firstLineChars="200"/>
        <w:rPr>
          <w:rFonts w:hint="eastAsia" w:ascii="仿宋_GB2312" w:eastAsia="仿宋_GB2312" w:cs="Times New Roman"/>
          <w:sz w:val="32"/>
          <w:szCs w:val="32"/>
        </w:rPr>
      </w:pPr>
      <w:r>
        <w:rPr>
          <w:rFonts w:hint="eastAsia" w:ascii="仿宋_GB2312" w:eastAsia="仿宋_GB2312" w:cs="Times New Roman"/>
          <w:sz w:val="32"/>
          <w:szCs w:val="32"/>
        </w:rPr>
        <w:t>收入预决算无差异。</w:t>
      </w:r>
    </w:p>
    <w:p w14:paraId="6277646C">
      <w:pPr>
        <w:spacing w:line="600" w:lineRule="exact"/>
        <w:ind w:firstLine="640" w:firstLineChars="200"/>
        <w:rPr>
          <w:rFonts w:hint="eastAsia" w:ascii="仿宋_GB2312" w:eastAsia="仿宋_GB2312" w:cs="Times New Roman"/>
          <w:sz w:val="32"/>
          <w:szCs w:val="32"/>
        </w:rPr>
      </w:pPr>
      <w:r>
        <w:rPr>
          <w:rFonts w:hint="eastAsia" w:ascii="仿宋_GB2312" w:eastAsia="仿宋_GB2312" w:cs="Times New Roman"/>
          <w:sz w:val="32"/>
          <w:szCs w:val="32"/>
        </w:rPr>
        <w:t>2.支出预、决算差异情况。</w:t>
      </w:r>
    </w:p>
    <w:p w14:paraId="070B17AB">
      <w:pPr>
        <w:spacing w:line="600" w:lineRule="exact"/>
        <w:ind w:firstLine="640" w:firstLineChars="200"/>
        <w:rPr>
          <w:rFonts w:hint="eastAsia" w:ascii="仿宋_GB2312" w:eastAsia="仿宋_GB2312" w:cs="Times New Roman"/>
          <w:sz w:val="32"/>
          <w:szCs w:val="32"/>
        </w:rPr>
      </w:pPr>
      <w:r>
        <w:rPr>
          <w:rFonts w:hint="eastAsia" w:ascii="仿宋_GB2312" w:eastAsia="仿宋_GB2312" w:cs="Times New Roman"/>
          <w:sz w:val="32"/>
          <w:szCs w:val="32"/>
        </w:rPr>
        <w:t>2024年全年预算支出共计4215.15万元，其中：基本支出3292.46万元，项目支出922.69万元。</w:t>
      </w:r>
    </w:p>
    <w:p w14:paraId="548F51D6">
      <w:pPr>
        <w:spacing w:line="600" w:lineRule="exact"/>
        <w:ind w:firstLine="640" w:firstLineChars="200"/>
        <w:rPr>
          <w:rFonts w:hint="eastAsia" w:ascii="仿宋_GB2312" w:eastAsia="仿宋_GB2312" w:cs="Times New Roman"/>
          <w:sz w:val="32"/>
          <w:szCs w:val="32"/>
        </w:rPr>
      </w:pPr>
      <w:r>
        <w:rPr>
          <w:rFonts w:hint="eastAsia" w:ascii="仿宋_GB2312" w:eastAsia="仿宋_GB2312" w:cs="Times New Roman"/>
          <w:sz w:val="32"/>
          <w:szCs w:val="32"/>
        </w:rPr>
        <w:t>2024年决算支出共计3113.81万元，其中，基本支出2918.08万元，项目支出195.73万元。</w:t>
      </w:r>
    </w:p>
    <w:p w14:paraId="4F1621E3">
      <w:pPr>
        <w:spacing w:line="600" w:lineRule="exact"/>
        <w:ind w:firstLine="640" w:firstLineChars="200"/>
        <w:rPr>
          <w:rFonts w:hint="eastAsia" w:ascii="仿宋_GB2312" w:eastAsia="仿宋_GB2312" w:cs="Times New Roman"/>
          <w:sz w:val="32"/>
          <w:szCs w:val="32"/>
        </w:rPr>
      </w:pPr>
      <w:r>
        <w:rPr>
          <w:rFonts w:hint="eastAsia" w:ascii="仿宋_GB2312" w:eastAsia="仿宋_GB2312" w:cs="Times New Roman"/>
          <w:sz w:val="32"/>
          <w:szCs w:val="32"/>
        </w:rPr>
        <w:t>支出预决算差异率为-26.13%。</w:t>
      </w:r>
    </w:p>
    <w:p w14:paraId="3CF7D422">
      <w:pPr>
        <w:spacing w:line="600" w:lineRule="exact"/>
        <w:ind w:firstLine="640" w:firstLineChars="20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五、总体评价结论</w:t>
      </w:r>
    </w:p>
    <w:p w14:paraId="7DCE47E2">
      <w:pPr>
        <w:spacing w:line="600" w:lineRule="exact"/>
        <w:ind w:firstLine="640" w:firstLineChars="200"/>
        <w:rPr>
          <w:rFonts w:hint="eastAsia" w:ascii="楷体_GB2312" w:eastAsia="楷体_GB2312"/>
          <w:sz w:val="32"/>
          <w:szCs w:val="32"/>
        </w:rPr>
      </w:pPr>
      <w:r>
        <w:rPr>
          <w:rFonts w:hint="eastAsia" w:ascii="楷体_GB2312" w:eastAsia="楷体_GB2312"/>
          <w:sz w:val="32"/>
          <w:szCs w:val="32"/>
        </w:rPr>
        <w:t>（一）评价得分情况</w:t>
      </w:r>
    </w:p>
    <w:p w14:paraId="62CC890E">
      <w:pPr>
        <w:spacing w:line="600" w:lineRule="exact"/>
        <w:ind w:firstLine="640" w:firstLineChars="200"/>
        <w:rPr>
          <w:rFonts w:hint="eastAsia" w:ascii="仿宋_GB2312" w:eastAsia="仿宋_GB2312" w:cs="Times New Roman"/>
          <w:sz w:val="32"/>
          <w:szCs w:val="32"/>
        </w:rPr>
      </w:pPr>
      <w:r>
        <w:rPr>
          <w:rFonts w:hint="eastAsia" w:ascii="仿宋_GB2312" w:eastAsia="仿宋_GB2312" w:cs="Times New Roman"/>
          <w:sz w:val="32"/>
          <w:szCs w:val="32"/>
        </w:rPr>
        <w:t>2024年度中国北京同仁堂（集团）有限责任公司所属事业单位北京医药职工大学（中国北京同仁堂（集团）有限责任公司党校）单位整体绩效评价得分为80.57分，综合评价等级为“良”，基本达到预期绩效目标。各一级指标得分情况如下：</w:t>
      </w:r>
    </w:p>
    <w:p w14:paraId="29A071D9">
      <w:pPr>
        <w:spacing w:line="600" w:lineRule="exact"/>
        <w:jc w:val="center"/>
        <w:rPr>
          <w:rFonts w:hint="eastAsia" w:ascii="黑体" w:hAnsi="黑体" w:eastAsia="黑体" w:cs="黑体"/>
          <w:sz w:val="28"/>
          <w:szCs w:val="28"/>
        </w:rPr>
      </w:pPr>
      <w:r>
        <w:rPr>
          <w:rFonts w:hint="eastAsia" w:ascii="黑体" w:hAnsi="黑体" w:eastAsia="黑体" w:cs="黑体"/>
          <w:sz w:val="28"/>
          <w:szCs w:val="28"/>
        </w:rPr>
        <w:t>2024年部门整体绩效得分情况表</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84"/>
        <w:gridCol w:w="1587"/>
        <w:gridCol w:w="1587"/>
        <w:gridCol w:w="1587"/>
      </w:tblGrid>
      <w:tr w14:paraId="6893A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2684" w:type="dxa"/>
            <w:noWrap w:val="0"/>
            <w:vAlign w:val="center"/>
          </w:tcPr>
          <w:p w14:paraId="19D894D3">
            <w:pPr>
              <w:adjustRightInd w:val="0"/>
              <w:snapToGrid w:val="0"/>
              <w:jc w:val="center"/>
              <w:rPr>
                <w:rFonts w:hint="eastAsia" w:ascii="仿宋_GB2312" w:eastAsia="仿宋_GB2312"/>
                <w:sz w:val="22"/>
                <w:szCs w:val="22"/>
              </w:rPr>
            </w:pPr>
            <w:r>
              <w:rPr>
                <w:rFonts w:hint="eastAsia" w:ascii="仿宋_GB2312" w:eastAsia="仿宋_GB2312"/>
                <w:sz w:val="22"/>
                <w:szCs w:val="22"/>
              </w:rPr>
              <w:t>一级指标</w:t>
            </w:r>
          </w:p>
        </w:tc>
        <w:tc>
          <w:tcPr>
            <w:tcW w:w="1587" w:type="dxa"/>
            <w:noWrap w:val="0"/>
            <w:vAlign w:val="center"/>
          </w:tcPr>
          <w:p w14:paraId="008E4AE5">
            <w:pPr>
              <w:adjustRightInd w:val="0"/>
              <w:snapToGrid w:val="0"/>
              <w:jc w:val="center"/>
              <w:rPr>
                <w:rFonts w:hint="eastAsia" w:ascii="仿宋_GB2312" w:eastAsia="仿宋_GB2312"/>
                <w:sz w:val="22"/>
                <w:szCs w:val="22"/>
              </w:rPr>
            </w:pPr>
            <w:r>
              <w:rPr>
                <w:rFonts w:hint="eastAsia" w:ascii="仿宋_GB2312" w:eastAsia="仿宋_GB2312"/>
                <w:sz w:val="22"/>
                <w:szCs w:val="22"/>
              </w:rPr>
              <w:t>分值</w:t>
            </w:r>
          </w:p>
        </w:tc>
        <w:tc>
          <w:tcPr>
            <w:tcW w:w="1587" w:type="dxa"/>
            <w:noWrap w:val="0"/>
            <w:vAlign w:val="center"/>
          </w:tcPr>
          <w:p w14:paraId="6A0B5B6D">
            <w:pPr>
              <w:adjustRightInd w:val="0"/>
              <w:snapToGrid w:val="0"/>
              <w:jc w:val="center"/>
              <w:rPr>
                <w:rFonts w:hint="eastAsia" w:ascii="仿宋_GB2312" w:eastAsia="仿宋_GB2312"/>
                <w:sz w:val="22"/>
                <w:szCs w:val="22"/>
              </w:rPr>
            </w:pPr>
            <w:r>
              <w:rPr>
                <w:rFonts w:hint="eastAsia" w:ascii="仿宋_GB2312" w:eastAsia="仿宋_GB2312"/>
                <w:sz w:val="22"/>
                <w:szCs w:val="22"/>
              </w:rPr>
              <w:t>得分</w:t>
            </w:r>
          </w:p>
        </w:tc>
        <w:tc>
          <w:tcPr>
            <w:tcW w:w="1587" w:type="dxa"/>
            <w:noWrap w:val="0"/>
            <w:vAlign w:val="center"/>
          </w:tcPr>
          <w:p w14:paraId="410F1E92">
            <w:pPr>
              <w:adjustRightInd w:val="0"/>
              <w:snapToGrid w:val="0"/>
              <w:jc w:val="center"/>
              <w:rPr>
                <w:rFonts w:hint="eastAsia" w:ascii="仿宋_GB2312" w:eastAsia="仿宋_GB2312"/>
                <w:sz w:val="22"/>
                <w:szCs w:val="22"/>
              </w:rPr>
            </w:pPr>
            <w:r>
              <w:rPr>
                <w:rFonts w:hint="eastAsia" w:ascii="仿宋_GB2312" w:eastAsia="仿宋_GB2312"/>
                <w:sz w:val="22"/>
                <w:szCs w:val="22"/>
              </w:rPr>
              <w:t>得分率</w:t>
            </w:r>
          </w:p>
        </w:tc>
      </w:tr>
      <w:tr w14:paraId="5A38E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84" w:type="dxa"/>
            <w:noWrap w:val="0"/>
            <w:vAlign w:val="center"/>
          </w:tcPr>
          <w:p w14:paraId="4584F7DD">
            <w:pPr>
              <w:adjustRightInd w:val="0"/>
              <w:snapToGrid w:val="0"/>
              <w:jc w:val="center"/>
              <w:rPr>
                <w:rFonts w:hint="eastAsia" w:ascii="仿宋_GB2312" w:eastAsia="仿宋_GB2312"/>
                <w:sz w:val="22"/>
                <w:szCs w:val="22"/>
              </w:rPr>
            </w:pPr>
            <w:r>
              <w:rPr>
                <w:rFonts w:hint="eastAsia" w:ascii="仿宋_GB2312" w:eastAsia="仿宋_GB2312"/>
                <w:sz w:val="22"/>
                <w:szCs w:val="22"/>
              </w:rPr>
              <w:t>当年预算执行情况</w:t>
            </w:r>
          </w:p>
        </w:tc>
        <w:tc>
          <w:tcPr>
            <w:tcW w:w="1587" w:type="dxa"/>
            <w:noWrap w:val="0"/>
            <w:vAlign w:val="center"/>
          </w:tcPr>
          <w:p w14:paraId="0B02A3EA">
            <w:pPr>
              <w:adjustRightInd w:val="0"/>
              <w:snapToGrid w:val="0"/>
              <w:jc w:val="center"/>
              <w:rPr>
                <w:rFonts w:hint="eastAsia" w:ascii="仿宋_GB2312" w:eastAsia="仿宋_GB2312"/>
                <w:sz w:val="22"/>
                <w:szCs w:val="22"/>
              </w:rPr>
            </w:pPr>
            <w:r>
              <w:rPr>
                <w:rFonts w:hint="eastAsia" w:ascii="仿宋_GB2312" w:eastAsia="仿宋_GB2312"/>
                <w:sz w:val="22"/>
                <w:szCs w:val="22"/>
              </w:rPr>
              <w:t>20</w:t>
            </w:r>
          </w:p>
        </w:tc>
        <w:tc>
          <w:tcPr>
            <w:tcW w:w="1587" w:type="dxa"/>
            <w:noWrap w:val="0"/>
            <w:vAlign w:val="center"/>
          </w:tcPr>
          <w:p w14:paraId="1C890C2F">
            <w:pPr>
              <w:adjustRightInd w:val="0"/>
              <w:snapToGrid w:val="0"/>
              <w:jc w:val="center"/>
              <w:rPr>
                <w:rFonts w:ascii="仿宋_GB2312" w:eastAsia="仿宋_GB2312"/>
                <w:sz w:val="22"/>
                <w:szCs w:val="22"/>
              </w:rPr>
            </w:pPr>
            <w:r>
              <w:rPr>
                <w:rFonts w:hint="eastAsia" w:ascii="仿宋_GB2312" w:eastAsia="仿宋_GB2312"/>
                <w:sz w:val="22"/>
                <w:szCs w:val="22"/>
              </w:rPr>
              <w:t>14.77</w:t>
            </w:r>
          </w:p>
        </w:tc>
        <w:tc>
          <w:tcPr>
            <w:tcW w:w="1587" w:type="dxa"/>
            <w:noWrap w:val="0"/>
            <w:vAlign w:val="center"/>
          </w:tcPr>
          <w:p w14:paraId="3ADEED22">
            <w:pPr>
              <w:adjustRightInd w:val="0"/>
              <w:snapToGrid w:val="0"/>
              <w:jc w:val="center"/>
              <w:rPr>
                <w:rFonts w:hint="eastAsia" w:ascii="仿宋_GB2312" w:eastAsia="仿宋_GB2312"/>
                <w:sz w:val="22"/>
                <w:szCs w:val="22"/>
              </w:rPr>
            </w:pPr>
            <w:r>
              <w:rPr>
                <w:rFonts w:hint="eastAsia" w:ascii="仿宋_GB2312" w:eastAsia="仿宋_GB2312"/>
                <w:sz w:val="22"/>
                <w:szCs w:val="22"/>
              </w:rPr>
              <w:t>73.87%</w:t>
            </w:r>
          </w:p>
        </w:tc>
      </w:tr>
      <w:tr w14:paraId="42F07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84" w:type="dxa"/>
            <w:noWrap w:val="0"/>
            <w:vAlign w:val="center"/>
          </w:tcPr>
          <w:p w14:paraId="7991DAD6">
            <w:pPr>
              <w:adjustRightInd w:val="0"/>
              <w:snapToGrid w:val="0"/>
              <w:jc w:val="center"/>
              <w:rPr>
                <w:rFonts w:hint="eastAsia" w:ascii="仿宋_GB2312" w:eastAsia="仿宋_GB2312"/>
                <w:sz w:val="22"/>
                <w:szCs w:val="22"/>
              </w:rPr>
            </w:pPr>
            <w:r>
              <w:rPr>
                <w:rFonts w:hint="eastAsia" w:ascii="仿宋_GB2312" w:eastAsia="仿宋_GB2312"/>
                <w:sz w:val="22"/>
                <w:szCs w:val="22"/>
              </w:rPr>
              <w:t>整体绩效目标实现情况</w:t>
            </w:r>
          </w:p>
        </w:tc>
        <w:tc>
          <w:tcPr>
            <w:tcW w:w="1587" w:type="dxa"/>
            <w:noWrap w:val="0"/>
            <w:vAlign w:val="center"/>
          </w:tcPr>
          <w:p w14:paraId="60DA7D5B">
            <w:pPr>
              <w:adjustRightInd w:val="0"/>
              <w:snapToGrid w:val="0"/>
              <w:jc w:val="center"/>
              <w:rPr>
                <w:rFonts w:hint="eastAsia" w:ascii="仿宋_GB2312" w:eastAsia="仿宋_GB2312"/>
                <w:sz w:val="22"/>
                <w:szCs w:val="22"/>
              </w:rPr>
            </w:pPr>
            <w:r>
              <w:rPr>
                <w:rFonts w:hint="eastAsia" w:ascii="仿宋_GB2312" w:eastAsia="仿宋_GB2312"/>
                <w:sz w:val="22"/>
                <w:szCs w:val="22"/>
              </w:rPr>
              <w:t>60</w:t>
            </w:r>
          </w:p>
        </w:tc>
        <w:tc>
          <w:tcPr>
            <w:tcW w:w="1587" w:type="dxa"/>
            <w:noWrap w:val="0"/>
            <w:vAlign w:val="center"/>
          </w:tcPr>
          <w:p w14:paraId="63644062">
            <w:pPr>
              <w:adjustRightInd w:val="0"/>
              <w:snapToGrid w:val="0"/>
              <w:jc w:val="center"/>
              <w:rPr>
                <w:rFonts w:hint="eastAsia" w:ascii="仿宋_GB2312" w:eastAsia="仿宋_GB2312"/>
                <w:sz w:val="22"/>
                <w:szCs w:val="22"/>
              </w:rPr>
            </w:pPr>
            <w:r>
              <w:rPr>
                <w:rFonts w:hint="eastAsia" w:ascii="仿宋_GB2312" w:eastAsia="仿宋_GB2312"/>
                <w:sz w:val="22"/>
                <w:szCs w:val="22"/>
              </w:rPr>
              <w:t>51.00</w:t>
            </w:r>
          </w:p>
        </w:tc>
        <w:tc>
          <w:tcPr>
            <w:tcW w:w="1587" w:type="dxa"/>
            <w:noWrap w:val="0"/>
            <w:vAlign w:val="center"/>
          </w:tcPr>
          <w:p w14:paraId="58DE1F94">
            <w:pPr>
              <w:adjustRightInd w:val="0"/>
              <w:snapToGrid w:val="0"/>
              <w:jc w:val="center"/>
              <w:rPr>
                <w:rFonts w:hint="eastAsia" w:ascii="仿宋_GB2312" w:eastAsia="仿宋_GB2312"/>
                <w:sz w:val="22"/>
                <w:szCs w:val="22"/>
              </w:rPr>
            </w:pPr>
            <w:r>
              <w:rPr>
                <w:rFonts w:hint="eastAsia" w:ascii="仿宋_GB2312" w:eastAsia="仿宋_GB2312"/>
                <w:sz w:val="22"/>
                <w:szCs w:val="22"/>
              </w:rPr>
              <w:t>85.00%</w:t>
            </w:r>
          </w:p>
        </w:tc>
      </w:tr>
      <w:tr w14:paraId="241C2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84" w:type="dxa"/>
            <w:noWrap w:val="0"/>
            <w:vAlign w:val="center"/>
          </w:tcPr>
          <w:p w14:paraId="224FE7B5">
            <w:pPr>
              <w:adjustRightInd w:val="0"/>
              <w:snapToGrid w:val="0"/>
              <w:jc w:val="center"/>
              <w:rPr>
                <w:rFonts w:hint="eastAsia" w:ascii="仿宋_GB2312" w:eastAsia="仿宋_GB2312"/>
                <w:sz w:val="22"/>
                <w:szCs w:val="22"/>
              </w:rPr>
            </w:pPr>
            <w:r>
              <w:rPr>
                <w:rFonts w:hint="eastAsia" w:ascii="仿宋_GB2312" w:eastAsia="仿宋_GB2312"/>
                <w:sz w:val="22"/>
                <w:szCs w:val="22"/>
              </w:rPr>
              <w:t>预算管理情况</w:t>
            </w:r>
          </w:p>
        </w:tc>
        <w:tc>
          <w:tcPr>
            <w:tcW w:w="1587" w:type="dxa"/>
            <w:noWrap w:val="0"/>
            <w:vAlign w:val="center"/>
          </w:tcPr>
          <w:p w14:paraId="6D1C5EF6">
            <w:pPr>
              <w:adjustRightInd w:val="0"/>
              <w:snapToGrid w:val="0"/>
              <w:jc w:val="center"/>
              <w:rPr>
                <w:rFonts w:hint="eastAsia" w:ascii="仿宋_GB2312" w:eastAsia="仿宋_GB2312"/>
                <w:sz w:val="22"/>
                <w:szCs w:val="22"/>
              </w:rPr>
            </w:pPr>
            <w:r>
              <w:rPr>
                <w:rFonts w:hint="eastAsia" w:ascii="仿宋_GB2312" w:eastAsia="仿宋_GB2312"/>
                <w:sz w:val="22"/>
                <w:szCs w:val="22"/>
              </w:rPr>
              <w:t>20</w:t>
            </w:r>
          </w:p>
        </w:tc>
        <w:tc>
          <w:tcPr>
            <w:tcW w:w="1587" w:type="dxa"/>
            <w:noWrap w:val="0"/>
            <w:vAlign w:val="center"/>
          </w:tcPr>
          <w:p w14:paraId="4EDF1B22">
            <w:pPr>
              <w:adjustRightInd w:val="0"/>
              <w:snapToGrid w:val="0"/>
              <w:jc w:val="center"/>
              <w:rPr>
                <w:rFonts w:ascii="仿宋_GB2312" w:eastAsia="仿宋_GB2312"/>
                <w:sz w:val="22"/>
                <w:szCs w:val="22"/>
              </w:rPr>
            </w:pPr>
            <w:r>
              <w:rPr>
                <w:rFonts w:hint="eastAsia" w:ascii="仿宋_GB2312" w:eastAsia="仿宋_GB2312"/>
                <w:sz w:val="22"/>
                <w:szCs w:val="22"/>
              </w:rPr>
              <w:t>14.80</w:t>
            </w:r>
          </w:p>
        </w:tc>
        <w:tc>
          <w:tcPr>
            <w:tcW w:w="1587" w:type="dxa"/>
            <w:noWrap w:val="0"/>
            <w:vAlign w:val="center"/>
          </w:tcPr>
          <w:p w14:paraId="09ED9169">
            <w:pPr>
              <w:adjustRightInd w:val="0"/>
              <w:snapToGrid w:val="0"/>
              <w:jc w:val="center"/>
              <w:rPr>
                <w:rFonts w:hint="eastAsia" w:ascii="仿宋_GB2312" w:eastAsia="仿宋_GB2312"/>
                <w:sz w:val="22"/>
                <w:szCs w:val="22"/>
              </w:rPr>
            </w:pPr>
            <w:r>
              <w:rPr>
                <w:rFonts w:hint="eastAsia" w:ascii="仿宋_GB2312" w:eastAsia="仿宋_GB2312"/>
                <w:sz w:val="22"/>
                <w:szCs w:val="22"/>
              </w:rPr>
              <w:t>74.00%</w:t>
            </w:r>
          </w:p>
        </w:tc>
      </w:tr>
      <w:tr w14:paraId="3BF81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84" w:type="dxa"/>
            <w:noWrap w:val="0"/>
            <w:vAlign w:val="center"/>
          </w:tcPr>
          <w:p w14:paraId="7ED3ED9C">
            <w:pPr>
              <w:adjustRightInd w:val="0"/>
              <w:snapToGrid w:val="0"/>
              <w:jc w:val="center"/>
              <w:rPr>
                <w:rFonts w:hint="eastAsia" w:ascii="仿宋_GB2312" w:eastAsia="仿宋_GB2312"/>
                <w:sz w:val="22"/>
                <w:szCs w:val="22"/>
              </w:rPr>
            </w:pPr>
            <w:r>
              <w:rPr>
                <w:rFonts w:hint="eastAsia" w:ascii="仿宋_GB2312" w:eastAsia="仿宋_GB2312"/>
                <w:sz w:val="22"/>
                <w:szCs w:val="22"/>
              </w:rPr>
              <w:t>合    计</w:t>
            </w:r>
          </w:p>
        </w:tc>
        <w:tc>
          <w:tcPr>
            <w:tcW w:w="1587" w:type="dxa"/>
            <w:noWrap w:val="0"/>
            <w:vAlign w:val="center"/>
          </w:tcPr>
          <w:p w14:paraId="75285E97">
            <w:pPr>
              <w:adjustRightInd w:val="0"/>
              <w:snapToGrid w:val="0"/>
              <w:jc w:val="center"/>
              <w:rPr>
                <w:rFonts w:hint="eastAsia" w:ascii="仿宋_GB2312" w:eastAsia="仿宋_GB2312"/>
                <w:sz w:val="22"/>
                <w:szCs w:val="22"/>
              </w:rPr>
            </w:pPr>
            <w:r>
              <w:rPr>
                <w:rFonts w:hint="eastAsia" w:ascii="仿宋_GB2312" w:eastAsia="仿宋_GB2312"/>
                <w:sz w:val="22"/>
                <w:szCs w:val="22"/>
              </w:rPr>
              <w:t>100</w:t>
            </w:r>
          </w:p>
        </w:tc>
        <w:tc>
          <w:tcPr>
            <w:tcW w:w="1587" w:type="dxa"/>
            <w:noWrap w:val="0"/>
            <w:vAlign w:val="center"/>
          </w:tcPr>
          <w:p w14:paraId="0844A7B7">
            <w:pPr>
              <w:adjustRightInd w:val="0"/>
              <w:snapToGrid w:val="0"/>
              <w:jc w:val="center"/>
              <w:rPr>
                <w:rFonts w:ascii="仿宋_GB2312" w:eastAsia="仿宋_GB2312"/>
                <w:sz w:val="22"/>
                <w:szCs w:val="22"/>
              </w:rPr>
            </w:pPr>
            <w:r>
              <w:rPr>
                <w:rFonts w:hint="eastAsia" w:ascii="仿宋_GB2312" w:eastAsia="仿宋_GB2312"/>
                <w:sz w:val="22"/>
                <w:szCs w:val="22"/>
              </w:rPr>
              <w:t>80.57</w:t>
            </w:r>
          </w:p>
        </w:tc>
        <w:tc>
          <w:tcPr>
            <w:tcW w:w="1587" w:type="dxa"/>
            <w:noWrap w:val="0"/>
            <w:vAlign w:val="center"/>
          </w:tcPr>
          <w:p w14:paraId="3C792AF2">
            <w:pPr>
              <w:adjustRightInd w:val="0"/>
              <w:snapToGrid w:val="0"/>
              <w:jc w:val="center"/>
              <w:rPr>
                <w:rFonts w:hint="eastAsia" w:ascii="仿宋_GB2312" w:eastAsia="仿宋_GB2312"/>
                <w:sz w:val="22"/>
                <w:szCs w:val="22"/>
              </w:rPr>
            </w:pPr>
            <w:r>
              <w:rPr>
                <w:rFonts w:hint="eastAsia" w:ascii="仿宋_GB2312" w:eastAsia="仿宋_GB2312"/>
                <w:sz w:val="22"/>
                <w:szCs w:val="22"/>
              </w:rPr>
              <w:t>80.57%</w:t>
            </w:r>
          </w:p>
        </w:tc>
      </w:tr>
    </w:tbl>
    <w:p w14:paraId="58F70F2B">
      <w:pPr>
        <w:spacing w:line="600" w:lineRule="exact"/>
        <w:ind w:firstLine="640" w:firstLineChars="200"/>
        <w:rPr>
          <w:rFonts w:hint="eastAsia" w:ascii="楷体_GB2312" w:eastAsia="楷体_GB2312"/>
          <w:sz w:val="32"/>
          <w:szCs w:val="32"/>
        </w:rPr>
      </w:pPr>
      <w:r>
        <w:rPr>
          <w:rFonts w:hint="eastAsia" w:ascii="楷体_GB2312" w:eastAsia="楷体_GB2312"/>
          <w:sz w:val="32"/>
          <w:szCs w:val="32"/>
        </w:rPr>
        <w:t>（二）存在的问题及原因分析</w:t>
      </w:r>
    </w:p>
    <w:p w14:paraId="6E0239AC">
      <w:pPr>
        <w:spacing w:line="600" w:lineRule="exact"/>
        <w:ind w:firstLine="640" w:firstLineChars="200"/>
        <w:rPr>
          <w:rFonts w:hint="eastAsia" w:ascii="仿宋_GB2312" w:eastAsia="仿宋_GB2312" w:cs="Times New Roman"/>
          <w:sz w:val="32"/>
          <w:szCs w:val="32"/>
        </w:rPr>
      </w:pPr>
      <w:r>
        <w:rPr>
          <w:rFonts w:hint="eastAsia" w:ascii="仿宋_GB2312" w:eastAsia="仿宋_GB2312" w:cs="Times New Roman"/>
          <w:sz w:val="32"/>
          <w:szCs w:val="32"/>
        </w:rPr>
        <w:t>1.全面实施绩效管理认识重视不够。一是花钱必问效的理念尚未牢固树立，学校有些部室还缺乏讲求绩效的行动自觉，不注重绩和效的结果，预算和绩效融合不够。二是财务部门和业务部门之间绩效管理“业财”配合不佳，绩效管理工作重心落向财务部门，业务部门参与度明显不足。</w:t>
      </w:r>
    </w:p>
    <w:p w14:paraId="45E9ABAA">
      <w:pPr>
        <w:spacing w:line="600" w:lineRule="exact"/>
        <w:ind w:firstLine="640" w:firstLineChars="200"/>
        <w:rPr>
          <w:rFonts w:hint="eastAsia" w:ascii="仿宋_GB2312" w:eastAsia="仿宋_GB2312" w:cs="Times New Roman"/>
          <w:sz w:val="32"/>
          <w:szCs w:val="32"/>
        </w:rPr>
      </w:pPr>
      <w:r>
        <w:rPr>
          <w:rFonts w:hint="eastAsia" w:ascii="仿宋_GB2312" w:eastAsia="仿宋_GB2312" w:cs="Times New Roman"/>
          <w:sz w:val="32"/>
          <w:szCs w:val="32"/>
        </w:rPr>
        <w:t>问题成因：一是预算绩效管理作为一种管理理念和方法，实践时间不长，学校对预算绩效管理的认识不充分，尤其是对“效”的理解不够。二是操作流程和考核激励制度还有不完善之处，对于绩效评价落地实操流程不清晰，责任难落实，同时考核部门未把绩效管理有机嵌入考核体系内容中，绩效主体责任压实不够。</w:t>
      </w:r>
    </w:p>
    <w:p w14:paraId="7D9E91DE">
      <w:pPr>
        <w:spacing w:line="600" w:lineRule="exact"/>
        <w:ind w:firstLine="640" w:firstLineChars="200"/>
        <w:rPr>
          <w:rFonts w:hint="eastAsia" w:ascii="仿宋_GB2312" w:eastAsia="仿宋_GB2312" w:cs="Times New Roman"/>
          <w:sz w:val="32"/>
          <w:szCs w:val="32"/>
        </w:rPr>
      </w:pPr>
      <w:r>
        <w:rPr>
          <w:rFonts w:hint="eastAsia" w:ascii="仿宋_GB2312" w:eastAsia="仿宋_GB2312" w:cs="Times New Roman"/>
          <w:sz w:val="32"/>
          <w:szCs w:val="32"/>
        </w:rPr>
        <w:t>2.绩效管理的广度和深度不足。一是预算绩效目标设置、运行监控、绩效评价及结果应用管理亟需强化，对于资金管理的全过程支撑作用不够。二是虽然制定出台了相关预算绩效管理的制度办法，但在实务操作过程中，绩效评价的人员配置和专业水平仍有欠缺，评价能力和短板还比较突出，对于专业度、复杂度高的项目难以深入挖掘绩效存在的问题。</w:t>
      </w:r>
    </w:p>
    <w:p w14:paraId="0E5E123A">
      <w:pPr>
        <w:spacing w:line="600" w:lineRule="exact"/>
        <w:ind w:firstLine="640" w:firstLineChars="200"/>
        <w:rPr>
          <w:rFonts w:hint="eastAsia" w:ascii="仿宋_GB2312" w:eastAsia="仿宋_GB2312" w:cs="Times New Roman"/>
          <w:sz w:val="32"/>
          <w:szCs w:val="32"/>
        </w:rPr>
      </w:pPr>
      <w:r>
        <w:rPr>
          <w:rFonts w:hint="eastAsia" w:ascii="仿宋_GB2312" w:eastAsia="仿宋_GB2312" w:cs="Times New Roman"/>
          <w:sz w:val="32"/>
          <w:szCs w:val="32"/>
        </w:rPr>
        <w:t>问题成因：一是目前学校预算绩效管理正处于难度较大的爬坡阶段，绩效管理科室设置不完善，人员配备较少，牵头、指导、监督等作用发挥受限，同时也没有将绩效管理与专项检查等多种形式有机结合形成合力作用。二是缺乏外部专业团队的指导和交流，外部专业机构参与绩效评价的工作机制和专家咨询机制都在探索磨合过程中。</w:t>
      </w:r>
    </w:p>
    <w:p w14:paraId="018F6F01">
      <w:pPr>
        <w:spacing w:line="600" w:lineRule="exact"/>
        <w:ind w:firstLine="640" w:firstLineChars="200"/>
        <w:rPr>
          <w:rFonts w:hint="eastAsia" w:ascii="仿宋_GB2312" w:eastAsia="仿宋_GB2312" w:cs="Times New Roman"/>
          <w:sz w:val="32"/>
          <w:szCs w:val="32"/>
        </w:rPr>
      </w:pPr>
      <w:r>
        <w:rPr>
          <w:rFonts w:hint="eastAsia" w:ascii="仿宋_GB2312" w:eastAsia="仿宋_GB2312" w:cs="Times New Roman"/>
          <w:sz w:val="32"/>
          <w:szCs w:val="32"/>
        </w:rPr>
        <w:t>3.绩效评价体系设置不够系统科学。一是部分绩效评价指标与绩效目标不尽匹配，有的绩效目标设置不切实际，有的绩效指标没有完整涵盖绩效目标，造成实际完成值与目标值差距大。二是部分绩效指标设置存在个性指标弱化，共性指标固化虚化，权重设置不科学，指标笼统不具体，定性指标不可衡量，数据不易获得，指标与项目关联性不强，没有突出问题导向，不利于实现绩效评价的准确性和效率性。三是部分绩效评价指标权重分值设置不合理，且未根据评价对象所处的阶段进行优化调整，造成绩效评价结果导向不鲜明，后续应用价值打折扣。</w:t>
      </w:r>
    </w:p>
    <w:p w14:paraId="73F81A41">
      <w:pPr>
        <w:spacing w:line="600" w:lineRule="exact"/>
        <w:ind w:firstLine="640" w:firstLineChars="200"/>
        <w:rPr>
          <w:rFonts w:hint="eastAsia" w:ascii="仿宋_GB2312" w:eastAsia="仿宋_GB2312" w:cs="Times New Roman"/>
          <w:sz w:val="32"/>
          <w:szCs w:val="32"/>
        </w:rPr>
      </w:pPr>
      <w:r>
        <w:rPr>
          <w:rFonts w:hint="eastAsia" w:ascii="仿宋_GB2312" w:eastAsia="仿宋_GB2312" w:cs="Times New Roman"/>
          <w:sz w:val="32"/>
          <w:szCs w:val="32"/>
        </w:rPr>
        <w:t>问题成因：一是部分绩效目标设置存在源头缺陷，项目实施的可行性、必要性论证不充分，项目绩效目标不够明确或难以有效衡量，在编制绩效目标时业务部门参与度低，影响绩效目标的科学性和合理性。二是绩效指标库建设有待进一步完善，对分项目、分类别绩效管理规范的深入研究仍在路上，绩效指标的设立在理论与实务衔接上不够紧密。</w:t>
      </w:r>
    </w:p>
    <w:p w14:paraId="10993ED8">
      <w:pPr>
        <w:spacing w:line="600" w:lineRule="exact"/>
        <w:ind w:firstLine="640" w:firstLineChars="20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六、措施建议</w:t>
      </w:r>
    </w:p>
    <w:p w14:paraId="621BC5A8">
      <w:pPr>
        <w:spacing w:line="600" w:lineRule="exact"/>
        <w:ind w:firstLine="640" w:firstLineChars="200"/>
        <w:rPr>
          <w:rFonts w:hint="eastAsia" w:ascii="仿宋_GB2312" w:eastAsia="仿宋_GB2312"/>
          <w:sz w:val="32"/>
          <w:szCs w:val="32"/>
        </w:rPr>
      </w:pPr>
      <w:r>
        <w:rPr>
          <w:rFonts w:hint="eastAsia" w:ascii="仿宋_GB2312" w:eastAsia="仿宋_GB2312" w:cs="Times New Roman"/>
          <w:sz w:val="32"/>
          <w:szCs w:val="32"/>
        </w:rPr>
        <w:t>医药职工大学（党校）将进一步充分认识新形势下规范绩效管理的极端重要性，切实落实主体责任，坚持党的领导、坚持绩效导向、坚持底线思维，不断加强财务管理和监督，提高资金使用效益。</w:t>
      </w:r>
    </w:p>
    <w:p w14:paraId="31E001E6">
      <w:pPr>
        <w:spacing w:line="600" w:lineRule="exact"/>
        <w:ind w:firstLine="640" w:firstLineChars="200"/>
        <w:rPr>
          <w:rFonts w:hint="eastAsia" w:ascii="楷体_GB2312" w:eastAsia="楷体_GB2312"/>
          <w:sz w:val="32"/>
          <w:szCs w:val="32"/>
        </w:rPr>
      </w:pPr>
      <w:r>
        <w:rPr>
          <w:rFonts w:hint="eastAsia" w:ascii="楷体_GB2312" w:eastAsia="楷体_GB2312"/>
          <w:sz w:val="32"/>
          <w:szCs w:val="32"/>
        </w:rPr>
        <w:t>（一）深入推进，全面提升绩效管理理念。</w:t>
      </w:r>
    </w:p>
    <w:p w14:paraId="48CFA4CB">
      <w:pPr>
        <w:spacing w:line="600" w:lineRule="exact"/>
        <w:ind w:firstLine="640" w:firstLineChars="200"/>
        <w:rPr>
          <w:rFonts w:hint="eastAsia" w:ascii="仿宋_GB2312" w:eastAsia="仿宋_GB2312" w:cs="Times New Roman"/>
          <w:sz w:val="32"/>
          <w:szCs w:val="32"/>
        </w:rPr>
      </w:pPr>
      <w:r>
        <w:rPr>
          <w:rFonts w:hint="eastAsia" w:ascii="仿宋_GB2312" w:eastAsia="仿宋_GB2312" w:cs="Times New Roman"/>
          <w:sz w:val="32"/>
          <w:szCs w:val="32"/>
        </w:rPr>
        <w:t>一是加大宣传培训,充分利用多种渠道加强宣传引导，进一步提升干部职工对预算绩效管理科学性，以及预算绩效管理对优化资源配置、提高教学、培训服务质量重大意义的认识，加强预算绩效管理培训，着重强化部室负责人责任担当意识，推动业务部门和财务部门的工作融合。二是不断规范绩效评价操作流程，强化绩效评价工作指引，实现预算绩效管理各环节有章可循。三是优化考核内容，探索将预算绩效管理纳入干部考核体系，将考核结果作为工作考评、选拔任用、评优表彰等的重要参考，有效提高业务部门对绩效管理工作的重视度和自觉性。</w:t>
      </w:r>
    </w:p>
    <w:p w14:paraId="41702744">
      <w:pPr>
        <w:spacing w:line="600" w:lineRule="exact"/>
        <w:ind w:firstLine="640" w:firstLineChars="200"/>
        <w:rPr>
          <w:rFonts w:hint="eastAsia" w:ascii="楷体_GB2312" w:eastAsia="楷体_GB2312"/>
          <w:sz w:val="32"/>
          <w:szCs w:val="32"/>
        </w:rPr>
      </w:pPr>
      <w:r>
        <w:rPr>
          <w:rFonts w:hint="eastAsia" w:ascii="楷体_GB2312" w:eastAsia="楷体_GB2312"/>
          <w:sz w:val="32"/>
          <w:szCs w:val="32"/>
        </w:rPr>
        <w:t>（二）强化</w:t>
      </w:r>
      <w:r>
        <w:rPr>
          <w:rFonts w:hint="eastAsia" w:ascii="楷体_GB2312" w:eastAsia="楷体_GB2312"/>
          <w:sz w:val="32"/>
          <w:szCs w:val="32"/>
          <w:lang w:eastAsia="zh-CN"/>
        </w:rPr>
        <w:t>学习</w:t>
      </w:r>
      <w:r>
        <w:rPr>
          <w:rFonts w:hint="eastAsia" w:ascii="楷体_GB2312" w:eastAsia="楷体_GB2312"/>
          <w:sz w:val="32"/>
          <w:szCs w:val="32"/>
        </w:rPr>
        <w:t>，拓展绩效管理广度深度。</w:t>
      </w:r>
    </w:p>
    <w:p w14:paraId="59E96B94">
      <w:pPr>
        <w:spacing w:line="600" w:lineRule="exact"/>
        <w:ind w:firstLine="640" w:firstLineChars="200"/>
        <w:rPr>
          <w:rFonts w:hint="eastAsia" w:ascii="仿宋_GB2312" w:eastAsia="仿宋_GB2312" w:cs="Times New Roman"/>
          <w:sz w:val="32"/>
          <w:szCs w:val="32"/>
        </w:rPr>
      </w:pPr>
      <w:r>
        <w:rPr>
          <w:rFonts w:hint="eastAsia" w:ascii="仿宋_GB2312" w:eastAsia="仿宋_GB2312" w:cs="Times New Roman"/>
          <w:sz w:val="32"/>
          <w:szCs w:val="32"/>
        </w:rPr>
        <w:t>一是坚持问题导向，加强统筹，补齐短板，在预算管理各环节全过程嵌入绩效管理,实现横向对接所有业务部门。二是探索引进第三方机构开展实施评价，过程中做好</w:t>
      </w:r>
      <w:r>
        <w:rPr>
          <w:rFonts w:hint="eastAsia" w:ascii="仿宋_GB2312" w:eastAsia="仿宋_GB2312" w:cs="Times New Roman"/>
          <w:sz w:val="32"/>
          <w:szCs w:val="32"/>
          <w:lang w:eastAsia="zh-CN"/>
        </w:rPr>
        <w:t>交流学习</w:t>
      </w:r>
      <w:r>
        <w:rPr>
          <w:rFonts w:hint="eastAsia" w:ascii="仿宋_GB2312" w:eastAsia="仿宋_GB2312" w:cs="Times New Roman"/>
          <w:sz w:val="32"/>
          <w:szCs w:val="32"/>
        </w:rPr>
        <w:t>和跟踪管理，推动绩效管理向纵深发展。</w:t>
      </w:r>
    </w:p>
    <w:p w14:paraId="5277AE3D">
      <w:pPr>
        <w:spacing w:line="600" w:lineRule="exact"/>
        <w:ind w:firstLine="640" w:firstLineChars="200"/>
        <w:rPr>
          <w:rFonts w:hint="eastAsia" w:ascii="楷体_GB2312" w:eastAsia="楷体_GB2312"/>
          <w:sz w:val="32"/>
          <w:szCs w:val="32"/>
        </w:rPr>
      </w:pPr>
      <w:r>
        <w:rPr>
          <w:rFonts w:hint="eastAsia" w:ascii="楷体_GB2312" w:eastAsia="楷体_GB2312"/>
          <w:sz w:val="32"/>
          <w:szCs w:val="32"/>
        </w:rPr>
        <w:t>（三）筑牢基础，系统科学设置绩效体系。</w:t>
      </w:r>
    </w:p>
    <w:p w14:paraId="50E74EE4">
      <w:pPr>
        <w:spacing w:line="600" w:lineRule="exact"/>
        <w:ind w:firstLine="640" w:firstLineChars="200"/>
        <w:rPr>
          <w:rFonts w:hint="eastAsia" w:ascii="仿宋_GB2312" w:eastAsia="仿宋_GB2312" w:cs="Times New Roman"/>
          <w:sz w:val="32"/>
          <w:szCs w:val="32"/>
        </w:rPr>
      </w:pPr>
      <w:r>
        <w:rPr>
          <w:rFonts w:hint="eastAsia" w:ascii="仿宋_GB2312" w:eastAsia="仿宋_GB2312" w:cs="Times New Roman"/>
          <w:sz w:val="32"/>
          <w:szCs w:val="32"/>
        </w:rPr>
        <w:t>一是进一步建立健全绩效目标设置和绩效评价体系，优化完善分项目、分类别绩效评价标准，促进绩效评价管理水平的不断提升。二是建立健全项目库，充分做好项目前期准备工作，强化项目可行性、必要性论证，设置科学的绩效目标，重点项目入库前必须开展事前绩效评估，没有纳入项目库的项目一律不得安排资金。三是压实绩效管理责任，明确各部室职责分工，严格履行主体职责，加强部室协作，建立规范有效的绩效运行监控机制，多措并举强化对项目的监测，确保资金使用无偏离，项目建设保质量。</w:t>
      </w:r>
    </w:p>
    <w:p w14:paraId="4DBE7B55">
      <w:pPr>
        <w:spacing w:line="600" w:lineRule="exact"/>
        <w:ind w:firstLine="640" w:firstLineChars="200"/>
        <w:rPr>
          <w:rFonts w:hint="eastAsia" w:ascii="楷体_GB2312" w:eastAsia="楷体_GB2312"/>
          <w:sz w:val="32"/>
          <w:szCs w:val="32"/>
        </w:rPr>
      </w:pPr>
      <w:r>
        <w:rPr>
          <w:rFonts w:hint="eastAsia" w:ascii="楷体_GB2312" w:eastAsia="楷体_GB2312"/>
          <w:sz w:val="32"/>
          <w:szCs w:val="32"/>
        </w:rPr>
        <w:t>（四）创新方法，加强预算绩效信息集成。</w:t>
      </w:r>
    </w:p>
    <w:p w14:paraId="6F232F0D">
      <w:pPr>
        <w:spacing w:line="600" w:lineRule="exact"/>
        <w:ind w:firstLine="640" w:firstLineChars="200"/>
        <w:rPr>
          <w:rFonts w:hint="eastAsia" w:ascii="仿宋_GB2312" w:eastAsia="仿宋_GB2312" w:cs="Times New Roman"/>
          <w:sz w:val="32"/>
          <w:szCs w:val="32"/>
        </w:rPr>
      </w:pPr>
      <w:r>
        <w:rPr>
          <w:rFonts w:hint="eastAsia" w:ascii="仿宋_GB2312" w:eastAsia="仿宋_GB2312" w:cs="Times New Roman"/>
          <w:sz w:val="32"/>
          <w:szCs w:val="32"/>
        </w:rPr>
        <w:t>有效运用财政预算一体化系统，同时结合学校实际主动研发信息系统，从预算编制、预算执行、绩效管理等各个环节加强对绩效目标实现程度的动态监控和反馈，做到全过程、全覆盖、全流程管理，确保提升资源配置效率和财政资金使用效益。</w:t>
      </w:r>
    </w:p>
    <w:p w14:paraId="09980191">
      <w:pPr>
        <w:spacing w:line="600" w:lineRule="exact"/>
        <w:ind w:firstLine="640" w:firstLineChars="200"/>
        <w:rPr>
          <w:rFonts w:hint="eastAsia" w:ascii="楷体_GB2312" w:eastAsia="楷体_GB2312"/>
          <w:sz w:val="32"/>
          <w:szCs w:val="32"/>
        </w:rPr>
      </w:pPr>
      <w:r>
        <w:rPr>
          <w:rFonts w:hint="eastAsia" w:ascii="楷体_GB2312" w:eastAsia="楷体_GB2312"/>
          <w:sz w:val="32"/>
          <w:szCs w:val="32"/>
        </w:rPr>
        <w:t>（五）完善机制，强化预算绩效责任约束。</w:t>
      </w:r>
    </w:p>
    <w:p w14:paraId="7EB6A186">
      <w:pPr>
        <w:spacing w:line="600" w:lineRule="exact"/>
        <w:ind w:firstLine="640" w:firstLineChars="200"/>
        <w:rPr>
          <w:rFonts w:hint="eastAsia" w:ascii="仿宋_GB2312" w:eastAsia="仿宋_GB2312" w:cs="Times New Roman"/>
          <w:sz w:val="32"/>
          <w:szCs w:val="32"/>
        </w:rPr>
      </w:pPr>
      <w:r>
        <w:rPr>
          <w:rFonts w:hint="eastAsia" w:ascii="仿宋_GB2312" w:eastAsia="仿宋_GB2312" w:cs="Times New Roman"/>
          <w:sz w:val="32"/>
          <w:szCs w:val="32"/>
        </w:rPr>
        <w:t>一是健全完善绩效评价结果与预算安排和政策调整的挂钩机制，将绩效评价结果应用情况列入日常监管范围，定期开展专项检查，对未实施结果应用的部门进行通报，作为贯彻全面实施绩效管理的长效机制。二是建立多方联动的工作机制，对接纪检监察、审计、合规等相关部室建立联动机制，形成工作合力，加强绩效监督问责，同时进一步加大绩效信息公开力度，提高信息公开透明度，发挥公众监督作用。</w:t>
      </w:r>
    </w:p>
    <w:p w14:paraId="2FE88628">
      <w:pPr>
        <w:pStyle w:val="6"/>
        <w:rPr>
          <w:rFonts w:hint="eastAsia" w:ascii="仿宋_GB2312" w:eastAsia="仿宋_GB2312" w:cs="Times New Roman"/>
          <w:sz w:val="32"/>
          <w:szCs w:val="32"/>
        </w:rPr>
      </w:pPr>
    </w:p>
    <w:p w14:paraId="7FD532C1">
      <w:pPr>
        <w:rPr>
          <w:rFonts w:hint="eastAsia" w:ascii="仿宋_GB2312" w:eastAsia="仿宋_GB2312" w:cs="Times New Roman"/>
          <w:sz w:val="32"/>
          <w:szCs w:val="32"/>
        </w:rPr>
      </w:pPr>
    </w:p>
    <w:p w14:paraId="52326865">
      <w:pPr>
        <w:rPr>
          <w:rFonts w:hint="eastAsia" w:ascii="仿宋_GB2312" w:eastAsia="仿宋_GB2312" w:cs="Times New Roman"/>
          <w:sz w:val="32"/>
          <w:szCs w:val="32"/>
        </w:rPr>
      </w:pPr>
    </w:p>
    <w:p w14:paraId="49265B8B">
      <w:pPr>
        <w:rPr>
          <w:rFonts w:hint="eastAsia" w:ascii="仿宋_GB2312" w:eastAsia="仿宋_GB2312" w:cs="Times New Roman"/>
          <w:sz w:val="32"/>
          <w:szCs w:val="32"/>
        </w:rPr>
      </w:pPr>
    </w:p>
    <w:p w14:paraId="44B784DE">
      <w:pPr>
        <w:rPr>
          <w:rFonts w:hint="eastAsia" w:ascii="仿宋_GB2312" w:eastAsia="仿宋_GB2312" w:cs="Times New Roman"/>
          <w:sz w:val="32"/>
          <w:szCs w:val="32"/>
        </w:rPr>
      </w:pPr>
    </w:p>
    <w:p w14:paraId="3388F898">
      <w:pPr>
        <w:rPr>
          <w:rFonts w:hint="eastAsia" w:ascii="仿宋_GB2312" w:eastAsia="仿宋_GB2312" w:cs="Times New Roman"/>
          <w:sz w:val="32"/>
          <w:szCs w:val="32"/>
        </w:rPr>
      </w:pPr>
    </w:p>
    <w:p w14:paraId="388FFC4D">
      <w:pPr>
        <w:rPr>
          <w:rFonts w:hint="eastAsia" w:ascii="仿宋_GB2312" w:eastAsia="仿宋_GB2312" w:cs="Times New Roman"/>
          <w:sz w:val="32"/>
          <w:szCs w:val="32"/>
        </w:rPr>
      </w:pPr>
    </w:p>
    <w:p w14:paraId="259B1F1B">
      <w:pPr>
        <w:rPr>
          <w:rFonts w:hint="eastAsia" w:ascii="仿宋_GB2312" w:eastAsia="仿宋_GB2312" w:cs="Times New Roman"/>
          <w:sz w:val="32"/>
          <w:szCs w:val="32"/>
        </w:rPr>
      </w:pPr>
    </w:p>
    <w:p w14:paraId="5D79CD38">
      <w:pPr>
        <w:rPr>
          <w:rFonts w:hint="eastAsia" w:ascii="仿宋_GB2312" w:eastAsia="仿宋_GB2312" w:cs="Times New Roman"/>
          <w:sz w:val="32"/>
          <w:szCs w:val="32"/>
        </w:rPr>
      </w:pPr>
    </w:p>
    <w:tbl>
      <w:tblPr>
        <w:tblStyle w:val="12"/>
        <w:tblW w:w="5262" w:type="pct"/>
        <w:tblInd w:w="-199" w:type="dxa"/>
        <w:tblLayout w:type="fixed"/>
        <w:tblCellMar>
          <w:top w:w="0" w:type="dxa"/>
          <w:left w:w="108" w:type="dxa"/>
          <w:bottom w:w="0" w:type="dxa"/>
          <w:right w:w="108" w:type="dxa"/>
        </w:tblCellMar>
      </w:tblPr>
      <w:tblGrid>
        <w:gridCol w:w="1230"/>
        <w:gridCol w:w="1500"/>
        <w:gridCol w:w="1920"/>
        <w:gridCol w:w="440"/>
        <w:gridCol w:w="1100"/>
        <w:gridCol w:w="1230"/>
        <w:gridCol w:w="810"/>
        <w:gridCol w:w="740"/>
      </w:tblGrid>
      <w:tr w14:paraId="3D7CDE69">
        <w:tblPrEx>
          <w:tblCellMar>
            <w:top w:w="0" w:type="dxa"/>
            <w:left w:w="108" w:type="dxa"/>
            <w:bottom w:w="0" w:type="dxa"/>
            <w:right w:w="108" w:type="dxa"/>
          </w:tblCellMar>
        </w:tblPrEx>
        <w:trPr>
          <w:trHeight w:val="855" w:hRule="atLeast"/>
        </w:trPr>
        <w:tc>
          <w:tcPr>
            <w:tcW w:w="5000" w:type="pct"/>
            <w:gridSpan w:val="8"/>
            <w:tcBorders>
              <w:top w:val="nil"/>
              <w:left w:val="nil"/>
              <w:bottom w:val="single" w:color="auto" w:sz="4" w:space="0"/>
              <w:right w:val="nil"/>
            </w:tcBorders>
            <w:noWrap w:val="0"/>
            <w:vAlign w:val="center"/>
          </w:tcPr>
          <w:p w14:paraId="675E41D9">
            <w:pPr>
              <w:widowControl/>
              <w:jc w:val="center"/>
              <w:rPr>
                <w:rFonts w:hint="eastAsia" w:ascii="宋体" w:hAnsi="宋体" w:cs="宋体"/>
                <w:color w:val="000000"/>
                <w:kern w:val="0"/>
                <w:sz w:val="18"/>
                <w:szCs w:val="18"/>
              </w:rPr>
            </w:pPr>
            <w:r>
              <w:rPr>
                <w:rFonts w:hint="eastAsia" w:ascii="方正小标宋简体" w:hAnsi="黑体" w:eastAsia="方正小标宋简体" w:cs="宋体"/>
                <w:color w:val="000000"/>
                <w:kern w:val="0"/>
                <w:sz w:val="44"/>
                <w:szCs w:val="44"/>
              </w:rPr>
              <w:t>202</w:t>
            </w:r>
            <w:r>
              <w:rPr>
                <w:rFonts w:hint="eastAsia" w:ascii="方正小标宋简体" w:hAnsi="黑体" w:eastAsia="方正小标宋简体" w:cs="宋体"/>
                <w:color w:val="000000"/>
                <w:kern w:val="0"/>
                <w:sz w:val="44"/>
                <w:szCs w:val="44"/>
                <w:lang w:val="en-US" w:eastAsia="zh-CN"/>
              </w:rPr>
              <w:t>4</w:t>
            </w:r>
            <w:r>
              <w:rPr>
                <w:rFonts w:hint="eastAsia" w:ascii="方正小标宋简体" w:hAnsi="黑体" w:eastAsia="方正小标宋简体" w:cs="宋体"/>
                <w:color w:val="000000"/>
                <w:kern w:val="0"/>
                <w:sz w:val="44"/>
                <w:szCs w:val="44"/>
              </w:rPr>
              <w:t>年部门整体绩效评价指标体系评分表</w:t>
            </w:r>
          </w:p>
        </w:tc>
      </w:tr>
      <w:tr w14:paraId="303D56C9">
        <w:tblPrEx>
          <w:tblCellMar>
            <w:top w:w="0" w:type="dxa"/>
            <w:left w:w="108" w:type="dxa"/>
            <w:bottom w:w="0" w:type="dxa"/>
            <w:right w:w="108" w:type="dxa"/>
          </w:tblCellMar>
        </w:tblPrEx>
        <w:trPr>
          <w:trHeight w:val="855" w:hRule="atLeast"/>
        </w:trPr>
        <w:tc>
          <w:tcPr>
            <w:tcW w:w="5000" w:type="pct"/>
            <w:gridSpan w:val="8"/>
            <w:tcBorders>
              <w:top w:val="single" w:color="auto" w:sz="4" w:space="0"/>
              <w:left w:val="single" w:color="auto" w:sz="4" w:space="0"/>
              <w:bottom w:val="single" w:color="auto" w:sz="4" w:space="0"/>
              <w:right w:val="single" w:color="auto" w:sz="4" w:space="0"/>
            </w:tcBorders>
            <w:noWrap w:val="0"/>
            <w:vAlign w:val="center"/>
          </w:tcPr>
          <w:p w14:paraId="6F7E45A4">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一、</w:t>
            </w:r>
            <w:r>
              <w:rPr>
                <w:rFonts w:hint="eastAsia" w:ascii="宋体" w:hAnsi="宋体" w:cs="宋体"/>
                <w:color w:val="000000"/>
                <w:kern w:val="0"/>
                <w:sz w:val="20"/>
                <w:szCs w:val="20"/>
              </w:rPr>
              <w:t>当年预算执行情况（20分）</w:t>
            </w:r>
          </w:p>
        </w:tc>
      </w:tr>
      <w:tr w14:paraId="27EB646F">
        <w:tblPrEx>
          <w:tblCellMar>
            <w:top w:w="0" w:type="dxa"/>
            <w:left w:w="108" w:type="dxa"/>
            <w:bottom w:w="0" w:type="dxa"/>
            <w:right w:w="108" w:type="dxa"/>
          </w:tblCellMar>
        </w:tblPrEx>
        <w:trPr>
          <w:trHeight w:val="1045" w:hRule="atLeast"/>
        </w:trPr>
        <w:tc>
          <w:tcPr>
            <w:tcW w:w="685" w:type="pct"/>
            <w:tcBorders>
              <w:top w:val="single" w:color="auto" w:sz="4" w:space="0"/>
              <w:left w:val="single" w:color="auto" w:sz="4" w:space="0"/>
              <w:bottom w:val="single" w:color="auto" w:sz="4" w:space="0"/>
              <w:right w:val="single" w:color="auto" w:sz="4" w:space="0"/>
            </w:tcBorders>
            <w:noWrap w:val="0"/>
            <w:vAlign w:val="center"/>
          </w:tcPr>
          <w:p w14:paraId="0159E9C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836" w:type="pct"/>
            <w:tcBorders>
              <w:top w:val="single" w:color="auto" w:sz="4" w:space="0"/>
              <w:left w:val="single" w:color="auto" w:sz="4" w:space="0"/>
              <w:bottom w:val="single" w:color="auto" w:sz="4" w:space="0"/>
              <w:right w:val="single" w:color="auto" w:sz="4" w:space="0"/>
            </w:tcBorders>
            <w:noWrap w:val="0"/>
            <w:vAlign w:val="center"/>
          </w:tcPr>
          <w:p w14:paraId="2B7A98C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1070" w:type="pct"/>
            <w:tcBorders>
              <w:top w:val="single" w:color="auto" w:sz="4" w:space="0"/>
              <w:left w:val="single" w:color="auto" w:sz="4" w:space="0"/>
              <w:bottom w:val="single" w:color="auto" w:sz="4" w:space="0"/>
              <w:right w:val="single" w:color="auto" w:sz="4" w:space="0"/>
            </w:tcBorders>
            <w:noWrap w:val="0"/>
            <w:vAlign w:val="center"/>
          </w:tcPr>
          <w:p w14:paraId="15572CF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预算数（万元）</w:t>
            </w:r>
          </w:p>
        </w:tc>
        <w:tc>
          <w:tcPr>
            <w:tcW w:w="858" w:type="pct"/>
            <w:gridSpan w:val="2"/>
            <w:tcBorders>
              <w:top w:val="single" w:color="auto" w:sz="4" w:space="0"/>
              <w:left w:val="single" w:color="auto" w:sz="4" w:space="0"/>
              <w:bottom w:val="single" w:color="auto" w:sz="4" w:space="0"/>
              <w:right w:val="single" w:color="auto" w:sz="4" w:space="0"/>
            </w:tcBorders>
            <w:noWrap w:val="0"/>
            <w:vAlign w:val="center"/>
          </w:tcPr>
          <w:p w14:paraId="47AAF50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执行数（万元）</w:t>
            </w:r>
          </w:p>
        </w:tc>
        <w:tc>
          <w:tcPr>
            <w:tcW w:w="685" w:type="pct"/>
            <w:tcBorders>
              <w:top w:val="single" w:color="auto" w:sz="4" w:space="0"/>
              <w:left w:val="single" w:color="auto" w:sz="4" w:space="0"/>
              <w:bottom w:val="single" w:color="auto" w:sz="4" w:space="0"/>
              <w:right w:val="single" w:color="auto" w:sz="4" w:space="0"/>
            </w:tcBorders>
            <w:noWrap w:val="0"/>
            <w:vAlign w:val="center"/>
          </w:tcPr>
          <w:p w14:paraId="439DC90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预算执</w:t>
            </w:r>
          </w:p>
          <w:p w14:paraId="71F67E4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行率</w:t>
            </w:r>
          </w:p>
        </w:tc>
        <w:tc>
          <w:tcPr>
            <w:tcW w:w="451" w:type="pct"/>
            <w:tcBorders>
              <w:top w:val="single" w:color="auto" w:sz="4" w:space="0"/>
              <w:left w:val="single" w:color="auto" w:sz="4" w:space="0"/>
              <w:bottom w:val="single" w:color="auto" w:sz="4" w:space="0"/>
              <w:right w:val="single" w:color="auto" w:sz="4" w:space="0"/>
            </w:tcBorders>
            <w:noWrap w:val="0"/>
            <w:vAlign w:val="center"/>
          </w:tcPr>
          <w:p w14:paraId="1A5B516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412" w:type="pct"/>
            <w:tcBorders>
              <w:top w:val="single" w:color="auto" w:sz="4" w:space="0"/>
              <w:left w:val="single" w:color="auto" w:sz="4" w:space="0"/>
              <w:bottom w:val="single" w:color="auto" w:sz="4" w:space="0"/>
              <w:right w:val="single" w:color="auto" w:sz="4" w:space="0"/>
            </w:tcBorders>
            <w:noWrap w:val="0"/>
            <w:vAlign w:val="center"/>
          </w:tcPr>
          <w:p w14:paraId="736BADC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r>
      <w:tr w14:paraId="683DE6C9">
        <w:tblPrEx>
          <w:tblCellMar>
            <w:top w:w="0" w:type="dxa"/>
            <w:left w:w="108" w:type="dxa"/>
            <w:bottom w:w="0" w:type="dxa"/>
            <w:right w:w="108" w:type="dxa"/>
          </w:tblCellMar>
        </w:tblPrEx>
        <w:trPr>
          <w:trHeight w:val="1247" w:hRule="atLeast"/>
        </w:trPr>
        <w:tc>
          <w:tcPr>
            <w:tcW w:w="685" w:type="pct"/>
            <w:vMerge w:val="restart"/>
            <w:tcBorders>
              <w:top w:val="single" w:color="auto" w:sz="4" w:space="0"/>
              <w:left w:val="single" w:color="auto" w:sz="4" w:space="0"/>
              <w:bottom w:val="single" w:color="auto" w:sz="4" w:space="0"/>
              <w:right w:val="single" w:color="auto" w:sz="4" w:space="0"/>
            </w:tcBorders>
            <w:noWrap w:val="0"/>
            <w:vAlign w:val="center"/>
          </w:tcPr>
          <w:p w14:paraId="3641EDC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当年预算执行情况（20）</w:t>
            </w:r>
          </w:p>
        </w:tc>
        <w:tc>
          <w:tcPr>
            <w:tcW w:w="836" w:type="pct"/>
            <w:tcBorders>
              <w:top w:val="single" w:color="auto" w:sz="4" w:space="0"/>
              <w:left w:val="single" w:color="auto" w:sz="4" w:space="0"/>
              <w:bottom w:val="single" w:color="auto" w:sz="4" w:space="0"/>
              <w:right w:val="single" w:color="auto" w:sz="4" w:space="0"/>
            </w:tcBorders>
            <w:noWrap w:val="0"/>
            <w:vAlign w:val="center"/>
          </w:tcPr>
          <w:p w14:paraId="5BCB9EC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资金总体</w:t>
            </w:r>
          </w:p>
        </w:tc>
        <w:tc>
          <w:tcPr>
            <w:tcW w:w="1070" w:type="pct"/>
            <w:tcBorders>
              <w:top w:val="single" w:color="auto" w:sz="4" w:space="0"/>
              <w:left w:val="single" w:color="auto" w:sz="4" w:space="0"/>
              <w:bottom w:val="single" w:color="auto" w:sz="4" w:space="0"/>
              <w:right w:val="single" w:color="auto" w:sz="4" w:space="0"/>
            </w:tcBorders>
            <w:noWrap w:val="0"/>
            <w:vAlign w:val="center"/>
          </w:tcPr>
          <w:p w14:paraId="3CD3F87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4215.150039</w:t>
            </w:r>
            <w:r>
              <w:rPr>
                <w:rFonts w:hint="eastAsia" w:ascii="宋体" w:hAnsi="宋体" w:cs="宋体"/>
                <w:color w:val="000000"/>
                <w:kern w:val="0"/>
                <w:sz w:val="20"/>
                <w:szCs w:val="20"/>
              </w:rPr>
              <w:t>　</w:t>
            </w:r>
          </w:p>
        </w:tc>
        <w:tc>
          <w:tcPr>
            <w:tcW w:w="858" w:type="pct"/>
            <w:gridSpan w:val="2"/>
            <w:tcBorders>
              <w:top w:val="single" w:color="auto" w:sz="4" w:space="0"/>
              <w:left w:val="single" w:color="auto" w:sz="4" w:space="0"/>
              <w:bottom w:val="single" w:color="auto" w:sz="4" w:space="0"/>
              <w:right w:val="single" w:color="auto" w:sz="4" w:space="0"/>
            </w:tcBorders>
            <w:noWrap w:val="0"/>
            <w:vAlign w:val="center"/>
          </w:tcPr>
          <w:p w14:paraId="1CF68BC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3113.802462</w:t>
            </w:r>
            <w:r>
              <w:rPr>
                <w:rFonts w:hint="eastAsia" w:ascii="宋体" w:hAnsi="宋体" w:cs="宋体"/>
                <w:color w:val="000000"/>
                <w:kern w:val="0"/>
                <w:sz w:val="20"/>
                <w:szCs w:val="20"/>
              </w:rPr>
              <w:t>　</w:t>
            </w:r>
          </w:p>
        </w:tc>
        <w:tc>
          <w:tcPr>
            <w:tcW w:w="685" w:type="pct"/>
            <w:tcBorders>
              <w:top w:val="single" w:color="auto" w:sz="4" w:space="0"/>
              <w:left w:val="single" w:color="auto" w:sz="4" w:space="0"/>
              <w:bottom w:val="single" w:color="auto" w:sz="4" w:space="0"/>
              <w:right w:val="single" w:color="auto" w:sz="4" w:space="0"/>
            </w:tcBorders>
            <w:noWrap w:val="0"/>
            <w:vAlign w:val="center"/>
          </w:tcPr>
          <w:p w14:paraId="7FA34CE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73.87%</w:t>
            </w:r>
            <w:r>
              <w:rPr>
                <w:rFonts w:hint="eastAsia" w:ascii="宋体" w:hAnsi="宋体" w:cs="宋体"/>
                <w:color w:val="000000"/>
                <w:kern w:val="0"/>
                <w:sz w:val="20"/>
                <w:szCs w:val="20"/>
              </w:rPr>
              <w:t>　</w:t>
            </w:r>
          </w:p>
        </w:tc>
        <w:tc>
          <w:tcPr>
            <w:tcW w:w="451" w:type="pct"/>
            <w:vMerge w:val="restart"/>
            <w:tcBorders>
              <w:top w:val="single" w:color="auto" w:sz="4" w:space="0"/>
              <w:left w:val="single" w:color="auto" w:sz="4" w:space="0"/>
              <w:bottom w:val="single" w:color="auto" w:sz="4" w:space="0"/>
              <w:right w:val="single" w:color="auto" w:sz="4" w:space="0"/>
            </w:tcBorders>
            <w:noWrap/>
            <w:vAlign w:val="center"/>
          </w:tcPr>
          <w:p w14:paraId="08E19DE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412" w:type="pct"/>
            <w:vMerge w:val="restart"/>
            <w:tcBorders>
              <w:top w:val="single" w:color="auto" w:sz="4" w:space="0"/>
              <w:left w:val="single" w:color="auto" w:sz="4" w:space="0"/>
              <w:bottom w:val="single" w:color="auto" w:sz="4" w:space="0"/>
              <w:right w:val="single" w:color="auto" w:sz="4" w:space="0"/>
            </w:tcBorders>
            <w:noWrap/>
            <w:vAlign w:val="center"/>
          </w:tcPr>
          <w:p w14:paraId="2A65230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14.77</w:t>
            </w:r>
            <w:r>
              <w:rPr>
                <w:rFonts w:hint="eastAsia" w:ascii="宋体" w:hAnsi="宋体" w:cs="宋体"/>
                <w:color w:val="000000"/>
                <w:kern w:val="0"/>
                <w:sz w:val="20"/>
                <w:szCs w:val="20"/>
              </w:rPr>
              <w:t>　</w:t>
            </w:r>
          </w:p>
        </w:tc>
      </w:tr>
      <w:tr w14:paraId="079C0231">
        <w:tblPrEx>
          <w:tblCellMar>
            <w:top w:w="0" w:type="dxa"/>
            <w:left w:w="108" w:type="dxa"/>
            <w:bottom w:w="0" w:type="dxa"/>
            <w:right w:w="108" w:type="dxa"/>
          </w:tblCellMar>
        </w:tblPrEx>
        <w:trPr>
          <w:trHeight w:val="1247" w:hRule="atLeast"/>
        </w:trPr>
        <w:tc>
          <w:tcPr>
            <w:tcW w:w="685" w:type="pct"/>
            <w:vMerge w:val="continue"/>
            <w:tcBorders>
              <w:top w:val="single" w:color="auto" w:sz="4" w:space="0"/>
              <w:left w:val="single" w:color="auto" w:sz="4" w:space="0"/>
              <w:bottom w:val="single" w:color="auto" w:sz="4" w:space="0"/>
              <w:right w:val="single" w:color="auto" w:sz="4" w:space="0"/>
            </w:tcBorders>
            <w:noWrap w:val="0"/>
            <w:vAlign w:val="center"/>
          </w:tcPr>
          <w:p w14:paraId="3890794D">
            <w:pPr>
              <w:widowControl/>
              <w:jc w:val="left"/>
              <w:rPr>
                <w:rFonts w:ascii="宋体" w:hAnsi="宋体" w:cs="宋体"/>
                <w:color w:val="000000"/>
                <w:kern w:val="0"/>
                <w:sz w:val="20"/>
                <w:szCs w:val="20"/>
              </w:rPr>
            </w:pPr>
          </w:p>
        </w:tc>
        <w:tc>
          <w:tcPr>
            <w:tcW w:w="836" w:type="pct"/>
            <w:tcBorders>
              <w:top w:val="single" w:color="auto" w:sz="4" w:space="0"/>
              <w:left w:val="single" w:color="auto" w:sz="4" w:space="0"/>
              <w:bottom w:val="single" w:color="auto" w:sz="4" w:space="0"/>
              <w:right w:val="single" w:color="auto" w:sz="4" w:space="0"/>
            </w:tcBorders>
            <w:noWrap w:val="0"/>
            <w:vAlign w:val="center"/>
          </w:tcPr>
          <w:p w14:paraId="08DB3A4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基本支出</w:t>
            </w:r>
          </w:p>
        </w:tc>
        <w:tc>
          <w:tcPr>
            <w:tcW w:w="1070" w:type="pct"/>
            <w:tcBorders>
              <w:top w:val="single" w:color="auto" w:sz="4" w:space="0"/>
              <w:left w:val="single" w:color="auto" w:sz="4" w:space="0"/>
              <w:bottom w:val="single" w:color="auto" w:sz="4" w:space="0"/>
              <w:right w:val="single" w:color="auto" w:sz="4" w:space="0"/>
            </w:tcBorders>
            <w:noWrap w:val="0"/>
            <w:vAlign w:val="center"/>
          </w:tcPr>
          <w:p w14:paraId="1FB80E5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3292.456338</w:t>
            </w:r>
            <w:r>
              <w:rPr>
                <w:rFonts w:hint="eastAsia" w:ascii="宋体" w:hAnsi="宋体" w:cs="宋体"/>
                <w:color w:val="000000"/>
                <w:kern w:val="0"/>
                <w:sz w:val="20"/>
                <w:szCs w:val="20"/>
              </w:rPr>
              <w:t>　</w:t>
            </w:r>
          </w:p>
        </w:tc>
        <w:tc>
          <w:tcPr>
            <w:tcW w:w="858" w:type="pct"/>
            <w:gridSpan w:val="2"/>
            <w:tcBorders>
              <w:top w:val="single" w:color="auto" w:sz="4" w:space="0"/>
              <w:left w:val="single" w:color="auto" w:sz="4" w:space="0"/>
              <w:bottom w:val="single" w:color="auto" w:sz="4" w:space="0"/>
              <w:right w:val="single" w:color="auto" w:sz="4" w:space="0"/>
            </w:tcBorders>
            <w:noWrap w:val="0"/>
            <w:vAlign w:val="center"/>
          </w:tcPr>
          <w:p w14:paraId="34239CC5">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2918.076299</w:t>
            </w:r>
          </w:p>
        </w:tc>
        <w:tc>
          <w:tcPr>
            <w:tcW w:w="685" w:type="pct"/>
            <w:tcBorders>
              <w:top w:val="single" w:color="auto" w:sz="4" w:space="0"/>
              <w:left w:val="single" w:color="auto" w:sz="4" w:space="0"/>
              <w:bottom w:val="single" w:color="auto" w:sz="4" w:space="0"/>
              <w:right w:val="single" w:color="auto" w:sz="4" w:space="0"/>
            </w:tcBorders>
            <w:noWrap w:val="0"/>
            <w:vAlign w:val="center"/>
          </w:tcPr>
          <w:p w14:paraId="0A08A286">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88.63%</w:t>
            </w:r>
          </w:p>
        </w:tc>
        <w:tc>
          <w:tcPr>
            <w:tcW w:w="451" w:type="pct"/>
            <w:vMerge w:val="continue"/>
            <w:tcBorders>
              <w:top w:val="single" w:color="auto" w:sz="4" w:space="0"/>
              <w:left w:val="single" w:color="auto" w:sz="4" w:space="0"/>
              <w:bottom w:val="single" w:color="auto" w:sz="4" w:space="0"/>
              <w:right w:val="single" w:color="auto" w:sz="4" w:space="0"/>
            </w:tcBorders>
            <w:noWrap w:val="0"/>
            <w:vAlign w:val="center"/>
          </w:tcPr>
          <w:p w14:paraId="41BDA2A7">
            <w:pPr>
              <w:widowControl/>
              <w:jc w:val="left"/>
              <w:rPr>
                <w:rFonts w:ascii="宋体" w:hAnsi="宋体" w:cs="宋体"/>
                <w:color w:val="000000"/>
                <w:kern w:val="0"/>
                <w:sz w:val="20"/>
                <w:szCs w:val="20"/>
              </w:rPr>
            </w:pPr>
          </w:p>
        </w:tc>
        <w:tc>
          <w:tcPr>
            <w:tcW w:w="412" w:type="pct"/>
            <w:vMerge w:val="continue"/>
            <w:tcBorders>
              <w:top w:val="single" w:color="auto" w:sz="4" w:space="0"/>
              <w:left w:val="single" w:color="auto" w:sz="4" w:space="0"/>
              <w:bottom w:val="single" w:color="auto" w:sz="4" w:space="0"/>
              <w:right w:val="single" w:color="auto" w:sz="4" w:space="0"/>
            </w:tcBorders>
            <w:noWrap w:val="0"/>
            <w:vAlign w:val="center"/>
          </w:tcPr>
          <w:p w14:paraId="4E7C97ED">
            <w:pPr>
              <w:widowControl/>
              <w:jc w:val="left"/>
              <w:rPr>
                <w:rFonts w:ascii="宋体" w:hAnsi="宋体" w:cs="宋体"/>
                <w:color w:val="000000"/>
                <w:kern w:val="0"/>
                <w:sz w:val="20"/>
                <w:szCs w:val="20"/>
              </w:rPr>
            </w:pPr>
          </w:p>
        </w:tc>
      </w:tr>
      <w:tr w14:paraId="5E238415">
        <w:tblPrEx>
          <w:tblCellMar>
            <w:top w:w="0" w:type="dxa"/>
            <w:left w:w="108" w:type="dxa"/>
            <w:bottom w:w="0" w:type="dxa"/>
            <w:right w:w="108" w:type="dxa"/>
          </w:tblCellMar>
        </w:tblPrEx>
        <w:trPr>
          <w:trHeight w:val="1247" w:hRule="atLeast"/>
        </w:trPr>
        <w:tc>
          <w:tcPr>
            <w:tcW w:w="685" w:type="pct"/>
            <w:vMerge w:val="continue"/>
            <w:tcBorders>
              <w:top w:val="single" w:color="auto" w:sz="4" w:space="0"/>
              <w:left w:val="single" w:color="auto" w:sz="4" w:space="0"/>
              <w:bottom w:val="single" w:color="auto" w:sz="4" w:space="0"/>
              <w:right w:val="single" w:color="auto" w:sz="4" w:space="0"/>
            </w:tcBorders>
            <w:noWrap w:val="0"/>
            <w:vAlign w:val="center"/>
          </w:tcPr>
          <w:p w14:paraId="37A978E5">
            <w:pPr>
              <w:widowControl/>
              <w:jc w:val="left"/>
              <w:rPr>
                <w:rFonts w:ascii="宋体" w:hAnsi="宋体" w:cs="宋体"/>
                <w:color w:val="000000"/>
                <w:kern w:val="0"/>
                <w:sz w:val="20"/>
                <w:szCs w:val="20"/>
              </w:rPr>
            </w:pPr>
          </w:p>
        </w:tc>
        <w:tc>
          <w:tcPr>
            <w:tcW w:w="836" w:type="pct"/>
            <w:tcBorders>
              <w:top w:val="single" w:color="auto" w:sz="4" w:space="0"/>
              <w:left w:val="single" w:color="auto" w:sz="4" w:space="0"/>
              <w:bottom w:val="single" w:color="auto" w:sz="4" w:space="0"/>
              <w:right w:val="single" w:color="auto" w:sz="4" w:space="0"/>
            </w:tcBorders>
            <w:noWrap w:val="0"/>
            <w:vAlign w:val="center"/>
          </w:tcPr>
          <w:p w14:paraId="7BFB749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项目支出</w:t>
            </w:r>
          </w:p>
        </w:tc>
        <w:tc>
          <w:tcPr>
            <w:tcW w:w="1070" w:type="pct"/>
            <w:tcBorders>
              <w:top w:val="single" w:color="auto" w:sz="4" w:space="0"/>
              <w:left w:val="single" w:color="auto" w:sz="4" w:space="0"/>
              <w:bottom w:val="single" w:color="auto" w:sz="4" w:space="0"/>
              <w:right w:val="single" w:color="auto" w:sz="4" w:space="0"/>
            </w:tcBorders>
            <w:noWrap w:val="0"/>
            <w:vAlign w:val="center"/>
          </w:tcPr>
          <w:p w14:paraId="578587A7">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922.693701</w:t>
            </w:r>
          </w:p>
        </w:tc>
        <w:tc>
          <w:tcPr>
            <w:tcW w:w="858" w:type="pct"/>
            <w:gridSpan w:val="2"/>
            <w:tcBorders>
              <w:top w:val="single" w:color="auto" w:sz="4" w:space="0"/>
              <w:left w:val="single" w:color="auto" w:sz="4" w:space="0"/>
              <w:bottom w:val="single" w:color="auto" w:sz="4" w:space="0"/>
              <w:right w:val="single" w:color="auto" w:sz="4" w:space="0"/>
            </w:tcBorders>
            <w:noWrap w:val="0"/>
            <w:vAlign w:val="center"/>
          </w:tcPr>
          <w:p w14:paraId="2C460F3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195.726163</w:t>
            </w:r>
            <w:r>
              <w:rPr>
                <w:rFonts w:hint="eastAsia" w:ascii="宋体" w:hAnsi="宋体" w:cs="宋体"/>
                <w:color w:val="000000"/>
                <w:kern w:val="0"/>
                <w:sz w:val="20"/>
                <w:szCs w:val="20"/>
              </w:rPr>
              <w:t>　</w:t>
            </w:r>
          </w:p>
        </w:tc>
        <w:tc>
          <w:tcPr>
            <w:tcW w:w="685" w:type="pct"/>
            <w:tcBorders>
              <w:top w:val="single" w:color="auto" w:sz="4" w:space="0"/>
              <w:left w:val="single" w:color="auto" w:sz="4" w:space="0"/>
              <w:bottom w:val="single" w:color="auto" w:sz="4" w:space="0"/>
              <w:right w:val="single" w:color="auto" w:sz="4" w:space="0"/>
            </w:tcBorders>
            <w:noWrap w:val="0"/>
            <w:vAlign w:val="center"/>
          </w:tcPr>
          <w:p w14:paraId="337720E7">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21.21%</w:t>
            </w:r>
          </w:p>
        </w:tc>
        <w:tc>
          <w:tcPr>
            <w:tcW w:w="451" w:type="pct"/>
            <w:vMerge w:val="continue"/>
            <w:tcBorders>
              <w:top w:val="single" w:color="auto" w:sz="4" w:space="0"/>
              <w:left w:val="single" w:color="auto" w:sz="4" w:space="0"/>
              <w:bottom w:val="single" w:color="auto" w:sz="4" w:space="0"/>
              <w:right w:val="single" w:color="auto" w:sz="4" w:space="0"/>
            </w:tcBorders>
            <w:noWrap w:val="0"/>
            <w:vAlign w:val="center"/>
          </w:tcPr>
          <w:p w14:paraId="0C43DFBF">
            <w:pPr>
              <w:widowControl/>
              <w:jc w:val="left"/>
              <w:rPr>
                <w:rFonts w:ascii="宋体" w:hAnsi="宋体" w:cs="宋体"/>
                <w:color w:val="000000"/>
                <w:kern w:val="0"/>
                <w:sz w:val="20"/>
                <w:szCs w:val="20"/>
              </w:rPr>
            </w:pPr>
          </w:p>
        </w:tc>
        <w:tc>
          <w:tcPr>
            <w:tcW w:w="412" w:type="pct"/>
            <w:vMerge w:val="continue"/>
            <w:tcBorders>
              <w:top w:val="single" w:color="auto" w:sz="4" w:space="0"/>
              <w:left w:val="single" w:color="auto" w:sz="4" w:space="0"/>
              <w:bottom w:val="single" w:color="auto" w:sz="4" w:space="0"/>
              <w:right w:val="single" w:color="auto" w:sz="4" w:space="0"/>
            </w:tcBorders>
            <w:noWrap w:val="0"/>
            <w:vAlign w:val="center"/>
          </w:tcPr>
          <w:p w14:paraId="128C0480">
            <w:pPr>
              <w:widowControl/>
              <w:jc w:val="left"/>
              <w:rPr>
                <w:rFonts w:ascii="宋体" w:hAnsi="宋体" w:cs="宋体"/>
                <w:color w:val="000000"/>
                <w:kern w:val="0"/>
                <w:sz w:val="20"/>
                <w:szCs w:val="20"/>
              </w:rPr>
            </w:pPr>
          </w:p>
        </w:tc>
      </w:tr>
      <w:tr w14:paraId="316E306E">
        <w:tblPrEx>
          <w:tblCellMar>
            <w:top w:w="0" w:type="dxa"/>
            <w:left w:w="108" w:type="dxa"/>
            <w:bottom w:w="0" w:type="dxa"/>
            <w:right w:w="108" w:type="dxa"/>
          </w:tblCellMar>
        </w:tblPrEx>
        <w:trPr>
          <w:trHeight w:val="884" w:hRule="atLeast"/>
        </w:trPr>
        <w:tc>
          <w:tcPr>
            <w:tcW w:w="5000" w:type="pct"/>
            <w:gridSpan w:val="8"/>
            <w:tcBorders>
              <w:top w:val="single" w:color="auto" w:sz="4" w:space="0"/>
              <w:left w:val="single" w:color="auto" w:sz="4" w:space="0"/>
              <w:bottom w:val="single" w:color="auto" w:sz="4" w:space="0"/>
              <w:right w:val="single" w:color="auto" w:sz="4" w:space="0"/>
            </w:tcBorders>
            <w:noWrap w:val="0"/>
            <w:vAlign w:val="center"/>
          </w:tcPr>
          <w:p w14:paraId="2960FF78">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二</w:t>
            </w:r>
            <w:r>
              <w:rPr>
                <w:rFonts w:ascii="宋体" w:hAnsi="宋体" w:cs="宋体"/>
                <w:color w:val="000000"/>
                <w:kern w:val="0"/>
                <w:sz w:val="18"/>
                <w:szCs w:val="18"/>
              </w:rPr>
              <w:t>、</w:t>
            </w:r>
            <w:r>
              <w:rPr>
                <w:rFonts w:hint="eastAsia" w:ascii="宋体" w:hAnsi="宋体" w:cs="宋体"/>
                <w:color w:val="000000"/>
                <w:kern w:val="0"/>
                <w:sz w:val="20"/>
                <w:szCs w:val="20"/>
              </w:rPr>
              <w:t>整体绩效目标实现情况（60分）</w:t>
            </w:r>
          </w:p>
        </w:tc>
      </w:tr>
      <w:tr w14:paraId="233FAF95">
        <w:tblPrEx>
          <w:tblCellMar>
            <w:top w:w="0" w:type="dxa"/>
            <w:left w:w="108" w:type="dxa"/>
            <w:bottom w:w="0" w:type="dxa"/>
            <w:right w:w="108" w:type="dxa"/>
          </w:tblCellMar>
        </w:tblPrEx>
        <w:trPr>
          <w:trHeight w:val="789" w:hRule="atLeast"/>
        </w:trPr>
        <w:tc>
          <w:tcPr>
            <w:tcW w:w="685" w:type="pct"/>
            <w:tcBorders>
              <w:top w:val="single" w:color="auto" w:sz="4" w:space="0"/>
              <w:left w:val="single" w:color="auto" w:sz="4" w:space="0"/>
              <w:bottom w:val="single" w:color="auto" w:sz="4" w:space="0"/>
              <w:right w:val="single" w:color="auto" w:sz="4" w:space="0"/>
            </w:tcBorders>
            <w:noWrap w:val="0"/>
            <w:vAlign w:val="center"/>
          </w:tcPr>
          <w:p w14:paraId="25FFE24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836" w:type="pct"/>
            <w:tcBorders>
              <w:top w:val="single" w:color="auto" w:sz="4" w:space="0"/>
              <w:left w:val="single" w:color="auto" w:sz="4" w:space="0"/>
              <w:bottom w:val="single" w:color="auto" w:sz="4" w:space="0"/>
              <w:right w:val="single" w:color="auto" w:sz="4" w:space="0"/>
            </w:tcBorders>
            <w:noWrap w:val="0"/>
            <w:vAlign w:val="center"/>
          </w:tcPr>
          <w:p w14:paraId="363F7FA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1070" w:type="pct"/>
            <w:tcBorders>
              <w:top w:val="single" w:color="auto" w:sz="4" w:space="0"/>
              <w:left w:val="single" w:color="auto" w:sz="4" w:space="0"/>
              <w:bottom w:val="single" w:color="auto" w:sz="4" w:space="0"/>
              <w:right w:val="single" w:color="auto" w:sz="4" w:space="0"/>
            </w:tcBorders>
            <w:noWrap w:val="0"/>
            <w:vAlign w:val="center"/>
          </w:tcPr>
          <w:p w14:paraId="32FF0D1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858" w:type="pct"/>
            <w:gridSpan w:val="2"/>
            <w:tcBorders>
              <w:top w:val="single" w:color="auto" w:sz="4" w:space="0"/>
              <w:left w:val="single" w:color="auto" w:sz="4" w:space="0"/>
              <w:bottom w:val="single" w:color="auto" w:sz="4" w:space="0"/>
              <w:right w:val="single" w:color="auto" w:sz="4" w:space="0"/>
            </w:tcBorders>
            <w:noWrap w:val="0"/>
            <w:vAlign w:val="center"/>
          </w:tcPr>
          <w:p w14:paraId="11E5B40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指标值</w:t>
            </w:r>
          </w:p>
        </w:tc>
        <w:tc>
          <w:tcPr>
            <w:tcW w:w="685" w:type="pct"/>
            <w:tcBorders>
              <w:top w:val="single" w:color="auto" w:sz="4" w:space="0"/>
              <w:left w:val="single" w:color="auto" w:sz="4" w:space="0"/>
              <w:bottom w:val="single" w:color="auto" w:sz="4" w:space="0"/>
              <w:right w:val="single" w:color="auto" w:sz="4" w:space="0"/>
            </w:tcBorders>
            <w:noWrap w:val="0"/>
            <w:vAlign w:val="center"/>
          </w:tcPr>
          <w:p w14:paraId="48E837A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完成值</w:t>
            </w:r>
          </w:p>
        </w:tc>
        <w:tc>
          <w:tcPr>
            <w:tcW w:w="451" w:type="pct"/>
            <w:tcBorders>
              <w:top w:val="single" w:color="auto" w:sz="4" w:space="0"/>
              <w:left w:val="single" w:color="auto" w:sz="4" w:space="0"/>
              <w:bottom w:val="single" w:color="auto" w:sz="4" w:space="0"/>
              <w:right w:val="single" w:color="auto" w:sz="4" w:space="0"/>
            </w:tcBorders>
            <w:noWrap w:val="0"/>
            <w:vAlign w:val="center"/>
          </w:tcPr>
          <w:p w14:paraId="17A5666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412" w:type="pct"/>
            <w:tcBorders>
              <w:top w:val="single" w:color="auto" w:sz="4" w:space="0"/>
              <w:left w:val="single" w:color="auto" w:sz="4" w:space="0"/>
              <w:bottom w:val="single" w:color="auto" w:sz="4" w:space="0"/>
              <w:right w:val="single" w:color="auto" w:sz="4" w:space="0"/>
            </w:tcBorders>
            <w:noWrap w:val="0"/>
            <w:vAlign w:val="center"/>
          </w:tcPr>
          <w:p w14:paraId="2B79F3C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r>
      <w:tr w14:paraId="525A75D6">
        <w:tblPrEx>
          <w:tblCellMar>
            <w:top w:w="0" w:type="dxa"/>
            <w:left w:w="108" w:type="dxa"/>
            <w:bottom w:w="0" w:type="dxa"/>
            <w:right w:w="108" w:type="dxa"/>
          </w:tblCellMar>
        </w:tblPrEx>
        <w:trPr>
          <w:trHeight w:val="1304" w:hRule="atLeast"/>
        </w:trPr>
        <w:tc>
          <w:tcPr>
            <w:tcW w:w="685" w:type="pct"/>
            <w:vMerge w:val="restart"/>
            <w:tcBorders>
              <w:top w:val="single" w:color="auto" w:sz="4" w:space="0"/>
              <w:left w:val="single" w:color="auto" w:sz="4" w:space="0"/>
              <w:bottom w:val="single" w:color="auto" w:sz="4" w:space="0"/>
              <w:right w:val="single" w:color="auto" w:sz="4" w:space="0"/>
            </w:tcBorders>
            <w:noWrap w:val="0"/>
            <w:vAlign w:val="center"/>
          </w:tcPr>
          <w:p w14:paraId="502710B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整体绩效目标实现情况（60）</w:t>
            </w:r>
          </w:p>
        </w:tc>
        <w:tc>
          <w:tcPr>
            <w:tcW w:w="836" w:type="pct"/>
            <w:vMerge w:val="restart"/>
            <w:tcBorders>
              <w:top w:val="single" w:color="auto" w:sz="4" w:space="0"/>
              <w:left w:val="single" w:color="auto" w:sz="4" w:space="0"/>
              <w:bottom w:val="single" w:color="auto" w:sz="4" w:space="0"/>
              <w:right w:val="single" w:color="auto" w:sz="4" w:space="0"/>
            </w:tcBorders>
            <w:noWrap w:val="0"/>
            <w:vAlign w:val="center"/>
          </w:tcPr>
          <w:p w14:paraId="63D90ABC">
            <w:pPr>
              <w:widowControl/>
              <w:jc w:val="center"/>
              <w:rPr>
                <w:rFonts w:ascii="宋体" w:hAnsi="宋体" w:cs="宋体"/>
                <w:color w:val="000000"/>
                <w:kern w:val="0"/>
                <w:sz w:val="20"/>
                <w:szCs w:val="20"/>
              </w:rPr>
            </w:pPr>
          </w:p>
          <w:p w14:paraId="506D3D10">
            <w:pPr>
              <w:jc w:val="center"/>
              <w:rPr>
                <w:rFonts w:hint="eastAsia" w:ascii="宋体" w:hAnsi="宋体" w:cs="宋体"/>
                <w:color w:val="000000"/>
                <w:kern w:val="0"/>
                <w:sz w:val="20"/>
                <w:szCs w:val="20"/>
              </w:rPr>
            </w:pPr>
            <w:r>
              <w:rPr>
                <w:rFonts w:hint="eastAsia" w:ascii="宋体" w:hAnsi="宋体" w:cs="宋体"/>
                <w:color w:val="000000"/>
                <w:kern w:val="0"/>
                <w:sz w:val="20"/>
                <w:szCs w:val="20"/>
              </w:rPr>
              <w:t>产出（30）</w:t>
            </w:r>
          </w:p>
        </w:tc>
        <w:tc>
          <w:tcPr>
            <w:tcW w:w="1070" w:type="pct"/>
            <w:tcBorders>
              <w:top w:val="single" w:color="auto" w:sz="4" w:space="0"/>
              <w:left w:val="single" w:color="auto" w:sz="4" w:space="0"/>
              <w:bottom w:val="single" w:color="auto" w:sz="4" w:space="0"/>
              <w:right w:val="single" w:color="auto" w:sz="4" w:space="0"/>
            </w:tcBorders>
            <w:noWrap w:val="0"/>
            <w:vAlign w:val="center"/>
          </w:tcPr>
          <w:p w14:paraId="3818D05D">
            <w:pPr>
              <w:jc w:val="left"/>
              <w:rPr>
                <w:rFonts w:hint="eastAsia" w:ascii="宋体" w:hAnsi="宋体" w:cs="宋体"/>
                <w:color w:val="000000"/>
                <w:kern w:val="0"/>
                <w:sz w:val="20"/>
                <w:szCs w:val="20"/>
              </w:rPr>
            </w:pPr>
            <w:r>
              <w:rPr>
                <w:rFonts w:hint="eastAsia" w:ascii="宋体" w:hAnsi="宋体" w:cs="宋体"/>
                <w:color w:val="000000"/>
                <w:kern w:val="0"/>
                <w:sz w:val="20"/>
                <w:szCs w:val="20"/>
              </w:rPr>
              <w:t>产出数量：举办党校教学培训</w:t>
            </w:r>
            <w:r>
              <w:rPr>
                <w:rFonts w:hint="eastAsia" w:ascii="宋体" w:hAnsi="宋体" w:cs="宋体"/>
                <w:color w:val="000000"/>
                <w:kern w:val="0"/>
                <w:sz w:val="20"/>
                <w:szCs w:val="20"/>
                <w:lang w:eastAsia="zh-CN"/>
              </w:rPr>
              <w:t>班次</w:t>
            </w:r>
            <w:r>
              <w:rPr>
                <w:rFonts w:hint="eastAsia" w:ascii="宋体" w:hAnsi="宋体" w:cs="宋体"/>
                <w:color w:val="000000"/>
                <w:kern w:val="0"/>
                <w:sz w:val="20"/>
                <w:szCs w:val="20"/>
              </w:rPr>
              <w:t>（主体班次培训）</w:t>
            </w:r>
          </w:p>
        </w:tc>
        <w:tc>
          <w:tcPr>
            <w:tcW w:w="858" w:type="pct"/>
            <w:gridSpan w:val="2"/>
            <w:tcBorders>
              <w:top w:val="single" w:color="auto" w:sz="4" w:space="0"/>
              <w:left w:val="single" w:color="auto" w:sz="4" w:space="0"/>
              <w:bottom w:val="single" w:color="auto" w:sz="4" w:space="0"/>
              <w:right w:val="single" w:color="auto" w:sz="4" w:space="0"/>
            </w:tcBorders>
            <w:noWrap w:val="0"/>
            <w:vAlign w:val="center"/>
          </w:tcPr>
          <w:p w14:paraId="2BD859C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4期</w:t>
            </w:r>
          </w:p>
        </w:tc>
        <w:tc>
          <w:tcPr>
            <w:tcW w:w="685" w:type="pct"/>
            <w:tcBorders>
              <w:top w:val="single" w:color="auto" w:sz="4" w:space="0"/>
              <w:left w:val="single" w:color="auto" w:sz="4" w:space="0"/>
              <w:bottom w:val="single" w:color="auto" w:sz="4" w:space="0"/>
              <w:right w:val="single" w:color="auto" w:sz="4" w:space="0"/>
            </w:tcBorders>
            <w:noWrap w:val="0"/>
            <w:vAlign w:val="center"/>
          </w:tcPr>
          <w:p w14:paraId="462C28E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4期</w:t>
            </w:r>
          </w:p>
        </w:tc>
        <w:tc>
          <w:tcPr>
            <w:tcW w:w="451" w:type="pct"/>
            <w:tcBorders>
              <w:top w:val="single" w:color="auto" w:sz="4" w:space="0"/>
              <w:left w:val="single" w:color="auto" w:sz="4" w:space="0"/>
              <w:bottom w:val="single" w:color="auto" w:sz="4" w:space="0"/>
              <w:right w:val="single" w:color="auto" w:sz="4" w:space="0"/>
            </w:tcBorders>
            <w:noWrap w:val="0"/>
            <w:vAlign w:val="center"/>
          </w:tcPr>
          <w:p w14:paraId="123C4577">
            <w:pPr>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412" w:type="pct"/>
            <w:tcBorders>
              <w:top w:val="single" w:color="auto" w:sz="4" w:space="0"/>
              <w:left w:val="single" w:color="auto" w:sz="4" w:space="0"/>
              <w:bottom w:val="single" w:color="auto" w:sz="4" w:space="0"/>
              <w:right w:val="single" w:color="auto" w:sz="4" w:space="0"/>
            </w:tcBorders>
            <w:noWrap w:val="0"/>
            <w:vAlign w:val="center"/>
          </w:tcPr>
          <w:p w14:paraId="425CB93A">
            <w:pPr>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val="en-US" w:eastAsia="zh-CN"/>
              </w:rPr>
              <w:t>4</w:t>
            </w:r>
          </w:p>
        </w:tc>
      </w:tr>
      <w:tr w14:paraId="66BDF91D">
        <w:tblPrEx>
          <w:tblCellMar>
            <w:top w:w="0" w:type="dxa"/>
            <w:left w:w="108" w:type="dxa"/>
            <w:bottom w:w="0" w:type="dxa"/>
            <w:right w:w="108" w:type="dxa"/>
          </w:tblCellMar>
        </w:tblPrEx>
        <w:trPr>
          <w:trHeight w:val="1304" w:hRule="atLeast"/>
        </w:trPr>
        <w:tc>
          <w:tcPr>
            <w:tcW w:w="685" w:type="pct"/>
            <w:vMerge w:val="continue"/>
            <w:tcBorders>
              <w:top w:val="single" w:color="auto" w:sz="4" w:space="0"/>
              <w:left w:val="single" w:color="auto" w:sz="4" w:space="0"/>
              <w:bottom w:val="single" w:color="auto" w:sz="4" w:space="0"/>
              <w:right w:val="single" w:color="auto" w:sz="4" w:space="0"/>
            </w:tcBorders>
            <w:noWrap w:val="0"/>
            <w:vAlign w:val="center"/>
          </w:tcPr>
          <w:p w14:paraId="3582253A">
            <w:pPr>
              <w:widowControl/>
              <w:jc w:val="left"/>
              <w:rPr>
                <w:rFonts w:ascii="宋体" w:hAnsi="宋体" w:cs="宋体"/>
                <w:color w:val="000000"/>
                <w:kern w:val="0"/>
                <w:sz w:val="20"/>
                <w:szCs w:val="20"/>
              </w:rPr>
            </w:pPr>
          </w:p>
        </w:tc>
        <w:tc>
          <w:tcPr>
            <w:tcW w:w="836" w:type="pct"/>
            <w:vMerge w:val="continue"/>
            <w:tcBorders>
              <w:top w:val="single" w:color="auto" w:sz="4" w:space="0"/>
              <w:left w:val="single" w:color="auto" w:sz="4" w:space="0"/>
              <w:bottom w:val="single" w:color="auto" w:sz="4" w:space="0"/>
              <w:right w:val="single" w:color="auto" w:sz="4" w:space="0"/>
            </w:tcBorders>
            <w:noWrap w:val="0"/>
            <w:vAlign w:val="center"/>
          </w:tcPr>
          <w:p w14:paraId="61842C5B">
            <w:pPr>
              <w:widowControl/>
              <w:jc w:val="left"/>
              <w:rPr>
                <w:rFonts w:ascii="宋体" w:hAnsi="宋体" w:cs="宋体"/>
                <w:color w:val="000000"/>
                <w:kern w:val="0"/>
                <w:sz w:val="20"/>
                <w:szCs w:val="20"/>
              </w:rPr>
            </w:pPr>
          </w:p>
        </w:tc>
        <w:tc>
          <w:tcPr>
            <w:tcW w:w="1070" w:type="pct"/>
            <w:tcBorders>
              <w:top w:val="single" w:color="auto" w:sz="4" w:space="0"/>
              <w:left w:val="single" w:color="auto" w:sz="4" w:space="0"/>
              <w:bottom w:val="single" w:color="auto" w:sz="4" w:space="0"/>
              <w:right w:val="single" w:color="auto" w:sz="4" w:space="0"/>
            </w:tcBorders>
            <w:noWrap w:val="0"/>
            <w:vAlign w:val="center"/>
          </w:tcPr>
          <w:p w14:paraId="1892016B">
            <w:pPr>
              <w:jc w:val="left"/>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rPr>
              <w:t>产出数量：教学资源</w:t>
            </w:r>
            <w:r>
              <w:rPr>
                <w:rFonts w:hint="eastAsia" w:ascii="宋体" w:hAnsi="宋体" w:cs="宋体"/>
                <w:color w:val="000000"/>
                <w:kern w:val="0"/>
                <w:sz w:val="20"/>
                <w:szCs w:val="20"/>
                <w:lang w:eastAsia="zh-CN"/>
              </w:rPr>
              <w:t>建设项目</w:t>
            </w:r>
          </w:p>
        </w:tc>
        <w:tc>
          <w:tcPr>
            <w:tcW w:w="858" w:type="pct"/>
            <w:gridSpan w:val="2"/>
            <w:tcBorders>
              <w:top w:val="single" w:color="auto" w:sz="4" w:space="0"/>
              <w:left w:val="single" w:color="auto" w:sz="4" w:space="0"/>
              <w:bottom w:val="single" w:color="auto" w:sz="4" w:space="0"/>
              <w:right w:val="single" w:color="auto" w:sz="4" w:space="0"/>
            </w:tcBorders>
            <w:noWrap w:val="0"/>
            <w:vAlign w:val="center"/>
          </w:tcPr>
          <w:p w14:paraId="63B0D224">
            <w:pPr>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3项</w:t>
            </w:r>
          </w:p>
        </w:tc>
        <w:tc>
          <w:tcPr>
            <w:tcW w:w="685" w:type="pct"/>
            <w:tcBorders>
              <w:top w:val="single" w:color="auto" w:sz="4" w:space="0"/>
              <w:left w:val="single" w:color="auto" w:sz="4" w:space="0"/>
              <w:bottom w:val="single" w:color="auto" w:sz="4" w:space="0"/>
              <w:right w:val="single" w:color="auto" w:sz="4" w:space="0"/>
            </w:tcBorders>
            <w:noWrap w:val="0"/>
            <w:vAlign w:val="center"/>
          </w:tcPr>
          <w:p w14:paraId="0726C772">
            <w:pPr>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3项</w:t>
            </w:r>
          </w:p>
        </w:tc>
        <w:tc>
          <w:tcPr>
            <w:tcW w:w="451" w:type="pct"/>
            <w:tcBorders>
              <w:top w:val="single" w:color="auto" w:sz="4" w:space="0"/>
              <w:left w:val="single" w:color="auto" w:sz="4" w:space="0"/>
              <w:bottom w:val="single" w:color="auto" w:sz="4" w:space="0"/>
              <w:right w:val="single" w:color="auto" w:sz="4" w:space="0"/>
            </w:tcBorders>
            <w:noWrap w:val="0"/>
            <w:vAlign w:val="center"/>
          </w:tcPr>
          <w:p w14:paraId="38A37E49">
            <w:pPr>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412" w:type="pct"/>
            <w:tcBorders>
              <w:top w:val="single" w:color="auto" w:sz="4" w:space="0"/>
              <w:left w:val="single" w:color="auto" w:sz="4" w:space="0"/>
              <w:bottom w:val="single" w:color="auto" w:sz="4" w:space="0"/>
              <w:right w:val="single" w:color="auto" w:sz="4" w:space="0"/>
            </w:tcBorders>
            <w:noWrap/>
            <w:vAlign w:val="center"/>
          </w:tcPr>
          <w:p w14:paraId="088E726D">
            <w:pPr>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r>
      <w:tr w14:paraId="663AE727">
        <w:tblPrEx>
          <w:tblCellMar>
            <w:top w:w="0" w:type="dxa"/>
            <w:left w:w="108" w:type="dxa"/>
            <w:bottom w:w="0" w:type="dxa"/>
            <w:right w:w="108" w:type="dxa"/>
          </w:tblCellMar>
        </w:tblPrEx>
        <w:trPr>
          <w:trHeight w:val="1304" w:hRule="atLeast"/>
        </w:trPr>
        <w:tc>
          <w:tcPr>
            <w:tcW w:w="685" w:type="pct"/>
            <w:vMerge w:val="continue"/>
            <w:tcBorders>
              <w:top w:val="single" w:color="auto" w:sz="4" w:space="0"/>
              <w:left w:val="single" w:color="auto" w:sz="4" w:space="0"/>
              <w:bottom w:val="single" w:color="auto" w:sz="4" w:space="0"/>
              <w:right w:val="single" w:color="auto" w:sz="4" w:space="0"/>
            </w:tcBorders>
            <w:noWrap w:val="0"/>
            <w:vAlign w:val="center"/>
          </w:tcPr>
          <w:p w14:paraId="39E64FD4">
            <w:pPr>
              <w:widowControl/>
              <w:jc w:val="left"/>
              <w:rPr>
                <w:rFonts w:ascii="宋体" w:hAnsi="宋体" w:cs="宋体"/>
                <w:color w:val="000000"/>
                <w:kern w:val="0"/>
                <w:sz w:val="20"/>
                <w:szCs w:val="20"/>
              </w:rPr>
            </w:pPr>
          </w:p>
        </w:tc>
        <w:tc>
          <w:tcPr>
            <w:tcW w:w="836" w:type="pct"/>
            <w:vMerge w:val="continue"/>
            <w:tcBorders>
              <w:top w:val="single" w:color="auto" w:sz="4" w:space="0"/>
              <w:left w:val="single" w:color="auto" w:sz="4" w:space="0"/>
              <w:bottom w:val="single" w:color="auto" w:sz="4" w:space="0"/>
              <w:right w:val="single" w:color="auto" w:sz="4" w:space="0"/>
            </w:tcBorders>
            <w:noWrap w:val="0"/>
            <w:vAlign w:val="center"/>
          </w:tcPr>
          <w:p w14:paraId="5B736212">
            <w:pPr>
              <w:widowControl/>
              <w:jc w:val="left"/>
              <w:rPr>
                <w:rFonts w:ascii="宋体" w:hAnsi="宋体" w:cs="宋体"/>
                <w:color w:val="000000"/>
                <w:kern w:val="0"/>
                <w:sz w:val="20"/>
                <w:szCs w:val="20"/>
              </w:rPr>
            </w:pPr>
          </w:p>
        </w:tc>
        <w:tc>
          <w:tcPr>
            <w:tcW w:w="1070" w:type="pct"/>
            <w:tcBorders>
              <w:top w:val="single" w:color="auto" w:sz="4" w:space="0"/>
              <w:left w:val="single" w:color="auto" w:sz="4" w:space="0"/>
              <w:bottom w:val="single" w:color="auto" w:sz="4" w:space="0"/>
              <w:right w:val="single" w:color="auto" w:sz="4" w:space="0"/>
            </w:tcBorders>
            <w:noWrap w:val="0"/>
            <w:vAlign w:val="center"/>
          </w:tcPr>
          <w:p w14:paraId="4DA13F22">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产出质量：教学培训任务完成率（主体班次培训）</w:t>
            </w:r>
          </w:p>
        </w:tc>
        <w:tc>
          <w:tcPr>
            <w:tcW w:w="858" w:type="pct"/>
            <w:gridSpan w:val="2"/>
            <w:tcBorders>
              <w:top w:val="single" w:color="auto" w:sz="4" w:space="0"/>
              <w:left w:val="single" w:color="auto" w:sz="4" w:space="0"/>
              <w:bottom w:val="single" w:color="auto" w:sz="4" w:space="0"/>
              <w:right w:val="single" w:color="auto" w:sz="4" w:space="0"/>
            </w:tcBorders>
            <w:noWrap w:val="0"/>
            <w:vAlign w:val="center"/>
          </w:tcPr>
          <w:p w14:paraId="6E43CC71">
            <w:pPr>
              <w:jc w:val="center"/>
              <w:rPr>
                <w:rFonts w:hint="eastAsia" w:ascii="宋体" w:hAnsi="宋体" w:cs="宋体"/>
                <w:color w:val="000000"/>
                <w:kern w:val="0"/>
                <w:sz w:val="20"/>
                <w:szCs w:val="20"/>
              </w:rPr>
            </w:pPr>
            <w:r>
              <w:rPr>
                <w:rFonts w:hint="eastAsia" w:ascii="宋体" w:hAnsi="宋体" w:cs="宋体"/>
                <w:color w:val="000000"/>
                <w:kern w:val="0"/>
                <w:sz w:val="20"/>
                <w:szCs w:val="20"/>
              </w:rPr>
              <w:t>≥9</w:t>
            </w:r>
            <w:r>
              <w:rPr>
                <w:rFonts w:hint="eastAsia" w:ascii="宋体" w:hAnsi="宋体" w:cs="宋体"/>
                <w:color w:val="000000"/>
                <w:kern w:val="0"/>
                <w:sz w:val="20"/>
                <w:szCs w:val="20"/>
                <w:lang w:val="en-US" w:eastAsia="zh-CN"/>
              </w:rPr>
              <w:t>5</w:t>
            </w:r>
            <w:r>
              <w:rPr>
                <w:rFonts w:hint="eastAsia" w:ascii="宋体" w:hAnsi="宋体" w:cs="宋体"/>
                <w:color w:val="000000"/>
                <w:kern w:val="0"/>
                <w:sz w:val="20"/>
                <w:szCs w:val="20"/>
              </w:rPr>
              <w:t>%</w:t>
            </w:r>
          </w:p>
        </w:tc>
        <w:tc>
          <w:tcPr>
            <w:tcW w:w="685" w:type="pct"/>
            <w:tcBorders>
              <w:top w:val="single" w:color="auto" w:sz="4" w:space="0"/>
              <w:left w:val="single" w:color="auto" w:sz="4" w:space="0"/>
              <w:bottom w:val="single" w:color="auto" w:sz="4" w:space="0"/>
              <w:right w:val="single" w:color="auto" w:sz="4" w:space="0"/>
            </w:tcBorders>
            <w:noWrap w:val="0"/>
            <w:vAlign w:val="center"/>
          </w:tcPr>
          <w:p w14:paraId="18D83B2B">
            <w:pPr>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100%</w:t>
            </w:r>
          </w:p>
        </w:tc>
        <w:tc>
          <w:tcPr>
            <w:tcW w:w="451" w:type="pct"/>
            <w:tcBorders>
              <w:top w:val="single" w:color="auto" w:sz="4" w:space="0"/>
              <w:left w:val="single" w:color="auto" w:sz="4" w:space="0"/>
              <w:bottom w:val="single" w:color="auto" w:sz="4" w:space="0"/>
              <w:right w:val="single" w:color="auto" w:sz="4" w:space="0"/>
            </w:tcBorders>
            <w:noWrap w:val="0"/>
            <w:vAlign w:val="center"/>
          </w:tcPr>
          <w:p w14:paraId="0F7ECE91">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12" w:type="pct"/>
            <w:tcBorders>
              <w:top w:val="single" w:color="auto" w:sz="4" w:space="0"/>
              <w:left w:val="single" w:color="auto" w:sz="4" w:space="0"/>
              <w:bottom w:val="single" w:color="auto" w:sz="4" w:space="0"/>
              <w:right w:val="single" w:color="auto" w:sz="4" w:space="0"/>
            </w:tcBorders>
            <w:noWrap/>
            <w:vAlign w:val="center"/>
          </w:tcPr>
          <w:p w14:paraId="6A3AC5AD">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val="en-US" w:eastAsia="zh-CN"/>
              </w:rPr>
              <w:t>2</w:t>
            </w:r>
          </w:p>
        </w:tc>
      </w:tr>
      <w:tr w14:paraId="5CC0B449">
        <w:tblPrEx>
          <w:tblCellMar>
            <w:top w:w="0" w:type="dxa"/>
            <w:left w:w="108" w:type="dxa"/>
            <w:bottom w:w="0" w:type="dxa"/>
            <w:right w:w="108" w:type="dxa"/>
          </w:tblCellMar>
        </w:tblPrEx>
        <w:trPr>
          <w:trHeight w:val="1304" w:hRule="atLeast"/>
        </w:trPr>
        <w:tc>
          <w:tcPr>
            <w:tcW w:w="685" w:type="pct"/>
            <w:vMerge w:val="continue"/>
            <w:tcBorders>
              <w:top w:val="single" w:color="auto" w:sz="4" w:space="0"/>
              <w:left w:val="single" w:color="auto" w:sz="4" w:space="0"/>
              <w:bottom w:val="single" w:color="auto" w:sz="4" w:space="0"/>
              <w:right w:val="single" w:color="auto" w:sz="4" w:space="0"/>
            </w:tcBorders>
            <w:noWrap w:val="0"/>
            <w:vAlign w:val="center"/>
          </w:tcPr>
          <w:p w14:paraId="7545AD92">
            <w:pPr>
              <w:widowControl/>
              <w:jc w:val="left"/>
              <w:rPr>
                <w:rFonts w:ascii="宋体" w:hAnsi="宋体" w:cs="宋体"/>
                <w:color w:val="000000"/>
                <w:kern w:val="0"/>
                <w:sz w:val="20"/>
                <w:szCs w:val="20"/>
              </w:rPr>
            </w:pPr>
          </w:p>
        </w:tc>
        <w:tc>
          <w:tcPr>
            <w:tcW w:w="836" w:type="pct"/>
            <w:vMerge w:val="continue"/>
            <w:tcBorders>
              <w:top w:val="single" w:color="auto" w:sz="4" w:space="0"/>
              <w:left w:val="single" w:color="auto" w:sz="4" w:space="0"/>
              <w:bottom w:val="single" w:color="auto" w:sz="4" w:space="0"/>
              <w:right w:val="single" w:color="auto" w:sz="4" w:space="0"/>
            </w:tcBorders>
            <w:noWrap w:val="0"/>
            <w:vAlign w:val="center"/>
          </w:tcPr>
          <w:p w14:paraId="49CCDE37">
            <w:pPr>
              <w:widowControl/>
              <w:jc w:val="left"/>
              <w:rPr>
                <w:rFonts w:ascii="宋体" w:hAnsi="宋体" w:cs="宋体"/>
                <w:color w:val="000000"/>
                <w:kern w:val="0"/>
                <w:sz w:val="20"/>
                <w:szCs w:val="20"/>
              </w:rPr>
            </w:pPr>
          </w:p>
        </w:tc>
        <w:tc>
          <w:tcPr>
            <w:tcW w:w="1070" w:type="pct"/>
            <w:tcBorders>
              <w:top w:val="single" w:color="auto" w:sz="4" w:space="0"/>
              <w:left w:val="single" w:color="auto" w:sz="4" w:space="0"/>
              <w:bottom w:val="single" w:color="auto" w:sz="4" w:space="0"/>
              <w:right w:val="single" w:color="auto" w:sz="4" w:space="0"/>
            </w:tcBorders>
            <w:noWrap w:val="0"/>
            <w:vAlign w:val="center"/>
          </w:tcPr>
          <w:p w14:paraId="3C61589B">
            <w:pPr>
              <w:widowControl/>
              <w:jc w:val="left"/>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产出质量：调研成果转化（</w:t>
            </w:r>
            <w:r>
              <w:rPr>
                <w:rFonts w:hint="eastAsia" w:ascii="宋体" w:hAnsi="宋体" w:cs="宋体"/>
                <w:color w:val="000000"/>
                <w:kern w:val="0"/>
                <w:sz w:val="20"/>
                <w:szCs w:val="20"/>
                <w:lang w:eastAsia="zh-CN"/>
              </w:rPr>
              <w:t>教育教学</w:t>
            </w:r>
            <w:r>
              <w:rPr>
                <w:rFonts w:hint="eastAsia" w:ascii="宋体" w:hAnsi="宋体" w:cs="宋体"/>
                <w:color w:val="000000"/>
                <w:kern w:val="0"/>
                <w:sz w:val="20"/>
                <w:szCs w:val="20"/>
              </w:rPr>
              <w:t>）</w:t>
            </w:r>
          </w:p>
        </w:tc>
        <w:tc>
          <w:tcPr>
            <w:tcW w:w="858" w:type="pct"/>
            <w:gridSpan w:val="2"/>
            <w:tcBorders>
              <w:top w:val="single" w:color="auto" w:sz="4" w:space="0"/>
              <w:left w:val="single" w:color="auto" w:sz="4" w:space="0"/>
              <w:bottom w:val="single" w:color="auto" w:sz="4" w:space="0"/>
              <w:right w:val="single" w:color="auto" w:sz="4" w:space="0"/>
            </w:tcBorders>
            <w:noWrap w:val="0"/>
            <w:vAlign w:val="center"/>
          </w:tcPr>
          <w:p w14:paraId="17C74060">
            <w:pPr>
              <w:widowControl/>
              <w:jc w:val="center"/>
              <w:rPr>
                <w:rFonts w:hint="default"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bidi="ar-SA"/>
              </w:rPr>
              <w:t>2项</w:t>
            </w:r>
          </w:p>
        </w:tc>
        <w:tc>
          <w:tcPr>
            <w:tcW w:w="685" w:type="pct"/>
            <w:tcBorders>
              <w:top w:val="single" w:color="auto" w:sz="4" w:space="0"/>
              <w:left w:val="single" w:color="auto" w:sz="4" w:space="0"/>
              <w:bottom w:val="single" w:color="auto" w:sz="4" w:space="0"/>
              <w:right w:val="single" w:color="auto" w:sz="4" w:space="0"/>
            </w:tcBorders>
            <w:noWrap w:val="0"/>
            <w:vAlign w:val="center"/>
          </w:tcPr>
          <w:p w14:paraId="4ECFE7F0">
            <w:pPr>
              <w:widowControl/>
              <w:jc w:val="center"/>
              <w:rPr>
                <w:rFonts w:hint="default"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bidi="ar-SA"/>
              </w:rPr>
              <w:t>2项</w:t>
            </w:r>
          </w:p>
        </w:tc>
        <w:tc>
          <w:tcPr>
            <w:tcW w:w="451" w:type="pct"/>
            <w:tcBorders>
              <w:top w:val="single" w:color="auto" w:sz="4" w:space="0"/>
              <w:left w:val="single" w:color="auto" w:sz="4" w:space="0"/>
              <w:bottom w:val="single" w:color="auto" w:sz="4" w:space="0"/>
              <w:right w:val="single" w:color="auto" w:sz="4" w:space="0"/>
            </w:tcBorders>
            <w:noWrap w:val="0"/>
            <w:vAlign w:val="center"/>
          </w:tcPr>
          <w:p w14:paraId="205559E0">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rPr>
              <w:t>2</w:t>
            </w:r>
          </w:p>
        </w:tc>
        <w:tc>
          <w:tcPr>
            <w:tcW w:w="412" w:type="pct"/>
            <w:tcBorders>
              <w:top w:val="single" w:color="auto" w:sz="4" w:space="0"/>
              <w:left w:val="single" w:color="auto" w:sz="4" w:space="0"/>
              <w:bottom w:val="single" w:color="auto" w:sz="4" w:space="0"/>
              <w:right w:val="single" w:color="auto" w:sz="4" w:space="0"/>
            </w:tcBorders>
            <w:noWrap/>
            <w:vAlign w:val="center"/>
          </w:tcPr>
          <w:p w14:paraId="53CA184C">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rPr>
              <w:t>2</w:t>
            </w:r>
          </w:p>
        </w:tc>
      </w:tr>
      <w:tr w14:paraId="4EB01848">
        <w:tblPrEx>
          <w:tblCellMar>
            <w:top w:w="0" w:type="dxa"/>
            <w:left w:w="108" w:type="dxa"/>
            <w:bottom w:w="0" w:type="dxa"/>
            <w:right w:w="108" w:type="dxa"/>
          </w:tblCellMar>
        </w:tblPrEx>
        <w:trPr>
          <w:trHeight w:val="1304" w:hRule="atLeast"/>
        </w:trPr>
        <w:tc>
          <w:tcPr>
            <w:tcW w:w="685" w:type="pct"/>
            <w:vMerge w:val="continue"/>
            <w:tcBorders>
              <w:top w:val="single" w:color="auto" w:sz="4" w:space="0"/>
              <w:left w:val="single" w:color="auto" w:sz="4" w:space="0"/>
              <w:bottom w:val="single" w:color="auto" w:sz="4" w:space="0"/>
              <w:right w:val="single" w:color="auto" w:sz="4" w:space="0"/>
            </w:tcBorders>
            <w:noWrap w:val="0"/>
            <w:vAlign w:val="center"/>
          </w:tcPr>
          <w:p w14:paraId="3C93F079">
            <w:pPr>
              <w:widowControl/>
              <w:jc w:val="left"/>
              <w:rPr>
                <w:rFonts w:ascii="宋体" w:hAnsi="宋体" w:cs="宋体"/>
                <w:color w:val="000000"/>
                <w:kern w:val="0"/>
                <w:sz w:val="20"/>
                <w:szCs w:val="20"/>
              </w:rPr>
            </w:pPr>
          </w:p>
        </w:tc>
        <w:tc>
          <w:tcPr>
            <w:tcW w:w="836" w:type="pct"/>
            <w:vMerge w:val="continue"/>
            <w:tcBorders>
              <w:top w:val="single" w:color="auto" w:sz="4" w:space="0"/>
              <w:left w:val="single" w:color="auto" w:sz="4" w:space="0"/>
              <w:bottom w:val="single" w:color="auto" w:sz="4" w:space="0"/>
              <w:right w:val="single" w:color="auto" w:sz="4" w:space="0"/>
            </w:tcBorders>
            <w:noWrap w:val="0"/>
            <w:vAlign w:val="center"/>
          </w:tcPr>
          <w:p w14:paraId="69F363F1">
            <w:pPr>
              <w:widowControl/>
              <w:jc w:val="left"/>
              <w:rPr>
                <w:rFonts w:ascii="宋体" w:hAnsi="宋体" w:cs="宋体"/>
                <w:color w:val="000000"/>
                <w:kern w:val="0"/>
                <w:sz w:val="20"/>
                <w:szCs w:val="20"/>
              </w:rPr>
            </w:pPr>
          </w:p>
        </w:tc>
        <w:tc>
          <w:tcPr>
            <w:tcW w:w="1070" w:type="pct"/>
            <w:tcBorders>
              <w:top w:val="single" w:color="auto" w:sz="4" w:space="0"/>
              <w:left w:val="single" w:color="auto" w:sz="4" w:space="0"/>
              <w:bottom w:val="single" w:color="auto" w:sz="4" w:space="0"/>
              <w:right w:val="single" w:color="auto" w:sz="4" w:space="0"/>
            </w:tcBorders>
            <w:noWrap w:val="0"/>
            <w:vAlign w:val="center"/>
          </w:tcPr>
          <w:p w14:paraId="7D844004">
            <w:pPr>
              <w:widowControl/>
              <w:jc w:val="left"/>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产出质量：教师培训任务完成率（</w:t>
            </w:r>
            <w:r>
              <w:rPr>
                <w:rFonts w:hint="eastAsia" w:ascii="宋体" w:hAnsi="宋体" w:cs="宋体"/>
                <w:color w:val="000000"/>
                <w:kern w:val="0"/>
                <w:sz w:val="20"/>
                <w:szCs w:val="20"/>
                <w:lang w:eastAsia="zh-CN"/>
              </w:rPr>
              <w:t>支持教师队伍建设</w:t>
            </w:r>
            <w:r>
              <w:rPr>
                <w:rFonts w:hint="eastAsia" w:ascii="宋体" w:hAnsi="宋体" w:cs="宋体"/>
                <w:color w:val="000000"/>
                <w:kern w:val="0"/>
                <w:sz w:val="20"/>
                <w:szCs w:val="20"/>
              </w:rPr>
              <w:t>）</w:t>
            </w:r>
          </w:p>
        </w:tc>
        <w:tc>
          <w:tcPr>
            <w:tcW w:w="858" w:type="pct"/>
            <w:gridSpan w:val="2"/>
            <w:tcBorders>
              <w:top w:val="single" w:color="auto" w:sz="4" w:space="0"/>
              <w:left w:val="single" w:color="auto" w:sz="4" w:space="0"/>
              <w:bottom w:val="single" w:color="auto" w:sz="4" w:space="0"/>
              <w:right w:val="single" w:color="auto" w:sz="4" w:space="0"/>
            </w:tcBorders>
            <w:noWrap w:val="0"/>
            <w:vAlign w:val="center"/>
          </w:tcPr>
          <w:p w14:paraId="107C56E2">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≥9</w:t>
            </w:r>
            <w:r>
              <w:rPr>
                <w:rFonts w:hint="eastAsia" w:ascii="宋体" w:hAnsi="宋体" w:cs="宋体"/>
                <w:color w:val="000000"/>
                <w:kern w:val="0"/>
                <w:sz w:val="20"/>
                <w:szCs w:val="20"/>
                <w:lang w:val="en-US" w:eastAsia="zh-CN"/>
              </w:rPr>
              <w:t>5</w:t>
            </w:r>
            <w:r>
              <w:rPr>
                <w:rFonts w:hint="eastAsia" w:ascii="宋体" w:hAnsi="宋体" w:cs="宋体"/>
                <w:color w:val="000000"/>
                <w:kern w:val="0"/>
                <w:sz w:val="20"/>
                <w:szCs w:val="20"/>
              </w:rPr>
              <w:t>%</w:t>
            </w:r>
          </w:p>
        </w:tc>
        <w:tc>
          <w:tcPr>
            <w:tcW w:w="685" w:type="pct"/>
            <w:tcBorders>
              <w:top w:val="single" w:color="auto" w:sz="4" w:space="0"/>
              <w:left w:val="single" w:color="auto" w:sz="4" w:space="0"/>
              <w:bottom w:val="single" w:color="auto" w:sz="4" w:space="0"/>
              <w:right w:val="single" w:color="auto" w:sz="4" w:space="0"/>
            </w:tcBorders>
            <w:noWrap w:val="0"/>
            <w:vAlign w:val="center"/>
          </w:tcPr>
          <w:p w14:paraId="219E569D">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rPr>
              <w:t>100</w:t>
            </w:r>
            <w:r>
              <w:rPr>
                <w:rFonts w:hint="eastAsia" w:ascii="宋体" w:hAnsi="宋体" w:cs="宋体"/>
                <w:color w:val="000000"/>
                <w:kern w:val="0"/>
                <w:sz w:val="20"/>
                <w:szCs w:val="20"/>
              </w:rPr>
              <w:t>%</w:t>
            </w:r>
          </w:p>
        </w:tc>
        <w:tc>
          <w:tcPr>
            <w:tcW w:w="451" w:type="pct"/>
            <w:tcBorders>
              <w:top w:val="single" w:color="auto" w:sz="4" w:space="0"/>
              <w:left w:val="single" w:color="auto" w:sz="4" w:space="0"/>
              <w:bottom w:val="single" w:color="auto" w:sz="4" w:space="0"/>
              <w:right w:val="single" w:color="auto" w:sz="4" w:space="0"/>
            </w:tcBorders>
            <w:noWrap w:val="0"/>
            <w:vAlign w:val="center"/>
          </w:tcPr>
          <w:p w14:paraId="3BDDBD42">
            <w:pPr>
              <w:widowControl/>
              <w:jc w:val="center"/>
              <w:rPr>
                <w:rFonts w:hint="default"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bidi="ar-SA"/>
              </w:rPr>
              <w:t>3</w:t>
            </w:r>
          </w:p>
        </w:tc>
        <w:tc>
          <w:tcPr>
            <w:tcW w:w="412" w:type="pct"/>
            <w:tcBorders>
              <w:top w:val="single" w:color="auto" w:sz="4" w:space="0"/>
              <w:left w:val="single" w:color="auto" w:sz="4" w:space="0"/>
              <w:bottom w:val="single" w:color="auto" w:sz="4" w:space="0"/>
              <w:right w:val="single" w:color="auto" w:sz="4" w:space="0"/>
            </w:tcBorders>
            <w:noWrap/>
            <w:vAlign w:val="center"/>
          </w:tcPr>
          <w:p w14:paraId="578CE971">
            <w:pPr>
              <w:widowControl/>
              <w:jc w:val="center"/>
              <w:rPr>
                <w:rFonts w:hint="default"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bidi="ar-SA"/>
              </w:rPr>
              <w:t>3</w:t>
            </w:r>
          </w:p>
        </w:tc>
      </w:tr>
      <w:tr w14:paraId="559B0E11">
        <w:tblPrEx>
          <w:tblCellMar>
            <w:top w:w="0" w:type="dxa"/>
            <w:left w:w="108" w:type="dxa"/>
            <w:bottom w:w="0" w:type="dxa"/>
            <w:right w:w="108" w:type="dxa"/>
          </w:tblCellMar>
        </w:tblPrEx>
        <w:trPr>
          <w:trHeight w:val="1304" w:hRule="atLeast"/>
        </w:trPr>
        <w:tc>
          <w:tcPr>
            <w:tcW w:w="685" w:type="pct"/>
            <w:vMerge w:val="continue"/>
            <w:tcBorders>
              <w:top w:val="single" w:color="auto" w:sz="4" w:space="0"/>
              <w:left w:val="single" w:color="auto" w:sz="4" w:space="0"/>
              <w:bottom w:val="single" w:color="auto" w:sz="4" w:space="0"/>
              <w:right w:val="single" w:color="auto" w:sz="4" w:space="0"/>
            </w:tcBorders>
            <w:noWrap w:val="0"/>
            <w:vAlign w:val="center"/>
          </w:tcPr>
          <w:p w14:paraId="57A2DCAA">
            <w:pPr>
              <w:widowControl/>
              <w:jc w:val="left"/>
              <w:rPr>
                <w:rFonts w:ascii="宋体" w:hAnsi="宋体" w:cs="宋体"/>
                <w:color w:val="000000"/>
                <w:kern w:val="0"/>
                <w:sz w:val="20"/>
                <w:szCs w:val="20"/>
              </w:rPr>
            </w:pPr>
          </w:p>
        </w:tc>
        <w:tc>
          <w:tcPr>
            <w:tcW w:w="836" w:type="pct"/>
            <w:vMerge w:val="continue"/>
            <w:tcBorders>
              <w:top w:val="single" w:color="auto" w:sz="4" w:space="0"/>
              <w:left w:val="single" w:color="auto" w:sz="4" w:space="0"/>
              <w:bottom w:val="single" w:color="auto" w:sz="4" w:space="0"/>
              <w:right w:val="single" w:color="auto" w:sz="4" w:space="0"/>
            </w:tcBorders>
            <w:noWrap w:val="0"/>
            <w:vAlign w:val="center"/>
          </w:tcPr>
          <w:p w14:paraId="786B61FB">
            <w:pPr>
              <w:widowControl/>
              <w:jc w:val="left"/>
              <w:rPr>
                <w:rFonts w:ascii="宋体" w:hAnsi="宋体" w:cs="宋体"/>
                <w:color w:val="000000"/>
                <w:kern w:val="0"/>
                <w:sz w:val="20"/>
                <w:szCs w:val="20"/>
              </w:rPr>
            </w:pPr>
          </w:p>
        </w:tc>
        <w:tc>
          <w:tcPr>
            <w:tcW w:w="1070" w:type="pct"/>
            <w:tcBorders>
              <w:top w:val="single" w:color="auto" w:sz="4" w:space="0"/>
              <w:left w:val="single" w:color="auto" w:sz="4" w:space="0"/>
              <w:bottom w:val="single" w:color="auto" w:sz="4" w:space="0"/>
              <w:right w:val="single" w:color="auto" w:sz="4" w:space="0"/>
            </w:tcBorders>
            <w:noWrap w:val="0"/>
            <w:vAlign w:val="center"/>
          </w:tcPr>
          <w:p w14:paraId="62EFF6A8">
            <w:pPr>
              <w:widowControl/>
              <w:jc w:val="left"/>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产出质量：教学管理建设任务完成率（</w:t>
            </w:r>
            <w:r>
              <w:rPr>
                <w:rFonts w:hint="eastAsia" w:ascii="宋体" w:hAnsi="宋体" w:cs="宋体"/>
                <w:color w:val="000000"/>
                <w:kern w:val="0"/>
                <w:sz w:val="20"/>
                <w:szCs w:val="20"/>
                <w:lang w:eastAsia="zh-CN"/>
              </w:rPr>
              <w:t>教育教学</w:t>
            </w:r>
            <w:r>
              <w:rPr>
                <w:rFonts w:hint="eastAsia" w:ascii="宋体" w:hAnsi="宋体" w:cs="宋体"/>
                <w:color w:val="000000"/>
                <w:kern w:val="0"/>
                <w:sz w:val="20"/>
                <w:szCs w:val="20"/>
              </w:rPr>
              <w:t>）</w:t>
            </w:r>
          </w:p>
        </w:tc>
        <w:tc>
          <w:tcPr>
            <w:tcW w:w="858" w:type="pct"/>
            <w:gridSpan w:val="2"/>
            <w:tcBorders>
              <w:top w:val="single" w:color="auto" w:sz="4" w:space="0"/>
              <w:left w:val="single" w:color="auto" w:sz="4" w:space="0"/>
              <w:bottom w:val="single" w:color="auto" w:sz="4" w:space="0"/>
              <w:right w:val="single" w:color="auto" w:sz="4" w:space="0"/>
            </w:tcBorders>
            <w:noWrap w:val="0"/>
            <w:vAlign w:val="center"/>
          </w:tcPr>
          <w:p w14:paraId="2EBA062B">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≥9</w:t>
            </w:r>
            <w:r>
              <w:rPr>
                <w:rFonts w:hint="eastAsia" w:ascii="宋体" w:hAnsi="宋体" w:cs="宋体"/>
                <w:color w:val="000000"/>
                <w:kern w:val="0"/>
                <w:sz w:val="20"/>
                <w:szCs w:val="20"/>
                <w:lang w:val="en-US" w:eastAsia="zh-CN"/>
              </w:rPr>
              <w:t>0</w:t>
            </w:r>
            <w:r>
              <w:rPr>
                <w:rFonts w:hint="eastAsia" w:ascii="宋体" w:hAnsi="宋体" w:cs="宋体"/>
                <w:color w:val="000000"/>
                <w:kern w:val="0"/>
                <w:sz w:val="20"/>
                <w:szCs w:val="20"/>
              </w:rPr>
              <w:t>%</w:t>
            </w:r>
          </w:p>
        </w:tc>
        <w:tc>
          <w:tcPr>
            <w:tcW w:w="685" w:type="pct"/>
            <w:tcBorders>
              <w:top w:val="single" w:color="auto" w:sz="4" w:space="0"/>
              <w:left w:val="single" w:color="auto" w:sz="4" w:space="0"/>
              <w:bottom w:val="single" w:color="auto" w:sz="4" w:space="0"/>
              <w:right w:val="single" w:color="auto" w:sz="4" w:space="0"/>
            </w:tcBorders>
            <w:noWrap w:val="0"/>
            <w:vAlign w:val="center"/>
          </w:tcPr>
          <w:p w14:paraId="789680FF">
            <w:pPr>
              <w:widowControl/>
              <w:jc w:val="center"/>
              <w:rPr>
                <w:rFonts w:hint="default"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bidi="ar-SA"/>
              </w:rPr>
              <w:t>100%</w:t>
            </w:r>
          </w:p>
        </w:tc>
        <w:tc>
          <w:tcPr>
            <w:tcW w:w="451" w:type="pct"/>
            <w:tcBorders>
              <w:top w:val="single" w:color="auto" w:sz="4" w:space="0"/>
              <w:left w:val="single" w:color="auto" w:sz="4" w:space="0"/>
              <w:bottom w:val="single" w:color="auto" w:sz="4" w:space="0"/>
              <w:right w:val="single" w:color="auto" w:sz="4" w:space="0"/>
            </w:tcBorders>
            <w:noWrap w:val="0"/>
            <w:vAlign w:val="center"/>
          </w:tcPr>
          <w:p w14:paraId="3287C355">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rPr>
              <w:t>3</w:t>
            </w:r>
          </w:p>
        </w:tc>
        <w:tc>
          <w:tcPr>
            <w:tcW w:w="412" w:type="pct"/>
            <w:tcBorders>
              <w:top w:val="single" w:color="auto" w:sz="4" w:space="0"/>
              <w:left w:val="single" w:color="auto" w:sz="4" w:space="0"/>
              <w:bottom w:val="single" w:color="auto" w:sz="4" w:space="0"/>
              <w:right w:val="single" w:color="auto" w:sz="4" w:space="0"/>
            </w:tcBorders>
            <w:noWrap/>
            <w:vAlign w:val="center"/>
          </w:tcPr>
          <w:p w14:paraId="31D5B60F">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rPr>
              <w:t>3</w:t>
            </w:r>
          </w:p>
        </w:tc>
      </w:tr>
      <w:tr w14:paraId="29BF50B0">
        <w:tblPrEx>
          <w:tblCellMar>
            <w:top w:w="0" w:type="dxa"/>
            <w:left w:w="108" w:type="dxa"/>
            <w:bottom w:w="0" w:type="dxa"/>
            <w:right w:w="108" w:type="dxa"/>
          </w:tblCellMar>
        </w:tblPrEx>
        <w:trPr>
          <w:trHeight w:val="1304" w:hRule="atLeast"/>
        </w:trPr>
        <w:tc>
          <w:tcPr>
            <w:tcW w:w="685" w:type="pct"/>
            <w:vMerge w:val="continue"/>
            <w:tcBorders>
              <w:top w:val="single" w:color="auto" w:sz="4" w:space="0"/>
              <w:left w:val="single" w:color="auto" w:sz="4" w:space="0"/>
              <w:bottom w:val="single" w:color="auto" w:sz="4" w:space="0"/>
              <w:right w:val="single" w:color="auto" w:sz="4" w:space="0"/>
            </w:tcBorders>
            <w:noWrap w:val="0"/>
            <w:vAlign w:val="center"/>
          </w:tcPr>
          <w:p w14:paraId="76FE5518">
            <w:pPr>
              <w:widowControl/>
              <w:jc w:val="left"/>
              <w:rPr>
                <w:rFonts w:ascii="宋体" w:hAnsi="宋体" w:cs="宋体"/>
                <w:color w:val="000000"/>
                <w:kern w:val="0"/>
                <w:sz w:val="20"/>
                <w:szCs w:val="20"/>
              </w:rPr>
            </w:pPr>
          </w:p>
        </w:tc>
        <w:tc>
          <w:tcPr>
            <w:tcW w:w="836" w:type="pct"/>
            <w:vMerge w:val="continue"/>
            <w:tcBorders>
              <w:top w:val="single" w:color="auto" w:sz="4" w:space="0"/>
              <w:left w:val="single" w:color="auto" w:sz="4" w:space="0"/>
              <w:bottom w:val="single" w:color="auto" w:sz="4" w:space="0"/>
              <w:right w:val="single" w:color="auto" w:sz="4" w:space="0"/>
            </w:tcBorders>
            <w:noWrap w:val="0"/>
            <w:vAlign w:val="center"/>
          </w:tcPr>
          <w:p w14:paraId="4EBB7D28">
            <w:pPr>
              <w:widowControl/>
              <w:jc w:val="left"/>
              <w:rPr>
                <w:rFonts w:ascii="宋体" w:hAnsi="宋体" w:cs="宋体"/>
                <w:color w:val="000000"/>
                <w:kern w:val="0"/>
                <w:sz w:val="20"/>
                <w:szCs w:val="20"/>
              </w:rPr>
            </w:pPr>
          </w:p>
        </w:tc>
        <w:tc>
          <w:tcPr>
            <w:tcW w:w="1070" w:type="pct"/>
            <w:tcBorders>
              <w:top w:val="single" w:color="auto" w:sz="4" w:space="0"/>
              <w:left w:val="single" w:color="auto" w:sz="4" w:space="0"/>
              <w:bottom w:val="single" w:color="auto" w:sz="4" w:space="0"/>
              <w:right w:val="single" w:color="auto" w:sz="4" w:space="0"/>
            </w:tcBorders>
            <w:noWrap w:val="0"/>
            <w:vAlign w:val="center"/>
          </w:tcPr>
          <w:p w14:paraId="7EE43C0F">
            <w:pPr>
              <w:widowControl/>
              <w:jc w:val="left"/>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产出质量：实训实验教学任务完成率（实训基地建设）</w:t>
            </w:r>
          </w:p>
        </w:tc>
        <w:tc>
          <w:tcPr>
            <w:tcW w:w="858" w:type="pct"/>
            <w:gridSpan w:val="2"/>
            <w:tcBorders>
              <w:top w:val="single" w:color="auto" w:sz="4" w:space="0"/>
              <w:left w:val="single" w:color="auto" w:sz="4" w:space="0"/>
              <w:bottom w:val="single" w:color="auto" w:sz="4" w:space="0"/>
              <w:right w:val="single" w:color="auto" w:sz="4" w:space="0"/>
            </w:tcBorders>
            <w:noWrap w:val="0"/>
            <w:vAlign w:val="center"/>
          </w:tcPr>
          <w:p w14:paraId="6F8A3145">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≥9</w:t>
            </w:r>
            <w:r>
              <w:rPr>
                <w:rFonts w:hint="eastAsia" w:ascii="宋体" w:hAnsi="宋体" w:cs="宋体"/>
                <w:color w:val="000000"/>
                <w:kern w:val="0"/>
                <w:sz w:val="20"/>
                <w:szCs w:val="20"/>
                <w:lang w:val="en-US" w:eastAsia="zh-CN"/>
              </w:rPr>
              <w:t>5</w:t>
            </w:r>
            <w:r>
              <w:rPr>
                <w:rFonts w:hint="eastAsia" w:ascii="宋体" w:hAnsi="宋体" w:cs="宋体"/>
                <w:color w:val="000000"/>
                <w:kern w:val="0"/>
                <w:sz w:val="20"/>
                <w:szCs w:val="20"/>
              </w:rPr>
              <w:t>%</w:t>
            </w:r>
          </w:p>
        </w:tc>
        <w:tc>
          <w:tcPr>
            <w:tcW w:w="685" w:type="pct"/>
            <w:tcBorders>
              <w:top w:val="single" w:color="auto" w:sz="4" w:space="0"/>
              <w:left w:val="single" w:color="auto" w:sz="4" w:space="0"/>
              <w:bottom w:val="single" w:color="auto" w:sz="4" w:space="0"/>
              <w:right w:val="single" w:color="auto" w:sz="4" w:space="0"/>
            </w:tcBorders>
            <w:noWrap w:val="0"/>
            <w:vAlign w:val="center"/>
          </w:tcPr>
          <w:p w14:paraId="0CAA760D">
            <w:pPr>
              <w:widowControl/>
              <w:jc w:val="center"/>
              <w:rPr>
                <w:rFonts w:hint="default"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rPr>
              <w:t>90%</w:t>
            </w:r>
          </w:p>
        </w:tc>
        <w:tc>
          <w:tcPr>
            <w:tcW w:w="451" w:type="pct"/>
            <w:tcBorders>
              <w:top w:val="single" w:color="auto" w:sz="4" w:space="0"/>
              <w:left w:val="single" w:color="auto" w:sz="4" w:space="0"/>
              <w:bottom w:val="single" w:color="auto" w:sz="4" w:space="0"/>
              <w:right w:val="single" w:color="auto" w:sz="4" w:space="0"/>
            </w:tcBorders>
            <w:noWrap w:val="0"/>
            <w:vAlign w:val="center"/>
          </w:tcPr>
          <w:p w14:paraId="0E0BC1DF">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rPr>
              <w:t>2</w:t>
            </w:r>
          </w:p>
        </w:tc>
        <w:tc>
          <w:tcPr>
            <w:tcW w:w="412" w:type="pct"/>
            <w:tcBorders>
              <w:top w:val="single" w:color="auto" w:sz="4" w:space="0"/>
              <w:left w:val="single" w:color="auto" w:sz="4" w:space="0"/>
              <w:bottom w:val="single" w:color="auto" w:sz="4" w:space="0"/>
              <w:right w:val="single" w:color="auto" w:sz="4" w:space="0"/>
            </w:tcBorders>
            <w:noWrap/>
            <w:vAlign w:val="center"/>
          </w:tcPr>
          <w:p w14:paraId="324B34DF">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rPr>
              <w:t>1</w:t>
            </w:r>
          </w:p>
        </w:tc>
      </w:tr>
      <w:tr w14:paraId="67791946">
        <w:tblPrEx>
          <w:tblCellMar>
            <w:top w:w="0" w:type="dxa"/>
            <w:left w:w="108" w:type="dxa"/>
            <w:bottom w:w="0" w:type="dxa"/>
            <w:right w:w="108" w:type="dxa"/>
          </w:tblCellMar>
        </w:tblPrEx>
        <w:trPr>
          <w:trHeight w:val="1304" w:hRule="atLeast"/>
        </w:trPr>
        <w:tc>
          <w:tcPr>
            <w:tcW w:w="685" w:type="pct"/>
            <w:vMerge w:val="continue"/>
            <w:tcBorders>
              <w:top w:val="single" w:color="auto" w:sz="4" w:space="0"/>
              <w:left w:val="single" w:color="auto" w:sz="4" w:space="0"/>
              <w:bottom w:val="single" w:color="auto" w:sz="4" w:space="0"/>
              <w:right w:val="single" w:color="auto" w:sz="4" w:space="0"/>
            </w:tcBorders>
            <w:noWrap w:val="0"/>
            <w:vAlign w:val="center"/>
          </w:tcPr>
          <w:p w14:paraId="1283C0F6">
            <w:pPr>
              <w:widowControl/>
              <w:jc w:val="left"/>
              <w:rPr>
                <w:rFonts w:ascii="宋体" w:hAnsi="宋体" w:cs="宋体"/>
                <w:color w:val="000000"/>
                <w:kern w:val="0"/>
                <w:sz w:val="20"/>
                <w:szCs w:val="20"/>
              </w:rPr>
            </w:pPr>
          </w:p>
        </w:tc>
        <w:tc>
          <w:tcPr>
            <w:tcW w:w="836" w:type="pct"/>
            <w:vMerge w:val="continue"/>
            <w:tcBorders>
              <w:top w:val="single" w:color="auto" w:sz="4" w:space="0"/>
              <w:left w:val="single" w:color="auto" w:sz="4" w:space="0"/>
              <w:bottom w:val="single" w:color="auto" w:sz="4" w:space="0"/>
              <w:right w:val="single" w:color="auto" w:sz="4" w:space="0"/>
            </w:tcBorders>
            <w:noWrap w:val="0"/>
            <w:vAlign w:val="center"/>
          </w:tcPr>
          <w:p w14:paraId="345CEB51">
            <w:pPr>
              <w:widowControl/>
              <w:jc w:val="left"/>
              <w:rPr>
                <w:rFonts w:ascii="宋体" w:hAnsi="宋体" w:cs="宋体"/>
                <w:color w:val="000000"/>
                <w:kern w:val="0"/>
                <w:sz w:val="20"/>
                <w:szCs w:val="20"/>
              </w:rPr>
            </w:pPr>
          </w:p>
        </w:tc>
        <w:tc>
          <w:tcPr>
            <w:tcW w:w="1070" w:type="pct"/>
            <w:tcBorders>
              <w:top w:val="single" w:color="auto" w:sz="4" w:space="0"/>
              <w:left w:val="single" w:color="auto" w:sz="4" w:space="0"/>
              <w:bottom w:val="single" w:color="auto" w:sz="4" w:space="0"/>
              <w:right w:val="single" w:color="auto" w:sz="4" w:space="0"/>
            </w:tcBorders>
            <w:noWrap w:val="0"/>
            <w:vAlign w:val="center"/>
          </w:tcPr>
          <w:p w14:paraId="5B8203BF">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产出质量：教学质量评价体系完成率（</w:t>
            </w:r>
            <w:r>
              <w:rPr>
                <w:rFonts w:hint="eastAsia" w:ascii="宋体" w:hAnsi="宋体" w:cs="宋体"/>
                <w:color w:val="000000"/>
                <w:kern w:val="0"/>
                <w:sz w:val="20"/>
                <w:szCs w:val="20"/>
                <w:lang w:eastAsia="zh-CN"/>
              </w:rPr>
              <w:t>教育教学</w:t>
            </w:r>
            <w:r>
              <w:rPr>
                <w:rFonts w:hint="eastAsia" w:ascii="宋体" w:hAnsi="宋体" w:cs="宋体"/>
                <w:color w:val="000000"/>
                <w:kern w:val="0"/>
                <w:sz w:val="20"/>
                <w:szCs w:val="20"/>
              </w:rPr>
              <w:t>）</w:t>
            </w:r>
          </w:p>
        </w:tc>
        <w:tc>
          <w:tcPr>
            <w:tcW w:w="858" w:type="pct"/>
            <w:gridSpan w:val="2"/>
            <w:tcBorders>
              <w:top w:val="single" w:color="auto" w:sz="4" w:space="0"/>
              <w:left w:val="single" w:color="auto" w:sz="4" w:space="0"/>
              <w:bottom w:val="single" w:color="auto" w:sz="4" w:space="0"/>
              <w:right w:val="single" w:color="auto" w:sz="4" w:space="0"/>
            </w:tcBorders>
            <w:noWrap w:val="0"/>
            <w:vAlign w:val="center"/>
          </w:tcPr>
          <w:p w14:paraId="1281EA8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≥9</w:t>
            </w:r>
            <w:r>
              <w:rPr>
                <w:rFonts w:hint="eastAsia" w:ascii="宋体" w:hAnsi="宋体" w:cs="宋体"/>
                <w:color w:val="000000"/>
                <w:kern w:val="0"/>
                <w:sz w:val="20"/>
                <w:szCs w:val="20"/>
                <w:lang w:val="en-US" w:eastAsia="zh-CN"/>
              </w:rPr>
              <w:t>0</w:t>
            </w:r>
            <w:r>
              <w:rPr>
                <w:rFonts w:hint="eastAsia" w:ascii="宋体" w:hAnsi="宋体" w:cs="宋体"/>
                <w:color w:val="000000"/>
                <w:kern w:val="0"/>
                <w:sz w:val="20"/>
                <w:szCs w:val="20"/>
              </w:rPr>
              <w:t>%</w:t>
            </w:r>
          </w:p>
        </w:tc>
        <w:tc>
          <w:tcPr>
            <w:tcW w:w="685" w:type="pct"/>
            <w:tcBorders>
              <w:top w:val="single" w:color="auto" w:sz="4" w:space="0"/>
              <w:left w:val="single" w:color="auto" w:sz="4" w:space="0"/>
              <w:bottom w:val="single" w:color="auto" w:sz="4" w:space="0"/>
              <w:right w:val="single" w:color="auto" w:sz="4" w:space="0"/>
            </w:tcBorders>
            <w:noWrap w:val="0"/>
            <w:vAlign w:val="center"/>
          </w:tcPr>
          <w:p w14:paraId="1DB61282">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85%</w:t>
            </w:r>
          </w:p>
        </w:tc>
        <w:tc>
          <w:tcPr>
            <w:tcW w:w="451" w:type="pct"/>
            <w:tcBorders>
              <w:top w:val="single" w:color="auto" w:sz="4" w:space="0"/>
              <w:left w:val="single" w:color="auto" w:sz="4" w:space="0"/>
              <w:bottom w:val="single" w:color="auto" w:sz="4" w:space="0"/>
              <w:right w:val="single" w:color="auto" w:sz="4" w:space="0"/>
            </w:tcBorders>
            <w:noWrap w:val="0"/>
            <w:vAlign w:val="center"/>
          </w:tcPr>
          <w:p w14:paraId="10EA381D">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412" w:type="pct"/>
            <w:tcBorders>
              <w:top w:val="single" w:color="auto" w:sz="4" w:space="0"/>
              <w:left w:val="single" w:color="auto" w:sz="4" w:space="0"/>
              <w:bottom w:val="single" w:color="auto" w:sz="4" w:space="0"/>
              <w:right w:val="single" w:color="auto" w:sz="4" w:space="0"/>
            </w:tcBorders>
            <w:noWrap/>
            <w:vAlign w:val="center"/>
          </w:tcPr>
          <w:p w14:paraId="2F93EEEE">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r>
      <w:tr w14:paraId="23534496">
        <w:tblPrEx>
          <w:tblCellMar>
            <w:top w:w="0" w:type="dxa"/>
            <w:left w:w="108" w:type="dxa"/>
            <w:bottom w:w="0" w:type="dxa"/>
            <w:right w:w="108" w:type="dxa"/>
          </w:tblCellMar>
        </w:tblPrEx>
        <w:trPr>
          <w:trHeight w:val="1304" w:hRule="atLeast"/>
        </w:trPr>
        <w:tc>
          <w:tcPr>
            <w:tcW w:w="685" w:type="pct"/>
            <w:vMerge w:val="continue"/>
            <w:tcBorders>
              <w:top w:val="single" w:color="auto" w:sz="4" w:space="0"/>
              <w:left w:val="single" w:color="auto" w:sz="4" w:space="0"/>
              <w:bottom w:val="single" w:color="auto" w:sz="4" w:space="0"/>
              <w:right w:val="single" w:color="auto" w:sz="4" w:space="0"/>
            </w:tcBorders>
            <w:noWrap w:val="0"/>
            <w:vAlign w:val="center"/>
          </w:tcPr>
          <w:p w14:paraId="733B4EE7">
            <w:pPr>
              <w:widowControl/>
              <w:jc w:val="left"/>
              <w:rPr>
                <w:rFonts w:ascii="宋体" w:hAnsi="宋体" w:cs="宋体"/>
                <w:color w:val="000000"/>
                <w:kern w:val="0"/>
                <w:sz w:val="20"/>
                <w:szCs w:val="20"/>
              </w:rPr>
            </w:pPr>
          </w:p>
        </w:tc>
        <w:tc>
          <w:tcPr>
            <w:tcW w:w="836" w:type="pct"/>
            <w:vMerge w:val="continue"/>
            <w:tcBorders>
              <w:top w:val="single" w:color="auto" w:sz="4" w:space="0"/>
              <w:left w:val="single" w:color="auto" w:sz="4" w:space="0"/>
              <w:bottom w:val="single" w:color="auto" w:sz="4" w:space="0"/>
              <w:right w:val="single" w:color="auto" w:sz="4" w:space="0"/>
            </w:tcBorders>
            <w:noWrap w:val="0"/>
            <w:vAlign w:val="center"/>
          </w:tcPr>
          <w:p w14:paraId="307A5F83">
            <w:pPr>
              <w:widowControl/>
              <w:jc w:val="left"/>
              <w:rPr>
                <w:rFonts w:ascii="宋体" w:hAnsi="宋体" w:cs="宋体"/>
                <w:color w:val="000000"/>
                <w:kern w:val="0"/>
                <w:sz w:val="20"/>
                <w:szCs w:val="20"/>
              </w:rPr>
            </w:pPr>
          </w:p>
        </w:tc>
        <w:tc>
          <w:tcPr>
            <w:tcW w:w="1070" w:type="pct"/>
            <w:tcBorders>
              <w:top w:val="single" w:color="auto" w:sz="4" w:space="0"/>
              <w:left w:val="single" w:color="auto" w:sz="4" w:space="0"/>
              <w:bottom w:val="single" w:color="auto" w:sz="4" w:space="0"/>
              <w:right w:val="single" w:color="auto" w:sz="4" w:space="0"/>
            </w:tcBorders>
            <w:noWrap w:val="0"/>
            <w:vAlign w:val="center"/>
          </w:tcPr>
          <w:p w14:paraId="10CF5381">
            <w:pPr>
              <w:widowControl/>
              <w:jc w:val="left"/>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rPr>
              <w:t>产出质量：故障排除及响应率</w:t>
            </w:r>
            <w:r>
              <w:rPr>
                <w:rFonts w:hint="eastAsia" w:ascii="宋体" w:hAnsi="宋体" w:cs="宋体"/>
                <w:color w:val="000000"/>
                <w:kern w:val="0"/>
                <w:sz w:val="20"/>
                <w:szCs w:val="20"/>
                <w:lang w:eastAsia="zh-CN"/>
              </w:rPr>
              <w:t>（</w:t>
            </w:r>
            <w:r>
              <w:rPr>
                <w:rFonts w:hint="eastAsia" w:ascii="宋体" w:hAnsi="宋体" w:cs="宋体"/>
                <w:color w:val="000000"/>
                <w:kern w:val="0"/>
                <w:sz w:val="20"/>
                <w:szCs w:val="20"/>
              </w:rPr>
              <w:t>信息化建设</w:t>
            </w:r>
            <w:r>
              <w:rPr>
                <w:rFonts w:hint="eastAsia" w:ascii="宋体" w:hAnsi="宋体" w:cs="宋体"/>
                <w:color w:val="000000"/>
                <w:kern w:val="0"/>
                <w:sz w:val="20"/>
                <w:szCs w:val="20"/>
                <w:lang w:eastAsia="zh-CN"/>
              </w:rPr>
              <w:t>）</w:t>
            </w:r>
          </w:p>
        </w:tc>
        <w:tc>
          <w:tcPr>
            <w:tcW w:w="858" w:type="pct"/>
            <w:gridSpan w:val="2"/>
            <w:tcBorders>
              <w:top w:val="single" w:color="auto" w:sz="4" w:space="0"/>
              <w:left w:val="single" w:color="auto" w:sz="4" w:space="0"/>
              <w:bottom w:val="single" w:color="auto" w:sz="4" w:space="0"/>
              <w:right w:val="single" w:color="auto" w:sz="4" w:space="0"/>
            </w:tcBorders>
            <w:noWrap w:val="0"/>
            <w:vAlign w:val="center"/>
          </w:tcPr>
          <w:p w14:paraId="51D741B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≥9</w:t>
            </w:r>
            <w:r>
              <w:rPr>
                <w:rFonts w:hint="eastAsia" w:ascii="宋体" w:hAnsi="宋体" w:cs="宋体"/>
                <w:color w:val="000000"/>
                <w:kern w:val="0"/>
                <w:sz w:val="20"/>
                <w:szCs w:val="20"/>
                <w:lang w:val="en-US" w:eastAsia="zh-CN"/>
              </w:rPr>
              <w:t>0</w:t>
            </w:r>
            <w:r>
              <w:rPr>
                <w:rFonts w:hint="eastAsia" w:ascii="宋体" w:hAnsi="宋体" w:cs="宋体"/>
                <w:color w:val="000000"/>
                <w:kern w:val="0"/>
                <w:sz w:val="20"/>
                <w:szCs w:val="20"/>
              </w:rPr>
              <w:t>%</w:t>
            </w:r>
          </w:p>
        </w:tc>
        <w:tc>
          <w:tcPr>
            <w:tcW w:w="685" w:type="pct"/>
            <w:tcBorders>
              <w:top w:val="single" w:color="auto" w:sz="4" w:space="0"/>
              <w:left w:val="single" w:color="auto" w:sz="4" w:space="0"/>
              <w:bottom w:val="single" w:color="auto" w:sz="4" w:space="0"/>
              <w:right w:val="single" w:color="auto" w:sz="4" w:space="0"/>
            </w:tcBorders>
            <w:noWrap w:val="0"/>
            <w:vAlign w:val="center"/>
          </w:tcPr>
          <w:p w14:paraId="627A1A57">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100%</w:t>
            </w:r>
          </w:p>
        </w:tc>
        <w:tc>
          <w:tcPr>
            <w:tcW w:w="451" w:type="pct"/>
            <w:tcBorders>
              <w:top w:val="single" w:color="auto" w:sz="4" w:space="0"/>
              <w:left w:val="single" w:color="auto" w:sz="4" w:space="0"/>
              <w:bottom w:val="single" w:color="auto" w:sz="4" w:space="0"/>
              <w:right w:val="single" w:color="auto" w:sz="4" w:space="0"/>
            </w:tcBorders>
            <w:noWrap w:val="0"/>
            <w:vAlign w:val="center"/>
          </w:tcPr>
          <w:p w14:paraId="7CA95AB7">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12" w:type="pct"/>
            <w:tcBorders>
              <w:top w:val="single" w:color="auto" w:sz="4" w:space="0"/>
              <w:left w:val="single" w:color="auto" w:sz="4" w:space="0"/>
              <w:bottom w:val="single" w:color="auto" w:sz="4" w:space="0"/>
              <w:right w:val="single" w:color="auto" w:sz="4" w:space="0"/>
            </w:tcBorders>
            <w:noWrap/>
            <w:vAlign w:val="center"/>
          </w:tcPr>
          <w:p w14:paraId="28D2B4BA">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r>
      <w:tr w14:paraId="7C3F459A">
        <w:tblPrEx>
          <w:tblCellMar>
            <w:top w:w="0" w:type="dxa"/>
            <w:left w:w="108" w:type="dxa"/>
            <w:bottom w:w="0" w:type="dxa"/>
            <w:right w:w="108" w:type="dxa"/>
          </w:tblCellMar>
        </w:tblPrEx>
        <w:trPr>
          <w:trHeight w:val="1304" w:hRule="atLeast"/>
        </w:trPr>
        <w:tc>
          <w:tcPr>
            <w:tcW w:w="685" w:type="pct"/>
            <w:vMerge w:val="continue"/>
            <w:tcBorders>
              <w:top w:val="single" w:color="auto" w:sz="4" w:space="0"/>
              <w:left w:val="single" w:color="auto" w:sz="4" w:space="0"/>
              <w:bottom w:val="single" w:color="auto" w:sz="4" w:space="0"/>
              <w:right w:val="single" w:color="auto" w:sz="4" w:space="0"/>
            </w:tcBorders>
            <w:noWrap w:val="0"/>
            <w:vAlign w:val="center"/>
          </w:tcPr>
          <w:p w14:paraId="157BCD68">
            <w:pPr>
              <w:widowControl/>
              <w:jc w:val="left"/>
              <w:rPr>
                <w:rFonts w:ascii="宋体" w:hAnsi="宋体" w:cs="宋体"/>
                <w:color w:val="000000"/>
                <w:kern w:val="0"/>
                <w:sz w:val="20"/>
                <w:szCs w:val="20"/>
              </w:rPr>
            </w:pPr>
          </w:p>
        </w:tc>
        <w:tc>
          <w:tcPr>
            <w:tcW w:w="836" w:type="pct"/>
            <w:vMerge w:val="continue"/>
            <w:tcBorders>
              <w:top w:val="single" w:color="auto" w:sz="4" w:space="0"/>
              <w:left w:val="single" w:color="auto" w:sz="4" w:space="0"/>
              <w:bottom w:val="single" w:color="auto" w:sz="4" w:space="0"/>
              <w:right w:val="single" w:color="auto" w:sz="4" w:space="0"/>
            </w:tcBorders>
            <w:noWrap w:val="0"/>
            <w:vAlign w:val="center"/>
          </w:tcPr>
          <w:p w14:paraId="34BDB802">
            <w:pPr>
              <w:widowControl/>
              <w:jc w:val="left"/>
              <w:rPr>
                <w:rFonts w:ascii="宋体" w:hAnsi="宋体" w:cs="宋体"/>
                <w:color w:val="000000"/>
                <w:kern w:val="0"/>
                <w:sz w:val="20"/>
                <w:szCs w:val="20"/>
              </w:rPr>
            </w:pPr>
          </w:p>
        </w:tc>
        <w:tc>
          <w:tcPr>
            <w:tcW w:w="1070" w:type="pct"/>
            <w:tcBorders>
              <w:top w:val="single" w:color="auto" w:sz="4" w:space="0"/>
              <w:left w:val="single" w:color="auto" w:sz="4" w:space="0"/>
              <w:bottom w:val="single" w:color="auto" w:sz="4" w:space="0"/>
              <w:right w:val="single" w:color="auto" w:sz="4" w:space="0"/>
            </w:tcBorders>
            <w:noWrap w:val="0"/>
            <w:vAlign w:val="center"/>
          </w:tcPr>
          <w:p w14:paraId="4038CD97">
            <w:pPr>
              <w:widowControl/>
              <w:jc w:val="left"/>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产出质量：学员结业率（主体班次培训）</w:t>
            </w:r>
          </w:p>
        </w:tc>
        <w:tc>
          <w:tcPr>
            <w:tcW w:w="858" w:type="pct"/>
            <w:gridSpan w:val="2"/>
            <w:tcBorders>
              <w:top w:val="single" w:color="auto" w:sz="4" w:space="0"/>
              <w:left w:val="single" w:color="auto" w:sz="4" w:space="0"/>
              <w:bottom w:val="single" w:color="auto" w:sz="4" w:space="0"/>
              <w:right w:val="single" w:color="auto" w:sz="4" w:space="0"/>
            </w:tcBorders>
            <w:noWrap w:val="0"/>
            <w:vAlign w:val="center"/>
          </w:tcPr>
          <w:p w14:paraId="47AEB90A">
            <w:pPr>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≥9</w:t>
            </w:r>
            <w:r>
              <w:rPr>
                <w:rFonts w:hint="eastAsia" w:ascii="宋体" w:hAnsi="宋体" w:cs="宋体"/>
                <w:color w:val="000000"/>
                <w:kern w:val="0"/>
                <w:sz w:val="20"/>
                <w:szCs w:val="20"/>
                <w:lang w:val="en-US" w:eastAsia="zh-CN"/>
              </w:rPr>
              <w:t>5</w:t>
            </w:r>
            <w:r>
              <w:rPr>
                <w:rFonts w:hint="eastAsia" w:ascii="宋体" w:hAnsi="宋体" w:cs="宋体"/>
                <w:color w:val="000000"/>
                <w:kern w:val="0"/>
                <w:sz w:val="20"/>
                <w:szCs w:val="20"/>
              </w:rPr>
              <w:t>%</w:t>
            </w:r>
          </w:p>
        </w:tc>
        <w:tc>
          <w:tcPr>
            <w:tcW w:w="685" w:type="pct"/>
            <w:tcBorders>
              <w:top w:val="single" w:color="auto" w:sz="4" w:space="0"/>
              <w:left w:val="single" w:color="auto" w:sz="4" w:space="0"/>
              <w:bottom w:val="single" w:color="auto" w:sz="4" w:space="0"/>
              <w:right w:val="single" w:color="auto" w:sz="4" w:space="0"/>
            </w:tcBorders>
            <w:noWrap w:val="0"/>
            <w:vAlign w:val="center"/>
          </w:tcPr>
          <w:p w14:paraId="475638D3">
            <w:pPr>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rPr>
              <w:t>100%</w:t>
            </w:r>
          </w:p>
        </w:tc>
        <w:tc>
          <w:tcPr>
            <w:tcW w:w="451" w:type="pct"/>
            <w:tcBorders>
              <w:top w:val="single" w:color="auto" w:sz="4" w:space="0"/>
              <w:left w:val="single" w:color="auto" w:sz="4" w:space="0"/>
              <w:bottom w:val="single" w:color="auto" w:sz="4" w:space="0"/>
              <w:right w:val="single" w:color="auto" w:sz="4" w:space="0"/>
            </w:tcBorders>
            <w:noWrap w:val="0"/>
            <w:vAlign w:val="center"/>
          </w:tcPr>
          <w:p w14:paraId="59CE1DAB">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rPr>
              <w:t>2</w:t>
            </w:r>
          </w:p>
        </w:tc>
        <w:tc>
          <w:tcPr>
            <w:tcW w:w="412" w:type="pct"/>
            <w:tcBorders>
              <w:top w:val="single" w:color="auto" w:sz="4" w:space="0"/>
              <w:left w:val="single" w:color="auto" w:sz="4" w:space="0"/>
              <w:bottom w:val="single" w:color="auto" w:sz="4" w:space="0"/>
              <w:right w:val="single" w:color="auto" w:sz="4" w:space="0"/>
            </w:tcBorders>
            <w:noWrap/>
            <w:vAlign w:val="center"/>
          </w:tcPr>
          <w:p w14:paraId="025D9E8A">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rPr>
              <w:t>2</w:t>
            </w:r>
          </w:p>
        </w:tc>
      </w:tr>
      <w:tr w14:paraId="5E6AFE3B">
        <w:tblPrEx>
          <w:tblCellMar>
            <w:top w:w="0" w:type="dxa"/>
            <w:left w:w="108" w:type="dxa"/>
            <w:bottom w:w="0" w:type="dxa"/>
            <w:right w:w="108" w:type="dxa"/>
          </w:tblCellMar>
        </w:tblPrEx>
        <w:trPr>
          <w:trHeight w:val="1304" w:hRule="atLeast"/>
        </w:trPr>
        <w:tc>
          <w:tcPr>
            <w:tcW w:w="685" w:type="pct"/>
            <w:vMerge w:val="continue"/>
            <w:tcBorders>
              <w:top w:val="single" w:color="auto" w:sz="4" w:space="0"/>
              <w:left w:val="single" w:color="auto" w:sz="4" w:space="0"/>
              <w:bottom w:val="single" w:color="auto" w:sz="4" w:space="0"/>
              <w:right w:val="single" w:color="auto" w:sz="4" w:space="0"/>
            </w:tcBorders>
            <w:noWrap w:val="0"/>
            <w:vAlign w:val="center"/>
          </w:tcPr>
          <w:p w14:paraId="20FB7FF8">
            <w:pPr>
              <w:widowControl/>
              <w:jc w:val="left"/>
              <w:rPr>
                <w:rFonts w:ascii="宋体" w:hAnsi="宋体" w:cs="宋体"/>
                <w:color w:val="000000"/>
                <w:kern w:val="0"/>
                <w:sz w:val="20"/>
                <w:szCs w:val="20"/>
              </w:rPr>
            </w:pPr>
          </w:p>
        </w:tc>
        <w:tc>
          <w:tcPr>
            <w:tcW w:w="836" w:type="pct"/>
            <w:vMerge w:val="continue"/>
            <w:tcBorders>
              <w:top w:val="single" w:color="auto" w:sz="4" w:space="0"/>
              <w:left w:val="single" w:color="auto" w:sz="4" w:space="0"/>
              <w:bottom w:val="single" w:color="auto" w:sz="4" w:space="0"/>
              <w:right w:val="single" w:color="auto" w:sz="4" w:space="0"/>
            </w:tcBorders>
            <w:noWrap w:val="0"/>
            <w:vAlign w:val="center"/>
          </w:tcPr>
          <w:p w14:paraId="6C39E03D">
            <w:pPr>
              <w:widowControl/>
              <w:jc w:val="left"/>
              <w:rPr>
                <w:rFonts w:ascii="宋体" w:hAnsi="宋体" w:cs="宋体"/>
                <w:color w:val="000000"/>
                <w:kern w:val="0"/>
                <w:sz w:val="20"/>
                <w:szCs w:val="20"/>
              </w:rPr>
            </w:pPr>
          </w:p>
        </w:tc>
        <w:tc>
          <w:tcPr>
            <w:tcW w:w="1070" w:type="pct"/>
            <w:tcBorders>
              <w:top w:val="single" w:color="auto" w:sz="4" w:space="0"/>
              <w:left w:val="single" w:color="auto" w:sz="4" w:space="0"/>
              <w:bottom w:val="single" w:color="auto" w:sz="4" w:space="0"/>
              <w:right w:val="single" w:color="auto" w:sz="4" w:space="0"/>
            </w:tcBorders>
            <w:noWrap w:val="0"/>
            <w:vAlign w:val="center"/>
          </w:tcPr>
          <w:p w14:paraId="46FE8916">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产出质量：验收合格率</w:t>
            </w:r>
            <w:r>
              <w:rPr>
                <w:rFonts w:hint="eastAsia" w:ascii="宋体" w:hAnsi="宋体" w:cs="宋体"/>
                <w:color w:val="000000"/>
                <w:kern w:val="0"/>
                <w:sz w:val="20"/>
                <w:szCs w:val="20"/>
                <w:lang w:eastAsia="zh-CN"/>
              </w:rPr>
              <w:t>（</w:t>
            </w:r>
            <w:r>
              <w:rPr>
                <w:rFonts w:hint="eastAsia" w:ascii="宋体" w:hAnsi="宋体" w:cs="宋体"/>
                <w:color w:val="000000"/>
                <w:kern w:val="0"/>
                <w:sz w:val="20"/>
                <w:szCs w:val="20"/>
              </w:rPr>
              <w:t>信息化建设</w:t>
            </w:r>
            <w:r>
              <w:rPr>
                <w:rFonts w:hint="eastAsia" w:ascii="宋体" w:hAnsi="宋体" w:cs="宋体"/>
                <w:color w:val="000000"/>
                <w:kern w:val="0"/>
                <w:sz w:val="20"/>
                <w:szCs w:val="20"/>
                <w:lang w:eastAsia="zh-CN"/>
              </w:rPr>
              <w:t>）</w:t>
            </w:r>
          </w:p>
        </w:tc>
        <w:tc>
          <w:tcPr>
            <w:tcW w:w="858" w:type="pct"/>
            <w:gridSpan w:val="2"/>
            <w:tcBorders>
              <w:top w:val="single" w:color="auto" w:sz="4" w:space="0"/>
              <w:left w:val="single" w:color="auto" w:sz="4" w:space="0"/>
              <w:bottom w:val="single" w:color="auto" w:sz="4" w:space="0"/>
              <w:right w:val="single" w:color="auto" w:sz="4" w:space="0"/>
            </w:tcBorders>
            <w:noWrap w:val="0"/>
            <w:vAlign w:val="center"/>
          </w:tcPr>
          <w:p w14:paraId="73C2FC7D">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100%</w:t>
            </w:r>
          </w:p>
        </w:tc>
        <w:tc>
          <w:tcPr>
            <w:tcW w:w="685" w:type="pct"/>
            <w:tcBorders>
              <w:top w:val="single" w:color="auto" w:sz="4" w:space="0"/>
              <w:left w:val="single" w:color="auto" w:sz="4" w:space="0"/>
              <w:bottom w:val="single" w:color="auto" w:sz="4" w:space="0"/>
              <w:right w:val="single" w:color="auto" w:sz="4" w:space="0"/>
            </w:tcBorders>
            <w:noWrap w:val="0"/>
            <w:vAlign w:val="center"/>
          </w:tcPr>
          <w:p w14:paraId="7087C4F5">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100%</w:t>
            </w:r>
          </w:p>
        </w:tc>
        <w:tc>
          <w:tcPr>
            <w:tcW w:w="451" w:type="pct"/>
            <w:tcBorders>
              <w:top w:val="single" w:color="auto" w:sz="4" w:space="0"/>
              <w:left w:val="single" w:color="auto" w:sz="4" w:space="0"/>
              <w:bottom w:val="single" w:color="auto" w:sz="4" w:space="0"/>
              <w:right w:val="single" w:color="auto" w:sz="4" w:space="0"/>
            </w:tcBorders>
            <w:noWrap w:val="0"/>
            <w:vAlign w:val="center"/>
          </w:tcPr>
          <w:p w14:paraId="78E26EF7">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12" w:type="pct"/>
            <w:tcBorders>
              <w:top w:val="single" w:color="auto" w:sz="4" w:space="0"/>
              <w:left w:val="single" w:color="auto" w:sz="4" w:space="0"/>
              <w:bottom w:val="single" w:color="auto" w:sz="4" w:space="0"/>
              <w:right w:val="single" w:color="auto" w:sz="4" w:space="0"/>
            </w:tcBorders>
            <w:noWrap/>
            <w:vAlign w:val="center"/>
          </w:tcPr>
          <w:p w14:paraId="53C68FF4">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r>
      <w:tr w14:paraId="77ADC12E">
        <w:tblPrEx>
          <w:tblCellMar>
            <w:top w:w="0" w:type="dxa"/>
            <w:left w:w="108" w:type="dxa"/>
            <w:bottom w:w="0" w:type="dxa"/>
            <w:right w:w="108" w:type="dxa"/>
          </w:tblCellMar>
        </w:tblPrEx>
        <w:trPr>
          <w:trHeight w:val="1304" w:hRule="atLeast"/>
        </w:trPr>
        <w:tc>
          <w:tcPr>
            <w:tcW w:w="685" w:type="pct"/>
            <w:vMerge w:val="continue"/>
            <w:tcBorders>
              <w:top w:val="single" w:color="auto" w:sz="4" w:space="0"/>
              <w:left w:val="single" w:color="auto" w:sz="4" w:space="0"/>
              <w:bottom w:val="single" w:color="auto" w:sz="4" w:space="0"/>
              <w:right w:val="single" w:color="auto" w:sz="4" w:space="0"/>
            </w:tcBorders>
            <w:noWrap w:val="0"/>
            <w:vAlign w:val="center"/>
          </w:tcPr>
          <w:p w14:paraId="1F265E8F">
            <w:pPr>
              <w:widowControl/>
              <w:jc w:val="left"/>
              <w:rPr>
                <w:rFonts w:ascii="宋体" w:hAnsi="宋体" w:cs="宋体"/>
                <w:color w:val="000000"/>
                <w:kern w:val="0"/>
                <w:sz w:val="20"/>
                <w:szCs w:val="20"/>
              </w:rPr>
            </w:pPr>
          </w:p>
        </w:tc>
        <w:tc>
          <w:tcPr>
            <w:tcW w:w="836" w:type="pct"/>
            <w:vMerge w:val="continue"/>
            <w:tcBorders>
              <w:top w:val="single" w:color="auto" w:sz="4" w:space="0"/>
              <w:left w:val="single" w:color="auto" w:sz="4" w:space="0"/>
              <w:bottom w:val="single" w:color="auto" w:sz="4" w:space="0"/>
              <w:right w:val="single" w:color="auto" w:sz="4" w:space="0"/>
            </w:tcBorders>
            <w:noWrap w:val="0"/>
            <w:vAlign w:val="center"/>
          </w:tcPr>
          <w:p w14:paraId="3ED2A36D">
            <w:pPr>
              <w:widowControl/>
              <w:jc w:val="left"/>
              <w:rPr>
                <w:rFonts w:ascii="宋体" w:hAnsi="宋体" w:cs="宋体"/>
                <w:color w:val="000000"/>
                <w:kern w:val="0"/>
                <w:sz w:val="20"/>
                <w:szCs w:val="20"/>
              </w:rPr>
            </w:pPr>
          </w:p>
        </w:tc>
        <w:tc>
          <w:tcPr>
            <w:tcW w:w="1070" w:type="pct"/>
            <w:tcBorders>
              <w:top w:val="single" w:color="auto" w:sz="4" w:space="0"/>
              <w:left w:val="single" w:color="auto" w:sz="4" w:space="0"/>
              <w:bottom w:val="single" w:color="auto" w:sz="4" w:space="0"/>
              <w:right w:val="single" w:color="auto" w:sz="4" w:space="0"/>
            </w:tcBorders>
            <w:noWrap w:val="0"/>
            <w:vAlign w:val="center"/>
          </w:tcPr>
          <w:p w14:paraId="5A5F12FF">
            <w:pPr>
              <w:widowControl/>
              <w:jc w:val="left"/>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产出质量：验收合格率</w:t>
            </w:r>
            <w:r>
              <w:rPr>
                <w:rFonts w:hint="eastAsia" w:ascii="宋体" w:hAnsi="宋体" w:cs="宋体"/>
                <w:color w:val="000000"/>
                <w:kern w:val="0"/>
                <w:sz w:val="20"/>
                <w:szCs w:val="20"/>
                <w:lang w:eastAsia="zh-CN"/>
              </w:rPr>
              <w:t>（平安校园）</w:t>
            </w:r>
          </w:p>
        </w:tc>
        <w:tc>
          <w:tcPr>
            <w:tcW w:w="858" w:type="pct"/>
            <w:gridSpan w:val="2"/>
            <w:tcBorders>
              <w:top w:val="single" w:color="auto" w:sz="4" w:space="0"/>
              <w:left w:val="single" w:color="auto" w:sz="4" w:space="0"/>
              <w:bottom w:val="single" w:color="auto" w:sz="4" w:space="0"/>
              <w:right w:val="single" w:color="auto" w:sz="4" w:space="0"/>
            </w:tcBorders>
            <w:noWrap w:val="0"/>
            <w:vAlign w:val="center"/>
          </w:tcPr>
          <w:p w14:paraId="476AA699">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rPr>
              <w:t>100%</w:t>
            </w:r>
          </w:p>
        </w:tc>
        <w:tc>
          <w:tcPr>
            <w:tcW w:w="685" w:type="pct"/>
            <w:tcBorders>
              <w:top w:val="single" w:color="auto" w:sz="4" w:space="0"/>
              <w:left w:val="single" w:color="auto" w:sz="4" w:space="0"/>
              <w:bottom w:val="single" w:color="auto" w:sz="4" w:space="0"/>
              <w:right w:val="single" w:color="auto" w:sz="4" w:space="0"/>
            </w:tcBorders>
            <w:noWrap w:val="0"/>
            <w:vAlign w:val="center"/>
          </w:tcPr>
          <w:p w14:paraId="4588AA9D">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rPr>
              <w:t>100%</w:t>
            </w:r>
          </w:p>
        </w:tc>
        <w:tc>
          <w:tcPr>
            <w:tcW w:w="451" w:type="pct"/>
            <w:tcBorders>
              <w:top w:val="single" w:color="auto" w:sz="4" w:space="0"/>
              <w:left w:val="single" w:color="auto" w:sz="4" w:space="0"/>
              <w:bottom w:val="single" w:color="auto" w:sz="4" w:space="0"/>
              <w:right w:val="single" w:color="auto" w:sz="4" w:space="0"/>
            </w:tcBorders>
            <w:noWrap w:val="0"/>
            <w:vAlign w:val="center"/>
          </w:tcPr>
          <w:p w14:paraId="2DBCFB04">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rPr>
              <w:t>2</w:t>
            </w:r>
          </w:p>
        </w:tc>
        <w:tc>
          <w:tcPr>
            <w:tcW w:w="412" w:type="pct"/>
            <w:tcBorders>
              <w:top w:val="single" w:color="auto" w:sz="4" w:space="0"/>
              <w:left w:val="single" w:color="auto" w:sz="4" w:space="0"/>
              <w:bottom w:val="single" w:color="auto" w:sz="4" w:space="0"/>
              <w:right w:val="single" w:color="auto" w:sz="4" w:space="0"/>
            </w:tcBorders>
            <w:noWrap/>
            <w:vAlign w:val="center"/>
          </w:tcPr>
          <w:p w14:paraId="7176FC9B">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rPr>
              <w:t>2</w:t>
            </w:r>
          </w:p>
        </w:tc>
      </w:tr>
      <w:tr w14:paraId="3AE23A79">
        <w:tblPrEx>
          <w:tblCellMar>
            <w:top w:w="0" w:type="dxa"/>
            <w:left w:w="108" w:type="dxa"/>
            <w:bottom w:w="0" w:type="dxa"/>
            <w:right w:w="108" w:type="dxa"/>
          </w:tblCellMar>
        </w:tblPrEx>
        <w:trPr>
          <w:trHeight w:val="1483" w:hRule="atLeast"/>
        </w:trPr>
        <w:tc>
          <w:tcPr>
            <w:tcW w:w="685" w:type="pct"/>
            <w:vMerge w:val="continue"/>
            <w:tcBorders>
              <w:top w:val="single" w:color="auto" w:sz="4" w:space="0"/>
              <w:left w:val="single" w:color="auto" w:sz="4" w:space="0"/>
              <w:bottom w:val="single" w:color="auto" w:sz="4" w:space="0"/>
              <w:right w:val="single" w:color="auto" w:sz="4" w:space="0"/>
            </w:tcBorders>
            <w:noWrap w:val="0"/>
            <w:vAlign w:val="center"/>
          </w:tcPr>
          <w:p w14:paraId="3B0DE259">
            <w:pPr>
              <w:widowControl/>
              <w:jc w:val="left"/>
              <w:rPr>
                <w:rFonts w:ascii="宋体" w:hAnsi="宋体" w:cs="宋体"/>
                <w:color w:val="000000"/>
                <w:kern w:val="0"/>
                <w:sz w:val="20"/>
                <w:szCs w:val="20"/>
              </w:rPr>
            </w:pPr>
          </w:p>
        </w:tc>
        <w:tc>
          <w:tcPr>
            <w:tcW w:w="836" w:type="pct"/>
            <w:vMerge w:val="restart"/>
            <w:tcBorders>
              <w:top w:val="single" w:color="auto" w:sz="4" w:space="0"/>
              <w:left w:val="single" w:color="auto" w:sz="4" w:space="0"/>
              <w:bottom w:val="single" w:color="auto" w:sz="4" w:space="0"/>
              <w:right w:val="single" w:color="auto" w:sz="4" w:space="0"/>
            </w:tcBorders>
            <w:noWrap w:val="0"/>
            <w:vAlign w:val="center"/>
          </w:tcPr>
          <w:p w14:paraId="4538C60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效果（30）</w:t>
            </w:r>
          </w:p>
        </w:tc>
        <w:tc>
          <w:tcPr>
            <w:tcW w:w="1070" w:type="pct"/>
            <w:tcBorders>
              <w:top w:val="single" w:color="auto" w:sz="4" w:space="0"/>
              <w:left w:val="single" w:color="auto" w:sz="4" w:space="0"/>
              <w:bottom w:val="single" w:color="auto" w:sz="4" w:space="0"/>
              <w:right w:val="single" w:color="auto" w:sz="4" w:space="0"/>
            </w:tcBorders>
            <w:noWrap w:val="0"/>
            <w:vAlign w:val="center"/>
          </w:tcPr>
          <w:p w14:paraId="23935BCD">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lang w:eastAsia="zh-CN"/>
              </w:rPr>
              <w:t>社会</w:t>
            </w:r>
            <w:r>
              <w:rPr>
                <w:rFonts w:hint="eastAsia" w:ascii="宋体" w:hAnsi="宋体" w:cs="宋体"/>
                <w:color w:val="000000"/>
                <w:kern w:val="0"/>
                <w:sz w:val="20"/>
                <w:szCs w:val="20"/>
              </w:rPr>
              <w:t>效益：提升理论素养和党性修养（主体班次培训）</w:t>
            </w:r>
          </w:p>
        </w:tc>
        <w:tc>
          <w:tcPr>
            <w:tcW w:w="858" w:type="pct"/>
            <w:gridSpan w:val="2"/>
            <w:tcBorders>
              <w:top w:val="single" w:color="auto" w:sz="4" w:space="0"/>
              <w:left w:val="single" w:color="auto" w:sz="4" w:space="0"/>
              <w:bottom w:val="single" w:color="auto" w:sz="4" w:space="0"/>
              <w:right w:val="single" w:color="auto" w:sz="4" w:space="0"/>
            </w:tcBorders>
            <w:noWrap w:val="0"/>
            <w:vAlign w:val="center"/>
          </w:tcPr>
          <w:p w14:paraId="0292901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优</w:t>
            </w:r>
          </w:p>
        </w:tc>
        <w:tc>
          <w:tcPr>
            <w:tcW w:w="685" w:type="pct"/>
            <w:tcBorders>
              <w:top w:val="single" w:color="auto" w:sz="4" w:space="0"/>
              <w:left w:val="single" w:color="auto" w:sz="4" w:space="0"/>
              <w:bottom w:val="single" w:color="auto" w:sz="4" w:space="0"/>
              <w:right w:val="single" w:color="auto" w:sz="4" w:space="0"/>
            </w:tcBorders>
            <w:noWrap w:val="0"/>
            <w:vAlign w:val="center"/>
          </w:tcPr>
          <w:p w14:paraId="0AD2E45E">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eastAsia="zh-CN"/>
              </w:rPr>
              <w:t>优</w:t>
            </w:r>
          </w:p>
        </w:tc>
        <w:tc>
          <w:tcPr>
            <w:tcW w:w="451" w:type="pct"/>
            <w:tcBorders>
              <w:top w:val="single" w:color="auto" w:sz="4" w:space="0"/>
              <w:left w:val="single" w:color="auto" w:sz="4" w:space="0"/>
              <w:bottom w:val="single" w:color="auto" w:sz="4" w:space="0"/>
              <w:right w:val="single" w:color="auto" w:sz="4" w:space="0"/>
            </w:tcBorders>
            <w:noWrap/>
            <w:vAlign w:val="center"/>
          </w:tcPr>
          <w:p w14:paraId="23446AEF">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val="en-US" w:eastAsia="zh-CN"/>
              </w:rPr>
              <w:t>1</w:t>
            </w:r>
          </w:p>
        </w:tc>
        <w:tc>
          <w:tcPr>
            <w:tcW w:w="412" w:type="pct"/>
            <w:tcBorders>
              <w:top w:val="single" w:color="auto" w:sz="4" w:space="0"/>
              <w:left w:val="single" w:color="auto" w:sz="4" w:space="0"/>
              <w:bottom w:val="single" w:color="auto" w:sz="4" w:space="0"/>
              <w:right w:val="single" w:color="auto" w:sz="4" w:space="0"/>
            </w:tcBorders>
            <w:noWrap/>
            <w:vAlign w:val="center"/>
          </w:tcPr>
          <w:p w14:paraId="1C0C2C0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r>
      <w:tr w14:paraId="6D5367D1">
        <w:tblPrEx>
          <w:tblCellMar>
            <w:top w:w="0" w:type="dxa"/>
            <w:left w:w="108" w:type="dxa"/>
            <w:bottom w:w="0" w:type="dxa"/>
            <w:right w:w="108" w:type="dxa"/>
          </w:tblCellMar>
        </w:tblPrEx>
        <w:trPr>
          <w:trHeight w:val="1718" w:hRule="atLeast"/>
        </w:trPr>
        <w:tc>
          <w:tcPr>
            <w:tcW w:w="685" w:type="pct"/>
            <w:vMerge w:val="continue"/>
            <w:tcBorders>
              <w:top w:val="single" w:color="auto" w:sz="4" w:space="0"/>
              <w:left w:val="single" w:color="auto" w:sz="4" w:space="0"/>
              <w:bottom w:val="single" w:color="auto" w:sz="4" w:space="0"/>
              <w:right w:val="single" w:color="auto" w:sz="4" w:space="0"/>
            </w:tcBorders>
            <w:noWrap w:val="0"/>
            <w:vAlign w:val="center"/>
          </w:tcPr>
          <w:p w14:paraId="5D75E3B5">
            <w:pPr>
              <w:widowControl/>
              <w:jc w:val="left"/>
              <w:rPr>
                <w:rFonts w:ascii="宋体" w:hAnsi="宋体" w:cs="宋体"/>
                <w:color w:val="000000"/>
                <w:kern w:val="0"/>
                <w:sz w:val="20"/>
                <w:szCs w:val="20"/>
              </w:rPr>
            </w:pPr>
          </w:p>
        </w:tc>
        <w:tc>
          <w:tcPr>
            <w:tcW w:w="836" w:type="pct"/>
            <w:vMerge w:val="continue"/>
            <w:tcBorders>
              <w:top w:val="single" w:color="auto" w:sz="4" w:space="0"/>
              <w:left w:val="single" w:color="auto" w:sz="4" w:space="0"/>
              <w:bottom w:val="single" w:color="auto" w:sz="4" w:space="0"/>
              <w:right w:val="single" w:color="auto" w:sz="4" w:space="0"/>
            </w:tcBorders>
            <w:noWrap w:val="0"/>
            <w:vAlign w:val="center"/>
          </w:tcPr>
          <w:p w14:paraId="699E6147">
            <w:pPr>
              <w:widowControl/>
              <w:jc w:val="left"/>
              <w:rPr>
                <w:rFonts w:ascii="宋体" w:hAnsi="宋体" w:cs="宋体"/>
                <w:color w:val="000000"/>
                <w:kern w:val="0"/>
                <w:sz w:val="20"/>
                <w:szCs w:val="20"/>
              </w:rPr>
            </w:pPr>
          </w:p>
        </w:tc>
        <w:tc>
          <w:tcPr>
            <w:tcW w:w="1070" w:type="pct"/>
            <w:tcBorders>
              <w:top w:val="single" w:color="auto" w:sz="4" w:space="0"/>
              <w:left w:val="single" w:color="auto" w:sz="4" w:space="0"/>
              <w:bottom w:val="single" w:color="auto" w:sz="4" w:space="0"/>
              <w:right w:val="single" w:color="auto" w:sz="4" w:space="0"/>
            </w:tcBorders>
            <w:noWrap w:val="0"/>
            <w:vAlign w:val="center"/>
          </w:tcPr>
          <w:p w14:paraId="6A4C1975">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社会效益：帮助学员把握时代大势，树立世界眼光和系统思维（主体班次培训）</w:t>
            </w:r>
          </w:p>
        </w:tc>
        <w:tc>
          <w:tcPr>
            <w:tcW w:w="858" w:type="pct"/>
            <w:gridSpan w:val="2"/>
            <w:tcBorders>
              <w:top w:val="single" w:color="auto" w:sz="4" w:space="0"/>
              <w:left w:val="single" w:color="auto" w:sz="4" w:space="0"/>
              <w:bottom w:val="single" w:color="auto" w:sz="4" w:space="0"/>
              <w:right w:val="single" w:color="auto" w:sz="4" w:space="0"/>
            </w:tcBorders>
            <w:noWrap w:val="0"/>
            <w:vAlign w:val="center"/>
          </w:tcPr>
          <w:p w14:paraId="7711AAC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优</w:t>
            </w:r>
          </w:p>
        </w:tc>
        <w:tc>
          <w:tcPr>
            <w:tcW w:w="685" w:type="pct"/>
            <w:tcBorders>
              <w:top w:val="single" w:color="auto" w:sz="4" w:space="0"/>
              <w:left w:val="single" w:color="auto" w:sz="4" w:space="0"/>
              <w:bottom w:val="single" w:color="auto" w:sz="4" w:space="0"/>
              <w:right w:val="single" w:color="auto" w:sz="4" w:space="0"/>
            </w:tcBorders>
            <w:noWrap w:val="0"/>
            <w:vAlign w:val="center"/>
          </w:tcPr>
          <w:p w14:paraId="71A73F3E">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val="en-US" w:eastAsia="zh-CN"/>
              </w:rPr>
              <w:t>良</w:t>
            </w:r>
          </w:p>
        </w:tc>
        <w:tc>
          <w:tcPr>
            <w:tcW w:w="451" w:type="pct"/>
            <w:tcBorders>
              <w:top w:val="single" w:color="auto" w:sz="4" w:space="0"/>
              <w:left w:val="single" w:color="auto" w:sz="4" w:space="0"/>
              <w:bottom w:val="single" w:color="auto" w:sz="4" w:space="0"/>
              <w:right w:val="single" w:color="auto" w:sz="4" w:space="0"/>
            </w:tcBorders>
            <w:noWrap w:val="0"/>
            <w:vAlign w:val="center"/>
          </w:tcPr>
          <w:p w14:paraId="1E315071">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val="en-US" w:eastAsia="zh-CN"/>
              </w:rPr>
              <w:t>1</w:t>
            </w:r>
          </w:p>
        </w:tc>
        <w:tc>
          <w:tcPr>
            <w:tcW w:w="412" w:type="pct"/>
            <w:tcBorders>
              <w:top w:val="single" w:color="auto" w:sz="4" w:space="0"/>
              <w:left w:val="single" w:color="auto" w:sz="4" w:space="0"/>
              <w:bottom w:val="single" w:color="auto" w:sz="4" w:space="0"/>
              <w:right w:val="single" w:color="auto" w:sz="4" w:space="0"/>
            </w:tcBorders>
            <w:noWrap/>
            <w:vAlign w:val="center"/>
          </w:tcPr>
          <w:p w14:paraId="4F081EF3">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0.5</w:t>
            </w:r>
          </w:p>
        </w:tc>
      </w:tr>
      <w:tr w14:paraId="5C46D77B">
        <w:tblPrEx>
          <w:tblCellMar>
            <w:top w:w="0" w:type="dxa"/>
            <w:left w:w="108" w:type="dxa"/>
            <w:bottom w:w="0" w:type="dxa"/>
            <w:right w:w="108" w:type="dxa"/>
          </w:tblCellMar>
        </w:tblPrEx>
        <w:trPr>
          <w:trHeight w:val="1438" w:hRule="atLeast"/>
        </w:trPr>
        <w:tc>
          <w:tcPr>
            <w:tcW w:w="685" w:type="pct"/>
            <w:vMerge w:val="continue"/>
            <w:tcBorders>
              <w:top w:val="single" w:color="auto" w:sz="4" w:space="0"/>
              <w:left w:val="single" w:color="auto" w:sz="4" w:space="0"/>
              <w:bottom w:val="single" w:color="auto" w:sz="4" w:space="0"/>
              <w:right w:val="single" w:color="auto" w:sz="4" w:space="0"/>
            </w:tcBorders>
            <w:noWrap w:val="0"/>
            <w:vAlign w:val="center"/>
          </w:tcPr>
          <w:p w14:paraId="3A1C8C38">
            <w:pPr>
              <w:widowControl/>
              <w:jc w:val="left"/>
              <w:rPr>
                <w:rFonts w:ascii="宋体" w:hAnsi="宋体" w:cs="宋体"/>
                <w:color w:val="000000"/>
                <w:kern w:val="0"/>
                <w:sz w:val="20"/>
                <w:szCs w:val="20"/>
              </w:rPr>
            </w:pPr>
          </w:p>
        </w:tc>
        <w:tc>
          <w:tcPr>
            <w:tcW w:w="836" w:type="pct"/>
            <w:vMerge w:val="continue"/>
            <w:tcBorders>
              <w:top w:val="single" w:color="auto" w:sz="4" w:space="0"/>
              <w:left w:val="single" w:color="auto" w:sz="4" w:space="0"/>
              <w:bottom w:val="single" w:color="auto" w:sz="4" w:space="0"/>
              <w:right w:val="single" w:color="auto" w:sz="4" w:space="0"/>
            </w:tcBorders>
            <w:noWrap w:val="0"/>
            <w:vAlign w:val="center"/>
          </w:tcPr>
          <w:p w14:paraId="26D5A5CB">
            <w:pPr>
              <w:widowControl/>
              <w:jc w:val="left"/>
              <w:rPr>
                <w:rFonts w:ascii="宋体" w:hAnsi="宋体" w:cs="宋体"/>
                <w:color w:val="000000"/>
                <w:kern w:val="0"/>
                <w:sz w:val="20"/>
                <w:szCs w:val="20"/>
              </w:rPr>
            </w:pPr>
          </w:p>
        </w:tc>
        <w:tc>
          <w:tcPr>
            <w:tcW w:w="1070" w:type="pct"/>
            <w:tcBorders>
              <w:top w:val="single" w:color="auto" w:sz="4" w:space="0"/>
              <w:left w:val="single" w:color="auto" w:sz="4" w:space="0"/>
              <w:bottom w:val="single" w:color="auto" w:sz="4" w:space="0"/>
              <w:right w:val="single" w:color="auto" w:sz="4" w:space="0"/>
            </w:tcBorders>
            <w:noWrap w:val="0"/>
            <w:vAlign w:val="center"/>
          </w:tcPr>
          <w:p w14:paraId="6670A058">
            <w:pPr>
              <w:keepNext w:val="0"/>
              <w:keepLines w:val="0"/>
              <w:widowControl/>
              <w:suppressLineNumbers w:val="0"/>
              <w:jc w:val="left"/>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社会效益</w:t>
            </w:r>
            <w:r>
              <w:rPr>
                <w:rFonts w:hint="eastAsia" w:ascii="宋体" w:hAnsi="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保障学校日常教学培训工作顺利开展</w:t>
            </w:r>
            <w:r>
              <w:rPr>
                <w:rFonts w:hint="eastAsia" w:ascii="宋体" w:hAnsi="宋体" w:cs="宋体"/>
                <w:i w:val="0"/>
                <w:iCs w:val="0"/>
                <w:color w:val="000000"/>
                <w:kern w:val="0"/>
                <w:sz w:val="20"/>
                <w:szCs w:val="20"/>
                <w:u w:val="none"/>
                <w:lang w:val="en-US" w:eastAsia="zh-CN" w:bidi="ar"/>
              </w:rPr>
              <w:t>（平安校园）</w:t>
            </w:r>
          </w:p>
        </w:tc>
        <w:tc>
          <w:tcPr>
            <w:tcW w:w="858" w:type="pct"/>
            <w:gridSpan w:val="2"/>
            <w:tcBorders>
              <w:top w:val="single" w:color="auto" w:sz="4" w:space="0"/>
              <w:left w:val="single" w:color="auto" w:sz="4" w:space="0"/>
              <w:bottom w:val="single" w:color="auto" w:sz="4" w:space="0"/>
              <w:right w:val="single" w:color="auto" w:sz="4" w:space="0"/>
            </w:tcBorders>
            <w:noWrap w:val="0"/>
            <w:vAlign w:val="center"/>
          </w:tcPr>
          <w:p w14:paraId="6B63843C">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eastAsia="zh-CN"/>
              </w:rPr>
              <w:t>优</w:t>
            </w:r>
          </w:p>
        </w:tc>
        <w:tc>
          <w:tcPr>
            <w:tcW w:w="685" w:type="pct"/>
            <w:tcBorders>
              <w:top w:val="single" w:color="auto" w:sz="4" w:space="0"/>
              <w:left w:val="single" w:color="auto" w:sz="4" w:space="0"/>
              <w:bottom w:val="single" w:color="auto" w:sz="4" w:space="0"/>
              <w:right w:val="single" w:color="auto" w:sz="4" w:space="0"/>
            </w:tcBorders>
            <w:noWrap w:val="0"/>
            <w:vAlign w:val="center"/>
          </w:tcPr>
          <w:p w14:paraId="39C08939">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良</w:t>
            </w:r>
          </w:p>
        </w:tc>
        <w:tc>
          <w:tcPr>
            <w:tcW w:w="451" w:type="pct"/>
            <w:tcBorders>
              <w:top w:val="single" w:color="auto" w:sz="4" w:space="0"/>
              <w:left w:val="single" w:color="auto" w:sz="4" w:space="0"/>
              <w:bottom w:val="single" w:color="auto" w:sz="4" w:space="0"/>
              <w:right w:val="single" w:color="auto" w:sz="4" w:space="0"/>
            </w:tcBorders>
            <w:noWrap w:val="0"/>
            <w:vAlign w:val="center"/>
          </w:tcPr>
          <w:p w14:paraId="480C8F15">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12" w:type="pct"/>
            <w:tcBorders>
              <w:top w:val="single" w:color="auto" w:sz="4" w:space="0"/>
              <w:left w:val="single" w:color="auto" w:sz="4" w:space="0"/>
              <w:bottom w:val="single" w:color="auto" w:sz="4" w:space="0"/>
              <w:right w:val="single" w:color="auto" w:sz="4" w:space="0"/>
            </w:tcBorders>
            <w:noWrap/>
            <w:vAlign w:val="center"/>
          </w:tcPr>
          <w:p w14:paraId="6B34B9F4">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0.5</w:t>
            </w:r>
          </w:p>
        </w:tc>
      </w:tr>
      <w:tr w14:paraId="18645ADB">
        <w:tblPrEx>
          <w:tblCellMar>
            <w:top w:w="0" w:type="dxa"/>
            <w:left w:w="108" w:type="dxa"/>
            <w:bottom w:w="0" w:type="dxa"/>
            <w:right w:w="108" w:type="dxa"/>
          </w:tblCellMar>
        </w:tblPrEx>
        <w:trPr>
          <w:trHeight w:val="1835" w:hRule="atLeast"/>
        </w:trPr>
        <w:tc>
          <w:tcPr>
            <w:tcW w:w="685" w:type="pct"/>
            <w:vMerge w:val="continue"/>
            <w:tcBorders>
              <w:top w:val="single" w:color="auto" w:sz="4" w:space="0"/>
              <w:left w:val="single" w:color="auto" w:sz="4" w:space="0"/>
              <w:bottom w:val="single" w:color="auto" w:sz="4" w:space="0"/>
              <w:right w:val="single" w:color="auto" w:sz="4" w:space="0"/>
            </w:tcBorders>
            <w:noWrap w:val="0"/>
            <w:vAlign w:val="center"/>
          </w:tcPr>
          <w:p w14:paraId="169D532F">
            <w:pPr>
              <w:widowControl/>
              <w:jc w:val="left"/>
              <w:rPr>
                <w:rFonts w:ascii="宋体" w:hAnsi="宋体" w:cs="宋体"/>
                <w:color w:val="000000"/>
                <w:kern w:val="0"/>
                <w:sz w:val="20"/>
                <w:szCs w:val="20"/>
              </w:rPr>
            </w:pPr>
          </w:p>
        </w:tc>
        <w:tc>
          <w:tcPr>
            <w:tcW w:w="836" w:type="pct"/>
            <w:vMerge w:val="continue"/>
            <w:tcBorders>
              <w:top w:val="single" w:color="auto" w:sz="4" w:space="0"/>
              <w:left w:val="single" w:color="auto" w:sz="4" w:space="0"/>
              <w:bottom w:val="single" w:color="auto" w:sz="4" w:space="0"/>
              <w:right w:val="single" w:color="auto" w:sz="4" w:space="0"/>
            </w:tcBorders>
            <w:noWrap w:val="0"/>
            <w:vAlign w:val="center"/>
          </w:tcPr>
          <w:p w14:paraId="77E81A52">
            <w:pPr>
              <w:widowControl/>
              <w:jc w:val="left"/>
              <w:rPr>
                <w:rFonts w:ascii="宋体" w:hAnsi="宋体" w:cs="宋体"/>
                <w:color w:val="000000"/>
                <w:kern w:val="0"/>
                <w:sz w:val="20"/>
                <w:szCs w:val="20"/>
              </w:rPr>
            </w:pPr>
          </w:p>
        </w:tc>
        <w:tc>
          <w:tcPr>
            <w:tcW w:w="1070" w:type="pct"/>
            <w:tcBorders>
              <w:top w:val="single" w:color="auto" w:sz="4" w:space="0"/>
              <w:left w:val="single" w:color="auto" w:sz="4" w:space="0"/>
              <w:bottom w:val="single" w:color="auto" w:sz="4" w:space="0"/>
              <w:right w:val="single" w:color="auto" w:sz="4" w:space="0"/>
            </w:tcBorders>
            <w:noWrap w:val="0"/>
            <w:vAlign w:val="center"/>
          </w:tcPr>
          <w:p w14:paraId="2277B277">
            <w:pPr>
              <w:keepNext w:val="0"/>
              <w:keepLines w:val="0"/>
              <w:widowControl/>
              <w:suppressLineNumbers w:val="0"/>
              <w:jc w:val="left"/>
              <w:textAlignment w:val="center"/>
              <w:rPr>
                <w:rFonts w:hint="eastAsia" w:ascii="宋体" w:hAnsi="宋体" w:cs="宋体"/>
                <w:color w:val="000000"/>
                <w:kern w:val="0"/>
                <w:sz w:val="20"/>
                <w:szCs w:val="20"/>
              </w:rPr>
            </w:pPr>
            <w:r>
              <w:rPr>
                <w:rStyle w:val="19"/>
                <w:sz w:val="20"/>
                <w:szCs w:val="20"/>
                <w:lang w:val="en-US" w:eastAsia="zh-CN" w:bidi="ar"/>
              </w:rPr>
              <w:t>社会效益：为教职工、学员访问互联网服务，保障单位网络环境安全</w:t>
            </w:r>
            <w:r>
              <w:rPr>
                <w:rFonts w:hint="eastAsia" w:ascii="宋体" w:hAnsi="宋体" w:cs="宋体"/>
                <w:color w:val="000000"/>
                <w:kern w:val="0"/>
                <w:sz w:val="20"/>
                <w:szCs w:val="20"/>
                <w:lang w:eastAsia="zh-CN"/>
              </w:rPr>
              <w:t>（</w:t>
            </w:r>
            <w:r>
              <w:rPr>
                <w:rFonts w:hint="eastAsia" w:ascii="宋体" w:hAnsi="宋体" w:cs="宋体"/>
                <w:color w:val="000000"/>
                <w:kern w:val="0"/>
                <w:sz w:val="20"/>
                <w:szCs w:val="20"/>
              </w:rPr>
              <w:t>信息化建设</w:t>
            </w:r>
            <w:r>
              <w:rPr>
                <w:rFonts w:hint="eastAsia" w:ascii="宋体" w:hAnsi="宋体" w:cs="宋体"/>
                <w:color w:val="000000"/>
                <w:kern w:val="0"/>
                <w:sz w:val="20"/>
                <w:szCs w:val="20"/>
                <w:lang w:eastAsia="zh-CN"/>
              </w:rPr>
              <w:t>）</w:t>
            </w:r>
          </w:p>
        </w:tc>
        <w:tc>
          <w:tcPr>
            <w:tcW w:w="858" w:type="pct"/>
            <w:gridSpan w:val="2"/>
            <w:tcBorders>
              <w:top w:val="single" w:color="auto" w:sz="4" w:space="0"/>
              <w:left w:val="single" w:color="auto" w:sz="4" w:space="0"/>
              <w:bottom w:val="single" w:color="auto" w:sz="4" w:space="0"/>
              <w:right w:val="single" w:color="auto" w:sz="4" w:space="0"/>
            </w:tcBorders>
            <w:noWrap w:val="0"/>
            <w:vAlign w:val="center"/>
          </w:tcPr>
          <w:p w14:paraId="40AB832C">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eastAsia="zh-CN"/>
              </w:rPr>
              <w:t>优</w:t>
            </w:r>
          </w:p>
        </w:tc>
        <w:tc>
          <w:tcPr>
            <w:tcW w:w="685" w:type="pct"/>
            <w:tcBorders>
              <w:top w:val="single" w:color="auto" w:sz="4" w:space="0"/>
              <w:left w:val="single" w:color="auto" w:sz="4" w:space="0"/>
              <w:bottom w:val="single" w:color="auto" w:sz="4" w:space="0"/>
              <w:right w:val="single" w:color="auto" w:sz="4" w:space="0"/>
            </w:tcBorders>
            <w:noWrap w:val="0"/>
            <w:vAlign w:val="center"/>
          </w:tcPr>
          <w:p w14:paraId="6C39E1FC">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val="en-US" w:eastAsia="zh-CN"/>
              </w:rPr>
              <w:t>良</w:t>
            </w:r>
          </w:p>
        </w:tc>
        <w:tc>
          <w:tcPr>
            <w:tcW w:w="451" w:type="pct"/>
            <w:tcBorders>
              <w:top w:val="single" w:color="auto" w:sz="4" w:space="0"/>
              <w:left w:val="single" w:color="auto" w:sz="4" w:space="0"/>
              <w:bottom w:val="single" w:color="auto" w:sz="4" w:space="0"/>
              <w:right w:val="single" w:color="auto" w:sz="4" w:space="0"/>
            </w:tcBorders>
            <w:noWrap w:val="0"/>
            <w:vAlign w:val="center"/>
          </w:tcPr>
          <w:p w14:paraId="15927A74">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12" w:type="pct"/>
            <w:tcBorders>
              <w:top w:val="single" w:color="auto" w:sz="4" w:space="0"/>
              <w:left w:val="single" w:color="auto" w:sz="4" w:space="0"/>
              <w:bottom w:val="single" w:color="auto" w:sz="4" w:space="0"/>
              <w:right w:val="single" w:color="auto" w:sz="4" w:space="0"/>
            </w:tcBorders>
            <w:noWrap/>
            <w:vAlign w:val="center"/>
          </w:tcPr>
          <w:p w14:paraId="1791601D">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0.5</w:t>
            </w:r>
          </w:p>
        </w:tc>
      </w:tr>
      <w:tr w14:paraId="2D21CC7E">
        <w:tblPrEx>
          <w:tblCellMar>
            <w:top w:w="0" w:type="dxa"/>
            <w:left w:w="108" w:type="dxa"/>
            <w:bottom w:w="0" w:type="dxa"/>
            <w:right w:w="108" w:type="dxa"/>
          </w:tblCellMar>
        </w:tblPrEx>
        <w:trPr>
          <w:trHeight w:val="2436" w:hRule="atLeast"/>
        </w:trPr>
        <w:tc>
          <w:tcPr>
            <w:tcW w:w="685" w:type="pct"/>
            <w:vMerge w:val="continue"/>
            <w:tcBorders>
              <w:top w:val="single" w:color="auto" w:sz="4" w:space="0"/>
              <w:left w:val="single" w:color="auto" w:sz="4" w:space="0"/>
              <w:bottom w:val="single" w:color="auto" w:sz="4" w:space="0"/>
              <w:right w:val="single" w:color="auto" w:sz="4" w:space="0"/>
            </w:tcBorders>
            <w:noWrap w:val="0"/>
            <w:vAlign w:val="center"/>
          </w:tcPr>
          <w:p w14:paraId="74FF4408">
            <w:pPr>
              <w:widowControl/>
              <w:jc w:val="left"/>
              <w:rPr>
                <w:rFonts w:ascii="宋体" w:hAnsi="宋体" w:cs="宋体"/>
                <w:color w:val="000000"/>
                <w:kern w:val="0"/>
                <w:sz w:val="20"/>
                <w:szCs w:val="20"/>
              </w:rPr>
            </w:pPr>
          </w:p>
        </w:tc>
        <w:tc>
          <w:tcPr>
            <w:tcW w:w="836" w:type="pct"/>
            <w:vMerge w:val="continue"/>
            <w:tcBorders>
              <w:top w:val="single" w:color="auto" w:sz="4" w:space="0"/>
              <w:left w:val="single" w:color="auto" w:sz="4" w:space="0"/>
              <w:bottom w:val="single" w:color="auto" w:sz="4" w:space="0"/>
              <w:right w:val="single" w:color="auto" w:sz="4" w:space="0"/>
            </w:tcBorders>
            <w:noWrap w:val="0"/>
            <w:vAlign w:val="center"/>
          </w:tcPr>
          <w:p w14:paraId="2A6213D0">
            <w:pPr>
              <w:widowControl/>
              <w:jc w:val="left"/>
              <w:rPr>
                <w:rFonts w:ascii="宋体" w:hAnsi="宋体" w:cs="宋体"/>
                <w:color w:val="000000"/>
                <w:kern w:val="0"/>
                <w:sz w:val="20"/>
                <w:szCs w:val="20"/>
              </w:rPr>
            </w:pPr>
          </w:p>
        </w:tc>
        <w:tc>
          <w:tcPr>
            <w:tcW w:w="1070" w:type="pct"/>
            <w:tcBorders>
              <w:top w:val="single" w:color="auto" w:sz="4" w:space="0"/>
              <w:left w:val="single" w:color="auto" w:sz="4" w:space="0"/>
              <w:bottom w:val="single" w:color="auto" w:sz="4" w:space="0"/>
              <w:right w:val="single" w:color="auto" w:sz="4" w:space="0"/>
            </w:tcBorders>
            <w:noWrap w:val="0"/>
            <w:vAlign w:val="center"/>
          </w:tcPr>
          <w:p w14:paraId="2ACAEA5E">
            <w:pPr>
              <w:keepNext w:val="0"/>
              <w:keepLines w:val="0"/>
              <w:widowControl/>
              <w:suppressLineNumbers w:val="0"/>
              <w:jc w:val="left"/>
              <w:textAlignment w:val="center"/>
              <w:rPr>
                <w:rFonts w:hint="eastAsia" w:ascii="宋体" w:hAnsi="宋体" w:cs="宋体"/>
                <w:color w:val="000000"/>
                <w:kern w:val="0"/>
                <w:sz w:val="20"/>
                <w:szCs w:val="20"/>
              </w:rPr>
            </w:pPr>
            <w:r>
              <w:rPr>
                <w:rStyle w:val="19"/>
                <w:sz w:val="20"/>
                <w:szCs w:val="20"/>
                <w:lang w:val="en-US" w:eastAsia="zh-CN" w:bidi="ar"/>
              </w:rPr>
              <w:t>社会效益：为周边居民普及中药知识和健康生活方式，为当地中小学普及中药教育，做中药材主题活动基地</w:t>
            </w:r>
            <w:r>
              <w:rPr>
                <w:rFonts w:hint="eastAsia" w:ascii="宋体" w:hAnsi="宋体" w:cs="宋体"/>
                <w:color w:val="000000"/>
                <w:kern w:val="0"/>
                <w:sz w:val="20"/>
                <w:szCs w:val="20"/>
              </w:rPr>
              <w:t>（实训基地建设）</w:t>
            </w:r>
          </w:p>
        </w:tc>
        <w:tc>
          <w:tcPr>
            <w:tcW w:w="858" w:type="pct"/>
            <w:gridSpan w:val="2"/>
            <w:tcBorders>
              <w:top w:val="single" w:color="auto" w:sz="4" w:space="0"/>
              <w:left w:val="single" w:color="auto" w:sz="4" w:space="0"/>
              <w:bottom w:val="single" w:color="auto" w:sz="4" w:space="0"/>
              <w:right w:val="single" w:color="auto" w:sz="4" w:space="0"/>
            </w:tcBorders>
            <w:noWrap w:val="0"/>
            <w:vAlign w:val="center"/>
          </w:tcPr>
          <w:p w14:paraId="6BC9C0A3">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eastAsia="zh-CN"/>
              </w:rPr>
              <w:t>优</w:t>
            </w:r>
          </w:p>
        </w:tc>
        <w:tc>
          <w:tcPr>
            <w:tcW w:w="685" w:type="pct"/>
            <w:tcBorders>
              <w:top w:val="single" w:color="auto" w:sz="4" w:space="0"/>
              <w:left w:val="single" w:color="auto" w:sz="4" w:space="0"/>
              <w:bottom w:val="single" w:color="auto" w:sz="4" w:space="0"/>
              <w:right w:val="single" w:color="auto" w:sz="4" w:space="0"/>
            </w:tcBorders>
            <w:noWrap w:val="0"/>
            <w:vAlign w:val="center"/>
          </w:tcPr>
          <w:p w14:paraId="3C0BD840">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eastAsia="zh-CN"/>
              </w:rPr>
              <w:t>良</w:t>
            </w:r>
          </w:p>
        </w:tc>
        <w:tc>
          <w:tcPr>
            <w:tcW w:w="451" w:type="pct"/>
            <w:tcBorders>
              <w:top w:val="single" w:color="auto" w:sz="4" w:space="0"/>
              <w:left w:val="single" w:color="auto" w:sz="4" w:space="0"/>
              <w:bottom w:val="single" w:color="auto" w:sz="4" w:space="0"/>
              <w:right w:val="single" w:color="auto" w:sz="4" w:space="0"/>
            </w:tcBorders>
            <w:noWrap w:val="0"/>
            <w:vAlign w:val="center"/>
          </w:tcPr>
          <w:p w14:paraId="11A485B0">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12" w:type="pct"/>
            <w:tcBorders>
              <w:top w:val="single" w:color="auto" w:sz="4" w:space="0"/>
              <w:left w:val="single" w:color="auto" w:sz="4" w:space="0"/>
              <w:bottom w:val="single" w:color="auto" w:sz="4" w:space="0"/>
              <w:right w:val="single" w:color="auto" w:sz="4" w:space="0"/>
            </w:tcBorders>
            <w:noWrap/>
            <w:vAlign w:val="center"/>
          </w:tcPr>
          <w:p w14:paraId="4970B402">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0.5</w:t>
            </w:r>
          </w:p>
        </w:tc>
      </w:tr>
      <w:tr w14:paraId="3D4E8463">
        <w:tblPrEx>
          <w:tblCellMar>
            <w:top w:w="0" w:type="dxa"/>
            <w:left w:w="108" w:type="dxa"/>
            <w:bottom w:w="0" w:type="dxa"/>
            <w:right w:w="108" w:type="dxa"/>
          </w:tblCellMar>
        </w:tblPrEx>
        <w:trPr>
          <w:trHeight w:val="1276" w:hRule="atLeast"/>
        </w:trPr>
        <w:tc>
          <w:tcPr>
            <w:tcW w:w="685" w:type="pct"/>
            <w:vMerge w:val="continue"/>
            <w:tcBorders>
              <w:top w:val="single" w:color="auto" w:sz="4" w:space="0"/>
              <w:left w:val="single" w:color="auto" w:sz="4" w:space="0"/>
              <w:bottom w:val="single" w:color="auto" w:sz="4" w:space="0"/>
              <w:right w:val="single" w:color="auto" w:sz="4" w:space="0"/>
            </w:tcBorders>
            <w:noWrap w:val="0"/>
            <w:vAlign w:val="center"/>
          </w:tcPr>
          <w:p w14:paraId="1E03D548">
            <w:pPr>
              <w:widowControl/>
              <w:jc w:val="left"/>
              <w:rPr>
                <w:rFonts w:ascii="宋体" w:hAnsi="宋体" w:cs="宋体"/>
                <w:color w:val="000000"/>
                <w:kern w:val="0"/>
                <w:sz w:val="20"/>
                <w:szCs w:val="20"/>
              </w:rPr>
            </w:pPr>
          </w:p>
        </w:tc>
        <w:tc>
          <w:tcPr>
            <w:tcW w:w="836" w:type="pct"/>
            <w:vMerge w:val="continue"/>
            <w:tcBorders>
              <w:top w:val="single" w:color="auto" w:sz="4" w:space="0"/>
              <w:left w:val="single" w:color="auto" w:sz="4" w:space="0"/>
              <w:bottom w:val="single" w:color="auto" w:sz="4" w:space="0"/>
              <w:right w:val="single" w:color="auto" w:sz="4" w:space="0"/>
            </w:tcBorders>
            <w:noWrap w:val="0"/>
            <w:vAlign w:val="center"/>
          </w:tcPr>
          <w:p w14:paraId="7C743AC6">
            <w:pPr>
              <w:widowControl/>
              <w:jc w:val="left"/>
              <w:rPr>
                <w:rFonts w:ascii="宋体" w:hAnsi="宋体" w:cs="宋体"/>
                <w:color w:val="000000"/>
                <w:kern w:val="0"/>
                <w:sz w:val="20"/>
                <w:szCs w:val="20"/>
              </w:rPr>
            </w:pPr>
          </w:p>
        </w:tc>
        <w:tc>
          <w:tcPr>
            <w:tcW w:w="1070" w:type="pct"/>
            <w:tcBorders>
              <w:top w:val="single" w:color="auto" w:sz="4" w:space="0"/>
              <w:left w:val="single" w:color="auto" w:sz="4" w:space="0"/>
              <w:bottom w:val="single" w:color="auto" w:sz="4" w:space="0"/>
              <w:right w:val="single" w:color="auto" w:sz="4" w:space="0"/>
            </w:tcBorders>
            <w:noWrap w:val="0"/>
            <w:vAlign w:val="center"/>
          </w:tcPr>
          <w:p w14:paraId="06002092">
            <w:pPr>
              <w:keepNext w:val="0"/>
              <w:keepLines w:val="0"/>
              <w:widowControl/>
              <w:suppressLineNumbers w:val="0"/>
              <w:jc w:val="left"/>
              <w:textAlignment w:val="center"/>
              <w:rPr>
                <w:rFonts w:hint="eastAsia" w:ascii="宋体" w:hAnsi="宋体" w:cs="宋体"/>
                <w:color w:val="000000"/>
                <w:kern w:val="0"/>
                <w:sz w:val="20"/>
                <w:szCs w:val="20"/>
              </w:rPr>
            </w:pPr>
            <w:r>
              <w:rPr>
                <w:rStyle w:val="19"/>
                <w:sz w:val="20"/>
                <w:szCs w:val="20"/>
                <w:lang w:val="en-US" w:eastAsia="zh-CN" w:bidi="ar"/>
              </w:rPr>
              <w:t>社会效益：行业影响力有效提高</w:t>
            </w:r>
            <w:r>
              <w:rPr>
                <w:rFonts w:hint="eastAsia" w:ascii="宋体" w:hAnsi="宋体" w:cs="宋体"/>
                <w:color w:val="000000"/>
                <w:kern w:val="0"/>
                <w:sz w:val="20"/>
                <w:szCs w:val="20"/>
              </w:rPr>
              <w:t>（</w:t>
            </w:r>
            <w:r>
              <w:rPr>
                <w:rFonts w:hint="eastAsia" w:ascii="宋体" w:hAnsi="宋体" w:cs="宋体"/>
                <w:color w:val="000000"/>
                <w:kern w:val="0"/>
                <w:sz w:val="20"/>
                <w:szCs w:val="20"/>
                <w:lang w:eastAsia="zh-CN"/>
              </w:rPr>
              <w:t>教育教学</w:t>
            </w:r>
            <w:r>
              <w:rPr>
                <w:rFonts w:hint="eastAsia" w:ascii="宋体" w:hAnsi="宋体" w:cs="宋体"/>
                <w:color w:val="000000"/>
                <w:kern w:val="0"/>
                <w:sz w:val="20"/>
                <w:szCs w:val="20"/>
              </w:rPr>
              <w:t>）</w:t>
            </w:r>
          </w:p>
        </w:tc>
        <w:tc>
          <w:tcPr>
            <w:tcW w:w="858" w:type="pct"/>
            <w:gridSpan w:val="2"/>
            <w:tcBorders>
              <w:top w:val="single" w:color="auto" w:sz="4" w:space="0"/>
              <w:left w:val="single" w:color="auto" w:sz="4" w:space="0"/>
              <w:bottom w:val="single" w:color="auto" w:sz="4" w:space="0"/>
              <w:right w:val="single" w:color="auto" w:sz="4" w:space="0"/>
            </w:tcBorders>
            <w:noWrap w:val="0"/>
            <w:vAlign w:val="center"/>
          </w:tcPr>
          <w:p w14:paraId="6433E932">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eastAsia="zh-CN"/>
              </w:rPr>
              <w:t>高</w:t>
            </w:r>
          </w:p>
        </w:tc>
        <w:tc>
          <w:tcPr>
            <w:tcW w:w="685" w:type="pct"/>
            <w:tcBorders>
              <w:top w:val="single" w:color="auto" w:sz="4" w:space="0"/>
              <w:left w:val="single" w:color="auto" w:sz="4" w:space="0"/>
              <w:bottom w:val="single" w:color="auto" w:sz="4" w:space="0"/>
              <w:right w:val="single" w:color="auto" w:sz="4" w:space="0"/>
            </w:tcBorders>
            <w:noWrap w:val="0"/>
            <w:vAlign w:val="center"/>
          </w:tcPr>
          <w:p w14:paraId="6F299F99">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eastAsia="zh-CN"/>
              </w:rPr>
              <w:t>中</w:t>
            </w:r>
          </w:p>
        </w:tc>
        <w:tc>
          <w:tcPr>
            <w:tcW w:w="451" w:type="pct"/>
            <w:tcBorders>
              <w:top w:val="single" w:color="auto" w:sz="4" w:space="0"/>
              <w:left w:val="single" w:color="auto" w:sz="4" w:space="0"/>
              <w:bottom w:val="single" w:color="auto" w:sz="4" w:space="0"/>
              <w:right w:val="single" w:color="auto" w:sz="4" w:space="0"/>
            </w:tcBorders>
            <w:noWrap w:val="0"/>
            <w:vAlign w:val="center"/>
          </w:tcPr>
          <w:p w14:paraId="1EE65377">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12" w:type="pct"/>
            <w:tcBorders>
              <w:top w:val="single" w:color="auto" w:sz="4" w:space="0"/>
              <w:left w:val="single" w:color="auto" w:sz="4" w:space="0"/>
              <w:bottom w:val="single" w:color="auto" w:sz="4" w:space="0"/>
              <w:right w:val="single" w:color="auto" w:sz="4" w:space="0"/>
            </w:tcBorders>
            <w:noWrap/>
            <w:vAlign w:val="center"/>
          </w:tcPr>
          <w:p w14:paraId="19FFE12B">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0.5</w:t>
            </w:r>
          </w:p>
        </w:tc>
      </w:tr>
      <w:tr w14:paraId="64F457DA">
        <w:tblPrEx>
          <w:tblCellMar>
            <w:top w:w="0" w:type="dxa"/>
            <w:left w:w="108" w:type="dxa"/>
            <w:bottom w:w="0" w:type="dxa"/>
            <w:right w:w="108" w:type="dxa"/>
          </w:tblCellMar>
        </w:tblPrEx>
        <w:trPr>
          <w:trHeight w:val="2112" w:hRule="atLeast"/>
        </w:trPr>
        <w:tc>
          <w:tcPr>
            <w:tcW w:w="685" w:type="pct"/>
            <w:vMerge w:val="continue"/>
            <w:tcBorders>
              <w:top w:val="single" w:color="auto" w:sz="4" w:space="0"/>
              <w:left w:val="single" w:color="auto" w:sz="4" w:space="0"/>
              <w:bottom w:val="single" w:color="auto" w:sz="4" w:space="0"/>
              <w:right w:val="single" w:color="auto" w:sz="4" w:space="0"/>
            </w:tcBorders>
            <w:noWrap w:val="0"/>
            <w:vAlign w:val="center"/>
          </w:tcPr>
          <w:p w14:paraId="06591247">
            <w:pPr>
              <w:widowControl/>
              <w:jc w:val="left"/>
              <w:rPr>
                <w:rFonts w:ascii="宋体" w:hAnsi="宋体" w:cs="宋体"/>
                <w:color w:val="000000"/>
                <w:kern w:val="0"/>
                <w:sz w:val="20"/>
                <w:szCs w:val="20"/>
              </w:rPr>
            </w:pPr>
          </w:p>
        </w:tc>
        <w:tc>
          <w:tcPr>
            <w:tcW w:w="836" w:type="pct"/>
            <w:vMerge w:val="continue"/>
            <w:tcBorders>
              <w:top w:val="single" w:color="auto" w:sz="4" w:space="0"/>
              <w:left w:val="single" w:color="auto" w:sz="4" w:space="0"/>
              <w:bottom w:val="single" w:color="auto" w:sz="4" w:space="0"/>
              <w:right w:val="single" w:color="auto" w:sz="4" w:space="0"/>
            </w:tcBorders>
            <w:noWrap w:val="0"/>
            <w:vAlign w:val="center"/>
          </w:tcPr>
          <w:p w14:paraId="62F86037">
            <w:pPr>
              <w:widowControl/>
              <w:jc w:val="left"/>
              <w:rPr>
                <w:rFonts w:ascii="宋体" w:hAnsi="宋体" w:cs="宋体"/>
                <w:color w:val="000000"/>
                <w:kern w:val="0"/>
                <w:sz w:val="20"/>
                <w:szCs w:val="20"/>
              </w:rPr>
            </w:pPr>
          </w:p>
        </w:tc>
        <w:tc>
          <w:tcPr>
            <w:tcW w:w="1070" w:type="pct"/>
            <w:tcBorders>
              <w:top w:val="single" w:color="auto" w:sz="4" w:space="0"/>
              <w:left w:val="single" w:color="auto" w:sz="4" w:space="0"/>
              <w:bottom w:val="single" w:color="auto" w:sz="4" w:space="0"/>
              <w:right w:val="single" w:color="auto" w:sz="4" w:space="0"/>
            </w:tcBorders>
            <w:noWrap w:val="0"/>
            <w:vAlign w:val="center"/>
          </w:tcPr>
          <w:p w14:paraId="7E3EC467">
            <w:pPr>
              <w:keepNext w:val="0"/>
              <w:keepLines w:val="0"/>
              <w:widowControl/>
              <w:suppressLineNumbers w:val="0"/>
              <w:jc w:val="left"/>
              <w:textAlignment w:val="center"/>
              <w:rPr>
                <w:rFonts w:hint="eastAsia" w:ascii="宋体" w:hAnsi="宋体" w:cs="宋体"/>
                <w:color w:val="000000"/>
                <w:kern w:val="0"/>
                <w:sz w:val="20"/>
                <w:szCs w:val="20"/>
              </w:rPr>
            </w:pPr>
            <w:r>
              <w:rPr>
                <w:rStyle w:val="19"/>
                <w:sz w:val="20"/>
                <w:szCs w:val="20"/>
                <w:lang w:val="en-US" w:eastAsia="zh-CN" w:bidi="ar"/>
              </w:rPr>
              <w:t>社会效益：履行社会责任，增强社会服务能力，开展中医药传承和中医药文化传播（</w:t>
            </w:r>
            <w:r>
              <w:rPr>
                <w:rStyle w:val="19"/>
                <w:rFonts w:hint="eastAsia"/>
                <w:sz w:val="20"/>
                <w:szCs w:val="20"/>
                <w:lang w:val="en-US" w:eastAsia="zh-CN" w:bidi="ar"/>
              </w:rPr>
              <w:t>支持教师队伍建设</w:t>
            </w:r>
            <w:r>
              <w:rPr>
                <w:rStyle w:val="19"/>
                <w:sz w:val="20"/>
                <w:szCs w:val="20"/>
                <w:lang w:val="en-US" w:eastAsia="zh-CN" w:bidi="ar"/>
              </w:rPr>
              <w:t>）</w:t>
            </w:r>
          </w:p>
        </w:tc>
        <w:tc>
          <w:tcPr>
            <w:tcW w:w="858" w:type="pct"/>
            <w:gridSpan w:val="2"/>
            <w:tcBorders>
              <w:top w:val="single" w:color="auto" w:sz="4" w:space="0"/>
              <w:left w:val="single" w:color="auto" w:sz="4" w:space="0"/>
              <w:bottom w:val="single" w:color="auto" w:sz="4" w:space="0"/>
              <w:right w:val="single" w:color="auto" w:sz="4" w:space="0"/>
            </w:tcBorders>
            <w:noWrap w:val="0"/>
            <w:vAlign w:val="center"/>
          </w:tcPr>
          <w:p w14:paraId="17B00396">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eastAsia="zh-CN"/>
              </w:rPr>
              <w:t>优</w:t>
            </w:r>
          </w:p>
        </w:tc>
        <w:tc>
          <w:tcPr>
            <w:tcW w:w="685" w:type="pct"/>
            <w:tcBorders>
              <w:top w:val="single" w:color="auto" w:sz="4" w:space="0"/>
              <w:left w:val="single" w:color="auto" w:sz="4" w:space="0"/>
              <w:bottom w:val="single" w:color="auto" w:sz="4" w:space="0"/>
              <w:right w:val="single" w:color="auto" w:sz="4" w:space="0"/>
            </w:tcBorders>
            <w:noWrap w:val="0"/>
            <w:vAlign w:val="center"/>
          </w:tcPr>
          <w:p w14:paraId="7DD0EF86">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eastAsia="zh-CN"/>
              </w:rPr>
              <w:t>优</w:t>
            </w:r>
          </w:p>
        </w:tc>
        <w:tc>
          <w:tcPr>
            <w:tcW w:w="451" w:type="pct"/>
            <w:tcBorders>
              <w:top w:val="single" w:color="auto" w:sz="4" w:space="0"/>
              <w:left w:val="single" w:color="auto" w:sz="4" w:space="0"/>
              <w:bottom w:val="single" w:color="auto" w:sz="4" w:space="0"/>
              <w:right w:val="single" w:color="auto" w:sz="4" w:space="0"/>
            </w:tcBorders>
            <w:noWrap w:val="0"/>
            <w:vAlign w:val="center"/>
          </w:tcPr>
          <w:p w14:paraId="5FF15A9C">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12" w:type="pct"/>
            <w:tcBorders>
              <w:top w:val="single" w:color="auto" w:sz="4" w:space="0"/>
              <w:left w:val="single" w:color="auto" w:sz="4" w:space="0"/>
              <w:bottom w:val="single" w:color="auto" w:sz="4" w:space="0"/>
              <w:right w:val="single" w:color="auto" w:sz="4" w:space="0"/>
            </w:tcBorders>
            <w:noWrap/>
            <w:vAlign w:val="center"/>
          </w:tcPr>
          <w:p w14:paraId="716D6809">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r>
      <w:tr w14:paraId="13DEADE7">
        <w:tblPrEx>
          <w:tblCellMar>
            <w:top w:w="0" w:type="dxa"/>
            <w:left w:w="108" w:type="dxa"/>
            <w:bottom w:w="0" w:type="dxa"/>
            <w:right w:w="108" w:type="dxa"/>
          </w:tblCellMar>
        </w:tblPrEx>
        <w:trPr>
          <w:trHeight w:val="1892" w:hRule="atLeast"/>
        </w:trPr>
        <w:tc>
          <w:tcPr>
            <w:tcW w:w="685" w:type="pct"/>
            <w:vMerge w:val="continue"/>
            <w:tcBorders>
              <w:top w:val="single" w:color="auto" w:sz="4" w:space="0"/>
              <w:left w:val="single" w:color="auto" w:sz="4" w:space="0"/>
              <w:bottom w:val="single" w:color="auto" w:sz="4" w:space="0"/>
              <w:right w:val="single" w:color="auto" w:sz="4" w:space="0"/>
            </w:tcBorders>
            <w:noWrap w:val="0"/>
            <w:vAlign w:val="center"/>
          </w:tcPr>
          <w:p w14:paraId="181BE492">
            <w:pPr>
              <w:widowControl/>
              <w:jc w:val="left"/>
              <w:rPr>
                <w:rFonts w:ascii="宋体" w:hAnsi="宋体" w:cs="宋体"/>
                <w:color w:val="000000"/>
                <w:kern w:val="0"/>
                <w:sz w:val="20"/>
                <w:szCs w:val="20"/>
              </w:rPr>
            </w:pPr>
          </w:p>
        </w:tc>
        <w:tc>
          <w:tcPr>
            <w:tcW w:w="836" w:type="pct"/>
            <w:vMerge w:val="continue"/>
            <w:tcBorders>
              <w:top w:val="single" w:color="auto" w:sz="4" w:space="0"/>
              <w:left w:val="single" w:color="auto" w:sz="4" w:space="0"/>
              <w:bottom w:val="single" w:color="auto" w:sz="4" w:space="0"/>
              <w:right w:val="single" w:color="auto" w:sz="4" w:space="0"/>
            </w:tcBorders>
            <w:noWrap w:val="0"/>
            <w:vAlign w:val="center"/>
          </w:tcPr>
          <w:p w14:paraId="4C7AA0EE">
            <w:pPr>
              <w:widowControl/>
              <w:jc w:val="left"/>
              <w:rPr>
                <w:rFonts w:ascii="宋体" w:hAnsi="宋体" w:cs="宋体"/>
                <w:color w:val="000000"/>
                <w:kern w:val="0"/>
                <w:sz w:val="20"/>
                <w:szCs w:val="20"/>
              </w:rPr>
            </w:pPr>
          </w:p>
        </w:tc>
        <w:tc>
          <w:tcPr>
            <w:tcW w:w="1070" w:type="pct"/>
            <w:tcBorders>
              <w:top w:val="single" w:color="auto" w:sz="4" w:space="0"/>
              <w:left w:val="single" w:color="auto" w:sz="4" w:space="0"/>
              <w:bottom w:val="single" w:color="auto" w:sz="4" w:space="0"/>
              <w:right w:val="single" w:color="auto" w:sz="4" w:space="0"/>
            </w:tcBorders>
            <w:noWrap w:val="0"/>
            <w:vAlign w:val="center"/>
          </w:tcPr>
          <w:p w14:paraId="578BEEA7">
            <w:pPr>
              <w:keepNext w:val="0"/>
              <w:keepLines w:val="0"/>
              <w:widowControl/>
              <w:suppressLineNumbers w:val="0"/>
              <w:jc w:val="left"/>
              <w:textAlignment w:val="center"/>
              <w:rPr>
                <w:rFonts w:hint="eastAsia" w:ascii="宋体" w:hAnsi="宋体" w:cs="宋体"/>
                <w:color w:val="000000"/>
                <w:kern w:val="0"/>
                <w:sz w:val="20"/>
                <w:szCs w:val="20"/>
              </w:rPr>
            </w:pPr>
            <w:r>
              <w:rPr>
                <w:rStyle w:val="20"/>
                <w:sz w:val="20"/>
                <w:szCs w:val="20"/>
                <w:lang w:val="en-US" w:eastAsia="zh-CN" w:bidi="ar"/>
              </w:rPr>
              <w:t>可持续影响：为互联网访问服务提供带宽支撑，保障教职工、学员工作顺利开展</w:t>
            </w:r>
            <w:r>
              <w:rPr>
                <w:rFonts w:hint="eastAsia" w:ascii="宋体" w:hAnsi="宋体" w:cs="宋体"/>
                <w:color w:val="000000"/>
                <w:kern w:val="0"/>
                <w:sz w:val="20"/>
                <w:szCs w:val="20"/>
                <w:lang w:eastAsia="zh-CN"/>
              </w:rPr>
              <w:t>（</w:t>
            </w:r>
            <w:r>
              <w:rPr>
                <w:rFonts w:hint="eastAsia" w:ascii="宋体" w:hAnsi="宋体" w:cs="宋体"/>
                <w:color w:val="000000"/>
                <w:kern w:val="0"/>
                <w:sz w:val="20"/>
                <w:szCs w:val="20"/>
              </w:rPr>
              <w:t>信息化建设</w:t>
            </w:r>
            <w:r>
              <w:rPr>
                <w:rFonts w:hint="eastAsia" w:ascii="宋体" w:hAnsi="宋体" w:cs="宋体"/>
                <w:color w:val="000000"/>
                <w:kern w:val="0"/>
                <w:sz w:val="20"/>
                <w:szCs w:val="20"/>
                <w:lang w:eastAsia="zh-CN"/>
              </w:rPr>
              <w:t>）</w:t>
            </w:r>
          </w:p>
        </w:tc>
        <w:tc>
          <w:tcPr>
            <w:tcW w:w="858" w:type="pct"/>
            <w:gridSpan w:val="2"/>
            <w:tcBorders>
              <w:top w:val="single" w:color="auto" w:sz="4" w:space="0"/>
              <w:left w:val="single" w:color="auto" w:sz="4" w:space="0"/>
              <w:bottom w:val="single" w:color="auto" w:sz="4" w:space="0"/>
              <w:right w:val="single" w:color="auto" w:sz="4" w:space="0"/>
            </w:tcBorders>
            <w:noWrap w:val="0"/>
            <w:vAlign w:val="center"/>
          </w:tcPr>
          <w:p w14:paraId="66650D03">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eastAsia="zh-CN"/>
              </w:rPr>
              <w:t>优</w:t>
            </w:r>
          </w:p>
        </w:tc>
        <w:tc>
          <w:tcPr>
            <w:tcW w:w="685" w:type="pct"/>
            <w:tcBorders>
              <w:top w:val="single" w:color="auto" w:sz="4" w:space="0"/>
              <w:left w:val="single" w:color="auto" w:sz="4" w:space="0"/>
              <w:bottom w:val="single" w:color="auto" w:sz="4" w:space="0"/>
              <w:right w:val="single" w:color="auto" w:sz="4" w:space="0"/>
            </w:tcBorders>
            <w:noWrap w:val="0"/>
            <w:vAlign w:val="center"/>
          </w:tcPr>
          <w:p w14:paraId="7C1119FF">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eastAsia="zh-CN"/>
              </w:rPr>
              <w:t>优</w:t>
            </w:r>
          </w:p>
        </w:tc>
        <w:tc>
          <w:tcPr>
            <w:tcW w:w="451" w:type="pct"/>
            <w:tcBorders>
              <w:top w:val="single" w:color="auto" w:sz="4" w:space="0"/>
              <w:left w:val="single" w:color="auto" w:sz="4" w:space="0"/>
              <w:bottom w:val="single" w:color="auto" w:sz="4" w:space="0"/>
              <w:right w:val="single" w:color="auto" w:sz="4" w:space="0"/>
            </w:tcBorders>
            <w:noWrap w:val="0"/>
            <w:vAlign w:val="center"/>
          </w:tcPr>
          <w:p w14:paraId="0F515595">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12" w:type="pct"/>
            <w:tcBorders>
              <w:top w:val="single" w:color="auto" w:sz="4" w:space="0"/>
              <w:left w:val="single" w:color="auto" w:sz="4" w:space="0"/>
              <w:bottom w:val="single" w:color="auto" w:sz="4" w:space="0"/>
              <w:right w:val="single" w:color="auto" w:sz="4" w:space="0"/>
            </w:tcBorders>
            <w:noWrap/>
            <w:vAlign w:val="center"/>
          </w:tcPr>
          <w:p w14:paraId="07FFBA97">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r>
      <w:tr w14:paraId="5BDC62ED">
        <w:tblPrEx>
          <w:tblCellMar>
            <w:top w:w="0" w:type="dxa"/>
            <w:left w:w="108" w:type="dxa"/>
            <w:bottom w:w="0" w:type="dxa"/>
            <w:right w:w="108" w:type="dxa"/>
          </w:tblCellMar>
        </w:tblPrEx>
        <w:trPr>
          <w:trHeight w:val="2778" w:hRule="atLeast"/>
        </w:trPr>
        <w:tc>
          <w:tcPr>
            <w:tcW w:w="685" w:type="pct"/>
            <w:vMerge w:val="continue"/>
            <w:tcBorders>
              <w:top w:val="single" w:color="auto" w:sz="4" w:space="0"/>
              <w:left w:val="single" w:color="auto" w:sz="4" w:space="0"/>
              <w:bottom w:val="single" w:color="auto" w:sz="4" w:space="0"/>
              <w:right w:val="single" w:color="auto" w:sz="4" w:space="0"/>
            </w:tcBorders>
            <w:noWrap w:val="0"/>
            <w:vAlign w:val="center"/>
          </w:tcPr>
          <w:p w14:paraId="2DE18381">
            <w:pPr>
              <w:widowControl/>
              <w:jc w:val="left"/>
              <w:rPr>
                <w:rFonts w:ascii="宋体" w:hAnsi="宋体" w:cs="宋体"/>
                <w:color w:val="000000"/>
                <w:kern w:val="0"/>
                <w:sz w:val="20"/>
                <w:szCs w:val="20"/>
              </w:rPr>
            </w:pPr>
          </w:p>
        </w:tc>
        <w:tc>
          <w:tcPr>
            <w:tcW w:w="836" w:type="pct"/>
            <w:vMerge w:val="continue"/>
            <w:tcBorders>
              <w:top w:val="single" w:color="auto" w:sz="4" w:space="0"/>
              <w:left w:val="single" w:color="auto" w:sz="4" w:space="0"/>
              <w:bottom w:val="single" w:color="auto" w:sz="4" w:space="0"/>
              <w:right w:val="single" w:color="auto" w:sz="4" w:space="0"/>
            </w:tcBorders>
            <w:noWrap w:val="0"/>
            <w:vAlign w:val="center"/>
          </w:tcPr>
          <w:p w14:paraId="3CB7713C">
            <w:pPr>
              <w:widowControl/>
              <w:jc w:val="left"/>
              <w:rPr>
                <w:rFonts w:ascii="宋体" w:hAnsi="宋体" w:cs="宋体"/>
                <w:color w:val="000000"/>
                <w:kern w:val="0"/>
                <w:sz w:val="20"/>
                <w:szCs w:val="20"/>
              </w:rPr>
            </w:pPr>
          </w:p>
        </w:tc>
        <w:tc>
          <w:tcPr>
            <w:tcW w:w="1070" w:type="pct"/>
            <w:tcBorders>
              <w:top w:val="single" w:color="auto" w:sz="4" w:space="0"/>
              <w:left w:val="single" w:color="auto" w:sz="4" w:space="0"/>
              <w:bottom w:val="single" w:color="auto" w:sz="4" w:space="0"/>
              <w:right w:val="single" w:color="auto" w:sz="4" w:space="0"/>
            </w:tcBorders>
            <w:noWrap w:val="0"/>
            <w:vAlign w:val="center"/>
          </w:tcPr>
          <w:p w14:paraId="3BEF1DA0">
            <w:pPr>
              <w:keepNext w:val="0"/>
              <w:keepLines w:val="0"/>
              <w:widowControl/>
              <w:suppressLineNumbers w:val="0"/>
              <w:jc w:val="left"/>
              <w:textAlignment w:val="center"/>
              <w:rPr>
                <w:rFonts w:hint="eastAsia" w:ascii="宋体" w:hAnsi="宋体" w:cs="宋体"/>
                <w:color w:val="000000"/>
                <w:kern w:val="0"/>
                <w:sz w:val="20"/>
                <w:szCs w:val="20"/>
              </w:rPr>
            </w:pPr>
            <w:r>
              <w:rPr>
                <w:rStyle w:val="20"/>
                <w:sz w:val="20"/>
                <w:szCs w:val="20"/>
                <w:lang w:val="en-US" w:eastAsia="zh-CN" w:bidi="ar"/>
              </w:rPr>
              <w:t>可持续影响：完善实训基地建设，强化对实验教学的指导和管理，突出对学生综合素质和实践能力的培养，不断提高人才培养质量</w:t>
            </w:r>
            <w:r>
              <w:rPr>
                <w:rFonts w:hint="eastAsia" w:ascii="宋体" w:hAnsi="宋体" w:cs="宋体"/>
                <w:color w:val="000000"/>
                <w:kern w:val="0"/>
                <w:sz w:val="20"/>
                <w:szCs w:val="20"/>
              </w:rPr>
              <w:t>（实训基地建设）</w:t>
            </w:r>
          </w:p>
        </w:tc>
        <w:tc>
          <w:tcPr>
            <w:tcW w:w="858" w:type="pct"/>
            <w:gridSpan w:val="2"/>
            <w:tcBorders>
              <w:top w:val="single" w:color="auto" w:sz="4" w:space="0"/>
              <w:left w:val="single" w:color="auto" w:sz="4" w:space="0"/>
              <w:bottom w:val="single" w:color="auto" w:sz="4" w:space="0"/>
              <w:right w:val="single" w:color="auto" w:sz="4" w:space="0"/>
            </w:tcBorders>
            <w:noWrap w:val="0"/>
            <w:vAlign w:val="center"/>
          </w:tcPr>
          <w:p w14:paraId="6AF15873">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eastAsia="zh-CN"/>
              </w:rPr>
              <w:t>优</w:t>
            </w:r>
          </w:p>
        </w:tc>
        <w:tc>
          <w:tcPr>
            <w:tcW w:w="685" w:type="pct"/>
            <w:tcBorders>
              <w:top w:val="single" w:color="auto" w:sz="4" w:space="0"/>
              <w:left w:val="single" w:color="auto" w:sz="4" w:space="0"/>
              <w:bottom w:val="single" w:color="auto" w:sz="4" w:space="0"/>
              <w:right w:val="single" w:color="auto" w:sz="4" w:space="0"/>
            </w:tcBorders>
            <w:noWrap w:val="0"/>
            <w:vAlign w:val="center"/>
          </w:tcPr>
          <w:p w14:paraId="7F7E5D9A">
            <w:pPr>
              <w:widowControl/>
              <w:jc w:val="center"/>
              <w:rPr>
                <w:rFonts w:hint="default"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bidi="ar-SA"/>
              </w:rPr>
              <w:t>良</w:t>
            </w:r>
          </w:p>
        </w:tc>
        <w:tc>
          <w:tcPr>
            <w:tcW w:w="451" w:type="pct"/>
            <w:tcBorders>
              <w:top w:val="single" w:color="auto" w:sz="4" w:space="0"/>
              <w:left w:val="single" w:color="auto" w:sz="4" w:space="0"/>
              <w:bottom w:val="single" w:color="auto" w:sz="4" w:space="0"/>
              <w:right w:val="single" w:color="auto" w:sz="4" w:space="0"/>
            </w:tcBorders>
            <w:noWrap w:val="0"/>
            <w:vAlign w:val="center"/>
          </w:tcPr>
          <w:p w14:paraId="70741CB2">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12" w:type="pct"/>
            <w:tcBorders>
              <w:top w:val="single" w:color="auto" w:sz="4" w:space="0"/>
              <w:left w:val="single" w:color="auto" w:sz="4" w:space="0"/>
              <w:bottom w:val="single" w:color="auto" w:sz="4" w:space="0"/>
              <w:right w:val="single" w:color="auto" w:sz="4" w:space="0"/>
            </w:tcBorders>
            <w:noWrap/>
            <w:vAlign w:val="center"/>
          </w:tcPr>
          <w:p w14:paraId="439FC8F4">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0.5</w:t>
            </w:r>
          </w:p>
        </w:tc>
      </w:tr>
      <w:tr w14:paraId="6A448F20">
        <w:tblPrEx>
          <w:tblCellMar>
            <w:top w:w="0" w:type="dxa"/>
            <w:left w:w="108" w:type="dxa"/>
            <w:bottom w:w="0" w:type="dxa"/>
            <w:right w:w="108" w:type="dxa"/>
          </w:tblCellMar>
        </w:tblPrEx>
        <w:trPr>
          <w:trHeight w:val="1590" w:hRule="atLeast"/>
        </w:trPr>
        <w:tc>
          <w:tcPr>
            <w:tcW w:w="685" w:type="pct"/>
            <w:vMerge w:val="continue"/>
            <w:tcBorders>
              <w:top w:val="single" w:color="auto" w:sz="4" w:space="0"/>
              <w:left w:val="single" w:color="auto" w:sz="4" w:space="0"/>
              <w:bottom w:val="single" w:color="auto" w:sz="4" w:space="0"/>
              <w:right w:val="single" w:color="auto" w:sz="4" w:space="0"/>
            </w:tcBorders>
            <w:noWrap w:val="0"/>
            <w:vAlign w:val="center"/>
          </w:tcPr>
          <w:p w14:paraId="589680AD">
            <w:pPr>
              <w:widowControl/>
              <w:jc w:val="left"/>
              <w:rPr>
                <w:rFonts w:ascii="宋体" w:hAnsi="宋体" w:cs="宋体"/>
                <w:color w:val="000000"/>
                <w:kern w:val="0"/>
                <w:sz w:val="20"/>
                <w:szCs w:val="20"/>
              </w:rPr>
            </w:pPr>
          </w:p>
        </w:tc>
        <w:tc>
          <w:tcPr>
            <w:tcW w:w="836" w:type="pct"/>
            <w:vMerge w:val="continue"/>
            <w:tcBorders>
              <w:top w:val="single" w:color="auto" w:sz="4" w:space="0"/>
              <w:left w:val="single" w:color="auto" w:sz="4" w:space="0"/>
              <w:bottom w:val="single" w:color="auto" w:sz="4" w:space="0"/>
              <w:right w:val="single" w:color="auto" w:sz="4" w:space="0"/>
            </w:tcBorders>
            <w:noWrap w:val="0"/>
            <w:vAlign w:val="center"/>
          </w:tcPr>
          <w:p w14:paraId="071D17D8">
            <w:pPr>
              <w:widowControl/>
              <w:jc w:val="left"/>
              <w:rPr>
                <w:rFonts w:ascii="宋体" w:hAnsi="宋体" w:cs="宋体"/>
                <w:color w:val="000000"/>
                <w:kern w:val="0"/>
                <w:sz w:val="20"/>
                <w:szCs w:val="20"/>
              </w:rPr>
            </w:pPr>
          </w:p>
        </w:tc>
        <w:tc>
          <w:tcPr>
            <w:tcW w:w="1070" w:type="pct"/>
            <w:tcBorders>
              <w:top w:val="single" w:color="auto" w:sz="4" w:space="0"/>
              <w:left w:val="single" w:color="auto" w:sz="4" w:space="0"/>
              <w:bottom w:val="single" w:color="auto" w:sz="4" w:space="0"/>
              <w:right w:val="single" w:color="auto" w:sz="4" w:space="0"/>
            </w:tcBorders>
            <w:noWrap w:val="0"/>
            <w:vAlign w:val="center"/>
          </w:tcPr>
          <w:p w14:paraId="58B3B058">
            <w:pPr>
              <w:keepNext w:val="0"/>
              <w:keepLines w:val="0"/>
              <w:widowControl/>
              <w:suppressLineNumbers w:val="0"/>
              <w:jc w:val="left"/>
              <w:textAlignment w:val="center"/>
              <w:rPr>
                <w:rFonts w:hint="eastAsia" w:ascii="宋体" w:hAnsi="宋体" w:cs="宋体"/>
                <w:color w:val="000000"/>
                <w:kern w:val="0"/>
                <w:sz w:val="20"/>
                <w:szCs w:val="20"/>
              </w:rPr>
            </w:pPr>
            <w:r>
              <w:rPr>
                <w:rStyle w:val="20"/>
                <w:sz w:val="20"/>
                <w:szCs w:val="20"/>
                <w:lang w:val="en-US" w:eastAsia="zh-CN" w:bidi="ar"/>
              </w:rPr>
              <w:t>可持续影响：开阔教师视野，提升教学管理和科研学术水平</w:t>
            </w:r>
            <w:r>
              <w:rPr>
                <w:rFonts w:hint="eastAsia" w:ascii="宋体" w:hAnsi="宋体" w:cs="宋体"/>
                <w:color w:val="000000"/>
                <w:kern w:val="0"/>
                <w:sz w:val="20"/>
                <w:szCs w:val="20"/>
              </w:rPr>
              <w:t>（</w:t>
            </w:r>
            <w:r>
              <w:rPr>
                <w:rFonts w:hint="eastAsia" w:ascii="宋体" w:hAnsi="宋体" w:cs="宋体"/>
                <w:color w:val="000000"/>
                <w:kern w:val="0"/>
                <w:sz w:val="20"/>
                <w:szCs w:val="20"/>
                <w:lang w:eastAsia="zh-CN"/>
              </w:rPr>
              <w:t>教育教学</w:t>
            </w:r>
            <w:r>
              <w:rPr>
                <w:rFonts w:hint="eastAsia" w:ascii="宋体" w:hAnsi="宋体" w:cs="宋体"/>
                <w:color w:val="000000"/>
                <w:kern w:val="0"/>
                <w:sz w:val="20"/>
                <w:szCs w:val="20"/>
              </w:rPr>
              <w:t>）</w:t>
            </w:r>
          </w:p>
        </w:tc>
        <w:tc>
          <w:tcPr>
            <w:tcW w:w="858" w:type="pct"/>
            <w:gridSpan w:val="2"/>
            <w:tcBorders>
              <w:top w:val="single" w:color="auto" w:sz="4" w:space="0"/>
              <w:left w:val="single" w:color="auto" w:sz="4" w:space="0"/>
              <w:bottom w:val="single" w:color="auto" w:sz="4" w:space="0"/>
              <w:right w:val="single" w:color="auto" w:sz="4" w:space="0"/>
            </w:tcBorders>
            <w:noWrap w:val="0"/>
            <w:vAlign w:val="center"/>
          </w:tcPr>
          <w:p w14:paraId="414EA974">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eastAsia="zh-CN"/>
              </w:rPr>
              <w:t>优</w:t>
            </w:r>
          </w:p>
        </w:tc>
        <w:tc>
          <w:tcPr>
            <w:tcW w:w="685" w:type="pct"/>
            <w:tcBorders>
              <w:top w:val="single" w:color="auto" w:sz="4" w:space="0"/>
              <w:left w:val="single" w:color="auto" w:sz="4" w:space="0"/>
              <w:bottom w:val="single" w:color="auto" w:sz="4" w:space="0"/>
              <w:right w:val="single" w:color="auto" w:sz="4" w:space="0"/>
            </w:tcBorders>
            <w:noWrap w:val="0"/>
            <w:vAlign w:val="center"/>
          </w:tcPr>
          <w:p w14:paraId="7BA4EBD4">
            <w:pPr>
              <w:widowControl/>
              <w:jc w:val="center"/>
              <w:rPr>
                <w:rFonts w:hint="default"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bidi="ar-SA"/>
              </w:rPr>
              <w:t>良</w:t>
            </w:r>
          </w:p>
        </w:tc>
        <w:tc>
          <w:tcPr>
            <w:tcW w:w="451" w:type="pct"/>
            <w:tcBorders>
              <w:top w:val="single" w:color="auto" w:sz="4" w:space="0"/>
              <w:left w:val="single" w:color="auto" w:sz="4" w:space="0"/>
              <w:bottom w:val="single" w:color="auto" w:sz="4" w:space="0"/>
              <w:right w:val="single" w:color="auto" w:sz="4" w:space="0"/>
            </w:tcBorders>
            <w:noWrap w:val="0"/>
            <w:vAlign w:val="center"/>
          </w:tcPr>
          <w:p w14:paraId="51D724DE">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12" w:type="pct"/>
            <w:tcBorders>
              <w:top w:val="single" w:color="auto" w:sz="4" w:space="0"/>
              <w:left w:val="single" w:color="auto" w:sz="4" w:space="0"/>
              <w:bottom w:val="single" w:color="auto" w:sz="4" w:space="0"/>
              <w:right w:val="single" w:color="auto" w:sz="4" w:space="0"/>
            </w:tcBorders>
            <w:noWrap/>
            <w:vAlign w:val="center"/>
          </w:tcPr>
          <w:p w14:paraId="24F77D78">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0.5</w:t>
            </w:r>
          </w:p>
        </w:tc>
      </w:tr>
      <w:tr w14:paraId="5F46BBA6">
        <w:tblPrEx>
          <w:tblCellMar>
            <w:top w:w="0" w:type="dxa"/>
            <w:left w:w="108" w:type="dxa"/>
            <w:bottom w:w="0" w:type="dxa"/>
            <w:right w:w="108" w:type="dxa"/>
          </w:tblCellMar>
        </w:tblPrEx>
        <w:trPr>
          <w:trHeight w:val="1962" w:hRule="atLeast"/>
        </w:trPr>
        <w:tc>
          <w:tcPr>
            <w:tcW w:w="685" w:type="pct"/>
            <w:vMerge w:val="continue"/>
            <w:tcBorders>
              <w:top w:val="single" w:color="auto" w:sz="4" w:space="0"/>
              <w:left w:val="single" w:color="auto" w:sz="4" w:space="0"/>
              <w:bottom w:val="single" w:color="auto" w:sz="4" w:space="0"/>
              <w:right w:val="single" w:color="auto" w:sz="4" w:space="0"/>
            </w:tcBorders>
            <w:noWrap w:val="0"/>
            <w:vAlign w:val="center"/>
          </w:tcPr>
          <w:p w14:paraId="312B3E04">
            <w:pPr>
              <w:widowControl/>
              <w:jc w:val="left"/>
              <w:rPr>
                <w:rFonts w:ascii="宋体" w:hAnsi="宋体" w:cs="宋体"/>
                <w:color w:val="000000"/>
                <w:kern w:val="0"/>
                <w:sz w:val="20"/>
                <w:szCs w:val="20"/>
              </w:rPr>
            </w:pPr>
          </w:p>
        </w:tc>
        <w:tc>
          <w:tcPr>
            <w:tcW w:w="836" w:type="pct"/>
            <w:vMerge w:val="continue"/>
            <w:tcBorders>
              <w:top w:val="single" w:color="auto" w:sz="4" w:space="0"/>
              <w:left w:val="single" w:color="auto" w:sz="4" w:space="0"/>
              <w:bottom w:val="single" w:color="auto" w:sz="4" w:space="0"/>
              <w:right w:val="single" w:color="auto" w:sz="4" w:space="0"/>
            </w:tcBorders>
            <w:noWrap w:val="0"/>
            <w:vAlign w:val="center"/>
          </w:tcPr>
          <w:p w14:paraId="16431344">
            <w:pPr>
              <w:widowControl/>
              <w:jc w:val="left"/>
              <w:rPr>
                <w:rFonts w:ascii="宋体" w:hAnsi="宋体" w:cs="宋体"/>
                <w:color w:val="000000"/>
                <w:kern w:val="0"/>
                <w:sz w:val="20"/>
                <w:szCs w:val="20"/>
              </w:rPr>
            </w:pPr>
          </w:p>
        </w:tc>
        <w:tc>
          <w:tcPr>
            <w:tcW w:w="1070" w:type="pct"/>
            <w:tcBorders>
              <w:top w:val="single" w:color="auto" w:sz="4" w:space="0"/>
              <w:left w:val="single" w:color="auto" w:sz="4" w:space="0"/>
              <w:bottom w:val="single" w:color="auto" w:sz="4" w:space="0"/>
              <w:right w:val="single" w:color="auto" w:sz="4" w:space="0"/>
            </w:tcBorders>
            <w:noWrap w:val="0"/>
            <w:vAlign w:val="center"/>
          </w:tcPr>
          <w:p w14:paraId="63BD7628">
            <w:pPr>
              <w:keepNext w:val="0"/>
              <w:keepLines w:val="0"/>
              <w:widowControl/>
              <w:suppressLineNumbers w:val="0"/>
              <w:jc w:val="left"/>
              <w:textAlignment w:val="center"/>
              <w:rPr>
                <w:rFonts w:hint="eastAsia" w:ascii="宋体" w:hAnsi="宋体" w:cs="宋体"/>
                <w:color w:val="000000"/>
                <w:kern w:val="0"/>
                <w:sz w:val="20"/>
                <w:szCs w:val="20"/>
              </w:rPr>
            </w:pPr>
            <w:r>
              <w:rPr>
                <w:rStyle w:val="20"/>
                <w:sz w:val="20"/>
                <w:szCs w:val="20"/>
                <w:lang w:val="en-US" w:eastAsia="zh-CN" w:bidi="ar"/>
              </w:rPr>
              <w:t>可持续影响：提升教职工的综合素养，促进全体教职工共成长同进步</w:t>
            </w:r>
            <w:r>
              <w:rPr>
                <w:rStyle w:val="19"/>
                <w:sz w:val="20"/>
                <w:szCs w:val="20"/>
                <w:lang w:val="en-US" w:eastAsia="zh-CN" w:bidi="ar"/>
              </w:rPr>
              <w:t>（</w:t>
            </w:r>
            <w:r>
              <w:rPr>
                <w:rStyle w:val="19"/>
                <w:rFonts w:hint="eastAsia"/>
                <w:sz w:val="20"/>
                <w:szCs w:val="20"/>
                <w:lang w:val="en-US" w:eastAsia="zh-CN" w:bidi="ar"/>
              </w:rPr>
              <w:t>支持教师队伍建设</w:t>
            </w:r>
            <w:r>
              <w:rPr>
                <w:rStyle w:val="19"/>
                <w:sz w:val="20"/>
                <w:szCs w:val="20"/>
                <w:lang w:val="en-US" w:eastAsia="zh-CN" w:bidi="ar"/>
              </w:rPr>
              <w:t>）</w:t>
            </w:r>
          </w:p>
        </w:tc>
        <w:tc>
          <w:tcPr>
            <w:tcW w:w="858" w:type="pct"/>
            <w:gridSpan w:val="2"/>
            <w:tcBorders>
              <w:top w:val="single" w:color="auto" w:sz="4" w:space="0"/>
              <w:left w:val="single" w:color="auto" w:sz="4" w:space="0"/>
              <w:bottom w:val="single" w:color="auto" w:sz="4" w:space="0"/>
              <w:right w:val="single" w:color="auto" w:sz="4" w:space="0"/>
            </w:tcBorders>
            <w:noWrap w:val="0"/>
            <w:vAlign w:val="center"/>
          </w:tcPr>
          <w:p w14:paraId="7C3341AA">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eastAsia="zh-CN"/>
              </w:rPr>
              <w:t>优</w:t>
            </w:r>
          </w:p>
        </w:tc>
        <w:tc>
          <w:tcPr>
            <w:tcW w:w="685" w:type="pct"/>
            <w:tcBorders>
              <w:top w:val="single" w:color="auto" w:sz="4" w:space="0"/>
              <w:left w:val="single" w:color="auto" w:sz="4" w:space="0"/>
              <w:bottom w:val="single" w:color="auto" w:sz="4" w:space="0"/>
              <w:right w:val="single" w:color="auto" w:sz="4" w:space="0"/>
            </w:tcBorders>
            <w:noWrap w:val="0"/>
            <w:vAlign w:val="center"/>
          </w:tcPr>
          <w:p w14:paraId="11147FD2">
            <w:pPr>
              <w:widowControl/>
              <w:jc w:val="center"/>
              <w:rPr>
                <w:rFonts w:hint="default"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bidi="ar-SA"/>
              </w:rPr>
              <w:t>良</w:t>
            </w:r>
          </w:p>
        </w:tc>
        <w:tc>
          <w:tcPr>
            <w:tcW w:w="451" w:type="pct"/>
            <w:tcBorders>
              <w:top w:val="single" w:color="auto" w:sz="4" w:space="0"/>
              <w:left w:val="single" w:color="auto" w:sz="4" w:space="0"/>
              <w:bottom w:val="single" w:color="auto" w:sz="4" w:space="0"/>
              <w:right w:val="single" w:color="auto" w:sz="4" w:space="0"/>
            </w:tcBorders>
            <w:noWrap w:val="0"/>
            <w:vAlign w:val="center"/>
          </w:tcPr>
          <w:p w14:paraId="47739A9B">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12" w:type="pct"/>
            <w:tcBorders>
              <w:top w:val="single" w:color="auto" w:sz="4" w:space="0"/>
              <w:left w:val="single" w:color="auto" w:sz="4" w:space="0"/>
              <w:bottom w:val="single" w:color="auto" w:sz="4" w:space="0"/>
              <w:right w:val="single" w:color="auto" w:sz="4" w:space="0"/>
            </w:tcBorders>
            <w:noWrap/>
            <w:vAlign w:val="center"/>
          </w:tcPr>
          <w:p w14:paraId="4A6CE7BE">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0.5</w:t>
            </w:r>
          </w:p>
        </w:tc>
      </w:tr>
      <w:tr w14:paraId="5A115E97">
        <w:tblPrEx>
          <w:tblCellMar>
            <w:top w:w="0" w:type="dxa"/>
            <w:left w:w="108" w:type="dxa"/>
            <w:bottom w:w="0" w:type="dxa"/>
            <w:right w:w="108" w:type="dxa"/>
          </w:tblCellMar>
        </w:tblPrEx>
        <w:trPr>
          <w:trHeight w:val="1573" w:hRule="atLeast"/>
        </w:trPr>
        <w:tc>
          <w:tcPr>
            <w:tcW w:w="685" w:type="pct"/>
            <w:vMerge w:val="continue"/>
            <w:tcBorders>
              <w:top w:val="single" w:color="auto" w:sz="4" w:space="0"/>
              <w:left w:val="single" w:color="auto" w:sz="4" w:space="0"/>
              <w:bottom w:val="single" w:color="auto" w:sz="4" w:space="0"/>
              <w:right w:val="single" w:color="auto" w:sz="4" w:space="0"/>
            </w:tcBorders>
            <w:noWrap w:val="0"/>
            <w:vAlign w:val="center"/>
          </w:tcPr>
          <w:p w14:paraId="22D4D82B">
            <w:pPr>
              <w:widowControl/>
              <w:jc w:val="left"/>
              <w:rPr>
                <w:rFonts w:ascii="宋体" w:hAnsi="宋体" w:cs="宋体"/>
                <w:color w:val="000000"/>
                <w:kern w:val="0"/>
                <w:sz w:val="20"/>
                <w:szCs w:val="20"/>
              </w:rPr>
            </w:pPr>
          </w:p>
        </w:tc>
        <w:tc>
          <w:tcPr>
            <w:tcW w:w="836" w:type="pct"/>
            <w:vMerge w:val="continue"/>
            <w:tcBorders>
              <w:top w:val="single" w:color="auto" w:sz="4" w:space="0"/>
              <w:left w:val="single" w:color="auto" w:sz="4" w:space="0"/>
              <w:bottom w:val="single" w:color="auto" w:sz="4" w:space="0"/>
              <w:right w:val="single" w:color="auto" w:sz="4" w:space="0"/>
            </w:tcBorders>
            <w:noWrap w:val="0"/>
            <w:vAlign w:val="center"/>
          </w:tcPr>
          <w:p w14:paraId="3C9A6807">
            <w:pPr>
              <w:widowControl/>
              <w:jc w:val="left"/>
              <w:rPr>
                <w:rFonts w:ascii="宋体" w:hAnsi="宋体" w:cs="宋体"/>
                <w:color w:val="000000"/>
                <w:kern w:val="0"/>
                <w:sz w:val="20"/>
                <w:szCs w:val="20"/>
              </w:rPr>
            </w:pPr>
          </w:p>
        </w:tc>
        <w:tc>
          <w:tcPr>
            <w:tcW w:w="1070" w:type="pct"/>
            <w:tcBorders>
              <w:top w:val="single" w:color="auto" w:sz="4" w:space="0"/>
              <w:left w:val="single" w:color="auto" w:sz="4" w:space="0"/>
              <w:bottom w:val="single" w:color="auto" w:sz="4" w:space="0"/>
              <w:right w:val="single" w:color="auto" w:sz="4" w:space="0"/>
            </w:tcBorders>
            <w:noWrap w:val="0"/>
            <w:vAlign w:val="center"/>
          </w:tcPr>
          <w:p w14:paraId="3EF96C8E">
            <w:pPr>
              <w:keepNext w:val="0"/>
              <w:keepLines w:val="0"/>
              <w:widowControl/>
              <w:suppressLineNumbers w:val="0"/>
              <w:jc w:val="left"/>
              <w:textAlignment w:val="center"/>
              <w:rPr>
                <w:rFonts w:hint="eastAsia" w:ascii="宋体" w:hAnsi="宋体" w:cs="宋体"/>
                <w:color w:val="000000"/>
                <w:kern w:val="0"/>
                <w:sz w:val="20"/>
                <w:szCs w:val="20"/>
              </w:rPr>
            </w:pPr>
            <w:r>
              <w:rPr>
                <w:rStyle w:val="20"/>
                <w:sz w:val="20"/>
                <w:szCs w:val="20"/>
                <w:lang w:val="en-US" w:eastAsia="zh-CN" w:bidi="ar"/>
              </w:rPr>
              <w:t>可持续影响：履职尽责和推动医药行业和集团发展的能力</w:t>
            </w:r>
            <w:r>
              <w:rPr>
                <w:rFonts w:hint="eastAsia" w:ascii="宋体" w:hAnsi="宋体" w:cs="宋体"/>
                <w:color w:val="000000"/>
                <w:kern w:val="0"/>
                <w:sz w:val="20"/>
                <w:szCs w:val="20"/>
              </w:rPr>
              <w:t>（主体班次培训）</w:t>
            </w:r>
          </w:p>
        </w:tc>
        <w:tc>
          <w:tcPr>
            <w:tcW w:w="858" w:type="pct"/>
            <w:gridSpan w:val="2"/>
            <w:tcBorders>
              <w:top w:val="single" w:color="auto" w:sz="4" w:space="0"/>
              <w:left w:val="single" w:color="auto" w:sz="4" w:space="0"/>
              <w:bottom w:val="single" w:color="auto" w:sz="4" w:space="0"/>
              <w:right w:val="single" w:color="auto" w:sz="4" w:space="0"/>
            </w:tcBorders>
            <w:noWrap w:val="0"/>
            <w:vAlign w:val="center"/>
          </w:tcPr>
          <w:p w14:paraId="000D9BC3">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eastAsia="zh-CN"/>
              </w:rPr>
              <w:t>优</w:t>
            </w:r>
          </w:p>
        </w:tc>
        <w:tc>
          <w:tcPr>
            <w:tcW w:w="685" w:type="pct"/>
            <w:tcBorders>
              <w:top w:val="single" w:color="auto" w:sz="4" w:space="0"/>
              <w:left w:val="single" w:color="auto" w:sz="4" w:space="0"/>
              <w:bottom w:val="single" w:color="auto" w:sz="4" w:space="0"/>
              <w:right w:val="single" w:color="auto" w:sz="4" w:space="0"/>
            </w:tcBorders>
            <w:noWrap w:val="0"/>
            <w:vAlign w:val="center"/>
          </w:tcPr>
          <w:p w14:paraId="7F61E37F">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良</w:t>
            </w:r>
          </w:p>
        </w:tc>
        <w:tc>
          <w:tcPr>
            <w:tcW w:w="451" w:type="pct"/>
            <w:tcBorders>
              <w:top w:val="single" w:color="auto" w:sz="4" w:space="0"/>
              <w:left w:val="single" w:color="auto" w:sz="4" w:space="0"/>
              <w:bottom w:val="single" w:color="auto" w:sz="4" w:space="0"/>
              <w:right w:val="single" w:color="auto" w:sz="4" w:space="0"/>
            </w:tcBorders>
            <w:noWrap w:val="0"/>
            <w:vAlign w:val="center"/>
          </w:tcPr>
          <w:p w14:paraId="6D2640FD">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12" w:type="pct"/>
            <w:tcBorders>
              <w:top w:val="single" w:color="auto" w:sz="4" w:space="0"/>
              <w:left w:val="single" w:color="auto" w:sz="4" w:space="0"/>
              <w:bottom w:val="single" w:color="auto" w:sz="4" w:space="0"/>
              <w:right w:val="single" w:color="auto" w:sz="4" w:space="0"/>
            </w:tcBorders>
            <w:noWrap/>
            <w:vAlign w:val="center"/>
          </w:tcPr>
          <w:p w14:paraId="2BF3B429">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0.5</w:t>
            </w:r>
          </w:p>
        </w:tc>
      </w:tr>
      <w:tr w14:paraId="0EED83C6">
        <w:tblPrEx>
          <w:tblCellMar>
            <w:top w:w="0" w:type="dxa"/>
            <w:left w:w="108" w:type="dxa"/>
            <w:bottom w:w="0" w:type="dxa"/>
            <w:right w:w="108" w:type="dxa"/>
          </w:tblCellMar>
        </w:tblPrEx>
        <w:trPr>
          <w:trHeight w:val="1306" w:hRule="atLeast"/>
        </w:trPr>
        <w:tc>
          <w:tcPr>
            <w:tcW w:w="685" w:type="pct"/>
            <w:vMerge w:val="continue"/>
            <w:tcBorders>
              <w:top w:val="single" w:color="auto" w:sz="4" w:space="0"/>
              <w:left w:val="single" w:color="auto" w:sz="4" w:space="0"/>
              <w:bottom w:val="single" w:color="auto" w:sz="4" w:space="0"/>
              <w:right w:val="single" w:color="auto" w:sz="4" w:space="0"/>
            </w:tcBorders>
            <w:noWrap w:val="0"/>
            <w:vAlign w:val="center"/>
          </w:tcPr>
          <w:p w14:paraId="06969D45">
            <w:pPr>
              <w:widowControl/>
              <w:jc w:val="left"/>
              <w:rPr>
                <w:rFonts w:ascii="宋体" w:hAnsi="宋体" w:cs="宋体"/>
                <w:color w:val="000000"/>
                <w:kern w:val="0"/>
                <w:sz w:val="20"/>
                <w:szCs w:val="20"/>
              </w:rPr>
            </w:pPr>
          </w:p>
        </w:tc>
        <w:tc>
          <w:tcPr>
            <w:tcW w:w="836" w:type="pct"/>
            <w:vMerge w:val="continue"/>
            <w:tcBorders>
              <w:top w:val="single" w:color="auto" w:sz="4" w:space="0"/>
              <w:left w:val="single" w:color="auto" w:sz="4" w:space="0"/>
              <w:bottom w:val="single" w:color="auto" w:sz="4" w:space="0"/>
              <w:right w:val="single" w:color="auto" w:sz="4" w:space="0"/>
            </w:tcBorders>
            <w:noWrap w:val="0"/>
            <w:vAlign w:val="center"/>
          </w:tcPr>
          <w:p w14:paraId="32AB0BA3">
            <w:pPr>
              <w:widowControl/>
              <w:jc w:val="left"/>
              <w:rPr>
                <w:rFonts w:ascii="宋体" w:hAnsi="宋体" w:cs="宋体"/>
                <w:color w:val="000000"/>
                <w:kern w:val="0"/>
                <w:sz w:val="20"/>
                <w:szCs w:val="20"/>
              </w:rPr>
            </w:pPr>
          </w:p>
        </w:tc>
        <w:tc>
          <w:tcPr>
            <w:tcW w:w="1070" w:type="pct"/>
            <w:tcBorders>
              <w:top w:val="single" w:color="auto" w:sz="4" w:space="0"/>
              <w:left w:val="single" w:color="auto" w:sz="4" w:space="0"/>
              <w:bottom w:val="single" w:color="auto" w:sz="4" w:space="0"/>
              <w:right w:val="single" w:color="auto" w:sz="4" w:space="0"/>
            </w:tcBorders>
            <w:noWrap w:val="0"/>
            <w:vAlign w:val="center"/>
          </w:tcPr>
          <w:p w14:paraId="0CB9661F">
            <w:pPr>
              <w:keepNext w:val="0"/>
              <w:keepLines w:val="0"/>
              <w:widowControl/>
              <w:suppressLineNumbers w:val="0"/>
              <w:jc w:val="left"/>
              <w:textAlignment w:val="center"/>
              <w:rPr>
                <w:rFonts w:hint="eastAsia" w:ascii="宋体" w:hAnsi="宋体" w:eastAsia="宋体" w:cs="宋体"/>
                <w:color w:val="000000"/>
                <w:kern w:val="0"/>
                <w:sz w:val="20"/>
                <w:szCs w:val="20"/>
                <w:lang w:val="en-US" w:eastAsia="zh-CN" w:bidi="ar-SA"/>
              </w:rPr>
            </w:pPr>
            <w:r>
              <w:rPr>
                <w:rFonts w:hint="eastAsia" w:ascii="宋体" w:hAnsi="宋体" w:eastAsia="宋体" w:cs="宋体"/>
                <w:i w:val="0"/>
                <w:iCs w:val="0"/>
                <w:color w:val="000000"/>
                <w:kern w:val="0"/>
                <w:sz w:val="20"/>
                <w:szCs w:val="20"/>
                <w:u w:val="none"/>
                <w:lang w:val="en-US" w:eastAsia="zh-CN" w:bidi="ar"/>
              </w:rPr>
              <w:t>服务对象满意度</w:t>
            </w:r>
            <w:r>
              <w:rPr>
                <w:rFonts w:hint="eastAsia" w:ascii="宋体" w:hAnsi="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教职工和学员满意度</w:t>
            </w:r>
            <w:r>
              <w:rPr>
                <w:rFonts w:hint="eastAsia" w:ascii="宋体" w:hAnsi="宋体" w:cs="宋体"/>
                <w:i w:val="0"/>
                <w:iCs w:val="0"/>
                <w:color w:val="000000"/>
                <w:kern w:val="0"/>
                <w:sz w:val="20"/>
                <w:szCs w:val="20"/>
                <w:u w:val="none"/>
                <w:lang w:val="en-US" w:eastAsia="zh-CN" w:bidi="ar"/>
              </w:rPr>
              <w:t>（平安校园）</w:t>
            </w:r>
          </w:p>
        </w:tc>
        <w:tc>
          <w:tcPr>
            <w:tcW w:w="858" w:type="pct"/>
            <w:gridSpan w:val="2"/>
            <w:tcBorders>
              <w:top w:val="single" w:color="auto" w:sz="4" w:space="0"/>
              <w:left w:val="single" w:color="auto" w:sz="4" w:space="0"/>
              <w:bottom w:val="single" w:color="auto" w:sz="4" w:space="0"/>
              <w:right w:val="single" w:color="auto" w:sz="4" w:space="0"/>
            </w:tcBorders>
            <w:noWrap w:val="0"/>
            <w:vAlign w:val="center"/>
          </w:tcPr>
          <w:p w14:paraId="6811794A">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≥90%</w:t>
            </w:r>
          </w:p>
        </w:tc>
        <w:tc>
          <w:tcPr>
            <w:tcW w:w="685" w:type="pct"/>
            <w:tcBorders>
              <w:top w:val="single" w:color="auto" w:sz="4" w:space="0"/>
              <w:left w:val="single" w:color="auto" w:sz="4" w:space="0"/>
              <w:bottom w:val="single" w:color="auto" w:sz="4" w:space="0"/>
              <w:right w:val="single" w:color="auto" w:sz="4" w:space="0"/>
            </w:tcBorders>
            <w:noWrap w:val="0"/>
            <w:vAlign w:val="center"/>
          </w:tcPr>
          <w:p w14:paraId="30F0F471">
            <w:pPr>
              <w:widowControl/>
              <w:jc w:val="center"/>
              <w:rPr>
                <w:rFonts w:hint="default"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bidi="ar-SA"/>
              </w:rPr>
              <w:t>90%</w:t>
            </w:r>
          </w:p>
        </w:tc>
        <w:tc>
          <w:tcPr>
            <w:tcW w:w="451" w:type="pct"/>
            <w:tcBorders>
              <w:top w:val="single" w:color="auto" w:sz="4" w:space="0"/>
              <w:left w:val="single" w:color="auto" w:sz="4" w:space="0"/>
              <w:bottom w:val="single" w:color="auto" w:sz="4" w:space="0"/>
              <w:right w:val="single" w:color="auto" w:sz="4" w:space="0"/>
            </w:tcBorders>
            <w:noWrap w:val="0"/>
            <w:vAlign w:val="center"/>
          </w:tcPr>
          <w:p w14:paraId="6D9278A6">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rPr>
              <w:t>3</w:t>
            </w:r>
          </w:p>
        </w:tc>
        <w:tc>
          <w:tcPr>
            <w:tcW w:w="412" w:type="pct"/>
            <w:tcBorders>
              <w:top w:val="single" w:color="auto" w:sz="4" w:space="0"/>
              <w:left w:val="single" w:color="auto" w:sz="4" w:space="0"/>
              <w:bottom w:val="single" w:color="auto" w:sz="4" w:space="0"/>
              <w:right w:val="single" w:color="auto" w:sz="4" w:space="0"/>
            </w:tcBorders>
            <w:noWrap/>
            <w:vAlign w:val="center"/>
          </w:tcPr>
          <w:p w14:paraId="1E62E630">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rPr>
              <w:t>3</w:t>
            </w:r>
          </w:p>
        </w:tc>
      </w:tr>
      <w:tr w14:paraId="67598034">
        <w:tblPrEx>
          <w:tblCellMar>
            <w:top w:w="0" w:type="dxa"/>
            <w:left w:w="108" w:type="dxa"/>
            <w:bottom w:w="0" w:type="dxa"/>
            <w:right w:w="108" w:type="dxa"/>
          </w:tblCellMar>
        </w:tblPrEx>
        <w:trPr>
          <w:trHeight w:val="1323" w:hRule="atLeast"/>
        </w:trPr>
        <w:tc>
          <w:tcPr>
            <w:tcW w:w="685" w:type="pct"/>
            <w:vMerge w:val="continue"/>
            <w:tcBorders>
              <w:top w:val="single" w:color="auto" w:sz="4" w:space="0"/>
              <w:left w:val="single" w:color="auto" w:sz="4" w:space="0"/>
              <w:bottom w:val="single" w:color="auto" w:sz="4" w:space="0"/>
              <w:right w:val="single" w:color="auto" w:sz="4" w:space="0"/>
            </w:tcBorders>
            <w:noWrap w:val="0"/>
            <w:vAlign w:val="center"/>
          </w:tcPr>
          <w:p w14:paraId="61486FE9">
            <w:pPr>
              <w:widowControl/>
              <w:jc w:val="left"/>
              <w:rPr>
                <w:rFonts w:ascii="宋体" w:hAnsi="宋体" w:cs="宋体"/>
                <w:color w:val="000000"/>
                <w:kern w:val="0"/>
                <w:sz w:val="20"/>
                <w:szCs w:val="20"/>
              </w:rPr>
            </w:pPr>
          </w:p>
        </w:tc>
        <w:tc>
          <w:tcPr>
            <w:tcW w:w="836" w:type="pct"/>
            <w:vMerge w:val="continue"/>
            <w:tcBorders>
              <w:top w:val="single" w:color="auto" w:sz="4" w:space="0"/>
              <w:left w:val="single" w:color="auto" w:sz="4" w:space="0"/>
              <w:bottom w:val="single" w:color="auto" w:sz="4" w:space="0"/>
              <w:right w:val="single" w:color="auto" w:sz="4" w:space="0"/>
            </w:tcBorders>
            <w:noWrap w:val="0"/>
            <w:vAlign w:val="center"/>
          </w:tcPr>
          <w:p w14:paraId="2E58846C">
            <w:pPr>
              <w:widowControl/>
              <w:jc w:val="left"/>
              <w:rPr>
                <w:rFonts w:ascii="宋体" w:hAnsi="宋体" w:cs="宋体"/>
                <w:color w:val="000000"/>
                <w:kern w:val="0"/>
                <w:sz w:val="20"/>
                <w:szCs w:val="20"/>
              </w:rPr>
            </w:pPr>
          </w:p>
        </w:tc>
        <w:tc>
          <w:tcPr>
            <w:tcW w:w="1070" w:type="pct"/>
            <w:tcBorders>
              <w:top w:val="single" w:color="auto" w:sz="4" w:space="0"/>
              <w:left w:val="single" w:color="auto" w:sz="4" w:space="0"/>
              <w:bottom w:val="single" w:color="auto" w:sz="4" w:space="0"/>
              <w:right w:val="single" w:color="auto" w:sz="4" w:space="0"/>
            </w:tcBorders>
            <w:noWrap w:val="0"/>
            <w:vAlign w:val="center"/>
          </w:tcPr>
          <w:p w14:paraId="67DD07AE">
            <w:pPr>
              <w:keepNext w:val="0"/>
              <w:keepLines w:val="0"/>
              <w:widowControl/>
              <w:suppressLineNumbers w:val="0"/>
              <w:jc w:val="left"/>
              <w:textAlignment w:val="center"/>
              <w:rPr>
                <w:rFonts w:hint="eastAsia" w:ascii="宋体" w:hAnsi="宋体" w:eastAsia="宋体" w:cs="宋体"/>
                <w:color w:val="000000"/>
                <w:kern w:val="0"/>
                <w:sz w:val="20"/>
                <w:szCs w:val="20"/>
                <w:lang w:val="en-US" w:eastAsia="zh-CN" w:bidi="ar-SA"/>
              </w:rPr>
            </w:pPr>
            <w:r>
              <w:rPr>
                <w:rFonts w:hint="eastAsia" w:ascii="宋体" w:hAnsi="宋体" w:eastAsia="宋体" w:cs="宋体"/>
                <w:i w:val="0"/>
                <w:iCs w:val="0"/>
                <w:color w:val="000000"/>
                <w:kern w:val="0"/>
                <w:sz w:val="20"/>
                <w:szCs w:val="20"/>
                <w:u w:val="none"/>
                <w:lang w:val="en-US" w:eastAsia="zh-CN" w:bidi="ar"/>
              </w:rPr>
              <w:t>服务对象满意度</w:t>
            </w:r>
            <w:r>
              <w:rPr>
                <w:rFonts w:hint="eastAsia" w:ascii="宋体" w:hAnsi="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教职工和学员满意度</w:t>
            </w:r>
            <w:r>
              <w:rPr>
                <w:rFonts w:hint="eastAsia" w:ascii="宋体" w:hAnsi="宋体" w:cs="宋体"/>
                <w:color w:val="000000"/>
                <w:kern w:val="0"/>
                <w:sz w:val="20"/>
                <w:szCs w:val="20"/>
                <w:lang w:eastAsia="zh-CN"/>
              </w:rPr>
              <w:t>（</w:t>
            </w:r>
            <w:r>
              <w:rPr>
                <w:rFonts w:hint="eastAsia" w:ascii="宋体" w:hAnsi="宋体" w:cs="宋体"/>
                <w:color w:val="000000"/>
                <w:kern w:val="0"/>
                <w:sz w:val="20"/>
                <w:szCs w:val="20"/>
              </w:rPr>
              <w:t>信息化建设</w:t>
            </w:r>
            <w:r>
              <w:rPr>
                <w:rFonts w:hint="eastAsia" w:ascii="宋体" w:hAnsi="宋体" w:cs="宋体"/>
                <w:color w:val="000000"/>
                <w:kern w:val="0"/>
                <w:sz w:val="20"/>
                <w:szCs w:val="20"/>
                <w:lang w:eastAsia="zh-CN"/>
              </w:rPr>
              <w:t>）</w:t>
            </w:r>
          </w:p>
        </w:tc>
        <w:tc>
          <w:tcPr>
            <w:tcW w:w="858" w:type="pct"/>
            <w:gridSpan w:val="2"/>
            <w:tcBorders>
              <w:top w:val="single" w:color="auto" w:sz="4" w:space="0"/>
              <w:left w:val="single" w:color="auto" w:sz="4" w:space="0"/>
              <w:bottom w:val="single" w:color="auto" w:sz="4" w:space="0"/>
              <w:right w:val="single" w:color="auto" w:sz="4" w:space="0"/>
            </w:tcBorders>
            <w:noWrap w:val="0"/>
            <w:vAlign w:val="center"/>
          </w:tcPr>
          <w:p w14:paraId="7A2C77BB">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≥90%</w:t>
            </w:r>
          </w:p>
        </w:tc>
        <w:tc>
          <w:tcPr>
            <w:tcW w:w="685" w:type="pct"/>
            <w:tcBorders>
              <w:top w:val="single" w:color="auto" w:sz="4" w:space="0"/>
              <w:left w:val="single" w:color="auto" w:sz="4" w:space="0"/>
              <w:bottom w:val="single" w:color="auto" w:sz="4" w:space="0"/>
              <w:right w:val="single" w:color="auto" w:sz="4" w:space="0"/>
            </w:tcBorders>
            <w:noWrap w:val="0"/>
            <w:vAlign w:val="center"/>
          </w:tcPr>
          <w:p w14:paraId="127F33E8">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rPr>
              <w:t>90</w:t>
            </w:r>
            <w:r>
              <w:rPr>
                <w:rFonts w:hint="eastAsia" w:ascii="宋体" w:hAnsi="宋体" w:cs="宋体"/>
                <w:color w:val="000000"/>
                <w:kern w:val="0"/>
                <w:sz w:val="20"/>
                <w:szCs w:val="20"/>
              </w:rPr>
              <w:t>%</w:t>
            </w:r>
          </w:p>
        </w:tc>
        <w:tc>
          <w:tcPr>
            <w:tcW w:w="451" w:type="pct"/>
            <w:tcBorders>
              <w:top w:val="single" w:color="auto" w:sz="4" w:space="0"/>
              <w:left w:val="single" w:color="auto" w:sz="4" w:space="0"/>
              <w:bottom w:val="single" w:color="auto" w:sz="4" w:space="0"/>
              <w:right w:val="single" w:color="auto" w:sz="4" w:space="0"/>
            </w:tcBorders>
            <w:noWrap w:val="0"/>
            <w:vAlign w:val="center"/>
          </w:tcPr>
          <w:p w14:paraId="166038EB">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rPr>
              <w:t>3</w:t>
            </w:r>
          </w:p>
        </w:tc>
        <w:tc>
          <w:tcPr>
            <w:tcW w:w="412" w:type="pct"/>
            <w:tcBorders>
              <w:top w:val="single" w:color="auto" w:sz="4" w:space="0"/>
              <w:left w:val="single" w:color="auto" w:sz="4" w:space="0"/>
              <w:bottom w:val="single" w:color="auto" w:sz="4" w:space="0"/>
              <w:right w:val="single" w:color="auto" w:sz="4" w:space="0"/>
            </w:tcBorders>
            <w:noWrap/>
            <w:vAlign w:val="center"/>
          </w:tcPr>
          <w:p w14:paraId="3B20A5BD">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rPr>
              <w:t>3</w:t>
            </w:r>
          </w:p>
        </w:tc>
      </w:tr>
      <w:tr w14:paraId="2D667A0E">
        <w:tblPrEx>
          <w:tblCellMar>
            <w:top w:w="0" w:type="dxa"/>
            <w:left w:w="108" w:type="dxa"/>
            <w:bottom w:w="0" w:type="dxa"/>
            <w:right w:w="108" w:type="dxa"/>
          </w:tblCellMar>
        </w:tblPrEx>
        <w:trPr>
          <w:trHeight w:val="1356" w:hRule="atLeast"/>
        </w:trPr>
        <w:tc>
          <w:tcPr>
            <w:tcW w:w="685" w:type="pct"/>
            <w:vMerge w:val="continue"/>
            <w:tcBorders>
              <w:top w:val="single" w:color="auto" w:sz="4" w:space="0"/>
              <w:left w:val="single" w:color="auto" w:sz="4" w:space="0"/>
              <w:bottom w:val="single" w:color="auto" w:sz="4" w:space="0"/>
              <w:right w:val="single" w:color="auto" w:sz="4" w:space="0"/>
            </w:tcBorders>
            <w:noWrap w:val="0"/>
            <w:vAlign w:val="center"/>
          </w:tcPr>
          <w:p w14:paraId="387ED108">
            <w:pPr>
              <w:widowControl/>
              <w:jc w:val="left"/>
              <w:rPr>
                <w:rFonts w:ascii="宋体" w:hAnsi="宋体" w:cs="宋体"/>
                <w:color w:val="000000"/>
                <w:kern w:val="0"/>
                <w:sz w:val="20"/>
                <w:szCs w:val="20"/>
              </w:rPr>
            </w:pPr>
          </w:p>
        </w:tc>
        <w:tc>
          <w:tcPr>
            <w:tcW w:w="836" w:type="pct"/>
            <w:vMerge w:val="continue"/>
            <w:tcBorders>
              <w:top w:val="single" w:color="auto" w:sz="4" w:space="0"/>
              <w:left w:val="single" w:color="auto" w:sz="4" w:space="0"/>
              <w:bottom w:val="single" w:color="auto" w:sz="4" w:space="0"/>
              <w:right w:val="single" w:color="auto" w:sz="4" w:space="0"/>
            </w:tcBorders>
            <w:noWrap w:val="0"/>
            <w:vAlign w:val="center"/>
          </w:tcPr>
          <w:p w14:paraId="40954DBD">
            <w:pPr>
              <w:widowControl/>
              <w:jc w:val="left"/>
              <w:rPr>
                <w:rFonts w:ascii="宋体" w:hAnsi="宋体" w:cs="宋体"/>
                <w:color w:val="000000"/>
                <w:kern w:val="0"/>
                <w:sz w:val="20"/>
                <w:szCs w:val="20"/>
              </w:rPr>
            </w:pPr>
          </w:p>
        </w:tc>
        <w:tc>
          <w:tcPr>
            <w:tcW w:w="1070" w:type="pct"/>
            <w:tcBorders>
              <w:top w:val="single" w:color="auto" w:sz="4" w:space="0"/>
              <w:left w:val="single" w:color="auto" w:sz="4" w:space="0"/>
              <w:bottom w:val="single" w:color="auto" w:sz="4" w:space="0"/>
              <w:right w:val="single" w:color="auto" w:sz="4" w:space="0"/>
            </w:tcBorders>
            <w:noWrap w:val="0"/>
            <w:vAlign w:val="center"/>
          </w:tcPr>
          <w:p w14:paraId="7A175DE4">
            <w:pPr>
              <w:keepNext w:val="0"/>
              <w:keepLines w:val="0"/>
              <w:widowControl/>
              <w:suppressLineNumbers w:val="0"/>
              <w:jc w:val="left"/>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服务对象满意度</w:t>
            </w:r>
            <w:r>
              <w:rPr>
                <w:rFonts w:hint="eastAsia" w:ascii="宋体" w:hAnsi="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学生满意度</w:t>
            </w:r>
            <w:r>
              <w:rPr>
                <w:rFonts w:hint="eastAsia" w:ascii="宋体" w:hAnsi="宋体" w:cs="宋体"/>
                <w:color w:val="000000"/>
                <w:kern w:val="0"/>
                <w:sz w:val="20"/>
                <w:szCs w:val="20"/>
              </w:rPr>
              <w:t>（实训基地建设）</w:t>
            </w:r>
          </w:p>
        </w:tc>
        <w:tc>
          <w:tcPr>
            <w:tcW w:w="858" w:type="pct"/>
            <w:gridSpan w:val="2"/>
            <w:tcBorders>
              <w:top w:val="single" w:color="auto" w:sz="4" w:space="0"/>
              <w:left w:val="single" w:color="auto" w:sz="4" w:space="0"/>
              <w:bottom w:val="single" w:color="auto" w:sz="4" w:space="0"/>
              <w:right w:val="single" w:color="auto" w:sz="4" w:space="0"/>
            </w:tcBorders>
            <w:noWrap w:val="0"/>
            <w:vAlign w:val="center"/>
          </w:tcPr>
          <w:p w14:paraId="542316A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≥9</w:t>
            </w:r>
            <w:r>
              <w:rPr>
                <w:rFonts w:hint="eastAsia" w:ascii="宋体" w:hAnsi="宋体" w:cs="宋体"/>
                <w:color w:val="000000"/>
                <w:kern w:val="0"/>
                <w:sz w:val="20"/>
                <w:szCs w:val="20"/>
                <w:lang w:val="en-US" w:eastAsia="zh-CN"/>
              </w:rPr>
              <w:t>5</w:t>
            </w:r>
            <w:r>
              <w:rPr>
                <w:rFonts w:hint="eastAsia" w:ascii="宋体" w:hAnsi="宋体" w:cs="宋体"/>
                <w:color w:val="000000"/>
                <w:kern w:val="0"/>
                <w:sz w:val="20"/>
                <w:szCs w:val="20"/>
              </w:rPr>
              <w:t>%</w:t>
            </w:r>
          </w:p>
        </w:tc>
        <w:tc>
          <w:tcPr>
            <w:tcW w:w="685" w:type="pct"/>
            <w:tcBorders>
              <w:top w:val="single" w:color="auto" w:sz="4" w:space="0"/>
              <w:left w:val="single" w:color="auto" w:sz="4" w:space="0"/>
              <w:bottom w:val="single" w:color="auto" w:sz="4" w:space="0"/>
              <w:right w:val="single" w:color="auto" w:sz="4" w:space="0"/>
            </w:tcBorders>
            <w:noWrap w:val="0"/>
            <w:vAlign w:val="center"/>
          </w:tcPr>
          <w:p w14:paraId="4AF507FB">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85%</w:t>
            </w:r>
          </w:p>
        </w:tc>
        <w:tc>
          <w:tcPr>
            <w:tcW w:w="451" w:type="pct"/>
            <w:tcBorders>
              <w:top w:val="single" w:color="auto" w:sz="4" w:space="0"/>
              <w:left w:val="single" w:color="auto" w:sz="4" w:space="0"/>
              <w:bottom w:val="single" w:color="auto" w:sz="4" w:space="0"/>
              <w:right w:val="single" w:color="auto" w:sz="4" w:space="0"/>
            </w:tcBorders>
            <w:noWrap w:val="0"/>
            <w:vAlign w:val="center"/>
          </w:tcPr>
          <w:p w14:paraId="4A000C61">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412" w:type="pct"/>
            <w:tcBorders>
              <w:top w:val="single" w:color="auto" w:sz="4" w:space="0"/>
              <w:left w:val="single" w:color="auto" w:sz="4" w:space="0"/>
              <w:bottom w:val="single" w:color="auto" w:sz="4" w:space="0"/>
              <w:right w:val="single" w:color="auto" w:sz="4" w:space="0"/>
            </w:tcBorders>
            <w:noWrap/>
            <w:vAlign w:val="center"/>
          </w:tcPr>
          <w:p w14:paraId="7196A9CD">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1.5</w:t>
            </w:r>
          </w:p>
        </w:tc>
      </w:tr>
      <w:tr w14:paraId="5EDA9819">
        <w:tblPrEx>
          <w:tblCellMar>
            <w:top w:w="0" w:type="dxa"/>
            <w:left w:w="108" w:type="dxa"/>
            <w:bottom w:w="0" w:type="dxa"/>
            <w:right w:w="108" w:type="dxa"/>
          </w:tblCellMar>
        </w:tblPrEx>
        <w:trPr>
          <w:trHeight w:val="1386" w:hRule="atLeast"/>
        </w:trPr>
        <w:tc>
          <w:tcPr>
            <w:tcW w:w="685" w:type="pct"/>
            <w:vMerge w:val="continue"/>
            <w:tcBorders>
              <w:top w:val="single" w:color="auto" w:sz="4" w:space="0"/>
              <w:left w:val="single" w:color="auto" w:sz="4" w:space="0"/>
              <w:bottom w:val="single" w:color="auto" w:sz="4" w:space="0"/>
              <w:right w:val="single" w:color="auto" w:sz="4" w:space="0"/>
            </w:tcBorders>
            <w:noWrap w:val="0"/>
            <w:vAlign w:val="center"/>
          </w:tcPr>
          <w:p w14:paraId="582E821B">
            <w:pPr>
              <w:widowControl/>
              <w:jc w:val="left"/>
              <w:rPr>
                <w:rFonts w:ascii="宋体" w:hAnsi="宋体" w:cs="宋体"/>
                <w:color w:val="000000"/>
                <w:kern w:val="0"/>
                <w:sz w:val="20"/>
                <w:szCs w:val="20"/>
              </w:rPr>
            </w:pPr>
          </w:p>
        </w:tc>
        <w:tc>
          <w:tcPr>
            <w:tcW w:w="836" w:type="pct"/>
            <w:vMerge w:val="continue"/>
            <w:tcBorders>
              <w:top w:val="single" w:color="auto" w:sz="4" w:space="0"/>
              <w:left w:val="single" w:color="auto" w:sz="4" w:space="0"/>
              <w:bottom w:val="single" w:color="auto" w:sz="4" w:space="0"/>
              <w:right w:val="single" w:color="auto" w:sz="4" w:space="0"/>
            </w:tcBorders>
            <w:noWrap w:val="0"/>
            <w:vAlign w:val="center"/>
          </w:tcPr>
          <w:p w14:paraId="03760484">
            <w:pPr>
              <w:widowControl/>
              <w:jc w:val="left"/>
              <w:rPr>
                <w:rFonts w:ascii="宋体" w:hAnsi="宋体" w:cs="宋体"/>
                <w:color w:val="000000"/>
                <w:kern w:val="0"/>
                <w:sz w:val="20"/>
                <w:szCs w:val="20"/>
              </w:rPr>
            </w:pPr>
          </w:p>
        </w:tc>
        <w:tc>
          <w:tcPr>
            <w:tcW w:w="1070" w:type="pct"/>
            <w:tcBorders>
              <w:top w:val="single" w:color="auto" w:sz="4" w:space="0"/>
              <w:left w:val="single" w:color="auto" w:sz="4" w:space="0"/>
              <w:bottom w:val="single" w:color="auto" w:sz="4" w:space="0"/>
              <w:right w:val="single" w:color="auto" w:sz="4" w:space="0"/>
            </w:tcBorders>
            <w:noWrap w:val="0"/>
            <w:vAlign w:val="center"/>
          </w:tcPr>
          <w:p w14:paraId="497E0110">
            <w:pPr>
              <w:keepNext w:val="0"/>
              <w:keepLines w:val="0"/>
              <w:widowControl/>
              <w:suppressLineNumbers w:val="0"/>
              <w:jc w:val="left"/>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服务对象满意度</w:t>
            </w:r>
            <w:r>
              <w:rPr>
                <w:rFonts w:hint="eastAsia" w:ascii="宋体" w:hAnsi="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学生满意度</w:t>
            </w:r>
            <w:r>
              <w:rPr>
                <w:rFonts w:hint="eastAsia" w:ascii="宋体" w:hAnsi="宋体" w:cs="宋体"/>
                <w:color w:val="000000"/>
                <w:kern w:val="0"/>
                <w:sz w:val="20"/>
                <w:szCs w:val="20"/>
              </w:rPr>
              <w:t>（</w:t>
            </w:r>
            <w:r>
              <w:rPr>
                <w:rFonts w:hint="eastAsia" w:ascii="宋体" w:hAnsi="宋体" w:cs="宋体"/>
                <w:color w:val="000000"/>
                <w:kern w:val="0"/>
                <w:sz w:val="20"/>
                <w:szCs w:val="20"/>
                <w:lang w:eastAsia="zh-CN"/>
              </w:rPr>
              <w:t>教育教学</w:t>
            </w:r>
            <w:r>
              <w:rPr>
                <w:rFonts w:hint="eastAsia" w:ascii="宋体" w:hAnsi="宋体" w:cs="宋体"/>
                <w:color w:val="000000"/>
                <w:kern w:val="0"/>
                <w:sz w:val="20"/>
                <w:szCs w:val="20"/>
              </w:rPr>
              <w:t>）</w:t>
            </w:r>
          </w:p>
        </w:tc>
        <w:tc>
          <w:tcPr>
            <w:tcW w:w="858" w:type="pct"/>
            <w:gridSpan w:val="2"/>
            <w:tcBorders>
              <w:top w:val="single" w:color="auto" w:sz="4" w:space="0"/>
              <w:left w:val="single" w:color="auto" w:sz="4" w:space="0"/>
              <w:bottom w:val="single" w:color="auto" w:sz="4" w:space="0"/>
              <w:right w:val="single" w:color="auto" w:sz="4" w:space="0"/>
            </w:tcBorders>
            <w:noWrap w:val="0"/>
            <w:vAlign w:val="center"/>
          </w:tcPr>
          <w:p w14:paraId="2786797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≥9</w:t>
            </w:r>
            <w:r>
              <w:rPr>
                <w:rFonts w:hint="eastAsia" w:ascii="宋体" w:hAnsi="宋体" w:cs="宋体"/>
                <w:color w:val="000000"/>
                <w:kern w:val="0"/>
                <w:sz w:val="20"/>
                <w:szCs w:val="20"/>
                <w:lang w:val="en-US" w:eastAsia="zh-CN"/>
              </w:rPr>
              <w:t>5</w:t>
            </w:r>
            <w:r>
              <w:rPr>
                <w:rFonts w:hint="eastAsia" w:ascii="宋体" w:hAnsi="宋体" w:cs="宋体"/>
                <w:color w:val="000000"/>
                <w:kern w:val="0"/>
                <w:sz w:val="20"/>
                <w:szCs w:val="20"/>
              </w:rPr>
              <w:t>%</w:t>
            </w:r>
          </w:p>
        </w:tc>
        <w:tc>
          <w:tcPr>
            <w:tcW w:w="685" w:type="pct"/>
            <w:tcBorders>
              <w:top w:val="single" w:color="auto" w:sz="4" w:space="0"/>
              <w:left w:val="single" w:color="auto" w:sz="4" w:space="0"/>
              <w:bottom w:val="single" w:color="auto" w:sz="4" w:space="0"/>
              <w:right w:val="single" w:color="auto" w:sz="4" w:space="0"/>
            </w:tcBorders>
            <w:noWrap w:val="0"/>
            <w:vAlign w:val="center"/>
          </w:tcPr>
          <w:p w14:paraId="1B08963E">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90%</w:t>
            </w:r>
          </w:p>
        </w:tc>
        <w:tc>
          <w:tcPr>
            <w:tcW w:w="451" w:type="pct"/>
            <w:tcBorders>
              <w:top w:val="single" w:color="auto" w:sz="4" w:space="0"/>
              <w:left w:val="single" w:color="auto" w:sz="4" w:space="0"/>
              <w:bottom w:val="single" w:color="auto" w:sz="4" w:space="0"/>
              <w:right w:val="single" w:color="auto" w:sz="4" w:space="0"/>
            </w:tcBorders>
            <w:noWrap w:val="0"/>
            <w:vAlign w:val="center"/>
          </w:tcPr>
          <w:p w14:paraId="09F6CF2D">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val="en-US" w:eastAsia="zh-CN"/>
              </w:rPr>
              <w:t>3</w:t>
            </w:r>
          </w:p>
        </w:tc>
        <w:tc>
          <w:tcPr>
            <w:tcW w:w="412" w:type="pct"/>
            <w:tcBorders>
              <w:top w:val="single" w:color="auto" w:sz="4" w:space="0"/>
              <w:left w:val="single" w:color="auto" w:sz="4" w:space="0"/>
              <w:bottom w:val="single" w:color="auto" w:sz="4" w:space="0"/>
              <w:right w:val="single" w:color="auto" w:sz="4" w:space="0"/>
            </w:tcBorders>
            <w:noWrap/>
            <w:vAlign w:val="center"/>
          </w:tcPr>
          <w:p w14:paraId="74CBEAB9">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r>
      <w:tr w14:paraId="120A3D9D">
        <w:tblPrEx>
          <w:tblCellMar>
            <w:top w:w="0" w:type="dxa"/>
            <w:left w:w="108" w:type="dxa"/>
            <w:bottom w:w="0" w:type="dxa"/>
            <w:right w:w="108" w:type="dxa"/>
          </w:tblCellMar>
        </w:tblPrEx>
        <w:trPr>
          <w:trHeight w:val="1458" w:hRule="atLeast"/>
        </w:trPr>
        <w:tc>
          <w:tcPr>
            <w:tcW w:w="685" w:type="pct"/>
            <w:vMerge w:val="continue"/>
            <w:tcBorders>
              <w:top w:val="single" w:color="auto" w:sz="4" w:space="0"/>
              <w:left w:val="single" w:color="auto" w:sz="4" w:space="0"/>
              <w:bottom w:val="single" w:color="auto" w:sz="4" w:space="0"/>
              <w:right w:val="single" w:color="auto" w:sz="4" w:space="0"/>
            </w:tcBorders>
            <w:noWrap w:val="0"/>
            <w:vAlign w:val="center"/>
          </w:tcPr>
          <w:p w14:paraId="68EB9D9A">
            <w:pPr>
              <w:widowControl/>
              <w:jc w:val="left"/>
              <w:rPr>
                <w:rFonts w:ascii="宋体" w:hAnsi="宋体" w:cs="宋体"/>
                <w:color w:val="000000"/>
                <w:kern w:val="0"/>
                <w:sz w:val="20"/>
                <w:szCs w:val="20"/>
              </w:rPr>
            </w:pPr>
          </w:p>
        </w:tc>
        <w:tc>
          <w:tcPr>
            <w:tcW w:w="836" w:type="pct"/>
            <w:vMerge w:val="continue"/>
            <w:tcBorders>
              <w:top w:val="single" w:color="auto" w:sz="4" w:space="0"/>
              <w:left w:val="single" w:color="auto" w:sz="4" w:space="0"/>
              <w:bottom w:val="single" w:color="auto" w:sz="4" w:space="0"/>
              <w:right w:val="single" w:color="auto" w:sz="4" w:space="0"/>
            </w:tcBorders>
            <w:noWrap w:val="0"/>
            <w:vAlign w:val="center"/>
          </w:tcPr>
          <w:p w14:paraId="2743CE26">
            <w:pPr>
              <w:widowControl/>
              <w:jc w:val="left"/>
              <w:rPr>
                <w:rFonts w:ascii="宋体" w:hAnsi="宋体" w:cs="宋体"/>
                <w:color w:val="000000"/>
                <w:kern w:val="0"/>
                <w:sz w:val="20"/>
                <w:szCs w:val="20"/>
              </w:rPr>
            </w:pPr>
          </w:p>
        </w:tc>
        <w:tc>
          <w:tcPr>
            <w:tcW w:w="1070" w:type="pct"/>
            <w:tcBorders>
              <w:top w:val="single" w:color="auto" w:sz="4" w:space="0"/>
              <w:left w:val="single" w:color="auto" w:sz="4" w:space="0"/>
              <w:bottom w:val="single" w:color="auto" w:sz="4" w:space="0"/>
              <w:right w:val="single" w:color="auto" w:sz="4" w:space="0"/>
            </w:tcBorders>
            <w:noWrap w:val="0"/>
            <w:vAlign w:val="center"/>
          </w:tcPr>
          <w:p w14:paraId="40D263D3">
            <w:pPr>
              <w:keepNext w:val="0"/>
              <w:keepLines w:val="0"/>
              <w:widowControl/>
              <w:suppressLineNumbers w:val="0"/>
              <w:jc w:val="left"/>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服务对象满意度</w:t>
            </w:r>
            <w:r>
              <w:rPr>
                <w:rFonts w:hint="eastAsia" w:ascii="宋体" w:hAnsi="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培训学员满意度</w:t>
            </w:r>
            <w:r>
              <w:rPr>
                <w:rFonts w:hint="eastAsia" w:ascii="宋体" w:hAnsi="宋体" w:cs="宋体"/>
                <w:color w:val="000000"/>
                <w:kern w:val="0"/>
                <w:sz w:val="20"/>
                <w:szCs w:val="20"/>
              </w:rPr>
              <w:t>（主体班次培训）</w:t>
            </w:r>
          </w:p>
        </w:tc>
        <w:tc>
          <w:tcPr>
            <w:tcW w:w="858" w:type="pct"/>
            <w:gridSpan w:val="2"/>
            <w:tcBorders>
              <w:top w:val="single" w:color="auto" w:sz="4" w:space="0"/>
              <w:left w:val="single" w:color="auto" w:sz="4" w:space="0"/>
              <w:bottom w:val="single" w:color="auto" w:sz="4" w:space="0"/>
              <w:right w:val="single" w:color="auto" w:sz="4" w:space="0"/>
            </w:tcBorders>
            <w:noWrap w:val="0"/>
            <w:vAlign w:val="center"/>
          </w:tcPr>
          <w:p w14:paraId="6F7881F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≥90%</w:t>
            </w:r>
          </w:p>
        </w:tc>
        <w:tc>
          <w:tcPr>
            <w:tcW w:w="685" w:type="pct"/>
            <w:tcBorders>
              <w:top w:val="single" w:color="auto" w:sz="4" w:space="0"/>
              <w:left w:val="single" w:color="auto" w:sz="4" w:space="0"/>
              <w:bottom w:val="single" w:color="auto" w:sz="4" w:space="0"/>
              <w:right w:val="single" w:color="auto" w:sz="4" w:space="0"/>
            </w:tcBorders>
            <w:noWrap w:val="0"/>
            <w:vAlign w:val="center"/>
          </w:tcPr>
          <w:p w14:paraId="5BA7D48F">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90.10%</w:t>
            </w:r>
          </w:p>
        </w:tc>
        <w:tc>
          <w:tcPr>
            <w:tcW w:w="451" w:type="pct"/>
            <w:tcBorders>
              <w:top w:val="single" w:color="auto" w:sz="4" w:space="0"/>
              <w:left w:val="single" w:color="auto" w:sz="4" w:space="0"/>
              <w:bottom w:val="single" w:color="auto" w:sz="4" w:space="0"/>
              <w:right w:val="single" w:color="auto" w:sz="4" w:space="0"/>
            </w:tcBorders>
            <w:noWrap w:val="0"/>
            <w:vAlign w:val="center"/>
          </w:tcPr>
          <w:p w14:paraId="16B39FFA">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val="en-US" w:eastAsia="zh-CN"/>
              </w:rPr>
              <w:t>3</w:t>
            </w:r>
          </w:p>
        </w:tc>
        <w:tc>
          <w:tcPr>
            <w:tcW w:w="412" w:type="pct"/>
            <w:tcBorders>
              <w:top w:val="single" w:color="auto" w:sz="4" w:space="0"/>
              <w:left w:val="single" w:color="auto" w:sz="4" w:space="0"/>
              <w:bottom w:val="single" w:color="auto" w:sz="4" w:space="0"/>
              <w:right w:val="single" w:color="auto" w:sz="4" w:space="0"/>
            </w:tcBorders>
            <w:noWrap/>
            <w:vAlign w:val="center"/>
          </w:tcPr>
          <w:p w14:paraId="0FE154E9">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val="en-US" w:eastAsia="zh-CN"/>
              </w:rPr>
              <w:t>3</w:t>
            </w:r>
          </w:p>
        </w:tc>
      </w:tr>
      <w:tr w14:paraId="7C81BA24">
        <w:tblPrEx>
          <w:tblCellMar>
            <w:top w:w="0" w:type="dxa"/>
            <w:left w:w="108" w:type="dxa"/>
            <w:bottom w:w="0" w:type="dxa"/>
            <w:right w:w="108" w:type="dxa"/>
          </w:tblCellMar>
        </w:tblPrEx>
        <w:trPr>
          <w:trHeight w:val="1431" w:hRule="atLeast"/>
        </w:trPr>
        <w:tc>
          <w:tcPr>
            <w:tcW w:w="685" w:type="pct"/>
            <w:vMerge w:val="continue"/>
            <w:tcBorders>
              <w:top w:val="single" w:color="auto" w:sz="4" w:space="0"/>
              <w:left w:val="single" w:color="auto" w:sz="4" w:space="0"/>
              <w:bottom w:val="single" w:color="auto" w:sz="4" w:space="0"/>
              <w:right w:val="single" w:color="auto" w:sz="4" w:space="0"/>
            </w:tcBorders>
            <w:noWrap w:val="0"/>
            <w:vAlign w:val="center"/>
          </w:tcPr>
          <w:p w14:paraId="41D0D1EB">
            <w:pPr>
              <w:widowControl/>
              <w:jc w:val="left"/>
              <w:rPr>
                <w:rFonts w:ascii="宋体" w:hAnsi="宋体" w:cs="宋体"/>
                <w:color w:val="000000"/>
                <w:kern w:val="0"/>
                <w:sz w:val="20"/>
                <w:szCs w:val="20"/>
              </w:rPr>
            </w:pPr>
          </w:p>
        </w:tc>
        <w:tc>
          <w:tcPr>
            <w:tcW w:w="836" w:type="pct"/>
            <w:vMerge w:val="continue"/>
            <w:tcBorders>
              <w:top w:val="single" w:color="auto" w:sz="4" w:space="0"/>
              <w:left w:val="single" w:color="auto" w:sz="4" w:space="0"/>
              <w:bottom w:val="single" w:color="auto" w:sz="4" w:space="0"/>
              <w:right w:val="single" w:color="auto" w:sz="4" w:space="0"/>
            </w:tcBorders>
            <w:noWrap w:val="0"/>
            <w:vAlign w:val="center"/>
          </w:tcPr>
          <w:p w14:paraId="4A29123D">
            <w:pPr>
              <w:widowControl/>
              <w:jc w:val="left"/>
              <w:rPr>
                <w:rFonts w:ascii="宋体" w:hAnsi="宋体" w:cs="宋体"/>
                <w:color w:val="000000"/>
                <w:kern w:val="0"/>
                <w:sz w:val="20"/>
                <w:szCs w:val="20"/>
              </w:rPr>
            </w:pPr>
          </w:p>
        </w:tc>
        <w:tc>
          <w:tcPr>
            <w:tcW w:w="1070" w:type="pct"/>
            <w:tcBorders>
              <w:top w:val="single" w:color="auto" w:sz="4" w:space="0"/>
              <w:left w:val="single" w:color="auto" w:sz="4" w:space="0"/>
              <w:bottom w:val="single" w:color="auto" w:sz="4" w:space="0"/>
              <w:right w:val="single" w:color="auto" w:sz="4" w:space="0"/>
            </w:tcBorders>
            <w:noWrap w:val="0"/>
            <w:vAlign w:val="center"/>
          </w:tcPr>
          <w:p w14:paraId="3C3C9470">
            <w:pPr>
              <w:keepNext w:val="0"/>
              <w:keepLines w:val="0"/>
              <w:widowControl/>
              <w:suppressLineNumbers w:val="0"/>
              <w:jc w:val="left"/>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服务对象满意度</w:t>
            </w:r>
            <w:r>
              <w:rPr>
                <w:rFonts w:hint="eastAsia" w:ascii="宋体" w:hAnsi="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教职工满意度</w:t>
            </w:r>
            <w:r>
              <w:rPr>
                <w:rStyle w:val="19"/>
                <w:sz w:val="20"/>
                <w:szCs w:val="20"/>
                <w:lang w:val="en-US" w:eastAsia="zh-CN" w:bidi="ar"/>
              </w:rPr>
              <w:t>（</w:t>
            </w:r>
            <w:r>
              <w:rPr>
                <w:rStyle w:val="19"/>
                <w:rFonts w:hint="eastAsia"/>
                <w:sz w:val="20"/>
                <w:szCs w:val="20"/>
                <w:lang w:val="en-US" w:eastAsia="zh-CN" w:bidi="ar"/>
              </w:rPr>
              <w:t>支持教师队伍建设</w:t>
            </w:r>
            <w:r>
              <w:rPr>
                <w:rStyle w:val="19"/>
                <w:sz w:val="20"/>
                <w:szCs w:val="20"/>
                <w:lang w:val="en-US" w:eastAsia="zh-CN" w:bidi="ar"/>
              </w:rPr>
              <w:t>）</w:t>
            </w:r>
          </w:p>
        </w:tc>
        <w:tc>
          <w:tcPr>
            <w:tcW w:w="858" w:type="pct"/>
            <w:gridSpan w:val="2"/>
            <w:tcBorders>
              <w:top w:val="single" w:color="auto" w:sz="4" w:space="0"/>
              <w:left w:val="single" w:color="auto" w:sz="4" w:space="0"/>
              <w:bottom w:val="single" w:color="auto" w:sz="4" w:space="0"/>
              <w:right w:val="single" w:color="auto" w:sz="4" w:space="0"/>
            </w:tcBorders>
            <w:noWrap w:val="0"/>
            <w:vAlign w:val="center"/>
          </w:tcPr>
          <w:p w14:paraId="46661A8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≥90%</w:t>
            </w:r>
          </w:p>
        </w:tc>
        <w:tc>
          <w:tcPr>
            <w:tcW w:w="685" w:type="pct"/>
            <w:tcBorders>
              <w:top w:val="single" w:color="auto" w:sz="4" w:space="0"/>
              <w:left w:val="single" w:color="auto" w:sz="4" w:space="0"/>
              <w:bottom w:val="single" w:color="auto" w:sz="4" w:space="0"/>
              <w:right w:val="single" w:color="auto" w:sz="4" w:space="0"/>
            </w:tcBorders>
            <w:noWrap w:val="0"/>
            <w:vAlign w:val="center"/>
          </w:tcPr>
          <w:p w14:paraId="74A6DAC3">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100%</w:t>
            </w:r>
          </w:p>
        </w:tc>
        <w:tc>
          <w:tcPr>
            <w:tcW w:w="451" w:type="pct"/>
            <w:tcBorders>
              <w:top w:val="single" w:color="auto" w:sz="4" w:space="0"/>
              <w:left w:val="single" w:color="auto" w:sz="4" w:space="0"/>
              <w:bottom w:val="single" w:color="auto" w:sz="4" w:space="0"/>
              <w:right w:val="single" w:color="auto" w:sz="4" w:space="0"/>
            </w:tcBorders>
            <w:noWrap w:val="0"/>
            <w:vAlign w:val="center"/>
          </w:tcPr>
          <w:p w14:paraId="3AFC1E4F">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412" w:type="pct"/>
            <w:tcBorders>
              <w:top w:val="single" w:color="auto" w:sz="4" w:space="0"/>
              <w:left w:val="single" w:color="auto" w:sz="4" w:space="0"/>
              <w:bottom w:val="single" w:color="auto" w:sz="4" w:space="0"/>
              <w:right w:val="single" w:color="auto" w:sz="4" w:space="0"/>
            </w:tcBorders>
            <w:noWrap/>
            <w:vAlign w:val="center"/>
          </w:tcPr>
          <w:p w14:paraId="38F7A268">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val="en-US" w:eastAsia="zh-CN"/>
              </w:rPr>
              <w:t>3</w:t>
            </w:r>
          </w:p>
        </w:tc>
      </w:tr>
      <w:tr w14:paraId="042E2AB1">
        <w:tblPrEx>
          <w:tblCellMar>
            <w:top w:w="0" w:type="dxa"/>
            <w:left w:w="108" w:type="dxa"/>
            <w:bottom w:w="0" w:type="dxa"/>
            <w:right w:w="108" w:type="dxa"/>
          </w:tblCellMar>
        </w:tblPrEx>
        <w:trPr>
          <w:trHeight w:val="912" w:hRule="atLeast"/>
        </w:trPr>
        <w:tc>
          <w:tcPr>
            <w:tcW w:w="5000" w:type="pct"/>
            <w:gridSpan w:val="8"/>
            <w:tcBorders>
              <w:top w:val="single" w:color="auto" w:sz="4" w:space="0"/>
              <w:left w:val="single" w:color="auto" w:sz="4" w:space="0"/>
              <w:bottom w:val="single" w:color="auto" w:sz="4" w:space="0"/>
              <w:right w:val="single" w:color="auto" w:sz="4" w:space="0"/>
            </w:tcBorders>
            <w:noWrap w:val="0"/>
            <w:vAlign w:val="center"/>
          </w:tcPr>
          <w:p w14:paraId="6B387A88">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三</w:t>
            </w:r>
            <w:r>
              <w:rPr>
                <w:rFonts w:ascii="宋体" w:hAnsi="宋体" w:cs="宋体"/>
                <w:color w:val="000000"/>
                <w:kern w:val="0"/>
                <w:sz w:val="18"/>
                <w:szCs w:val="18"/>
              </w:rPr>
              <w:t>、</w:t>
            </w:r>
            <w:r>
              <w:rPr>
                <w:rFonts w:hint="eastAsia" w:ascii="宋体" w:hAnsi="宋体" w:cs="宋体"/>
                <w:color w:val="000000"/>
                <w:kern w:val="0"/>
                <w:sz w:val="20"/>
                <w:szCs w:val="20"/>
              </w:rPr>
              <w:t>预算管理情况（20分）</w:t>
            </w:r>
          </w:p>
        </w:tc>
      </w:tr>
      <w:tr w14:paraId="72BD124F">
        <w:tblPrEx>
          <w:tblCellMar>
            <w:top w:w="0" w:type="dxa"/>
            <w:left w:w="108" w:type="dxa"/>
            <w:bottom w:w="0" w:type="dxa"/>
            <w:right w:w="108" w:type="dxa"/>
          </w:tblCellMar>
        </w:tblPrEx>
        <w:trPr>
          <w:trHeight w:val="749" w:hRule="atLeast"/>
        </w:trPr>
        <w:tc>
          <w:tcPr>
            <w:tcW w:w="685" w:type="pct"/>
            <w:tcBorders>
              <w:top w:val="single" w:color="auto" w:sz="4" w:space="0"/>
              <w:left w:val="single" w:color="auto" w:sz="4" w:space="0"/>
              <w:bottom w:val="single" w:color="auto" w:sz="4" w:space="0"/>
              <w:right w:val="single" w:color="auto" w:sz="4" w:space="0"/>
            </w:tcBorders>
            <w:noWrap w:val="0"/>
            <w:vAlign w:val="center"/>
          </w:tcPr>
          <w:p w14:paraId="0D451AF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836" w:type="pct"/>
            <w:tcBorders>
              <w:top w:val="single" w:color="auto" w:sz="4" w:space="0"/>
              <w:left w:val="single" w:color="auto" w:sz="4" w:space="0"/>
              <w:bottom w:val="single" w:color="auto" w:sz="4" w:space="0"/>
              <w:right w:val="single" w:color="auto" w:sz="4" w:space="0"/>
            </w:tcBorders>
            <w:noWrap w:val="0"/>
            <w:vAlign w:val="center"/>
          </w:tcPr>
          <w:p w14:paraId="1565867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p>
        </w:tc>
        <w:tc>
          <w:tcPr>
            <w:tcW w:w="1070" w:type="pct"/>
            <w:tcBorders>
              <w:top w:val="single" w:color="auto" w:sz="4" w:space="0"/>
              <w:left w:val="single" w:color="auto" w:sz="4" w:space="0"/>
              <w:bottom w:val="single" w:color="auto" w:sz="4" w:space="0"/>
              <w:right w:val="single" w:color="auto" w:sz="4" w:space="0"/>
            </w:tcBorders>
            <w:noWrap w:val="0"/>
            <w:vAlign w:val="center"/>
          </w:tcPr>
          <w:p w14:paraId="1847690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p>
        </w:tc>
        <w:tc>
          <w:tcPr>
            <w:tcW w:w="858" w:type="pct"/>
            <w:gridSpan w:val="2"/>
            <w:tcBorders>
              <w:top w:val="single" w:color="auto" w:sz="4" w:space="0"/>
              <w:left w:val="single" w:color="auto" w:sz="4" w:space="0"/>
              <w:bottom w:val="single" w:color="auto" w:sz="4" w:space="0"/>
              <w:right w:val="single" w:color="auto" w:sz="4" w:space="0"/>
            </w:tcBorders>
            <w:noWrap w:val="0"/>
            <w:vAlign w:val="center"/>
          </w:tcPr>
          <w:p w14:paraId="4A6C026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值</w:t>
            </w:r>
          </w:p>
        </w:tc>
        <w:tc>
          <w:tcPr>
            <w:tcW w:w="685" w:type="pct"/>
            <w:tcBorders>
              <w:top w:val="single" w:color="auto" w:sz="4" w:space="0"/>
              <w:left w:val="single" w:color="auto" w:sz="4" w:space="0"/>
              <w:bottom w:val="single" w:color="auto" w:sz="4" w:space="0"/>
              <w:right w:val="single" w:color="auto" w:sz="4" w:space="0"/>
            </w:tcBorders>
            <w:noWrap w:val="0"/>
            <w:vAlign w:val="center"/>
          </w:tcPr>
          <w:p w14:paraId="069F647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完成</w:t>
            </w:r>
            <w:r>
              <w:rPr>
                <w:rFonts w:ascii="宋体" w:hAnsi="宋体" w:cs="宋体"/>
                <w:color w:val="000000"/>
                <w:kern w:val="0"/>
                <w:sz w:val="20"/>
                <w:szCs w:val="20"/>
              </w:rPr>
              <w:t>值</w:t>
            </w:r>
          </w:p>
        </w:tc>
        <w:tc>
          <w:tcPr>
            <w:tcW w:w="451" w:type="pct"/>
            <w:tcBorders>
              <w:top w:val="single" w:color="auto" w:sz="4" w:space="0"/>
              <w:left w:val="single" w:color="auto" w:sz="4" w:space="0"/>
              <w:bottom w:val="single" w:color="auto" w:sz="4" w:space="0"/>
              <w:right w:val="single" w:color="auto" w:sz="4" w:space="0"/>
            </w:tcBorders>
            <w:noWrap/>
            <w:vAlign w:val="center"/>
          </w:tcPr>
          <w:p w14:paraId="1E4F038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w:t>
            </w:r>
            <w:r>
              <w:rPr>
                <w:rFonts w:ascii="宋体" w:hAnsi="宋体" w:cs="宋体"/>
                <w:color w:val="000000"/>
                <w:kern w:val="0"/>
                <w:sz w:val="20"/>
                <w:szCs w:val="20"/>
              </w:rPr>
              <w:t>值</w:t>
            </w:r>
          </w:p>
        </w:tc>
        <w:tc>
          <w:tcPr>
            <w:tcW w:w="412" w:type="pct"/>
            <w:tcBorders>
              <w:top w:val="single" w:color="auto" w:sz="4" w:space="0"/>
              <w:left w:val="single" w:color="auto" w:sz="4" w:space="0"/>
              <w:bottom w:val="single" w:color="auto" w:sz="4" w:space="0"/>
              <w:right w:val="single" w:color="auto" w:sz="4" w:space="0"/>
            </w:tcBorders>
            <w:noWrap/>
            <w:vAlign w:val="center"/>
          </w:tcPr>
          <w:p w14:paraId="1B1245F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w:t>
            </w:r>
            <w:r>
              <w:rPr>
                <w:rFonts w:ascii="宋体" w:hAnsi="宋体" w:cs="宋体"/>
                <w:color w:val="000000"/>
                <w:kern w:val="0"/>
                <w:sz w:val="20"/>
                <w:szCs w:val="20"/>
              </w:rPr>
              <w:t>分</w:t>
            </w:r>
          </w:p>
        </w:tc>
      </w:tr>
      <w:tr w14:paraId="4A7A02E8">
        <w:tblPrEx>
          <w:tblCellMar>
            <w:top w:w="0" w:type="dxa"/>
            <w:left w:w="108" w:type="dxa"/>
            <w:bottom w:w="0" w:type="dxa"/>
            <w:right w:w="108" w:type="dxa"/>
          </w:tblCellMar>
        </w:tblPrEx>
        <w:trPr>
          <w:trHeight w:val="1417" w:hRule="atLeast"/>
        </w:trPr>
        <w:tc>
          <w:tcPr>
            <w:tcW w:w="685" w:type="pct"/>
            <w:vMerge w:val="restart"/>
            <w:tcBorders>
              <w:top w:val="single" w:color="auto" w:sz="4" w:space="0"/>
              <w:left w:val="single" w:color="auto" w:sz="4" w:space="0"/>
              <w:bottom w:val="single" w:color="auto" w:sz="4" w:space="0"/>
              <w:right w:val="single" w:color="auto" w:sz="4" w:space="0"/>
            </w:tcBorders>
            <w:noWrap w:val="0"/>
            <w:vAlign w:val="center"/>
          </w:tcPr>
          <w:p w14:paraId="13C9810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预算管</w:t>
            </w:r>
          </w:p>
          <w:p w14:paraId="5C994B4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理情况</w:t>
            </w:r>
          </w:p>
          <w:p w14:paraId="1CDA1B1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836" w:type="pct"/>
            <w:vMerge w:val="restart"/>
            <w:tcBorders>
              <w:top w:val="single" w:color="auto" w:sz="4" w:space="0"/>
              <w:left w:val="single" w:color="auto" w:sz="4" w:space="0"/>
              <w:bottom w:val="single" w:color="auto" w:sz="4" w:space="0"/>
              <w:right w:val="single" w:color="auto" w:sz="4" w:space="0"/>
            </w:tcBorders>
            <w:noWrap w:val="0"/>
            <w:vAlign w:val="center"/>
          </w:tcPr>
          <w:p w14:paraId="62C6A39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财务管理（4）</w:t>
            </w:r>
          </w:p>
        </w:tc>
        <w:tc>
          <w:tcPr>
            <w:tcW w:w="1070" w:type="pct"/>
            <w:tcBorders>
              <w:top w:val="single" w:color="auto" w:sz="4" w:space="0"/>
              <w:left w:val="single" w:color="auto" w:sz="4" w:space="0"/>
              <w:bottom w:val="single" w:color="auto" w:sz="4" w:space="0"/>
              <w:right w:val="single" w:color="auto" w:sz="4" w:space="0"/>
            </w:tcBorders>
            <w:noWrap w:val="0"/>
            <w:vAlign w:val="center"/>
          </w:tcPr>
          <w:p w14:paraId="59580BC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财务管理制度</w:t>
            </w:r>
          </w:p>
          <w:p w14:paraId="434FFD8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健全性</w:t>
            </w:r>
          </w:p>
        </w:tc>
        <w:tc>
          <w:tcPr>
            <w:tcW w:w="858" w:type="pct"/>
            <w:gridSpan w:val="2"/>
            <w:tcBorders>
              <w:top w:val="single" w:color="auto" w:sz="4" w:space="0"/>
              <w:left w:val="single" w:color="auto" w:sz="4" w:space="0"/>
              <w:bottom w:val="single" w:color="auto" w:sz="4" w:space="0"/>
              <w:right w:val="single" w:color="auto" w:sz="4" w:space="0"/>
            </w:tcBorders>
            <w:noWrap w:val="0"/>
            <w:vAlign w:val="center"/>
          </w:tcPr>
          <w:p w14:paraId="1856B30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eastAsia="zh-CN"/>
              </w:rPr>
              <w:t>健全</w:t>
            </w:r>
            <w:r>
              <w:rPr>
                <w:rFonts w:hint="eastAsia" w:ascii="宋体" w:hAnsi="宋体" w:cs="宋体"/>
                <w:color w:val="000000"/>
                <w:kern w:val="0"/>
                <w:sz w:val="20"/>
                <w:szCs w:val="20"/>
              </w:rPr>
              <w:t>　</w:t>
            </w:r>
          </w:p>
        </w:tc>
        <w:tc>
          <w:tcPr>
            <w:tcW w:w="685" w:type="pct"/>
            <w:tcBorders>
              <w:top w:val="single" w:color="auto" w:sz="4" w:space="0"/>
              <w:left w:val="single" w:color="auto" w:sz="4" w:space="0"/>
              <w:bottom w:val="single" w:color="auto" w:sz="4" w:space="0"/>
              <w:right w:val="single" w:color="auto" w:sz="4" w:space="0"/>
            </w:tcBorders>
            <w:noWrap w:val="0"/>
            <w:vAlign w:val="center"/>
          </w:tcPr>
          <w:p w14:paraId="791C6CB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eastAsia="zh-CN"/>
              </w:rPr>
              <w:t>健全</w:t>
            </w:r>
            <w:r>
              <w:rPr>
                <w:rFonts w:hint="eastAsia" w:ascii="宋体" w:hAnsi="宋体" w:cs="宋体"/>
                <w:color w:val="000000"/>
                <w:kern w:val="0"/>
                <w:sz w:val="20"/>
                <w:szCs w:val="20"/>
              </w:rPr>
              <w:t>　</w:t>
            </w:r>
          </w:p>
        </w:tc>
        <w:tc>
          <w:tcPr>
            <w:tcW w:w="451" w:type="pct"/>
            <w:tcBorders>
              <w:top w:val="single" w:color="auto" w:sz="4" w:space="0"/>
              <w:left w:val="single" w:color="auto" w:sz="4" w:space="0"/>
              <w:bottom w:val="single" w:color="auto" w:sz="4" w:space="0"/>
              <w:right w:val="single" w:color="auto" w:sz="4" w:space="0"/>
            </w:tcBorders>
            <w:noWrap/>
            <w:vAlign w:val="center"/>
          </w:tcPr>
          <w:p w14:paraId="5125C20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412" w:type="pct"/>
            <w:tcBorders>
              <w:top w:val="single" w:color="auto" w:sz="4" w:space="0"/>
              <w:left w:val="single" w:color="auto" w:sz="4" w:space="0"/>
              <w:bottom w:val="single" w:color="auto" w:sz="4" w:space="0"/>
              <w:right w:val="single" w:color="auto" w:sz="4" w:space="0"/>
            </w:tcBorders>
            <w:noWrap/>
            <w:vAlign w:val="center"/>
          </w:tcPr>
          <w:p w14:paraId="6A1072C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w:t>
            </w:r>
          </w:p>
        </w:tc>
      </w:tr>
      <w:tr w14:paraId="7061454E">
        <w:tblPrEx>
          <w:tblCellMar>
            <w:top w:w="0" w:type="dxa"/>
            <w:left w:w="108" w:type="dxa"/>
            <w:bottom w:w="0" w:type="dxa"/>
            <w:right w:w="108" w:type="dxa"/>
          </w:tblCellMar>
        </w:tblPrEx>
        <w:trPr>
          <w:trHeight w:val="1417" w:hRule="atLeast"/>
        </w:trPr>
        <w:tc>
          <w:tcPr>
            <w:tcW w:w="685" w:type="pct"/>
            <w:vMerge w:val="continue"/>
            <w:tcBorders>
              <w:top w:val="single" w:color="auto" w:sz="4" w:space="0"/>
              <w:left w:val="single" w:color="auto" w:sz="4" w:space="0"/>
              <w:bottom w:val="single" w:color="auto" w:sz="4" w:space="0"/>
              <w:right w:val="single" w:color="auto" w:sz="4" w:space="0"/>
            </w:tcBorders>
            <w:noWrap w:val="0"/>
            <w:vAlign w:val="center"/>
          </w:tcPr>
          <w:p w14:paraId="5C7D7CEA">
            <w:pPr>
              <w:widowControl/>
              <w:jc w:val="left"/>
              <w:rPr>
                <w:rFonts w:ascii="宋体" w:hAnsi="宋体" w:cs="宋体"/>
                <w:color w:val="000000"/>
                <w:kern w:val="0"/>
                <w:sz w:val="20"/>
                <w:szCs w:val="20"/>
              </w:rPr>
            </w:pPr>
          </w:p>
        </w:tc>
        <w:tc>
          <w:tcPr>
            <w:tcW w:w="836" w:type="pct"/>
            <w:vMerge w:val="continue"/>
            <w:tcBorders>
              <w:top w:val="single" w:color="auto" w:sz="4" w:space="0"/>
              <w:left w:val="single" w:color="auto" w:sz="4" w:space="0"/>
              <w:bottom w:val="single" w:color="auto" w:sz="4" w:space="0"/>
              <w:right w:val="single" w:color="auto" w:sz="4" w:space="0"/>
            </w:tcBorders>
            <w:noWrap w:val="0"/>
            <w:vAlign w:val="center"/>
          </w:tcPr>
          <w:p w14:paraId="1652AB88">
            <w:pPr>
              <w:widowControl/>
              <w:jc w:val="left"/>
              <w:rPr>
                <w:rFonts w:ascii="宋体" w:hAnsi="宋体" w:cs="宋体"/>
                <w:color w:val="000000"/>
                <w:kern w:val="0"/>
                <w:sz w:val="20"/>
                <w:szCs w:val="20"/>
              </w:rPr>
            </w:pPr>
          </w:p>
        </w:tc>
        <w:tc>
          <w:tcPr>
            <w:tcW w:w="1070" w:type="pct"/>
            <w:tcBorders>
              <w:top w:val="single" w:color="auto" w:sz="4" w:space="0"/>
              <w:left w:val="single" w:color="auto" w:sz="4" w:space="0"/>
              <w:bottom w:val="single" w:color="auto" w:sz="4" w:space="0"/>
              <w:right w:val="single" w:color="auto" w:sz="4" w:space="0"/>
            </w:tcBorders>
            <w:noWrap w:val="0"/>
            <w:vAlign w:val="center"/>
          </w:tcPr>
          <w:p w14:paraId="163849B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资金使用合规性</w:t>
            </w:r>
          </w:p>
          <w:p w14:paraId="716ABB9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和安全性</w:t>
            </w:r>
          </w:p>
        </w:tc>
        <w:tc>
          <w:tcPr>
            <w:tcW w:w="858" w:type="pct"/>
            <w:gridSpan w:val="2"/>
            <w:tcBorders>
              <w:top w:val="single" w:color="auto" w:sz="4" w:space="0"/>
              <w:left w:val="single" w:color="auto" w:sz="4" w:space="0"/>
              <w:bottom w:val="single" w:color="auto" w:sz="4" w:space="0"/>
              <w:right w:val="single" w:color="auto" w:sz="4" w:space="0"/>
            </w:tcBorders>
            <w:noWrap w:val="0"/>
            <w:vAlign w:val="center"/>
          </w:tcPr>
          <w:p w14:paraId="12D36BD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合规、安全</w:t>
            </w:r>
          </w:p>
        </w:tc>
        <w:tc>
          <w:tcPr>
            <w:tcW w:w="685" w:type="pct"/>
            <w:tcBorders>
              <w:top w:val="single" w:color="auto" w:sz="4" w:space="0"/>
              <w:left w:val="single" w:color="auto" w:sz="4" w:space="0"/>
              <w:bottom w:val="single" w:color="auto" w:sz="4" w:space="0"/>
              <w:right w:val="single" w:color="auto" w:sz="4" w:space="0"/>
            </w:tcBorders>
            <w:noWrap w:val="0"/>
            <w:vAlign w:val="center"/>
          </w:tcPr>
          <w:p w14:paraId="610DBC7A">
            <w:pPr>
              <w:widowControl/>
              <w:jc w:val="both"/>
              <w:rPr>
                <w:rFonts w:hint="eastAsia" w:ascii="宋体" w:hAnsi="宋体" w:cs="宋体"/>
                <w:color w:val="000000"/>
                <w:kern w:val="0"/>
                <w:sz w:val="20"/>
                <w:szCs w:val="20"/>
              </w:rPr>
            </w:pPr>
            <w:r>
              <w:rPr>
                <w:rFonts w:hint="eastAsia" w:ascii="宋体" w:hAnsi="宋体" w:cs="宋体"/>
                <w:color w:val="000000"/>
                <w:kern w:val="0"/>
                <w:sz w:val="20"/>
                <w:szCs w:val="20"/>
              </w:rPr>
              <w:t>合规、安全　</w:t>
            </w:r>
          </w:p>
        </w:tc>
        <w:tc>
          <w:tcPr>
            <w:tcW w:w="451" w:type="pct"/>
            <w:tcBorders>
              <w:top w:val="single" w:color="auto" w:sz="4" w:space="0"/>
              <w:left w:val="single" w:color="auto" w:sz="4" w:space="0"/>
              <w:bottom w:val="single" w:color="auto" w:sz="4" w:space="0"/>
              <w:right w:val="single" w:color="auto" w:sz="4" w:space="0"/>
            </w:tcBorders>
            <w:noWrap/>
            <w:vAlign w:val="center"/>
          </w:tcPr>
          <w:p w14:paraId="03CC186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w:t>
            </w:r>
          </w:p>
        </w:tc>
        <w:tc>
          <w:tcPr>
            <w:tcW w:w="412" w:type="pct"/>
            <w:tcBorders>
              <w:top w:val="single" w:color="auto" w:sz="4" w:space="0"/>
              <w:left w:val="single" w:color="auto" w:sz="4" w:space="0"/>
              <w:bottom w:val="single" w:color="auto" w:sz="4" w:space="0"/>
              <w:right w:val="single" w:color="auto" w:sz="4" w:space="0"/>
            </w:tcBorders>
            <w:noWrap/>
            <w:vAlign w:val="center"/>
          </w:tcPr>
          <w:p w14:paraId="66A01AA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2</w:t>
            </w:r>
          </w:p>
        </w:tc>
      </w:tr>
      <w:tr w14:paraId="1A04B5BB">
        <w:tblPrEx>
          <w:tblCellMar>
            <w:top w:w="0" w:type="dxa"/>
            <w:left w:w="108" w:type="dxa"/>
            <w:bottom w:w="0" w:type="dxa"/>
            <w:right w:w="108" w:type="dxa"/>
          </w:tblCellMar>
        </w:tblPrEx>
        <w:trPr>
          <w:trHeight w:val="1417" w:hRule="atLeast"/>
        </w:trPr>
        <w:tc>
          <w:tcPr>
            <w:tcW w:w="685" w:type="pct"/>
            <w:vMerge w:val="continue"/>
            <w:tcBorders>
              <w:top w:val="single" w:color="auto" w:sz="4" w:space="0"/>
              <w:left w:val="single" w:color="auto" w:sz="4" w:space="0"/>
              <w:bottom w:val="single" w:color="auto" w:sz="4" w:space="0"/>
              <w:right w:val="single" w:color="auto" w:sz="4" w:space="0"/>
            </w:tcBorders>
            <w:noWrap w:val="0"/>
            <w:vAlign w:val="center"/>
          </w:tcPr>
          <w:p w14:paraId="3B57B71E">
            <w:pPr>
              <w:widowControl/>
              <w:jc w:val="left"/>
              <w:rPr>
                <w:rFonts w:ascii="宋体" w:hAnsi="宋体" w:cs="宋体"/>
                <w:color w:val="000000"/>
                <w:kern w:val="0"/>
                <w:sz w:val="20"/>
                <w:szCs w:val="20"/>
              </w:rPr>
            </w:pPr>
          </w:p>
        </w:tc>
        <w:tc>
          <w:tcPr>
            <w:tcW w:w="836" w:type="pct"/>
            <w:vMerge w:val="continue"/>
            <w:tcBorders>
              <w:top w:val="single" w:color="auto" w:sz="4" w:space="0"/>
              <w:left w:val="single" w:color="auto" w:sz="4" w:space="0"/>
              <w:bottom w:val="single" w:color="auto" w:sz="4" w:space="0"/>
              <w:right w:val="single" w:color="auto" w:sz="4" w:space="0"/>
            </w:tcBorders>
            <w:noWrap w:val="0"/>
            <w:vAlign w:val="center"/>
          </w:tcPr>
          <w:p w14:paraId="6F6E0273">
            <w:pPr>
              <w:widowControl/>
              <w:jc w:val="left"/>
              <w:rPr>
                <w:rFonts w:ascii="宋体" w:hAnsi="宋体" w:cs="宋体"/>
                <w:color w:val="000000"/>
                <w:kern w:val="0"/>
                <w:sz w:val="20"/>
                <w:szCs w:val="20"/>
              </w:rPr>
            </w:pPr>
          </w:p>
        </w:tc>
        <w:tc>
          <w:tcPr>
            <w:tcW w:w="1070" w:type="pct"/>
            <w:tcBorders>
              <w:top w:val="single" w:color="auto" w:sz="4" w:space="0"/>
              <w:left w:val="single" w:color="auto" w:sz="4" w:space="0"/>
              <w:bottom w:val="single" w:color="auto" w:sz="4" w:space="0"/>
              <w:right w:val="single" w:color="auto" w:sz="4" w:space="0"/>
            </w:tcBorders>
            <w:noWrap w:val="0"/>
            <w:vAlign w:val="center"/>
          </w:tcPr>
          <w:p w14:paraId="11C19DE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会计基础信息</w:t>
            </w:r>
          </w:p>
          <w:p w14:paraId="6767626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完善性</w:t>
            </w:r>
          </w:p>
        </w:tc>
        <w:tc>
          <w:tcPr>
            <w:tcW w:w="858" w:type="pct"/>
            <w:gridSpan w:val="2"/>
            <w:tcBorders>
              <w:top w:val="single" w:color="auto" w:sz="4" w:space="0"/>
              <w:left w:val="single" w:color="auto" w:sz="4" w:space="0"/>
              <w:bottom w:val="single" w:color="auto" w:sz="4" w:space="0"/>
              <w:right w:val="single" w:color="auto" w:sz="4" w:space="0"/>
            </w:tcBorders>
            <w:noWrap w:val="0"/>
            <w:vAlign w:val="center"/>
          </w:tcPr>
          <w:p w14:paraId="6CD0C9B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完善</w:t>
            </w:r>
          </w:p>
        </w:tc>
        <w:tc>
          <w:tcPr>
            <w:tcW w:w="685" w:type="pct"/>
            <w:tcBorders>
              <w:top w:val="single" w:color="auto" w:sz="4" w:space="0"/>
              <w:left w:val="single" w:color="auto" w:sz="4" w:space="0"/>
              <w:bottom w:val="single" w:color="auto" w:sz="4" w:space="0"/>
              <w:right w:val="single" w:color="auto" w:sz="4" w:space="0"/>
            </w:tcBorders>
            <w:noWrap w:val="0"/>
            <w:vAlign w:val="center"/>
          </w:tcPr>
          <w:p w14:paraId="3558EA6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完善　</w:t>
            </w:r>
          </w:p>
        </w:tc>
        <w:tc>
          <w:tcPr>
            <w:tcW w:w="451" w:type="pct"/>
            <w:tcBorders>
              <w:top w:val="single" w:color="auto" w:sz="4" w:space="0"/>
              <w:left w:val="single" w:color="auto" w:sz="4" w:space="0"/>
              <w:bottom w:val="single" w:color="auto" w:sz="4" w:space="0"/>
              <w:right w:val="single" w:color="auto" w:sz="4" w:space="0"/>
            </w:tcBorders>
            <w:noWrap/>
            <w:vAlign w:val="center"/>
          </w:tcPr>
          <w:p w14:paraId="694CE0C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412" w:type="pct"/>
            <w:tcBorders>
              <w:top w:val="single" w:color="auto" w:sz="4" w:space="0"/>
              <w:left w:val="single" w:color="auto" w:sz="4" w:space="0"/>
              <w:bottom w:val="single" w:color="auto" w:sz="4" w:space="0"/>
              <w:right w:val="single" w:color="auto" w:sz="4" w:space="0"/>
            </w:tcBorders>
            <w:noWrap/>
            <w:vAlign w:val="center"/>
          </w:tcPr>
          <w:p w14:paraId="2C99B4EC">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r>
      <w:tr w14:paraId="249A3F98">
        <w:tblPrEx>
          <w:tblCellMar>
            <w:top w:w="0" w:type="dxa"/>
            <w:left w:w="108" w:type="dxa"/>
            <w:bottom w:w="0" w:type="dxa"/>
            <w:right w:w="108" w:type="dxa"/>
          </w:tblCellMar>
        </w:tblPrEx>
        <w:trPr>
          <w:trHeight w:val="1417" w:hRule="atLeast"/>
        </w:trPr>
        <w:tc>
          <w:tcPr>
            <w:tcW w:w="685" w:type="pct"/>
            <w:vMerge w:val="continue"/>
            <w:tcBorders>
              <w:top w:val="single" w:color="auto" w:sz="4" w:space="0"/>
              <w:left w:val="single" w:color="auto" w:sz="4" w:space="0"/>
              <w:bottom w:val="single" w:color="auto" w:sz="4" w:space="0"/>
              <w:right w:val="single" w:color="auto" w:sz="4" w:space="0"/>
            </w:tcBorders>
            <w:noWrap w:val="0"/>
            <w:vAlign w:val="center"/>
          </w:tcPr>
          <w:p w14:paraId="7D5E3E11">
            <w:pPr>
              <w:widowControl/>
              <w:jc w:val="left"/>
              <w:rPr>
                <w:rFonts w:ascii="宋体" w:hAnsi="宋体" w:cs="宋体"/>
                <w:color w:val="000000"/>
                <w:kern w:val="0"/>
                <w:sz w:val="20"/>
                <w:szCs w:val="20"/>
              </w:rPr>
            </w:pPr>
          </w:p>
        </w:tc>
        <w:tc>
          <w:tcPr>
            <w:tcW w:w="836" w:type="pct"/>
            <w:tcBorders>
              <w:top w:val="single" w:color="auto" w:sz="4" w:space="0"/>
              <w:left w:val="single" w:color="auto" w:sz="4" w:space="0"/>
              <w:bottom w:val="single" w:color="auto" w:sz="4" w:space="0"/>
              <w:right w:val="single" w:color="auto" w:sz="4" w:space="0"/>
            </w:tcBorders>
            <w:noWrap w:val="0"/>
            <w:vAlign w:val="center"/>
          </w:tcPr>
          <w:p w14:paraId="673100C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资产管理（4）</w:t>
            </w:r>
          </w:p>
        </w:tc>
        <w:tc>
          <w:tcPr>
            <w:tcW w:w="1070" w:type="pct"/>
            <w:tcBorders>
              <w:top w:val="single" w:color="auto" w:sz="4" w:space="0"/>
              <w:left w:val="single" w:color="auto" w:sz="4" w:space="0"/>
              <w:bottom w:val="single" w:color="auto" w:sz="4" w:space="0"/>
              <w:right w:val="single" w:color="auto" w:sz="4" w:space="0"/>
            </w:tcBorders>
            <w:noWrap w:val="0"/>
            <w:vAlign w:val="center"/>
          </w:tcPr>
          <w:p w14:paraId="4C66670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资产管理规范性</w:t>
            </w:r>
          </w:p>
        </w:tc>
        <w:tc>
          <w:tcPr>
            <w:tcW w:w="858" w:type="pct"/>
            <w:gridSpan w:val="2"/>
            <w:tcBorders>
              <w:top w:val="single" w:color="auto" w:sz="4" w:space="0"/>
              <w:left w:val="single" w:color="auto" w:sz="4" w:space="0"/>
              <w:bottom w:val="single" w:color="auto" w:sz="4" w:space="0"/>
              <w:right w:val="single" w:color="auto" w:sz="4" w:space="0"/>
            </w:tcBorders>
            <w:noWrap w:val="0"/>
            <w:vAlign w:val="center"/>
          </w:tcPr>
          <w:p w14:paraId="169AB278">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bidi="ar-SA"/>
              </w:rPr>
              <w:t>规范</w:t>
            </w:r>
          </w:p>
        </w:tc>
        <w:tc>
          <w:tcPr>
            <w:tcW w:w="685" w:type="pct"/>
            <w:tcBorders>
              <w:top w:val="single" w:color="auto" w:sz="4" w:space="0"/>
              <w:left w:val="single" w:color="auto" w:sz="4" w:space="0"/>
              <w:bottom w:val="single" w:color="auto" w:sz="4" w:space="0"/>
              <w:right w:val="single" w:color="auto" w:sz="4" w:space="0"/>
            </w:tcBorders>
            <w:noWrap w:val="0"/>
            <w:vAlign w:val="center"/>
          </w:tcPr>
          <w:p w14:paraId="2C1DC2CC">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bidi="ar-SA"/>
              </w:rPr>
              <w:t>较规范</w:t>
            </w:r>
          </w:p>
        </w:tc>
        <w:tc>
          <w:tcPr>
            <w:tcW w:w="451" w:type="pct"/>
            <w:tcBorders>
              <w:top w:val="single" w:color="auto" w:sz="4" w:space="0"/>
              <w:left w:val="single" w:color="auto" w:sz="4" w:space="0"/>
              <w:bottom w:val="single" w:color="auto" w:sz="4" w:space="0"/>
              <w:right w:val="single" w:color="auto" w:sz="4" w:space="0"/>
            </w:tcBorders>
            <w:noWrap w:val="0"/>
            <w:vAlign w:val="center"/>
          </w:tcPr>
          <w:p w14:paraId="022E058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412" w:type="pct"/>
            <w:tcBorders>
              <w:top w:val="single" w:color="auto" w:sz="4" w:space="0"/>
              <w:left w:val="single" w:color="auto" w:sz="4" w:space="0"/>
              <w:bottom w:val="single" w:color="auto" w:sz="4" w:space="0"/>
              <w:right w:val="single" w:color="auto" w:sz="4" w:space="0"/>
            </w:tcBorders>
            <w:noWrap w:val="0"/>
            <w:vAlign w:val="center"/>
          </w:tcPr>
          <w:p w14:paraId="1AA8FF42">
            <w:pPr>
              <w:widowControl/>
              <w:jc w:val="center"/>
              <w:rPr>
                <w:rFonts w:hint="default" w:ascii="宋体" w:hAnsi="宋体" w:cs="宋体"/>
                <w:color w:val="000000"/>
                <w:kern w:val="0"/>
                <w:sz w:val="20"/>
                <w:szCs w:val="20"/>
                <w:lang w:val="en-US"/>
              </w:rPr>
            </w:pPr>
            <w:r>
              <w:rPr>
                <w:rFonts w:hint="eastAsia" w:ascii="宋体" w:hAnsi="宋体" w:cs="宋体"/>
                <w:color w:val="000000"/>
                <w:kern w:val="0"/>
                <w:sz w:val="20"/>
                <w:szCs w:val="20"/>
                <w:lang w:val="en-US" w:eastAsia="zh-CN"/>
              </w:rPr>
              <w:t>0.8</w:t>
            </w:r>
          </w:p>
        </w:tc>
      </w:tr>
      <w:tr w14:paraId="14519B1C">
        <w:tblPrEx>
          <w:tblCellMar>
            <w:top w:w="0" w:type="dxa"/>
            <w:left w:w="108" w:type="dxa"/>
            <w:bottom w:w="0" w:type="dxa"/>
            <w:right w:w="108" w:type="dxa"/>
          </w:tblCellMar>
        </w:tblPrEx>
        <w:trPr>
          <w:trHeight w:val="1417" w:hRule="atLeast"/>
        </w:trPr>
        <w:tc>
          <w:tcPr>
            <w:tcW w:w="685" w:type="pct"/>
            <w:vMerge w:val="continue"/>
            <w:tcBorders>
              <w:top w:val="single" w:color="auto" w:sz="4" w:space="0"/>
              <w:left w:val="single" w:color="auto" w:sz="4" w:space="0"/>
              <w:bottom w:val="single" w:color="auto" w:sz="4" w:space="0"/>
              <w:right w:val="single" w:color="auto" w:sz="4" w:space="0"/>
            </w:tcBorders>
            <w:noWrap w:val="0"/>
            <w:vAlign w:val="center"/>
          </w:tcPr>
          <w:p w14:paraId="3EF61B7C">
            <w:pPr>
              <w:widowControl/>
              <w:jc w:val="left"/>
              <w:rPr>
                <w:rFonts w:ascii="宋体" w:hAnsi="宋体" w:cs="宋体"/>
                <w:color w:val="000000"/>
                <w:kern w:val="0"/>
                <w:sz w:val="20"/>
                <w:szCs w:val="20"/>
              </w:rPr>
            </w:pPr>
          </w:p>
        </w:tc>
        <w:tc>
          <w:tcPr>
            <w:tcW w:w="836" w:type="pct"/>
            <w:tcBorders>
              <w:top w:val="single" w:color="auto" w:sz="4" w:space="0"/>
              <w:left w:val="single" w:color="auto" w:sz="4" w:space="0"/>
              <w:bottom w:val="single" w:color="auto" w:sz="4" w:space="0"/>
              <w:right w:val="single" w:color="auto" w:sz="4" w:space="0"/>
            </w:tcBorders>
            <w:noWrap w:val="0"/>
            <w:vAlign w:val="center"/>
          </w:tcPr>
          <w:p w14:paraId="2875C92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绩效管理（4）</w:t>
            </w:r>
          </w:p>
        </w:tc>
        <w:tc>
          <w:tcPr>
            <w:tcW w:w="1070" w:type="pct"/>
            <w:tcBorders>
              <w:top w:val="single" w:color="auto" w:sz="4" w:space="0"/>
              <w:left w:val="single" w:color="auto" w:sz="4" w:space="0"/>
              <w:bottom w:val="single" w:color="auto" w:sz="4" w:space="0"/>
              <w:right w:val="single" w:color="auto" w:sz="4" w:space="0"/>
            </w:tcBorders>
            <w:noWrap w:val="0"/>
            <w:vAlign w:val="center"/>
          </w:tcPr>
          <w:p w14:paraId="3C4AEB3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绩效管理情况</w:t>
            </w:r>
          </w:p>
        </w:tc>
        <w:tc>
          <w:tcPr>
            <w:tcW w:w="858" w:type="pct"/>
            <w:gridSpan w:val="2"/>
            <w:tcBorders>
              <w:top w:val="single" w:color="auto" w:sz="4" w:space="0"/>
              <w:left w:val="single" w:color="auto" w:sz="4" w:space="0"/>
              <w:bottom w:val="single" w:color="auto" w:sz="4" w:space="0"/>
              <w:right w:val="single" w:color="auto" w:sz="4" w:space="0"/>
            </w:tcBorders>
            <w:noWrap w:val="0"/>
            <w:vAlign w:val="center"/>
          </w:tcPr>
          <w:p w14:paraId="1CC27335">
            <w:pPr>
              <w:widowControl/>
              <w:jc w:val="center"/>
              <w:rPr>
                <w:rFonts w:ascii="宋体" w:hAnsi="宋体" w:cs="宋体"/>
                <w:color w:val="000000"/>
                <w:kern w:val="0"/>
                <w:sz w:val="20"/>
                <w:szCs w:val="20"/>
              </w:rPr>
            </w:pPr>
          </w:p>
          <w:p w14:paraId="25F30E8B">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eastAsia="zh-CN"/>
              </w:rPr>
              <w:t>较好</w:t>
            </w:r>
          </w:p>
          <w:p w14:paraId="506E31DB">
            <w:pPr>
              <w:widowControl/>
              <w:jc w:val="center"/>
              <w:rPr>
                <w:rFonts w:hint="eastAsia" w:ascii="宋体" w:hAnsi="宋体" w:eastAsia="宋体" w:cs="宋体"/>
                <w:color w:val="000000"/>
                <w:kern w:val="0"/>
                <w:sz w:val="20"/>
                <w:szCs w:val="20"/>
                <w:lang w:val="en-US" w:eastAsia="zh-CN" w:bidi="ar-SA"/>
              </w:rPr>
            </w:pPr>
          </w:p>
        </w:tc>
        <w:tc>
          <w:tcPr>
            <w:tcW w:w="685" w:type="pct"/>
            <w:tcBorders>
              <w:top w:val="single" w:color="auto" w:sz="4" w:space="0"/>
              <w:left w:val="single" w:color="auto" w:sz="4" w:space="0"/>
              <w:bottom w:val="single" w:color="auto" w:sz="4" w:space="0"/>
              <w:right w:val="single" w:color="auto" w:sz="4" w:space="0"/>
            </w:tcBorders>
            <w:noWrap w:val="0"/>
            <w:vAlign w:val="center"/>
          </w:tcPr>
          <w:p w14:paraId="193A0A12">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bidi="ar-SA"/>
              </w:rPr>
              <w:t>合格</w:t>
            </w:r>
          </w:p>
        </w:tc>
        <w:tc>
          <w:tcPr>
            <w:tcW w:w="451" w:type="pct"/>
            <w:tcBorders>
              <w:top w:val="single" w:color="auto" w:sz="4" w:space="0"/>
              <w:left w:val="single" w:color="auto" w:sz="4" w:space="0"/>
              <w:bottom w:val="single" w:color="auto" w:sz="4" w:space="0"/>
              <w:right w:val="single" w:color="auto" w:sz="4" w:space="0"/>
            </w:tcBorders>
            <w:noWrap w:val="0"/>
            <w:vAlign w:val="center"/>
          </w:tcPr>
          <w:p w14:paraId="7E040A93">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4</w:t>
            </w:r>
          </w:p>
        </w:tc>
        <w:tc>
          <w:tcPr>
            <w:tcW w:w="412" w:type="pct"/>
            <w:tcBorders>
              <w:top w:val="single" w:color="auto" w:sz="4" w:space="0"/>
              <w:left w:val="single" w:color="auto" w:sz="4" w:space="0"/>
              <w:bottom w:val="single" w:color="auto" w:sz="4" w:space="0"/>
              <w:right w:val="single" w:color="auto" w:sz="4" w:space="0"/>
            </w:tcBorders>
            <w:noWrap w:val="0"/>
            <w:vAlign w:val="center"/>
          </w:tcPr>
          <w:p w14:paraId="0EFCEEB0">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2</w:t>
            </w:r>
          </w:p>
        </w:tc>
      </w:tr>
      <w:tr w14:paraId="5E688E78">
        <w:tblPrEx>
          <w:tblCellMar>
            <w:top w:w="0" w:type="dxa"/>
            <w:left w:w="108" w:type="dxa"/>
            <w:bottom w:w="0" w:type="dxa"/>
            <w:right w:w="108" w:type="dxa"/>
          </w:tblCellMar>
        </w:tblPrEx>
        <w:trPr>
          <w:trHeight w:val="1191" w:hRule="atLeast"/>
        </w:trPr>
        <w:tc>
          <w:tcPr>
            <w:tcW w:w="685" w:type="pct"/>
            <w:vMerge w:val="continue"/>
            <w:tcBorders>
              <w:top w:val="single" w:color="auto" w:sz="4" w:space="0"/>
              <w:left w:val="single" w:color="auto" w:sz="4" w:space="0"/>
              <w:bottom w:val="single" w:color="auto" w:sz="4" w:space="0"/>
              <w:right w:val="single" w:color="auto" w:sz="4" w:space="0"/>
            </w:tcBorders>
            <w:noWrap w:val="0"/>
            <w:vAlign w:val="center"/>
          </w:tcPr>
          <w:p w14:paraId="26931F64">
            <w:pPr>
              <w:widowControl/>
              <w:jc w:val="left"/>
              <w:rPr>
                <w:rFonts w:ascii="宋体" w:hAnsi="宋体" w:cs="宋体"/>
                <w:color w:val="000000"/>
                <w:kern w:val="0"/>
                <w:sz w:val="20"/>
                <w:szCs w:val="20"/>
              </w:rPr>
            </w:pPr>
          </w:p>
        </w:tc>
        <w:tc>
          <w:tcPr>
            <w:tcW w:w="836" w:type="pct"/>
            <w:tcBorders>
              <w:top w:val="single" w:color="auto" w:sz="4" w:space="0"/>
              <w:left w:val="single" w:color="auto" w:sz="4" w:space="0"/>
              <w:bottom w:val="single" w:color="auto" w:sz="4" w:space="0"/>
              <w:right w:val="single" w:color="auto" w:sz="4" w:space="0"/>
            </w:tcBorders>
            <w:noWrap w:val="0"/>
            <w:vAlign w:val="center"/>
          </w:tcPr>
          <w:p w14:paraId="60CE229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　</w:t>
            </w:r>
          </w:p>
        </w:tc>
        <w:tc>
          <w:tcPr>
            <w:tcW w:w="1315" w:type="pct"/>
            <w:gridSpan w:val="2"/>
            <w:tcBorders>
              <w:top w:val="single" w:color="auto" w:sz="4" w:space="0"/>
              <w:left w:val="single" w:color="auto" w:sz="4" w:space="0"/>
              <w:bottom w:val="single" w:color="auto" w:sz="4" w:space="0"/>
              <w:right w:val="single" w:color="auto" w:sz="4" w:space="0"/>
            </w:tcBorders>
            <w:noWrap w:val="0"/>
            <w:vAlign w:val="center"/>
          </w:tcPr>
          <w:p w14:paraId="19A6C04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2023</w:t>
            </w:r>
            <w:r>
              <w:rPr>
                <w:rFonts w:hint="eastAsia" w:ascii="宋体" w:hAnsi="宋体" w:cs="宋体"/>
                <w:color w:val="000000"/>
                <w:kern w:val="0"/>
                <w:sz w:val="20"/>
                <w:szCs w:val="20"/>
              </w:rPr>
              <w:t>年</w:t>
            </w:r>
          </w:p>
        </w:tc>
        <w:tc>
          <w:tcPr>
            <w:tcW w:w="1298" w:type="pct"/>
            <w:gridSpan w:val="2"/>
            <w:tcBorders>
              <w:top w:val="single" w:color="auto" w:sz="4" w:space="0"/>
              <w:left w:val="single" w:color="auto" w:sz="4" w:space="0"/>
              <w:bottom w:val="single" w:color="auto" w:sz="4" w:space="0"/>
              <w:right w:val="single" w:color="auto" w:sz="4" w:space="0"/>
            </w:tcBorders>
            <w:noWrap w:val="0"/>
            <w:vAlign w:val="center"/>
          </w:tcPr>
          <w:p w14:paraId="178628C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2024</w:t>
            </w:r>
            <w:r>
              <w:rPr>
                <w:rFonts w:hint="eastAsia" w:ascii="宋体" w:hAnsi="宋体" w:cs="宋体"/>
                <w:color w:val="000000"/>
                <w:kern w:val="0"/>
                <w:sz w:val="20"/>
                <w:szCs w:val="20"/>
              </w:rPr>
              <w:t>年</w:t>
            </w:r>
          </w:p>
        </w:tc>
        <w:tc>
          <w:tcPr>
            <w:tcW w:w="451" w:type="pct"/>
            <w:tcBorders>
              <w:top w:val="single" w:color="auto" w:sz="4" w:space="0"/>
              <w:left w:val="single" w:color="auto" w:sz="4" w:space="0"/>
              <w:bottom w:val="single" w:color="auto" w:sz="4" w:space="0"/>
              <w:right w:val="single" w:color="auto" w:sz="4" w:space="0"/>
            </w:tcBorders>
            <w:noWrap w:val="0"/>
            <w:vAlign w:val="center"/>
          </w:tcPr>
          <w:p w14:paraId="46017B7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412" w:type="pct"/>
            <w:tcBorders>
              <w:top w:val="single" w:color="auto" w:sz="4" w:space="0"/>
              <w:left w:val="single" w:color="auto" w:sz="4" w:space="0"/>
              <w:bottom w:val="single" w:color="auto" w:sz="4" w:space="0"/>
              <w:right w:val="single" w:color="auto" w:sz="4" w:space="0"/>
            </w:tcBorders>
            <w:noWrap w:val="0"/>
            <w:vAlign w:val="center"/>
          </w:tcPr>
          <w:p w14:paraId="5C7F92A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r>
      <w:tr w14:paraId="4BAFC775">
        <w:tblPrEx>
          <w:tblCellMar>
            <w:top w:w="0" w:type="dxa"/>
            <w:left w:w="108" w:type="dxa"/>
            <w:bottom w:w="0" w:type="dxa"/>
            <w:right w:w="108" w:type="dxa"/>
          </w:tblCellMar>
        </w:tblPrEx>
        <w:trPr>
          <w:trHeight w:val="1191" w:hRule="atLeast"/>
        </w:trPr>
        <w:tc>
          <w:tcPr>
            <w:tcW w:w="685" w:type="pct"/>
            <w:vMerge w:val="continue"/>
            <w:tcBorders>
              <w:top w:val="single" w:color="auto" w:sz="4" w:space="0"/>
              <w:left w:val="single" w:color="auto" w:sz="4" w:space="0"/>
              <w:bottom w:val="single" w:color="auto" w:sz="4" w:space="0"/>
              <w:right w:val="single" w:color="auto" w:sz="4" w:space="0"/>
            </w:tcBorders>
            <w:noWrap w:val="0"/>
            <w:vAlign w:val="center"/>
          </w:tcPr>
          <w:p w14:paraId="4FC8F07C">
            <w:pPr>
              <w:widowControl/>
              <w:jc w:val="left"/>
              <w:rPr>
                <w:rFonts w:ascii="宋体" w:hAnsi="宋体" w:cs="宋体"/>
                <w:color w:val="000000"/>
                <w:kern w:val="0"/>
                <w:sz w:val="20"/>
                <w:szCs w:val="20"/>
              </w:rPr>
            </w:pPr>
          </w:p>
        </w:tc>
        <w:tc>
          <w:tcPr>
            <w:tcW w:w="836" w:type="pct"/>
            <w:tcBorders>
              <w:top w:val="single" w:color="auto" w:sz="4" w:space="0"/>
              <w:left w:val="single" w:color="auto" w:sz="4" w:space="0"/>
              <w:bottom w:val="single" w:color="auto" w:sz="4" w:space="0"/>
              <w:right w:val="single" w:color="auto" w:sz="4" w:space="0"/>
            </w:tcBorders>
            <w:noWrap w:val="0"/>
            <w:vAlign w:val="center"/>
          </w:tcPr>
          <w:p w14:paraId="2FBE83C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结转结余率</w:t>
            </w:r>
          </w:p>
          <w:p w14:paraId="1DA7B824">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1315" w:type="pct"/>
            <w:gridSpan w:val="2"/>
            <w:tcBorders>
              <w:top w:val="single" w:color="auto" w:sz="4" w:space="0"/>
              <w:left w:val="single" w:color="auto" w:sz="4" w:space="0"/>
              <w:bottom w:val="single" w:color="auto" w:sz="4" w:space="0"/>
              <w:right w:val="single" w:color="auto" w:sz="4" w:space="0"/>
            </w:tcBorders>
            <w:noWrap w:val="0"/>
            <w:vAlign w:val="center"/>
          </w:tcPr>
          <w:p w14:paraId="001E3E5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26.70%</w:t>
            </w:r>
          </w:p>
        </w:tc>
        <w:tc>
          <w:tcPr>
            <w:tcW w:w="1298" w:type="pct"/>
            <w:gridSpan w:val="2"/>
            <w:tcBorders>
              <w:top w:val="single" w:color="auto" w:sz="4" w:space="0"/>
              <w:left w:val="single" w:color="auto" w:sz="4" w:space="0"/>
              <w:bottom w:val="single" w:color="auto" w:sz="4" w:space="0"/>
              <w:right w:val="single" w:color="auto" w:sz="4" w:space="0"/>
            </w:tcBorders>
            <w:noWrap w:val="0"/>
            <w:vAlign w:val="center"/>
          </w:tcPr>
          <w:p w14:paraId="11A1F78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26.</w:t>
            </w:r>
            <w:r>
              <w:rPr>
                <w:rFonts w:hint="eastAsia" w:ascii="宋体" w:hAnsi="宋体" w:cs="宋体"/>
                <w:color w:val="000000"/>
                <w:kern w:val="0"/>
                <w:sz w:val="20"/>
                <w:szCs w:val="20"/>
                <w:lang w:val="en-US" w:eastAsia="zh-CN"/>
              </w:rPr>
              <w:t>13</w:t>
            </w:r>
            <w:r>
              <w:rPr>
                <w:rFonts w:hint="eastAsia" w:ascii="宋体" w:hAnsi="宋体" w:cs="宋体"/>
                <w:color w:val="000000"/>
                <w:kern w:val="0"/>
                <w:sz w:val="20"/>
                <w:szCs w:val="20"/>
              </w:rPr>
              <w:t>%</w:t>
            </w:r>
          </w:p>
        </w:tc>
        <w:tc>
          <w:tcPr>
            <w:tcW w:w="451" w:type="pct"/>
            <w:tcBorders>
              <w:top w:val="single" w:color="auto" w:sz="4" w:space="0"/>
              <w:left w:val="single" w:color="auto" w:sz="4" w:space="0"/>
              <w:bottom w:val="single" w:color="auto" w:sz="4" w:space="0"/>
              <w:right w:val="single" w:color="auto" w:sz="4" w:space="0"/>
            </w:tcBorders>
            <w:noWrap w:val="0"/>
            <w:vAlign w:val="center"/>
          </w:tcPr>
          <w:p w14:paraId="2DC7CE4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412" w:type="pct"/>
            <w:tcBorders>
              <w:top w:val="single" w:color="auto" w:sz="4" w:space="0"/>
              <w:left w:val="single" w:color="auto" w:sz="4" w:space="0"/>
              <w:bottom w:val="single" w:color="auto" w:sz="4" w:space="0"/>
              <w:right w:val="single" w:color="auto" w:sz="4" w:space="0"/>
            </w:tcBorders>
            <w:noWrap w:val="0"/>
            <w:vAlign w:val="center"/>
          </w:tcPr>
          <w:p w14:paraId="63E7DC1D">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r>
      <w:tr w14:paraId="1D0627CE">
        <w:tblPrEx>
          <w:tblCellMar>
            <w:top w:w="0" w:type="dxa"/>
            <w:left w:w="108" w:type="dxa"/>
            <w:bottom w:w="0" w:type="dxa"/>
            <w:right w:w="108" w:type="dxa"/>
          </w:tblCellMar>
        </w:tblPrEx>
        <w:trPr>
          <w:trHeight w:val="1191" w:hRule="atLeast"/>
        </w:trPr>
        <w:tc>
          <w:tcPr>
            <w:tcW w:w="685" w:type="pct"/>
            <w:vMerge w:val="continue"/>
            <w:tcBorders>
              <w:top w:val="single" w:color="auto" w:sz="4" w:space="0"/>
              <w:left w:val="single" w:color="auto" w:sz="4" w:space="0"/>
              <w:bottom w:val="single" w:color="auto" w:sz="4" w:space="0"/>
              <w:right w:val="single" w:color="auto" w:sz="4" w:space="0"/>
            </w:tcBorders>
            <w:noWrap w:val="0"/>
            <w:vAlign w:val="center"/>
          </w:tcPr>
          <w:p w14:paraId="619784C3">
            <w:pPr>
              <w:widowControl/>
              <w:jc w:val="left"/>
              <w:rPr>
                <w:rFonts w:ascii="宋体" w:hAnsi="宋体" w:cs="宋体"/>
                <w:color w:val="000000"/>
                <w:kern w:val="0"/>
                <w:sz w:val="20"/>
                <w:szCs w:val="20"/>
              </w:rPr>
            </w:pPr>
          </w:p>
        </w:tc>
        <w:tc>
          <w:tcPr>
            <w:tcW w:w="836" w:type="pct"/>
            <w:tcBorders>
              <w:top w:val="single" w:color="auto" w:sz="4" w:space="0"/>
              <w:left w:val="single" w:color="auto" w:sz="4" w:space="0"/>
              <w:bottom w:val="single" w:color="auto" w:sz="4" w:space="0"/>
              <w:right w:val="single" w:color="auto" w:sz="4" w:space="0"/>
            </w:tcBorders>
            <w:noWrap w:val="0"/>
            <w:vAlign w:val="center"/>
          </w:tcPr>
          <w:p w14:paraId="075ACD9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部门预决算差异率（4）</w:t>
            </w:r>
          </w:p>
        </w:tc>
        <w:tc>
          <w:tcPr>
            <w:tcW w:w="1315" w:type="pct"/>
            <w:gridSpan w:val="2"/>
            <w:tcBorders>
              <w:top w:val="single" w:color="auto" w:sz="4" w:space="0"/>
              <w:left w:val="single" w:color="auto" w:sz="4" w:space="0"/>
              <w:bottom w:val="single" w:color="auto" w:sz="4" w:space="0"/>
              <w:right w:val="single" w:color="auto" w:sz="4" w:space="0"/>
            </w:tcBorders>
            <w:noWrap w:val="0"/>
            <w:vAlign w:val="center"/>
          </w:tcPr>
          <w:p w14:paraId="0871783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1298" w:type="pct"/>
            <w:gridSpan w:val="2"/>
            <w:tcBorders>
              <w:top w:val="single" w:color="auto" w:sz="4" w:space="0"/>
              <w:left w:val="single" w:color="auto" w:sz="4" w:space="0"/>
              <w:bottom w:val="single" w:color="auto" w:sz="4" w:space="0"/>
              <w:right w:val="single" w:color="auto" w:sz="4" w:space="0"/>
            </w:tcBorders>
            <w:noWrap w:val="0"/>
            <w:vAlign w:val="center"/>
          </w:tcPr>
          <w:p w14:paraId="4289037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-26.</w:t>
            </w:r>
            <w:r>
              <w:rPr>
                <w:rFonts w:hint="eastAsia" w:ascii="宋体" w:hAnsi="宋体" w:cs="宋体"/>
                <w:color w:val="000000"/>
                <w:kern w:val="0"/>
                <w:sz w:val="20"/>
                <w:szCs w:val="20"/>
                <w:lang w:val="en-US" w:eastAsia="zh-CN"/>
              </w:rPr>
              <w:t>13</w:t>
            </w:r>
            <w:r>
              <w:rPr>
                <w:rFonts w:hint="eastAsia" w:ascii="宋体" w:hAnsi="宋体" w:cs="宋体"/>
                <w:color w:val="000000"/>
                <w:kern w:val="0"/>
                <w:sz w:val="20"/>
                <w:szCs w:val="20"/>
              </w:rPr>
              <w:t>%</w:t>
            </w:r>
          </w:p>
        </w:tc>
        <w:tc>
          <w:tcPr>
            <w:tcW w:w="451" w:type="pct"/>
            <w:tcBorders>
              <w:top w:val="single" w:color="auto" w:sz="4" w:space="0"/>
              <w:left w:val="single" w:color="auto" w:sz="4" w:space="0"/>
              <w:bottom w:val="single" w:color="auto" w:sz="4" w:space="0"/>
              <w:right w:val="single" w:color="auto" w:sz="4" w:space="0"/>
            </w:tcBorders>
            <w:noWrap w:val="0"/>
            <w:vAlign w:val="center"/>
          </w:tcPr>
          <w:p w14:paraId="4B23530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412" w:type="pct"/>
            <w:tcBorders>
              <w:top w:val="single" w:color="auto" w:sz="4" w:space="0"/>
              <w:left w:val="single" w:color="auto" w:sz="4" w:space="0"/>
              <w:bottom w:val="single" w:color="auto" w:sz="4" w:space="0"/>
              <w:right w:val="single" w:color="auto" w:sz="4" w:space="0"/>
            </w:tcBorders>
            <w:noWrap w:val="0"/>
            <w:vAlign w:val="center"/>
          </w:tcPr>
          <w:p w14:paraId="5AB8880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4</w:t>
            </w:r>
            <w:r>
              <w:rPr>
                <w:rFonts w:hint="eastAsia" w:ascii="宋体" w:hAnsi="宋体" w:cs="宋体"/>
                <w:color w:val="000000"/>
                <w:kern w:val="0"/>
                <w:sz w:val="20"/>
                <w:szCs w:val="20"/>
              </w:rPr>
              <w:t>　</w:t>
            </w:r>
          </w:p>
        </w:tc>
      </w:tr>
      <w:tr w14:paraId="4A84E094">
        <w:tblPrEx>
          <w:tblCellMar>
            <w:top w:w="0" w:type="dxa"/>
            <w:left w:w="108" w:type="dxa"/>
            <w:bottom w:w="0" w:type="dxa"/>
            <w:right w:w="108" w:type="dxa"/>
          </w:tblCellMar>
        </w:tblPrEx>
        <w:trPr>
          <w:trHeight w:val="1191" w:hRule="atLeast"/>
        </w:trPr>
        <w:tc>
          <w:tcPr>
            <w:tcW w:w="4136" w:type="pct"/>
            <w:gridSpan w:val="6"/>
            <w:tcBorders>
              <w:top w:val="single" w:color="auto" w:sz="4" w:space="0"/>
              <w:left w:val="single" w:color="auto" w:sz="4" w:space="0"/>
              <w:bottom w:val="single" w:color="auto" w:sz="4" w:space="0"/>
              <w:right w:val="single" w:color="auto" w:sz="4" w:space="0"/>
            </w:tcBorders>
            <w:noWrap w:val="0"/>
            <w:vAlign w:val="center"/>
          </w:tcPr>
          <w:p w14:paraId="5F37249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合计</w:t>
            </w:r>
          </w:p>
        </w:tc>
        <w:tc>
          <w:tcPr>
            <w:tcW w:w="451" w:type="pct"/>
            <w:tcBorders>
              <w:top w:val="single" w:color="auto" w:sz="4" w:space="0"/>
              <w:left w:val="single" w:color="auto" w:sz="4" w:space="0"/>
              <w:bottom w:val="single" w:color="auto" w:sz="4" w:space="0"/>
              <w:right w:val="single" w:color="auto" w:sz="4" w:space="0"/>
            </w:tcBorders>
            <w:noWrap w:val="0"/>
            <w:vAlign w:val="center"/>
          </w:tcPr>
          <w:p w14:paraId="246F40C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412" w:type="pct"/>
            <w:tcBorders>
              <w:top w:val="single" w:color="auto" w:sz="4" w:space="0"/>
              <w:left w:val="single" w:color="auto" w:sz="4" w:space="0"/>
              <w:bottom w:val="single" w:color="auto" w:sz="4" w:space="0"/>
              <w:right w:val="single" w:color="auto" w:sz="4" w:space="0"/>
            </w:tcBorders>
            <w:noWrap w:val="0"/>
            <w:vAlign w:val="center"/>
          </w:tcPr>
          <w:p w14:paraId="566314C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80.57</w:t>
            </w:r>
            <w:r>
              <w:rPr>
                <w:rFonts w:hint="eastAsia" w:ascii="宋体" w:hAnsi="宋体" w:cs="宋体"/>
                <w:color w:val="000000"/>
                <w:kern w:val="0"/>
                <w:sz w:val="20"/>
                <w:szCs w:val="20"/>
              </w:rPr>
              <w:t>　</w:t>
            </w:r>
          </w:p>
        </w:tc>
      </w:tr>
    </w:tbl>
    <w:p w14:paraId="74C64A54">
      <w:pPr>
        <w:rPr>
          <w:rFonts w:hint="eastAsia"/>
        </w:rPr>
      </w:pPr>
    </w:p>
    <w:sectPr>
      <w:footerReference r:id="rId3" w:type="default"/>
      <w:pgSz w:w="11906" w:h="16838"/>
      <w:pgMar w:top="1440" w:right="1800" w:bottom="1440" w:left="1800"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5015079-B299-4BCC-BA04-A7D77877F24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F51C6CDE-65AA-4354-9499-FB3545968095}"/>
  </w:font>
  <w:font w:name="Cambria">
    <w:panose1 w:val="02040503050406030204"/>
    <w:charset w:val="00"/>
    <w:family w:val="roman"/>
    <w:pitch w:val="default"/>
    <w:sig w:usb0="E00006FF" w:usb1="420024FF" w:usb2="02000000" w:usb3="00000000" w:csb0="2000019F" w:csb1="00000000"/>
  </w:font>
  <w:font w:name="..ì.">
    <w:altName w:val="宋体"/>
    <w:panose1 w:val="00000000000000000000"/>
    <w:charset w:val="86"/>
    <w:family w:val="modern"/>
    <w:pitch w:val="default"/>
    <w:sig w:usb0="00000000" w:usb1="00000000" w:usb2="00000010" w:usb3="00000000" w:csb0="00040000" w:csb1="00000000"/>
  </w:font>
  <w:font w:name="方正小标宋简体">
    <w:panose1 w:val="02000000000000000000"/>
    <w:charset w:val="86"/>
    <w:family w:val="auto"/>
    <w:pitch w:val="default"/>
    <w:sig w:usb0="00000001" w:usb1="08000000" w:usb2="00000000" w:usb3="00000000" w:csb0="00040000" w:csb1="00000000"/>
    <w:embedRegular r:id="rId3" w:fontKey="{28BBBCF3-344B-481B-A268-C1EABDBCBF0D}"/>
  </w:font>
  <w:font w:name="仿宋_GB2312">
    <w:altName w:val="仿宋"/>
    <w:panose1 w:val="02010609030101010101"/>
    <w:charset w:val="86"/>
    <w:family w:val="modern"/>
    <w:pitch w:val="default"/>
    <w:sig w:usb0="00000000" w:usb1="00000000" w:usb2="00000000" w:usb3="00000000" w:csb0="00040000" w:csb1="00000000"/>
    <w:embedRegular r:id="rId4" w:fontKey="{1D59C041-E496-4A16-A91B-C1F818C0C817}"/>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embedRegular r:id="rId5" w:fontKey="{C9B5DC81-E3CE-41BC-B781-0BAB86399912}"/>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C858A3">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A9AFCE7">
                          <w:pPr>
                            <w:pStyle w:val="8"/>
                          </w:pPr>
                          <w:r>
                            <w:fldChar w:fldCharType="begin"/>
                          </w:r>
                          <w:r>
                            <w:instrText xml:space="preserve"> PAGE  \* MERGEFORMAT </w:instrText>
                          </w:r>
                          <w:r>
                            <w:fldChar w:fldCharType="separate"/>
                          </w:r>
                          <w:r>
                            <w:t>3</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6A9AFCE7">
                    <w:pPr>
                      <w:pStyle w:val="8"/>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06696E"/>
    <w:multiLevelType w:val="singleLevel"/>
    <w:tmpl w:val="4506696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RkM2NkOWIxNGEyOTdkZDM2ODY5OWE2NDc2YTk4NWQifQ=="/>
  </w:docVars>
  <w:rsids>
    <w:rsidRoot w:val="00172A27"/>
    <w:rsid w:val="01761E20"/>
    <w:rsid w:val="028B569B"/>
    <w:rsid w:val="087731CA"/>
    <w:rsid w:val="0A9A6B7F"/>
    <w:rsid w:val="0D5C4085"/>
    <w:rsid w:val="0D690178"/>
    <w:rsid w:val="0D6A7609"/>
    <w:rsid w:val="0DBD4932"/>
    <w:rsid w:val="11F03B34"/>
    <w:rsid w:val="11F56D91"/>
    <w:rsid w:val="132F1CD0"/>
    <w:rsid w:val="137141F5"/>
    <w:rsid w:val="13CF0BE8"/>
    <w:rsid w:val="142D2812"/>
    <w:rsid w:val="146B158C"/>
    <w:rsid w:val="15437E13"/>
    <w:rsid w:val="16A362C6"/>
    <w:rsid w:val="18770500"/>
    <w:rsid w:val="19706CFD"/>
    <w:rsid w:val="1D48246B"/>
    <w:rsid w:val="1F612DBB"/>
    <w:rsid w:val="1F947BE9"/>
    <w:rsid w:val="20131604"/>
    <w:rsid w:val="26EE4083"/>
    <w:rsid w:val="28D03BF0"/>
    <w:rsid w:val="2A1A518F"/>
    <w:rsid w:val="2A886333"/>
    <w:rsid w:val="2B04490F"/>
    <w:rsid w:val="2F1D5267"/>
    <w:rsid w:val="2F3E191F"/>
    <w:rsid w:val="34207846"/>
    <w:rsid w:val="34572B3B"/>
    <w:rsid w:val="3613376A"/>
    <w:rsid w:val="37CA01F4"/>
    <w:rsid w:val="38F44DFD"/>
    <w:rsid w:val="3B8B7C9A"/>
    <w:rsid w:val="3D2506C8"/>
    <w:rsid w:val="3D893E03"/>
    <w:rsid w:val="3DD86A9B"/>
    <w:rsid w:val="3E8409D1"/>
    <w:rsid w:val="3F87243F"/>
    <w:rsid w:val="40436D96"/>
    <w:rsid w:val="42F51E9D"/>
    <w:rsid w:val="458A0FC3"/>
    <w:rsid w:val="47460522"/>
    <w:rsid w:val="480C5CBF"/>
    <w:rsid w:val="4A315EB1"/>
    <w:rsid w:val="4A4A6F73"/>
    <w:rsid w:val="4CF66F3E"/>
    <w:rsid w:val="506D39BB"/>
    <w:rsid w:val="52E20324"/>
    <w:rsid w:val="52E57838"/>
    <w:rsid w:val="530F2B07"/>
    <w:rsid w:val="5394300C"/>
    <w:rsid w:val="54C53DC5"/>
    <w:rsid w:val="54F46459"/>
    <w:rsid w:val="56D1616B"/>
    <w:rsid w:val="57B74DD8"/>
    <w:rsid w:val="58FD3402"/>
    <w:rsid w:val="5B3A26EB"/>
    <w:rsid w:val="5D221689"/>
    <w:rsid w:val="5E5D0BCB"/>
    <w:rsid w:val="62514EEA"/>
    <w:rsid w:val="626A6CDC"/>
    <w:rsid w:val="65624D19"/>
    <w:rsid w:val="66616510"/>
    <w:rsid w:val="68C52B84"/>
    <w:rsid w:val="6B427AC6"/>
    <w:rsid w:val="6CB57E24"/>
    <w:rsid w:val="6CE55CB0"/>
    <w:rsid w:val="6F047E12"/>
    <w:rsid w:val="73FE47A6"/>
    <w:rsid w:val="746D0CF1"/>
    <w:rsid w:val="746D7236"/>
    <w:rsid w:val="750E7112"/>
    <w:rsid w:val="79992C0C"/>
    <w:rsid w:val="7D225061"/>
    <w:rsid w:val="7D2D4AA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paragraph" w:styleId="3">
    <w:name w:val="heading 3"/>
    <w:basedOn w:val="1"/>
    <w:next w:val="1"/>
    <w:qFormat/>
    <w:uiPriority w:val="0"/>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200" w:firstLineChars="200"/>
    </w:pPr>
  </w:style>
  <w:style w:type="paragraph" w:styleId="5">
    <w:name w:val="annotation text"/>
    <w:basedOn w:val="1"/>
    <w:link w:val="16"/>
    <w:qFormat/>
    <w:uiPriority w:val="0"/>
    <w:pPr>
      <w:jc w:val="left"/>
    </w:pPr>
  </w:style>
  <w:style w:type="paragraph" w:styleId="6">
    <w:name w:val="Body Text"/>
    <w:basedOn w:val="1"/>
    <w:next w:val="1"/>
    <w:unhideWhenUsed/>
    <w:qFormat/>
    <w:uiPriority w:val="99"/>
    <w:pPr>
      <w:spacing w:after="120"/>
    </w:pPr>
  </w:style>
  <w:style w:type="paragraph" w:styleId="7">
    <w:name w:val="Balloon Text"/>
    <w:basedOn w:val="1"/>
    <w:link w:val="17"/>
    <w:qFormat/>
    <w:uiPriority w:val="0"/>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0">
    <w:name w:val="annotation subject"/>
    <w:basedOn w:val="5"/>
    <w:next w:val="5"/>
    <w:link w:val="18"/>
    <w:qFormat/>
    <w:uiPriority w:val="0"/>
    <w:rPr>
      <w:b/>
      <w:bCs/>
    </w:rPr>
  </w:style>
  <w:style w:type="paragraph" w:styleId="11">
    <w:name w:val="Body Text First Indent"/>
    <w:basedOn w:val="6"/>
    <w:next w:val="1"/>
    <w:qFormat/>
    <w:uiPriority w:val="0"/>
    <w:pPr>
      <w:ind w:firstLine="420" w:firstLineChars="100"/>
    </w:pPr>
    <w:rPr>
      <w:rFonts w:ascii="Times New Roman" w:hAnsi="Times New Roman" w:eastAsia="宋体" w:cs="Times New Roman"/>
    </w:rPr>
  </w:style>
  <w:style w:type="character" w:styleId="14">
    <w:name w:val="Strong"/>
    <w:qFormat/>
    <w:uiPriority w:val="0"/>
    <w:rPr>
      <w:b/>
    </w:rPr>
  </w:style>
  <w:style w:type="character" w:styleId="15">
    <w:name w:val="annotation reference"/>
    <w:qFormat/>
    <w:uiPriority w:val="0"/>
    <w:rPr>
      <w:sz w:val="21"/>
      <w:szCs w:val="21"/>
    </w:rPr>
  </w:style>
  <w:style w:type="character" w:customStyle="1" w:styleId="16">
    <w:name w:val="批注文字 Char"/>
    <w:link w:val="5"/>
    <w:qFormat/>
    <w:uiPriority w:val="0"/>
    <w:rPr>
      <w:rFonts w:ascii="Calibri" w:hAnsi="Calibri"/>
      <w:kern w:val="2"/>
      <w:sz w:val="21"/>
      <w:szCs w:val="24"/>
    </w:rPr>
  </w:style>
  <w:style w:type="character" w:customStyle="1" w:styleId="17">
    <w:name w:val="批注框文本 Char"/>
    <w:link w:val="7"/>
    <w:qFormat/>
    <w:uiPriority w:val="0"/>
    <w:rPr>
      <w:rFonts w:ascii="Calibri" w:hAnsi="Calibri"/>
      <w:kern w:val="2"/>
      <w:sz w:val="18"/>
      <w:szCs w:val="18"/>
    </w:rPr>
  </w:style>
  <w:style w:type="character" w:customStyle="1" w:styleId="18">
    <w:name w:val="批注主题 Char"/>
    <w:link w:val="10"/>
    <w:qFormat/>
    <w:uiPriority w:val="0"/>
    <w:rPr>
      <w:rFonts w:ascii="Calibri" w:hAnsi="Calibri"/>
      <w:b/>
      <w:bCs/>
      <w:kern w:val="2"/>
      <w:sz w:val="21"/>
      <w:szCs w:val="24"/>
    </w:rPr>
  </w:style>
  <w:style w:type="character" w:customStyle="1" w:styleId="19">
    <w:name w:val="font11"/>
    <w:qFormat/>
    <w:uiPriority w:val="0"/>
    <w:rPr>
      <w:rFonts w:hint="eastAsia" w:ascii="宋体" w:hAnsi="宋体" w:eastAsia="宋体" w:cs="宋体"/>
      <w:color w:val="000000"/>
      <w:sz w:val="18"/>
      <w:szCs w:val="18"/>
      <w:u w:val="none"/>
    </w:rPr>
  </w:style>
  <w:style w:type="character" w:customStyle="1" w:styleId="20">
    <w:name w:val="font21"/>
    <w:qFormat/>
    <w:uiPriority w:val="0"/>
    <w:rPr>
      <w:rFonts w:hint="eastAsia" w:ascii="宋体" w:hAnsi="宋体" w:eastAsia="宋体" w:cs="宋体"/>
      <w:color w:val="000000"/>
      <w:sz w:val="18"/>
      <w:szCs w:val="18"/>
      <w:u w:val="none"/>
    </w:rPr>
  </w:style>
  <w:style w:type="paragraph" w:customStyle="1" w:styleId="21">
    <w:name w:val="Default"/>
    <w:qFormat/>
    <w:uiPriority w:val="0"/>
    <w:pPr>
      <w:widowControl w:val="0"/>
      <w:autoSpaceDE w:val="0"/>
      <w:autoSpaceDN w:val="0"/>
      <w:adjustRightInd w:val="0"/>
    </w:pPr>
    <w:rPr>
      <w:rFonts w:ascii="..ì." w:hAnsi="..ì." w:eastAsia="..ì." w:cs="..ì."/>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9800</Words>
  <Characters>10304</Characters>
  <Lines>69</Lines>
  <Paragraphs>19</Paragraphs>
  <TotalTime>5</TotalTime>
  <ScaleCrop>false</ScaleCrop>
  <LinksUpToDate>false</LinksUpToDate>
  <CharactersWithSpaces>10329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2024-03-28T19:19:00Z</dcterms:created>
  <dc:creator>user</dc:creator>
  <cp:lastModifiedBy>WPS_1640300884</cp:lastModifiedBy>
  <cp:lastPrinted>2025-05-14T08:04:00Z</cp:lastPrinted>
  <dcterms:modified xsi:type="dcterms:W3CDTF">2025-08-27T06:56:29Z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99A8F147EAF74D5AAA0096D852DADF1A_13</vt:lpwstr>
  </property>
  <property fmtid="{D5CDD505-2E9C-101B-9397-08002B2CF9AE}" pid="4" name="KSOTemplateDocerSaveRecord">
    <vt:lpwstr>eyJoZGlkIjoiMDdjNDZjNDE1NDE1NzQzNGYyNmRlNjQ0MmI2ZTExZjAiLCJ1c2VySWQiOiIxMzA2MTY0ODc4In0=</vt:lpwstr>
  </property>
</Properties>
</file>