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Toc27325"/>
      <w:bookmarkStart w:id="1" w:name="_Toc2502"/>
    </w:p>
    <w:p>
      <w:pPr>
        <w:rPr>
          <w:rFonts w:hint="eastAsia" w:ascii="宋体" w:hAnsi="宋体" w:cs="宋体"/>
          <w:b/>
          <w:bCs/>
          <w:sz w:val="44"/>
          <w:szCs w:val="44"/>
        </w:rPr>
      </w:pPr>
    </w:p>
    <w:p>
      <w:pPr>
        <w:spacing w:line="360" w:lineRule="auto"/>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北京市财政支出项目</w:t>
      </w:r>
    </w:p>
    <w:p>
      <w:pPr>
        <w:spacing w:line="360" w:lineRule="auto"/>
        <w:jc w:val="center"/>
        <w:rPr>
          <w:rFonts w:hint="eastAsia" w:ascii="宋体" w:hAnsi="宋体" w:cs="宋体"/>
          <w:b/>
          <w:bCs/>
          <w:sz w:val="44"/>
          <w:szCs w:val="44"/>
        </w:rPr>
      </w:pPr>
      <w:r>
        <w:rPr>
          <w:rFonts w:hint="eastAsia" w:ascii="方正小标宋简体" w:hAnsi="方正小标宋简体" w:eastAsia="方正小标宋简体" w:cs="方正小标宋简体"/>
          <w:b/>
          <w:bCs/>
          <w:sz w:val="44"/>
          <w:szCs w:val="44"/>
        </w:rPr>
        <w:t>绩效评价报告</w:t>
      </w:r>
      <w:bookmarkEnd w:id="0"/>
      <w:bookmarkEnd w:id="1"/>
    </w:p>
    <w:p>
      <w:pPr>
        <w:spacing w:before="100" w:beforeAutospacing="1" w:after="100" w:afterAutospacing="1" w:line="360" w:lineRule="auto"/>
        <w:rPr>
          <w:rFonts w:hint="eastAsia" w:ascii="宋体" w:hAnsi="宋体"/>
          <w:b/>
          <w:sz w:val="36"/>
          <w:szCs w:val="36"/>
        </w:rPr>
      </w:pPr>
    </w:p>
    <w:p>
      <w:pPr>
        <w:pStyle w:val="9"/>
        <w:ind w:firstLine="640"/>
      </w:pPr>
    </w:p>
    <w:p>
      <w:pPr>
        <w:snapToGrid w:val="0"/>
        <w:spacing w:after="240" w:line="360" w:lineRule="auto"/>
        <w:ind w:firstLine="640" w:firstLineChars="200"/>
        <w:rPr>
          <w:rFonts w:hint="eastAsia" w:ascii="楷体" w:hAnsi="楷体" w:eastAsia="楷体" w:cs="仿宋_GB2312"/>
          <w:sz w:val="32"/>
          <w:szCs w:val="32"/>
          <w:u w:val="single"/>
        </w:rPr>
      </w:pPr>
      <w:r>
        <w:rPr>
          <w:rFonts w:hint="eastAsia" w:ascii="楷体" w:hAnsi="楷体" w:eastAsia="楷体" w:cs="仿宋_GB2312"/>
          <w:sz w:val="32"/>
          <w:szCs w:val="32"/>
        </w:rPr>
        <w:t>主管部门：</w:t>
      </w:r>
      <w:r>
        <w:rPr>
          <w:rFonts w:hint="eastAsia" w:ascii="楷体" w:hAnsi="楷体" w:eastAsia="楷体" w:cs="仿宋_GB2312"/>
          <w:sz w:val="32"/>
          <w:szCs w:val="32"/>
          <w:u w:val="single"/>
        </w:rPr>
        <w:t xml:space="preserve">北京市人民检察院         </w:t>
      </w:r>
    </w:p>
    <w:p>
      <w:pPr>
        <w:snapToGrid w:val="0"/>
        <w:spacing w:after="240" w:line="360" w:lineRule="auto"/>
        <w:ind w:firstLine="640" w:firstLineChars="200"/>
        <w:rPr>
          <w:rFonts w:hint="eastAsia" w:ascii="楷体" w:hAnsi="楷体" w:eastAsia="楷体" w:cs="仿宋_GB2312"/>
          <w:sz w:val="32"/>
          <w:szCs w:val="32"/>
          <w:u w:val="single"/>
        </w:rPr>
      </w:pPr>
      <w:r>
        <w:rPr>
          <w:rFonts w:hint="eastAsia" w:ascii="楷体" w:hAnsi="楷体" w:eastAsia="楷体" w:cs="仿宋_GB2312"/>
          <w:sz w:val="32"/>
          <w:szCs w:val="32"/>
        </w:rPr>
        <w:t>部门名称：</w:t>
      </w:r>
      <w:r>
        <w:rPr>
          <w:rFonts w:hint="eastAsia" w:ascii="楷体" w:hAnsi="楷体" w:eastAsia="楷体" w:cs="仿宋_GB2312"/>
          <w:sz w:val="32"/>
          <w:szCs w:val="32"/>
          <w:u w:val="single"/>
        </w:rPr>
        <w:t xml:space="preserve">北京市人民检察院第四分院 </w:t>
      </w:r>
    </w:p>
    <w:p>
      <w:pPr>
        <w:snapToGrid w:val="0"/>
        <w:spacing w:after="240" w:line="360" w:lineRule="auto"/>
        <w:ind w:firstLine="640" w:firstLineChars="200"/>
        <w:rPr>
          <w:rFonts w:hint="eastAsia" w:ascii="楷体" w:hAnsi="楷体" w:eastAsia="楷体" w:cs="仿宋_GB2312"/>
          <w:sz w:val="32"/>
          <w:szCs w:val="32"/>
          <w:u w:val="single"/>
        </w:rPr>
      </w:pPr>
      <w:r>
        <w:rPr>
          <w:rFonts w:hint="eastAsia" w:ascii="楷体" w:hAnsi="楷体" w:eastAsia="楷体" w:cs="仿宋_GB2312"/>
          <w:sz w:val="32"/>
          <w:szCs w:val="32"/>
        </w:rPr>
        <w:t>项目名称：</w:t>
      </w:r>
      <w:r>
        <w:rPr>
          <w:rFonts w:hint="eastAsia" w:ascii="楷体" w:hAnsi="楷体" w:eastAsia="楷体" w:cs="仿宋_GB2312"/>
          <w:sz w:val="32"/>
          <w:szCs w:val="32"/>
          <w:u w:val="single"/>
        </w:rPr>
        <w:t xml:space="preserve">安检安保工作费用         </w:t>
      </w:r>
    </w:p>
    <w:p>
      <w:pPr>
        <w:snapToGrid w:val="0"/>
        <w:spacing w:after="240" w:line="360" w:lineRule="auto"/>
        <w:ind w:firstLine="640" w:firstLineChars="200"/>
        <w:rPr>
          <w:rFonts w:hint="eastAsia" w:ascii="楷体" w:hAnsi="楷体" w:eastAsia="楷体" w:cs="仿宋_GB2312"/>
          <w:sz w:val="32"/>
          <w:szCs w:val="32"/>
        </w:rPr>
      </w:pPr>
      <w:r>
        <w:rPr>
          <w:rFonts w:hint="eastAsia" w:ascii="楷体" w:hAnsi="楷体" w:eastAsia="楷体" w:cs="仿宋_GB2312"/>
          <w:sz w:val="32"/>
          <w:szCs w:val="32"/>
        </w:rPr>
        <w:t>评价单位：</w:t>
      </w:r>
      <w:r>
        <w:rPr>
          <w:rFonts w:hint="eastAsia" w:ascii="楷体" w:hAnsi="楷体" w:eastAsia="楷体" w:cs="仿宋_GB2312"/>
          <w:sz w:val="32"/>
          <w:szCs w:val="32"/>
          <w:u w:val="single"/>
        </w:rPr>
        <w:t xml:space="preserve">北京市人民检察院第四分院 </w:t>
      </w:r>
    </w:p>
    <w:p>
      <w:pPr>
        <w:rPr>
          <w:rFonts w:hint="eastAsia" w:ascii="宋体" w:hAnsi="宋体"/>
          <w:sz w:val="36"/>
          <w:szCs w:val="36"/>
        </w:rPr>
      </w:pPr>
    </w:p>
    <w:p>
      <w:pPr>
        <w:rPr>
          <w:rFonts w:hint="eastAsia" w:ascii="宋体" w:hAnsi="宋体"/>
          <w:sz w:val="36"/>
          <w:szCs w:val="36"/>
        </w:rPr>
      </w:pPr>
    </w:p>
    <w:p>
      <w:pPr>
        <w:rPr>
          <w:rFonts w:hint="eastAsia" w:ascii="宋体" w:hAnsi="宋体"/>
          <w:sz w:val="36"/>
          <w:szCs w:val="36"/>
        </w:rPr>
      </w:pPr>
    </w:p>
    <w:p>
      <w:pPr>
        <w:rPr>
          <w:rFonts w:hint="eastAsia" w:ascii="宋体" w:hAnsi="宋体"/>
          <w:sz w:val="36"/>
          <w:szCs w:val="36"/>
        </w:rPr>
      </w:pPr>
    </w:p>
    <w:p>
      <w:pPr>
        <w:rPr>
          <w:rFonts w:hint="eastAsia" w:ascii="宋体" w:hAnsi="宋体"/>
          <w:sz w:val="36"/>
          <w:szCs w:val="36"/>
        </w:rPr>
      </w:pPr>
    </w:p>
    <w:p>
      <w:pPr>
        <w:rPr>
          <w:rFonts w:hint="eastAsia" w:ascii="宋体" w:hAnsi="宋体"/>
          <w:b/>
          <w:bCs/>
          <w:szCs w:val="32"/>
        </w:rPr>
      </w:pPr>
    </w:p>
    <w:p>
      <w:pPr>
        <w:jc w:val="center"/>
        <w:rPr>
          <w:rFonts w:ascii="宋体" w:hAnsi="宋体" w:eastAsia="仿宋_GB2312" w:cs="宋体"/>
          <w:b/>
          <w:sz w:val="32"/>
          <w:szCs w:val="32"/>
        </w:rPr>
      </w:pPr>
      <w:r>
        <w:rPr>
          <w:rFonts w:hint="eastAsia" w:ascii="宋体" w:hAnsi="宋体" w:eastAsia="仿宋_GB2312" w:cs="宋体"/>
          <w:b/>
          <w:sz w:val="32"/>
          <w:szCs w:val="32"/>
        </w:rPr>
        <w:t>北京市人民检察院第四分院</w:t>
      </w:r>
    </w:p>
    <w:p>
      <w:pPr>
        <w:jc w:val="center"/>
        <w:rPr>
          <w:rFonts w:ascii="宋体" w:hAnsi="宋体" w:eastAsia="仿宋_GB2312" w:cs="宋体"/>
          <w:b/>
          <w:sz w:val="32"/>
          <w:szCs w:val="32"/>
        </w:rPr>
      </w:pPr>
      <w:r>
        <w:rPr>
          <w:rFonts w:hint="eastAsia" w:ascii="宋体" w:hAnsi="宋体" w:eastAsia="仿宋_GB2312" w:cs="宋体"/>
          <w:b/>
          <w:sz w:val="32"/>
          <w:szCs w:val="32"/>
        </w:rPr>
        <w:t>二〇二五年五月</w:t>
      </w:r>
    </w:p>
    <w:p>
      <w:pPr>
        <w:jc w:val="center"/>
        <w:rPr>
          <w:rFonts w:ascii="宋体" w:hAnsi="宋体" w:eastAsia="仿宋_GB2312" w:cs="宋体"/>
          <w:b/>
          <w:sz w:val="32"/>
          <w:szCs w:val="32"/>
        </w:rPr>
        <w:sectPr>
          <w:footerReference r:id="rId3" w:type="default"/>
          <w:pgSz w:w="11906" w:h="16838"/>
          <w:pgMar w:top="1440" w:right="1800" w:bottom="1440" w:left="1800" w:header="851" w:footer="992" w:gutter="0"/>
          <w:pgNumType w:fmt="numberInDash"/>
          <w:cols w:space="425" w:num="1"/>
          <w:titlePg/>
          <w:docGrid w:type="lines" w:linePitch="312" w:charSpace="0"/>
        </w:sectPr>
      </w:pPr>
    </w:p>
    <w:sdt>
      <w:sdtPr>
        <w:rPr>
          <w:lang w:val="zh-CN"/>
        </w:rPr>
        <w:id w:val="1272509163"/>
        <w:docPartObj>
          <w:docPartGallery w:val="Table of Contents"/>
          <w:docPartUnique/>
        </w:docPartObj>
      </w:sdtPr>
      <w:sdtEndPr>
        <w:rPr>
          <w:b/>
          <w:bCs/>
          <w:lang w:val="zh-CN"/>
        </w:rPr>
      </w:sdtEndPr>
      <w:sdtContent>
        <w:p>
          <w:pPr>
            <w:widowControl/>
            <w:jc w:val="center"/>
            <w:rPr>
              <w:rFonts w:hint="eastAsia" w:ascii="黑体" w:hAnsi="黑体" w:eastAsia="黑体"/>
              <w:sz w:val="32"/>
              <w:szCs w:val="32"/>
            </w:rPr>
          </w:pPr>
          <w:r>
            <w:rPr>
              <w:rFonts w:ascii="黑体" w:hAnsi="黑体" w:eastAsia="黑体"/>
              <w:sz w:val="32"/>
              <w:szCs w:val="32"/>
              <w:lang w:val="zh-CN"/>
            </w:rPr>
            <w:t>目</w:t>
          </w:r>
          <w:r>
            <w:rPr>
              <w:rFonts w:hint="eastAsia" w:ascii="黑体" w:hAnsi="黑体" w:eastAsia="黑体"/>
              <w:sz w:val="32"/>
              <w:szCs w:val="32"/>
              <w:lang w:val="zh-CN"/>
            </w:rPr>
            <w:t xml:space="preserve">  </w:t>
          </w:r>
          <w:r>
            <w:rPr>
              <w:rFonts w:ascii="黑体" w:hAnsi="黑体" w:eastAsia="黑体"/>
              <w:sz w:val="32"/>
              <w:szCs w:val="32"/>
              <w:lang w:val="zh-CN"/>
            </w:rPr>
            <w:t>录</w:t>
          </w:r>
        </w:p>
        <w:p>
          <w:pPr>
            <w:pStyle w:val="11"/>
            <w:tabs>
              <w:tab w:val="right" w:leader="dot" w:pos="8296"/>
            </w:tabs>
            <w:spacing w:line="360" w:lineRule="auto"/>
            <w:rPr>
              <w:rFonts w:asciiTheme="minorHAnsi" w:hAnsiTheme="minorHAnsi" w:eastAsiaTheme="minorEastAsia" w:cstheme="minorBidi"/>
              <w:sz w:val="24"/>
              <w14:ligatures w14:val="standardContextual"/>
            </w:rPr>
          </w:pPr>
          <w:r>
            <w:rPr>
              <w:sz w:val="22"/>
              <w:szCs w:val="28"/>
            </w:rPr>
            <w:fldChar w:fldCharType="begin"/>
          </w:r>
          <w:r>
            <w:rPr>
              <w:sz w:val="22"/>
              <w:szCs w:val="28"/>
            </w:rPr>
            <w:instrText xml:space="preserve"> TOC \o "1-3" \h \z \u </w:instrText>
          </w:r>
          <w:r>
            <w:rPr>
              <w:sz w:val="22"/>
              <w:szCs w:val="28"/>
            </w:rPr>
            <w:fldChar w:fldCharType="separate"/>
          </w:r>
          <w:r>
            <w:fldChar w:fldCharType="begin"/>
          </w:r>
          <w:r>
            <w:instrText xml:space="preserve"> HYPERLINK \l "_Toc197674786" </w:instrText>
          </w:r>
          <w:r>
            <w:fldChar w:fldCharType="separate"/>
          </w:r>
          <w:r>
            <w:rPr>
              <w:rStyle w:val="15"/>
              <w:rFonts w:hint="eastAsia" w:ascii="黑体" w:hAnsi="黑体" w:eastAsia="黑体" w:cs="黑体"/>
              <w:sz w:val="24"/>
            </w:rPr>
            <w:t>一、基本情况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_Toc197674786 \h</w:instrText>
          </w:r>
          <w:r>
            <w:rPr>
              <w:rFonts w:hint="eastAsia"/>
              <w:sz w:val="24"/>
            </w:rPr>
            <w:instrText xml:space="preserve"> </w:instrText>
          </w:r>
          <w:r>
            <w:rPr>
              <w:rFonts w:hint="eastAsia"/>
              <w:sz w:val="24"/>
            </w:rPr>
            <w:fldChar w:fldCharType="separate"/>
          </w:r>
          <w:r>
            <w:rPr>
              <w:sz w:val="24"/>
            </w:rPr>
            <w:t>- 1 -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"_Toc197674787" </w:instrText>
          </w:r>
          <w:r>
            <w:fldChar w:fldCharType="separate"/>
          </w:r>
          <w:r>
            <w:rPr>
              <w:rStyle w:val="15"/>
              <w:rFonts w:hint="eastAsia" w:ascii="楷体_GB2312" w:hAnsi="楷体_GB2312" w:eastAsia="楷体_GB2312" w:cs="楷体_GB2312"/>
              <w:sz w:val="24"/>
            </w:rPr>
            <w:t>（一）项目概况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_Toc197674787 \h</w:instrText>
          </w:r>
          <w:r>
            <w:rPr>
              <w:rFonts w:hint="eastAsia"/>
              <w:sz w:val="24"/>
            </w:rPr>
            <w:instrText xml:space="preserve"> </w:instrText>
          </w:r>
          <w:r>
            <w:rPr>
              <w:rFonts w:hint="eastAsia"/>
              <w:sz w:val="24"/>
            </w:rPr>
            <w:fldChar w:fldCharType="separate"/>
          </w:r>
          <w:r>
            <w:rPr>
              <w:sz w:val="24"/>
            </w:rPr>
            <w:t>- 1 -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"_Toc197674788" </w:instrText>
          </w:r>
          <w:r>
            <w:fldChar w:fldCharType="separate"/>
          </w:r>
          <w:r>
            <w:rPr>
              <w:rStyle w:val="15"/>
              <w:rFonts w:hint="eastAsia" w:ascii="楷体_GB2312" w:hAnsi="楷体_GB2312" w:eastAsia="楷体_GB2312" w:cs="楷体_GB2312"/>
              <w:sz w:val="24"/>
            </w:rPr>
            <w:t>（二）项目绩效目标</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_Toc197674788 \h</w:instrText>
          </w:r>
          <w:r>
            <w:rPr>
              <w:rFonts w:hint="eastAsia"/>
              <w:sz w:val="24"/>
            </w:rPr>
            <w:instrText xml:space="preserve"> </w:instrText>
          </w:r>
          <w:r>
            <w:rPr>
              <w:rFonts w:hint="eastAsia"/>
              <w:sz w:val="24"/>
            </w:rPr>
            <w:fldChar w:fldCharType="separate"/>
          </w:r>
          <w:r>
            <w:rPr>
              <w:sz w:val="24"/>
            </w:rPr>
            <w:t>- 2 -</w:t>
          </w:r>
          <w:r>
            <w:rPr>
              <w:rFonts w:hint="eastAsia"/>
              <w:sz w:val="24"/>
            </w:rPr>
            <w:fldChar w:fldCharType="end"/>
          </w:r>
          <w:r>
            <w:rPr>
              <w:rFonts w:hint="eastAsia"/>
              <w:sz w:val="24"/>
            </w:rPr>
            <w:fldChar w:fldCharType="end"/>
          </w:r>
        </w:p>
        <w:p>
          <w:pPr>
            <w:pStyle w:val="11"/>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"_Toc197674789" </w:instrText>
          </w:r>
          <w:r>
            <w:fldChar w:fldCharType="separate"/>
          </w:r>
          <w:r>
            <w:rPr>
              <w:rStyle w:val="15"/>
              <w:rFonts w:hint="eastAsia" w:ascii="黑体" w:hAnsi="黑体" w:eastAsia="黑体" w:cs="黑体"/>
              <w:sz w:val="24"/>
            </w:rPr>
            <w:t>二、绩效评价工作开展情况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_Toc197674789 \h</w:instrText>
          </w:r>
          <w:r>
            <w:rPr>
              <w:rFonts w:hint="eastAsia"/>
              <w:sz w:val="24"/>
            </w:rPr>
            <w:instrText xml:space="preserve"> </w:instrText>
          </w:r>
          <w:r>
            <w:rPr>
              <w:rFonts w:hint="eastAsia"/>
              <w:sz w:val="24"/>
            </w:rPr>
            <w:fldChar w:fldCharType="separate"/>
          </w:r>
          <w:r>
            <w:rPr>
              <w:sz w:val="24"/>
            </w:rPr>
            <w:t>- 3 -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"_Toc197674790" </w:instrText>
          </w:r>
          <w:r>
            <w:fldChar w:fldCharType="separate"/>
          </w:r>
          <w:r>
            <w:rPr>
              <w:rStyle w:val="15"/>
              <w:rFonts w:hint="eastAsia" w:ascii="楷体_GB2312" w:hAnsi="楷体_GB2312" w:eastAsia="楷体_GB2312" w:cs="楷体_GB2312"/>
              <w:sz w:val="24"/>
            </w:rPr>
            <w:t>（一）绩效评价目的、对象和范围</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_Toc197674790 \h</w:instrText>
          </w:r>
          <w:r>
            <w:rPr>
              <w:rFonts w:hint="eastAsia"/>
              <w:sz w:val="24"/>
            </w:rPr>
            <w:instrText xml:space="preserve"> </w:instrText>
          </w:r>
          <w:r>
            <w:rPr>
              <w:rFonts w:hint="eastAsia"/>
              <w:sz w:val="24"/>
            </w:rPr>
            <w:fldChar w:fldCharType="separate"/>
          </w:r>
          <w:r>
            <w:rPr>
              <w:sz w:val="24"/>
            </w:rPr>
            <w:t>- 3 -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"_Toc197674791" </w:instrText>
          </w:r>
          <w:r>
            <w:fldChar w:fldCharType="separate"/>
          </w:r>
          <w:r>
            <w:rPr>
              <w:rStyle w:val="15"/>
              <w:rFonts w:hint="eastAsia" w:ascii="楷体_GB2312" w:hAnsi="楷体_GB2312" w:eastAsia="楷体_GB2312" w:cs="楷体_GB2312"/>
              <w:sz w:val="24"/>
            </w:rPr>
            <w:t>（二）绩效评价原则、评价指标体系、评价方法、评价标准等</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_Toc197674791 \h</w:instrText>
          </w:r>
          <w:r>
            <w:rPr>
              <w:rFonts w:hint="eastAsia"/>
              <w:sz w:val="24"/>
            </w:rPr>
            <w:instrText xml:space="preserve"> </w:instrText>
          </w:r>
          <w:r>
            <w:rPr>
              <w:rFonts w:hint="eastAsia"/>
              <w:sz w:val="24"/>
            </w:rPr>
            <w:fldChar w:fldCharType="separate"/>
          </w:r>
          <w:r>
            <w:rPr>
              <w:sz w:val="24"/>
            </w:rPr>
            <w:t>- 4 -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"_Toc197674792" </w:instrText>
          </w:r>
          <w:r>
            <w:fldChar w:fldCharType="separate"/>
          </w:r>
          <w:r>
            <w:rPr>
              <w:rStyle w:val="15"/>
              <w:rFonts w:hint="eastAsia" w:ascii="楷体_GB2312" w:hAnsi="楷体_GB2312" w:eastAsia="楷体_GB2312" w:cs="楷体_GB2312"/>
              <w:sz w:val="24"/>
            </w:rPr>
            <w:t>（三）绩效评价工作过程</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_Toc197674792 \h</w:instrText>
          </w:r>
          <w:r>
            <w:rPr>
              <w:rFonts w:hint="eastAsia"/>
              <w:sz w:val="24"/>
            </w:rPr>
            <w:instrText xml:space="preserve"> </w:instrText>
          </w:r>
          <w:r>
            <w:rPr>
              <w:rFonts w:hint="eastAsia"/>
              <w:sz w:val="24"/>
            </w:rPr>
            <w:fldChar w:fldCharType="separate"/>
          </w:r>
          <w:r>
            <w:rPr>
              <w:sz w:val="24"/>
            </w:rPr>
            <w:t>- 6 -</w:t>
          </w:r>
          <w:r>
            <w:rPr>
              <w:rFonts w:hint="eastAsia"/>
              <w:sz w:val="24"/>
            </w:rPr>
            <w:fldChar w:fldCharType="end"/>
          </w:r>
          <w:r>
            <w:rPr>
              <w:rFonts w:hint="eastAsia"/>
              <w:sz w:val="24"/>
            </w:rPr>
            <w:fldChar w:fldCharType="end"/>
          </w:r>
        </w:p>
        <w:p>
          <w:pPr>
            <w:pStyle w:val="11"/>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"_Toc197674793" </w:instrText>
          </w:r>
          <w:r>
            <w:fldChar w:fldCharType="separate"/>
          </w:r>
          <w:r>
            <w:rPr>
              <w:rStyle w:val="15"/>
              <w:rFonts w:hint="eastAsia" w:ascii="黑体" w:hAnsi="黑体" w:eastAsia="黑体" w:cs="黑体"/>
              <w:sz w:val="24"/>
            </w:rPr>
            <w:t>三、综合评价情况及评价结论</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_Toc197674793 \h</w:instrText>
          </w:r>
          <w:r>
            <w:rPr>
              <w:rFonts w:hint="eastAsia"/>
              <w:sz w:val="24"/>
            </w:rPr>
            <w:instrText xml:space="preserve"> </w:instrText>
          </w:r>
          <w:r>
            <w:rPr>
              <w:rFonts w:hint="eastAsia"/>
              <w:sz w:val="24"/>
            </w:rPr>
            <w:fldChar w:fldCharType="separate"/>
          </w:r>
          <w:r>
            <w:rPr>
              <w:sz w:val="24"/>
            </w:rPr>
            <w:t>- 6 -</w:t>
          </w:r>
          <w:r>
            <w:rPr>
              <w:rFonts w:hint="eastAsia"/>
              <w:sz w:val="24"/>
            </w:rPr>
            <w:fldChar w:fldCharType="end"/>
          </w:r>
          <w:r>
            <w:rPr>
              <w:rFonts w:hint="eastAsia"/>
              <w:sz w:val="24"/>
            </w:rPr>
            <w:fldChar w:fldCharType="end"/>
          </w:r>
        </w:p>
        <w:p>
          <w:pPr>
            <w:pStyle w:val="11"/>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"_Toc197674794" </w:instrText>
          </w:r>
          <w:r>
            <w:fldChar w:fldCharType="separate"/>
          </w:r>
          <w:r>
            <w:rPr>
              <w:rStyle w:val="15"/>
              <w:rFonts w:hint="eastAsia" w:ascii="黑体" w:hAnsi="黑体" w:eastAsia="黑体" w:cs="黑体"/>
              <w:sz w:val="24"/>
            </w:rPr>
            <w:t>四、绩效评价指标分析</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_Toc197674794 \h</w:instrText>
          </w:r>
          <w:r>
            <w:rPr>
              <w:rFonts w:hint="eastAsia"/>
              <w:sz w:val="24"/>
            </w:rPr>
            <w:instrText xml:space="preserve"> </w:instrText>
          </w:r>
          <w:r>
            <w:rPr>
              <w:rFonts w:hint="eastAsia"/>
              <w:sz w:val="24"/>
            </w:rPr>
            <w:fldChar w:fldCharType="separate"/>
          </w:r>
          <w:r>
            <w:rPr>
              <w:sz w:val="24"/>
            </w:rPr>
            <w:t>- 6 -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"_Toc197674795" </w:instrText>
          </w:r>
          <w:r>
            <w:fldChar w:fldCharType="separate"/>
          </w:r>
          <w:r>
            <w:rPr>
              <w:rStyle w:val="15"/>
              <w:rFonts w:hint="eastAsia" w:ascii="楷体_GB2312" w:hAnsi="楷体_GB2312" w:eastAsia="楷体_GB2312" w:cs="楷体_GB2312"/>
              <w:sz w:val="24"/>
            </w:rPr>
            <w:t>（一）项目决策情况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_Toc197674795 \h</w:instrText>
          </w:r>
          <w:r>
            <w:rPr>
              <w:rFonts w:hint="eastAsia"/>
              <w:sz w:val="24"/>
            </w:rPr>
            <w:instrText xml:space="preserve"> </w:instrText>
          </w:r>
          <w:r>
            <w:rPr>
              <w:rFonts w:hint="eastAsia"/>
              <w:sz w:val="24"/>
            </w:rPr>
            <w:fldChar w:fldCharType="separate"/>
          </w:r>
          <w:r>
            <w:rPr>
              <w:sz w:val="24"/>
            </w:rPr>
            <w:t>- 6 -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"_Toc197674796" </w:instrText>
          </w:r>
          <w:r>
            <w:fldChar w:fldCharType="separate"/>
          </w:r>
          <w:r>
            <w:rPr>
              <w:rStyle w:val="15"/>
              <w:rFonts w:hint="eastAsia" w:ascii="楷体_GB2312" w:hAnsi="楷体_GB2312" w:eastAsia="楷体_GB2312" w:cs="楷体_GB2312"/>
              <w:sz w:val="24"/>
            </w:rPr>
            <w:t>（二）项目过程情况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_Toc197674796 \h</w:instrText>
          </w:r>
          <w:r>
            <w:rPr>
              <w:rFonts w:hint="eastAsia"/>
              <w:sz w:val="24"/>
            </w:rPr>
            <w:instrText xml:space="preserve"> </w:instrText>
          </w:r>
          <w:r>
            <w:rPr>
              <w:rFonts w:hint="eastAsia"/>
              <w:sz w:val="24"/>
            </w:rPr>
            <w:fldChar w:fldCharType="separate"/>
          </w:r>
          <w:r>
            <w:rPr>
              <w:sz w:val="24"/>
            </w:rPr>
            <w:t>- 8 -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"_Toc197674797" </w:instrText>
          </w:r>
          <w:r>
            <w:fldChar w:fldCharType="separate"/>
          </w:r>
          <w:r>
            <w:rPr>
              <w:rStyle w:val="15"/>
              <w:rFonts w:hint="eastAsia" w:ascii="楷体_GB2312" w:hAnsi="楷体_GB2312" w:eastAsia="楷体_GB2312" w:cs="楷体_GB2312"/>
              <w:sz w:val="24"/>
            </w:rPr>
            <w:t>（三）项目产出情况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_Toc197674797 \h</w:instrText>
          </w:r>
          <w:r>
            <w:rPr>
              <w:rFonts w:hint="eastAsia"/>
              <w:sz w:val="24"/>
            </w:rPr>
            <w:instrText xml:space="preserve"> </w:instrText>
          </w:r>
          <w:r>
            <w:rPr>
              <w:rFonts w:hint="eastAsia"/>
              <w:sz w:val="24"/>
            </w:rPr>
            <w:fldChar w:fldCharType="separate"/>
          </w:r>
          <w:r>
            <w:rPr>
              <w:sz w:val="24"/>
            </w:rPr>
            <w:t>- 9 -</w:t>
          </w:r>
          <w:r>
            <w:rPr>
              <w:rFonts w:hint="eastAsia"/>
              <w:sz w:val="24"/>
            </w:rPr>
            <w:fldChar w:fldCharType="end"/>
          </w:r>
          <w:r>
            <w:rPr>
              <w:rFonts w:hint="eastAsia"/>
              <w:sz w:val="24"/>
            </w:rPr>
            <w:fldChar w:fldCharType="end"/>
          </w:r>
        </w:p>
        <w:p>
          <w:pPr>
            <w:pStyle w:val="12"/>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"_Toc197674798" </w:instrText>
          </w:r>
          <w:r>
            <w:fldChar w:fldCharType="separate"/>
          </w:r>
          <w:r>
            <w:rPr>
              <w:rStyle w:val="15"/>
              <w:rFonts w:hint="eastAsia" w:ascii="楷体_GB2312" w:hAnsi="楷体_GB2312" w:eastAsia="楷体_GB2312" w:cs="楷体_GB2312"/>
              <w:sz w:val="24"/>
            </w:rPr>
            <w:t>（四）项目效益情况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_Toc197674798 \h</w:instrText>
          </w:r>
          <w:r>
            <w:rPr>
              <w:rFonts w:hint="eastAsia"/>
              <w:sz w:val="24"/>
            </w:rPr>
            <w:instrText xml:space="preserve"> </w:instrText>
          </w:r>
          <w:r>
            <w:rPr>
              <w:rFonts w:hint="eastAsia"/>
              <w:sz w:val="24"/>
            </w:rPr>
            <w:fldChar w:fldCharType="separate"/>
          </w:r>
          <w:r>
            <w:rPr>
              <w:sz w:val="24"/>
            </w:rPr>
            <w:t>- 10 -</w:t>
          </w:r>
          <w:r>
            <w:rPr>
              <w:rFonts w:hint="eastAsia"/>
              <w:sz w:val="24"/>
            </w:rPr>
            <w:fldChar w:fldCharType="end"/>
          </w:r>
          <w:r>
            <w:rPr>
              <w:rFonts w:hint="eastAsia"/>
              <w:sz w:val="24"/>
            </w:rPr>
            <w:fldChar w:fldCharType="end"/>
          </w:r>
        </w:p>
        <w:p>
          <w:pPr>
            <w:pStyle w:val="11"/>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"_Toc197674799" </w:instrText>
          </w:r>
          <w:r>
            <w:fldChar w:fldCharType="separate"/>
          </w:r>
          <w:r>
            <w:rPr>
              <w:rStyle w:val="15"/>
              <w:rFonts w:hint="eastAsia" w:ascii="黑体" w:hAnsi="黑体" w:eastAsia="黑体" w:cs="黑体"/>
              <w:sz w:val="24"/>
            </w:rPr>
            <w:t>五、主要经验及做法、存在的问题及原因分析</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_Toc197674799 \h</w:instrText>
          </w:r>
          <w:r>
            <w:rPr>
              <w:rFonts w:hint="eastAsia"/>
              <w:sz w:val="24"/>
            </w:rPr>
            <w:instrText xml:space="preserve"> </w:instrText>
          </w:r>
          <w:r>
            <w:rPr>
              <w:rFonts w:hint="eastAsia"/>
              <w:sz w:val="24"/>
            </w:rPr>
            <w:fldChar w:fldCharType="separate"/>
          </w:r>
          <w:r>
            <w:rPr>
              <w:sz w:val="24"/>
            </w:rPr>
            <w:t>- 10 -</w:t>
          </w:r>
          <w:r>
            <w:rPr>
              <w:rFonts w:hint="eastAsia"/>
              <w:sz w:val="24"/>
            </w:rPr>
            <w:fldChar w:fldCharType="end"/>
          </w:r>
          <w:r>
            <w:rPr>
              <w:rFonts w:hint="eastAsia"/>
              <w:sz w:val="24"/>
            </w:rPr>
            <w:fldChar w:fldCharType="end"/>
          </w:r>
        </w:p>
        <w:p>
          <w:pPr>
            <w:pStyle w:val="11"/>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"_Toc197674800" </w:instrText>
          </w:r>
          <w:r>
            <w:fldChar w:fldCharType="separate"/>
          </w:r>
          <w:r>
            <w:rPr>
              <w:rStyle w:val="15"/>
              <w:rFonts w:hint="eastAsia" w:ascii="黑体" w:hAnsi="黑体" w:eastAsia="黑体" w:cs="黑体"/>
              <w:sz w:val="24"/>
            </w:rPr>
            <w:t>六、有关建议</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_Toc197674800 \h</w:instrText>
          </w:r>
          <w:r>
            <w:rPr>
              <w:rFonts w:hint="eastAsia"/>
              <w:sz w:val="24"/>
            </w:rPr>
            <w:instrText xml:space="preserve"> </w:instrText>
          </w:r>
          <w:r>
            <w:rPr>
              <w:rFonts w:hint="eastAsia"/>
              <w:sz w:val="24"/>
            </w:rPr>
            <w:fldChar w:fldCharType="separate"/>
          </w:r>
          <w:r>
            <w:rPr>
              <w:sz w:val="24"/>
            </w:rPr>
            <w:t>- 11 -</w:t>
          </w:r>
          <w:r>
            <w:rPr>
              <w:rFonts w:hint="eastAsia"/>
              <w:sz w:val="24"/>
            </w:rPr>
            <w:fldChar w:fldCharType="end"/>
          </w:r>
          <w:r>
            <w:rPr>
              <w:rFonts w:hint="eastAsia"/>
              <w:sz w:val="24"/>
            </w:rPr>
            <w:fldChar w:fldCharType="end"/>
          </w:r>
        </w:p>
        <w:p>
          <w:pPr>
            <w:pStyle w:val="11"/>
            <w:tabs>
              <w:tab w:val="right" w:leader="dot" w:pos="8296"/>
            </w:tabs>
            <w:spacing w:line="360" w:lineRule="auto"/>
            <w:rPr>
              <w:rFonts w:asciiTheme="minorHAnsi" w:hAnsiTheme="minorHAnsi" w:eastAsiaTheme="minorEastAsia" w:cstheme="minorBidi"/>
              <w:sz w:val="24"/>
              <w14:ligatures w14:val="standardContextual"/>
            </w:rPr>
          </w:pPr>
          <w:r>
            <w:fldChar w:fldCharType="begin"/>
          </w:r>
          <w:r>
            <w:instrText xml:space="preserve"> HYPERLINK \l "_Toc197674801" </w:instrText>
          </w:r>
          <w:r>
            <w:fldChar w:fldCharType="separate"/>
          </w:r>
          <w:r>
            <w:rPr>
              <w:rStyle w:val="15"/>
              <w:rFonts w:hint="eastAsia" w:ascii="黑体" w:hAnsi="黑体" w:eastAsia="黑体" w:cs="黑体"/>
              <w:sz w:val="24"/>
            </w:rPr>
            <w:t>七、其他需要说明的问题</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_Toc197674801 \h</w:instrText>
          </w:r>
          <w:r>
            <w:rPr>
              <w:rFonts w:hint="eastAsia"/>
              <w:sz w:val="24"/>
            </w:rPr>
            <w:instrText xml:space="preserve"> </w:instrText>
          </w:r>
          <w:r>
            <w:rPr>
              <w:rFonts w:hint="eastAsia"/>
              <w:sz w:val="24"/>
            </w:rPr>
            <w:fldChar w:fldCharType="separate"/>
          </w:r>
          <w:r>
            <w:rPr>
              <w:sz w:val="24"/>
            </w:rPr>
            <w:t>- 11 -</w:t>
          </w:r>
          <w:r>
            <w:rPr>
              <w:rFonts w:hint="eastAsia"/>
              <w:sz w:val="24"/>
            </w:rPr>
            <w:fldChar w:fldCharType="end"/>
          </w:r>
          <w:r>
            <w:rPr>
              <w:rFonts w:hint="eastAsia"/>
              <w:sz w:val="24"/>
            </w:rPr>
            <w:fldChar w:fldCharType="end"/>
          </w:r>
        </w:p>
        <w:p>
          <w:pPr>
            <w:pStyle w:val="11"/>
            <w:tabs>
              <w:tab w:val="right" w:leader="dot" w:pos="8296"/>
            </w:tabs>
            <w:spacing w:line="360" w:lineRule="auto"/>
            <w:rPr>
              <w:rFonts w:asciiTheme="minorHAnsi" w:hAnsiTheme="minorHAnsi" w:eastAsiaTheme="minorEastAsia" w:cstheme="minorBidi"/>
              <w:sz w:val="22"/>
              <w14:ligatures w14:val="standardContextual"/>
            </w:rPr>
          </w:pPr>
          <w:r>
            <w:fldChar w:fldCharType="begin"/>
          </w:r>
          <w:r>
            <w:instrText xml:space="preserve"> HYPERLINK \l "_Toc197674802" </w:instrText>
          </w:r>
          <w:r>
            <w:fldChar w:fldCharType="separate"/>
          </w:r>
          <w:r>
            <w:rPr>
              <w:rStyle w:val="15"/>
              <w:rFonts w:hint="eastAsia" w:ascii="黑体" w:hAnsi="黑体" w:eastAsia="黑体" w:cs="黑体"/>
              <w:sz w:val="24"/>
            </w:rPr>
            <w:t>八、附件</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_Toc197674802 \h</w:instrText>
          </w:r>
          <w:r>
            <w:rPr>
              <w:rFonts w:hint="eastAsia"/>
              <w:sz w:val="24"/>
            </w:rPr>
            <w:instrText xml:space="preserve"> </w:instrText>
          </w:r>
          <w:r>
            <w:rPr>
              <w:rFonts w:hint="eastAsia"/>
              <w:sz w:val="24"/>
            </w:rPr>
            <w:fldChar w:fldCharType="separate"/>
          </w:r>
          <w:r>
            <w:rPr>
              <w:sz w:val="24"/>
            </w:rPr>
            <w:t>- 12 -</w:t>
          </w:r>
          <w:r>
            <w:rPr>
              <w:rFonts w:hint="eastAsia"/>
              <w:sz w:val="24"/>
            </w:rPr>
            <w:fldChar w:fldCharType="end"/>
          </w:r>
          <w:r>
            <w:rPr>
              <w:rFonts w:hint="eastAsia"/>
              <w:sz w:val="24"/>
            </w:rPr>
            <w:fldChar w:fldCharType="end"/>
          </w:r>
        </w:p>
        <w:p>
          <w:pPr>
            <w:spacing w:line="600" w:lineRule="exact"/>
          </w:pPr>
          <w:r>
            <w:rPr>
              <w:b/>
              <w:bCs/>
              <w:sz w:val="22"/>
              <w:szCs w:val="28"/>
              <w:lang w:val="zh-CN"/>
            </w:rPr>
            <w:fldChar w:fldCharType="end"/>
          </w:r>
        </w:p>
      </w:sdtContent>
    </w:sdt>
    <w:p>
      <w:pPr>
        <w:widowControl/>
        <w:jc w:val="left"/>
        <w:rPr>
          <w:rFonts w:ascii="方正小标宋简体" w:eastAsia="方正小标宋简体"/>
          <w:sz w:val="36"/>
          <w:szCs w:val="36"/>
        </w:rPr>
      </w:pPr>
    </w:p>
    <w:p>
      <w:pPr>
        <w:widowControl/>
        <w:jc w:val="left"/>
        <w:rPr>
          <w:rFonts w:ascii="方正小标宋简体" w:eastAsia="方正小标宋简体"/>
          <w:sz w:val="36"/>
          <w:szCs w:val="36"/>
        </w:rPr>
        <w:sectPr>
          <w:pgSz w:w="11906" w:h="16838"/>
          <w:pgMar w:top="1440" w:right="1800" w:bottom="1440" w:left="1800" w:header="851" w:footer="992" w:gutter="0"/>
          <w:pgNumType w:fmt="numberInDash" w:start="1"/>
          <w:cols w:space="425" w:num="1"/>
          <w:docGrid w:type="lines" w:linePitch="312" w:charSpace="0"/>
        </w:sect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北京市人民检察院第四分院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安检安保工作费用绩效评价报告</w:t>
      </w:r>
    </w:p>
    <w:p>
      <w:pPr>
        <w:spacing w:line="560" w:lineRule="exact"/>
        <w:jc w:val="center"/>
        <w:rPr>
          <w:rFonts w:ascii="方正小标宋简体" w:eastAsia="方正小标宋简体"/>
          <w:sz w:val="36"/>
          <w:szCs w:val="36"/>
        </w:rPr>
      </w:pP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进一步推进预算绩效管理工作，提升财政资金使用效率和部门绩效管理水平，并为2024年度决算公开做好准备，根据《中共北京市委北京市人民政府关于全面实施预算绩效管理的实施意见》(京发〔2019〕12号)、《北京市预算绩效管理办法》(京财绩效〔2019〕2129号)和《北京市项目支出绩效评价管理办法》(京财绩效〔2020〕2146号)等制度规范，北京市人民检察院第四分院（以下简称“四分院”）组建绩效评价工作组，开展对2024年度安检安保工作费用项目（以下简称“该项目”）的绩效情况实施绩效评价，形成本绩效评价报告。</w:t>
      </w:r>
    </w:p>
    <w:p>
      <w:pPr>
        <w:spacing w:line="600" w:lineRule="exact"/>
        <w:ind w:firstLine="640" w:firstLineChars="200"/>
        <w:outlineLvl w:val="0"/>
        <w:rPr>
          <w:rFonts w:hint="eastAsia" w:ascii="黑体" w:hAnsi="黑体" w:eastAsia="黑体" w:cs="黑体"/>
          <w:sz w:val="32"/>
          <w:szCs w:val="32"/>
        </w:rPr>
      </w:pPr>
      <w:bookmarkStart w:id="2" w:name="_Toc197674786"/>
      <w:r>
        <w:rPr>
          <w:rFonts w:hint="eastAsia" w:ascii="黑体" w:hAnsi="黑体" w:eastAsia="黑体" w:cs="黑体"/>
          <w:sz w:val="32"/>
          <w:szCs w:val="32"/>
        </w:rPr>
        <w:t>一、基本情况</w:t>
      </w:r>
      <w:bookmarkEnd w:id="2"/>
    </w:p>
    <w:p>
      <w:pPr>
        <w:spacing w:line="600" w:lineRule="exact"/>
        <w:ind w:firstLine="640" w:firstLineChars="200"/>
        <w:outlineLvl w:val="1"/>
        <w:rPr>
          <w:rFonts w:hint="eastAsia" w:ascii="楷体_GB2312" w:hAnsi="楷体_GB2312" w:eastAsia="楷体_GB2312" w:cs="楷体_GB2312"/>
          <w:sz w:val="32"/>
          <w:szCs w:val="32"/>
        </w:rPr>
      </w:pPr>
      <w:bookmarkStart w:id="3" w:name="_Toc197674787"/>
      <w:r>
        <w:rPr>
          <w:rFonts w:hint="eastAsia" w:ascii="楷体_GB2312" w:hAnsi="楷体_GB2312" w:eastAsia="楷体_GB2312" w:cs="楷体_GB2312"/>
          <w:sz w:val="32"/>
          <w:szCs w:val="32"/>
        </w:rPr>
        <w:t>（一）项目概况</w:t>
      </w:r>
      <w:bookmarkEnd w:id="3"/>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1.项目背景</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北京市人民检察院第四分院是按照中央政法委、北京市委、最高人民检察院的部署要求，在原北京市人民检察院铁路运输分院的基础上于2014年12月30日正式揭牌成立。</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为了维护四分院正常办公秩序，做好安全防护工作，保障各项检察工作的顺利开展，四分院申请财政资金保障安检安保工作，通过委托</w:t>
      </w:r>
      <w:r>
        <w:rPr>
          <w:rFonts w:hint="eastAsia" w:ascii="仿宋_GB2312" w:hAnsi="宋体" w:eastAsia="仿宋_GB2312" w:cs="宋体"/>
          <w:color w:val="000000"/>
          <w:kern w:val="0"/>
          <w:sz w:val="32"/>
          <w:szCs w:val="32"/>
          <w:lang w:eastAsia="zh-CN"/>
        </w:rPr>
        <w:t>某</w:t>
      </w:r>
      <w:bookmarkStart w:id="19" w:name="_GoBack"/>
      <w:bookmarkEnd w:id="19"/>
      <w:r>
        <w:rPr>
          <w:rFonts w:hint="eastAsia" w:ascii="仿宋_GB2312" w:hAnsi="宋体" w:eastAsia="仿宋_GB2312" w:cs="宋体"/>
          <w:color w:val="000000"/>
          <w:kern w:val="0"/>
          <w:sz w:val="32"/>
          <w:szCs w:val="32"/>
        </w:rPr>
        <w:t>公司配备专业保安人员为本院提供各项安保服务。</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2.主要内容及实施情况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（1）安检安保工作费用主要内容</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北京市人民检察院第四分院院区的秩序维护、安全保卫、守护巡逻、技术监控、车辆指挥、控申信访举报、场所安检、信访接待引导、协助处置突发事件等。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（2）2024年项目实施情况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为了维护正常办公秩序，做好安全防护工作，本院委托</w:t>
      </w:r>
      <w:r>
        <w:rPr>
          <w:rFonts w:hint="eastAsia" w:ascii="仿宋_GB2312" w:hAnsi="宋体" w:eastAsia="仿宋_GB2312" w:cs="宋体"/>
          <w:color w:val="000000"/>
          <w:kern w:val="0"/>
          <w:sz w:val="32"/>
          <w:szCs w:val="32"/>
          <w:lang w:eastAsia="zh-CN"/>
        </w:rPr>
        <w:t>某</w:t>
      </w:r>
      <w:r>
        <w:rPr>
          <w:rFonts w:hint="eastAsia" w:ascii="仿宋_GB2312" w:hAnsi="宋体" w:eastAsia="仿宋_GB2312" w:cs="宋体"/>
          <w:color w:val="000000"/>
          <w:kern w:val="0"/>
          <w:sz w:val="32"/>
          <w:szCs w:val="32"/>
        </w:rPr>
        <w:t>公司对院区进行安全保卫工作。2024年度</w:t>
      </w:r>
      <w:r>
        <w:rPr>
          <w:rFonts w:hint="eastAsia" w:ascii="仿宋_GB2312" w:hAnsi="宋体" w:eastAsia="仿宋_GB2312" w:cs="宋体"/>
          <w:color w:val="000000"/>
          <w:kern w:val="0"/>
          <w:sz w:val="32"/>
          <w:szCs w:val="32"/>
          <w:lang w:eastAsia="zh-CN"/>
        </w:rPr>
        <w:t>该</w:t>
      </w:r>
      <w:r>
        <w:rPr>
          <w:rFonts w:hint="eastAsia" w:ascii="仿宋_GB2312" w:hAnsi="宋体" w:eastAsia="仿宋_GB2312" w:cs="宋体"/>
          <w:color w:val="000000"/>
          <w:kern w:val="0"/>
          <w:sz w:val="32"/>
          <w:szCs w:val="32"/>
        </w:rPr>
        <w:t>公司圆满完成监控值守、夜间巡查、秩序维护及人员车辆管控等工作，为检察院的安全稳定和高效运转提供了有力保障。</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3.项目资金情况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该项目2024年度预算批复123.84万元。2024年该项目实际到位资金123.84万元，实际支出资金123.84万元，预算执行率100.00%。</w:t>
      </w:r>
    </w:p>
    <w:p>
      <w:pPr>
        <w:spacing w:line="600" w:lineRule="exact"/>
        <w:ind w:firstLine="640" w:firstLineChars="200"/>
        <w:outlineLvl w:val="1"/>
        <w:rPr>
          <w:rFonts w:hint="eastAsia" w:ascii="楷体_GB2312" w:hAnsi="楷体_GB2312" w:eastAsia="楷体_GB2312" w:cs="楷体_GB2312"/>
          <w:sz w:val="32"/>
          <w:szCs w:val="32"/>
        </w:rPr>
      </w:pPr>
      <w:bookmarkStart w:id="4" w:name="_Toc197674788"/>
      <w:r>
        <w:rPr>
          <w:rFonts w:hint="eastAsia" w:ascii="楷体_GB2312" w:hAnsi="楷体_GB2312" w:eastAsia="楷体_GB2312" w:cs="楷体_GB2312"/>
          <w:sz w:val="32"/>
          <w:szCs w:val="32"/>
        </w:rPr>
        <w:t>（二）项目绩效目标</w:t>
      </w:r>
      <w:bookmarkEnd w:id="4"/>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1.总体绩效目标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负责院区秩序维护、安全保卫、守护巡逻、技术监控、车辆指挥、控申信访举报、场所安检、信访接待引导、协助处置突发事件等。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2.具体绩效指标</w:t>
      </w:r>
      <w:r>
        <w:rPr>
          <w:rFonts w:hint="eastAsia" w:ascii="楷体_GB2312" w:hAnsi="楷体_GB2312" w:eastAsia="楷体_GB2312" w:cs="楷体_GB2312"/>
          <w:sz w:val="32"/>
          <w:szCs w:val="32"/>
        </w:rPr>
        <w:tab/>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w:t>
      </w:r>
      <w:r>
        <w:rPr>
          <w:rFonts w:ascii="仿宋_GB2312" w:hAnsi="宋体" w:eastAsia="仿宋_GB2312" w:cs="宋体"/>
          <w:color w:val="000000"/>
          <w:kern w:val="0"/>
          <w:sz w:val="32"/>
          <w:szCs w:val="32"/>
        </w:rPr>
        <w:t>指标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数量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安检安保服务购买额度=21人。</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质量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安检安保服务要求：年龄18-40岁之间，身高不低于170cm。项目确保双方约定的目标区域实施安全保卫，做好维护安保秩序、防火、防盗、防破坏工作，预防和制止侵害甲方安全的行为发生。</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时效指标：采购及时性定性为高。</w:t>
      </w:r>
    </w:p>
    <w:p>
      <w:pPr>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效益</w:t>
      </w:r>
      <w:r>
        <w:rPr>
          <w:rFonts w:ascii="仿宋_GB2312" w:hAnsi="宋体" w:eastAsia="仿宋_GB2312" w:cs="宋体"/>
          <w:color w:val="000000"/>
          <w:kern w:val="0"/>
          <w:sz w:val="32"/>
          <w:szCs w:val="32"/>
        </w:rPr>
        <w:t>指标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社会效益指标：维护北京市人民检察院第四分院的正常办公秩序，顺利开展各项检察工作定性为优。</w:t>
      </w:r>
    </w:p>
    <w:p>
      <w:pPr>
        <w:numPr>
          <w:ilvl w:val="0"/>
          <w:numId w:val="2"/>
        </w:num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成本指标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经济成本指标：成本低于123.84万元。</w:t>
      </w:r>
    </w:p>
    <w:p>
      <w:pPr>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4</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满意度指标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服务对象满意度指标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使用人员满意度≥99%。</w:t>
      </w:r>
    </w:p>
    <w:p>
      <w:pPr>
        <w:spacing w:line="600" w:lineRule="exact"/>
        <w:ind w:firstLine="640" w:firstLineChars="200"/>
        <w:outlineLvl w:val="0"/>
        <w:rPr>
          <w:rFonts w:hint="eastAsia" w:ascii="黑体" w:hAnsi="黑体" w:eastAsia="黑体" w:cs="黑体"/>
          <w:sz w:val="32"/>
          <w:szCs w:val="32"/>
        </w:rPr>
      </w:pPr>
      <w:bookmarkStart w:id="5" w:name="_Toc197674789"/>
      <w:r>
        <w:rPr>
          <w:rFonts w:hint="eastAsia" w:ascii="黑体" w:hAnsi="黑体" w:eastAsia="黑体" w:cs="黑体"/>
          <w:sz w:val="32"/>
          <w:szCs w:val="32"/>
        </w:rPr>
        <w:t>二、绩效评价工作开展情况</w:t>
      </w:r>
      <w:bookmarkEnd w:id="5"/>
    </w:p>
    <w:p>
      <w:pPr>
        <w:spacing w:line="600" w:lineRule="exact"/>
        <w:ind w:firstLine="640" w:firstLineChars="200"/>
        <w:outlineLvl w:val="1"/>
        <w:rPr>
          <w:rFonts w:hint="eastAsia" w:ascii="楷体_GB2312" w:hAnsi="楷体_GB2312" w:eastAsia="楷体_GB2312" w:cs="楷体_GB2312"/>
          <w:sz w:val="32"/>
          <w:szCs w:val="32"/>
        </w:rPr>
      </w:pPr>
      <w:bookmarkStart w:id="6" w:name="_Toc197674790"/>
      <w:r>
        <w:rPr>
          <w:rFonts w:hint="eastAsia" w:ascii="楷体_GB2312" w:hAnsi="楷体_GB2312" w:eastAsia="楷体_GB2312" w:cs="楷体_GB2312"/>
          <w:sz w:val="32"/>
          <w:szCs w:val="32"/>
        </w:rPr>
        <w:t>（一）绩效评价目的、对象和范围</w:t>
      </w:r>
      <w:bookmarkEnd w:id="6"/>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绩效评价目的</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绩效评价，衡量和考核四分院使用财政资金的绩效实现情况，了解、分析和检验资金使用是否达到预期目标，资金管理是否规范，资金使用是否有效，通过总结经验，分析问题，采取切实措施进一步改进和加强财政支出项目管理，提高财政资金使用效益。</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2.绩效评价对象及范围</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对四分院2024年度“安检安保工作费用”项目预算资金123.84万元支出情况开展绩效评价。</w:t>
      </w:r>
    </w:p>
    <w:p>
      <w:pPr>
        <w:spacing w:line="600" w:lineRule="exact"/>
        <w:ind w:firstLine="640" w:firstLineChars="200"/>
        <w:outlineLvl w:val="1"/>
        <w:rPr>
          <w:rFonts w:hint="eastAsia" w:ascii="楷体_GB2312" w:hAnsi="楷体_GB2312" w:eastAsia="楷体_GB2312" w:cs="楷体_GB2312"/>
          <w:sz w:val="32"/>
          <w:szCs w:val="32"/>
        </w:rPr>
      </w:pPr>
      <w:bookmarkStart w:id="7" w:name="_Toc197674791"/>
      <w:r>
        <w:rPr>
          <w:rFonts w:hint="eastAsia" w:ascii="楷体_GB2312" w:hAnsi="楷体_GB2312" w:eastAsia="楷体_GB2312" w:cs="楷体_GB2312"/>
          <w:sz w:val="32"/>
          <w:szCs w:val="32"/>
        </w:rPr>
        <w:t>（二）绩效评价原则、评价指标体系、评价方法、评价标准等</w:t>
      </w:r>
      <w:bookmarkEnd w:id="7"/>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1.绩效评价原则及评价方法</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本次绩效评价遵循“客观、公正、科学、规范”的原则，结合项目的特点，采用比较法、因素分析法、评价组评议法等方法开展评价工作。</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2.绩效评价指标体系</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绩效评价指标体系主要包括项目决策、项目过程、项目产出、项目效益</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个方面，满分100分。一是决策指标(</w:t>
      </w:r>
      <w:r>
        <w:rPr>
          <w:rFonts w:ascii="仿宋_GB2312" w:hAnsi="宋体" w:eastAsia="仿宋_GB2312" w:cs="宋体"/>
          <w:color w:val="000000"/>
          <w:kern w:val="0"/>
          <w:sz w:val="32"/>
          <w:szCs w:val="32"/>
        </w:rPr>
        <w:t>15</w:t>
      </w:r>
      <w:r>
        <w:rPr>
          <w:rFonts w:hint="eastAsia" w:ascii="仿宋_GB2312" w:hAnsi="宋体" w:eastAsia="仿宋_GB2312" w:cs="宋体"/>
          <w:color w:val="000000"/>
          <w:kern w:val="0"/>
          <w:sz w:val="32"/>
          <w:szCs w:val="32"/>
        </w:rPr>
        <w:t>分)，主要评价项目立项、绩效目标、资金投入等内容；二是过程指标(2</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分)，主要评价资金管理和组织实施等内容；三是产出指标(</w:t>
      </w:r>
      <w:r>
        <w:rPr>
          <w:rFonts w:ascii="仿宋_GB2312" w:hAnsi="宋体" w:eastAsia="仿宋_GB2312" w:cs="宋体"/>
          <w:color w:val="000000"/>
          <w:kern w:val="0"/>
          <w:sz w:val="32"/>
          <w:szCs w:val="32"/>
        </w:rPr>
        <w:t>34</w:t>
      </w:r>
      <w:r>
        <w:rPr>
          <w:rFonts w:hint="eastAsia" w:ascii="仿宋_GB2312" w:hAnsi="宋体" w:eastAsia="仿宋_GB2312" w:cs="宋体"/>
          <w:color w:val="000000"/>
          <w:kern w:val="0"/>
          <w:sz w:val="32"/>
          <w:szCs w:val="32"/>
        </w:rPr>
        <w:t>分)，主要评价项目产出数量、产出质量、产出时效和产出成本等内容；四是效益指标（</w:t>
      </w:r>
      <w:r>
        <w:rPr>
          <w:rFonts w:ascii="仿宋_GB2312" w:hAnsi="宋体" w:eastAsia="仿宋_GB2312" w:cs="宋体"/>
          <w:color w:val="000000"/>
          <w:kern w:val="0"/>
          <w:sz w:val="32"/>
          <w:szCs w:val="32"/>
        </w:rPr>
        <w:t>31</w:t>
      </w:r>
      <w:r>
        <w:rPr>
          <w:rFonts w:hint="eastAsia" w:ascii="仿宋_GB2312" w:hAnsi="宋体" w:eastAsia="仿宋_GB2312" w:cs="宋体"/>
          <w:color w:val="000000"/>
          <w:kern w:val="0"/>
          <w:sz w:val="32"/>
          <w:szCs w:val="32"/>
        </w:rPr>
        <w:t>分），主要评价实施效益和满意度等内容。具体内容见下表：</w:t>
      </w:r>
    </w:p>
    <w:p>
      <w:pPr>
        <w:keepNext/>
        <w:spacing w:after="156" w:afterLines="50" w:line="560" w:lineRule="exact"/>
        <w:ind w:firstLine="562" w:firstLineChars="200"/>
        <w:jc w:val="center"/>
        <w:rPr>
          <w:rFonts w:hint="eastAsia" w:ascii="楷体" w:hAnsi="楷体" w:eastAsia="楷体" w:cs="宋体"/>
          <w:b/>
          <w:bCs/>
          <w:kern w:val="0"/>
          <w:sz w:val="28"/>
          <w:szCs w:val="28"/>
        </w:rPr>
      </w:pPr>
      <w:r>
        <w:rPr>
          <w:rFonts w:hint="eastAsia" w:ascii="楷体" w:hAnsi="楷体" w:eastAsia="楷体" w:cs="宋体"/>
          <w:b/>
          <w:bCs/>
          <w:kern w:val="0"/>
          <w:sz w:val="28"/>
          <w:szCs w:val="28"/>
        </w:rPr>
        <w:t>2024年度“安检安保工作费用”项目绩效评价指标体系表</w:t>
      </w:r>
    </w:p>
    <w:tbl>
      <w:tblPr>
        <w:tblStyle w:val="17"/>
        <w:tblW w:w="9056" w:type="dxa"/>
        <w:tblInd w:w="0" w:type="dxa"/>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1288"/>
        <w:gridCol w:w="1748"/>
        <w:gridCol w:w="648"/>
        <w:gridCol w:w="4425"/>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62" w:hRule="atLeast"/>
          <w:tblHeader/>
        </w:trPr>
        <w:tc>
          <w:tcPr>
            <w:tcW w:w="947" w:type="dxa"/>
            <w:tcBorders>
              <w:tl2br w:val="nil"/>
              <w:tr2bl w:val="nil"/>
            </w:tcBorders>
            <w:vAlign w:val="center"/>
          </w:tcPr>
          <w:p>
            <w:pPr>
              <w:widowControl/>
              <w:jc w:val="center"/>
              <w:textAlignment w:val="center"/>
              <w:rPr>
                <w:rFonts w:hint="eastAsia" w:ascii="楷体" w:hAnsi="楷体" w:eastAsia="楷体" w:cs="宋体"/>
                <w:b/>
                <w:bCs/>
                <w:color w:val="000000"/>
                <w:szCs w:val="21"/>
              </w:rPr>
            </w:pPr>
            <w:r>
              <w:rPr>
                <w:rFonts w:hint="eastAsia" w:ascii="楷体" w:hAnsi="楷体" w:eastAsia="楷体" w:cs="宋体"/>
                <w:b/>
                <w:bCs/>
                <w:color w:val="000000"/>
                <w:kern w:val="0"/>
                <w:szCs w:val="21"/>
                <w:lang w:bidi="ar"/>
              </w:rPr>
              <w:t>一级</w:t>
            </w:r>
          </w:p>
        </w:tc>
        <w:tc>
          <w:tcPr>
            <w:tcW w:w="1288" w:type="dxa"/>
            <w:tcBorders>
              <w:tl2br w:val="nil"/>
              <w:tr2bl w:val="nil"/>
            </w:tcBorders>
            <w:vAlign w:val="center"/>
          </w:tcPr>
          <w:p>
            <w:pPr>
              <w:widowControl/>
              <w:jc w:val="center"/>
              <w:textAlignment w:val="center"/>
              <w:rPr>
                <w:rFonts w:hint="eastAsia" w:ascii="楷体" w:hAnsi="楷体" w:eastAsia="楷体" w:cs="宋体"/>
                <w:b/>
                <w:bCs/>
                <w:color w:val="000000"/>
                <w:szCs w:val="21"/>
              </w:rPr>
            </w:pPr>
            <w:r>
              <w:rPr>
                <w:rFonts w:hint="eastAsia" w:ascii="楷体" w:hAnsi="楷体" w:eastAsia="楷体" w:cs="宋体"/>
                <w:b/>
                <w:bCs/>
                <w:color w:val="000000"/>
                <w:kern w:val="0"/>
                <w:szCs w:val="21"/>
                <w:lang w:bidi="ar"/>
              </w:rPr>
              <w:t>二级</w:t>
            </w:r>
          </w:p>
        </w:tc>
        <w:tc>
          <w:tcPr>
            <w:tcW w:w="1748" w:type="dxa"/>
            <w:tcBorders>
              <w:tl2br w:val="nil"/>
              <w:tr2bl w:val="nil"/>
            </w:tcBorders>
            <w:vAlign w:val="center"/>
          </w:tcPr>
          <w:p>
            <w:pPr>
              <w:widowControl/>
              <w:jc w:val="center"/>
              <w:textAlignment w:val="center"/>
              <w:rPr>
                <w:rFonts w:hint="eastAsia" w:ascii="楷体" w:hAnsi="楷体" w:eastAsia="楷体" w:cs="宋体"/>
                <w:b/>
                <w:bCs/>
                <w:color w:val="000000"/>
                <w:szCs w:val="21"/>
              </w:rPr>
            </w:pPr>
            <w:r>
              <w:rPr>
                <w:rFonts w:hint="eastAsia" w:ascii="楷体" w:hAnsi="楷体" w:eastAsia="楷体" w:cs="宋体"/>
                <w:b/>
                <w:bCs/>
                <w:color w:val="000000"/>
                <w:kern w:val="0"/>
                <w:szCs w:val="21"/>
                <w:lang w:bidi="ar"/>
              </w:rPr>
              <w:t>三级</w:t>
            </w:r>
          </w:p>
        </w:tc>
        <w:tc>
          <w:tcPr>
            <w:tcW w:w="648" w:type="dxa"/>
            <w:tcBorders>
              <w:tl2br w:val="nil"/>
              <w:tr2bl w:val="nil"/>
            </w:tcBorders>
            <w:vAlign w:val="center"/>
          </w:tcPr>
          <w:p>
            <w:pPr>
              <w:widowControl/>
              <w:jc w:val="center"/>
              <w:textAlignment w:val="center"/>
              <w:rPr>
                <w:rFonts w:hint="eastAsia" w:ascii="楷体" w:hAnsi="楷体" w:eastAsia="楷体" w:cs="宋体"/>
                <w:b/>
                <w:bCs/>
                <w:color w:val="000000"/>
                <w:szCs w:val="21"/>
              </w:rPr>
            </w:pPr>
            <w:r>
              <w:rPr>
                <w:rFonts w:hint="eastAsia" w:ascii="楷体" w:hAnsi="楷体" w:eastAsia="楷体" w:cs="宋体"/>
                <w:b/>
                <w:bCs/>
                <w:color w:val="000000"/>
                <w:kern w:val="0"/>
                <w:szCs w:val="21"/>
                <w:lang w:bidi="ar"/>
              </w:rPr>
              <w:t>分值</w:t>
            </w:r>
          </w:p>
        </w:tc>
        <w:tc>
          <w:tcPr>
            <w:tcW w:w="4425" w:type="dxa"/>
            <w:tcBorders>
              <w:tl2br w:val="nil"/>
              <w:tr2bl w:val="nil"/>
            </w:tcBorders>
            <w:vAlign w:val="center"/>
          </w:tcPr>
          <w:p>
            <w:pPr>
              <w:widowControl/>
              <w:jc w:val="center"/>
              <w:textAlignment w:val="center"/>
              <w:rPr>
                <w:rFonts w:hint="eastAsia" w:ascii="楷体" w:hAnsi="楷体" w:eastAsia="楷体" w:cs="宋体"/>
                <w:b/>
                <w:bCs/>
                <w:color w:val="000000"/>
                <w:szCs w:val="21"/>
              </w:rPr>
            </w:pPr>
            <w:r>
              <w:rPr>
                <w:rFonts w:hint="eastAsia" w:ascii="楷体" w:hAnsi="楷体" w:eastAsia="楷体" w:cs="宋体"/>
                <w:b/>
                <w:bCs/>
                <w:color w:val="000000"/>
                <w:kern w:val="0"/>
                <w:szCs w:val="21"/>
                <w:lang w:bidi="ar"/>
              </w:rPr>
              <w:t>指标解释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242" w:hRule="atLeast"/>
        </w:trPr>
        <w:tc>
          <w:tcPr>
            <w:tcW w:w="947"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项目决策（</w:t>
            </w:r>
            <w:r>
              <w:rPr>
                <w:rFonts w:ascii="楷体" w:hAnsi="楷体" w:eastAsia="楷体" w:cs="宋体"/>
                <w:color w:val="000000"/>
                <w:kern w:val="0"/>
                <w:szCs w:val="21"/>
                <w:lang w:bidi="ar"/>
              </w:rPr>
              <w:t>15</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项目立项（</w:t>
            </w:r>
            <w:r>
              <w:rPr>
                <w:rFonts w:ascii="楷体" w:hAnsi="楷体" w:eastAsia="楷体" w:cs="宋体"/>
                <w:color w:val="000000"/>
                <w:kern w:val="0"/>
                <w:szCs w:val="21"/>
                <w:lang w:bidi="ar"/>
              </w:rPr>
              <w:t>5</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立项依据充分性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项目立项是否符合法律法规、相关政策、发展规划以及部门职责，用以反映和考核项目立项依据情况。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90"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continue"/>
            <w:tcBorders>
              <w:tl2br w:val="nil"/>
              <w:tr2bl w:val="nil"/>
            </w:tcBorders>
            <w:vAlign w:val="center"/>
          </w:tcPr>
          <w:p>
            <w:pPr>
              <w:jc w:val="center"/>
              <w:rPr>
                <w:rFonts w:hint="eastAsia"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立项程序规范性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项目申请、设立过程是否符合相关要求，用以反映和考核项目立项的规范情况。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08"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绩效目标（</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绩效目标合理性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项目所设定的绩效目标是否依据充分，是否符合客观实际，用以反映和考核项目绩效目标与项目实施的相符情况。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86"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continue"/>
            <w:tcBorders>
              <w:tl2br w:val="nil"/>
              <w:tr2bl w:val="nil"/>
            </w:tcBorders>
            <w:vAlign w:val="center"/>
          </w:tcPr>
          <w:p>
            <w:pPr>
              <w:jc w:val="center"/>
              <w:rPr>
                <w:rFonts w:hint="eastAsia"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绩效指标明确性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依据绩效目标设定的绩效指标是否清晰、细化、可衡量等，用以反映和考核项目绩效目标的明细化情况。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82"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资金投入（</w:t>
            </w:r>
            <w:r>
              <w:rPr>
                <w:rFonts w:ascii="楷体" w:hAnsi="楷体" w:eastAsia="楷体" w:cs="宋体"/>
                <w:color w:val="000000"/>
                <w:kern w:val="0"/>
                <w:szCs w:val="21"/>
                <w:lang w:bidi="ar"/>
              </w:rPr>
              <w:t>4</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预算编制科学性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项目预算编制是否经过科学论证、有明确标准，资金额度与年度目标是否相适应，用以反映和考核项目预算编制的科学性、合理性情况。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82"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continue"/>
            <w:tcBorders>
              <w:tl2br w:val="nil"/>
              <w:tr2bl w:val="nil"/>
            </w:tcBorders>
            <w:vAlign w:val="center"/>
          </w:tcPr>
          <w:p>
            <w:pPr>
              <w:jc w:val="center"/>
              <w:rPr>
                <w:rFonts w:hint="eastAsia"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资金分配合理性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项目预算资金分配是否有测算依据，与补助单位或地方实际是否相适应，用以反映和考核项目预算资金分配的科学性、合理性情况。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项目过程（</w:t>
            </w:r>
            <w:r>
              <w:rPr>
                <w:rFonts w:ascii="楷体" w:hAnsi="楷体" w:eastAsia="楷体" w:cs="宋体"/>
                <w:color w:val="000000"/>
                <w:kern w:val="0"/>
                <w:szCs w:val="21"/>
                <w:lang w:bidi="ar"/>
              </w:rPr>
              <w:t>20</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资金管理（</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资金到位率</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实际到位资金与预算资金的比率，用以反映和考核资金落实情况对项目实施的总体保障程度。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14"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continue"/>
            <w:tcBorders>
              <w:tl2br w:val="nil"/>
              <w:tr2bl w:val="nil"/>
            </w:tcBorders>
            <w:vAlign w:val="center"/>
          </w:tcPr>
          <w:p>
            <w:pPr>
              <w:jc w:val="center"/>
              <w:rPr>
                <w:rFonts w:hint="eastAsia"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预算执行率</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rPr>
                <w:rFonts w:hint="eastAsia" w:ascii="楷体" w:hAnsi="楷体" w:eastAsia="楷体" w:cs="宋体"/>
                <w:color w:val="000000"/>
                <w:szCs w:val="21"/>
              </w:rPr>
            </w:pPr>
            <w:r>
              <w:rPr>
                <w:rFonts w:hint="eastAsia" w:ascii="楷体" w:hAnsi="楷体" w:eastAsia="楷体" w:cs="宋体"/>
                <w:color w:val="000000"/>
                <w:kern w:val="0"/>
                <w:szCs w:val="21"/>
                <w:lang w:bidi="ar"/>
              </w:rPr>
              <w:t>项目预算资金是否按照计划执行，用以反映或考核项目预算执行情况。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011"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continue"/>
            <w:tcBorders>
              <w:tl2br w:val="nil"/>
              <w:tr2bl w:val="nil"/>
            </w:tcBorders>
            <w:vAlign w:val="center"/>
          </w:tcPr>
          <w:p>
            <w:pPr>
              <w:jc w:val="center"/>
              <w:rPr>
                <w:rFonts w:hint="eastAsia"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资金使用合规性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项目资金使用是否符合相关的财务管理制度规定，用以反映和考核项目资金的规范运行情况。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组织实施（</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管理制度健全性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项目实施单位的财务和业务管理制度是否健全，用以反映和考核财务和业务管理制度对项目顺利实施的保障情况。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42"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continue"/>
            <w:tcBorders>
              <w:tl2br w:val="nil"/>
              <w:tr2bl w:val="nil"/>
            </w:tcBorders>
            <w:vAlign w:val="center"/>
          </w:tcPr>
          <w:p>
            <w:pPr>
              <w:jc w:val="center"/>
              <w:rPr>
                <w:rFonts w:hint="eastAsia"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制度实施有效性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8</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项目实施是否符合相关管理规定，用以反映和考核相关管理制度的有效执行情况。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项目产出（</w:t>
            </w:r>
            <w:r>
              <w:rPr>
                <w:rFonts w:ascii="楷体" w:hAnsi="楷体" w:eastAsia="楷体" w:cs="宋体"/>
                <w:color w:val="000000"/>
                <w:kern w:val="0"/>
                <w:szCs w:val="21"/>
                <w:lang w:bidi="ar"/>
              </w:rPr>
              <w:t>34</w:t>
            </w:r>
            <w:r>
              <w:rPr>
                <w:rFonts w:hint="eastAsia" w:ascii="楷体" w:hAnsi="楷体" w:eastAsia="楷体" w:cs="宋体"/>
                <w:color w:val="000000"/>
                <w:kern w:val="0"/>
                <w:szCs w:val="21"/>
                <w:lang w:bidi="ar"/>
              </w:rPr>
              <w:t>分）</w:t>
            </w:r>
          </w:p>
        </w:tc>
        <w:tc>
          <w:tcPr>
            <w:tcW w:w="128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产出数量（</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实际完成率</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项目实施的实际产出数与计划产出数的比率，用以反映和考核项目产出数量目标的实现程度。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产出质量（</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质量达标率</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szCs w:val="21"/>
              </w:rPr>
              <w:t>12</w:t>
            </w:r>
          </w:p>
        </w:tc>
        <w:tc>
          <w:tcPr>
            <w:tcW w:w="4425" w:type="dxa"/>
            <w:tcBorders>
              <w:tl2br w:val="nil"/>
              <w:tr2bl w:val="nil"/>
            </w:tcBorders>
            <w:vAlign w:val="center"/>
          </w:tcPr>
          <w:p>
            <w:pPr>
              <w:rPr>
                <w:rFonts w:hint="eastAsia" w:ascii="楷体" w:hAnsi="楷体" w:eastAsia="楷体" w:cs="宋体"/>
                <w:color w:val="000000"/>
                <w:szCs w:val="21"/>
              </w:rPr>
            </w:pPr>
            <w:r>
              <w:rPr>
                <w:rFonts w:hint="eastAsia" w:ascii="楷体" w:hAnsi="楷体" w:eastAsia="楷体" w:cs="宋体"/>
                <w:color w:val="000000"/>
                <w:kern w:val="0"/>
                <w:szCs w:val="21"/>
                <w:lang w:bidi="ar"/>
              </w:rPr>
              <w:t>项目完成的质量达标产出数与实际产出数的比率，用以反映和考核项目产出质量目标的实现程度。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36"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产出时效（</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完成及时性</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rPr>
                <w:rFonts w:hint="eastAsia" w:ascii="楷体" w:hAnsi="楷体" w:eastAsia="楷体" w:cs="宋体"/>
                <w:color w:val="000000"/>
                <w:szCs w:val="21"/>
              </w:rPr>
            </w:pPr>
            <w:r>
              <w:rPr>
                <w:rFonts w:hint="eastAsia" w:ascii="楷体" w:hAnsi="楷体" w:eastAsia="楷体" w:cs="宋体"/>
                <w:color w:val="000000"/>
                <w:kern w:val="0"/>
                <w:szCs w:val="21"/>
                <w:lang w:bidi="ar"/>
              </w:rPr>
              <w:t>项目实际完成时间与计划完成时间的比较，用以反映和考核项目产出时效目标的实现程度。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产出成本（</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成本节约率</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szCs w:val="21"/>
              </w:rPr>
              <w:t>6</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完成项目计划工作目标的实际节约成本与计划成本的比率，用以反映和考核项目的成本节约程度。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实施效益</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ascii="楷体" w:hAnsi="楷体" w:eastAsia="楷体" w:cs="宋体"/>
                <w:color w:val="000000"/>
                <w:kern w:val="0"/>
                <w:szCs w:val="21"/>
                <w:lang w:bidi="ar"/>
              </w:rPr>
              <w:t>20</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szCs w:val="21"/>
              </w:rPr>
              <w:t>项目实施所产生的效益。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hint="eastAsia" w:ascii="楷体" w:hAnsi="楷体" w:eastAsia="楷体" w:cs="宋体"/>
                <w:color w:val="000000"/>
                <w:szCs w:val="21"/>
              </w:rPr>
            </w:pPr>
          </w:p>
        </w:tc>
        <w:tc>
          <w:tcPr>
            <w:tcW w:w="1288" w:type="dxa"/>
            <w:vMerge w:val="continue"/>
            <w:tcBorders>
              <w:tl2br w:val="nil"/>
              <w:tr2bl w:val="nil"/>
            </w:tcBorders>
            <w:vAlign w:val="center"/>
          </w:tcPr>
          <w:p>
            <w:pPr>
              <w:jc w:val="center"/>
              <w:rPr>
                <w:rFonts w:hint="eastAsia"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满意度</w:t>
            </w:r>
          </w:p>
        </w:tc>
        <w:tc>
          <w:tcPr>
            <w:tcW w:w="648" w:type="dxa"/>
            <w:tcBorders>
              <w:tl2br w:val="nil"/>
              <w:tr2bl w:val="nil"/>
            </w:tcBorders>
            <w:vAlign w:val="center"/>
          </w:tcPr>
          <w:p>
            <w:pPr>
              <w:widowControl/>
              <w:jc w:val="center"/>
              <w:textAlignment w:val="center"/>
              <w:rPr>
                <w:rFonts w:hint="eastAsia" w:ascii="楷体" w:hAnsi="楷体" w:eastAsia="楷体" w:cs="宋体"/>
                <w:color w:val="000000"/>
                <w:szCs w:val="21"/>
              </w:rPr>
            </w:pPr>
            <w:r>
              <w:rPr>
                <w:rFonts w:hint="eastAsia" w:ascii="楷体" w:hAnsi="楷体" w:eastAsia="楷体" w:cs="宋体"/>
                <w:color w:val="000000"/>
                <w:kern w:val="0"/>
                <w:szCs w:val="21"/>
                <w:lang w:bidi="ar"/>
              </w:rPr>
              <w:t>1</w:t>
            </w:r>
            <w:r>
              <w:rPr>
                <w:rFonts w:ascii="楷体" w:hAnsi="楷体" w:eastAsia="楷体" w:cs="宋体"/>
                <w:color w:val="000000"/>
                <w:kern w:val="0"/>
                <w:szCs w:val="21"/>
                <w:lang w:bidi="ar"/>
              </w:rPr>
              <w:t>1</w:t>
            </w:r>
          </w:p>
        </w:tc>
        <w:tc>
          <w:tcPr>
            <w:tcW w:w="4425" w:type="dxa"/>
            <w:tcBorders>
              <w:tl2br w:val="nil"/>
              <w:tr2bl w:val="nil"/>
            </w:tcBorders>
            <w:vAlign w:val="center"/>
          </w:tcPr>
          <w:p>
            <w:pPr>
              <w:widowControl/>
              <w:textAlignment w:val="center"/>
              <w:rPr>
                <w:rFonts w:hint="eastAsia" w:ascii="楷体" w:hAnsi="楷体" w:eastAsia="楷体" w:cs="宋体"/>
                <w:color w:val="000000"/>
                <w:szCs w:val="21"/>
              </w:rPr>
            </w:pPr>
            <w:r>
              <w:rPr>
                <w:rFonts w:hint="eastAsia" w:ascii="楷体" w:hAnsi="楷体" w:eastAsia="楷体" w:cs="宋体"/>
                <w:color w:val="000000"/>
                <w:szCs w:val="21"/>
              </w:rPr>
              <w:t>社会公众或服务对象对项目实施效果的满意程度。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3983" w:type="dxa"/>
            <w:gridSpan w:val="3"/>
            <w:tcBorders>
              <w:tl2br w:val="nil"/>
              <w:tr2bl w:val="nil"/>
            </w:tcBorders>
            <w:vAlign w:val="center"/>
          </w:tcPr>
          <w:p>
            <w:pPr>
              <w:widowControl/>
              <w:jc w:val="center"/>
              <w:textAlignment w:val="center"/>
              <w:rPr>
                <w:rFonts w:hint="eastAsia" w:ascii="楷体" w:hAnsi="楷体" w:eastAsia="楷体" w:cs="宋体"/>
                <w:b/>
                <w:bCs/>
                <w:color w:val="000000"/>
                <w:szCs w:val="21"/>
              </w:rPr>
            </w:pPr>
            <w:r>
              <w:rPr>
                <w:rFonts w:hint="eastAsia" w:ascii="楷体" w:hAnsi="楷体" w:eastAsia="楷体" w:cs="宋体"/>
                <w:b/>
                <w:bCs/>
                <w:color w:val="000000"/>
                <w:kern w:val="0"/>
                <w:szCs w:val="21"/>
                <w:lang w:bidi="ar"/>
              </w:rPr>
              <w:t>合计</w:t>
            </w:r>
          </w:p>
        </w:tc>
        <w:tc>
          <w:tcPr>
            <w:tcW w:w="648" w:type="dxa"/>
            <w:tcBorders>
              <w:tl2br w:val="nil"/>
              <w:tr2bl w:val="nil"/>
            </w:tcBorders>
            <w:vAlign w:val="center"/>
          </w:tcPr>
          <w:p>
            <w:pPr>
              <w:widowControl/>
              <w:jc w:val="center"/>
              <w:textAlignment w:val="center"/>
              <w:rPr>
                <w:rFonts w:hint="eastAsia" w:ascii="楷体" w:hAnsi="楷体" w:eastAsia="楷体" w:cs="宋体"/>
                <w:b/>
                <w:bCs/>
                <w:color w:val="000000"/>
                <w:szCs w:val="21"/>
              </w:rPr>
            </w:pPr>
            <w:r>
              <w:rPr>
                <w:rFonts w:hint="eastAsia" w:ascii="楷体" w:hAnsi="楷体" w:eastAsia="楷体" w:cs="宋体"/>
                <w:b/>
                <w:bCs/>
                <w:color w:val="000000"/>
                <w:kern w:val="0"/>
                <w:szCs w:val="21"/>
                <w:lang w:bidi="ar"/>
              </w:rPr>
              <w:t>100</w:t>
            </w:r>
          </w:p>
        </w:tc>
        <w:tc>
          <w:tcPr>
            <w:tcW w:w="4425" w:type="dxa"/>
            <w:tcBorders>
              <w:tl2br w:val="nil"/>
              <w:tr2bl w:val="nil"/>
            </w:tcBorders>
            <w:vAlign w:val="center"/>
          </w:tcPr>
          <w:p>
            <w:pPr>
              <w:jc w:val="center"/>
              <w:rPr>
                <w:rFonts w:hint="eastAsia" w:ascii="楷体" w:hAnsi="楷体" w:eastAsia="楷体" w:cs="宋体"/>
                <w:b/>
                <w:bCs/>
                <w:color w:val="000000"/>
                <w:szCs w:val="21"/>
              </w:rPr>
            </w:pPr>
          </w:p>
        </w:tc>
      </w:tr>
    </w:tbl>
    <w:p>
      <w:pPr>
        <w:spacing w:line="600" w:lineRule="exact"/>
        <w:ind w:firstLine="640" w:firstLineChars="200"/>
        <w:outlineLvl w:val="1"/>
        <w:rPr>
          <w:rFonts w:hint="eastAsia" w:ascii="楷体_GB2312" w:hAnsi="楷体_GB2312" w:eastAsia="楷体_GB2312" w:cs="楷体_GB2312"/>
          <w:sz w:val="32"/>
          <w:szCs w:val="32"/>
        </w:rPr>
      </w:pPr>
      <w:bookmarkStart w:id="8" w:name="_Toc197674792"/>
      <w:r>
        <w:rPr>
          <w:rFonts w:hint="eastAsia" w:ascii="楷体_GB2312" w:hAnsi="楷体_GB2312" w:eastAsia="楷体_GB2312" w:cs="楷体_GB2312"/>
          <w:sz w:val="32"/>
          <w:szCs w:val="32"/>
        </w:rPr>
        <w:t>（三）绩效评价工作过程</w:t>
      </w:r>
      <w:bookmarkEnd w:id="8"/>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绩效评价工作小组通过现场对项目资料逐一进行核实，了解项目资金的使用和取得的效益情况，最终根据评价前期入户调研及收集资料情况，结合工作小组的评价意见，完成绩效评价报告撰写。</w:t>
      </w:r>
    </w:p>
    <w:p>
      <w:pPr>
        <w:keepNext/>
        <w:spacing w:line="600" w:lineRule="exact"/>
        <w:ind w:firstLine="640" w:firstLineChars="200"/>
        <w:outlineLvl w:val="0"/>
        <w:rPr>
          <w:rFonts w:hint="eastAsia" w:ascii="黑体" w:hAnsi="黑体" w:eastAsia="黑体" w:cs="黑体"/>
          <w:sz w:val="32"/>
          <w:szCs w:val="32"/>
        </w:rPr>
      </w:pPr>
      <w:bookmarkStart w:id="9" w:name="_Toc197674793"/>
      <w:r>
        <w:rPr>
          <w:rFonts w:hint="eastAsia" w:ascii="黑体" w:hAnsi="黑体" w:eastAsia="黑体" w:cs="黑体"/>
          <w:sz w:val="32"/>
          <w:szCs w:val="32"/>
        </w:rPr>
        <w:t>三、综合评价情况及评价结论</w:t>
      </w:r>
      <w:bookmarkEnd w:id="9"/>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四分院2024年度“安检安保工作费用”项目，项目绩效评价综合得分88</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0</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分，其中项目决策</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0</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分、项目过程</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9</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0</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分、项目产出</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.00</w:t>
      </w:r>
      <w:r>
        <w:rPr>
          <w:rFonts w:hint="eastAsia" w:ascii="仿宋_GB2312" w:hAnsi="宋体" w:eastAsia="仿宋_GB2312" w:cs="宋体"/>
          <w:color w:val="000000"/>
          <w:kern w:val="0"/>
          <w:sz w:val="32"/>
          <w:szCs w:val="32"/>
        </w:rPr>
        <w:t>分，项目效益</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4</w:t>
      </w:r>
      <w:r>
        <w:rPr>
          <w:rFonts w:ascii="仿宋_GB2312" w:hAnsi="宋体" w:eastAsia="仿宋_GB2312" w:cs="宋体"/>
          <w:color w:val="000000"/>
          <w:kern w:val="0"/>
          <w:sz w:val="32"/>
          <w:szCs w:val="32"/>
        </w:rPr>
        <w:t>.00</w:t>
      </w:r>
      <w:r>
        <w:rPr>
          <w:rFonts w:hint="eastAsia" w:ascii="仿宋_GB2312" w:hAnsi="宋体" w:eastAsia="仿宋_GB2312" w:cs="宋体"/>
          <w:color w:val="000000"/>
          <w:kern w:val="0"/>
          <w:sz w:val="32"/>
          <w:szCs w:val="32"/>
        </w:rPr>
        <w:t>分，绩效评定结论为“良”。</w:t>
      </w:r>
    </w:p>
    <w:p>
      <w:pPr>
        <w:spacing w:after="156" w:afterLines="50" w:line="560" w:lineRule="exact"/>
        <w:jc w:val="center"/>
        <w:rPr>
          <w:rFonts w:hint="eastAsia" w:ascii="楷体" w:hAnsi="楷体" w:eastAsia="楷体" w:cs="宋体"/>
          <w:b/>
          <w:sz w:val="28"/>
          <w:szCs w:val="28"/>
        </w:rPr>
      </w:pPr>
      <w:r>
        <w:rPr>
          <w:rFonts w:hint="eastAsia" w:ascii="楷体" w:hAnsi="楷体" w:eastAsia="楷体" w:cs="宋体"/>
          <w:b/>
          <w:sz w:val="28"/>
          <w:szCs w:val="28"/>
        </w:rPr>
        <w:t>2024年度“安检安保工作费用”项目</w:t>
      </w:r>
    </w:p>
    <w:p>
      <w:pPr>
        <w:spacing w:after="156" w:afterLines="50" w:line="560" w:lineRule="exact"/>
        <w:jc w:val="center"/>
        <w:rPr>
          <w:rFonts w:hint="eastAsia" w:ascii="楷体" w:hAnsi="楷体" w:eastAsia="楷体" w:cs="宋体"/>
          <w:b/>
          <w:sz w:val="28"/>
          <w:szCs w:val="28"/>
        </w:rPr>
      </w:pPr>
      <w:r>
        <w:rPr>
          <w:rFonts w:hint="eastAsia" w:ascii="楷体" w:hAnsi="楷体" w:eastAsia="楷体" w:cs="宋体"/>
          <w:b/>
          <w:sz w:val="28"/>
          <w:szCs w:val="28"/>
        </w:rPr>
        <w:t>绩效评价结论一览表</w:t>
      </w:r>
    </w:p>
    <w:tbl>
      <w:tblPr>
        <w:tblStyle w:val="17"/>
        <w:tblW w:w="8505" w:type="dxa"/>
        <w:tblInd w:w="108"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381"/>
        <w:gridCol w:w="2899"/>
        <w:gridCol w:w="222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PrEx>
        <w:trPr>
          <w:trHeight w:val="397" w:hRule="exact"/>
        </w:trPr>
        <w:tc>
          <w:tcPr>
            <w:tcW w:w="3381" w:type="dxa"/>
            <w:tcBorders>
              <w:tl2br w:val="nil"/>
              <w:tr2bl w:val="nil"/>
            </w:tcBorders>
            <w:shd w:val="clear" w:color="000000" w:fill="auto"/>
            <w:vAlign w:val="center"/>
          </w:tcPr>
          <w:p>
            <w:pPr>
              <w:widowControl/>
              <w:jc w:val="center"/>
              <w:rPr>
                <w:rFonts w:hint="eastAsia" w:ascii="楷体" w:hAnsi="楷体" w:eastAsia="楷体" w:cs="宋体"/>
                <w:b/>
                <w:bCs/>
                <w:kern w:val="0"/>
                <w:szCs w:val="21"/>
              </w:rPr>
            </w:pPr>
            <w:r>
              <w:rPr>
                <w:rFonts w:hint="eastAsia" w:ascii="楷体" w:hAnsi="楷体" w:eastAsia="楷体" w:cs="宋体"/>
                <w:b/>
                <w:bCs/>
                <w:kern w:val="0"/>
                <w:szCs w:val="21"/>
              </w:rPr>
              <w:t>评价内容</w:t>
            </w:r>
          </w:p>
        </w:tc>
        <w:tc>
          <w:tcPr>
            <w:tcW w:w="2899" w:type="dxa"/>
            <w:tcBorders>
              <w:tl2br w:val="nil"/>
              <w:tr2bl w:val="nil"/>
            </w:tcBorders>
            <w:shd w:val="clear" w:color="000000" w:fill="auto"/>
            <w:vAlign w:val="center"/>
          </w:tcPr>
          <w:p>
            <w:pPr>
              <w:widowControl/>
              <w:jc w:val="center"/>
              <w:rPr>
                <w:rFonts w:hint="eastAsia" w:ascii="楷体" w:hAnsi="楷体" w:eastAsia="楷体" w:cs="宋体"/>
                <w:b/>
                <w:bCs/>
                <w:kern w:val="0"/>
                <w:szCs w:val="21"/>
              </w:rPr>
            </w:pPr>
            <w:r>
              <w:rPr>
                <w:rFonts w:hint="eastAsia" w:ascii="楷体" w:hAnsi="楷体" w:eastAsia="楷体" w:cs="宋体"/>
                <w:b/>
                <w:bCs/>
                <w:kern w:val="0"/>
                <w:szCs w:val="21"/>
              </w:rPr>
              <w:t>分值</w:t>
            </w:r>
          </w:p>
        </w:tc>
        <w:tc>
          <w:tcPr>
            <w:tcW w:w="2225" w:type="dxa"/>
            <w:tcBorders>
              <w:tl2br w:val="nil"/>
              <w:tr2bl w:val="nil"/>
            </w:tcBorders>
            <w:shd w:val="clear" w:color="000000" w:fill="auto"/>
            <w:vAlign w:val="center"/>
          </w:tcPr>
          <w:p>
            <w:pPr>
              <w:widowControl/>
              <w:jc w:val="center"/>
              <w:rPr>
                <w:rFonts w:hint="eastAsia" w:ascii="楷体" w:hAnsi="楷体" w:eastAsia="楷体" w:cs="宋体"/>
                <w:b/>
                <w:bCs/>
                <w:kern w:val="0"/>
                <w:szCs w:val="21"/>
              </w:rPr>
            </w:pPr>
            <w:r>
              <w:rPr>
                <w:rFonts w:hint="eastAsia" w:ascii="楷体" w:hAnsi="楷体" w:eastAsia="楷体" w:cs="宋体"/>
                <w:b/>
                <w:bCs/>
                <w:kern w:val="0"/>
                <w:szCs w:val="21"/>
              </w:rPr>
              <w:t>评价得分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项目决策</w:t>
            </w:r>
          </w:p>
        </w:tc>
        <w:tc>
          <w:tcPr>
            <w:tcW w:w="2899"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15.00</w:t>
            </w:r>
          </w:p>
        </w:tc>
        <w:tc>
          <w:tcPr>
            <w:tcW w:w="2225"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ascii="楷体" w:hAnsi="楷体" w:eastAsia="楷体" w:cs="宋体"/>
                <w:kern w:val="0"/>
                <w:szCs w:val="21"/>
              </w:rPr>
              <w:t>1</w:t>
            </w:r>
            <w:r>
              <w:rPr>
                <w:rFonts w:hint="eastAsia" w:ascii="楷体" w:hAnsi="楷体" w:eastAsia="楷体" w:cs="宋体"/>
                <w:kern w:val="0"/>
                <w:szCs w:val="21"/>
              </w:rPr>
              <w:t>3</w:t>
            </w:r>
            <w:r>
              <w:rPr>
                <w:rFonts w:ascii="楷体" w:hAnsi="楷体" w:eastAsia="楷体" w:cs="宋体"/>
                <w:kern w:val="0"/>
                <w:szCs w:val="21"/>
              </w:rPr>
              <w:t>.</w:t>
            </w:r>
            <w:r>
              <w:rPr>
                <w:rFonts w:hint="eastAsia" w:ascii="楷体" w:hAnsi="楷体" w:eastAsia="楷体" w:cs="宋体"/>
                <w:kern w:val="0"/>
                <w:szCs w:val="21"/>
              </w:rPr>
              <w:t>0</w:t>
            </w:r>
            <w:r>
              <w:rPr>
                <w:rFonts w:ascii="楷体" w:hAnsi="楷体" w:eastAsia="楷体" w:cs="宋体"/>
                <w:kern w:val="0"/>
                <w:szCs w:val="21"/>
              </w:rPr>
              <w:t>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项目过程</w:t>
            </w:r>
          </w:p>
        </w:tc>
        <w:tc>
          <w:tcPr>
            <w:tcW w:w="2899"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20.00</w:t>
            </w:r>
          </w:p>
        </w:tc>
        <w:tc>
          <w:tcPr>
            <w:tcW w:w="2225"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ascii="楷体" w:hAnsi="楷体" w:eastAsia="楷体" w:cs="宋体"/>
                <w:kern w:val="0"/>
                <w:szCs w:val="21"/>
              </w:rPr>
              <w:t>1</w:t>
            </w:r>
            <w:r>
              <w:rPr>
                <w:rFonts w:hint="eastAsia" w:ascii="楷体" w:hAnsi="楷体" w:eastAsia="楷体" w:cs="宋体"/>
                <w:kern w:val="0"/>
                <w:szCs w:val="21"/>
              </w:rPr>
              <w:t>9</w:t>
            </w:r>
            <w:r>
              <w:rPr>
                <w:rFonts w:ascii="楷体" w:hAnsi="楷体" w:eastAsia="楷体" w:cs="宋体"/>
                <w:kern w:val="0"/>
                <w:szCs w:val="21"/>
              </w:rPr>
              <w:t>.</w:t>
            </w:r>
            <w:r>
              <w:rPr>
                <w:rFonts w:hint="eastAsia" w:ascii="楷体" w:hAnsi="楷体" w:eastAsia="楷体" w:cs="宋体"/>
                <w:kern w:val="0"/>
                <w:szCs w:val="21"/>
              </w:rPr>
              <w:t>0</w:t>
            </w:r>
            <w:r>
              <w:rPr>
                <w:rFonts w:ascii="楷体" w:hAnsi="楷体" w:eastAsia="楷体" w:cs="宋体"/>
                <w:kern w:val="0"/>
                <w:szCs w:val="21"/>
              </w:rPr>
              <w:t>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项目产出</w:t>
            </w:r>
          </w:p>
        </w:tc>
        <w:tc>
          <w:tcPr>
            <w:tcW w:w="2899"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34.00</w:t>
            </w:r>
          </w:p>
        </w:tc>
        <w:tc>
          <w:tcPr>
            <w:tcW w:w="2225"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ascii="楷体" w:hAnsi="楷体" w:eastAsia="楷体" w:cs="宋体"/>
                <w:kern w:val="0"/>
                <w:szCs w:val="21"/>
              </w:rPr>
              <w:t>3</w:t>
            </w:r>
            <w:r>
              <w:rPr>
                <w:rFonts w:hint="eastAsia" w:ascii="楷体" w:hAnsi="楷体" w:eastAsia="楷体" w:cs="宋体"/>
                <w:kern w:val="0"/>
                <w:szCs w:val="21"/>
              </w:rPr>
              <w:t>2.00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bCs/>
                <w:szCs w:val="21"/>
              </w:rPr>
              <w:t>项目效益</w:t>
            </w:r>
          </w:p>
        </w:tc>
        <w:tc>
          <w:tcPr>
            <w:tcW w:w="2899"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31.00</w:t>
            </w:r>
          </w:p>
        </w:tc>
        <w:tc>
          <w:tcPr>
            <w:tcW w:w="2225"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ascii="楷体" w:hAnsi="楷体" w:eastAsia="楷体" w:cs="宋体"/>
                <w:kern w:val="0"/>
                <w:szCs w:val="21"/>
              </w:rPr>
              <w:t>2</w:t>
            </w:r>
            <w:r>
              <w:rPr>
                <w:rFonts w:hint="eastAsia" w:ascii="楷体" w:hAnsi="楷体" w:eastAsia="楷体" w:cs="宋体"/>
                <w:kern w:val="0"/>
                <w:szCs w:val="21"/>
              </w:rPr>
              <w:t>4.00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综合得分</w:t>
            </w:r>
          </w:p>
        </w:tc>
        <w:tc>
          <w:tcPr>
            <w:tcW w:w="2899"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100.00</w:t>
            </w:r>
          </w:p>
        </w:tc>
        <w:tc>
          <w:tcPr>
            <w:tcW w:w="2225"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ascii="楷体" w:hAnsi="楷体" w:eastAsia="楷体" w:cs="宋体"/>
                <w:kern w:val="0"/>
                <w:szCs w:val="21"/>
              </w:rPr>
              <w:fldChar w:fldCharType="begin"/>
            </w:r>
            <w:r>
              <w:rPr>
                <w:rFonts w:ascii="楷体" w:hAnsi="楷体" w:eastAsia="楷体" w:cs="宋体"/>
                <w:kern w:val="0"/>
                <w:szCs w:val="21"/>
              </w:rPr>
              <w:instrText xml:space="preserve"> =SUM(ABOVE) \# "#,##0.00" </w:instrText>
            </w:r>
            <w:r>
              <w:rPr>
                <w:rFonts w:ascii="楷体" w:hAnsi="楷体" w:eastAsia="楷体" w:cs="宋体"/>
                <w:kern w:val="0"/>
                <w:szCs w:val="21"/>
              </w:rPr>
              <w:fldChar w:fldCharType="separate"/>
            </w:r>
            <w:r>
              <w:rPr>
                <w:rFonts w:hint="eastAsia" w:ascii="楷体" w:hAnsi="楷体" w:eastAsia="楷体" w:cs="宋体"/>
                <w:kern w:val="0"/>
                <w:szCs w:val="21"/>
              </w:rPr>
              <w:t>88</w:t>
            </w:r>
            <w:r>
              <w:rPr>
                <w:rFonts w:ascii="楷体" w:hAnsi="楷体" w:eastAsia="楷体" w:cs="宋体"/>
                <w:kern w:val="0"/>
                <w:szCs w:val="21"/>
              </w:rPr>
              <w:t>.</w:t>
            </w:r>
            <w:r>
              <w:rPr>
                <w:rFonts w:hint="eastAsia" w:ascii="楷体" w:hAnsi="楷体" w:eastAsia="楷体" w:cs="宋体"/>
                <w:kern w:val="0"/>
                <w:szCs w:val="21"/>
              </w:rPr>
              <w:t>0</w:t>
            </w:r>
            <w:r>
              <w:rPr>
                <w:rFonts w:ascii="楷体" w:hAnsi="楷体" w:eastAsia="楷体" w:cs="宋体"/>
                <w:kern w:val="0"/>
                <w:szCs w:val="21"/>
              </w:rPr>
              <w:t>0</w:t>
            </w:r>
            <w:r>
              <w:rPr>
                <w:rFonts w:ascii="楷体" w:hAnsi="楷体" w:eastAsia="楷体" w:cs="宋体"/>
                <w:kern w:val="0"/>
                <w:szCs w:val="21"/>
              </w:rPr>
              <w:fldChar w:fldCharType="end"/>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绩效评定级别</w:t>
            </w:r>
          </w:p>
        </w:tc>
        <w:tc>
          <w:tcPr>
            <w:tcW w:w="5124" w:type="dxa"/>
            <w:gridSpan w:val="2"/>
            <w:tcBorders>
              <w:tl2br w:val="nil"/>
              <w:tr2bl w:val="nil"/>
            </w:tcBorders>
            <w:shd w:val="clear" w:color="000000" w:fill="auto"/>
            <w:vAlign w:val="center"/>
          </w:tcPr>
          <w:p>
            <w:pPr>
              <w:widowControl/>
              <w:jc w:val="center"/>
              <w:rPr>
                <w:rFonts w:hint="eastAsia" w:ascii="楷体" w:hAnsi="楷体" w:eastAsia="楷体" w:cs="宋体"/>
                <w:kern w:val="0"/>
                <w:szCs w:val="21"/>
              </w:rPr>
            </w:pPr>
            <w:r>
              <w:rPr>
                <w:rFonts w:hint="eastAsia" w:ascii="楷体" w:hAnsi="楷体" w:eastAsia="楷体" w:cs="宋体"/>
                <w:kern w:val="0"/>
                <w:szCs w:val="21"/>
              </w:rPr>
              <w:t>良</w:t>
            </w:r>
          </w:p>
        </w:tc>
      </w:tr>
    </w:tbl>
    <w:p>
      <w:pPr>
        <w:keepNext/>
        <w:spacing w:line="600" w:lineRule="exact"/>
        <w:ind w:firstLine="640" w:firstLineChars="200"/>
        <w:outlineLvl w:val="0"/>
        <w:rPr>
          <w:rFonts w:hint="eastAsia" w:ascii="黑体" w:hAnsi="黑体" w:eastAsia="黑体" w:cs="黑体"/>
          <w:sz w:val="32"/>
          <w:szCs w:val="32"/>
        </w:rPr>
      </w:pPr>
      <w:bookmarkStart w:id="10" w:name="_Toc197674794"/>
      <w:r>
        <w:rPr>
          <w:rFonts w:hint="eastAsia" w:ascii="黑体" w:hAnsi="黑体" w:eastAsia="黑体" w:cs="黑体"/>
          <w:sz w:val="32"/>
          <w:szCs w:val="32"/>
        </w:rPr>
        <w:t>四、绩效评价指标分析</w:t>
      </w:r>
      <w:bookmarkEnd w:id="10"/>
    </w:p>
    <w:p>
      <w:pPr>
        <w:spacing w:line="600" w:lineRule="exact"/>
        <w:ind w:firstLine="640" w:firstLineChars="200"/>
        <w:outlineLvl w:val="1"/>
        <w:rPr>
          <w:rFonts w:hint="eastAsia" w:ascii="楷体_GB2312" w:hAnsi="楷体_GB2312" w:eastAsia="楷体_GB2312" w:cs="楷体_GB2312"/>
          <w:sz w:val="32"/>
          <w:szCs w:val="32"/>
        </w:rPr>
      </w:pPr>
      <w:bookmarkStart w:id="11" w:name="_Toc197674795"/>
      <w:r>
        <w:rPr>
          <w:rFonts w:hint="eastAsia" w:ascii="楷体_GB2312" w:hAnsi="楷体_GB2312" w:eastAsia="楷体_GB2312" w:cs="楷体_GB2312"/>
          <w:sz w:val="32"/>
          <w:szCs w:val="32"/>
        </w:rPr>
        <w:t>（一）项目决策情况</w:t>
      </w:r>
      <w:bookmarkEnd w:id="11"/>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1.项目立项</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（1）立项依据充分性评价分析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立项依据较充分，北京市人民检察院第四分院是按照中央政法委、北京市委、最高人民检察院的部署要求，在原北京市人民检察院铁路运输分院的基础上于2014年12月30日正式揭牌成立。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2024年度，为维护四分院正常办公秩序，维护公民合法权益，切实保障相关检察业务的开展，申请安检安保工作费用123.84万元，完成四分院的秩序维护、安全保卫、守护巡逻、技术监控、车辆指挥、控申信访举报、场所安检、信访接待引导、协助处置突发事件等等任务。</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（2）立项程序规范性评价分析</w:t>
      </w:r>
    </w:p>
    <w:p>
      <w:pPr>
        <w:spacing w:line="60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该项目立项程序较规范，严格按照立项程序执行预算编制工作。</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2.绩效目标</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（1）绩效目标合理性评价分析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该项目绩效目标基本合理，四分院在申报2024年预算时填制了“项目支出绩效目标申报表”，设立了该项目的相应绩效目标。</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（2）绩效指标明确性评价分析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该项目绩效指标较为明确、细化，具有可衡量性。该项目将绩效目标按照产出指标、成本指标等一级指标以及质量、经济成本、社会效益、服务对象满意度等二级指标进行细化分解。</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3.资金投入</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（1）预算编制科学性评价分析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该项目预算编制较为科学，对项目的支出按照预算的要求进行了二级项目的划分，进一步保障了项目预算编制的科学性。</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（2）资金分配合理性评价分析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该项目预算资金分配基本合理，分配情况如下：安检安保工作费用123.84万元，与实际支出情况基本相符。</w:t>
      </w:r>
    </w:p>
    <w:p>
      <w:pPr>
        <w:spacing w:line="600" w:lineRule="exact"/>
        <w:ind w:firstLine="640" w:firstLineChars="200"/>
        <w:outlineLvl w:val="1"/>
        <w:rPr>
          <w:rFonts w:hint="eastAsia" w:ascii="楷体_GB2312" w:hAnsi="楷体_GB2312" w:eastAsia="楷体_GB2312" w:cs="楷体_GB2312"/>
          <w:sz w:val="32"/>
          <w:szCs w:val="32"/>
        </w:rPr>
      </w:pPr>
      <w:bookmarkStart w:id="12" w:name="_Toc197674796"/>
      <w:r>
        <w:rPr>
          <w:rFonts w:hint="eastAsia" w:ascii="楷体_GB2312" w:hAnsi="楷体_GB2312" w:eastAsia="楷体_GB2312" w:cs="楷体_GB2312"/>
          <w:sz w:val="32"/>
          <w:szCs w:val="32"/>
        </w:rPr>
        <w:t>（二）项目过程情况</w:t>
      </w:r>
      <w:bookmarkEnd w:id="12"/>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1.资金管理</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（1）资金到位率评价分析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该项目的资金到位率为100.00%。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资金到位率=（实际到位资金/预算资金）×100%=（123.84万元/123.84万元）×100%=100.00%。</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（2）预算执行率评价分析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该项目的预算执行率为100.00%。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预算执行率=（实际支出资金/实际到位资金）×100%=（123.84万元/123.84万元）×100%=100.00%。</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（3）资金使用合规性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该项目资金使用符合国家财经法规和财务管理制度的规定，严格按照预算批复及四分院财务管理实施细则的规定执行，且每笔支出均有完整的审批程序和手续。</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2.组织实施</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（1）管理制度健全性评价分析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该项目涉及的管理制度，包括《北京市人民检察院第四分院财务管理实施细则（暂行）》、《北京市人民检察院第四分院项目管理办法》等制度，对项目顺利实施提供了一定保障。</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（2）制度执行有效性评价分析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执行过程中，均严格遵守相关法律法规和相关管理规定，项目支出手续均完备，项目中涉及的合同、信息运维服务总结、验收报告等资料均齐全并及时归档，项目实施的人员条件、场地设备、信息支撑等均落实到位。</w:t>
      </w:r>
    </w:p>
    <w:p>
      <w:pPr>
        <w:spacing w:line="600" w:lineRule="exact"/>
        <w:ind w:firstLine="640" w:firstLineChars="200"/>
        <w:outlineLvl w:val="1"/>
        <w:rPr>
          <w:rFonts w:hint="eastAsia" w:ascii="楷体_GB2312" w:hAnsi="楷体_GB2312" w:eastAsia="楷体_GB2312" w:cs="楷体_GB2312"/>
          <w:sz w:val="32"/>
          <w:szCs w:val="32"/>
        </w:rPr>
      </w:pPr>
      <w:bookmarkStart w:id="13" w:name="_Toc197674797"/>
      <w:r>
        <w:rPr>
          <w:rFonts w:hint="eastAsia" w:ascii="楷体_GB2312" w:hAnsi="楷体_GB2312" w:eastAsia="楷体_GB2312" w:cs="楷体_GB2312"/>
          <w:sz w:val="32"/>
          <w:szCs w:val="32"/>
        </w:rPr>
        <w:t>（三）项目产出情况</w:t>
      </w:r>
      <w:bookmarkEnd w:id="13"/>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1.产出质量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驻院安保执勤分队安检安保人员以专业的素质确保了北京市人民检察院第四分院安全稳定，检察机关的安全，维护正常的办公秩序。做到强化服务意识，提升服务质量；严格门岗管理，筑牢安全防线；规范控申大厅管理，维护良好秩序；强化中控消防管理，消除安全隐患。面对突发事件有预案，严格落实安保工作要求，圆满完成安全保卫任务。</w:t>
      </w:r>
    </w:p>
    <w:p>
      <w:pPr>
        <w:numPr>
          <w:ilvl w:val="255"/>
          <w:numId w:val="0"/>
        </w:num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2.产出数量</w:t>
      </w:r>
    </w:p>
    <w:p>
      <w:pPr>
        <w:numPr>
          <w:ilvl w:val="255"/>
          <w:numId w:val="0"/>
        </w:numPr>
        <w:spacing w:line="600" w:lineRule="exac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2024年度安检安保服务购买额度=21人。积极配合法警工作，全年妥善处理情绪激动人员40余次。24小时不间断监控院内130余个监控点位，全年处理烟感报警600余次。配合参加院内消防演练1次。</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产出时效</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项目启动和完成及时</w:t>
      </w:r>
      <w:r>
        <w:rPr>
          <w:rFonts w:ascii="仿宋_GB2312" w:hAnsi="宋体" w:eastAsia="仿宋_GB2312" w:cs="宋体"/>
          <w:color w:val="000000"/>
          <w:kern w:val="0"/>
          <w:sz w:val="32"/>
          <w:szCs w:val="32"/>
        </w:rPr>
        <w:t>。</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4.产出</w:t>
      </w:r>
      <w:r>
        <w:rPr>
          <w:rFonts w:ascii="楷体_GB2312" w:hAnsi="楷体_GB2312" w:eastAsia="楷体_GB2312" w:cs="楷体_GB2312"/>
          <w:sz w:val="32"/>
          <w:szCs w:val="32"/>
        </w:rPr>
        <w:t>成本</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项目预算控制数123.84万元。</w:t>
      </w:r>
    </w:p>
    <w:p>
      <w:pPr>
        <w:spacing w:line="600" w:lineRule="exact"/>
        <w:ind w:firstLine="640" w:firstLineChars="200"/>
        <w:outlineLvl w:val="1"/>
        <w:rPr>
          <w:rFonts w:hint="eastAsia" w:ascii="楷体_GB2312" w:hAnsi="楷体_GB2312" w:eastAsia="楷体_GB2312" w:cs="楷体_GB2312"/>
          <w:sz w:val="32"/>
          <w:szCs w:val="32"/>
        </w:rPr>
      </w:pPr>
      <w:bookmarkStart w:id="14" w:name="_Toc197674798"/>
      <w:r>
        <w:rPr>
          <w:rFonts w:hint="eastAsia" w:ascii="楷体_GB2312" w:hAnsi="楷体_GB2312" w:eastAsia="楷体_GB2312" w:cs="楷体_GB2312"/>
          <w:sz w:val="32"/>
          <w:szCs w:val="32"/>
        </w:rPr>
        <w:t>（四）项目效益情况</w:t>
      </w:r>
      <w:bookmarkEnd w:id="14"/>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1.实施效益评价分析</w:t>
      </w:r>
    </w:p>
    <w:p>
      <w:pPr>
        <w:widowControl/>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安保安检的保障下，北京市人民检察院第四分院安全防护水平显著提升，办公秩序稳定有序，公民合法权益得到切实维护。安保人员凭借专业素养与高度责任感，严格排查隐患。面对突发状况，迅速响应、妥善处置，为营造良好司法环境贡献力量。</w:t>
      </w:r>
    </w:p>
    <w:p>
      <w:pPr>
        <w:keepNext/>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2.满意</w:t>
      </w:r>
      <w:r>
        <w:rPr>
          <w:rFonts w:ascii="楷体_GB2312" w:hAnsi="楷体_GB2312" w:eastAsia="楷体_GB2312" w:cs="楷体_GB2312"/>
          <w:sz w:val="32"/>
          <w:szCs w:val="32"/>
        </w:rPr>
        <w:t>度评价分析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四分院就本院的安检安保工作对院内各部门开展了满意度调查，满意度达到99%以上。</w:t>
      </w:r>
    </w:p>
    <w:p>
      <w:pPr>
        <w:spacing w:line="600" w:lineRule="exact"/>
        <w:ind w:firstLine="640" w:firstLineChars="200"/>
        <w:outlineLvl w:val="0"/>
        <w:rPr>
          <w:rFonts w:hint="eastAsia" w:ascii="黑体" w:hAnsi="黑体" w:eastAsia="黑体" w:cs="黑体"/>
          <w:sz w:val="32"/>
          <w:szCs w:val="32"/>
        </w:rPr>
      </w:pPr>
      <w:bookmarkStart w:id="15" w:name="_Toc197674799"/>
      <w:r>
        <w:rPr>
          <w:rFonts w:hint="eastAsia" w:ascii="黑体" w:hAnsi="黑体" w:eastAsia="黑体" w:cs="黑体"/>
          <w:sz w:val="32"/>
          <w:szCs w:val="32"/>
        </w:rPr>
        <w:t>五、主要经验及做法、存在的问题及原因分析</w:t>
      </w:r>
      <w:bookmarkEnd w:id="15"/>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绩效目标设置科学性有待进一步提升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项目绩效指标设置部分指标设置比较笼统，未能做量化处理，绩效指标设置的系统性、完整性还不够强，需要进一步完善和改进。</w:t>
      </w:r>
    </w:p>
    <w:p>
      <w:pPr>
        <w:spacing w:line="600" w:lineRule="exact"/>
        <w:ind w:firstLine="640" w:firstLineChars="200"/>
        <w:rPr>
          <w:rFonts w:ascii="仿宋_GB2312" w:hAnsi="仿宋_GB2312" w:eastAsia="仿宋_GB2312" w:cs="仿宋_GB2312"/>
          <w:b/>
          <w:bCs/>
          <w:kern w:val="44"/>
          <w:szCs w:val="32"/>
        </w:rPr>
      </w:pPr>
      <w:r>
        <w:rPr>
          <w:rFonts w:hint="eastAsia" w:ascii="仿宋_GB2312" w:hAnsi="宋体" w:eastAsia="仿宋_GB2312" w:cs="宋体"/>
          <w:color w:val="000000"/>
          <w:kern w:val="0"/>
          <w:sz w:val="32"/>
          <w:szCs w:val="32"/>
        </w:rPr>
        <w:t>2.项目管理机制有待完善</w:t>
      </w:r>
    </w:p>
    <w:p>
      <w:pPr>
        <w:spacing w:line="560" w:lineRule="exact"/>
        <w:ind w:firstLine="640" w:firstLineChars="200"/>
        <w:rPr>
          <w:rFonts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事前项目未制定总体的实施方案，缺少对项目的统筹管理，缺少项目实施主体对人员组织分工、实施节点、监管措施、考核要求及风险防控措施等内容，不利于项目的实施，事后对项目的考核或验收报告等资料不够充分，无法体现项目执行监督管理的效果，项目管理机制有待完善。</w:t>
      </w:r>
    </w:p>
    <w:p>
      <w:pPr>
        <w:spacing w:line="600" w:lineRule="exact"/>
        <w:ind w:firstLine="640" w:firstLineChars="200"/>
        <w:outlineLvl w:val="0"/>
        <w:rPr>
          <w:rFonts w:hint="eastAsia" w:ascii="黑体" w:hAnsi="黑体" w:eastAsia="黑体" w:cs="黑体"/>
          <w:sz w:val="32"/>
          <w:szCs w:val="32"/>
        </w:rPr>
      </w:pPr>
      <w:bookmarkStart w:id="16" w:name="_Toc197674800"/>
      <w:r>
        <w:rPr>
          <w:rFonts w:hint="eastAsia" w:ascii="黑体" w:hAnsi="黑体" w:eastAsia="黑体" w:cs="黑体"/>
          <w:sz w:val="32"/>
          <w:szCs w:val="32"/>
        </w:rPr>
        <w:t>六、有关建议</w:t>
      </w:r>
      <w:bookmarkEnd w:id="16"/>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1.科学设置绩效目标，提高预算绩效管理意识。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议加强财政预算绩效管理理念及目标导向意识，结合部门职责及历年支出情况，科学、合理设置绩效目标及指标，做到可衡量、可考核，努力实现绩效目标设定的规划化、系统化、全面化，做到申报目标与预算资金、实施效果相匹配，充分发挥绩效评价结果导向性作用，促进公共资源合理配置，提升财政资金的使用效益。</w:t>
      </w:r>
    </w:p>
    <w:p>
      <w:pPr>
        <w:keepNext/>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2.完善项目实施方案，规范项目过程管理。</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完善项目实施方案，明确项目组织机构、人员分工、执行进度安排、项目质量监控及验收程序等内容。开展日常抽查、绩效考核等，认真收集项目效果资料并进一步整理分析，充分反映项目实施绩效，同时加强服务对象满意度调查工作。</w:t>
      </w:r>
    </w:p>
    <w:p>
      <w:pPr>
        <w:spacing w:line="600" w:lineRule="exact"/>
        <w:ind w:firstLine="640" w:firstLineChars="200"/>
        <w:outlineLvl w:val="0"/>
        <w:rPr>
          <w:rFonts w:hint="eastAsia" w:ascii="黑体" w:hAnsi="黑体" w:eastAsia="黑体" w:cs="黑体"/>
          <w:sz w:val="32"/>
          <w:szCs w:val="32"/>
        </w:rPr>
      </w:pPr>
      <w:bookmarkStart w:id="17" w:name="_Toc197674801"/>
      <w:r>
        <w:rPr>
          <w:rFonts w:hint="eastAsia" w:ascii="黑体" w:hAnsi="黑体" w:eastAsia="黑体" w:cs="黑体"/>
          <w:sz w:val="32"/>
          <w:szCs w:val="32"/>
        </w:rPr>
        <w:t>七、其他需要说明的问题</w:t>
      </w:r>
      <w:bookmarkEnd w:id="17"/>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w:t>
      </w:r>
    </w:p>
    <w:p>
      <w:pPr>
        <w:spacing w:line="600" w:lineRule="exact"/>
        <w:ind w:firstLine="640" w:firstLineChars="200"/>
        <w:outlineLvl w:val="0"/>
        <w:rPr>
          <w:rFonts w:hint="eastAsia" w:ascii="黑体" w:hAnsi="黑体" w:eastAsia="黑体" w:cs="黑体"/>
          <w:sz w:val="32"/>
          <w:szCs w:val="32"/>
        </w:rPr>
      </w:pPr>
      <w:bookmarkStart w:id="18" w:name="_Toc197674802"/>
      <w:r>
        <w:rPr>
          <w:rFonts w:hint="eastAsia" w:ascii="黑体" w:hAnsi="黑体" w:eastAsia="黑体" w:cs="黑体"/>
          <w:sz w:val="32"/>
          <w:szCs w:val="32"/>
        </w:rPr>
        <w:t>八、附件</w:t>
      </w:r>
      <w:bookmarkEnd w:id="18"/>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hint="eastAsia"/>
        </w:rPr>
        <w:t xml:space="preserve"> </w:t>
      </w:r>
      <w:r>
        <w:rPr>
          <w:rFonts w:hint="eastAsia" w:ascii="仿宋_GB2312" w:hAnsi="宋体" w:eastAsia="仿宋_GB2312" w:cs="宋体"/>
          <w:color w:val="000000"/>
          <w:kern w:val="0"/>
          <w:sz w:val="32"/>
          <w:szCs w:val="32"/>
        </w:rPr>
        <w:t>北京市人民检察院第四分院安检安保工作费用项目预算执行情况表</w:t>
      </w:r>
    </w:p>
    <w:p>
      <w:pPr>
        <w:spacing w:line="560" w:lineRule="exact"/>
        <w:ind w:firstLine="640" w:firstLineChars="200"/>
        <w:rPr>
          <w:rFonts w:hint="eastAsia" w:ascii="宋体" w:hAnsi="宋体"/>
          <w:kern w:val="44"/>
          <w:szCs w:val="28"/>
        </w:rPr>
      </w:pPr>
      <w:r>
        <w:rPr>
          <w:rFonts w:hint="eastAsia" w:ascii="仿宋_GB2312" w:hAnsi="宋体" w:eastAsia="仿宋_GB2312" w:cs="宋体"/>
          <w:color w:val="000000"/>
          <w:kern w:val="0"/>
          <w:sz w:val="32"/>
          <w:szCs w:val="32"/>
        </w:rPr>
        <w:t>2.</w:t>
      </w:r>
      <w:r>
        <w:rPr>
          <w:rFonts w:hint="eastAsia"/>
        </w:rPr>
        <w:t xml:space="preserve"> </w:t>
      </w:r>
      <w:r>
        <w:rPr>
          <w:rFonts w:hint="eastAsia" w:ascii="仿宋_GB2312" w:hAnsi="宋体" w:eastAsia="仿宋_GB2312" w:cs="宋体"/>
          <w:color w:val="000000"/>
          <w:kern w:val="0"/>
          <w:sz w:val="32"/>
          <w:szCs w:val="32"/>
        </w:rPr>
        <w:t>北京市人民检察院第四分院安检安保工作费用项目绩效目标完成情况及收支明细表</w:t>
      </w:r>
    </w:p>
    <w:p>
      <w:pPr>
        <w:spacing w:line="56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3.</w:t>
      </w:r>
      <w:r>
        <w:rPr>
          <w:rFonts w:hint="eastAsia"/>
        </w:rPr>
        <w:t xml:space="preserve"> </w:t>
      </w:r>
      <w:r>
        <w:rPr>
          <w:rFonts w:hint="eastAsia" w:ascii="仿宋_GB2312" w:hAnsi="宋体" w:eastAsia="仿宋_GB2312" w:cs="宋体"/>
          <w:color w:val="000000"/>
          <w:kern w:val="0"/>
          <w:sz w:val="32"/>
          <w:szCs w:val="32"/>
        </w:rPr>
        <w:t>北京市人民检察院第四分院安检安保工作费用项目支出绩效评价指标体系</w:t>
      </w:r>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ascii="宋体" w:hAnsi="宋体"/>
        <w:sz w:val="28"/>
        <w:szCs w:val="28"/>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086589574" name="文本框 10865895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s0lY7tAAAAAFAQAADwAAAAAAAAAB&#10;ACAAAAAiAAAAZHJzL2Rvd25yZXYueG1sUEsBAhQAFAAAAAgAh07iQLeG4ToYAgAAGQQAAA4AAAAA&#10;AAAAAQAgAAAAHwEAAGRycy9lMm9Eb2MueG1sUEsFBgAAAAAGAAYAWQEAAKkFAAAAAA==&#10;">
              <v:fill on="f" focussize="0,0"/>
              <v:stroke on="f" weight="0.5pt"/>
              <v:imagedata o:title=""/>
              <o:lock v:ext="edit" aspectratio="f"/>
              <v:textbox inset="0mm,0mm,0mm,0mm" style="mso-fit-shape-to-text:t;">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ECE6B"/>
    <w:multiLevelType w:val="singleLevel"/>
    <w:tmpl w:val="2A9ECE6B"/>
    <w:lvl w:ilvl="0" w:tentative="0">
      <w:start w:val="3"/>
      <w:numFmt w:val="decimal"/>
      <w:suff w:val="nothing"/>
      <w:lvlText w:val="（%1）"/>
      <w:lvlJc w:val="left"/>
    </w:lvl>
  </w:abstractNum>
  <w:abstractNum w:abstractNumId="1">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4"/>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1MDE2YTI2YWQwYzljNTY3NjA0OTIyMjJiYTQ3ZjAifQ=="/>
  </w:docVars>
  <w:rsids>
    <w:rsidRoot w:val="F77F09F4"/>
    <w:rsid w:val="00002651"/>
    <w:rsid w:val="00003AFC"/>
    <w:rsid w:val="000118B1"/>
    <w:rsid w:val="00053015"/>
    <w:rsid w:val="000A4315"/>
    <w:rsid w:val="000B0B30"/>
    <w:rsid w:val="000D4F82"/>
    <w:rsid w:val="000D654C"/>
    <w:rsid w:val="000F7BB5"/>
    <w:rsid w:val="00102FF5"/>
    <w:rsid w:val="001038FF"/>
    <w:rsid w:val="00104C93"/>
    <w:rsid w:val="001427A3"/>
    <w:rsid w:val="00144231"/>
    <w:rsid w:val="00146223"/>
    <w:rsid w:val="001518DD"/>
    <w:rsid w:val="0017025C"/>
    <w:rsid w:val="0018432F"/>
    <w:rsid w:val="001D165E"/>
    <w:rsid w:val="001F60CE"/>
    <w:rsid w:val="00224046"/>
    <w:rsid w:val="00240087"/>
    <w:rsid w:val="00253E97"/>
    <w:rsid w:val="002549DB"/>
    <w:rsid w:val="00267BD4"/>
    <w:rsid w:val="00295185"/>
    <w:rsid w:val="002E4981"/>
    <w:rsid w:val="003272F6"/>
    <w:rsid w:val="00353464"/>
    <w:rsid w:val="0036327F"/>
    <w:rsid w:val="00374F09"/>
    <w:rsid w:val="00375CA1"/>
    <w:rsid w:val="00393444"/>
    <w:rsid w:val="003C220B"/>
    <w:rsid w:val="003F2DED"/>
    <w:rsid w:val="004A18A4"/>
    <w:rsid w:val="004A2785"/>
    <w:rsid w:val="004B1297"/>
    <w:rsid w:val="004B251E"/>
    <w:rsid w:val="004C10D6"/>
    <w:rsid w:val="004E58F4"/>
    <w:rsid w:val="0051048B"/>
    <w:rsid w:val="00523F35"/>
    <w:rsid w:val="005343F3"/>
    <w:rsid w:val="005574D0"/>
    <w:rsid w:val="005666ED"/>
    <w:rsid w:val="00570A8D"/>
    <w:rsid w:val="00572D67"/>
    <w:rsid w:val="00583CF3"/>
    <w:rsid w:val="005843B2"/>
    <w:rsid w:val="005C114D"/>
    <w:rsid w:val="005C2086"/>
    <w:rsid w:val="005C3EDD"/>
    <w:rsid w:val="005E015B"/>
    <w:rsid w:val="005E0B2A"/>
    <w:rsid w:val="0062055E"/>
    <w:rsid w:val="00657537"/>
    <w:rsid w:val="006638C3"/>
    <w:rsid w:val="006973A9"/>
    <w:rsid w:val="00723071"/>
    <w:rsid w:val="007A42FF"/>
    <w:rsid w:val="007A4E0A"/>
    <w:rsid w:val="007A645D"/>
    <w:rsid w:val="007C2568"/>
    <w:rsid w:val="007D1FA3"/>
    <w:rsid w:val="007D575A"/>
    <w:rsid w:val="007D66CA"/>
    <w:rsid w:val="007E701A"/>
    <w:rsid w:val="007F238A"/>
    <w:rsid w:val="00813C23"/>
    <w:rsid w:val="008343DF"/>
    <w:rsid w:val="00884599"/>
    <w:rsid w:val="00884A25"/>
    <w:rsid w:val="008C1689"/>
    <w:rsid w:val="008C35E8"/>
    <w:rsid w:val="00901249"/>
    <w:rsid w:val="0092269D"/>
    <w:rsid w:val="00963068"/>
    <w:rsid w:val="009847F4"/>
    <w:rsid w:val="009B23CD"/>
    <w:rsid w:val="009C194D"/>
    <w:rsid w:val="009C27CC"/>
    <w:rsid w:val="009F2367"/>
    <w:rsid w:val="00A008DD"/>
    <w:rsid w:val="00A308F0"/>
    <w:rsid w:val="00A5523C"/>
    <w:rsid w:val="00A6720A"/>
    <w:rsid w:val="00A80A14"/>
    <w:rsid w:val="00A83CE8"/>
    <w:rsid w:val="00A959DC"/>
    <w:rsid w:val="00AB75ED"/>
    <w:rsid w:val="00AC4696"/>
    <w:rsid w:val="00AF65AC"/>
    <w:rsid w:val="00B11CAF"/>
    <w:rsid w:val="00B160A7"/>
    <w:rsid w:val="00B16D6B"/>
    <w:rsid w:val="00B16D7B"/>
    <w:rsid w:val="00B4533E"/>
    <w:rsid w:val="00B50865"/>
    <w:rsid w:val="00B52151"/>
    <w:rsid w:val="00B67E28"/>
    <w:rsid w:val="00B7796F"/>
    <w:rsid w:val="00B960CB"/>
    <w:rsid w:val="00B9755B"/>
    <w:rsid w:val="00BE436A"/>
    <w:rsid w:val="00BE7AE9"/>
    <w:rsid w:val="00C051A3"/>
    <w:rsid w:val="00C22032"/>
    <w:rsid w:val="00C225AE"/>
    <w:rsid w:val="00C50AA4"/>
    <w:rsid w:val="00C57290"/>
    <w:rsid w:val="00C62D6A"/>
    <w:rsid w:val="00C643FE"/>
    <w:rsid w:val="00CA5CD7"/>
    <w:rsid w:val="00CE2CF7"/>
    <w:rsid w:val="00CE79EB"/>
    <w:rsid w:val="00CF3847"/>
    <w:rsid w:val="00CF7137"/>
    <w:rsid w:val="00D416B7"/>
    <w:rsid w:val="00D41A22"/>
    <w:rsid w:val="00D6371D"/>
    <w:rsid w:val="00D74FCD"/>
    <w:rsid w:val="00D860A4"/>
    <w:rsid w:val="00DA66D3"/>
    <w:rsid w:val="00DD7B09"/>
    <w:rsid w:val="00DE1561"/>
    <w:rsid w:val="00E073E2"/>
    <w:rsid w:val="00E32C4F"/>
    <w:rsid w:val="00E55977"/>
    <w:rsid w:val="00EF184A"/>
    <w:rsid w:val="00F145BB"/>
    <w:rsid w:val="00F27CC6"/>
    <w:rsid w:val="00F6229D"/>
    <w:rsid w:val="00F92D6A"/>
    <w:rsid w:val="00FC1169"/>
    <w:rsid w:val="01967CAD"/>
    <w:rsid w:val="02227179"/>
    <w:rsid w:val="0ECF9C51"/>
    <w:rsid w:val="17903586"/>
    <w:rsid w:val="1FFE75C6"/>
    <w:rsid w:val="207D3BBA"/>
    <w:rsid w:val="209E4A95"/>
    <w:rsid w:val="28B9421C"/>
    <w:rsid w:val="34DC52D7"/>
    <w:rsid w:val="37173543"/>
    <w:rsid w:val="3FF76880"/>
    <w:rsid w:val="5094673E"/>
    <w:rsid w:val="53D678A9"/>
    <w:rsid w:val="54483EC0"/>
    <w:rsid w:val="564502EC"/>
    <w:rsid w:val="651F1DD5"/>
    <w:rsid w:val="65CE758C"/>
    <w:rsid w:val="6B2153A9"/>
    <w:rsid w:val="6B735D1B"/>
    <w:rsid w:val="6F8E6F5F"/>
    <w:rsid w:val="70EF34C4"/>
    <w:rsid w:val="73321E06"/>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qFormat/>
    <w:uiPriority w:val="0"/>
    <w:pPr>
      <w:keepNext/>
      <w:keepLines/>
      <w:numPr>
        <w:ilvl w:val="3"/>
        <w:numId w:val="1"/>
      </w:numPr>
      <w:spacing w:before="280" w:after="290" w:line="374" w:lineRule="auto"/>
      <w:outlineLvl w:val="3"/>
    </w:pPr>
    <w:rPr>
      <w:rFonts w:ascii="Arial" w:hAnsi="Arial" w:eastAsia="黑体"/>
      <w:b/>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semiHidden/>
    <w:unhideWhenUsed/>
    <w:qFormat/>
    <w:uiPriority w:val="0"/>
    <w:pPr>
      <w:jc w:val="left"/>
    </w:pPr>
  </w:style>
  <w:style w:type="paragraph" w:styleId="6">
    <w:name w:val="Body Text Indent"/>
    <w:basedOn w:val="1"/>
    <w:link w:val="19"/>
    <w:semiHidden/>
    <w:unhideWhenUsed/>
    <w:qFormat/>
    <w:uiPriority w:val="0"/>
    <w:pPr>
      <w:spacing w:after="120"/>
      <w:ind w:left="420" w:leftChars="200"/>
    </w:pPr>
  </w:style>
  <w:style w:type="paragraph" w:styleId="7">
    <w:name w:val="Balloon Text"/>
    <w:basedOn w:val="1"/>
    <w:link w:val="24"/>
    <w:semiHidden/>
    <w:unhideWhenUsed/>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Body Text First Indent 2"/>
    <w:basedOn w:val="6"/>
    <w:link w:val="20"/>
    <w:qFormat/>
    <w:uiPriority w:val="99"/>
    <w:pPr>
      <w:spacing w:after="360"/>
      <w:ind w:left="0" w:leftChars="0" w:firstLine="420" w:firstLineChars="200"/>
    </w:pPr>
    <w:rPr>
      <w:rFonts w:eastAsia="仿宋_GB2312"/>
      <w:kern w:val="1"/>
      <w:sz w:val="32"/>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character" w:styleId="14">
    <w:name w:val="page number"/>
    <w:basedOn w:val="13"/>
    <w:qFormat/>
    <w:uiPriority w:val="0"/>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styleId="16">
    <w:name w:val="annotation reference"/>
    <w:basedOn w:val="13"/>
    <w:semiHidden/>
    <w:unhideWhenUsed/>
    <w:qFormat/>
    <w:uiPriority w:val="0"/>
    <w:rPr>
      <w:sz w:val="21"/>
      <w:szCs w:val="21"/>
    </w:rPr>
  </w:style>
  <w:style w:type="paragraph" w:customStyle="1" w:styleId="18">
    <w:name w:val="列出段落1"/>
    <w:basedOn w:val="1"/>
    <w:qFormat/>
    <w:uiPriority w:val="34"/>
    <w:pPr>
      <w:ind w:firstLine="420" w:firstLineChars="200"/>
    </w:pPr>
    <w:rPr>
      <w:rFonts w:ascii="Calibri" w:hAnsi="Calibri" w:cs="黑体"/>
      <w:szCs w:val="22"/>
    </w:rPr>
  </w:style>
  <w:style w:type="character" w:customStyle="1" w:styleId="19">
    <w:name w:val="正文文本缩进 字符"/>
    <w:basedOn w:val="13"/>
    <w:link w:val="6"/>
    <w:semiHidden/>
    <w:qFormat/>
    <w:uiPriority w:val="0"/>
    <w:rPr>
      <w:rFonts w:ascii="Times New Roman" w:hAnsi="Times New Roman" w:eastAsia="宋体" w:cs="Times New Roman"/>
      <w:kern w:val="2"/>
      <w:sz w:val="21"/>
      <w:szCs w:val="24"/>
    </w:rPr>
  </w:style>
  <w:style w:type="character" w:customStyle="1" w:styleId="20">
    <w:name w:val="正文文本首行缩进 2 字符"/>
    <w:basedOn w:val="19"/>
    <w:link w:val="9"/>
    <w:qFormat/>
    <w:uiPriority w:val="99"/>
    <w:rPr>
      <w:rFonts w:ascii="Times New Roman" w:hAnsi="Times New Roman" w:eastAsia="仿宋_GB2312" w:cs="Times New Roman"/>
      <w:kern w:val="1"/>
      <w:sz w:val="32"/>
      <w:szCs w:val="24"/>
    </w:rPr>
  </w:style>
  <w:style w:type="paragraph" w:styleId="21">
    <w:name w:val="List Paragraph"/>
    <w:basedOn w:val="1"/>
    <w:unhideWhenUsed/>
    <w:qFormat/>
    <w:uiPriority w:val="99"/>
    <w:pPr>
      <w:ind w:firstLine="420" w:firstLineChars="200"/>
    </w:pPr>
  </w:style>
  <w:style w:type="character" w:customStyle="1" w:styleId="22">
    <w:name w:val="标题 1 字符"/>
    <w:basedOn w:val="13"/>
    <w:link w:val="2"/>
    <w:qFormat/>
    <w:uiPriority w:val="0"/>
    <w:rPr>
      <w:rFonts w:ascii="Times New Roman" w:hAnsi="Times New Roman" w:eastAsia="宋体" w:cs="Times New Roman"/>
      <w:b/>
      <w:bCs/>
      <w:kern w:val="44"/>
      <w:sz w:val="44"/>
      <w:szCs w:val="44"/>
    </w:rPr>
  </w:style>
  <w:style w:type="paragraph" w:customStyle="1" w:styleId="2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4">
    <w:name w:val="批注框文本 字符"/>
    <w:basedOn w:val="13"/>
    <w:link w:val="7"/>
    <w:semiHidden/>
    <w:qFormat/>
    <w:uiPriority w:val="0"/>
    <w:rPr>
      <w:rFonts w:ascii="Times New Roman" w:hAnsi="Times New Roman" w:eastAsia="宋体" w:cs="Times New Roman"/>
      <w:kern w:val="2"/>
      <w:sz w:val="18"/>
      <w:szCs w:val="18"/>
    </w:rPr>
  </w:style>
  <w:style w:type="paragraph" w:customStyle="1" w:styleId="25">
    <w:name w:val="修订1"/>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E2B812-43C5-436F-BADB-343F688CEB17}">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3617</Words>
  <Characters>3798</Characters>
  <Lines>292</Lines>
  <Paragraphs>274</Paragraphs>
  <TotalTime>8</TotalTime>
  <ScaleCrop>false</ScaleCrop>
  <LinksUpToDate>false</LinksUpToDate>
  <CharactersWithSpaces>7141</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Administrator</cp:lastModifiedBy>
  <cp:lastPrinted>2025-08-26T04:16:00Z</cp:lastPrinted>
  <dcterms:modified xsi:type="dcterms:W3CDTF">2025-08-27T02:49:49Z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C1B4F57D0E0345879994EE44349098ED_12</vt:lpwstr>
  </property>
  <property fmtid="{D5CDD505-2E9C-101B-9397-08002B2CF9AE}" pid="4" name="KSOTemplateDocerSaveRecord">
    <vt:lpwstr>eyJoZGlkIjoiYzkxNzRmZDRlNzc1NjdlMThhYWYwZjZkNmM4MDIzOTIiLCJ1c2VySWQiOiIzMDY5Mjk4NDUifQ==</vt:lpwstr>
  </property>
</Properties>
</file>