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0" w:beforeLines="500"/>
        <w:ind w:firstLine="883"/>
        <w:jc w:val="center"/>
        <w:rPr>
          <w:rFonts w:hint="eastAsia"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北京市人民检察院第二分院</w:t>
      </w:r>
    </w:p>
    <w:p>
      <w:pPr>
        <w:ind w:firstLine="883"/>
        <w:jc w:val="center"/>
        <w:rPr>
          <w:rFonts w:hint="eastAsia"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2024年度部门整体绩效评价报告</w:t>
      </w:r>
    </w:p>
    <w:p>
      <w:pPr>
        <w:spacing w:line="560" w:lineRule="exact"/>
        <w:ind w:firstLine="720"/>
        <w:jc w:val="center"/>
        <w:rPr>
          <w:rFonts w:hint="eastAsia" w:ascii="方正小标宋_GBK" w:hAnsi="方正小标宋_GBK" w:eastAsia="方正小标宋_GBK" w:cs="方正小标宋_GBK"/>
          <w:sz w:val="36"/>
          <w:szCs w:val="36"/>
        </w:rPr>
      </w:pPr>
    </w:p>
    <w:p>
      <w:pPr>
        <w:pStyle w:val="9"/>
        <w:ind w:firstLine="720"/>
        <w:rPr>
          <w:rFonts w:ascii="方正小标宋简体" w:eastAsia="方正小标宋简体"/>
          <w:sz w:val="36"/>
          <w:szCs w:val="36"/>
        </w:rPr>
      </w:pPr>
    </w:p>
    <w:p>
      <w:pPr>
        <w:pStyle w:val="9"/>
        <w:ind w:firstLine="720"/>
        <w:rPr>
          <w:rFonts w:ascii="方正小标宋简体" w:eastAsia="方正小标宋简体"/>
          <w:sz w:val="36"/>
          <w:szCs w:val="36"/>
        </w:rPr>
      </w:pPr>
    </w:p>
    <w:p>
      <w:pPr>
        <w:pStyle w:val="9"/>
        <w:ind w:firstLine="720"/>
        <w:rPr>
          <w:rFonts w:ascii="方正小标宋简体" w:eastAsia="方正小标宋简体"/>
          <w:sz w:val="36"/>
          <w:szCs w:val="36"/>
        </w:rPr>
      </w:pPr>
    </w:p>
    <w:p>
      <w:pPr>
        <w:pStyle w:val="9"/>
        <w:ind w:firstLine="720"/>
        <w:rPr>
          <w:rFonts w:ascii="方正小标宋简体" w:eastAsia="方正小标宋简体"/>
          <w:sz w:val="36"/>
          <w:szCs w:val="36"/>
        </w:rPr>
      </w:pPr>
    </w:p>
    <w:p>
      <w:pPr>
        <w:pStyle w:val="9"/>
        <w:ind w:firstLine="720"/>
        <w:rPr>
          <w:rFonts w:ascii="方正小标宋简体" w:eastAsia="方正小标宋简体"/>
          <w:sz w:val="36"/>
          <w:szCs w:val="36"/>
        </w:rPr>
      </w:pPr>
    </w:p>
    <w:p>
      <w:pPr>
        <w:pStyle w:val="9"/>
        <w:ind w:firstLine="720"/>
        <w:rPr>
          <w:rFonts w:ascii="方正小标宋简体" w:eastAsia="方正小标宋简体"/>
          <w:sz w:val="36"/>
          <w:szCs w:val="36"/>
        </w:rPr>
      </w:pPr>
    </w:p>
    <w:p>
      <w:pPr>
        <w:pStyle w:val="9"/>
        <w:ind w:firstLine="720"/>
        <w:rPr>
          <w:rFonts w:ascii="方正小标宋简体" w:eastAsia="方正小标宋简体"/>
          <w:sz w:val="36"/>
          <w:szCs w:val="36"/>
        </w:rPr>
      </w:pPr>
    </w:p>
    <w:p>
      <w:pPr>
        <w:ind w:firstLine="883"/>
        <w:jc w:val="center"/>
        <w:rPr>
          <w:rFonts w:hint="eastAsia" w:ascii="方正小标宋_GBK" w:hAnsi="方正小标宋_GBK" w:eastAsia="方正小标宋_GBK" w:cs="方正小标宋_GBK"/>
          <w:b/>
          <w:bCs/>
          <w:sz w:val="44"/>
          <w:szCs w:val="44"/>
        </w:rPr>
        <w:sectPr>
          <w:footerReference r:id="rId3" w:type="default"/>
          <w:pgSz w:w="11906" w:h="16838"/>
          <w:pgMar w:top="1440" w:right="1800" w:bottom="1440" w:left="1800" w:header="851" w:footer="567" w:gutter="0"/>
          <w:pgNumType w:fmt="numberInDash"/>
          <w:cols w:space="425" w:num="1"/>
          <w:titlePg/>
          <w:docGrid w:type="lines" w:linePitch="312" w:charSpace="0"/>
        </w:sectPr>
      </w:pPr>
      <w:r>
        <w:rPr>
          <w:rFonts w:hint="eastAsia" w:ascii="方正小标宋_GBK" w:hAnsi="方正小标宋_GBK" w:eastAsia="方正小标宋_GBK" w:cs="方正小标宋_GBK"/>
          <w:b/>
          <w:bCs/>
          <w:sz w:val="44"/>
          <w:szCs w:val="44"/>
        </w:rPr>
        <w:t>2025年5月</w:t>
      </w:r>
    </w:p>
    <w:sdt>
      <w:sdtPr>
        <w:rPr>
          <w:rFonts w:ascii="宋体" w:hAnsi="宋体"/>
        </w:rPr>
        <w:id w:val="147473636"/>
        <w:docPartObj>
          <w:docPartGallery w:val="Table of Contents"/>
          <w:docPartUnique/>
        </w:docPartObj>
      </w:sdtPr>
      <w:sdtEndPr>
        <w:rPr>
          <w:rFonts w:hint="eastAsia" w:ascii="仿宋_GB2312" w:hAnsi="仿宋_GB2312" w:eastAsia="仿宋_GB2312" w:cs="仿宋_GB2312"/>
          <w:bCs/>
          <w:kern w:val="0"/>
          <w:sz w:val="28"/>
          <w:szCs w:val="28"/>
        </w:rPr>
      </w:sdtEndPr>
      <w:sdtContent>
        <w:p>
          <w:pPr>
            <w:spacing w:line="480" w:lineRule="auto"/>
            <w:ind w:left="160" w:firstLine="420"/>
            <w:jc w:val="center"/>
            <w:rPr>
              <w:rFonts w:ascii="仿宋_GB2312" w:eastAsia="仿宋_GB2312"/>
              <w:sz w:val="44"/>
              <w:szCs w:val="44"/>
              <w:lang w:val="zh-CN"/>
            </w:rPr>
          </w:pPr>
          <w:r>
            <w:rPr>
              <w:rFonts w:ascii="仿宋_GB2312" w:eastAsia="仿宋_GB2312"/>
              <w:sz w:val="44"/>
              <w:szCs w:val="44"/>
              <w:lang w:val="zh-CN"/>
            </w:rPr>
            <w:t>目</w:t>
          </w:r>
          <w:r>
            <w:rPr>
              <w:rFonts w:hint="eastAsia" w:ascii="仿宋_GB2312" w:eastAsia="仿宋_GB2312"/>
              <w:sz w:val="44"/>
              <w:szCs w:val="44"/>
              <w:lang w:val="zh-CN"/>
            </w:rPr>
            <w:t xml:space="preserve">  </w:t>
          </w:r>
          <w:r>
            <w:rPr>
              <w:rFonts w:ascii="仿宋_GB2312" w:eastAsia="仿宋_GB2312"/>
              <w:sz w:val="44"/>
              <w:szCs w:val="44"/>
              <w:lang w:val="zh-CN"/>
            </w:rPr>
            <w:t>录</w:t>
          </w:r>
        </w:p>
        <w:p>
          <w:pPr>
            <w:pStyle w:val="7"/>
            <w:tabs>
              <w:tab w:val="right" w:leader="dot" w:pos="8296"/>
            </w:tabs>
            <w:ind w:firstLine="482"/>
            <w:rPr>
              <w:rFonts w:asciiTheme="minorHAnsi" w:hAnsiTheme="minorHAnsi" w:eastAsiaTheme="minorEastAsia" w:cstheme="minorBidi"/>
              <w:sz w:val="24"/>
              <w14:ligatures w14:val="standardContextual"/>
            </w:rPr>
          </w:pPr>
          <w:r>
            <w:rPr>
              <w:rFonts w:hint="eastAsia" w:ascii="仿宋_GB2312" w:hAnsi="仿宋_GB2312" w:eastAsia="仿宋_GB2312" w:cs="仿宋_GB2312"/>
              <w:b/>
              <w:bCs/>
              <w:kern w:val="0"/>
              <w:sz w:val="24"/>
            </w:rPr>
            <w:fldChar w:fldCharType="begin"/>
          </w:r>
          <w:r>
            <w:rPr>
              <w:rStyle w:val="14"/>
              <w:rFonts w:hint="eastAsia" w:ascii="仿宋_GB2312" w:hAnsi="仿宋_GB2312" w:eastAsia="仿宋_GB2312" w:cs="仿宋_GB2312"/>
              <w:b/>
              <w:bCs/>
              <w:color w:val="auto"/>
              <w:kern w:val="0"/>
              <w:sz w:val="24"/>
            </w:rPr>
            <w:instrText xml:space="preserve"> TOC \o "1-3" \h \z \u </w:instrText>
          </w:r>
          <w:r>
            <w:rPr>
              <w:rFonts w:hint="eastAsia" w:ascii="仿宋_GB2312" w:hAnsi="仿宋_GB2312" w:eastAsia="仿宋_GB2312" w:cs="仿宋_GB2312"/>
              <w:b/>
              <w:bCs/>
              <w:kern w:val="0"/>
              <w:sz w:val="24"/>
            </w:rPr>
            <w:fldChar w:fldCharType="separate"/>
          </w:r>
          <w:r>
            <w:fldChar w:fldCharType="begin"/>
          </w:r>
          <w:r>
            <w:instrText xml:space="preserve"> HYPERLINK \l "_Toc195560255" </w:instrText>
          </w:r>
          <w:r>
            <w:fldChar w:fldCharType="separate"/>
          </w:r>
          <w:r>
            <w:rPr>
              <w:rStyle w:val="14"/>
              <w:rFonts w:hint="eastAsia" w:ascii="黑体" w:hAnsi="黑体" w:eastAsia="黑体" w:cs="宋体"/>
              <w:kern w:val="0"/>
              <w:sz w:val="24"/>
            </w:rPr>
            <w:t>一、部门概况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_Toc195560255 \h</w:instrText>
          </w:r>
          <w:r>
            <w:rPr>
              <w:rFonts w:hint="eastAsia"/>
              <w:sz w:val="24"/>
            </w:rPr>
            <w:instrText xml:space="preserve"> </w:instrText>
          </w:r>
          <w:r>
            <w:rPr>
              <w:rFonts w:hint="eastAsia"/>
              <w:sz w:val="24"/>
            </w:rPr>
            <w:fldChar w:fldCharType="separate"/>
          </w:r>
          <w:r>
            <w:rPr>
              <w:sz w:val="24"/>
            </w:rPr>
            <w:t>- 1 -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"_Toc195560256" </w:instrText>
          </w:r>
          <w:r>
            <w:fldChar w:fldCharType="separate"/>
          </w:r>
          <w:r>
            <w:rPr>
              <w:rStyle w:val="14"/>
              <w:rFonts w:hint="eastAsia" w:ascii="楷体_GB2312" w:eastAsia="楷体_GB2312"/>
              <w:sz w:val="24"/>
            </w:rPr>
            <w:t>（一）机构设置及职责工作任务情况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_Toc195560256 \h</w:instrText>
          </w:r>
          <w:r>
            <w:rPr>
              <w:rFonts w:hint="eastAsia"/>
              <w:sz w:val="24"/>
            </w:rPr>
            <w:instrText xml:space="preserve"> </w:instrText>
          </w:r>
          <w:r>
            <w:rPr>
              <w:rFonts w:hint="eastAsia"/>
              <w:sz w:val="24"/>
            </w:rPr>
            <w:fldChar w:fldCharType="separate"/>
          </w:r>
          <w:r>
            <w:rPr>
              <w:sz w:val="24"/>
            </w:rPr>
            <w:t>- 1 -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"_Toc195560257" </w:instrText>
          </w:r>
          <w:r>
            <w:fldChar w:fldCharType="separate"/>
          </w:r>
          <w:r>
            <w:rPr>
              <w:rStyle w:val="14"/>
              <w:rFonts w:hint="eastAsia" w:ascii="楷体_GB2312" w:eastAsia="楷体_GB2312"/>
              <w:sz w:val="24"/>
            </w:rPr>
            <w:t>（二）部门整体绩效目标设立情况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_Toc195560257 \h</w:instrText>
          </w:r>
          <w:r>
            <w:rPr>
              <w:rFonts w:hint="eastAsia"/>
              <w:sz w:val="24"/>
            </w:rPr>
            <w:instrText xml:space="preserve"> </w:instrText>
          </w:r>
          <w:r>
            <w:rPr>
              <w:rFonts w:hint="eastAsia"/>
              <w:sz w:val="24"/>
            </w:rPr>
            <w:fldChar w:fldCharType="separate"/>
          </w:r>
          <w:r>
            <w:rPr>
              <w:sz w:val="24"/>
            </w:rPr>
            <w:t>- 2 -</w:t>
          </w:r>
          <w:r>
            <w:rPr>
              <w:rFonts w:hint="eastAsia"/>
              <w:sz w:val="24"/>
            </w:rPr>
            <w:fldChar w:fldCharType="end"/>
          </w:r>
          <w:r>
            <w:rPr>
              <w:rFonts w:hint="eastAsia"/>
              <w:sz w:val="24"/>
            </w:rPr>
            <w:fldChar w:fldCharType="end"/>
          </w:r>
        </w:p>
        <w:p>
          <w:pPr>
            <w:pStyle w:val="7"/>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"_Toc195560258" </w:instrText>
          </w:r>
          <w:r>
            <w:fldChar w:fldCharType="separate"/>
          </w:r>
          <w:r>
            <w:rPr>
              <w:rStyle w:val="14"/>
              <w:rFonts w:hint="eastAsia" w:ascii="黑体" w:hAnsi="黑体" w:eastAsia="黑体" w:cs="宋体"/>
              <w:kern w:val="0"/>
              <w:sz w:val="24"/>
            </w:rPr>
            <w:t>二、当年预算执行情况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_Toc195560258 \h</w:instrText>
          </w:r>
          <w:r>
            <w:rPr>
              <w:rFonts w:hint="eastAsia"/>
              <w:sz w:val="24"/>
            </w:rPr>
            <w:instrText xml:space="preserve"> </w:instrText>
          </w:r>
          <w:r>
            <w:rPr>
              <w:rFonts w:hint="eastAsia"/>
              <w:sz w:val="24"/>
            </w:rPr>
            <w:fldChar w:fldCharType="separate"/>
          </w:r>
          <w:r>
            <w:rPr>
              <w:sz w:val="24"/>
            </w:rPr>
            <w:t>- 4 -</w:t>
          </w:r>
          <w:r>
            <w:rPr>
              <w:rFonts w:hint="eastAsia"/>
              <w:sz w:val="24"/>
            </w:rPr>
            <w:fldChar w:fldCharType="end"/>
          </w:r>
          <w:r>
            <w:rPr>
              <w:rFonts w:hint="eastAsia"/>
              <w:sz w:val="24"/>
            </w:rPr>
            <w:fldChar w:fldCharType="end"/>
          </w:r>
        </w:p>
        <w:p>
          <w:pPr>
            <w:pStyle w:val="7"/>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"_Toc195560259" </w:instrText>
          </w:r>
          <w:r>
            <w:fldChar w:fldCharType="separate"/>
          </w:r>
          <w:r>
            <w:rPr>
              <w:rStyle w:val="14"/>
              <w:rFonts w:hint="eastAsia" w:ascii="黑体" w:hAnsi="黑体" w:eastAsia="黑体" w:cs="宋体"/>
              <w:kern w:val="0"/>
              <w:sz w:val="24"/>
            </w:rPr>
            <w:t>三、整体绩效目标实现情况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_Toc195560259 \h</w:instrText>
          </w:r>
          <w:r>
            <w:rPr>
              <w:rFonts w:hint="eastAsia"/>
              <w:sz w:val="24"/>
            </w:rPr>
            <w:instrText xml:space="preserve"> </w:instrText>
          </w:r>
          <w:r>
            <w:rPr>
              <w:rFonts w:hint="eastAsia"/>
              <w:sz w:val="24"/>
            </w:rPr>
            <w:fldChar w:fldCharType="separate"/>
          </w:r>
          <w:r>
            <w:rPr>
              <w:sz w:val="24"/>
            </w:rPr>
            <w:t>- 4 -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"_Toc195560260" </w:instrText>
          </w:r>
          <w:r>
            <w:fldChar w:fldCharType="separate"/>
          </w:r>
          <w:r>
            <w:rPr>
              <w:rStyle w:val="14"/>
              <w:rFonts w:hint="eastAsia" w:ascii="楷体_GB2312" w:eastAsia="楷体_GB2312"/>
              <w:sz w:val="24"/>
            </w:rPr>
            <w:t>（一）产出完成情况分析</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_Toc195560260 \h</w:instrText>
          </w:r>
          <w:r>
            <w:rPr>
              <w:rFonts w:hint="eastAsia"/>
              <w:sz w:val="24"/>
            </w:rPr>
            <w:instrText xml:space="preserve"> </w:instrText>
          </w:r>
          <w:r>
            <w:rPr>
              <w:rFonts w:hint="eastAsia"/>
              <w:sz w:val="24"/>
            </w:rPr>
            <w:fldChar w:fldCharType="separate"/>
          </w:r>
          <w:r>
            <w:rPr>
              <w:sz w:val="24"/>
            </w:rPr>
            <w:t>- 4 -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"_Toc195560261" </w:instrText>
          </w:r>
          <w:r>
            <w:fldChar w:fldCharType="separate"/>
          </w:r>
          <w:r>
            <w:rPr>
              <w:rStyle w:val="14"/>
              <w:rFonts w:hint="eastAsia" w:ascii="楷体_GB2312" w:eastAsia="楷体_GB2312"/>
              <w:sz w:val="24"/>
            </w:rPr>
            <w:t>（二）效果实现情况分析</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_Toc195560261 \h</w:instrText>
          </w:r>
          <w:r>
            <w:rPr>
              <w:rFonts w:hint="eastAsia"/>
              <w:sz w:val="24"/>
            </w:rPr>
            <w:instrText xml:space="preserve"> </w:instrText>
          </w:r>
          <w:r>
            <w:rPr>
              <w:rFonts w:hint="eastAsia"/>
              <w:sz w:val="24"/>
            </w:rPr>
            <w:fldChar w:fldCharType="separate"/>
          </w:r>
          <w:r>
            <w:rPr>
              <w:sz w:val="24"/>
            </w:rPr>
            <w:t>- 9 -</w:t>
          </w:r>
          <w:r>
            <w:rPr>
              <w:rFonts w:hint="eastAsia"/>
              <w:sz w:val="24"/>
            </w:rPr>
            <w:fldChar w:fldCharType="end"/>
          </w:r>
          <w:r>
            <w:rPr>
              <w:rFonts w:hint="eastAsia"/>
              <w:sz w:val="24"/>
            </w:rPr>
            <w:fldChar w:fldCharType="end"/>
          </w:r>
        </w:p>
        <w:p>
          <w:pPr>
            <w:pStyle w:val="7"/>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"_Toc195560262" </w:instrText>
          </w:r>
          <w:r>
            <w:fldChar w:fldCharType="separate"/>
          </w:r>
          <w:r>
            <w:rPr>
              <w:rStyle w:val="14"/>
              <w:rFonts w:hint="eastAsia" w:ascii="黑体" w:hAnsi="黑体" w:eastAsia="黑体" w:cs="宋体"/>
              <w:kern w:val="0"/>
              <w:sz w:val="24"/>
            </w:rPr>
            <w:t>四、预算管理情况分析</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_Toc195560262 \h</w:instrText>
          </w:r>
          <w:r>
            <w:rPr>
              <w:rFonts w:hint="eastAsia"/>
              <w:sz w:val="24"/>
            </w:rPr>
            <w:instrText xml:space="preserve"> </w:instrText>
          </w:r>
          <w:r>
            <w:rPr>
              <w:rFonts w:hint="eastAsia"/>
              <w:sz w:val="24"/>
            </w:rPr>
            <w:fldChar w:fldCharType="separate"/>
          </w:r>
          <w:r>
            <w:rPr>
              <w:sz w:val="24"/>
            </w:rPr>
            <w:t>- 12 -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"_Toc195560263" </w:instrText>
          </w:r>
          <w:r>
            <w:fldChar w:fldCharType="separate"/>
          </w:r>
          <w:r>
            <w:rPr>
              <w:rStyle w:val="14"/>
              <w:rFonts w:hint="eastAsia" w:ascii="楷体_GB2312" w:eastAsia="楷体_GB2312"/>
              <w:sz w:val="24"/>
            </w:rPr>
            <w:t>（一）财务管理</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_Toc195560263 \h</w:instrText>
          </w:r>
          <w:r>
            <w:rPr>
              <w:rFonts w:hint="eastAsia"/>
              <w:sz w:val="24"/>
            </w:rPr>
            <w:instrText xml:space="preserve"> </w:instrText>
          </w:r>
          <w:r>
            <w:rPr>
              <w:rFonts w:hint="eastAsia"/>
              <w:sz w:val="24"/>
            </w:rPr>
            <w:fldChar w:fldCharType="separate"/>
          </w:r>
          <w:r>
            <w:rPr>
              <w:sz w:val="24"/>
            </w:rPr>
            <w:t>- 12 -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"_Toc195560264" </w:instrText>
          </w:r>
          <w:r>
            <w:fldChar w:fldCharType="separate"/>
          </w:r>
          <w:r>
            <w:rPr>
              <w:rStyle w:val="14"/>
              <w:rFonts w:hint="eastAsia" w:ascii="楷体_GB2312" w:eastAsia="楷体_GB2312"/>
              <w:sz w:val="24"/>
            </w:rPr>
            <w:t>（二）资产管理</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_Toc195560264 \h</w:instrText>
          </w:r>
          <w:r>
            <w:rPr>
              <w:rFonts w:hint="eastAsia"/>
              <w:sz w:val="24"/>
            </w:rPr>
            <w:instrText xml:space="preserve"> </w:instrText>
          </w:r>
          <w:r>
            <w:rPr>
              <w:rFonts w:hint="eastAsia"/>
              <w:sz w:val="24"/>
            </w:rPr>
            <w:fldChar w:fldCharType="separate"/>
          </w:r>
          <w:r>
            <w:rPr>
              <w:sz w:val="24"/>
            </w:rPr>
            <w:t>- 14 -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"_Toc195560265" </w:instrText>
          </w:r>
          <w:r>
            <w:fldChar w:fldCharType="separate"/>
          </w:r>
          <w:r>
            <w:rPr>
              <w:rStyle w:val="14"/>
              <w:rFonts w:hint="eastAsia" w:ascii="楷体_GB2312" w:eastAsia="楷体_GB2312"/>
              <w:sz w:val="24"/>
            </w:rPr>
            <w:t>（三）绩效管理</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_Toc195560265 \h</w:instrText>
          </w:r>
          <w:r>
            <w:rPr>
              <w:rFonts w:hint="eastAsia"/>
              <w:sz w:val="24"/>
            </w:rPr>
            <w:instrText xml:space="preserve"> </w:instrText>
          </w:r>
          <w:r>
            <w:rPr>
              <w:rFonts w:hint="eastAsia"/>
              <w:sz w:val="24"/>
            </w:rPr>
            <w:fldChar w:fldCharType="separate"/>
          </w:r>
          <w:r>
            <w:rPr>
              <w:sz w:val="24"/>
            </w:rPr>
            <w:t>- 15 -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"_Toc195560266" </w:instrText>
          </w:r>
          <w:r>
            <w:fldChar w:fldCharType="separate"/>
          </w:r>
          <w:r>
            <w:rPr>
              <w:rStyle w:val="14"/>
              <w:rFonts w:hint="eastAsia" w:ascii="楷体_GB2312" w:eastAsia="楷体_GB2312"/>
              <w:sz w:val="24"/>
            </w:rPr>
            <w:t>（四）结转结余率</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_Toc195560266 \h</w:instrText>
          </w:r>
          <w:r>
            <w:rPr>
              <w:rFonts w:hint="eastAsia"/>
              <w:sz w:val="24"/>
            </w:rPr>
            <w:instrText xml:space="preserve"> </w:instrText>
          </w:r>
          <w:r>
            <w:rPr>
              <w:rFonts w:hint="eastAsia"/>
              <w:sz w:val="24"/>
            </w:rPr>
            <w:fldChar w:fldCharType="separate"/>
          </w:r>
          <w:r>
            <w:rPr>
              <w:sz w:val="24"/>
            </w:rPr>
            <w:t>- 16 -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"_Toc195560267" </w:instrText>
          </w:r>
          <w:r>
            <w:fldChar w:fldCharType="separate"/>
          </w:r>
          <w:r>
            <w:rPr>
              <w:rStyle w:val="14"/>
              <w:rFonts w:hint="eastAsia" w:ascii="楷体_GB2312" w:eastAsia="楷体_GB2312"/>
              <w:sz w:val="24"/>
            </w:rPr>
            <w:t>（五）部门预决算差异率</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_Toc195560267 \h</w:instrText>
          </w:r>
          <w:r>
            <w:rPr>
              <w:rFonts w:hint="eastAsia"/>
              <w:sz w:val="24"/>
            </w:rPr>
            <w:instrText xml:space="preserve"> </w:instrText>
          </w:r>
          <w:r>
            <w:rPr>
              <w:rFonts w:hint="eastAsia"/>
              <w:sz w:val="24"/>
            </w:rPr>
            <w:fldChar w:fldCharType="separate"/>
          </w:r>
          <w:r>
            <w:rPr>
              <w:sz w:val="24"/>
            </w:rPr>
            <w:t>- 17 -</w:t>
          </w:r>
          <w:r>
            <w:rPr>
              <w:rFonts w:hint="eastAsia"/>
              <w:sz w:val="24"/>
            </w:rPr>
            <w:fldChar w:fldCharType="end"/>
          </w:r>
          <w:r>
            <w:rPr>
              <w:rFonts w:hint="eastAsia"/>
              <w:sz w:val="24"/>
            </w:rPr>
            <w:fldChar w:fldCharType="end"/>
          </w:r>
        </w:p>
        <w:p>
          <w:pPr>
            <w:pStyle w:val="7"/>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"_Toc195560268" </w:instrText>
          </w:r>
          <w:r>
            <w:fldChar w:fldCharType="separate"/>
          </w:r>
          <w:r>
            <w:rPr>
              <w:rStyle w:val="14"/>
              <w:rFonts w:hint="eastAsia" w:ascii="黑体" w:hAnsi="黑体" w:eastAsia="黑体" w:cs="宋体"/>
              <w:kern w:val="0"/>
              <w:sz w:val="24"/>
            </w:rPr>
            <w:t>五、总体评价结论</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_Toc195560268 \h</w:instrText>
          </w:r>
          <w:r>
            <w:rPr>
              <w:rFonts w:hint="eastAsia"/>
              <w:sz w:val="24"/>
            </w:rPr>
            <w:instrText xml:space="preserve"> </w:instrText>
          </w:r>
          <w:r>
            <w:rPr>
              <w:rFonts w:hint="eastAsia"/>
              <w:sz w:val="24"/>
            </w:rPr>
            <w:fldChar w:fldCharType="separate"/>
          </w:r>
          <w:r>
            <w:rPr>
              <w:sz w:val="24"/>
            </w:rPr>
            <w:t>- 17 -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"_Toc195560269" </w:instrText>
          </w:r>
          <w:r>
            <w:fldChar w:fldCharType="separate"/>
          </w:r>
          <w:r>
            <w:rPr>
              <w:rStyle w:val="14"/>
              <w:rFonts w:hint="eastAsia" w:ascii="楷体_GB2312" w:eastAsia="楷体_GB2312"/>
              <w:sz w:val="24"/>
            </w:rPr>
            <w:t>（一）评价得分情况</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_Toc195560269 \h</w:instrText>
          </w:r>
          <w:r>
            <w:rPr>
              <w:rFonts w:hint="eastAsia"/>
              <w:sz w:val="24"/>
            </w:rPr>
            <w:instrText xml:space="preserve"> </w:instrText>
          </w:r>
          <w:r>
            <w:rPr>
              <w:rFonts w:hint="eastAsia"/>
              <w:sz w:val="24"/>
            </w:rPr>
            <w:fldChar w:fldCharType="separate"/>
          </w:r>
          <w:r>
            <w:rPr>
              <w:sz w:val="24"/>
            </w:rPr>
            <w:t>- 17 -</w:t>
          </w:r>
          <w:r>
            <w:rPr>
              <w:rFonts w:hint="eastAsia"/>
              <w:sz w:val="24"/>
            </w:rPr>
            <w:fldChar w:fldCharType="end"/>
          </w:r>
          <w:r>
            <w:rPr>
              <w:rFonts w:hint="eastAsia"/>
              <w:sz w:val="24"/>
            </w:rPr>
            <w:fldChar w:fldCharType="end"/>
          </w:r>
        </w:p>
        <w:p>
          <w:pPr>
            <w:pStyle w:val="8"/>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"_Toc195560270" </w:instrText>
          </w:r>
          <w:r>
            <w:fldChar w:fldCharType="separate"/>
          </w:r>
          <w:r>
            <w:rPr>
              <w:rStyle w:val="14"/>
              <w:rFonts w:hint="eastAsia" w:ascii="楷体_GB2312" w:eastAsia="楷体_GB2312"/>
              <w:sz w:val="24"/>
            </w:rPr>
            <w:t>（二）存在的问题及原因分析</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_Toc195560270 \h</w:instrText>
          </w:r>
          <w:r>
            <w:rPr>
              <w:rFonts w:hint="eastAsia"/>
              <w:sz w:val="24"/>
            </w:rPr>
            <w:instrText xml:space="preserve"> </w:instrText>
          </w:r>
          <w:r>
            <w:rPr>
              <w:rFonts w:hint="eastAsia"/>
              <w:sz w:val="24"/>
            </w:rPr>
            <w:fldChar w:fldCharType="separate"/>
          </w:r>
          <w:r>
            <w:rPr>
              <w:sz w:val="24"/>
            </w:rPr>
            <w:t>- 17 -</w:t>
          </w:r>
          <w:r>
            <w:rPr>
              <w:rFonts w:hint="eastAsia"/>
              <w:sz w:val="24"/>
            </w:rPr>
            <w:fldChar w:fldCharType="end"/>
          </w:r>
          <w:r>
            <w:rPr>
              <w:rFonts w:hint="eastAsia"/>
              <w:sz w:val="24"/>
            </w:rPr>
            <w:fldChar w:fldCharType="end"/>
          </w:r>
        </w:p>
        <w:p>
          <w:pPr>
            <w:pStyle w:val="7"/>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"_Toc195560271" </w:instrText>
          </w:r>
          <w:r>
            <w:fldChar w:fldCharType="separate"/>
          </w:r>
          <w:r>
            <w:rPr>
              <w:rStyle w:val="14"/>
              <w:rFonts w:hint="eastAsia" w:ascii="黑体" w:hAnsi="黑体" w:eastAsia="黑体" w:cs="宋体"/>
              <w:kern w:val="0"/>
              <w:sz w:val="24"/>
            </w:rPr>
            <w:t>六、措施建议（整改措施、下一步工作举措）</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_Toc195560271 \h</w:instrText>
          </w:r>
          <w:r>
            <w:rPr>
              <w:rFonts w:hint="eastAsia"/>
              <w:sz w:val="24"/>
            </w:rPr>
            <w:instrText xml:space="preserve"> </w:instrText>
          </w:r>
          <w:r>
            <w:rPr>
              <w:rFonts w:hint="eastAsia"/>
              <w:sz w:val="24"/>
            </w:rPr>
            <w:fldChar w:fldCharType="separate"/>
          </w:r>
          <w:r>
            <w:rPr>
              <w:sz w:val="24"/>
            </w:rPr>
            <w:t>- 17 -</w:t>
          </w:r>
          <w:r>
            <w:rPr>
              <w:rFonts w:hint="eastAsia"/>
              <w:sz w:val="24"/>
            </w:rPr>
            <w:fldChar w:fldCharType="end"/>
          </w:r>
          <w:r>
            <w:rPr>
              <w:rFonts w:hint="eastAsia"/>
              <w:sz w:val="24"/>
            </w:rPr>
            <w:fldChar w:fldCharType="end"/>
          </w:r>
        </w:p>
        <w:p>
          <w:pPr>
            <w:pStyle w:val="7"/>
            <w:tabs>
              <w:tab w:val="right" w:leader="dot" w:pos="8296"/>
            </w:tabs>
            <w:ind w:firstLine="420"/>
            <w:rPr>
              <w:rFonts w:asciiTheme="minorHAnsi" w:hAnsiTheme="minorHAnsi" w:eastAsiaTheme="minorEastAsia" w:cstheme="minorBidi"/>
              <w:sz w:val="24"/>
              <w14:ligatures w14:val="standardContextual"/>
            </w:rPr>
          </w:pPr>
          <w:r>
            <w:fldChar w:fldCharType="begin"/>
          </w:r>
          <w:r>
            <w:instrText xml:space="preserve"> HYPERLINK \l "_Toc195560272" </w:instrText>
          </w:r>
          <w:r>
            <w:fldChar w:fldCharType="separate"/>
          </w:r>
          <w:r>
            <w:rPr>
              <w:rStyle w:val="14"/>
              <w:rFonts w:hint="eastAsia" w:ascii="黑体" w:hAnsi="黑体" w:eastAsia="黑体" w:cs="宋体"/>
              <w:kern w:val="0"/>
              <w:sz w:val="24"/>
            </w:rPr>
            <w:t>七、附件：2024年部门整体绩效评价指标体系评分表</w:t>
          </w:r>
          <w:r>
            <w:rPr>
              <w:rFonts w:hint="eastAsia"/>
              <w:sz w:val="24"/>
            </w:rPr>
            <w:tab/>
          </w:r>
          <w:r>
            <w:rPr>
              <w:rFonts w:hint="eastAsia"/>
              <w:sz w:val="24"/>
            </w:rPr>
            <w:fldChar w:fldCharType="begin"/>
          </w:r>
          <w:r>
            <w:rPr>
              <w:rFonts w:hint="eastAsia"/>
              <w:sz w:val="24"/>
            </w:rPr>
            <w:instrText xml:space="preserve"> </w:instrText>
          </w:r>
          <w:r>
            <w:rPr>
              <w:sz w:val="24"/>
            </w:rPr>
            <w:instrText xml:space="preserve">PAGEREF _Toc195560272 \h</w:instrText>
          </w:r>
          <w:r>
            <w:rPr>
              <w:rFonts w:hint="eastAsia"/>
              <w:sz w:val="24"/>
            </w:rPr>
            <w:instrText xml:space="preserve"> </w:instrText>
          </w:r>
          <w:r>
            <w:rPr>
              <w:rFonts w:hint="eastAsia"/>
              <w:sz w:val="24"/>
            </w:rPr>
            <w:fldChar w:fldCharType="separate"/>
          </w:r>
          <w:r>
            <w:rPr>
              <w:sz w:val="24"/>
            </w:rPr>
            <w:t>- 18 -</w:t>
          </w:r>
          <w:r>
            <w:rPr>
              <w:rFonts w:hint="eastAsia"/>
              <w:sz w:val="24"/>
            </w:rPr>
            <w:fldChar w:fldCharType="end"/>
          </w:r>
          <w:r>
            <w:rPr>
              <w:rFonts w:hint="eastAsia"/>
              <w:sz w:val="24"/>
            </w:rPr>
            <w:fldChar w:fldCharType="end"/>
          </w:r>
        </w:p>
        <w:p>
          <w:pPr>
            <w:spacing w:line="560" w:lineRule="exact"/>
            <w:ind w:left="160" w:firstLine="480"/>
            <w:jc w:val="center"/>
            <w:rPr>
              <w:rFonts w:ascii="方正小标宋简体" w:eastAsia="方正小标宋简体"/>
              <w:color w:val="000000" w:themeColor="text1"/>
              <w:sz w:val="36"/>
              <w:szCs w:val="36"/>
              <w14:textFill>
                <w14:solidFill>
                  <w14:schemeClr w14:val="tx1"/>
                </w14:solidFill>
              </w14:textFill>
            </w:rPr>
          </w:pPr>
          <w:r>
            <w:rPr>
              <w:rFonts w:hint="eastAsia" w:ascii="仿宋_GB2312" w:hAnsi="仿宋_GB2312" w:eastAsia="仿宋_GB2312" w:cs="仿宋_GB2312"/>
              <w:bCs/>
              <w:kern w:val="0"/>
              <w:sz w:val="24"/>
            </w:rPr>
            <w:fldChar w:fldCharType="end"/>
          </w:r>
        </w:p>
      </w:sdtContent>
    </w:sdt>
    <w:p>
      <w:pPr>
        <w:ind w:firstLine="883"/>
        <w:jc w:val="center"/>
        <w:rPr>
          <w:rFonts w:hint="eastAsia" w:ascii="宋体" w:hAnsi="宋体" w:cs="宋体"/>
          <w:b/>
          <w:bCs/>
          <w:sz w:val="44"/>
          <w:szCs w:val="44"/>
        </w:rPr>
        <w:sectPr>
          <w:footerReference r:id="rId4" w:type="default"/>
          <w:pgSz w:w="11906" w:h="16838"/>
          <w:pgMar w:top="1440" w:right="1800" w:bottom="1440" w:left="1800" w:header="851" w:footer="992" w:gutter="0"/>
          <w:pgNumType w:fmt="numberInDash" w:start="0"/>
          <w:cols w:space="425" w:num="1"/>
          <w:titlePg/>
          <w:docGrid w:type="lines" w:linePitch="312" w:charSpace="0"/>
        </w:sectPr>
      </w:pPr>
    </w:p>
    <w:p>
      <w:pPr>
        <w:ind w:firstLine="723"/>
        <w:jc w:val="center"/>
        <w:rPr>
          <w:rFonts w:hint="eastAsia" w:ascii="方正小标宋_GBK" w:hAnsi="方正小标宋_GBK" w:eastAsia="方正小标宋_GBK" w:cs="方正小标宋_GBK"/>
          <w:b/>
          <w:bCs/>
          <w:sz w:val="36"/>
          <w:szCs w:val="36"/>
        </w:rPr>
      </w:pPr>
      <w:r>
        <w:rPr>
          <w:rFonts w:hint="eastAsia" w:ascii="方正小标宋_GBK" w:hAnsi="方正小标宋_GBK" w:eastAsia="方正小标宋_GBK" w:cs="方正小标宋_GBK"/>
          <w:b/>
          <w:bCs/>
          <w:sz w:val="36"/>
          <w:szCs w:val="36"/>
        </w:rPr>
        <w:t>北京市人民检察院第二分院</w:t>
      </w:r>
    </w:p>
    <w:p>
      <w:pPr>
        <w:ind w:firstLine="723"/>
        <w:jc w:val="center"/>
        <w:rPr>
          <w:rFonts w:hint="eastAsia" w:ascii="方正小标宋_GBK" w:hAnsi="方正小标宋_GBK" w:eastAsia="方正小标宋_GBK" w:cs="方正小标宋_GBK"/>
          <w:b/>
          <w:bCs/>
          <w:sz w:val="36"/>
          <w:szCs w:val="36"/>
        </w:rPr>
      </w:pPr>
      <w:r>
        <w:rPr>
          <w:rFonts w:hint="eastAsia" w:ascii="方正小标宋_GBK" w:hAnsi="方正小标宋_GBK" w:eastAsia="方正小标宋_GBK" w:cs="方正小标宋_GBK"/>
          <w:b/>
          <w:bCs/>
          <w:sz w:val="36"/>
          <w:szCs w:val="36"/>
        </w:rPr>
        <w:t>2024年度部门整体绩效评价报告</w:t>
      </w:r>
    </w:p>
    <w:p>
      <w:pPr>
        <w:spacing w:line="600" w:lineRule="exact"/>
        <w:ind w:left="160"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为进一步加强预算绩效管理，强化支出责任，提高财政资金使用效益，考核财政支出效率和综合效果，根据</w:t>
      </w:r>
      <w:r>
        <w:rPr>
          <w:rFonts w:hint="eastAsia" w:ascii="仿宋_GB2312" w:hAnsi="宋体" w:eastAsia="仿宋_GB2312" w:cs="宋体"/>
          <w:color w:val="000000" w:themeColor="text1"/>
          <w:kern w:val="0"/>
          <w:sz w:val="32"/>
          <w:szCs w:val="32"/>
          <w:lang w:eastAsia="zh-CN"/>
          <w14:textFill>
            <w14:solidFill>
              <w14:schemeClr w14:val="tx1"/>
            </w14:solidFill>
          </w14:textFill>
        </w:rPr>
        <w:t>绩效管理相关通知</w:t>
      </w:r>
      <w:r>
        <w:rPr>
          <w:rFonts w:hint="eastAsia" w:ascii="仿宋_GB2312" w:hAnsi="宋体" w:eastAsia="仿宋_GB2312" w:cs="宋体"/>
          <w:color w:val="000000" w:themeColor="text1"/>
          <w:kern w:val="0"/>
          <w:sz w:val="32"/>
          <w:szCs w:val="32"/>
          <w14:textFill>
            <w14:solidFill>
              <w14:schemeClr w14:val="tx1"/>
            </w14:solidFill>
          </w14:textFill>
        </w:rPr>
        <w:t>要求，北京市人民检察院第二分院（以下简称“市检二分院”）组建绩效评价工作组，对2024年度部门整体实施绩效评价，形成本绩效评价报告。</w:t>
      </w:r>
    </w:p>
    <w:p>
      <w:pPr>
        <w:spacing w:line="600" w:lineRule="exact"/>
        <w:ind w:left="159"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0" w:name="_Toc195560255"/>
      <w:r>
        <w:rPr>
          <w:rFonts w:hint="eastAsia" w:ascii="黑体" w:hAnsi="黑体" w:eastAsia="黑体" w:cs="宋体"/>
          <w:color w:val="000000" w:themeColor="text1"/>
          <w:kern w:val="0"/>
          <w:sz w:val="32"/>
          <w:szCs w:val="32"/>
          <w14:textFill>
            <w14:solidFill>
              <w14:schemeClr w14:val="tx1"/>
            </w14:solidFill>
          </w14:textFill>
        </w:rPr>
        <w:t>一、部门概况</w:t>
      </w:r>
      <w:bookmarkEnd w:id="0"/>
    </w:p>
    <w:p>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 w:name="_Toc195560256"/>
      <w:r>
        <w:rPr>
          <w:rFonts w:hint="eastAsia" w:ascii="楷体_GB2312" w:eastAsia="楷体_GB2312"/>
          <w:color w:val="000000" w:themeColor="text1"/>
          <w:sz w:val="32"/>
          <w:szCs w:val="32"/>
          <w14:textFill>
            <w14:solidFill>
              <w14:schemeClr w14:val="tx1"/>
            </w14:solidFill>
          </w14:textFill>
        </w:rPr>
        <w:t>（一）机构设置及职责工作任务情况</w:t>
      </w:r>
      <w:bookmarkEnd w:id="1"/>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1.机构设置</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北京市人民检察院第二分院属于法律监督机关。司法辖区包括：东城区、西城区、丰台区、大兴区、房山区。北京市人民检察院第二分院设置职能部门分别为：第一检察部、第二检察部、第三检察部、第四检察部、第五检察部、第六检察部、第七检察部、第八检察部、第九检察部、办公室、行政事务管理部、检务督察部</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政治部、机关党委、机关纪委。</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w:t>
      </w:r>
      <w:r>
        <w:rPr>
          <w:rFonts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机构职责</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北京市人民检察院第二分院的主要职责包括：对区域内可能判处无期徒刑、死刑的案件，危害国家安全、恐怖活动案件依法审查逮捕、提起公诉，并对全市危害国家安全类刑事犯罪案件依法实行集中管辖；对区域内刑事诉讼、民事诉讼和行政诉讼活动依法实行法律监督，对下级人民法院和本级人民法院已经发生法律效力、确有错误的判决和裁定，依法向北京市第二中级人民法院提起抗诉或提请北京市人民检察院向北京市高级人民法院提起抗诉；对区域内区级人民检察院做出的决定进行审查，纠正错误决定；受理公民控告、申诉、检举和举报，办理刑事赔偿事项。同时，依据北京市人民检察院授权，负责对区域内区级人民检察院开展办案指导工作。</w:t>
      </w:r>
    </w:p>
    <w:p>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2" w:name="_Toc195560257"/>
      <w:r>
        <w:rPr>
          <w:rFonts w:hint="eastAsia" w:ascii="楷体_GB2312" w:eastAsia="楷体_GB2312"/>
          <w:color w:val="000000" w:themeColor="text1"/>
          <w:sz w:val="32"/>
          <w:szCs w:val="32"/>
          <w14:textFill>
            <w14:solidFill>
              <w14:schemeClr w14:val="tx1"/>
            </w14:solidFill>
          </w14:textFill>
        </w:rPr>
        <w:t>（二）部门整体绩效目标设立情况</w:t>
      </w:r>
      <w:bookmarkEnd w:id="2"/>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w:t>
      </w:r>
      <w:bookmarkStart w:id="3" w:name="OLE_LINK4"/>
      <w:r>
        <w:rPr>
          <w:rFonts w:ascii="仿宋_GB2312" w:hAnsi="宋体" w:eastAsia="仿宋_GB2312" w:cs="宋体"/>
          <w:color w:val="000000" w:themeColor="text1"/>
          <w:kern w:val="0"/>
          <w:sz w:val="32"/>
          <w:szCs w:val="32"/>
          <w14:textFill>
            <w14:solidFill>
              <w14:schemeClr w14:val="tx1"/>
            </w14:solidFill>
          </w14:textFill>
        </w:rPr>
        <w:t>.</w:t>
      </w:r>
      <w:bookmarkEnd w:id="3"/>
      <w:r>
        <w:rPr>
          <w:rFonts w:hint="eastAsia" w:ascii="仿宋_GB2312" w:hAnsi="宋体" w:eastAsia="仿宋_GB2312" w:cs="宋体"/>
          <w:color w:val="000000" w:themeColor="text1"/>
          <w:kern w:val="0"/>
          <w:sz w:val="32"/>
          <w:szCs w:val="32"/>
          <w14:textFill>
            <w14:solidFill>
              <w14:schemeClr w14:val="tx1"/>
            </w14:solidFill>
          </w14:textFill>
        </w:rPr>
        <w:t>绩效目标设立依据</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（1）《中国共产党政法工作条例》；</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（2）中共北京市委贯彻《中共中央关于加强新时代检察机关法律监督工作的意见》的实施意见；</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（3）“十四五”时期检务保障工作发展规划；</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（4）北京市人民检察院第二分院单位职能；</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（5）北京市人民检察院第二分院年度工作计划；</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（6）北京市人民检察院第二分院单位内部控制制度；</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（7）国家和北京市相关法规、规章制度。</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w:t>
      </w:r>
      <w:r>
        <w:rPr>
          <w:rFonts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目标设置情况</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北京市人民检察院第二分院部门整体绩效目标紧紧围绕单位“三定”方案职能，结合2024年度重点任务及责任分工等要求制定，既充分体现了职责职能和常规工作任务，也结合特殊重要时点，突出体现了年度新增特色重点工作内容。</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整体绩效目标：以习近平中国特色社会主义思想为指导，认真贯彻市委、高检院和市院各项部署，我院预算资金用于依法履行检察监督职能所必需的各项支出，以保障我院检察工作的正常开展，保障首都检察事业的有序发展。</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绩效指标：（1）保障我院政令畅通、维护正常办公秩序、保证办公办案安全及正常运转。（2）保障我院信息化系统使用安全、便捷、高效。（3）推进检察监督案件线索集中管理，完善重大监督事项案件化办理机制，完善业务质效管控机制和业务数据分析研判机制，做实业务绩效考评和司法责任问责追责。（4）全面加强检察机关法律监督主责主业，坚决维护首都安全和社会大局稳定，服务保障首都经济社会高质量发展，以检察监督能力的现代化助力首都治理体系和治理能力现代化。</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3</w:t>
      </w:r>
      <w:r>
        <w:rPr>
          <w:rFonts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目标合理性：根据上述绩效目标设立依据和目标与职责任务匹配情况分析，我们认为设立的目标是合理的。</w:t>
      </w:r>
    </w:p>
    <w:p>
      <w:pPr>
        <w:spacing w:line="600" w:lineRule="exact"/>
        <w:ind w:left="159"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4" w:name="_Toc195560258"/>
      <w:r>
        <w:rPr>
          <w:rFonts w:hint="eastAsia" w:ascii="黑体" w:hAnsi="黑体" w:eastAsia="黑体" w:cs="宋体"/>
          <w:color w:val="000000" w:themeColor="text1"/>
          <w:kern w:val="0"/>
          <w:sz w:val="32"/>
          <w:szCs w:val="32"/>
          <w14:textFill>
            <w14:solidFill>
              <w14:schemeClr w14:val="tx1"/>
            </w14:solidFill>
          </w14:textFill>
        </w:rPr>
        <w:t>二</w:t>
      </w:r>
      <w:r>
        <w:rPr>
          <w:rFonts w:ascii="黑体" w:hAnsi="黑体" w:eastAsia="黑体" w:cs="宋体"/>
          <w:color w:val="000000" w:themeColor="text1"/>
          <w:kern w:val="0"/>
          <w:sz w:val="32"/>
          <w:szCs w:val="32"/>
          <w14:textFill>
            <w14:solidFill>
              <w14:schemeClr w14:val="tx1"/>
            </w14:solidFill>
          </w14:textFill>
        </w:rPr>
        <w:t>、</w:t>
      </w:r>
      <w:r>
        <w:rPr>
          <w:rFonts w:hint="eastAsia" w:ascii="黑体" w:hAnsi="黑体" w:eastAsia="黑体" w:cs="宋体"/>
          <w:color w:val="000000" w:themeColor="text1"/>
          <w:kern w:val="0"/>
          <w:sz w:val="32"/>
          <w:szCs w:val="32"/>
          <w14:textFill>
            <w14:solidFill>
              <w14:schemeClr w14:val="tx1"/>
            </w14:solidFill>
          </w14:textFill>
        </w:rPr>
        <w:t>当年</w:t>
      </w:r>
      <w:r>
        <w:rPr>
          <w:rFonts w:ascii="黑体" w:hAnsi="黑体" w:eastAsia="黑体" w:cs="宋体"/>
          <w:color w:val="000000" w:themeColor="text1"/>
          <w:kern w:val="0"/>
          <w:sz w:val="32"/>
          <w:szCs w:val="32"/>
          <w14:textFill>
            <w14:solidFill>
              <w14:schemeClr w14:val="tx1"/>
            </w14:solidFill>
          </w14:textFill>
        </w:rPr>
        <w:t>预算执行情况</w:t>
      </w:r>
      <w:bookmarkEnd w:id="4"/>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2024年</w:t>
      </w:r>
      <w:r>
        <w:rPr>
          <w:rFonts w:ascii="仿宋_GB2312" w:hAnsi="宋体" w:eastAsia="仿宋_GB2312" w:cs="宋体"/>
          <w:color w:val="000000" w:themeColor="text1"/>
          <w:kern w:val="0"/>
          <w:sz w:val="32"/>
          <w:szCs w:val="32"/>
          <w14:textFill>
            <w14:solidFill>
              <w14:schemeClr w14:val="tx1"/>
            </w14:solidFill>
          </w14:textFill>
        </w:rPr>
        <w:t>全年</w:t>
      </w:r>
      <w:r>
        <w:rPr>
          <w:rFonts w:hint="eastAsia" w:ascii="仿宋_GB2312" w:hAnsi="宋体" w:eastAsia="仿宋_GB2312" w:cs="宋体"/>
          <w:color w:val="000000" w:themeColor="text1"/>
          <w:kern w:val="0"/>
          <w:sz w:val="32"/>
          <w:szCs w:val="32"/>
          <w14:textFill>
            <w14:solidFill>
              <w14:schemeClr w14:val="tx1"/>
            </w14:solidFill>
          </w14:textFill>
        </w:rPr>
        <w:t>预算数12,867.20万元</w:t>
      </w:r>
      <w:r>
        <w:rPr>
          <w:rFonts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其中</w:t>
      </w:r>
      <w:r>
        <w:rPr>
          <w:rFonts w:ascii="仿宋_GB2312" w:hAnsi="宋体" w:eastAsia="仿宋_GB2312" w:cs="宋体"/>
          <w:color w:val="000000" w:themeColor="text1"/>
          <w:kern w:val="0"/>
          <w:sz w:val="32"/>
          <w:szCs w:val="32"/>
          <w14:textFill>
            <w14:solidFill>
              <w14:schemeClr w14:val="tx1"/>
            </w14:solidFill>
          </w14:textFill>
        </w:rPr>
        <w:t>，基本</w:t>
      </w:r>
      <w:r>
        <w:rPr>
          <w:rFonts w:hint="eastAsia" w:ascii="仿宋_GB2312" w:hAnsi="宋体" w:eastAsia="仿宋_GB2312" w:cs="宋体"/>
          <w:color w:val="000000" w:themeColor="text1"/>
          <w:kern w:val="0"/>
          <w:sz w:val="32"/>
          <w:szCs w:val="32"/>
          <w14:textFill>
            <w14:solidFill>
              <w14:schemeClr w14:val="tx1"/>
            </w14:solidFill>
          </w14:textFill>
        </w:rPr>
        <w:t>支出</w:t>
      </w:r>
      <w:r>
        <w:rPr>
          <w:rFonts w:ascii="仿宋_GB2312" w:hAnsi="宋体" w:eastAsia="仿宋_GB2312" w:cs="宋体"/>
          <w:color w:val="000000" w:themeColor="text1"/>
          <w:kern w:val="0"/>
          <w:sz w:val="32"/>
          <w:szCs w:val="32"/>
          <w14:textFill>
            <w14:solidFill>
              <w14:schemeClr w14:val="tx1"/>
            </w14:solidFill>
          </w14:textFill>
        </w:rPr>
        <w:t>预算数</w:t>
      </w:r>
      <w:r>
        <w:rPr>
          <w:rFonts w:hint="eastAsia" w:ascii="仿宋_GB2312" w:hAnsi="宋体" w:eastAsia="仿宋_GB2312" w:cs="宋体"/>
          <w:color w:val="000000" w:themeColor="text1"/>
          <w:kern w:val="0"/>
          <w:sz w:val="32"/>
          <w:szCs w:val="32"/>
          <w14:textFill>
            <w14:solidFill>
              <w14:schemeClr w14:val="tx1"/>
            </w14:solidFill>
          </w14:textFill>
        </w:rPr>
        <w:t>12,117.29</w:t>
      </w:r>
      <w:r>
        <w:rPr>
          <w:rFonts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14:textFill>
            <w14:solidFill>
              <w14:schemeClr w14:val="tx1"/>
            </w14:solidFill>
          </w14:textFill>
        </w:rPr>
        <w:t>项目支出预算数749.91</w:t>
      </w:r>
      <w:r>
        <w:rPr>
          <w:rFonts w:ascii="仿宋_GB2312" w:hAnsi="宋体" w:eastAsia="仿宋_GB2312" w:cs="宋体"/>
          <w:color w:val="000000" w:themeColor="text1"/>
          <w:kern w:val="0"/>
          <w:sz w:val="32"/>
          <w:szCs w:val="32"/>
          <w14:textFill>
            <w14:solidFill>
              <w14:schemeClr w14:val="tx1"/>
            </w14:solidFill>
          </w14:textFill>
        </w:rPr>
        <w:t>万元，其他支出</w:t>
      </w:r>
      <w:r>
        <w:rPr>
          <w:rFonts w:hint="eastAsia" w:ascii="仿宋_GB2312" w:hAnsi="宋体" w:eastAsia="仿宋_GB2312" w:cs="宋体"/>
          <w:color w:val="000000" w:themeColor="text1"/>
          <w:kern w:val="0"/>
          <w:sz w:val="32"/>
          <w:szCs w:val="32"/>
          <w14:textFill>
            <w14:solidFill>
              <w14:schemeClr w14:val="tx1"/>
            </w14:solidFill>
          </w14:textFill>
        </w:rPr>
        <w:t>预算数0.00</w:t>
      </w:r>
      <w:r>
        <w:rPr>
          <w:rFonts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14:textFill>
            <w14:solidFill>
              <w14:schemeClr w14:val="tx1"/>
            </w14:solidFill>
          </w14:textFill>
        </w:rPr>
        <w:t>。</w:t>
      </w:r>
      <w:r>
        <w:rPr>
          <w:rFonts w:ascii="仿宋_GB2312" w:hAnsi="宋体" w:eastAsia="仿宋_GB2312" w:cs="宋体"/>
          <w:color w:val="000000" w:themeColor="text1"/>
          <w:kern w:val="0"/>
          <w:sz w:val="32"/>
          <w:szCs w:val="32"/>
          <w14:textFill>
            <w14:solidFill>
              <w14:schemeClr w14:val="tx1"/>
            </w14:solidFill>
          </w14:textFill>
        </w:rPr>
        <w:t>资金总体</w:t>
      </w:r>
      <w:r>
        <w:rPr>
          <w:rFonts w:hint="eastAsia" w:ascii="仿宋_GB2312" w:hAnsi="宋体" w:eastAsia="仿宋_GB2312" w:cs="宋体"/>
          <w:color w:val="000000" w:themeColor="text1"/>
          <w:kern w:val="0"/>
          <w:sz w:val="32"/>
          <w:szCs w:val="32"/>
          <w14:textFill>
            <w14:solidFill>
              <w14:schemeClr w14:val="tx1"/>
            </w14:solidFill>
          </w14:textFill>
        </w:rPr>
        <w:t>支出12,705.61</w:t>
      </w:r>
      <w:r>
        <w:rPr>
          <w:rFonts w:ascii="仿宋_GB2312" w:hAnsi="宋体" w:eastAsia="仿宋_GB2312" w:cs="宋体"/>
          <w:color w:val="000000" w:themeColor="text1"/>
          <w:kern w:val="0"/>
          <w:sz w:val="32"/>
          <w:szCs w:val="32"/>
          <w14:textFill>
            <w14:solidFill>
              <w14:schemeClr w14:val="tx1"/>
            </w14:solidFill>
          </w14:textFill>
        </w:rPr>
        <w:t>万元，其中，基本支出</w:t>
      </w:r>
      <w:r>
        <w:rPr>
          <w:rFonts w:hint="eastAsia" w:ascii="仿宋_GB2312" w:hAnsi="宋体" w:eastAsia="仿宋_GB2312" w:cs="宋体"/>
          <w:color w:val="000000" w:themeColor="text1"/>
          <w:kern w:val="0"/>
          <w:sz w:val="32"/>
          <w:szCs w:val="32"/>
          <w14:textFill>
            <w14:solidFill>
              <w14:schemeClr w14:val="tx1"/>
            </w14:solidFill>
          </w14:textFill>
        </w:rPr>
        <w:t>11,961.06</w:t>
      </w:r>
      <w:r>
        <w:rPr>
          <w:rFonts w:ascii="仿宋_GB2312" w:hAnsi="宋体" w:eastAsia="仿宋_GB2312" w:cs="宋体"/>
          <w:color w:val="000000" w:themeColor="text1"/>
          <w:kern w:val="0"/>
          <w:sz w:val="32"/>
          <w:szCs w:val="32"/>
          <w14:textFill>
            <w14:solidFill>
              <w14:schemeClr w14:val="tx1"/>
            </w14:solidFill>
          </w14:textFill>
        </w:rPr>
        <w:t>万元，项目</w:t>
      </w:r>
      <w:r>
        <w:rPr>
          <w:rFonts w:hint="eastAsia" w:ascii="仿宋_GB2312" w:hAnsi="宋体" w:eastAsia="仿宋_GB2312" w:cs="宋体"/>
          <w:color w:val="000000" w:themeColor="text1"/>
          <w:kern w:val="0"/>
          <w:sz w:val="32"/>
          <w:szCs w:val="32"/>
          <w14:textFill>
            <w14:solidFill>
              <w14:schemeClr w14:val="tx1"/>
            </w14:solidFill>
          </w14:textFill>
        </w:rPr>
        <w:t>支出744.55</w:t>
      </w:r>
      <w:r>
        <w:rPr>
          <w:rFonts w:ascii="仿宋_GB2312" w:hAnsi="宋体" w:eastAsia="仿宋_GB2312" w:cs="宋体"/>
          <w:color w:val="000000" w:themeColor="text1"/>
          <w:kern w:val="0"/>
          <w:sz w:val="32"/>
          <w:szCs w:val="32"/>
          <w14:textFill>
            <w14:solidFill>
              <w14:schemeClr w14:val="tx1"/>
            </w14:solidFill>
          </w14:textFill>
        </w:rPr>
        <w:t>万元，其他支出</w:t>
      </w:r>
      <w:r>
        <w:rPr>
          <w:rFonts w:hint="eastAsia" w:ascii="仿宋_GB2312" w:hAnsi="宋体" w:eastAsia="仿宋_GB2312" w:cs="宋体"/>
          <w:color w:val="000000" w:themeColor="text1"/>
          <w:kern w:val="0"/>
          <w:sz w:val="32"/>
          <w:szCs w:val="32"/>
          <w14:textFill>
            <w14:solidFill>
              <w14:schemeClr w14:val="tx1"/>
            </w14:solidFill>
          </w14:textFill>
        </w:rPr>
        <w:t>0.00</w:t>
      </w:r>
      <w:r>
        <w:rPr>
          <w:rFonts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14:textFill>
            <w14:solidFill>
              <w14:schemeClr w14:val="tx1"/>
            </w14:solidFill>
          </w14:textFill>
        </w:rPr>
        <w:t>预算</w:t>
      </w:r>
      <w:r>
        <w:rPr>
          <w:rFonts w:ascii="仿宋_GB2312" w:hAnsi="宋体" w:eastAsia="仿宋_GB2312" w:cs="宋体"/>
          <w:color w:val="000000" w:themeColor="text1"/>
          <w:kern w:val="0"/>
          <w:sz w:val="32"/>
          <w:szCs w:val="32"/>
          <w14:textFill>
            <w14:solidFill>
              <w14:schemeClr w14:val="tx1"/>
            </w14:solidFill>
          </w14:textFill>
        </w:rPr>
        <w:t>执行率为</w:t>
      </w:r>
      <w:r>
        <w:rPr>
          <w:rFonts w:hint="eastAsia" w:ascii="仿宋_GB2312" w:hAnsi="宋体" w:eastAsia="仿宋_GB2312" w:cs="宋体"/>
          <w:color w:val="000000" w:themeColor="text1"/>
          <w:kern w:val="0"/>
          <w:sz w:val="32"/>
          <w:szCs w:val="32"/>
          <w14:textFill>
            <w14:solidFill>
              <w14:schemeClr w14:val="tx1"/>
            </w14:solidFill>
          </w14:textFill>
        </w:rPr>
        <w:t>98.74%。</w:t>
      </w:r>
    </w:p>
    <w:p>
      <w:pPr>
        <w:spacing w:line="600" w:lineRule="exact"/>
        <w:ind w:left="159"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5" w:name="_Toc195560259"/>
      <w:r>
        <w:rPr>
          <w:rFonts w:hint="eastAsia" w:ascii="黑体" w:hAnsi="黑体" w:eastAsia="黑体" w:cs="宋体"/>
          <w:color w:val="000000" w:themeColor="text1"/>
          <w:kern w:val="0"/>
          <w:sz w:val="32"/>
          <w:szCs w:val="32"/>
          <w14:textFill>
            <w14:solidFill>
              <w14:schemeClr w14:val="tx1"/>
            </w14:solidFill>
          </w14:textFill>
        </w:rPr>
        <w:t>三</w:t>
      </w:r>
      <w:r>
        <w:rPr>
          <w:rFonts w:ascii="黑体" w:hAnsi="黑体" w:eastAsia="黑体" w:cs="宋体"/>
          <w:color w:val="000000" w:themeColor="text1"/>
          <w:kern w:val="0"/>
          <w:sz w:val="32"/>
          <w:szCs w:val="32"/>
          <w14:textFill>
            <w14:solidFill>
              <w14:schemeClr w14:val="tx1"/>
            </w14:solidFill>
          </w14:textFill>
        </w:rPr>
        <w:t>、整体绩效目标实现情况</w:t>
      </w:r>
      <w:bookmarkEnd w:id="5"/>
    </w:p>
    <w:p>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6" w:name="_Toc195560260"/>
      <w:r>
        <w:rPr>
          <w:rFonts w:hint="eastAsia" w:ascii="楷体_GB2312" w:eastAsia="楷体_GB2312"/>
          <w:color w:val="000000" w:themeColor="text1"/>
          <w:sz w:val="32"/>
          <w:szCs w:val="32"/>
          <w14:textFill>
            <w14:solidFill>
              <w14:schemeClr w14:val="tx1"/>
            </w14:solidFill>
          </w14:textFill>
        </w:rPr>
        <w:t>（一）产出完成情况分析</w:t>
      </w:r>
      <w:bookmarkEnd w:id="6"/>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1.产出数量</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全年办理四大检察案件4138件，同比上升15.6%，其中刑事检察1662件、民事检察1606件、行政检察868件、公益诉讼检察2件。</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2.产出质量</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（1）党建引领扎实深入</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理论学习成效显著：严格落实“第一议题”制度，通过多种学习形式确保理论学习走深走实，增强了党员干部的政治意识和行动自觉，为检察工作提供坚实思想基础。</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党组织建设成果突出：健全全面从严治党体系，完善党组织工作机制，推进党建与业务深度融合，打造多个党建品牌，基层党组织的凝聚力和战斗力不断提升。</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意识形态工作落实到位：认真贯彻习近平总书记关于意识形态工作的重要论述，完善工作机制，确保意识形态安全，营造了良好的政治生态。</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（2）检察业务质效双优</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服务大局精准有力：在维护首都安全稳定、助力法治城市建设、推动文化中心和生态保护等方面成效显著，办理了一系列有影响力的案件，发出的检察建议有效促进社会治理。</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为民司法扎实有效：积极营造法治化营商环境，守护金融安全，维护人民群众合法权益，解决群众关心的实际问题，增强了人民群众的获得感和幸福感。</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改革创新推动发展：强化制度赋能，优化工作体系和业务结构；大力推进数字检察战略，提升监督效能；加快检察业务管理现代化转型，保障案件办理质量。</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（3）队伍建设成果丰硕</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人才培养成绩突出：选拔任用干部注重政治标准，优化干部结构。多人入选各类人才库，在业务竞赛中获奖，提升了检察队伍的整体素质和业务能力。</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监督管理严格规范：压实全面从严治党治检主体责任，加强内部监督和纪律建设，严格执行“三个规定”，确保检察队伍清正廉洁。</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（4）问题整改务实高效</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针对各类反馈问题，制定切实可行的整改措施，明确责任和时限，扎实推进整改工作，以整改促发展，推动检察工作不断完善和提升。</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3.产出</w:t>
      </w:r>
      <w:r>
        <w:rPr>
          <w:rFonts w:ascii="仿宋_GB2312" w:hAnsi="宋体" w:eastAsia="仿宋_GB2312" w:cs="宋体"/>
          <w:color w:val="000000" w:themeColor="text1"/>
          <w:kern w:val="0"/>
          <w:sz w:val="32"/>
          <w:szCs w:val="32"/>
          <w14:textFill>
            <w14:solidFill>
              <w14:schemeClr w14:val="tx1"/>
            </w14:solidFill>
          </w14:textFill>
        </w:rPr>
        <w:t>进度</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按照年初预算批复及年中追加调整预算批复，不断提升重点工作效率，2024年按计划完成了各项检察工作。</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ascii="仿宋_GB2312" w:hAnsi="宋体" w:eastAsia="仿宋_GB2312" w:cs="宋体"/>
          <w:color w:val="000000" w:themeColor="text1"/>
          <w:kern w:val="0"/>
          <w:sz w:val="32"/>
          <w:szCs w:val="32"/>
          <w14:textFill>
            <w14:solidFill>
              <w14:schemeClr w14:val="tx1"/>
            </w14:solidFill>
          </w14:textFill>
        </w:rPr>
        <w:t>4.</w:t>
      </w:r>
      <w:r>
        <w:rPr>
          <w:rFonts w:hint="eastAsia" w:ascii="仿宋_GB2312" w:hAnsi="宋体" w:eastAsia="仿宋_GB2312" w:cs="宋体"/>
          <w:color w:val="000000" w:themeColor="text1"/>
          <w:kern w:val="0"/>
          <w:sz w:val="32"/>
          <w:szCs w:val="32"/>
          <w14:textFill>
            <w14:solidFill>
              <w14:schemeClr w14:val="tx1"/>
            </w14:solidFill>
          </w14:textFill>
        </w:rPr>
        <w:t>产出</w:t>
      </w:r>
      <w:r>
        <w:rPr>
          <w:rFonts w:ascii="仿宋_GB2312" w:hAnsi="宋体" w:eastAsia="仿宋_GB2312" w:cs="宋体"/>
          <w:color w:val="000000" w:themeColor="text1"/>
          <w:kern w:val="0"/>
          <w:sz w:val="32"/>
          <w:szCs w:val="32"/>
          <w14:textFill>
            <w14:solidFill>
              <w14:schemeClr w14:val="tx1"/>
            </w14:solidFill>
          </w14:textFill>
        </w:rPr>
        <w:t>成本</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上年资金总体决算数12,917.31万元，本年资金总体决算数12,705.61万元，本年资金总体决算数小于上年。</w:t>
      </w:r>
    </w:p>
    <w:p>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7" w:name="_Toc195560261"/>
      <w:r>
        <w:rPr>
          <w:rFonts w:hint="eastAsia" w:ascii="楷体_GB2312" w:eastAsia="楷体_GB2312"/>
          <w:color w:val="000000" w:themeColor="text1"/>
          <w:sz w:val="32"/>
          <w:szCs w:val="32"/>
          <w14:textFill>
            <w14:solidFill>
              <w14:schemeClr w14:val="tx1"/>
            </w14:solidFill>
          </w14:textFill>
        </w:rPr>
        <w:t>（二）效果</w:t>
      </w:r>
      <w:r>
        <w:rPr>
          <w:rFonts w:ascii="楷体_GB2312" w:eastAsia="楷体_GB2312"/>
          <w:color w:val="000000" w:themeColor="text1"/>
          <w:sz w:val="32"/>
          <w:szCs w:val="32"/>
          <w14:textFill>
            <w14:solidFill>
              <w14:schemeClr w14:val="tx1"/>
            </w14:solidFill>
          </w14:textFill>
        </w:rPr>
        <w:t>实现情况分析</w:t>
      </w:r>
      <w:bookmarkEnd w:id="7"/>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1.经济效益：</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为企业挽回直接经济损失：在办理各类案件过程中，市检二分院引领辖区积极维护企业合法权益，保障了企业的资金流转和正常运营，有助于企业持续健康发展，进而稳定就业和产业供应链，对经济增长产生积极影响。</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间接保护产业链及员工利益：在办理案件时注重维护产业链的稳定</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保障了产业链上下游企业的协同发展，避免了因个别企业资金问题引发的连锁反应，维护了区域经济的稳定和就业市场的稳定，对区域经济的平稳运行意义重大。</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促进依法行政与区域经济健康发展：通过向区政府制发诉讼监督通报等方式促进依法行政。持续打造向区级政府制发行政诉讼监督通报特色品牌，这有助于规范政府行政行为，优化区域营商环境，吸引更多企业投资兴业，推动区域经济的健康发展，为经济增长创造良好的制度环境和市场秩序。</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推动金融领域规范与稳定：引领辖区办理大量涉金融案件。通过打击金融违法犯罪活动，维护了首都金融管理安全，保障了金融市场的正常秩序，稳定了金融市场信心，促进了金融资源的合理配置和有效利用，对宏观经济的稳定运行起到了重要作用。</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助力优化营商环境：推动建立丰台法务区检察工作站，联合制定工作办法，并就多个重点企业园建立常态化服务保障机制。</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2.社会效益：</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维护首都安全稳定：</w:t>
      </w:r>
      <w:r>
        <w:rPr>
          <w:rFonts w:hint="eastAsia" w:ascii="仿宋_GB2312" w:hAnsi="宋体" w:eastAsia="仿宋_GB2312" w:cs="宋体"/>
          <w:color w:val="000000" w:themeColor="text1"/>
          <w:kern w:val="0"/>
          <w:sz w:val="32"/>
          <w:szCs w:val="32"/>
          <w:lang w:eastAsia="zh-CN"/>
          <w14:textFill>
            <w14:solidFill>
              <w14:schemeClr w14:val="tx1"/>
            </w14:solidFill>
          </w14:textFill>
        </w:rPr>
        <w:t>严厉打击</w:t>
      </w:r>
      <w:r>
        <w:rPr>
          <w:rFonts w:hint="eastAsia" w:ascii="仿宋_GB2312" w:hAnsi="宋体" w:eastAsia="仿宋_GB2312" w:cs="宋体"/>
          <w:color w:val="000000" w:themeColor="text1"/>
          <w:kern w:val="0"/>
          <w:sz w:val="32"/>
          <w:szCs w:val="32"/>
          <w14:textFill>
            <w14:solidFill>
              <w14:schemeClr w14:val="tx1"/>
            </w14:solidFill>
          </w14:textFill>
        </w:rPr>
        <w:t>各类危害国家安全、公共安全</w:t>
      </w:r>
      <w:r>
        <w:rPr>
          <w:rFonts w:hint="eastAsia" w:ascii="仿宋_GB2312" w:hAnsi="宋体" w:eastAsia="仿宋_GB2312" w:cs="宋体"/>
          <w:color w:val="000000" w:themeColor="text1"/>
          <w:kern w:val="0"/>
          <w:sz w:val="32"/>
          <w:szCs w:val="32"/>
          <w:lang w:eastAsia="zh-CN"/>
          <w14:textFill>
            <w14:solidFill>
              <w14:schemeClr w14:val="tx1"/>
            </w14:solidFill>
          </w14:textFill>
        </w:rPr>
        <w:t>犯罪</w:t>
      </w:r>
      <w:r>
        <w:rPr>
          <w:rFonts w:hint="eastAsia" w:ascii="仿宋_GB2312" w:hAnsi="宋体" w:eastAsia="仿宋_GB2312" w:cs="宋体"/>
          <w:color w:val="000000" w:themeColor="text1"/>
          <w:kern w:val="0"/>
          <w:sz w:val="32"/>
          <w:szCs w:val="32"/>
          <w14:textFill>
            <w14:solidFill>
              <w14:schemeClr w14:val="tx1"/>
            </w14:solidFill>
          </w14:textFill>
        </w:rPr>
        <w:t>，督办辖区相关案件，有力保障了首都的安全稳定，为居民创造了安全的生活环境，维护了社会秩序。</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保障民生权益：</w:t>
      </w:r>
      <w:r>
        <w:rPr>
          <w:rFonts w:hint="eastAsia" w:ascii="仿宋_GB2312" w:hAnsi="宋体" w:eastAsia="仿宋_GB2312" w:cs="宋体"/>
          <w:color w:val="000000" w:themeColor="text1"/>
          <w:kern w:val="0"/>
          <w:sz w:val="32"/>
          <w:szCs w:val="32"/>
          <w:lang w:eastAsia="zh-CN"/>
          <w14:textFill>
            <w14:solidFill>
              <w14:schemeClr w14:val="tx1"/>
            </w14:solidFill>
          </w14:textFill>
        </w:rPr>
        <w:t>坚持为人民司法，聚焦</w:t>
      </w:r>
      <w:r>
        <w:rPr>
          <w:rFonts w:hint="eastAsia" w:ascii="仿宋_GB2312" w:hAnsi="宋体" w:eastAsia="仿宋_GB2312" w:cs="宋体"/>
          <w:color w:val="000000" w:themeColor="text1"/>
          <w:kern w:val="0"/>
          <w:sz w:val="32"/>
          <w:szCs w:val="32"/>
          <w14:textFill>
            <w14:solidFill>
              <w14:schemeClr w14:val="tx1"/>
            </w14:solidFill>
          </w14:textFill>
        </w:rPr>
        <w:t>重点人群、重点领域</w:t>
      </w:r>
      <w:r>
        <w:rPr>
          <w:rFonts w:hint="eastAsia" w:ascii="仿宋_GB2312" w:hAnsi="宋体" w:eastAsia="仿宋_GB2312" w:cs="宋体"/>
          <w:color w:val="000000" w:themeColor="text1"/>
          <w:kern w:val="0"/>
          <w:sz w:val="32"/>
          <w:szCs w:val="32"/>
          <w:lang w:eastAsia="zh-CN"/>
          <w14:textFill>
            <w14:solidFill>
              <w14:schemeClr w14:val="tx1"/>
            </w14:solidFill>
          </w14:textFill>
        </w:rPr>
        <w:t>，做实人民群众可感受、能体验、得实惠的检察为民</w:t>
      </w:r>
      <w:r>
        <w:rPr>
          <w:rFonts w:hint="eastAsia" w:ascii="仿宋_GB2312" w:hAnsi="宋体" w:eastAsia="仿宋_GB2312" w:cs="宋体"/>
          <w:color w:val="000000" w:themeColor="text1"/>
          <w:kern w:val="0"/>
          <w:sz w:val="32"/>
          <w:szCs w:val="32"/>
          <w14:textFill>
            <w14:solidFill>
              <w14:schemeClr w14:val="tx1"/>
            </w14:solidFill>
          </w14:textFill>
        </w:rPr>
        <w:t>。</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促进法治建设：积极融入反腐败大局，办理涉职务犯罪案件，推动法治政府建设，促进依法行政。通过宣传检察工作，增强了公众对检察职能的了解，传播了法治理念，营造了良好的法治氛围。</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推动区域协同发展：深化京津冀检察联动协作，推动辖区院与天津、河北五个检察机关建立9项交流协作机制，推动了京津冀协同发展。</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助力文化和生态保护：统筹服务保障北京中轴线保护管理，发布相关意见，加强对重点文物的保护。统筹加强</w:t>
      </w:r>
      <w:r>
        <w:rPr>
          <w:rFonts w:hint="eastAsia" w:ascii="仿宋_GB2312" w:hAnsi="宋体" w:eastAsia="仿宋_GB2312" w:cs="宋体"/>
          <w:color w:val="000000" w:themeColor="text1"/>
          <w:kern w:val="0"/>
          <w:sz w:val="32"/>
          <w:szCs w:val="32"/>
          <w:lang w:eastAsia="zh-CN"/>
          <w14:textFill>
            <w14:solidFill>
              <w14:schemeClr w14:val="tx1"/>
            </w14:solidFill>
          </w14:textFill>
        </w:rPr>
        <w:t>环境</w:t>
      </w:r>
      <w:r>
        <w:rPr>
          <w:rFonts w:hint="eastAsia" w:ascii="仿宋_GB2312" w:hAnsi="宋体" w:eastAsia="仿宋_GB2312" w:cs="宋体"/>
          <w:color w:val="000000" w:themeColor="text1"/>
          <w:kern w:val="0"/>
          <w:sz w:val="32"/>
          <w:szCs w:val="32"/>
          <w14:textFill>
            <w14:solidFill>
              <w14:schemeClr w14:val="tx1"/>
            </w14:solidFill>
          </w14:textFill>
        </w:rPr>
        <w:t>协同保护，办理环境资源保护类刑事案件，促进了生态环境的保护和修复，推动了美丽北京建设，提升了居民的生活品质。</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bookmarkStart w:id="8" w:name="_Hlk195561882"/>
      <w:r>
        <w:rPr>
          <w:rFonts w:hint="eastAsia" w:ascii="仿宋_GB2312" w:hAnsi="宋体" w:eastAsia="仿宋_GB2312" w:cs="宋体"/>
          <w:color w:val="000000" w:themeColor="text1"/>
          <w:kern w:val="0"/>
          <w:sz w:val="32"/>
          <w:szCs w:val="32"/>
          <w14:textFill>
            <w14:solidFill>
              <w14:schemeClr w14:val="tx1"/>
            </w14:solidFill>
          </w14:textFill>
        </w:rPr>
        <w:t>3.服务对象满意度：全院检察人员满意度高于90%。</w:t>
      </w:r>
      <w:bookmarkEnd w:id="8"/>
    </w:p>
    <w:p>
      <w:pPr>
        <w:spacing w:line="600" w:lineRule="exact"/>
        <w:ind w:left="159"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9" w:name="_Toc195560262"/>
      <w:r>
        <w:rPr>
          <w:rFonts w:hint="eastAsia" w:ascii="黑体" w:hAnsi="黑体" w:eastAsia="黑体" w:cs="宋体"/>
          <w:color w:val="000000" w:themeColor="text1"/>
          <w:kern w:val="0"/>
          <w:sz w:val="32"/>
          <w:szCs w:val="32"/>
          <w14:textFill>
            <w14:solidFill>
              <w14:schemeClr w14:val="tx1"/>
            </w14:solidFill>
          </w14:textFill>
        </w:rPr>
        <w:t>四</w:t>
      </w:r>
      <w:r>
        <w:rPr>
          <w:rFonts w:ascii="黑体" w:hAnsi="黑体" w:eastAsia="黑体" w:cs="宋体"/>
          <w:color w:val="000000" w:themeColor="text1"/>
          <w:kern w:val="0"/>
          <w:sz w:val="32"/>
          <w:szCs w:val="32"/>
          <w14:textFill>
            <w14:solidFill>
              <w14:schemeClr w14:val="tx1"/>
            </w14:solidFill>
          </w14:textFill>
        </w:rPr>
        <w:t>、预算管理</w:t>
      </w:r>
      <w:r>
        <w:rPr>
          <w:rFonts w:hint="eastAsia" w:ascii="黑体" w:hAnsi="黑体" w:eastAsia="黑体" w:cs="宋体"/>
          <w:color w:val="000000" w:themeColor="text1"/>
          <w:kern w:val="0"/>
          <w:sz w:val="32"/>
          <w:szCs w:val="32"/>
          <w14:textFill>
            <w14:solidFill>
              <w14:schemeClr w14:val="tx1"/>
            </w14:solidFill>
          </w14:textFill>
        </w:rPr>
        <w:t>情况分</w:t>
      </w:r>
      <w:r>
        <w:rPr>
          <w:rFonts w:ascii="黑体" w:hAnsi="黑体" w:eastAsia="黑体" w:cs="宋体"/>
          <w:color w:val="000000" w:themeColor="text1"/>
          <w:kern w:val="0"/>
          <w:sz w:val="32"/>
          <w:szCs w:val="32"/>
          <w14:textFill>
            <w14:solidFill>
              <w14:schemeClr w14:val="tx1"/>
            </w14:solidFill>
          </w14:textFill>
        </w:rPr>
        <w:t>析</w:t>
      </w:r>
      <w:bookmarkEnd w:id="9"/>
    </w:p>
    <w:p>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0" w:name="_Toc195560263"/>
      <w:r>
        <w:rPr>
          <w:rFonts w:hint="eastAsia" w:ascii="楷体_GB2312" w:eastAsia="楷体_GB2312"/>
          <w:color w:val="000000" w:themeColor="text1"/>
          <w:sz w:val="32"/>
          <w:szCs w:val="32"/>
          <w14:textFill>
            <w14:solidFill>
              <w14:schemeClr w14:val="tx1"/>
            </w14:solidFill>
          </w14:textFill>
        </w:rPr>
        <w:t>（一）财务管理</w:t>
      </w:r>
      <w:bookmarkEnd w:id="10"/>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1.财务</w:t>
      </w:r>
      <w:r>
        <w:rPr>
          <w:rFonts w:ascii="仿宋_GB2312" w:hAnsi="宋体" w:eastAsia="仿宋_GB2312" w:cs="宋体"/>
          <w:color w:val="000000" w:themeColor="text1"/>
          <w:kern w:val="0"/>
          <w:sz w:val="32"/>
          <w:szCs w:val="32"/>
          <w14:textFill>
            <w14:solidFill>
              <w14:schemeClr w14:val="tx1"/>
            </w14:solidFill>
          </w14:textFill>
        </w:rPr>
        <w:t>管理制度健全性</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北京市人民检察院第二分院制定了《北京市人民检察院第二分院内部控制手册》，已建立《北京市人民检察院第二分院预算管理办法》《北京市人民检察院第二分院预算项目管理办法》《北京市人民检察院第二分院经费支出管理办法》《北京市人民检察院第二分院机关采购管理办法》《北京市人民检察院第二分院固定资产管理办法》《北京市人民检察院第二分院货币资金管理办法》《北京市人民检察院第二分院合同管理办法》《北京市人民检察院第二分院建设项目管理制度》等相关财务管理制度，对预算业务、收支业务、政府采购、资产管理业务等均明确了控制流程和措施，部门财务管理制度较健全，各项规定合法、合规，具有一定可操作性。</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2.资金使用合规性</w:t>
      </w:r>
      <w:r>
        <w:rPr>
          <w:rFonts w:ascii="仿宋_GB2312" w:hAnsi="宋体" w:eastAsia="仿宋_GB2312" w:cs="宋体"/>
          <w:color w:val="000000" w:themeColor="text1"/>
          <w:kern w:val="0"/>
          <w:sz w:val="32"/>
          <w:szCs w:val="32"/>
          <w14:textFill>
            <w14:solidFill>
              <w14:schemeClr w14:val="tx1"/>
            </w14:solidFill>
          </w14:textFill>
        </w:rPr>
        <w:t>和安全性</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北京市人民检察院第二分院资金支出按照</w:t>
      </w:r>
      <w:bookmarkStart w:id="21" w:name="_GoBack"/>
      <w:bookmarkEnd w:id="21"/>
      <w:r>
        <w:rPr>
          <w:rFonts w:hint="eastAsia" w:ascii="仿宋_GB2312" w:hAnsi="宋体" w:eastAsia="仿宋_GB2312" w:cs="宋体"/>
          <w:color w:val="000000" w:themeColor="text1"/>
          <w:kern w:val="0"/>
          <w:sz w:val="32"/>
          <w:szCs w:val="32"/>
          <w14:textFill>
            <w14:solidFill>
              <w14:schemeClr w14:val="tx1"/>
            </w14:solidFill>
          </w14:textFill>
        </w:rPr>
        <w:t>预算批复执行，2024年经费支出控制在预算批复范围内，各项资金支出均参照国家、北京市相关制度及本单位已制定的财务制度执行，资金支出审批程序齐全，资金使用合规、安全。经抽查部分项目会计凭证，资金支出按照内部管理制度执行，未发现资金有超范围、超标准支出的情况，审批手续严格规范。</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ascii="仿宋_GB2312" w:hAnsi="宋体" w:eastAsia="仿宋_GB2312" w:cs="宋体"/>
          <w:color w:val="000000" w:themeColor="text1"/>
          <w:kern w:val="0"/>
          <w:sz w:val="32"/>
          <w:szCs w:val="32"/>
          <w14:textFill>
            <w14:solidFill>
              <w14:schemeClr w14:val="tx1"/>
            </w14:solidFill>
          </w14:textFill>
        </w:rPr>
        <w:t>3.</w:t>
      </w:r>
      <w:r>
        <w:rPr>
          <w:rFonts w:hint="eastAsia" w:ascii="仿宋_GB2312" w:hAnsi="宋体" w:eastAsia="仿宋_GB2312" w:cs="宋体"/>
          <w:color w:val="000000" w:themeColor="text1"/>
          <w:kern w:val="0"/>
          <w:sz w:val="32"/>
          <w:szCs w:val="32"/>
          <w14:textFill>
            <w14:solidFill>
              <w14:schemeClr w14:val="tx1"/>
            </w14:solidFill>
          </w14:textFill>
        </w:rPr>
        <w:t>会计</w:t>
      </w:r>
      <w:r>
        <w:rPr>
          <w:rFonts w:ascii="仿宋_GB2312" w:hAnsi="宋体" w:eastAsia="仿宋_GB2312" w:cs="宋体"/>
          <w:color w:val="000000" w:themeColor="text1"/>
          <w:kern w:val="0"/>
          <w:sz w:val="32"/>
          <w:szCs w:val="32"/>
          <w14:textFill>
            <w14:solidFill>
              <w14:schemeClr w14:val="tx1"/>
            </w14:solidFill>
          </w14:textFill>
        </w:rPr>
        <w:t>基础信息完善性</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2024年北京市人民检察院第二分院严格按照《财政部关于贯彻实施政府会计准则制度的通知》和市检察院、高检院的相关要求，开展会计和财务管理工作。通过梳理项目支出会计凭证及会计账簿、财务报告等基础信息，北京市人民检察院第二分院会计基础信息和会计信息管理工作较为规范。</w:t>
      </w:r>
    </w:p>
    <w:p>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1" w:name="_Toc195560264"/>
      <w:r>
        <w:rPr>
          <w:rFonts w:hint="eastAsia" w:ascii="楷体_GB2312" w:eastAsia="楷体_GB2312"/>
          <w:color w:val="000000" w:themeColor="text1"/>
          <w:sz w:val="32"/>
          <w:szCs w:val="32"/>
          <w14:textFill>
            <w14:solidFill>
              <w14:schemeClr w14:val="tx1"/>
            </w14:solidFill>
          </w14:textFill>
        </w:rPr>
        <w:t>（二）资产管理</w:t>
      </w:r>
      <w:bookmarkEnd w:id="11"/>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1.资产总体情况</w:t>
      </w:r>
    </w:p>
    <w:p>
      <w:pPr>
        <w:spacing w:line="600" w:lineRule="exact"/>
        <w:ind w:firstLine="640" w:firstLineChars="200"/>
        <w:rPr>
          <w:rFonts w:hint="eastAsia" w:ascii="仿宋_GB2312" w:hAnsi="宋体" w:eastAsia="仿宋_GB2312" w:cs="宋体"/>
          <w:kern w:val="0"/>
          <w:sz w:val="32"/>
          <w:szCs w:val="32"/>
        </w:rPr>
      </w:pPr>
      <w:bookmarkStart w:id="12" w:name="OLE_LINK2"/>
      <w:r>
        <w:rPr>
          <w:rFonts w:ascii="仿宋_GB2312" w:hAnsi="宋体" w:eastAsia="仿宋_GB2312" w:cs="宋体"/>
          <w:kern w:val="0"/>
          <w:sz w:val="32"/>
          <w:szCs w:val="32"/>
        </w:rPr>
        <w:t>截至</w:t>
      </w:r>
      <w:r>
        <w:rPr>
          <w:rFonts w:ascii="仿宋_GB2312" w:hAnsi="宋体" w:eastAsia="仿宋_GB2312" w:cs="宋体"/>
          <w:color w:val="000000" w:themeColor="text1"/>
          <w:kern w:val="0"/>
          <w:sz w:val="32"/>
          <w:szCs w:val="32"/>
          <w14:textFill>
            <w14:solidFill>
              <w14:schemeClr w14:val="tx1"/>
            </w14:solidFill>
          </w14:textFill>
        </w:rPr>
        <w:t>2024</w:t>
      </w:r>
      <w:r>
        <w:rPr>
          <w:rFonts w:ascii="仿宋_GB2312" w:hAnsi="宋体" w:eastAsia="仿宋_GB2312" w:cs="宋体"/>
          <w:kern w:val="0"/>
          <w:sz w:val="32"/>
          <w:szCs w:val="32"/>
        </w:rPr>
        <w:t>年12月31日，资产总额17,682.78万元，包括：货币资金65.25万元，占资产总额0.37%；财政应返还额度158.28万元，占资产总额0.90%；固定资产净值16,898.71万元，占资产总额95.57%；无形资产净值560.54 万元，占资产总额3.16%。</w:t>
      </w:r>
    </w:p>
    <w:bookmarkEnd w:id="12"/>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w:t>
      </w:r>
      <w:r>
        <w:rPr>
          <w:rFonts w:hint="eastAsia"/>
        </w:rPr>
        <w:t xml:space="preserve"> </w:t>
      </w:r>
      <w:r>
        <w:rPr>
          <w:rFonts w:hint="eastAsia" w:ascii="仿宋_GB2312" w:hAnsi="宋体" w:eastAsia="仿宋_GB2312" w:cs="宋体"/>
          <w:color w:val="000000" w:themeColor="text1"/>
          <w:kern w:val="0"/>
          <w:sz w:val="32"/>
          <w:szCs w:val="32"/>
          <w14:textFill>
            <w14:solidFill>
              <w14:schemeClr w14:val="tx1"/>
            </w14:solidFill>
          </w14:textFill>
        </w:rPr>
        <w:t>资产管理制度及管理过程情况</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楷体" w:eastAsia="仿宋_GB2312"/>
          <w:bCs/>
          <w:kern w:val="0"/>
          <w:sz w:val="32"/>
          <w:szCs w:val="28"/>
        </w:rPr>
        <w:t>北京市人民检察院第二分院制定了《北京市人民检察院第二分院固定资产管理办法》，明确了固定资产管理原则、管理机构及职责、固定资产标准和分类、固定资产配置、固定资产验收入库与领用、固定资产折旧、固定资产变更与交还、固定资产维修维护、固定资产保管与使用、固定资产处置、固定资产清查盘点、固定资产信息管理与报告等内容。资产的购置、配置、领用、转移、调拨和处置等执行环节，严格按照国家及上级单位有关国有资产管理的规定和《北京市人民检察院第二分院固定资产管理办法》执行。</w:t>
      </w:r>
    </w:p>
    <w:p>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3" w:name="_Toc195560265"/>
      <w:r>
        <w:rPr>
          <w:rFonts w:hint="eastAsia" w:ascii="楷体_GB2312" w:eastAsia="楷体_GB2312"/>
          <w:color w:val="000000" w:themeColor="text1"/>
          <w:sz w:val="32"/>
          <w:szCs w:val="32"/>
          <w14:textFill>
            <w14:solidFill>
              <w14:schemeClr w14:val="tx1"/>
            </w14:solidFill>
          </w14:textFill>
        </w:rPr>
        <w:t>（三）绩效</w:t>
      </w:r>
      <w:r>
        <w:rPr>
          <w:rFonts w:ascii="楷体_GB2312" w:eastAsia="楷体_GB2312"/>
          <w:color w:val="000000" w:themeColor="text1"/>
          <w:sz w:val="32"/>
          <w:szCs w:val="32"/>
          <w14:textFill>
            <w14:solidFill>
              <w14:schemeClr w14:val="tx1"/>
            </w14:solidFill>
          </w14:textFill>
        </w:rPr>
        <w:t>管理</w:t>
      </w:r>
      <w:bookmarkEnd w:id="13"/>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北京市人民检察院第二分院按照“预算编制有目标、预算执行有监控、预算完成有评价、评价结果有反馈、反馈结果有应用”的总体目标，深化推进全面预算绩效管理工作。将所有预算资金纳入部门预算绩效管理工作。北京市人民检察院第二分院对2024年度部门预算项目实施绩效自评工作，对“安保安检工作经费”项目采用部门评价方式开展，出具绩效评价报告；7个项目采用单位自评方式进行评价，出具项目支出绩效自评表。从总体评价结果来看，能够较好地按照年初预算目标完成各项工作，绩效目标设定较为合理，各项目标及指标的完成情况较好，项目执行过程比较规范，符合相关制度要求，项目执行金额能够控制在预算范围内，项目效果基本达到预定目标。</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通过开展绩效监控和绩效评价工作，全面、客观地反映了项目实施的工作成效，对项目决策、项目过程、项目产出、项目效益方面存在的不足提出合理化建议，使预算管理更加科学、完善，进而规范资金的使用管理，强化项目实施部门预算成本控制，完善绩效管理工作，进一步提升北京市人民检察院第二分院预算绩效管理水平。</w:t>
      </w:r>
    </w:p>
    <w:p>
      <w:pPr>
        <w:spacing w:line="600" w:lineRule="exact"/>
        <w:ind w:firstLine="640" w:firstLineChars="200"/>
        <w:outlineLvl w:val="1"/>
        <w:rPr>
          <w:rFonts w:ascii="楷体_GB2312" w:eastAsia="楷体_GB2312"/>
          <w:b w:val="0"/>
          <w:bCs w:val="0"/>
          <w:color w:val="000000" w:themeColor="text1"/>
          <w:sz w:val="32"/>
          <w:szCs w:val="32"/>
          <w14:textFill>
            <w14:solidFill>
              <w14:schemeClr w14:val="tx1"/>
            </w14:solidFill>
          </w14:textFill>
        </w:rPr>
      </w:pPr>
      <w:bookmarkStart w:id="14" w:name="_Toc195560266"/>
      <w:r>
        <w:rPr>
          <w:rFonts w:hint="eastAsia" w:ascii="楷体_GB2312" w:eastAsia="楷体_GB2312"/>
          <w:b w:val="0"/>
          <w:bCs w:val="0"/>
          <w:color w:val="000000" w:themeColor="text1"/>
          <w:sz w:val="32"/>
          <w:szCs w:val="32"/>
          <w14:textFill>
            <w14:solidFill>
              <w14:schemeClr w14:val="tx1"/>
            </w14:solidFill>
          </w14:textFill>
        </w:rPr>
        <w:t>（四）结转结余率</w:t>
      </w:r>
      <w:bookmarkEnd w:id="14"/>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2023年结转结余率=结转结余总额/支出预算数×100%=</w:t>
      </w:r>
      <w:r>
        <w:rPr>
          <w:rFonts w:ascii="仿宋_GB2312" w:hAnsi="宋体" w:eastAsia="仿宋_GB2312" w:cs="宋体"/>
          <w:color w:val="000000" w:themeColor="text1"/>
          <w:kern w:val="0"/>
          <w:sz w:val="32"/>
          <w:szCs w:val="32"/>
          <w14:textFill>
            <w14:solidFill>
              <w14:schemeClr w14:val="tx1"/>
            </w14:solidFill>
          </w14:textFill>
        </w:rPr>
        <w:t xml:space="preserve"> </w:t>
      </w:r>
      <w:r>
        <w:rPr>
          <w:rFonts w:hint="eastAsia" w:ascii="仿宋_GB2312" w:hAnsi="宋体" w:eastAsia="仿宋_GB2312" w:cs="宋体"/>
          <w:color w:val="000000" w:themeColor="text1"/>
          <w:kern w:val="0"/>
          <w:sz w:val="32"/>
          <w:szCs w:val="32"/>
          <w14:textFill>
            <w14:solidFill>
              <w14:schemeClr w14:val="tx1"/>
            </w14:solidFill>
          </w14:textFill>
        </w:rPr>
        <w:t>324.82万</w:t>
      </w:r>
      <w:r>
        <w:rPr>
          <w:rFonts w:ascii="仿宋_GB2312" w:hAnsi="宋体" w:eastAsia="仿宋_GB2312" w:cs="宋体"/>
          <w:color w:val="000000" w:themeColor="text1"/>
          <w:kern w:val="0"/>
          <w:sz w:val="32"/>
          <w:szCs w:val="32"/>
          <w14:textFill>
            <w14:solidFill>
              <w14:schemeClr w14:val="tx1"/>
            </w14:solidFill>
          </w14:textFill>
        </w:rPr>
        <w:t>元</w:t>
      </w:r>
      <w:r>
        <w:rPr>
          <w:rFonts w:hint="eastAsia" w:ascii="仿宋_GB2312" w:hAnsi="宋体" w:eastAsia="仿宋_GB2312" w:cs="宋体"/>
          <w:color w:val="000000" w:themeColor="text1"/>
          <w:kern w:val="0"/>
          <w:sz w:val="32"/>
          <w:szCs w:val="32"/>
          <w14:textFill>
            <w14:solidFill>
              <w14:schemeClr w14:val="tx1"/>
            </w14:solidFill>
          </w14:textFill>
        </w:rPr>
        <w:t>/13,242.12万</w:t>
      </w:r>
      <w:r>
        <w:rPr>
          <w:rFonts w:ascii="仿宋_GB2312" w:hAnsi="宋体" w:eastAsia="仿宋_GB2312" w:cs="宋体"/>
          <w:color w:val="000000" w:themeColor="text1"/>
          <w:kern w:val="0"/>
          <w:sz w:val="32"/>
          <w:szCs w:val="32"/>
          <w14:textFill>
            <w14:solidFill>
              <w14:schemeClr w14:val="tx1"/>
            </w14:solidFill>
          </w14:textFill>
        </w:rPr>
        <w:t>元</w:t>
      </w:r>
      <w:r>
        <w:rPr>
          <w:rFonts w:hint="eastAsia" w:ascii="仿宋_GB2312" w:hAnsi="宋体" w:eastAsia="仿宋_GB2312" w:cs="宋体"/>
          <w:color w:val="000000" w:themeColor="text1"/>
          <w:kern w:val="0"/>
          <w:sz w:val="32"/>
          <w:szCs w:val="32"/>
          <w14:textFill>
            <w14:solidFill>
              <w14:schemeClr w14:val="tx1"/>
            </w14:solidFill>
          </w14:textFill>
        </w:rPr>
        <w:t>×100%=2.45%。</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2024年结转结余率=结转结余总额/支出预算数×100%=161.59万元/12,867.20万元×100%=1.26%。</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2024年结转结余率比2023年结转结余率低1.19%。</w:t>
      </w:r>
    </w:p>
    <w:p>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5" w:name="_Toc195560267"/>
      <w:r>
        <w:rPr>
          <w:rFonts w:hint="eastAsia" w:ascii="楷体_GB2312" w:eastAsia="楷体_GB2312"/>
          <w:color w:val="000000" w:themeColor="text1"/>
          <w:sz w:val="32"/>
          <w:szCs w:val="32"/>
          <w14:textFill>
            <w14:solidFill>
              <w14:schemeClr w14:val="tx1"/>
            </w14:solidFill>
          </w14:textFill>
        </w:rPr>
        <w:t>（五）部门</w:t>
      </w:r>
      <w:r>
        <w:rPr>
          <w:rFonts w:ascii="楷体_GB2312" w:eastAsia="楷体_GB2312"/>
          <w:color w:val="000000" w:themeColor="text1"/>
          <w:sz w:val="32"/>
          <w:szCs w:val="32"/>
          <w14:textFill>
            <w14:solidFill>
              <w14:schemeClr w14:val="tx1"/>
            </w14:solidFill>
          </w14:textFill>
        </w:rPr>
        <w:t>预决算差异率</w:t>
      </w:r>
      <w:bookmarkEnd w:id="15"/>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部门预决算差异率=（年度部门决算-年初部门预算）/年初部门预算×100%=（12,705.61万元-13,117.42万元）/13,117.42万元×100%=-1.91%。部门预决算差异率</w:t>
      </w:r>
      <w:r>
        <w:rPr>
          <w:rFonts w:hint="eastAsia" w:ascii="仿宋_GB2312" w:hAnsi="宋体" w:eastAsia="仿宋_GB2312" w:cs="宋体"/>
          <w:color w:val="000000" w:themeColor="text1"/>
          <w:kern w:val="0"/>
          <w:sz w:val="32"/>
          <w:szCs w:val="32"/>
          <w:lang w:eastAsia="zh-CN"/>
          <w14:textFill>
            <w14:solidFill>
              <w14:schemeClr w14:val="tx1"/>
            </w14:solidFill>
          </w14:textFill>
        </w:rPr>
        <w:t>较</w:t>
      </w:r>
      <w:r>
        <w:rPr>
          <w:rFonts w:hint="eastAsia" w:ascii="仿宋_GB2312" w:hAnsi="宋体" w:eastAsia="仿宋_GB2312" w:cs="宋体"/>
          <w:color w:val="000000" w:themeColor="text1"/>
          <w:kern w:val="0"/>
          <w:sz w:val="32"/>
          <w:szCs w:val="32"/>
          <w14:textFill>
            <w14:solidFill>
              <w14:schemeClr w14:val="tx1"/>
            </w14:solidFill>
          </w14:textFill>
        </w:rPr>
        <w:t>低，部门预决算差异率控制情况较好，预算管理水平不断提升。</w:t>
      </w:r>
    </w:p>
    <w:p>
      <w:pPr>
        <w:spacing w:line="600" w:lineRule="exact"/>
        <w:ind w:left="159"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16" w:name="_Toc195560268"/>
      <w:r>
        <w:rPr>
          <w:rFonts w:hint="eastAsia" w:ascii="黑体" w:hAnsi="黑体" w:eastAsia="黑体" w:cs="宋体"/>
          <w:color w:val="000000" w:themeColor="text1"/>
          <w:kern w:val="0"/>
          <w:sz w:val="32"/>
          <w:szCs w:val="32"/>
          <w14:textFill>
            <w14:solidFill>
              <w14:schemeClr w14:val="tx1"/>
            </w14:solidFill>
          </w14:textFill>
        </w:rPr>
        <w:t>五、总体</w:t>
      </w:r>
      <w:r>
        <w:rPr>
          <w:rFonts w:ascii="黑体" w:hAnsi="黑体" w:eastAsia="黑体" w:cs="宋体"/>
          <w:color w:val="000000" w:themeColor="text1"/>
          <w:kern w:val="0"/>
          <w:sz w:val="32"/>
          <w:szCs w:val="32"/>
          <w14:textFill>
            <w14:solidFill>
              <w14:schemeClr w14:val="tx1"/>
            </w14:solidFill>
          </w14:textFill>
        </w:rPr>
        <w:t>评价结论</w:t>
      </w:r>
      <w:bookmarkEnd w:id="16"/>
    </w:p>
    <w:p>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7" w:name="_Toc195560269"/>
      <w:r>
        <w:rPr>
          <w:rFonts w:hint="eastAsia" w:ascii="楷体_GB2312" w:eastAsia="楷体_GB2312"/>
          <w:color w:val="000000" w:themeColor="text1"/>
          <w:sz w:val="32"/>
          <w:szCs w:val="32"/>
          <w14:textFill>
            <w14:solidFill>
              <w14:schemeClr w14:val="tx1"/>
            </w14:solidFill>
          </w14:textFill>
        </w:rPr>
        <w:t>（一）评价</w:t>
      </w:r>
      <w:r>
        <w:rPr>
          <w:rFonts w:ascii="楷体_GB2312" w:eastAsia="楷体_GB2312"/>
          <w:color w:val="000000" w:themeColor="text1"/>
          <w:sz w:val="32"/>
          <w:szCs w:val="32"/>
          <w14:textFill>
            <w14:solidFill>
              <w14:schemeClr w14:val="tx1"/>
            </w14:solidFill>
          </w14:textFill>
        </w:rPr>
        <w:t>得分</w:t>
      </w:r>
      <w:r>
        <w:rPr>
          <w:rFonts w:hint="eastAsia" w:ascii="楷体_GB2312" w:eastAsia="楷体_GB2312"/>
          <w:color w:val="000000" w:themeColor="text1"/>
          <w:sz w:val="32"/>
          <w:szCs w:val="32"/>
          <w14:textFill>
            <w14:solidFill>
              <w14:schemeClr w14:val="tx1"/>
            </w14:solidFill>
          </w14:textFill>
        </w:rPr>
        <w:t>情况</w:t>
      </w:r>
      <w:bookmarkEnd w:id="17"/>
    </w:p>
    <w:tbl>
      <w:tblPr>
        <w:tblStyle w:val="11"/>
        <w:tblW w:w="8191"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6"/>
        <w:gridCol w:w="2126"/>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评价内容</w:t>
            </w:r>
          </w:p>
        </w:tc>
        <w:tc>
          <w:tcPr>
            <w:tcW w:w="2126"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ascii="仿宋_GB2312" w:hAnsi="宋体" w:eastAsia="仿宋_GB2312" w:cs="宋体"/>
                <w:color w:val="000000" w:themeColor="text1"/>
                <w:kern w:val="0"/>
                <w:sz w:val="32"/>
                <w:szCs w:val="32"/>
                <w14:textFill>
                  <w14:solidFill>
                    <w14:schemeClr w14:val="tx1"/>
                  </w14:solidFill>
                </w14:textFill>
              </w:rPr>
              <w:t>分值</w:t>
            </w:r>
          </w:p>
        </w:tc>
        <w:tc>
          <w:tcPr>
            <w:tcW w:w="2489"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ascii="仿宋_GB2312" w:hAnsi="宋体" w:eastAsia="仿宋_GB2312" w:cs="宋体"/>
                <w:color w:val="000000" w:themeColor="text1"/>
                <w:kern w:val="0"/>
                <w:sz w:val="32"/>
                <w:szCs w:val="32"/>
                <w14:textFill>
                  <w14:solidFill>
                    <w14:schemeClr w14:val="tx1"/>
                  </w14:solidFill>
                </w14:textFill>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vAlign w:val="center"/>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当年预算执行情况</w:t>
            </w:r>
          </w:p>
        </w:tc>
        <w:tc>
          <w:tcPr>
            <w:tcW w:w="2126"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20</w:t>
            </w:r>
          </w:p>
        </w:tc>
        <w:tc>
          <w:tcPr>
            <w:tcW w:w="2489"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vAlign w:val="center"/>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整体绩效目标实现情况</w:t>
            </w:r>
          </w:p>
        </w:tc>
        <w:tc>
          <w:tcPr>
            <w:tcW w:w="2126"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60</w:t>
            </w:r>
          </w:p>
        </w:tc>
        <w:tc>
          <w:tcPr>
            <w:tcW w:w="2489"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vAlign w:val="center"/>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预算管理情况</w:t>
            </w:r>
          </w:p>
        </w:tc>
        <w:tc>
          <w:tcPr>
            <w:tcW w:w="2126"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20</w:t>
            </w:r>
          </w:p>
        </w:tc>
        <w:tc>
          <w:tcPr>
            <w:tcW w:w="2489"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vAlign w:val="center"/>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ascii="仿宋_GB2312" w:hAnsi="宋体" w:eastAsia="仿宋_GB2312" w:cs="宋体"/>
                <w:color w:val="000000" w:themeColor="text1"/>
                <w:kern w:val="0"/>
                <w:sz w:val="32"/>
                <w:szCs w:val="32"/>
                <w14:textFill>
                  <w14:solidFill>
                    <w14:schemeClr w14:val="tx1"/>
                  </w14:solidFill>
                </w14:textFill>
              </w:rPr>
              <w:t>综合得分</w:t>
            </w:r>
          </w:p>
        </w:tc>
        <w:tc>
          <w:tcPr>
            <w:tcW w:w="2126"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100</w:t>
            </w:r>
          </w:p>
        </w:tc>
        <w:tc>
          <w:tcPr>
            <w:tcW w:w="2489" w:type="dxa"/>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91.75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vAlign w:val="center"/>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ascii="仿宋_GB2312" w:hAnsi="宋体" w:eastAsia="仿宋_GB2312" w:cs="宋体"/>
                <w:color w:val="000000" w:themeColor="text1"/>
                <w:kern w:val="0"/>
                <w:sz w:val="32"/>
                <w:szCs w:val="32"/>
                <w14:textFill>
                  <w14:solidFill>
                    <w14:schemeClr w14:val="tx1"/>
                  </w14:solidFill>
                </w14:textFill>
              </w:rPr>
              <w:t>绩效评定级别</w:t>
            </w:r>
          </w:p>
        </w:tc>
        <w:tc>
          <w:tcPr>
            <w:tcW w:w="4615" w:type="dxa"/>
            <w:gridSpan w:val="2"/>
          </w:tcPr>
          <w:p>
            <w:pPr>
              <w:spacing w:line="600" w:lineRule="exact"/>
              <w:ind w:left="160"/>
              <w:jc w:val="center"/>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优</w:t>
            </w:r>
          </w:p>
        </w:tc>
      </w:tr>
    </w:tbl>
    <w:p>
      <w:pPr>
        <w:spacing w:line="600" w:lineRule="exact"/>
        <w:ind w:firstLine="640" w:firstLineChars="200"/>
        <w:outlineLvl w:val="1"/>
        <w:rPr>
          <w:rFonts w:ascii="楷体_GB2312" w:eastAsia="楷体_GB2312"/>
          <w:color w:val="000000" w:themeColor="text1"/>
          <w:sz w:val="32"/>
          <w:szCs w:val="32"/>
          <w14:textFill>
            <w14:solidFill>
              <w14:schemeClr w14:val="tx1"/>
            </w14:solidFill>
          </w14:textFill>
        </w:rPr>
      </w:pPr>
      <w:bookmarkStart w:id="18" w:name="_Toc195560270"/>
      <w:r>
        <w:rPr>
          <w:rFonts w:hint="eastAsia" w:ascii="楷体_GB2312" w:eastAsia="楷体_GB2312"/>
          <w:color w:val="000000" w:themeColor="text1"/>
          <w:sz w:val="32"/>
          <w:szCs w:val="32"/>
          <w14:textFill>
            <w14:solidFill>
              <w14:schemeClr w14:val="tx1"/>
            </w14:solidFill>
          </w14:textFill>
        </w:rPr>
        <w:t>（二）存在的问题及原因分析</w:t>
      </w:r>
      <w:bookmarkEnd w:id="18"/>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w:t>
      </w:r>
      <w:r>
        <w:rPr>
          <w:rFonts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部门整体绩效目标设置不够细化量化。</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2.项目实施方案</w:t>
      </w:r>
      <w:r>
        <w:rPr>
          <w:rFonts w:hint="eastAsia" w:ascii="仿宋_GB2312" w:hAnsi="宋体" w:eastAsia="仿宋_GB2312" w:cs="宋体"/>
          <w:color w:val="000000" w:themeColor="text1"/>
          <w:kern w:val="0"/>
          <w:sz w:val="32"/>
          <w:szCs w:val="32"/>
          <w:lang w:eastAsia="zh-CN"/>
          <w14:textFill>
            <w14:solidFill>
              <w14:schemeClr w14:val="tx1"/>
            </w14:solidFill>
          </w14:textFill>
        </w:rPr>
        <w:t>需要进一步完善</w:t>
      </w:r>
      <w:r>
        <w:rPr>
          <w:rFonts w:hint="eastAsia" w:ascii="仿宋_GB2312" w:hAnsi="宋体" w:eastAsia="仿宋_GB2312" w:cs="宋体"/>
          <w:color w:val="000000" w:themeColor="text1"/>
          <w:kern w:val="0"/>
          <w:sz w:val="32"/>
          <w:szCs w:val="32"/>
          <w14:textFill>
            <w14:solidFill>
              <w14:schemeClr w14:val="tx1"/>
            </w14:solidFill>
          </w14:textFill>
        </w:rPr>
        <w:t>，事后对项目的考核或验收报告等资料不够充分，</w:t>
      </w:r>
      <w:r>
        <w:rPr>
          <w:rFonts w:hint="eastAsia" w:ascii="仿宋_GB2312" w:hAnsi="宋体" w:eastAsia="仿宋_GB2312" w:cs="宋体"/>
          <w:color w:val="000000" w:themeColor="text1"/>
          <w:kern w:val="0"/>
          <w:sz w:val="32"/>
          <w:szCs w:val="32"/>
          <w:lang w:eastAsia="zh-CN"/>
          <w14:textFill>
            <w14:solidFill>
              <w14:schemeClr w14:val="tx1"/>
            </w14:solidFill>
          </w14:textFill>
        </w:rPr>
        <w:t>效益效果资料</w:t>
      </w:r>
      <w:r>
        <w:rPr>
          <w:rFonts w:hint="eastAsia" w:ascii="仿宋_GB2312" w:hAnsi="宋体" w:eastAsia="仿宋_GB2312" w:cs="宋体"/>
          <w:color w:val="000000" w:themeColor="text1"/>
          <w:kern w:val="0"/>
          <w:sz w:val="32"/>
          <w:szCs w:val="32"/>
          <w14:textFill>
            <w14:solidFill>
              <w14:schemeClr w14:val="tx1"/>
            </w14:solidFill>
          </w14:textFill>
        </w:rPr>
        <w:t>有待完善。</w:t>
      </w:r>
    </w:p>
    <w:p>
      <w:pPr>
        <w:spacing w:line="600" w:lineRule="exact"/>
        <w:ind w:left="159" w:firstLine="640" w:firstLineChars="200"/>
        <w:outlineLvl w:val="0"/>
        <w:rPr>
          <w:rFonts w:hint="eastAsia" w:ascii="黑体" w:hAnsi="黑体" w:eastAsia="黑体" w:cs="宋体"/>
          <w:color w:val="000000" w:themeColor="text1"/>
          <w:kern w:val="0"/>
          <w:sz w:val="32"/>
          <w:szCs w:val="32"/>
          <w14:textFill>
            <w14:solidFill>
              <w14:schemeClr w14:val="tx1"/>
            </w14:solidFill>
          </w14:textFill>
        </w:rPr>
      </w:pPr>
      <w:bookmarkStart w:id="19" w:name="_Toc195560271"/>
      <w:r>
        <w:rPr>
          <w:rFonts w:hint="eastAsia" w:ascii="黑体" w:hAnsi="黑体" w:eastAsia="黑体" w:cs="宋体"/>
          <w:color w:val="000000" w:themeColor="text1"/>
          <w:kern w:val="0"/>
          <w:sz w:val="32"/>
          <w:szCs w:val="32"/>
          <w14:textFill>
            <w14:solidFill>
              <w14:schemeClr w14:val="tx1"/>
            </w14:solidFill>
          </w14:textFill>
        </w:rPr>
        <w:t>六、措施建议（整改措施、下一步工作举措）</w:t>
      </w:r>
      <w:bookmarkEnd w:id="19"/>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themeColor="text1"/>
          <w:kern w:val="0"/>
          <w:sz w:val="32"/>
          <w:szCs w:val="32"/>
          <w14:textFill>
            <w14:solidFill>
              <w14:schemeClr w14:val="tx1"/>
            </w14:solidFill>
          </w14:textFill>
        </w:rPr>
        <w:t>1</w:t>
      </w:r>
      <w:r>
        <w:rPr>
          <w:rFonts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kern w:val="0"/>
          <w:sz w:val="32"/>
          <w:szCs w:val="32"/>
        </w:rPr>
        <w:t>科学</w:t>
      </w:r>
      <w:r>
        <w:rPr>
          <w:rFonts w:hint="eastAsia" w:ascii="仿宋_GB2312" w:hAnsi="宋体" w:eastAsia="仿宋_GB2312" w:cs="宋体"/>
          <w:color w:val="000000" w:themeColor="text1"/>
          <w:kern w:val="0"/>
          <w:sz w:val="32"/>
          <w:szCs w:val="32"/>
          <w14:textFill>
            <w14:solidFill>
              <w14:schemeClr w14:val="tx1"/>
            </w14:solidFill>
          </w14:textFill>
        </w:rPr>
        <w:t>设置</w:t>
      </w:r>
      <w:r>
        <w:rPr>
          <w:rFonts w:hint="eastAsia" w:ascii="仿宋_GB2312" w:hAnsi="宋体" w:eastAsia="仿宋_GB2312" w:cs="宋体"/>
          <w:color w:val="000000"/>
          <w:kern w:val="0"/>
          <w:sz w:val="32"/>
          <w:szCs w:val="32"/>
        </w:rPr>
        <w:t>绩效目标，提高预算绩效管理意识。</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建议科学、合理设置绩效目标及指标，提高财政资金预算绩效管理意识。绩效指标应尽量采用量化指标，做到可衡量、可考核。</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2.完善项目实施方案，规范项目过程管理。</w:t>
      </w:r>
    </w:p>
    <w:p>
      <w:pPr>
        <w:spacing w:line="600"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kern w:val="0"/>
          <w:sz w:val="32"/>
          <w:szCs w:val="32"/>
        </w:rPr>
        <w:t>完善项目实施方案，明确项目组织机构、人员分工、执行进度安排、项目质量监控及验收程序等内容。开展日常抽查、绩效考核等，认真收集项目效果资料并进一步整理分析，充分反映项目实施绩效。</w:t>
      </w:r>
    </w:p>
    <w:p>
      <w:pPr>
        <w:spacing w:line="600" w:lineRule="exact"/>
        <w:ind w:left="159" w:firstLine="640" w:firstLineChars="200"/>
        <w:outlineLvl w:val="0"/>
        <w:rPr>
          <w:color w:val="000000" w:themeColor="text1"/>
          <w14:textFill>
            <w14:solidFill>
              <w14:schemeClr w14:val="tx1"/>
            </w14:solidFill>
          </w14:textFill>
        </w:rPr>
      </w:pPr>
      <w:bookmarkStart w:id="20" w:name="_Toc195560272"/>
      <w:r>
        <w:rPr>
          <w:rFonts w:hint="eastAsia" w:ascii="黑体" w:hAnsi="黑体" w:eastAsia="黑体" w:cs="宋体"/>
          <w:color w:val="000000" w:themeColor="text1"/>
          <w:kern w:val="0"/>
          <w:sz w:val="32"/>
          <w:szCs w:val="32"/>
          <w14:textFill>
            <w14:solidFill>
              <w14:schemeClr w14:val="tx1"/>
            </w14:solidFill>
          </w14:textFill>
        </w:rPr>
        <w:t>七、附件：2024年部门整体绩效评价指标体系评分表</w:t>
      </w:r>
      <w:bookmarkEnd w:id="20"/>
    </w:p>
    <w:sectPr>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altName w:val="方正舒体"/>
    <w:panose1 w:val="00000000000000000000"/>
    <w:charset w:val="86"/>
    <w:family w:val="script"/>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3002052"/>
      <w:docPartObj>
        <w:docPartGallery w:val="autotext"/>
      </w:docPartObj>
    </w:sdtPr>
    <w:sdt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5786328"/>
      <w:docPartObj>
        <w:docPartGallery w:val="autotext"/>
      </w:docPartObj>
    </w:sdtPr>
    <w:sdtContent>
      <w:p>
        <w:pPr>
          <w:pStyle w:val="5"/>
          <w:ind w:firstLine="360"/>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1MDE2YTI2YWQwYzljNTY3NjA0OTIyMjJiYTQ3ZjAifQ=="/>
  </w:docVars>
  <w:rsids>
    <w:rsidRoot w:val="F77F09F4"/>
    <w:rsid w:val="00046049"/>
    <w:rsid w:val="000467CB"/>
    <w:rsid w:val="0007321F"/>
    <w:rsid w:val="0007660A"/>
    <w:rsid w:val="00090BD2"/>
    <w:rsid w:val="0009205E"/>
    <w:rsid w:val="000952FB"/>
    <w:rsid w:val="000A0F1F"/>
    <w:rsid w:val="000B2997"/>
    <w:rsid w:val="000C7E89"/>
    <w:rsid w:val="000D6198"/>
    <w:rsid w:val="000D666A"/>
    <w:rsid w:val="000F7249"/>
    <w:rsid w:val="000F7331"/>
    <w:rsid w:val="00137FA2"/>
    <w:rsid w:val="00153BEE"/>
    <w:rsid w:val="001546CD"/>
    <w:rsid w:val="001B4A58"/>
    <w:rsid w:val="001C0AAE"/>
    <w:rsid w:val="001E1E9D"/>
    <w:rsid w:val="00200796"/>
    <w:rsid w:val="002202E6"/>
    <w:rsid w:val="0022708C"/>
    <w:rsid w:val="00237FE6"/>
    <w:rsid w:val="00253DA4"/>
    <w:rsid w:val="00270DFA"/>
    <w:rsid w:val="00276818"/>
    <w:rsid w:val="00277B53"/>
    <w:rsid w:val="00283A51"/>
    <w:rsid w:val="00287144"/>
    <w:rsid w:val="0029640B"/>
    <w:rsid w:val="002977D0"/>
    <w:rsid w:val="002A016B"/>
    <w:rsid w:val="002A4DF4"/>
    <w:rsid w:val="002C6585"/>
    <w:rsid w:val="002C7463"/>
    <w:rsid w:val="002E1394"/>
    <w:rsid w:val="002F3F32"/>
    <w:rsid w:val="003459C5"/>
    <w:rsid w:val="00352C6E"/>
    <w:rsid w:val="00367118"/>
    <w:rsid w:val="0039554C"/>
    <w:rsid w:val="004131DE"/>
    <w:rsid w:val="004156A3"/>
    <w:rsid w:val="00454545"/>
    <w:rsid w:val="00477175"/>
    <w:rsid w:val="004E4DB3"/>
    <w:rsid w:val="004F780B"/>
    <w:rsid w:val="00537DA9"/>
    <w:rsid w:val="005536D2"/>
    <w:rsid w:val="00556250"/>
    <w:rsid w:val="0056196F"/>
    <w:rsid w:val="00580F78"/>
    <w:rsid w:val="0058594D"/>
    <w:rsid w:val="00597414"/>
    <w:rsid w:val="005C658D"/>
    <w:rsid w:val="005F0283"/>
    <w:rsid w:val="00601C10"/>
    <w:rsid w:val="006314CB"/>
    <w:rsid w:val="006415E7"/>
    <w:rsid w:val="006511FC"/>
    <w:rsid w:val="00651FBD"/>
    <w:rsid w:val="0068637A"/>
    <w:rsid w:val="006C5FB1"/>
    <w:rsid w:val="006D0E52"/>
    <w:rsid w:val="0070545C"/>
    <w:rsid w:val="00742D8F"/>
    <w:rsid w:val="007475C7"/>
    <w:rsid w:val="0074771B"/>
    <w:rsid w:val="007674D8"/>
    <w:rsid w:val="00771025"/>
    <w:rsid w:val="007A0688"/>
    <w:rsid w:val="007A193D"/>
    <w:rsid w:val="007C25E9"/>
    <w:rsid w:val="007D13FA"/>
    <w:rsid w:val="007E256B"/>
    <w:rsid w:val="008008A2"/>
    <w:rsid w:val="00865425"/>
    <w:rsid w:val="00870624"/>
    <w:rsid w:val="00881C7F"/>
    <w:rsid w:val="00881FAC"/>
    <w:rsid w:val="008820E1"/>
    <w:rsid w:val="0088768C"/>
    <w:rsid w:val="00893A58"/>
    <w:rsid w:val="008E49EA"/>
    <w:rsid w:val="008E7D93"/>
    <w:rsid w:val="009027EC"/>
    <w:rsid w:val="00913190"/>
    <w:rsid w:val="0093578B"/>
    <w:rsid w:val="00965354"/>
    <w:rsid w:val="0097423A"/>
    <w:rsid w:val="009A39C2"/>
    <w:rsid w:val="009C1ADE"/>
    <w:rsid w:val="009C7B3B"/>
    <w:rsid w:val="009E3759"/>
    <w:rsid w:val="00A05F19"/>
    <w:rsid w:val="00A3520A"/>
    <w:rsid w:val="00A37F5A"/>
    <w:rsid w:val="00A55FEE"/>
    <w:rsid w:val="00A6477A"/>
    <w:rsid w:val="00A76D03"/>
    <w:rsid w:val="00A80392"/>
    <w:rsid w:val="00A94088"/>
    <w:rsid w:val="00A959DC"/>
    <w:rsid w:val="00A95AF4"/>
    <w:rsid w:val="00A96E92"/>
    <w:rsid w:val="00AB7FEC"/>
    <w:rsid w:val="00AC007D"/>
    <w:rsid w:val="00AC1310"/>
    <w:rsid w:val="00AC329F"/>
    <w:rsid w:val="00AC5368"/>
    <w:rsid w:val="00AE6276"/>
    <w:rsid w:val="00AF4463"/>
    <w:rsid w:val="00B1151A"/>
    <w:rsid w:val="00B124FA"/>
    <w:rsid w:val="00B23B6F"/>
    <w:rsid w:val="00B368F9"/>
    <w:rsid w:val="00B41FD1"/>
    <w:rsid w:val="00B43A32"/>
    <w:rsid w:val="00B50104"/>
    <w:rsid w:val="00B56D4E"/>
    <w:rsid w:val="00B67C2C"/>
    <w:rsid w:val="00B869A9"/>
    <w:rsid w:val="00B93578"/>
    <w:rsid w:val="00BA250B"/>
    <w:rsid w:val="00BB2578"/>
    <w:rsid w:val="00BD6F44"/>
    <w:rsid w:val="00BE49D8"/>
    <w:rsid w:val="00BF222A"/>
    <w:rsid w:val="00C0562D"/>
    <w:rsid w:val="00C06858"/>
    <w:rsid w:val="00C4171A"/>
    <w:rsid w:val="00C50A98"/>
    <w:rsid w:val="00C81BA9"/>
    <w:rsid w:val="00C9327E"/>
    <w:rsid w:val="00C96E3A"/>
    <w:rsid w:val="00CD2621"/>
    <w:rsid w:val="00CF18F5"/>
    <w:rsid w:val="00D210EE"/>
    <w:rsid w:val="00D22684"/>
    <w:rsid w:val="00D24C1E"/>
    <w:rsid w:val="00D27738"/>
    <w:rsid w:val="00D56B68"/>
    <w:rsid w:val="00D57B4B"/>
    <w:rsid w:val="00D65886"/>
    <w:rsid w:val="00D74006"/>
    <w:rsid w:val="00D80BFE"/>
    <w:rsid w:val="00DA0FDA"/>
    <w:rsid w:val="00DC2B66"/>
    <w:rsid w:val="00DE0807"/>
    <w:rsid w:val="00E27BCA"/>
    <w:rsid w:val="00E33D3D"/>
    <w:rsid w:val="00E4585E"/>
    <w:rsid w:val="00E74444"/>
    <w:rsid w:val="00E86237"/>
    <w:rsid w:val="00EA0610"/>
    <w:rsid w:val="00EB4770"/>
    <w:rsid w:val="00ED1AAD"/>
    <w:rsid w:val="00F248EE"/>
    <w:rsid w:val="00F3126E"/>
    <w:rsid w:val="00F3653B"/>
    <w:rsid w:val="00F5046E"/>
    <w:rsid w:val="00F76AA3"/>
    <w:rsid w:val="00F81A23"/>
    <w:rsid w:val="00F82E2E"/>
    <w:rsid w:val="00F934F2"/>
    <w:rsid w:val="00F96DAA"/>
    <w:rsid w:val="00FB2740"/>
    <w:rsid w:val="00FE6012"/>
    <w:rsid w:val="00FF4437"/>
    <w:rsid w:val="00FF548F"/>
    <w:rsid w:val="06DE4E6F"/>
    <w:rsid w:val="06E24AB4"/>
    <w:rsid w:val="07BF37CB"/>
    <w:rsid w:val="0ECF9C51"/>
    <w:rsid w:val="0FF27AB2"/>
    <w:rsid w:val="14E82DA0"/>
    <w:rsid w:val="16890970"/>
    <w:rsid w:val="17440BDE"/>
    <w:rsid w:val="17621FB0"/>
    <w:rsid w:val="21783FA9"/>
    <w:rsid w:val="224D490B"/>
    <w:rsid w:val="2428167F"/>
    <w:rsid w:val="244C3795"/>
    <w:rsid w:val="25116E82"/>
    <w:rsid w:val="288A0F97"/>
    <w:rsid w:val="28952CC5"/>
    <w:rsid w:val="29A02003"/>
    <w:rsid w:val="2D506494"/>
    <w:rsid w:val="2F2D23EF"/>
    <w:rsid w:val="30B128F8"/>
    <w:rsid w:val="37173543"/>
    <w:rsid w:val="3CA72C88"/>
    <w:rsid w:val="3D9D425E"/>
    <w:rsid w:val="3FF76880"/>
    <w:rsid w:val="40153FD6"/>
    <w:rsid w:val="42CB3EC3"/>
    <w:rsid w:val="44516613"/>
    <w:rsid w:val="4EA128D7"/>
    <w:rsid w:val="4F645B87"/>
    <w:rsid w:val="505E5242"/>
    <w:rsid w:val="506F2435"/>
    <w:rsid w:val="53D678A9"/>
    <w:rsid w:val="54474C0E"/>
    <w:rsid w:val="54F861FA"/>
    <w:rsid w:val="5A0F49D2"/>
    <w:rsid w:val="5A8A5B64"/>
    <w:rsid w:val="5BCE0160"/>
    <w:rsid w:val="60FC4220"/>
    <w:rsid w:val="63AC6EF4"/>
    <w:rsid w:val="641A130C"/>
    <w:rsid w:val="68962BCE"/>
    <w:rsid w:val="69886D8E"/>
    <w:rsid w:val="6BB12D47"/>
    <w:rsid w:val="6CAE522C"/>
    <w:rsid w:val="6EC06124"/>
    <w:rsid w:val="76F530D2"/>
    <w:rsid w:val="77895DD9"/>
    <w:rsid w:val="78DC3CAB"/>
    <w:rsid w:val="7AB7FF50"/>
    <w:rsid w:val="7BFEB0DB"/>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qFormat="1" w:unhideWhenUsed="0"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link w:val="17"/>
    <w:semiHidden/>
    <w:unhideWhenUsed/>
    <w:qFormat/>
    <w:uiPriority w:val="0"/>
    <w:pPr>
      <w:spacing w:after="120"/>
      <w:ind w:left="420" w:leftChars="200"/>
    </w:pPr>
  </w:style>
  <w:style w:type="paragraph" w:styleId="4">
    <w:name w:val="Date"/>
    <w:basedOn w:val="1"/>
    <w:next w:val="1"/>
    <w:link w:val="19"/>
    <w:semiHidden/>
    <w:unhideWhenUsed/>
    <w:qFormat/>
    <w:uiPriority w:val="0"/>
    <w:pPr>
      <w:ind w:left="100" w:leftChars="2500"/>
    </w:pPr>
  </w:style>
  <w:style w:type="paragraph" w:styleId="5">
    <w:name w:val="footer"/>
    <w:basedOn w:val="1"/>
    <w:link w:val="20"/>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39"/>
    <w:pPr>
      <w:spacing w:after="160" w:line="278" w:lineRule="auto"/>
    </w:pPr>
  </w:style>
  <w:style w:type="paragraph" w:styleId="8">
    <w:name w:val="toc 2"/>
    <w:basedOn w:val="1"/>
    <w:next w:val="1"/>
    <w:qFormat/>
    <w:uiPriority w:val="39"/>
    <w:pPr>
      <w:spacing w:after="160" w:line="278" w:lineRule="auto"/>
      <w:ind w:left="420" w:leftChars="200"/>
    </w:pPr>
  </w:style>
  <w:style w:type="paragraph" w:styleId="9">
    <w:name w:val="Body Text First Indent 2"/>
    <w:basedOn w:val="3"/>
    <w:link w:val="18"/>
    <w:qFormat/>
    <w:uiPriority w:val="99"/>
    <w:pPr>
      <w:spacing w:after="360" w:line="278" w:lineRule="auto"/>
      <w:ind w:left="0" w:leftChars="0" w:firstLine="420" w:firstLineChars="200"/>
    </w:pPr>
    <w:rPr>
      <w:rFonts w:eastAsia="仿宋_GB2312"/>
      <w:kern w:val="1"/>
      <w:sz w:val="32"/>
      <w:szCs w:val="20"/>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page number"/>
    <w:basedOn w:val="12"/>
    <w:qFormat/>
    <w:uiPriority w:val="0"/>
  </w:style>
  <w:style w:type="character" w:styleId="14">
    <w:name w:val="Hyperlink"/>
    <w:unhideWhenUsed/>
    <w:qFormat/>
    <w:uiPriority w:val="99"/>
    <w:rPr>
      <w:color w:val="0000FF"/>
      <w:u w:val="single"/>
    </w:rPr>
  </w:style>
  <w:style w:type="paragraph" w:customStyle="1" w:styleId="15">
    <w:name w:val="列出段落1"/>
    <w:basedOn w:val="1"/>
    <w:qFormat/>
    <w:uiPriority w:val="34"/>
    <w:pPr>
      <w:ind w:firstLine="420" w:firstLineChars="200"/>
    </w:pPr>
    <w:rPr>
      <w:rFonts w:ascii="Calibri" w:hAnsi="Calibri" w:cs="黑体"/>
      <w:szCs w:val="22"/>
    </w:rPr>
  </w:style>
  <w:style w:type="paragraph" w:customStyle="1" w:styleId="16">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7">
    <w:name w:val="正文文本缩进 字符"/>
    <w:basedOn w:val="12"/>
    <w:link w:val="3"/>
    <w:semiHidden/>
    <w:qFormat/>
    <w:uiPriority w:val="0"/>
    <w:rPr>
      <w:kern w:val="2"/>
      <w:sz w:val="21"/>
      <w:szCs w:val="24"/>
    </w:rPr>
  </w:style>
  <w:style w:type="character" w:customStyle="1" w:styleId="18">
    <w:name w:val="正文文本首行缩进 2 字符"/>
    <w:basedOn w:val="17"/>
    <w:link w:val="9"/>
    <w:qFormat/>
    <w:uiPriority w:val="99"/>
    <w:rPr>
      <w:rFonts w:eastAsia="仿宋_GB2312"/>
      <w:kern w:val="1"/>
      <w:sz w:val="32"/>
      <w:szCs w:val="24"/>
    </w:rPr>
  </w:style>
  <w:style w:type="character" w:customStyle="1" w:styleId="19">
    <w:name w:val="日期 字符"/>
    <w:basedOn w:val="12"/>
    <w:link w:val="4"/>
    <w:semiHidden/>
    <w:qFormat/>
    <w:uiPriority w:val="0"/>
    <w:rPr>
      <w:kern w:val="2"/>
      <w:sz w:val="21"/>
      <w:szCs w:val="24"/>
    </w:rPr>
  </w:style>
  <w:style w:type="character" w:customStyle="1" w:styleId="20">
    <w:name w:val="页脚 字符"/>
    <w:basedOn w:val="12"/>
    <w:link w:val="5"/>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F33A91-A1ED-41E5-84CF-CD06C4720592}">
  <ds:schemaRefs/>
</ds:datastoreItem>
</file>

<file path=docProps/app.xml><?xml version="1.0" encoding="utf-8"?>
<Properties xmlns="http://schemas.openxmlformats.org/officeDocument/2006/extended-properties" xmlns:vt="http://schemas.openxmlformats.org/officeDocument/2006/docPropsVTypes">
  <Template>Normal</Template>
  <Pages>20</Pages>
  <Words>1643</Words>
  <Characters>9366</Characters>
  <Lines>78</Lines>
  <Paragraphs>21</Paragraphs>
  <TotalTime>42</TotalTime>
  <ScaleCrop>false</ScaleCrop>
  <LinksUpToDate>false</LinksUpToDate>
  <CharactersWithSpaces>10988</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2025-04-05T01:59:00Z</dcterms:created>
  <dc:creator>user</dc:creator>
  <cp:lastModifiedBy>Administrator</cp:lastModifiedBy>
  <dcterms:modified xsi:type="dcterms:W3CDTF">2025-08-26T03:53:24Z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E07878206A614E5280DAE0BADB59E1FC_12</vt:lpwstr>
  </property>
  <property fmtid="{D5CDD505-2E9C-101B-9397-08002B2CF9AE}" pid="4" name="KSOTemplateDocerSaveRecord">
    <vt:lpwstr>eyJoZGlkIjoiZGQ4OWU0YTMxNGFiZWQ3Yzg3MDRhYWY1ZmJmM2VlMTgiLCJ1c2VySWQiOiIxOTcwMDgxODIifQ==</vt:lpwstr>
  </property>
</Properties>
</file>