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4D2" w:rsidRDefault="00B9443A">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北京市生态环境局</w:t>
      </w:r>
    </w:p>
    <w:p w:rsidR="00E464D2" w:rsidRDefault="00B9443A">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2024年部门整体绩效报告</w:t>
      </w:r>
    </w:p>
    <w:p w:rsidR="00E464D2" w:rsidRDefault="00E464D2">
      <w:pPr>
        <w:jc w:val="center"/>
        <w:rPr>
          <w:rFonts w:ascii="仿宋_GB2312"/>
          <w:szCs w:val="30"/>
        </w:rPr>
      </w:pPr>
    </w:p>
    <w:p w:rsidR="00E464D2" w:rsidRDefault="00B9443A">
      <w:pPr>
        <w:adjustRightInd w:val="0"/>
        <w:snapToGrid w:val="0"/>
        <w:spacing w:line="360" w:lineRule="auto"/>
        <w:ind w:firstLineChars="200" w:firstLine="640"/>
        <w:outlineLvl w:val="0"/>
        <w:rPr>
          <w:rFonts w:ascii="黑体" w:eastAsia="黑体" w:hAnsi="黑体" w:cs="宋体"/>
          <w:kern w:val="0"/>
          <w:sz w:val="32"/>
          <w:szCs w:val="32"/>
        </w:rPr>
      </w:pPr>
      <w:bookmarkStart w:id="0" w:name="_Toc1868579178"/>
      <w:bookmarkStart w:id="1" w:name="_Toc1795393085"/>
      <w:bookmarkStart w:id="2" w:name="_Toc1414754265"/>
      <w:bookmarkStart w:id="3" w:name="_Toc138682692"/>
      <w:bookmarkStart w:id="4" w:name="_Toc808038040"/>
      <w:r>
        <w:rPr>
          <w:rFonts w:ascii="黑体" w:eastAsia="黑体" w:hAnsi="黑体" w:cs="宋体" w:hint="eastAsia"/>
          <w:kern w:val="0"/>
          <w:sz w:val="32"/>
          <w:szCs w:val="32"/>
        </w:rPr>
        <w:t>一、部门概况</w:t>
      </w:r>
      <w:bookmarkStart w:id="5" w:name="_Toc8754652"/>
      <w:bookmarkStart w:id="6" w:name="_Toc820247449"/>
      <w:bookmarkStart w:id="7" w:name="_Toc835992271"/>
      <w:bookmarkStart w:id="8" w:name="_Toc409390918"/>
      <w:bookmarkStart w:id="9" w:name="_Toc878855598"/>
      <w:bookmarkEnd w:id="0"/>
      <w:bookmarkEnd w:id="1"/>
      <w:bookmarkEnd w:id="2"/>
      <w:bookmarkEnd w:id="3"/>
      <w:bookmarkEnd w:id="4"/>
    </w:p>
    <w:p w:rsidR="00E464D2" w:rsidRDefault="00B9443A">
      <w:pPr>
        <w:adjustRightInd w:val="0"/>
        <w:snapToGrid w:val="0"/>
        <w:spacing w:line="360" w:lineRule="auto"/>
        <w:ind w:firstLineChars="200" w:firstLine="640"/>
        <w:outlineLvl w:val="0"/>
        <w:rPr>
          <w:rFonts w:ascii="黑体" w:eastAsia="黑体" w:hAnsi="黑体" w:cs="宋体"/>
          <w:kern w:val="0"/>
          <w:sz w:val="32"/>
          <w:szCs w:val="32"/>
        </w:rPr>
      </w:pPr>
      <w:r>
        <w:rPr>
          <w:rFonts w:ascii="楷体_GB2312" w:eastAsia="楷体_GB2312" w:hint="eastAsia"/>
          <w:sz w:val="32"/>
          <w:szCs w:val="32"/>
        </w:rPr>
        <w:t>（一）机构设置及职责工作任务情况</w:t>
      </w:r>
      <w:bookmarkStart w:id="10" w:name="_Toc95553838"/>
      <w:bookmarkStart w:id="11" w:name="_Toc1110548168"/>
      <w:bookmarkStart w:id="12" w:name="_Toc533511520"/>
      <w:bookmarkStart w:id="13" w:name="_Toc1201345250"/>
      <w:bookmarkStart w:id="14" w:name="_Toc1684080023"/>
      <w:bookmarkStart w:id="15" w:name="OLE_LINK1"/>
      <w:bookmarkEnd w:id="5"/>
      <w:bookmarkEnd w:id="6"/>
      <w:bookmarkEnd w:id="7"/>
      <w:bookmarkEnd w:id="8"/>
      <w:bookmarkEnd w:id="9"/>
    </w:p>
    <w:p w:rsidR="00E464D2" w:rsidRDefault="00B9443A">
      <w:pPr>
        <w:adjustRightInd w:val="0"/>
        <w:snapToGrid w:val="0"/>
        <w:spacing w:line="360" w:lineRule="auto"/>
        <w:ind w:firstLineChars="200" w:firstLine="640"/>
        <w:outlineLvl w:val="0"/>
        <w:rPr>
          <w:rFonts w:ascii="黑体" w:eastAsia="黑体" w:hAnsi="黑体" w:cs="宋体"/>
          <w:kern w:val="0"/>
          <w:sz w:val="32"/>
          <w:szCs w:val="32"/>
        </w:rPr>
      </w:pPr>
      <w:r>
        <w:rPr>
          <w:rFonts w:ascii="仿宋_GB2312" w:eastAsia="仿宋_GB2312" w:hAnsi="宋体" w:cs="宋体" w:hint="eastAsia"/>
          <w:kern w:val="0"/>
          <w:sz w:val="32"/>
          <w:szCs w:val="32"/>
        </w:rPr>
        <w:t>北京市生态环境局为市政府组成部门，主要职责包括：负责建立健全本市生态环境基本制度。负责本市重大生态环境问题的统筹协调和监督管理。负责监督管理本市污染减排目标的落实。负责提出本市生态环境领域固定资产投资方向、规模建议。负责本市环境污染防治的监督管理。指导协调和监督本市生态保护修复工作。负责本市辐射安全的监督管理。负责本市生态环境准入的监督管理。负责本市生态环境监测和信息发布工作。开展本市应对气候变化工作。组织开展本市生态环境保护督察工作。组织指导和协调本市生态环境保护宣传教育工作。开展本市生态环境科技和国际合作交流工作。负责组织开展生态环境监督执法。负责指导、监督检查各区生态环境工作。完成市委、市政府交办的其他任务。</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北京市生态环境局下属12个预算单位，其中1个为局机关，1个为行政执法机构，9个为公益一类单位，1个为公益二类单位。行政执法机构为北京市生态环境保护综合执法总队，9个公益一类单位分别为北京市生态环境监测中心、北京市生态环境保护宣传中心、北京市核与辐射安全中心、北京市污染源管理事务中心、北京市机动车排放管理事务中</w:t>
      </w:r>
      <w:r>
        <w:rPr>
          <w:rFonts w:ascii="仿宋_GB2312" w:eastAsia="仿宋_GB2312" w:hAnsi="宋体" w:cs="宋体" w:hint="eastAsia"/>
          <w:kern w:val="0"/>
          <w:sz w:val="32"/>
          <w:szCs w:val="32"/>
        </w:rPr>
        <w:lastRenderedPageBreak/>
        <w:t>心、北京市生态环境评估与投诉中心（现变更为北京市生态环境政务服务中心）、北京市生态环境保护督察中心、北京市应对气候变化管理事务中心、北京市生态环境局综合事务中心，1个公益二类单位是北京市生态环境保护科学研究院。</w:t>
      </w:r>
    </w:p>
    <w:p w:rsidR="00E464D2" w:rsidRDefault="00B9443A">
      <w:pPr>
        <w:adjustRightInd w:val="0"/>
        <w:snapToGrid w:val="0"/>
        <w:spacing w:line="560" w:lineRule="exact"/>
        <w:ind w:firstLineChars="200" w:firstLine="640"/>
        <w:outlineLvl w:val="1"/>
        <w:rPr>
          <w:rFonts w:ascii="楷体_GB2312" w:eastAsia="楷体_GB2312"/>
          <w:sz w:val="32"/>
          <w:szCs w:val="32"/>
        </w:rPr>
      </w:pPr>
      <w:r>
        <w:rPr>
          <w:rFonts w:ascii="楷体_GB2312" w:eastAsia="楷体_GB2312" w:hint="eastAsia"/>
          <w:sz w:val="32"/>
          <w:szCs w:val="32"/>
        </w:rPr>
        <w:t>（二）部门整体绩效目标设立情况</w:t>
      </w:r>
      <w:bookmarkEnd w:id="10"/>
      <w:bookmarkEnd w:id="11"/>
      <w:bookmarkEnd w:id="12"/>
      <w:bookmarkEnd w:id="13"/>
      <w:bookmarkEnd w:id="14"/>
    </w:p>
    <w:bookmarkEnd w:id="15"/>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市生态环境局2024年部门整体绩效目标设立紧密围绕《北京市十四五时期生态环境保护规划》《北京市深入打好污染防治攻坚战及碳排放控制2024年行动计划》等规划要求，落实生态环境部任务要求，全面落实过“紧日子”思想，讲成本、讲绩效，突出低碳、生态保护、VOCs治理等重点，统筹兼顾环境质量改善需要和环境安全保障需求。部门活动和绩效目标对应情况见下表：</w:t>
      </w:r>
    </w:p>
    <w:p w:rsidR="00E464D2" w:rsidRDefault="00B9443A">
      <w:pPr>
        <w:spacing w:line="600" w:lineRule="exact"/>
        <w:jc w:val="center"/>
        <w:rPr>
          <w:rFonts w:eastAsia="黑体"/>
          <w:color w:val="000000"/>
          <w:sz w:val="28"/>
          <w:szCs w:val="28"/>
        </w:rPr>
      </w:pPr>
      <w:r>
        <w:rPr>
          <w:rFonts w:eastAsia="黑体" w:cs="黑体" w:hint="eastAsia"/>
          <w:sz w:val="28"/>
          <w:szCs w:val="28"/>
        </w:rPr>
        <w:t>表</w:t>
      </w:r>
      <w:r>
        <w:rPr>
          <w:rFonts w:eastAsia="黑体"/>
          <w:sz w:val="28"/>
          <w:szCs w:val="28"/>
        </w:rPr>
        <w:t>1  202</w:t>
      </w:r>
      <w:r>
        <w:rPr>
          <w:rFonts w:eastAsia="黑体" w:hint="eastAsia"/>
          <w:sz w:val="28"/>
          <w:szCs w:val="28"/>
        </w:rPr>
        <w:t>4</w:t>
      </w:r>
      <w:r>
        <w:rPr>
          <w:rFonts w:eastAsia="黑体" w:cs="黑体" w:hint="eastAsia"/>
          <w:color w:val="000000"/>
          <w:sz w:val="28"/>
          <w:szCs w:val="28"/>
        </w:rPr>
        <w:t>年度部门活动和绩效目标对应情况表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9"/>
        <w:gridCol w:w="1690"/>
        <w:gridCol w:w="3052"/>
        <w:gridCol w:w="1428"/>
      </w:tblGrid>
      <w:tr w:rsidR="00E464D2">
        <w:trPr>
          <w:trHeight w:val="567"/>
          <w:tblHeader/>
          <w:jc w:val="center"/>
        </w:trPr>
        <w:tc>
          <w:tcPr>
            <w:tcW w:w="137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黑体" w:eastAsia="黑体" w:hAnsi="宋体" w:cs="黑体"/>
                <w:color w:val="000000"/>
                <w:sz w:val="24"/>
              </w:rPr>
            </w:pPr>
            <w:r>
              <w:rPr>
                <w:rFonts w:ascii="黑体" w:eastAsia="黑体" w:hAnsi="宋体" w:cs="黑体" w:hint="eastAsia"/>
                <w:color w:val="000000"/>
                <w:sz w:val="24"/>
              </w:rPr>
              <w:t>部门活动</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黑体" w:eastAsia="黑体" w:hAnsi="宋体" w:cs="黑体"/>
                <w:color w:val="000000"/>
                <w:sz w:val="24"/>
              </w:rPr>
            </w:pPr>
            <w:r>
              <w:rPr>
                <w:rFonts w:ascii="黑体" w:eastAsia="黑体" w:hAnsi="宋体" w:cs="黑体" w:hint="eastAsia"/>
                <w:color w:val="000000"/>
                <w:sz w:val="24"/>
              </w:rPr>
              <w:t>绩效指标</w:t>
            </w:r>
          </w:p>
        </w:tc>
        <w:tc>
          <w:tcPr>
            <w:tcW w:w="1790"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黑体" w:eastAsia="黑体" w:hAnsi="宋体" w:cs="黑体"/>
                <w:color w:val="000000"/>
                <w:sz w:val="24"/>
              </w:rPr>
            </w:pPr>
            <w:r>
              <w:rPr>
                <w:rFonts w:ascii="黑体" w:eastAsia="黑体" w:hAnsi="宋体" w:cs="黑体" w:hint="eastAsia"/>
                <w:color w:val="000000"/>
                <w:sz w:val="24"/>
              </w:rPr>
              <w:t>指标内容</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黑体" w:eastAsia="黑体" w:hAnsi="宋体" w:cs="黑体"/>
                <w:color w:val="000000"/>
                <w:sz w:val="24"/>
              </w:rPr>
            </w:pPr>
            <w:r>
              <w:rPr>
                <w:rFonts w:ascii="黑体" w:eastAsia="黑体" w:hAnsi="宋体" w:cs="黑体" w:hint="eastAsia"/>
                <w:color w:val="000000"/>
                <w:sz w:val="24"/>
              </w:rPr>
              <w:t>指标值</w:t>
            </w:r>
          </w:p>
        </w:tc>
      </w:tr>
      <w:tr w:rsidR="00E464D2">
        <w:trPr>
          <w:trHeight w:val="567"/>
          <w:jc w:val="center"/>
        </w:trPr>
        <w:tc>
          <w:tcPr>
            <w:tcW w:w="137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生态环境保护执法</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产出数量指标</w:t>
            </w:r>
          </w:p>
        </w:tc>
        <w:tc>
          <w:tcPr>
            <w:tcW w:w="1790"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组织市级单独检查和市区交叉检查专项行动</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4次</w:t>
            </w:r>
          </w:p>
        </w:tc>
      </w:tr>
      <w:tr w:rsidR="00E464D2">
        <w:trPr>
          <w:trHeight w:val="567"/>
          <w:jc w:val="center"/>
        </w:trPr>
        <w:tc>
          <w:tcPr>
            <w:tcW w:w="137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生态环境保护督察</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产出数量指标</w:t>
            </w:r>
          </w:p>
        </w:tc>
        <w:tc>
          <w:tcPr>
            <w:tcW w:w="1790"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开展例行督察工作</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4次</w:t>
            </w:r>
          </w:p>
        </w:tc>
      </w:tr>
      <w:tr w:rsidR="00E464D2">
        <w:trPr>
          <w:trHeight w:val="567"/>
          <w:jc w:val="center"/>
        </w:trPr>
        <w:tc>
          <w:tcPr>
            <w:tcW w:w="137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应对气候变化工作</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产出数量指标</w:t>
            </w:r>
          </w:p>
        </w:tc>
        <w:tc>
          <w:tcPr>
            <w:tcW w:w="1790"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支持北京市先进低碳技术应用项目</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5个</w:t>
            </w:r>
          </w:p>
        </w:tc>
      </w:tr>
      <w:tr w:rsidR="00E464D2">
        <w:trPr>
          <w:trHeight w:val="567"/>
          <w:jc w:val="center"/>
        </w:trPr>
        <w:tc>
          <w:tcPr>
            <w:tcW w:w="137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生态环境评估与投诉举报工作</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产出数量指标</w:t>
            </w:r>
          </w:p>
        </w:tc>
        <w:tc>
          <w:tcPr>
            <w:tcW w:w="1790"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信访投诉信件采集率</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≥95%</w:t>
            </w:r>
          </w:p>
        </w:tc>
      </w:tr>
      <w:tr w:rsidR="00E464D2">
        <w:trPr>
          <w:trHeight w:val="567"/>
          <w:jc w:val="center"/>
        </w:trPr>
        <w:tc>
          <w:tcPr>
            <w:tcW w:w="137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水生态环境保护</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产出质量指标</w:t>
            </w:r>
          </w:p>
        </w:tc>
        <w:tc>
          <w:tcPr>
            <w:tcW w:w="1790"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地表水国家考核断面达到或优于Ⅲ类水体比例</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≥70.3%</w:t>
            </w:r>
          </w:p>
        </w:tc>
      </w:tr>
      <w:tr w:rsidR="00E464D2">
        <w:trPr>
          <w:trHeight w:val="567"/>
          <w:jc w:val="center"/>
        </w:trPr>
        <w:tc>
          <w:tcPr>
            <w:tcW w:w="137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大气生态环境保护</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产出质量指标</w:t>
            </w:r>
          </w:p>
        </w:tc>
        <w:tc>
          <w:tcPr>
            <w:tcW w:w="1790"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巩固空气质量改善成效</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优</w:t>
            </w:r>
          </w:p>
        </w:tc>
      </w:tr>
      <w:tr w:rsidR="00E464D2">
        <w:trPr>
          <w:trHeight w:val="567"/>
          <w:jc w:val="center"/>
        </w:trPr>
        <w:tc>
          <w:tcPr>
            <w:tcW w:w="137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土壤生态环境保护</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社会效益指标</w:t>
            </w:r>
          </w:p>
        </w:tc>
        <w:tc>
          <w:tcPr>
            <w:tcW w:w="1790"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土壤全过程管控和农村环境整治</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优</w:t>
            </w:r>
          </w:p>
        </w:tc>
      </w:tr>
      <w:tr w:rsidR="00E464D2">
        <w:trPr>
          <w:trHeight w:val="567"/>
          <w:jc w:val="center"/>
        </w:trPr>
        <w:tc>
          <w:tcPr>
            <w:tcW w:w="137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生态环境保护宣传教育</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社会效益指标</w:t>
            </w:r>
          </w:p>
        </w:tc>
        <w:tc>
          <w:tcPr>
            <w:tcW w:w="1790"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提升全社会生态环境保护意识</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优</w:t>
            </w:r>
          </w:p>
        </w:tc>
      </w:tr>
      <w:tr w:rsidR="00E464D2">
        <w:trPr>
          <w:trHeight w:val="567"/>
          <w:jc w:val="center"/>
        </w:trPr>
        <w:tc>
          <w:tcPr>
            <w:tcW w:w="137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核与辐射安全的监督管理</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生态效益指标</w:t>
            </w:r>
          </w:p>
        </w:tc>
        <w:tc>
          <w:tcPr>
            <w:tcW w:w="1790"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保证首都辐射环境安全</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优</w:t>
            </w:r>
          </w:p>
        </w:tc>
      </w:tr>
      <w:tr w:rsidR="00E464D2">
        <w:trPr>
          <w:trHeight w:val="567"/>
          <w:jc w:val="center"/>
        </w:trPr>
        <w:tc>
          <w:tcPr>
            <w:tcW w:w="137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污染源监督管理</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生态效益指标</w:t>
            </w:r>
          </w:p>
        </w:tc>
        <w:tc>
          <w:tcPr>
            <w:tcW w:w="1790"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主要污染物减排量</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达到国家要求</w:t>
            </w:r>
          </w:p>
        </w:tc>
      </w:tr>
      <w:tr w:rsidR="00E464D2">
        <w:trPr>
          <w:trHeight w:val="567"/>
          <w:jc w:val="center"/>
        </w:trPr>
        <w:tc>
          <w:tcPr>
            <w:tcW w:w="137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自然生态保护工作</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生态效益指标</w:t>
            </w:r>
          </w:p>
        </w:tc>
        <w:tc>
          <w:tcPr>
            <w:tcW w:w="1790"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提升生态系统质量和稳定性</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优</w:t>
            </w:r>
          </w:p>
        </w:tc>
      </w:tr>
      <w:tr w:rsidR="00E464D2">
        <w:trPr>
          <w:trHeight w:val="567"/>
          <w:jc w:val="center"/>
        </w:trPr>
        <w:tc>
          <w:tcPr>
            <w:tcW w:w="137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生态环境监测</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可持续影响指标</w:t>
            </w:r>
          </w:p>
        </w:tc>
        <w:tc>
          <w:tcPr>
            <w:tcW w:w="1790"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为本市生态环境监管提供有效技术支持</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优</w:t>
            </w:r>
          </w:p>
        </w:tc>
      </w:tr>
      <w:tr w:rsidR="00E464D2">
        <w:trPr>
          <w:trHeight w:val="567"/>
          <w:jc w:val="center"/>
        </w:trPr>
        <w:tc>
          <w:tcPr>
            <w:tcW w:w="137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生态环境保障类工作</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满意度指标</w:t>
            </w:r>
          </w:p>
        </w:tc>
        <w:tc>
          <w:tcPr>
            <w:tcW w:w="1790"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服务对象满意度</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rsidR="00E464D2" w:rsidRDefault="00B9443A">
            <w:pPr>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≥90%</w:t>
            </w:r>
          </w:p>
        </w:tc>
      </w:tr>
    </w:tbl>
    <w:p w:rsidR="00E464D2" w:rsidRDefault="00B9443A">
      <w:pPr>
        <w:adjustRightInd w:val="0"/>
        <w:snapToGrid w:val="0"/>
        <w:spacing w:line="560" w:lineRule="exact"/>
        <w:ind w:firstLineChars="200" w:firstLine="640"/>
        <w:outlineLvl w:val="0"/>
        <w:rPr>
          <w:rFonts w:ascii="黑体" w:eastAsia="黑体" w:hAnsi="黑体" w:cs="宋体"/>
          <w:kern w:val="0"/>
          <w:sz w:val="32"/>
          <w:szCs w:val="32"/>
        </w:rPr>
      </w:pPr>
      <w:bookmarkStart w:id="16" w:name="_Toc983890415"/>
      <w:bookmarkStart w:id="17" w:name="_Toc368367656"/>
      <w:bookmarkStart w:id="18" w:name="_Toc1803070957"/>
      <w:bookmarkStart w:id="19" w:name="_Toc1202683499"/>
      <w:bookmarkStart w:id="20" w:name="_Toc498479101"/>
      <w:r>
        <w:rPr>
          <w:rFonts w:ascii="黑体" w:eastAsia="黑体" w:hAnsi="黑体" w:cs="宋体" w:hint="eastAsia"/>
          <w:kern w:val="0"/>
          <w:sz w:val="32"/>
          <w:szCs w:val="32"/>
        </w:rPr>
        <w:t>二</w:t>
      </w:r>
      <w:r>
        <w:rPr>
          <w:rFonts w:ascii="黑体" w:eastAsia="黑体" w:hAnsi="黑体" w:cs="宋体"/>
          <w:kern w:val="0"/>
          <w:sz w:val="32"/>
          <w:szCs w:val="32"/>
        </w:rPr>
        <w:t>、</w:t>
      </w:r>
      <w:r>
        <w:rPr>
          <w:rFonts w:ascii="黑体" w:eastAsia="黑体" w:hAnsi="黑体" w:cs="宋体" w:hint="eastAsia"/>
          <w:kern w:val="0"/>
          <w:sz w:val="32"/>
          <w:szCs w:val="32"/>
        </w:rPr>
        <w:t>当年</w:t>
      </w:r>
      <w:r>
        <w:rPr>
          <w:rFonts w:ascii="黑体" w:eastAsia="黑体" w:hAnsi="黑体" w:cs="宋体"/>
          <w:kern w:val="0"/>
          <w:sz w:val="32"/>
          <w:szCs w:val="32"/>
        </w:rPr>
        <w:t>预算执行情况</w:t>
      </w:r>
      <w:bookmarkEnd w:id="16"/>
      <w:bookmarkEnd w:id="17"/>
      <w:bookmarkEnd w:id="18"/>
      <w:bookmarkEnd w:id="19"/>
      <w:bookmarkEnd w:id="20"/>
    </w:p>
    <w:p w:rsidR="00E464D2" w:rsidRDefault="00B9443A">
      <w:pPr>
        <w:adjustRightInd w:val="0"/>
        <w:snapToGrid w:val="0"/>
        <w:spacing w:line="560" w:lineRule="exact"/>
        <w:ind w:firstLineChars="200" w:firstLine="640"/>
        <w:rPr>
          <w:rFonts w:ascii="楷体_GB2312" w:eastAsia="楷体_GB2312"/>
          <w:sz w:val="32"/>
          <w:szCs w:val="32"/>
        </w:rPr>
      </w:pPr>
      <w:bookmarkStart w:id="21" w:name="OLE_LINK8"/>
      <w:bookmarkStart w:id="22" w:name="OLE_LINK6"/>
      <w:r>
        <w:rPr>
          <w:rFonts w:ascii="仿宋_GB2312" w:eastAsia="仿宋_GB2312" w:hAnsi="宋体" w:cs="宋体" w:hint="eastAsia"/>
          <w:kern w:val="0"/>
          <w:sz w:val="32"/>
          <w:szCs w:val="32"/>
        </w:rPr>
        <w:t>财政拨款全年预算数143</w:t>
      </w:r>
      <w:r>
        <w:rPr>
          <w:rFonts w:ascii="仿宋_GB2312" w:eastAsia="仿宋_GB2312" w:hAnsi="宋体" w:cs="宋体"/>
          <w:kern w:val="0"/>
          <w:sz w:val="32"/>
          <w:szCs w:val="32"/>
        </w:rPr>
        <w:t>,</w:t>
      </w:r>
      <w:r>
        <w:rPr>
          <w:rFonts w:ascii="仿宋_GB2312" w:eastAsia="仿宋_GB2312" w:hAnsi="宋体" w:cs="宋体" w:hint="eastAsia"/>
          <w:kern w:val="0"/>
          <w:sz w:val="32"/>
          <w:szCs w:val="32"/>
        </w:rPr>
        <w:t>402.41万元，其中，基本支出43</w:t>
      </w:r>
      <w:r>
        <w:rPr>
          <w:rFonts w:ascii="仿宋_GB2312" w:eastAsia="仿宋_GB2312" w:hAnsi="宋体" w:cs="宋体"/>
          <w:kern w:val="0"/>
          <w:sz w:val="32"/>
          <w:szCs w:val="32"/>
        </w:rPr>
        <w:t>,</w:t>
      </w:r>
      <w:r>
        <w:rPr>
          <w:rFonts w:ascii="仿宋_GB2312" w:eastAsia="仿宋_GB2312" w:hAnsi="宋体" w:cs="宋体" w:hint="eastAsia"/>
          <w:kern w:val="0"/>
          <w:sz w:val="32"/>
          <w:szCs w:val="32"/>
        </w:rPr>
        <w:t>630.19万元</w:t>
      </w:r>
      <w:r>
        <w:rPr>
          <w:rFonts w:ascii="仿宋_GB2312" w:eastAsia="仿宋_GB2312" w:hAnsi="宋体" w:cs="宋体"/>
          <w:kern w:val="0"/>
          <w:sz w:val="32"/>
          <w:szCs w:val="32"/>
        </w:rPr>
        <w:t>，项目支出</w:t>
      </w:r>
      <w:r>
        <w:rPr>
          <w:rFonts w:ascii="仿宋_GB2312" w:eastAsia="仿宋_GB2312" w:hAnsi="宋体" w:cs="宋体" w:hint="eastAsia"/>
          <w:kern w:val="0"/>
          <w:sz w:val="32"/>
          <w:szCs w:val="32"/>
        </w:rPr>
        <w:t>99</w:t>
      </w:r>
      <w:r>
        <w:rPr>
          <w:rFonts w:ascii="仿宋_GB2312" w:eastAsia="仿宋_GB2312" w:hAnsi="宋体" w:cs="宋体"/>
          <w:kern w:val="0"/>
          <w:sz w:val="32"/>
          <w:szCs w:val="32"/>
        </w:rPr>
        <w:t>,</w:t>
      </w:r>
      <w:r>
        <w:rPr>
          <w:rFonts w:ascii="仿宋_GB2312" w:eastAsia="仿宋_GB2312" w:hAnsi="宋体" w:cs="宋体" w:hint="eastAsia"/>
          <w:kern w:val="0"/>
          <w:sz w:val="32"/>
          <w:szCs w:val="32"/>
        </w:rPr>
        <w:t>772.22万元。</w:t>
      </w:r>
      <w:r>
        <w:rPr>
          <w:rFonts w:ascii="仿宋_GB2312" w:eastAsia="仿宋_GB2312" w:hAnsi="宋体" w:cs="宋体"/>
          <w:kern w:val="0"/>
          <w:sz w:val="32"/>
          <w:szCs w:val="32"/>
        </w:rPr>
        <w:t>财政拨款支出</w:t>
      </w:r>
      <w:r>
        <w:rPr>
          <w:rFonts w:ascii="仿宋_GB2312" w:eastAsia="仿宋_GB2312" w:hAnsi="宋体" w:cs="宋体" w:hint="eastAsia"/>
          <w:kern w:val="0"/>
          <w:sz w:val="32"/>
          <w:szCs w:val="32"/>
        </w:rPr>
        <w:t>115</w:t>
      </w:r>
      <w:r>
        <w:rPr>
          <w:rFonts w:ascii="仿宋_GB2312" w:eastAsia="仿宋_GB2312" w:hAnsi="宋体" w:cs="宋体"/>
          <w:kern w:val="0"/>
          <w:sz w:val="32"/>
          <w:szCs w:val="32"/>
        </w:rPr>
        <w:t>,</w:t>
      </w:r>
      <w:r>
        <w:rPr>
          <w:rFonts w:ascii="仿宋_GB2312" w:eastAsia="仿宋_GB2312" w:hAnsi="宋体" w:cs="宋体" w:hint="eastAsia"/>
          <w:kern w:val="0"/>
          <w:sz w:val="32"/>
          <w:szCs w:val="32"/>
        </w:rPr>
        <w:t>955.48</w:t>
      </w:r>
      <w:r>
        <w:rPr>
          <w:rFonts w:ascii="仿宋_GB2312" w:eastAsia="仿宋_GB2312" w:hAnsi="宋体" w:cs="宋体"/>
          <w:kern w:val="0"/>
          <w:sz w:val="32"/>
          <w:szCs w:val="32"/>
        </w:rPr>
        <w:t>万元，其中，基本支出</w:t>
      </w:r>
      <w:r>
        <w:rPr>
          <w:rFonts w:ascii="仿宋_GB2312" w:eastAsia="仿宋_GB2312" w:hAnsi="宋体" w:cs="宋体" w:hint="eastAsia"/>
          <w:kern w:val="0"/>
          <w:sz w:val="32"/>
          <w:szCs w:val="32"/>
        </w:rPr>
        <w:t>42</w:t>
      </w:r>
      <w:r>
        <w:rPr>
          <w:rFonts w:ascii="仿宋_GB2312" w:eastAsia="仿宋_GB2312" w:hAnsi="宋体" w:cs="宋体"/>
          <w:kern w:val="0"/>
          <w:sz w:val="32"/>
          <w:szCs w:val="32"/>
        </w:rPr>
        <w:t>,</w:t>
      </w:r>
      <w:r>
        <w:rPr>
          <w:rFonts w:ascii="仿宋_GB2312" w:eastAsia="仿宋_GB2312" w:hAnsi="宋体" w:cs="宋体" w:hint="eastAsia"/>
          <w:kern w:val="0"/>
          <w:sz w:val="32"/>
          <w:szCs w:val="32"/>
        </w:rPr>
        <w:t>897.26</w:t>
      </w:r>
      <w:r>
        <w:rPr>
          <w:rFonts w:ascii="仿宋_GB2312" w:eastAsia="仿宋_GB2312" w:hAnsi="宋体" w:cs="宋体"/>
          <w:kern w:val="0"/>
          <w:sz w:val="32"/>
          <w:szCs w:val="32"/>
        </w:rPr>
        <w:t>万元，项目</w:t>
      </w:r>
      <w:r>
        <w:rPr>
          <w:rFonts w:ascii="仿宋_GB2312" w:eastAsia="仿宋_GB2312" w:hAnsi="宋体" w:cs="宋体" w:hint="eastAsia"/>
          <w:kern w:val="0"/>
          <w:sz w:val="32"/>
          <w:szCs w:val="32"/>
        </w:rPr>
        <w:t>支出73</w:t>
      </w:r>
      <w:r>
        <w:rPr>
          <w:rFonts w:ascii="仿宋_GB2312" w:eastAsia="仿宋_GB2312" w:hAnsi="宋体" w:cs="宋体"/>
          <w:kern w:val="0"/>
          <w:sz w:val="32"/>
          <w:szCs w:val="32"/>
        </w:rPr>
        <w:t>,</w:t>
      </w:r>
      <w:r>
        <w:rPr>
          <w:rFonts w:ascii="仿宋_GB2312" w:eastAsia="仿宋_GB2312" w:hAnsi="宋体" w:cs="宋体" w:hint="eastAsia"/>
          <w:kern w:val="0"/>
          <w:sz w:val="32"/>
          <w:szCs w:val="32"/>
        </w:rPr>
        <w:t>058.22</w:t>
      </w:r>
      <w:r>
        <w:rPr>
          <w:rFonts w:ascii="仿宋_GB2312" w:eastAsia="仿宋_GB2312" w:hAnsi="宋体" w:cs="宋体"/>
          <w:kern w:val="0"/>
          <w:sz w:val="32"/>
          <w:szCs w:val="32"/>
        </w:rPr>
        <w:t>万元。</w:t>
      </w:r>
      <w:r>
        <w:rPr>
          <w:rFonts w:ascii="仿宋_GB2312" w:eastAsia="仿宋_GB2312" w:hAnsi="宋体" w:cs="宋体" w:hint="eastAsia"/>
          <w:kern w:val="0"/>
          <w:sz w:val="32"/>
          <w:szCs w:val="32"/>
        </w:rPr>
        <w:t>预算</w:t>
      </w:r>
      <w:r>
        <w:rPr>
          <w:rFonts w:ascii="仿宋_GB2312" w:eastAsia="仿宋_GB2312" w:hAnsi="宋体" w:cs="宋体"/>
          <w:kern w:val="0"/>
          <w:sz w:val="32"/>
          <w:szCs w:val="32"/>
        </w:rPr>
        <w:t>执行率为80.86</w:t>
      </w:r>
      <w:r>
        <w:rPr>
          <w:rFonts w:ascii="仿宋_GB2312" w:eastAsia="仿宋_GB2312" w:hAnsi="宋体" w:cs="宋体" w:hint="eastAsia"/>
          <w:kern w:val="0"/>
          <w:sz w:val="32"/>
          <w:szCs w:val="32"/>
        </w:rPr>
        <w:t>%，主要是追加的北京市进一步促进国四及以上排放标准老旧货车和大中型客车报废更新项目结转下一年继续使用</w:t>
      </w:r>
      <w:bookmarkStart w:id="23" w:name="_GoBack"/>
      <w:bookmarkEnd w:id="23"/>
      <w:r>
        <w:rPr>
          <w:rFonts w:ascii="仿宋_GB2312" w:eastAsia="仿宋_GB2312" w:hAnsi="宋体" w:cs="宋体" w:hint="eastAsia"/>
          <w:kern w:val="0"/>
          <w:sz w:val="32"/>
          <w:szCs w:val="32"/>
        </w:rPr>
        <w:t>。</w:t>
      </w:r>
    </w:p>
    <w:p w:rsidR="00E464D2" w:rsidRDefault="00B9443A">
      <w:pPr>
        <w:adjustRightInd w:val="0"/>
        <w:snapToGrid w:val="0"/>
        <w:spacing w:line="560" w:lineRule="exact"/>
        <w:ind w:firstLineChars="200" w:firstLine="640"/>
        <w:outlineLvl w:val="0"/>
        <w:rPr>
          <w:rFonts w:ascii="黑体" w:eastAsia="黑体" w:hAnsi="黑体" w:cs="宋体"/>
          <w:kern w:val="0"/>
          <w:sz w:val="32"/>
          <w:szCs w:val="32"/>
        </w:rPr>
      </w:pPr>
      <w:bookmarkStart w:id="24" w:name="_Toc622123005"/>
      <w:bookmarkStart w:id="25" w:name="_Toc2107323738"/>
      <w:bookmarkStart w:id="26" w:name="_Toc604543560"/>
      <w:bookmarkStart w:id="27" w:name="_Toc1385482129"/>
      <w:bookmarkStart w:id="28" w:name="_Toc1071831482"/>
      <w:bookmarkEnd w:id="21"/>
      <w:bookmarkEnd w:id="22"/>
      <w:r>
        <w:rPr>
          <w:rFonts w:ascii="黑体" w:eastAsia="黑体" w:hAnsi="黑体" w:cs="宋体" w:hint="eastAsia"/>
          <w:kern w:val="0"/>
          <w:sz w:val="32"/>
          <w:szCs w:val="32"/>
        </w:rPr>
        <w:t>三</w:t>
      </w:r>
      <w:r>
        <w:rPr>
          <w:rFonts w:ascii="黑体" w:eastAsia="黑体" w:hAnsi="黑体" w:cs="宋体"/>
          <w:kern w:val="0"/>
          <w:sz w:val="32"/>
          <w:szCs w:val="32"/>
        </w:rPr>
        <w:t>、整体绩效目标实现情况</w:t>
      </w:r>
      <w:bookmarkEnd w:id="24"/>
      <w:bookmarkEnd w:id="25"/>
      <w:bookmarkEnd w:id="26"/>
      <w:bookmarkEnd w:id="27"/>
      <w:bookmarkEnd w:id="28"/>
    </w:p>
    <w:p w:rsidR="00E464D2" w:rsidRDefault="00B9443A">
      <w:pPr>
        <w:adjustRightInd w:val="0"/>
        <w:snapToGrid w:val="0"/>
        <w:spacing w:line="560" w:lineRule="exact"/>
        <w:ind w:firstLineChars="200" w:firstLine="640"/>
        <w:outlineLvl w:val="1"/>
        <w:rPr>
          <w:rFonts w:ascii="楷体_GB2312" w:eastAsia="楷体_GB2312"/>
          <w:sz w:val="32"/>
          <w:szCs w:val="32"/>
        </w:rPr>
      </w:pPr>
      <w:bookmarkStart w:id="29" w:name="OLE_LINK2"/>
      <w:r>
        <w:rPr>
          <w:rFonts w:ascii="楷体_GB2312" w:eastAsia="楷体_GB2312" w:hint="eastAsia"/>
          <w:sz w:val="32"/>
          <w:szCs w:val="32"/>
        </w:rPr>
        <w:t>（一）产出完成情况分析</w:t>
      </w:r>
    </w:p>
    <w:bookmarkEnd w:id="29"/>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1.产出数量</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2024年市生态环境局积极落实市政府重点任务及部门年度重点工作，各项产出指标按计划完成。</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生态环境保护执法方面，组织市级单独检查和交叉检查专项行动4次，协助执法人员发现环境问题线索，精准打击</w:t>
      </w:r>
      <w:r>
        <w:rPr>
          <w:rFonts w:ascii="仿宋_GB2312" w:eastAsia="仿宋_GB2312" w:hAnsi="宋体" w:cs="宋体" w:hint="eastAsia"/>
          <w:kern w:val="0"/>
          <w:sz w:val="32"/>
          <w:szCs w:val="32"/>
        </w:rPr>
        <w:lastRenderedPageBreak/>
        <w:t>超标排放行为。</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生态环境保护督察方面，完成对延庆区、密云区的市级例行督察，首次对两家市属国企开展督察，有效解决了一批突出的生态环境问题。</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应对气候变化工作方面，</w:t>
      </w:r>
      <w:bookmarkStart w:id="30" w:name="OLE_LINK4"/>
      <w:r>
        <w:rPr>
          <w:rFonts w:ascii="仿宋_GB2312" w:eastAsia="仿宋_GB2312" w:hAnsi="宋体" w:cs="宋体" w:hint="eastAsia"/>
          <w:kern w:val="0"/>
          <w:sz w:val="32"/>
          <w:szCs w:val="32"/>
        </w:rPr>
        <w:t>评选一批符合北京市先进低碳技术应用要求的项目13个</w:t>
      </w:r>
      <w:bookmarkEnd w:id="30"/>
      <w:r>
        <w:rPr>
          <w:rFonts w:ascii="仿宋_GB2312" w:eastAsia="仿宋_GB2312" w:hAnsi="宋体" w:cs="宋体" w:hint="eastAsia"/>
          <w:kern w:val="0"/>
          <w:sz w:val="32"/>
          <w:szCs w:val="32"/>
        </w:rPr>
        <w:t>，并进行资金支持。</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生态环境评估与投诉举报方面，信访投诉信件采集率不低于95%，及时解答市民生态环境诉求，生态环境信访渠道保持畅通，妥善化解信访矛盾。</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2.产出质量</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整体上，我市生态环境质量进一步改善。国家污染防治攻坚战成效考核成绩连续5年优秀。</w:t>
      </w:r>
    </w:p>
    <w:p w:rsidR="00E464D2" w:rsidRDefault="00B9443A" w:rsidP="00925F16">
      <w:pPr>
        <w:adjustRightInd w:val="0"/>
        <w:snapToGrid w:val="0"/>
        <w:spacing w:line="56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空气质量持续改善。</w:t>
      </w:r>
      <w:r>
        <w:rPr>
          <w:rFonts w:ascii="仿宋_GB2312" w:eastAsia="仿宋_GB2312" w:hAnsi="宋体" w:cs="宋体" w:hint="eastAsia"/>
          <w:kern w:val="0"/>
          <w:sz w:val="32"/>
          <w:szCs w:val="32"/>
        </w:rPr>
        <w:t>将蓝天保卫战作为重中之重，“0.1微克”精抓细抠，全市PM2.5平均浓度为30.5微克/立方米、同比下降6.2%，实现连续4年稳定达标；优良天数累计290天、历年最多，同比增加19天；重污染天2天（含1天沙尘影响）、历年最少，同比减少6天。深化落实市委月度点评制度。统筹构建“一质一绿”指标体系和点评整改闭环机制，累计开展9轮点评，成立8个帮扶组加强对各区和末位街道（乡镇）的帮扶指导，有力提升基层大气治理能力。结构减排成效显著。率先执行国家在用汽油车和柴油车排放标准b限值，出台非道路移动机械清洁化方案，加力实施国四及以下高排放客货车报废更新、新能源车优先通行、新能源机械更新补贴等政策，8600余辆老旧车申请报废更新，新增</w:t>
      </w:r>
      <w:r>
        <w:rPr>
          <w:rFonts w:ascii="仿宋_GB2312" w:eastAsia="仿宋_GB2312" w:hAnsi="宋体" w:cs="宋体" w:hint="eastAsia"/>
          <w:kern w:val="0"/>
          <w:sz w:val="32"/>
          <w:szCs w:val="32"/>
        </w:rPr>
        <w:lastRenderedPageBreak/>
        <w:t>车新能源比例连续六个月超过50%，累计推广新能源车突破100万辆，新能源机械比例达到全国最好水平。工程减排有力有效。深入开展夏季VOCs治理攻坚，2000余家餐饮、工业企业实施治理提升，新增绿色企业191家；完成22台燃油锅炉、941蒸吨燃气锅炉及1.3万余户散煤清洁能源改造。管理减排精细推进。扬尘百日攻坚成效明显，11个工地运用基坑气膜全密闭施工技术，道路尘负荷较去年下降12%，超八成差等级道路消劣，绿牌工地占比接近五成。特别是，面对秋冬季不利气象条件，及时果断推动全市采取强化措施，带头落实区域联防联控，依法依规启动重污染预警，有效缓解多次区域污染过程影响，实现空气质量持续改善。</w:t>
      </w:r>
    </w:p>
    <w:p w:rsidR="00E464D2" w:rsidRDefault="00B9443A" w:rsidP="00925F16">
      <w:pPr>
        <w:adjustRightInd w:val="0"/>
        <w:snapToGrid w:val="0"/>
        <w:spacing w:line="56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水环境质量稳中向好。</w:t>
      </w:r>
      <w:r>
        <w:rPr>
          <w:rFonts w:ascii="仿宋_GB2312" w:eastAsia="仿宋_GB2312" w:hAnsi="宋体" w:cs="宋体" w:hint="eastAsia"/>
          <w:kern w:val="0"/>
          <w:sz w:val="32"/>
          <w:szCs w:val="32"/>
        </w:rPr>
        <w:t>坚持水资源、水环境、水生态“三水统筹”，深化“三监联动”机制，保好水、治差水。主动担当、牵头推进农村黑臭水体治理。国考断面优良水体比例超额完成国家目标任务，黑臭水体、劣Ⅴ类水体动态清零，清河获评全国第三批美丽河湖优秀案例；密云水库、怀柔水库水质稳定达到Ⅱ类，官厅水库水质连续两年保持Ⅲ类。</w:t>
      </w:r>
    </w:p>
    <w:p w:rsidR="00E464D2" w:rsidRDefault="00B9443A" w:rsidP="00925F16">
      <w:pPr>
        <w:adjustRightInd w:val="0"/>
        <w:snapToGrid w:val="0"/>
        <w:spacing w:line="56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土壤环境质量保持良好。</w:t>
      </w:r>
      <w:r>
        <w:rPr>
          <w:rFonts w:ascii="仿宋_GB2312" w:eastAsia="仿宋_GB2312" w:hAnsi="宋体" w:cs="宋体" w:hint="eastAsia"/>
          <w:kern w:val="0"/>
          <w:sz w:val="32"/>
          <w:szCs w:val="32"/>
        </w:rPr>
        <w:t>坚持建设用地、农用地、未利用地“三地”齐抓共管，强化土壤污染源头防控，削减受污染建设用地14.7万平方米，重点建设用地安全利用有效保障，确保群众吃得放心、住得安心。健全新污染物源头、过程、末端综合治理体系；顺利投用大兴安定医废处置项目，有效解决医废处置“紧平衡”问题。</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3.产出进度</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为了确保项目按计划有序推进，市生态环境局定期调度项目进展，督促项目执行和资金支出进度滞后的项目和单位加快项目实施，确保全年工作按计划完成。</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4.产出成本</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市生态环境局坚决落实“过紧日子”要求，牢固树立“零基预算”理念，完善预算约束机制。</w:t>
      </w:r>
      <w:r>
        <w:rPr>
          <w:rFonts w:ascii="仿宋_GB2312" w:eastAsia="仿宋_GB2312" w:hint="eastAsia"/>
          <w:sz w:val="32"/>
          <w:szCs w:val="32"/>
        </w:rPr>
        <w:t>组织召开35次事前评估会，对所有申报2025年预算的项目开展事前评估。项目执行过程中，严格审核把关，确保各项支出控制在预算范围内，整体成本控制情况较好。</w:t>
      </w:r>
    </w:p>
    <w:p w:rsidR="00E464D2" w:rsidRDefault="00B9443A">
      <w:pPr>
        <w:adjustRightInd w:val="0"/>
        <w:snapToGrid w:val="0"/>
        <w:spacing w:line="560" w:lineRule="exact"/>
        <w:ind w:firstLineChars="200" w:firstLine="640"/>
        <w:outlineLvl w:val="1"/>
        <w:rPr>
          <w:rFonts w:ascii="楷体_GB2312" w:eastAsia="楷体_GB2312"/>
          <w:sz w:val="32"/>
          <w:szCs w:val="32"/>
        </w:rPr>
      </w:pPr>
      <w:r>
        <w:rPr>
          <w:rFonts w:ascii="楷体_GB2312" w:eastAsia="楷体_GB2312" w:hint="eastAsia"/>
          <w:sz w:val="32"/>
          <w:szCs w:val="32"/>
        </w:rPr>
        <w:t>（二）效果实现情况分析</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w:t>
      </w:r>
      <w:r>
        <w:rPr>
          <w:rFonts w:ascii="仿宋_GB2312" w:eastAsia="仿宋_GB2312" w:hAnsi="宋体" w:cs="宋体"/>
          <w:kern w:val="0"/>
          <w:sz w:val="32"/>
          <w:szCs w:val="32"/>
        </w:rPr>
        <w:t>4</w:t>
      </w:r>
      <w:r>
        <w:rPr>
          <w:rFonts w:ascii="仿宋_GB2312" w:eastAsia="仿宋_GB2312" w:hAnsi="宋体" w:cs="宋体" w:hint="eastAsia"/>
          <w:kern w:val="0"/>
          <w:sz w:val="32"/>
          <w:szCs w:val="32"/>
        </w:rPr>
        <w:t>年，市生态环境局以习近平新时代中国特色社会主义思想、特别是习近平生态文明思想为指导，深入贯彻落实党中央、国务院、生态环境部和市委、市政府有关部署要求，以改善生态环境质量为核心，凝心聚力、攻坚克难、创新突破，扎实推进污染防治、应对气候变化、生态保护等重点工作，切实以生态“含绿量”提升发展“含金量”，推动美丽北京建设取得新成效。</w:t>
      </w:r>
    </w:p>
    <w:p w:rsidR="00E464D2" w:rsidRDefault="00B9443A" w:rsidP="00925F16">
      <w:pPr>
        <w:adjustRightInd w:val="0"/>
        <w:snapToGrid w:val="0"/>
        <w:spacing w:line="56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（一）生态文明建设政治责任进一步压实。</w:t>
      </w:r>
      <w:r>
        <w:rPr>
          <w:rFonts w:ascii="仿宋_GB2312" w:eastAsia="仿宋_GB2312" w:hAnsi="宋体" w:cs="宋体" w:hint="eastAsia"/>
          <w:kern w:val="0"/>
          <w:sz w:val="32"/>
          <w:szCs w:val="32"/>
        </w:rPr>
        <w:t>始终牢记生态环境是关系党的使命宗旨的重大政治问题，也是关系民生的重大社会问题，坚决扛起生态环境保护政治责任。美丽北京建设实施意见顺利出台，美丽北京建设时间表、路线图、任务书清晰明确。高效履行市委生态文明办职责，优化完善市委生态文明委“一办五组”机构职能，印发实施“现代环境治理体系近期要点”，推动形成政策成果136项。</w:t>
      </w:r>
    </w:p>
    <w:p w:rsidR="00E464D2" w:rsidRDefault="00B9443A" w:rsidP="00925F16">
      <w:pPr>
        <w:adjustRightInd w:val="0"/>
        <w:snapToGrid w:val="0"/>
        <w:spacing w:line="56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lastRenderedPageBreak/>
        <w:t>（二）绿色高质量发展进一步促进。</w:t>
      </w:r>
      <w:r>
        <w:rPr>
          <w:rFonts w:ascii="仿宋_GB2312" w:eastAsia="仿宋_GB2312" w:hAnsi="宋体" w:cs="宋体" w:hint="eastAsia"/>
          <w:kern w:val="0"/>
          <w:sz w:val="32"/>
          <w:szCs w:val="32"/>
        </w:rPr>
        <w:t>将生态环境保护融入全市经济社会发展大局，充分发挥生态环境保护的引领、优化和倒逼作用，助力高质量发展。抓实降碳增绿。碳排放强度持续保持省级最优。全国温室气体自愿减排（CCER）交易市场落户北京并正式启动；发挥碳市场机制作用，助力提升绿电消纳水平，完成两次配额有偿竞价。发布《北京市适应气候变化行动方案》，门头沟区、延庆区、通州区入选国家气候适应型城市建设试点名单。严格环评审批。严格实施生态环境分区管控制度，优化调整建设项目环评审批目录，全力推进灾后恢复重建项目环评规范落地。优化营商环境。实施生态环境领域优化营商环境打造“北京服务”12项措施，创建“生态+营商”双优环境，本市荣获2024中国城市生态环境保护营商竞争力指数第1名。</w:t>
      </w:r>
    </w:p>
    <w:p w:rsidR="00E464D2" w:rsidRDefault="00B9443A" w:rsidP="00925F16">
      <w:pPr>
        <w:adjustRightInd w:val="0"/>
        <w:snapToGrid w:val="0"/>
        <w:spacing w:line="56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（三）生态保护工作进一步加强。</w:t>
      </w:r>
      <w:r>
        <w:rPr>
          <w:rFonts w:ascii="仿宋_GB2312" w:eastAsia="仿宋_GB2312" w:hAnsi="宋体" w:cs="宋体" w:hint="eastAsia"/>
          <w:kern w:val="0"/>
          <w:sz w:val="32"/>
          <w:szCs w:val="32"/>
        </w:rPr>
        <w:t>全市生态环境质量指数（EI）71.4，实现稳中向好。推动将绿视率纳入“七有五性”评价体系，引领生态保护修复。作为世界上生物多样性最丰富的大都市之一，全市实地记录物种</w:t>
      </w:r>
      <w:r w:rsidR="00925F16">
        <w:rPr>
          <w:rFonts w:ascii="仿宋_GB2312" w:eastAsia="仿宋_GB2312" w:hAnsi="宋体" w:cs="宋体" w:hint="eastAsia"/>
          <w:kern w:val="0"/>
          <w:sz w:val="32"/>
          <w:szCs w:val="32"/>
        </w:rPr>
        <w:t>7121</w:t>
      </w:r>
      <w:r>
        <w:rPr>
          <w:rFonts w:ascii="仿宋_GB2312" w:eastAsia="仿宋_GB2312" w:hAnsi="宋体" w:cs="宋体" w:hint="eastAsia"/>
          <w:kern w:val="0"/>
          <w:sz w:val="32"/>
          <w:szCs w:val="32"/>
        </w:rPr>
        <w:t>种，获评全球“生物多样性魅力城市”。率先开展生态系统调节服务价值（GEP-R）核算应用，完成全市GEP-R核算，推动GEP-R和GDP交换补偿，深化在生态补偿、审计等领域应用。</w:t>
      </w:r>
    </w:p>
    <w:p w:rsidR="00E464D2" w:rsidRDefault="00B9443A" w:rsidP="00925F16">
      <w:pPr>
        <w:adjustRightInd w:val="0"/>
        <w:snapToGrid w:val="0"/>
        <w:spacing w:line="56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（四）京津冀区域协同进一步深化。</w:t>
      </w:r>
      <w:r>
        <w:rPr>
          <w:rFonts w:ascii="仿宋_GB2312" w:eastAsia="仿宋_GB2312" w:hAnsi="宋体" w:cs="宋体" w:hint="eastAsia"/>
          <w:kern w:val="0"/>
          <w:sz w:val="32"/>
          <w:szCs w:val="32"/>
        </w:rPr>
        <w:t>印发实施京津冀生态环境联建联防联治2024年工作要点。出台城市副中心生态环境标准体系，助力副中心建设国家绿色发展示范区。联合印发深化京津冀大气污染联防联控工作的意见，协同做好</w:t>
      </w:r>
      <w:r>
        <w:rPr>
          <w:rFonts w:ascii="仿宋_GB2312" w:eastAsia="仿宋_GB2312" w:hAnsi="宋体" w:cs="宋体" w:hint="eastAsia"/>
          <w:kern w:val="0"/>
          <w:sz w:val="32"/>
          <w:szCs w:val="32"/>
        </w:rPr>
        <w:lastRenderedPageBreak/>
        <w:t>秋冬季大气污染综合治理，共同做好空气污染过程应急应对；持续实施密云水库、官厅水库流域生态补偿、联保共治。发布全国首个区域低碳出行碳减排核算体系，深化危险废物“点对点”定向利用。</w:t>
      </w:r>
    </w:p>
    <w:p w:rsidR="00E464D2" w:rsidRDefault="00B9443A" w:rsidP="00925F16">
      <w:pPr>
        <w:adjustRightInd w:val="0"/>
        <w:snapToGrid w:val="0"/>
        <w:spacing w:line="56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（五）现代环境治理能力进一步提升。</w:t>
      </w:r>
      <w:r>
        <w:rPr>
          <w:rFonts w:ascii="仿宋_GB2312" w:eastAsia="仿宋_GB2312" w:hAnsi="宋体" w:cs="宋体" w:hint="eastAsia"/>
          <w:kern w:val="0"/>
          <w:sz w:val="32"/>
          <w:szCs w:val="32"/>
        </w:rPr>
        <w:t>监管效能持续提升。“三监联动”调度平台获评数字中国建设峰会典型应用案例。成功申报京津冀环境综合治理国家科技重大项目。狠抓餐饮油烟“每月一题”，餐饮油烟投诉同比下降17%，70%以上的重复投诉点位无再诉，群众满意度大幅提升。环境安全有效保障。实施安全生产治本攻坚三年行动方案，突发环境状况得到有效处置。宣传与国际合作有声有色。组织新闻发布活动28场，成功举办清洁空气与气候行动论坛、“环境文化周”等活动，深化与加州、曼谷等地合作，传播生态文明理念，讲好首都生态环保故事。</w:t>
      </w:r>
    </w:p>
    <w:p w:rsidR="00E464D2" w:rsidRDefault="00B9443A">
      <w:pPr>
        <w:adjustRightInd w:val="0"/>
        <w:snapToGrid w:val="0"/>
        <w:spacing w:line="560" w:lineRule="exact"/>
        <w:ind w:firstLineChars="200" w:firstLine="640"/>
        <w:outlineLvl w:val="0"/>
        <w:rPr>
          <w:rFonts w:ascii="黑体" w:eastAsia="黑体" w:hAnsi="黑体" w:cs="宋体"/>
          <w:kern w:val="0"/>
          <w:sz w:val="32"/>
          <w:szCs w:val="32"/>
        </w:rPr>
      </w:pPr>
      <w:bookmarkStart w:id="31" w:name="_Toc2070951439"/>
      <w:bookmarkStart w:id="32" w:name="_Toc818478963"/>
      <w:bookmarkStart w:id="33" w:name="_Toc1489758242"/>
      <w:bookmarkStart w:id="34" w:name="_Toc632957682"/>
      <w:bookmarkStart w:id="35" w:name="_Toc1178886938"/>
      <w:r>
        <w:rPr>
          <w:rFonts w:ascii="黑体" w:eastAsia="黑体" w:hAnsi="黑体" w:cs="宋体" w:hint="eastAsia"/>
          <w:kern w:val="0"/>
          <w:sz w:val="32"/>
          <w:szCs w:val="32"/>
        </w:rPr>
        <w:t>四</w:t>
      </w:r>
      <w:r>
        <w:rPr>
          <w:rFonts w:ascii="黑体" w:eastAsia="黑体" w:hAnsi="黑体" w:cs="宋体"/>
          <w:kern w:val="0"/>
          <w:sz w:val="32"/>
          <w:szCs w:val="32"/>
        </w:rPr>
        <w:t>、预算管理</w:t>
      </w:r>
      <w:r>
        <w:rPr>
          <w:rFonts w:ascii="黑体" w:eastAsia="黑体" w:hAnsi="黑体" w:cs="宋体" w:hint="eastAsia"/>
          <w:kern w:val="0"/>
          <w:sz w:val="32"/>
          <w:szCs w:val="32"/>
        </w:rPr>
        <w:t>情况分</w:t>
      </w:r>
      <w:r>
        <w:rPr>
          <w:rFonts w:ascii="黑体" w:eastAsia="黑体" w:hAnsi="黑体" w:cs="宋体"/>
          <w:kern w:val="0"/>
          <w:sz w:val="32"/>
          <w:szCs w:val="32"/>
        </w:rPr>
        <w:t>析</w:t>
      </w:r>
      <w:bookmarkEnd w:id="31"/>
      <w:bookmarkEnd w:id="32"/>
      <w:bookmarkEnd w:id="33"/>
      <w:bookmarkEnd w:id="34"/>
      <w:bookmarkEnd w:id="35"/>
    </w:p>
    <w:p w:rsidR="00E464D2" w:rsidRDefault="00B9443A">
      <w:pPr>
        <w:adjustRightInd w:val="0"/>
        <w:snapToGrid w:val="0"/>
        <w:spacing w:line="560" w:lineRule="exact"/>
        <w:ind w:firstLineChars="200" w:firstLine="640"/>
        <w:outlineLvl w:val="1"/>
        <w:rPr>
          <w:rFonts w:ascii="楷体_GB2312" w:eastAsia="楷体_GB2312"/>
          <w:sz w:val="32"/>
          <w:szCs w:val="32"/>
        </w:rPr>
      </w:pPr>
      <w:bookmarkStart w:id="36" w:name="_Toc1543172106"/>
      <w:bookmarkStart w:id="37" w:name="_Toc868639744"/>
      <w:bookmarkStart w:id="38" w:name="_Toc65884697"/>
      <w:bookmarkStart w:id="39" w:name="_Toc854932921"/>
      <w:bookmarkStart w:id="40" w:name="_Toc1633257783"/>
      <w:r>
        <w:rPr>
          <w:rFonts w:ascii="楷体_GB2312" w:eastAsia="楷体_GB2312" w:hint="eastAsia"/>
          <w:sz w:val="32"/>
          <w:szCs w:val="32"/>
        </w:rPr>
        <w:t>（一）财务管理</w:t>
      </w:r>
      <w:bookmarkEnd w:id="36"/>
      <w:bookmarkEnd w:id="37"/>
      <w:bookmarkEnd w:id="38"/>
      <w:bookmarkEnd w:id="39"/>
      <w:bookmarkEnd w:id="40"/>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1.财务</w:t>
      </w:r>
      <w:r>
        <w:rPr>
          <w:rFonts w:ascii="仿宋_GB2312" w:eastAsia="仿宋_GB2312" w:hAnsi="宋体" w:cs="宋体"/>
          <w:kern w:val="0"/>
          <w:sz w:val="32"/>
          <w:szCs w:val="32"/>
        </w:rPr>
        <w:t>管理制度健全性</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财务管理制度方面，市生态环境局制定了《北京市生态环境局部门预算管理办法》</w:t>
      </w:r>
      <w:bookmarkStart w:id="41" w:name="OLE_LINK3"/>
      <w:r>
        <w:rPr>
          <w:rFonts w:ascii="仿宋_GB2312" w:eastAsia="仿宋_GB2312" w:hAnsi="宋体" w:cs="宋体" w:hint="eastAsia"/>
          <w:kern w:val="0"/>
          <w:sz w:val="32"/>
          <w:szCs w:val="32"/>
        </w:rPr>
        <w:t>《北京市生态环境局会计基础工作规范》</w:t>
      </w:r>
      <w:bookmarkEnd w:id="41"/>
      <w:r>
        <w:rPr>
          <w:rFonts w:ascii="仿宋_GB2312" w:eastAsia="仿宋_GB2312" w:hAnsi="宋体" w:cs="宋体" w:hint="eastAsia"/>
          <w:kern w:val="0"/>
          <w:sz w:val="32"/>
          <w:szCs w:val="32"/>
        </w:rPr>
        <w:t>《北京市生态环境局工会财务管理办法》《北京市生态环境局财务安全管理办法》《北京市生态环境局差旅费管理办法》等制度和办法，对部门预算编制、经费支出管理、财务安全管理等各个环节程序和责任主体进行了明确规定。2024年，相继修订出台了《北京市生态环境局政府购买服务</w:t>
      </w:r>
      <w:r>
        <w:rPr>
          <w:rFonts w:ascii="仿宋_GB2312" w:eastAsia="仿宋_GB2312" w:hAnsi="宋体" w:cs="宋体" w:hint="eastAsia"/>
          <w:kern w:val="0"/>
          <w:sz w:val="32"/>
          <w:szCs w:val="32"/>
        </w:rPr>
        <w:lastRenderedPageBreak/>
        <w:t>预算管理办法》《北京市生态环境局固定资产管理办法》《北京市生态环境局洽商谈判采购管理办法》《北京市生态环境局政府采购管理办法》《北京市生态环境局合同管理办法》，</w:t>
      </w:r>
      <w:r>
        <w:rPr>
          <w:rFonts w:ascii="仿宋_GB2312" w:eastAsia="仿宋_GB2312" w:hint="eastAsia"/>
          <w:sz w:val="32"/>
          <w:szCs w:val="32"/>
        </w:rPr>
        <w:t>研究财务全流程规范化管理，同时，利用局系统财务工作会加强制度宣贯，提高工作人员依规办事意识，切实把各种制度落到实处。</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2.资金使用合规性</w:t>
      </w:r>
      <w:r>
        <w:rPr>
          <w:rFonts w:ascii="仿宋_GB2312" w:eastAsia="仿宋_GB2312" w:hAnsi="宋体" w:cs="宋体"/>
          <w:kern w:val="0"/>
          <w:sz w:val="32"/>
          <w:szCs w:val="32"/>
        </w:rPr>
        <w:t>和</w:t>
      </w:r>
      <w:r>
        <w:rPr>
          <w:rFonts w:ascii="仿宋_GB2312" w:eastAsia="仿宋_GB2312" w:hAnsi="宋体" w:cs="宋体" w:hint="eastAsia"/>
          <w:kern w:val="0"/>
          <w:sz w:val="32"/>
          <w:szCs w:val="32"/>
        </w:rPr>
        <w:t>安全性</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资金使用过程中，市生态环境局严格按照</w:t>
      </w:r>
      <w:r>
        <w:rPr>
          <w:rFonts w:ascii="仿宋_GB2312" w:eastAsia="仿宋_GB2312" w:hAnsi="仿宋_GB2312" w:cs="仿宋_GB2312" w:hint="eastAsia"/>
          <w:bCs/>
          <w:sz w:val="32"/>
          <w:szCs w:val="32"/>
        </w:rPr>
        <w:t>《会计法》《预算法》《政府会计制度》等规章制度，严格经费审核把关，对手续不全、要素不齐的单据不予报销。严格工会经费、党费的审核把关，依据工会经费、党费管理办法做好经费的审核报销工作，确保各项工作的顺利开展。</w:t>
      </w:r>
      <w:r>
        <w:rPr>
          <w:rFonts w:ascii="仿宋_GB2312" w:eastAsia="仿宋_GB2312" w:hint="eastAsia"/>
          <w:sz w:val="32"/>
          <w:szCs w:val="32"/>
        </w:rPr>
        <w:t>加强对银行账户的管理工作，做好日常现金、公务卡报销、支票领取、支付令开具、资金支付、现金日报表编制、核对银行对账单及编制银行余额调节表等工作。精细做好财政拨款收入事项与国库集中支付系统以及预算批复文件数据核对，财政拨款支出事项与国库集中支付系统中的金额和科目核对，做到管理严格，核算准确，确保了资金绝对安全</w:t>
      </w:r>
      <w:r>
        <w:rPr>
          <w:rFonts w:ascii="仿宋_GB2312" w:eastAsia="仿宋_GB2312" w:hAnsi="宋体" w:cs="宋体" w:hint="eastAsia"/>
          <w:kern w:val="0"/>
          <w:sz w:val="32"/>
          <w:szCs w:val="32"/>
        </w:rPr>
        <w:t>。</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kern w:val="0"/>
          <w:sz w:val="32"/>
          <w:szCs w:val="32"/>
        </w:rPr>
        <w:t>3.</w:t>
      </w:r>
      <w:r>
        <w:rPr>
          <w:rFonts w:ascii="仿宋_GB2312" w:eastAsia="仿宋_GB2312" w:hAnsi="宋体" w:cs="宋体" w:hint="eastAsia"/>
          <w:kern w:val="0"/>
          <w:sz w:val="32"/>
          <w:szCs w:val="32"/>
        </w:rPr>
        <w:t>会计</w:t>
      </w:r>
      <w:r>
        <w:rPr>
          <w:rFonts w:ascii="仿宋_GB2312" w:eastAsia="仿宋_GB2312" w:hAnsi="宋体" w:cs="宋体"/>
          <w:kern w:val="0"/>
          <w:sz w:val="32"/>
          <w:szCs w:val="32"/>
        </w:rPr>
        <w:t>基础信息完善性</w:t>
      </w:r>
    </w:p>
    <w:p w:rsidR="00E464D2" w:rsidRDefault="00B9443A">
      <w:pPr>
        <w:adjustRightInd w:val="0"/>
        <w:snapToGrid w:val="0"/>
        <w:spacing w:line="560" w:lineRule="exact"/>
        <w:ind w:firstLineChars="200" w:firstLine="640"/>
        <w:rPr>
          <w:rFonts w:ascii="仿宋_GB2312" w:eastAsia="仿宋_GB2312" w:hAnsi="???" w:cs="仿宋_GB2312"/>
          <w:kern w:val="0"/>
          <w:sz w:val="32"/>
          <w:szCs w:val="32"/>
        </w:rPr>
      </w:pPr>
      <w:r>
        <w:rPr>
          <w:rFonts w:ascii="仿宋_GB2312" w:eastAsia="仿宋_GB2312" w:hAnsi="宋体" w:cs="宋体" w:hint="eastAsia"/>
          <w:kern w:val="0"/>
          <w:sz w:val="32"/>
          <w:szCs w:val="32"/>
        </w:rPr>
        <w:t>会计基础信息管理方面，市生态环境局严格按照《北京市生态环境局会计基础工作规范》，规范会计基础工作，确保基础数据信息和会计信息资料真实、完整、准确</w:t>
      </w:r>
      <w:r>
        <w:rPr>
          <w:rFonts w:ascii="仿宋_GB2312" w:eastAsia="仿宋_GB2312" w:hAnsi="???" w:cs="仿宋_GB2312" w:hint="eastAsia"/>
          <w:kern w:val="0"/>
          <w:sz w:val="32"/>
          <w:szCs w:val="32"/>
        </w:rPr>
        <w:t>。</w:t>
      </w:r>
    </w:p>
    <w:p w:rsidR="00E464D2" w:rsidRDefault="00B9443A">
      <w:pPr>
        <w:adjustRightInd w:val="0"/>
        <w:snapToGrid w:val="0"/>
        <w:spacing w:line="560" w:lineRule="exact"/>
        <w:ind w:firstLineChars="200" w:firstLine="640"/>
        <w:outlineLvl w:val="1"/>
        <w:rPr>
          <w:rFonts w:ascii="楷体_GB2312" w:eastAsia="楷体_GB2312"/>
          <w:sz w:val="32"/>
          <w:szCs w:val="32"/>
        </w:rPr>
      </w:pPr>
      <w:bookmarkStart w:id="42" w:name="_Toc1027582927"/>
      <w:bookmarkStart w:id="43" w:name="_Toc1370024274"/>
      <w:bookmarkStart w:id="44" w:name="_Toc634345102"/>
      <w:bookmarkStart w:id="45" w:name="_Toc933580723"/>
      <w:bookmarkStart w:id="46" w:name="_Toc44521170"/>
      <w:r>
        <w:rPr>
          <w:rFonts w:ascii="楷体_GB2312" w:eastAsia="楷体_GB2312" w:hint="eastAsia"/>
          <w:sz w:val="32"/>
          <w:szCs w:val="32"/>
        </w:rPr>
        <w:t>（二）资产管理</w:t>
      </w:r>
      <w:bookmarkEnd w:id="42"/>
      <w:bookmarkEnd w:id="43"/>
      <w:bookmarkEnd w:id="44"/>
      <w:bookmarkEnd w:id="45"/>
      <w:bookmarkEnd w:id="46"/>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为加强固定资产管理，实现固定资产安全完整、合理配</w:t>
      </w:r>
      <w:r>
        <w:rPr>
          <w:rFonts w:ascii="仿宋_GB2312" w:eastAsia="仿宋_GB2312" w:hAnsi="宋体" w:cs="宋体" w:hint="eastAsia"/>
          <w:kern w:val="0"/>
          <w:sz w:val="32"/>
          <w:szCs w:val="32"/>
        </w:rPr>
        <w:lastRenderedPageBreak/>
        <w:t>置和有效利用，市生态环境局制定了《北京市生态环境局固定资产管理办法》，对固定资产的管理机构及职责、固定资产核算标准、固定资产配置、固定资产日常管理和固定资产处置等进行了明确规定。规范和加强资产管理工作，维护了国有资产的安全完整、合理配置和有效利用。</w:t>
      </w:r>
    </w:p>
    <w:p w:rsidR="00E464D2" w:rsidRDefault="00B9443A">
      <w:pPr>
        <w:adjustRightInd w:val="0"/>
        <w:snapToGrid w:val="0"/>
        <w:spacing w:line="560" w:lineRule="exact"/>
        <w:ind w:firstLineChars="200" w:firstLine="640"/>
        <w:outlineLvl w:val="1"/>
        <w:rPr>
          <w:rFonts w:ascii="楷体_GB2312" w:eastAsia="楷体_GB2312"/>
          <w:sz w:val="32"/>
          <w:szCs w:val="32"/>
        </w:rPr>
      </w:pPr>
      <w:bookmarkStart w:id="47" w:name="_Toc942995034"/>
      <w:bookmarkStart w:id="48" w:name="_Toc1175686479"/>
      <w:bookmarkStart w:id="49" w:name="_Toc522764915"/>
      <w:bookmarkStart w:id="50" w:name="_Toc678309984"/>
      <w:bookmarkStart w:id="51" w:name="_Toc1329305606"/>
      <w:r>
        <w:rPr>
          <w:rFonts w:ascii="楷体_GB2312" w:eastAsia="楷体_GB2312" w:hint="eastAsia"/>
          <w:sz w:val="32"/>
          <w:szCs w:val="32"/>
        </w:rPr>
        <w:t>（三）绩效</w:t>
      </w:r>
      <w:r>
        <w:rPr>
          <w:rFonts w:ascii="楷体_GB2312" w:eastAsia="楷体_GB2312"/>
          <w:sz w:val="32"/>
          <w:szCs w:val="32"/>
        </w:rPr>
        <w:t>管理</w:t>
      </w:r>
      <w:bookmarkEnd w:id="47"/>
      <w:bookmarkEnd w:id="48"/>
      <w:bookmarkEnd w:id="49"/>
      <w:bookmarkEnd w:id="50"/>
      <w:bookmarkEnd w:id="51"/>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为规范和加强项目全过程管理，确保资金使用安全和绩效，市生态环境局制定了《北京市生态环境局项目管理办法》，明确了管理职责、项目申报与储备、评审与论证、资金申请与批复、执行与管理、采购与支付、验收与备案等要求。同时，制定了《北京市生态环境局财政支出绩效评价管理办法》，明确了绩效评价组织管理、评价内容、评价工作程序和要求等内容。</w:t>
      </w:r>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按照项目管理办法对预算项目实行储备、评审、执行、采购、验收、绩效等全流程管理。项目申报时，市生态环境局严把项目事前审核关，对项目必要性、可行性、绩效目标、预算等内容组织评审，评审通过项目方可入库；项目执行过程中，市生态环境局严格落实绩效目标和预算执行“双监控”要求，对项目执行进行监控，及时纠偏；项目完成后，及时组织项目验收和自评，重点项目组织专家评价，确保项目产出和绩效。</w:t>
      </w:r>
    </w:p>
    <w:p w:rsidR="00E464D2" w:rsidRDefault="00B9443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2024年，市生态环境局继续深化项目绩效管理工作，组织部门预算绩效自评工作培训，完成2023年部门预算项目绩效自评工作；开展重点项目和部门整体绩效评价。</w:t>
      </w:r>
      <w:r>
        <w:rPr>
          <w:rFonts w:ascii="仿宋_GB2312" w:eastAsia="仿宋_GB2312" w:hAnsi="仿宋" w:hint="eastAsia"/>
          <w:sz w:val="32"/>
          <w:szCs w:val="32"/>
        </w:rPr>
        <w:t>牵头组</w:t>
      </w:r>
      <w:r>
        <w:rPr>
          <w:rFonts w:ascii="仿宋_GB2312" w:eastAsia="仿宋_GB2312" w:hAnsi="仿宋" w:hint="eastAsia"/>
          <w:sz w:val="32"/>
          <w:szCs w:val="32"/>
        </w:rPr>
        <w:lastRenderedPageBreak/>
        <w:t>织协调各处室及二级单位</w:t>
      </w:r>
      <w:r>
        <w:rPr>
          <w:rFonts w:ascii="仿宋_GB2312" w:eastAsia="仿宋_GB2312" w:hint="eastAsia"/>
          <w:sz w:val="32"/>
          <w:szCs w:val="32"/>
        </w:rPr>
        <w:t>预算绩效</w:t>
      </w:r>
      <w:r>
        <w:rPr>
          <w:rFonts w:ascii="仿宋_GB2312" w:eastAsia="仿宋_GB2312" w:hAnsi="仿宋" w:hint="eastAsia"/>
          <w:sz w:val="32"/>
          <w:szCs w:val="32"/>
        </w:rPr>
        <w:t>监控工作并进行质量审核把关，</w:t>
      </w:r>
      <w:r>
        <w:rPr>
          <w:rFonts w:ascii="仿宋_GB2312" w:eastAsia="仿宋_GB2312" w:hint="eastAsia"/>
          <w:sz w:val="32"/>
          <w:szCs w:val="32"/>
        </w:rPr>
        <w:t>监控涉及公开的市级项目</w:t>
      </w:r>
      <w:r>
        <w:rPr>
          <w:rFonts w:ascii="仿宋_GB2312" w:eastAsia="仿宋_GB2312"/>
          <w:sz w:val="32"/>
          <w:szCs w:val="32"/>
        </w:rPr>
        <w:t>88</w:t>
      </w:r>
      <w:r>
        <w:rPr>
          <w:rFonts w:ascii="仿宋_GB2312" w:eastAsia="仿宋_GB2312" w:hint="eastAsia"/>
          <w:sz w:val="32"/>
          <w:szCs w:val="32"/>
        </w:rPr>
        <w:t>个，监控资金44</w:t>
      </w:r>
      <w:r>
        <w:rPr>
          <w:rFonts w:ascii="仿宋_GB2312" w:eastAsia="仿宋_GB2312"/>
          <w:sz w:val="32"/>
          <w:szCs w:val="32"/>
        </w:rPr>
        <w:t>,</w:t>
      </w:r>
      <w:r>
        <w:rPr>
          <w:rFonts w:ascii="仿宋_GB2312" w:eastAsia="仿宋_GB2312" w:hint="eastAsia"/>
          <w:sz w:val="32"/>
          <w:szCs w:val="32"/>
        </w:rPr>
        <w:t>680.16万元，其中：财政资金</w:t>
      </w:r>
      <w:r>
        <w:rPr>
          <w:rFonts w:ascii="仿宋_GB2312" w:eastAsia="仿宋_GB2312"/>
          <w:sz w:val="32"/>
          <w:szCs w:val="32"/>
        </w:rPr>
        <w:t>36,711.75</w:t>
      </w:r>
      <w:r>
        <w:rPr>
          <w:rFonts w:ascii="仿宋_GB2312" w:eastAsia="仿宋_GB2312" w:hint="eastAsia"/>
          <w:sz w:val="32"/>
          <w:szCs w:val="32"/>
        </w:rPr>
        <w:t>万元，自有资金</w:t>
      </w:r>
      <w:r>
        <w:rPr>
          <w:rFonts w:ascii="仿宋_GB2312" w:eastAsia="仿宋_GB2312"/>
          <w:sz w:val="32"/>
          <w:szCs w:val="32"/>
        </w:rPr>
        <w:t>7,968.41</w:t>
      </w:r>
      <w:r>
        <w:rPr>
          <w:rFonts w:ascii="仿宋_GB2312" w:eastAsia="仿宋_GB2312" w:hint="eastAsia"/>
          <w:sz w:val="32"/>
          <w:szCs w:val="32"/>
        </w:rPr>
        <w:t>万元。</w:t>
      </w:r>
    </w:p>
    <w:p w:rsidR="00E464D2" w:rsidRDefault="00B9443A">
      <w:pPr>
        <w:adjustRightInd w:val="0"/>
        <w:snapToGrid w:val="0"/>
        <w:spacing w:line="560" w:lineRule="exact"/>
        <w:ind w:firstLineChars="200" w:firstLine="640"/>
        <w:outlineLvl w:val="1"/>
        <w:rPr>
          <w:rFonts w:ascii="楷体_GB2312" w:eastAsia="楷体_GB2312"/>
          <w:sz w:val="32"/>
          <w:szCs w:val="32"/>
        </w:rPr>
      </w:pPr>
      <w:bookmarkStart w:id="52" w:name="_Toc488221578"/>
      <w:bookmarkStart w:id="53" w:name="_Toc1366940301"/>
      <w:bookmarkStart w:id="54" w:name="_Toc1512702812"/>
      <w:bookmarkStart w:id="55" w:name="_Toc765616506"/>
      <w:bookmarkStart w:id="56" w:name="_Toc754326528"/>
      <w:r>
        <w:rPr>
          <w:rFonts w:ascii="楷体_GB2312" w:eastAsia="楷体_GB2312" w:hint="eastAsia"/>
          <w:sz w:val="32"/>
          <w:szCs w:val="32"/>
        </w:rPr>
        <w:t>（四）结转结余率</w:t>
      </w:r>
      <w:bookmarkEnd w:id="52"/>
      <w:bookmarkEnd w:id="53"/>
      <w:bookmarkEnd w:id="54"/>
      <w:bookmarkEnd w:id="55"/>
      <w:bookmarkEnd w:id="56"/>
    </w:p>
    <w:p w:rsidR="00E464D2" w:rsidRDefault="00B9443A">
      <w:pPr>
        <w:adjustRightInd w:val="0"/>
        <w:snapToGrid w:val="0"/>
        <w:spacing w:line="560" w:lineRule="exact"/>
        <w:ind w:firstLineChars="200" w:firstLine="640"/>
        <w:rPr>
          <w:rFonts w:ascii="楷体_GB2312" w:eastAsia="楷体_GB2312"/>
          <w:sz w:val="32"/>
          <w:szCs w:val="32"/>
        </w:rPr>
      </w:pPr>
      <w:r>
        <w:rPr>
          <w:rFonts w:ascii="仿宋_GB2312" w:eastAsia="仿宋_GB2312" w:hAnsi="宋体" w:cs="宋体" w:hint="eastAsia"/>
          <w:kern w:val="0"/>
          <w:sz w:val="32"/>
          <w:szCs w:val="32"/>
        </w:rPr>
        <w:t>2024年财政拨款结转结余资金27</w:t>
      </w:r>
      <w:r>
        <w:rPr>
          <w:rFonts w:ascii="仿宋_GB2312" w:eastAsia="仿宋_GB2312" w:hAnsi="宋体" w:cs="宋体"/>
          <w:kern w:val="0"/>
          <w:sz w:val="32"/>
          <w:szCs w:val="32"/>
        </w:rPr>
        <w:t>,</w:t>
      </w:r>
      <w:r>
        <w:rPr>
          <w:rFonts w:ascii="仿宋_GB2312" w:eastAsia="仿宋_GB2312" w:hAnsi="宋体" w:cs="宋体" w:hint="eastAsia"/>
          <w:kern w:val="0"/>
          <w:sz w:val="32"/>
          <w:szCs w:val="32"/>
        </w:rPr>
        <w:t>446.94</w:t>
      </w:r>
      <w:r>
        <w:rPr>
          <w:rFonts w:ascii="仿宋_GB2312" w:eastAsia="仿宋_GB2312" w:hAnsi="宋体" w:cs="宋体"/>
          <w:kern w:val="0"/>
          <w:sz w:val="32"/>
          <w:szCs w:val="32"/>
        </w:rPr>
        <w:t>万元，结转结余率</w:t>
      </w:r>
      <w:r>
        <w:rPr>
          <w:rFonts w:ascii="仿宋_GB2312" w:eastAsia="仿宋_GB2312" w:hAnsi="宋体" w:cs="宋体" w:hint="eastAsia"/>
          <w:kern w:val="0"/>
          <w:sz w:val="32"/>
          <w:szCs w:val="32"/>
        </w:rPr>
        <w:t>19.14%</w:t>
      </w:r>
      <w:r>
        <w:rPr>
          <w:rFonts w:ascii="仿宋_GB2312" w:eastAsia="仿宋_GB2312" w:hAnsi="宋体" w:cs="宋体"/>
          <w:kern w:val="0"/>
          <w:sz w:val="32"/>
          <w:szCs w:val="32"/>
        </w:rPr>
        <w:t>，相较于</w:t>
      </w:r>
      <w:r>
        <w:rPr>
          <w:rFonts w:ascii="仿宋_GB2312" w:eastAsia="仿宋_GB2312" w:hAnsi="宋体" w:cs="宋体" w:hint="eastAsia"/>
          <w:kern w:val="0"/>
          <w:sz w:val="32"/>
          <w:szCs w:val="32"/>
        </w:rPr>
        <w:t>2023年财政拨款结转结余率</w:t>
      </w:r>
      <w:r>
        <w:rPr>
          <w:rFonts w:ascii="仿宋_GB2312" w:eastAsia="仿宋_GB2312" w:hAnsi="宋体" w:cs="宋体"/>
          <w:kern w:val="0"/>
          <w:sz w:val="32"/>
          <w:szCs w:val="32"/>
        </w:rPr>
        <w:t>9.66</w:t>
      </w:r>
      <w:r>
        <w:rPr>
          <w:rFonts w:ascii="仿宋_GB2312" w:eastAsia="仿宋_GB2312" w:hAnsi="宋体" w:cs="宋体" w:hint="eastAsia"/>
          <w:kern w:val="0"/>
          <w:sz w:val="32"/>
          <w:szCs w:val="32"/>
        </w:rPr>
        <w:t>%，增长9.48个百分点，</w:t>
      </w:r>
      <w:bookmarkStart w:id="57" w:name="OLE_LINK14"/>
      <w:bookmarkStart w:id="58" w:name="OLE_LINK13"/>
      <w:r>
        <w:rPr>
          <w:rFonts w:ascii="仿宋_GB2312" w:eastAsia="仿宋_GB2312" w:hAnsi="宋体" w:cs="宋体" w:hint="eastAsia"/>
          <w:kern w:val="0"/>
          <w:sz w:val="32"/>
          <w:szCs w:val="32"/>
        </w:rPr>
        <w:t>主要是追加北京市进一步促进国四及以上排放标准老旧货车和大中型客车报废更新项目结转。</w:t>
      </w:r>
    </w:p>
    <w:p w:rsidR="00E464D2" w:rsidRDefault="00B9443A">
      <w:pPr>
        <w:adjustRightInd w:val="0"/>
        <w:snapToGrid w:val="0"/>
        <w:spacing w:line="560" w:lineRule="exact"/>
        <w:ind w:firstLineChars="200" w:firstLine="640"/>
        <w:outlineLvl w:val="1"/>
        <w:rPr>
          <w:rFonts w:ascii="楷体_GB2312" w:eastAsia="楷体_GB2312"/>
          <w:sz w:val="32"/>
          <w:szCs w:val="32"/>
        </w:rPr>
      </w:pPr>
      <w:bookmarkStart w:id="59" w:name="_Toc2142087165"/>
      <w:bookmarkStart w:id="60" w:name="_Toc1369987855"/>
      <w:bookmarkStart w:id="61" w:name="_Toc5046259"/>
      <w:bookmarkStart w:id="62" w:name="_Toc2084748098"/>
      <w:bookmarkStart w:id="63" w:name="_Toc385583301"/>
      <w:bookmarkEnd w:id="57"/>
      <w:bookmarkEnd w:id="58"/>
      <w:r>
        <w:rPr>
          <w:rFonts w:ascii="楷体_GB2312" w:eastAsia="楷体_GB2312" w:hint="eastAsia"/>
          <w:sz w:val="32"/>
          <w:szCs w:val="32"/>
        </w:rPr>
        <w:t>（五）部门</w:t>
      </w:r>
      <w:r>
        <w:rPr>
          <w:rFonts w:ascii="楷体_GB2312" w:eastAsia="楷体_GB2312"/>
          <w:sz w:val="32"/>
          <w:szCs w:val="32"/>
        </w:rPr>
        <w:t>预决算差异率</w:t>
      </w:r>
      <w:bookmarkEnd w:id="59"/>
      <w:bookmarkEnd w:id="60"/>
      <w:bookmarkEnd w:id="61"/>
      <w:bookmarkEnd w:id="62"/>
      <w:bookmarkEnd w:id="63"/>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通过年度部门决算与年初部门预算对比，2024年财政拨款全年预算数143</w:t>
      </w:r>
      <w:r>
        <w:rPr>
          <w:rFonts w:ascii="仿宋_GB2312" w:eastAsia="仿宋_GB2312" w:hAnsi="宋体" w:cs="宋体"/>
          <w:kern w:val="0"/>
          <w:sz w:val="32"/>
          <w:szCs w:val="32"/>
        </w:rPr>
        <w:t>,</w:t>
      </w:r>
      <w:r>
        <w:rPr>
          <w:rFonts w:ascii="仿宋_GB2312" w:eastAsia="仿宋_GB2312" w:hAnsi="宋体" w:cs="宋体" w:hint="eastAsia"/>
          <w:kern w:val="0"/>
          <w:sz w:val="32"/>
          <w:szCs w:val="32"/>
        </w:rPr>
        <w:t>402.41万元，年初预算数88</w:t>
      </w:r>
      <w:r>
        <w:rPr>
          <w:rFonts w:ascii="仿宋_GB2312" w:eastAsia="仿宋_GB2312" w:hAnsi="宋体" w:cs="宋体"/>
          <w:kern w:val="0"/>
          <w:sz w:val="32"/>
          <w:szCs w:val="32"/>
        </w:rPr>
        <w:t>,</w:t>
      </w:r>
      <w:r>
        <w:rPr>
          <w:rFonts w:ascii="仿宋_GB2312" w:eastAsia="仿宋_GB2312" w:hAnsi="宋体" w:cs="宋体" w:hint="eastAsia"/>
          <w:kern w:val="0"/>
          <w:sz w:val="32"/>
          <w:szCs w:val="32"/>
        </w:rPr>
        <w:t>991.55万元，部门财政拨款预决算差异率61.14%，高于市级平均差异率28.3%，主要是</w:t>
      </w:r>
      <w:bookmarkStart w:id="64" w:name="OLE_LINK11"/>
      <w:bookmarkStart w:id="65" w:name="OLE_LINK12"/>
      <w:r>
        <w:rPr>
          <w:rFonts w:ascii="仿宋_GB2312" w:eastAsia="仿宋_GB2312" w:hAnsi="宋体" w:cs="宋体" w:hint="eastAsia"/>
          <w:kern w:val="0"/>
          <w:sz w:val="32"/>
          <w:szCs w:val="32"/>
        </w:rPr>
        <w:t>追加</w:t>
      </w:r>
      <w:bookmarkStart w:id="66" w:name="OLE_LINK9"/>
      <w:bookmarkStart w:id="67" w:name="OLE_LINK10"/>
      <w:r>
        <w:rPr>
          <w:rFonts w:ascii="仿宋_GB2312" w:eastAsia="仿宋_GB2312" w:hAnsi="宋体" w:cs="宋体" w:hint="eastAsia"/>
          <w:kern w:val="0"/>
          <w:sz w:val="32"/>
          <w:szCs w:val="32"/>
        </w:rPr>
        <w:t>北京市进一步促进国四及以上排放标准老旧货车和大中型客车报废更新项目</w:t>
      </w:r>
      <w:bookmarkEnd w:id="64"/>
      <w:bookmarkEnd w:id="65"/>
      <w:bookmarkEnd w:id="66"/>
      <w:bookmarkEnd w:id="67"/>
      <w:r>
        <w:rPr>
          <w:rFonts w:ascii="仿宋_GB2312" w:eastAsia="仿宋_GB2312" w:hAnsi="宋体" w:cs="宋体" w:hint="eastAsia"/>
          <w:kern w:val="0"/>
          <w:sz w:val="32"/>
          <w:szCs w:val="32"/>
        </w:rPr>
        <w:t>，以及追加废弃电子产品处理专项资金等。</w:t>
      </w:r>
    </w:p>
    <w:p w:rsidR="00E464D2" w:rsidRDefault="00B9443A">
      <w:pPr>
        <w:adjustRightInd w:val="0"/>
        <w:snapToGrid w:val="0"/>
        <w:spacing w:line="560" w:lineRule="exact"/>
        <w:ind w:firstLineChars="200" w:firstLine="640"/>
        <w:outlineLvl w:val="0"/>
        <w:rPr>
          <w:rFonts w:ascii="黑体" w:eastAsia="黑体" w:hAnsi="黑体"/>
          <w:sz w:val="32"/>
          <w:szCs w:val="32"/>
        </w:rPr>
      </w:pPr>
      <w:bookmarkStart w:id="68" w:name="_Toc1060612780"/>
      <w:bookmarkStart w:id="69" w:name="_Toc66215851"/>
      <w:bookmarkStart w:id="70" w:name="_Toc1540376908"/>
      <w:bookmarkStart w:id="71" w:name="_Toc1643123847"/>
      <w:bookmarkStart w:id="72" w:name="_Toc18098634"/>
      <w:r>
        <w:rPr>
          <w:rFonts w:ascii="黑体" w:eastAsia="黑体" w:hAnsi="黑体" w:hint="eastAsia"/>
          <w:sz w:val="32"/>
          <w:szCs w:val="32"/>
        </w:rPr>
        <w:t>五、总体</w:t>
      </w:r>
      <w:r>
        <w:rPr>
          <w:rFonts w:ascii="黑体" w:eastAsia="黑体" w:hAnsi="黑体"/>
          <w:sz w:val="32"/>
          <w:szCs w:val="32"/>
        </w:rPr>
        <w:t>评价结论</w:t>
      </w:r>
      <w:bookmarkEnd w:id="68"/>
      <w:bookmarkEnd w:id="69"/>
      <w:bookmarkEnd w:id="70"/>
      <w:bookmarkEnd w:id="71"/>
      <w:bookmarkEnd w:id="72"/>
    </w:p>
    <w:p w:rsidR="00E464D2" w:rsidRDefault="00B9443A">
      <w:pPr>
        <w:adjustRightInd w:val="0"/>
        <w:snapToGrid w:val="0"/>
        <w:spacing w:line="560" w:lineRule="exact"/>
        <w:ind w:firstLineChars="200" w:firstLine="640"/>
        <w:outlineLvl w:val="1"/>
        <w:rPr>
          <w:rFonts w:ascii="楷体_GB2312" w:eastAsia="楷体_GB2312"/>
          <w:sz w:val="32"/>
          <w:szCs w:val="32"/>
        </w:rPr>
      </w:pPr>
      <w:bookmarkStart w:id="73" w:name="_Toc1388547411"/>
      <w:bookmarkStart w:id="74" w:name="_Toc1604723360"/>
      <w:bookmarkStart w:id="75" w:name="_Toc1490279756"/>
      <w:bookmarkStart w:id="76" w:name="_Toc1199328171"/>
      <w:bookmarkStart w:id="77" w:name="_Toc493278611"/>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bookmarkEnd w:id="73"/>
      <w:bookmarkEnd w:id="74"/>
      <w:bookmarkEnd w:id="75"/>
      <w:bookmarkEnd w:id="76"/>
      <w:bookmarkEnd w:id="77"/>
    </w:p>
    <w:p w:rsidR="00E464D2" w:rsidRDefault="00B9443A">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通过对部门整体预算执行、绩效目标实现和预算管理情况分析，2024年部门整体绩效评价得分为90.47分。其中，当年预算执行情况分值20分，得分</w:t>
      </w:r>
      <w:r>
        <w:rPr>
          <w:rFonts w:ascii="仿宋_GB2312" w:eastAsia="仿宋_GB2312" w:hAnsi="宋体" w:cs="宋体"/>
          <w:kern w:val="0"/>
          <w:sz w:val="32"/>
          <w:szCs w:val="32"/>
        </w:rPr>
        <w:t>16.17</w:t>
      </w:r>
      <w:r>
        <w:rPr>
          <w:rFonts w:ascii="仿宋_GB2312" w:eastAsia="仿宋_GB2312" w:hAnsi="宋体" w:cs="宋体" w:hint="eastAsia"/>
          <w:kern w:val="0"/>
          <w:sz w:val="32"/>
          <w:szCs w:val="32"/>
        </w:rPr>
        <w:t>分；整体绩效目标实现情况60分，得分59.1分；预算管理情况分值20分，得分</w:t>
      </w:r>
      <w:r>
        <w:rPr>
          <w:rFonts w:ascii="仿宋_GB2312" w:eastAsia="仿宋_GB2312" w:hAnsi="宋体" w:cs="宋体"/>
          <w:kern w:val="0"/>
          <w:sz w:val="32"/>
          <w:szCs w:val="32"/>
        </w:rPr>
        <w:t>15.2</w:t>
      </w:r>
      <w:r>
        <w:rPr>
          <w:rFonts w:ascii="仿宋_GB2312" w:eastAsia="仿宋_GB2312" w:hAnsi="宋体" w:cs="宋体" w:hint="eastAsia"/>
          <w:kern w:val="0"/>
          <w:sz w:val="32"/>
          <w:szCs w:val="32"/>
        </w:rPr>
        <w:t>分。具体评分情况见下图1。</w:t>
      </w:r>
    </w:p>
    <w:p w:rsidR="00E464D2" w:rsidRDefault="00B9443A">
      <w:pPr>
        <w:adjustRightInd w:val="0"/>
        <w:snapToGrid w:val="0"/>
        <w:spacing w:line="360" w:lineRule="auto"/>
        <w:jc w:val="center"/>
        <w:rPr>
          <w:rFonts w:ascii="仿宋_GB2312" w:eastAsia="仿宋_GB2312" w:hAnsi="宋体" w:cs="宋体"/>
          <w:kern w:val="0"/>
          <w:sz w:val="32"/>
          <w:szCs w:val="32"/>
        </w:rPr>
      </w:pPr>
      <w:r>
        <w:rPr>
          <w:rFonts w:ascii="仿宋_GB2312" w:eastAsia="仿宋_GB2312" w:hAnsi="宋体" w:cs="宋体"/>
          <w:noProof/>
          <w:kern w:val="0"/>
          <w:sz w:val="32"/>
          <w:szCs w:val="32"/>
        </w:rPr>
        <w:lastRenderedPageBreak/>
        <w:drawing>
          <wp:inline distT="0" distB="0" distL="114300" distR="114300">
            <wp:extent cx="4763770" cy="2503170"/>
            <wp:effectExtent l="6350" t="6350" r="30480" b="304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464D2" w:rsidRDefault="00B9443A">
      <w:pPr>
        <w:adjustRightInd w:val="0"/>
        <w:snapToGrid w:val="0"/>
        <w:spacing w:line="360" w:lineRule="auto"/>
        <w:jc w:val="center"/>
        <w:rPr>
          <w:rFonts w:ascii="黑体" w:eastAsia="黑体"/>
          <w:iCs/>
          <w:sz w:val="28"/>
        </w:rPr>
      </w:pPr>
      <w:r>
        <w:rPr>
          <w:rFonts w:ascii="黑体" w:eastAsia="黑体" w:hint="eastAsia"/>
          <w:iCs/>
          <w:sz w:val="28"/>
        </w:rPr>
        <w:t>图1：分项绩效评价指标分值及得分情况</w:t>
      </w:r>
    </w:p>
    <w:p w:rsidR="00E464D2" w:rsidRDefault="00B9443A">
      <w:pPr>
        <w:adjustRightInd w:val="0"/>
        <w:snapToGrid w:val="0"/>
        <w:spacing w:line="560" w:lineRule="exact"/>
        <w:ind w:firstLineChars="200" w:firstLine="640"/>
        <w:outlineLvl w:val="1"/>
        <w:rPr>
          <w:rFonts w:ascii="楷体_GB2312" w:eastAsia="楷体_GB2312"/>
          <w:sz w:val="32"/>
          <w:szCs w:val="32"/>
        </w:rPr>
      </w:pPr>
      <w:bookmarkStart w:id="78" w:name="_Toc338388847"/>
      <w:bookmarkStart w:id="79" w:name="_Toc1030084131"/>
      <w:bookmarkStart w:id="80" w:name="_Toc827059255"/>
      <w:bookmarkStart w:id="81" w:name="_Toc611544728"/>
      <w:bookmarkStart w:id="82" w:name="_Toc1246737657"/>
      <w:r>
        <w:rPr>
          <w:rFonts w:ascii="楷体_GB2312" w:eastAsia="楷体_GB2312" w:hint="eastAsia"/>
          <w:sz w:val="32"/>
          <w:szCs w:val="32"/>
        </w:rPr>
        <w:t>（二）存在的问题及原因分析</w:t>
      </w:r>
      <w:bookmarkEnd w:id="78"/>
      <w:bookmarkEnd w:id="79"/>
      <w:bookmarkEnd w:id="80"/>
      <w:bookmarkEnd w:id="81"/>
      <w:bookmarkEnd w:id="82"/>
    </w:p>
    <w:p w:rsidR="00E464D2" w:rsidRDefault="00B9443A" w:rsidP="00925F16">
      <w:pPr>
        <w:adjustRightInd w:val="0"/>
        <w:snapToGrid w:val="0"/>
        <w:spacing w:line="560" w:lineRule="exact"/>
        <w:ind w:firstLineChars="200" w:firstLine="643"/>
        <w:rPr>
          <w:rFonts w:ascii="仿宋_GB2312" w:eastAsia="仿宋_GB2312" w:hAnsi="宋体" w:cs="宋体"/>
          <w:kern w:val="0"/>
          <w:sz w:val="32"/>
          <w:szCs w:val="32"/>
        </w:rPr>
      </w:pPr>
      <w:r>
        <w:rPr>
          <w:rFonts w:ascii="仿宋_GB2312" w:eastAsia="仿宋_GB2312" w:hAnsi="仿宋" w:hint="eastAsia"/>
          <w:b/>
          <w:sz w:val="32"/>
          <w:szCs w:val="32"/>
        </w:rPr>
        <w:t>一是</w:t>
      </w:r>
      <w:r>
        <w:rPr>
          <w:rFonts w:ascii="仿宋_GB2312" w:eastAsia="仿宋_GB2312" w:hAnsi="宋体" w:cs="宋体" w:hint="eastAsia"/>
          <w:kern w:val="0"/>
          <w:sz w:val="32"/>
          <w:szCs w:val="32"/>
        </w:rPr>
        <w:t>部分项目实施周期较长，涉及跨年执行，部分工作内容仍在合同执行期内，项目效益有待持续发挥。</w:t>
      </w:r>
      <w:r>
        <w:rPr>
          <w:rFonts w:ascii="仿宋_GB2312" w:eastAsia="仿宋_GB2312" w:hAnsi="宋体" w:cs="宋体" w:hint="eastAsia"/>
          <w:b/>
          <w:bCs/>
          <w:kern w:val="0"/>
          <w:sz w:val="32"/>
          <w:szCs w:val="32"/>
        </w:rPr>
        <w:t>二是</w:t>
      </w:r>
      <w:r>
        <w:rPr>
          <w:rFonts w:ascii="仿宋_GB2312" w:eastAsia="仿宋_GB2312" w:hAnsi="宋体" w:cs="宋体" w:hint="eastAsia"/>
          <w:kern w:val="0"/>
          <w:sz w:val="32"/>
          <w:szCs w:val="32"/>
        </w:rPr>
        <w:t>个别项目绩效指标设置科学性与准确性不足，指标执行与计划存在一定偏差。</w:t>
      </w:r>
      <w:r>
        <w:rPr>
          <w:rFonts w:ascii="仿宋_GB2312" w:eastAsia="仿宋_GB2312" w:hAnsi="宋体" w:cs="宋体" w:hint="eastAsia"/>
          <w:b/>
          <w:bCs/>
          <w:kern w:val="0"/>
          <w:sz w:val="32"/>
          <w:szCs w:val="32"/>
        </w:rPr>
        <w:t>三是</w:t>
      </w:r>
      <w:r>
        <w:rPr>
          <w:rFonts w:ascii="仿宋_GB2312" w:eastAsia="仿宋_GB2312" w:hAnsi="宋体" w:cs="宋体" w:hint="eastAsia"/>
          <w:kern w:val="0"/>
          <w:sz w:val="32"/>
          <w:szCs w:val="32"/>
        </w:rPr>
        <w:t>部分项目未开展满意度调查，效益发挥和成果应用情况的支撑材料收集不够全面。</w:t>
      </w:r>
    </w:p>
    <w:p w:rsidR="00E464D2" w:rsidRDefault="00B9443A">
      <w:pPr>
        <w:adjustRightInd w:val="0"/>
        <w:snapToGrid w:val="0"/>
        <w:spacing w:line="560" w:lineRule="exact"/>
        <w:ind w:firstLineChars="200" w:firstLine="640"/>
        <w:outlineLvl w:val="0"/>
        <w:rPr>
          <w:rFonts w:ascii="仿宋_GB2312" w:eastAsia="仿宋_GB2312" w:hAnsi="宋体" w:cs="宋体"/>
          <w:kern w:val="0"/>
          <w:sz w:val="32"/>
          <w:szCs w:val="32"/>
        </w:rPr>
      </w:pPr>
      <w:bookmarkStart w:id="83" w:name="_Toc375508954"/>
      <w:bookmarkStart w:id="84" w:name="_Toc1758311250"/>
      <w:bookmarkStart w:id="85" w:name="_Toc764654273"/>
      <w:bookmarkStart w:id="86" w:name="_Toc1870735401"/>
      <w:bookmarkStart w:id="87" w:name="_Toc921857420"/>
      <w:r>
        <w:rPr>
          <w:rFonts w:ascii="黑体" w:eastAsia="黑体" w:hAnsi="黑体" w:cs="宋体" w:hint="eastAsia"/>
          <w:kern w:val="0"/>
          <w:sz w:val="32"/>
          <w:szCs w:val="32"/>
        </w:rPr>
        <w:t>六、整改措施与建议</w:t>
      </w:r>
      <w:bookmarkEnd w:id="83"/>
      <w:bookmarkEnd w:id="84"/>
      <w:bookmarkEnd w:id="85"/>
      <w:bookmarkEnd w:id="86"/>
      <w:bookmarkEnd w:id="87"/>
    </w:p>
    <w:p w:rsidR="00E464D2" w:rsidRDefault="00B9443A" w:rsidP="00925F16">
      <w:pPr>
        <w:adjustRightInd w:val="0"/>
        <w:snapToGrid w:val="0"/>
        <w:spacing w:line="560" w:lineRule="exact"/>
        <w:ind w:firstLineChars="200" w:firstLine="643"/>
        <w:rPr>
          <w:rFonts w:ascii="仿宋_GB2312" w:eastAsia="仿宋_GB2312" w:hAnsi="仿宋"/>
          <w:b/>
          <w:sz w:val="32"/>
          <w:szCs w:val="32"/>
        </w:rPr>
      </w:pPr>
      <w:bookmarkStart w:id="88" w:name="_Toc103006301"/>
      <w:r>
        <w:rPr>
          <w:rFonts w:ascii="仿宋_GB2312" w:eastAsia="仿宋_GB2312" w:hAnsi="宋体" w:cs="宋体" w:hint="eastAsia"/>
          <w:b/>
          <w:bCs/>
          <w:kern w:val="0"/>
          <w:sz w:val="32"/>
          <w:szCs w:val="32"/>
        </w:rPr>
        <w:t>一是</w:t>
      </w:r>
      <w:r>
        <w:rPr>
          <w:rFonts w:ascii="仿宋_GB2312" w:eastAsia="仿宋_GB2312" w:hAnsi="宋体" w:cs="宋体" w:hint="eastAsia"/>
          <w:kern w:val="0"/>
          <w:sz w:val="32"/>
          <w:szCs w:val="32"/>
        </w:rPr>
        <w:t>合理调整合同执行周期，尽量保证合同执行期与预算年度一致，确保以后年度绩效考核节点能够完整反映合同执行效果。</w:t>
      </w:r>
      <w:r>
        <w:rPr>
          <w:rFonts w:ascii="仿宋_GB2312" w:eastAsia="仿宋_GB2312" w:hAnsi="宋体" w:cs="宋体" w:hint="eastAsia"/>
          <w:b/>
          <w:bCs/>
          <w:kern w:val="0"/>
          <w:sz w:val="32"/>
          <w:szCs w:val="32"/>
        </w:rPr>
        <w:t>二是</w:t>
      </w:r>
      <w:r>
        <w:rPr>
          <w:rFonts w:ascii="仿宋_GB2312" w:eastAsia="仿宋_GB2312" w:hAnsi="宋体" w:cs="宋体" w:hint="eastAsia"/>
          <w:kern w:val="0"/>
          <w:sz w:val="32"/>
          <w:szCs w:val="32"/>
        </w:rPr>
        <w:t>加强前期论证，科学设定绩效目标。加强前期需求调研和历史数据分析，合理设置绩效目标值，提高绩效目标和指标编报质量。同时，加强绩效目标设定的审核力度，确保目标和指标设置全面、完整、规范，为后续绩效监控和自评提供基础。</w:t>
      </w:r>
      <w:r>
        <w:rPr>
          <w:rFonts w:ascii="仿宋_GB2312" w:eastAsia="仿宋_GB2312" w:hAnsi="宋体" w:cs="宋体" w:hint="eastAsia"/>
          <w:b/>
          <w:bCs/>
          <w:kern w:val="0"/>
          <w:sz w:val="32"/>
          <w:szCs w:val="32"/>
        </w:rPr>
        <w:t>三是</w:t>
      </w:r>
      <w:r>
        <w:rPr>
          <w:rFonts w:ascii="仿宋_GB2312" w:eastAsia="仿宋_GB2312" w:hAnsi="宋体" w:cs="宋体" w:hint="eastAsia"/>
          <w:kern w:val="0"/>
          <w:sz w:val="32"/>
          <w:szCs w:val="32"/>
        </w:rPr>
        <w:t>及时做好总结和自评，注重效益和满意度佐证材料的收集与整理，深入挖掘和分析项目绩效数据，充分佐证项目资金使用效益发挥情况，也为项目持续改</w:t>
      </w:r>
      <w:r>
        <w:rPr>
          <w:rFonts w:ascii="仿宋_GB2312" w:eastAsia="仿宋_GB2312" w:hAnsi="宋体" w:cs="宋体" w:hint="eastAsia"/>
          <w:kern w:val="0"/>
          <w:sz w:val="32"/>
          <w:szCs w:val="32"/>
        </w:rPr>
        <w:lastRenderedPageBreak/>
        <w:t>进和提升提供决策参考。</w:t>
      </w:r>
    </w:p>
    <w:p w:rsidR="00E464D2" w:rsidRDefault="00B9443A">
      <w:pPr>
        <w:adjustRightInd w:val="0"/>
        <w:snapToGrid w:val="0"/>
        <w:spacing w:line="560" w:lineRule="exact"/>
        <w:ind w:firstLineChars="200" w:firstLine="640"/>
        <w:outlineLvl w:val="0"/>
        <w:rPr>
          <w:rFonts w:ascii="黑体" w:eastAsia="黑体" w:hAnsi="黑体" w:cs="宋体"/>
          <w:kern w:val="0"/>
          <w:sz w:val="32"/>
          <w:szCs w:val="32"/>
        </w:rPr>
      </w:pPr>
      <w:bookmarkStart w:id="89" w:name="_Toc1002222663"/>
      <w:bookmarkStart w:id="90" w:name="_Toc414712383"/>
      <w:bookmarkStart w:id="91" w:name="_Toc141808880"/>
      <w:bookmarkStart w:id="92" w:name="_Toc1710628482"/>
      <w:bookmarkStart w:id="93" w:name="_Toc1872034992"/>
      <w:r>
        <w:rPr>
          <w:rFonts w:ascii="黑体" w:eastAsia="黑体" w:hAnsi="黑体" w:cs="宋体" w:hint="eastAsia"/>
          <w:kern w:val="0"/>
          <w:sz w:val="32"/>
          <w:szCs w:val="32"/>
        </w:rPr>
        <w:t>七、附件</w:t>
      </w:r>
      <w:bookmarkEnd w:id="88"/>
      <w:bookmarkEnd w:id="89"/>
      <w:bookmarkEnd w:id="90"/>
      <w:bookmarkEnd w:id="91"/>
      <w:bookmarkEnd w:id="92"/>
      <w:bookmarkEnd w:id="93"/>
    </w:p>
    <w:p w:rsidR="00E464D2" w:rsidRDefault="00B9443A">
      <w:pPr>
        <w:adjustRightInd w:val="0"/>
        <w:snapToGrid w:val="0"/>
        <w:spacing w:line="560" w:lineRule="exact"/>
        <w:ind w:firstLineChars="200" w:firstLine="640"/>
        <w:rPr>
          <w:rFonts w:ascii="仿宋_GB2312" w:eastAsia="仿宋_GB2312" w:hAnsi="仿宋_GB2312" w:cs="仿宋_GB2312"/>
          <w:sz w:val="32"/>
          <w:szCs w:val="32"/>
        </w:rPr>
        <w:sectPr w:rsidR="00E464D2">
          <w:footerReference w:type="default" r:id="rId8"/>
          <w:pgSz w:w="11906" w:h="16838"/>
          <w:pgMar w:top="1440" w:right="1800" w:bottom="1440" w:left="1800" w:header="851" w:footer="964" w:gutter="0"/>
          <w:pgNumType w:start="1"/>
          <w:cols w:space="425"/>
          <w:docGrid w:type="lines" w:linePitch="435"/>
        </w:sectPr>
      </w:pPr>
      <w:r>
        <w:rPr>
          <w:rFonts w:ascii="仿宋_GB2312" w:eastAsia="仿宋_GB2312" w:hAnsi="仿宋_GB2312" w:cs="仿宋_GB2312" w:hint="eastAsia"/>
          <w:sz w:val="32"/>
          <w:szCs w:val="32"/>
        </w:rPr>
        <w:t>202</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年部门整体绩效评价指标体系评分表</w:t>
      </w:r>
    </w:p>
    <w:p w:rsidR="00E464D2" w:rsidRDefault="00B9443A">
      <w:pPr>
        <w:spacing w:line="560" w:lineRule="exact"/>
        <w:jc w:val="left"/>
        <w:rPr>
          <w:rFonts w:ascii="方正黑体_GBK" w:eastAsia="方正黑体_GBK" w:hAnsi="方正黑体_GBK" w:cs="方正黑体_GBK"/>
          <w:sz w:val="32"/>
        </w:rPr>
      </w:pPr>
      <w:bookmarkStart w:id="94" w:name="_Toc21830938"/>
      <w:bookmarkStart w:id="95" w:name="_Toc509198347"/>
      <w:r>
        <w:rPr>
          <w:rFonts w:ascii="方正黑体_GBK" w:eastAsia="方正黑体_GBK" w:hAnsi="方正黑体_GBK" w:cs="方正黑体_GBK" w:hint="eastAsia"/>
          <w:sz w:val="32"/>
        </w:rPr>
        <w:lastRenderedPageBreak/>
        <w:t>附件</w:t>
      </w:r>
      <w:bookmarkEnd w:id="94"/>
      <w:bookmarkEnd w:id="95"/>
    </w:p>
    <w:p w:rsidR="00E464D2" w:rsidRDefault="00E464D2">
      <w:pPr>
        <w:spacing w:line="20" w:lineRule="exact"/>
        <w:rPr>
          <w:rFonts w:ascii="方正小标宋简体" w:eastAsia="方正小标宋简体"/>
          <w:sz w:val="36"/>
          <w:szCs w:val="36"/>
        </w:rPr>
      </w:pPr>
    </w:p>
    <w:p w:rsidR="00E464D2" w:rsidRDefault="00E464D2">
      <w:pPr>
        <w:spacing w:line="20" w:lineRule="exact"/>
        <w:rPr>
          <w:rFonts w:ascii="方正小标宋简体" w:eastAsia="方正小标宋简体"/>
          <w:sz w:val="36"/>
          <w:szCs w:val="36"/>
        </w:rPr>
      </w:pPr>
    </w:p>
    <w:p w:rsidR="00E464D2" w:rsidRDefault="00E464D2">
      <w:pPr>
        <w:spacing w:line="20" w:lineRule="exact"/>
        <w:rPr>
          <w:rFonts w:ascii="方正小标宋简体" w:eastAsia="方正小标宋简体"/>
          <w:sz w:val="36"/>
          <w:szCs w:val="36"/>
        </w:rPr>
      </w:pPr>
    </w:p>
    <w:p w:rsidR="00E464D2" w:rsidRDefault="00E464D2">
      <w:pPr>
        <w:spacing w:line="20" w:lineRule="exact"/>
        <w:rPr>
          <w:rFonts w:ascii="方正小标宋简体" w:eastAsia="方正小标宋简体"/>
          <w:sz w:val="36"/>
          <w:szCs w:val="36"/>
        </w:rPr>
      </w:pPr>
    </w:p>
    <w:p w:rsidR="00E464D2" w:rsidRDefault="00E464D2">
      <w:pPr>
        <w:spacing w:line="20" w:lineRule="exact"/>
        <w:rPr>
          <w:rFonts w:ascii="方正小标宋简体" w:eastAsia="方正小标宋简体"/>
          <w:sz w:val="36"/>
          <w:szCs w:val="3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2"/>
        <w:gridCol w:w="503"/>
        <w:gridCol w:w="774"/>
        <w:gridCol w:w="950"/>
        <w:gridCol w:w="663"/>
        <w:gridCol w:w="193"/>
        <w:gridCol w:w="2027"/>
        <w:gridCol w:w="774"/>
        <w:gridCol w:w="590"/>
        <w:gridCol w:w="663"/>
        <w:gridCol w:w="632"/>
        <w:gridCol w:w="439"/>
        <w:gridCol w:w="955"/>
        <w:gridCol w:w="198"/>
        <w:gridCol w:w="266"/>
        <w:gridCol w:w="918"/>
        <w:gridCol w:w="119"/>
        <w:gridCol w:w="181"/>
        <w:gridCol w:w="1267"/>
      </w:tblGrid>
      <w:tr w:rsidR="00E464D2">
        <w:trPr>
          <w:cantSplit/>
          <w:trHeight w:val="569"/>
        </w:trPr>
        <w:tc>
          <w:tcPr>
            <w:tcW w:w="5000" w:type="pct"/>
            <w:gridSpan w:val="19"/>
            <w:noWrap/>
            <w:vAlign w:val="center"/>
          </w:tcPr>
          <w:p w:rsidR="00E464D2" w:rsidRDefault="00B9443A">
            <w:pPr>
              <w:widowControl/>
              <w:jc w:val="left"/>
              <w:rPr>
                <w:rFonts w:ascii="宋体" w:hAnsi="宋体" w:cs="宋体"/>
                <w:kern w:val="0"/>
                <w:sz w:val="18"/>
                <w:szCs w:val="18"/>
              </w:rPr>
            </w:pPr>
            <w:r>
              <w:rPr>
                <w:rFonts w:ascii="宋体" w:hAnsi="宋体" w:cs="宋体" w:hint="eastAsia"/>
                <w:kern w:val="0"/>
                <w:sz w:val="20"/>
                <w:szCs w:val="20"/>
              </w:rPr>
              <w:t>一、当年预算执行情况（20分）</w:t>
            </w:r>
          </w:p>
        </w:tc>
      </w:tr>
      <w:tr w:rsidR="00E464D2">
        <w:trPr>
          <w:cantSplit/>
          <w:trHeight w:val="441"/>
        </w:trPr>
        <w:tc>
          <w:tcPr>
            <w:tcW w:w="1177"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一</w:t>
            </w:r>
            <w:r>
              <w:rPr>
                <w:rFonts w:ascii="宋体" w:hAnsi="宋体" w:cs="宋体"/>
                <w:kern w:val="0"/>
                <w:sz w:val="18"/>
                <w:szCs w:val="18"/>
              </w:rPr>
              <w:t>级指标</w:t>
            </w:r>
            <w:r>
              <w:rPr>
                <w:rFonts w:ascii="宋体" w:hAnsi="宋体" w:cs="宋体" w:hint="eastAsia"/>
                <w:kern w:val="0"/>
                <w:sz w:val="18"/>
                <w:szCs w:val="18"/>
              </w:rPr>
              <w:t xml:space="preserve">　</w:t>
            </w:r>
          </w:p>
        </w:tc>
        <w:tc>
          <w:tcPr>
            <w:tcW w:w="637"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二</w:t>
            </w:r>
            <w:r>
              <w:rPr>
                <w:rFonts w:ascii="宋体" w:hAnsi="宋体" w:cs="宋体"/>
                <w:kern w:val="0"/>
                <w:sz w:val="18"/>
                <w:szCs w:val="18"/>
              </w:rPr>
              <w:t>级指标</w:t>
            </w:r>
            <w:r>
              <w:rPr>
                <w:rFonts w:ascii="宋体" w:hAnsi="宋体" w:cs="宋体" w:hint="eastAsia"/>
                <w:kern w:val="0"/>
                <w:sz w:val="18"/>
                <w:szCs w:val="18"/>
              </w:rPr>
              <w:t xml:space="preserve">　</w:t>
            </w:r>
          </w:p>
        </w:tc>
        <w:tc>
          <w:tcPr>
            <w:tcW w:w="715" w:type="pct"/>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预算数（万元）</w:t>
            </w:r>
          </w:p>
        </w:tc>
        <w:tc>
          <w:tcPr>
            <w:tcW w:w="715"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执行数（万元）</w:t>
            </w:r>
          </w:p>
        </w:tc>
        <w:tc>
          <w:tcPr>
            <w:tcW w:w="715"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预算执行率</w:t>
            </w:r>
          </w:p>
        </w:tc>
        <w:tc>
          <w:tcPr>
            <w:tcW w:w="488"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分值</w:t>
            </w:r>
          </w:p>
        </w:tc>
        <w:tc>
          <w:tcPr>
            <w:tcW w:w="551"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得分</w:t>
            </w:r>
          </w:p>
        </w:tc>
      </w:tr>
      <w:tr w:rsidR="00E464D2">
        <w:trPr>
          <w:cantSplit/>
          <w:trHeight w:val="567"/>
        </w:trPr>
        <w:tc>
          <w:tcPr>
            <w:tcW w:w="1177" w:type="pct"/>
            <w:gridSpan w:val="3"/>
            <w:vMerge w:val="restart"/>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当年预算执行情况（20）</w:t>
            </w:r>
          </w:p>
        </w:tc>
        <w:tc>
          <w:tcPr>
            <w:tcW w:w="637"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资金总体</w:t>
            </w:r>
          </w:p>
        </w:tc>
        <w:tc>
          <w:tcPr>
            <w:tcW w:w="715" w:type="pct"/>
            <w:noWrap/>
            <w:vAlign w:val="center"/>
          </w:tcPr>
          <w:p w:rsidR="00E464D2" w:rsidRDefault="00B9443A">
            <w:pPr>
              <w:widowControl/>
              <w:jc w:val="right"/>
              <w:rPr>
                <w:rFonts w:ascii="宋体" w:hAnsi="宋体" w:cs="宋体"/>
                <w:kern w:val="0"/>
                <w:sz w:val="18"/>
                <w:szCs w:val="18"/>
              </w:rPr>
            </w:pPr>
            <w:r>
              <w:rPr>
                <w:rFonts w:ascii="宋体" w:hAnsi="宋体" w:cs="宋体"/>
                <w:kern w:val="0"/>
                <w:sz w:val="18"/>
                <w:szCs w:val="18"/>
              </w:rPr>
              <w:t>143,402.41</w:t>
            </w:r>
            <w:r>
              <w:rPr>
                <w:rFonts w:ascii="宋体" w:hAnsi="宋体" w:cs="宋体" w:hint="eastAsia"/>
                <w:kern w:val="0"/>
                <w:sz w:val="18"/>
                <w:szCs w:val="18"/>
              </w:rPr>
              <w:t xml:space="preserve">　</w:t>
            </w:r>
          </w:p>
        </w:tc>
        <w:tc>
          <w:tcPr>
            <w:tcW w:w="715" w:type="pct"/>
            <w:gridSpan w:val="3"/>
            <w:noWrap/>
            <w:vAlign w:val="center"/>
          </w:tcPr>
          <w:p w:rsidR="00E464D2" w:rsidRDefault="00B9443A">
            <w:pPr>
              <w:widowControl/>
              <w:jc w:val="right"/>
              <w:rPr>
                <w:rFonts w:ascii="宋体" w:hAnsi="宋体" w:cs="宋体"/>
                <w:kern w:val="0"/>
                <w:sz w:val="18"/>
                <w:szCs w:val="18"/>
              </w:rPr>
            </w:pPr>
            <w:r>
              <w:rPr>
                <w:rFonts w:ascii="宋体" w:hAnsi="宋体" w:cs="宋体"/>
                <w:kern w:val="0"/>
                <w:sz w:val="18"/>
                <w:szCs w:val="18"/>
              </w:rPr>
              <w:t>115,955.48</w:t>
            </w:r>
          </w:p>
        </w:tc>
        <w:tc>
          <w:tcPr>
            <w:tcW w:w="715"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kern w:val="0"/>
                <w:sz w:val="18"/>
                <w:szCs w:val="18"/>
              </w:rPr>
              <w:t>80.86</w:t>
            </w:r>
            <w:r>
              <w:rPr>
                <w:rFonts w:ascii="宋体" w:hAnsi="宋体" w:cs="宋体" w:hint="eastAsia"/>
                <w:kern w:val="0"/>
                <w:sz w:val="18"/>
                <w:szCs w:val="18"/>
              </w:rPr>
              <w:t xml:space="preserve">%　</w:t>
            </w:r>
          </w:p>
        </w:tc>
        <w:tc>
          <w:tcPr>
            <w:tcW w:w="488" w:type="pct"/>
            <w:gridSpan w:val="3"/>
            <w:vMerge w:val="restart"/>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20</w:t>
            </w:r>
          </w:p>
        </w:tc>
        <w:tc>
          <w:tcPr>
            <w:tcW w:w="551" w:type="pct"/>
            <w:gridSpan w:val="3"/>
            <w:vMerge w:val="restart"/>
            <w:noWrap/>
            <w:vAlign w:val="center"/>
          </w:tcPr>
          <w:p w:rsidR="00E464D2" w:rsidRDefault="00B9443A">
            <w:pPr>
              <w:widowControl/>
              <w:jc w:val="center"/>
              <w:rPr>
                <w:rFonts w:ascii="宋体" w:hAnsi="宋体" w:cs="宋体"/>
                <w:kern w:val="0"/>
                <w:sz w:val="18"/>
                <w:szCs w:val="18"/>
              </w:rPr>
            </w:pPr>
            <w:r>
              <w:rPr>
                <w:rFonts w:ascii="宋体" w:hAnsi="宋体" w:cs="宋体"/>
                <w:kern w:val="0"/>
                <w:sz w:val="18"/>
                <w:szCs w:val="18"/>
              </w:rPr>
              <w:t>16.17</w:t>
            </w:r>
            <w:r>
              <w:rPr>
                <w:rFonts w:ascii="宋体" w:hAnsi="宋体" w:cs="宋体" w:hint="eastAsia"/>
                <w:kern w:val="0"/>
                <w:sz w:val="18"/>
                <w:szCs w:val="18"/>
              </w:rPr>
              <w:t xml:space="preserve">　</w:t>
            </w:r>
          </w:p>
        </w:tc>
      </w:tr>
      <w:tr w:rsidR="00E464D2">
        <w:trPr>
          <w:cantSplit/>
          <w:trHeight w:val="567"/>
        </w:trPr>
        <w:tc>
          <w:tcPr>
            <w:tcW w:w="1177" w:type="pct"/>
            <w:gridSpan w:val="3"/>
            <w:vMerge/>
            <w:noWrap/>
            <w:vAlign w:val="center"/>
          </w:tcPr>
          <w:p w:rsidR="00E464D2" w:rsidRDefault="00E464D2">
            <w:pPr>
              <w:widowControl/>
              <w:jc w:val="left"/>
              <w:rPr>
                <w:rFonts w:ascii="宋体" w:hAnsi="宋体" w:cs="宋体"/>
                <w:kern w:val="0"/>
                <w:sz w:val="18"/>
                <w:szCs w:val="18"/>
              </w:rPr>
            </w:pPr>
          </w:p>
        </w:tc>
        <w:tc>
          <w:tcPr>
            <w:tcW w:w="637"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基本支出</w:t>
            </w:r>
          </w:p>
        </w:tc>
        <w:tc>
          <w:tcPr>
            <w:tcW w:w="715" w:type="pct"/>
            <w:noWrap/>
            <w:vAlign w:val="center"/>
          </w:tcPr>
          <w:p w:rsidR="00E464D2" w:rsidRDefault="00B9443A">
            <w:pPr>
              <w:widowControl/>
              <w:adjustRightInd w:val="0"/>
              <w:snapToGrid w:val="0"/>
              <w:jc w:val="right"/>
              <w:rPr>
                <w:rFonts w:ascii="宋体" w:hAnsi="宋体" w:cs="宋体"/>
                <w:kern w:val="0"/>
                <w:sz w:val="18"/>
                <w:szCs w:val="18"/>
              </w:rPr>
            </w:pPr>
            <w:r>
              <w:rPr>
                <w:rFonts w:ascii="宋体" w:hAnsi="宋体" w:cs="宋体"/>
                <w:kern w:val="0"/>
                <w:sz w:val="18"/>
                <w:szCs w:val="18"/>
              </w:rPr>
              <w:t>43,630.19</w:t>
            </w:r>
          </w:p>
        </w:tc>
        <w:tc>
          <w:tcPr>
            <w:tcW w:w="715" w:type="pct"/>
            <w:gridSpan w:val="3"/>
            <w:noWrap/>
            <w:vAlign w:val="center"/>
          </w:tcPr>
          <w:p w:rsidR="00E464D2" w:rsidRDefault="00B9443A">
            <w:pPr>
              <w:widowControl/>
              <w:jc w:val="right"/>
              <w:rPr>
                <w:rFonts w:ascii="宋体" w:hAnsi="宋体" w:cs="宋体"/>
                <w:kern w:val="0"/>
                <w:sz w:val="18"/>
                <w:szCs w:val="18"/>
              </w:rPr>
            </w:pPr>
            <w:r>
              <w:rPr>
                <w:rFonts w:ascii="宋体" w:hAnsi="宋体" w:cs="宋体"/>
                <w:kern w:val="0"/>
                <w:sz w:val="18"/>
                <w:szCs w:val="18"/>
              </w:rPr>
              <w:t>42,897.26</w:t>
            </w:r>
          </w:p>
        </w:tc>
        <w:tc>
          <w:tcPr>
            <w:tcW w:w="715" w:type="pct"/>
            <w:gridSpan w:val="3"/>
            <w:vMerge w:val="restart"/>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w:t>
            </w:r>
          </w:p>
        </w:tc>
        <w:tc>
          <w:tcPr>
            <w:tcW w:w="488" w:type="pct"/>
            <w:gridSpan w:val="3"/>
            <w:vMerge/>
            <w:noWrap/>
            <w:vAlign w:val="center"/>
          </w:tcPr>
          <w:p w:rsidR="00E464D2" w:rsidRDefault="00E464D2">
            <w:pPr>
              <w:widowControl/>
              <w:jc w:val="left"/>
              <w:rPr>
                <w:rFonts w:ascii="宋体" w:hAnsi="宋体" w:cs="宋体"/>
                <w:kern w:val="0"/>
                <w:sz w:val="18"/>
                <w:szCs w:val="18"/>
              </w:rPr>
            </w:pPr>
          </w:p>
        </w:tc>
        <w:tc>
          <w:tcPr>
            <w:tcW w:w="551" w:type="pct"/>
            <w:gridSpan w:val="3"/>
            <w:vMerge/>
            <w:noWrap/>
            <w:vAlign w:val="center"/>
          </w:tcPr>
          <w:p w:rsidR="00E464D2" w:rsidRDefault="00E464D2">
            <w:pPr>
              <w:widowControl/>
              <w:jc w:val="left"/>
              <w:rPr>
                <w:rFonts w:ascii="宋体" w:hAnsi="宋体" w:cs="宋体"/>
                <w:kern w:val="0"/>
                <w:sz w:val="18"/>
                <w:szCs w:val="18"/>
              </w:rPr>
            </w:pPr>
          </w:p>
        </w:tc>
      </w:tr>
      <w:tr w:rsidR="00E464D2">
        <w:trPr>
          <w:cantSplit/>
          <w:trHeight w:val="567"/>
        </w:trPr>
        <w:tc>
          <w:tcPr>
            <w:tcW w:w="1177" w:type="pct"/>
            <w:gridSpan w:val="3"/>
            <w:vMerge/>
            <w:noWrap/>
            <w:vAlign w:val="center"/>
          </w:tcPr>
          <w:p w:rsidR="00E464D2" w:rsidRDefault="00E464D2">
            <w:pPr>
              <w:widowControl/>
              <w:jc w:val="left"/>
              <w:rPr>
                <w:rFonts w:ascii="宋体" w:hAnsi="宋体" w:cs="宋体"/>
                <w:kern w:val="0"/>
                <w:sz w:val="18"/>
                <w:szCs w:val="18"/>
              </w:rPr>
            </w:pPr>
          </w:p>
        </w:tc>
        <w:tc>
          <w:tcPr>
            <w:tcW w:w="637"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项目支出</w:t>
            </w:r>
          </w:p>
        </w:tc>
        <w:tc>
          <w:tcPr>
            <w:tcW w:w="715" w:type="pct"/>
            <w:noWrap/>
            <w:vAlign w:val="center"/>
          </w:tcPr>
          <w:p w:rsidR="00E464D2" w:rsidRDefault="00B9443A">
            <w:pPr>
              <w:widowControl/>
              <w:adjustRightInd w:val="0"/>
              <w:snapToGrid w:val="0"/>
              <w:jc w:val="right"/>
              <w:rPr>
                <w:rFonts w:ascii="宋体" w:hAnsi="宋体" w:cs="宋体"/>
                <w:kern w:val="0"/>
                <w:sz w:val="18"/>
                <w:szCs w:val="18"/>
              </w:rPr>
            </w:pPr>
            <w:r>
              <w:rPr>
                <w:rFonts w:ascii="宋体" w:hAnsi="宋体" w:cs="宋体"/>
                <w:kern w:val="0"/>
                <w:sz w:val="18"/>
                <w:szCs w:val="18"/>
              </w:rPr>
              <w:t>99,772.22</w:t>
            </w:r>
          </w:p>
        </w:tc>
        <w:tc>
          <w:tcPr>
            <w:tcW w:w="715" w:type="pct"/>
            <w:gridSpan w:val="3"/>
            <w:noWrap/>
            <w:vAlign w:val="center"/>
          </w:tcPr>
          <w:p w:rsidR="00E464D2" w:rsidRDefault="00B9443A">
            <w:pPr>
              <w:widowControl/>
              <w:jc w:val="right"/>
              <w:rPr>
                <w:rFonts w:ascii="宋体" w:hAnsi="宋体" w:cs="宋体"/>
                <w:kern w:val="0"/>
                <w:sz w:val="18"/>
                <w:szCs w:val="18"/>
              </w:rPr>
            </w:pPr>
            <w:r>
              <w:rPr>
                <w:rFonts w:ascii="宋体" w:hAnsi="宋体" w:cs="宋体"/>
                <w:kern w:val="0"/>
                <w:sz w:val="18"/>
                <w:szCs w:val="18"/>
              </w:rPr>
              <w:t>73,058.22</w:t>
            </w:r>
          </w:p>
        </w:tc>
        <w:tc>
          <w:tcPr>
            <w:tcW w:w="715" w:type="pct"/>
            <w:gridSpan w:val="3"/>
            <w:vMerge/>
            <w:noWrap/>
            <w:vAlign w:val="center"/>
          </w:tcPr>
          <w:p w:rsidR="00E464D2" w:rsidRDefault="00E464D2">
            <w:pPr>
              <w:widowControl/>
              <w:jc w:val="left"/>
              <w:rPr>
                <w:rFonts w:ascii="宋体" w:hAnsi="宋体" w:cs="宋体"/>
                <w:kern w:val="0"/>
                <w:sz w:val="18"/>
                <w:szCs w:val="18"/>
              </w:rPr>
            </w:pPr>
          </w:p>
        </w:tc>
        <w:tc>
          <w:tcPr>
            <w:tcW w:w="488" w:type="pct"/>
            <w:gridSpan w:val="3"/>
            <w:vMerge/>
            <w:noWrap/>
            <w:vAlign w:val="center"/>
          </w:tcPr>
          <w:p w:rsidR="00E464D2" w:rsidRDefault="00E464D2">
            <w:pPr>
              <w:widowControl/>
              <w:jc w:val="left"/>
              <w:rPr>
                <w:rFonts w:ascii="宋体" w:hAnsi="宋体" w:cs="宋体"/>
                <w:kern w:val="0"/>
                <w:sz w:val="18"/>
                <w:szCs w:val="18"/>
              </w:rPr>
            </w:pPr>
          </w:p>
        </w:tc>
        <w:tc>
          <w:tcPr>
            <w:tcW w:w="551" w:type="pct"/>
            <w:gridSpan w:val="3"/>
            <w:vMerge/>
            <w:noWrap/>
            <w:vAlign w:val="center"/>
          </w:tcPr>
          <w:p w:rsidR="00E464D2" w:rsidRDefault="00E464D2">
            <w:pPr>
              <w:widowControl/>
              <w:jc w:val="left"/>
              <w:rPr>
                <w:rFonts w:ascii="宋体" w:hAnsi="宋体" w:cs="宋体"/>
                <w:kern w:val="0"/>
                <w:sz w:val="18"/>
                <w:szCs w:val="18"/>
              </w:rPr>
            </w:pPr>
          </w:p>
        </w:tc>
      </w:tr>
      <w:tr w:rsidR="00E464D2">
        <w:trPr>
          <w:cantSplit/>
          <w:trHeight w:val="567"/>
        </w:trPr>
        <w:tc>
          <w:tcPr>
            <w:tcW w:w="1177" w:type="pct"/>
            <w:gridSpan w:val="3"/>
            <w:vMerge/>
            <w:noWrap/>
            <w:vAlign w:val="center"/>
          </w:tcPr>
          <w:p w:rsidR="00E464D2" w:rsidRDefault="00E464D2">
            <w:pPr>
              <w:widowControl/>
              <w:jc w:val="left"/>
              <w:rPr>
                <w:rFonts w:ascii="宋体" w:hAnsi="宋体" w:cs="宋体"/>
                <w:kern w:val="0"/>
                <w:sz w:val="18"/>
                <w:szCs w:val="18"/>
              </w:rPr>
            </w:pPr>
          </w:p>
        </w:tc>
        <w:tc>
          <w:tcPr>
            <w:tcW w:w="637"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其他</w:t>
            </w:r>
          </w:p>
        </w:tc>
        <w:tc>
          <w:tcPr>
            <w:tcW w:w="715" w:type="pct"/>
            <w:noWrap/>
            <w:vAlign w:val="center"/>
          </w:tcPr>
          <w:p w:rsidR="00E464D2" w:rsidRDefault="00B9443A">
            <w:pPr>
              <w:widowControl/>
              <w:jc w:val="right"/>
              <w:rPr>
                <w:rFonts w:ascii="宋体" w:hAnsi="宋体" w:cs="宋体"/>
                <w:kern w:val="0"/>
                <w:sz w:val="18"/>
                <w:szCs w:val="18"/>
              </w:rPr>
            </w:pPr>
            <w:r>
              <w:rPr>
                <w:rFonts w:ascii="宋体" w:hAnsi="宋体" w:cs="宋体" w:hint="eastAsia"/>
                <w:kern w:val="0"/>
                <w:sz w:val="18"/>
                <w:szCs w:val="18"/>
              </w:rPr>
              <w:t xml:space="preserve">　0.00</w:t>
            </w:r>
          </w:p>
        </w:tc>
        <w:tc>
          <w:tcPr>
            <w:tcW w:w="715" w:type="pct"/>
            <w:gridSpan w:val="3"/>
            <w:noWrap/>
            <w:vAlign w:val="center"/>
          </w:tcPr>
          <w:p w:rsidR="00E464D2" w:rsidRDefault="00B9443A">
            <w:pPr>
              <w:widowControl/>
              <w:jc w:val="right"/>
              <w:rPr>
                <w:rFonts w:ascii="宋体" w:hAnsi="宋体" w:cs="宋体"/>
                <w:kern w:val="0"/>
                <w:sz w:val="18"/>
                <w:szCs w:val="18"/>
              </w:rPr>
            </w:pPr>
            <w:r>
              <w:rPr>
                <w:rFonts w:ascii="宋体" w:hAnsi="宋体" w:cs="宋体" w:hint="eastAsia"/>
                <w:kern w:val="0"/>
                <w:sz w:val="18"/>
                <w:szCs w:val="18"/>
              </w:rPr>
              <w:t xml:space="preserve">　0.00</w:t>
            </w:r>
          </w:p>
        </w:tc>
        <w:tc>
          <w:tcPr>
            <w:tcW w:w="715" w:type="pct"/>
            <w:gridSpan w:val="3"/>
            <w:vMerge/>
            <w:noWrap/>
            <w:vAlign w:val="center"/>
          </w:tcPr>
          <w:p w:rsidR="00E464D2" w:rsidRDefault="00E464D2">
            <w:pPr>
              <w:widowControl/>
              <w:jc w:val="left"/>
              <w:rPr>
                <w:rFonts w:ascii="宋体" w:hAnsi="宋体" w:cs="宋体"/>
                <w:kern w:val="0"/>
                <w:sz w:val="18"/>
                <w:szCs w:val="18"/>
              </w:rPr>
            </w:pPr>
          </w:p>
        </w:tc>
        <w:tc>
          <w:tcPr>
            <w:tcW w:w="488" w:type="pct"/>
            <w:gridSpan w:val="3"/>
            <w:vMerge/>
            <w:noWrap/>
            <w:vAlign w:val="center"/>
          </w:tcPr>
          <w:p w:rsidR="00E464D2" w:rsidRDefault="00E464D2">
            <w:pPr>
              <w:widowControl/>
              <w:jc w:val="left"/>
              <w:rPr>
                <w:rFonts w:ascii="宋体" w:hAnsi="宋体" w:cs="宋体"/>
                <w:kern w:val="0"/>
                <w:sz w:val="18"/>
                <w:szCs w:val="18"/>
              </w:rPr>
            </w:pPr>
          </w:p>
        </w:tc>
        <w:tc>
          <w:tcPr>
            <w:tcW w:w="551" w:type="pct"/>
            <w:gridSpan w:val="3"/>
            <w:vMerge/>
            <w:noWrap/>
            <w:vAlign w:val="center"/>
          </w:tcPr>
          <w:p w:rsidR="00E464D2" w:rsidRDefault="00E464D2">
            <w:pPr>
              <w:widowControl/>
              <w:jc w:val="left"/>
              <w:rPr>
                <w:rFonts w:ascii="宋体" w:hAnsi="宋体" w:cs="宋体"/>
                <w:kern w:val="0"/>
                <w:sz w:val="18"/>
                <w:szCs w:val="18"/>
              </w:rPr>
            </w:pPr>
          </w:p>
        </w:tc>
      </w:tr>
      <w:tr w:rsidR="00E464D2">
        <w:trPr>
          <w:cantSplit/>
          <w:trHeight w:val="567"/>
        </w:trPr>
        <w:tc>
          <w:tcPr>
            <w:tcW w:w="5000" w:type="pct"/>
            <w:gridSpan w:val="19"/>
            <w:noWrap/>
            <w:vAlign w:val="center"/>
          </w:tcPr>
          <w:p w:rsidR="00E464D2" w:rsidRDefault="00B9443A">
            <w:pPr>
              <w:widowControl/>
              <w:jc w:val="left"/>
              <w:rPr>
                <w:rFonts w:ascii="宋体" w:hAnsi="宋体" w:cs="宋体"/>
                <w:kern w:val="0"/>
                <w:sz w:val="20"/>
                <w:szCs w:val="20"/>
              </w:rPr>
            </w:pPr>
            <w:r>
              <w:rPr>
                <w:rFonts w:ascii="宋体" w:hAnsi="宋体" w:cs="宋体" w:hint="eastAsia"/>
                <w:kern w:val="0"/>
                <w:sz w:val="20"/>
                <w:szCs w:val="20"/>
              </w:rPr>
              <w:t>二</w:t>
            </w:r>
            <w:r>
              <w:rPr>
                <w:rFonts w:ascii="宋体" w:hAnsi="宋体" w:cs="宋体"/>
                <w:kern w:val="0"/>
                <w:sz w:val="20"/>
                <w:szCs w:val="20"/>
              </w:rPr>
              <w:t>、</w:t>
            </w:r>
            <w:r>
              <w:rPr>
                <w:rFonts w:ascii="宋体" w:hAnsi="宋体" w:cs="宋体" w:hint="eastAsia"/>
                <w:kern w:val="0"/>
                <w:sz w:val="20"/>
                <w:szCs w:val="20"/>
              </w:rPr>
              <w:t>整体绩效目标实现情况（60分）</w:t>
            </w:r>
          </w:p>
        </w:tc>
      </w:tr>
      <w:tr w:rsidR="00E464D2">
        <w:trPr>
          <w:cantSplit/>
          <w:trHeight w:val="567"/>
        </w:trPr>
        <w:tc>
          <w:tcPr>
            <w:tcW w:w="904" w:type="pct"/>
            <w:gridSpan w:val="2"/>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一</w:t>
            </w:r>
            <w:r>
              <w:rPr>
                <w:rFonts w:ascii="宋体" w:hAnsi="宋体" w:cs="宋体"/>
                <w:kern w:val="0"/>
                <w:sz w:val="18"/>
                <w:szCs w:val="18"/>
              </w:rPr>
              <w:t>级指标</w:t>
            </w:r>
          </w:p>
        </w:tc>
        <w:tc>
          <w:tcPr>
            <w:tcW w:w="608" w:type="pct"/>
            <w:gridSpan w:val="2"/>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二</w:t>
            </w:r>
            <w:r>
              <w:rPr>
                <w:rFonts w:ascii="宋体" w:hAnsi="宋体" w:cs="宋体"/>
                <w:kern w:val="0"/>
                <w:sz w:val="18"/>
                <w:szCs w:val="18"/>
              </w:rPr>
              <w:t>级指标</w:t>
            </w:r>
            <w:r>
              <w:rPr>
                <w:rFonts w:ascii="宋体" w:hAnsi="宋体" w:cs="宋体" w:hint="eastAsia"/>
                <w:kern w:val="0"/>
                <w:sz w:val="18"/>
                <w:szCs w:val="18"/>
              </w:rPr>
              <w:t xml:space="preserve">　</w:t>
            </w:r>
          </w:p>
        </w:tc>
        <w:tc>
          <w:tcPr>
            <w:tcW w:w="1498" w:type="pct"/>
            <w:gridSpan w:val="5"/>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三</w:t>
            </w:r>
            <w:r>
              <w:rPr>
                <w:rFonts w:ascii="宋体" w:hAnsi="宋体" w:cs="宋体"/>
                <w:kern w:val="0"/>
                <w:sz w:val="18"/>
                <w:szCs w:val="18"/>
              </w:rPr>
              <w:t>级指标</w:t>
            </w:r>
            <w:r>
              <w:rPr>
                <w:rFonts w:ascii="宋体" w:hAnsi="宋体" w:cs="宋体" w:hint="eastAsia"/>
                <w:kern w:val="0"/>
                <w:sz w:val="18"/>
                <w:szCs w:val="18"/>
              </w:rPr>
              <w:t xml:space="preserve">　</w:t>
            </w:r>
          </w:p>
        </w:tc>
        <w:tc>
          <w:tcPr>
            <w:tcW w:w="612"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指标值</w:t>
            </w:r>
          </w:p>
        </w:tc>
        <w:tc>
          <w:tcPr>
            <w:tcW w:w="501"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完成值</w:t>
            </w:r>
          </w:p>
        </w:tc>
        <w:tc>
          <w:tcPr>
            <w:tcW w:w="430"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分值</w:t>
            </w:r>
          </w:p>
        </w:tc>
        <w:tc>
          <w:tcPr>
            <w:tcW w:w="444" w:type="pct"/>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得分</w:t>
            </w:r>
          </w:p>
        </w:tc>
      </w:tr>
      <w:tr w:rsidR="00E464D2">
        <w:trPr>
          <w:cantSplit/>
          <w:trHeight w:val="567"/>
        </w:trPr>
        <w:tc>
          <w:tcPr>
            <w:tcW w:w="904" w:type="pct"/>
            <w:gridSpan w:val="2"/>
            <w:vMerge w:val="restart"/>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整体绩效目标实现情况</w:t>
            </w:r>
          </w:p>
          <w:p w:rsidR="00E464D2" w:rsidRDefault="00B9443A">
            <w:pPr>
              <w:widowControl/>
              <w:jc w:val="center"/>
              <w:rPr>
                <w:rFonts w:ascii="宋体" w:hAnsi="宋体" w:cs="宋体"/>
                <w:kern w:val="0"/>
                <w:sz w:val="18"/>
                <w:szCs w:val="18"/>
              </w:rPr>
            </w:pPr>
            <w:r>
              <w:rPr>
                <w:rFonts w:ascii="宋体" w:hAnsi="宋体" w:cs="宋体" w:hint="eastAsia"/>
                <w:kern w:val="0"/>
                <w:sz w:val="18"/>
                <w:szCs w:val="18"/>
              </w:rPr>
              <w:t>（60）</w:t>
            </w:r>
          </w:p>
        </w:tc>
        <w:tc>
          <w:tcPr>
            <w:tcW w:w="608" w:type="pct"/>
            <w:gridSpan w:val="2"/>
            <w:vMerge w:val="restart"/>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产出（30）</w:t>
            </w:r>
          </w:p>
        </w:tc>
        <w:tc>
          <w:tcPr>
            <w:tcW w:w="1498" w:type="pct"/>
            <w:gridSpan w:val="5"/>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开展例行督察工作</w:t>
            </w:r>
          </w:p>
        </w:tc>
        <w:tc>
          <w:tcPr>
            <w:tcW w:w="612" w:type="pct"/>
            <w:gridSpan w:val="3"/>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4次</w:t>
            </w:r>
          </w:p>
        </w:tc>
        <w:tc>
          <w:tcPr>
            <w:tcW w:w="501" w:type="pct"/>
            <w:gridSpan w:val="3"/>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4次</w:t>
            </w:r>
          </w:p>
        </w:tc>
        <w:tc>
          <w:tcPr>
            <w:tcW w:w="430" w:type="pct"/>
            <w:gridSpan w:val="3"/>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5</w:t>
            </w:r>
          </w:p>
        </w:tc>
        <w:tc>
          <w:tcPr>
            <w:tcW w:w="444" w:type="pct"/>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 xml:space="preserve">5　</w:t>
            </w:r>
          </w:p>
        </w:tc>
      </w:tr>
      <w:tr w:rsidR="00E464D2">
        <w:trPr>
          <w:cantSplit/>
          <w:trHeight w:val="567"/>
        </w:trPr>
        <w:tc>
          <w:tcPr>
            <w:tcW w:w="904" w:type="pct"/>
            <w:gridSpan w:val="2"/>
            <w:vMerge/>
            <w:noWrap/>
            <w:vAlign w:val="center"/>
          </w:tcPr>
          <w:p w:rsidR="00E464D2" w:rsidRDefault="00E464D2">
            <w:pPr>
              <w:widowControl/>
              <w:jc w:val="center"/>
              <w:rPr>
                <w:rFonts w:ascii="宋体" w:hAnsi="宋体" w:cs="宋体"/>
                <w:kern w:val="0"/>
                <w:sz w:val="18"/>
                <w:szCs w:val="18"/>
              </w:rPr>
            </w:pPr>
          </w:p>
        </w:tc>
        <w:tc>
          <w:tcPr>
            <w:tcW w:w="608" w:type="pct"/>
            <w:gridSpan w:val="2"/>
            <w:vMerge/>
            <w:noWrap/>
            <w:vAlign w:val="center"/>
          </w:tcPr>
          <w:p w:rsidR="00E464D2" w:rsidRDefault="00E464D2">
            <w:pPr>
              <w:jc w:val="center"/>
              <w:rPr>
                <w:rFonts w:ascii="宋体" w:hAnsi="宋体" w:cs="宋体"/>
                <w:kern w:val="0"/>
                <w:sz w:val="18"/>
                <w:szCs w:val="18"/>
              </w:rPr>
            </w:pPr>
          </w:p>
        </w:tc>
        <w:tc>
          <w:tcPr>
            <w:tcW w:w="1498" w:type="pct"/>
            <w:gridSpan w:val="5"/>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支持符合北京市先进低碳技术应用要求的项目</w:t>
            </w:r>
          </w:p>
        </w:tc>
        <w:tc>
          <w:tcPr>
            <w:tcW w:w="612" w:type="pct"/>
            <w:gridSpan w:val="3"/>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5个</w:t>
            </w:r>
          </w:p>
        </w:tc>
        <w:tc>
          <w:tcPr>
            <w:tcW w:w="501" w:type="pct"/>
            <w:gridSpan w:val="3"/>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13个</w:t>
            </w:r>
          </w:p>
        </w:tc>
        <w:tc>
          <w:tcPr>
            <w:tcW w:w="430" w:type="pct"/>
            <w:gridSpan w:val="3"/>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5</w:t>
            </w:r>
          </w:p>
        </w:tc>
        <w:tc>
          <w:tcPr>
            <w:tcW w:w="444" w:type="pct"/>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5</w:t>
            </w:r>
          </w:p>
        </w:tc>
      </w:tr>
      <w:tr w:rsidR="00E464D2">
        <w:trPr>
          <w:cantSplit/>
          <w:trHeight w:val="567"/>
        </w:trPr>
        <w:tc>
          <w:tcPr>
            <w:tcW w:w="904" w:type="pct"/>
            <w:gridSpan w:val="2"/>
            <w:vMerge/>
            <w:noWrap/>
            <w:vAlign w:val="center"/>
          </w:tcPr>
          <w:p w:rsidR="00E464D2" w:rsidRDefault="00E464D2">
            <w:pPr>
              <w:widowControl/>
              <w:jc w:val="center"/>
              <w:rPr>
                <w:rFonts w:ascii="宋体" w:hAnsi="宋体" w:cs="宋体"/>
                <w:kern w:val="0"/>
                <w:sz w:val="18"/>
                <w:szCs w:val="18"/>
              </w:rPr>
            </w:pPr>
          </w:p>
        </w:tc>
        <w:tc>
          <w:tcPr>
            <w:tcW w:w="608" w:type="pct"/>
            <w:gridSpan w:val="2"/>
            <w:vMerge/>
            <w:noWrap/>
            <w:vAlign w:val="center"/>
          </w:tcPr>
          <w:p w:rsidR="00E464D2" w:rsidRDefault="00E464D2">
            <w:pPr>
              <w:jc w:val="center"/>
              <w:rPr>
                <w:rFonts w:ascii="宋体" w:hAnsi="宋体" w:cs="宋体"/>
                <w:kern w:val="0"/>
                <w:sz w:val="18"/>
                <w:szCs w:val="18"/>
              </w:rPr>
            </w:pPr>
          </w:p>
        </w:tc>
        <w:tc>
          <w:tcPr>
            <w:tcW w:w="1498" w:type="pct"/>
            <w:gridSpan w:val="5"/>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组织市级单独检查和市区交叉检查专项行动</w:t>
            </w:r>
          </w:p>
        </w:tc>
        <w:tc>
          <w:tcPr>
            <w:tcW w:w="612" w:type="pct"/>
            <w:gridSpan w:val="3"/>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4次</w:t>
            </w:r>
          </w:p>
        </w:tc>
        <w:tc>
          <w:tcPr>
            <w:tcW w:w="501" w:type="pct"/>
            <w:gridSpan w:val="3"/>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4次</w:t>
            </w:r>
          </w:p>
        </w:tc>
        <w:tc>
          <w:tcPr>
            <w:tcW w:w="430" w:type="pct"/>
            <w:gridSpan w:val="3"/>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5</w:t>
            </w:r>
          </w:p>
        </w:tc>
        <w:tc>
          <w:tcPr>
            <w:tcW w:w="444" w:type="pct"/>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5</w:t>
            </w:r>
          </w:p>
        </w:tc>
      </w:tr>
      <w:tr w:rsidR="00E464D2">
        <w:trPr>
          <w:cantSplit/>
          <w:trHeight w:val="567"/>
        </w:trPr>
        <w:tc>
          <w:tcPr>
            <w:tcW w:w="904" w:type="pct"/>
            <w:gridSpan w:val="2"/>
            <w:vMerge/>
            <w:noWrap/>
            <w:vAlign w:val="center"/>
          </w:tcPr>
          <w:p w:rsidR="00E464D2" w:rsidRDefault="00E464D2">
            <w:pPr>
              <w:widowControl/>
              <w:jc w:val="center"/>
              <w:rPr>
                <w:rFonts w:ascii="宋体" w:hAnsi="宋体" w:cs="宋体"/>
                <w:kern w:val="0"/>
                <w:sz w:val="18"/>
                <w:szCs w:val="18"/>
              </w:rPr>
            </w:pPr>
          </w:p>
        </w:tc>
        <w:tc>
          <w:tcPr>
            <w:tcW w:w="608" w:type="pct"/>
            <w:gridSpan w:val="2"/>
            <w:vMerge/>
            <w:noWrap/>
            <w:vAlign w:val="center"/>
          </w:tcPr>
          <w:p w:rsidR="00E464D2" w:rsidRDefault="00E464D2">
            <w:pPr>
              <w:jc w:val="center"/>
              <w:rPr>
                <w:rFonts w:ascii="宋体" w:hAnsi="宋体" w:cs="宋体"/>
                <w:kern w:val="0"/>
                <w:sz w:val="18"/>
                <w:szCs w:val="18"/>
              </w:rPr>
            </w:pPr>
          </w:p>
        </w:tc>
        <w:tc>
          <w:tcPr>
            <w:tcW w:w="1498" w:type="pct"/>
            <w:gridSpan w:val="5"/>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信访投诉信件采集率</w:t>
            </w:r>
          </w:p>
        </w:tc>
        <w:tc>
          <w:tcPr>
            <w:tcW w:w="612" w:type="pct"/>
            <w:gridSpan w:val="3"/>
            <w:noWrap/>
            <w:vAlign w:val="center"/>
          </w:tcPr>
          <w:p w:rsidR="00E464D2" w:rsidRDefault="00B9443A">
            <w:pPr>
              <w:jc w:val="center"/>
              <w:rPr>
                <w:rFonts w:ascii="宋体" w:hAnsi="宋体" w:cs="宋体"/>
                <w:kern w:val="0"/>
                <w:sz w:val="18"/>
                <w:szCs w:val="18"/>
              </w:rPr>
            </w:pPr>
            <w:bookmarkStart w:id="96" w:name="OLE_LINK5"/>
            <w:r>
              <w:rPr>
                <w:rFonts w:ascii="宋体" w:hAnsi="宋体" w:cs="宋体" w:hint="eastAsia"/>
                <w:kern w:val="0"/>
                <w:sz w:val="18"/>
                <w:szCs w:val="18"/>
              </w:rPr>
              <w:t>≥95%</w:t>
            </w:r>
            <w:bookmarkEnd w:id="96"/>
          </w:p>
        </w:tc>
        <w:tc>
          <w:tcPr>
            <w:tcW w:w="501" w:type="pct"/>
            <w:gridSpan w:val="3"/>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≥95%</w:t>
            </w:r>
          </w:p>
        </w:tc>
        <w:tc>
          <w:tcPr>
            <w:tcW w:w="430" w:type="pct"/>
            <w:gridSpan w:val="3"/>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5</w:t>
            </w:r>
          </w:p>
        </w:tc>
        <w:tc>
          <w:tcPr>
            <w:tcW w:w="444" w:type="pct"/>
            <w:noWrap/>
            <w:vAlign w:val="center"/>
          </w:tcPr>
          <w:p w:rsidR="00E464D2" w:rsidRDefault="00B9443A">
            <w:pPr>
              <w:jc w:val="center"/>
              <w:rPr>
                <w:rFonts w:ascii="宋体" w:hAnsi="宋体" w:cs="宋体"/>
                <w:kern w:val="0"/>
                <w:sz w:val="18"/>
                <w:szCs w:val="18"/>
              </w:rPr>
            </w:pPr>
            <w:r>
              <w:rPr>
                <w:rFonts w:ascii="宋体" w:hAnsi="宋体" w:cs="宋体" w:hint="eastAsia"/>
                <w:kern w:val="0"/>
                <w:sz w:val="18"/>
                <w:szCs w:val="18"/>
              </w:rPr>
              <w:t>5</w:t>
            </w:r>
          </w:p>
        </w:tc>
      </w:tr>
      <w:tr w:rsidR="00E464D2">
        <w:trPr>
          <w:cantSplit/>
          <w:trHeight w:val="567"/>
        </w:trPr>
        <w:tc>
          <w:tcPr>
            <w:tcW w:w="904" w:type="pct"/>
            <w:gridSpan w:val="2"/>
            <w:vMerge/>
            <w:noWrap/>
            <w:vAlign w:val="center"/>
          </w:tcPr>
          <w:p w:rsidR="00E464D2" w:rsidRDefault="00E464D2">
            <w:pPr>
              <w:widowControl/>
              <w:jc w:val="left"/>
              <w:rPr>
                <w:rFonts w:ascii="宋体" w:hAnsi="宋体" w:cs="宋体"/>
                <w:kern w:val="0"/>
                <w:sz w:val="18"/>
                <w:szCs w:val="18"/>
              </w:rPr>
            </w:pPr>
          </w:p>
        </w:tc>
        <w:tc>
          <w:tcPr>
            <w:tcW w:w="608" w:type="pct"/>
            <w:gridSpan w:val="2"/>
            <w:vMerge/>
            <w:noWrap/>
            <w:vAlign w:val="center"/>
          </w:tcPr>
          <w:p w:rsidR="00E464D2" w:rsidRDefault="00E464D2">
            <w:pPr>
              <w:widowControl/>
              <w:jc w:val="left"/>
              <w:rPr>
                <w:rFonts w:ascii="宋体" w:hAnsi="宋体" w:cs="宋体"/>
                <w:kern w:val="0"/>
                <w:sz w:val="18"/>
                <w:szCs w:val="18"/>
              </w:rPr>
            </w:pPr>
          </w:p>
        </w:tc>
        <w:tc>
          <w:tcPr>
            <w:tcW w:w="1498" w:type="pct"/>
            <w:gridSpan w:val="5"/>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生态环境质量进一步改善</w:t>
            </w:r>
          </w:p>
        </w:tc>
        <w:tc>
          <w:tcPr>
            <w:tcW w:w="612"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优良中低差</w:t>
            </w:r>
          </w:p>
        </w:tc>
        <w:tc>
          <w:tcPr>
            <w:tcW w:w="501"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优</w:t>
            </w:r>
          </w:p>
        </w:tc>
        <w:tc>
          <w:tcPr>
            <w:tcW w:w="430"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10</w:t>
            </w:r>
          </w:p>
        </w:tc>
        <w:tc>
          <w:tcPr>
            <w:tcW w:w="444" w:type="pct"/>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 xml:space="preserve">10　</w:t>
            </w:r>
          </w:p>
        </w:tc>
      </w:tr>
      <w:tr w:rsidR="00E464D2">
        <w:trPr>
          <w:cantSplit/>
          <w:trHeight w:val="567"/>
        </w:trPr>
        <w:tc>
          <w:tcPr>
            <w:tcW w:w="904" w:type="pct"/>
            <w:gridSpan w:val="2"/>
            <w:vMerge w:val="restart"/>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lastRenderedPageBreak/>
              <w:t>续上页</w:t>
            </w:r>
          </w:p>
        </w:tc>
        <w:tc>
          <w:tcPr>
            <w:tcW w:w="608" w:type="pct"/>
            <w:gridSpan w:val="2"/>
            <w:vMerge w:val="restart"/>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效果（30）</w:t>
            </w:r>
          </w:p>
        </w:tc>
        <w:tc>
          <w:tcPr>
            <w:tcW w:w="1498" w:type="pct"/>
            <w:gridSpan w:val="5"/>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生态文明建设整治责任进一步压实</w:t>
            </w:r>
          </w:p>
        </w:tc>
        <w:tc>
          <w:tcPr>
            <w:tcW w:w="612"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优良中低差</w:t>
            </w:r>
          </w:p>
        </w:tc>
        <w:tc>
          <w:tcPr>
            <w:tcW w:w="501"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优</w:t>
            </w:r>
          </w:p>
        </w:tc>
        <w:tc>
          <w:tcPr>
            <w:tcW w:w="430"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10</w:t>
            </w:r>
          </w:p>
        </w:tc>
        <w:tc>
          <w:tcPr>
            <w:tcW w:w="444" w:type="pct"/>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 xml:space="preserve">9.8　</w:t>
            </w:r>
          </w:p>
        </w:tc>
      </w:tr>
      <w:tr w:rsidR="00E464D2">
        <w:trPr>
          <w:cantSplit/>
          <w:trHeight w:val="567"/>
        </w:trPr>
        <w:tc>
          <w:tcPr>
            <w:tcW w:w="904" w:type="pct"/>
            <w:gridSpan w:val="2"/>
            <w:vMerge/>
            <w:noWrap/>
            <w:vAlign w:val="center"/>
          </w:tcPr>
          <w:p w:rsidR="00E464D2" w:rsidRDefault="00E464D2">
            <w:pPr>
              <w:widowControl/>
              <w:jc w:val="left"/>
              <w:rPr>
                <w:rFonts w:ascii="宋体" w:hAnsi="宋体" w:cs="宋体"/>
                <w:kern w:val="0"/>
                <w:sz w:val="18"/>
                <w:szCs w:val="18"/>
              </w:rPr>
            </w:pPr>
          </w:p>
        </w:tc>
        <w:tc>
          <w:tcPr>
            <w:tcW w:w="608" w:type="pct"/>
            <w:gridSpan w:val="2"/>
            <w:vMerge/>
            <w:noWrap/>
            <w:vAlign w:val="center"/>
          </w:tcPr>
          <w:p w:rsidR="00E464D2" w:rsidRDefault="00E464D2">
            <w:pPr>
              <w:widowControl/>
              <w:jc w:val="left"/>
              <w:rPr>
                <w:rFonts w:ascii="宋体" w:hAnsi="宋体" w:cs="宋体"/>
                <w:kern w:val="0"/>
                <w:sz w:val="18"/>
                <w:szCs w:val="18"/>
              </w:rPr>
            </w:pPr>
          </w:p>
        </w:tc>
        <w:tc>
          <w:tcPr>
            <w:tcW w:w="1498" w:type="pct"/>
            <w:gridSpan w:val="5"/>
            <w:noWrap/>
            <w:vAlign w:val="center"/>
          </w:tcPr>
          <w:p w:rsidR="00E464D2" w:rsidRDefault="00B9443A">
            <w:pPr>
              <w:widowControl/>
              <w:jc w:val="center"/>
              <w:rPr>
                <w:rFonts w:ascii="宋体" w:hAnsi="宋体" w:cs="宋体"/>
                <w:kern w:val="0"/>
                <w:sz w:val="18"/>
                <w:szCs w:val="18"/>
              </w:rPr>
            </w:pPr>
            <w:r>
              <w:rPr>
                <w:rFonts w:ascii="宋体" w:hAnsi="宋体" w:cs="宋体" w:hint="eastAsia"/>
                <w:sz w:val="18"/>
                <w:szCs w:val="18"/>
              </w:rPr>
              <w:t>绿色高质量发展和生态保护工作进一步加强</w:t>
            </w:r>
          </w:p>
        </w:tc>
        <w:tc>
          <w:tcPr>
            <w:tcW w:w="612"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优良中低差</w:t>
            </w:r>
          </w:p>
        </w:tc>
        <w:tc>
          <w:tcPr>
            <w:tcW w:w="501"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优</w:t>
            </w:r>
          </w:p>
        </w:tc>
        <w:tc>
          <w:tcPr>
            <w:tcW w:w="430"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10</w:t>
            </w:r>
          </w:p>
        </w:tc>
        <w:tc>
          <w:tcPr>
            <w:tcW w:w="444" w:type="pct"/>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9.5</w:t>
            </w:r>
          </w:p>
        </w:tc>
      </w:tr>
      <w:tr w:rsidR="00E464D2">
        <w:trPr>
          <w:cantSplit/>
          <w:trHeight w:val="567"/>
        </w:trPr>
        <w:tc>
          <w:tcPr>
            <w:tcW w:w="904" w:type="pct"/>
            <w:gridSpan w:val="2"/>
            <w:vMerge/>
            <w:noWrap/>
            <w:vAlign w:val="center"/>
          </w:tcPr>
          <w:p w:rsidR="00E464D2" w:rsidRDefault="00E464D2">
            <w:pPr>
              <w:widowControl/>
              <w:jc w:val="left"/>
              <w:rPr>
                <w:rFonts w:ascii="宋体" w:hAnsi="宋体" w:cs="宋体"/>
                <w:kern w:val="0"/>
                <w:sz w:val="18"/>
                <w:szCs w:val="18"/>
              </w:rPr>
            </w:pPr>
          </w:p>
        </w:tc>
        <w:tc>
          <w:tcPr>
            <w:tcW w:w="608" w:type="pct"/>
            <w:gridSpan w:val="2"/>
            <w:vMerge/>
            <w:noWrap/>
            <w:vAlign w:val="center"/>
          </w:tcPr>
          <w:p w:rsidR="00E464D2" w:rsidRDefault="00E464D2">
            <w:pPr>
              <w:widowControl/>
              <w:jc w:val="left"/>
              <w:rPr>
                <w:rFonts w:ascii="宋体" w:hAnsi="宋体" w:cs="宋体"/>
                <w:kern w:val="0"/>
                <w:sz w:val="18"/>
                <w:szCs w:val="18"/>
              </w:rPr>
            </w:pPr>
          </w:p>
        </w:tc>
        <w:tc>
          <w:tcPr>
            <w:tcW w:w="1498" w:type="pct"/>
            <w:gridSpan w:val="5"/>
            <w:noWrap/>
            <w:vAlign w:val="center"/>
          </w:tcPr>
          <w:p w:rsidR="00E464D2" w:rsidRDefault="00B9443A">
            <w:pPr>
              <w:widowControl/>
              <w:jc w:val="center"/>
              <w:rPr>
                <w:rFonts w:ascii="宋体" w:hAnsi="宋体" w:cs="宋体"/>
                <w:kern w:val="0"/>
                <w:sz w:val="18"/>
                <w:szCs w:val="18"/>
              </w:rPr>
            </w:pPr>
            <w:r>
              <w:rPr>
                <w:rFonts w:ascii="宋体" w:hAnsi="宋体" w:cs="宋体" w:hint="eastAsia"/>
                <w:sz w:val="18"/>
                <w:szCs w:val="18"/>
              </w:rPr>
              <w:t>现代环境治理能力进一步提升</w:t>
            </w:r>
          </w:p>
        </w:tc>
        <w:tc>
          <w:tcPr>
            <w:tcW w:w="612"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 xml:space="preserve">优良中低差　</w:t>
            </w:r>
          </w:p>
        </w:tc>
        <w:tc>
          <w:tcPr>
            <w:tcW w:w="501"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优</w:t>
            </w:r>
          </w:p>
        </w:tc>
        <w:tc>
          <w:tcPr>
            <w:tcW w:w="430"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10</w:t>
            </w:r>
          </w:p>
        </w:tc>
        <w:tc>
          <w:tcPr>
            <w:tcW w:w="444" w:type="pct"/>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 xml:space="preserve">9.8　</w:t>
            </w:r>
          </w:p>
        </w:tc>
      </w:tr>
      <w:tr w:rsidR="00E464D2">
        <w:trPr>
          <w:cantSplit/>
          <w:trHeight w:val="567"/>
        </w:trPr>
        <w:tc>
          <w:tcPr>
            <w:tcW w:w="5000" w:type="pct"/>
            <w:gridSpan w:val="19"/>
            <w:noWrap/>
            <w:vAlign w:val="center"/>
          </w:tcPr>
          <w:p w:rsidR="00E464D2" w:rsidRDefault="00B9443A">
            <w:pPr>
              <w:widowControl/>
              <w:jc w:val="left"/>
              <w:rPr>
                <w:rFonts w:ascii="宋体" w:hAnsi="宋体" w:cs="宋体"/>
                <w:kern w:val="0"/>
                <w:sz w:val="18"/>
                <w:szCs w:val="18"/>
              </w:rPr>
            </w:pPr>
            <w:r>
              <w:rPr>
                <w:rFonts w:ascii="宋体" w:hAnsi="宋体" w:cs="宋体" w:hint="eastAsia"/>
                <w:kern w:val="0"/>
                <w:sz w:val="20"/>
                <w:szCs w:val="20"/>
              </w:rPr>
              <w:t>三</w:t>
            </w:r>
            <w:r>
              <w:rPr>
                <w:rFonts w:ascii="宋体" w:hAnsi="宋体" w:cs="宋体"/>
                <w:kern w:val="0"/>
                <w:sz w:val="20"/>
                <w:szCs w:val="20"/>
              </w:rPr>
              <w:t>、</w:t>
            </w:r>
            <w:r>
              <w:rPr>
                <w:rFonts w:ascii="宋体" w:hAnsi="宋体" w:cs="宋体" w:hint="eastAsia"/>
                <w:kern w:val="0"/>
                <w:sz w:val="20"/>
                <w:szCs w:val="20"/>
              </w:rPr>
              <w:t>预算管理情况（20分）</w:t>
            </w:r>
          </w:p>
        </w:tc>
      </w:tr>
      <w:tr w:rsidR="00E464D2">
        <w:trPr>
          <w:cantSplit/>
          <w:trHeight w:val="567"/>
        </w:trPr>
        <w:tc>
          <w:tcPr>
            <w:tcW w:w="727" w:type="pct"/>
            <w:noWrap/>
            <w:vAlign w:val="center"/>
          </w:tcPr>
          <w:p w:rsidR="00E464D2" w:rsidRDefault="00B9443A">
            <w:pPr>
              <w:widowControl/>
              <w:jc w:val="center"/>
              <w:rPr>
                <w:rFonts w:ascii="宋体" w:hAnsi="宋体" w:cs="宋体"/>
                <w:kern w:val="0"/>
                <w:sz w:val="18"/>
                <w:szCs w:val="18"/>
              </w:rPr>
            </w:pPr>
            <w:bookmarkStart w:id="97" w:name="OLE_LINK7" w:colFirst="1" w:colLast="8"/>
            <w:r>
              <w:rPr>
                <w:rFonts w:ascii="宋体" w:hAnsi="宋体" w:cs="宋体" w:hint="eastAsia"/>
                <w:kern w:val="0"/>
                <w:sz w:val="18"/>
                <w:szCs w:val="18"/>
              </w:rPr>
              <w:t>一</w:t>
            </w:r>
            <w:r>
              <w:rPr>
                <w:rFonts w:ascii="宋体" w:hAnsi="宋体" w:cs="宋体"/>
                <w:kern w:val="0"/>
                <w:sz w:val="18"/>
                <w:szCs w:val="18"/>
              </w:rPr>
              <w:t>级指标</w:t>
            </w:r>
          </w:p>
        </w:tc>
        <w:tc>
          <w:tcPr>
            <w:tcW w:w="1019" w:type="pct"/>
            <w:gridSpan w:val="4"/>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二</w:t>
            </w:r>
            <w:r>
              <w:rPr>
                <w:rFonts w:ascii="宋体" w:hAnsi="宋体" w:cs="宋体"/>
                <w:kern w:val="0"/>
                <w:sz w:val="18"/>
                <w:szCs w:val="18"/>
              </w:rPr>
              <w:t>级指标</w:t>
            </w:r>
          </w:p>
        </w:tc>
        <w:tc>
          <w:tcPr>
            <w:tcW w:w="1056"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三</w:t>
            </w:r>
            <w:r>
              <w:rPr>
                <w:rFonts w:ascii="宋体" w:hAnsi="宋体" w:cs="宋体"/>
                <w:kern w:val="0"/>
                <w:sz w:val="18"/>
                <w:szCs w:val="18"/>
              </w:rPr>
              <w:t>级指标</w:t>
            </w:r>
          </w:p>
        </w:tc>
        <w:tc>
          <w:tcPr>
            <w:tcW w:w="664"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指标</w:t>
            </w:r>
            <w:r>
              <w:rPr>
                <w:rFonts w:ascii="宋体" w:hAnsi="宋体" w:cs="宋体"/>
                <w:kern w:val="0"/>
                <w:sz w:val="18"/>
                <w:szCs w:val="18"/>
              </w:rPr>
              <w:t>值</w:t>
            </w:r>
          </w:p>
        </w:tc>
        <w:tc>
          <w:tcPr>
            <w:tcW w:w="562"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完成</w:t>
            </w:r>
            <w:r>
              <w:rPr>
                <w:rFonts w:ascii="宋体" w:hAnsi="宋体" w:cs="宋体"/>
                <w:kern w:val="0"/>
                <w:sz w:val="18"/>
                <w:szCs w:val="18"/>
              </w:rPr>
              <w:t>值</w:t>
            </w:r>
          </w:p>
        </w:tc>
        <w:tc>
          <w:tcPr>
            <w:tcW w:w="460"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分</w:t>
            </w:r>
            <w:r>
              <w:rPr>
                <w:rFonts w:ascii="宋体" w:hAnsi="宋体" w:cs="宋体"/>
                <w:kern w:val="0"/>
                <w:sz w:val="18"/>
                <w:szCs w:val="18"/>
              </w:rPr>
              <w:t>值</w:t>
            </w:r>
          </w:p>
        </w:tc>
        <w:tc>
          <w:tcPr>
            <w:tcW w:w="509" w:type="pct"/>
            <w:gridSpan w:val="2"/>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得</w:t>
            </w:r>
            <w:r>
              <w:rPr>
                <w:rFonts w:ascii="宋体" w:hAnsi="宋体" w:cs="宋体"/>
                <w:kern w:val="0"/>
                <w:sz w:val="18"/>
                <w:szCs w:val="18"/>
              </w:rPr>
              <w:t>分</w:t>
            </w:r>
          </w:p>
        </w:tc>
      </w:tr>
      <w:bookmarkEnd w:id="97"/>
      <w:tr w:rsidR="00E464D2">
        <w:trPr>
          <w:cantSplit/>
          <w:trHeight w:val="567"/>
        </w:trPr>
        <w:tc>
          <w:tcPr>
            <w:tcW w:w="727" w:type="pct"/>
            <w:vMerge w:val="restart"/>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预算管理情况</w:t>
            </w:r>
          </w:p>
          <w:p w:rsidR="00E464D2" w:rsidRDefault="00B9443A">
            <w:pPr>
              <w:widowControl/>
              <w:jc w:val="center"/>
              <w:rPr>
                <w:rFonts w:ascii="宋体" w:hAnsi="宋体" w:cs="宋体"/>
                <w:kern w:val="0"/>
                <w:sz w:val="18"/>
                <w:szCs w:val="18"/>
              </w:rPr>
            </w:pPr>
            <w:r>
              <w:rPr>
                <w:rFonts w:ascii="宋体" w:hAnsi="宋体" w:cs="宋体" w:hint="eastAsia"/>
                <w:kern w:val="0"/>
                <w:sz w:val="18"/>
                <w:szCs w:val="18"/>
              </w:rPr>
              <w:t>（20）</w:t>
            </w:r>
          </w:p>
        </w:tc>
        <w:tc>
          <w:tcPr>
            <w:tcW w:w="1019" w:type="pct"/>
            <w:gridSpan w:val="4"/>
            <w:vMerge w:val="restart"/>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财务管理（4）</w:t>
            </w:r>
          </w:p>
        </w:tc>
        <w:tc>
          <w:tcPr>
            <w:tcW w:w="1056"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财务管理制度健全性</w:t>
            </w:r>
          </w:p>
        </w:tc>
        <w:tc>
          <w:tcPr>
            <w:tcW w:w="664"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 xml:space="preserve">优良中低差　</w:t>
            </w:r>
          </w:p>
        </w:tc>
        <w:tc>
          <w:tcPr>
            <w:tcW w:w="562"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优</w:t>
            </w:r>
          </w:p>
        </w:tc>
        <w:tc>
          <w:tcPr>
            <w:tcW w:w="460"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1</w:t>
            </w:r>
          </w:p>
        </w:tc>
        <w:tc>
          <w:tcPr>
            <w:tcW w:w="509" w:type="pct"/>
            <w:gridSpan w:val="2"/>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1</w:t>
            </w:r>
          </w:p>
        </w:tc>
      </w:tr>
      <w:tr w:rsidR="00E464D2">
        <w:trPr>
          <w:cantSplit/>
          <w:trHeight w:val="567"/>
        </w:trPr>
        <w:tc>
          <w:tcPr>
            <w:tcW w:w="727" w:type="pct"/>
            <w:vMerge/>
            <w:noWrap/>
            <w:vAlign w:val="center"/>
          </w:tcPr>
          <w:p w:rsidR="00E464D2" w:rsidRDefault="00E464D2">
            <w:pPr>
              <w:widowControl/>
              <w:jc w:val="left"/>
              <w:rPr>
                <w:rFonts w:ascii="宋体" w:hAnsi="宋体" w:cs="宋体"/>
                <w:kern w:val="0"/>
                <w:sz w:val="18"/>
                <w:szCs w:val="18"/>
              </w:rPr>
            </w:pPr>
          </w:p>
        </w:tc>
        <w:tc>
          <w:tcPr>
            <w:tcW w:w="1019" w:type="pct"/>
            <w:gridSpan w:val="4"/>
            <w:vMerge/>
            <w:noWrap/>
            <w:vAlign w:val="center"/>
          </w:tcPr>
          <w:p w:rsidR="00E464D2" w:rsidRDefault="00E464D2">
            <w:pPr>
              <w:widowControl/>
              <w:jc w:val="left"/>
              <w:rPr>
                <w:rFonts w:ascii="宋体" w:hAnsi="宋体" w:cs="宋体"/>
                <w:kern w:val="0"/>
                <w:sz w:val="18"/>
                <w:szCs w:val="18"/>
              </w:rPr>
            </w:pPr>
          </w:p>
        </w:tc>
        <w:tc>
          <w:tcPr>
            <w:tcW w:w="1056"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资金使用合规性和安全性</w:t>
            </w:r>
          </w:p>
        </w:tc>
        <w:tc>
          <w:tcPr>
            <w:tcW w:w="664"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 xml:space="preserve">优良中低差　</w:t>
            </w:r>
          </w:p>
        </w:tc>
        <w:tc>
          <w:tcPr>
            <w:tcW w:w="562"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优</w:t>
            </w:r>
          </w:p>
        </w:tc>
        <w:tc>
          <w:tcPr>
            <w:tcW w:w="460"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2</w:t>
            </w:r>
          </w:p>
        </w:tc>
        <w:tc>
          <w:tcPr>
            <w:tcW w:w="509" w:type="pct"/>
            <w:gridSpan w:val="2"/>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2</w:t>
            </w:r>
          </w:p>
        </w:tc>
      </w:tr>
      <w:tr w:rsidR="00E464D2">
        <w:trPr>
          <w:cantSplit/>
          <w:trHeight w:val="567"/>
        </w:trPr>
        <w:tc>
          <w:tcPr>
            <w:tcW w:w="727" w:type="pct"/>
            <w:vMerge/>
            <w:noWrap/>
            <w:vAlign w:val="center"/>
          </w:tcPr>
          <w:p w:rsidR="00E464D2" w:rsidRDefault="00E464D2">
            <w:pPr>
              <w:widowControl/>
              <w:jc w:val="left"/>
              <w:rPr>
                <w:rFonts w:ascii="宋体" w:hAnsi="宋体" w:cs="宋体"/>
                <w:kern w:val="0"/>
                <w:sz w:val="18"/>
                <w:szCs w:val="18"/>
              </w:rPr>
            </w:pPr>
          </w:p>
        </w:tc>
        <w:tc>
          <w:tcPr>
            <w:tcW w:w="1019" w:type="pct"/>
            <w:gridSpan w:val="4"/>
            <w:vMerge/>
            <w:noWrap/>
            <w:vAlign w:val="center"/>
          </w:tcPr>
          <w:p w:rsidR="00E464D2" w:rsidRDefault="00E464D2">
            <w:pPr>
              <w:widowControl/>
              <w:jc w:val="left"/>
              <w:rPr>
                <w:rFonts w:ascii="宋体" w:hAnsi="宋体" w:cs="宋体"/>
                <w:kern w:val="0"/>
                <w:sz w:val="18"/>
                <w:szCs w:val="18"/>
              </w:rPr>
            </w:pPr>
          </w:p>
        </w:tc>
        <w:tc>
          <w:tcPr>
            <w:tcW w:w="1056"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会计基础信息完善性</w:t>
            </w:r>
          </w:p>
        </w:tc>
        <w:tc>
          <w:tcPr>
            <w:tcW w:w="664"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 xml:space="preserve">优良中低差　</w:t>
            </w:r>
          </w:p>
        </w:tc>
        <w:tc>
          <w:tcPr>
            <w:tcW w:w="562"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优</w:t>
            </w:r>
          </w:p>
        </w:tc>
        <w:tc>
          <w:tcPr>
            <w:tcW w:w="460"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1</w:t>
            </w:r>
          </w:p>
        </w:tc>
        <w:tc>
          <w:tcPr>
            <w:tcW w:w="509" w:type="pct"/>
            <w:gridSpan w:val="2"/>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1</w:t>
            </w:r>
          </w:p>
        </w:tc>
      </w:tr>
      <w:tr w:rsidR="00E464D2">
        <w:trPr>
          <w:cantSplit/>
          <w:trHeight w:val="567"/>
        </w:trPr>
        <w:tc>
          <w:tcPr>
            <w:tcW w:w="727" w:type="pct"/>
            <w:vMerge/>
            <w:noWrap/>
            <w:vAlign w:val="center"/>
          </w:tcPr>
          <w:p w:rsidR="00E464D2" w:rsidRDefault="00E464D2">
            <w:pPr>
              <w:widowControl/>
              <w:jc w:val="left"/>
              <w:rPr>
                <w:rFonts w:ascii="宋体" w:hAnsi="宋体" w:cs="宋体"/>
                <w:kern w:val="0"/>
                <w:sz w:val="18"/>
                <w:szCs w:val="18"/>
              </w:rPr>
            </w:pPr>
          </w:p>
        </w:tc>
        <w:tc>
          <w:tcPr>
            <w:tcW w:w="1019" w:type="pct"/>
            <w:gridSpan w:val="4"/>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资产管理（4）</w:t>
            </w:r>
          </w:p>
        </w:tc>
        <w:tc>
          <w:tcPr>
            <w:tcW w:w="1056"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资产管理规范性</w:t>
            </w:r>
          </w:p>
        </w:tc>
        <w:tc>
          <w:tcPr>
            <w:tcW w:w="664" w:type="pct"/>
            <w:gridSpan w:val="3"/>
            <w:noWrap/>
            <w:vAlign w:val="center"/>
          </w:tcPr>
          <w:p w:rsidR="00E464D2" w:rsidRDefault="00B9443A">
            <w:pPr>
              <w:widowControl/>
              <w:jc w:val="left"/>
              <w:rPr>
                <w:rFonts w:ascii="宋体" w:hAnsi="宋体" w:cs="宋体"/>
                <w:kern w:val="0"/>
                <w:sz w:val="18"/>
                <w:szCs w:val="18"/>
              </w:rPr>
            </w:pPr>
            <w:r>
              <w:rPr>
                <w:rFonts w:ascii="宋体" w:hAnsi="宋体" w:cs="宋体" w:hint="eastAsia"/>
                <w:kern w:val="0"/>
                <w:sz w:val="18"/>
                <w:szCs w:val="18"/>
              </w:rPr>
              <w:t>优良中低差</w:t>
            </w:r>
          </w:p>
        </w:tc>
        <w:tc>
          <w:tcPr>
            <w:tcW w:w="562"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优</w:t>
            </w:r>
          </w:p>
        </w:tc>
        <w:tc>
          <w:tcPr>
            <w:tcW w:w="460"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4</w:t>
            </w:r>
          </w:p>
        </w:tc>
        <w:tc>
          <w:tcPr>
            <w:tcW w:w="509" w:type="pct"/>
            <w:gridSpan w:val="2"/>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4</w:t>
            </w:r>
          </w:p>
        </w:tc>
      </w:tr>
      <w:tr w:rsidR="00E464D2">
        <w:trPr>
          <w:cantSplit/>
          <w:trHeight w:val="567"/>
        </w:trPr>
        <w:tc>
          <w:tcPr>
            <w:tcW w:w="727" w:type="pct"/>
            <w:vMerge/>
            <w:noWrap/>
            <w:vAlign w:val="center"/>
          </w:tcPr>
          <w:p w:rsidR="00E464D2" w:rsidRDefault="00E464D2">
            <w:pPr>
              <w:widowControl/>
              <w:jc w:val="center"/>
              <w:rPr>
                <w:rFonts w:ascii="宋体" w:hAnsi="宋体" w:cs="宋体"/>
                <w:kern w:val="0"/>
                <w:sz w:val="18"/>
                <w:szCs w:val="18"/>
              </w:rPr>
            </w:pPr>
          </w:p>
        </w:tc>
        <w:tc>
          <w:tcPr>
            <w:tcW w:w="1019" w:type="pct"/>
            <w:gridSpan w:val="4"/>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绩效管理（4）</w:t>
            </w:r>
          </w:p>
        </w:tc>
        <w:tc>
          <w:tcPr>
            <w:tcW w:w="1056"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绩效管理情况</w:t>
            </w:r>
          </w:p>
        </w:tc>
        <w:tc>
          <w:tcPr>
            <w:tcW w:w="664" w:type="pct"/>
            <w:gridSpan w:val="3"/>
            <w:noWrap/>
            <w:vAlign w:val="center"/>
          </w:tcPr>
          <w:p w:rsidR="00E464D2" w:rsidRDefault="00B9443A">
            <w:pPr>
              <w:widowControl/>
              <w:jc w:val="left"/>
              <w:rPr>
                <w:rFonts w:ascii="宋体" w:hAnsi="宋体" w:cs="宋体"/>
                <w:kern w:val="0"/>
                <w:sz w:val="18"/>
                <w:szCs w:val="18"/>
              </w:rPr>
            </w:pPr>
            <w:r>
              <w:rPr>
                <w:rFonts w:ascii="宋体" w:hAnsi="宋体" w:cs="宋体" w:hint="eastAsia"/>
                <w:kern w:val="0"/>
                <w:sz w:val="18"/>
                <w:szCs w:val="18"/>
              </w:rPr>
              <w:t>优良中低差</w:t>
            </w:r>
          </w:p>
        </w:tc>
        <w:tc>
          <w:tcPr>
            <w:tcW w:w="562"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优</w:t>
            </w:r>
          </w:p>
        </w:tc>
        <w:tc>
          <w:tcPr>
            <w:tcW w:w="460"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4</w:t>
            </w:r>
          </w:p>
        </w:tc>
        <w:tc>
          <w:tcPr>
            <w:tcW w:w="509" w:type="pct"/>
            <w:gridSpan w:val="2"/>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 xml:space="preserve">4　</w:t>
            </w:r>
          </w:p>
        </w:tc>
      </w:tr>
      <w:tr w:rsidR="00E464D2">
        <w:trPr>
          <w:cantSplit/>
          <w:trHeight w:val="567"/>
        </w:trPr>
        <w:tc>
          <w:tcPr>
            <w:tcW w:w="727" w:type="pct"/>
            <w:vMerge/>
            <w:noWrap/>
            <w:vAlign w:val="center"/>
          </w:tcPr>
          <w:p w:rsidR="00E464D2" w:rsidRDefault="00E464D2">
            <w:pPr>
              <w:widowControl/>
              <w:jc w:val="left"/>
              <w:rPr>
                <w:rFonts w:ascii="宋体" w:hAnsi="宋体" w:cs="宋体"/>
                <w:kern w:val="0"/>
                <w:sz w:val="18"/>
                <w:szCs w:val="18"/>
              </w:rPr>
            </w:pPr>
          </w:p>
        </w:tc>
        <w:tc>
          <w:tcPr>
            <w:tcW w:w="1019" w:type="pct"/>
            <w:gridSpan w:val="4"/>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 xml:space="preserve">指标　</w:t>
            </w:r>
          </w:p>
        </w:tc>
        <w:tc>
          <w:tcPr>
            <w:tcW w:w="1721" w:type="pct"/>
            <w:gridSpan w:val="6"/>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202</w:t>
            </w:r>
            <w:r>
              <w:rPr>
                <w:rFonts w:ascii="宋体" w:hAnsi="宋体" w:cs="宋体"/>
                <w:kern w:val="0"/>
                <w:sz w:val="18"/>
                <w:szCs w:val="18"/>
              </w:rPr>
              <w:t>3</w:t>
            </w:r>
            <w:r>
              <w:rPr>
                <w:rFonts w:ascii="宋体" w:hAnsi="宋体" w:cs="宋体" w:hint="eastAsia"/>
                <w:kern w:val="0"/>
                <w:sz w:val="18"/>
                <w:szCs w:val="18"/>
              </w:rPr>
              <w:t>年</w:t>
            </w:r>
          </w:p>
        </w:tc>
        <w:tc>
          <w:tcPr>
            <w:tcW w:w="562"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202</w:t>
            </w:r>
            <w:r>
              <w:rPr>
                <w:rFonts w:ascii="宋体" w:hAnsi="宋体" w:cs="宋体"/>
                <w:kern w:val="0"/>
                <w:sz w:val="18"/>
                <w:szCs w:val="18"/>
              </w:rPr>
              <w:t>4</w:t>
            </w:r>
            <w:r>
              <w:rPr>
                <w:rFonts w:ascii="宋体" w:hAnsi="宋体" w:cs="宋体" w:hint="eastAsia"/>
                <w:kern w:val="0"/>
                <w:sz w:val="18"/>
                <w:szCs w:val="18"/>
              </w:rPr>
              <w:t>年</w:t>
            </w:r>
          </w:p>
        </w:tc>
        <w:tc>
          <w:tcPr>
            <w:tcW w:w="460"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分值</w:t>
            </w:r>
          </w:p>
        </w:tc>
        <w:tc>
          <w:tcPr>
            <w:tcW w:w="509" w:type="pct"/>
            <w:gridSpan w:val="2"/>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得分</w:t>
            </w:r>
          </w:p>
        </w:tc>
      </w:tr>
      <w:tr w:rsidR="00E464D2">
        <w:trPr>
          <w:cantSplit/>
          <w:trHeight w:val="567"/>
        </w:trPr>
        <w:tc>
          <w:tcPr>
            <w:tcW w:w="727" w:type="pct"/>
            <w:vMerge/>
            <w:noWrap/>
            <w:vAlign w:val="center"/>
          </w:tcPr>
          <w:p w:rsidR="00E464D2" w:rsidRDefault="00E464D2">
            <w:pPr>
              <w:widowControl/>
              <w:jc w:val="left"/>
              <w:rPr>
                <w:rFonts w:ascii="宋体" w:hAnsi="宋体" w:cs="宋体"/>
                <w:kern w:val="0"/>
                <w:sz w:val="18"/>
                <w:szCs w:val="18"/>
              </w:rPr>
            </w:pPr>
          </w:p>
        </w:tc>
        <w:tc>
          <w:tcPr>
            <w:tcW w:w="1019" w:type="pct"/>
            <w:gridSpan w:val="4"/>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结转结余率（4）</w:t>
            </w:r>
          </w:p>
        </w:tc>
        <w:tc>
          <w:tcPr>
            <w:tcW w:w="1721" w:type="pct"/>
            <w:gridSpan w:val="6"/>
            <w:noWrap/>
            <w:vAlign w:val="center"/>
          </w:tcPr>
          <w:p w:rsidR="00E464D2" w:rsidRDefault="00B9443A">
            <w:pPr>
              <w:widowControl/>
              <w:jc w:val="center"/>
              <w:rPr>
                <w:rFonts w:ascii="宋体" w:hAnsi="宋体" w:cs="宋体"/>
                <w:kern w:val="0"/>
                <w:sz w:val="18"/>
                <w:szCs w:val="18"/>
              </w:rPr>
            </w:pPr>
            <w:r>
              <w:rPr>
                <w:rFonts w:ascii="宋体" w:hAnsi="宋体" w:cs="宋体"/>
                <w:kern w:val="0"/>
                <w:sz w:val="18"/>
                <w:szCs w:val="18"/>
              </w:rPr>
              <w:t>9.66</w:t>
            </w:r>
            <w:r>
              <w:rPr>
                <w:rFonts w:ascii="宋体" w:hAnsi="宋体" w:cs="宋体" w:hint="eastAsia"/>
                <w:kern w:val="0"/>
                <w:sz w:val="18"/>
                <w:szCs w:val="18"/>
              </w:rPr>
              <w:t>%</w:t>
            </w:r>
          </w:p>
        </w:tc>
        <w:tc>
          <w:tcPr>
            <w:tcW w:w="562"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kern w:val="0"/>
                <w:sz w:val="18"/>
                <w:szCs w:val="18"/>
              </w:rPr>
              <w:t>19.14</w:t>
            </w:r>
            <w:r>
              <w:rPr>
                <w:rFonts w:ascii="宋体" w:hAnsi="宋体" w:cs="宋体" w:hint="eastAsia"/>
                <w:kern w:val="0"/>
                <w:sz w:val="18"/>
                <w:szCs w:val="18"/>
              </w:rPr>
              <w:t xml:space="preserve">%　</w:t>
            </w:r>
          </w:p>
        </w:tc>
        <w:tc>
          <w:tcPr>
            <w:tcW w:w="460"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4</w:t>
            </w:r>
          </w:p>
        </w:tc>
        <w:tc>
          <w:tcPr>
            <w:tcW w:w="509" w:type="pct"/>
            <w:gridSpan w:val="2"/>
            <w:noWrap/>
            <w:vAlign w:val="center"/>
          </w:tcPr>
          <w:p w:rsidR="00E464D2" w:rsidRDefault="00B9443A">
            <w:pPr>
              <w:widowControl/>
              <w:jc w:val="center"/>
              <w:rPr>
                <w:rFonts w:ascii="宋体" w:hAnsi="宋体" w:cs="宋体"/>
                <w:kern w:val="0"/>
                <w:sz w:val="18"/>
                <w:szCs w:val="18"/>
              </w:rPr>
            </w:pPr>
            <w:r>
              <w:rPr>
                <w:rFonts w:ascii="宋体" w:hAnsi="宋体" w:cs="宋体"/>
                <w:kern w:val="0"/>
                <w:sz w:val="18"/>
                <w:szCs w:val="18"/>
              </w:rPr>
              <w:t>0.4</w:t>
            </w:r>
            <w:r>
              <w:rPr>
                <w:rFonts w:ascii="宋体" w:hAnsi="宋体" w:cs="宋体" w:hint="eastAsia"/>
                <w:kern w:val="0"/>
                <w:sz w:val="18"/>
                <w:szCs w:val="18"/>
              </w:rPr>
              <w:t xml:space="preserve">　</w:t>
            </w:r>
          </w:p>
        </w:tc>
      </w:tr>
      <w:tr w:rsidR="00E464D2">
        <w:trPr>
          <w:cantSplit/>
          <w:trHeight w:val="567"/>
        </w:trPr>
        <w:tc>
          <w:tcPr>
            <w:tcW w:w="727" w:type="pct"/>
            <w:vMerge/>
            <w:noWrap/>
            <w:vAlign w:val="center"/>
          </w:tcPr>
          <w:p w:rsidR="00E464D2" w:rsidRDefault="00E464D2">
            <w:pPr>
              <w:widowControl/>
              <w:jc w:val="left"/>
              <w:rPr>
                <w:rFonts w:ascii="宋体" w:hAnsi="宋体" w:cs="宋体"/>
                <w:kern w:val="0"/>
                <w:sz w:val="18"/>
                <w:szCs w:val="18"/>
              </w:rPr>
            </w:pPr>
          </w:p>
        </w:tc>
        <w:tc>
          <w:tcPr>
            <w:tcW w:w="1019" w:type="pct"/>
            <w:gridSpan w:val="4"/>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部门预决算差异率（4）</w:t>
            </w:r>
          </w:p>
        </w:tc>
        <w:tc>
          <w:tcPr>
            <w:tcW w:w="1721" w:type="pct"/>
            <w:gridSpan w:val="6"/>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w:t>
            </w:r>
          </w:p>
        </w:tc>
        <w:tc>
          <w:tcPr>
            <w:tcW w:w="562"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kern w:val="0"/>
                <w:sz w:val="18"/>
                <w:szCs w:val="18"/>
              </w:rPr>
              <w:t>61.14</w:t>
            </w:r>
            <w:r>
              <w:rPr>
                <w:rFonts w:ascii="宋体" w:hAnsi="宋体" w:cs="宋体" w:hint="eastAsia"/>
                <w:kern w:val="0"/>
                <w:sz w:val="18"/>
                <w:szCs w:val="18"/>
              </w:rPr>
              <w:t>%</w:t>
            </w:r>
          </w:p>
        </w:tc>
        <w:tc>
          <w:tcPr>
            <w:tcW w:w="460" w:type="pct"/>
            <w:gridSpan w:val="3"/>
            <w:noWrap/>
            <w:vAlign w:val="center"/>
          </w:tcPr>
          <w:p w:rsidR="00E464D2" w:rsidRDefault="00B9443A">
            <w:pPr>
              <w:widowControl/>
              <w:jc w:val="center"/>
              <w:rPr>
                <w:rFonts w:ascii="宋体" w:hAnsi="宋体" w:cs="宋体"/>
                <w:kern w:val="0"/>
                <w:sz w:val="18"/>
                <w:szCs w:val="18"/>
              </w:rPr>
            </w:pPr>
            <w:r>
              <w:rPr>
                <w:rFonts w:ascii="宋体" w:hAnsi="宋体" w:cs="宋体" w:hint="eastAsia"/>
                <w:kern w:val="0"/>
                <w:sz w:val="18"/>
                <w:szCs w:val="18"/>
              </w:rPr>
              <w:t>4</w:t>
            </w:r>
          </w:p>
        </w:tc>
        <w:tc>
          <w:tcPr>
            <w:tcW w:w="509" w:type="pct"/>
            <w:gridSpan w:val="2"/>
            <w:noWrap/>
            <w:vAlign w:val="center"/>
          </w:tcPr>
          <w:p w:rsidR="00E464D2" w:rsidRDefault="00B9443A">
            <w:pPr>
              <w:widowControl/>
              <w:jc w:val="center"/>
              <w:rPr>
                <w:rFonts w:ascii="宋体" w:hAnsi="宋体" w:cs="宋体"/>
                <w:kern w:val="0"/>
                <w:sz w:val="18"/>
                <w:szCs w:val="18"/>
              </w:rPr>
            </w:pPr>
            <w:r>
              <w:rPr>
                <w:rFonts w:ascii="宋体" w:hAnsi="宋体" w:cs="宋体"/>
                <w:kern w:val="0"/>
                <w:sz w:val="18"/>
                <w:szCs w:val="18"/>
              </w:rPr>
              <w:t>2.8</w:t>
            </w:r>
            <w:r>
              <w:rPr>
                <w:rFonts w:ascii="宋体" w:hAnsi="宋体" w:cs="宋体" w:hint="eastAsia"/>
                <w:kern w:val="0"/>
                <w:sz w:val="18"/>
                <w:szCs w:val="18"/>
              </w:rPr>
              <w:t xml:space="preserve">　</w:t>
            </w:r>
          </w:p>
        </w:tc>
      </w:tr>
      <w:tr w:rsidR="00E464D2">
        <w:trPr>
          <w:cantSplit/>
          <w:trHeight w:val="567"/>
        </w:trPr>
        <w:tc>
          <w:tcPr>
            <w:tcW w:w="4029" w:type="pct"/>
            <w:gridSpan w:val="14"/>
            <w:noWrap/>
            <w:vAlign w:val="center"/>
          </w:tcPr>
          <w:p w:rsidR="00E464D2" w:rsidRDefault="00B9443A">
            <w:pPr>
              <w:widowControl/>
              <w:jc w:val="center"/>
              <w:rPr>
                <w:rFonts w:ascii="宋体" w:hAnsi="宋体" w:cs="宋体"/>
                <w:b/>
                <w:bCs/>
                <w:kern w:val="0"/>
                <w:sz w:val="18"/>
                <w:szCs w:val="18"/>
              </w:rPr>
            </w:pPr>
            <w:r>
              <w:rPr>
                <w:rFonts w:ascii="宋体" w:hAnsi="宋体" w:cs="宋体" w:hint="eastAsia"/>
                <w:b/>
                <w:bCs/>
                <w:kern w:val="0"/>
                <w:sz w:val="18"/>
                <w:szCs w:val="18"/>
              </w:rPr>
              <w:t>合计</w:t>
            </w:r>
          </w:p>
        </w:tc>
        <w:tc>
          <w:tcPr>
            <w:tcW w:w="460" w:type="pct"/>
            <w:gridSpan w:val="3"/>
            <w:noWrap/>
            <w:vAlign w:val="center"/>
          </w:tcPr>
          <w:p w:rsidR="00E464D2" w:rsidRDefault="00B9443A">
            <w:pPr>
              <w:widowControl/>
              <w:jc w:val="center"/>
              <w:rPr>
                <w:rFonts w:ascii="宋体" w:hAnsi="宋体" w:cs="宋体"/>
                <w:b/>
                <w:bCs/>
                <w:kern w:val="0"/>
                <w:sz w:val="18"/>
                <w:szCs w:val="18"/>
              </w:rPr>
            </w:pPr>
            <w:r>
              <w:rPr>
                <w:rFonts w:ascii="宋体" w:hAnsi="宋体" w:cs="宋体" w:hint="eastAsia"/>
                <w:b/>
                <w:bCs/>
                <w:kern w:val="0"/>
                <w:sz w:val="18"/>
                <w:szCs w:val="18"/>
              </w:rPr>
              <w:t>100</w:t>
            </w:r>
          </w:p>
        </w:tc>
        <w:tc>
          <w:tcPr>
            <w:tcW w:w="509" w:type="pct"/>
            <w:gridSpan w:val="2"/>
            <w:noWrap/>
            <w:vAlign w:val="center"/>
          </w:tcPr>
          <w:p w:rsidR="00E464D2" w:rsidRDefault="00B9443A">
            <w:pPr>
              <w:widowControl/>
              <w:jc w:val="center"/>
              <w:rPr>
                <w:rFonts w:ascii="宋体" w:hAnsi="宋体" w:cs="宋体"/>
                <w:b/>
                <w:bCs/>
                <w:kern w:val="0"/>
                <w:sz w:val="18"/>
                <w:szCs w:val="18"/>
              </w:rPr>
            </w:pPr>
            <w:r>
              <w:rPr>
                <w:rFonts w:ascii="宋体" w:hAnsi="宋体" w:cs="宋体" w:hint="eastAsia"/>
                <w:b/>
                <w:bCs/>
                <w:kern w:val="0"/>
                <w:sz w:val="18"/>
                <w:szCs w:val="18"/>
              </w:rPr>
              <w:t>90</w:t>
            </w:r>
            <w:r>
              <w:rPr>
                <w:rFonts w:ascii="宋体" w:hAnsi="宋体" w:cs="宋体"/>
                <w:b/>
                <w:bCs/>
                <w:kern w:val="0"/>
                <w:sz w:val="18"/>
                <w:szCs w:val="18"/>
              </w:rPr>
              <w:t>.</w:t>
            </w:r>
            <w:r>
              <w:rPr>
                <w:rFonts w:ascii="宋体" w:hAnsi="宋体" w:cs="宋体" w:hint="eastAsia"/>
                <w:b/>
                <w:bCs/>
                <w:kern w:val="0"/>
                <w:sz w:val="18"/>
                <w:szCs w:val="18"/>
              </w:rPr>
              <w:t>4</w:t>
            </w:r>
            <w:r>
              <w:rPr>
                <w:rFonts w:ascii="宋体" w:hAnsi="宋体" w:cs="宋体"/>
                <w:b/>
                <w:bCs/>
                <w:kern w:val="0"/>
                <w:sz w:val="18"/>
                <w:szCs w:val="18"/>
              </w:rPr>
              <w:t>7</w:t>
            </w:r>
            <w:r>
              <w:rPr>
                <w:rFonts w:ascii="宋体" w:hAnsi="宋体" w:cs="宋体" w:hint="eastAsia"/>
                <w:b/>
                <w:bCs/>
                <w:kern w:val="0"/>
                <w:sz w:val="18"/>
                <w:szCs w:val="18"/>
              </w:rPr>
              <w:t xml:space="preserve">　</w:t>
            </w:r>
          </w:p>
        </w:tc>
      </w:tr>
    </w:tbl>
    <w:p w:rsidR="00E464D2" w:rsidRDefault="00E464D2">
      <w:pPr>
        <w:spacing w:line="20" w:lineRule="exact"/>
        <w:rPr>
          <w:rFonts w:ascii="方正小标宋简体" w:eastAsia="方正小标宋简体"/>
          <w:sz w:val="36"/>
          <w:szCs w:val="36"/>
        </w:rPr>
      </w:pPr>
    </w:p>
    <w:sectPr w:rsidR="00E464D2" w:rsidSect="00E464D2">
      <w:footerReference w:type="default" r:id="rId9"/>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5688" w:rsidRDefault="00EE5688" w:rsidP="00E464D2">
      <w:r>
        <w:separator/>
      </w:r>
    </w:p>
  </w:endnote>
  <w:endnote w:type="continuationSeparator" w:id="1">
    <w:p w:rsidR="00EE5688" w:rsidRDefault="00EE5688" w:rsidP="00E464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B25AFD69-14B5-4669-8C9D-66A929B5CAAF}"/>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embedRegular r:id="rId2" w:subsetted="1" w:fontKey="{F79DD2DB-D7F1-400B-B013-EA6EE9D5B505}"/>
  </w:font>
  <w:font w:name="仿宋_GB2312">
    <w:panose1 w:val="02010609030101010101"/>
    <w:charset w:val="86"/>
    <w:family w:val="modern"/>
    <w:pitch w:val="fixed"/>
    <w:sig w:usb0="00000001" w:usb1="080E0000" w:usb2="00000010" w:usb3="00000000" w:csb0="00040000" w:csb1="00000000"/>
    <w:embedRegular r:id="rId3" w:subsetted="1" w:fontKey="{BEC59B87-BCB8-45C0-8EC9-CD2BAF018385}"/>
    <w:embedBold r:id="rId4" w:subsetted="1" w:fontKey="{942E7AB6-32DD-47B1-B61C-F262A2FCAC26}"/>
  </w:font>
  <w:font w:name="楷体_GB2312">
    <w:panose1 w:val="02010609030101010101"/>
    <w:charset w:val="86"/>
    <w:family w:val="modern"/>
    <w:pitch w:val="fixed"/>
    <w:sig w:usb0="00000001" w:usb1="080E0000" w:usb2="00000010" w:usb3="00000000" w:csb0="00040000" w:csb1="00000000"/>
    <w:embedRegular r:id="rId5" w:subsetted="1" w:fontKey="{B55D761F-68AD-4760-950A-6EE405DA3A6B}"/>
  </w:font>
  <w:font w:name="???">
    <w:altName w:val="DejaVu Math TeX Gyre"/>
    <w:charset w:val="00"/>
    <w:family w:val="roman"/>
    <w:pitch w:val="default"/>
    <w:sig w:usb0="00000000"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方正黑体_GBK">
    <w:altName w:val="Arial Unicode MS"/>
    <w:charset w:val="86"/>
    <w:family w:val="auto"/>
    <w:pitch w:val="default"/>
    <w:sig w:usb0="00000000" w:usb1="08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4D2" w:rsidRDefault="003A4120">
    <w:pPr>
      <w:pStyle w:val="a8"/>
      <w:ind w:firstLine="360"/>
      <w:jc w:val="center"/>
      <w:rPr>
        <w:sz w:val="21"/>
        <w:szCs w:val="21"/>
      </w:rPr>
    </w:pPr>
    <w:r w:rsidRPr="003A4120">
      <w:rPr>
        <w:sz w:val="21"/>
      </w:rP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filled="f" stroked="f" strokeweight=".5pt">
          <v:textbox style="mso-fit-shape-to-text:t" inset="0,0,0,0">
            <w:txbxContent>
              <w:p w:rsidR="00E464D2" w:rsidRDefault="003A4120">
                <w:pPr>
                  <w:pStyle w:val="a8"/>
                  <w:rPr>
                    <w:sz w:val="24"/>
                    <w:szCs w:val="24"/>
                  </w:rPr>
                </w:pPr>
                <w:r>
                  <w:rPr>
                    <w:sz w:val="24"/>
                    <w:szCs w:val="24"/>
                  </w:rPr>
                  <w:fldChar w:fldCharType="begin"/>
                </w:r>
                <w:r w:rsidR="00B9443A">
                  <w:rPr>
                    <w:sz w:val="24"/>
                    <w:szCs w:val="24"/>
                  </w:rPr>
                  <w:instrText xml:space="preserve"> PAGE  \* MERGEFORMAT </w:instrText>
                </w:r>
                <w:r>
                  <w:rPr>
                    <w:sz w:val="24"/>
                    <w:szCs w:val="24"/>
                  </w:rPr>
                  <w:fldChar w:fldCharType="separate"/>
                </w:r>
                <w:r w:rsidR="00936ACE">
                  <w:rPr>
                    <w:noProof/>
                    <w:sz w:val="24"/>
                    <w:szCs w:val="24"/>
                  </w:rPr>
                  <w:t>11</w:t>
                </w:r>
                <w:r>
                  <w:rPr>
                    <w:sz w:val="24"/>
                    <w:szCs w:val="24"/>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4D2" w:rsidRDefault="003A4120">
    <w:pPr>
      <w:pStyle w:val="a8"/>
      <w:jc w:val="right"/>
    </w:pPr>
    <w:r>
      <w:pict>
        <v:shapetype id="_x0000_t202" coordsize="21600,21600" o:spt="202" path="m,l,21600r21600,l21600,xe">
          <v:stroke joinstyle="miter"/>
          <v:path gradientshapeok="t" o:connecttype="rect"/>
        </v:shapetype>
        <v:shape id="_x0000_s1027" type="#_x0000_t202" style="position:absolute;left:0;text-align:left;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filled="f" stroked="f" strokeweight=".5pt">
          <v:textbox style="mso-fit-shape-to-text:t" inset="0,0,0,0">
            <w:txbxContent>
              <w:p w:rsidR="00E464D2" w:rsidRDefault="003A4120">
                <w:pPr>
                  <w:pStyle w:val="a8"/>
                  <w:rPr>
                    <w:sz w:val="24"/>
                    <w:szCs w:val="24"/>
                  </w:rPr>
                </w:pPr>
                <w:r>
                  <w:rPr>
                    <w:sz w:val="24"/>
                    <w:szCs w:val="24"/>
                  </w:rPr>
                  <w:fldChar w:fldCharType="begin"/>
                </w:r>
                <w:r w:rsidR="00B9443A">
                  <w:rPr>
                    <w:sz w:val="24"/>
                    <w:szCs w:val="24"/>
                  </w:rPr>
                  <w:instrText xml:space="preserve"> PAGE  \* MERGEFORMAT </w:instrText>
                </w:r>
                <w:r>
                  <w:rPr>
                    <w:sz w:val="24"/>
                    <w:szCs w:val="24"/>
                  </w:rPr>
                  <w:fldChar w:fldCharType="separate"/>
                </w:r>
                <w:r w:rsidR="00936ACE">
                  <w:rPr>
                    <w:noProof/>
                    <w:sz w:val="24"/>
                    <w:szCs w:val="24"/>
                  </w:rPr>
                  <w:t>15</w:t>
                </w:r>
                <w:r>
                  <w:rPr>
                    <w:sz w:val="24"/>
                    <w:szCs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5688" w:rsidRDefault="00EE5688" w:rsidP="00E464D2">
      <w:r>
        <w:separator/>
      </w:r>
    </w:p>
  </w:footnote>
  <w:footnote w:type="continuationSeparator" w:id="1">
    <w:p w:rsidR="00EE5688" w:rsidRDefault="00EE5688" w:rsidP="00E464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kxZTNkYTE4MzcwZjBiNTE3ZTU5YTYxZWM3NjgzODMifQ=="/>
  </w:docVars>
  <w:rsids>
    <w:rsidRoot w:val="F77F09F4"/>
    <w:rsid w:val="8716660E"/>
    <w:rsid w:val="A3AA735E"/>
    <w:rsid w:val="A75D4892"/>
    <w:rsid w:val="AFFFCE02"/>
    <w:rsid w:val="BFD60872"/>
    <w:rsid w:val="BFFDE7BE"/>
    <w:rsid w:val="CEFD3F3D"/>
    <w:rsid w:val="D6B22E60"/>
    <w:rsid w:val="EA3F77F2"/>
    <w:rsid w:val="EBAD216A"/>
    <w:rsid w:val="EEFE5989"/>
    <w:rsid w:val="EFCF3EAE"/>
    <w:rsid w:val="EFEEF780"/>
    <w:rsid w:val="F4FDEB06"/>
    <w:rsid w:val="F5B764A2"/>
    <w:rsid w:val="F77F09F4"/>
    <w:rsid w:val="F8FB0AEE"/>
    <w:rsid w:val="FBED4D70"/>
    <w:rsid w:val="FBFF6E65"/>
    <w:rsid w:val="FEEF6AA0"/>
    <w:rsid w:val="FFB792B8"/>
    <w:rsid w:val="FFD7BFFC"/>
    <w:rsid w:val="FFFA6B0F"/>
    <w:rsid w:val="FFFFB6E6"/>
    <w:rsid w:val="00003423"/>
    <w:rsid w:val="00043B24"/>
    <w:rsid w:val="00070B19"/>
    <w:rsid w:val="00142CB9"/>
    <w:rsid w:val="00197A43"/>
    <w:rsid w:val="0025379D"/>
    <w:rsid w:val="00291C5D"/>
    <w:rsid w:val="002C61E1"/>
    <w:rsid w:val="00362341"/>
    <w:rsid w:val="003A1446"/>
    <w:rsid w:val="003A4120"/>
    <w:rsid w:val="004328CC"/>
    <w:rsid w:val="0044266F"/>
    <w:rsid w:val="0045066E"/>
    <w:rsid w:val="00472C9A"/>
    <w:rsid w:val="00474898"/>
    <w:rsid w:val="004974BD"/>
    <w:rsid w:val="005044DE"/>
    <w:rsid w:val="0055627A"/>
    <w:rsid w:val="005F67AD"/>
    <w:rsid w:val="0060708E"/>
    <w:rsid w:val="006469D2"/>
    <w:rsid w:val="00657D9E"/>
    <w:rsid w:val="0089779D"/>
    <w:rsid w:val="008B2638"/>
    <w:rsid w:val="008E3EDB"/>
    <w:rsid w:val="00925F16"/>
    <w:rsid w:val="00936ACE"/>
    <w:rsid w:val="00950F8D"/>
    <w:rsid w:val="009E11DB"/>
    <w:rsid w:val="00A57D7F"/>
    <w:rsid w:val="00A742DF"/>
    <w:rsid w:val="00B153A4"/>
    <w:rsid w:val="00B9443A"/>
    <w:rsid w:val="00C56C9F"/>
    <w:rsid w:val="00C70268"/>
    <w:rsid w:val="00D2204C"/>
    <w:rsid w:val="00D67AE3"/>
    <w:rsid w:val="00DC7018"/>
    <w:rsid w:val="00E464D2"/>
    <w:rsid w:val="00EB50C1"/>
    <w:rsid w:val="00EC23B8"/>
    <w:rsid w:val="00EC3631"/>
    <w:rsid w:val="00EE5688"/>
    <w:rsid w:val="00F01FC3"/>
    <w:rsid w:val="00F23F14"/>
    <w:rsid w:val="010773DC"/>
    <w:rsid w:val="0460028A"/>
    <w:rsid w:val="07F6116C"/>
    <w:rsid w:val="0CD23D33"/>
    <w:rsid w:val="10B26EF3"/>
    <w:rsid w:val="15692223"/>
    <w:rsid w:val="175F53D8"/>
    <w:rsid w:val="1A5B2381"/>
    <w:rsid w:val="1B8A1C0B"/>
    <w:rsid w:val="1E2B4094"/>
    <w:rsid w:val="1FCC596E"/>
    <w:rsid w:val="25E43A45"/>
    <w:rsid w:val="25F394CD"/>
    <w:rsid w:val="31D30E20"/>
    <w:rsid w:val="355A4CA1"/>
    <w:rsid w:val="37173543"/>
    <w:rsid w:val="3A6B3984"/>
    <w:rsid w:val="3FDBA076"/>
    <w:rsid w:val="3FDFB3F0"/>
    <w:rsid w:val="3FDFC9A6"/>
    <w:rsid w:val="3FEF1727"/>
    <w:rsid w:val="3FF76880"/>
    <w:rsid w:val="4DC516B7"/>
    <w:rsid w:val="51D92374"/>
    <w:rsid w:val="52606E47"/>
    <w:rsid w:val="5711637A"/>
    <w:rsid w:val="59E6BD58"/>
    <w:rsid w:val="5BEF6C87"/>
    <w:rsid w:val="5BFD4AC2"/>
    <w:rsid w:val="5E9F494D"/>
    <w:rsid w:val="5EA67482"/>
    <w:rsid w:val="5ED158BB"/>
    <w:rsid w:val="5F437837"/>
    <w:rsid w:val="605A0ABD"/>
    <w:rsid w:val="609F11E7"/>
    <w:rsid w:val="64885F15"/>
    <w:rsid w:val="66774A66"/>
    <w:rsid w:val="667A67D6"/>
    <w:rsid w:val="67065131"/>
    <w:rsid w:val="67759716"/>
    <w:rsid w:val="682B33E4"/>
    <w:rsid w:val="6C977775"/>
    <w:rsid w:val="6F7ED27B"/>
    <w:rsid w:val="6F7F6E0E"/>
    <w:rsid w:val="6FAC87D7"/>
    <w:rsid w:val="72014EEB"/>
    <w:rsid w:val="73EA2CD1"/>
    <w:rsid w:val="75B17A7C"/>
    <w:rsid w:val="7A865B9E"/>
    <w:rsid w:val="7AB7FF50"/>
    <w:rsid w:val="7AEAF641"/>
    <w:rsid w:val="7B483AE8"/>
    <w:rsid w:val="7B7F5AAD"/>
    <w:rsid w:val="7BAD2729"/>
    <w:rsid w:val="7BFEB0DB"/>
    <w:rsid w:val="7D9F2BEF"/>
    <w:rsid w:val="7DF95FB1"/>
    <w:rsid w:val="7E1D30D3"/>
    <w:rsid w:val="7EF7E869"/>
    <w:rsid w:val="7FFBD8AF"/>
    <w:rsid w:val="7FFF4E81"/>
    <w:rsid w:val="7FFFD0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Normal Indent"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Body Text Indent" w:semiHidden="1" w:uiPriority="99" w:unhideWhenUsed="1" w:qFormat="1"/>
    <w:lsdException w:name="Subtitle" w:qFormat="1"/>
    <w:lsdException w:name="Body Text First Indent 2" w:semiHidden="1"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E464D2"/>
    <w:pPr>
      <w:widowControl w:val="0"/>
      <w:jc w:val="both"/>
    </w:pPr>
    <w:rPr>
      <w:kern w:val="2"/>
      <w:sz w:val="21"/>
      <w:szCs w:val="24"/>
    </w:rPr>
  </w:style>
  <w:style w:type="paragraph" w:styleId="1">
    <w:name w:val="heading 1"/>
    <w:basedOn w:val="a"/>
    <w:next w:val="a"/>
    <w:uiPriority w:val="9"/>
    <w:qFormat/>
    <w:rsid w:val="00E464D2"/>
    <w:pPr>
      <w:spacing w:line="600" w:lineRule="exact"/>
      <w:ind w:firstLine="640"/>
      <w:outlineLvl w:val="0"/>
    </w:pPr>
    <w:rPr>
      <w:rFonts w:ascii="黑体" w:eastAsia="黑体" w:hAnsi="黑体" w:cs="宋体"/>
      <w:color w:val="000000"/>
      <w:kern w:val="0"/>
    </w:rPr>
  </w:style>
  <w:style w:type="paragraph" w:styleId="2">
    <w:name w:val="heading 2"/>
    <w:basedOn w:val="a"/>
    <w:next w:val="a"/>
    <w:qFormat/>
    <w:rsid w:val="00E464D2"/>
    <w:pPr>
      <w:keepNext/>
      <w:keepLines/>
      <w:spacing w:before="260" w:after="260"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E464D2"/>
    <w:pPr>
      <w:ind w:firstLineChars="200" w:firstLine="200"/>
    </w:pPr>
  </w:style>
  <w:style w:type="paragraph" w:styleId="a4">
    <w:name w:val="annotation text"/>
    <w:basedOn w:val="a"/>
    <w:qFormat/>
    <w:rsid w:val="00E464D2"/>
    <w:pPr>
      <w:jc w:val="left"/>
    </w:pPr>
  </w:style>
  <w:style w:type="paragraph" w:styleId="a5">
    <w:name w:val="Body Text"/>
    <w:basedOn w:val="a"/>
    <w:link w:val="Char"/>
    <w:qFormat/>
    <w:rsid w:val="00E464D2"/>
    <w:pPr>
      <w:spacing w:after="120"/>
    </w:pPr>
  </w:style>
  <w:style w:type="paragraph" w:styleId="a6">
    <w:name w:val="Body Text Indent"/>
    <w:basedOn w:val="a"/>
    <w:link w:val="Char1"/>
    <w:uiPriority w:val="99"/>
    <w:semiHidden/>
    <w:unhideWhenUsed/>
    <w:qFormat/>
    <w:rsid w:val="00E464D2"/>
    <w:pPr>
      <w:spacing w:after="120"/>
      <w:ind w:leftChars="200" w:left="420"/>
    </w:pPr>
  </w:style>
  <w:style w:type="paragraph" w:styleId="a7">
    <w:name w:val="Balloon Text"/>
    <w:basedOn w:val="a"/>
    <w:link w:val="Char0"/>
    <w:qFormat/>
    <w:rsid w:val="00E464D2"/>
    <w:rPr>
      <w:sz w:val="18"/>
      <w:szCs w:val="18"/>
    </w:rPr>
  </w:style>
  <w:style w:type="paragraph" w:styleId="a8">
    <w:name w:val="footer"/>
    <w:basedOn w:val="a"/>
    <w:link w:val="Char2"/>
    <w:uiPriority w:val="99"/>
    <w:qFormat/>
    <w:rsid w:val="00E464D2"/>
    <w:pPr>
      <w:tabs>
        <w:tab w:val="center" w:pos="4153"/>
        <w:tab w:val="right" w:pos="8306"/>
      </w:tabs>
      <w:snapToGrid w:val="0"/>
      <w:jc w:val="left"/>
    </w:pPr>
    <w:rPr>
      <w:sz w:val="18"/>
      <w:szCs w:val="20"/>
    </w:rPr>
  </w:style>
  <w:style w:type="paragraph" w:styleId="a9">
    <w:name w:val="header"/>
    <w:basedOn w:val="a"/>
    <w:link w:val="Char3"/>
    <w:qFormat/>
    <w:rsid w:val="00E464D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qFormat/>
    <w:rsid w:val="00E464D2"/>
  </w:style>
  <w:style w:type="paragraph" w:styleId="20">
    <w:name w:val="toc 2"/>
    <w:basedOn w:val="a"/>
    <w:next w:val="a"/>
    <w:qFormat/>
    <w:rsid w:val="00E464D2"/>
    <w:pPr>
      <w:ind w:leftChars="200" w:left="420"/>
    </w:pPr>
  </w:style>
  <w:style w:type="paragraph" w:styleId="aa">
    <w:name w:val="Normal (Web)"/>
    <w:basedOn w:val="a"/>
    <w:qFormat/>
    <w:rsid w:val="00E464D2"/>
    <w:pPr>
      <w:spacing w:beforeAutospacing="1" w:afterAutospacing="1"/>
      <w:jc w:val="left"/>
    </w:pPr>
    <w:rPr>
      <w:kern w:val="0"/>
      <w:sz w:val="24"/>
    </w:rPr>
  </w:style>
  <w:style w:type="paragraph" w:styleId="21">
    <w:name w:val="Body Text First Indent 2"/>
    <w:basedOn w:val="a6"/>
    <w:uiPriority w:val="99"/>
    <w:semiHidden/>
    <w:unhideWhenUsed/>
    <w:qFormat/>
    <w:rsid w:val="00E464D2"/>
    <w:pPr>
      <w:ind w:firstLineChars="200" w:firstLine="420"/>
    </w:pPr>
  </w:style>
  <w:style w:type="table" w:styleId="ab">
    <w:name w:val="Table Grid"/>
    <w:basedOn w:val="a2"/>
    <w:qFormat/>
    <w:rsid w:val="00E464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列出段落1"/>
    <w:basedOn w:val="a"/>
    <w:uiPriority w:val="34"/>
    <w:qFormat/>
    <w:rsid w:val="00E464D2"/>
    <w:pPr>
      <w:ind w:firstLineChars="200" w:firstLine="420"/>
    </w:pPr>
    <w:rPr>
      <w:rFonts w:ascii="Calibri" w:hAnsi="Calibri" w:cs="黑体"/>
      <w:szCs w:val="22"/>
    </w:rPr>
  </w:style>
  <w:style w:type="character" w:customStyle="1" w:styleId="font01">
    <w:name w:val="font01"/>
    <w:basedOn w:val="a1"/>
    <w:qFormat/>
    <w:rsid w:val="00E464D2"/>
    <w:rPr>
      <w:rFonts w:ascii="宋体" w:eastAsia="宋体" w:hAnsi="宋体" w:cs="宋体" w:hint="eastAsia"/>
      <w:color w:val="000000"/>
      <w:sz w:val="18"/>
      <w:szCs w:val="18"/>
      <w:u w:val="none"/>
    </w:rPr>
  </w:style>
  <w:style w:type="character" w:customStyle="1" w:styleId="font11">
    <w:name w:val="font11"/>
    <w:basedOn w:val="a1"/>
    <w:qFormat/>
    <w:rsid w:val="00E464D2"/>
    <w:rPr>
      <w:rFonts w:ascii="宋体" w:eastAsia="宋体" w:hAnsi="宋体" w:cs="宋体" w:hint="eastAsia"/>
      <w:color w:val="000000"/>
      <w:sz w:val="18"/>
      <w:szCs w:val="18"/>
      <w:u w:val="none"/>
    </w:rPr>
  </w:style>
  <w:style w:type="paragraph" w:customStyle="1" w:styleId="12">
    <w:name w:val="正文文本缩进1"/>
    <w:basedOn w:val="a"/>
    <w:next w:val="a9"/>
    <w:qFormat/>
    <w:rsid w:val="00E464D2"/>
    <w:pPr>
      <w:spacing w:line="360" w:lineRule="auto"/>
      <w:ind w:firstLine="567"/>
    </w:pPr>
    <w:rPr>
      <w:sz w:val="28"/>
    </w:rPr>
  </w:style>
  <w:style w:type="character" w:customStyle="1" w:styleId="Char3">
    <w:name w:val="页眉 Char"/>
    <w:basedOn w:val="a1"/>
    <w:link w:val="a9"/>
    <w:qFormat/>
    <w:rsid w:val="00E464D2"/>
    <w:rPr>
      <w:kern w:val="2"/>
      <w:sz w:val="18"/>
      <w:szCs w:val="18"/>
    </w:rPr>
  </w:style>
  <w:style w:type="character" w:customStyle="1" w:styleId="Char2">
    <w:name w:val="页脚 Char"/>
    <w:basedOn w:val="a1"/>
    <w:link w:val="a8"/>
    <w:qFormat/>
    <w:rsid w:val="00E464D2"/>
    <w:rPr>
      <w:kern w:val="2"/>
      <w:sz w:val="18"/>
      <w:szCs w:val="24"/>
    </w:rPr>
  </w:style>
  <w:style w:type="character" w:customStyle="1" w:styleId="Char">
    <w:name w:val="正文文本 Char"/>
    <w:basedOn w:val="a1"/>
    <w:link w:val="a5"/>
    <w:qFormat/>
    <w:rsid w:val="00E464D2"/>
    <w:rPr>
      <w:kern w:val="2"/>
      <w:sz w:val="21"/>
      <w:szCs w:val="24"/>
    </w:rPr>
  </w:style>
  <w:style w:type="paragraph" w:customStyle="1" w:styleId="WPSOffice1">
    <w:name w:val="WPSOffice手动目录 1"/>
    <w:qFormat/>
    <w:rsid w:val="00E464D2"/>
  </w:style>
  <w:style w:type="paragraph" w:customStyle="1" w:styleId="WPSOffice2">
    <w:name w:val="WPSOffice手动目录 2"/>
    <w:qFormat/>
    <w:rsid w:val="00E464D2"/>
    <w:pPr>
      <w:ind w:leftChars="200" w:left="200"/>
    </w:pPr>
  </w:style>
  <w:style w:type="character" w:customStyle="1" w:styleId="Char4">
    <w:name w:val="正文文本缩进 Char"/>
    <w:basedOn w:val="a1"/>
    <w:link w:val="a6"/>
    <w:qFormat/>
    <w:rsid w:val="00E464D2"/>
    <w:rPr>
      <w:kern w:val="2"/>
      <w:sz w:val="21"/>
      <w:szCs w:val="24"/>
    </w:rPr>
  </w:style>
  <w:style w:type="character" w:customStyle="1" w:styleId="22">
    <w:name w:val="正文文本首行缩进 2 字符"/>
    <w:basedOn w:val="Char4"/>
    <w:qFormat/>
    <w:rsid w:val="00E464D2"/>
    <w:rPr>
      <w:kern w:val="2"/>
      <w:sz w:val="21"/>
      <w:szCs w:val="24"/>
    </w:rPr>
  </w:style>
  <w:style w:type="character" w:customStyle="1" w:styleId="Char0">
    <w:name w:val="批注框文本 Char"/>
    <w:basedOn w:val="a1"/>
    <w:link w:val="a7"/>
    <w:qFormat/>
    <w:rsid w:val="00E464D2"/>
    <w:rPr>
      <w:kern w:val="2"/>
      <w:sz w:val="18"/>
      <w:szCs w:val="18"/>
    </w:rPr>
  </w:style>
  <w:style w:type="character" w:customStyle="1" w:styleId="Char1">
    <w:name w:val="正文文本缩进 Char1"/>
    <w:basedOn w:val="a1"/>
    <w:link w:val="a6"/>
    <w:qFormat/>
    <w:rsid w:val="00E464D2"/>
    <w:rPr>
      <w:rFonts w:ascii="Calibri" w:hAnsi="Calibri" w:cs="Calibri" w:hint="default"/>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barChart>
        <c:barDir val="col"/>
        <c:grouping val="clustered"/>
        <c:ser>
          <c:idx val="0"/>
          <c:order val="0"/>
          <c:tx>
            <c:strRef>
              <c:f>Sheet1!$B$1</c:f>
              <c:strCache>
                <c:ptCount val="1"/>
                <c:pt idx="0">
                  <c:v>分值</c:v>
                </c:pt>
              </c:strCache>
            </c:strRef>
          </c:tx>
          <c:spPr>
            <a:solidFill>
              <a:schemeClr val="accent1"/>
            </a:solidFill>
            <a:ln>
              <a:noFill/>
            </a:ln>
            <a:effectLst/>
          </c:spPr>
          <c:dLbls>
            <c:numFmt formatCode="#,##0.00;[Red]\-#,##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outEnd"/>
            <c:showVal val="1"/>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Sheet1!$A$2:$A$4</c:f>
              <c:strCache>
                <c:ptCount val="3"/>
                <c:pt idx="0">
                  <c:v>当年预算执行情况</c:v>
                </c:pt>
                <c:pt idx="1">
                  <c:v>整体绩效目标实现情况</c:v>
                </c:pt>
                <c:pt idx="2">
                  <c:v>预算管理情况</c:v>
                </c:pt>
              </c:strCache>
            </c:strRef>
          </c:cat>
          <c:val>
            <c:numRef>
              <c:f>Sheet1!$B$2:$B$4</c:f>
              <c:numCache>
                <c:formatCode>General</c:formatCode>
                <c:ptCount val="3"/>
                <c:pt idx="0">
                  <c:v>20</c:v>
                </c:pt>
                <c:pt idx="1">
                  <c:v>60</c:v>
                </c:pt>
                <c:pt idx="2">
                  <c:v>20</c:v>
                </c:pt>
              </c:numCache>
            </c:numRef>
          </c:val>
        </c:ser>
        <c:ser>
          <c:idx val="1"/>
          <c:order val="1"/>
          <c:tx>
            <c:strRef>
              <c:f>Sheet1!$C$1</c:f>
              <c:strCache>
                <c:ptCount val="1"/>
                <c:pt idx="0">
                  <c:v>得分</c:v>
                </c:pt>
              </c:strCache>
            </c:strRef>
          </c:tx>
          <c:spPr>
            <a:solidFill>
              <a:schemeClr val="accent2"/>
            </a:solidFill>
            <a:ln>
              <a:noFill/>
            </a:ln>
            <a:effectLst/>
          </c:spPr>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outEnd"/>
            <c:showVal val="1"/>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Sheet1!$A$2:$A$4</c:f>
              <c:strCache>
                <c:ptCount val="3"/>
                <c:pt idx="0">
                  <c:v>当年预算执行情况</c:v>
                </c:pt>
                <c:pt idx="1">
                  <c:v>整体绩效目标实现情况</c:v>
                </c:pt>
                <c:pt idx="2">
                  <c:v>预算管理情况</c:v>
                </c:pt>
              </c:strCache>
            </c:strRef>
          </c:cat>
          <c:val>
            <c:numRef>
              <c:f>Sheet1!$C$2:$C$4</c:f>
              <c:numCache>
                <c:formatCode>0.00_ </c:formatCode>
                <c:ptCount val="3"/>
                <c:pt idx="0" formatCode="General">
                  <c:v>16.170000000000005</c:v>
                </c:pt>
                <c:pt idx="1">
                  <c:v>59.1</c:v>
                </c:pt>
                <c:pt idx="2">
                  <c:v>15.2</c:v>
                </c:pt>
              </c:numCache>
            </c:numRef>
          </c:val>
        </c:ser>
        <c:dLbls>
          <c:showVal val="1"/>
        </c:dLbls>
        <c:gapWidth val="216"/>
        <c:overlap val="-32"/>
        <c:axId val="231481344"/>
        <c:axId val="231482880"/>
      </c:barChart>
      <c:catAx>
        <c:axId val="231481344"/>
        <c:scaling>
          <c:orientation val="minMax"/>
        </c:scaling>
        <c:axPos val="b"/>
        <c:maj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31482880"/>
        <c:crosses val="autoZero"/>
        <c:auto val="1"/>
        <c:lblAlgn val="ctr"/>
        <c:lblOffset val="100"/>
      </c:catAx>
      <c:valAx>
        <c:axId val="231482880"/>
        <c:scaling>
          <c:orientation val="minMax"/>
        </c:scaling>
        <c:axPos val="l"/>
        <c:majorGridlines>
          <c:spPr>
            <a:ln w="9525" cap="flat" cmpd="sng" algn="ctr">
              <a:solidFill>
                <a:schemeClr val="lt1">
                  <a:lumMod val="90200"/>
                </a:schemeClr>
              </a:solidFill>
              <a:prstDash val="solid"/>
              <a:round/>
            </a:ln>
            <a:effectLst/>
          </c:spPr>
        </c:majorGridlines>
        <c:numFmt formatCode="General" sourceLinked="1"/>
        <c:majorTickMark val="none"/>
        <c:tickLblPos val="nextTo"/>
        <c:spPr>
          <a:noFill/>
          <a:ln w="6350"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31481344"/>
        <c:crosses val="autoZero"/>
        <c:crossBetween val="between"/>
      </c:valAx>
      <c:dTable>
        <c:showHorzBorder val="1"/>
        <c:showVertBorder val="1"/>
        <c:showOutline val="1"/>
        <c:showKeys val="1"/>
        <c:spPr>
          <a:noFill/>
          <a:ln w="9525" cap="flat" cmpd="sng" algn="ctr">
            <a:solidFill>
              <a:schemeClr val="tx1">
                <a:lumMod val="15000"/>
                <a:lumOff val="85000"/>
              </a:schemeClr>
            </a:solidFill>
            <a:prstDash val="solid"/>
            <a:round/>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dTable>
      <c:spPr>
        <a:noFill/>
        <a:ln>
          <a:noFill/>
        </a:ln>
        <a:effectLst/>
      </c:spPr>
    </c:plotArea>
    <c:plotVisOnly val="1"/>
    <c:dispBlanksAs val="gap"/>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15</Pages>
  <Words>1109</Words>
  <Characters>6325</Characters>
  <Application>Microsoft Office Word</Application>
  <DocSecurity>0</DocSecurity>
  <Lines>52</Lines>
  <Paragraphs>14</Paragraphs>
  <ScaleCrop>false</ScaleCrop>
  <Company>Hewlett-Packard Company</Company>
  <LinksUpToDate>false</LinksUpToDate>
  <CharactersWithSpaces>7420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www</cp:lastModifiedBy>
  <cp:revision>23</cp:revision>
  <cp:lastPrinted>2025-08-27T06:58:00Z</cp:lastPrinted>
  <dcterms:created xsi:type="dcterms:W3CDTF">2022-03-19T11:16:00Z</dcterms:created>
  <dcterms:modified xsi:type="dcterms:W3CDTF">2025-08-27T07:16:00Z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CA47BE45EA7D4B9B848B83EDA0DFF388_13</vt:lpwstr>
  </property>
  <property fmtid="{D5CDD505-2E9C-101B-9397-08002B2CF9AE}" pid="4" name="KSOTemplateDocerSaveRecord">
    <vt:lpwstr>eyJoZGlkIjoiMmNiZTQ2NjVmYmJmMGNlZjIwZDI1NTI1ODEwMzlmYzciLCJ1c2VySWQiOiI1ODQ3NzIzNTYifQ==</vt:lpwstr>
  </property>
</Properties>
</file>