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hint="eastAsia" w:ascii="方正小标宋简体" w:eastAsia="方正小标宋简体"/>
          <w:sz w:val="40"/>
          <w:szCs w:val="40"/>
        </w:rPr>
      </w:pPr>
      <w:r>
        <w:rPr>
          <w:rFonts w:hint="eastAsia" w:ascii="方正小标宋简体" w:eastAsia="方正小标宋简体"/>
          <w:sz w:val="40"/>
          <w:szCs w:val="40"/>
        </w:rPr>
        <w:t>北京市通州区人民检察院</w:t>
      </w:r>
    </w:p>
    <w:p>
      <w:pPr>
        <w:spacing w:line="560" w:lineRule="exact"/>
        <w:jc w:val="center"/>
        <w:rPr>
          <w:rFonts w:ascii="方正小标宋简体" w:eastAsia="方正小标宋简体"/>
          <w:sz w:val="40"/>
          <w:szCs w:val="40"/>
        </w:rPr>
      </w:pPr>
      <w:r>
        <w:rPr>
          <w:rFonts w:hint="eastAsia" w:ascii="方正小标宋简体" w:eastAsia="方正小标宋简体"/>
          <w:sz w:val="40"/>
          <w:szCs w:val="40"/>
        </w:rPr>
        <w:t>2024年度整体支出绩效评价报告</w:t>
      </w:r>
    </w:p>
    <w:p/>
    <w:p>
      <w:pPr>
        <w:jc w:val="center"/>
        <w:rPr>
          <w:rFonts w:ascii="方正小标宋简体" w:eastAsia="方正小标宋简体"/>
          <w:sz w:val="36"/>
          <w:szCs w:val="36"/>
        </w:rPr>
      </w:pPr>
    </w:p>
    <w:p>
      <w:pPr>
        <w:jc w:val="center"/>
        <w:rPr>
          <w:rFonts w:ascii="方正小标宋简体" w:eastAsia="方正小标宋简体"/>
          <w:sz w:val="36"/>
          <w:szCs w:val="36"/>
        </w:rPr>
      </w:pPr>
    </w:p>
    <w:p>
      <w:pPr>
        <w:pStyle w:val="8"/>
        <w:rPr>
          <w:rFonts w:hint="default"/>
        </w:rPr>
      </w:pPr>
    </w:p>
    <w:p>
      <w:pPr>
        <w:rPr>
          <w:rFonts w:hint="eastAsia"/>
        </w:rPr>
      </w:pPr>
    </w:p>
    <w:p>
      <w:pPr>
        <w:jc w:val="center"/>
        <w:rPr>
          <w:rFonts w:ascii="方正小标宋简体" w:eastAsia="方正小标宋简体"/>
          <w:sz w:val="36"/>
          <w:szCs w:val="36"/>
        </w:rPr>
      </w:pPr>
    </w:p>
    <w:p>
      <w:pPr>
        <w:snapToGrid w:val="0"/>
        <w:spacing w:line="420" w:lineRule="auto"/>
        <w:ind w:right="120" w:firstLine="640"/>
        <w:rPr>
          <w:rFonts w:ascii="Arial" w:hAnsi="Arial" w:cs="Arial"/>
          <w:sz w:val="32"/>
          <w:szCs w:val="32"/>
        </w:rPr>
      </w:pPr>
      <w:r>
        <w:rPr>
          <w:rFonts w:ascii="Arial" w:hAnsi="Arial" w:cs="Arial"/>
          <w:sz w:val="32"/>
          <w:szCs w:val="32"/>
        </w:rPr>
        <w:t xml:space="preserve">主管部门 </w:t>
      </w:r>
      <w:r>
        <w:rPr>
          <w:rFonts w:ascii="Arial" w:hAnsi="Arial" w:cs="Arial"/>
          <w:sz w:val="32"/>
          <w:szCs w:val="32"/>
          <w:u w:val="single"/>
        </w:rPr>
        <w:t xml:space="preserve">北京市财政局         </w:t>
      </w:r>
      <w:r>
        <w:rPr>
          <w:rFonts w:hint="eastAsia" w:ascii="Arial" w:hAnsi="Arial" w:cs="Arial"/>
          <w:sz w:val="32"/>
          <w:szCs w:val="32"/>
          <w:u w:val="single"/>
        </w:rPr>
        <w:t xml:space="preserve">    </w:t>
      </w:r>
      <w:r>
        <w:rPr>
          <w:rFonts w:ascii="Arial" w:hAnsi="Arial" w:cs="Arial"/>
          <w:sz w:val="32"/>
          <w:szCs w:val="32"/>
          <w:u w:val="single"/>
        </w:rPr>
        <w:t xml:space="preserve"> </w:t>
      </w:r>
    </w:p>
    <w:p>
      <w:pPr>
        <w:snapToGrid w:val="0"/>
        <w:spacing w:line="420" w:lineRule="auto"/>
        <w:ind w:right="120" w:firstLine="640"/>
        <w:rPr>
          <w:rFonts w:ascii="Arial" w:hAnsi="Arial" w:cs="Arial"/>
          <w:sz w:val="32"/>
          <w:szCs w:val="32"/>
          <w:u w:val="single"/>
        </w:rPr>
      </w:pPr>
      <w:r>
        <w:rPr>
          <w:rFonts w:ascii="Arial" w:hAnsi="Arial" w:cs="Arial"/>
          <w:sz w:val="32"/>
          <w:szCs w:val="32"/>
        </w:rPr>
        <w:t xml:space="preserve">项目单位 </w:t>
      </w:r>
      <w:r>
        <w:rPr>
          <w:rFonts w:hint="eastAsia" w:ascii="Arial" w:hAnsi="Arial" w:cs="Arial"/>
          <w:sz w:val="32"/>
          <w:u w:val="single"/>
        </w:rPr>
        <w:t xml:space="preserve">北京市通州区人民检察院    </w:t>
      </w:r>
    </w:p>
    <w:p>
      <w:pPr>
        <w:snapToGrid w:val="0"/>
        <w:spacing w:line="420" w:lineRule="auto"/>
        <w:ind w:right="120" w:firstLine="640"/>
        <w:rPr>
          <w:rFonts w:ascii="Arial" w:hAnsi="Arial" w:cs="Arial"/>
          <w:sz w:val="32"/>
          <w:u w:val="single"/>
        </w:rPr>
      </w:pPr>
      <w:r>
        <w:rPr>
          <w:rFonts w:ascii="Arial" w:hAnsi="Arial" w:cs="Arial"/>
          <w:sz w:val="32"/>
          <w:szCs w:val="32"/>
        </w:rPr>
        <w:t xml:space="preserve">评价单位 </w:t>
      </w:r>
      <w:r>
        <w:rPr>
          <w:rFonts w:hint="eastAsia" w:ascii="Arial" w:hAnsi="Arial" w:cs="Arial"/>
          <w:sz w:val="32"/>
          <w:u w:val="single"/>
        </w:rPr>
        <w:t xml:space="preserve">北京市通州区人民检察院    </w:t>
      </w:r>
    </w:p>
    <w:p>
      <w:pPr>
        <w:snapToGrid w:val="0"/>
        <w:ind w:right="120" w:firstLine="640"/>
        <w:rPr>
          <w:rFonts w:ascii="Arial" w:hAnsi="Arial" w:cs="Arial"/>
          <w:sz w:val="32"/>
          <w:szCs w:val="32"/>
        </w:rPr>
      </w:pPr>
      <w:r>
        <w:rPr>
          <w:rFonts w:ascii="Arial" w:hAnsi="Arial" w:cs="Arial"/>
          <w:sz w:val="32"/>
          <w:szCs w:val="32"/>
        </w:rPr>
        <w:t>参与评价</w:t>
      </w:r>
    </w:p>
    <w:p>
      <w:pPr>
        <w:spacing w:line="560" w:lineRule="exact"/>
        <w:ind w:firstLine="640"/>
        <w:rPr>
          <w:rFonts w:ascii="Arial" w:hAnsi="Arial" w:cs="Arial"/>
          <w:sz w:val="32"/>
          <w:u w:val="single"/>
        </w:rPr>
      </w:pPr>
      <w:r>
        <w:rPr>
          <w:rFonts w:ascii="Arial" w:hAnsi="Arial" w:cs="Arial"/>
          <w:sz w:val="32"/>
          <w:szCs w:val="32"/>
        </w:rPr>
        <w:t xml:space="preserve">中介机构 </w:t>
      </w:r>
      <w:bookmarkStart w:id="0" w:name="_Hlk198841091"/>
      <w:r>
        <w:rPr>
          <w:rFonts w:hint="eastAsia" w:ascii="Arial" w:hAnsi="Arial" w:cs="Arial"/>
          <w:sz w:val="32"/>
          <w:u w:val="single"/>
        </w:rPr>
        <w:t>北京慧智宏景会计师事务所有限公司</w:t>
      </w:r>
      <w:bookmarkEnd w:id="0"/>
    </w:p>
    <w:p>
      <w:pPr>
        <w:jc w:val="center"/>
        <w:rPr>
          <w:rFonts w:ascii="方正小标宋简体" w:eastAsia="方正小标宋简体"/>
          <w:sz w:val="32"/>
          <w:szCs w:val="32"/>
        </w:rPr>
      </w:pPr>
      <w:r>
        <w:rPr>
          <w:rFonts w:hint="eastAsia" w:ascii="方正小标宋简体" w:eastAsia="方正小标宋简体"/>
          <w:sz w:val="32"/>
          <w:szCs w:val="32"/>
        </w:rPr>
        <w:br w:type="page"/>
      </w:r>
    </w:p>
    <w:sdt>
      <w:sdtPr>
        <w:rPr>
          <w:rFonts w:ascii="宋体" w:hAnsi="宋体"/>
          <w:sz w:val="24"/>
          <w:szCs w:val="32"/>
        </w:rPr>
        <w:id w:val="147472726"/>
        <w15:color w:val="DBDBDB"/>
        <w:docPartObj>
          <w:docPartGallery w:val="Table of Contents"/>
          <w:docPartUnique/>
        </w:docPartObj>
      </w:sdtPr>
      <w:sdtEndPr>
        <w:rPr>
          <w:rFonts w:hint="eastAsia" w:ascii="宋体" w:hAnsi="宋体" w:cs="宋体"/>
          <w:sz w:val="28"/>
          <w:szCs w:val="28"/>
        </w:rPr>
      </w:sdtEndPr>
      <w:sdtContent>
        <w:p>
          <w:pPr>
            <w:pStyle w:val="4"/>
            <w:ind w:firstLine="480"/>
            <w:jc w:val="center"/>
          </w:pPr>
          <w:r>
            <w:rPr>
              <w:rFonts w:hint="eastAsia" w:ascii="宋体" w:hAnsi="宋体" w:cs="宋体"/>
              <w:sz w:val="36"/>
              <w:szCs w:val="36"/>
            </w:rPr>
            <w:t>目 录</w:t>
          </w:r>
          <w:r>
            <w:rPr>
              <w:rFonts w:hint="eastAsia" w:ascii="宋体" w:hAnsi="宋体" w:cs="宋体"/>
              <w:sz w:val="28"/>
              <w:szCs w:val="28"/>
            </w:rPr>
            <w:fldChar w:fldCharType="begin"/>
          </w:r>
          <w:r>
            <w:rPr>
              <w:rFonts w:hint="eastAsia" w:ascii="宋体" w:hAnsi="宋体" w:cs="宋体"/>
              <w:sz w:val="28"/>
              <w:szCs w:val="28"/>
            </w:rPr>
            <w:instrText xml:space="preserve">TOC \o "1-2" \h \u </w:instrText>
          </w:r>
          <w:r>
            <w:rPr>
              <w:rFonts w:hint="eastAsia" w:ascii="宋体" w:hAnsi="宋体" w:cs="宋体"/>
              <w:sz w:val="28"/>
              <w:szCs w:val="28"/>
            </w:rPr>
            <w:fldChar w:fldCharType="separate"/>
          </w:r>
        </w:p>
        <w:p>
          <w:pPr>
            <w:pStyle w:val="11"/>
            <w:tabs>
              <w:tab w:val="right" w:leader="dot" w:pos="8306"/>
            </w:tabs>
            <w:rPr>
              <w:rFonts w:hint="eastAsia" w:ascii="宋体" w:hAnsi="宋体" w:cs="宋体"/>
              <w:sz w:val="28"/>
              <w:szCs w:val="36"/>
            </w:rPr>
          </w:pPr>
          <w:r>
            <w:fldChar w:fldCharType="begin"/>
          </w:r>
          <w:r>
            <w:instrText xml:space="preserve"> HYPERLINK \l "_Toc28193" </w:instrText>
          </w:r>
          <w:r>
            <w:fldChar w:fldCharType="separate"/>
          </w:r>
          <w:r>
            <w:rPr>
              <w:rFonts w:hint="eastAsia" w:ascii="宋体" w:hAnsi="宋体" w:cs="宋体"/>
              <w:kern w:val="0"/>
              <w:sz w:val="28"/>
              <w:szCs w:val="44"/>
            </w:rPr>
            <w:t>一、部门概况</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_Toc28193 \h </w:instrText>
          </w:r>
          <w:r>
            <w:rPr>
              <w:rFonts w:hint="eastAsia" w:ascii="宋体" w:hAnsi="宋体" w:cs="宋体"/>
              <w:sz w:val="28"/>
              <w:szCs w:val="36"/>
            </w:rPr>
            <w:fldChar w:fldCharType="separate"/>
          </w:r>
          <w:r>
            <w:rPr>
              <w:rFonts w:hint="eastAsia" w:ascii="宋体" w:hAnsi="宋体" w:cs="宋体"/>
              <w:sz w:val="28"/>
              <w:szCs w:val="36"/>
            </w:rPr>
            <w:t>- 1 -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"_Toc31785" </w:instrText>
          </w:r>
          <w:r>
            <w:fldChar w:fldCharType="separate"/>
          </w:r>
          <w:r>
            <w:rPr>
              <w:rFonts w:hint="eastAsia" w:ascii="宋体" w:hAnsi="宋体" w:cs="宋体"/>
              <w:sz w:val="28"/>
              <w:szCs w:val="44"/>
            </w:rPr>
            <w:t>（一）基本情况及主要职责</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_Toc31785 \h </w:instrText>
          </w:r>
          <w:r>
            <w:rPr>
              <w:rFonts w:hint="eastAsia" w:ascii="宋体" w:hAnsi="宋体" w:cs="宋体"/>
              <w:sz w:val="28"/>
              <w:szCs w:val="36"/>
            </w:rPr>
            <w:fldChar w:fldCharType="separate"/>
          </w:r>
          <w:r>
            <w:rPr>
              <w:rFonts w:hint="eastAsia" w:ascii="宋体" w:hAnsi="宋体" w:cs="宋体"/>
              <w:sz w:val="28"/>
              <w:szCs w:val="36"/>
            </w:rPr>
            <w:t>- 1 -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"_Toc15020" </w:instrText>
          </w:r>
          <w:r>
            <w:fldChar w:fldCharType="separate"/>
          </w:r>
          <w:r>
            <w:rPr>
              <w:rFonts w:hint="eastAsia" w:ascii="宋体" w:hAnsi="宋体" w:cs="宋体"/>
              <w:sz w:val="28"/>
              <w:szCs w:val="44"/>
            </w:rPr>
            <w:t>（二）机构设置情况</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_Toc15020 \h </w:instrText>
          </w:r>
          <w:r>
            <w:rPr>
              <w:rFonts w:hint="eastAsia" w:ascii="宋体" w:hAnsi="宋体" w:cs="宋体"/>
              <w:sz w:val="28"/>
              <w:szCs w:val="36"/>
            </w:rPr>
            <w:fldChar w:fldCharType="separate"/>
          </w:r>
          <w:r>
            <w:rPr>
              <w:rFonts w:hint="eastAsia" w:ascii="宋体" w:hAnsi="宋体" w:cs="宋体"/>
              <w:sz w:val="28"/>
              <w:szCs w:val="36"/>
            </w:rPr>
            <w:t>- 1 -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"_Toc8315" </w:instrText>
          </w:r>
          <w:r>
            <w:fldChar w:fldCharType="separate"/>
          </w:r>
          <w:r>
            <w:rPr>
              <w:rFonts w:hint="eastAsia" w:ascii="宋体" w:hAnsi="宋体" w:cs="宋体"/>
              <w:sz w:val="28"/>
              <w:szCs w:val="44"/>
            </w:rPr>
            <w:t>（三）部门整体绩效目标设立情况</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_Toc8315 \h </w:instrText>
          </w:r>
          <w:r>
            <w:rPr>
              <w:rFonts w:hint="eastAsia" w:ascii="宋体" w:hAnsi="宋体" w:cs="宋体"/>
              <w:sz w:val="28"/>
              <w:szCs w:val="36"/>
            </w:rPr>
            <w:fldChar w:fldCharType="separate"/>
          </w:r>
          <w:r>
            <w:rPr>
              <w:rFonts w:hint="eastAsia" w:ascii="宋体" w:hAnsi="宋体" w:cs="宋体"/>
              <w:sz w:val="28"/>
              <w:szCs w:val="36"/>
            </w:rPr>
            <w:t>- 2 -</w:t>
          </w:r>
          <w:r>
            <w:rPr>
              <w:rFonts w:hint="eastAsia" w:ascii="宋体" w:hAnsi="宋体" w:cs="宋体"/>
              <w:sz w:val="28"/>
              <w:szCs w:val="36"/>
            </w:rPr>
            <w:fldChar w:fldCharType="end"/>
          </w:r>
          <w:r>
            <w:rPr>
              <w:rFonts w:hint="eastAsia" w:ascii="宋体" w:hAnsi="宋体" w:cs="宋体"/>
              <w:sz w:val="28"/>
              <w:szCs w:val="36"/>
            </w:rPr>
            <w:fldChar w:fldCharType="end"/>
          </w:r>
        </w:p>
        <w:p>
          <w:pPr>
            <w:pStyle w:val="11"/>
            <w:tabs>
              <w:tab w:val="right" w:leader="dot" w:pos="8306"/>
            </w:tabs>
            <w:rPr>
              <w:rFonts w:hint="eastAsia" w:ascii="宋体" w:hAnsi="宋体" w:cs="宋体"/>
              <w:sz w:val="28"/>
              <w:szCs w:val="36"/>
            </w:rPr>
          </w:pPr>
          <w:r>
            <w:fldChar w:fldCharType="begin"/>
          </w:r>
          <w:r>
            <w:instrText xml:space="preserve"> HYPERLINK \l "_Toc14709" </w:instrText>
          </w:r>
          <w:r>
            <w:fldChar w:fldCharType="separate"/>
          </w:r>
          <w:r>
            <w:rPr>
              <w:rFonts w:hint="eastAsia" w:ascii="宋体" w:hAnsi="宋体" w:cs="宋体"/>
              <w:kern w:val="0"/>
              <w:sz w:val="28"/>
              <w:szCs w:val="44"/>
            </w:rPr>
            <w:t>二、当年预算执行情况</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_Toc14709 \h </w:instrText>
          </w:r>
          <w:r>
            <w:rPr>
              <w:rFonts w:hint="eastAsia" w:ascii="宋体" w:hAnsi="宋体" w:cs="宋体"/>
              <w:sz w:val="28"/>
              <w:szCs w:val="36"/>
            </w:rPr>
            <w:fldChar w:fldCharType="separate"/>
          </w:r>
          <w:r>
            <w:rPr>
              <w:rFonts w:hint="eastAsia" w:ascii="宋体" w:hAnsi="宋体" w:cs="宋体"/>
              <w:sz w:val="28"/>
              <w:szCs w:val="36"/>
            </w:rPr>
            <w:t>- 2 -</w:t>
          </w:r>
          <w:r>
            <w:rPr>
              <w:rFonts w:hint="eastAsia" w:ascii="宋体" w:hAnsi="宋体" w:cs="宋体"/>
              <w:sz w:val="28"/>
              <w:szCs w:val="36"/>
            </w:rPr>
            <w:fldChar w:fldCharType="end"/>
          </w:r>
          <w:r>
            <w:rPr>
              <w:rFonts w:hint="eastAsia" w:ascii="宋体" w:hAnsi="宋体" w:cs="宋体"/>
              <w:sz w:val="28"/>
              <w:szCs w:val="36"/>
            </w:rPr>
            <w:fldChar w:fldCharType="end"/>
          </w:r>
        </w:p>
        <w:p>
          <w:pPr>
            <w:pStyle w:val="11"/>
            <w:tabs>
              <w:tab w:val="right" w:leader="dot" w:pos="8306"/>
            </w:tabs>
            <w:rPr>
              <w:rFonts w:hint="eastAsia" w:ascii="宋体" w:hAnsi="宋体" w:cs="宋体"/>
              <w:sz w:val="28"/>
              <w:szCs w:val="36"/>
            </w:rPr>
          </w:pPr>
          <w:r>
            <w:fldChar w:fldCharType="begin"/>
          </w:r>
          <w:r>
            <w:instrText xml:space="preserve"> HYPERLINK \l "_Toc17416" </w:instrText>
          </w:r>
          <w:r>
            <w:fldChar w:fldCharType="separate"/>
          </w:r>
          <w:r>
            <w:rPr>
              <w:rFonts w:hint="eastAsia" w:ascii="宋体" w:hAnsi="宋体" w:cs="宋体"/>
              <w:kern w:val="0"/>
              <w:sz w:val="28"/>
              <w:szCs w:val="44"/>
            </w:rPr>
            <w:t>三、整体绩效目标实现情况</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_Toc17416 \h </w:instrText>
          </w:r>
          <w:r>
            <w:rPr>
              <w:rFonts w:hint="eastAsia" w:ascii="宋体" w:hAnsi="宋体" w:cs="宋体"/>
              <w:sz w:val="28"/>
              <w:szCs w:val="36"/>
            </w:rPr>
            <w:fldChar w:fldCharType="separate"/>
          </w:r>
          <w:r>
            <w:rPr>
              <w:rFonts w:hint="eastAsia" w:ascii="宋体" w:hAnsi="宋体" w:cs="宋体"/>
              <w:sz w:val="28"/>
              <w:szCs w:val="36"/>
            </w:rPr>
            <w:t>- 3 -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"_Toc17855" </w:instrText>
          </w:r>
          <w:r>
            <w:fldChar w:fldCharType="separate"/>
          </w:r>
          <w:r>
            <w:rPr>
              <w:rFonts w:hint="eastAsia" w:ascii="宋体" w:hAnsi="宋体" w:cs="宋体"/>
              <w:sz w:val="28"/>
              <w:szCs w:val="44"/>
            </w:rPr>
            <w:t>（一）部门履职产出指标完成情况</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_Toc17855 \h </w:instrText>
          </w:r>
          <w:r>
            <w:rPr>
              <w:rFonts w:hint="eastAsia" w:ascii="宋体" w:hAnsi="宋体" w:cs="宋体"/>
              <w:sz w:val="28"/>
              <w:szCs w:val="36"/>
            </w:rPr>
            <w:fldChar w:fldCharType="separate"/>
          </w:r>
          <w:r>
            <w:rPr>
              <w:rFonts w:hint="eastAsia" w:ascii="宋体" w:hAnsi="宋体" w:cs="宋体"/>
              <w:sz w:val="28"/>
              <w:szCs w:val="36"/>
            </w:rPr>
            <w:t>- 3 -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"_Toc13943" </w:instrText>
          </w:r>
          <w:r>
            <w:fldChar w:fldCharType="separate"/>
          </w:r>
          <w:r>
            <w:rPr>
              <w:rFonts w:hint="eastAsia" w:ascii="宋体" w:hAnsi="宋体" w:cs="宋体"/>
              <w:sz w:val="28"/>
              <w:szCs w:val="44"/>
            </w:rPr>
            <w:t>（二）部门履职效果指标实现情况</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_Toc13943 \h </w:instrText>
          </w:r>
          <w:r>
            <w:rPr>
              <w:rFonts w:hint="eastAsia" w:ascii="宋体" w:hAnsi="宋体" w:cs="宋体"/>
              <w:sz w:val="28"/>
              <w:szCs w:val="36"/>
            </w:rPr>
            <w:fldChar w:fldCharType="separate"/>
          </w:r>
          <w:r>
            <w:rPr>
              <w:rFonts w:hint="eastAsia" w:ascii="宋体" w:hAnsi="宋体" w:cs="宋体"/>
              <w:sz w:val="28"/>
              <w:szCs w:val="36"/>
            </w:rPr>
            <w:t>- 3 -</w:t>
          </w:r>
          <w:r>
            <w:rPr>
              <w:rFonts w:hint="eastAsia" w:ascii="宋体" w:hAnsi="宋体" w:cs="宋体"/>
              <w:sz w:val="28"/>
              <w:szCs w:val="36"/>
            </w:rPr>
            <w:fldChar w:fldCharType="end"/>
          </w:r>
          <w:r>
            <w:rPr>
              <w:rFonts w:hint="eastAsia" w:ascii="宋体" w:hAnsi="宋体" w:cs="宋体"/>
              <w:sz w:val="28"/>
              <w:szCs w:val="36"/>
            </w:rPr>
            <w:fldChar w:fldCharType="end"/>
          </w:r>
        </w:p>
        <w:p>
          <w:pPr>
            <w:pStyle w:val="11"/>
            <w:tabs>
              <w:tab w:val="right" w:leader="dot" w:pos="8306"/>
            </w:tabs>
            <w:rPr>
              <w:rFonts w:hint="eastAsia" w:ascii="宋体" w:hAnsi="宋体" w:cs="宋体"/>
              <w:sz w:val="28"/>
              <w:szCs w:val="36"/>
            </w:rPr>
          </w:pPr>
          <w:r>
            <w:fldChar w:fldCharType="begin"/>
          </w:r>
          <w:r>
            <w:instrText xml:space="preserve"> HYPERLINK \l "_Toc13351" </w:instrText>
          </w:r>
          <w:r>
            <w:fldChar w:fldCharType="separate"/>
          </w:r>
          <w:r>
            <w:rPr>
              <w:rFonts w:hint="eastAsia" w:ascii="宋体" w:hAnsi="宋体" w:cs="宋体"/>
              <w:kern w:val="0"/>
              <w:sz w:val="28"/>
              <w:szCs w:val="44"/>
            </w:rPr>
            <w:t>四、预算管理情况分析</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_Toc13351 \h </w:instrText>
          </w:r>
          <w:r>
            <w:rPr>
              <w:rFonts w:hint="eastAsia" w:ascii="宋体" w:hAnsi="宋体" w:cs="宋体"/>
              <w:sz w:val="28"/>
              <w:szCs w:val="36"/>
            </w:rPr>
            <w:fldChar w:fldCharType="separate"/>
          </w:r>
          <w:r>
            <w:rPr>
              <w:rFonts w:hint="eastAsia" w:ascii="宋体" w:hAnsi="宋体" w:cs="宋体"/>
              <w:sz w:val="28"/>
              <w:szCs w:val="36"/>
            </w:rPr>
            <w:t>- 4 -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"_Toc30530" </w:instrText>
          </w:r>
          <w:r>
            <w:fldChar w:fldCharType="separate"/>
          </w:r>
          <w:r>
            <w:rPr>
              <w:rFonts w:hint="eastAsia" w:ascii="宋体" w:hAnsi="宋体" w:cs="宋体"/>
              <w:sz w:val="28"/>
              <w:szCs w:val="44"/>
            </w:rPr>
            <w:t>（一）财务管理</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_Toc30530 \h </w:instrText>
          </w:r>
          <w:r>
            <w:rPr>
              <w:rFonts w:hint="eastAsia" w:ascii="宋体" w:hAnsi="宋体" w:cs="宋体"/>
              <w:sz w:val="28"/>
              <w:szCs w:val="36"/>
            </w:rPr>
            <w:fldChar w:fldCharType="separate"/>
          </w:r>
          <w:r>
            <w:rPr>
              <w:rFonts w:hint="eastAsia" w:ascii="宋体" w:hAnsi="宋体" w:cs="宋体"/>
              <w:sz w:val="28"/>
              <w:szCs w:val="36"/>
            </w:rPr>
            <w:t>- 4 -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"_Toc13920" </w:instrText>
          </w:r>
          <w:r>
            <w:fldChar w:fldCharType="separate"/>
          </w:r>
          <w:r>
            <w:rPr>
              <w:rFonts w:hint="eastAsia" w:ascii="宋体" w:hAnsi="宋体" w:cs="宋体"/>
              <w:sz w:val="28"/>
              <w:szCs w:val="44"/>
            </w:rPr>
            <w:t>（二）资产管理</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_Toc13920 \h </w:instrText>
          </w:r>
          <w:r>
            <w:rPr>
              <w:rFonts w:hint="eastAsia" w:ascii="宋体" w:hAnsi="宋体" w:cs="宋体"/>
              <w:sz w:val="28"/>
              <w:szCs w:val="36"/>
            </w:rPr>
            <w:fldChar w:fldCharType="separate"/>
          </w:r>
          <w:r>
            <w:rPr>
              <w:rFonts w:hint="eastAsia" w:ascii="宋体" w:hAnsi="宋体" w:cs="宋体"/>
              <w:sz w:val="28"/>
              <w:szCs w:val="36"/>
            </w:rPr>
            <w:t>- 6 -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"_Toc26852" </w:instrText>
          </w:r>
          <w:r>
            <w:fldChar w:fldCharType="separate"/>
          </w:r>
          <w:r>
            <w:rPr>
              <w:rFonts w:hint="eastAsia" w:ascii="宋体" w:hAnsi="宋体" w:cs="宋体"/>
              <w:sz w:val="28"/>
              <w:szCs w:val="44"/>
            </w:rPr>
            <w:t>（三）绩效管理</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_Toc26852 \h </w:instrText>
          </w:r>
          <w:r>
            <w:rPr>
              <w:rFonts w:hint="eastAsia" w:ascii="宋体" w:hAnsi="宋体" w:cs="宋体"/>
              <w:sz w:val="28"/>
              <w:szCs w:val="36"/>
            </w:rPr>
            <w:fldChar w:fldCharType="separate"/>
          </w:r>
          <w:r>
            <w:rPr>
              <w:rFonts w:hint="eastAsia" w:ascii="宋体" w:hAnsi="宋体" w:cs="宋体"/>
              <w:sz w:val="28"/>
              <w:szCs w:val="36"/>
            </w:rPr>
            <w:t>- 6 -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"_Toc9774" </w:instrText>
          </w:r>
          <w:r>
            <w:fldChar w:fldCharType="separate"/>
          </w:r>
          <w:r>
            <w:rPr>
              <w:rFonts w:hint="eastAsia" w:ascii="宋体" w:hAnsi="宋体" w:cs="宋体"/>
              <w:sz w:val="28"/>
              <w:szCs w:val="44"/>
            </w:rPr>
            <w:t>（四）结转结余率</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_Toc9774 \h </w:instrText>
          </w:r>
          <w:r>
            <w:rPr>
              <w:rFonts w:hint="eastAsia" w:ascii="宋体" w:hAnsi="宋体" w:cs="宋体"/>
              <w:sz w:val="28"/>
              <w:szCs w:val="36"/>
            </w:rPr>
            <w:fldChar w:fldCharType="separate"/>
          </w:r>
          <w:r>
            <w:rPr>
              <w:rFonts w:hint="eastAsia" w:ascii="宋体" w:hAnsi="宋体" w:cs="宋体"/>
              <w:sz w:val="28"/>
              <w:szCs w:val="36"/>
            </w:rPr>
            <w:t>- 7 -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"_Toc17024" </w:instrText>
          </w:r>
          <w:r>
            <w:fldChar w:fldCharType="separate"/>
          </w:r>
          <w:r>
            <w:rPr>
              <w:rFonts w:hint="eastAsia" w:ascii="宋体" w:hAnsi="宋体" w:cs="宋体"/>
              <w:sz w:val="28"/>
              <w:szCs w:val="44"/>
            </w:rPr>
            <w:t>（五）部门预决算差异率</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_Toc17024 \h </w:instrText>
          </w:r>
          <w:r>
            <w:rPr>
              <w:rFonts w:hint="eastAsia" w:ascii="宋体" w:hAnsi="宋体" w:cs="宋体"/>
              <w:sz w:val="28"/>
              <w:szCs w:val="36"/>
            </w:rPr>
            <w:fldChar w:fldCharType="separate"/>
          </w:r>
          <w:r>
            <w:rPr>
              <w:rFonts w:hint="eastAsia" w:ascii="宋体" w:hAnsi="宋体" w:cs="宋体"/>
              <w:sz w:val="28"/>
              <w:szCs w:val="36"/>
            </w:rPr>
            <w:t>- 7 -</w:t>
          </w:r>
          <w:r>
            <w:rPr>
              <w:rFonts w:hint="eastAsia" w:ascii="宋体" w:hAnsi="宋体" w:cs="宋体"/>
              <w:sz w:val="28"/>
              <w:szCs w:val="36"/>
            </w:rPr>
            <w:fldChar w:fldCharType="end"/>
          </w:r>
          <w:r>
            <w:rPr>
              <w:rFonts w:hint="eastAsia" w:ascii="宋体" w:hAnsi="宋体" w:cs="宋体"/>
              <w:sz w:val="28"/>
              <w:szCs w:val="36"/>
            </w:rPr>
            <w:fldChar w:fldCharType="end"/>
          </w:r>
        </w:p>
        <w:p>
          <w:pPr>
            <w:pStyle w:val="11"/>
            <w:tabs>
              <w:tab w:val="right" w:leader="dot" w:pos="8306"/>
            </w:tabs>
            <w:rPr>
              <w:rFonts w:hint="eastAsia" w:ascii="宋体" w:hAnsi="宋体" w:cs="宋体"/>
              <w:sz w:val="28"/>
              <w:szCs w:val="36"/>
            </w:rPr>
          </w:pPr>
          <w:r>
            <w:fldChar w:fldCharType="begin"/>
          </w:r>
          <w:r>
            <w:instrText xml:space="preserve"> HYPERLINK \l "_Toc14567" </w:instrText>
          </w:r>
          <w:r>
            <w:fldChar w:fldCharType="separate"/>
          </w:r>
          <w:r>
            <w:rPr>
              <w:rFonts w:hint="eastAsia" w:ascii="宋体" w:hAnsi="宋体" w:cs="宋体"/>
              <w:sz w:val="28"/>
              <w:szCs w:val="44"/>
            </w:rPr>
            <w:t>五、总体评价结论</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_Toc14567 \h </w:instrText>
          </w:r>
          <w:r>
            <w:rPr>
              <w:rFonts w:hint="eastAsia" w:ascii="宋体" w:hAnsi="宋体" w:cs="宋体"/>
              <w:sz w:val="28"/>
              <w:szCs w:val="36"/>
            </w:rPr>
            <w:fldChar w:fldCharType="separate"/>
          </w:r>
          <w:r>
            <w:rPr>
              <w:rFonts w:hint="eastAsia" w:ascii="宋体" w:hAnsi="宋体" w:cs="宋体"/>
              <w:sz w:val="28"/>
              <w:szCs w:val="36"/>
            </w:rPr>
            <w:t>- 8 -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"_Toc23501" </w:instrText>
          </w:r>
          <w:r>
            <w:fldChar w:fldCharType="separate"/>
          </w:r>
          <w:r>
            <w:rPr>
              <w:rFonts w:hint="eastAsia" w:ascii="宋体" w:hAnsi="宋体" w:cs="宋体"/>
              <w:sz w:val="28"/>
              <w:szCs w:val="44"/>
            </w:rPr>
            <w:t>（一）评价得分情况</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_Toc23501 \h </w:instrText>
          </w:r>
          <w:r>
            <w:rPr>
              <w:rFonts w:hint="eastAsia" w:ascii="宋体" w:hAnsi="宋体" w:cs="宋体"/>
              <w:sz w:val="28"/>
              <w:szCs w:val="36"/>
            </w:rPr>
            <w:fldChar w:fldCharType="separate"/>
          </w:r>
          <w:r>
            <w:rPr>
              <w:rFonts w:hint="eastAsia" w:ascii="宋体" w:hAnsi="宋体" w:cs="宋体"/>
              <w:sz w:val="28"/>
              <w:szCs w:val="36"/>
            </w:rPr>
            <w:t>- 8 -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"_Toc26683" </w:instrText>
          </w:r>
          <w:r>
            <w:fldChar w:fldCharType="separate"/>
          </w:r>
          <w:r>
            <w:rPr>
              <w:rFonts w:hint="eastAsia" w:ascii="宋体" w:hAnsi="宋体" w:cs="宋体"/>
              <w:sz w:val="28"/>
              <w:szCs w:val="44"/>
            </w:rPr>
            <w:t>（二）存在的问题及原因分析</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_Toc26683 \h </w:instrText>
          </w:r>
          <w:r>
            <w:rPr>
              <w:rFonts w:hint="eastAsia" w:ascii="宋体" w:hAnsi="宋体" w:cs="宋体"/>
              <w:sz w:val="28"/>
              <w:szCs w:val="36"/>
            </w:rPr>
            <w:fldChar w:fldCharType="separate"/>
          </w:r>
          <w:r>
            <w:rPr>
              <w:rFonts w:hint="eastAsia" w:ascii="宋体" w:hAnsi="宋体" w:cs="宋体"/>
              <w:sz w:val="28"/>
              <w:szCs w:val="36"/>
            </w:rPr>
            <w:t>- 8 -</w:t>
          </w:r>
          <w:r>
            <w:rPr>
              <w:rFonts w:hint="eastAsia" w:ascii="宋体" w:hAnsi="宋体" w:cs="宋体"/>
              <w:sz w:val="28"/>
              <w:szCs w:val="36"/>
            </w:rPr>
            <w:fldChar w:fldCharType="end"/>
          </w:r>
          <w:r>
            <w:rPr>
              <w:rFonts w:hint="eastAsia" w:ascii="宋体" w:hAnsi="宋体" w:cs="宋体"/>
              <w:sz w:val="28"/>
              <w:szCs w:val="36"/>
            </w:rPr>
            <w:fldChar w:fldCharType="end"/>
          </w:r>
        </w:p>
        <w:p>
          <w:pPr>
            <w:pStyle w:val="11"/>
            <w:tabs>
              <w:tab w:val="right" w:leader="dot" w:pos="8306"/>
            </w:tabs>
            <w:rPr>
              <w:rFonts w:hint="eastAsia" w:ascii="宋体" w:hAnsi="宋体" w:cs="宋体"/>
              <w:sz w:val="28"/>
              <w:szCs w:val="36"/>
            </w:rPr>
          </w:pPr>
          <w:r>
            <w:fldChar w:fldCharType="begin"/>
          </w:r>
          <w:r>
            <w:instrText xml:space="preserve"> HYPERLINK \l "_Toc3396" </w:instrText>
          </w:r>
          <w:r>
            <w:fldChar w:fldCharType="separate"/>
          </w:r>
          <w:r>
            <w:rPr>
              <w:rFonts w:hint="eastAsia" w:ascii="宋体" w:hAnsi="宋体" w:cs="宋体"/>
              <w:kern w:val="0"/>
              <w:sz w:val="28"/>
              <w:szCs w:val="44"/>
            </w:rPr>
            <w:t>六、措施建议</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_Toc3396 \h </w:instrText>
          </w:r>
          <w:r>
            <w:rPr>
              <w:rFonts w:hint="eastAsia" w:ascii="宋体" w:hAnsi="宋体" w:cs="宋体"/>
              <w:sz w:val="28"/>
              <w:szCs w:val="36"/>
            </w:rPr>
            <w:fldChar w:fldCharType="separate"/>
          </w:r>
          <w:r>
            <w:rPr>
              <w:rFonts w:hint="eastAsia" w:ascii="宋体" w:hAnsi="宋体" w:cs="宋体"/>
              <w:sz w:val="28"/>
              <w:szCs w:val="36"/>
            </w:rPr>
            <w:t>- 9 -</w:t>
          </w:r>
          <w:r>
            <w:rPr>
              <w:rFonts w:hint="eastAsia" w:ascii="宋体" w:hAnsi="宋体" w:cs="宋体"/>
              <w:sz w:val="28"/>
              <w:szCs w:val="36"/>
            </w:rPr>
            <w:fldChar w:fldCharType="end"/>
          </w:r>
          <w:r>
            <w:rPr>
              <w:rFonts w:hint="eastAsia" w:ascii="宋体" w:hAnsi="宋体" w:cs="宋体"/>
              <w:sz w:val="28"/>
              <w:szCs w:val="36"/>
            </w:rPr>
            <w:fldChar w:fldCharType="end"/>
          </w:r>
        </w:p>
        <w:p>
          <w:pPr>
            <w:pStyle w:val="11"/>
            <w:tabs>
              <w:tab w:val="right" w:leader="dot" w:pos="8306"/>
            </w:tabs>
            <w:rPr>
              <w:rFonts w:hint="eastAsia" w:ascii="宋体" w:hAnsi="宋体" w:cs="宋体"/>
              <w:sz w:val="28"/>
              <w:szCs w:val="36"/>
            </w:rPr>
          </w:pPr>
          <w:r>
            <w:fldChar w:fldCharType="begin"/>
          </w:r>
          <w:r>
            <w:instrText xml:space="preserve"> HYPERLINK \l "_Toc8439" </w:instrText>
          </w:r>
          <w:r>
            <w:fldChar w:fldCharType="separate"/>
          </w:r>
          <w:r>
            <w:rPr>
              <w:rFonts w:hint="eastAsia" w:ascii="宋体" w:hAnsi="宋体" w:cs="宋体"/>
              <w:kern w:val="0"/>
              <w:sz w:val="28"/>
              <w:szCs w:val="44"/>
            </w:rPr>
            <w:t>七、其他</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_Toc8439 \h </w:instrText>
          </w:r>
          <w:r>
            <w:rPr>
              <w:rFonts w:hint="eastAsia" w:ascii="宋体" w:hAnsi="宋体" w:cs="宋体"/>
              <w:sz w:val="28"/>
              <w:szCs w:val="36"/>
            </w:rPr>
            <w:fldChar w:fldCharType="separate"/>
          </w:r>
          <w:r>
            <w:rPr>
              <w:rFonts w:hint="eastAsia" w:ascii="宋体" w:hAnsi="宋体" w:cs="宋体"/>
              <w:sz w:val="28"/>
              <w:szCs w:val="36"/>
            </w:rPr>
            <w:t>- 9 -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"_Toc21024" </w:instrText>
          </w:r>
          <w:r>
            <w:fldChar w:fldCharType="separate"/>
          </w:r>
          <w:r>
            <w:rPr>
              <w:rFonts w:hint="eastAsia" w:ascii="宋体" w:hAnsi="宋体" w:cs="宋体"/>
              <w:kern w:val="0"/>
              <w:sz w:val="28"/>
              <w:szCs w:val="44"/>
            </w:rPr>
            <w:t>附件1：部门收入支出决算总表</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_Toc21024 \h </w:instrText>
          </w:r>
          <w:r>
            <w:rPr>
              <w:rFonts w:hint="eastAsia" w:ascii="宋体" w:hAnsi="宋体" w:cs="宋体"/>
              <w:sz w:val="28"/>
              <w:szCs w:val="36"/>
            </w:rPr>
            <w:fldChar w:fldCharType="separate"/>
          </w:r>
          <w:r>
            <w:rPr>
              <w:rFonts w:hint="eastAsia" w:ascii="宋体" w:hAnsi="宋体" w:cs="宋体"/>
              <w:sz w:val="28"/>
              <w:szCs w:val="36"/>
            </w:rPr>
            <w:t>- 10 -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rPr>
              <w:rFonts w:hint="eastAsia" w:ascii="宋体" w:hAnsi="宋体" w:cs="宋体"/>
              <w:sz w:val="28"/>
              <w:szCs w:val="36"/>
            </w:rPr>
          </w:pPr>
          <w:r>
            <w:fldChar w:fldCharType="begin"/>
          </w:r>
          <w:r>
            <w:instrText xml:space="preserve"> HYPERLINK \l "_Toc5788" </w:instrText>
          </w:r>
          <w:r>
            <w:fldChar w:fldCharType="separate"/>
          </w:r>
          <w:r>
            <w:rPr>
              <w:rFonts w:hint="eastAsia" w:ascii="宋体" w:hAnsi="宋体" w:cs="宋体"/>
              <w:kern w:val="0"/>
              <w:sz w:val="28"/>
              <w:szCs w:val="44"/>
            </w:rPr>
            <w:t>附件2：部门整体支出绩效目标完成情况对比表</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_Toc5788 \h </w:instrText>
          </w:r>
          <w:r>
            <w:rPr>
              <w:rFonts w:hint="eastAsia" w:ascii="宋体" w:hAnsi="宋体" w:cs="宋体"/>
              <w:sz w:val="28"/>
              <w:szCs w:val="36"/>
            </w:rPr>
            <w:fldChar w:fldCharType="separate"/>
          </w:r>
          <w:r>
            <w:rPr>
              <w:rFonts w:hint="eastAsia" w:ascii="宋体" w:hAnsi="宋体" w:cs="宋体"/>
              <w:sz w:val="28"/>
              <w:szCs w:val="36"/>
            </w:rPr>
            <w:t>- 12 -</w:t>
          </w:r>
          <w:r>
            <w:rPr>
              <w:rFonts w:hint="eastAsia" w:ascii="宋体" w:hAnsi="宋体" w:cs="宋体"/>
              <w:sz w:val="28"/>
              <w:szCs w:val="36"/>
            </w:rPr>
            <w:fldChar w:fldCharType="end"/>
          </w:r>
          <w:r>
            <w:rPr>
              <w:rFonts w:hint="eastAsia" w:ascii="宋体" w:hAnsi="宋体" w:cs="宋体"/>
              <w:sz w:val="28"/>
              <w:szCs w:val="36"/>
            </w:rPr>
            <w:fldChar w:fldCharType="end"/>
          </w:r>
        </w:p>
        <w:p>
          <w:pPr>
            <w:pStyle w:val="12"/>
            <w:tabs>
              <w:tab w:val="right" w:leader="dot" w:pos="8306"/>
            </w:tabs>
          </w:pPr>
          <w:r>
            <w:fldChar w:fldCharType="begin"/>
          </w:r>
          <w:r>
            <w:instrText xml:space="preserve"> HYPERLINK \l "_Toc30576" </w:instrText>
          </w:r>
          <w:r>
            <w:fldChar w:fldCharType="separate"/>
          </w:r>
          <w:r>
            <w:rPr>
              <w:rFonts w:hint="eastAsia" w:ascii="宋体" w:hAnsi="宋体" w:cs="宋体"/>
              <w:kern w:val="0"/>
              <w:sz w:val="28"/>
              <w:szCs w:val="44"/>
            </w:rPr>
            <w:t>附件3：2024年部门整体绩效评价指标体系评分表</w:t>
          </w:r>
          <w:r>
            <w:rPr>
              <w:rFonts w:hint="eastAsia" w:ascii="宋体" w:hAnsi="宋体" w:cs="宋体"/>
              <w:sz w:val="28"/>
              <w:szCs w:val="36"/>
            </w:rPr>
            <w:tab/>
          </w:r>
          <w:r>
            <w:rPr>
              <w:rFonts w:hint="eastAsia" w:ascii="宋体" w:hAnsi="宋体" w:cs="宋体"/>
              <w:sz w:val="28"/>
              <w:szCs w:val="36"/>
            </w:rPr>
            <w:fldChar w:fldCharType="begin"/>
          </w:r>
          <w:r>
            <w:rPr>
              <w:rFonts w:hint="eastAsia" w:ascii="宋体" w:hAnsi="宋体" w:cs="宋体"/>
              <w:sz w:val="28"/>
              <w:szCs w:val="36"/>
            </w:rPr>
            <w:instrText xml:space="preserve"> PAGEREF _Toc30576 \h </w:instrText>
          </w:r>
          <w:r>
            <w:rPr>
              <w:rFonts w:hint="eastAsia" w:ascii="宋体" w:hAnsi="宋体" w:cs="宋体"/>
              <w:sz w:val="28"/>
              <w:szCs w:val="36"/>
            </w:rPr>
            <w:fldChar w:fldCharType="separate"/>
          </w:r>
          <w:r>
            <w:rPr>
              <w:rFonts w:hint="eastAsia" w:ascii="宋体" w:hAnsi="宋体" w:cs="宋体"/>
              <w:sz w:val="28"/>
              <w:szCs w:val="36"/>
            </w:rPr>
            <w:t>- 13 -</w:t>
          </w:r>
          <w:r>
            <w:rPr>
              <w:rFonts w:hint="eastAsia" w:ascii="宋体" w:hAnsi="宋体" w:cs="宋体"/>
              <w:sz w:val="28"/>
              <w:szCs w:val="36"/>
            </w:rPr>
            <w:fldChar w:fldCharType="end"/>
          </w:r>
          <w:r>
            <w:rPr>
              <w:rFonts w:hint="eastAsia" w:ascii="宋体" w:hAnsi="宋体" w:cs="宋体"/>
              <w:sz w:val="28"/>
              <w:szCs w:val="36"/>
            </w:rPr>
            <w:fldChar w:fldCharType="end"/>
          </w:r>
        </w:p>
        <w:p>
          <w:pPr>
            <w:jc w:val="center"/>
            <w:rPr>
              <w:rFonts w:hint="eastAsia" w:ascii="宋体" w:hAnsi="宋体" w:cs="宋体"/>
              <w:sz w:val="28"/>
              <w:szCs w:val="28"/>
            </w:rPr>
          </w:pPr>
          <w:r>
            <w:rPr>
              <w:rFonts w:hint="eastAsia" w:ascii="宋体" w:hAnsi="宋体" w:cs="宋体"/>
              <w:sz w:val="28"/>
              <w:szCs w:val="28"/>
            </w:rPr>
            <w:fldChar w:fldCharType="end"/>
          </w:r>
        </w:p>
      </w:sdtContent>
    </w:sdt>
    <w:p>
      <w:pPr>
        <w:jc w:val="center"/>
        <w:outlineLvl w:val="0"/>
        <w:rPr>
          <w:rFonts w:ascii="方正小标宋简体" w:eastAsia="方正小标宋简体"/>
          <w:sz w:val="36"/>
          <w:szCs w:val="36"/>
        </w:rPr>
        <w:sectPr>
          <w:pgSz w:w="11906" w:h="16838"/>
          <w:pgMar w:top="1440" w:right="1800" w:bottom="1440" w:left="1800" w:header="851" w:footer="992" w:gutter="0"/>
          <w:pgNumType w:start="1"/>
          <w:cols w:space="425" w:num="1"/>
          <w:docGrid w:type="lines" w:linePitch="312" w:charSpace="0"/>
        </w:sectPr>
      </w:pPr>
      <w:bookmarkStart w:id="1" w:name="_Toc16949"/>
      <w:bookmarkStart w:id="2" w:name="_Toc13599"/>
    </w:p>
    <w:p>
      <w:pPr>
        <w:spacing w:line="560" w:lineRule="exact"/>
        <w:jc w:val="center"/>
        <w:outlineLvl w:val="0"/>
        <w:rPr>
          <w:rFonts w:hint="eastAsia" w:ascii="方正小标宋简体" w:eastAsia="方正小标宋简体"/>
          <w:sz w:val="36"/>
          <w:szCs w:val="36"/>
        </w:rPr>
      </w:pPr>
      <w:r>
        <w:rPr>
          <w:rFonts w:hint="eastAsia" w:ascii="方正小标宋简体" w:eastAsia="方正小标宋简体"/>
          <w:sz w:val="36"/>
          <w:szCs w:val="36"/>
        </w:rPr>
        <w:t>北京市通州区人民检察院</w:t>
      </w:r>
      <w:bookmarkEnd w:id="1"/>
      <w:bookmarkEnd w:id="2"/>
    </w:p>
    <w:p>
      <w:pPr>
        <w:spacing w:line="560" w:lineRule="exact"/>
        <w:jc w:val="center"/>
        <w:outlineLvl w:val="0"/>
        <w:rPr>
          <w:rFonts w:ascii="方正小标宋简体" w:eastAsia="方正小标宋简体"/>
          <w:sz w:val="36"/>
          <w:szCs w:val="36"/>
        </w:rPr>
      </w:pPr>
      <w:bookmarkStart w:id="3" w:name="_Toc5984"/>
      <w:bookmarkStart w:id="4" w:name="_Toc25342"/>
      <w:r>
        <w:rPr>
          <w:rFonts w:hint="eastAsia" w:ascii="方正小标宋简体" w:eastAsia="方正小标宋简体"/>
          <w:sz w:val="36"/>
          <w:szCs w:val="36"/>
        </w:rPr>
        <w:t>2024年度整体支出绩效评价报告</w:t>
      </w:r>
      <w:bookmarkEnd w:id="3"/>
      <w:bookmarkEnd w:id="4"/>
    </w:p>
    <w:p>
      <w:pPr>
        <w:jc w:val="center"/>
        <w:rPr>
          <w:rFonts w:ascii="仿宋_GB2312"/>
          <w:szCs w:val="30"/>
        </w:rPr>
      </w:pPr>
    </w:p>
    <w:p>
      <w:pPr>
        <w:spacing w:line="360" w:lineRule="auto"/>
        <w:ind w:firstLine="640"/>
        <w:rPr>
          <w:rFonts w:hint="eastAsia" w:ascii="仿宋_GB2312" w:hAnsi="仿宋_GB2312" w:eastAsia="仿宋_GB2312" w:cs="仿宋_GB2312"/>
          <w:sz w:val="32"/>
          <w:szCs w:val="32"/>
        </w:rPr>
      </w:pPr>
      <w:bookmarkStart w:id="5" w:name="_Toc28193"/>
      <w:r>
        <w:rPr>
          <w:rFonts w:hint="eastAsia" w:ascii="仿宋_GB2312" w:hAnsi="仿宋_GB2312" w:eastAsia="仿宋_GB2312" w:cs="仿宋_GB2312"/>
          <w:sz w:val="32"/>
          <w:szCs w:val="32"/>
        </w:rPr>
        <w:t>为进一步落实全面实施预算绩效管理工作要求，建立科学、合理的项目支出绩效评价管理体系，提高财政资源配置效率和使用效益，强化支出责任，合理配置公共财政资源，依据《北京市财政局关于开展2022年全面预算绩效管理工作的通知》（京财绩效〔2022〕669号）和《北京市项目支出绩效评价管理办法》（京财绩效〔2020〕2146号）及其他相关文件的规定，</w:t>
      </w:r>
      <w:bookmarkStart w:id="6" w:name="OLE_LINK2"/>
      <w:r>
        <w:rPr>
          <w:rFonts w:hint="eastAsia" w:ascii="仿宋_GB2312" w:hAnsi="仿宋_GB2312" w:eastAsia="仿宋_GB2312" w:cs="仿宋_GB2312"/>
          <w:color w:val="000000"/>
          <w:kern w:val="0"/>
          <w:sz w:val="32"/>
          <w:szCs w:val="32"/>
        </w:rPr>
        <w:t>北京市通州区人民检察院</w:t>
      </w:r>
      <w:bookmarkEnd w:id="6"/>
      <w:r>
        <w:rPr>
          <w:rFonts w:hint="eastAsia" w:ascii="仿宋_GB2312" w:hAnsi="仿宋_GB2312" w:eastAsia="仿宋_GB2312" w:cs="仿宋_GB2312"/>
          <w:sz w:val="32"/>
          <w:szCs w:val="32"/>
        </w:rPr>
        <w:t>在汇总基本支出情况和项目支出绩效自评情况的基础上，对2024年度部门整体支出进行绩效分析评价，形成本报告。</w:t>
      </w:r>
    </w:p>
    <w:p>
      <w:pPr>
        <w:spacing w:line="600" w:lineRule="exact"/>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bookmarkEnd w:id="5"/>
    </w:p>
    <w:p>
      <w:pPr>
        <w:spacing w:line="560" w:lineRule="exact"/>
        <w:ind w:firstLine="640" w:firstLineChars="200"/>
        <w:outlineLvl w:val="1"/>
        <w:rPr>
          <w:rFonts w:ascii="楷体_GB2312" w:eastAsia="楷体_GB2312"/>
          <w:sz w:val="32"/>
          <w:szCs w:val="32"/>
        </w:rPr>
      </w:pPr>
      <w:bookmarkStart w:id="7" w:name="_Toc31785"/>
      <w:r>
        <w:rPr>
          <w:rFonts w:hint="eastAsia" w:ascii="楷体_GB2312" w:eastAsia="楷体_GB2312"/>
          <w:sz w:val="32"/>
          <w:szCs w:val="32"/>
        </w:rPr>
        <w:t>（一）基本情况及主要职责</w:t>
      </w:r>
      <w:bookmarkEnd w:id="7"/>
    </w:p>
    <w:p>
      <w:pPr>
        <w:spacing w:line="560" w:lineRule="exact"/>
        <w:ind w:firstLine="640" w:firstLineChars="200"/>
        <w:rPr>
          <w:rFonts w:hint="eastAsia" w:ascii="仿宋_GB2312" w:hAnsi="仿宋_GB2312" w:eastAsia="仿宋_GB2312" w:cs="仿宋_GB2312"/>
          <w:color w:val="000000"/>
          <w:kern w:val="0"/>
          <w:sz w:val="32"/>
          <w:szCs w:val="32"/>
        </w:rPr>
      </w:pPr>
      <w:bookmarkStart w:id="8" w:name="OLE_LINK1"/>
      <w:r>
        <w:rPr>
          <w:rFonts w:hint="eastAsia" w:ascii="仿宋_GB2312" w:hAnsi="仿宋_GB2312" w:eastAsia="仿宋_GB2312" w:cs="仿宋_GB2312"/>
          <w:color w:val="000000"/>
          <w:kern w:val="0"/>
          <w:sz w:val="32"/>
          <w:szCs w:val="32"/>
        </w:rPr>
        <w:t>北京市通州区人民检察院</w:t>
      </w:r>
      <w:bookmarkEnd w:id="8"/>
      <w:r>
        <w:rPr>
          <w:rFonts w:hint="eastAsia" w:ascii="仿宋_GB2312" w:hAnsi="仿宋_GB2312" w:eastAsia="仿宋_GB2312" w:cs="仿宋_GB2312"/>
          <w:color w:val="000000"/>
          <w:kern w:val="0"/>
          <w:sz w:val="32"/>
          <w:szCs w:val="32"/>
        </w:rPr>
        <w:t>（以下简称“通州检察院”）为国家法律监督机关，机构住所北京市通州区玉桥西路85号，法定代表人：李辰，统一社会信用代码111101120000288201。</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主要职责：</w:t>
      </w:r>
      <w:bookmarkStart w:id="9" w:name="_Toc15020"/>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（1）在辖区内依照法律规定对有关刑事案件行使侦查权；</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（2）负责对本辖区内刑事案件进行审查，批准或者决定是否逮捕嫌疑人；</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（3）负责对本辖区内刑事案件进行审查，决定是否提起公诉，对决定提起公诉的案件支持公诉；</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（4）在辖区内依照法律规定提起公益诉讼；</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（5）负责对本辖区内诉讼活动实行法律监督；</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（6）负责对本辖区内判决、裁定等生效法律文书的执行工作实行法律监督；</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（7）负责对本辖区监狱、看守所的执法活动实行法律监督；</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（8）法律规定的其他职权。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（二）机构设置情况</w:t>
      </w:r>
      <w:bookmarkEnd w:id="9"/>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通州区人民检察院在管辖地区内依法独立行使检察权，接受北京市人民检察院和区委的领导，对本区人民代表大会及其常务委员会负责并报告工作。根据《关于印发&lt;关于北京市检察机关内设机构改革方案&gt;的通知》（京政法发[2019]8号），北京市通州区人民检察院内设12个部门，分别为：办公室（</w:t>
      </w:r>
      <w:bookmarkStart w:id="10" w:name="OLE_LINK13"/>
      <w:r>
        <w:rPr>
          <w:rFonts w:hint="eastAsia" w:ascii="仿宋_GB2312" w:hAnsi="仿宋_GB2312" w:eastAsia="仿宋_GB2312" w:cs="仿宋_GB2312"/>
          <w:sz w:val="32"/>
          <w:szCs w:val="32"/>
        </w:rPr>
        <w:t>行政事务管理部</w:t>
      </w:r>
      <w:bookmarkEnd w:id="10"/>
      <w:r>
        <w:rPr>
          <w:rFonts w:hint="eastAsia" w:ascii="仿宋_GB2312" w:hAnsi="仿宋_GB2312" w:eastAsia="仿宋_GB2312" w:cs="仿宋_GB2312"/>
          <w:sz w:val="32"/>
          <w:szCs w:val="32"/>
        </w:rPr>
        <w:t>）、政治部（机关党委、机关纪委）、第一检察部、第二检察部、第三检察部、第四检察部、第五检察部、第六检察部、第七检察部、第八检察部（法律政策研究室）、检务督察部和驻通州区看守所检察室。</w:t>
      </w:r>
    </w:p>
    <w:p>
      <w:pPr>
        <w:spacing w:line="560" w:lineRule="exact"/>
        <w:ind w:firstLine="640" w:firstLineChars="200"/>
        <w:outlineLvl w:val="1"/>
        <w:rPr>
          <w:rFonts w:ascii="楷体_GB2312" w:eastAsia="楷体_GB2312"/>
          <w:sz w:val="32"/>
          <w:szCs w:val="32"/>
        </w:rPr>
      </w:pPr>
      <w:bookmarkStart w:id="11" w:name="_Toc8315"/>
      <w:r>
        <w:rPr>
          <w:rFonts w:hint="eastAsia" w:ascii="楷体_GB2312" w:eastAsia="楷体_GB2312"/>
          <w:sz w:val="32"/>
          <w:szCs w:val="32"/>
        </w:rPr>
        <w:t>（三）部门整体绩效目标设立情况</w:t>
      </w:r>
      <w:bookmarkEnd w:id="11"/>
    </w:p>
    <w:p>
      <w:pPr>
        <w:spacing w:line="600" w:lineRule="exact"/>
        <w:ind w:firstLine="640" w:firstLineChars="200"/>
        <w:rPr>
          <w:rFonts w:hint="eastAsia" w:ascii="仿宋_GB2312" w:hAnsi="仿宋_GB2312" w:eastAsia="仿宋_GB2312" w:cs="仿宋_GB2312"/>
          <w:sz w:val="32"/>
          <w:szCs w:val="32"/>
        </w:rPr>
      </w:pPr>
      <w:bookmarkStart w:id="12" w:name="_Toc14709"/>
      <w:r>
        <w:rPr>
          <w:rFonts w:hint="eastAsia" w:ascii="仿宋_GB2312" w:hAnsi="仿宋_GB2312" w:eastAsia="仿宋_GB2312" w:cs="仿宋_GB2312"/>
          <w:sz w:val="32"/>
          <w:szCs w:val="32"/>
        </w:rPr>
        <w:t>人民检察院是国家的法律监督机关，通过履行监督职能，保证国家法律的统一和正确实施。依照法律规定对有关刑事案件行使侦查权；对刑事案件进行审查、批准或者决定是否逮捕犯罪嫌疑人；对刑事案件进行审查，决定是否提起公诉，对决定提起公诉的案件支持公诉；依照法律规定提起公益诉讼；对诉讼活动实施法律监督；对判决、裁定等生效法律文书的执行工作实施法律监督；对监狱、看守所的执法活动实施法律监督等。</w:t>
      </w:r>
    </w:p>
    <w:p>
      <w:pPr>
        <w:spacing w:line="600" w:lineRule="exact"/>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12"/>
    </w:p>
    <w:p>
      <w:pPr>
        <w:widowControl/>
        <w:spacing w:line="560" w:lineRule="exact"/>
        <w:ind w:firstLine="640" w:firstLineChars="200"/>
        <w:jc w:val="left"/>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2024年全年预算数</w:t>
      </w:r>
      <w:bookmarkStart w:id="13" w:name="OLE_LINK14"/>
      <w:r>
        <w:rPr>
          <w:rFonts w:hint="eastAsia" w:ascii="仿宋_GB2312" w:eastAsia="仿宋_GB2312"/>
          <w:sz w:val="32"/>
          <w:szCs w:val="32"/>
        </w:rPr>
        <w:t>10171.96</w:t>
      </w:r>
      <w:bookmarkEnd w:id="13"/>
      <w:r>
        <w:rPr>
          <w:rFonts w:hint="eastAsia" w:ascii="仿宋_GB2312" w:hAnsi="仿宋_GB2312" w:eastAsia="仿宋_GB2312" w:cs="仿宋_GB2312"/>
          <w:sz w:val="32"/>
          <w:szCs w:val="32"/>
        </w:rPr>
        <w:t>万元，其中，基本支出预算数</w:t>
      </w:r>
      <w:bookmarkStart w:id="14" w:name="OLE_LINK4"/>
      <w:r>
        <w:rPr>
          <w:rFonts w:hint="eastAsia" w:ascii="仿宋_GB2312" w:hAnsi="仿宋_GB2312" w:eastAsia="仿宋_GB2312" w:cs="仿宋_GB2312"/>
          <w:sz w:val="32"/>
          <w:szCs w:val="32"/>
        </w:rPr>
        <w:t>9354.86</w:t>
      </w:r>
      <w:bookmarkEnd w:id="14"/>
      <w:r>
        <w:rPr>
          <w:rFonts w:hint="eastAsia" w:ascii="仿宋_GB2312" w:hAnsi="仿宋_GB2312" w:eastAsia="仿宋_GB2312" w:cs="仿宋_GB2312"/>
          <w:sz w:val="32"/>
          <w:szCs w:val="32"/>
        </w:rPr>
        <w:t>万元，项目支出预算数</w:t>
      </w:r>
      <w:bookmarkStart w:id="15" w:name="OLE_LINK8"/>
      <w:r>
        <w:rPr>
          <w:rFonts w:hint="eastAsia" w:ascii="仿宋_GB2312" w:hAnsi="仿宋" w:eastAsia="仿宋_GB2312"/>
          <w:sz w:val="32"/>
          <w:szCs w:val="32"/>
        </w:rPr>
        <w:t>817.10</w:t>
      </w:r>
      <w:bookmarkEnd w:id="15"/>
      <w:r>
        <w:rPr>
          <w:rFonts w:hint="eastAsia" w:ascii="仿宋_GB2312" w:hAnsi="仿宋_GB2312" w:eastAsia="仿宋_GB2312" w:cs="仿宋_GB2312"/>
          <w:sz w:val="32"/>
          <w:szCs w:val="32"/>
        </w:rPr>
        <w:t>万元，其他支出预算数0万元。资金总体支出</w:t>
      </w:r>
      <w:bookmarkStart w:id="16" w:name="OLE_LINK3"/>
      <w:r>
        <w:rPr>
          <w:rFonts w:hint="eastAsia" w:ascii="仿宋_GB2312" w:hAnsi="仿宋" w:eastAsia="仿宋_GB2312"/>
          <w:sz w:val="32"/>
          <w:szCs w:val="32"/>
        </w:rPr>
        <w:t>10019.65</w:t>
      </w:r>
      <w:bookmarkEnd w:id="16"/>
      <w:r>
        <w:rPr>
          <w:rFonts w:hint="eastAsia" w:ascii="仿宋_GB2312" w:hAnsi="仿宋_GB2312" w:eastAsia="仿宋_GB2312" w:cs="仿宋_GB2312"/>
          <w:sz w:val="32"/>
          <w:szCs w:val="32"/>
        </w:rPr>
        <w:t>万元，其中，基本支出</w:t>
      </w:r>
      <w:bookmarkStart w:id="17" w:name="OLE_LINK5"/>
      <w:r>
        <w:rPr>
          <w:rFonts w:hint="eastAsia" w:ascii="仿宋_GB2312" w:hAnsi="仿宋_GB2312" w:eastAsia="仿宋_GB2312" w:cs="仿宋_GB2312"/>
          <w:sz w:val="32"/>
          <w:szCs w:val="32"/>
        </w:rPr>
        <w:t>9256.34</w:t>
      </w:r>
      <w:bookmarkEnd w:id="17"/>
      <w:r>
        <w:rPr>
          <w:rFonts w:hint="eastAsia" w:ascii="仿宋_GB2312" w:hAnsi="仿宋_GB2312" w:eastAsia="仿宋_GB2312" w:cs="仿宋_GB2312"/>
          <w:sz w:val="32"/>
          <w:szCs w:val="32"/>
        </w:rPr>
        <w:t>万元，项目支出</w:t>
      </w:r>
      <w:bookmarkStart w:id="18" w:name="OLE_LINK9"/>
      <w:r>
        <w:rPr>
          <w:rFonts w:hint="eastAsia" w:ascii="仿宋_GB2312" w:hAnsi="仿宋_GB2312" w:eastAsia="仿宋_GB2312" w:cs="仿宋_GB2312"/>
          <w:sz w:val="32"/>
          <w:szCs w:val="32"/>
        </w:rPr>
        <w:t>762.23</w:t>
      </w:r>
      <w:bookmarkEnd w:id="18"/>
      <w:r>
        <w:rPr>
          <w:rFonts w:hint="eastAsia" w:ascii="仿宋_GB2312" w:hAnsi="仿宋_GB2312" w:eastAsia="仿宋_GB2312" w:cs="仿宋_GB2312"/>
          <w:sz w:val="32"/>
          <w:szCs w:val="32"/>
        </w:rPr>
        <w:t>万元，其他支出1.09万元。预算执行率为98.50%。</w:t>
      </w:r>
    </w:p>
    <w:p>
      <w:pPr>
        <w:spacing w:before="156" w:beforeLines="50" w:after="156" w:afterLines="50" w:line="600" w:lineRule="exact"/>
        <w:ind w:firstLine="640" w:firstLineChars="200"/>
        <w:outlineLvl w:val="0"/>
        <w:rPr>
          <w:rFonts w:hint="eastAsia" w:ascii="黑体" w:hAnsi="黑体" w:eastAsia="黑体" w:cs="宋体"/>
          <w:color w:val="000000"/>
          <w:kern w:val="0"/>
          <w:sz w:val="32"/>
          <w:szCs w:val="32"/>
        </w:rPr>
      </w:pPr>
      <w:bookmarkStart w:id="19" w:name="_Toc17416"/>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19"/>
    </w:p>
    <w:p>
      <w:pPr>
        <w:pStyle w:val="6"/>
        <w:pageBreakBefore w:val="0"/>
        <w:kinsoku/>
        <w:wordWrap/>
        <w:overflowPunct/>
        <w:topLinePunct w:val="0"/>
        <w:autoSpaceDN/>
        <w:bidi w:val="0"/>
        <w:adjustRightInd/>
        <w:snapToGrid/>
        <w:spacing w:before="0" w:after="0" w:line="560" w:lineRule="exact"/>
        <w:ind w:firstLine="480"/>
        <w:textAlignment w:val="auto"/>
        <w:rPr>
          <w:rFonts w:hint="eastAsia" w:ascii="仿宋_GB2312" w:hAnsi="仿宋_GB2312" w:eastAsia="仿宋_GB2312" w:cs="仿宋_GB2312"/>
          <w:b w:val="0"/>
          <w:bCs w:val="0"/>
        </w:rPr>
      </w:pPr>
      <w:bookmarkStart w:id="20" w:name="_Toc17855"/>
      <w:r>
        <w:rPr>
          <w:rFonts w:hint="eastAsia" w:ascii="仿宋_GB2312" w:hAnsi="仿宋_GB2312" w:eastAsia="仿宋_GB2312" w:cs="仿宋_GB2312"/>
          <w:b w:val="0"/>
          <w:bCs w:val="0"/>
        </w:rPr>
        <w:t>（一）部门履职产出指标完成情况</w:t>
      </w:r>
      <w:bookmarkEnd w:id="20"/>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lang w:eastAsia="zh-CN"/>
        </w:rPr>
        <w:t>产出数量</w:t>
      </w:r>
    </w:p>
    <w:p>
      <w:pPr>
        <w:pStyle w:val="8"/>
        <w:keepNext w:val="0"/>
        <w:keepLines w:val="0"/>
        <w:pageBreakBefore w:val="0"/>
        <w:widowControl w:val="0"/>
        <w:kinsoku/>
        <w:wordWrap/>
        <w:overflowPunct/>
        <w:topLinePunct w:val="0"/>
        <w:autoSpaceDN/>
        <w:bidi w:val="0"/>
        <w:adjustRightInd/>
        <w:snapToGrid/>
        <w:spacing w:beforeAutospacing="0" w:afterAutospacing="0" w:line="560" w:lineRule="exact"/>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始终坚持与发展大局同心同向、与中心工作同频共振，以高质效检察履职维护国家安全、社会安定、人</w:t>
      </w:r>
      <w:bookmarkStart w:id="44" w:name="_GoBack"/>
      <w:bookmarkEnd w:id="44"/>
      <w:r>
        <w:rPr>
          <w:rFonts w:hint="eastAsia" w:ascii="仿宋_GB2312" w:hAnsi="仿宋_GB2312" w:eastAsia="仿宋_GB2312" w:cs="仿宋_GB2312"/>
          <w:color w:val="000000"/>
          <w:kern w:val="0"/>
          <w:sz w:val="32"/>
          <w:szCs w:val="32"/>
          <w:lang w:eastAsia="zh-CN"/>
        </w:rPr>
        <w:t>民安宁。完成各项年度工作任务。</w:t>
      </w:r>
    </w:p>
    <w:p>
      <w:pPr>
        <w:pStyle w:val="8"/>
        <w:keepNext w:val="0"/>
        <w:keepLines w:val="0"/>
        <w:pageBreakBefore w:val="0"/>
        <w:widowControl w:val="0"/>
        <w:kinsoku/>
        <w:wordWrap/>
        <w:overflowPunct/>
        <w:topLinePunct w:val="0"/>
        <w:autoSpaceDN/>
        <w:bidi w:val="0"/>
        <w:adjustRightInd/>
        <w:snapToGrid/>
        <w:spacing w:beforeAutospacing="0" w:afterAutospacing="0" w:line="560" w:lineRule="exac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2.产出质量</w:t>
      </w:r>
    </w:p>
    <w:p>
      <w:pPr>
        <w:pStyle w:val="8"/>
        <w:keepNext w:val="0"/>
        <w:keepLines w:val="0"/>
        <w:pageBreakBefore w:val="0"/>
        <w:widowControl w:val="0"/>
        <w:kinsoku/>
        <w:wordWrap/>
        <w:overflowPunct/>
        <w:topLinePunct w:val="0"/>
        <w:autoSpaceDN/>
        <w:bidi w:val="0"/>
        <w:adjustRightInd/>
        <w:snapToGrid/>
        <w:spacing w:beforeAutospacing="0" w:afterAutospacing="0" w:line="560" w:lineRule="exac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坚定不移、不折不扣落实上级决策部署，坚决执行重大事项请示报告制度，切实把党的领导政治优势转化为检察履职的制度优势，确保法治领域改革任务落实落地。</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3.产出进度</w:t>
      </w:r>
    </w:p>
    <w:p>
      <w:pPr>
        <w:pStyle w:val="2"/>
        <w:pageBreakBefore w:val="0"/>
        <w:kinsoku/>
        <w:wordWrap/>
        <w:overflowPunct/>
        <w:topLinePunct w:val="0"/>
        <w:autoSpaceDN/>
        <w:bidi w:val="0"/>
        <w:adjustRightInd/>
        <w:snapToGrid/>
        <w:spacing w:line="560" w:lineRule="exac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按照预算批复，完成全年收支指标及工作任务。</w:t>
      </w:r>
    </w:p>
    <w:p>
      <w:pPr>
        <w:pStyle w:val="8"/>
        <w:keepNext w:val="0"/>
        <w:keepLines w:val="0"/>
        <w:pageBreakBefore w:val="0"/>
        <w:widowControl w:val="0"/>
        <w:kinsoku/>
        <w:wordWrap/>
        <w:overflowPunct/>
        <w:topLinePunct w:val="0"/>
        <w:autoSpaceDN/>
        <w:bidi w:val="0"/>
        <w:adjustRightInd/>
        <w:snapToGrid/>
        <w:spacing w:beforeAutospacing="0" w:afterAutospacing="0" w:line="560" w:lineRule="exac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color w:val="000000"/>
          <w:kern w:val="0"/>
          <w:sz w:val="32"/>
          <w:szCs w:val="32"/>
          <w:lang w:val="en-US" w:eastAsia="zh-CN"/>
        </w:rPr>
        <w:t>4.产出成本</w:t>
      </w:r>
    </w:p>
    <w:p>
      <w:pPr>
        <w:pageBreakBefore w:val="0"/>
        <w:kinsoku/>
        <w:wordWrap/>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基本经费保障计划支出</w:t>
      </w:r>
      <w:r>
        <w:rPr>
          <w:rFonts w:hint="eastAsia" w:ascii="仿宋_GB2312" w:hAnsi="仿宋_GB2312" w:eastAsia="仿宋_GB2312" w:cs="仿宋_GB2312"/>
          <w:sz w:val="32"/>
          <w:szCs w:val="32"/>
        </w:rPr>
        <w:t>9354.86</w:t>
      </w:r>
      <w:r>
        <w:rPr>
          <w:rFonts w:hint="eastAsia" w:ascii="仿宋_GB2312" w:hAnsi="仿宋_GB2312" w:eastAsia="仿宋_GB2312" w:cs="仿宋_GB2312"/>
          <w:color w:val="000000"/>
          <w:kern w:val="0"/>
          <w:sz w:val="32"/>
          <w:szCs w:val="32"/>
        </w:rPr>
        <w:t>万元，实际支出</w:t>
      </w:r>
      <w:r>
        <w:rPr>
          <w:rFonts w:hint="eastAsia" w:ascii="仿宋_GB2312" w:hAnsi="仿宋_GB2312" w:eastAsia="仿宋_GB2312" w:cs="仿宋_GB2312"/>
          <w:sz w:val="32"/>
          <w:szCs w:val="32"/>
        </w:rPr>
        <w:t>9256.34</w:t>
      </w:r>
      <w:r>
        <w:rPr>
          <w:rFonts w:hint="eastAsia" w:ascii="仿宋_GB2312" w:hAnsi="仿宋_GB2312" w:eastAsia="仿宋_GB2312" w:cs="仿宋_GB2312"/>
          <w:color w:val="000000"/>
          <w:kern w:val="0"/>
          <w:sz w:val="32"/>
          <w:szCs w:val="32"/>
        </w:rPr>
        <w:t>万元。主要为保障机关</w:t>
      </w:r>
      <w:bookmarkStart w:id="21" w:name="OLE_LINK10"/>
      <w:r>
        <w:rPr>
          <w:rFonts w:hint="eastAsia" w:ascii="仿宋_GB2312" w:hAnsi="仿宋_GB2312" w:eastAsia="仿宋_GB2312" w:cs="仿宋_GB2312"/>
          <w:color w:val="000000"/>
          <w:kern w:val="0"/>
          <w:sz w:val="32"/>
          <w:szCs w:val="32"/>
        </w:rPr>
        <w:t>在职人员</w:t>
      </w:r>
      <w:bookmarkEnd w:id="21"/>
      <w:r>
        <w:rPr>
          <w:rFonts w:hint="eastAsia" w:ascii="仿宋_GB2312" w:hAnsi="仿宋_GB2312" w:eastAsia="仿宋_GB2312" w:cs="仿宋_GB2312"/>
          <w:color w:val="000000"/>
          <w:kern w:val="0"/>
          <w:sz w:val="32"/>
          <w:szCs w:val="32"/>
        </w:rPr>
        <w:t>191人、其中公务人员179人，事业管理人员和专业技术人员12人的办公及机关事务正常运转，其中包括基本保障办公经费，资本性支出，以及人员工资福利支出、对个人和家庭补助支出等经费。</w:t>
      </w:r>
    </w:p>
    <w:p>
      <w:pPr>
        <w:pageBreakBefore w:val="0"/>
        <w:kinsoku/>
        <w:wordWrap/>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项目经费保障计划支出</w:t>
      </w:r>
      <w:r>
        <w:rPr>
          <w:rFonts w:hint="eastAsia" w:ascii="仿宋_GB2312" w:hAnsi="仿宋_GB2312" w:eastAsia="仿宋_GB2312" w:cs="仿宋_GB2312"/>
          <w:sz w:val="32"/>
          <w:szCs w:val="32"/>
        </w:rPr>
        <w:t>817.10</w:t>
      </w:r>
      <w:r>
        <w:rPr>
          <w:rFonts w:hint="eastAsia" w:ascii="仿宋_GB2312" w:hAnsi="仿宋_GB2312" w:eastAsia="仿宋_GB2312" w:cs="仿宋_GB2312"/>
          <w:color w:val="000000"/>
          <w:kern w:val="0"/>
          <w:sz w:val="32"/>
          <w:szCs w:val="32"/>
        </w:rPr>
        <w:t>万元，实际支出</w:t>
      </w:r>
      <w:r>
        <w:rPr>
          <w:rFonts w:hint="eastAsia" w:ascii="仿宋_GB2312" w:hAnsi="仿宋_GB2312" w:eastAsia="仿宋_GB2312" w:cs="仿宋_GB2312"/>
          <w:sz w:val="32"/>
          <w:szCs w:val="32"/>
        </w:rPr>
        <w:t>762.23</w:t>
      </w:r>
      <w:r>
        <w:rPr>
          <w:rFonts w:hint="eastAsia" w:ascii="仿宋_GB2312" w:hAnsi="仿宋_GB2312" w:eastAsia="仿宋_GB2312" w:cs="仿宋_GB2312"/>
          <w:color w:val="000000"/>
          <w:kern w:val="0"/>
          <w:sz w:val="32"/>
          <w:szCs w:val="32"/>
        </w:rPr>
        <w:t>万元。主要为一般行政管理事务支出、检察监督支出、及其他检察支出。</w:t>
      </w:r>
      <w:r>
        <w:rPr>
          <w:rFonts w:hint="eastAsia" w:ascii="仿宋_GB2312" w:hAnsi="仿宋_GB2312" w:eastAsia="仿宋_GB2312" w:cs="仿宋_GB2312"/>
          <w:sz w:val="32"/>
          <w:szCs w:val="32"/>
        </w:rPr>
        <w:t>通州检察院2024年纳入部门预算绩效管理的项目共7个。包括：信息化运维费、业务装备费、绩效咨询服务费、检察工作经费、互联网接入费、安检安保工作经费等项目。</w:t>
      </w:r>
      <w:r>
        <w:rPr>
          <w:rFonts w:hint="eastAsia" w:ascii="仿宋_GB2312" w:hAnsi="仿宋_GB2312" w:eastAsia="仿宋_GB2312" w:cs="仿宋_GB2312"/>
          <w:color w:val="000000"/>
          <w:kern w:val="0"/>
          <w:sz w:val="32"/>
          <w:szCs w:val="32"/>
        </w:rPr>
        <w:t xml:space="preserve">                          </w:t>
      </w:r>
    </w:p>
    <w:p>
      <w:pPr>
        <w:pStyle w:val="6"/>
        <w:spacing w:before="0" w:after="0" w:line="560" w:lineRule="exact"/>
        <w:ind w:firstLine="640" w:firstLineChars="200"/>
        <w:rPr>
          <w:rFonts w:ascii="楷体_GB2312" w:eastAsia="楷体_GB2312"/>
          <w:b w:val="0"/>
          <w:bCs w:val="0"/>
        </w:rPr>
      </w:pPr>
      <w:bookmarkStart w:id="22" w:name="_Toc13943"/>
      <w:r>
        <w:rPr>
          <w:rFonts w:hint="eastAsia" w:ascii="楷体_GB2312" w:eastAsia="楷体_GB2312"/>
          <w:b w:val="0"/>
          <w:bCs w:val="0"/>
        </w:rPr>
        <w:t>（二）部门履职效果指标实现情况</w:t>
      </w:r>
      <w:bookmarkEnd w:id="22"/>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1.经济效益</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持续深化落实区委“11311”工作体系，加大对危害国家安全和副中心社会稳定的犯罪打击力度，全力以赴建设更高水平平安通州；迭代升级“四通护企”工作机制，搭建“检察+工商联”“检察+产业园区”“检察+特色小镇”联动平台，助力营造更优法治化营商环境；深化区域检察协同，围绕数字经济、运河保护、基层治理等加大检察联动协作力度；深化检察与街、乡共建机制，着力在一老一小、就业维权、环境保护等领域取得新突破，做深做实检察为民。</w:t>
      </w:r>
    </w:p>
    <w:p>
      <w:pPr>
        <w:pStyle w:val="8"/>
        <w:keepNext w:val="0"/>
        <w:keepLines w:val="0"/>
        <w:pageBreakBefore w:val="0"/>
        <w:widowControl w:val="0"/>
        <w:kinsoku/>
        <w:wordWrap/>
        <w:overflowPunct/>
        <w:topLinePunct w:val="0"/>
        <w:autoSpaceDN/>
        <w:bidi w:val="0"/>
        <w:adjustRightInd/>
        <w:snapToGrid/>
        <w:spacing w:beforeAutospacing="0" w:afterAutospacing="0" w:line="560" w:lineRule="exac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2.社会效益</w:t>
      </w:r>
    </w:p>
    <w:p>
      <w:pPr>
        <w:pStyle w:val="13"/>
        <w:widowControl/>
        <w:spacing w:before="0" w:beforeAutospacing="0" w:after="0" w:afterAutospacing="0" w:line="480" w:lineRule="atLeast"/>
        <w:ind w:firstLine="640" w:firstLineChars="200"/>
        <w:jc w:val="both"/>
        <w:rPr>
          <w:rFonts w:hint="eastAsia"/>
          <w:lang w:val="en-US" w:eastAsia="zh-CN"/>
        </w:rPr>
      </w:pPr>
      <w:r>
        <w:rPr>
          <w:rFonts w:hint="eastAsia" w:ascii="仿宋_GB2312" w:hAnsi="仿宋_GB2312" w:eastAsia="仿宋_GB2312" w:cs="仿宋_GB2312"/>
          <w:color w:val="000000"/>
          <w:sz w:val="32"/>
          <w:szCs w:val="32"/>
        </w:rPr>
        <w:t>全年办理危害公共安全、影响人民群众安全感等各类刑事案件，依法批准逮捕902人，提起公诉1578人，同比分别增长14.16%、6.05%。</w:t>
      </w:r>
      <w:r>
        <w:rPr>
          <w:rFonts w:hint="eastAsia" w:ascii="仿宋_GB2312" w:hAnsi="仿宋_GB2312" w:eastAsia="仿宋_GB2312" w:cs="仿宋_GB2312"/>
          <w:color w:val="000000"/>
          <w:kern w:val="0"/>
          <w:sz w:val="32"/>
          <w:szCs w:val="32"/>
        </w:rPr>
        <w:t>完成了通州检察院2024</w:t>
      </w:r>
      <w:r>
        <w:rPr>
          <w:rFonts w:hint="eastAsia" w:ascii="仿宋_GB2312" w:hAnsi="仿宋_GB2312" w:eastAsia="仿宋_GB2312" w:cs="仿宋_GB2312"/>
          <w:b w:val="0"/>
          <w:bCs w:val="0"/>
          <w:color w:val="000000"/>
          <w:kern w:val="0"/>
          <w:sz w:val="32"/>
          <w:szCs w:val="32"/>
        </w:rPr>
        <w:t>年度</w:t>
      </w:r>
      <w:r>
        <w:rPr>
          <w:rFonts w:hint="eastAsia" w:ascii="仿宋_GB2312" w:hAnsi="仿宋_GB2312" w:eastAsia="仿宋_GB2312" w:cs="仿宋_GB2312"/>
          <w:b w:val="0"/>
          <w:bCs w:val="0"/>
          <w:sz w:val="32"/>
          <w:szCs w:val="32"/>
        </w:rPr>
        <w:t>侦查审查</w:t>
      </w:r>
      <w:r>
        <w:rPr>
          <w:rFonts w:hint="eastAsia" w:ascii="仿宋_GB2312" w:hAnsi="仿宋_GB2312" w:eastAsia="仿宋_GB2312" w:cs="仿宋_GB2312"/>
          <w:color w:val="000000"/>
          <w:kern w:val="0"/>
          <w:sz w:val="32"/>
          <w:szCs w:val="32"/>
        </w:rPr>
        <w:t>案件工作任务</w:t>
      </w:r>
      <w:r>
        <w:rPr>
          <w:rFonts w:hint="eastAsia" w:ascii="仿宋_GB2312" w:hAnsi="仿宋_GB2312" w:eastAsia="仿宋_GB2312" w:cs="仿宋_GB2312"/>
          <w:color w:val="000000"/>
          <w:kern w:val="0"/>
          <w:sz w:val="32"/>
          <w:szCs w:val="32"/>
          <w:lang w:eastAsia="zh-CN"/>
        </w:rPr>
        <w:t>。</w:t>
      </w:r>
    </w:p>
    <w:p>
      <w:pPr>
        <w:pStyle w:val="8"/>
        <w:keepNext w:val="0"/>
        <w:keepLines w:val="0"/>
        <w:pageBreakBefore w:val="0"/>
        <w:widowControl w:val="0"/>
        <w:kinsoku/>
        <w:wordWrap/>
        <w:overflowPunct/>
        <w:topLinePunct w:val="0"/>
        <w:autoSpaceDN/>
        <w:bidi w:val="0"/>
        <w:adjustRightInd/>
        <w:snapToGrid/>
        <w:spacing w:beforeAutospacing="0" w:afterAutospacing="0" w:line="560" w:lineRule="exac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3.环境效益</w:t>
      </w:r>
    </w:p>
    <w:p>
      <w:pPr>
        <w:spacing w:line="600" w:lineRule="exact"/>
        <w:ind w:firstLine="640" w:firstLineChars="200"/>
        <w:rPr>
          <w:rFonts w:hint="eastAsia"/>
          <w:lang w:val="en-US" w:eastAsia="zh-CN"/>
        </w:rPr>
      </w:pPr>
      <w:r>
        <w:rPr>
          <w:rFonts w:hint="eastAsia" w:ascii="仿宋_GB2312" w:hAnsi="仿宋_GB2312" w:eastAsia="仿宋_GB2312" w:cs="仿宋_GB2312"/>
          <w:color w:val="000000"/>
          <w:kern w:val="0"/>
          <w:sz w:val="32"/>
          <w:szCs w:val="32"/>
        </w:rPr>
        <w:t>改善办公和诉讼环境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对专项设备进行更新购置提升检查工作规范和信息化水平。</w:t>
      </w:r>
    </w:p>
    <w:p>
      <w:pPr>
        <w:pStyle w:val="8"/>
        <w:keepNext w:val="0"/>
        <w:keepLines w:val="0"/>
        <w:pageBreakBefore w:val="0"/>
        <w:widowControl w:val="0"/>
        <w:numPr>
          <w:numId w:val="0"/>
        </w:numPr>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4.可持续性影响</w:t>
      </w:r>
    </w:p>
    <w:p>
      <w:pPr>
        <w:keepNext w:val="0"/>
        <w:keepLines w:val="0"/>
        <w:pageBreakBefore w:val="0"/>
        <w:kinsoku/>
        <w:wordWrap/>
        <w:overflowPunct/>
        <w:topLinePunct w:val="0"/>
        <w:autoSpaceDE/>
        <w:autoSpaceDN/>
        <w:bidi w:val="0"/>
        <w:spacing w:line="540" w:lineRule="exact"/>
        <w:ind w:firstLine="640" w:firstLineChars="200"/>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构建检察工作质量提升的长效机制，</w:t>
      </w:r>
      <w:r>
        <w:rPr>
          <w:rFonts w:hint="eastAsia" w:ascii="仿宋_GB2312" w:hAnsi="Calibri" w:eastAsia="仿宋_GB2312"/>
          <w:sz w:val="32"/>
          <w:szCs w:val="32"/>
        </w:rPr>
        <w:t>坚决</w:t>
      </w:r>
      <w:r>
        <w:rPr>
          <w:rFonts w:ascii="仿宋_GB2312" w:hAnsi="Calibri" w:eastAsia="仿宋_GB2312"/>
          <w:sz w:val="32"/>
          <w:szCs w:val="32"/>
        </w:rPr>
        <w:t>落实上级</w:t>
      </w:r>
      <w:r>
        <w:rPr>
          <w:rFonts w:hint="eastAsia" w:ascii="仿宋_GB2312" w:hAnsi="Calibri" w:eastAsia="仿宋_GB2312"/>
          <w:sz w:val="32"/>
          <w:szCs w:val="32"/>
        </w:rPr>
        <w:t>决策</w:t>
      </w:r>
      <w:r>
        <w:rPr>
          <w:rFonts w:ascii="仿宋_GB2312" w:hAnsi="Calibri" w:eastAsia="仿宋_GB2312"/>
          <w:sz w:val="32"/>
          <w:szCs w:val="32"/>
        </w:rPr>
        <w:t>部署，建立</w:t>
      </w:r>
      <w:r>
        <w:rPr>
          <w:rFonts w:hint="eastAsia" w:ascii="仿宋_GB2312" w:hAnsi="Calibri" w:eastAsia="仿宋_GB2312"/>
          <w:sz w:val="32"/>
          <w:szCs w:val="32"/>
        </w:rPr>
        <w:t>“</w:t>
      </w:r>
      <w:r>
        <w:rPr>
          <w:rFonts w:ascii="仿宋_GB2312" w:hAnsi="Calibri" w:eastAsia="仿宋_GB2312"/>
          <w:sz w:val="32"/>
          <w:szCs w:val="32"/>
        </w:rPr>
        <w:t>党组统筹、分管牵头、</w:t>
      </w:r>
      <w:r>
        <w:rPr>
          <w:rFonts w:hint="eastAsia" w:ascii="仿宋_GB2312" w:hAnsi="Calibri" w:eastAsia="仿宋_GB2312"/>
          <w:sz w:val="32"/>
          <w:szCs w:val="32"/>
        </w:rPr>
        <w:t>支部协同”</w:t>
      </w:r>
      <w:r>
        <w:rPr>
          <w:rFonts w:ascii="仿宋_GB2312" w:hAnsi="Calibri" w:eastAsia="仿宋_GB2312"/>
          <w:sz w:val="32"/>
          <w:szCs w:val="32"/>
        </w:rPr>
        <w:t>的抓落实、</w:t>
      </w:r>
      <w:r>
        <w:rPr>
          <w:rFonts w:hint="eastAsia" w:ascii="仿宋_GB2312" w:hAnsi="Calibri" w:eastAsia="仿宋_GB2312"/>
          <w:sz w:val="32"/>
          <w:szCs w:val="32"/>
        </w:rPr>
        <w:t>促</w:t>
      </w:r>
      <w:r>
        <w:rPr>
          <w:rFonts w:ascii="仿宋_GB2312" w:hAnsi="Calibri" w:eastAsia="仿宋_GB2312"/>
          <w:sz w:val="32"/>
          <w:szCs w:val="32"/>
        </w:rPr>
        <w:t>融合机制，</w:t>
      </w:r>
      <w:r>
        <w:rPr>
          <w:rFonts w:hint="eastAsia" w:ascii="仿宋_GB2312" w:hAnsi="Calibri" w:eastAsia="仿宋_GB2312"/>
          <w:sz w:val="32"/>
          <w:szCs w:val="32"/>
        </w:rPr>
        <w:t>“党建引领</w:t>
      </w:r>
      <w:r>
        <w:rPr>
          <w:rFonts w:hint="eastAsia" w:ascii="仿宋_GB2312" w:hAnsi="Calibri" w:eastAsia="仿宋_GB2312"/>
          <w:sz w:val="32"/>
          <w:szCs w:val="32"/>
          <w:lang w:eastAsia="zh-CN"/>
        </w:rPr>
        <w:t>护航副中心高质量发展</w:t>
      </w:r>
      <w:r>
        <w:rPr>
          <w:rFonts w:hint="eastAsia" w:ascii="仿宋_GB2312" w:hAnsi="Calibri" w:eastAsia="仿宋_GB2312"/>
          <w:sz w:val="32"/>
          <w:szCs w:val="32"/>
        </w:rPr>
        <w:t>”获评全市检察机关党建与业务深度融合典型事例一等奖、全国检察机关党建与业务深度融合“十佳”典型事例。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5.服务对象满意度</w:t>
      </w:r>
    </w:p>
    <w:p>
      <w:pPr>
        <w:pStyle w:val="13"/>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bookmarkStart w:id="23" w:name="OLE_LINK17"/>
      <w:bookmarkStart w:id="24" w:name="OLE_LINK6"/>
      <w:r>
        <w:rPr>
          <w:rFonts w:hint="eastAsia" w:ascii="仿宋_GB2312" w:hAnsi="仿宋_GB2312" w:eastAsia="仿宋_GB2312" w:cs="仿宋_GB2312"/>
          <w:color w:val="000000"/>
          <w:sz w:val="32"/>
          <w:szCs w:val="32"/>
        </w:rPr>
        <w:t>2024年，区检察院在区委和市检察院的正确领导下，在区人大及其常委会的有力监督下，在区政府、区政协以及社会各界的大力支持下，坚持以习近平新时代中国特色社会主义思想为指导，全面贯彻党的二十大和二十届三中全会精神，深入学习贯彻习近平法治思想，深化落实区委“11311”工作体系，为大局服务、为人民司法、为法治担当，全力保障城市副中心高质量发展。</w:t>
      </w:r>
      <w:bookmarkEnd w:id="23"/>
    </w:p>
    <w:bookmarkEnd w:id="24"/>
    <w:p>
      <w:pPr>
        <w:spacing w:line="600" w:lineRule="exact"/>
        <w:ind w:left="105" w:leftChars="50" w:firstLine="480" w:firstLineChars="150"/>
        <w:outlineLvl w:val="0"/>
        <w:rPr>
          <w:rFonts w:hint="eastAsia" w:ascii="黑体" w:hAnsi="黑体" w:eastAsia="黑体" w:cs="宋体"/>
          <w:color w:val="000000"/>
          <w:kern w:val="0"/>
          <w:sz w:val="32"/>
          <w:szCs w:val="32"/>
        </w:rPr>
      </w:pPr>
      <w:bookmarkStart w:id="25" w:name="_Toc13351"/>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25"/>
    </w:p>
    <w:p>
      <w:pPr>
        <w:spacing w:line="600" w:lineRule="exact"/>
        <w:ind w:left="105" w:leftChars="50" w:firstLine="480" w:firstLineChars="150"/>
        <w:outlineLvl w:val="1"/>
        <w:rPr>
          <w:rFonts w:ascii="楷体_GB2312" w:eastAsia="楷体_GB2312"/>
          <w:sz w:val="32"/>
          <w:szCs w:val="32"/>
        </w:rPr>
      </w:pPr>
      <w:bookmarkStart w:id="26" w:name="_Toc30530"/>
      <w:r>
        <w:rPr>
          <w:rFonts w:hint="eastAsia" w:ascii="楷体_GB2312" w:eastAsia="楷体_GB2312"/>
          <w:sz w:val="32"/>
          <w:szCs w:val="32"/>
        </w:rPr>
        <w:t>（一）财务管理</w:t>
      </w:r>
      <w:bookmarkEnd w:id="26"/>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1.财务管理制度健全性</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健全完善财务管理制度，规范财务管理，充分发挥财务管理的监督核算，保障职能。通州检察院制定了《北京市通州区人民检察院财务管理办法》、《北京市通州区人民检察院固定资产管理办法》、《北京市通州区人民检察院经费支出管理办法》、《北京市通州区人民检察院预算管理办法》等管理制度，资金管理制度较为完善，但仍需对财务人员进行岗位细化，专人专责，严格按照财务制度遵行，不断提升财务管理工作水平。</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2.资金使用合规性和安全性</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项目资金支出严格执行市财政及通州检察院制定的相关规定，按照资金审批权限报送相关领导审批等手续支付项目资金；项目资金严格实行专款专用，避免出现财政资金被挤占、挪用等违规行为。</w:t>
      </w:r>
    </w:p>
    <w:p>
      <w:pPr>
        <w:pStyle w:val="4"/>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行统一领导、分级管理、授权审批的预算管理体制，确保资金使用合规和安全。在预算执行和资金使用层面，能够执行相关财务、预算、采购、资产、合同等管理制度，政府采购支出、“三公经费”、培训费支出等严格按预算批复执行，除了日常的财务监督外，各归口管理部门发挥职能监督作用，严格审计监督、纪检监察，强化财经纪律的刚性，防范经济风险。</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3.会计基础信息完善性</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财务记账较为规范，支出凭单、发票等附件较为齐全，各项支出符合规定的程序和规范，审批手续完备，支出真实合理，支出的效率和效果良好；各项收支均得到正确核算，相关财务信息真实完整。</w:t>
      </w:r>
    </w:p>
    <w:p>
      <w:pPr>
        <w:spacing w:line="600" w:lineRule="exact"/>
        <w:ind w:left="105" w:leftChars="50" w:firstLine="480" w:firstLineChars="150"/>
        <w:outlineLvl w:val="1"/>
        <w:rPr>
          <w:rFonts w:ascii="楷体_GB2312" w:eastAsia="楷体_GB2312"/>
          <w:sz w:val="32"/>
          <w:szCs w:val="32"/>
        </w:rPr>
      </w:pPr>
      <w:bookmarkStart w:id="27" w:name="_Toc13920"/>
      <w:r>
        <w:rPr>
          <w:rFonts w:hint="eastAsia" w:ascii="楷体_GB2312" w:eastAsia="楷体_GB2312"/>
          <w:sz w:val="32"/>
          <w:szCs w:val="32"/>
        </w:rPr>
        <w:t>（二）资产管理</w:t>
      </w:r>
      <w:bookmarkEnd w:id="27"/>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截止2024年12月31日，通州检察院资产总额4475.59万元，其中：货币资金197.87万元、财政应返还额度151.30元、固定资产净值3760.87万元（原值10504.20万元）。</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通州检察院明确了办公室对全院固定资产的管理职责，应按照内部控制要求制定相关管理办法。</w:t>
      </w:r>
    </w:p>
    <w:p>
      <w:pPr>
        <w:spacing w:line="600" w:lineRule="exact"/>
        <w:ind w:left="105" w:leftChars="50" w:firstLine="480" w:firstLineChars="150"/>
        <w:outlineLvl w:val="1"/>
        <w:rPr>
          <w:rFonts w:ascii="楷体_GB2312" w:eastAsia="楷体_GB2312"/>
          <w:sz w:val="32"/>
          <w:szCs w:val="32"/>
        </w:rPr>
      </w:pPr>
      <w:bookmarkStart w:id="28" w:name="_Toc26852"/>
      <w:r>
        <w:rPr>
          <w:rFonts w:hint="eastAsia" w:ascii="楷体_GB2312" w:eastAsia="楷体_GB2312"/>
          <w:sz w:val="32"/>
          <w:szCs w:val="32"/>
        </w:rPr>
        <w:t>（三）绩效管理</w:t>
      </w:r>
      <w:bookmarkEnd w:id="28"/>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1.绩效管理职责</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通州检察院办公室是绩效管理的牵头部门，审核各部门提交的绩效目标，配合财政部门开展事前绩效评估工作；组织预算执行绩效跟踪，并按规定及时将执行中存在的问题和整改措施报财政部门，并组织开展绩效自评工作。    </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各相关部门根据年度工作计划和部门职责，编制年度预算。同时制定清晰、量化的绩效目标，加强项目论证和审核；执行过程中严格按预期的绩效目标组织项目实施；提供绩效评价所需要的相关资料及撰写项目自评报告；根据评价结果查找资金使用和管理中的薄弱环节，制定整改措施，改善绩效管理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州检察院所有项目在预算编制过程中均填报绩效目标申报表，明确项目总目标，以便进行绩效跟踪、绩效管理，在年度终结后均填报绩效自评表，进行绩效评价，形成闭环管理，指导预算工作，真正提高资金使用效率和效益。</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2.项目支出绩效自评</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2024年度部门项目支出共7个项目，其中参与评价项目7个，占部门项目总数的100%，自评情况如下：</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（1）重点评价项目1个，为“通州检察院办案业务费”涉及金额453.22万元，评价等级为优。</w:t>
      </w:r>
    </w:p>
    <w:p>
      <w:pPr>
        <w:pStyle w:val="4"/>
        <w:ind w:firstLine="640"/>
        <w:rPr>
          <w:sz w:val="32"/>
          <w:szCs w:val="32"/>
        </w:rPr>
      </w:pPr>
      <w:r>
        <w:rPr>
          <w:rFonts w:hint="eastAsia" w:ascii="仿宋_GB2312" w:hAnsi="仿宋_GB2312" w:eastAsia="仿宋_GB2312" w:cs="仿宋_GB2312"/>
          <w:sz w:val="32"/>
          <w:szCs w:val="32"/>
        </w:rPr>
        <w:t>（2）填报绩效自评表项目7个，其中评价等级良及以上的项目有7个.</w:t>
      </w:r>
    </w:p>
    <w:p>
      <w:pPr>
        <w:spacing w:line="600" w:lineRule="exact"/>
        <w:ind w:left="105" w:leftChars="50" w:firstLine="480" w:firstLineChars="150"/>
        <w:outlineLvl w:val="1"/>
        <w:rPr>
          <w:rFonts w:ascii="楷体_GB2312" w:eastAsia="楷体_GB2312"/>
          <w:sz w:val="32"/>
          <w:szCs w:val="32"/>
        </w:rPr>
      </w:pPr>
      <w:bookmarkStart w:id="29" w:name="_Toc9774"/>
      <w:r>
        <w:rPr>
          <w:rFonts w:hint="eastAsia" w:ascii="楷体_GB2312" w:eastAsia="楷体_GB2312"/>
          <w:sz w:val="32"/>
          <w:szCs w:val="32"/>
        </w:rPr>
        <w:t>（四）结转结余率</w:t>
      </w:r>
      <w:bookmarkEnd w:id="29"/>
    </w:p>
    <w:p>
      <w:pPr>
        <w:pStyle w:val="4"/>
        <w:spacing w:line="560" w:lineRule="exact"/>
        <w:ind w:firstLine="64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w:t>
      </w:r>
      <w:r>
        <w:rPr>
          <w:rFonts w:hint="eastAsia" w:ascii="仿宋_GB2312" w:hAnsi="仿宋_GB2312" w:eastAsia="仿宋_GB2312" w:cs="仿宋_GB2312"/>
          <w:kern w:val="0"/>
          <w:sz w:val="32"/>
        </w:rPr>
        <w:t>年，通州检察院支出预算数</w:t>
      </w:r>
      <w:r>
        <w:rPr>
          <w:rFonts w:hint="eastAsia" w:ascii="仿宋_GB2312" w:hAnsi="仿宋_GB2312" w:eastAsia="仿宋_GB2312" w:cs="仿宋_GB2312"/>
          <w:sz w:val="32"/>
          <w:szCs w:val="32"/>
        </w:rPr>
        <w:t>10171.96</w:t>
      </w:r>
      <w:r>
        <w:rPr>
          <w:rFonts w:hint="eastAsia" w:ascii="仿宋_GB2312" w:hAnsi="仿宋_GB2312" w:eastAsia="仿宋_GB2312" w:cs="仿宋_GB2312"/>
          <w:kern w:val="0"/>
          <w:sz w:val="32"/>
        </w:rPr>
        <w:t>万元，结转结余总额151.30万元，结转结余率=结转结余总额/支出预算数</w:t>
      </w:r>
      <w:r>
        <w:rPr>
          <w:rFonts w:hint="eastAsia" w:ascii="仿宋_GB2312" w:hAnsi="仿宋_GB2312" w:eastAsia="仿宋_GB2312" w:cs="仿宋_GB2312"/>
          <w:sz w:val="32"/>
        </w:rPr>
        <w:t>×100%</w:t>
      </w:r>
      <w:r>
        <w:rPr>
          <w:rFonts w:hint="eastAsia" w:ascii="仿宋_GB2312" w:hAnsi="仿宋_GB2312" w:eastAsia="仿宋_GB2312" w:cs="仿宋_GB2312"/>
          <w:color w:val="000000"/>
          <w:kern w:val="0"/>
          <w:sz w:val="32"/>
          <w:szCs w:val="32"/>
        </w:rPr>
        <w:t>=1.49%。说明预算执行严格业务工作顺利。</w:t>
      </w:r>
    </w:p>
    <w:p>
      <w:pPr>
        <w:spacing w:line="600" w:lineRule="exact"/>
        <w:ind w:left="105" w:leftChars="50" w:firstLine="480" w:firstLineChars="150"/>
        <w:outlineLvl w:val="1"/>
        <w:rPr>
          <w:rFonts w:ascii="楷体_GB2312" w:eastAsia="楷体_GB2312"/>
          <w:sz w:val="32"/>
          <w:szCs w:val="32"/>
        </w:rPr>
      </w:pPr>
      <w:bookmarkStart w:id="30" w:name="_Toc17024"/>
      <w:r>
        <w:rPr>
          <w:rFonts w:hint="eastAsia" w:ascii="楷体_GB2312" w:eastAsia="楷体_GB2312"/>
          <w:sz w:val="32"/>
          <w:szCs w:val="32"/>
        </w:rPr>
        <w:t>（五）部门预决算差异率</w:t>
      </w:r>
      <w:bookmarkEnd w:id="30"/>
    </w:p>
    <w:p>
      <w:pPr>
        <w:pStyle w:val="4"/>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预算调整收入资金10171.96万元，实际决算支出资金10019.65万元，预决算差异率=（实际决算支出资金-预算调整支出资金）/预算调整收入资金×100%=-1.50%，差异率为-1.50%，说明通州检察院预算支出编制情况很好。</w:t>
      </w:r>
    </w:p>
    <w:p>
      <w:pPr>
        <w:spacing w:line="600" w:lineRule="exact"/>
        <w:ind w:left="105" w:leftChars="50" w:firstLine="480" w:firstLineChars="150"/>
        <w:outlineLvl w:val="0"/>
        <w:rPr>
          <w:rFonts w:hint="eastAsia" w:ascii="黑体" w:hAnsi="黑体" w:eastAsia="黑体"/>
          <w:sz w:val="32"/>
          <w:szCs w:val="32"/>
        </w:rPr>
      </w:pPr>
      <w:bookmarkStart w:id="31" w:name="_Toc14567"/>
      <w:r>
        <w:rPr>
          <w:rFonts w:hint="eastAsia" w:ascii="黑体" w:hAnsi="黑体" w:eastAsia="黑体"/>
          <w:sz w:val="32"/>
          <w:szCs w:val="32"/>
        </w:rPr>
        <w:t>五、总体</w:t>
      </w:r>
      <w:r>
        <w:rPr>
          <w:rFonts w:ascii="黑体" w:hAnsi="黑体" w:eastAsia="黑体"/>
          <w:sz w:val="32"/>
          <w:szCs w:val="32"/>
        </w:rPr>
        <w:t>评价结论</w:t>
      </w:r>
      <w:bookmarkEnd w:id="31"/>
    </w:p>
    <w:p>
      <w:pPr>
        <w:spacing w:line="600" w:lineRule="exact"/>
        <w:ind w:left="105" w:leftChars="50" w:firstLine="480" w:firstLineChars="150"/>
        <w:outlineLvl w:val="1"/>
        <w:rPr>
          <w:rFonts w:ascii="楷体_GB2312" w:eastAsia="楷体_GB2312"/>
          <w:sz w:val="32"/>
          <w:szCs w:val="32"/>
        </w:rPr>
      </w:pPr>
      <w:bookmarkStart w:id="32" w:name="_Toc23501"/>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32"/>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通过开展整体支出绩效评价，通州检察院综合得分 92分，部门综合绩效评定结论为“优”，具体评分情况：</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当年预算执行情况。该指标分值20分，评价得分18分。预算执行比较到位，基本能够较好的按照预算管理相关制度执行，预算执行率为98.50%，资金总体能够确保各项工作顺利开展。</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整体绩效目标实现情况。该指标分值60分，评分得分55分。各职能单元产出完成情况较好，职能实现效果明显，服务对象满意度基本达标。</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仿宋_GB2312" w:eastAsia="仿宋_GB2312" w:cs="仿宋_GB2312"/>
          <w:color w:val="000000"/>
          <w:kern w:val="0"/>
          <w:sz w:val="32"/>
          <w:szCs w:val="32"/>
        </w:rPr>
        <w:t>预算管理情况。该指标分值20分，评分得分19分。财务管理制度健全，立项程序规范，绩效目标明确且与相关政策、职能要求相符；绩效指标与绩效目标、预算匹配度较好；</w:t>
      </w:r>
      <w:r>
        <w:rPr>
          <w:rFonts w:hint="eastAsia" w:ascii="仿宋_GB2312" w:hAnsi="宋体" w:eastAsia="仿宋_GB2312" w:cs="宋体"/>
          <w:color w:val="000000"/>
          <w:kern w:val="0"/>
          <w:sz w:val="32"/>
          <w:szCs w:val="32"/>
        </w:rPr>
        <w:t>绩效指标全面、合理、完整；绩效及资产管理较规范。</w:t>
      </w:r>
    </w:p>
    <w:p>
      <w:pPr>
        <w:spacing w:line="600" w:lineRule="exact"/>
        <w:ind w:left="105" w:leftChars="50" w:firstLine="480" w:firstLineChars="150"/>
        <w:outlineLvl w:val="1"/>
        <w:rPr>
          <w:rFonts w:ascii="楷体_GB2312" w:eastAsia="楷体_GB2312"/>
          <w:sz w:val="32"/>
          <w:szCs w:val="32"/>
        </w:rPr>
      </w:pPr>
      <w:bookmarkStart w:id="33" w:name="_Toc26683"/>
      <w:r>
        <w:rPr>
          <w:rFonts w:hint="eastAsia" w:ascii="楷体_GB2312" w:eastAsia="楷体_GB2312"/>
          <w:sz w:val="32"/>
          <w:szCs w:val="32"/>
        </w:rPr>
        <w:t>（二）存在的问题及原因分析</w:t>
      </w:r>
      <w:bookmarkEnd w:id="33"/>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存在问题：一是预算编制工作有待细化。预算编制不够明确和细化，预算编制的合理性需要提高，预算控制能力与政府采购执行力还有待加强；二是指标设置科学性有待提高。</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加强相关工作人员绩效目标管理业务知识的学习培训，进一步改进和完善指标设置，逐步建立更科学、更具指向性、可量化的指标体系。</w:t>
      </w:r>
    </w:p>
    <w:p>
      <w:pPr>
        <w:spacing w:line="600" w:lineRule="exact"/>
        <w:ind w:firstLine="640" w:firstLineChars="200"/>
        <w:outlineLvl w:val="0"/>
        <w:rPr>
          <w:rFonts w:ascii="仿宋_GB2312" w:hAnsi="宋体" w:eastAsia="仿宋_GB2312" w:cs="宋体"/>
          <w:color w:val="000000"/>
          <w:kern w:val="0"/>
          <w:sz w:val="32"/>
          <w:szCs w:val="32"/>
        </w:rPr>
      </w:pPr>
      <w:bookmarkStart w:id="34" w:name="_Toc3396"/>
      <w:r>
        <w:rPr>
          <w:rFonts w:hint="eastAsia" w:ascii="黑体" w:hAnsi="黑体" w:eastAsia="黑体" w:cs="宋体"/>
          <w:color w:val="000000"/>
          <w:kern w:val="0"/>
          <w:sz w:val="32"/>
          <w:szCs w:val="32"/>
        </w:rPr>
        <w:t>六、措施建议</w:t>
      </w:r>
      <w:bookmarkEnd w:id="34"/>
    </w:p>
    <w:p>
      <w:pPr>
        <w:spacing w:line="560" w:lineRule="exact"/>
        <w:ind w:firstLine="640" w:firstLineChars="200"/>
        <w:rPr>
          <w:rFonts w:ascii="仿宋_GB2312" w:hAnsi="宋体" w:eastAsia="仿宋_GB2312" w:cs="宋体"/>
          <w:color w:val="000000"/>
          <w:kern w:val="0"/>
          <w:sz w:val="32"/>
          <w:szCs w:val="32"/>
        </w:rPr>
      </w:pPr>
      <w:bookmarkStart w:id="35" w:name="_Toc540"/>
      <w:r>
        <w:rPr>
          <w:rFonts w:hint="eastAsia" w:ascii="仿宋_GB2312" w:hAnsi="宋体" w:eastAsia="仿宋_GB2312" w:cs="宋体"/>
          <w:color w:val="000000"/>
          <w:kern w:val="0"/>
          <w:sz w:val="32"/>
          <w:szCs w:val="32"/>
        </w:rPr>
        <w:t>1.进一步加强预算管理，提高绩效目标有效性。</w:t>
      </w:r>
      <w:bookmarkEnd w:id="35"/>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按照预算管理的要求，在预算编制过程中，结合本单位的发展规划与目标，总结上一年度预算执行情况，合理编制当年预算，在预算执行过程中，有效地制定和实施监督检查制度，保障绩效目标顺利实现。</w:t>
      </w:r>
    </w:p>
    <w:p>
      <w:pPr>
        <w:spacing w:line="560" w:lineRule="exact"/>
        <w:ind w:firstLine="640" w:firstLineChars="200"/>
        <w:rPr>
          <w:rFonts w:ascii="仿宋_GB2312" w:hAnsi="宋体" w:eastAsia="仿宋_GB2312" w:cs="宋体"/>
          <w:color w:val="000000"/>
          <w:kern w:val="0"/>
          <w:sz w:val="32"/>
          <w:szCs w:val="32"/>
        </w:rPr>
      </w:pPr>
      <w:bookmarkStart w:id="36" w:name="_Toc28393"/>
      <w:r>
        <w:rPr>
          <w:rFonts w:hint="eastAsia" w:ascii="仿宋_GB2312" w:hAnsi="宋体" w:eastAsia="仿宋_GB2312" w:cs="宋体"/>
          <w:color w:val="000000"/>
          <w:kern w:val="0"/>
          <w:sz w:val="32"/>
          <w:szCs w:val="32"/>
        </w:rPr>
        <w:t>2.完善绩效目标与指标的设置，增强指标的科学性。</w:t>
      </w:r>
      <w:bookmarkEnd w:id="36"/>
    </w:p>
    <w:p>
      <w:pPr>
        <w:spacing w:line="560" w:lineRule="exact"/>
        <w:ind w:firstLine="640" w:firstLineChars="200"/>
      </w:pPr>
      <w:r>
        <w:rPr>
          <w:rFonts w:hint="eastAsia" w:ascii="仿宋_GB2312" w:hAnsi="宋体" w:eastAsia="仿宋_GB2312" w:cs="宋体"/>
          <w:color w:val="000000"/>
          <w:kern w:val="0"/>
          <w:sz w:val="32"/>
          <w:szCs w:val="32"/>
        </w:rPr>
        <w:t>提高绩效管理水平，提高项目绩效指标设定的科学性和关联性。结合项目自身特点，科学合理的设定绩效目标和指标值，设定的绩效指标应细化、量化，并具有可衡量性，发挥绩效目标在项目管理中的引导作用。</w:t>
      </w:r>
    </w:p>
    <w:p>
      <w:pPr>
        <w:spacing w:line="600" w:lineRule="exact"/>
        <w:ind w:firstLine="640" w:firstLineChars="200"/>
        <w:outlineLvl w:val="0"/>
        <w:rPr>
          <w:rFonts w:hint="eastAsia" w:ascii="黑体" w:hAnsi="黑体" w:eastAsia="黑体" w:cs="宋体"/>
          <w:color w:val="000000"/>
          <w:kern w:val="0"/>
          <w:sz w:val="32"/>
          <w:szCs w:val="32"/>
        </w:rPr>
      </w:pPr>
      <w:bookmarkStart w:id="37" w:name="_Toc8439"/>
      <w:r>
        <w:rPr>
          <w:rFonts w:hint="eastAsia" w:ascii="黑体" w:hAnsi="黑体" w:eastAsia="黑体" w:cs="宋体"/>
          <w:color w:val="000000"/>
          <w:kern w:val="0"/>
          <w:sz w:val="32"/>
          <w:szCs w:val="32"/>
        </w:rPr>
        <w:t>七、其他</w:t>
      </w:r>
      <w:bookmarkEnd w:id="37"/>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附件1.部门收入支出情况决算表</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附件2.部门绩效目标完成情况对比表</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附件3.部门整体支出绩效评价指标体系评分表</w:t>
      </w:r>
    </w:p>
    <w:p>
      <w:pPr>
        <w:spacing w:line="600" w:lineRule="exact"/>
        <w:ind w:firstLine="640" w:firstLineChars="200"/>
        <w:rPr>
          <w:rFonts w:ascii="仿宋_GB2312" w:hAnsi="宋体" w:eastAsia="仿宋_GB2312" w:cs="宋体"/>
          <w:color w:val="000000"/>
          <w:kern w:val="0"/>
          <w:sz w:val="32"/>
          <w:szCs w:val="32"/>
        </w:rPr>
        <w:sectPr>
          <w:footerReference r:id="rId3" w:type="default"/>
          <w:pgSz w:w="11906" w:h="16838"/>
          <w:pgMar w:top="1440" w:right="1800" w:bottom="1440" w:left="1800" w:header="851" w:footer="992" w:gutter="0"/>
          <w:pgNumType w:fmt="numberInDash" w:start="1"/>
          <w:cols w:space="425" w:num="1"/>
          <w:docGrid w:type="lines" w:linePitch="312" w:charSpace="0"/>
        </w:sectPr>
      </w:pPr>
    </w:p>
    <w:p>
      <w:pPr>
        <w:outlineLvl w:val="1"/>
        <w:rPr>
          <w:rFonts w:hint="eastAsia" w:ascii="宋体" w:hAnsi="宋体" w:cs="宋体"/>
          <w:color w:val="000000"/>
          <w:kern w:val="0"/>
          <w:sz w:val="24"/>
          <w:lang w:bidi="ar"/>
        </w:rPr>
      </w:pPr>
      <w:bookmarkStart w:id="38" w:name="_Toc21024"/>
      <w:r>
        <w:rPr>
          <w:rFonts w:hint="eastAsia" w:ascii="仿宋_GB2312" w:hAnsi="宋体" w:eastAsia="仿宋_GB2312" w:cs="宋体"/>
          <w:color w:val="000000"/>
          <w:kern w:val="0"/>
          <w:sz w:val="32"/>
          <w:szCs w:val="32"/>
        </w:rPr>
        <w:t>附件1：部门收入支出决算总表</w:t>
      </w:r>
      <w:bookmarkEnd w:id="38"/>
    </w:p>
    <w:p>
      <w:pPr>
        <w:spacing w:line="600" w:lineRule="exact"/>
        <w:ind w:left="105" w:leftChars="50" w:firstLine="360" w:firstLineChars="150"/>
        <w:rPr>
          <w:rFonts w:ascii="仿宋_GB2312" w:hAnsi="宋体" w:eastAsia="仿宋_GB2312" w:cs="宋体"/>
          <w:color w:val="000000"/>
          <w:kern w:val="0"/>
          <w:sz w:val="32"/>
          <w:szCs w:val="32"/>
        </w:rPr>
      </w:pPr>
      <w:r>
        <w:rPr>
          <w:rFonts w:hint="eastAsia" w:ascii="宋体" w:hAnsi="宋体" w:cs="宋体"/>
          <w:color w:val="000000"/>
          <w:kern w:val="0"/>
          <w:sz w:val="24"/>
          <w:lang w:bidi="ar"/>
        </w:rPr>
        <w:t>编制单位：北京市通州区人民检察院                                                                   金额单位：元</w:t>
      </w:r>
    </w:p>
    <w:tbl>
      <w:tblPr>
        <w:tblStyle w:val="14"/>
        <w:tblW w:w="14440" w:type="dxa"/>
        <w:tblInd w:w="96" w:type="dxa"/>
        <w:tblLayout w:type="fixed"/>
        <w:tblCellMar>
          <w:top w:w="0" w:type="dxa"/>
          <w:left w:w="108" w:type="dxa"/>
          <w:bottom w:w="0" w:type="dxa"/>
          <w:right w:w="108" w:type="dxa"/>
        </w:tblCellMar>
      </w:tblPr>
      <w:tblGrid>
        <w:gridCol w:w="2842"/>
        <w:gridCol w:w="540"/>
        <w:gridCol w:w="1758"/>
        <w:gridCol w:w="2062"/>
        <w:gridCol w:w="598"/>
        <w:gridCol w:w="1780"/>
        <w:gridCol w:w="2200"/>
        <w:gridCol w:w="542"/>
        <w:gridCol w:w="2118"/>
      </w:tblGrid>
      <w:tr>
        <w:tblPrEx>
          <w:tblCellMar>
            <w:top w:w="0" w:type="dxa"/>
            <w:left w:w="108" w:type="dxa"/>
            <w:bottom w:w="0" w:type="dxa"/>
            <w:right w:w="108" w:type="dxa"/>
          </w:tblCellMar>
        </w:tblPrEx>
        <w:trPr>
          <w:cantSplit/>
          <w:trHeight w:val="295" w:hRule="atLeast"/>
          <w:tblHeader/>
        </w:trPr>
        <w:tc>
          <w:tcPr>
            <w:tcW w:w="5140"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收入</w:t>
            </w:r>
          </w:p>
        </w:tc>
        <w:tc>
          <w:tcPr>
            <w:tcW w:w="9300" w:type="dxa"/>
            <w:gridSpan w:val="6"/>
            <w:tcBorders>
              <w:top w:val="single" w:color="000000" w:sz="8" w:space="0"/>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支出</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项目</w:t>
            </w:r>
          </w:p>
        </w:tc>
        <w:tc>
          <w:tcPr>
            <w:tcW w:w="54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行次</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决算数</w:t>
            </w:r>
          </w:p>
        </w:tc>
        <w:tc>
          <w:tcPr>
            <w:tcW w:w="2062"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项目(按功能分类)</w:t>
            </w:r>
          </w:p>
        </w:tc>
        <w:tc>
          <w:tcPr>
            <w:tcW w:w="598"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行次</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决算数</w:t>
            </w:r>
          </w:p>
        </w:tc>
        <w:tc>
          <w:tcPr>
            <w:tcW w:w="220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项目(按支出性质和经济分类)</w:t>
            </w:r>
          </w:p>
        </w:tc>
        <w:tc>
          <w:tcPr>
            <w:tcW w:w="542"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行次</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决算数</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栏次</w:t>
            </w:r>
          </w:p>
        </w:tc>
        <w:tc>
          <w:tcPr>
            <w:tcW w:w="540" w:type="dxa"/>
            <w:tcBorders>
              <w:top w:val="nil"/>
              <w:left w:val="nil"/>
              <w:bottom w:val="single" w:color="000000" w:sz="8" w:space="0"/>
              <w:right w:val="single" w:color="000000" w:sz="8" w:space="0"/>
            </w:tcBorders>
            <w:shd w:val="clear" w:color="auto" w:fill="auto"/>
            <w:noWrap/>
            <w:vAlign w:val="bottom"/>
          </w:tcPr>
          <w:p>
            <w:pPr>
              <w:jc w:val="center"/>
              <w:rPr>
                <w:rFonts w:hint="eastAsia" w:ascii="宋体" w:hAnsi="宋体" w:cs="宋体"/>
                <w:color w:val="000000"/>
                <w:sz w:val="22"/>
                <w:szCs w:val="22"/>
              </w:rPr>
            </w:pPr>
          </w:p>
        </w:tc>
        <w:tc>
          <w:tcPr>
            <w:tcW w:w="1758"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w:t>
            </w:r>
          </w:p>
        </w:tc>
        <w:tc>
          <w:tcPr>
            <w:tcW w:w="2062"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栏次</w:t>
            </w:r>
          </w:p>
        </w:tc>
        <w:tc>
          <w:tcPr>
            <w:tcW w:w="598" w:type="dxa"/>
            <w:tcBorders>
              <w:top w:val="nil"/>
              <w:left w:val="nil"/>
              <w:bottom w:val="single" w:color="000000" w:sz="8" w:space="0"/>
              <w:right w:val="single" w:color="000000" w:sz="8" w:space="0"/>
            </w:tcBorders>
            <w:shd w:val="clear" w:color="auto" w:fill="auto"/>
            <w:noWrap/>
            <w:vAlign w:val="bottom"/>
          </w:tcPr>
          <w:p>
            <w:pPr>
              <w:jc w:val="center"/>
              <w:rPr>
                <w:rFonts w:hint="eastAsia" w:ascii="宋体" w:hAnsi="宋体" w:cs="宋体"/>
                <w:color w:val="000000"/>
                <w:sz w:val="22"/>
                <w:szCs w:val="22"/>
              </w:rPr>
            </w:pPr>
          </w:p>
        </w:tc>
        <w:tc>
          <w:tcPr>
            <w:tcW w:w="178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w:t>
            </w:r>
          </w:p>
        </w:tc>
        <w:tc>
          <w:tcPr>
            <w:tcW w:w="2200"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栏次</w:t>
            </w:r>
          </w:p>
        </w:tc>
        <w:tc>
          <w:tcPr>
            <w:tcW w:w="542" w:type="dxa"/>
            <w:tcBorders>
              <w:top w:val="nil"/>
              <w:left w:val="nil"/>
              <w:bottom w:val="single" w:color="000000" w:sz="8" w:space="0"/>
              <w:right w:val="single" w:color="000000" w:sz="8" w:space="0"/>
            </w:tcBorders>
            <w:shd w:val="clear" w:color="auto" w:fill="auto"/>
            <w:noWrap/>
            <w:vAlign w:val="bottom"/>
          </w:tcPr>
          <w:p>
            <w:pPr>
              <w:jc w:val="center"/>
              <w:rPr>
                <w:rFonts w:hint="eastAsia" w:ascii="宋体" w:hAnsi="宋体" w:cs="宋体"/>
                <w:color w:val="000000"/>
                <w:sz w:val="22"/>
                <w:szCs w:val="22"/>
              </w:rPr>
            </w:pPr>
          </w:p>
        </w:tc>
        <w:tc>
          <w:tcPr>
            <w:tcW w:w="2118"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9</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一、一般公共预算财政拨款收入</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ascii="宋体" w:hAnsi="宋体" w:cs="宋体"/>
                <w:color w:val="000000"/>
                <w:kern w:val="0"/>
                <w:sz w:val="20"/>
                <w:szCs w:val="20"/>
                <w:lang w:bidi="ar"/>
              </w:rPr>
              <w:t>101,698,603.70</w:t>
            </w: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一、一般公共服务支出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32</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一、基本支出</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58</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t>92,563,373.00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二、政府性基金预算财政拨款收入</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二、外交支出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33</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w:t>
            </w:r>
            <w:r>
              <w:rPr>
                <w:rStyle w:val="18"/>
                <w:rFonts w:hint="default"/>
                <w:lang w:bidi="ar"/>
              </w:rPr>
              <w:t>人员经费</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59</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t>81,598,789.10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三、国有资本经营预算财政拨款收入</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三、国防支出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34</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w:t>
            </w:r>
            <w:r>
              <w:rPr>
                <w:rStyle w:val="18"/>
                <w:rFonts w:hint="default"/>
                <w:lang w:bidi="ar"/>
              </w:rPr>
              <w:t>公用经费</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60</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t>10,964,583.90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四、上级补助收入</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四、公共安全支出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35</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ascii="宋体" w:hAnsi="宋体" w:cs="宋体"/>
                <w:color w:val="000000"/>
                <w:kern w:val="0"/>
                <w:sz w:val="20"/>
                <w:szCs w:val="20"/>
                <w:lang w:bidi="ar"/>
              </w:rPr>
              <w:t>84,634,589.50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二、项目支出</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61</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t>7,633,119.67</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五、事业收入</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五、教育支出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36</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ascii="宋体" w:hAnsi="宋体" w:cs="宋体"/>
                <w:color w:val="000000"/>
                <w:kern w:val="0"/>
                <w:szCs w:val="21"/>
                <w:lang w:bidi="ar"/>
              </w:rPr>
              <w:t>58,675.00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w:t>
            </w:r>
            <w:r>
              <w:rPr>
                <w:rStyle w:val="18"/>
                <w:rFonts w:hint="default"/>
                <w:lang w:bidi="ar"/>
              </w:rPr>
              <w:t>其中：基本建设类项目</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62</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六、经营收入</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六、科学技术支出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37</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三、上缴上级支出</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63</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七、附属单位上缴收入</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七、文化旅游体育与传媒支出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38</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四、经营支出</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64</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八、其他收入</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8</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ascii="宋体" w:hAnsi="宋体" w:cs="宋体"/>
                <w:color w:val="000000"/>
                <w:kern w:val="0"/>
                <w:sz w:val="20"/>
                <w:szCs w:val="20"/>
                <w:lang w:bidi="ar"/>
              </w:rPr>
              <w:t>10,922.69</w:t>
            </w: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八、社会保障和就业支出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39</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ascii="宋体" w:hAnsi="宋体" w:cs="宋体"/>
                <w:color w:val="000000"/>
                <w:kern w:val="0"/>
                <w:szCs w:val="21"/>
                <w:lang w:bidi="ar"/>
              </w:rPr>
              <w:t>9,043,017.25</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五、对附属单位补助支出</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65</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9</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九、卫生健康支出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40</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ascii="宋体" w:hAnsi="宋体" w:cs="宋体"/>
                <w:color w:val="000000"/>
                <w:kern w:val="0"/>
                <w:szCs w:val="21"/>
                <w:lang w:bidi="ar"/>
              </w:rPr>
              <w:t>6,460,210.92</w:t>
            </w:r>
          </w:p>
        </w:tc>
        <w:tc>
          <w:tcPr>
            <w:tcW w:w="2200"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66</w:t>
            </w:r>
          </w:p>
        </w:tc>
        <w:tc>
          <w:tcPr>
            <w:tcW w:w="2118"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cs="宋体"/>
                <w:color w:val="000000"/>
                <w:sz w:val="22"/>
                <w:szCs w:val="22"/>
              </w:rPr>
            </w:pP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10</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十、节能环保支出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41</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c>
          <w:tcPr>
            <w:tcW w:w="2200"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67</w:t>
            </w:r>
          </w:p>
        </w:tc>
        <w:tc>
          <w:tcPr>
            <w:tcW w:w="2118"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cs="宋体"/>
                <w:color w:val="000000"/>
                <w:sz w:val="22"/>
                <w:szCs w:val="22"/>
              </w:rPr>
            </w:pP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11</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十一、城乡社区支出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42</w:t>
            </w:r>
          </w:p>
        </w:tc>
        <w:tc>
          <w:tcPr>
            <w:tcW w:w="1780"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经济分类支出合计</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68</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cs="Arial"/>
                <w:color w:val="000000"/>
                <w:sz w:val="20"/>
                <w:szCs w:val="20"/>
              </w:rPr>
              <w:t>100,196,492.67</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12</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十二、农林水支出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43</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一、工资福利支出</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69</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cs="Arial"/>
                <w:color w:val="000000"/>
                <w:sz w:val="20"/>
                <w:szCs w:val="20"/>
              </w:rPr>
              <w:t>80,470,056.10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13</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十三、交通运输支出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44</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二、商品和服务支出</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70</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cs="Arial"/>
                <w:color w:val="000000"/>
                <w:sz w:val="20"/>
                <w:szCs w:val="20"/>
              </w:rPr>
              <w:t>16,975,024.57</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14</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十四、资源勘探工业信息等支出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45</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三、对个人和家庭的补助</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71</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cs="Arial"/>
                <w:color w:val="000000"/>
                <w:sz w:val="20"/>
                <w:szCs w:val="20"/>
              </w:rPr>
              <w:t>1,128,733.00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15</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十五、商业服务业等支出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46</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四、债务利息及费用支出</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72</w:t>
            </w:r>
          </w:p>
        </w:tc>
        <w:tc>
          <w:tcPr>
            <w:tcW w:w="211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16</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十六、金融支出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47</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五、资本性支出（基本建设）</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73</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sz w:val="22"/>
                <w:szCs w:val="22"/>
              </w:rPr>
              <w:t>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17</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十七、援助其他地区支出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48</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六、资本性支出</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74</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t>1,622,679.00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bookmarkStart w:id="39" w:name="OLE_LINK7" w:colFirst="8" w:colLast="8"/>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18</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十八、自然资源海洋气象等支出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49</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七、对企业补助（基本建设）</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75</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r>
      <w:bookmarkEnd w:id="39"/>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19</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十九、住房保障支出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50</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八、对企业补助</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76</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20</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二十、粮油物资储备支出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51</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九、对社会保障基金补助</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77</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21</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二十一、国有资本经营预算支出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52</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十、其他支出</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78</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22</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二十二、灾害防治及应急管理支出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53</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79</w:t>
            </w:r>
          </w:p>
        </w:tc>
        <w:tc>
          <w:tcPr>
            <w:tcW w:w="211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23</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二十三、其他支出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54</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80</w:t>
            </w:r>
          </w:p>
        </w:tc>
        <w:tc>
          <w:tcPr>
            <w:tcW w:w="211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24</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二十四、债务还本支出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55</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81</w:t>
            </w:r>
          </w:p>
        </w:tc>
        <w:tc>
          <w:tcPr>
            <w:tcW w:w="211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r>
      <w:tr>
        <w:tblPrEx>
          <w:tblCellMar>
            <w:top w:w="0" w:type="dxa"/>
            <w:left w:w="108" w:type="dxa"/>
            <w:bottom w:w="0" w:type="dxa"/>
            <w:right w:w="108" w:type="dxa"/>
          </w:tblCellMar>
        </w:tblPrEx>
        <w:trPr>
          <w:trHeight w:val="310"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25</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二十五、债务付息支出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56</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82</w:t>
            </w:r>
          </w:p>
        </w:tc>
        <w:tc>
          <w:tcPr>
            <w:tcW w:w="211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r>
      <w:tr>
        <w:tblPrEx>
          <w:tblCellMar>
            <w:top w:w="0" w:type="dxa"/>
            <w:left w:w="108" w:type="dxa"/>
            <w:bottom w:w="0" w:type="dxa"/>
            <w:right w:w="108" w:type="dxa"/>
          </w:tblCellMar>
        </w:tblPrEx>
        <w:trPr>
          <w:trHeight w:val="310"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26</w:t>
            </w:r>
          </w:p>
        </w:tc>
        <w:tc>
          <w:tcPr>
            <w:tcW w:w="175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c>
          <w:tcPr>
            <w:tcW w:w="206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二十六、抗疫特别国债安排的支出</w:t>
            </w:r>
          </w:p>
        </w:tc>
        <w:tc>
          <w:tcPr>
            <w:tcW w:w="598"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57</w:t>
            </w:r>
          </w:p>
        </w:tc>
        <w:tc>
          <w:tcPr>
            <w:tcW w:w="178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0</w:t>
            </w:r>
          </w:p>
        </w:tc>
        <w:tc>
          <w:tcPr>
            <w:tcW w:w="2200"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83</w:t>
            </w:r>
          </w:p>
        </w:tc>
        <w:tc>
          <w:tcPr>
            <w:tcW w:w="2118" w:type="dxa"/>
            <w:tcBorders>
              <w:top w:val="nil"/>
              <w:left w:val="nil"/>
              <w:bottom w:val="single" w:color="000000" w:sz="8" w:space="0"/>
              <w:right w:val="single" w:color="000000" w:sz="8" w:space="0"/>
            </w:tcBorders>
            <w:shd w:val="clear" w:color="auto" w:fill="auto"/>
            <w:noWrap/>
            <w:vAlign w:val="bottom"/>
          </w:tcPr>
          <w:p>
            <w:pPr>
              <w:widowControl/>
              <w:adjustRightInd w:val="0"/>
              <w:snapToGrid w:val="0"/>
              <w:jc w:val="right"/>
              <w:rPr>
                <w:rFonts w:hint="eastAsia" w:ascii="宋体" w:hAnsi="宋体" w:cs="宋体"/>
                <w:color w:val="000000"/>
                <w:sz w:val="22"/>
                <w:szCs w:val="22"/>
              </w:rPr>
            </w:pPr>
          </w:p>
        </w:tc>
      </w:tr>
      <w:tr>
        <w:tblPrEx>
          <w:tblCellMar>
            <w:top w:w="0" w:type="dxa"/>
            <w:left w:w="108" w:type="dxa"/>
            <w:bottom w:w="0" w:type="dxa"/>
            <w:right w:w="108" w:type="dxa"/>
          </w:tblCellMar>
        </w:tblPrEx>
        <w:trPr>
          <w:trHeight w:val="310"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本年收入合计</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27</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bookmarkStart w:id="40" w:name="OLE_LINK15"/>
            <w:r>
              <w:rPr>
                <w:rFonts w:ascii="宋体" w:hAnsi="宋体" w:cs="宋体"/>
                <w:color w:val="000000"/>
                <w:kern w:val="0"/>
                <w:sz w:val="20"/>
                <w:szCs w:val="20"/>
                <w:lang w:bidi="ar"/>
              </w:rPr>
              <w:t>101,709,526.39</w:t>
            </w:r>
            <w:bookmarkEnd w:id="40"/>
          </w:p>
        </w:tc>
        <w:tc>
          <w:tcPr>
            <w:tcW w:w="6640" w:type="dxa"/>
            <w:gridSpan w:val="4"/>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本年支出合计</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84</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209,858,244.94</w:t>
            </w:r>
          </w:p>
        </w:tc>
      </w:tr>
      <w:tr>
        <w:tblPrEx>
          <w:tblCellMar>
            <w:top w:w="0" w:type="dxa"/>
            <w:left w:w="108" w:type="dxa"/>
            <w:bottom w:w="0" w:type="dxa"/>
            <w:right w:w="108" w:type="dxa"/>
          </w:tblCellMar>
        </w:tblPrEx>
        <w:trPr>
          <w:trHeight w:val="310"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w:t>
            </w:r>
            <w:r>
              <w:rPr>
                <w:rStyle w:val="18"/>
                <w:rFonts w:hint="default"/>
                <w:lang w:bidi="ar"/>
              </w:rPr>
              <w:t>使用非财政拨款结余</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28</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Cs w:val="21"/>
                <w:lang w:bidi="ar"/>
              </w:rPr>
              <w:t>—</w:t>
            </w:r>
          </w:p>
        </w:tc>
        <w:tc>
          <w:tcPr>
            <w:tcW w:w="6640" w:type="dxa"/>
            <w:gridSpan w:val="4"/>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w:t>
            </w:r>
            <w:r>
              <w:rPr>
                <w:rStyle w:val="18"/>
                <w:rFonts w:hint="default"/>
                <w:lang w:bidi="ar"/>
              </w:rPr>
              <w:t>结余分配</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85</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hint="eastAsia" w:ascii="宋体" w:hAnsi="宋体" w:cs="宋体"/>
                <w:color w:val="000000"/>
                <w:kern w:val="0"/>
                <w:szCs w:val="21"/>
                <w:lang w:bidi="ar"/>
              </w:rPr>
              <w:t>0.00</w:t>
            </w:r>
          </w:p>
        </w:tc>
      </w:tr>
      <w:tr>
        <w:tblPrEx>
          <w:tblCellMar>
            <w:top w:w="0" w:type="dxa"/>
            <w:left w:w="108" w:type="dxa"/>
            <w:bottom w:w="0" w:type="dxa"/>
            <w:right w:w="108" w:type="dxa"/>
          </w:tblCellMar>
        </w:tblPrEx>
        <w:trPr>
          <w:trHeight w:val="310"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w:t>
            </w:r>
            <w:r>
              <w:rPr>
                <w:rStyle w:val="18"/>
                <w:rFonts w:hint="default"/>
                <w:lang w:bidi="ar"/>
              </w:rPr>
              <w:t>年初结转和结余</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29</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p>
        </w:tc>
        <w:tc>
          <w:tcPr>
            <w:tcW w:w="6640" w:type="dxa"/>
            <w:gridSpan w:val="4"/>
            <w:tcBorders>
              <w:top w:val="nil"/>
              <w:left w:val="nil"/>
              <w:bottom w:val="single" w:color="000000" w:sz="8" w:space="0"/>
              <w:right w:val="single" w:color="000000" w:sz="8" w:space="0"/>
            </w:tcBorders>
            <w:shd w:val="clear" w:color="auto" w:fill="auto"/>
            <w:noWrap/>
            <w:vAlign w:val="center"/>
          </w:tcPr>
          <w:p>
            <w:pPr>
              <w:widowControl/>
              <w:adjustRightInd w:val="0"/>
              <w:snapToGrid w:val="0"/>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w:t>
            </w:r>
            <w:r>
              <w:rPr>
                <w:rStyle w:val="18"/>
                <w:rFonts w:hint="default"/>
                <w:lang w:bidi="ar"/>
              </w:rPr>
              <w:t>年末结转和结余</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86</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t>1,513,033.72</w:t>
            </w: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30</w:t>
            </w:r>
          </w:p>
        </w:tc>
        <w:tc>
          <w:tcPr>
            <w:tcW w:w="1758"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cs="宋体"/>
                <w:color w:val="000000"/>
                <w:sz w:val="22"/>
                <w:szCs w:val="22"/>
              </w:rPr>
            </w:pPr>
          </w:p>
        </w:tc>
        <w:tc>
          <w:tcPr>
            <w:tcW w:w="6640" w:type="dxa"/>
            <w:gridSpan w:val="4"/>
            <w:tcBorders>
              <w:top w:val="nil"/>
              <w:left w:val="nil"/>
              <w:bottom w:val="single" w:color="000000" w:sz="8" w:space="0"/>
              <w:right w:val="single" w:color="000000" w:sz="8" w:space="0"/>
            </w:tcBorders>
            <w:shd w:val="clear" w:color="auto" w:fill="auto"/>
            <w:noWrap/>
            <w:vAlign w:val="bottom"/>
          </w:tcPr>
          <w:p>
            <w:pPr>
              <w:widowControl/>
              <w:adjustRightInd w:val="0"/>
              <w:snapToGrid w:val="0"/>
              <w:jc w:val="left"/>
              <w:rPr>
                <w:rFonts w:hint="eastAsia" w:ascii="宋体" w:hAnsi="宋体" w:cs="宋体"/>
                <w:color w:val="000000"/>
                <w:sz w:val="22"/>
                <w:szCs w:val="22"/>
              </w:rPr>
            </w:pP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87</w:t>
            </w:r>
          </w:p>
        </w:tc>
        <w:tc>
          <w:tcPr>
            <w:tcW w:w="2118"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cs="宋体"/>
                <w:color w:val="000000"/>
                <w:sz w:val="22"/>
                <w:szCs w:val="22"/>
              </w:rPr>
            </w:pPr>
          </w:p>
        </w:tc>
      </w:tr>
      <w:tr>
        <w:tblPrEx>
          <w:tblCellMar>
            <w:top w:w="0" w:type="dxa"/>
            <w:left w:w="108" w:type="dxa"/>
            <w:bottom w:w="0" w:type="dxa"/>
            <w:right w:w="108" w:type="dxa"/>
          </w:tblCellMar>
        </w:tblPrEx>
        <w:trPr>
          <w:trHeight w:val="295" w:hRule="atLeast"/>
        </w:trPr>
        <w:tc>
          <w:tcPr>
            <w:tcW w:w="2842" w:type="dxa"/>
            <w:tcBorders>
              <w:top w:val="nil"/>
              <w:left w:val="single" w:color="000000" w:sz="8" w:space="0"/>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总计</w:t>
            </w:r>
          </w:p>
        </w:tc>
        <w:tc>
          <w:tcPr>
            <w:tcW w:w="540"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31</w:t>
            </w:r>
          </w:p>
        </w:tc>
        <w:tc>
          <w:tcPr>
            <w:tcW w:w="175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bookmarkStart w:id="41" w:name="OLE_LINK16"/>
            <w:r>
              <w:rPr>
                <w:rFonts w:ascii="宋体" w:hAnsi="宋体" w:cs="宋体"/>
                <w:color w:val="000000"/>
                <w:kern w:val="0"/>
                <w:sz w:val="20"/>
                <w:szCs w:val="20"/>
                <w:lang w:bidi="ar"/>
              </w:rPr>
              <w:t>101,709,526.39</w:t>
            </w:r>
            <w:bookmarkEnd w:id="41"/>
          </w:p>
        </w:tc>
        <w:tc>
          <w:tcPr>
            <w:tcW w:w="6640" w:type="dxa"/>
            <w:gridSpan w:val="4"/>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总计</w:t>
            </w:r>
          </w:p>
        </w:tc>
        <w:tc>
          <w:tcPr>
            <w:tcW w:w="542" w:type="dxa"/>
            <w:tcBorders>
              <w:top w:val="nil"/>
              <w:left w:val="nil"/>
              <w:bottom w:val="single" w:color="000000" w:sz="8" w:space="0"/>
              <w:right w:val="single" w:color="000000" w:sz="8" w:space="0"/>
            </w:tcBorders>
            <w:shd w:val="clear" w:color="auto" w:fill="auto"/>
            <w:noWrap/>
            <w:vAlign w:val="center"/>
          </w:tcPr>
          <w:p>
            <w:pPr>
              <w:widowControl/>
              <w:adjustRightInd w:val="0"/>
              <w:snapToGrid w:val="0"/>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88</w:t>
            </w:r>
          </w:p>
        </w:tc>
        <w:tc>
          <w:tcPr>
            <w:tcW w:w="2118"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hint="eastAsia" w:ascii="宋体" w:hAnsi="宋体" w:cs="宋体"/>
                <w:color w:val="000000"/>
                <w:sz w:val="22"/>
                <w:szCs w:val="22"/>
              </w:rPr>
            </w:pPr>
            <w:r>
              <w:rPr>
                <w:rFonts w:ascii="宋体" w:hAnsi="宋体" w:cs="宋体"/>
                <w:color w:val="000000"/>
                <w:kern w:val="0"/>
                <w:sz w:val="20"/>
                <w:szCs w:val="20"/>
                <w:lang w:bidi="ar"/>
              </w:rPr>
              <w:t>101,709,526.39</w:t>
            </w:r>
          </w:p>
        </w:tc>
      </w:tr>
    </w:tbl>
    <w:p>
      <w:pPr>
        <w:spacing w:line="600" w:lineRule="exact"/>
        <w:ind w:firstLine="420" w:firstLineChars="200"/>
        <w:sectPr>
          <w:pgSz w:w="16838" w:h="11906" w:orient="landscape"/>
          <w:pgMar w:top="1236" w:right="1440" w:bottom="1236" w:left="1440" w:header="851" w:footer="992" w:gutter="0"/>
          <w:pgNumType w:fmt="numberInDash"/>
          <w:cols w:space="425" w:num="1"/>
          <w:docGrid w:type="lines" w:linePitch="312" w:charSpace="0"/>
        </w:sectPr>
      </w:pPr>
    </w:p>
    <w:p>
      <w:pPr>
        <w:outlineLvl w:val="1"/>
        <w:rPr>
          <w:rFonts w:ascii="仿宋_GB2312" w:hAnsi="宋体" w:eastAsia="仿宋_GB2312" w:cs="宋体"/>
          <w:color w:val="000000"/>
          <w:kern w:val="0"/>
          <w:sz w:val="32"/>
          <w:szCs w:val="32"/>
        </w:rPr>
      </w:pPr>
      <w:bookmarkStart w:id="42" w:name="_Toc5788"/>
      <w:r>
        <w:rPr>
          <w:rFonts w:hint="eastAsia" w:ascii="仿宋_GB2312" w:hAnsi="宋体" w:eastAsia="仿宋_GB2312" w:cs="宋体"/>
          <w:color w:val="000000"/>
          <w:kern w:val="0"/>
          <w:sz w:val="32"/>
          <w:szCs w:val="32"/>
        </w:rPr>
        <w:t>附件2：部门整体支出绩效目标完成情况对比表</w:t>
      </w:r>
      <w:bookmarkEnd w:id="42"/>
    </w:p>
    <w:p>
      <w:pPr>
        <w:spacing w:line="600" w:lineRule="exact"/>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部门名称：北京市通</w:t>
      </w:r>
      <w:r>
        <w:rPr>
          <w:rFonts w:hint="eastAsia" w:ascii="宋体" w:hAnsi="宋体" w:cs="宋体"/>
          <w:color w:val="000000"/>
          <w:kern w:val="0"/>
          <w:sz w:val="24"/>
        </w:rPr>
        <w:t>州</w:t>
      </w:r>
      <w:r>
        <w:rPr>
          <w:rFonts w:hint="eastAsia" w:ascii="___WRD_EMBED_SUB_45" w:hAnsi="___WRD_EMBED_SUB_45" w:eastAsia="___WRD_EMBED_SUB_45" w:cs="___WRD_EMBED_SUB_45"/>
          <w:color w:val="000000"/>
          <w:kern w:val="0"/>
          <w:sz w:val="24"/>
        </w:rPr>
        <w:t>区人民检察院</w:t>
      </w:r>
    </w:p>
    <w:tbl>
      <w:tblPr>
        <w:tblStyle w:val="14"/>
        <w:tblW w:w="9098" w:type="dxa"/>
        <w:jc w:val="center"/>
        <w:tblLayout w:type="fixed"/>
        <w:tblCellMar>
          <w:top w:w="0" w:type="dxa"/>
          <w:left w:w="30" w:type="dxa"/>
          <w:bottom w:w="0" w:type="dxa"/>
          <w:right w:w="30" w:type="dxa"/>
        </w:tblCellMar>
      </w:tblPr>
      <w:tblGrid>
        <w:gridCol w:w="759"/>
        <w:gridCol w:w="1507"/>
        <w:gridCol w:w="3701"/>
        <w:gridCol w:w="3131"/>
      </w:tblGrid>
      <w:tr>
        <w:tblPrEx>
          <w:tblCellMar>
            <w:top w:w="0" w:type="dxa"/>
            <w:left w:w="30" w:type="dxa"/>
            <w:bottom w:w="0" w:type="dxa"/>
            <w:right w:w="30" w:type="dxa"/>
          </w:tblCellMar>
        </w:tblPrEx>
        <w:trPr>
          <w:trHeight w:val="348" w:hRule="atLeast"/>
          <w:jc w:val="center"/>
        </w:trPr>
        <w:tc>
          <w:tcPr>
            <w:tcW w:w="2266" w:type="dxa"/>
            <w:gridSpan w:val="2"/>
            <w:tcBorders>
              <w:top w:val="single" w:color="auto" w:sz="4" w:space="0"/>
              <w:left w:val="single" w:color="auto" w:sz="6" w:space="0"/>
              <w:bottom w:val="single" w:color="auto" w:sz="6" w:space="0"/>
              <w:right w:val="single" w:color="auto" w:sz="6" w:space="0"/>
            </w:tcBorders>
            <w:shd w:val="clear" w:color="auto" w:fill="E7E6E6" w:themeFill="background2"/>
            <w:vAlign w:val="center"/>
          </w:tcPr>
          <w:p>
            <w:pPr>
              <w:autoSpaceDE w:val="0"/>
              <w:autoSpaceDN w:val="0"/>
              <w:adjustRightInd w:val="0"/>
              <w:jc w:val="center"/>
              <w:rPr>
                <w:rFonts w:ascii="Arial Narrow" w:hAnsi="Arial Narrow" w:cs="宋体"/>
                <w:color w:val="000000"/>
                <w:kern w:val="0"/>
                <w:szCs w:val="21"/>
              </w:rPr>
            </w:pPr>
            <w:r>
              <w:rPr>
                <w:rFonts w:hint="eastAsia" w:ascii="Arial Narrow" w:hAnsi="Arial Narrow" w:cs="宋体"/>
                <w:color w:val="000000"/>
                <w:kern w:val="0"/>
                <w:szCs w:val="21"/>
              </w:rPr>
              <w:t>指标内容</w:t>
            </w:r>
          </w:p>
        </w:tc>
        <w:tc>
          <w:tcPr>
            <w:tcW w:w="3701" w:type="dxa"/>
            <w:tcBorders>
              <w:top w:val="single" w:color="auto" w:sz="4" w:space="0"/>
              <w:left w:val="single" w:color="auto" w:sz="6" w:space="0"/>
              <w:bottom w:val="single" w:color="auto" w:sz="6" w:space="0"/>
              <w:right w:val="single" w:color="auto" w:sz="6" w:space="0"/>
            </w:tcBorders>
            <w:shd w:val="clear" w:color="auto" w:fill="E7E6E6" w:themeFill="background2"/>
            <w:vAlign w:val="center"/>
          </w:tcPr>
          <w:p>
            <w:pPr>
              <w:autoSpaceDE w:val="0"/>
              <w:autoSpaceDN w:val="0"/>
              <w:adjustRightInd w:val="0"/>
              <w:jc w:val="center"/>
              <w:rPr>
                <w:rFonts w:ascii="Arial Narrow" w:hAnsi="Arial Narrow" w:cs="宋体"/>
                <w:color w:val="000000"/>
                <w:kern w:val="0"/>
                <w:szCs w:val="21"/>
              </w:rPr>
            </w:pPr>
            <w:r>
              <w:rPr>
                <w:rFonts w:hint="eastAsia" w:ascii="Arial Narrow" w:hAnsi="Arial Narrow" w:cs="宋体"/>
                <w:color w:val="000000"/>
                <w:kern w:val="0"/>
                <w:szCs w:val="21"/>
              </w:rPr>
              <w:t>计划内容</w:t>
            </w:r>
          </w:p>
        </w:tc>
        <w:tc>
          <w:tcPr>
            <w:tcW w:w="3131" w:type="dxa"/>
            <w:tcBorders>
              <w:top w:val="single" w:color="auto" w:sz="4" w:space="0"/>
              <w:left w:val="single" w:color="auto" w:sz="6" w:space="0"/>
              <w:bottom w:val="single" w:color="auto" w:sz="6" w:space="0"/>
              <w:right w:val="single" w:color="auto" w:sz="6" w:space="0"/>
            </w:tcBorders>
            <w:shd w:val="clear" w:color="auto" w:fill="E7E6E6" w:themeFill="background2"/>
            <w:vAlign w:val="center"/>
          </w:tcPr>
          <w:p>
            <w:pPr>
              <w:autoSpaceDE w:val="0"/>
              <w:autoSpaceDN w:val="0"/>
              <w:adjustRightInd w:val="0"/>
              <w:jc w:val="center"/>
              <w:rPr>
                <w:rFonts w:ascii="Arial Narrow" w:hAnsi="Arial Narrow" w:cs="宋体"/>
                <w:color w:val="000000"/>
                <w:kern w:val="0"/>
                <w:szCs w:val="21"/>
              </w:rPr>
            </w:pPr>
            <w:r>
              <w:rPr>
                <w:rFonts w:hint="eastAsia" w:ascii="Arial Narrow" w:hAnsi="Arial Narrow" w:cs="宋体"/>
                <w:color w:val="000000"/>
                <w:kern w:val="0"/>
                <w:szCs w:val="21"/>
              </w:rPr>
              <w:t>实际完成情况</w:t>
            </w:r>
          </w:p>
        </w:tc>
      </w:tr>
      <w:tr>
        <w:tblPrEx>
          <w:tblCellMar>
            <w:top w:w="0" w:type="dxa"/>
            <w:left w:w="30" w:type="dxa"/>
            <w:bottom w:w="0" w:type="dxa"/>
            <w:right w:w="30" w:type="dxa"/>
          </w:tblCellMar>
        </w:tblPrEx>
        <w:trPr>
          <w:trHeight w:val="8290" w:hRule="atLeast"/>
          <w:jc w:val="center"/>
        </w:trPr>
        <w:tc>
          <w:tcPr>
            <w:tcW w:w="2266"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部门（单位）</w:t>
            </w:r>
          </w:p>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绩效目标</w:t>
            </w:r>
          </w:p>
        </w:tc>
        <w:tc>
          <w:tcPr>
            <w:tcW w:w="370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ind w:firstLine="420" w:firstLineChars="200"/>
              <w:textAlignment w:val="auto"/>
              <w:rPr>
                <w:rFonts w:hint="eastAsia" w:ascii="宋体" w:hAnsi="宋体" w:cs="宋体"/>
                <w:kern w:val="0"/>
                <w:szCs w:val="21"/>
              </w:rPr>
            </w:pPr>
            <w:r>
              <w:rPr>
                <w:rFonts w:hint="eastAsia" w:ascii="宋体" w:hAnsi="宋体" w:eastAsia="宋体" w:cs="宋体"/>
                <w:kern w:val="0"/>
                <w:sz w:val="21"/>
                <w:szCs w:val="21"/>
                <w:lang w:val="en-US" w:eastAsia="zh-CN" w:bidi="ar-SA"/>
              </w:rPr>
              <w:t>依照法律规定对有关刑事案件行使侦查权；对刑事案件进行审查、批准或者决定是否逮捕犯罪嫌疑人；对刑事案件进行审查，决定是否提起公诉，对决定提起公诉的案件支持公诉；依照法律规定提起公益诉讼；对诉讼活动实施法律监督；对判决、裁定等生效法律文书的执行工作实施法律监督；对监狱、看守所的执法活动实施法律监督等。</w:t>
            </w:r>
            <w:r>
              <w:rPr>
                <w:rFonts w:hint="eastAsia" w:ascii="宋体" w:hAnsi="宋体" w:cs="宋体"/>
                <w:kern w:val="0"/>
                <w:szCs w:val="21"/>
              </w:rPr>
              <w:t xml:space="preserve"> </w:t>
            </w:r>
          </w:p>
        </w:tc>
        <w:tc>
          <w:tcPr>
            <w:tcW w:w="3131" w:type="dxa"/>
            <w:tcBorders>
              <w:top w:val="single" w:color="auto" w:sz="6" w:space="0"/>
              <w:left w:val="single" w:color="auto" w:sz="6" w:space="0"/>
              <w:bottom w:val="single" w:color="auto" w:sz="6" w:space="0"/>
              <w:right w:val="single" w:color="auto" w:sz="6" w:space="0"/>
            </w:tcBorders>
            <w:vAlign w:val="center"/>
          </w:tcPr>
          <w:p>
            <w:pPr>
              <w:pStyle w:val="13"/>
              <w:widowControl/>
              <w:spacing w:before="0" w:beforeAutospacing="0" w:after="0" w:afterAutospacing="0" w:line="480" w:lineRule="atLeast"/>
              <w:ind w:firstLine="516"/>
              <w:jc w:val="both"/>
              <w:rPr>
                <w:rFonts w:hint="eastAsia" w:ascii="宋体" w:hAnsi="宋体" w:cs="宋体"/>
                <w:color w:val="000000"/>
                <w:sz w:val="21"/>
                <w:szCs w:val="21"/>
              </w:rPr>
            </w:pPr>
            <w:r>
              <w:rPr>
                <w:rFonts w:hint="eastAsia" w:ascii="宋体" w:hAnsi="宋体" w:cs="宋体"/>
                <w:sz w:val="21"/>
                <w:szCs w:val="21"/>
              </w:rPr>
              <w:t>2024年，区检察院在区委和市检察院的正确领导下，在区人大及其常委会的有力监督下，在区政府、区政协以及社会各界的大力支持下，坚持以习近平新时代中国特色社会主义思想为指导，全面贯彻党的二十大和二十届三中全会精神，深入学习贯彻习近平法治思想，深化落实区委“11311”工作体系，为大局服务、为人民司法、为法治担当，全力保障城市副中心高质量发展。全年办理危害公共安全、影响人民群众安全感等各类刑事案件，依法批准逮捕902人，提起公诉1578人，同比分别增长14.16%、6.05%。</w:t>
            </w:r>
          </w:p>
        </w:tc>
      </w:tr>
      <w:tr>
        <w:tblPrEx>
          <w:tblCellMar>
            <w:top w:w="0" w:type="dxa"/>
            <w:left w:w="30" w:type="dxa"/>
            <w:bottom w:w="0" w:type="dxa"/>
            <w:right w:w="30" w:type="dxa"/>
          </w:tblCellMar>
        </w:tblPrEx>
        <w:trPr>
          <w:trHeight w:val="335" w:hRule="atLeast"/>
          <w:jc w:val="center"/>
        </w:trPr>
        <w:tc>
          <w:tcPr>
            <w:tcW w:w="759" w:type="dxa"/>
            <w:vMerge w:val="restart"/>
            <w:tcBorders>
              <w:top w:val="single" w:color="auto" w:sz="6" w:space="0"/>
              <w:left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绩</w:t>
            </w:r>
          </w:p>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效</w:t>
            </w:r>
          </w:p>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指</w:t>
            </w:r>
          </w:p>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标</w:t>
            </w:r>
          </w:p>
        </w:tc>
        <w:tc>
          <w:tcPr>
            <w:tcW w:w="150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指标名称</w:t>
            </w:r>
          </w:p>
        </w:tc>
        <w:tc>
          <w:tcPr>
            <w:tcW w:w="370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kern w:val="0"/>
                <w:szCs w:val="21"/>
              </w:rPr>
            </w:pPr>
            <w:r>
              <w:rPr>
                <w:rFonts w:hint="eastAsia" w:ascii="宋体" w:hAnsi="宋体" w:cs="宋体"/>
                <w:kern w:val="0"/>
                <w:szCs w:val="21"/>
              </w:rPr>
              <w:t>指标内容和指标值</w:t>
            </w:r>
          </w:p>
        </w:tc>
        <w:tc>
          <w:tcPr>
            <w:tcW w:w="313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已完成情况</w:t>
            </w:r>
          </w:p>
        </w:tc>
      </w:tr>
      <w:tr>
        <w:tblPrEx>
          <w:tblCellMar>
            <w:top w:w="0" w:type="dxa"/>
            <w:left w:w="30" w:type="dxa"/>
            <w:bottom w:w="0" w:type="dxa"/>
            <w:right w:w="30" w:type="dxa"/>
          </w:tblCellMar>
        </w:tblPrEx>
        <w:trPr>
          <w:trHeight w:val="553" w:hRule="atLeast"/>
          <w:jc w:val="center"/>
        </w:trPr>
        <w:tc>
          <w:tcPr>
            <w:tcW w:w="759" w:type="dxa"/>
            <w:vMerge w:val="continue"/>
            <w:tcBorders>
              <w:left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p>
        </w:tc>
        <w:tc>
          <w:tcPr>
            <w:tcW w:w="150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基本经费</w:t>
            </w:r>
          </w:p>
        </w:tc>
        <w:tc>
          <w:tcPr>
            <w:tcW w:w="370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left"/>
              <w:rPr>
                <w:rFonts w:hint="eastAsia" w:ascii="宋体" w:hAnsi="宋体" w:cs="宋体"/>
                <w:szCs w:val="21"/>
              </w:rPr>
            </w:pPr>
            <w:r>
              <w:rPr>
                <w:rFonts w:hint="eastAsia" w:ascii="Arial Narrow" w:hAnsi="Arial Narrow" w:cs="宋体"/>
                <w:kern w:val="0"/>
                <w:sz w:val="20"/>
                <w:szCs w:val="20"/>
              </w:rPr>
              <w:t>基本经费保障机构正常运行、完成日常工作任务，总成本控制在9354.86万元。</w:t>
            </w:r>
          </w:p>
        </w:tc>
        <w:tc>
          <w:tcPr>
            <w:tcW w:w="313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left"/>
              <w:rPr>
                <w:rFonts w:hint="eastAsia" w:ascii="宋体" w:hAnsi="宋体" w:cs="宋体"/>
                <w:color w:val="000000"/>
                <w:kern w:val="0"/>
                <w:szCs w:val="21"/>
              </w:rPr>
            </w:pPr>
            <w:r>
              <w:rPr>
                <w:rFonts w:hint="eastAsia" w:ascii="Arial Narrow" w:hAnsi="Arial Narrow" w:cs="宋体"/>
                <w:color w:val="000000" w:themeColor="text1"/>
                <w:kern w:val="0"/>
                <w:sz w:val="20"/>
                <w:szCs w:val="20"/>
                <w14:textFill>
                  <w14:solidFill>
                    <w14:schemeClr w14:val="tx1"/>
                  </w14:solidFill>
                </w14:textFill>
              </w:rPr>
              <w:t>保障机构正常运行，人员经费和公用经费合理使用，实际总支出9256.34万元。</w:t>
            </w:r>
          </w:p>
        </w:tc>
      </w:tr>
      <w:tr>
        <w:tblPrEx>
          <w:tblCellMar>
            <w:top w:w="0" w:type="dxa"/>
            <w:left w:w="30" w:type="dxa"/>
            <w:bottom w:w="0" w:type="dxa"/>
            <w:right w:w="30" w:type="dxa"/>
          </w:tblCellMar>
        </w:tblPrEx>
        <w:trPr>
          <w:trHeight w:val="742" w:hRule="atLeast"/>
          <w:jc w:val="center"/>
        </w:trPr>
        <w:tc>
          <w:tcPr>
            <w:tcW w:w="759" w:type="dxa"/>
            <w:vMerge w:val="continue"/>
            <w:tcBorders>
              <w:left w:val="single" w:color="auto" w:sz="6" w:space="0"/>
              <w:bottom w:val="single" w:color="auto" w:sz="4"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p>
        </w:tc>
        <w:tc>
          <w:tcPr>
            <w:tcW w:w="1507"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项目经费</w:t>
            </w:r>
          </w:p>
        </w:tc>
        <w:tc>
          <w:tcPr>
            <w:tcW w:w="3701" w:type="dxa"/>
            <w:tcBorders>
              <w:top w:val="single" w:color="auto" w:sz="6" w:space="0"/>
              <w:left w:val="single" w:color="auto" w:sz="6" w:space="0"/>
              <w:bottom w:val="single" w:color="auto" w:sz="6" w:space="0"/>
              <w:right w:val="single" w:color="auto" w:sz="6" w:space="0"/>
            </w:tcBorders>
            <w:vAlign w:val="center"/>
          </w:tcPr>
          <w:p>
            <w:pPr>
              <w:widowControl/>
              <w:jc w:val="left"/>
              <w:rPr>
                <w:rFonts w:hint="eastAsia" w:ascii="宋体" w:hAnsi="宋体" w:cs="宋体"/>
                <w:szCs w:val="21"/>
              </w:rPr>
            </w:pPr>
            <w:r>
              <w:rPr>
                <w:rFonts w:hint="eastAsia" w:ascii="Arial Narrow" w:hAnsi="Arial Narrow" w:cs="宋体"/>
                <w:kern w:val="0"/>
                <w:sz w:val="20"/>
                <w:szCs w:val="20"/>
              </w:rPr>
              <w:t>项目经费为保障各项检察业务活动顺利开展，为执法办案、宣传、培训等检察业务提供经费保障、保障全院干警工作期间人身财产安全，确保检察业务顺利开展。总成本控制在817.10万元</w:t>
            </w:r>
          </w:p>
        </w:tc>
        <w:tc>
          <w:tcPr>
            <w:tcW w:w="313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left"/>
              <w:rPr>
                <w:rFonts w:hint="eastAsia" w:ascii="宋体" w:hAnsi="宋体" w:cs="宋体"/>
                <w:color w:val="000000"/>
                <w:kern w:val="0"/>
                <w:szCs w:val="21"/>
              </w:rPr>
            </w:pPr>
            <w:r>
              <w:rPr>
                <w:rFonts w:hint="eastAsia" w:ascii="Arial Narrow" w:hAnsi="Arial Narrow" w:cs="宋体"/>
                <w:kern w:val="0"/>
                <w:sz w:val="20"/>
                <w:szCs w:val="20"/>
              </w:rPr>
              <w:t>更好效果落实改革部署，提升公正司法水平、保障单位各方面设施运转的安全性、连续性和稳定性。实际总支出763.31万元。</w:t>
            </w:r>
          </w:p>
        </w:tc>
      </w:tr>
    </w:tbl>
    <w:p>
      <w:pPr>
        <w:spacing w:line="600" w:lineRule="exact"/>
        <w:ind w:firstLine="420" w:firstLineChars="200"/>
        <w:sectPr>
          <w:pgSz w:w="11906" w:h="16838"/>
          <w:pgMar w:top="1440" w:right="1800" w:bottom="1440" w:left="1800" w:header="851" w:footer="992" w:gutter="0"/>
          <w:pgNumType w:fmt="numberInDash"/>
          <w:cols w:space="425" w:num="1"/>
          <w:docGrid w:type="lines" w:linePitch="312" w:charSpace="0"/>
        </w:sectPr>
      </w:pPr>
    </w:p>
    <w:p>
      <w:pPr>
        <w:outlineLvl w:val="1"/>
        <w:rPr>
          <w:rFonts w:ascii="仿宋_GB2312" w:hAnsi="宋体" w:eastAsia="仿宋_GB2312" w:cs="宋体"/>
          <w:color w:val="000000"/>
          <w:kern w:val="0"/>
          <w:sz w:val="32"/>
          <w:szCs w:val="32"/>
        </w:rPr>
      </w:pPr>
      <w:bookmarkStart w:id="43" w:name="_Toc30576"/>
      <w:r>
        <w:rPr>
          <w:rFonts w:hint="eastAsia" w:ascii="仿宋_GB2312" w:hAnsi="宋体" w:eastAsia="仿宋_GB2312" w:cs="宋体"/>
          <w:color w:val="000000"/>
          <w:kern w:val="0"/>
          <w:sz w:val="32"/>
          <w:szCs w:val="32"/>
        </w:rPr>
        <w:t>附件3：2024年部门整体绩效评价指标体系评分表</w:t>
      </w:r>
      <w:bookmarkEnd w:id="43"/>
    </w:p>
    <w:tbl>
      <w:tblPr>
        <w:tblStyle w:val="14"/>
        <w:tblW w:w="14174" w:type="dxa"/>
        <w:tblInd w:w="0" w:type="dxa"/>
        <w:tblLayout w:type="fixed"/>
        <w:tblCellMar>
          <w:top w:w="0" w:type="dxa"/>
          <w:left w:w="108" w:type="dxa"/>
          <w:bottom w:w="0" w:type="dxa"/>
          <w:right w:w="108" w:type="dxa"/>
        </w:tblCellMar>
      </w:tblPr>
      <w:tblGrid>
        <w:gridCol w:w="816"/>
        <w:gridCol w:w="803"/>
        <w:gridCol w:w="1016"/>
        <w:gridCol w:w="1230"/>
        <w:gridCol w:w="898"/>
        <w:gridCol w:w="616"/>
        <w:gridCol w:w="716"/>
        <w:gridCol w:w="3870"/>
        <w:gridCol w:w="4209"/>
      </w:tblGrid>
      <w:tr>
        <w:tblPrEx>
          <w:tblCellMar>
            <w:top w:w="0" w:type="dxa"/>
            <w:left w:w="108" w:type="dxa"/>
            <w:bottom w:w="0" w:type="dxa"/>
            <w:right w:w="108" w:type="dxa"/>
          </w:tblCellMar>
        </w:tblPrEx>
        <w:trPr>
          <w:trHeight w:val="499" w:hRule="atLeast"/>
        </w:trPr>
        <w:tc>
          <w:tcPr>
            <w:tcW w:w="14174" w:type="dxa"/>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2024年部门整体绩效评价指标体系评分表</w:t>
            </w:r>
          </w:p>
        </w:tc>
      </w:tr>
      <w:tr>
        <w:tblPrEx>
          <w:tblCellMar>
            <w:top w:w="0" w:type="dxa"/>
            <w:left w:w="108" w:type="dxa"/>
            <w:bottom w:w="0" w:type="dxa"/>
            <w:right w:w="108" w:type="dxa"/>
          </w:tblCellMar>
        </w:tblPrEx>
        <w:trPr>
          <w:trHeight w:val="470" w:hRule="atLeast"/>
        </w:trPr>
        <w:tc>
          <w:tcPr>
            <w:tcW w:w="14174" w:type="dxa"/>
            <w:gridSpan w:val="9"/>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8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0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12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8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6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420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30" w:hRule="atLeast"/>
        </w:trPr>
        <w:tc>
          <w:tcPr>
            <w:tcW w:w="81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80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10171.96　</w:t>
            </w:r>
          </w:p>
        </w:tc>
        <w:tc>
          <w:tcPr>
            <w:tcW w:w="12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10019.65</w:t>
            </w:r>
          </w:p>
        </w:tc>
        <w:tc>
          <w:tcPr>
            <w:tcW w:w="8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98.50%　</w:t>
            </w:r>
          </w:p>
        </w:tc>
        <w:tc>
          <w:tcPr>
            <w:tcW w:w="61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1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18　</w:t>
            </w:r>
          </w:p>
        </w:tc>
        <w:tc>
          <w:tcPr>
            <w:tcW w:w="387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420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9354.86　</w:t>
            </w: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9256.34　</w:t>
            </w:r>
          </w:p>
        </w:tc>
        <w:tc>
          <w:tcPr>
            <w:tcW w:w="89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6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716" w:type="dxa"/>
            <w:vMerge w:val="continue"/>
            <w:tcBorders>
              <w:top w:val="single" w:color="auto" w:sz="4" w:space="0"/>
              <w:left w:val="nil"/>
              <w:bottom w:val="single" w:color="auto" w:sz="4" w:space="0"/>
              <w:right w:val="nil"/>
            </w:tcBorders>
            <w:vAlign w:val="center"/>
          </w:tcPr>
          <w:p>
            <w:pPr>
              <w:widowControl/>
              <w:jc w:val="left"/>
              <w:rPr>
                <w:rFonts w:hint="eastAsia" w:ascii="宋体" w:hAnsi="宋体" w:cs="宋体"/>
                <w:color w:val="000000"/>
                <w:kern w:val="0"/>
                <w:sz w:val="20"/>
                <w:szCs w:val="20"/>
              </w:rPr>
            </w:pPr>
          </w:p>
        </w:tc>
        <w:tc>
          <w:tcPr>
            <w:tcW w:w="38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2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815</w:t>
            </w: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762.22</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6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716" w:type="dxa"/>
            <w:vMerge w:val="continue"/>
            <w:tcBorders>
              <w:top w:val="single" w:color="auto" w:sz="4" w:space="0"/>
              <w:left w:val="nil"/>
              <w:bottom w:val="single" w:color="auto" w:sz="4" w:space="0"/>
              <w:right w:val="nil"/>
            </w:tcBorders>
            <w:vAlign w:val="center"/>
          </w:tcPr>
          <w:p>
            <w:pPr>
              <w:widowControl/>
              <w:jc w:val="left"/>
              <w:rPr>
                <w:rFonts w:hint="eastAsia" w:ascii="宋体" w:hAnsi="宋体" w:cs="宋体"/>
                <w:color w:val="000000"/>
                <w:kern w:val="0"/>
                <w:sz w:val="20"/>
                <w:szCs w:val="20"/>
              </w:rPr>
            </w:pPr>
          </w:p>
        </w:tc>
        <w:tc>
          <w:tcPr>
            <w:tcW w:w="38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2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9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2.1　</w:t>
            </w: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1.09</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6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716" w:type="dxa"/>
            <w:vMerge w:val="continue"/>
            <w:tcBorders>
              <w:top w:val="single" w:color="auto" w:sz="4" w:space="0"/>
              <w:left w:val="nil"/>
              <w:bottom w:val="single" w:color="auto" w:sz="4" w:space="0"/>
              <w:right w:val="nil"/>
            </w:tcBorders>
            <w:vAlign w:val="center"/>
          </w:tcPr>
          <w:p>
            <w:pPr>
              <w:widowControl/>
              <w:jc w:val="left"/>
              <w:rPr>
                <w:rFonts w:hint="eastAsia" w:ascii="宋体" w:hAnsi="宋体" w:cs="宋体"/>
                <w:color w:val="000000"/>
                <w:kern w:val="0"/>
                <w:sz w:val="20"/>
                <w:szCs w:val="20"/>
              </w:rPr>
            </w:pPr>
          </w:p>
        </w:tc>
        <w:tc>
          <w:tcPr>
            <w:tcW w:w="38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2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569" w:hRule="atLeast"/>
        </w:trPr>
        <w:tc>
          <w:tcPr>
            <w:tcW w:w="14174" w:type="dxa"/>
            <w:gridSpan w:val="9"/>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8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80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8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6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解释</w:t>
            </w:r>
          </w:p>
        </w:tc>
        <w:tc>
          <w:tcPr>
            <w:tcW w:w="420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196" w:hRule="atLeast"/>
        </w:trPr>
        <w:tc>
          <w:tcPr>
            <w:tcW w:w="816"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p>
            <w:pPr>
              <w:widowControl/>
              <w:jc w:val="left"/>
              <w:rPr>
                <w:rFonts w:hint="eastAsia" w:ascii="宋体" w:hAnsi="宋体" w:cs="宋体"/>
                <w:color w:val="000000"/>
                <w:kern w:val="0"/>
                <w:sz w:val="20"/>
                <w:szCs w:val="20"/>
              </w:rPr>
            </w:pPr>
          </w:p>
        </w:tc>
        <w:tc>
          <w:tcPr>
            <w:tcW w:w="803"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p>
            <w:pPr>
              <w:widowControl/>
              <w:jc w:val="left"/>
              <w:rPr>
                <w:rFonts w:hint="eastAsia" w:ascii="宋体" w:hAnsi="宋体" w:cs="宋体"/>
                <w:color w:val="000000"/>
                <w:kern w:val="0"/>
                <w:sz w:val="20"/>
                <w:szCs w:val="20"/>
              </w:rPr>
            </w:pPr>
          </w:p>
        </w:tc>
        <w:tc>
          <w:tcPr>
            <w:tcW w:w="10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仿宋_GB2312" w:cs="宋体"/>
                <w:color w:val="000000"/>
                <w:kern w:val="0"/>
                <w:sz w:val="20"/>
                <w:szCs w:val="20"/>
                <w:highlight w:val="yellow"/>
              </w:rPr>
            </w:pPr>
            <w:r>
              <w:rPr>
                <w:rFonts w:hint="eastAsia" w:ascii="宋体" w:hAnsi="宋体" w:cs="宋体"/>
                <w:color w:val="000000"/>
                <w:kern w:val="0"/>
                <w:sz w:val="20"/>
                <w:szCs w:val="20"/>
              </w:rPr>
              <w:t>产出数量</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highlight w:val="yellow"/>
              </w:rPr>
            </w:pPr>
            <w:r>
              <w:rPr>
                <w:rFonts w:hint="eastAsia" w:ascii="宋体" w:hAnsi="宋体" w:cs="宋体"/>
                <w:sz w:val="20"/>
                <w:szCs w:val="20"/>
              </w:rPr>
              <w:t>完成各项年度工作任务。</w:t>
            </w:r>
          </w:p>
        </w:tc>
        <w:tc>
          <w:tcPr>
            <w:tcW w:w="89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完成　</w:t>
            </w:r>
          </w:p>
        </w:tc>
        <w:tc>
          <w:tcPr>
            <w:tcW w:w="616"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p>
            <w:pPr>
              <w:widowControl/>
              <w:jc w:val="center"/>
              <w:rPr>
                <w:rFonts w:hint="eastAsia" w:ascii="宋体" w:hAnsi="宋体" w:cs="宋体"/>
                <w:color w:val="000000"/>
                <w:kern w:val="0"/>
                <w:sz w:val="20"/>
                <w:szCs w:val="20"/>
              </w:rPr>
            </w:pPr>
          </w:p>
        </w:tc>
        <w:tc>
          <w:tcPr>
            <w:tcW w:w="716" w:type="dxa"/>
            <w:vMerge w:val="restart"/>
            <w:tcBorders>
              <w:top w:val="single" w:color="auto" w:sz="4" w:space="0"/>
              <w:left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27</w:t>
            </w:r>
          </w:p>
          <w:p>
            <w:pPr>
              <w:widowControl/>
              <w:jc w:val="center"/>
              <w:rPr>
                <w:rFonts w:hint="eastAsia" w:ascii="宋体" w:hAnsi="宋体" w:cs="宋体"/>
                <w:color w:val="000000"/>
                <w:kern w:val="0"/>
                <w:sz w:val="20"/>
                <w:szCs w:val="20"/>
              </w:rPr>
            </w:pPr>
          </w:p>
        </w:tc>
        <w:tc>
          <w:tcPr>
            <w:tcW w:w="387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产出数量：计划完成率=（实际完成工作数/计划工作数）×100%。实际完成工作数：一定时期（年度或规划期）内部门（单位）实际完成工作任务的数量。计划工作数：部门（单位）整体绩效目标确定的一定时期（年度或规划期）内预计完成工作任务的数量。产出质量：质量达标率=质量达标工作数/实际完成工作数×100%。质量达标工作数：一定时期（年度或规划期）内部门（单位）实际完成工作数中达到部门绩效目标要求（绩效标准值）的工作任务数量。产出进度：按时完成率=（按时完成工作数/实际完成工作数）×100%。按时完成工作数：部门（单位）按照整体绩效目标确定的时限实际完成的工作任务数量。产出成本：单位产出相对于上一年度的节约额；②单位产出相对于市场同类产出的节约额；③部门公用经费的控制情况。</w:t>
            </w:r>
          </w:p>
        </w:tc>
        <w:tc>
          <w:tcPr>
            <w:tcW w:w="420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816"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10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20"/>
                <w:szCs w:val="20"/>
                <w:highlight w:val="yellow"/>
              </w:rPr>
            </w:pPr>
            <w:r>
              <w:rPr>
                <w:rFonts w:hint="eastAsia" w:ascii="宋体" w:hAnsi="宋体" w:cs="宋体"/>
                <w:color w:val="000000"/>
                <w:kern w:val="0"/>
                <w:sz w:val="20"/>
                <w:szCs w:val="20"/>
              </w:rPr>
              <w:t>产出质量</w:t>
            </w:r>
          </w:p>
        </w:tc>
        <w:tc>
          <w:tcPr>
            <w:tcW w:w="12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sz w:val="20"/>
                <w:szCs w:val="20"/>
              </w:rPr>
              <w:t>根据各项任务要求，保质保量完成</w:t>
            </w:r>
          </w:p>
        </w:tc>
        <w:tc>
          <w:tcPr>
            <w:tcW w:w="8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完成</w:t>
            </w:r>
          </w:p>
        </w:tc>
        <w:tc>
          <w:tcPr>
            <w:tcW w:w="616" w:type="dxa"/>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716" w:type="dxa"/>
            <w:vMerge w:val="continue"/>
            <w:tcBorders>
              <w:left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387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2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835" w:hRule="atLeast"/>
        </w:trPr>
        <w:tc>
          <w:tcPr>
            <w:tcW w:w="816"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10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20"/>
                <w:szCs w:val="20"/>
                <w:highlight w:val="yellow"/>
              </w:rPr>
            </w:pPr>
            <w:r>
              <w:rPr>
                <w:rFonts w:hint="eastAsia" w:ascii="宋体" w:hAnsi="宋体" w:cs="宋体"/>
                <w:color w:val="000000"/>
                <w:kern w:val="0"/>
                <w:sz w:val="20"/>
                <w:szCs w:val="20"/>
              </w:rPr>
              <w:t>产出时效</w:t>
            </w:r>
          </w:p>
        </w:tc>
        <w:tc>
          <w:tcPr>
            <w:tcW w:w="12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sz w:val="20"/>
                <w:szCs w:val="20"/>
              </w:rPr>
              <w:t>按照预算批复，完成全年收支指标及工作任务。根据市财政进度要求执行。</w:t>
            </w:r>
            <w:r>
              <w:rPr>
                <w:rFonts w:hint="eastAsia" w:ascii="宋体" w:hAnsi="宋体" w:cs="宋体"/>
                <w:color w:val="000000"/>
                <w:sz w:val="20"/>
                <w:szCs w:val="20"/>
              </w:rPr>
              <w:t>　</w:t>
            </w:r>
          </w:p>
        </w:tc>
        <w:tc>
          <w:tcPr>
            <w:tcW w:w="8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完成</w:t>
            </w:r>
          </w:p>
        </w:tc>
        <w:tc>
          <w:tcPr>
            <w:tcW w:w="616" w:type="dxa"/>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716" w:type="dxa"/>
            <w:vMerge w:val="continue"/>
            <w:tcBorders>
              <w:left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387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2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816"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10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20"/>
                <w:szCs w:val="20"/>
                <w:highlight w:val="yellow"/>
              </w:rPr>
            </w:pPr>
            <w:r>
              <w:rPr>
                <w:rFonts w:hint="eastAsia" w:ascii="宋体" w:hAnsi="宋体" w:cs="宋体"/>
                <w:color w:val="000000"/>
                <w:kern w:val="0"/>
                <w:sz w:val="20"/>
                <w:szCs w:val="20"/>
              </w:rPr>
              <w:t>产出成本</w:t>
            </w:r>
          </w:p>
        </w:tc>
        <w:tc>
          <w:tcPr>
            <w:tcW w:w="123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sz w:val="20"/>
                <w:szCs w:val="20"/>
              </w:rPr>
              <w:t>严格按照要求编制预算，严格执行预算，少花钱多办事，严格控制实施成本。</w:t>
            </w:r>
            <w:r>
              <w:rPr>
                <w:rFonts w:hint="eastAsia" w:ascii="宋体" w:hAnsi="宋体" w:cs="宋体"/>
                <w:color w:val="000000"/>
                <w:kern w:val="0"/>
                <w:sz w:val="20"/>
                <w:szCs w:val="20"/>
              </w:rPr>
              <w:t>　</w:t>
            </w:r>
          </w:p>
        </w:tc>
        <w:tc>
          <w:tcPr>
            <w:tcW w:w="8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完成</w:t>
            </w:r>
          </w:p>
        </w:tc>
        <w:tc>
          <w:tcPr>
            <w:tcW w:w="61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716" w:type="dxa"/>
            <w:vMerge w:val="continue"/>
            <w:tcBorders>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387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2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816"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效果（30分）</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社会效益</w:t>
            </w: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显著</w:t>
            </w:r>
          </w:p>
        </w:tc>
        <w:tc>
          <w:tcPr>
            <w:tcW w:w="8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完成</w:t>
            </w:r>
          </w:p>
        </w:tc>
        <w:tc>
          <w:tcPr>
            <w:tcW w:w="616" w:type="dxa"/>
            <w:vMerge w:val="restart"/>
            <w:tcBorders>
              <w:top w:val="single" w:color="auto" w:sz="4" w:space="0"/>
              <w:left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p>
            <w:pPr>
              <w:widowControl/>
              <w:jc w:val="center"/>
              <w:rPr>
                <w:rFonts w:hint="eastAsia" w:ascii="宋体" w:hAnsi="宋体" w:cs="宋体"/>
                <w:color w:val="000000"/>
                <w:kern w:val="0"/>
                <w:sz w:val="20"/>
                <w:szCs w:val="20"/>
              </w:rPr>
            </w:pPr>
          </w:p>
        </w:tc>
        <w:tc>
          <w:tcPr>
            <w:tcW w:w="716" w:type="dxa"/>
            <w:vMerge w:val="restart"/>
            <w:tcBorders>
              <w:top w:val="single" w:color="auto" w:sz="4" w:space="0"/>
              <w:left w:val="nil"/>
              <w:right w:val="nil"/>
            </w:tcBorders>
            <w:noWrap/>
            <w:vAlign w:val="center"/>
          </w:tcPr>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28</w:t>
            </w:r>
          </w:p>
          <w:p>
            <w:pPr>
              <w:widowControl/>
              <w:jc w:val="center"/>
              <w:rPr>
                <w:rFonts w:hint="eastAsia" w:ascii="宋体" w:hAnsi="宋体" w:cs="宋体"/>
                <w:color w:val="000000"/>
                <w:kern w:val="0"/>
                <w:sz w:val="20"/>
                <w:szCs w:val="20"/>
              </w:rPr>
            </w:pPr>
          </w:p>
        </w:tc>
        <w:tc>
          <w:tcPr>
            <w:tcW w:w="3870" w:type="dxa"/>
            <w:vMerge w:val="restart"/>
            <w:tcBorders>
              <w:top w:val="nil"/>
              <w:left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经济效益：部门（单位）履行职责对经济发展所带来的直接或间接影响。社会效益：部门（单位）履行职责对社会发展所带来的直接或间接影响。环境效益：部门（单位）履行职责对环境所带来的直接或间接影响。可持续性影响：部门绩效目标实现的长效机制建设情况，部门工作效率提升措施的创新。服务对象满意度：部门（单位）的服务对象对部门履职效果的满意程度。</w:t>
            </w:r>
          </w:p>
        </w:tc>
        <w:tc>
          <w:tcPr>
            <w:tcW w:w="4209" w:type="dxa"/>
            <w:vMerge w:val="restart"/>
            <w:tcBorders>
              <w:top w:val="nil"/>
              <w:left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30" w:hRule="atLeast"/>
        </w:trPr>
        <w:tc>
          <w:tcPr>
            <w:tcW w:w="816"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可持续影响</w:t>
            </w:r>
          </w:p>
        </w:tc>
        <w:tc>
          <w:tcPr>
            <w:tcW w:w="123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构建检察工作质量提升的长效机制</w:t>
            </w:r>
          </w:p>
        </w:tc>
        <w:tc>
          <w:tcPr>
            <w:tcW w:w="89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基本完成</w:t>
            </w:r>
          </w:p>
        </w:tc>
        <w:tc>
          <w:tcPr>
            <w:tcW w:w="616" w:type="dxa"/>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716" w:type="dxa"/>
            <w:vMerge w:val="continue"/>
            <w:tcBorders>
              <w:left w:val="nil"/>
              <w:right w:val="nil"/>
            </w:tcBorders>
            <w:noWrap/>
            <w:vAlign w:val="center"/>
          </w:tcPr>
          <w:p>
            <w:pPr>
              <w:widowControl/>
              <w:jc w:val="center"/>
              <w:rPr>
                <w:rFonts w:hint="eastAsia" w:ascii="宋体" w:hAnsi="宋体" w:cs="宋体"/>
                <w:color w:val="000000"/>
                <w:kern w:val="0"/>
                <w:sz w:val="20"/>
                <w:szCs w:val="20"/>
              </w:rPr>
            </w:pPr>
          </w:p>
        </w:tc>
        <w:tc>
          <w:tcPr>
            <w:tcW w:w="3870"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209"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90" w:hRule="atLeast"/>
        </w:trPr>
        <w:tc>
          <w:tcPr>
            <w:tcW w:w="816"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服务对象满意度</w:t>
            </w:r>
          </w:p>
        </w:tc>
        <w:tc>
          <w:tcPr>
            <w:tcW w:w="123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达到预期</w:t>
            </w:r>
          </w:p>
        </w:tc>
        <w:tc>
          <w:tcPr>
            <w:tcW w:w="89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yellow"/>
              </w:rPr>
            </w:pPr>
            <w:r>
              <w:rPr>
                <w:rFonts w:hint="eastAsia" w:ascii="宋体" w:hAnsi="宋体" w:cs="宋体"/>
                <w:color w:val="000000"/>
                <w:kern w:val="0"/>
                <w:sz w:val="20"/>
                <w:szCs w:val="20"/>
              </w:rPr>
              <w:t>完成</w:t>
            </w:r>
          </w:p>
        </w:tc>
        <w:tc>
          <w:tcPr>
            <w:tcW w:w="61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716" w:type="dxa"/>
            <w:vMerge w:val="continue"/>
            <w:tcBorders>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p>
        </w:tc>
        <w:tc>
          <w:tcPr>
            <w:tcW w:w="3870"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209" w:type="dxa"/>
            <w:vMerge w:val="continue"/>
            <w:tcBorders>
              <w:left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14174"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8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80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8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616"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716"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解释</w:t>
            </w:r>
          </w:p>
        </w:tc>
        <w:tc>
          <w:tcPr>
            <w:tcW w:w="420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81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80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健全、较健全、一般、不健全　</w:t>
            </w:r>
          </w:p>
        </w:tc>
        <w:tc>
          <w:tcPr>
            <w:tcW w:w="8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较健全　</w:t>
            </w:r>
          </w:p>
        </w:tc>
        <w:tc>
          <w:tcPr>
            <w:tcW w:w="616"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716"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1</w:t>
            </w:r>
          </w:p>
        </w:tc>
        <w:tc>
          <w:tcPr>
            <w:tcW w:w="3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财务管理制度健全性:部门（单位）为加强财务管理、规范财务行为而制定的管理制度。</w:t>
            </w:r>
          </w:p>
        </w:tc>
        <w:tc>
          <w:tcPr>
            <w:tcW w:w="420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220" w:hRule="atLeast"/>
        </w:trPr>
        <w:tc>
          <w:tcPr>
            <w:tcW w:w="8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10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好、较好、一般、差</w:t>
            </w:r>
          </w:p>
        </w:tc>
        <w:tc>
          <w:tcPr>
            <w:tcW w:w="8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较好　</w:t>
            </w:r>
          </w:p>
        </w:tc>
        <w:tc>
          <w:tcPr>
            <w:tcW w:w="616"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716"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　</w:t>
            </w:r>
          </w:p>
        </w:tc>
        <w:tc>
          <w:tcPr>
            <w:tcW w:w="3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资金使用合规性和安全性:部门（单位）使用预算资金是否符合相关的预算财务管理制度的规定，是否符合相关规定的开支范围，用以反映考核部门（单位）预算资金的规范运行和安全运行情况。</w:t>
            </w:r>
          </w:p>
        </w:tc>
        <w:tc>
          <w:tcPr>
            <w:tcW w:w="420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8"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123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好、较好、一般、差</w:t>
            </w:r>
          </w:p>
        </w:tc>
        <w:tc>
          <w:tcPr>
            <w:tcW w:w="89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好　</w:t>
            </w:r>
          </w:p>
        </w:tc>
        <w:tc>
          <w:tcPr>
            <w:tcW w:w="61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716"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　</w:t>
            </w:r>
          </w:p>
        </w:tc>
        <w:tc>
          <w:tcPr>
            <w:tcW w:w="387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会计基础信息完善性:部门（单位）会计基础信息情况。</w:t>
            </w:r>
          </w:p>
        </w:tc>
        <w:tc>
          <w:tcPr>
            <w:tcW w:w="4209"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123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好、较好、一般、差</w:t>
            </w:r>
          </w:p>
        </w:tc>
        <w:tc>
          <w:tcPr>
            <w:tcW w:w="89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好</w:t>
            </w:r>
          </w:p>
        </w:tc>
        <w:tc>
          <w:tcPr>
            <w:tcW w:w="6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　</w:t>
            </w:r>
          </w:p>
        </w:tc>
        <w:tc>
          <w:tcPr>
            <w:tcW w:w="3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资产管理规范性:部门（单位）的资产是否保持安全完整，资产配置是否合理，资产使用和资产处理是否规范，用以反映和考核部门（单位）资产管理的整体水平。</w:t>
            </w:r>
          </w:p>
        </w:tc>
        <w:tc>
          <w:tcPr>
            <w:tcW w:w="420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127"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123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好、较好、一般、差</w:t>
            </w:r>
          </w:p>
        </w:tc>
        <w:tc>
          <w:tcPr>
            <w:tcW w:w="898"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较好</w:t>
            </w:r>
          </w:p>
        </w:tc>
        <w:tc>
          <w:tcPr>
            <w:tcW w:w="6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　</w:t>
            </w:r>
          </w:p>
        </w:tc>
        <w:tc>
          <w:tcPr>
            <w:tcW w:w="3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绩效管理情况:考核部门（单位）在绩效管理信息的汇总和应用情况。</w:t>
            </w:r>
          </w:p>
        </w:tc>
        <w:tc>
          <w:tcPr>
            <w:tcW w:w="420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2246"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w:t>
            </w:r>
          </w:p>
        </w:tc>
        <w:tc>
          <w:tcPr>
            <w:tcW w:w="8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2024年</w:t>
            </w:r>
          </w:p>
        </w:tc>
        <w:tc>
          <w:tcPr>
            <w:tcW w:w="6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18"/>
                <w:szCs w:val="18"/>
              </w:rPr>
              <w:t>指标</w:t>
            </w:r>
            <w:r>
              <w:rPr>
                <w:rFonts w:ascii="宋体" w:hAnsi="宋体" w:cs="宋体"/>
                <w:color w:val="000000"/>
                <w:kern w:val="0"/>
                <w:sz w:val="18"/>
                <w:szCs w:val="18"/>
              </w:rPr>
              <w:t>解释</w:t>
            </w:r>
          </w:p>
        </w:tc>
        <w:tc>
          <w:tcPr>
            <w:tcW w:w="4209"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结转结余率（4）</w:t>
            </w:r>
          </w:p>
        </w:tc>
        <w:tc>
          <w:tcPr>
            <w:tcW w:w="2246"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1.67%</w:t>
            </w:r>
          </w:p>
        </w:tc>
        <w:tc>
          <w:tcPr>
            <w:tcW w:w="898"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1.49%</w:t>
            </w:r>
          </w:p>
        </w:tc>
        <w:tc>
          <w:tcPr>
            <w:tcW w:w="6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　</w:t>
            </w:r>
          </w:p>
        </w:tc>
        <w:tc>
          <w:tcPr>
            <w:tcW w:w="3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420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20"/>
                <w:szCs w:val="20"/>
              </w:rPr>
            </w:pPr>
          </w:p>
        </w:tc>
        <w:tc>
          <w:tcPr>
            <w:tcW w:w="803"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2246" w:type="dxa"/>
            <w:gridSpan w:val="2"/>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98"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-1.50%</w:t>
            </w:r>
          </w:p>
        </w:tc>
        <w:tc>
          <w:tcPr>
            <w:tcW w:w="6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　</w:t>
            </w:r>
          </w:p>
        </w:tc>
        <w:tc>
          <w:tcPr>
            <w:tcW w:w="387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4209"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部门预决算差异率高于28.3%的，每高出10%（含），扣0.4分，扣完为止。</w:t>
            </w:r>
          </w:p>
        </w:tc>
      </w:tr>
      <w:tr>
        <w:tblPrEx>
          <w:tblCellMar>
            <w:top w:w="0" w:type="dxa"/>
            <w:left w:w="108" w:type="dxa"/>
            <w:bottom w:w="0" w:type="dxa"/>
            <w:right w:w="108" w:type="dxa"/>
          </w:tblCellMar>
        </w:tblPrEx>
        <w:trPr>
          <w:trHeight w:val="404" w:hRule="atLeast"/>
        </w:trPr>
        <w:tc>
          <w:tcPr>
            <w:tcW w:w="4763"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6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92　</w:t>
            </w:r>
          </w:p>
        </w:tc>
        <w:tc>
          <w:tcPr>
            <w:tcW w:w="8079"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spacing w:line="600" w:lineRule="exact"/>
      </w:pPr>
    </w:p>
    <w:sectPr>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96521114-39BA-4A8A-92F4-95877A4035EC}"/>
  </w:font>
  <w:font w:name="黑体">
    <w:panose1 w:val="02010609060101010101"/>
    <w:charset w:val="86"/>
    <w:family w:val="auto"/>
    <w:pitch w:val="default"/>
    <w:sig w:usb0="800002BF" w:usb1="38CF7CFA" w:usb2="00000016" w:usb3="00000000" w:csb0="00040001" w:csb1="00000000"/>
    <w:embedRegular r:id="rId2" w:fontKey="{C5ACCA3B-957B-4724-87EB-DCEF3C40C68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99D6A232-B088-4E2C-B940-C1C9C1AC192C}"/>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4" w:fontKey="{5DD051CA-CA2A-4E0C-AABF-2085BC78979A}"/>
  </w:font>
  <w:font w:name="方正小标宋简体">
    <w:altName w:val="黑体"/>
    <w:panose1 w:val="00000000000000000000"/>
    <w:charset w:val="86"/>
    <w:family w:val="script"/>
    <w:pitch w:val="default"/>
    <w:sig w:usb0="00000000" w:usb1="00000000" w:usb2="00000010" w:usb3="00000000" w:csb0="00040000" w:csb1="00000000"/>
    <w:embedRegular r:id="rId5" w:fontKey="{7538D719-2A4B-47BB-82BB-3415376DC3E8}"/>
  </w:font>
  <w:font w:name="楷体_GB2312">
    <w:altName w:val="楷体"/>
    <w:panose1 w:val="00000000000000000000"/>
    <w:charset w:val="86"/>
    <w:family w:val="modern"/>
    <w:pitch w:val="default"/>
    <w:sig w:usb0="00000000" w:usb1="00000000" w:usb2="00000000" w:usb3="00000000" w:csb0="00000000" w:csb1="00000000"/>
    <w:embedRegular r:id="rId6" w:fontKey="{3C2CD7CE-0C52-4581-8E5A-1CD7DDFE38F5}"/>
  </w:font>
  <w:font w:name="仿宋">
    <w:panose1 w:val="02010609060101010101"/>
    <w:charset w:val="86"/>
    <w:family w:val="modern"/>
    <w:pitch w:val="default"/>
    <w:sig w:usb0="800002BF" w:usb1="38CF7CFA" w:usb2="00000016" w:usb3="00000000" w:csb0="00040001" w:csb1="00000000"/>
    <w:embedRegular r:id="rId7" w:fontKey="{C61EDD95-C1F0-467C-86EE-11F780886C4D}"/>
  </w:font>
  <w:font w:name="___WRD_EMBED_SUB_45">
    <w:panose1 w:val="02010600030101010101"/>
    <w:charset w:val="86"/>
    <w:family w:val="modern"/>
    <w:pitch w:val="default"/>
    <w:sig w:usb0="00000000" w:usb1="00000000" w:usb2="00000000" w:usb3="00000000" w:csb0="00000000" w:csb1="00000000"/>
    <w:embedRegular r:id="rId8" w:fontKey="{C23550C6-645B-4623-94B6-2B284358F9CA}"/>
  </w:font>
  <w:font w:name="Arial Narrow">
    <w:panose1 w:val="020B0606020202030204"/>
    <w:charset w:val="00"/>
    <w:family w:val="swiss"/>
    <w:pitch w:val="default"/>
    <w:sig w:usb0="00000287" w:usb1="00000800" w:usb2="00000000" w:usb3="00000000" w:csb0="2000009F" w:csb1="DFD70000"/>
    <w:embedRegular r:id="rId9" w:fontKey="{D6AEF718-E68C-45DD-B253-0BE7F791153C}"/>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5ODkyODMwNWM2NmE5NjYxNWUxYWNjNWYxMGU4ZmMifQ=="/>
  </w:docVars>
  <w:rsids>
    <w:rsidRoot w:val="3F0C6F94"/>
    <w:rsid w:val="00080469"/>
    <w:rsid w:val="000A4263"/>
    <w:rsid w:val="000C30FE"/>
    <w:rsid w:val="000E0453"/>
    <w:rsid w:val="001306B0"/>
    <w:rsid w:val="00217946"/>
    <w:rsid w:val="002313C0"/>
    <w:rsid w:val="003024B6"/>
    <w:rsid w:val="0031585F"/>
    <w:rsid w:val="00322E2F"/>
    <w:rsid w:val="00353054"/>
    <w:rsid w:val="003624F0"/>
    <w:rsid w:val="0037046E"/>
    <w:rsid w:val="00397148"/>
    <w:rsid w:val="003D700D"/>
    <w:rsid w:val="00405AEC"/>
    <w:rsid w:val="00417A9D"/>
    <w:rsid w:val="005160EB"/>
    <w:rsid w:val="00595D0D"/>
    <w:rsid w:val="00640EC5"/>
    <w:rsid w:val="00667F2C"/>
    <w:rsid w:val="006865EB"/>
    <w:rsid w:val="006E43BD"/>
    <w:rsid w:val="007060A4"/>
    <w:rsid w:val="007B6583"/>
    <w:rsid w:val="007E5848"/>
    <w:rsid w:val="00814915"/>
    <w:rsid w:val="00860718"/>
    <w:rsid w:val="00976F12"/>
    <w:rsid w:val="00AA1183"/>
    <w:rsid w:val="00B14385"/>
    <w:rsid w:val="00B3005F"/>
    <w:rsid w:val="00B7403D"/>
    <w:rsid w:val="00BD4A24"/>
    <w:rsid w:val="00C027E7"/>
    <w:rsid w:val="00C400EC"/>
    <w:rsid w:val="00C656A2"/>
    <w:rsid w:val="00D458E6"/>
    <w:rsid w:val="00E95971"/>
    <w:rsid w:val="00EC2A59"/>
    <w:rsid w:val="00ED5CEB"/>
    <w:rsid w:val="00ED6E4C"/>
    <w:rsid w:val="00EF175E"/>
    <w:rsid w:val="00FE7373"/>
    <w:rsid w:val="01205B6D"/>
    <w:rsid w:val="01E41DD3"/>
    <w:rsid w:val="023E6B3F"/>
    <w:rsid w:val="024535A0"/>
    <w:rsid w:val="03A02A00"/>
    <w:rsid w:val="04165636"/>
    <w:rsid w:val="041A2869"/>
    <w:rsid w:val="05132E70"/>
    <w:rsid w:val="055A0EA8"/>
    <w:rsid w:val="057C737D"/>
    <w:rsid w:val="059B26DA"/>
    <w:rsid w:val="06211832"/>
    <w:rsid w:val="06B77A73"/>
    <w:rsid w:val="074A6B08"/>
    <w:rsid w:val="079708CB"/>
    <w:rsid w:val="080C4ACB"/>
    <w:rsid w:val="08221CD3"/>
    <w:rsid w:val="084914A6"/>
    <w:rsid w:val="085C61DB"/>
    <w:rsid w:val="08675D74"/>
    <w:rsid w:val="089245A8"/>
    <w:rsid w:val="08A61016"/>
    <w:rsid w:val="08F36764"/>
    <w:rsid w:val="096006FE"/>
    <w:rsid w:val="0A520100"/>
    <w:rsid w:val="0A766AC5"/>
    <w:rsid w:val="0B224DC6"/>
    <w:rsid w:val="0B723B92"/>
    <w:rsid w:val="0C1B4B73"/>
    <w:rsid w:val="0C3A3787"/>
    <w:rsid w:val="0C8A7187"/>
    <w:rsid w:val="0E3B2427"/>
    <w:rsid w:val="0F6D0274"/>
    <w:rsid w:val="0F8E7511"/>
    <w:rsid w:val="0FC8193E"/>
    <w:rsid w:val="0FFC213A"/>
    <w:rsid w:val="106E2DBB"/>
    <w:rsid w:val="11302E3C"/>
    <w:rsid w:val="130D7B13"/>
    <w:rsid w:val="149477C7"/>
    <w:rsid w:val="150E5CEF"/>
    <w:rsid w:val="157D40EB"/>
    <w:rsid w:val="15955091"/>
    <w:rsid w:val="159B048A"/>
    <w:rsid w:val="161C6A35"/>
    <w:rsid w:val="16321CA0"/>
    <w:rsid w:val="16390813"/>
    <w:rsid w:val="16AC7D90"/>
    <w:rsid w:val="17031707"/>
    <w:rsid w:val="173C3749"/>
    <w:rsid w:val="1755556F"/>
    <w:rsid w:val="179050D1"/>
    <w:rsid w:val="17F16688"/>
    <w:rsid w:val="18846E87"/>
    <w:rsid w:val="18AC19D1"/>
    <w:rsid w:val="192B1AC5"/>
    <w:rsid w:val="19A02B34"/>
    <w:rsid w:val="19A778F4"/>
    <w:rsid w:val="1A061D6C"/>
    <w:rsid w:val="1AA900FA"/>
    <w:rsid w:val="1ACA09F6"/>
    <w:rsid w:val="1BC539A8"/>
    <w:rsid w:val="1D6E6267"/>
    <w:rsid w:val="1DBB05FE"/>
    <w:rsid w:val="1E322CDD"/>
    <w:rsid w:val="1ECB5DAD"/>
    <w:rsid w:val="1ED65DDD"/>
    <w:rsid w:val="1F2F564A"/>
    <w:rsid w:val="1FA12296"/>
    <w:rsid w:val="1FAF5854"/>
    <w:rsid w:val="20874691"/>
    <w:rsid w:val="23270EE6"/>
    <w:rsid w:val="232B7C15"/>
    <w:rsid w:val="238E51C3"/>
    <w:rsid w:val="23FA5A9C"/>
    <w:rsid w:val="24661428"/>
    <w:rsid w:val="24D63974"/>
    <w:rsid w:val="25153753"/>
    <w:rsid w:val="256E2C8A"/>
    <w:rsid w:val="25AE4BD6"/>
    <w:rsid w:val="26234455"/>
    <w:rsid w:val="26A70F06"/>
    <w:rsid w:val="270B44DA"/>
    <w:rsid w:val="271B338D"/>
    <w:rsid w:val="27507E6B"/>
    <w:rsid w:val="28942A08"/>
    <w:rsid w:val="29104CBB"/>
    <w:rsid w:val="292F65DB"/>
    <w:rsid w:val="29E74DB9"/>
    <w:rsid w:val="29FC635E"/>
    <w:rsid w:val="2A6748A6"/>
    <w:rsid w:val="2A9E793D"/>
    <w:rsid w:val="2B14353B"/>
    <w:rsid w:val="2BC92D64"/>
    <w:rsid w:val="2BDA0897"/>
    <w:rsid w:val="2BFF19C0"/>
    <w:rsid w:val="2C927130"/>
    <w:rsid w:val="2D33159F"/>
    <w:rsid w:val="2E7D56E3"/>
    <w:rsid w:val="2EA15E7F"/>
    <w:rsid w:val="2F7B3584"/>
    <w:rsid w:val="306C6195"/>
    <w:rsid w:val="30A76F8E"/>
    <w:rsid w:val="30FC198A"/>
    <w:rsid w:val="314760A8"/>
    <w:rsid w:val="319C0B7F"/>
    <w:rsid w:val="31AD02AF"/>
    <w:rsid w:val="32045CA3"/>
    <w:rsid w:val="323309EE"/>
    <w:rsid w:val="324A5E03"/>
    <w:rsid w:val="32CE082B"/>
    <w:rsid w:val="343F76D3"/>
    <w:rsid w:val="34B95C8F"/>
    <w:rsid w:val="36FB1D8D"/>
    <w:rsid w:val="3756191A"/>
    <w:rsid w:val="37A42937"/>
    <w:rsid w:val="38311791"/>
    <w:rsid w:val="384A0C84"/>
    <w:rsid w:val="3861141D"/>
    <w:rsid w:val="38FF7614"/>
    <w:rsid w:val="39892957"/>
    <w:rsid w:val="3A4243F4"/>
    <w:rsid w:val="3AEC7161"/>
    <w:rsid w:val="3B1073D9"/>
    <w:rsid w:val="3B1B4014"/>
    <w:rsid w:val="3B8256EC"/>
    <w:rsid w:val="3B8907CC"/>
    <w:rsid w:val="3BE261A7"/>
    <w:rsid w:val="3CF50299"/>
    <w:rsid w:val="3D205B9B"/>
    <w:rsid w:val="3DFC77FA"/>
    <w:rsid w:val="3F0C6F94"/>
    <w:rsid w:val="3F3942C4"/>
    <w:rsid w:val="3F6C6E83"/>
    <w:rsid w:val="404B1DE8"/>
    <w:rsid w:val="412F011B"/>
    <w:rsid w:val="413723B0"/>
    <w:rsid w:val="414408D3"/>
    <w:rsid w:val="423E1AC1"/>
    <w:rsid w:val="42781533"/>
    <w:rsid w:val="42B91B0A"/>
    <w:rsid w:val="43A22830"/>
    <w:rsid w:val="44C90008"/>
    <w:rsid w:val="44EF1BAB"/>
    <w:rsid w:val="450A78D8"/>
    <w:rsid w:val="458B0897"/>
    <w:rsid w:val="45A02594"/>
    <w:rsid w:val="46F67FBF"/>
    <w:rsid w:val="470A6700"/>
    <w:rsid w:val="47C743BB"/>
    <w:rsid w:val="47D53361"/>
    <w:rsid w:val="47F109CD"/>
    <w:rsid w:val="4902156A"/>
    <w:rsid w:val="49427F03"/>
    <w:rsid w:val="4A1C048A"/>
    <w:rsid w:val="4A4412E2"/>
    <w:rsid w:val="4A635BBB"/>
    <w:rsid w:val="4A6539F4"/>
    <w:rsid w:val="4A9C1125"/>
    <w:rsid w:val="4AC30C21"/>
    <w:rsid w:val="4C1328D4"/>
    <w:rsid w:val="4C1B0AFC"/>
    <w:rsid w:val="4CC36B68"/>
    <w:rsid w:val="4DAF49F3"/>
    <w:rsid w:val="4E5A6DC0"/>
    <w:rsid w:val="4E9138C6"/>
    <w:rsid w:val="4FF0030A"/>
    <w:rsid w:val="50015DF2"/>
    <w:rsid w:val="50102255"/>
    <w:rsid w:val="508F5BBB"/>
    <w:rsid w:val="50A97291"/>
    <w:rsid w:val="51053DBE"/>
    <w:rsid w:val="514F28D8"/>
    <w:rsid w:val="518D45B6"/>
    <w:rsid w:val="527365C7"/>
    <w:rsid w:val="52AC4F09"/>
    <w:rsid w:val="52F2644D"/>
    <w:rsid w:val="533E3897"/>
    <w:rsid w:val="538E0B78"/>
    <w:rsid w:val="547532BA"/>
    <w:rsid w:val="55393F9F"/>
    <w:rsid w:val="55A90FF1"/>
    <w:rsid w:val="55B4429A"/>
    <w:rsid w:val="55F8445C"/>
    <w:rsid w:val="567426CC"/>
    <w:rsid w:val="56FE65B3"/>
    <w:rsid w:val="57185A05"/>
    <w:rsid w:val="572B7551"/>
    <w:rsid w:val="578A6FDC"/>
    <w:rsid w:val="57F047F5"/>
    <w:rsid w:val="58E31FD4"/>
    <w:rsid w:val="591C332E"/>
    <w:rsid w:val="59516910"/>
    <w:rsid w:val="596C17E5"/>
    <w:rsid w:val="59A9008A"/>
    <w:rsid w:val="5A220E36"/>
    <w:rsid w:val="5A6514E8"/>
    <w:rsid w:val="5B43584C"/>
    <w:rsid w:val="5B9102A2"/>
    <w:rsid w:val="5CB07C66"/>
    <w:rsid w:val="5D8D5033"/>
    <w:rsid w:val="5DD938F3"/>
    <w:rsid w:val="5E0A4E97"/>
    <w:rsid w:val="5E5F2880"/>
    <w:rsid w:val="5F5324A6"/>
    <w:rsid w:val="5F9B42EE"/>
    <w:rsid w:val="60880F62"/>
    <w:rsid w:val="60AB7C63"/>
    <w:rsid w:val="614C3EA1"/>
    <w:rsid w:val="61BB6B8C"/>
    <w:rsid w:val="61DC56DD"/>
    <w:rsid w:val="620F6C3F"/>
    <w:rsid w:val="632447D6"/>
    <w:rsid w:val="6371280B"/>
    <w:rsid w:val="641173FA"/>
    <w:rsid w:val="645516B9"/>
    <w:rsid w:val="651C47C3"/>
    <w:rsid w:val="65337922"/>
    <w:rsid w:val="65341022"/>
    <w:rsid w:val="66F421AC"/>
    <w:rsid w:val="673A2DBF"/>
    <w:rsid w:val="674A1F19"/>
    <w:rsid w:val="688B735A"/>
    <w:rsid w:val="689C76BF"/>
    <w:rsid w:val="69175ACC"/>
    <w:rsid w:val="694474CE"/>
    <w:rsid w:val="69B517AA"/>
    <w:rsid w:val="6A254B91"/>
    <w:rsid w:val="6A500709"/>
    <w:rsid w:val="6B0A3FFE"/>
    <w:rsid w:val="6C5C3433"/>
    <w:rsid w:val="6C5E2742"/>
    <w:rsid w:val="6CF3174A"/>
    <w:rsid w:val="6D401DE3"/>
    <w:rsid w:val="6D433ECF"/>
    <w:rsid w:val="6DAC56CB"/>
    <w:rsid w:val="6E0A67CC"/>
    <w:rsid w:val="6F1C555E"/>
    <w:rsid w:val="6F9D1340"/>
    <w:rsid w:val="701E3F32"/>
    <w:rsid w:val="707B5963"/>
    <w:rsid w:val="71C03E9F"/>
    <w:rsid w:val="721A7995"/>
    <w:rsid w:val="727022FF"/>
    <w:rsid w:val="736D0FE2"/>
    <w:rsid w:val="73BF4B8A"/>
    <w:rsid w:val="74697F64"/>
    <w:rsid w:val="750D14C0"/>
    <w:rsid w:val="760D7AAA"/>
    <w:rsid w:val="761822F4"/>
    <w:rsid w:val="768C6FB5"/>
    <w:rsid w:val="772B3B04"/>
    <w:rsid w:val="77674410"/>
    <w:rsid w:val="77F734E8"/>
    <w:rsid w:val="78622D26"/>
    <w:rsid w:val="78BF3D35"/>
    <w:rsid w:val="79151A44"/>
    <w:rsid w:val="79D17503"/>
    <w:rsid w:val="7BC833F0"/>
    <w:rsid w:val="7C811A62"/>
    <w:rsid w:val="7D2E0CFB"/>
    <w:rsid w:val="7D4E5DFC"/>
    <w:rsid w:val="7E933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jc w:val="center"/>
      <w:outlineLvl w:val="1"/>
    </w:pPr>
    <w:rPr>
      <w:rFonts w:ascii="Cambria" w:hAnsi="Cambria"/>
      <w:b/>
      <w:bCs/>
      <w:sz w:val="36"/>
      <w:szCs w:val="32"/>
    </w:rPr>
  </w:style>
  <w:style w:type="paragraph" w:styleId="6">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widowControl/>
      <w:suppressAutoHyphens/>
      <w:spacing w:line="560" w:lineRule="exact"/>
      <w:ind w:left="0" w:leftChars="0" w:firstLine="420" w:firstLineChars="200"/>
      <w:jc w:val="left"/>
    </w:pPr>
    <w:rPr>
      <w:rFonts w:ascii="宋体" w:hAnsi="宋体"/>
      <w:kern w:val="0"/>
      <w:sz w:val="32"/>
    </w:rPr>
  </w:style>
  <w:style w:type="paragraph" w:styleId="3">
    <w:name w:val="Body Text Indent"/>
    <w:basedOn w:val="1"/>
    <w:next w:val="4"/>
    <w:qFormat/>
    <w:uiPriority w:val="0"/>
    <w:pPr>
      <w:spacing w:after="120"/>
      <w:ind w:left="420" w:leftChars="200"/>
    </w:pPr>
  </w:style>
  <w:style w:type="paragraph" w:styleId="4">
    <w:name w:val="Normal Indent"/>
    <w:basedOn w:val="1"/>
    <w:next w:val="3"/>
    <w:qFormat/>
    <w:uiPriority w:val="0"/>
    <w:pPr>
      <w:ind w:firstLine="200" w:firstLineChars="200"/>
    </w:pPr>
  </w:style>
  <w:style w:type="paragraph" w:styleId="7">
    <w:name w:val="Block Text"/>
    <w:basedOn w:val="1"/>
    <w:qFormat/>
    <w:uiPriority w:val="0"/>
    <w:pPr>
      <w:ind w:firstLine="200" w:firstLineChars="200"/>
    </w:pPr>
    <w:rPr>
      <w:rFonts w:ascii="Calibri" w:hAnsi="Calibri" w:eastAsia="仿宋_GB2312"/>
      <w:sz w:val="32"/>
      <w:szCs w:val="22"/>
    </w:rPr>
  </w:style>
  <w:style w:type="paragraph" w:styleId="8">
    <w:name w:val="toc 3"/>
    <w:basedOn w:val="1"/>
    <w:next w:val="1"/>
    <w:qFormat/>
    <w:uiPriority w:val="0"/>
    <w:pPr>
      <w:autoSpaceDE w:val="0"/>
      <w:spacing w:beforeAutospacing="1" w:afterAutospacing="1" w:line="600" w:lineRule="exact"/>
      <w:ind w:firstLine="640" w:firstLineChars="200"/>
    </w:pPr>
    <w:rPr>
      <w:rFonts w:hint="eastAsia" w:ascii="黑体" w:hAnsi="宋体" w:eastAsia="黑体"/>
      <w:sz w:val="32"/>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100" w:beforeAutospacing="1" w:after="100" w:afterAutospacing="1"/>
      <w:jc w:val="left"/>
    </w:pPr>
    <w:rPr>
      <w:kern w:val="0"/>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customStyle="1" w:styleId="18">
    <w:name w:val="font61"/>
    <w:basedOn w:val="16"/>
    <w:qFormat/>
    <w:uiPriority w:val="0"/>
    <w:rPr>
      <w:rFonts w:hint="eastAsia" w:ascii="宋体" w:hAnsi="宋体" w:eastAsia="宋体" w:cs="宋体"/>
      <w:color w:val="000000"/>
      <w:sz w:val="22"/>
      <w:szCs w:val="22"/>
      <w:u w:val="none"/>
    </w:rPr>
  </w:style>
  <w:style w:type="paragraph" w:customStyle="1" w:styleId="19">
    <w:name w:val="WPSOffice手动目录 1"/>
    <w:qFormat/>
    <w:uiPriority w:val="0"/>
    <w:rPr>
      <w:rFonts w:ascii="Times New Roman" w:hAnsi="Times New Roman" w:eastAsia="宋体" w:cs="Times New Roman"/>
      <w:lang w:val="en-US" w:eastAsia="zh-CN" w:bidi="ar-SA"/>
    </w:rPr>
  </w:style>
  <w:style w:type="paragraph" w:customStyle="1" w:styleId="20">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1731</Words>
  <Characters>9873</Characters>
  <Lines>82</Lines>
  <Paragraphs>23</Paragraphs>
  <TotalTime>20</TotalTime>
  <ScaleCrop>false</ScaleCrop>
  <LinksUpToDate>false</LinksUpToDate>
  <CharactersWithSpaces>11581</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2022-04-24T07:23:00Z</dcterms:created>
  <dc:creator>吴慧</dc:creator>
  <cp:lastModifiedBy>cw</cp:lastModifiedBy>
  <dcterms:modified xsi:type="dcterms:W3CDTF">2025-08-27T02:39:57Z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0503D75F063D418898540C107E997BA7_13</vt:lpwstr>
  </property>
  <property fmtid="{D5CDD505-2E9C-101B-9397-08002B2CF9AE}" pid="4" name="commondata">
    <vt:lpwstr>eyJoZGlkIjoiMTY5ODkyODMwNWM2NmE5NjYxNWUxYWNjNWYxMGU4ZmMifQ==</vt:lpwstr>
  </property>
  <property fmtid="{D5CDD505-2E9C-101B-9397-08002B2CF9AE}" pid="5" name="KSOTemplateDocerSaveRecord">
    <vt:lpwstr>eyJoZGlkIjoiYzNjODE0NzBmZjRkMjllNDc3ODY4YjRjOTAxMzhhY2QifQ==</vt:lpwstr>
  </property>
</Properties>
</file>