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黑体" w:hAnsi="黑体" w:eastAsia="黑体"/>
          <w:sz w:val="44"/>
          <w:szCs w:val="44"/>
          <w:lang w:val="zh-CN"/>
        </w:rPr>
      </w:pPr>
    </w:p>
    <w:p>
      <w:pPr>
        <w:pStyle w:val="7"/>
        <w:rPr>
          <w:lang w:val="zh-CN"/>
        </w:rPr>
      </w:pPr>
    </w:p>
    <w:p>
      <w:pPr>
        <w:pStyle w:val="7"/>
        <w:rPr>
          <w:lang w:val="zh-CN"/>
        </w:rPr>
      </w:pPr>
    </w:p>
    <w:p>
      <w:pPr>
        <w:rPr>
          <w:lang w:val="zh-CN"/>
        </w:rPr>
      </w:pPr>
    </w:p>
    <w:p>
      <w:pPr>
        <w:pStyle w:val="7"/>
        <w:rPr>
          <w:lang w:val="zh-CN"/>
        </w:rPr>
      </w:pPr>
    </w:p>
    <w:p>
      <w:pPr>
        <w:rPr>
          <w:lang w:val="zh-CN"/>
        </w:rPr>
      </w:pPr>
    </w:p>
    <w:p>
      <w:pPr>
        <w:pStyle w:val="7"/>
        <w:rPr>
          <w:lang w:val="zh-CN"/>
        </w:rPr>
      </w:pPr>
    </w:p>
    <w:p>
      <w:pPr>
        <w:spacing w:line="360" w:lineRule="auto"/>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北京市重大项目建设指挥部办公室202</w:t>
      </w:r>
      <w:r>
        <w:rPr>
          <w:rFonts w:hint="eastAsia" w:asciiTheme="majorEastAsia" w:hAnsiTheme="majorEastAsia" w:eastAsiaTheme="majorEastAsia"/>
          <w:b/>
          <w:sz w:val="52"/>
          <w:szCs w:val="52"/>
          <w:lang w:val="en-US" w:eastAsia="zh-CN"/>
        </w:rPr>
        <w:t>4</w:t>
      </w:r>
      <w:r>
        <w:rPr>
          <w:rFonts w:hint="eastAsia" w:asciiTheme="majorEastAsia" w:hAnsiTheme="majorEastAsia" w:eastAsiaTheme="majorEastAsia"/>
          <w:b/>
          <w:sz w:val="52"/>
          <w:szCs w:val="52"/>
        </w:rPr>
        <w:t>年部门整体绩效报告</w:t>
      </w:r>
    </w:p>
    <w:p>
      <w:pPr>
        <w:spacing w:line="360" w:lineRule="auto"/>
        <w:jc w:val="center"/>
        <w:rPr>
          <w:rFonts w:asciiTheme="majorEastAsia" w:hAnsiTheme="majorEastAsia" w:eastAsiaTheme="majorEastAsia"/>
          <w:b/>
          <w:sz w:val="52"/>
          <w:szCs w:val="52"/>
        </w:rPr>
      </w:pPr>
    </w:p>
    <w:p>
      <w:pPr>
        <w:pStyle w:val="7"/>
        <w:rPr>
          <w:rFonts w:asciiTheme="majorEastAsia" w:hAnsiTheme="majorEastAsia" w:eastAsiaTheme="majorEastAsia"/>
          <w:b/>
          <w:sz w:val="52"/>
          <w:szCs w:val="52"/>
        </w:rPr>
      </w:pPr>
    </w:p>
    <w:p/>
    <w:p/>
    <w:p>
      <w:pPr>
        <w:pStyle w:val="7"/>
        <w:rPr>
          <w:lang w:val="zh-CN"/>
        </w:rPr>
      </w:pPr>
    </w:p>
    <w:p>
      <w:pPr>
        <w:rPr>
          <w:lang w:val="zh-CN"/>
        </w:rPr>
      </w:pPr>
    </w:p>
    <w:p>
      <w:pPr>
        <w:adjustRightInd w:val="0"/>
        <w:snapToGrid w:val="0"/>
        <w:spacing w:line="0" w:lineRule="atLeast"/>
        <w:jc w:val="center"/>
        <w:rPr>
          <w:rFonts w:ascii="黑体" w:hAnsi="黑体" w:eastAsia="黑体"/>
          <w:sz w:val="30"/>
          <w:szCs w:val="30"/>
          <w:lang w:val="zh-CN"/>
        </w:rPr>
      </w:pPr>
    </w:p>
    <w:p>
      <w:pPr>
        <w:rPr>
          <w:rFonts w:ascii="黑体" w:hAnsi="黑体" w:eastAsia="黑体"/>
          <w:sz w:val="30"/>
          <w:szCs w:val="30"/>
          <w:lang w:val="zh-CN"/>
        </w:rPr>
      </w:pPr>
    </w:p>
    <w:p>
      <w:pPr>
        <w:pStyle w:val="7"/>
        <w:rPr>
          <w:rFonts w:ascii="黑体" w:hAnsi="黑体" w:eastAsia="黑体"/>
          <w:sz w:val="30"/>
          <w:szCs w:val="30"/>
          <w:lang w:val="zh-CN"/>
        </w:rPr>
      </w:pPr>
    </w:p>
    <w:p>
      <w:pPr>
        <w:rPr>
          <w:rFonts w:ascii="黑体" w:hAnsi="黑体" w:eastAsia="黑体"/>
          <w:sz w:val="30"/>
          <w:szCs w:val="30"/>
          <w:lang w:val="zh-CN"/>
        </w:rPr>
      </w:pPr>
    </w:p>
    <w:p>
      <w:pPr>
        <w:pStyle w:val="7"/>
        <w:rPr>
          <w:rFonts w:ascii="黑体" w:hAnsi="黑体" w:eastAsia="黑体"/>
          <w:sz w:val="30"/>
          <w:szCs w:val="30"/>
          <w:lang w:val="zh-CN"/>
        </w:rPr>
      </w:pPr>
    </w:p>
    <w:p>
      <w:pPr>
        <w:rPr>
          <w:rFonts w:ascii="黑体" w:hAnsi="黑体" w:eastAsia="黑体"/>
          <w:sz w:val="30"/>
          <w:szCs w:val="30"/>
          <w:lang w:val="zh-CN"/>
        </w:rPr>
      </w:pPr>
    </w:p>
    <w:p>
      <w:pPr>
        <w:pStyle w:val="7"/>
        <w:rPr>
          <w:lang w:val="zh-CN"/>
        </w:rPr>
      </w:pPr>
    </w:p>
    <w:p>
      <w:pPr>
        <w:pStyle w:val="7"/>
        <w:rPr>
          <w:lang w:val="zh-CN"/>
        </w:rPr>
      </w:pPr>
    </w:p>
    <w:p>
      <w:pPr>
        <w:rPr>
          <w:lang w:val="zh-CN"/>
        </w:rPr>
      </w:pPr>
    </w:p>
    <w:p>
      <w:pPr>
        <w:pStyle w:val="7"/>
        <w:rPr>
          <w:lang w:val="zh-CN"/>
        </w:rPr>
      </w:pPr>
    </w:p>
    <w:p>
      <w:pPr>
        <w:rPr>
          <w:lang w:val="zh-CN"/>
        </w:rPr>
      </w:pPr>
    </w:p>
    <w:p>
      <w:pPr>
        <w:jc w:val="center"/>
        <w:rPr>
          <w:rFonts w:ascii="楷体" w:hAnsi="楷体" w:eastAsia="楷体" w:cs="楷体"/>
          <w:b/>
          <w:sz w:val="32"/>
          <w:szCs w:val="32"/>
        </w:rPr>
      </w:pPr>
      <w:r>
        <w:rPr>
          <w:rFonts w:hint="eastAsia" w:asciiTheme="majorEastAsia" w:hAnsiTheme="majorEastAsia" w:eastAsiaTheme="majorEastAsia"/>
          <w:b/>
          <w:sz w:val="32"/>
          <w:szCs w:val="32"/>
          <w:lang w:eastAsia="zh-CN"/>
        </w:rPr>
        <w:t>二〇</w:t>
      </w:r>
      <w:r>
        <w:rPr>
          <w:rFonts w:hint="eastAsia" w:asciiTheme="majorEastAsia" w:hAnsiTheme="majorEastAsia" w:eastAsiaTheme="majorEastAsia"/>
          <w:b/>
          <w:sz w:val="32"/>
          <w:szCs w:val="32"/>
        </w:rPr>
        <w:t>二</w:t>
      </w:r>
      <w:r>
        <w:rPr>
          <w:rFonts w:hint="eastAsia" w:asciiTheme="majorEastAsia" w:hAnsiTheme="majorEastAsia" w:eastAsiaTheme="majorEastAsia"/>
          <w:b/>
          <w:sz w:val="32"/>
          <w:szCs w:val="32"/>
          <w:lang w:val="en-US" w:eastAsia="zh-CN"/>
        </w:rPr>
        <w:t>五</w:t>
      </w:r>
      <w:r>
        <w:rPr>
          <w:rFonts w:hint="eastAsia" w:asciiTheme="majorEastAsia" w:hAnsiTheme="majorEastAsia" w:eastAsiaTheme="majorEastAsia"/>
          <w:b/>
          <w:sz w:val="32"/>
          <w:szCs w:val="32"/>
        </w:rPr>
        <w:t>年</w:t>
      </w:r>
      <w:r>
        <w:rPr>
          <w:rFonts w:hint="eastAsia" w:asciiTheme="majorEastAsia" w:hAnsiTheme="majorEastAsia" w:eastAsiaTheme="majorEastAsia"/>
          <w:b/>
          <w:sz w:val="32"/>
          <w:szCs w:val="32"/>
          <w:lang w:eastAsia="zh-CN"/>
        </w:rPr>
        <w:t>五</w:t>
      </w:r>
      <w:r>
        <w:rPr>
          <w:rFonts w:hint="eastAsia" w:asciiTheme="majorEastAsia" w:hAnsiTheme="majorEastAsia" w:eastAsiaTheme="majorEastAsia"/>
          <w:b/>
          <w:sz w:val="32"/>
          <w:szCs w:val="32"/>
        </w:rPr>
        <w:t>月</w:t>
      </w:r>
    </w:p>
    <w:p>
      <w:pPr>
        <w:pStyle w:val="7"/>
      </w:pPr>
    </w:p>
    <w:p>
      <w:pPr>
        <w:adjustRightInd w:val="0"/>
        <w:snapToGrid w:val="0"/>
        <w:rPr>
          <w:rFonts w:ascii="仿宋" w:hAnsi="仿宋" w:eastAsia="仿宋" w:cs="仿宋"/>
          <w:sz w:val="30"/>
          <w:szCs w:val="30"/>
        </w:rPr>
        <w:sectPr>
          <w:pgSz w:w="11906" w:h="16838"/>
          <w:pgMar w:top="1440" w:right="1800" w:bottom="1440" w:left="1800" w:header="851" w:footer="992" w:gutter="0"/>
          <w:cols w:space="720" w:num="1"/>
          <w:docGrid w:type="lines" w:linePitch="312" w:charSpace="0"/>
        </w:sectPr>
      </w:pPr>
    </w:p>
    <w:p>
      <w:pPr>
        <w:pStyle w:val="10"/>
        <w:ind w:left="0" w:leftChars="0"/>
        <w:jc w:val="both"/>
        <w:rPr>
          <w:sz w:val="36"/>
          <w:szCs w:val="36"/>
        </w:rPr>
        <w:sectPr>
          <w:footerReference r:id="rId3" w:type="default"/>
          <w:footnotePr>
            <w:numFmt w:val="decimalEnclosedCircleChinese"/>
          </w:footnotePr>
          <w:type w:val="continuous"/>
          <w:pgSz w:w="11906" w:h="16838"/>
          <w:pgMar w:top="1440" w:right="1416" w:bottom="1440" w:left="1800" w:header="851" w:footer="992" w:gutter="0"/>
          <w:cols w:space="720" w:num="1"/>
          <w:docGrid w:type="lines" w:linePitch="312" w:charSpace="0"/>
        </w:sectPr>
      </w:pPr>
    </w:p>
    <w:sdt>
      <w:sdtPr>
        <w:rPr>
          <w:rFonts w:ascii="宋体" w:hAnsi="宋体" w:eastAsia="宋体" w:cs="Times New Roman"/>
          <w:kern w:val="2"/>
          <w:sz w:val="32"/>
          <w:szCs w:val="32"/>
          <w:lang w:val="en-US" w:eastAsia="zh-CN" w:bidi="ar-SA"/>
        </w:rPr>
        <w:id w:val="147460798"/>
        <w15:color w:val="DBDBDB"/>
        <w:docPartObj>
          <w:docPartGallery w:val="Table of Contents"/>
          <w:docPartUnique/>
        </w:docPartObj>
      </w:sdtPr>
      <w:sdtEndPr>
        <w:rPr>
          <w:rFonts w:ascii="宋体" w:hAnsi="宋体" w:eastAsia="宋体" w:cs="Times New Roman"/>
          <w:kern w:val="2"/>
          <w:sz w:val="32"/>
          <w:szCs w:val="32"/>
          <w:lang w:val="en-US" w:eastAsia="zh-CN" w:bidi="ar-SA"/>
        </w:rPr>
      </w:sdtEndPr>
      <w:sdtContent>
        <w:p>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黑体" w:hAnsi="黑体" w:eastAsia="黑体" w:cs="黑体"/>
              <w:sz w:val="44"/>
              <w:szCs w:val="44"/>
            </w:rPr>
          </w:pPr>
          <w:r>
            <w:rPr>
              <w:rFonts w:hint="eastAsia" w:ascii="黑体" w:hAnsi="黑体" w:eastAsia="黑体" w:cs="黑体"/>
              <w:sz w:val="44"/>
              <w:szCs w:val="44"/>
            </w:rPr>
            <w:t>目</w:t>
          </w:r>
          <w:r>
            <w:rPr>
              <w:rFonts w:hint="eastAsia" w:ascii="黑体" w:hAnsi="黑体" w:eastAsia="黑体" w:cs="黑体"/>
              <w:sz w:val="44"/>
              <w:szCs w:val="44"/>
              <w:lang w:val="en-US" w:eastAsia="zh-CN"/>
            </w:rPr>
            <w:t xml:space="preserve">  </w:t>
          </w:r>
          <w:r>
            <w:rPr>
              <w:rFonts w:hint="eastAsia" w:ascii="黑体" w:hAnsi="黑体" w:eastAsia="黑体" w:cs="黑体"/>
              <w:sz w:val="44"/>
              <w:szCs w:val="44"/>
            </w:rPr>
            <w:t>录</w:t>
          </w:r>
        </w:p>
        <w:p>
          <w:pPr>
            <w:pStyle w:val="9"/>
            <w:keepNext w:val="0"/>
            <w:keepLines w:val="0"/>
            <w:pageBreakBefore w:val="0"/>
            <w:tabs>
              <w:tab w:val="right" w:leader="dot" w:pos="8306"/>
            </w:tabs>
            <w:kinsoku/>
            <w:wordWrap/>
            <w:overflowPunct/>
            <w:topLinePunct w:val="0"/>
            <w:autoSpaceDE/>
            <w:autoSpaceDN/>
            <w:bidi w:val="0"/>
            <w:adjustRightInd w:val="0"/>
            <w:snapToGrid w:val="0"/>
            <w:spacing w:line="360" w:lineRule="auto"/>
            <w:ind w:left="0" w:leftChars="0"/>
            <w:textAlignment w:val="auto"/>
            <w:rPr>
              <w:sz w:val="32"/>
              <w:szCs w:val="32"/>
            </w:rPr>
          </w:pPr>
          <w:r>
            <w:rPr>
              <w:sz w:val="32"/>
              <w:szCs w:val="32"/>
            </w:rPr>
            <w:fldChar w:fldCharType="begin"/>
          </w:r>
          <w:r>
            <w:rPr>
              <w:sz w:val="32"/>
              <w:szCs w:val="32"/>
            </w:rPr>
            <w:instrText xml:space="preserve">TOC \o "1-2" \h \u </w:instrText>
          </w:r>
          <w:r>
            <w:rPr>
              <w:sz w:val="32"/>
              <w:szCs w:val="32"/>
            </w:rPr>
            <w:fldChar w:fldCharType="separate"/>
          </w:r>
          <w:r>
            <w:rPr>
              <w:sz w:val="32"/>
              <w:szCs w:val="32"/>
            </w:rPr>
            <w:fldChar w:fldCharType="begin"/>
          </w:r>
          <w:r>
            <w:rPr>
              <w:sz w:val="32"/>
              <w:szCs w:val="32"/>
            </w:rPr>
            <w:instrText xml:space="preserve"> HYPERLINK \l _Toc27501 </w:instrText>
          </w:r>
          <w:r>
            <w:rPr>
              <w:sz w:val="32"/>
              <w:szCs w:val="32"/>
            </w:rPr>
            <w:fldChar w:fldCharType="separate"/>
          </w:r>
          <w:r>
            <w:rPr>
              <w:rFonts w:hint="eastAsia" w:ascii="黑体" w:hAnsi="黑体" w:eastAsia="黑体" w:cs="宋体"/>
              <w:kern w:val="0"/>
              <w:sz w:val="32"/>
              <w:szCs w:val="32"/>
            </w:rPr>
            <w:t>一、部门概况</w:t>
          </w:r>
          <w:r>
            <w:rPr>
              <w:sz w:val="32"/>
              <w:szCs w:val="32"/>
            </w:rPr>
            <w:tab/>
          </w:r>
          <w:r>
            <w:rPr>
              <w:sz w:val="32"/>
              <w:szCs w:val="32"/>
            </w:rPr>
            <w:fldChar w:fldCharType="begin"/>
          </w:r>
          <w:r>
            <w:rPr>
              <w:sz w:val="32"/>
              <w:szCs w:val="32"/>
            </w:rPr>
            <w:instrText xml:space="preserve"> PAGEREF _Toc27501 \h </w:instrText>
          </w:r>
          <w:r>
            <w:rPr>
              <w:sz w:val="32"/>
              <w:szCs w:val="32"/>
            </w:rPr>
            <w:fldChar w:fldCharType="separate"/>
          </w:r>
          <w:r>
            <w:rPr>
              <w:sz w:val="32"/>
              <w:szCs w:val="32"/>
            </w:rPr>
            <w:t>1</w:t>
          </w:r>
          <w:r>
            <w:rPr>
              <w:sz w:val="32"/>
              <w:szCs w:val="32"/>
            </w:rPr>
            <w:fldChar w:fldCharType="end"/>
          </w:r>
          <w:r>
            <w:rPr>
              <w:sz w:val="32"/>
              <w:szCs w:val="32"/>
            </w:rPr>
            <w:fldChar w:fldCharType="end"/>
          </w:r>
        </w:p>
        <w:p>
          <w:pPr>
            <w:pStyle w:val="10"/>
            <w:keepNext w:val="0"/>
            <w:keepLines w:val="0"/>
            <w:pageBreakBefore w:val="0"/>
            <w:tabs>
              <w:tab w:val="right" w:leader="dot" w:pos="8306"/>
              <w:tab w:val="clear" w:pos="8680"/>
            </w:tabs>
            <w:kinsoku/>
            <w:wordWrap/>
            <w:overflowPunct/>
            <w:topLinePunct w:val="0"/>
            <w:autoSpaceDE/>
            <w:autoSpaceDN/>
            <w:bidi w:val="0"/>
            <w:adjustRightInd w:val="0"/>
            <w:snapToGrid w:val="0"/>
            <w:spacing w:line="360" w:lineRule="auto"/>
            <w:ind w:left="0" w:leftChars="0"/>
            <w:textAlignment w:val="auto"/>
            <w:rPr>
              <w:sz w:val="32"/>
              <w:szCs w:val="32"/>
            </w:rPr>
          </w:pPr>
          <w:r>
            <w:rPr>
              <w:sz w:val="32"/>
              <w:szCs w:val="32"/>
            </w:rPr>
            <w:fldChar w:fldCharType="begin"/>
          </w:r>
          <w:r>
            <w:rPr>
              <w:sz w:val="32"/>
              <w:szCs w:val="32"/>
            </w:rPr>
            <w:instrText xml:space="preserve"> HYPERLINK \l _Toc29747 </w:instrText>
          </w:r>
          <w:r>
            <w:rPr>
              <w:sz w:val="32"/>
              <w:szCs w:val="32"/>
            </w:rPr>
            <w:fldChar w:fldCharType="separate"/>
          </w:r>
          <w:r>
            <w:rPr>
              <w:rFonts w:hint="eastAsia" w:ascii="楷体_GB2312" w:eastAsia="楷体_GB2312"/>
              <w:sz w:val="32"/>
              <w:szCs w:val="32"/>
            </w:rPr>
            <w:t>（一）机构设置及职责工作任务情况</w:t>
          </w:r>
          <w:r>
            <w:rPr>
              <w:sz w:val="32"/>
              <w:szCs w:val="32"/>
            </w:rPr>
            <w:tab/>
          </w:r>
          <w:r>
            <w:rPr>
              <w:sz w:val="32"/>
              <w:szCs w:val="32"/>
            </w:rPr>
            <w:fldChar w:fldCharType="begin"/>
          </w:r>
          <w:r>
            <w:rPr>
              <w:sz w:val="32"/>
              <w:szCs w:val="32"/>
            </w:rPr>
            <w:instrText xml:space="preserve"> PAGEREF _Toc29747 \h </w:instrText>
          </w:r>
          <w:r>
            <w:rPr>
              <w:sz w:val="32"/>
              <w:szCs w:val="32"/>
            </w:rPr>
            <w:fldChar w:fldCharType="separate"/>
          </w:r>
          <w:r>
            <w:rPr>
              <w:sz w:val="32"/>
              <w:szCs w:val="32"/>
            </w:rPr>
            <w:t>1</w:t>
          </w:r>
          <w:r>
            <w:rPr>
              <w:sz w:val="32"/>
              <w:szCs w:val="32"/>
            </w:rPr>
            <w:fldChar w:fldCharType="end"/>
          </w:r>
          <w:r>
            <w:rPr>
              <w:sz w:val="32"/>
              <w:szCs w:val="32"/>
            </w:rPr>
            <w:fldChar w:fldCharType="end"/>
          </w:r>
        </w:p>
        <w:p>
          <w:pPr>
            <w:pStyle w:val="10"/>
            <w:keepNext w:val="0"/>
            <w:keepLines w:val="0"/>
            <w:pageBreakBefore w:val="0"/>
            <w:tabs>
              <w:tab w:val="right" w:leader="dot" w:pos="8306"/>
              <w:tab w:val="clear" w:pos="8680"/>
            </w:tabs>
            <w:kinsoku/>
            <w:wordWrap/>
            <w:overflowPunct/>
            <w:topLinePunct w:val="0"/>
            <w:autoSpaceDE/>
            <w:autoSpaceDN/>
            <w:bidi w:val="0"/>
            <w:adjustRightInd w:val="0"/>
            <w:snapToGrid w:val="0"/>
            <w:spacing w:line="360" w:lineRule="auto"/>
            <w:ind w:left="0" w:leftChars="0"/>
            <w:textAlignment w:val="auto"/>
            <w:rPr>
              <w:sz w:val="32"/>
              <w:szCs w:val="32"/>
            </w:rPr>
          </w:pPr>
          <w:r>
            <w:rPr>
              <w:sz w:val="32"/>
              <w:szCs w:val="32"/>
            </w:rPr>
            <w:fldChar w:fldCharType="begin"/>
          </w:r>
          <w:r>
            <w:rPr>
              <w:sz w:val="32"/>
              <w:szCs w:val="32"/>
            </w:rPr>
            <w:instrText xml:space="preserve"> HYPERLINK \l _Toc11043 </w:instrText>
          </w:r>
          <w:r>
            <w:rPr>
              <w:sz w:val="32"/>
              <w:szCs w:val="32"/>
            </w:rPr>
            <w:fldChar w:fldCharType="separate"/>
          </w:r>
          <w:r>
            <w:rPr>
              <w:rFonts w:hint="eastAsia" w:ascii="楷体_GB2312" w:hAnsi="Times New Roman" w:eastAsia="楷体_GB2312" w:cs="Times New Roman"/>
              <w:kern w:val="2"/>
              <w:sz w:val="32"/>
              <w:szCs w:val="32"/>
              <w:lang w:val="en-US" w:eastAsia="zh-CN" w:bidi="ar-SA"/>
            </w:rPr>
            <w:t>（二）</w:t>
          </w:r>
          <w:r>
            <w:rPr>
              <w:rFonts w:hint="eastAsia" w:ascii="楷体_GB2312" w:eastAsia="楷体_GB2312"/>
              <w:sz w:val="32"/>
              <w:szCs w:val="32"/>
            </w:rPr>
            <w:t>部门整体绩效目标设立情况</w:t>
          </w:r>
          <w:r>
            <w:rPr>
              <w:sz w:val="32"/>
              <w:szCs w:val="32"/>
            </w:rPr>
            <w:tab/>
          </w:r>
          <w:r>
            <w:rPr>
              <w:sz w:val="32"/>
              <w:szCs w:val="32"/>
            </w:rPr>
            <w:fldChar w:fldCharType="begin"/>
          </w:r>
          <w:r>
            <w:rPr>
              <w:sz w:val="32"/>
              <w:szCs w:val="32"/>
            </w:rPr>
            <w:instrText xml:space="preserve"> PAGEREF _Toc11043 \h </w:instrText>
          </w:r>
          <w:r>
            <w:rPr>
              <w:sz w:val="32"/>
              <w:szCs w:val="32"/>
            </w:rPr>
            <w:fldChar w:fldCharType="separate"/>
          </w:r>
          <w:r>
            <w:rPr>
              <w:sz w:val="32"/>
              <w:szCs w:val="32"/>
            </w:rPr>
            <w:t>3</w:t>
          </w:r>
          <w:r>
            <w:rPr>
              <w:sz w:val="32"/>
              <w:szCs w:val="32"/>
            </w:rPr>
            <w:fldChar w:fldCharType="end"/>
          </w:r>
          <w:r>
            <w:rPr>
              <w:sz w:val="32"/>
              <w:szCs w:val="32"/>
            </w:rPr>
            <w:fldChar w:fldCharType="end"/>
          </w:r>
        </w:p>
        <w:p>
          <w:pPr>
            <w:pStyle w:val="9"/>
            <w:keepNext w:val="0"/>
            <w:keepLines w:val="0"/>
            <w:pageBreakBefore w:val="0"/>
            <w:tabs>
              <w:tab w:val="right" w:leader="dot" w:pos="8306"/>
            </w:tabs>
            <w:kinsoku/>
            <w:wordWrap/>
            <w:overflowPunct/>
            <w:topLinePunct w:val="0"/>
            <w:autoSpaceDE/>
            <w:autoSpaceDN/>
            <w:bidi w:val="0"/>
            <w:adjustRightInd w:val="0"/>
            <w:snapToGrid w:val="0"/>
            <w:spacing w:line="360" w:lineRule="auto"/>
            <w:ind w:left="0" w:leftChars="0"/>
            <w:textAlignment w:val="auto"/>
            <w:rPr>
              <w:sz w:val="32"/>
              <w:szCs w:val="32"/>
            </w:rPr>
          </w:pPr>
          <w:r>
            <w:rPr>
              <w:sz w:val="32"/>
              <w:szCs w:val="32"/>
            </w:rPr>
            <w:fldChar w:fldCharType="begin"/>
          </w:r>
          <w:r>
            <w:rPr>
              <w:sz w:val="32"/>
              <w:szCs w:val="32"/>
            </w:rPr>
            <w:instrText xml:space="preserve"> HYPERLINK \l _Toc19515 </w:instrText>
          </w:r>
          <w:r>
            <w:rPr>
              <w:sz w:val="32"/>
              <w:szCs w:val="32"/>
            </w:rPr>
            <w:fldChar w:fldCharType="separate"/>
          </w:r>
          <w:r>
            <w:rPr>
              <w:rFonts w:hint="eastAsia" w:ascii="黑体" w:hAnsi="黑体" w:eastAsia="黑体" w:cs="宋体"/>
              <w:kern w:val="0"/>
              <w:sz w:val="32"/>
              <w:szCs w:val="32"/>
            </w:rPr>
            <w:t>二</w:t>
          </w:r>
          <w:r>
            <w:rPr>
              <w:rFonts w:ascii="黑体" w:hAnsi="黑体" w:eastAsia="黑体" w:cs="宋体"/>
              <w:kern w:val="0"/>
              <w:sz w:val="32"/>
              <w:szCs w:val="32"/>
            </w:rPr>
            <w:t>、</w:t>
          </w:r>
          <w:r>
            <w:rPr>
              <w:rFonts w:hint="eastAsia" w:ascii="黑体" w:hAnsi="黑体" w:eastAsia="黑体" w:cs="宋体"/>
              <w:kern w:val="0"/>
              <w:sz w:val="32"/>
              <w:szCs w:val="32"/>
            </w:rPr>
            <w:t>当年</w:t>
          </w:r>
          <w:r>
            <w:rPr>
              <w:rFonts w:ascii="黑体" w:hAnsi="黑体" w:eastAsia="黑体" w:cs="宋体"/>
              <w:kern w:val="0"/>
              <w:sz w:val="32"/>
              <w:szCs w:val="32"/>
            </w:rPr>
            <w:t>预算执行情况</w:t>
          </w:r>
          <w:r>
            <w:rPr>
              <w:sz w:val="32"/>
              <w:szCs w:val="32"/>
            </w:rPr>
            <w:tab/>
          </w:r>
          <w:r>
            <w:rPr>
              <w:sz w:val="32"/>
              <w:szCs w:val="32"/>
            </w:rPr>
            <w:fldChar w:fldCharType="begin"/>
          </w:r>
          <w:r>
            <w:rPr>
              <w:sz w:val="32"/>
              <w:szCs w:val="32"/>
            </w:rPr>
            <w:instrText xml:space="preserve"> PAGEREF _Toc19515 \h </w:instrText>
          </w:r>
          <w:r>
            <w:rPr>
              <w:sz w:val="32"/>
              <w:szCs w:val="32"/>
            </w:rPr>
            <w:fldChar w:fldCharType="separate"/>
          </w:r>
          <w:r>
            <w:rPr>
              <w:sz w:val="32"/>
              <w:szCs w:val="32"/>
            </w:rPr>
            <w:t>7</w:t>
          </w:r>
          <w:r>
            <w:rPr>
              <w:sz w:val="32"/>
              <w:szCs w:val="32"/>
            </w:rPr>
            <w:fldChar w:fldCharType="end"/>
          </w:r>
          <w:r>
            <w:rPr>
              <w:sz w:val="32"/>
              <w:szCs w:val="32"/>
            </w:rPr>
            <w:fldChar w:fldCharType="end"/>
          </w:r>
        </w:p>
        <w:p>
          <w:pPr>
            <w:pStyle w:val="9"/>
            <w:keepNext w:val="0"/>
            <w:keepLines w:val="0"/>
            <w:pageBreakBefore w:val="0"/>
            <w:tabs>
              <w:tab w:val="right" w:leader="dot" w:pos="8306"/>
            </w:tabs>
            <w:kinsoku/>
            <w:wordWrap/>
            <w:overflowPunct/>
            <w:topLinePunct w:val="0"/>
            <w:autoSpaceDE/>
            <w:autoSpaceDN/>
            <w:bidi w:val="0"/>
            <w:adjustRightInd w:val="0"/>
            <w:snapToGrid w:val="0"/>
            <w:spacing w:line="360" w:lineRule="auto"/>
            <w:ind w:left="0" w:leftChars="0"/>
            <w:textAlignment w:val="auto"/>
            <w:rPr>
              <w:sz w:val="32"/>
              <w:szCs w:val="32"/>
            </w:rPr>
          </w:pPr>
          <w:r>
            <w:rPr>
              <w:sz w:val="32"/>
              <w:szCs w:val="32"/>
            </w:rPr>
            <w:fldChar w:fldCharType="begin"/>
          </w:r>
          <w:r>
            <w:rPr>
              <w:sz w:val="32"/>
              <w:szCs w:val="32"/>
            </w:rPr>
            <w:instrText xml:space="preserve"> HYPERLINK \l _Toc10795 </w:instrText>
          </w:r>
          <w:r>
            <w:rPr>
              <w:sz w:val="32"/>
              <w:szCs w:val="32"/>
            </w:rPr>
            <w:fldChar w:fldCharType="separate"/>
          </w:r>
          <w:r>
            <w:rPr>
              <w:rFonts w:hint="eastAsia" w:ascii="黑体" w:hAnsi="黑体" w:eastAsia="黑体" w:cs="宋体"/>
              <w:kern w:val="0"/>
              <w:sz w:val="32"/>
              <w:szCs w:val="32"/>
              <w:highlight w:val="none"/>
            </w:rPr>
            <w:t>三</w:t>
          </w:r>
          <w:r>
            <w:rPr>
              <w:rFonts w:ascii="黑体" w:hAnsi="黑体" w:eastAsia="黑体" w:cs="宋体"/>
              <w:kern w:val="0"/>
              <w:sz w:val="32"/>
              <w:szCs w:val="32"/>
              <w:highlight w:val="none"/>
            </w:rPr>
            <w:t>、整体绩效目标实现情况</w:t>
          </w:r>
          <w:r>
            <w:rPr>
              <w:sz w:val="32"/>
              <w:szCs w:val="32"/>
            </w:rPr>
            <w:tab/>
          </w:r>
          <w:r>
            <w:rPr>
              <w:sz w:val="32"/>
              <w:szCs w:val="32"/>
            </w:rPr>
            <w:fldChar w:fldCharType="begin"/>
          </w:r>
          <w:r>
            <w:rPr>
              <w:sz w:val="32"/>
              <w:szCs w:val="32"/>
            </w:rPr>
            <w:instrText xml:space="preserve"> PAGEREF _Toc10795 \h </w:instrText>
          </w:r>
          <w:r>
            <w:rPr>
              <w:sz w:val="32"/>
              <w:szCs w:val="32"/>
            </w:rPr>
            <w:fldChar w:fldCharType="separate"/>
          </w:r>
          <w:r>
            <w:rPr>
              <w:sz w:val="32"/>
              <w:szCs w:val="32"/>
            </w:rPr>
            <w:t>7</w:t>
          </w:r>
          <w:r>
            <w:rPr>
              <w:sz w:val="32"/>
              <w:szCs w:val="32"/>
            </w:rPr>
            <w:fldChar w:fldCharType="end"/>
          </w:r>
          <w:r>
            <w:rPr>
              <w:sz w:val="32"/>
              <w:szCs w:val="32"/>
            </w:rPr>
            <w:fldChar w:fldCharType="end"/>
          </w:r>
        </w:p>
        <w:p>
          <w:pPr>
            <w:pStyle w:val="10"/>
            <w:keepNext w:val="0"/>
            <w:keepLines w:val="0"/>
            <w:pageBreakBefore w:val="0"/>
            <w:tabs>
              <w:tab w:val="right" w:leader="dot" w:pos="8306"/>
              <w:tab w:val="clear" w:pos="8680"/>
            </w:tabs>
            <w:kinsoku/>
            <w:wordWrap/>
            <w:overflowPunct/>
            <w:topLinePunct w:val="0"/>
            <w:autoSpaceDE/>
            <w:autoSpaceDN/>
            <w:bidi w:val="0"/>
            <w:adjustRightInd w:val="0"/>
            <w:snapToGrid w:val="0"/>
            <w:spacing w:line="360" w:lineRule="auto"/>
            <w:ind w:left="0" w:leftChars="0"/>
            <w:textAlignment w:val="auto"/>
            <w:rPr>
              <w:sz w:val="32"/>
              <w:szCs w:val="32"/>
            </w:rPr>
          </w:pPr>
          <w:r>
            <w:rPr>
              <w:sz w:val="32"/>
              <w:szCs w:val="32"/>
            </w:rPr>
            <w:fldChar w:fldCharType="begin"/>
          </w:r>
          <w:r>
            <w:rPr>
              <w:sz w:val="32"/>
              <w:szCs w:val="32"/>
            </w:rPr>
            <w:instrText xml:space="preserve"> HYPERLINK \l _Toc21474 </w:instrText>
          </w:r>
          <w:r>
            <w:rPr>
              <w:sz w:val="32"/>
              <w:szCs w:val="32"/>
            </w:rPr>
            <w:fldChar w:fldCharType="separate"/>
          </w:r>
          <w:r>
            <w:rPr>
              <w:rFonts w:hint="eastAsia" w:ascii="楷体_GB2312" w:eastAsia="楷体_GB2312"/>
              <w:sz w:val="32"/>
              <w:szCs w:val="32"/>
              <w:highlight w:val="none"/>
            </w:rPr>
            <w:t>（一）产出</w:t>
          </w:r>
          <w:r>
            <w:rPr>
              <w:rFonts w:hint="eastAsia" w:ascii="楷体_GB2312" w:eastAsia="楷体_GB2312"/>
              <w:sz w:val="32"/>
              <w:szCs w:val="32"/>
              <w:highlight w:val="none"/>
              <w:lang w:eastAsia="zh-CN"/>
            </w:rPr>
            <w:t>指标</w:t>
          </w:r>
          <w:r>
            <w:rPr>
              <w:rFonts w:hint="eastAsia" w:ascii="楷体_GB2312" w:eastAsia="楷体_GB2312"/>
              <w:sz w:val="32"/>
              <w:szCs w:val="32"/>
              <w:highlight w:val="none"/>
            </w:rPr>
            <w:t>完成情况分析</w:t>
          </w:r>
          <w:r>
            <w:rPr>
              <w:sz w:val="32"/>
              <w:szCs w:val="32"/>
            </w:rPr>
            <w:tab/>
          </w:r>
          <w:r>
            <w:rPr>
              <w:sz w:val="32"/>
              <w:szCs w:val="32"/>
            </w:rPr>
            <w:fldChar w:fldCharType="begin"/>
          </w:r>
          <w:r>
            <w:rPr>
              <w:sz w:val="32"/>
              <w:szCs w:val="32"/>
            </w:rPr>
            <w:instrText xml:space="preserve"> PAGEREF _Toc21474 \h </w:instrText>
          </w:r>
          <w:r>
            <w:rPr>
              <w:sz w:val="32"/>
              <w:szCs w:val="32"/>
            </w:rPr>
            <w:fldChar w:fldCharType="separate"/>
          </w:r>
          <w:r>
            <w:rPr>
              <w:sz w:val="32"/>
              <w:szCs w:val="32"/>
            </w:rPr>
            <w:t>7</w:t>
          </w:r>
          <w:r>
            <w:rPr>
              <w:sz w:val="32"/>
              <w:szCs w:val="32"/>
            </w:rPr>
            <w:fldChar w:fldCharType="end"/>
          </w:r>
          <w:r>
            <w:rPr>
              <w:sz w:val="32"/>
              <w:szCs w:val="32"/>
            </w:rPr>
            <w:fldChar w:fldCharType="end"/>
          </w:r>
        </w:p>
        <w:p>
          <w:pPr>
            <w:pStyle w:val="10"/>
            <w:keepNext w:val="0"/>
            <w:keepLines w:val="0"/>
            <w:pageBreakBefore w:val="0"/>
            <w:tabs>
              <w:tab w:val="right" w:leader="dot" w:pos="8306"/>
              <w:tab w:val="clear" w:pos="8680"/>
            </w:tabs>
            <w:kinsoku/>
            <w:wordWrap/>
            <w:overflowPunct/>
            <w:topLinePunct w:val="0"/>
            <w:autoSpaceDE/>
            <w:autoSpaceDN/>
            <w:bidi w:val="0"/>
            <w:adjustRightInd w:val="0"/>
            <w:snapToGrid w:val="0"/>
            <w:spacing w:line="360" w:lineRule="auto"/>
            <w:ind w:left="0" w:leftChars="0"/>
            <w:textAlignment w:val="auto"/>
            <w:rPr>
              <w:sz w:val="32"/>
              <w:szCs w:val="32"/>
            </w:rPr>
          </w:pPr>
          <w:r>
            <w:rPr>
              <w:sz w:val="32"/>
              <w:szCs w:val="32"/>
            </w:rPr>
            <w:fldChar w:fldCharType="begin"/>
          </w:r>
          <w:r>
            <w:rPr>
              <w:sz w:val="32"/>
              <w:szCs w:val="32"/>
            </w:rPr>
            <w:instrText xml:space="preserve"> HYPERLINK \l _Toc13973 </w:instrText>
          </w:r>
          <w:r>
            <w:rPr>
              <w:sz w:val="32"/>
              <w:szCs w:val="32"/>
            </w:rPr>
            <w:fldChar w:fldCharType="separate"/>
          </w:r>
          <w:r>
            <w:rPr>
              <w:rFonts w:hint="eastAsia" w:ascii="楷体_GB2312" w:eastAsia="楷体_GB2312"/>
              <w:sz w:val="32"/>
              <w:szCs w:val="32"/>
              <w:highlight w:val="none"/>
            </w:rPr>
            <w:t>（二）</w:t>
          </w:r>
          <w:r>
            <w:rPr>
              <w:rFonts w:hint="eastAsia" w:ascii="楷体_GB2312" w:eastAsia="楷体_GB2312"/>
              <w:sz w:val="32"/>
              <w:szCs w:val="32"/>
              <w:highlight w:val="none"/>
              <w:lang w:eastAsia="zh-CN"/>
            </w:rPr>
            <w:t>效益指标</w:t>
          </w:r>
          <w:r>
            <w:rPr>
              <w:rFonts w:ascii="楷体_GB2312" w:eastAsia="楷体_GB2312"/>
              <w:sz w:val="32"/>
              <w:szCs w:val="32"/>
              <w:highlight w:val="none"/>
            </w:rPr>
            <w:t>实现情况分析</w:t>
          </w:r>
          <w:r>
            <w:rPr>
              <w:sz w:val="32"/>
              <w:szCs w:val="32"/>
            </w:rPr>
            <w:tab/>
          </w:r>
          <w:r>
            <w:rPr>
              <w:sz w:val="32"/>
              <w:szCs w:val="32"/>
            </w:rPr>
            <w:fldChar w:fldCharType="begin"/>
          </w:r>
          <w:r>
            <w:rPr>
              <w:sz w:val="32"/>
              <w:szCs w:val="32"/>
            </w:rPr>
            <w:instrText xml:space="preserve"> PAGEREF _Toc13973 \h </w:instrText>
          </w:r>
          <w:r>
            <w:rPr>
              <w:sz w:val="32"/>
              <w:szCs w:val="32"/>
            </w:rPr>
            <w:fldChar w:fldCharType="separate"/>
          </w:r>
          <w:r>
            <w:rPr>
              <w:sz w:val="32"/>
              <w:szCs w:val="32"/>
            </w:rPr>
            <w:t>10</w:t>
          </w:r>
          <w:r>
            <w:rPr>
              <w:sz w:val="32"/>
              <w:szCs w:val="32"/>
            </w:rPr>
            <w:fldChar w:fldCharType="end"/>
          </w:r>
          <w:r>
            <w:rPr>
              <w:sz w:val="32"/>
              <w:szCs w:val="32"/>
            </w:rPr>
            <w:fldChar w:fldCharType="end"/>
          </w:r>
        </w:p>
        <w:p>
          <w:pPr>
            <w:pStyle w:val="9"/>
            <w:keepNext w:val="0"/>
            <w:keepLines w:val="0"/>
            <w:pageBreakBefore w:val="0"/>
            <w:tabs>
              <w:tab w:val="right" w:leader="dot" w:pos="8306"/>
            </w:tabs>
            <w:kinsoku/>
            <w:wordWrap/>
            <w:overflowPunct/>
            <w:topLinePunct w:val="0"/>
            <w:autoSpaceDE/>
            <w:autoSpaceDN/>
            <w:bidi w:val="0"/>
            <w:adjustRightInd w:val="0"/>
            <w:snapToGrid w:val="0"/>
            <w:spacing w:line="360" w:lineRule="auto"/>
            <w:ind w:left="0" w:leftChars="0"/>
            <w:textAlignment w:val="auto"/>
            <w:rPr>
              <w:sz w:val="32"/>
              <w:szCs w:val="32"/>
            </w:rPr>
          </w:pPr>
          <w:r>
            <w:rPr>
              <w:sz w:val="32"/>
              <w:szCs w:val="32"/>
            </w:rPr>
            <w:fldChar w:fldCharType="begin"/>
          </w:r>
          <w:r>
            <w:rPr>
              <w:sz w:val="32"/>
              <w:szCs w:val="32"/>
            </w:rPr>
            <w:instrText xml:space="preserve"> HYPERLINK \l _Toc12197 </w:instrText>
          </w:r>
          <w:r>
            <w:rPr>
              <w:sz w:val="32"/>
              <w:szCs w:val="32"/>
            </w:rPr>
            <w:fldChar w:fldCharType="separate"/>
          </w:r>
          <w:r>
            <w:rPr>
              <w:rFonts w:hint="eastAsia" w:ascii="黑体" w:hAnsi="黑体" w:eastAsia="黑体" w:cs="宋体"/>
              <w:kern w:val="0"/>
              <w:sz w:val="32"/>
              <w:szCs w:val="32"/>
              <w:highlight w:val="none"/>
            </w:rPr>
            <w:t>四</w:t>
          </w:r>
          <w:r>
            <w:rPr>
              <w:rFonts w:ascii="黑体" w:hAnsi="黑体" w:eastAsia="黑体" w:cs="宋体"/>
              <w:kern w:val="0"/>
              <w:sz w:val="32"/>
              <w:szCs w:val="32"/>
              <w:highlight w:val="none"/>
            </w:rPr>
            <w:t>、预算管理</w:t>
          </w:r>
          <w:r>
            <w:rPr>
              <w:rFonts w:hint="eastAsia" w:ascii="黑体" w:hAnsi="黑体" w:eastAsia="黑体" w:cs="宋体"/>
              <w:kern w:val="0"/>
              <w:sz w:val="32"/>
              <w:szCs w:val="32"/>
              <w:highlight w:val="none"/>
            </w:rPr>
            <w:t>情况分</w:t>
          </w:r>
          <w:r>
            <w:rPr>
              <w:rFonts w:ascii="黑体" w:hAnsi="黑体" w:eastAsia="黑体" w:cs="宋体"/>
              <w:kern w:val="0"/>
              <w:sz w:val="32"/>
              <w:szCs w:val="32"/>
              <w:highlight w:val="none"/>
            </w:rPr>
            <w:t>析</w:t>
          </w:r>
          <w:r>
            <w:rPr>
              <w:sz w:val="32"/>
              <w:szCs w:val="32"/>
            </w:rPr>
            <w:tab/>
          </w:r>
          <w:r>
            <w:rPr>
              <w:sz w:val="32"/>
              <w:szCs w:val="32"/>
            </w:rPr>
            <w:fldChar w:fldCharType="begin"/>
          </w:r>
          <w:r>
            <w:rPr>
              <w:sz w:val="32"/>
              <w:szCs w:val="32"/>
            </w:rPr>
            <w:instrText xml:space="preserve"> PAGEREF _Toc12197 \h </w:instrText>
          </w:r>
          <w:r>
            <w:rPr>
              <w:sz w:val="32"/>
              <w:szCs w:val="32"/>
            </w:rPr>
            <w:fldChar w:fldCharType="separate"/>
          </w:r>
          <w:r>
            <w:rPr>
              <w:sz w:val="32"/>
              <w:szCs w:val="32"/>
            </w:rPr>
            <w:t>14</w:t>
          </w:r>
          <w:r>
            <w:rPr>
              <w:sz w:val="32"/>
              <w:szCs w:val="32"/>
            </w:rPr>
            <w:fldChar w:fldCharType="end"/>
          </w:r>
          <w:r>
            <w:rPr>
              <w:sz w:val="32"/>
              <w:szCs w:val="32"/>
            </w:rPr>
            <w:fldChar w:fldCharType="end"/>
          </w:r>
        </w:p>
        <w:p>
          <w:pPr>
            <w:pStyle w:val="10"/>
            <w:keepNext w:val="0"/>
            <w:keepLines w:val="0"/>
            <w:pageBreakBefore w:val="0"/>
            <w:tabs>
              <w:tab w:val="right" w:leader="dot" w:pos="8306"/>
              <w:tab w:val="clear" w:pos="8680"/>
            </w:tabs>
            <w:kinsoku/>
            <w:wordWrap/>
            <w:overflowPunct/>
            <w:topLinePunct w:val="0"/>
            <w:autoSpaceDE/>
            <w:autoSpaceDN/>
            <w:bidi w:val="0"/>
            <w:adjustRightInd w:val="0"/>
            <w:snapToGrid w:val="0"/>
            <w:spacing w:line="360" w:lineRule="auto"/>
            <w:ind w:left="0" w:leftChars="0"/>
            <w:textAlignment w:val="auto"/>
            <w:rPr>
              <w:sz w:val="32"/>
              <w:szCs w:val="32"/>
            </w:rPr>
          </w:pPr>
          <w:r>
            <w:rPr>
              <w:sz w:val="32"/>
              <w:szCs w:val="32"/>
            </w:rPr>
            <w:fldChar w:fldCharType="begin"/>
          </w:r>
          <w:r>
            <w:rPr>
              <w:sz w:val="32"/>
              <w:szCs w:val="32"/>
            </w:rPr>
            <w:instrText xml:space="preserve"> HYPERLINK \l _Toc24305 </w:instrText>
          </w:r>
          <w:r>
            <w:rPr>
              <w:sz w:val="32"/>
              <w:szCs w:val="32"/>
            </w:rPr>
            <w:fldChar w:fldCharType="separate"/>
          </w:r>
          <w:r>
            <w:rPr>
              <w:rFonts w:hint="eastAsia" w:ascii="楷体_GB2312" w:eastAsia="楷体_GB2312"/>
              <w:sz w:val="32"/>
              <w:szCs w:val="32"/>
              <w:highlight w:val="none"/>
            </w:rPr>
            <w:t>（一）财务管理</w:t>
          </w:r>
          <w:r>
            <w:rPr>
              <w:sz w:val="32"/>
              <w:szCs w:val="32"/>
            </w:rPr>
            <w:tab/>
          </w:r>
          <w:r>
            <w:rPr>
              <w:sz w:val="32"/>
              <w:szCs w:val="32"/>
            </w:rPr>
            <w:fldChar w:fldCharType="begin"/>
          </w:r>
          <w:r>
            <w:rPr>
              <w:sz w:val="32"/>
              <w:szCs w:val="32"/>
            </w:rPr>
            <w:instrText xml:space="preserve"> PAGEREF _Toc24305 \h </w:instrText>
          </w:r>
          <w:r>
            <w:rPr>
              <w:sz w:val="32"/>
              <w:szCs w:val="32"/>
            </w:rPr>
            <w:fldChar w:fldCharType="separate"/>
          </w:r>
          <w:r>
            <w:rPr>
              <w:sz w:val="32"/>
              <w:szCs w:val="32"/>
            </w:rPr>
            <w:t>14</w:t>
          </w:r>
          <w:r>
            <w:rPr>
              <w:sz w:val="32"/>
              <w:szCs w:val="32"/>
            </w:rPr>
            <w:fldChar w:fldCharType="end"/>
          </w:r>
          <w:r>
            <w:rPr>
              <w:sz w:val="32"/>
              <w:szCs w:val="32"/>
            </w:rPr>
            <w:fldChar w:fldCharType="end"/>
          </w:r>
        </w:p>
        <w:p>
          <w:pPr>
            <w:pStyle w:val="10"/>
            <w:keepNext w:val="0"/>
            <w:keepLines w:val="0"/>
            <w:pageBreakBefore w:val="0"/>
            <w:tabs>
              <w:tab w:val="right" w:leader="dot" w:pos="8306"/>
              <w:tab w:val="clear" w:pos="8680"/>
            </w:tabs>
            <w:kinsoku/>
            <w:wordWrap/>
            <w:overflowPunct/>
            <w:topLinePunct w:val="0"/>
            <w:autoSpaceDE/>
            <w:autoSpaceDN/>
            <w:bidi w:val="0"/>
            <w:adjustRightInd w:val="0"/>
            <w:snapToGrid w:val="0"/>
            <w:spacing w:line="360" w:lineRule="auto"/>
            <w:ind w:left="0" w:leftChars="0"/>
            <w:textAlignment w:val="auto"/>
            <w:rPr>
              <w:sz w:val="32"/>
              <w:szCs w:val="32"/>
            </w:rPr>
          </w:pPr>
          <w:r>
            <w:rPr>
              <w:sz w:val="32"/>
              <w:szCs w:val="32"/>
            </w:rPr>
            <w:fldChar w:fldCharType="begin"/>
          </w:r>
          <w:r>
            <w:rPr>
              <w:sz w:val="32"/>
              <w:szCs w:val="32"/>
            </w:rPr>
            <w:instrText xml:space="preserve"> HYPERLINK \l _Toc18377 </w:instrText>
          </w:r>
          <w:r>
            <w:rPr>
              <w:sz w:val="32"/>
              <w:szCs w:val="32"/>
            </w:rPr>
            <w:fldChar w:fldCharType="separate"/>
          </w:r>
          <w:r>
            <w:rPr>
              <w:rFonts w:hint="eastAsia" w:ascii="楷体_GB2312" w:hAnsi="Times New Roman" w:eastAsia="楷体_GB2312" w:cs="Times New Roman"/>
              <w:kern w:val="2"/>
              <w:sz w:val="32"/>
              <w:szCs w:val="32"/>
              <w:lang w:val="en-US" w:eastAsia="zh-CN" w:bidi="ar-SA"/>
            </w:rPr>
            <w:t>（三）</w:t>
          </w:r>
          <w:r>
            <w:rPr>
              <w:rFonts w:hint="eastAsia" w:ascii="楷体_GB2312" w:eastAsia="楷体_GB2312"/>
              <w:sz w:val="32"/>
              <w:szCs w:val="32"/>
              <w:highlight w:val="none"/>
            </w:rPr>
            <w:t>资产管理</w:t>
          </w:r>
          <w:r>
            <w:rPr>
              <w:sz w:val="32"/>
              <w:szCs w:val="32"/>
            </w:rPr>
            <w:tab/>
          </w:r>
          <w:r>
            <w:rPr>
              <w:sz w:val="32"/>
              <w:szCs w:val="32"/>
            </w:rPr>
            <w:fldChar w:fldCharType="begin"/>
          </w:r>
          <w:r>
            <w:rPr>
              <w:sz w:val="32"/>
              <w:szCs w:val="32"/>
            </w:rPr>
            <w:instrText xml:space="preserve"> PAGEREF _Toc18377 \h </w:instrText>
          </w:r>
          <w:r>
            <w:rPr>
              <w:sz w:val="32"/>
              <w:szCs w:val="32"/>
            </w:rPr>
            <w:fldChar w:fldCharType="separate"/>
          </w:r>
          <w:r>
            <w:rPr>
              <w:sz w:val="32"/>
              <w:szCs w:val="32"/>
            </w:rPr>
            <w:t>16</w:t>
          </w:r>
          <w:r>
            <w:rPr>
              <w:sz w:val="32"/>
              <w:szCs w:val="32"/>
            </w:rPr>
            <w:fldChar w:fldCharType="end"/>
          </w:r>
          <w:r>
            <w:rPr>
              <w:sz w:val="32"/>
              <w:szCs w:val="32"/>
            </w:rPr>
            <w:fldChar w:fldCharType="end"/>
          </w:r>
        </w:p>
        <w:p>
          <w:pPr>
            <w:pStyle w:val="10"/>
            <w:keepNext w:val="0"/>
            <w:keepLines w:val="0"/>
            <w:pageBreakBefore w:val="0"/>
            <w:tabs>
              <w:tab w:val="right" w:leader="dot" w:pos="8306"/>
              <w:tab w:val="clear" w:pos="8680"/>
            </w:tabs>
            <w:kinsoku/>
            <w:wordWrap/>
            <w:overflowPunct/>
            <w:topLinePunct w:val="0"/>
            <w:autoSpaceDE/>
            <w:autoSpaceDN/>
            <w:bidi w:val="0"/>
            <w:adjustRightInd w:val="0"/>
            <w:snapToGrid w:val="0"/>
            <w:spacing w:line="360" w:lineRule="auto"/>
            <w:ind w:left="0" w:leftChars="0"/>
            <w:textAlignment w:val="auto"/>
            <w:rPr>
              <w:sz w:val="32"/>
              <w:szCs w:val="32"/>
            </w:rPr>
          </w:pPr>
          <w:r>
            <w:rPr>
              <w:sz w:val="32"/>
              <w:szCs w:val="32"/>
            </w:rPr>
            <w:fldChar w:fldCharType="begin"/>
          </w:r>
          <w:r>
            <w:rPr>
              <w:sz w:val="32"/>
              <w:szCs w:val="32"/>
            </w:rPr>
            <w:instrText xml:space="preserve"> HYPERLINK \l _Toc5753 </w:instrText>
          </w:r>
          <w:r>
            <w:rPr>
              <w:sz w:val="32"/>
              <w:szCs w:val="32"/>
            </w:rPr>
            <w:fldChar w:fldCharType="separate"/>
          </w:r>
          <w:r>
            <w:rPr>
              <w:rFonts w:hint="eastAsia" w:ascii="楷体_GB2312" w:hAnsi="Times New Roman" w:eastAsia="楷体_GB2312" w:cs="Times New Roman"/>
              <w:kern w:val="2"/>
              <w:sz w:val="32"/>
              <w:szCs w:val="32"/>
              <w:lang w:val="en-US" w:eastAsia="zh-CN" w:bidi="ar-SA"/>
            </w:rPr>
            <w:t>（四）</w:t>
          </w:r>
          <w:r>
            <w:rPr>
              <w:rFonts w:hint="eastAsia" w:ascii="楷体_GB2312" w:eastAsia="楷体_GB2312"/>
              <w:sz w:val="32"/>
              <w:szCs w:val="32"/>
              <w:highlight w:val="none"/>
            </w:rPr>
            <w:t>绩效</w:t>
          </w:r>
          <w:r>
            <w:rPr>
              <w:rFonts w:ascii="楷体_GB2312" w:eastAsia="楷体_GB2312"/>
              <w:sz w:val="32"/>
              <w:szCs w:val="32"/>
              <w:highlight w:val="none"/>
            </w:rPr>
            <w:t>管理</w:t>
          </w:r>
          <w:r>
            <w:rPr>
              <w:sz w:val="32"/>
              <w:szCs w:val="32"/>
            </w:rPr>
            <w:tab/>
          </w:r>
          <w:r>
            <w:rPr>
              <w:sz w:val="32"/>
              <w:szCs w:val="32"/>
            </w:rPr>
            <w:fldChar w:fldCharType="begin"/>
          </w:r>
          <w:r>
            <w:rPr>
              <w:sz w:val="32"/>
              <w:szCs w:val="32"/>
            </w:rPr>
            <w:instrText xml:space="preserve"> PAGEREF _Toc5753 \h </w:instrText>
          </w:r>
          <w:r>
            <w:rPr>
              <w:sz w:val="32"/>
              <w:szCs w:val="32"/>
            </w:rPr>
            <w:fldChar w:fldCharType="separate"/>
          </w:r>
          <w:r>
            <w:rPr>
              <w:sz w:val="32"/>
              <w:szCs w:val="32"/>
            </w:rPr>
            <w:t>17</w:t>
          </w:r>
          <w:r>
            <w:rPr>
              <w:sz w:val="32"/>
              <w:szCs w:val="32"/>
            </w:rPr>
            <w:fldChar w:fldCharType="end"/>
          </w:r>
          <w:r>
            <w:rPr>
              <w:sz w:val="32"/>
              <w:szCs w:val="32"/>
            </w:rPr>
            <w:fldChar w:fldCharType="end"/>
          </w:r>
        </w:p>
        <w:p>
          <w:pPr>
            <w:pStyle w:val="10"/>
            <w:keepNext w:val="0"/>
            <w:keepLines w:val="0"/>
            <w:pageBreakBefore w:val="0"/>
            <w:tabs>
              <w:tab w:val="right" w:leader="dot" w:pos="8306"/>
              <w:tab w:val="clear" w:pos="8680"/>
            </w:tabs>
            <w:kinsoku/>
            <w:wordWrap/>
            <w:overflowPunct/>
            <w:topLinePunct w:val="0"/>
            <w:autoSpaceDE/>
            <w:autoSpaceDN/>
            <w:bidi w:val="0"/>
            <w:adjustRightInd w:val="0"/>
            <w:snapToGrid w:val="0"/>
            <w:spacing w:line="360" w:lineRule="auto"/>
            <w:ind w:left="0" w:leftChars="0"/>
            <w:textAlignment w:val="auto"/>
            <w:rPr>
              <w:sz w:val="32"/>
              <w:szCs w:val="32"/>
            </w:rPr>
          </w:pPr>
          <w:r>
            <w:rPr>
              <w:sz w:val="32"/>
              <w:szCs w:val="32"/>
            </w:rPr>
            <w:fldChar w:fldCharType="begin"/>
          </w:r>
          <w:r>
            <w:rPr>
              <w:sz w:val="32"/>
              <w:szCs w:val="32"/>
            </w:rPr>
            <w:instrText xml:space="preserve"> HYPERLINK \l _Toc1643 </w:instrText>
          </w:r>
          <w:r>
            <w:rPr>
              <w:sz w:val="32"/>
              <w:szCs w:val="32"/>
            </w:rPr>
            <w:fldChar w:fldCharType="separate"/>
          </w:r>
          <w:r>
            <w:rPr>
              <w:rFonts w:hint="eastAsia" w:ascii="楷体_GB2312" w:eastAsia="楷体_GB2312"/>
              <w:sz w:val="32"/>
              <w:szCs w:val="32"/>
              <w:highlight w:val="none"/>
            </w:rPr>
            <w:t>（四）结转结余率</w:t>
          </w:r>
          <w:r>
            <w:rPr>
              <w:sz w:val="32"/>
              <w:szCs w:val="32"/>
            </w:rPr>
            <w:tab/>
          </w:r>
          <w:r>
            <w:rPr>
              <w:sz w:val="32"/>
              <w:szCs w:val="32"/>
            </w:rPr>
            <w:fldChar w:fldCharType="begin"/>
          </w:r>
          <w:r>
            <w:rPr>
              <w:sz w:val="32"/>
              <w:szCs w:val="32"/>
            </w:rPr>
            <w:instrText xml:space="preserve"> PAGEREF _Toc1643 \h </w:instrText>
          </w:r>
          <w:r>
            <w:rPr>
              <w:sz w:val="32"/>
              <w:szCs w:val="32"/>
            </w:rPr>
            <w:fldChar w:fldCharType="separate"/>
          </w:r>
          <w:r>
            <w:rPr>
              <w:sz w:val="32"/>
              <w:szCs w:val="32"/>
            </w:rPr>
            <w:t>17</w:t>
          </w:r>
          <w:r>
            <w:rPr>
              <w:sz w:val="32"/>
              <w:szCs w:val="32"/>
            </w:rPr>
            <w:fldChar w:fldCharType="end"/>
          </w:r>
          <w:r>
            <w:rPr>
              <w:sz w:val="32"/>
              <w:szCs w:val="32"/>
            </w:rPr>
            <w:fldChar w:fldCharType="end"/>
          </w:r>
        </w:p>
        <w:p>
          <w:pPr>
            <w:pStyle w:val="10"/>
            <w:keepNext w:val="0"/>
            <w:keepLines w:val="0"/>
            <w:pageBreakBefore w:val="0"/>
            <w:tabs>
              <w:tab w:val="right" w:leader="dot" w:pos="8306"/>
              <w:tab w:val="clear" w:pos="8680"/>
            </w:tabs>
            <w:kinsoku/>
            <w:wordWrap/>
            <w:overflowPunct/>
            <w:topLinePunct w:val="0"/>
            <w:autoSpaceDE/>
            <w:autoSpaceDN/>
            <w:bidi w:val="0"/>
            <w:adjustRightInd w:val="0"/>
            <w:snapToGrid w:val="0"/>
            <w:spacing w:line="360" w:lineRule="auto"/>
            <w:ind w:left="0" w:leftChars="0"/>
            <w:textAlignment w:val="auto"/>
            <w:rPr>
              <w:sz w:val="32"/>
              <w:szCs w:val="32"/>
            </w:rPr>
          </w:pPr>
          <w:r>
            <w:rPr>
              <w:sz w:val="32"/>
              <w:szCs w:val="32"/>
            </w:rPr>
            <w:fldChar w:fldCharType="begin"/>
          </w:r>
          <w:r>
            <w:rPr>
              <w:sz w:val="32"/>
              <w:szCs w:val="32"/>
            </w:rPr>
            <w:instrText xml:space="preserve"> HYPERLINK \l _Toc31616 </w:instrText>
          </w:r>
          <w:r>
            <w:rPr>
              <w:sz w:val="32"/>
              <w:szCs w:val="32"/>
            </w:rPr>
            <w:fldChar w:fldCharType="separate"/>
          </w:r>
          <w:r>
            <w:rPr>
              <w:rFonts w:hint="eastAsia" w:ascii="楷体_GB2312" w:eastAsia="楷体_GB2312"/>
              <w:sz w:val="32"/>
              <w:szCs w:val="32"/>
            </w:rPr>
            <w:t xml:space="preserve">（五） </w:t>
          </w:r>
          <w:r>
            <w:rPr>
              <w:rFonts w:hint="eastAsia" w:ascii="楷体_GB2312" w:eastAsia="楷体_GB2312"/>
              <w:sz w:val="32"/>
              <w:szCs w:val="32"/>
              <w:highlight w:val="none"/>
            </w:rPr>
            <w:t>部门</w:t>
          </w:r>
          <w:r>
            <w:rPr>
              <w:rFonts w:ascii="楷体_GB2312" w:eastAsia="楷体_GB2312"/>
              <w:sz w:val="32"/>
              <w:szCs w:val="32"/>
              <w:highlight w:val="none"/>
            </w:rPr>
            <w:t>预决算差异率</w:t>
          </w:r>
          <w:r>
            <w:rPr>
              <w:sz w:val="32"/>
              <w:szCs w:val="32"/>
            </w:rPr>
            <w:tab/>
          </w:r>
          <w:r>
            <w:rPr>
              <w:sz w:val="32"/>
              <w:szCs w:val="32"/>
            </w:rPr>
            <w:fldChar w:fldCharType="begin"/>
          </w:r>
          <w:r>
            <w:rPr>
              <w:sz w:val="32"/>
              <w:szCs w:val="32"/>
            </w:rPr>
            <w:instrText xml:space="preserve"> PAGEREF _Toc31616 \h </w:instrText>
          </w:r>
          <w:r>
            <w:rPr>
              <w:sz w:val="32"/>
              <w:szCs w:val="32"/>
            </w:rPr>
            <w:fldChar w:fldCharType="separate"/>
          </w:r>
          <w:r>
            <w:rPr>
              <w:sz w:val="32"/>
              <w:szCs w:val="32"/>
            </w:rPr>
            <w:t>17</w:t>
          </w:r>
          <w:r>
            <w:rPr>
              <w:sz w:val="32"/>
              <w:szCs w:val="32"/>
            </w:rPr>
            <w:fldChar w:fldCharType="end"/>
          </w:r>
          <w:r>
            <w:rPr>
              <w:sz w:val="32"/>
              <w:szCs w:val="32"/>
            </w:rPr>
            <w:fldChar w:fldCharType="end"/>
          </w:r>
        </w:p>
        <w:p>
          <w:pPr>
            <w:pStyle w:val="9"/>
            <w:keepNext w:val="0"/>
            <w:keepLines w:val="0"/>
            <w:pageBreakBefore w:val="0"/>
            <w:tabs>
              <w:tab w:val="right" w:leader="dot" w:pos="8306"/>
            </w:tabs>
            <w:kinsoku/>
            <w:wordWrap/>
            <w:overflowPunct/>
            <w:topLinePunct w:val="0"/>
            <w:autoSpaceDE/>
            <w:autoSpaceDN/>
            <w:bidi w:val="0"/>
            <w:adjustRightInd w:val="0"/>
            <w:snapToGrid w:val="0"/>
            <w:spacing w:line="360" w:lineRule="auto"/>
            <w:ind w:left="0" w:leftChars="0"/>
            <w:textAlignment w:val="auto"/>
            <w:rPr>
              <w:sz w:val="32"/>
              <w:szCs w:val="32"/>
            </w:rPr>
          </w:pPr>
          <w:r>
            <w:rPr>
              <w:sz w:val="32"/>
              <w:szCs w:val="32"/>
            </w:rPr>
            <w:fldChar w:fldCharType="begin"/>
          </w:r>
          <w:r>
            <w:rPr>
              <w:sz w:val="32"/>
              <w:szCs w:val="32"/>
            </w:rPr>
            <w:instrText xml:space="preserve"> HYPERLINK \l _Toc688 </w:instrText>
          </w:r>
          <w:r>
            <w:rPr>
              <w:sz w:val="32"/>
              <w:szCs w:val="32"/>
            </w:rPr>
            <w:fldChar w:fldCharType="separate"/>
          </w:r>
          <w:r>
            <w:rPr>
              <w:rFonts w:hint="eastAsia" w:ascii="黑体" w:hAnsi="黑体" w:eastAsia="黑体"/>
              <w:sz w:val="32"/>
              <w:szCs w:val="32"/>
              <w:highlight w:val="none"/>
            </w:rPr>
            <w:t>五、总体</w:t>
          </w:r>
          <w:r>
            <w:rPr>
              <w:rFonts w:ascii="黑体" w:hAnsi="黑体" w:eastAsia="黑体"/>
              <w:sz w:val="32"/>
              <w:szCs w:val="32"/>
              <w:highlight w:val="none"/>
            </w:rPr>
            <w:t>评价结论</w:t>
          </w:r>
          <w:r>
            <w:rPr>
              <w:sz w:val="32"/>
              <w:szCs w:val="32"/>
            </w:rPr>
            <w:tab/>
          </w:r>
          <w:r>
            <w:rPr>
              <w:sz w:val="32"/>
              <w:szCs w:val="32"/>
            </w:rPr>
            <w:fldChar w:fldCharType="begin"/>
          </w:r>
          <w:r>
            <w:rPr>
              <w:sz w:val="32"/>
              <w:szCs w:val="32"/>
            </w:rPr>
            <w:instrText xml:space="preserve"> PAGEREF _Toc688 \h </w:instrText>
          </w:r>
          <w:r>
            <w:rPr>
              <w:sz w:val="32"/>
              <w:szCs w:val="32"/>
            </w:rPr>
            <w:fldChar w:fldCharType="separate"/>
          </w:r>
          <w:r>
            <w:rPr>
              <w:sz w:val="32"/>
              <w:szCs w:val="32"/>
            </w:rPr>
            <w:t>18</w:t>
          </w:r>
          <w:r>
            <w:rPr>
              <w:sz w:val="32"/>
              <w:szCs w:val="32"/>
            </w:rPr>
            <w:fldChar w:fldCharType="end"/>
          </w:r>
          <w:r>
            <w:rPr>
              <w:sz w:val="32"/>
              <w:szCs w:val="32"/>
            </w:rPr>
            <w:fldChar w:fldCharType="end"/>
          </w:r>
        </w:p>
        <w:p>
          <w:pPr>
            <w:pStyle w:val="10"/>
            <w:keepNext w:val="0"/>
            <w:keepLines w:val="0"/>
            <w:pageBreakBefore w:val="0"/>
            <w:tabs>
              <w:tab w:val="right" w:leader="dot" w:pos="8306"/>
              <w:tab w:val="clear" w:pos="8680"/>
            </w:tabs>
            <w:kinsoku/>
            <w:wordWrap/>
            <w:overflowPunct/>
            <w:topLinePunct w:val="0"/>
            <w:autoSpaceDE/>
            <w:autoSpaceDN/>
            <w:bidi w:val="0"/>
            <w:adjustRightInd w:val="0"/>
            <w:snapToGrid w:val="0"/>
            <w:spacing w:line="360" w:lineRule="auto"/>
            <w:ind w:left="0" w:leftChars="0"/>
            <w:textAlignment w:val="auto"/>
            <w:rPr>
              <w:sz w:val="32"/>
              <w:szCs w:val="32"/>
            </w:rPr>
          </w:pPr>
          <w:r>
            <w:rPr>
              <w:sz w:val="32"/>
              <w:szCs w:val="32"/>
            </w:rPr>
            <w:fldChar w:fldCharType="begin"/>
          </w:r>
          <w:r>
            <w:rPr>
              <w:sz w:val="32"/>
              <w:szCs w:val="32"/>
            </w:rPr>
            <w:instrText xml:space="preserve"> HYPERLINK \l _Toc23113 </w:instrText>
          </w:r>
          <w:r>
            <w:rPr>
              <w:sz w:val="32"/>
              <w:szCs w:val="32"/>
            </w:rPr>
            <w:fldChar w:fldCharType="separate"/>
          </w:r>
          <w:r>
            <w:rPr>
              <w:rFonts w:hint="eastAsia" w:ascii="楷体_GB2312" w:eastAsia="楷体_GB2312"/>
              <w:sz w:val="32"/>
              <w:szCs w:val="32"/>
              <w:highlight w:val="none"/>
            </w:rPr>
            <w:t>（一）评价</w:t>
          </w:r>
          <w:r>
            <w:rPr>
              <w:rFonts w:ascii="楷体_GB2312" w:eastAsia="楷体_GB2312"/>
              <w:sz w:val="32"/>
              <w:szCs w:val="32"/>
              <w:highlight w:val="none"/>
            </w:rPr>
            <w:t>得分</w:t>
          </w:r>
          <w:r>
            <w:rPr>
              <w:rFonts w:hint="eastAsia" w:ascii="楷体_GB2312" w:eastAsia="楷体_GB2312"/>
              <w:sz w:val="32"/>
              <w:szCs w:val="32"/>
              <w:highlight w:val="none"/>
            </w:rPr>
            <w:t>情况</w:t>
          </w:r>
          <w:r>
            <w:rPr>
              <w:sz w:val="32"/>
              <w:szCs w:val="32"/>
            </w:rPr>
            <w:tab/>
          </w:r>
          <w:r>
            <w:rPr>
              <w:sz w:val="32"/>
              <w:szCs w:val="32"/>
            </w:rPr>
            <w:fldChar w:fldCharType="begin"/>
          </w:r>
          <w:r>
            <w:rPr>
              <w:sz w:val="32"/>
              <w:szCs w:val="32"/>
            </w:rPr>
            <w:instrText xml:space="preserve"> PAGEREF _Toc23113 \h </w:instrText>
          </w:r>
          <w:r>
            <w:rPr>
              <w:sz w:val="32"/>
              <w:szCs w:val="32"/>
            </w:rPr>
            <w:fldChar w:fldCharType="separate"/>
          </w:r>
          <w:r>
            <w:rPr>
              <w:sz w:val="32"/>
              <w:szCs w:val="32"/>
            </w:rPr>
            <w:t>18</w:t>
          </w:r>
          <w:r>
            <w:rPr>
              <w:sz w:val="32"/>
              <w:szCs w:val="32"/>
            </w:rPr>
            <w:fldChar w:fldCharType="end"/>
          </w:r>
          <w:r>
            <w:rPr>
              <w:sz w:val="32"/>
              <w:szCs w:val="32"/>
            </w:rPr>
            <w:fldChar w:fldCharType="end"/>
          </w:r>
        </w:p>
        <w:p>
          <w:pPr>
            <w:pStyle w:val="10"/>
            <w:keepNext w:val="0"/>
            <w:keepLines w:val="0"/>
            <w:pageBreakBefore w:val="0"/>
            <w:tabs>
              <w:tab w:val="right" w:leader="dot" w:pos="8306"/>
              <w:tab w:val="clear" w:pos="8680"/>
            </w:tabs>
            <w:kinsoku/>
            <w:wordWrap/>
            <w:overflowPunct/>
            <w:topLinePunct w:val="0"/>
            <w:autoSpaceDE/>
            <w:autoSpaceDN/>
            <w:bidi w:val="0"/>
            <w:adjustRightInd w:val="0"/>
            <w:snapToGrid w:val="0"/>
            <w:spacing w:line="360" w:lineRule="auto"/>
            <w:ind w:left="0" w:leftChars="0"/>
            <w:textAlignment w:val="auto"/>
            <w:rPr>
              <w:sz w:val="32"/>
              <w:szCs w:val="32"/>
            </w:rPr>
          </w:pPr>
          <w:r>
            <w:rPr>
              <w:sz w:val="32"/>
              <w:szCs w:val="32"/>
            </w:rPr>
            <w:fldChar w:fldCharType="begin"/>
          </w:r>
          <w:r>
            <w:rPr>
              <w:sz w:val="32"/>
              <w:szCs w:val="32"/>
            </w:rPr>
            <w:instrText xml:space="preserve"> HYPERLINK \l _Toc27317 </w:instrText>
          </w:r>
          <w:r>
            <w:rPr>
              <w:sz w:val="32"/>
              <w:szCs w:val="32"/>
            </w:rPr>
            <w:fldChar w:fldCharType="separate"/>
          </w:r>
          <w:r>
            <w:rPr>
              <w:rFonts w:hint="eastAsia" w:ascii="楷体_GB2312" w:hAnsi="Times New Roman" w:eastAsia="楷体_GB2312" w:cs="Times New Roman"/>
              <w:kern w:val="2"/>
              <w:sz w:val="32"/>
              <w:szCs w:val="32"/>
              <w:lang w:val="en-US" w:eastAsia="zh-CN" w:bidi="ar-SA"/>
            </w:rPr>
            <w:t>（</w:t>
          </w:r>
          <w:r>
            <w:rPr>
              <w:rFonts w:hint="eastAsia" w:ascii="楷体_GB2312" w:eastAsia="楷体_GB2312" w:cs="Times New Roman"/>
              <w:kern w:val="2"/>
              <w:sz w:val="32"/>
              <w:szCs w:val="32"/>
              <w:lang w:val="en-US" w:eastAsia="zh-CN" w:bidi="ar-SA"/>
            </w:rPr>
            <w:t>二</w:t>
          </w:r>
          <w:r>
            <w:rPr>
              <w:rFonts w:hint="eastAsia" w:ascii="楷体_GB2312" w:hAnsi="Times New Roman" w:eastAsia="楷体_GB2312" w:cs="Times New Roman"/>
              <w:kern w:val="2"/>
              <w:sz w:val="32"/>
              <w:szCs w:val="32"/>
              <w:lang w:val="en-US" w:eastAsia="zh-CN" w:bidi="ar-SA"/>
            </w:rPr>
            <w:t>）</w:t>
          </w:r>
          <w:r>
            <w:rPr>
              <w:rFonts w:hint="eastAsia" w:ascii="楷体_GB2312" w:eastAsia="楷体_GB2312"/>
              <w:sz w:val="32"/>
              <w:szCs w:val="32"/>
              <w:highlight w:val="none"/>
            </w:rPr>
            <w:t>存在的问题及原因分析</w:t>
          </w:r>
          <w:r>
            <w:rPr>
              <w:sz w:val="32"/>
              <w:szCs w:val="32"/>
            </w:rPr>
            <w:tab/>
          </w:r>
          <w:r>
            <w:rPr>
              <w:sz w:val="32"/>
              <w:szCs w:val="32"/>
            </w:rPr>
            <w:fldChar w:fldCharType="begin"/>
          </w:r>
          <w:r>
            <w:rPr>
              <w:sz w:val="32"/>
              <w:szCs w:val="32"/>
            </w:rPr>
            <w:instrText xml:space="preserve"> PAGEREF _Toc27317 \h </w:instrText>
          </w:r>
          <w:r>
            <w:rPr>
              <w:sz w:val="32"/>
              <w:szCs w:val="32"/>
            </w:rPr>
            <w:fldChar w:fldCharType="separate"/>
          </w:r>
          <w:r>
            <w:rPr>
              <w:sz w:val="32"/>
              <w:szCs w:val="32"/>
            </w:rPr>
            <w:t>18</w:t>
          </w:r>
          <w:r>
            <w:rPr>
              <w:sz w:val="32"/>
              <w:szCs w:val="32"/>
            </w:rPr>
            <w:fldChar w:fldCharType="end"/>
          </w:r>
          <w:r>
            <w:rPr>
              <w:sz w:val="32"/>
              <w:szCs w:val="32"/>
            </w:rPr>
            <w:fldChar w:fldCharType="end"/>
          </w:r>
        </w:p>
        <w:p>
          <w:pPr>
            <w:pStyle w:val="9"/>
            <w:keepNext w:val="0"/>
            <w:keepLines w:val="0"/>
            <w:pageBreakBefore w:val="0"/>
            <w:tabs>
              <w:tab w:val="right" w:leader="dot" w:pos="8306"/>
            </w:tabs>
            <w:kinsoku/>
            <w:wordWrap/>
            <w:overflowPunct/>
            <w:topLinePunct w:val="0"/>
            <w:autoSpaceDE/>
            <w:autoSpaceDN/>
            <w:bidi w:val="0"/>
            <w:adjustRightInd w:val="0"/>
            <w:snapToGrid w:val="0"/>
            <w:spacing w:line="360" w:lineRule="auto"/>
            <w:ind w:left="0" w:leftChars="0"/>
            <w:textAlignment w:val="auto"/>
            <w:rPr>
              <w:sz w:val="32"/>
              <w:szCs w:val="32"/>
            </w:rPr>
          </w:pPr>
          <w:r>
            <w:rPr>
              <w:sz w:val="32"/>
              <w:szCs w:val="32"/>
            </w:rPr>
            <w:fldChar w:fldCharType="begin"/>
          </w:r>
          <w:r>
            <w:rPr>
              <w:sz w:val="32"/>
              <w:szCs w:val="32"/>
            </w:rPr>
            <w:instrText xml:space="preserve"> HYPERLINK \l _Toc6074 </w:instrText>
          </w:r>
          <w:r>
            <w:rPr>
              <w:sz w:val="32"/>
              <w:szCs w:val="32"/>
            </w:rPr>
            <w:fldChar w:fldCharType="separate"/>
          </w:r>
          <w:r>
            <w:rPr>
              <w:rFonts w:hint="eastAsia" w:ascii="黑体" w:hAnsi="黑体" w:eastAsia="黑体" w:cs="宋体"/>
              <w:kern w:val="0"/>
              <w:sz w:val="32"/>
              <w:szCs w:val="32"/>
              <w:highlight w:val="none"/>
            </w:rPr>
            <w:t>六、措施建议</w:t>
          </w:r>
          <w:r>
            <w:rPr>
              <w:sz w:val="32"/>
              <w:szCs w:val="32"/>
            </w:rPr>
            <w:tab/>
          </w:r>
          <w:r>
            <w:rPr>
              <w:sz w:val="32"/>
              <w:szCs w:val="32"/>
            </w:rPr>
            <w:fldChar w:fldCharType="begin"/>
          </w:r>
          <w:r>
            <w:rPr>
              <w:sz w:val="32"/>
              <w:szCs w:val="32"/>
            </w:rPr>
            <w:instrText xml:space="preserve"> PAGEREF _Toc6074 \h </w:instrText>
          </w:r>
          <w:r>
            <w:rPr>
              <w:sz w:val="32"/>
              <w:szCs w:val="32"/>
            </w:rPr>
            <w:fldChar w:fldCharType="separate"/>
          </w:r>
          <w:r>
            <w:rPr>
              <w:sz w:val="32"/>
              <w:szCs w:val="32"/>
            </w:rPr>
            <w:t>18</w:t>
          </w:r>
          <w:r>
            <w:rPr>
              <w:sz w:val="32"/>
              <w:szCs w:val="32"/>
            </w:rPr>
            <w:fldChar w:fldCharType="end"/>
          </w:r>
          <w:r>
            <w:rPr>
              <w:sz w:val="32"/>
              <w:szCs w:val="32"/>
            </w:rPr>
            <w:fldChar w:fldCharType="end"/>
          </w:r>
        </w:p>
        <w:p>
          <w:pPr>
            <w:pStyle w:val="9"/>
            <w:keepNext w:val="0"/>
            <w:keepLines w:val="0"/>
            <w:pageBreakBefore w:val="0"/>
            <w:tabs>
              <w:tab w:val="right" w:leader="dot" w:pos="8306"/>
            </w:tabs>
            <w:kinsoku/>
            <w:wordWrap/>
            <w:overflowPunct/>
            <w:topLinePunct w:val="0"/>
            <w:autoSpaceDE/>
            <w:autoSpaceDN/>
            <w:bidi w:val="0"/>
            <w:adjustRightInd w:val="0"/>
            <w:snapToGrid w:val="0"/>
            <w:spacing w:line="360" w:lineRule="auto"/>
            <w:ind w:left="0" w:leftChars="0"/>
            <w:textAlignment w:val="auto"/>
            <w:rPr>
              <w:sz w:val="32"/>
              <w:szCs w:val="32"/>
            </w:rPr>
          </w:pPr>
          <w:r>
            <w:rPr>
              <w:sz w:val="32"/>
              <w:szCs w:val="32"/>
            </w:rPr>
            <w:fldChar w:fldCharType="begin"/>
          </w:r>
          <w:r>
            <w:rPr>
              <w:sz w:val="32"/>
              <w:szCs w:val="32"/>
            </w:rPr>
            <w:instrText xml:space="preserve"> HYPERLINK \l _Toc18949 </w:instrText>
          </w:r>
          <w:r>
            <w:rPr>
              <w:sz w:val="32"/>
              <w:szCs w:val="32"/>
            </w:rPr>
            <w:fldChar w:fldCharType="separate"/>
          </w:r>
          <w:r>
            <w:rPr>
              <w:rFonts w:hint="eastAsia" w:ascii="仿宋_GB2312" w:hAnsi="仿宋_GB2312" w:eastAsia="仿宋_GB2312" w:cs="仿宋_GB2312"/>
              <w:sz w:val="32"/>
              <w:szCs w:val="32"/>
            </w:rPr>
            <w:t>附件：</w:t>
          </w:r>
          <w:r>
            <w:rPr>
              <w:sz w:val="32"/>
              <w:szCs w:val="32"/>
            </w:rPr>
            <w:tab/>
          </w:r>
          <w:r>
            <w:rPr>
              <w:sz w:val="32"/>
              <w:szCs w:val="32"/>
            </w:rPr>
            <w:fldChar w:fldCharType="begin"/>
          </w:r>
          <w:r>
            <w:rPr>
              <w:sz w:val="32"/>
              <w:szCs w:val="32"/>
            </w:rPr>
            <w:instrText xml:space="preserve"> PAGEREF _Toc18949 \h </w:instrText>
          </w:r>
          <w:r>
            <w:rPr>
              <w:sz w:val="32"/>
              <w:szCs w:val="32"/>
            </w:rPr>
            <w:fldChar w:fldCharType="separate"/>
          </w:r>
          <w:r>
            <w:rPr>
              <w:sz w:val="32"/>
              <w:szCs w:val="32"/>
            </w:rPr>
            <w:t>20</w:t>
          </w:r>
          <w:r>
            <w:rPr>
              <w:sz w:val="32"/>
              <w:szCs w:val="32"/>
            </w:rPr>
            <w:fldChar w:fldCharType="end"/>
          </w:r>
          <w:r>
            <w:rPr>
              <w:sz w:val="32"/>
              <w:szCs w:val="32"/>
            </w:rPr>
            <w:fldChar w:fldCharType="end"/>
          </w:r>
        </w:p>
        <w:p>
          <w:pPr>
            <w:keepNext w:val="0"/>
            <w:keepLines w:val="0"/>
            <w:pageBreakBefore w:val="0"/>
            <w:kinsoku/>
            <w:wordWrap/>
            <w:overflowPunct/>
            <w:topLinePunct w:val="0"/>
            <w:autoSpaceDE/>
            <w:autoSpaceDN/>
            <w:bidi w:val="0"/>
            <w:adjustRightInd w:val="0"/>
            <w:snapToGrid w:val="0"/>
            <w:spacing w:before="0" w:beforeLines="0" w:after="0" w:afterLines="0" w:line="360" w:lineRule="auto"/>
            <w:ind w:left="0" w:leftChars="0"/>
            <w:textAlignment w:val="auto"/>
          </w:pPr>
          <w:r>
            <w:rPr>
              <w:sz w:val="32"/>
              <w:szCs w:val="32"/>
            </w:rPr>
            <w:fldChar w:fldCharType="end"/>
          </w:r>
        </w:p>
      </w:sdtContent>
    </w:sdt>
    <w:p/>
    <w:p/>
    <w:p/>
    <w:p/>
    <w:p>
      <w:pPr>
        <w:spacing w:line="560" w:lineRule="exact"/>
        <w:jc w:val="center"/>
        <w:rPr>
          <w:rFonts w:hint="eastAsia" w:ascii="方正小标宋简体" w:eastAsia="方正小标宋简体"/>
          <w:sz w:val="36"/>
          <w:szCs w:val="36"/>
        </w:rPr>
        <w:sectPr>
          <w:footerReference r:id="rId4" w:type="default"/>
          <w:pgSz w:w="11906" w:h="16838"/>
          <w:pgMar w:top="1440" w:right="1800" w:bottom="1440" w:left="1800" w:header="851" w:footer="992" w:gutter="0"/>
          <w:pgNumType w:fmt="decimal"/>
          <w:cols w:space="425" w:num="1"/>
          <w:docGrid w:type="lines" w:linePitch="312" w:charSpace="0"/>
        </w:sectPr>
      </w:pP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北京市重大项目建设指挥部办公室</w:t>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lang w:val="en-US" w:eastAsia="zh-CN"/>
        </w:rPr>
        <w:t>2024年</w:t>
      </w:r>
      <w:r>
        <w:rPr>
          <w:rFonts w:hint="eastAsia" w:ascii="方正小标宋简体" w:eastAsia="方正小标宋简体"/>
          <w:sz w:val="36"/>
          <w:szCs w:val="36"/>
        </w:rPr>
        <w:t>部门整体绩效报告</w:t>
      </w:r>
    </w:p>
    <w:p>
      <w:pPr>
        <w:spacing w:line="560" w:lineRule="exact"/>
        <w:jc w:val="center"/>
        <w:rPr>
          <w:rFonts w:hint="eastAsia" w:ascii="方正小标宋简体" w:eastAsia="方正小标宋简体"/>
          <w:sz w:val="36"/>
          <w:szCs w:val="36"/>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 w:eastAsia="仿宋_GB2312"/>
          <w:color w:val="000000"/>
          <w:sz w:val="32"/>
          <w:szCs w:val="32"/>
        </w:rPr>
      </w:pPr>
      <w:r>
        <w:rPr>
          <w:rFonts w:hint="eastAsia" w:ascii="仿宋_GB2312" w:hAnsi="仿宋" w:eastAsia="仿宋_GB2312"/>
          <w:color w:val="000000"/>
          <w:sz w:val="32"/>
          <w:szCs w:val="32"/>
        </w:rPr>
        <w:t>为进一步加强预算绩效管理工作，提高财政支出管理水平，强化绩效理念和支出责任，根据</w:t>
      </w:r>
      <w:r>
        <w:rPr>
          <w:rFonts w:hint="eastAsia" w:ascii="仿宋_GB2312" w:hAnsi="仿宋" w:eastAsia="仿宋_GB2312"/>
          <w:color w:val="000000"/>
          <w:sz w:val="32"/>
          <w:szCs w:val="32"/>
          <w:lang w:val="en-US" w:eastAsia="zh-CN"/>
        </w:rPr>
        <w:t>北京</w:t>
      </w:r>
      <w:r>
        <w:rPr>
          <w:rFonts w:hint="eastAsia" w:ascii="仿宋_GB2312" w:hAnsi="仿宋" w:eastAsia="仿宋_GB2312"/>
          <w:color w:val="000000"/>
          <w:sz w:val="32"/>
          <w:szCs w:val="32"/>
        </w:rPr>
        <w:t>市财政局</w:t>
      </w:r>
      <w:r>
        <w:rPr>
          <w:rFonts w:hint="eastAsia" w:ascii="仿宋_GB2312" w:hAnsi="仿宋_GB2312" w:eastAsia="仿宋_GB2312" w:cs="仿宋_GB2312"/>
          <w:color w:val="000000"/>
          <w:kern w:val="0"/>
          <w:sz w:val="32"/>
          <w:szCs w:val="32"/>
        </w:rPr>
        <w:t>《北京市财政局关于2025年预算绩效管理工作的通知》</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京财绩效〔2025〕245号</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相关</w:t>
      </w:r>
      <w:r>
        <w:rPr>
          <w:rFonts w:hint="eastAsia" w:ascii="仿宋_GB2312" w:hAnsi="仿宋" w:eastAsia="仿宋_GB2312"/>
          <w:color w:val="000000"/>
          <w:sz w:val="32"/>
          <w:szCs w:val="32"/>
        </w:rPr>
        <w:t>要求，</w:t>
      </w:r>
      <w:r>
        <w:rPr>
          <w:rFonts w:hint="eastAsia" w:ascii="仿宋_GB2312" w:hAnsi="仿宋" w:eastAsia="仿宋_GB2312"/>
          <w:sz w:val="32"/>
          <w:szCs w:val="32"/>
        </w:rPr>
        <w:t>北京市重大项目建设指挥部办公室</w:t>
      </w:r>
      <w:r>
        <w:rPr>
          <w:rFonts w:hint="eastAsia" w:ascii="仿宋_GB2312" w:hAnsi="仿宋_GB2312" w:eastAsia="仿宋_GB2312" w:cs="仿宋_GB2312"/>
          <w:color w:val="000000"/>
          <w:kern w:val="0"/>
          <w:sz w:val="32"/>
          <w:szCs w:val="32"/>
        </w:rPr>
        <w:t>（以下简称“</w:t>
      </w:r>
      <w:r>
        <w:rPr>
          <w:rFonts w:hint="eastAsia" w:ascii="仿宋_GB2312" w:hAnsi="仿宋_GB2312" w:eastAsia="仿宋_GB2312" w:cs="仿宋_GB2312"/>
          <w:color w:val="000000"/>
          <w:kern w:val="0"/>
          <w:sz w:val="32"/>
          <w:szCs w:val="32"/>
          <w:lang w:eastAsia="zh-CN"/>
        </w:rPr>
        <w:t>市重大项目办</w:t>
      </w:r>
      <w:r>
        <w:rPr>
          <w:rFonts w:hint="eastAsia" w:ascii="仿宋_GB2312" w:hAnsi="仿宋_GB2312" w:eastAsia="仿宋_GB2312" w:cs="仿宋_GB2312"/>
          <w:color w:val="000000"/>
          <w:kern w:val="0"/>
          <w:sz w:val="32"/>
          <w:szCs w:val="32"/>
        </w:rPr>
        <w:t>”）开展了</w:t>
      </w:r>
      <w:r>
        <w:rPr>
          <w:rFonts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4</w:t>
      </w:r>
      <w:r>
        <w:rPr>
          <w:rFonts w:ascii="仿宋_GB2312" w:hAnsi="仿宋_GB2312" w:eastAsia="仿宋_GB2312" w:cs="仿宋_GB2312"/>
          <w:color w:val="000000"/>
          <w:kern w:val="0"/>
          <w:sz w:val="32"/>
          <w:szCs w:val="32"/>
        </w:rPr>
        <w:t>年度部门整体支出绩效评价，并形成</w:t>
      </w:r>
      <w:r>
        <w:rPr>
          <w:rFonts w:hint="eastAsia" w:ascii="仿宋_GB2312" w:hAnsi="仿宋_GB2312" w:eastAsia="仿宋_GB2312" w:cs="仿宋_GB2312"/>
          <w:color w:val="000000"/>
          <w:kern w:val="0"/>
          <w:sz w:val="32"/>
          <w:szCs w:val="32"/>
        </w:rPr>
        <w:t>绩效报告</w:t>
      </w:r>
      <w:r>
        <w:rPr>
          <w:rFonts w:hint="eastAsia" w:ascii="仿宋_GB2312" w:hAnsi="仿宋" w:eastAsia="仿宋_GB2312"/>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0"/>
        <w:rPr>
          <w:rFonts w:hint="eastAsia" w:ascii="黑体" w:hAnsi="黑体" w:eastAsia="黑体" w:cs="宋体"/>
          <w:color w:val="000000"/>
          <w:kern w:val="0"/>
          <w:sz w:val="32"/>
          <w:szCs w:val="32"/>
          <w:highlight w:val="none"/>
        </w:rPr>
      </w:pPr>
      <w:bookmarkStart w:id="0" w:name="_Toc27501"/>
      <w:r>
        <w:rPr>
          <w:rFonts w:hint="eastAsia" w:ascii="黑体" w:hAnsi="黑体" w:eastAsia="黑体" w:cs="宋体"/>
          <w:color w:val="000000"/>
          <w:kern w:val="0"/>
          <w:sz w:val="32"/>
          <w:szCs w:val="32"/>
          <w:highlight w:val="none"/>
        </w:rPr>
        <w:t>一、部门概况</w:t>
      </w:r>
      <w:bookmarkEnd w:id="0"/>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1"/>
        <w:rPr>
          <w:rFonts w:hint="eastAsia" w:ascii="楷体_GB2312" w:eastAsia="楷体_GB2312"/>
          <w:sz w:val="32"/>
          <w:szCs w:val="32"/>
          <w:highlight w:val="none"/>
        </w:rPr>
      </w:pPr>
      <w:bookmarkStart w:id="1" w:name="_Toc29747"/>
      <w:r>
        <w:rPr>
          <w:rFonts w:hint="eastAsia" w:ascii="楷体_GB2312" w:eastAsia="楷体_GB2312"/>
          <w:sz w:val="32"/>
          <w:szCs w:val="32"/>
          <w:highlight w:val="none"/>
        </w:rPr>
        <w:t>（一）机构设置及职责工作任务情况</w:t>
      </w:r>
      <w:bookmarkEnd w:id="1"/>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1"/>
        <w:rPr>
          <w:rFonts w:hint="eastAsia" w:ascii="仿宋_GB2312" w:hAnsi="仿宋" w:eastAsia="仿宋_GB2312"/>
          <w:sz w:val="32"/>
          <w:szCs w:val="32"/>
        </w:rPr>
      </w:pPr>
      <w:r>
        <w:rPr>
          <w:rFonts w:hint="eastAsia" w:ascii="仿宋_GB2312" w:hAnsi="仿宋" w:eastAsia="仿宋_GB2312"/>
          <w:sz w:val="32"/>
          <w:szCs w:val="32"/>
        </w:rPr>
        <w:t>根据《关于印发北京市重大项目建设指挥部办公室主要职责内设机构和人员编制规定的通知》（京政办发〔2009〕93号）</w:t>
      </w:r>
      <w:r>
        <w:rPr>
          <w:rFonts w:hint="eastAsia" w:ascii="仿宋_GB2312" w:hAnsi="仿宋" w:eastAsia="仿宋_GB2312"/>
          <w:sz w:val="32"/>
          <w:szCs w:val="32"/>
          <w:lang w:eastAsia="zh-CN"/>
        </w:rPr>
        <w:t>批复</w:t>
      </w:r>
      <w:r>
        <w:rPr>
          <w:rFonts w:hint="eastAsia" w:ascii="仿宋_GB2312" w:hAnsi="仿宋" w:eastAsia="仿宋_GB2312"/>
          <w:sz w:val="32"/>
          <w:szCs w:val="32"/>
        </w:rPr>
        <w:t>，</w:t>
      </w:r>
      <w:r>
        <w:rPr>
          <w:rFonts w:hint="eastAsia" w:ascii="仿宋_GB2312" w:hAnsi="仿宋" w:eastAsia="仿宋_GB2312"/>
          <w:sz w:val="32"/>
          <w:szCs w:val="32"/>
          <w:lang w:eastAsia="zh-CN"/>
        </w:rPr>
        <w:t>成</w:t>
      </w:r>
      <w:r>
        <w:rPr>
          <w:rFonts w:hint="eastAsia" w:ascii="仿宋_GB2312" w:hAnsi="仿宋" w:eastAsia="仿宋_GB2312"/>
          <w:sz w:val="32"/>
          <w:szCs w:val="32"/>
        </w:rPr>
        <w:t>立市重大项目办，</w:t>
      </w:r>
      <w:r>
        <w:rPr>
          <w:rFonts w:hint="eastAsia" w:ascii="仿宋_GB2312" w:hAnsi="仿宋" w:eastAsia="仿宋_GB2312"/>
          <w:sz w:val="32"/>
          <w:szCs w:val="32"/>
          <w:lang w:eastAsia="zh-CN"/>
        </w:rPr>
        <w:t>为</w:t>
      </w:r>
      <w:r>
        <w:rPr>
          <w:rFonts w:hint="eastAsia" w:ascii="仿宋_GB2312" w:hAnsi="仿宋" w:eastAsia="仿宋_GB2312"/>
          <w:sz w:val="32"/>
          <w:szCs w:val="32"/>
        </w:rPr>
        <w:t>正局级临时机构，内设秘书行政处、城市轨道交通建设协调一二三处、建设项目协调处等14个处室。主要职责是：</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1"/>
        <w:rPr>
          <w:rFonts w:hint="eastAsia" w:ascii="仿宋_GB2312" w:hAnsi="仿宋" w:eastAsia="仿宋_GB2312"/>
          <w:sz w:val="32"/>
          <w:szCs w:val="32"/>
        </w:rPr>
      </w:pPr>
      <w:r>
        <w:rPr>
          <w:rFonts w:hint="eastAsia" w:ascii="仿宋_GB2312" w:hAnsi="仿宋" w:eastAsia="仿宋_GB2312"/>
          <w:sz w:val="32"/>
          <w:szCs w:val="32"/>
        </w:rPr>
        <w:t>1.组织编制本市城市轨道交通工程项目和市政府交办工程项目建设总体计划，并督促检查计划执行情况。</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2.协调有关部门和单位推进重大项目的规划、征地、拆迁等前期工作；协调市政府有关部门按总体计划要求在项目建设各阶段加快办理各项行政审批手续。</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3.协调、解决重大项目建设中的重大问题；协调落实工程建设安全、质量、工期、功能和成本“五统一”要求；承担为建设单位及各参建单位服务的职责。</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4.协调市政府主管部门监督重大项目建设各方贯彻落实有关安全生产、工程质量、资金使用、招标与采购、合同履行等方面法律法规，落实“阳光工程”的各项要求；参与重大项目建设工程事故应急工作。</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5.参与重大项目年度资金使用计划的编制，协调、落实资金计划的执行。</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6.组织推动新技术、新材料、新设备、新工艺在重大项目建设中的应用。</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7.组织协调重大项目的竣工验收、竣工结算和决算工作。</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1"/>
        <w:rPr>
          <w:rFonts w:hint="eastAsia" w:ascii="仿宋_GB2312" w:hAnsi="仿宋" w:eastAsia="仿宋_GB2312"/>
          <w:sz w:val="32"/>
          <w:szCs w:val="32"/>
        </w:rPr>
      </w:pPr>
      <w:r>
        <w:rPr>
          <w:rFonts w:hint="eastAsia" w:ascii="仿宋_GB2312" w:hAnsi="仿宋" w:eastAsia="仿宋_GB2312"/>
          <w:sz w:val="32"/>
          <w:szCs w:val="32"/>
        </w:rPr>
        <w:t>8.负责重大项目建设信息的收集、整理、统计和管理工作。</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9.受委托负责中央单位在京重要建设项目的组织实施。</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10.承担北京市重大项目建设指挥部的具体工作。</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11.承办市政府交办的其他事项。</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1"/>
        <w:rPr>
          <w:rFonts w:hint="eastAsia" w:ascii="仿宋_GB2312" w:hAnsi="仿宋" w:eastAsia="仿宋_GB2312"/>
          <w:sz w:val="32"/>
          <w:szCs w:val="32"/>
        </w:rPr>
      </w:pPr>
      <w:r>
        <w:rPr>
          <w:rFonts w:hint="eastAsia" w:ascii="仿宋_GB2312" w:hAnsi="仿宋" w:eastAsia="仿宋_GB2312"/>
          <w:sz w:val="32"/>
          <w:szCs w:val="32"/>
        </w:rPr>
        <w:t>12.负责协调本市开工后铁路工程项目的建设工作；协调推进国家铁路工程项目的征地、拆迁工作，配合推进城际铁路和市郊铁路工程项目的征地、拆迁工作；协调解决在建铁路工程市政管网接引等相关问题；协调推进铁路车站、城市轨道交通车站一体化项目建设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textAlignment w:val="auto"/>
        <w:outlineLvl w:val="1"/>
        <w:rPr>
          <w:rFonts w:hint="eastAsia" w:ascii="楷体_GB2312" w:eastAsia="楷体_GB2312"/>
          <w:sz w:val="32"/>
          <w:szCs w:val="32"/>
        </w:rPr>
      </w:pPr>
      <w:bookmarkStart w:id="2" w:name="_Toc11043"/>
      <w:r>
        <w:rPr>
          <w:rFonts w:hint="eastAsia" w:ascii="楷体_GB2312" w:hAnsi="Times New Roman" w:eastAsia="楷体_GB2312" w:cs="Times New Roman"/>
          <w:kern w:val="2"/>
          <w:sz w:val="32"/>
          <w:szCs w:val="32"/>
          <w:lang w:val="en-US" w:eastAsia="zh-CN" w:bidi="ar-SA"/>
        </w:rPr>
        <w:t>（二）</w:t>
      </w:r>
      <w:r>
        <w:rPr>
          <w:rFonts w:hint="eastAsia" w:ascii="楷体_GB2312" w:eastAsia="楷体_GB2312"/>
          <w:sz w:val="32"/>
          <w:szCs w:val="32"/>
        </w:rPr>
        <w:t>部门整体绩效目标设立情况</w:t>
      </w:r>
      <w:bookmarkEnd w:id="2"/>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 w:eastAsia="仿宋_GB2312"/>
          <w:color w:val="000000"/>
          <w:sz w:val="32"/>
          <w:szCs w:val="32"/>
        </w:rPr>
      </w:pPr>
      <w:r>
        <w:rPr>
          <w:rFonts w:hint="eastAsia" w:ascii="仿宋_GB2312" w:hAnsi="仿宋" w:eastAsia="仿宋_GB2312"/>
          <w:color w:val="000000"/>
          <w:sz w:val="32"/>
          <w:szCs w:val="32"/>
          <w:lang w:val="en-US" w:eastAsia="zh-CN"/>
        </w:rPr>
        <w:t>在编制</w:t>
      </w:r>
      <w:r>
        <w:rPr>
          <w:rFonts w:hint="eastAsia" w:ascii="仿宋_GB2312" w:hAnsi="仿宋" w:eastAsia="仿宋_GB2312"/>
          <w:color w:val="000000"/>
          <w:sz w:val="32"/>
          <w:szCs w:val="32"/>
          <w:lang w:eastAsia="zh-CN"/>
        </w:rPr>
        <w:t>市重大项目办</w:t>
      </w:r>
      <w:r>
        <w:rPr>
          <w:rFonts w:hint="eastAsia" w:ascii="仿宋_GB2312" w:hAnsi="仿宋" w:eastAsia="仿宋_GB2312"/>
          <w:color w:val="000000"/>
          <w:sz w:val="32"/>
          <w:szCs w:val="32"/>
          <w:lang w:val="en-US" w:eastAsia="zh-CN"/>
        </w:rPr>
        <w:t>2024年部门整体绩效目标时，通过梳理</w:t>
      </w:r>
      <w:r>
        <w:rPr>
          <w:rFonts w:hint="eastAsia" w:ascii="仿宋_GB2312" w:hAnsi="仿宋" w:eastAsia="仿宋_GB2312"/>
          <w:color w:val="000000"/>
          <w:sz w:val="32"/>
          <w:szCs w:val="32"/>
        </w:rPr>
        <w:t>部门职能</w:t>
      </w: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lang w:val="en-US" w:eastAsia="zh-CN"/>
        </w:rPr>
        <w:t>部门发展规划、</w:t>
      </w:r>
      <w:r>
        <w:rPr>
          <w:rFonts w:hint="eastAsia" w:ascii="仿宋_GB2312" w:hAnsi="仿宋" w:eastAsia="仿宋_GB2312"/>
          <w:color w:val="000000"/>
          <w:sz w:val="32"/>
          <w:szCs w:val="32"/>
        </w:rPr>
        <w:t>年度重点工作任务</w:t>
      </w: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rPr>
        <w:t>构建“战略-职能-任务”三维协同的绩效目标架构，采用“定量+定性”</w:t>
      </w:r>
      <w:r>
        <w:rPr>
          <w:rFonts w:hint="eastAsia" w:ascii="仿宋_GB2312" w:hAnsi="仿宋" w:eastAsia="仿宋_GB2312"/>
          <w:color w:val="000000"/>
          <w:sz w:val="32"/>
          <w:szCs w:val="32"/>
          <w:lang w:val="en-US" w:eastAsia="zh-CN"/>
        </w:rPr>
        <w:t>相结合的方式，</w:t>
      </w:r>
      <w:r>
        <w:rPr>
          <w:rFonts w:hint="eastAsia" w:ascii="仿宋_GB2312" w:hAnsi="仿宋" w:eastAsia="仿宋_GB2312"/>
          <w:color w:val="000000"/>
          <w:sz w:val="32"/>
          <w:szCs w:val="32"/>
        </w:rPr>
        <w:t>对部门整体绩效目标进行科学严谨的规划与设置。</w:t>
      </w:r>
      <w:r>
        <w:rPr>
          <w:rFonts w:hint="eastAsia" w:ascii="仿宋_GB2312" w:hAnsi="仿宋" w:eastAsia="仿宋_GB2312"/>
          <w:color w:val="000000"/>
          <w:sz w:val="32"/>
          <w:szCs w:val="32"/>
          <w:lang w:eastAsia="zh-CN"/>
        </w:rPr>
        <w:t>目标全面对接部门职责履行要求与年度工作任务要点，精准契合实际工作需求，内容架构合理规范。分项指标体系完备详实，全面覆盖关键工作要素与细节，</w:t>
      </w:r>
      <w:r>
        <w:rPr>
          <w:rFonts w:hint="eastAsia" w:ascii="仿宋_GB2312" w:hAnsi="仿宋" w:eastAsia="仿宋_GB2312"/>
          <w:color w:val="000000"/>
          <w:sz w:val="32"/>
          <w:szCs w:val="32"/>
          <w:lang w:val="en-US" w:eastAsia="zh-CN"/>
        </w:rPr>
        <w:t>既明确年度履职的产出阈值，也界定履职效能的质效标准。实现绩效目标科学化、规范化设置，为年度各项履职任务的高效推进与高质量完成提供明确导向，确保部门工作始终围绕核心目标有序开展，助力年度工作预期成效与战略发展目标的实现</w:t>
      </w:r>
      <w:r>
        <w:rPr>
          <w:rFonts w:hint="eastAsia" w:ascii="仿宋_GB2312" w:hAnsi="仿宋" w:eastAsia="仿宋_GB2312"/>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2"/>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整体绩效目标</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设立</w:t>
      </w:r>
      <w:r>
        <w:rPr>
          <w:rFonts w:ascii="仿宋_GB2312" w:hAnsi="仿宋_GB2312" w:eastAsia="仿宋_GB2312" w:cs="仿宋_GB2312"/>
          <w:sz w:val="32"/>
          <w:szCs w:val="32"/>
        </w:rPr>
        <w:t>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 w:eastAsia="仿宋_GB2312"/>
          <w:color w:val="000000"/>
          <w:sz w:val="32"/>
          <w:szCs w:val="32"/>
          <w:highlight w:val="green"/>
          <w:lang w:val="en-US" w:eastAsia="zh-CN"/>
        </w:rPr>
      </w:pPr>
      <w:r>
        <w:rPr>
          <w:rFonts w:hint="eastAsia" w:ascii="仿宋_GB2312" w:hAnsi="仿宋" w:eastAsia="仿宋_GB2312"/>
          <w:color w:val="000000"/>
          <w:sz w:val="32"/>
          <w:szCs w:val="32"/>
          <w:lang w:val="en-US" w:eastAsia="zh-CN"/>
        </w:rPr>
        <w:t>根据市重大项目办部门职能，结合年度工作计划及重点工作任务安排，2024年市重大项目办主要负责持续推进本市轨道交通建设、科学编制城市轨道交通年度建设计划；协调推进在京铁路项目建设及关键节点施工征地、拆迁等工作</w:t>
      </w:r>
      <w:r>
        <w:rPr>
          <w:rFonts w:hint="eastAsia" w:ascii="仿宋_GB2312" w:hAnsi="仿宋" w:eastAsia="仿宋_GB2312"/>
          <w:color w:val="000000"/>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 w:eastAsia="仿宋_GB2312"/>
          <w:color w:val="000000"/>
          <w:sz w:val="32"/>
          <w:szCs w:val="32"/>
          <w:highlight w:val="none"/>
          <w:lang w:val="en-US" w:eastAsia="zh-CN"/>
        </w:rPr>
      </w:pPr>
      <w:r>
        <w:rPr>
          <w:rFonts w:hint="eastAsia" w:ascii="仿宋_GB2312" w:hAnsi="仿宋" w:eastAsia="仿宋_GB2312" w:cs="Times New Roman"/>
          <w:color w:val="000000"/>
          <w:kern w:val="2"/>
          <w:sz w:val="32"/>
          <w:szCs w:val="32"/>
          <w:highlight w:val="none"/>
          <w:lang w:val="en-US" w:eastAsia="zh-CN" w:bidi="ar-SA"/>
        </w:rPr>
        <w:t>2.</w:t>
      </w:r>
      <w:r>
        <w:rPr>
          <w:rFonts w:hint="eastAsia" w:ascii="仿宋_GB2312" w:hAnsi="仿宋" w:eastAsia="仿宋_GB2312"/>
          <w:color w:val="000000"/>
          <w:sz w:val="32"/>
          <w:szCs w:val="32"/>
          <w:highlight w:val="none"/>
          <w:lang w:val="en-US" w:eastAsia="zh-CN"/>
        </w:rPr>
        <w:t>具体绩效指标设置情况</w:t>
      </w:r>
    </w:p>
    <w:tbl>
      <w:tblPr>
        <w:tblStyle w:val="12"/>
        <w:tblW w:w="497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248"/>
        <w:gridCol w:w="1628"/>
        <w:gridCol w:w="1363"/>
        <w:gridCol w:w="1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blHeader/>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cs="宋体"/>
                <w:b/>
                <w:bCs/>
                <w:i w:val="0"/>
                <w:iCs w:val="0"/>
                <w:color w:val="000000"/>
                <w:kern w:val="0"/>
                <w:sz w:val="21"/>
                <w:szCs w:val="21"/>
                <w:u w:val="none"/>
                <w:lang w:val="en-US" w:eastAsia="zh-CN" w:bidi="ar"/>
              </w:rPr>
              <w:t>绩</w:t>
            </w:r>
            <w:r>
              <w:rPr>
                <w:rFonts w:hint="eastAsia" w:ascii="宋体" w:hAnsi="宋体" w:eastAsia="宋体" w:cs="宋体"/>
                <w:b/>
                <w:bCs/>
                <w:i w:val="0"/>
                <w:iCs w:val="0"/>
                <w:color w:val="000000"/>
                <w:kern w:val="0"/>
                <w:sz w:val="21"/>
                <w:szCs w:val="21"/>
                <w:u w:val="none"/>
                <w:lang w:val="en-US" w:eastAsia="zh-CN" w:bidi="ar"/>
              </w:rPr>
              <w:t>效指标</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指标性质</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指标值</w:t>
            </w:r>
          </w:p>
        </w:tc>
        <w:tc>
          <w:tcPr>
            <w:tcW w:w="72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度量单位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92"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产出指标数量指标电子档案管理系统、政务综合办公服务平台系统运维数量</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2</w:t>
            </w:r>
          </w:p>
        </w:tc>
        <w:tc>
          <w:tcPr>
            <w:tcW w:w="72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1"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产出指标数量指标法律咨询时间</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40</w:t>
            </w:r>
          </w:p>
        </w:tc>
        <w:tc>
          <w:tcPr>
            <w:tcW w:w="72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1"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产出指标数量指标合同审核份数</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20</w:t>
            </w:r>
          </w:p>
        </w:tc>
        <w:tc>
          <w:tcPr>
            <w:tcW w:w="72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1"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产出指标数量指标计划册印刷数量</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190</w:t>
            </w:r>
          </w:p>
        </w:tc>
        <w:tc>
          <w:tcPr>
            <w:tcW w:w="72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1"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产出指标数量指标计算机终端运维数量（应用系统运维3个、硬件设备运维238台、安全软件运维12类）</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253</w:t>
            </w:r>
          </w:p>
        </w:tc>
        <w:tc>
          <w:tcPr>
            <w:tcW w:w="72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个（台、套、件、辆）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92"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产出指标数量指标门户网站信息内容发布条数</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400</w:t>
            </w:r>
          </w:p>
        </w:tc>
        <w:tc>
          <w:tcPr>
            <w:tcW w:w="72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92"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产出指标数量指标门户网站运维次数（网页模板维护50次、网站功能维护482次）</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532</w:t>
            </w:r>
          </w:p>
        </w:tc>
        <w:tc>
          <w:tcPr>
            <w:tcW w:w="72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92"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产出指标数量指标门户网站重要保障期安全值守</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52</w:t>
            </w:r>
          </w:p>
        </w:tc>
        <w:tc>
          <w:tcPr>
            <w:tcW w:w="72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1"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产出指标数量指标网站移动端兼容性改造</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1</w:t>
            </w:r>
          </w:p>
        </w:tc>
        <w:tc>
          <w:tcPr>
            <w:tcW w:w="72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92"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产出指标数量指标微信公众号处理次数（图文消息及页面处理次数290次</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290</w:t>
            </w:r>
          </w:p>
        </w:tc>
        <w:tc>
          <w:tcPr>
            <w:tcW w:w="72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92"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产出指标数量指标信息发布、文章审核和文档排版各项篇数</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180</w:t>
            </w:r>
          </w:p>
        </w:tc>
        <w:tc>
          <w:tcPr>
            <w:tcW w:w="72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72"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产出指标数量指标运维成果数量（漏洞扫描报告及安全整改建议2分、信息系统渗透测试报告1份、终端运维其他涉及的报告或记录3份、网站每月运维报告12份、季度自查报告4份）</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22</w:t>
            </w:r>
          </w:p>
        </w:tc>
        <w:tc>
          <w:tcPr>
            <w:tcW w:w="72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1"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产出指标质量指标法律纠纷次数</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0</w:t>
            </w:r>
          </w:p>
        </w:tc>
        <w:tc>
          <w:tcPr>
            <w:tcW w:w="72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1"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产出指标质量指标计划册印刷成品发放率</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100</w:t>
            </w:r>
          </w:p>
        </w:tc>
        <w:tc>
          <w:tcPr>
            <w:tcW w:w="72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1"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产出指标质量指标运维项目初步验收合格率</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100</w:t>
            </w:r>
          </w:p>
        </w:tc>
        <w:tc>
          <w:tcPr>
            <w:tcW w:w="72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1"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产出指标时效指标12月底前完成项目实施</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12</w:t>
            </w:r>
          </w:p>
        </w:tc>
        <w:tc>
          <w:tcPr>
            <w:tcW w:w="72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1"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产出指标时效指标6月底前完成印刷及发放</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6</w:t>
            </w:r>
          </w:p>
        </w:tc>
        <w:tc>
          <w:tcPr>
            <w:tcW w:w="72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1"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产出指标时效指标设备验收时限</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cs="宋体"/>
                <w:sz w:val="21"/>
                <w:szCs w:val="21"/>
                <w:lang w:val="en-US" w:eastAsia="zh-CN" w:bidi="ar"/>
              </w:rPr>
              <w:t>8</w:t>
            </w:r>
          </w:p>
        </w:tc>
        <w:tc>
          <w:tcPr>
            <w:tcW w:w="72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1"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成本指标经济成本指标项目总成本控制数</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4054.346006</w:t>
            </w:r>
          </w:p>
        </w:tc>
        <w:tc>
          <w:tcPr>
            <w:tcW w:w="72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32"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效益指标社会效益指标保障单位经济行为的合法性，维护单位的合法权益，避免法律纠纷。</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定性</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得到保障</w:t>
            </w:r>
          </w:p>
        </w:tc>
        <w:tc>
          <w:tcPr>
            <w:tcW w:w="729" w:type="pct"/>
            <w:shd w:val="clear" w:color="auto" w:fill="auto"/>
            <w:vAlign w:val="center"/>
          </w:tcPr>
          <w:p>
            <w:pPr>
              <w:keepNext w:val="0"/>
              <w:keepLines w:val="0"/>
              <w:pageBreakBefore w:val="0"/>
              <w:kinsoku/>
              <w:wordWrap/>
              <w:overflowPunct/>
              <w:topLinePunct w:val="0"/>
              <w:autoSpaceDE/>
              <w:autoSpaceDN/>
              <w:bidi w:val="0"/>
              <w:adjustRightInd w:val="0"/>
              <w:snapToGrid w:val="0"/>
              <w:spacing w:line="360" w:lineRule="auto"/>
              <w:ind w:firstLine="0" w:firstLineChars="0"/>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32"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效益指标社会效益指标保障单位网站稳定运行，及时发布重大项目建设信息，让社会公众及时了解重大项目进展情况。</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定性</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得到保障</w:t>
            </w:r>
          </w:p>
        </w:tc>
        <w:tc>
          <w:tcPr>
            <w:tcW w:w="729" w:type="pct"/>
            <w:shd w:val="clear" w:color="auto" w:fill="auto"/>
            <w:vAlign w:val="center"/>
          </w:tcPr>
          <w:p>
            <w:pPr>
              <w:keepNext w:val="0"/>
              <w:keepLines w:val="0"/>
              <w:pageBreakBefore w:val="0"/>
              <w:kinsoku/>
              <w:wordWrap/>
              <w:overflowPunct/>
              <w:topLinePunct w:val="0"/>
              <w:autoSpaceDE/>
              <w:autoSpaceDN/>
              <w:bidi w:val="0"/>
              <w:adjustRightInd w:val="0"/>
              <w:snapToGrid w:val="0"/>
              <w:spacing w:line="360" w:lineRule="auto"/>
              <w:ind w:firstLine="0" w:firstLineChars="0"/>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73"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效益指标社会效益指标保障单位信息化设备和系统平台正常运转，提高档案管理水平及电子档案数据全面利用，减少使用原始档案的频率，保障行政办公效率。</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定性</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得到保障</w:t>
            </w:r>
          </w:p>
        </w:tc>
        <w:tc>
          <w:tcPr>
            <w:tcW w:w="729" w:type="pct"/>
            <w:shd w:val="clear" w:color="auto" w:fill="auto"/>
            <w:vAlign w:val="center"/>
          </w:tcPr>
          <w:p>
            <w:pPr>
              <w:keepNext w:val="0"/>
              <w:keepLines w:val="0"/>
              <w:pageBreakBefore w:val="0"/>
              <w:kinsoku/>
              <w:wordWrap/>
              <w:overflowPunct/>
              <w:topLinePunct w:val="0"/>
              <w:autoSpaceDE/>
              <w:autoSpaceDN/>
              <w:bidi w:val="0"/>
              <w:adjustRightInd w:val="0"/>
              <w:snapToGrid w:val="0"/>
              <w:spacing w:line="360" w:lineRule="auto"/>
              <w:ind w:firstLine="0" w:firstLineChars="0"/>
              <w:jc w:val="center"/>
              <w:rPr>
                <w:rFonts w:hint="eastAsia" w:ascii="宋体" w:hAnsi="宋体" w:eastAsia="宋体" w:cs="宋体"/>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32" w:hRule="atLeast"/>
        </w:trPr>
        <w:tc>
          <w:tcPr>
            <w:tcW w:w="25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left"/>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效益指标社会效益指标通过印制2024年轨道交通建设计划册，并向各使用单位发放，进一步提高轨道交通建设管理工作</w:t>
            </w:r>
          </w:p>
        </w:tc>
        <w:tc>
          <w:tcPr>
            <w:tcW w:w="9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定性</w:t>
            </w:r>
          </w:p>
        </w:tc>
        <w:tc>
          <w:tcPr>
            <w:tcW w:w="80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0" w:firstLineChars="0"/>
              <w:jc w:val="center"/>
              <w:textAlignment w:val="center"/>
              <w:rPr>
                <w:rFonts w:hint="eastAsia" w:ascii="宋体" w:hAnsi="宋体" w:eastAsia="宋体" w:cs="宋体"/>
                <w:i w:val="0"/>
                <w:iCs w:val="0"/>
                <w:color w:val="000000"/>
                <w:sz w:val="21"/>
                <w:szCs w:val="21"/>
                <w:u w:val="none"/>
              </w:rPr>
            </w:pPr>
            <w:r>
              <w:rPr>
                <w:rStyle w:val="16"/>
                <w:rFonts w:hint="eastAsia" w:ascii="宋体" w:hAnsi="宋体" w:eastAsia="宋体" w:cs="宋体"/>
                <w:sz w:val="21"/>
                <w:szCs w:val="21"/>
                <w:lang w:val="en-US" w:eastAsia="zh-CN" w:bidi="ar"/>
              </w:rPr>
              <w:t>得到提高</w:t>
            </w:r>
          </w:p>
        </w:tc>
        <w:tc>
          <w:tcPr>
            <w:tcW w:w="729" w:type="pct"/>
            <w:shd w:val="clear" w:color="auto" w:fill="auto"/>
            <w:vAlign w:val="center"/>
          </w:tcPr>
          <w:p>
            <w:pPr>
              <w:keepNext w:val="0"/>
              <w:keepLines w:val="0"/>
              <w:pageBreakBefore w:val="0"/>
              <w:kinsoku/>
              <w:wordWrap/>
              <w:overflowPunct/>
              <w:topLinePunct w:val="0"/>
              <w:autoSpaceDE/>
              <w:autoSpaceDN/>
              <w:bidi w:val="0"/>
              <w:adjustRightInd w:val="0"/>
              <w:snapToGrid w:val="0"/>
              <w:spacing w:line="360" w:lineRule="auto"/>
              <w:ind w:firstLine="0" w:firstLineChars="0"/>
              <w:jc w:val="center"/>
              <w:rPr>
                <w:rFonts w:hint="eastAsia" w:ascii="宋体" w:hAnsi="宋体" w:eastAsia="宋体" w:cs="宋体"/>
                <w:i w:val="0"/>
                <w:iCs w:val="0"/>
                <w:color w:val="000000"/>
                <w:sz w:val="21"/>
                <w:szCs w:val="21"/>
                <w:u w:val="none"/>
              </w:rPr>
            </w:pPr>
          </w:p>
        </w:tc>
      </w:tr>
    </w:tbl>
    <w:p>
      <w:pPr>
        <w:spacing w:line="600" w:lineRule="exact"/>
        <w:ind w:firstLine="640" w:firstLineChars="200"/>
        <w:outlineLvl w:val="0"/>
        <w:rPr>
          <w:rFonts w:ascii="黑体" w:hAnsi="黑体" w:eastAsia="黑体" w:cs="宋体"/>
          <w:color w:val="000000"/>
          <w:kern w:val="0"/>
          <w:sz w:val="32"/>
          <w:szCs w:val="32"/>
          <w:highlight w:val="none"/>
        </w:rPr>
      </w:pPr>
      <w:bookmarkStart w:id="3" w:name="_Toc19515"/>
      <w:r>
        <w:rPr>
          <w:rFonts w:hint="eastAsia" w:ascii="黑体" w:hAnsi="黑体" w:eastAsia="黑体" w:cs="宋体"/>
          <w:color w:val="000000"/>
          <w:kern w:val="0"/>
          <w:sz w:val="32"/>
          <w:szCs w:val="32"/>
          <w:highlight w:val="none"/>
        </w:rPr>
        <w:t>二</w:t>
      </w:r>
      <w:r>
        <w:rPr>
          <w:rFonts w:ascii="黑体" w:hAnsi="黑体" w:eastAsia="黑体" w:cs="宋体"/>
          <w:color w:val="000000"/>
          <w:kern w:val="0"/>
          <w:sz w:val="32"/>
          <w:szCs w:val="32"/>
          <w:highlight w:val="none"/>
        </w:rPr>
        <w:t>、</w:t>
      </w:r>
      <w:r>
        <w:rPr>
          <w:rFonts w:hint="eastAsia" w:ascii="黑体" w:hAnsi="黑体" w:eastAsia="黑体" w:cs="宋体"/>
          <w:color w:val="000000"/>
          <w:kern w:val="0"/>
          <w:sz w:val="32"/>
          <w:szCs w:val="32"/>
          <w:highlight w:val="none"/>
          <w:lang w:eastAsia="zh-CN"/>
        </w:rPr>
        <w:t>当</w:t>
      </w:r>
      <w:r>
        <w:rPr>
          <w:rFonts w:hint="eastAsia" w:ascii="黑体" w:hAnsi="黑体" w:eastAsia="黑体" w:cs="宋体"/>
          <w:color w:val="000000"/>
          <w:kern w:val="0"/>
          <w:sz w:val="32"/>
          <w:szCs w:val="32"/>
          <w:highlight w:val="none"/>
        </w:rPr>
        <w:t>年</w:t>
      </w:r>
      <w:r>
        <w:rPr>
          <w:rFonts w:ascii="黑体" w:hAnsi="黑体" w:eastAsia="黑体" w:cs="宋体"/>
          <w:color w:val="000000"/>
          <w:kern w:val="0"/>
          <w:sz w:val="32"/>
          <w:szCs w:val="32"/>
          <w:highlight w:val="none"/>
        </w:rPr>
        <w:t>预算执行情况</w:t>
      </w:r>
      <w:bookmarkEnd w:id="3"/>
    </w:p>
    <w:p>
      <w:pPr>
        <w:spacing w:line="600" w:lineRule="exact"/>
        <w:ind w:firstLine="640" w:firstLineChars="200"/>
        <w:rPr>
          <w:rFonts w:ascii="仿宋_GB2312" w:hAnsi="宋体" w:eastAsia="仿宋_GB2312" w:cs="宋体"/>
          <w:color w:val="000000"/>
          <w:kern w:val="0"/>
          <w:sz w:val="32"/>
          <w:szCs w:val="32"/>
          <w:highlight w:val="green"/>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4年调整后的</w:t>
      </w:r>
      <w:r>
        <w:rPr>
          <w:rFonts w:hint="eastAsia" w:ascii="仿宋_GB2312" w:hAnsi="宋体" w:eastAsia="仿宋_GB2312" w:cs="宋体"/>
          <w:color w:val="000000"/>
          <w:kern w:val="0"/>
          <w:sz w:val="32"/>
          <w:szCs w:val="32"/>
          <w:highlight w:val="none"/>
        </w:rPr>
        <w:t>预算</w:t>
      </w:r>
      <w:r>
        <w:rPr>
          <w:rFonts w:hint="eastAsia" w:ascii="仿宋_GB2312" w:hAnsi="宋体" w:eastAsia="仿宋_GB2312" w:cs="宋体"/>
          <w:color w:val="000000"/>
          <w:kern w:val="0"/>
          <w:sz w:val="32"/>
          <w:szCs w:val="32"/>
          <w:highlight w:val="none"/>
          <w:lang w:eastAsia="zh-CN"/>
        </w:rPr>
        <w:t>收入为</w:t>
      </w:r>
      <w:r>
        <w:rPr>
          <w:rFonts w:hint="eastAsia" w:ascii="仿宋_GB2312" w:hAnsi="宋体" w:eastAsia="仿宋_GB2312" w:cs="宋体"/>
          <w:color w:val="000000"/>
          <w:kern w:val="0"/>
          <w:sz w:val="32"/>
          <w:szCs w:val="32"/>
          <w:highlight w:val="none"/>
        </w:rPr>
        <w:t>4,0</w:t>
      </w:r>
      <w:r>
        <w:rPr>
          <w:rFonts w:hint="eastAsia" w:ascii="仿宋_GB2312" w:hAnsi="宋体" w:eastAsia="仿宋_GB2312" w:cs="宋体"/>
          <w:color w:val="000000"/>
          <w:kern w:val="0"/>
          <w:sz w:val="32"/>
          <w:szCs w:val="32"/>
          <w:highlight w:val="none"/>
          <w:lang w:val="en-US" w:eastAsia="zh-CN"/>
        </w:rPr>
        <w:t>26.72</w:t>
      </w:r>
      <w:r>
        <w:rPr>
          <w:rFonts w:hint="eastAsia" w:ascii="仿宋_GB2312" w:hAnsi="宋体" w:eastAsia="仿宋_GB2312" w:cs="宋体"/>
          <w:color w:val="000000"/>
          <w:kern w:val="0"/>
          <w:sz w:val="32"/>
          <w:szCs w:val="32"/>
          <w:highlight w:val="none"/>
        </w:rPr>
        <w:t>万元</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其中</w:t>
      </w:r>
      <w:r>
        <w:rPr>
          <w:rFonts w:hint="eastAsia" w:ascii="仿宋_GB2312" w:hAnsi="宋体" w:eastAsia="仿宋_GB2312" w:cs="宋体"/>
          <w:color w:val="000000"/>
          <w:kern w:val="0"/>
          <w:sz w:val="32"/>
          <w:szCs w:val="32"/>
          <w:highlight w:val="none"/>
          <w:lang w:eastAsia="zh-CN"/>
        </w:rPr>
        <w:t>：</w:t>
      </w:r>
      <w:r>
        <w:rPr>
          <w:rFonts w:ascii="仿宋_GB2312" w:hAnsi="宋体" w:eastAsia="仿宋_GB2312" w:cs="宋体"/>
          <w:color w:val="000000"/>
          <w:kern w:val="0"/>
          <w:sz w:val="32"/>
          <w:szCs w:val="32"/>
          <w:highlight w:val="none"/>
        </w:rPr>
        <w:t>基本</w:t>
      </w:r>
      <w:r>
        <w:rPr>
          <w:rFonts w:hint="eastAsia" w:ascii="仿宋_GB2312" w:hAnsi="宋体" w:eastAsia="仿宋_GB2312" w:cs="宋体"/>
          <w:color w:val="000000"/>
          <w:kern w:val="0"/>
          <w:sz w:val="32"/>
          <w:szCs w:val="32"/>
          <w:highlight w:val="none"/>
          <w:lang w:eastAsia="zh-CN"/>
        </w:rPr>
        <w:t>经费</w:t>
      </w:r>
      <w:r>
        <w:rPr>
          <w:rFonts w:hint="eastAsia" w:ascii="仿宋_GB2312" w:hAnsi="宋体" w:eastAsia="仿宋_GB2312" w:cs="宋体"/>
          <w:color w:val="000000"/>
          <w:kern w:val="0"/>
          <w:sz w:val="32"/>
          <w:szCs w:val="32"/>
          <w:highlight w:val="none"/>
        </w:rPr>
        <w:t>预算</w:t>
      </w:r>
      <w:r>
        <w:rPr>
          <w:rFonts w:hint="eastAsia" w:ascii="仿宋_GB2312" w:hAnsi="宋体" w:eastAsia="仿宋_GB2312" w:cs="宋体"/>
          <w:color w:val="000000"/>
          <w:kern w:val="0"/>
          <w:sz w:val="32"/>
          <w:szCs w:val="32"/>
          <w:highlight w:val="none"/>
          <w:lang w:eastAsia="zh-CN"/>
        </w:rPr>
        <w:t>收入</w:t>
      </w:r>
      <w:r>
        <w:rPr>
          <w:rFonts w:hint="eastAsia" w:ascii="仿宋_GB2312" w:hAnsi="宋体" w:eastAsia="仿宋_GB2312" w:cs="宋体"/>
          <w:color w:val="000000"/>
          <w:kern w:val="0"/>
          <w:sz w:val="32"/>
          <w:szCs w:val="32"/>
          <w:highlight w:val="none"/>
        </w:rPr>
        <w:t>3,77</w:t>
      </w:r>
      <w:r>
        <w:rPr>
          <w:rFonts w:hint="eastAsia" w:ascii="仿宋_GB2312" w:hAnsi="宋体" w:eastAsia="仿宋_GB2312" w:cs="宋体"/>
          <w:color w:val="000000"/>
          <w:kern w:val="0"/>
          <w:sz w:val="32"/>
          <w:szCs w:val="32"/>
          <w:highlight w:val="none"/>
          <w:lang w:val="en-US" w:eastAsia="zh-CN"/>
        </w:rPr>
        <w:t>2.29</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项目</w:t>
      </w:r>
      <w:r>
        <w:rPr>
          <w:rFonts w:hint="eastAsia" w:ascii="仿宋_GB2312" w:hAnsi="宋体" w:eastAsia="仿宋_GB2312" w:cs="宋体"/>
          <w:color w:val="000000"/>
          <w:kern w:val="0"/>
          <w:sz w:val="32"/>
          <w:szCs w:val="32"/>
          <w:highlight w:val="none"/>
          <w:lang w:eastAsia="zh-CN"/>
        </w:rPr>
        <w:t>经费</w:t>
      </w:r>
      <w:r>
        <w:rPr>
          <w:rFonts w:hint="eastAsia" w:ascii="仿宋_GB2312" w:hAnsi="宋体" w:eastAsia="仿宋_GB2312" w:cs="宋体"/>
          <w:color w:val="000000"/>
          <w:kern w:val="0"/>
          <w:sz w:val="32"/>
          <w:szCs w:val="32"/>
          <w:highlight w:val="none"/>
        </w:rPr>
        <w:t>预算</w:t>
      </w:r>
      <w:r>
        <w:rPr>
          <w:rFonts w:hint="eastAsia" w:ascii="仿宋_GB2312" w:hAnsi="宋体" w:eastAsia="仿宋_GB2312" w:cs="宋体"/>
          <w:color w:val="000000"/>
          <w:kern w:val="0"/>
          <w:sz w:val="32"/>
          <w:szCs w:val="32"/>
          <w:highlight w:val="none"/>
          <w:lang w:eastAsia="zh-CN"/>
        </w:rPr>
        <w:t>收入</w:t>
      </w:r>
      <w:r>
        <w:rPr>
          <w:rFonts w:hint="eastAsia" w:ascii="仿宋_GB2312" w:hAnsi="宋体" w:eastAsia="仿宋_GB2312" w:cs="宋体"/>
          <w:color w:val="000000"/>
          <w:kern w:val="0"/>
          <w:sz w:val="32"/>
          <w:szCs w:val="32"/>
          <w:highlight w:val="none"/>
        </w:rPr>
        <w:t>254.43</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w:t>
      </w: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4年</w:t>
      </w:r>
      <w:r>
        <w:rPr>
          <w:rFonts w:hint="eastAsia" w:ascii="仿宋_GB2312" w:hAnsi="宋体" w:eastAsia="仿宋_GB2312" w:cs="宋体"/>
          <w:color w:val="000000"/>
          <w:kern w:val="0"/>
          <w:sz w:val="32"/>
          <w:szCs w:val="32"/>
          <w:highlight w:val="none"/>
          <w:lang w:val="en-US" w:eastAsia="zh-CN"/>
        </w:rPr>
        <w:t>预算支出为</w:t>
      </w:r>
      <w:r>
        <w:rPr>
          <w:rFonts w:hint="eastAsia" w:ascii="仿宋_GB2312" w:hAnsi="宋体" w:eastAsia="仿宋_GB2312" w:cs="宋体"/>
          <w:color w:val="000000"/>
          <w:kern w:val="0"/>
          <w:sz w:val="32"/>
          <w:szCs w:val="32"/>
          <w:highlight w:val="none"/>
        </w:rPr>
        <w:t>3,950.41</w:t>
      </w:r>
      <w:r>
        <w:rPr>
          <w:rFonts w:ascii="仿宋_GB2312" w:hAnsi="宋体" w:eastAsia="仿宋_GB2312" w:cs="宋体"/>
          <w:color w:val="000000"/>
          <w:kern w:val="0"/>
          <w:sz w:val="32"/>
          <w:szCs w:val="32"/>
          <w:highlight w:val="none"/>
        </w:rPr>
        <w:t>万元，其中</w:t>
      </w:r>
      <w:r>
        <w:rPr>
          <w:rFonts w:hint="eastAsia" w:ascii="仿宋_GB2312" w:hAnsi="宋体" w:eastAsia="仿宋_GB2312" w:cs="宋体"/>
          <w:color w:val="000000"/>
          <w:kern w:val="0"/>
          <w:sz w:val="32"/>
          <w:szCs w:val="32"/>
          <w:highlight w:val="none"/>
          <w:lang w:eastAsia="zh-CN"/>
        </w:rPr>
        <w:t>：</w:t>
      </w:r>
      <w:r>
        <w:rPr>
          <w:rFonts w:ascii="仿宋_GB2312" w:hAnsi="宋体" w:eastAsia="仿宋_GB2312" w:cs="宋体"/>
          <w:color w:val="000000"/>
          <w:kern w:val="0"/>
          <w:sz w:val="32"/>
          <w:szCs w:val="32"/>
          <w:highlight w:val="none"/>
        </w:rPr>
        <w:t>基本</w:t>
      </w:r>
      <w:r>
        <w:rPr>
          <w:rFonts w:hint="eastAsia" w:ascii="仿宋_GB2312" w:hAnsi="宋体" w:eastAsia="仿宋_GB2312" w:cs="宋体"/>
          <w:color w:val="000000"/>
          <w:kern w:val="0"/>
          <w:sz w:val="32"/>
          <w:szCs w:val="32"/>
          <w:highlight w:val="none"/>
          <w:lang w:eastAsia="zh-CN"/>
        </w:rPr>
        <w:t>经费</w:t>
      </w:r>
      <w:r>
        <w:rPr>
          <w:rFonts w:ascii="仿宋_GB2312" w:hAnsi="宋体" w:eastAsia="仿宋_GB2312" w:cs="宋体"/>
          <w:color w:val="000000"/>
          <w:kern w:val="0"/>
          <w:sz w:val="32"/>
          <w:szCs w:val="32"/>
          <w:highlight w:val="none"/>
        </w:rPr>
        <w:t>支出</w:t>
      </w:r>
      <w:r>
        <w:rPr>
          <w:rFonts w:hint="eastAsia" w:ascii="仿宋_GB2312" w:hAnsi="宋体" w:eastAsia="仿宋_GB2312" w:cs="宋体"/>
          <w:color w:val="000000"/>
          <w:kern w:val="0"/>
          <w:sz w:val="32"/>
          <w:szCs w:val="32"/>
          <w:highlight w:val="none"/>
        </w:rPr>
        <w:t>3,706.98</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lang w:eastAsia="zh-CN"/>
        </w:rPr>
        <w:t>、</w:t>
      </w:r>
      <w:r>
        <w:rPr>
          <w:rFonts w:ascii="仿宋_GB2312" w:hAnsi="宋体" w:eastAsia="仿宋_GB2312" w:cs="宋体"/>
          <w:color w:val="000000"/>
          <w:kern w:val="0"/>
          <w:sz w:val="32"/>
          <w:szCs w:val="32"/>
          <w:highlight w:val="none"/>
        </w:rPr>
        <w:t>项目</w:t>
      </w:r>
      <w:r>
        <w:rPr>
          <w:rFonts w:hint="eastAsia" w:ascii="仿宋_GB2312" w:hAnsi="宋体" w:eastAsia="仿宋_GB2312" w:cs="宋体"/>
          <w:color w:val="000000"/>
          <w:kern w:val="0"/>
          <w:sz w:val="32"/>
          <w:szCs w:val="32"/>
          <w:highlight w:val="none"/>
          <w:lang w:eastAsia="zh-CN"/>
        </w:rPr>
        <w:t>经费</w:t>
      </w:r>
      <w:r>
        <w:rPr>
          <w:rFonts w:hint="eastAsia" w:ascii="仿宋_GB2312" w:hAnsi="宋体" w:eastAsia="仿宋_GB2312" w:cs="宋体"/>
          <w:color w:val="000000"/>
          <w:kern w:val="0"/>
          <w:sz w:val="32"/>
          <w:szCs w:val="32"/>
          <w:highlight w:val="none"/>
        </w:rPr>
        <w:t>支出243.43</w:t>
      </w:r>
      <w:r>
        <w:rPr>
          <w:rFonts w:ascii="仿宋_GB2312" w:hAnsi="宋体" w:eastAsia="仿宋_GB2312" w:cs="宋体"/>
          <w:color w:val="000000"/>
          <w:kern w:val="0"/>
          <w:sz w:val="32"/>
          <w:szCs w:val="32"/>
          <w:highlight w:val="none"/>
        </w:rPr>
        <w:t>万</w:t>
      </w:r>
      <w:r>
        <w:rPr>
          <w:rFonts w:hint="eastAsia" w:ascii="仿宋_GB2312" w:hAnsi="宋体" w:eastAsia="仿宋_GB2312" w:cs="宋体"/>
          <w:color w:val="000000"/>
          <w:kern w:val="0"/>
          <w:sz w:val="32"/>
          <w:szCs w:val="32"/>
          <w:highlight w:val="none"/>
          <w:lang w:val="en-US" w:eastAsia="zh-CN"/>
        </w:rPr>
        <w:t>元</w:t>
      </w:r>
      <w:r>
        <w:rPr>
          <w:rFonts w:hint="eastAsia" w:ascii="仿宋_GB2312" w:hAnsi="宋体" w:eastAsia="仿宋_GB2312" w:cs="宋体"/>
          <w:color w:val="000000"/>
          <w:kern w:val="0"/>
          <w:sz w:val="32"/>
          <w:szCs w:val="32"/>
          <w:highlight w:val="none"/>
          <w:lang w:eastAsia="zh-CN"/>
        </w:rPr>
        <w:t>，年度整体</w:t>
      </w:r>
      <w:r>
        <w:rPr>
          <w:rFonts w:hint="eastAsia" w:ascii="仿宋_GB2312" w:hAnsi="宋体" w:eastAsia="仿宋_GB2312" w:cs="宋体"/>
          <w:color w:val="000000"/>
          <w:kern w:val="0"/>
          <w:sz w:val="32"/>
          <w:szCs w:val="32"/>
          <w:highlight w:val="none"/>
        </w:rPr>
        <w:t>预算</w:t>
      </w:r>
      <w:r>
        <w:rPr>
          <w:rFonts w:ascii="仿宋_GB2312" w:hAnsi="宋体" w:eastAsia="仿宋_GB2312" w:cs="宋体"/>
          <w:color w:val="000000"/>
          <w:kern w:val="0"/>
          <w:sz w:val="32"/>
          <w:szCs w:val="32"/>
          <w:highlight w:val="none"/>
        </w:rPr>
        <w:t>执行率为</w:t>
      </w:r>
      <w:r>
        <w:rPr>
          <w:rFonts w:hint="eastAsia" w:ascii="仿宋_GB2312" w:hAnsi="宋体" w:eastAsia="仿宋_GB2312" w:cs="宋体"/>
          <w:color w:val="000000"/>
          <w:kern w:val="0"/>
          <w:sz w:val="32"/>
          <w:szCs w:val="32"/>
          <w:highlight w:val="none"/>
        </w:rPr>
        <w:t>98.</w:t>
      </w:r>
      <w:r>
        <w:rPr>
          <w:rFonts w:hint="eastAsia" w:ascii="仿宋_GB2312" w:hAnsi="宋体" w:eastAsia="仿宋_GB2312" w:cs="宋体"/>
          <w:color w:val="000000"/>
          <w:kern w:val="0"/>
          <w:sz w:val="32"/>
          <w:szCs w:val="32"/>
          <w:highlight w:val="none"/>
          <w:lang w:val="en-US" w:eastAsia="zh-CN"/>
        </w:rPr>
        <w:t>10</w:t>
      </w:r>
      <w:r>
        <w:rPr>
          <w:rFonts w:hint="eastAsia" w:ascii="仿宋_GB2312" w:hAnsi="宋体" w:eastAsia="仿宋_GB2312" w:cs="宋体"/>
          <w:color w:val="000000"/>
          <w:kern w:val="0"/>
          <w:sz w:val="32"/>
          <w:szCs w:val="32"/>
          <w:highlight w:val="none"/>
        </w:rPr>
        <w:t>%。</w:t>
      </w:r>
    </w:p>
    <w:p>
      <w:pPr>
        <w:spacing w:line="600" w:lineRule="exact"/>
        <w:ind w:left="105" w:leftChars="50" w:firstLine="480" w:firstLineChars="150"/>
        <w:outlineLvl w:val="0"/>
        <w:rPr>
          <w:rFonts w:ascii="黑体" w:hAnsi="黑体" w:eastAsia="黑体" w:cs="宋体"/>
          <w:color w:val="000000"/>
          <w:kern w:val="0"/>
          <w:sz w:val="32"/>
          <w:szCs w:val="32"/>
          <w:highlight w:val="none"/>
        </w:rPr>
      </w:pPr>
      <w:bookmarkStart w:id="4" w:name="_Toc10795"/>
      <w:r>
        <w:rPr>
          <w:rFonts w:hint="eastAsia" w:ascii="黑体" w:hAnsi="黑体" w:eastAsia="黑体" w:cs="宋体"/>
          <w:color w:val="000000"/>
          <w:kern w:val="0"/>
          <w:sz w:val="32"/>
          <w:szCs w:val="32"/>
          <w:highlight w:val="none"/>
        </w:rPr>
        <w:t>三</w:t>
      </w:r>
      <w:r>
        <w:rPr>
          <w:rFonts w:ascii="黑体" w:hAnsi="黑体" w:eastAsia="黑体" w:cs="宋体"/>
          <w:color w:val="000000"/>
          <w:kern w:val="0"/>
          <w:sz w:val="32"/>
          <w:szCs w:val="32"/>
          <w:highlight w:val="none"/>
        </w:rPr>
        <w:t>、整体绩效目标实现情况</w:t>
      </w:r>
      <w:bookmarkEnd w:id="4"/>
    </w:p>
    <w:p>
      <w:pPr>
        <w:spacing w:line="600" w:lineRule="exact"/>
        <w:ind w:left="105" w:leftChars="50" w:firstLine="480" w:firstLineChars="150"/>
        <w:outlineLvl w:val="1"/>
        <w:rPr>
          <w:rFonts w:hint="eastAsia" w:ascii="仿宋_GB2312" w:hAnsi="仿宋" w:eastAsia="仿宋_GB2312" w:cs="宋体"/>
          <w:bCs/>
          <w:sz w:val="32"/>
          <w:szCs w:val="32"/>
        </w:rPr>
      </w:pPr>
      <w:bookmarkStart w:id="5" w:name="_Toc21474"/>
      <w:r>
        <w:rPr>
          <w:rFonts w:hint="eastAsia" w:ascii="仿宋_GB2312" w:hAnsi="仿宋" w:eastAsia="仿宋_GB2312" w:cs="宋体"/>
          <w:bCs/>
          <w:sz w:val="32"/>
          <w:szCs w:val="32"/>
          <w:lang w:val="en-US" w:eastAsia="zh-CN"/>
        </w:rPr>
        <w:t>2024年</w:t>
      </w:r>
      <w:r>
        <w:rPr>
          <w:rFonts w:hint="eastAsia" w:ascii="仿宋_GB2312" w:hAnsi="仿宋" w:eastAsia="仿宋_GB2312" w:cs="宋体"/>
          <w:bCs/>
          <w:sz w:val="32"/>
          <w:szCs w:val="32"/>
          <w:lang w:eastAsia="zh-CN"/>
        </w:rPr>
        <w:t>市重大项目办</w:t>
      </w:r>
      <w:r>
        <w:rPr>
          <w:rFonts w:hint="eastAsia" w:ascii="仿宋_GB2312" w:hAnsi="宋体" w:eastAsia="仿宋_GB2312" w:cs="宋体"/>
          <w:color w:val="000000"/>
          <w:kern w:val="0"/>
          <w:sz w:val="32"/>
          <w:szCs w:val="32"/>
          <w:highlight w:val="none"/>
          <w:lang w:eastAsia="zh-CN"/>
        </w:rPr>
        <w:t>整体绩效目标实现情况较好，</w:t>
      </w:r>
      <w:r>
        <w:rPr>
          <w:rFonts w:hint="eastAsia" w:ascii="仿宋_GB2312" w:hAnsi="仿宋" w:eastAsia="仿宋_GB2312" w:cs="宋体"/>
          <w:bCs/>
          <w:sz w:val="32"/>
          <w:szCs w:val="32"/>
        </w:rPr>
        <w:t>大部分项目均能够按照年初设定的绩效目标完成工作任务</w:t>
      </w:r>
      <w:r>
        <w:rPr>
          <w:rFonts w:hint="eastAsia" w:ascii="仿宋_GB2312" w:hAnsi="仿宋" w:eastAsia="仿宋_GB2312" w:cs="宋体"/>
          <w:bCs/>
          <w:sz w:val="32"/>
          <w:szCs w:val="32"/>
          <w:lang w:eastAsia="zh-CN"/>
        </w:rPr>
        <w:t>，</w:t>
      </w:r>
      <w:r>
        <w:rPr>
          <w:rFonts w:hint="eastAsia" w:ascii="仿宋_GB2312" w:hAnsi="仿宋" w:eastAsia="仿宋_GB2312" w:cs="宋体"/>
          <w:bCs/>
          <w:sz w:val="32"/>
          <w:szCs w:val="32"/>
        </w:rPr>
        <w:t>达到</w:t>
      </w:r>
      <w:r>
        <w:rPr>
          <w:rFonts w:hint="eastAsia" w:ascii="仿宋_GB2312" w:hAnsi="仿宋" w:eastAsia="仿宋_GB2312" w:cs="宋体"/>
          <w:bCs/>
          <w:sz w:val="32"/>
          <w:szCs w:val="32"/>
          <w:lang w:eastAsia="zh-CN"/>
        </w:rPr>
        <w:t>预期</w:t>
      </w:r>
      <w:r>
        <w:rPr>
          <w:rFonts w:hint="eastAsia" w:ascii="仿宋_GB2312" w:hAnsi="仿宋" w:eastAsia="仿宋_GB2312" w:cs="宋体"/>
          <w:bCs/>
          <w:sz w:val="32"/>
          <w:szCs w:val="32"/>
        </w:rPr>
        <w:t>目标，充分说明年初绩效目标设置的科学性和严谨性，项目实施的有效性和财政资金的高效利用。</w:t>
      </w:r>
    </w:p>
    <w:p>
      <w:pPr>
        <w:spacing w:line="600" w:lineRule="exact"/>
        <w:ind w:left="105" w:leftChars="50" w:firstLine="480" w:firstLineChars="150"/>
        <w:outlineLvl w:val="1"/>
        <w:rPr>
          <w:rFonts w:hint="eastAsia" w:ascii="楷体_GB2312" w:eastAsia="楷体_GB2312"/>
          <w:sz w:val="32"/>
          <w:szCs w:val="32"/>
          <w:highlight w:val="none"/>
        </w:rPr>
      </w:pPr>
      <w:r>
        <w:rPr>
          <w:rFonts w:hint="eastAsia" w:ascii="楷体_GB2312" w:eastAsia="楷体_GB2312"/>
          <w:sz w:val="32"/>
          <w:szCs w:val="32"/>
          <w:highlight w:val="none"/>
        </w:rPr>
        <w:t>（一）产出</w:t>
      </w:r>
      <w:r>
        <w:rPr>
          <w:rFonts w:hint="eastAsia" w:ascii="楷体_GB2312" w:eastAsia="楷体_GB2312"/>
          <w:sz w:val="32"/>
          <w:szCs w:val="32"/>
          <w:highlight w:val="none"/>
          <w:lang w:eastAsia="zh-CN"/>
        </w:rPr>
        <w:t>指标</w:t>
      </w:r>
      <w:r>
        <w:rPr>
          <w:rFonts w:hint="eastAsia" w:ascii="楷体_GB2312" w:eastAsia="楷体_GB2312"/>
          <w:sz w:val="32"/>
          <w:szCs w:val="32"/>
          <w:highlight w:val="none"/>
        </w:rPr>
        <w:t>完成情况分析</w:t>
      </w:r>
      <w:bookmarkEnd w:id="5"/>
    </w:p>
    <w:p>
      <w:pPr>
        <w:spacing w:line="600" w:lineRule="exact"/>
        <w:ind w:firstLine="562" w:firstLineChars="200"/>
        <w:jc w:val="center"/>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bCs/>
          <w:color w:val="auto"/>
          <w:kern w:val="0"/>
          <w:sz w:val="28"/>
          <w:szCs w:val="28"/>
          <w:highlight w:val="none"/>
          <w:lang w:val="en-US" w:eastAsia="zh-CN"/>
        </w:rPr>
        <w:t>产出指标完成情况表</w:t>
      </w:r>
    </w:p>
    <w:tbl>
      <w:tblPr>
        <w:tblStyle w:val="1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247"/>
        <w:gridCol w:w="740"/>
        <w:gridCol w:w="1010"/>
        <w:gridCol w:w="950"/>
        <w:gridCol w:w="1790"/>
        <w:gridCol w:w="17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blHeader/>
        </w:trPr>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绩效指标</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指标性质</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指标值</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度量单位</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完成情况</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产出指标数量指标电子档案管理系统、政务综合办公服务平台系统运维数量</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1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2套</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电子档案管理系统平台运维费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政务综合办公服务平台运维费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产出指标数量指标法律咨询时间</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小时</w:t>
            </w:r>
          </w:p>
        </w:tc>
        <w:tc>
          <w:tcPr>
            <w:tcW w:w="1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49.80小时</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法律顾问咨询工作经费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产出指标数量指标合同审核份数</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份</w:t>
            </w:r>
          </w:p>
        </w:tc>
        <w:tc>
          <w:tcPr>
            <w:tcW w:w="1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40份</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法律顾问咨询工作经费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产出指标数量指标计划册印刷数量</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w:t>
            </w:r>
          </w:p>
        </w:tc>
        <w:tc>
          <w:tcPr>
            <w:tcW w:w="1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190本</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北京市城市轨道交通建设计划册印刷费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产出指标数量指标计算机终端标运维数量（应用系统运维3个、硬件设备运维238台、安全软件运维12类）</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253</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个（台、套、件、辆）</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完成计算机终端标运维数量（应用系统运维3个、硬件设备运维238台、安全软件运维12类）</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计算机终端及网络设备运维费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产出指标数量指标门户网站信息内容发布条数</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条</w:t>
            </w:r>
          </w:p>
        </w:tc>
        <w:tc>
          <w:tcPr>
            <w:tcW w:w="1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402条</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门户网站运维费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产出指标数量指标门户网站运维次数（网页模板维护50次、网站功能维护482次）</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532</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次</w:t>
            </w:r>
          </w:p>
        </w:tc>
        <w:tc>
          <w:tcPr>
            <w:tcW w:w="1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门户网站运维次数（网页模板维护64次、网站功能维护510次）</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门户网站运维费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产出指标数量指标门户网站重要保障期安全值守</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天</w:t>
            </w:r>
          </w:p>
        </w:tc>
        <w:tc>
          <w:tcPr>
            <w:tcW w:w="1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52天</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门户网站运维费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产出指标数量指标网站移动端兼容性改造</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c>
          <w:tcPr>
            <w:tcW w:w="1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1项</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微信公众平台运维费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产出指标数量指标微信公众号处理次数（图文消息及页面处理次数290次</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次</w:t>
            </w:r>
          </w:p>
        </w:tc>
        <w:tc>
          <w:tcPr>
            <w:tcW w:w="1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346次</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微信公众平台运维费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产出指标数量指标信息发布、文章审核和文档排版各项篇数</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篇</w:t>
            </w:r>
          </w:p>
        </w:tc>
        <w:tc>
          <w:tcPr>
            <w:tcW w:w="1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233篇</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微信公众平台运维费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产出指标数量指标运维成果数量（漏洞扫描报告及安全整改建议2分、信息系统渗透测试报告1份、终端运维其他涉及的报告或记录3份、网站每月运维报告12份、季度自查报告4份）</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份</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运维成果数量（漏洞扫描报告及安全整改建议2分、信息系统渗透测试报告1份、终端运维其他涉及的报告或记录3份、网站每月运维报告12份、季度自查报告4份）</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门户网站运维费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产出指标质量指标法律纠纷次数</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次</w:t>
            </w:r>
          </w:p>
        </w:tc>
        <w:tc>
          <w:tcPr>
            <w:tcW w:w="1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0次</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法律顾问咨询工作经费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产出指标质量指标计划册印刷成品发放率</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1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北京市城市轨道交通建设计划册印刷费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产出指标质量指标运维项目初步验收合格率</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1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微信公众平台运维费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产出指标时效指标12月底前完成项目实施</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月</w:t>
            </w:r>
          </w:p>
        </w:tc>
        <w:tc>
          <w:tcPr>
            <w:tcW w:w="179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2024年12月初做了初步验收，2025年1月初完成了最终验收</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法律顾问咨询工作经费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产出指标时效指标12月底前项目完成初步验收</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月</w:t>
            </w:r>
          </w:p>
        </w:tc>
        <w:tc>
          <w:tcPr>
            <w:tcW w:w="1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12月完成项目初步验收</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计算机终端及网络设备运维费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门户网站运维费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微信公众平台运维费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政务综合办公服务平台运维费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电子档案管理系统平台运维费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产出指标时效指标6月底前完成印刷及发放</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月</w:t>
            </w:r>
          </w:p>
        </w:tc>
        <w:tc>
          <w:tcPr>
            <w:tcW w:w="1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cs="宋体"/>
                <w:i w:val="0"/>
                <w:iCs w:val="0"/>
                <w:color w:val="auto"/>
                <w:kern w:val="0"/>
                <w:sz w:val="21"/>
                <w:szCs w:val="21"/>
                <w:u w:val="none"/>
                <w:lang w:val="en-US" w:eastAsia="zh-CN" w:bidi="ar"/>
              </w:rPr>
              <w:t>3</w:t>
            </w:r>
            <w:r>
              <w:rPr>
                <w:rFonts w:hint="eastAsia" w:ascii="宋体" w:hAnsi="宋体" w:eastAsia="宋体" w:cs="宋体"/>
                <w:i w:val="0"/>
                <w:iCs w:val="0"/>
                <w:color w:val="auto"/>
                <w:kern w:val="0"/>
                <w:sz w:val="21"/>
                <w:szCs w:val="21"/>
                <w:u w:val="none"/>
                <w:lang w:val="en-US" w:eastAsia="zh-CN" w:bidi="ar"/>
              </w:rPr>
              <w:t>月</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北京市城市轨道交通建设计划册印刷费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成本指标经济成本指标项目总成本控制数</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4054.346006</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万元</w:t>
            </w:r>
          </w:p>
        </w:tc>
        <w:tc>
          <w:tcPr>
            <w:tcW w:w="1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firstLine="0" w:firstLineChars="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3,950.41万元</w:t>
            </w:r>
          </w:p>
        </w:tc>
        <w:tc>
          <w:tcPr>
            <w:tcW w:w="1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uto"/>
              <w:ind w:left="0" w:leftChars="0" w:firstLine="0" w:firstLineChars="0"/>
              <w:jc w:val="both"/>
              <w:rPr>
                <w:rFonts w:hint="eastAsia" w:ascii="宋体" w:hAnsi="宋体" w:eastAsia="宋体" w:cs="宋体"/>
                <w:i w:val="0"/>
                <w:iCs w:val="0"/>
                <w:color w:val="auto"/>
                <w:sz w:val="21"/>
                <w:szCs w:val="21"/>
                <w:u w:val="none"/>
              </w:rPr>
            </w:pPr>
          </w:p>
        </w:tc>
      </w:tr>
    </w:tbl>
    <w:p>
      <w:pPr>
        <w:spacing w:line="600" w:lineRule="exact"/>
        <w:ind w:left="105" w:leftChars="50" w:firstLine="480" w:firstLineChars="150"/>
        <w:outlineLvl w:val="1"/>
        <w:rPr>
          <w:rFonts w:ascii="楷体_GB2312" w:eastAsia="楷体_GB2312"/>
          <w:sz w:val="32"/>
          <w:szCs w:val="32"/>
          <w:highlight w:val="none"/>
        </w:rPr>
      </w:pPr>
      <w:bookmarkStart w:id="6" w:name="_Toc13973"/>
      <w:r>
        <w:rPr>
          <w:rFonts w:hint="eastAsia" w:ascii="楷体_GB2312" w:eastAsia="楷体_GB2312"/>
          <w:sz w:val="32"/>
          <w:szCs w:val="32"/>
          <w:highlight w:val="none"/>
        </w:rPr>
        <w:t>（二）</w:t>
      </w:r>
      <w:r>
        <w:rPr>
          <w:rFonts w:hint="eastAsia" w:ascii="楷体_GB2312" w:eastAsia="楷体_GB2312"/>
          <w:sz w:val="32"/>
          <w:szCs w:val="32"/>
          <w:highlight w:val="none"/>
          <w:lang w:eastAsia="zh-CN"/>
        </w:rPr>
        <w:t>效益指标</w:t>
      </w:r>
      <w:r>
        <w:rPr>
          <w:rFonts w:ascii="楷体_GB2312" w:eastAsia="楷体_GB2312"/>
          <w:sz w:val="32"/>
          <w:szCs w:val="32"/>
          <w:highlight w:val="none"/>
        </w:rPr>
        <w:t>实现情况分析</w:t>
      </w:r>
      <w:bookmarkEnd w:id="6"/>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在市委、市政府的坚强领导下，市重大项目办坚持以习近平新时代中国特色社会主义思想为指导，深入贯彻中央经济工作会议精神，充分发挥统筹协调职能，扎实推进重大项目建设，在经济效益、社会效益、环境效益、可持续影响及服务对象满意度等方面取得显著成效，超额完成年度建设计划任务，具体情况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2" w:firstLineChars="200"/>
        <w:textAlignment w:val="auto"/>
        <w:outlineLvl w:val="2"/>
        <w:rPr>
          <w:rFonts w:ascii="仿宋_GB2312" w:hAnsi="宋体" w:eastAsia="仿宋_GB2312" w:cs="宋体"/>
          <w:b/>
          <w:bCs/>
          <w:color w:val="000000"/>
          <w:kern w:val="0"/>
          <w:sz w:val="32"/>
          <w:szCs w:val="32"/>
          <w:highlight w:val="none"/>
        </w:rPr>
      </w:pPr>
      <w:r>
        <w:rPr>
          <w:rFonts w:ascii="仿宋_GB2312" w:hAnsi="宋体" w:eastAsia="仿宋_GB2312" w:cs="宋体"/>
          <w:b/>
          <w:bCs/>
          <w:color w:val="000000"/>
          <w:kern w:val="0"/>
          <w:sz w:val="32"/>
          <w:szCs w:val="32"/>
          <w:lang w:val="en-US" w:eastAsia="zh-CN" w:bidi="ar-SA"/>
        </w:rPr>
        <w:t>1.</w:t>
      </w:r>
      <w:r>
        <w:rPr>
          <w:rFonts w:hint="eastAsia" w:ascii="仿宋_GB2312" w:hAnsi="宋体" w:eastAsia="仿宋_GB2312" w:cs="宋体"/>
          <w:b/>
          <w:bCs/>
          <w:color w:val="000000"/>
          <w:kern w:val="0"/>
          <w:sz w:val="32"/>
          <w:szCs w:val="32"/>
          <w:highlight w:val="none"/>
        </w:rPr>
        <w:t>经济</w:t>
      </w:r>
      <w:r>
        <w:rPr>
          <w:rFonts w:ascii="仿宋_GB2312" w:hAnsi="宋体" w:eastAsia="仿宋_GB2312" w:cs="宋体"/>
          <w:b/>
          <w:bCs/>
          <w:color w:val="000000"/>
          <w:kern w:val="0"/>
          <w:sz w:val="32"/>
          <w:szCs w:val="32"/>
          <w:highlight w:val="none"/>
        </w:rPr>
        <w:t>效益</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hint="default" w:ascii="仿宋_GB2312" w:hAnsi="宋体" w:eastAsia="仿宋_GB2312" w:cs="宋体"/>
          <w:color w:val="000000"/>
          <w:kern w:val="0"/>
          <w:sz w:val="32"/>
          <w:szCs w:val="32"/>
          <w:highlight w:val="none"/>
          <w:lang w:val="en-US"/>
        </w:rPr>
      </w:pPr>
      <w:r>
        <w:rPr>
          <w:rFonts w:hint="default" w:ascii="仿宋_GB2312" w:hAnsi="宋体" w:eastAsia="仿宋_GB2312" w:cs="宋体"/>
          <w:b w:val="0"/>
          <w:bCs w:val="0"/>
          <w:color w:val="000000"/>
          <w:kern w:val="0"/>
          <w:sz w:val="32"/>
          <w:szCs w:val="32"/>
          <w:highlight w:val="none"/>
          <w:lang w:val="en-US" w:eastAsia="zh-CN"/>
        </w:rPr>
        <w:t>超额完成固定资产投资任务。</w:t>
      </w:r>
      <w:r>
        <w:rPr>
          <w:rFonts w:hint="default" w:ascii="仿宋_GB2312" w:hAnsi="宋体" w:eastAsia="仿宋_GB2312" w:cs="宋体"/>
          <w:color w:val="000000"/>
          <w:kern w:val="0"/>
          <w:sz w:val="32"/>
          <w:szCs w:val="32"/>
          <w:highlight w:val="none"/>
          <w:lang w:val="en-US" w:eastAsia="zh-CN"/>
        </w:rPr>
        <w:t>轨道交通全年完成固定资产投资332.4亿元、建安投资212.5亿元，分别完成年度目标的100.7%和108%。在建铁路工程全年完成固定资产投资9.3亿元，建安投资近6.0亿元，完成年度目标的100%。</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 w:eastAsia="仿宋_GB2312"/>
          <w:b w:val="0"/>
          <w:bCs w:val="0"/>
          <w:sz w:val="32"/>
          <w:szCs w:val="32"/>
          <w:lang w:val="en-US" w:eastAsia="zh-CN"/>
        </w:rPr>
        <w:t>严格预算管控提升资金使用效率。</w:t>
      </w:r>
      <w:r>
        <w:rPr>
          <w:rFonts w:hint="eastAsia" w:ascii="仿宋_GB2312" w:hAnsi="仿宋" w:eastAsia="仿宋_GB2312"/>
          <w:sz w:val="32"/>
          <w:szCs w:val="32"/>
          <w:lang w:val="en-US" w:eastAsia="zh-CN"/>
        </w:rPr>
        <w:t>在预算执行过程中，各部门严格按照计划使用资金，定期梳理合同签订和预算执行情况，如门户网</w:t>
      </w:r>
      <w:r>
        <w:rPr>
          <w:rFonts w:hint="eastAsia" w:ascii="仿宋_GB2312" w:hAnsi="仿宋_GB2312" w:eastAsia="仿宋_GB2312" w:cs="仿宋_GB2312"/>
          <w:sz w:val="32"/>
          <w:szCs w:val="32"/>
          <w:lang w:val="en-US" w:eastAsia="zh-CN"/>
        </w:rPr>
        <w:t>站维护费、微信公众平台运维费通过服务商比选、优化资源配置等方式节约了资金。</w:t>
      </w:r>
      <w:r>
        <w:rPr>
          <w:rFonts w:hint="eastAsia" w:ascii="仿宋_GB2312" w:hAnsi="仿宋_GB2312" w:eastAsia="仿宋_GB2312" w:cs="仿宋_GB2312"/>
          <w:sz w:val="32"/>
          <w:szCs w:val="32"/>
          <w:lang w:eastAsia="zh-CN"/>
        </w:rPr>
        <w:t>同时，贯彻政府过紧日子要求，严控“三公”经费，如公务用车维护费年初预算16万元，决算支出8.23万元，10辆车均费用0.82万元</w:t>
      </w:r>
      <w:r>
        <w:rPr>
          <w:rFonts w:hint="eastAsia" w:ascii="仿宋_GB2312" w:hAnsi="仿宋_GB2312" w:eastAsia="仿宋_GB2312" w:cs="仿宋_GB2312"/>
          <w:sz w:val="32"/>
          <w:szCs w:val="32"/>
          <w:lang w:val="en-US" w:eastAsia="zh-CN"/>
        </w:rPr>
        <w:t>。通过加强预算成本管控，</w:t>
      </w:r>
      <w:r>
        <w:rPr>
          <w:rFonts w:hint="eastAsia" w:ascii="仿宋_GB2312" w:hAnsi="仿宋_GB2312" w:eastAsia="仿宋_GB2312" w:cs="仿宋_GB2312"/>
          <w:sz w:val="32"/>
          <w:szCs w:val="32"/>
          <w:lang w:eastAsia="zh-CN"/>
        </w:rPr>
        <w:t>有效避免了资金浪费，</w:t>
      </w:r>
      <w:r>
        <w:rPr>
          <w:rFonts w:hint="eastAsia" w:ascii="仿宋_GB2312" w:hAnsi="仿宋_GB2312" w:eastAsia="仿宋_GB2312" w:cs="仿宋_GB2312"/>
          <w:sz w:val="32"/>
          <w:szCs w:val="32"/>
          <w:lang w:val="en-US" w:eastAsia="zh-CN"/>
        </w:rPr>
        <w:t>提升了财政资金使用效率。</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2" w:firstLineChars="200"/>
        <w:textAlignment w:val="auto"/>
        <w:outlineLvl w:val="2"/>
        <w:rPr>
          <w:rFonts w:hint="eastAsia"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lang w:val="en-US" w:eastAsia="zh-CN" w:bidi="ar-SA"/>
        </w:rPr>
        <w:t>2.</w:t>
      </w:r>
      <w:r>
        <w:rPr>
          <w:rFonts w:hint="eastAsia" w:ascii="仿宋_GB2312" w:hAnsi="宋体" w:eastAsia="仿宋_GB2312" w:cs="宋体"/>
          <w:b/>
          <w:bCs/>
          <w:color w:val="000000"/>
          <w:kern w:val="0"/>
          <w:sz w:val="32"/>
          <w:szCs w:val="32"/>
          <w:highlight w:val="none"/>
        </w:rPr>
        <w:t>社会效益</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b w:val="0"/>
          <w:bCs w:val="0"/>
          <w:sz w:val="32"/>
          <w:szCs w:val="32"/>
          <w:lang w:val="en-US" w:eastAsia="zh-CN"/>
        </w:rPr>
        <w:t>轨道交通网络优化改善市民出行体验。</w:t>
      </w:r>
      <w:r>
        <w:rPr>
          <w:rFonts w:hint="eastAsia" w:ascii="仿宋_GB2312" w:hAnsi="仿宋" w:eastAsia="仿宋_GB2312"/>
          <w:sz w:val="32"/>
          <w:szCs w:val="32"/>
          <w:lang w:val="en-US" w:eastAsia="zh-CN"/>
        </w:rPr>
        <w:t>3条线段及城际铁路联络线一期高质量开通。3号线一期（东四十条—东坝北）、12号线（四季青桥—东坝北）、昌平线南延一期剩余段（西土城—蓟门桥）及城际铁路联络线一期实现开通试运营，轨道交通线网进一步完善，轨道交通服务能力进一步提升。</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b w:val="0"/>
          <w:bCs w:val="0"/>
          <w:sz w:val="32"/>
          <w:szCs w:val="32"/>
          <w:lang w:val="en-US" w:eastAsia="zh-CN"/>
        </w:rPr>
        <w:t>在建线路建设有序推进。</w:t>
      </w:r>
      <w:r>
        <w:rPr>
          <w:rFonts w:hint="eastAsia" w:ascii="仿宋_GB2312" w:hAnsi="仿宋" w:eastAsia="仿宋_GB2312"/>
          <w:sz w:val="32"/>
          <w:szCs w:val="32"/>
          <w:lang w:val="en-US" w:eastAsia="zh-CN"/>
        </w:rPr>
        <w:t>8条在建线路正有序开展。实现M101线一期、1号线支线、首都机场线增设望京南站项目开工建设。“1站5口”（昌平线南延一期朱房北站，亦庄线亦庄火车站B口及C口、大兴线新宫站D口、14号线阜通站A2口、昌平线南延一期学院桥站D2口）建成投用。京唐城际铁路主体结构完工，市郊铁路副中心西段全面进地施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hint="default" w:ascii="仿宋_GB2312" w:hAnsi="仿宋" w:eastAsia="仿宋_GB2312"/>
          <w:sz w:val="32"/>
          <w:szCs w:val="32"/>
          <w:lang w:val="en-US" w:eastAsia="zh-CN"/>
        </w:rPr>
      </w:pPr>
      <w:r>
        <w:rPr>
          <w:rFonts w:hint="eastAsia" w:ascii="仿宋_GB2312" w:hAnsi="仿宋" w:eastAsia="仿宋_GB2312"/>
          <w:b w:val="0"/>
          <w:bCs w:val="0"/>
          <w:sz w:val="32"/>
          <w:szCs w:val="32"/>
          <w:lang w:val="en-US" w:eastAsia="zh-CN"/>
        </w:rPr>
        <w:t>高效保障机构运转。</w:t>
      </w:r>
      <w:r>
        <w:rPr>
          <w:rFonts w:hint="eastAsia" w:ascii="仿宋_GB2312" w:hAnsi="仿宋" w:eastAsia="仿宋_GB2312"/>
          <w:sz w:val="32"/>
          <w:szCs w:val="32"/>
          <w:lang w:val="en-US" w:eastAsia="zh-CN"/>
        </w:rPr>
        <w:t>2024年机构运转情况效益显著。如门户网站运维费项目通过优化改造提升服务形象，保障了系统稳定运行，有效宣传政策、展示形象、发布信息及沟通交流。微信公众平台运维费项目及时准确发布信息，满足了公众知情需求。计算机终端及网络设备运维费项目保障办公设备稳定，提高了工作效率。政务综合办公服务平台运维费项目实现办公自动化，提升了办公效率。电子档案管理系统平台运维费项目高效管理电子档案，提高了档案利用水平。北京市城市轨道交通建设计划册印刷费项目印制发放计划册，全力推进本市轨道交通建设。部门预算绩效管理工作经费项目加强预算绩效管理，提高了财政资金使用效率。法律顾问咨询工作经费项目提供法律咨询，维护了</w:t>
      </w:r>
      <w:r>
        <w:rPr>
          <w:rFonts w:hint="eastAsia" w:ascii="仿宋_GB2312" w:hAnsi="仿宋" w:eastAsia="仿宋_GB2312" w:cs="宋体"/>
          <w:bCs/>
          <w:sz w:val="32"/>
          <w:szCs w:val="32"/>
          <w:lang w:eastAsia="zh-CN"/>
        </w:rPr>
        <w:t>市重大项目办</w:t>
      </w:r>
      <w:r>
        <w:rPr>
          <w:rFonts w:hint="eastAsia" w:ascii="仿宋_GB2312" w:hAnsi="仿宋" w:eastAsia="仿宋_GB2312"/>
          <w:sz w:val="32"/>
          <w:szCs w:val="32"/>
          <w:lang w:val="en-US" w:eastAsia="zh-CN"/>
        </w:rPr>
        <w:t>合法权益。这些效益涵盖了社会效益、工作效率、财政资金使用等多个方面，全面提升了我办机构运转效能和服务质量。</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2" w:firstLineChars="200"/>
        <w:textAlignment w:val="auto"/>
        <w:outlineLvl w:val="2"/>
        <w:rPr>
          <w:rFonts w:hint="eastAsia"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lang w:val="en-US" w:eastAsia="zh-CN" w:bidi="ar-SA"/>
        </w:rPr>
        <w:t>3.</w:t>
      </w:r>
      <w:r>
        <w:rPr>
          <w:rFonts w:hint="eastAsia" w:ascii="仿宋_GB2312" w:hAnsi="宋体" w:eastAsia="仿宋_GB2312" w:cs="宋体"/>
          <w:b/>
          <w:bCs/>
          <w:color w:val="000000"/>
          <w:kern w:val="0"/>
          <w:sz w:val="32"/>
          <w:szCs w:val="32"/>
          <w:highlight w:val="none"/>
        </w:rPr>
        <w:t>环境效益</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_GB2312" w:hAnsi="仿宋" w:eastAsia="仿宋_GB2312"/>
          <w:sz w:val="32"/>
          <w:szCs w:val="32"/>
          <w:lang w:val="en-US" w:eastAsia="zh-CN"/>
        </w:rPr>
      </w:pPr>
      <w:r>
        <w:rPr>
          <w:rFonts w:hint="eastAsia" w:ascii="仿宋_GB2312" w:hAnsi="仿宋" w:eastAsia="仿宋_GB2312"/>
          <w:b w:val="0"/>
          <w:bCs w:val="0"/>
          <w:sz w:val="32"/>
          <w:szCs w:val="32"/>
          <w:lang w:val="en-US" w:eastAsia="zh-CN"/>
        </w:rPr>
        <w:t>有效形成工作合力。</w:t>
      </w:r>
      <w:r>
        <w:rPr>
          <w:rFonts w:hint="eastAsia" w:ascii="仿宋_GB2312" w:hAnsi="仿宋" w:eastAsia="仿宋_GB2312"/>
          <w:sz w:val="32"/>
          <w:szCs w:val="32"/>
          <w:lang w:val="en-US" w:eastAsia="zh-CN"/>
        </w:rPr>
        <w:t>督导参建单位落实安全质量和绿色文明施工要求。</w:t>
      </w:r>
      <w:r>
        <w:rPr>
          <w:rFonts w:hint="eastAsia" w:ascii="仿宋_GB2312" w:hAnsi="仿宋" w:eastAsia="仿宋_GB2312"/>
          <w:b w:val="0"/>
          <w:bCs w:val="0"/>
          <w:sz w:val="32"/>
          <w:szCs w:val="32"/>
          <w:lang w:val="en-US" w:eastAsia="zh-CN"/>
        </w:rPr>
        <w:t>促进科技创新应用。</w:t>
      </w:r>
      <w:r>
        <w:rPr>
          <w:rFonts w:hint="eastAsia" w:ascii="仿宋_GB2312" w:hAnsi="仿宋" w:eastAsia="仿宋_GB2312"/>
          <w:sz w:val="32"/>
          <w:szCs w:val="32"/>
          <w:lang w:val="en-US" w:eastAsia="zh-CN"/>
        </w:rPr>
        <w:t>组织推动防渗攻关、地热应用等新技术、新材料、新设备、新工艺在重大项目建设中的应用。</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2" w:firstLineChars="200"/>
        <w:textAlignment w:val="auto"/>
        <w:outlineLvl w:val="2"/>
        <w:rPr>
          <w:rFonts w:hint="eastAsia" w:ascii="仿宋_GB2312" w:hAnsi="宋体" w:eastAsia="仿宋_GB2312" w:cs="宋体"/>
          <w:b/>
          <w:bCs/>
          <w:color w:val="000000"/>
          <w:kern w:val="0"/>
          <w:sz w:val="32"/>
          <w:szCs w:val="32"/>
          <w:highlight w:val="none"/>
          <w:lang w:val="en-US" w:eastAsia="zh-CN"/>
        </w:rPr>
      </w:pPr>
      <w:r>
        <w:rPr>
          <w:rFonts w:hint="eastAsia" w:ascii="仿宋_GB2312" w:hAnsi="宋体" w:eastAsia="仿宋_GB2312" w:cs="宋体"/>
          <w:b/>
          <w:bCs/>
          <w:color w:val="000000"/>
          <w:kern w:val="0"/>
          <w:sz w:val="32"/>
          <w:szCs w:val="32"/>
          <w:lang w:val="en-US" w:eastAsia="zh-CN" w:bidi="ar-SA"/>
        </w:rPr>
        <w:t>4.</w:t>
      </w:r>
      <w:r>
        <w:rPr>
          <w:rFonts w:hint="eastAsia" w:ascii="仿宋_GB2312" w:hAnsi="宋体" w:eastAsia="仿宋_GB2312" w:cs="宋体"/>
          <w:b/>
          <w:bCs/>
          <w:color w:val="000000"/>
          <w:kern w:val="0"/>
          <w:sz w:val="32"/>
          <w:szCs w:val="32"/>
          <w:highlight w:val="none"/>
          <w:lang w:val="en-US" w:eastAsia="zh-CN"/>
        </w:rPr>
        <w:t>可持续影响</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both"/>
        <w:textAlignment w:val="auto"/>
        <w:rPr>
          <w:rFonts w:hint="eastAsia" w:ascii="仿宋_GB2312" w:hAnsi="宋体" w:eastAsia="仿宋_GB2312" w:cs="宋体"/>
          <w:color w:val="000000"/>
          <w:kern w:val="0"/>
          <w:sz w:val="32"/>
          <w:szCs w:val="32"/>
          <w:highlight w:val="none"/>
        </w:rPr>
      </w:pPr>
      <w:r>
        <w:rPr>
          <w:rFonts w:hint="eastAsia" w:ascii="仿宋_GB2312" w:hAnsi="宋体" w:eastAsia="仿宋_GB2312" w:cs="宋体"/>
          <w:b w:val="0"/>
          <w:bCs w:val="0"/>
          <w:color w:val="000000"/>
          <w:kern w:val="0"/>
          <w:sz w:val="32"/>
          <w:szCs w:val="32"/>
          <w:highlight w:val="none"/>
        </w:rPr>
        <w:t>京冀协同机制持续发力。</w:t>
      </w:r>
      <w:r>
        <w:rPr>
          <w:rFonts w:hint="eastAsia" w:ascii="仿宋_GB2312" w:hAnsi="宋体" w:eastAsia="仿宋_GB2312" w:cs="宋体"/>
          <w:color w:val="000000"/>
          <w:kern w:val="0"/>
          <w:sz w:val="32"/>
          <w:szCs w:val="32"/>
          <w:highlight w:val="none"/>
        </w:rPr>
        <w:t>建立京雄快线（北京段）京冀两地联合调度、工作提示、协助监管检查三项机制。建立健全轨道交通22号线京冀联合调度工作机制，常态化推进协调工作，助推京津冀协同发展不断取得新成效。</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_GB2312" w:hAnsi="仿宋" w:eastAsia="仿宋_GB2312"/>
          <w:b w:val="0"/>
          <w:bCs w:val="0"/>
          <w:sz w:val="32"/>
          <w:szCs w:val="32"/>
          <w:lang w:val="en-US" w:eastAsia="zh-CN"/>
        </w:rPr>
      </w:pPr>
      <w:r>
        <w:rPr>
          <w:rFonts w:hint="eastAsia" w:ascii="仿宋_GB2312" w:hAnsi="仿宋" w:eastAsia="仿宋_GB2312"/>
          <w:b w:val="0"/>
          <w:bCs w:val="0"/>
          <w:sz w:val="32"/>
          <w:szCs w:val="32"/>
          <w:lang w:val="en-US" w:eastAsia="zh-CN"/>
        </w:rPr>
        <w:t>完善协调工作机制。修订完善《贯彻落实〈北京市安全生产工作职责分工规定〉工作方案》《关于协调落实工程建设“五统一”要求的指导意见》《关于协调落实工程建设风险防控工作的指导意见》，印发《北京市在建地铁工程安全质量管理协调工作制度（试行）》，不断提高安全质量协调督导工作质效。</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2" w:firstLineChars="200"/>
        <w:textAlignment w:val="auto"/>
        <w:outlineLvl w:val="2"/>
        <w:rPr>
          <w:rFonts w:hint="eastAsia" w:ascii="仿宋_GB2312" w:hAnsi="宋体" w:eastAsia="仿宋_GB2312" w:cs="宋体"/>
          <w:b/>
          <w:bCs/>
          <w:color w:val="000000"/>
          <w:kern w:val="0"/>
          <w:sz w:val="32"/>
          <w:szCs w:val="32"/>
          <w:highlight w:val="none"/>
          <w:lang w:val="en-US" w:eastAsia="zh-CN"/>
        </w:rPr>
      </w:pPr>
      <w:r>
        <w:rPr>
          <w:rFonts w:hint="eastAsia" w:ascii="仿宋_GB2312" w:hAnsi="宋体" w:eastAsia="仿宋_GB2312" w:cs="宋体"/>
          <w:b/>
          <w:bCs/>
          <w:color w:val="000000"/>
          <w:kern w:val="0"/>
          <w:sz w:val="32"/>
          <w:szCs w:val="32"/>
          <w:lang w:val="en-US" w:eastAsia="zh-CN" w:bidi="ar-SA"/>
        </w:rPr>
        <w:t>5.</w:t>
      </w:r>
      <w:r>
        <w:rPr>
          <w:rFonts w:hint="eastAsia" w:ascii="仿宋_GB2312" w:hAnsi="宋体" w:eastAsia="仿宋_GB2312" w:cs="宋体"/>
          <w:b/>
          <w:bCs/>
          <w:color w:val="000000"/>
          <w:kern w:val="0"/>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_GB2312" w:hAnsi="仿宋" w:eastAsia="仿宋_GB2312"/>
          <w:b w:val="0"/>
          <w:bCs w:val="0"/>
          <w:sz w:val="32"/>
          <w:szCs w:val="32"/>
          <w:highlight w:val="none"/>
          <w:lang w:val="en-US" w:eastAsia="zh-CN"/>
        </w:rPr>
      </w:pPr>
      <w:r>
        <w:rPr>
          <w:rFonts w:hint="eastAsia" w:ascii="仿宋_GB2312" w:hAnsi="仿宋" w:eastAsia="仿宋_GB2312"/>
          <w:b w:val="0"/>
          <w:bCs w:val="0"/>
          <w:sz w:val="32"/>
          <w:szCs w:val="32"/>
          <w:highlight w:val="none"/>
          <w:lang w:val="en-US" w:eastAsia="zh-CN"/>
        </w:rPr>
        <w:t>本市轨道交通的建设和完善，为市民提供了更加便捷、高效的出行方式，提升了居民的生活质量；区域协同发展机制的建立，促进了区域经济的发展，为企业和居民创造了更多的发展机会。在2024年度的各项考评中，市委平安北京建设领导小组对市重大项目办的考核档次为“优秀”；市政府办公厅对市重大项目办的绩效考评等次为“优秀”。在各项目实施完成后，</w:t>
      </w:r>
      <w:r>
        <w:rPr>
          <w:rFonts w:hint="eastAsia" w:ascii="仿宋_GB2312" w:hAnsi="宋体" w:eastAsia="仿宋_GB2312" w:cs="宋体"/>
          <w:color w:val="000000"/>
          <w:kern w:val="0"/>
          <w:sz w:val="32"/>
          <w:szCs w:val="32"/>
          <w:highlight w:val="none"/>
        </w:rPr>
        <w:t>市重大项目办</w:t>
      </w:r>
      <w:r>
        <w:rPr>
          <w:rFonts w:hint="eastAsia" w:ascii="仿宋_GB2312" w:hAnsi="仿宋" w:eastAsia="仿宋_GB2312"/>
          <w:b w:val="0"/>
          <w:bCs w:val="0"/>
          <w:sz w:val="32"/>
          <w:szCs w:val="32"/>
          <w:highlight w:val="none"/>
          <w:lang w:val="en-US" w:eastAsia="zh-CN"/>
        </w:rPr>
        <w:t>对设有服务对象满意度指标的项目均进行了满意度调查，调查结果显示满意度均超过99%。</w:t>
      </w:r>
    </w:p>
    <w:p>
      <w:pPr>
        <w:spacing w:line="600" w:lineRule="exact"/>
        <w:ind w:left="105" w:leftChars="50" w:firstLine="480" w:firstLineChars="150"/>
        <w:outlineLvl w:val="0"/>
        <w:rPr>
          <w:rFonts w:hint="eastAsia" w:ascii="黑体" w:hAnsi="黑体" w:eastAsia="黑体" w:cs="宋体"/>
          <w:color w:val="000000"/>
          <w:kern w:val="0"/>
          <w:sz w:val="32"/>
          <w:szCs w:val="32"/>
          <w:highlight w:val="none"/>
        </w:rPr>
      </w:pPr>
      <w:bookmarkStart w:id="7" w:name="_Toc12197"/>
      <w:r>
        <w:rPr>
          <w:rFonts w:hint="eastAsia" w:ascii="黑体" w:hAnsi="黑体" w:eastAsia="黑体" w:cs="宋体"/>
          <w:color w:val="000000"/>
          <w:kern w:val="0"/>
          <w:sz w:val="32"/>
          <w:szCs w:val="32"/>
          <w:highlight w:val="none"/>
        </w:rPr>
        <w:t>四</w:t>
      </w:r>
      <w:r>
        <w:rPr>
          <w:rFonts w:ascii="黑体" w:hAnsi="黑体" w:eastAsia="黑体" w:cs="宋体"/>
          <w:color w:val="000000"/>
          <w:kern w:val="0"/>
          <w:sz w:val="32"/>
          <w:szCs w:val="32"/>
          <w:highlight w:val="none"/>
        </w:rPr>
        <w:t>、预算管理</w:t>
      </w:r>
      <w:r>
        <w:rPr>
          <w:rFonts w:hint="eastAsia" w:ascii="黑体" w:hAnsi="黑体" w:eastAsia="黑体" w:cs="宋体"/>
          <w:color w:val="000000"/>
          <w:kern w:val="0"/>
          <w:sz w:val="32"/>
          <w:szCs w:val="32"/>
          <w:highlight w:val="none"/>
        </w:rPr>
        <w:t>情况分</w:t>
      </w:r>
      <w:r>
        <w:rPr>
          <w:rFonts w:ascii="黑体" w:hAnsi="黑体" w:eastAsia="黑体" w:cs="宋体"/>
          <w:color w:val="000000"/>
          <w:kern w:val="0"/>
          <w:sz w:val="32"/>
          <w:szCs w:val="32"/>
          <w:highlight w:val="none"/>
        </w:rPr>
        <w:t>析</w:t>
      </w:r>
      <w:bookmarkEnd w:id="7"/>
    </w:p>
    <w:p>
      <w:pPr>
        <w:spacing w:line="600" w:lineRule="exact"/>
        <w:ind w:left="105" w:leftChars="50" w:firstLine="480" w:firstLineChars="150"/>
        <w:outlineLvl w:val="1"/>
        <w:rPr>
          <w:rFonts w:ascii="楷体_GB2312" w:eastAsia="楷体_GB2312"/>
          <w:sz w:val="32"/>
          <w:szCs w:val="32"/>
          <w:highlight w:val="none"/>
        </w:rPr>
      </w:pPr>
      <w:bookmarkStart w:id="8" w:name="_Toc24305"/>
      <w:r>
        <w:rPr>
          <w:rFonts w:hint="eastAsia" w:ascii="楷体_GB2312" w:eastAsia="楷体_GB2312"/>
          <w:sz w:val="32"/>
          <w:szCs w:val="32"/>
          <w:highlight w:val="none"/>
        </w:rPr>
        <w:t>（一）财务管理</w:t>
      </w:r>
      <w:bookmarkEnd w:id="8"/>
    </w:p>
    <w:p>
      <w:pPr>
        <w:spacing w:line="600" w:lineRule="exact"/>
        <w:ind w:left="105" w:leftChars="50" w:firstLine="481" w:firstLineChars="150"/>
        <w:outlineLvl w:val="2"/>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1.财务</w:t>
      </w:r>
      <w:r>
        <w:rPr>
          <w:rFonts w:ascii="仿宋_GB2312" w:hAnsi="宋体" w:eastAsia="仿宋_GB2312" w:cs="宋体"/>
          <w:b/>
          <w:bCs/>
          <w:color w:val="000000"/>
          <w:kern w:val="0"/>
          <w:sz w:val="32"/>
          <w:szCs w:val="32"/>
          <w:highlight w:val="none"/>
        </w:rPr>
        <w:t>管理制度健全性</w:t>
      </w:r>
    </w:p>
    <w:p>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为了进一步提高行政事业单位内部管理水平，规范内部控制，加强廉政风险防控机制建设，市重大项目办依据财政部《行政事业单位内部控制规范》的</w:t>
      </w:r>
      <w:r>
        <w:rPr>
          <w:rFonts w:hint="eastAsia" w:ascii="仿宋_GB2312" w:hAnsi="宋体" w:eastAsia="仿宋_GB2312" w:cs="宋体"/>
          <w:color w:val="000000"/>
          <w:kern w:val="0"/>
          <w:sz w:val="32"/>
          <w:szCs w:val="32"/>
          <w:highlight w:val="none"/>
          <w:lang w:val="en-US" w:eastAsia="zh-CN"/>
        </w:rPr>
        <w:t>要求</w:t>
      </w:r>
      <w:r>
        <w:rPr>
          <w:rFonts w:hint="eastAsia" w:ascii="仿宋_GB2312" w:hAnsi="宋体" w:eastAsia="仿宋_GB2312" w:cs="宋体"/>
          <w:color w:val="000000"/>
          <w:kern w:val="0"/>
          <w:sz w:val="32"/>
          <w:szCs w:val="32"/>
          <w:highlight w:val="none"/>
        </w:rPr>
        <w:t>，建立了科学、规范、有效的《</w:t>
      </w:r>
      <w:r>
        <w:rPr>
          <w:rFonts w:hint="eastAsia" w:ascii="仿宋_GB2312" w:hAnsi="仿宋_GB2312" w:eastAsia="仿宋_GB2312" w:cs="仿宋_GB2312"/>
          <w:color w:val="000000"/>
          <w:sz w:val="32"/>
          <w:szCs w:val="32"/>
        </w:rPr>
        <w:t>市重大项目办</w:t>
      </w:r>
      <w:r>
        <w:rPr>
          <w:rFonts w:hint="eastAsia" w:ascii="仿宋_GB2312" w:hAnsi="宋体" w:eastAsia="仿宋_GB2312" w:cs="宋体"/>
          <w:color w:val="000000"/>
          <w:kern w:val="0"/>
          <w:sz w:val="32"/>
          <w:szCs w:val="32"/>
          <w:highlight w:val="none"/>
        </w:rPr>
        <w:t>内部控制手册》。通过梳理经济业务流程，明确各环节职责分工、风险点及控制措施，实现了财务管理工作的标准化与规范化。此后，于2017年和2022年分别进行两次修改完善，并在2024年</w:t>
      </w:r>
      <w:r>
        <w:rPr>
          <w:rFonts w:hint="eastAsia" w:ascii="仿宋_GB2312" w:hAnsi="宋体" w:eastAsia="仿宋_GB2312" w:cs="宋体"/>
          <w:color w:val="000000"/>
          <w:kern w:val="0"/>
          <w:sz w:val="32"/>
          <w:szCs w:val="32"/>
          <w:highlight w:val="none"/>
          <w:lang w:val="en-US" w:eastAsia="zh-CN"/>
        </w:rPr>
        <w:t>重点</w:t>
      </w:r>
      <w:r>
        <w:rPr>
          <w:rFonts w:hint="eastAsia" w:ascii="仿宋_GB2312" w:hAnsi="宋体" w:eastAsia="仿宋_GB2312" w:cs="宋体"/>
          <w:color w:val="000000"/>
          <w:kern w:val="0"/>
          <w:sz w:val="32"/>
          <w:szCs w:val="32"/>
          <w:highlight w:val="none"/>
        </w:rPr>
        <w:t>对合同</w:t>
      </w:r>
      <w:r>
        <w:rPr>
          <w:rFonts w:hint="eastAsia" w:ascii="仿宋_GB2312" w:hAnsi="宋体" w:eastAsia="仿宋_GB2312" w:cs="宋体"/>
          <w:color w:val="000000"/>
          <w:kern w:val="0"/>
          <w:sz w:val="32"/>
          <w:szCs w:val="32"/>
          <w:highlight w:val="none"/>
          <w:lang w:val="en-US" w:eastAsia="zh-CN"/>
        </w:rPr>
        <w:t>管理</w:t>
      </w:r>
      <w:r>
        <w:rPr>
          <w:rFonts w:hint="eastAsia" w:ascii="仿宋_GB2312" w:hAnsi="宋体" w:eastAsia="仿宋_GB2312" w:cs="宋体"/>
          <w:color w:val="000000"/>
          <w:kern w:val="0"/>
          <w:sz w:val="32"/>
          <w:szCs w:val="32"/>
          <w:highlight w:val="none"/>
        </w:rPr>
        <w:t>、采购</w:t>
      </w:r>
      <w:r>
        <w:rPr>
          <w:rFonts w:hint="eastAsia" w:ascii="仿宋_GB2312" w:hAnsi="宋体" w:eastAsia="仿宋_GB2312" w:cs="宋体"/>
          <w:color w:val="000000"/>
          <w:kern w:val="0"/>
          <w:sz w:val="32"/>
          <w:szCs w:val="32"/>
          <w:highlight w:val="none"/>
          <w:lang w:val="en-US" w:eastAsia="zh-CN"/>
        </w:rPr>
        <w:t>管理</w:t>
      </w:r>
      <w:r>
        <w:rPr>
          <w:rFonts w:hint="eastAsia" w:ascii="仿宋_GB2312" w:hAnsi="宋体" w:eastAsia="仿宋_GB2312" w:cs="宋体"/>
          <w:color w:val="000000"/>
          <w:kern w:val="0"/>
          <w:sz w:val="32"/>
          <w:szCs w:val="32"/>
          <w:highlight w:val="none"/>
        </w:rPr>
        <w:t>以及资金使用管理办法进行全面修订，旨在优化管理流程，提高资金效益，防范财务风险，确保财务活动在严谨规范的制度框架内运行。</w:t>
      </w:r>
    </w:p>
    <w:p>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目前，该内控手册已成为指导和规范各项经济活动及业务工作的重要依据，发挥着多方面关键作用：</w:t>
      </w:r>
      <w:r>
        <w:rPr>
          <w:rFonts w:hint="eastAsia" w:ascii="仿宋_GB2312" w:hAnsi="宋体" w:eastAsia="仿宋_GB2312" w:cs="宋体"/>
          <w:b/>
          <w:bCs/>
          <w:color w:val="000000"/>
          <w:kern w:val="0"/>
          <w:sz w:val="32"/>
          <w:szCs w:val="32"/>
          <w:highlight w:val="none"/>
        </w:rPr>
        <w:t>一是</w:t>
      </w:r>
      <w:r>
        <w:rPr>
          <w:rFonts w:hint="eastAsia" w:ascii="仿宋_GB2312" w:hAnsi="宋体" w:eastAsia="仿宋_GB2312" w:cs="宋体"/>
          <w:color w:val="000000"/>
          <w:kern w:val="0"/>
          <w:sz w:val="32"/>
          <w:szCs w:val="32"/>
          <w:highlight w:val="none"/>
        </w:rPr>
        <w:t>严格规范业务活动，确保财务决策和资金收支遵循既定程序和标准，防止违规操作和管理漏洞；</w:t>
      </w:r>
      <w:r>
        <w:rPr>
          <w:rFonts w:hint="eastAsia" w:ascii="仿宋_GB2312" w:hAnsi="宋体" w:eastAsia="仿宋_GB2312" w:cs="宋体"/>
          <w:b/>
          <w:bCs/>
          <w:color w:val="000000"/>
          <w:kern w:val="0"/>
          <w:sz w:val="32"/>
          <w:szCs w:val="32"/>
          <w:highlight w:val="none"/>
        </w:rPr>
        <w:t>二是</w:t>
      </w:r>
      <w:r>
        <w:rPr>
          <w:rFonts w:hint="eastAsia" w:ascii="仿宋_GB2312" w:hAnsi="宋体" w:eastAsia="仿宋_GB2312" w:cs="宋体"/>
          <w:color w:val="000000"/>
          <w:kern w:val="0"/>
          <w:sz w:val="32"/>
          <w:szCs w:val="32"/>
          <w:highlight w:val="none"/>
        </w:rPr>
        <w:t>增强风险防范能力，通过提前识别风险并制定应对策略，有效控制财务风险，保障资金资产安全；</w:t>
      </w:r>
      <w:r>
        <w:rPr>
          <w:rFonts w:hint="eastAsia" w:ascii="仿宋_GB2312" w:hAnsi="宋体" w:eastAsia="仿宋_GB2312" w:cs="宋体"/>
          <w:b/>
          <w:bCs/>
          <w:color w:val="000000"/>
          <w:kern w:val="0"/>
          <w:sz w:val="32"/>
          <w:szCs w:val="32"/>
          <w:highlight w:val="none"/>
        </w:rPr>
        <w:t>三是</w:t>
      </w:r>
      <w:r>
        <w:rPr>
          <w:rFonts w:hint="eastAsia" w:ascii="仿宋_GB2312" w:hAnsi="宋体" w:eastAsia="仿宋_GB2312" w:cs="宋体"/>
          <w:color w:val="000000"/>
          <w:kern w:val="0"/>
          <w:sz w:val="32"/>
          <w:szCs w:val="32"/>
          <w:highlight w:val="none"/>
        </w:rPr>
        <w:t>助力财务管理从核算型向管理型转变，提升财务管理水平，为领导决策提供准确及时的财务信息支持；</w:t>
      </w:r>
      <w:r>
        <w:rPr>
          <w:rFonts w:hint="eastAsia" w:ascii="仿宋_GB2312" w:hAnsi="宋体" w:eastAsia="仿宋_GB2312" w:cs="宋体"/>
          <w:b/>
          <w:bCs/>
          <w:color w:val="000000"/>
          <w:kern w:val="0"/>
          <w:sz w:val="32"/>
          <w:szCs w:val="32"/>
          <w:highlight w:val="none"/>
        </w:rPr>
        <w:t>四是</w:t>
      </w:r>
      <w:r>
        <w:rPr>
          <w:rFonts w:hint="eastAsia" w:ascii="仿宋_GB2312" w:hAnsi="宋体" w:eastAsia="仿宋_GB2312" w:cs="宋体"/>
          <w:color w:val="000000"/>
          <w:kern w:val="0"/>
          <w:sz w:val="32"/>
          <w:szCs w:val="32"/>
          <w:highlight w:val="none"/>
        </w:rPr>
        <w:t>进一步规范财务管理行为，使财务人员在开展工作时有明确的制度遵循，提高工作效率和质量，确保财务管理工作的严肃性和权威性。</w:t>
      </w:r>
    </w:p>
    <w:p>
      <w:pPr>
        <w:numPr>
          <w:ilvl w:val="0"/>
          <w:numId w:val="0"/>
        </w:numPr>
        <w:spacing w:line="600" w:lineRule="exact"/>
        <w:ind w:left="105" w:leftChars="50" w:firstLine="481" w:firstLineChars="150"/>
        <w:outlineLvl w:val="2"/>
        <w:rPr>
          <w:rFonts w:ascii="仿宋_GB2312" w:hAnsi="宋体" w:eastAsia="仿宋_GB2312" w:cs="宋体"/>
          <w:b/>
          <w:bCs/>
          <w:color w:val="000000"/>
          <w:kern w:val="0"/>
          <w:sz w:val="32"/>
          <w:szCs w:val="32"/>
          <w:highlight w:val="none"/>
        </w:rPr>
      </w:pPr>
      <w:r>
        <w:rPr>
          <w:rFonts w:ascii="仿宋_GB2312" w:hAnsi="宋体" w:eastAsia="仿宋_GB2312" w:cs="宋体"/>
          <w:b/>
          <w:bCs/>
          <w:color w:val="000000"/>
          <w:kern w:val="0"/>
          <w:sz w:val="32"/>
          <w:szCs w:val="32"/>
          <w:lang w:val="en-US" w:eastAsia="zh-CN" w:bidi="ar-SA"/>
        </w:rPr>
        <w:t>2.</w:t>
      </w:r>
      <w:r>
        <w:rPr>
          <w:rFonts w:hint="eastAsia" w:ascii="仿宋_GB2312" w:hAnsi="宋体" w:eastAsia="仿宋_GB2312" w:cs="宋体"/>
          <w:b/>
          <w:bCs/>
          <w:color w:val="000000"/>
          <w:kern w:val="0"/>
          <w:sz w:val="32"/>
          <w:szCs w:val="32"/>
          <w:highlight w:val="none"/>
        </w:rPr>
        <w:t>资金使用合规性</w:t>
      </w:r>
      <w:r>
        <w:rPr>
          <w:rFonts w:ascii="仿宋_GB2312" w:hAnsi="宋体" w:eastAsia="仿宋_GB2312" w:cs="宋体"/>
          <w:b/>
          <w:bCs/>
          <w:color w:val="000000"/>
          <w:kern w:val="0"/>
          <w:sz w:val="32"/>
          <w:szCs w:val="32"/>
          <w:highlight w:val="none"/>
        </w:rPr>
        <w:t>和安全性</w:t>
      </w:r>
    </w:p>
    <w:p>
      <w:pPr>
        <w:spacing w:line="60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市重大项目办在预算资金使用过程中，始终严格遵循相关法律法规和财务管理制度，确保资金运行规范、安全。</w:t>
      </w:r>
      <w:r>
        <w:rPr>
          <w:rFonts w:hint="eastAsia" w:ascii="仿宋_GB2312" w:hAnsi="宋体" w:eastAsia="仿宋_GB2312" w:cs="宋体"/>
          <w:b/>
          <w:bCs/>
          <w:color w:val="000000"/>
          <w:kern w:val="0"/>
          <w:sz w:val="32"/>
          <w:szCs w:val="32"/>
          <w:highlight w:val="none"/>
        </w:rPr>
        <w:t>一是</w:t>
      </w:r>
      <w:r>
        <w:rPr>
          <w:rFonts w:hint="eastAsia" w:ascii="仿宋_GB2312" w:hAnsi="宋体" w:eastAsia="仿宋_GB2312" w:cs="宋体"/>
          <w:color w:val="000000"/>
          <w:kern w:val="0"/>
          <w:sz w:val="32"/>
          <w:szCs w:val="32"/>
          <w:highlight w:val="none"/>
        </w:rPr>
        <w:t>严格遵守国家财经法规、财务管理制度以及专项资金管理办法，所有资金使用均在制度框架内进行，无违规操作。</w:t>
      </w:r>
      <w:r>
        <w:rPr>
          <w:rFonts w:hint="eastAsia" w:ascii="仿宋_GB2312" w:hAnsi="宋体" w:eastAsia="仿宋_GB2312" w:cs="宋体"/>
          <w:b/>
          <w:bCs/>
          <w:color w:val="000000"/>
          <w:kern w:val="0"/>
          <w:sz w:val="32"/>
          <w:szCs w:val="32"/>
          <w:highlight w:val="none"/>
        </w:rPr>
        <w:t>二是</w:t>
      </w:r>
      <w:r>
        <w:rPr>
          <w:rFonts w:hint="eastAsia" w:ascii="仿宋_GB2312" w:hAnsi="宋体" w:eastAsia="仿宋_GB2312" w:cs="宋体"/>
          <w:color w:val="000000"/>
          <w:kern w:val="0"/>
          <w:sz w:val="32"/>
          <w:szCs w:val="32"/>
          <w:highlight w:val="none"/>
        </w:rPr>
        <w:t>资金拨付流程规范，设有完整的审批程序和手续，每笔资金的拨付都经过严格审批，确保资金流向明确、用途合理。</w:t>
      </w:r>
      <w:r>
        <w:rPr>
          <w:rFonts w:hint="eastAsia" w:ascii="仿宋_GB2312" w:hAnsi="宋体" w:eastAsia="仿宋_GB2312" w:cs="宋体"/>
          <w:b/>
          <w:bCs/>
          <w:color w:val="000000"/>
          <w:kern w:val="0"/>
          <w:sz w:val="32"/>
          <w:szCs w:val="32"/>
          <w:highlight w:val="none"/>
        </w:rPr>
        <w:t>三是</w:t>
      </w:r>
      <w:r>
        <w:rPr>
          <w:rFonts w:hint="eastAsia" w:ascii="仿宋_GB2312" w:hAnsi="宋体" w:eastAsia="仿宋_GB2312" w:cs="宋体"/>
          <w:color w:val="000000"/>
          <w:kern w:val="0"/>
          <w:sz w:val="32"/>
          <w:szCs w:val="32"/>
          <w:highlight w:val="none"/>
        </w:rPr>
        <w:t>对于</w:t>
      </w:r>
      <w:r>
        <w:rPr>
          <w:rFonts w:hint="eastAsia" w:ascii="仿宋_GB2312" w:hAnsi="宋体" w:eastAsia="仿宋_GB2312" w:cs="宋体"/>
          <w:color w:val="000000"/>
          <w:kern w:val="0"/>
          <w:sz w:val="32"/>
          <w:szCs w:val="32"/>
          <w:highlight w:val="none"/>
          <w:lang w:eastAsia="zh-CN"/>
        </w:rPr>
        <w:t>大额资</w:t>
      </w:r>
      <w:r>
        <w:rPr>
          <w:rFonts w:hint="eastAsia" w:ascii="仿宋_GB2312" w:hAnsi="宋体" w:eastAsia="仿宋_GB2312" w:cs="宋体"/>
          <w:color w:val="000000"/>
          <w:kern w:val="0"/>
          <w:sz w:val="32"/>
          <w:szCs w:val="32"/>
          <w:highlight w:val="none"/>
          <w:lang w:val="en-US" w:eastAsia="zh-CN"/>
        </w:rPr>
        <w:t>金的使用</w:t>
      </w:r>
      <w:r>
        <w:rPr>
          <w:rFonts w:hint="eastAsia"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lang w:eastAsia="zh-CN"/>
        </w:rPr>
        <w:t>严格按照</w:t>
      </w:r>
      <w:r>
        <w:rPr>
          <w:rFonts w:hint="eastAsia" w:ascii="楷体_GB2312" w:hAnsi="楷体_GB2312" w:eastAsia="楷体_GB2312" w:cs="楷体_GB2312"/>
          <w:sz w:val="32"/>
          <w:szCs w:val="32"/>
        </w:rPr>
        <w:t>《</w:t>
      </w:r>
      <w:r>
        <w:rPr>
          <w:rFonts w:hint="eastAsia" w:ascii="仿宋_GB2312" w:hAnsi="宋体" w:eastAsia="仿宋_GB2312" w:cs="宋体"/>
          <w:color w:val="000000"/>
          <w:kern w:val="0"/>
          <w:sz w:val="32"/>
          <w:szCs w:val="32"/>
          <w:highlight w:val="none"/>
          <w:lang w:eastAsia="zh-CN"/>
        </w:rPr>
        <w:t>中共北京市重大项目建设指挥部办公室党组“三重一大”事项决策实施办法》，由</w:t>
      </w:r>
      <w:r>
        <w:rPr>
          <w:rFonts w:hint="eastAsia" w:ascii="仿宋_GB2312" w:hAnsi="仿宋_GB2312" w:eastAsia="仿宋_GB2312" w:cs="仿宋_GB2312"/>
          <w:sz w:val="32"/>
          <w:szCs w:val="32"/>
        </w:rPr>
        <w:t>党组集体决策</w:t>
      </w:r>
      <w:r>
        <w:rPr>
          <w:rFonts w:hint="eastAsia" w:ascii="仿宋_GB2312" w:hAnsi="仿宋_GB2312" w:eastAsia="仿宋_GB2312" w:cs="仿宋_GB2312"/>
          <w:sz w:val="32"/>
          <w:szCs w:val="32"/>
          <w:lang w:eastAsia="zh-CN"/>
        </w:rPr>
        <w:t>，</w:t>
      </w:r>
      <w:r>
        <w:rPr>
          <w:rFonts w:hint="eastAsia" w:ascii="仿宋_GB2312" w:eastAsia="仿宋_GB2312"/>
          <w:sz w:val="32"/>
          <w:szCs w:val="32"/>
        </w:rPr>
        <w:t>切实贯彻执行党的民主集中制，防范决策风险</w:t>
      </w:r>
      <w:r>
        <w:rPr>
          <w:rFonts w:hint="eastAsia" w:ascii="仿宋_GB2312" w:eastAsia="仿宋_GB2312"/>
          <w:sz w:val="32"/>
          <w:szCs w:val="32"/>
          <w:lang w:eastAsia="zh-CN"/>
        </w:rPr>
        <w:t>。</w:t>
      </w:r>
      <w:r>
        <w:rPr>
          <w:rFonts w:hint="eastAsia" w:ascii="仿宋_GB2312" w:hAnsi="宋体" w:eastAsia="仿宋_GB2312" w:cs="宋体"/>
          <w:b/>
          <w:bCs/>
          <w:color w:val="000000"/>
          <w:kern w:val="0"/>
          <w:sz w:val="32"/>
          <w:szCs w:val="32"/>
          <w:highlight w:val="none"/>
        </w:rPr>
        <w:t>四是</w:t>
      </w:r>
      <w:r>
        <w:rPr>
          <w:rFonts w:hint="eastAsia" w:ascii="仿宋_GB2312" w:hAnsi="宋体" w:eastAsia="仿宋_GB2312" w:cs="宋体"/>
          <w:color w:val="000000"/>
          <w:kern w:val="0"/>
          <w:sz w:val="32"/>
          <w:szCs w:val="32"/>
          <w:highlight w:val="none"/>
        </w:rPr>
        <w:t>严格按照部门预算批复的用途使用资金，专款专用，确保资金使用的精准性，无挪用、截留</w:t>
      </w:r>
      <w:r>
        <w:rPr>
          <w:rFonts w:hint="eastAsia" w:ascii="仿宋_GB2312" w:hAnsi="宋体" w:eastAsia="仿宋_GB2312" w:cs="宋体"/>
          <w:color w:val="000000"/>
          <w:kern w:val="0"/>
          <w:sz w:val="32"/>
          <w:szCs w:val="32"/>
          <w:highlight w:val="none"/>
          <w:lang w:eastAsia="zh-CN"/>
        </w:rPr>
        <w:t>、超预算的情况发生</w:t>
      </w:r>
      <w:r>
        <w:rPr>
          <w:rFonts w:hint="eastAsia" w:ascii="仿宋_GB2312" w:hAnsi="宋体" w:eastAsia="仿宋_GB2312" w:cs="宋体"/>
          <w:color w:val="000000"/>
          <w:kern w:val="0"/>
          <w:sz w:val="32"/>
          <w:szCs w:val="32"/>
          <w:highlight w:val="none"/>
        </w:rPr>
        <w:t>。</w:t>
      </w:r>
      <w:r>
        <w:rPr>
          <w:rFonts w:hint="eastAsia" w:ascii="仿宋_GB2312" w:hAnsi="宋体" w:eastAsia="仿宋_GB2312" w:cs="宋体"/>
          <w:b/>
          <w:bCs/>
          <w:color w:val="000000"/>
          <w:kern w:val="0"/>
          <w:sz w:val="32"/>
          <w:szCs w:val="32"/>
          <w:highlight w:val="none"/>
        </w:rPr>
        <w:t>五是</w:t>
      </w:r>
      <w:r>
        <w:rPr>
          <w:rFonts w:hint="eastAsia" w:ascii="仿宋_GB2312" w:hAnsi="宋体" w:eastAsia="仿宋_GB2312" w:cs="宋体"/>
          <w:color w:val="000000"/>
          <w:kern w:val="0"/>
          <w:sz w:val="32"/>
          <w:szCs w:val="32"/>
          <w:highlight w:val="none"/>
        </w:rPr>
        <w:t>严格遵守政府采购程序和流程，所有政府采购项目均按照规定进行招标、采购，确保采购过程公开、公平、公正。</w:t>
      </w:r>
      <w:r>
        <w:rPr>
          <w:rFonts w:hint="eastAsia" w:ascii="仿宋_GB2312" w:hAnsi="宋体" w:eastAsia="仿宋_GB2312" w:cs="宋体"/>
          <w:b/>
          <w:bCs/>
          <w:color w:val="000000"/>
          <w:kern w:val="0"/>
          <w:sz w:val="32"/>
          <w:szCs w:val="32"/>
          <w:highlight w:val="none"/>
        </w:rPr>
        <w:t>六是</w:t>
      </w:r>
      <w:r>
        <w:rPr>
          <w:rFonts w:hint="eastAsia" w:ascii="仿宋_GB2312" w:hAnsi="宋体" w:eastAsia="仿宋_GB2312" w:cs="宋体"/>
          <w:color w:val="000000"/>
          <w:kern w:val="0"/>
          <w:sz w:val="32"/>
          <w:szCs w:val="32"/>
          <w:highlight w:val="none"/>
        </w:rPr>
        <w:t>严格执行公务卡结算制度，规范资金结算行为，提高资金使用的透明度和安全性。</w:t>
      </w:r>
    </w:p>
    <w:p>
      <w:pPr>
        <w:spacing w:line="600" w:lineRule="exact"/>
        <w:ind w:left="105" w:leftChars="50" w:firstLine="480" w:firstLineChars="150"/>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市重大项目办通过上述措施，有效保障了资金使用的合规性和安全性，确保每一笔资金都用在刀刃上，为重大项目的顺利实施提供了坚实的资金保障。</w:t>
      </w:r>
    </w:p>
    <w:p>
      <w:pPr>
        <w:numPr>
          <w:ilvl w:val="0"/>
          <w:numId w:val="0"/>
        </w:numPr>
        <w:spacing w:line="600" w:lineRule="exact"/>
        <w:ind w:left="105" w:leftChars="50" w:firstLine="481" w:firstLineChars="150"/>
        <w:outlineLvl w:val="2"/>
        <w:rPr>
          <w:rFonts w:ascii="仿宋_GB2312" w:hAnsi="宋体" w:eastAsia="仿宋_GB2312" w:cs="宋体"/>
          <w:b/>
          <w:bCs/>
          <w:color w:val="000000"/>
          <w:kern w:val="0"/>
          <w:sz w:val="32"/>
          <w:szCs w:val="32"/>
          <w:highlight w:val="none"/>
        </w:rPr>
      </w:pPr>
      <w:r>
        <w:rPr>
          <w:rFonts w:ascii="仿宋_GB2312" w:hAnsi="宋体" w:eastAsia="仿宋_GB2312" w:cs="宋体"/>
          <w:b/>
          <w:bCs/>
          <w:color w:val="000000"/>
          <w:kern w:val="0"/>
          <w:sz w:val="32"/>
          <w:szCs w:val="32"/>
          <w:lang w:val="en-US" w:eastAsia="zh-CN" w:bidi="ar-SA"/>
        </w:rPr>
        <w:t>3.</w:t>
      </w:r>
      <w:r>
        <w:rPr>
          <w:rFonts w:hint="eastAsia" w:ascii="仿宋_GB2312" w:hAnsi="宋体" w:eastAsia="仿宋_GB2312" w:cs="宋体"/>
          <w:b/>
          <w:bCs/>
          <w:color w:val="000000"/>
          <w:kern w:val="0"/>
          <w:sz w:val="32"/>
          <w:szCs w:val="32"/>
          <w:highlight w:val="none"/>
        </w:rPr>
        <w:t>会计</w:t>
      </w:r>
      <w:r>
        <w:rPr>
          <w:rFonts w:ascii="仿宋_GB2312" w:hAnsi="宋体" w:eastAsia="仿宋_GB2312" w:cs="宋体"/>
          <w:b/>
          <w:bCs/>
          <w:color w:val="000000"/>
          <w:kern w:val="0"/>
          <w:sz w:val="32"/>
          <w:szCs w:val="32"/>
          <w:highlight w:val="none"/>
        </w:rPr>
        <w:t>基础信息完善性</w:t>
      </w:r>
    </w:p>
    <w:p>
      <w:pPr>
        <w:numPr>
          <w:ilvl w:val="0"/>
          <w:numId w:val="0"/>
        </w:numPr>
        <w:spacing w:line="600" w:lineRule="exact"/>
        <w:ind w:left="105" w:leftChars="50" w:firstLine="480" w:firstLineChars="150"/>
        <w:rPr>
          <w:rFonts w:hint="eastAsia" w:ascii="楷体_GB2312" w:eastAsia="楷体_GB2312"/>
          <w:sz w:val="32"/>
          <w:szCs w:val="32"/>
          <w:highlight w:val="none"/>
        </w:rPr>
      </w:pPr>
      <w:r>
        <w:rPr>
          <w:rFonts w:hint="eastAsia" w:ascii="仿宋_GB2312" w:hAnsi="宋体" w:eastAsia="仿宋_GB2312" w:cs="宋体"/>
          <w:color w:val="000000"/>
          <w:kern w:val="0"/>
          <w:sz w:val="32"/>
          <w:szCs w:val="32"/>
          <w:highlight w:val="none"/>
        </w:rPr>
        <w:t>市重大项目办高度重视会计基础信息管理，确保信息的真实、完整与准确。首先，从源头上严格管控，强化原始单据审核，确立“</w:t>
      </w:r>
      <w:r>
        <w:rPr>
          <w:rFonts w:hint="eastAsia" w:ascii="仿宋_GB2312" w:hAnsi="宋体" w:eastAsia="仿宋_GB2312" w:cs="宋体"/>
          <w:color w:val="000000"/>
          <w:kern w:val="0"/>
          <w:sz w:val="32"/>
          <w:szCs w:val="32"/>
          <w:highlight w:val="none"/>
          <w:lang w:eastAsia="zh-CN"/>
        </w:rPr>
        <w:t>附件</w:t>
      </w:r>
      <w:r>
        <w:rPr>
          <w:rFonts w:hint="eastAsia" w:ascii="仿宋_GB2312" w:hAnsi="宋体" w:eastAsia="仿宋_GB2312" w:cs="宋体"/>
          <w:color w:val="000000"/>
          <w:kern w:val="0"/>
          <w:sz w:val="32"/>
          <w:szCs w:val="32"/>
          <w:highlight w:val="none"/>
        </w:rPr>
        <w:t>内容完整性”和“审批手续完备性”的双重审核标准，细致核查原始单据的各项要素，对不符合要求的凭证坚决退回，以此筑牢信息真实性的防线。其次，在会计核算流程中严加规范，严格执行《政府会计制度》，确保会计科目使用精准无误，严禁“混用”“串用”科目行为</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如实反映财务状况和收支情况。最后，注重结果校验，通过财务人员逐笔核对收支明细，保障数据录入的准确性</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在年终决算时，</w:t>
      </w:r>
      <w:r>
        <w:rPr>
          <w:rFonts w:hint="eastAsia" w:ascii="仿宋_GB2312" w:hAnsi="仿宋_GB2312" w:eastAsia="仿宋_GB2312" w:cs="仿宋_GB2312"/>
          <w:sz w:val="32"/>
          <w:szCs w:val="32"/>
        </w:rPr>
        <w:t>与开户银行、市财政局国库系统</w:t>
      </w:r>
      <w:r>
        <w:rPr>
          <w:rFonts w:hint="eastAsia" w:ascii="仿宋_GB2312" w:hAnsi="仿宋_GB2312" w:eastAsia="仿宋_GB2312" w:cs="仿宋_GB2312"/>
          <w:sz w:val="32"/>
          <w:szCs w:val="32"/>
          <w:lang w:eastAsia="zh-CN"/>
        </w:rPr>
        <w:t>核对</w:t>
      </w:r>
      <w:r>
        <w:rPr>
          <w:rFonts w:hint="eastAsia" w:ascii="仿宋_GB2312" w:hAnsi="仿宋_GB2312" w:eastAsia="仿宋_GB2312" w:cs="仿宋_GB2312"/>
          <w:sz w:val="32"/>
          <w:szCs w:val="32"/>
        </w:rPr>
        <w:t>本年的财政拨款数</w:t>
      </w:r>
      <w:r>
        <w:rPr>
          <w:rFonts w:hint="eastAsia" w:ascii="仿宋_GB2312" w:hAnsi="宋体" w:eastAsia="仿宋_GB2312" w:cs="宋体"/>
          <w:color w:val="000000"/>
          <w:kern w:val="0"/>
          <w:sz w:val="32"/>
          <w:szCs w:val="32"/>
          <w:highlight w:val="none"/>
        </w:rPr>
        <w:t>，</w:t>
      </w:r>
      <w:r>
        <w:rPr>
          <w:rFonts w:hint="eastAsia" w:ascii="仿宋_GB2312" w:hAnsi="仿宋_GB2312" w:eastAsia="仿宋_GB2312" w:cs="仿宋_GB2312"/>
          <w:sz w:val="32"/>
          <w:szCs w:val="32"/>
        </w:rPr>
        <w:t>确保笔笔核对，项项相符</w:t>
      </w:r>
      <w:r>
        <w:rPr>
          <w:rFonts w:hint="eastAsia" w:ascii="仿宋_GB2312" w:hAnsi="宋体" w:eastAsia="仿宋_GB2312" w:cs="宋体"/>
          <w:color w:val="000000"/>
          <w:kern w:val="0"/>
          <w:sz w:val="32"/>
          <w:szCs w:val="32"/>
          <w:highlight w:val="none"/>
        </w:rPr>
        <w:t>。通过这一系列严谨措施，市重大项目办的会计基础信息得以真实、完整、准确地呈现财务状况，为</w:t>
      </w:r>
      <w:r>
        <w:rPr>
          <w:rFonts w:hint="eastAsia" w:ascii="仿宋_GB2312" w:hAnsi="宋体" w:eastAsia="仿宋_GB2312" w:cs="宋体"/>
          <w:color w:val="000000"/>
          <w:kern w:val="0"/>
          <w:sz w:val="32"/>
          <w:szCs w:val="32"/>
          <w:highlight w:val="none"/>
          <w:lang w:eastAsia="zh-CN"/>
        </w:rPr>
        <w:t>领导</w:t>
      </w:r>
      <w:r>
        <w:rPr>
          <w:rFonts w:hint="eastAsia" w:ascii="仿宋_GB2312" w:hAnsi="宋体" w:eastAsia="仿宋_GB2312" w:cs="宋体"/>
          <w:color w:val="000000"/>
          <w:kern w:val="0"/>
          <w:sz w:val="32"/>
          <w:szCs w:val="32"/>
          <w:highlight w:val="none"/>
        </w:rPr>
        <w:t>管理决策提供了坚实可靠的依据。</w:t>
      </w:r>
    </w:p>
    <w:p>
      <w:pPr>
        <w:numPr>
          <w:ilvl w:val="0"/>
          <w:numId w:val="0"/>
        </w:numPr>
        <w:spacing w:line="600" w:lineRule="exact"/>
        <w:ind w:left="105" w:leftChars="50" w:firstLine="480" w:firstLineChars="150"/>
        <w:outlineLvl w:val="1"/>
        <w:rPr>
          <w:rFonts w:hint="eastAsia" w:ascii="楷体_GB2312" w:eastAsia="楷体_GB2312"/>
          <w:sz w:val="32"/>
          <w:szCs w:val="32"/>
          <w:highlight w:val="none"/>
        </w:rPr>
      </w:pPr>
      <w:bookmarkStart w:id="9" w:name="_Toc18377"/>
      <w:r>
        <w:rPr>
          <w:rFonts w:hint="eastAsia" w:ascii="楷体_GB2312" w:hAnsi="Times New Roman" w:eastAsia="楷体_GB2312" w:cs="Times New Roman"/>
          <w:kern w:val="2"/>
          <w:sz w:val="32"/>
          <w:szCs w:val="32"/>
          <w:lang w:val="en-US" w:eastAsia="zh-CN" w:bidi="ar-SA"/>
        </w:rPr>
        <w:t>（三）</w:t>
      </w:r>
      <w:r>
        <w:rPr>
          <w:rFonts w:hint="eastAsia" w:ascii="楷体_GB2312" w:eastAsia="楷体_GB2312"/>
          <w:sz w:val="32"/>
          <w:szCs w:val="32"/>
          <w:highlight w:val="none"/>
        </w:rPr>
        <w:t>资产管理</w:t>
      </w:r>
      <w:bookmarkEnd w:id="9"/>
    </w:p>
    <w:p>
      <w:pPr>
        <w:spacing w:line="560" w:lineRule="exac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实行</w:t>
      </w:r>
      <w:r>
        <w:rPr>
          <w:rFonts w:hint="eastAsia" w:ascii="仿宋_GB2312" w:hAnsi="仿宋_GB2312" w:eastAsia="仿宋_GB2312" w:cs="仿宋_GB2312"/>
          <w:color w:val="000000"/>
          <w:sz w:val="32"/>
          <w:szCs w:val="32"/>
        </w:rPr>
        <w:t>资产实施归口管理。固定资产由</w:t>
      </w:r>
      <w:r>
        <w:rPr>
          <w:rFonts w:hint="eastAsia" w:ascii="仿宋_GB2312" w:hAnsi="仿宋_GB2312" w:eastAsia="仿宋_GB2312" w:cs="仿宋_GB2312"/>
          <w:color w:val="000000"/>
          <w:sz w:val="32"/>
          <w:szCs w:val="32"/>
          <w:highlight w:val="none"/>
        </w:rPr>
        <w:t>秘书行政处</w:t>
      </w:r>
      <w:r>
        <w:rPr>
          <w:rFonts w:hint="eastAsia" w:ascii="仿宋_GB2312" w:hAnsi="仿宋_GB2312" w:eastAsia="仿宋_GB2312" w:cs="仿宋_GB2312"/>
          <w:color w:val="000000"/>
          <w:sz w:val="32"/>
          <w:szCs w:val="32"/>
        </w:rPr>
        <w:t>负责，严格按照“统一管理、分级负责、管用结合、资源共享、合理调配、物尽其用”的原则，制定</w:t>
      </w:r>
      <w:r>
        <w:rPr>
          <w:rFonts w:hint="eastAsia" w:ascii="仿宋_GB2312" w:hAnsi="仿宋_GB2312" w:eastAsia="仿宋_GB2312" w:cs="仿宋_GB2312"/>
          <w:color w:val="000000"/>
          <w:sz w:val="32"/>
          <w:szCs w:val="32"/>
          <w:lang w:eastAsia="zh-CN"/>
        </w:rPr>
        <w:t>了</w:t>
      </w:r>
      <w:r>
        <w:rPr>
          <w:rFonts w:hint="eastAsia" w:ascii="仿宋_GB2312" w:hAnsi="仿宋_GB2312" w:eastAsia="仿宋_GB2312" w:cs="仿宋_GB2312"/>
          <w:color w:val="000000"/>
          <w:sz w:val="32"/>
          <w:szCs w:val="32"/>
        </w:rPr>
        <w:t>《市重大项目办固定资产管理办法》，</w:t>
      </w:r>
      <w:r>
        <w:rPr>
          <w:rFonts w:hint="eastAsia" w:ascii="仿宋_GB2312" w:hAnsi="仿宋_GB2312" w:eastAsia="仿宋_GB2312" w:cs="仿宋_GB2312"/>
          <w:sz w:val="32"/>
          <w:szCs w:val="32"/>
        </w:rPr>
        <w:t>对年度内新购及处置的固定资产和无形资产的实物入账情况与财务账一一核对，确保基础信息准确无误，做到账账相符、账实相符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货币资金由财务预算处负责，制定了《市重大项目办货币资金管理办法》，对货币资金、固定资产等进行定期核查盘点，按照相关程序和权限配置、使用、清查盘点、处置资产，确保资产的安全和完整，提高了资产使用效益。</w:t>
      </w:r>
    </w:p>
    <w:p>
      <w:pPr>
        <w:numPr>
          <w:ilvl w:val="0"/>
          <w:numId w:val="0"/>
        </w:numPr>
        <w:spacing w:line="600" w:lineRule="exact"/>
        <w:ind w:left="105" w:leftChars="50" w:firstLine="480" w:firstLineChars="150"/>
        <w:outlineLvl w:val="1"/>
        <w:rPr>
          <w:rFonts w:ascii="楷体_GB2312" w:eastAsia="楷体_GB2312"/>
          <w:sz w:val="32"/>
          <w:szCs w:val="32"/>
          <w:highlight w:val="none"/>
        </w:rPr>
      </w:pPr>
      <w:bookmarkStart w:id="10" w:name="_Toc5753"/>
      <w:r>
        <w:rPr>
          <w:rFonts w:hint="eastAsia" w:ascii="楷体_GB2312" w:hAnsi="Times New Roman" w:eastAsia="楷体_GB2312" w:cs="Times New Roman"/>
          <w:kern w:val="2"/>
          <w:sz w:val="32"/>
          <w:szCs w:val="32"/>
          <w:highlight w:val="none"/>
          <w:lang w:val="en-US" w:eastAsia="zh-CN" w:bidi="ar-SA"/>
        </w:rPr>
        <w:t>（四）</w:t>
      </w:r>
      <w:r>
        <w:rPr>
          <w:rFonts w:hint="eastAsia" w:ascii="楷体_GB2312" w:eastAsia="楷体_GB2312"/>
          <w:sz w:val="32"/>
          <w:szCs w:val="32"/>
          <w:highlight w:val="none"/>
        </w:rPr>
        <w:t>绩效</w:t>
      </w:r>
      <w:r>
        <w:rPr>
          <w:rFonts w:ascii="楷体_GB2312" w:eastAsia="楷体_GB2312"/>
          <w:sz w:val="32"/>
          <w:szCs w:val="32"/>
          <w:highlight w:val="none"/>
        </w:rPr>
        <w:t>管理</w:t>
      </w:r>
      <w:bookmarkEnd w:id="10"/>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2024年，</w:t>
      </w:r>
      <w:r>
        <w:rPr>
          <w:rFonts w:hint="eastAsia" w:ascii="仿宋_GB2312" w:hAnsi="仿宋_GB2312" w:eastAsia="仿宋_GB2312" w:cs="仿宋_GB2312"/>
          <w:color w:val="000000"/>
          <w:sz w:val="32"/>
          <w:szCs w:val="32"/>
          <w:lang w:eastAsia="zh-CN"/>
        </w:rPr>
        <w:t>市重大项目办</w:t>
      </w:r>
      <w:r>
        <w:rPr>
          <w:rFonts w:hint="eastAsia" w:ascii="仿宋_GB2312" w:hAnsi="仿宋_GB2312" w:eastAsia="仿宋_GB2312" w:cs="仿宋_GB2312"/>
          <w:color w:val="000000"/>
          <w:sz w:val="32"/>
          <w:szCs w:val="32"/>
        </w:rPr>
        <w:t>继续贯彻落实“花钱必问效，无效必问责”的预算管理理念和“事前有评估、事中有监控、事后有评价”的预算闭环管理要求，将预算绩效贯彻到预算管理的全过程</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b/>
          <w:bCs/>
          <w:color w:val="000000"/>
          <w:kern w:val="0"/>
          <w:sz w:val="32"/>
          <w:szCs w:val="32"/>
        </w:rPr>
        <w:t>一是</w:t>
      </w:r>
      <w:r>
        <w:rPr>
          <w:rFonts w:hint="eastAsia" w:ascii="仿宋_GB2312" w:hAnsi="仿宋_GB2312" w:eastAsia="仿宋_GB2312" w:cs="仿宋_GB2312"/>
          <w:color w:val="000000"/>
          <w:kern w:val="0"/>
          <w:sz w:val="32"/>
          <w:szCs w:val="32"/>
        </w:rPr>
        <w:t>突出绩效监控，确保财政资金提质高效。坚持将绩效目标实现程度和预算执行进度实施“双监控”，完成了对</w:t>
      </w: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eastAsia="zh-CN"/>
        </w:rPr>
        <w:t>所有</w:t>
      </w:r>
      <w:r>
        <w:rPr>
          <w:rFonts w:hint="eastAsia" w:ascii="仿宋_GB2312" w:hAnsi="仿宋_GB2312" w:eastAsia="仿宋_GB2312" w:cs="仿宋_GB2312"/>
          <w:sz w:val="32"/>
          <w:szCs w:val="32"/>
        </w:rPr>
        <w:t>预算项目的绩效运行监控工作，</w:t>
      </w:r>
      <w:r>
        <w:rPr>
          <w:rFonts w:hint="eastAsia" w:ascii="仿宋_GB2312" w:hAnsi="仿宋_GB2312" w:eastAsia="仿宋_GB2312" w:cs="仿宋_GB2312"/>
          <w:color w:val="000000"/>
          <w:kern w:val="0"/>
          <w:sz w:val="32"/>
          <w:szCs w:val="32"/>
        </w:rPr>
        <w:t>对偏离目标项目及时预警及时纠偏，保证预算项目按年初设定的目标执行，</w:t>
      </w:r>
      <w:r>
        <w:rPr>
          <w:rFonts w:hint="eastAsia" w:ascii="仿宋_GB2312" w:hAnsi="仿宋_GB2312" w:eastAsia="仿宋_GB2312" w:cs="仿宋_GB2312"/>
          <w:sz w:val="32"/>
          <w:szCs w:val="32"/>
        </w:rPr>
        <w:t>促进财政资金提质增效。</w:t>
      </w:r>
      <w:r>
        <w:rPr>
          <w:rFonts w:hint="eastAsia" w:ascii="仿宋_GB2312" w:hAnsi="仿宋_GB2312" w:eastAsia="仿宋_GB2312" w:cs="仿宋_GB2312"/>
          <w:b/>
          <w:bCs/>
          <w:sz w:val="32"/>
          <w:szCs w:val="32"/>
        </w:rPr>
        <w:t>二是</w:t>
      </w:r>
      <w:r>
        <w:rPr>
          <w:rFonts w:hint="eastAsia" w:ascii="仿宋_GB2312" w:hAnsi="仿宋_GB2312" w:eastAsia="仿宋_GB2312" w:cs="仿宋_GB2312"/>
          <w:color w:val="000000"/>
          <w:kern w:val="0"/>
          <w:sz w:val="32"/>
          <w:szCs w:val="32"/>
        </w:rPr>
        <w:t>突出绩效评价，提高资金使用效率。</w:t>
      </w:r>
      <w:r>
        <w:rPr>
          <w:rFonts w:hint="eastAsia" w:ascii="仿宋_GB2312" w:hAnsi="仿宋_GB2312" w:eastAsia="仿宋_GB2312" w:cs="仿宋_GB2312"/>
          <w:sz w:val="32"/>
          <w:szCs w:val="32"/>
        </w:rPr>
        <w:t>配合专业机构完成了我办2023年度1个重点项目的绩效评价、</w:t>
      </w:r>
      <w:r>
        <w:rPr>
          <w:rFonts w:hint="eastAsia" w:ascii="仿宋_GB2312" w:hAnsi="仿宋_GB2312" w:eastAsia="仿宋_GB2312" w:cs="仿宋_GB2312"/>
          <w:sz w:val="32"/>
          <w:szCs w:val="32"/>
          <w:lang w:eastAsia="zh-CN"/>
        </w:rPr>
        <w:t>所有</w:t>
      </w:r>
      <w:r>
        <w:rPr>
          <w:rFonts w:hint="eastAsia" w:ascii="仿宋_GB2312" w:hAnsi="仿宋_GB2312" w:eastAsia="仿宋_GB2312" w:cs="仿宋_GB2312"/>
          <w:sz w:val="32"/>
          <w:szCs w:val="32"/>
        </w:rPr>
        <w:t>预算项目和部门整体绩效评价，通过绩效评价，促进了我办整体预算资金的使用效率得到了进一步提升</w:t>
      </w:r>
      <w:r>
        <w:rPr>
          <w:rFonts w:hint="eastAsia" w:ascii="仿宋_GB2312" w:hAnsi="仿宋_GB2312" w:eastAsia="仿宋_GB2312" w:cs="仿宋_GB2312"/>
          <w:sz w:val="32"/>
          <w:szCs w:val="32"/>
          <w:lang w:eastAsia="zh-CN"/>
        </w:rPr>
        <w:t>。</w:t>
      </w:r>
      <w:bookmarkStart w:id="18" w:name="_GoBack"/>
      <w:r>
        <w:rPr>
          <w:rFonts w:hint="eastAsia" w:ascii="仿宋_GB2312" w:hAnsi="仿宋_GB2312" w:eastAsia="仿宋_GB2312" w:cs="仿宋_GB2312"/>
          <w:b/>
          <w:bCs/>
          <w:sz w:val="32"/>
          <w:szCs w:val="32"/>
          <w:highlight w:val="none"/>
        </w:rPr>
        <w:t>三是</w:t>
      </w:r>
      <w:r>
        <w:rPr>
          <w:rFonts w:hint="eastAsia" w:ascii="仿宋_GB2312" w:hAnsi="仿宋_GB2312" w:eastAsia="仿宋_GB2312" w:cs="仿宋_GB2312"/>
          <w:sz w:val="32"/>
          <w:szCs w:val="32"/>
          <w:highlight w:val="none"/>
        </w:rPr>
        <w:t>突出结果应用，硬化绩效责任约束。将绩效跟踪监控结果和绩效评价结果与下一年度</w:t>
      </w:r>
      <w:r>
        <w:rPr>
          <w:rFonts w:hint="eastAsia" w:ascii="仿宋_GB2312" w:hAnsi="仿宋_GB2312" w:eastAsia="仿宋_GB2312" w:cs="仿宋_GB2312"/>
          <w:color w:val="000000"/>
          <w:sz w:val="32"/>
          <w:szCs w:val="32"/>
          <w:highlight w:val="none"/>
        </w:rPr>
        <w:t>预算挂钩，评价结果用于指导下一年度预算</w:t>
      </w:r>
      <w:r>
        <w:rPr>
          <w:rFonts w:hint="eastAsia" w:ascii="仿宋_GB2312" w:hAnsi="仿宋_GB2312" w:eastAsia="仿宋_GB2312" w:cs="仿宋_GB2312"/>
          <w:color w:val="000000"/>
          <w:sz w:val="32"/>
          <w:szCs w:val="32"/>
          <w:highlight w:val="none"/>
          <w:lang w:eastAsia="zh-CN"/>
        </w:rPr>
        <w:t>编制。</w:t>
      </w:r>
      <w:bookmarkEnd w:id="18"/>
      <w:r>
        <w:rPr>
          <w:rFonts w:hint="eastAsia" w:ascii="仿宋_GB2312" w:hAnsi="仿宋_GB2312" w:eastAsia="仿宋_GB2312" w:cs="仿宋_GB2312"/>
          <w:b/>
          <w:bCs/>
          <w:sz w:val="32"/>
          <w:szCs w:val="32"/>
        </w:rPr>
        <w:t>四是</w:t>
      </w:r>
      <w:r>
        <w:rPr>
          <w:rFonts w:hint="eastAsia" w:ascii="仿宋_GB2312" w:hAnsi="仿宋_GB2312" w:eastAsia="仿宋_GB2312" w:cs="仿宋_GB2312"/>
          <w:color w:val="000000"/>
          <w:sz w:val="32"/>
          <w:szCs w:val="32"/>
        </w:rPr>
        <w:t>做实做细关键环节，提高资金使用效益。在编制2025年预算时，对所有新增项目立项的必要性、投入的经济性、绩效目标的合理性、实施方案的有效性等方面开展了事前事前绩效评估和预算评审，确保有限的财政资金得到了高效的资源配置，有效助推了我办年度重点工作任务的有序开展。</w:t>
      </w:r>
    </w:p>
    <w:p>
      <w:pPr>
        <w:spacing w:line="600" w:lineRule="exact"/>
        <w:ind w:left="105" w:leftChars="50" w:firstLine="480" w:firstLineChars="150"/>
        <w:outlineLvl w:val="1"/>
        <w:rPr>
          <w:rFonts w:hint="eastAsia" w:ascii="楷体_GB2312" w:eastAsia="楷体_GB2312"/>
          <w:sz w:val="32"/>
          <w:szCs w:val="32"/>
          <w:highlight w:val="none"/>
        </w:rPr>
      </w:pPr>
      <w:bookmarkStart w:id="11" w:name="_Toc1643"/>
      <w:r>
        <w:rPr>
          <w:rFonts w:hint="eastAsia" w:ascii="楷体_GB2312" w:eastAsia="楷体_GB2312"/>
          <w:sz w:val="32"/>
          <w:szCs w:val="32"/>
          <w:highlight w:val="none"/>
        </w:rPr>
        <w:t>（四）结转结余率</w:t>
      </w:r>
      <w:bookmarkEnd w:id="11"/>
    </w:p>
    <w:p>
      <w:pPr>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2024年年末结转结余资金79.78,万元，</w:t>
      </w:r>
      <w:r>
        <w:rPr>
          <w:rFonts w:hint="eastAsia" w:ascii="仿宋_GB2312" w:hAnsi="宋体" w:eastAsia="仿宋_GB2312" w:cs="宋体"/>
          <w:color w:val="auto"/>
          <w:kern w:val="0"/>
          <w:sz w:val="32"/>
          <w:szCs w:val="32"/>
          <w:highlight w:val="none"/>
          <w:lang w:val="en-US" w:eastAsia="zh-CN"/>
        </w:rPr>
        <w:t>决算收入</w:t>
      </w:r>
      <w:r>
        <w:rPr>
          <w:rFonts w:hint="eastAsia" w:ascii="仿宋_GB2312" w:hAnsi="仿宋_GB2312" w:eastAsia="仿宋_GB2312" w:cs="仿宋_GB2312"/>
          <w:sz w:val="32"/>
          <w:szCs w:val="32"/>
          <w:highlight w:val="none"/>
          <w:lang w:val="en-US" w:eastAsia="zh-CN"/>
        </w:rPr>
        <w:t>4026.72</w:t>
      </w:r>
      <w:r>
        <w:rPr>
          <w:rFonts w:hint="eastAsia" w:ascii="仿宋_GB2312" w:hAnsi="宋体" w:eastAsia="仿宋_GB2312" w:cs="宋体"/>
          <w:color w:val="000000"/>
          <w:kern w:val="0"/>
          <w:sz w:val="32"/>
          <w:szCs w:val="32"/>
          <w:highlight w:val="none"/>
        </w:rPr>
        <w:t>万元</w:t>
      </w:r>
      <w:r>
        <w:rPr>
          <w:rFonts w:hint="eastAsia" w:ascii="仿宋_GB2312" w:hAnsi="仿宋_GB2312" w:eastAsia="仿宋_GB2312" w:cs="仿宋_GB2312"/>
          <w:sz w:val="32"/>
          <w:szCs w:val="32"/>
          <w:highlight w:val="none"/>
          <w:lang w:eastAsia="zh-CN"/>
        </w:rPr>
        <w:t>，结转结余率</w:t>
      </w:r>
      <w:r>
        <w:rPr>
          <w:rFonts w:hint="eastAsia" w:ascii="仿宋_GB2312" w:hAnsi="仿宋_GB2312" w:eastAsia="仿宋_GB2312" w:cs="仿宋_GB2312"/>
          <w:sz w:val="32"/>
          <w:szCs w:val="32"/>
          <w:highlight w:val="none"/>
          <w:lang w:val="en-US" w:eastAsia="zh-CN"/>
        </w:rPr>
        <w:t>1.98%。</w:t>
      </w:r>
    </w:p>
    <w:p>
      <w:pPr>
        <w:spacing w:line="600" w:lineRule="exact"/>
        <w:ind w:firstLine="640" w:firstLineChars="200"/>
        <w:rPr>
          <w:rFonts w:hint="eastAsia" w:ascii="仿宋_GB2312" w:hAnsi="宋体" w:eastAsia="仿宋_GB2312" w:cs="宋体"/>
          <w:color w:val="auto"/>
          <w:kern w:val="0"/>
          <w:sz w:val="32"/>
          <w:szCs w:val="32"/>
          <w:highlight w:val="none"/>
        </w:rPr>
      </w:pPr>
      <w:bookmarkStart w:id="12" w:name="_Toc31616"/>
      <w:r>
        <w:rPr>
          <w:rFonts w:hint="eastAsia" w:ascii="楷体_GB2312" w:eastAsia="楷体_GB2312"/>
          <w:sz w:val="32"/>
          <w:szCs w:val="32"/>
          <w:highlight w:val="none"/>
        </w:rPr>
        <w:t>（</w:t>
      </w:r>
      <w:r>
        <w:rPr>
          <w:rFonts w:hint="eastAsia" w:ascii="楷体_GB2312" w:eastAsia="楷体_GB2312"/>
          <w:sz w:val="32"/>
          <w:szCs w:val="32"/>
          <w:highlight w:val="none"/>
          <w:lang w:eastAsia="zh-CN"/>
        </w:rPr>
        <w:t>五</w:t>
      </w:r>
      <w:r>
        <w:rPr>
          <w:rFonts w:hint="eastAsia" w:ascii="楷体_GB2312" w:eastAsia="楷体_GB2312"/>
          <w:sz w:val="32"/>
          <w:szCs w:val="32"/>
          <w:highlight w:val="none"/>
        </w:rPr>
        <w:t>）部门</w:t>
      </w:r>
      <w:r>
        <w:rPr>
          <w:rFonts w:ascii="楷体_GB2312" w:eastAsia="楷体_GB2312"/>
          <w:sz w:val="32"/>
          <w:szCs w:val="32"/>
          <w:highlight w:val="none"/>
        </w:rPr>
        <w:t>预决算差异率</w:t>
      </w:r>
      <w:bookmarkEnd w:id="12"/>
    </w:p>
    <w:p>
      <w:pPr>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2024年年初预算收入4054.35万元，年末决算收入4026.72万元，相较年初预算收入减少27.63万元，预决算差异率0.68%。</w:t>
      </w:r>
    </w:p>
    <w:p>
      <w:pPr>
        <w:spacing w:line="600" w:lineRule="exact"/>
        <w:ind w:left="105" w:leftChars="50" w:firstLine="480" w:firstLineChars="150"/>
        <w:outlineLvl w:val="0"/>
        <w:rPr>
          <w:rFonts w:ascii="黑体" w:hAnsi="黑体" w:eastAsia="黑体"/>
          <w:sz w:val="32"/>
          <w:szCs w:val="32"/>
          <w:highlight w:val="none"/>
        </w:rPr>
      </w:pPr>
      <w:bookmarkStart w:id="13" w:name="_Toc688"/>
      <w:r>
        <w:rPr>
          <w:rFonts w:hint="eastAsia" w:ascii="黑体" w:hAnsi="黑体" w:eastAsia="黑体"/>
          <w:sz w:val="32"/>
          <w:szCs w:val="32"/>
          <w:highlight w:val="none"/>
        </w:rPr>
        <w:t>五、总体</w:t>
      </w:r>
      <w:r>
        <w:rPr>
          <w:rFonts w:ascii="黑体" w:hAnsi="黑体" w:eastAsia="黑体"/>
          <w:sz w:val="32"/>
          <w:szCs w:val="32"/>
          <w:highlight w:val="none"/>
        </w:rPr>
        <w:t>评价结论</w:t>
      </w:r>
      <w:bookmarkEnd w:id="13"/>
    </w:p>
    <w:p>
      <w:pPr>
        <w:spacing w:line="600" w:lineRule="exact"/>
        <w:ind w:left="105" w:leftChars="50" w:firstLine="480" w:firstLineChars="150"/>
        <w:outlineLvl w:val="1"/>
        <w:rPr>
          <w:rFonts w:hint="eastAsia" w:ascii="楷体_GB2312" w:eastAsia="楷体_GB2312"/>
          <w:sz w:val="32"/>
          <w:szCs w:val="32"/>
          <w:highlight w:val="none"/>
        </w:rPr>
      </w:pPr>
      <w:bookmarkStart w:id="14" w:name="_Toc23113"/>
      <w:r>
        <w:rPr>
          <w:rFonts w:hint="eastAsia" w:ascii="楷体_GB2312" w:eastAsia="楷体_GB2312"/>
          <w:sz w:val="32"/>
          <w:szCs w:val="32"/>
          <w:highlight w:val="none"/>
        </w:rPr>
        <w:t>（一）评价</w:t>
      </w:r>
      <w:r>
        <w:rPr>
          <w:rFonts w:ascii="楷体_GB2312" w:eastAsia="楷体_GB2312"/>
          <w:sz w:val="32"/>
          <w:szCs w:val="32"/>
          <w:highlight w:val="none"/>
        </w:rPr>
        <w:t>得分</w:t>
      </w:r>
      <w:r>
        <w:rPr>
          <w:rFonts w:hint="eastAsia" w:ascii="楷体_GB2312" w:eastAsia="楷体_GB2312"/>
          <w:sz w:val="32"/>
          <w:szCs w:val="32"/>
          <w:highlight w:val="none"/>
        </w:rPr>
        <w:t>情况</w:t>
      </w:r>
      <w:bookmarkEnd w:id="14"/>
    </w:p>
    <w:p>
      <w:pPr>
        <w:adjustRightInd w:val="0"/>
        <w:snapToGrid w:val="0"/>
        <w:spacing w:line="580" w:lineRule="exact"/>
        <w:ind w:firstLine="640" w:firstLineChars="200"/>
        <w:rPr>
          <w:rFonts w:hint="eastAsia" w:ascii="楷体_GB2312" w:eastAsia="楷体_GB2312"/>
          <w:sz w:val="32"/>
          <w:szCs w:val="32"/>
          <w:highlight w:val="none"/>
        </w:rPr>
      </w:pPr>
      <w:r>
        <w:rPr>
          <w:rFonts w:hint="eastAsia" w:ascii="仿宋_GB2312" w:hAnsi="仿宋_GB2312" w:eastAsia="仿宋_GB2312" w:cs="仿宋_GB2312"/>
          <w:color w:val="000000"/>
          <w:sz w:val="32"/>
          <w:szCs w:val="32"/>
        </w:rPr>
        <w:t>通过全面、客观的分析，</w:t>
      </w:r>
      <w:r>
        <w:rPr>
          <w:rFonts w:hint="eastAsia" w:ascii="仿宋_GB2312" w:hAnsi="仿宋_GB2312" w:eastAsia="仿宋_GB2312" w:cs="仿宋_GB2312"/>
          <w:color w:val="000000"/>
          <w:sz w:val="32"/>
          <w:szCs w:val="32"/>
          <w:lang w:val="en-US" w:eastAsia="zh-CN"/>
        </w:rPr>
        <w:t>2024年</w:t>
      </w:r>
      <w:r>
        <w:rPr>
          <w:rFonts w:hint="eastAsia" w:ascii="仿宋_GB2312" w:hAnsi="仿宋_GB2312" w:eastAsia="仿宋_GB2312" w:cs="仿宋_GB2312"/>
          <w:color w:val="000000"/>
          <w:sz w:val="32"/>
          <w:szCs w:val="32"/>
        </w:rPr>
        <w:t>部门整体绩效评价得分96.63分，综合评价等级为“优”。其中：当年预算执行情况19.</w:t>
      </w:r>
      <w:r>
        <w:rPr>
          <w:rFonts w:hint="eastAsia" w:ascii="仿宋_GB2312" w:hAnsi="仿宋_GB2312" w:eastAsia="仿宋_GB2312" w:cs="仿宋_GB2312"/>
          <w:color w:val="000000"/>
          <w:sz w:val="32"/>
          <w:szCs w:val="32"/>
          <w:lang w:val="en-US" w:eastAsia="zh-CN"/>
        </w:rPr>
        <w:t>60</w:t>
      </w:r>
      <w:r>
        <w:rPr>
          <w:rFonts w:ascii="仿宋_GB2312" w:hAnsi="仿宋_GB2312" w:eastAsia="仿宋_GB2312" w:cs="仿宋_GB2312"/>
          <w:color w:val="000000"/>
          <w:sz w:val="32"/>
          <w:szCs w:val="32"/>
        </w:rPr>
        <w:t>分，整体绩效目标实</w:t>
      </w:r>
      <w:r>
        <w:rPr>
          <w:rFonts w:hint="eastAsia" w:ascii="仿宋_GB2312" w:hAnsi="仿宋_GB2312" w:eastAsia="仿宋_GB2312" w:cs="仿宋_GB2312"/>
          <w:color w:val="000000"/>
          <w:sz w:val="32"/>
          <w:szCs w:val="32"/>
        </w:rPr>
        <w:t>现</w:t>
      </w:r>
      <w:r>
        <w:rPr>
          <w:rFonts w:ascii="仿宋_GB2312" w:hAnsi="仿宋_GB2312" w:eastAsia="仿宋_GB2312" w:cs="仿宋_GB2312"/>
          <w:color w:val="000000"/>
          <w:sz w:val="32"/>
          <w:szCs w:val="32"/>
        </w:rPr>
        <w:t>情况</w:t>
      </w:r>
      <w:r>
        <w:rPr>
          <w:rFonts w:hint="eastAsia" w:ascii="仿宋_GB2312" w:hAnsi="仿宋_GB2312" w:eastAsia="仿宋_GB2312" w:cs="仿宋_GB2312"/>
          <w:color w:val="000000"/>
          <w:sz w:val="32"/>
          <w:szCs w:val="32"/>
          <w:lang w:val="en-US" w:eastAsia="zh-CN"/>
        </w:rPr>
        <w:t>57.83</w:t>
      </w:r>
      <w:r>
        <w:rPr>
          <w:rFonts w:hint="eastAsia" w:ascii="仿宋_GB2312" w:hAnsi="仿宋_GB2312" w:eastAsia="仿宋_GB2312" w:cs="仿宋_GB2312"/>
          <w:color w:val="000000"/>
          <w:sz w:val="32"/>
          <w:szCs w:val="32"/>
        </w:rPr>
        <w:t>分，预算管理情况</w:t>
      </w:r>
      <w:r>
        <w:rPr>
          <w:rFonts w:hint="eastAsia" w:ascii="仿宋_GB2312" w:hAnsi="仿宋_GB2312" w:eastAsia="仿宋_GB2312" w:cs="仿宋_GB2312"/>
          <w:color w:val="000000"/>
          <w:sz w:val="32"/>
          <w:szCs w:val="32"/>
          <w:lang w:val="en-US" w:eastAsia="zh-CN"/>
        </w:rPr>
        <w:t>19.20</w:t>
      </w:r>
      <w:r>
        <w:rPr>
          <w:rFonts w:ascii="仿宋_GB2312" w:hAnsi="仿宋_GB2312" w:eastAsia="仿宋_GB2312" w:cs="仿宋_GB2312"/>
          <w:color w:val="000000"/>
          <w:sz w:val="32"/>
          <w:szCs w:val="32"/>
        </w:rPr>
        <w:t>分，</w:t>
      </w:r>
      <w:r>
        <w:rPr>
          <w:rFonts w:hint="eastAsia" w:ascii="仿宋_GB2312" w:hAnsi="仿宋_GB2312" w:eastAsia="仿宋_GB2312" w:cs="仿宋_GB2312"/>
          <w:color w:val="000000"/>
          <w:sz w:val="32"/>
          <w:szCs w:val="32"/>
        </w:rPr>
        <w:t>具体评分见《北京市重大项目建设指挥部办公室20</w:t>
      </w:r>
      <w:r>
        <w:rPr>
          <w:rFonts w:hint="eastAsia" w:ascii="仿宋_GB2312" w:hAnsi="仿宋_GB2312" w:eastAsia="仿宋_GB2312" w:cs="仿宋_GB2312"/>
          <w:color w:val="000000"/>
          <w:sz w:val="32"/>
          <w:szCs w:val="32"/>
          <w:lang w:val="en-US" w:eastAsia="zh-CN"/>
        </w:rPr>
        <w:t>24</w:t>
      </w:r>
      <w:r>
        <w:rPr>
          <w:rFonts w:hint="eastAsia" w:ascii="仿宋_GB2312" w:hAnsi="仿宋_GB2312" w:eastAsia="仿宋_GB2312" w:cs="仿宋_GB2312"/>
          <w:color w:val="000000"/>
          <w:sz w:val="32"/>
          <w:szCs w:val="32"/>
        </w:rPr>
        <w:t>年部门整体绩效评价指标体系评分表》。</w:t>
      </w:r>
    </w:p>
    <w:p>
      <w:pPr>
        <w:numPr>
          <w:ilvl w:val="0"/>
          <w:numId w:val="0"/>
        </w:numPr>
        <w:spacing w:line="600" w:lineRule="exact"/>
        <w:ind w:left="0" w:leftChars="0" w:firstLine="640" w:firstLineChars="200"/>
        <w:outlineLvl w:val="1"/>
        <w:rPr>
          <w:rFonts w:hint="eastAsia" w:ascii="楷体_GB2312" w:eastAsia="楷体_GB2312"/>
          <w:sz w:val="32"/>
          <w:szCs w:val="32"/>
          <w:highlight w:val="none"/>
        </w:rPr>
      </w:pPr>
      <w:bookmarkStart w:id="15" w:name="_Toc27317"/>
      <w:r>
        <w:rPr>
          <w:rFonts w:hint="eastAsia" w:ascii="楷体_GB2312" w:hAnsi="Times New Roman" w:eastAsia="楷体_GB2312" w:cs="Times New Roman"/>
          <w:kern w:val="2"/>
          <w:sz w:val="32"/>
          <w:szCs w:val="32"/>
          <w:highlight w:val="none"/>
          <w:lang w:val="en-US" w:eastAsia="zh-CN" w:bidi="ar-SA"/>
        </w:rPr>
        <w:t>（</w:t>
      </w:r>
      <w:r>
        <w:rPr>
          <w:rFonts w:hint="eastAsia" w:ascii="楷体_GB2312" w:eastAsia="楷体_GB2312" w:cs="Times New Roman"/>
          <w:kern w:val="2"/>
          <w:sz w:val="32"/>
          <w:szCs w:val="32"/>
          <w:highlight w:val="none"/>
          <w:lang w:val="en-US" w:eastAsia="zh-CN" w:bidi="ar-SA"/>
        </w:rPr>
        <w:t>二</w:t>
      </w:r>
      <w:r>
        <w:rPr>
          <w:rFonts w:hint="eastAsia" w:ascii="楷体_GB2312" w:hAnsi="Times New Roman" w:eastAsia="楷体_GB2312" w:cs="Times New Roman"/>
          <w:kern w:val="2"/>
          <w:sz w:val="32"/>
          <w:szCs w:val="32"/>
          <w:highlight w:val="none"/>
          <w:lang w:val="en-US" w:eastAsia="zh-CN" w:bidi="ar-SA"/>
        </w:rPr>
        <w:t>）</w:t>
      </w:r>
      <w:r>
        <w:rPr>
          <w:rFonts w:hint="eastAsia" w:ascii="楷体_GB2312" w:eastAsia="楷体_GB2312"/>
          <w:sz w:val="32"/>
          <w:szCs w:val="32"/>
          <w:highlight w:val="none"/>
        </w:rPr>
        <w:t>存在的问题及原因分析</w:t>
      </w:r>
      <w:bookmarkEnd w:id="15"/>
    </w:p>
    <w:p>
      <w:pPr>
        <w:spacing w:line="600" w:lineRule="exact"/>
        <w:ind w:firstLine="640" w:firstLineChars="200"/>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个别项目</w:t>
      </w:r>
      <w:r>
        <w:rPr>
          <w:rFonts w:hint="eastAsia" w:ascii="仿宋_GB2312" w:hAnsi="宋体" w:eastAsia="仿宋_GB2312" w:cs="宋体"/>
          <w:color w:val="auto"/>
          <w:kern w:val="0"/>
          <w:sz w:val="32"/>
          <w:szCs w:val="32"/>
          <w:highlight w:val="none"/>
        </w:rPr>
        <w:t>效益实现</w:t>
      </w:r>
      <w:r>
        <w:rPr>
          <w:rFonts w:hint="eastAsia" w:ascii="仿宋_GB2312" w:hAnsi="宋体" w:eastAsia="仿宋_GB2312" w:cs="宋体"/>
          <w:color w:val="auto"/>
          <w:kern w:val="0"/>
          <w:sz w:val="32"/>
          <w:szCs w:val="32"/>
          <w:highlight w:val="none"/>
          <w:lang w:eastAsia="zh-CN"/>
        </w:rPr>
        <w:t>情况</w:t>
      </w:r>
      <w:r>
        <w:rPr>
          <w:rFonts w:hint="eastAsia" w:ascii="仿宋_GB2312" w:hAnsi="宋体" w:eastAsia="仿宋_GB2312" w:cs="宋体"/>
          <w:color w:val="auto"/>
          <w:kern w:val="0"/>
          <w:sz w:val="32"/>
          <w:szCs w:val="32"/>
          <w:highlight w:val="none"/>
        </w:rPr>
        <w:t>有待进一步优化</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lang w:val="en-US" w:eastAsia="zh-CN"/>
        </w:rPr>
        <w:t>如</w:t>
      </w:r>
      <w:r>
        <w:rPr>
          <w:rFonts w:hint="eastAsia" w:ascii="仿宋_GB2312" w:hAnsi="宋体" w:eastAsia="仿宋_GB2312" w:cs="宋体"/>
          <w:color w:val="auto"/>
          <w:kern w:val="0"/>
          <w:sz w:val="32"/>
          <w:szCs w:val="32"/>
          <w:highlight w:val="none"/>
        </w:rPr>
        <w:t>电子档案管理系统平台运维费项目</w:t>
      </w:r>
      <w:r>
        <w:rPr>
          <w:rFonts w:hint="eastAsia" w:ascii="仿宋_GB2312" w:hAnsi="宋体" w:eastAsia="仿宋_GB2312" w:cs="宋体"/>
          <w:color w:val="auto"/>
          <w:kern w:val="0"/>
          <w:sz w:val="32"/>
          <w:szCs w:val="32"/>
          <w:highlight w:val="none"/>
          <w:lang w:eastAsia="zh-CN"/>
        </w:rPr>
        <w:t>的</w:t>
      </w:r>
      <w:r>
        <w:rPr>
          <w:rFonts w:hint="eastAsia" w:ascii="仿宋_GB2312" w:hAnsi="宋体" w:eastAsia="仿宋_GB2312" w:cs="宋体"/>
          <w:color w:val="auto"/>
          <w:kern w:val="0"/>
          <w:sz w:val="32"/>
          <w:szCs w:val="32"/>
          <w:highlight w:val="none"/>
        </w:rPr>
        <w:t>密码设置</w:t>
      </w:r>
      <w:r>
        <w:rPr>
          <w:rFonts w:hint="eastAsia" w:ascii="仿宋_GB2312" w:hAnsi="宋体" w:eastAsia="仿宋_GB2312" w:cs="宋体"/>
          <w:color w:val="auto"/>
          <w:kern w:val="0"/>
          <w:sz w:val="32"/>
          <w:szCs w:val="32"/>
          <w:highlight w:val="none"/>
          <w:lang w:eastAsia="zh-CN"/>
        </w:rPr>
        <w:t>大小写、特殊字符系统</w:t>
      </w:r>
      <w:r>
        <w:rPr>
          <w:rFonts w:hint="eastAsia" w:ascii="仿宋_GB2312" w:hAnsi="宋体" w:eastAsia="仿宋_GB2312" w:cs="宋体"/>
          <w:color w:val="auto"/>
          <w:kern w:val="0"/>
          <w:sz w:val="32"/>
          <w:szCs w:val="32"/>
          <w:highlight w:val="none"/>
        </w:rPr>
        <w:t>验</w:t>
      </w:r>
      <w:r>
        <w:rPr>
          <w:rFonts w:hint="eastAsia" w:ascii="仿宋_GB2312" w:hAnsi="宋体" w:eastAsia="仿宋_GB2312" w:cs="宋体"/>
          <w:color w:val="auto"/>
          <w:kern w:val="0"/>
          <w:sz w:val="32"/>
          <w:szCs w:val="32"/>
          <w:highlight w:val="none"/>
          <w:lang w:eastAsia="zh-CN"/>
        </w:rPr>
        <w:t>证</w:t>
      </w:r>
      <w:r>
        <w:rPr>
          <w:rFonts w:hint="eastAsia" w:ascii="仿宋_GB2312" w:hAnsi="宋体" w:eastAsia="仿宋_GB2312" w:cs="宋体"/>
          <w:color w:val="auto"/>
          <w:kern w:val="0"/>
          <w:sz w:val="32"/>
          <w:szCs w:val="32"/>
          <w:highlight w:val="none"/>
        </w:rPr>
        <w:t>有待优化</w:t>
      </w:r>
      <w:r>
        <w:rPr>
          <w:rFonts w:hint="eastAsia" w:ascii="仿宋_GB2312" w:hAnsi="宋体" w:eastAsia="仿宋_GB2312" w:cs="宋体"/>
          <w:color w:val="auto"/>
          <w:kern w:val="0"/>
          <w:sz w:val="32"/>
          <w:szCs w:val="32"/>
          <w:highlight w:val="none"/>
          <w:lang w:eastAsia="zh-CN"/>
        </w:rPr>
        <w:t>。</w:t>
      </w:r>
    </w:p>
    <w:p>
      <w:pPr>
        <w:spacing w:line="600" w:lineRule="exact"/>
        <w:ind w:firstLine="640" w:firstLineChars="200"/>
        <w:outlineLvl w:val="0"/>
        <w:rPr>
          <w:rFonts w:hint="eastAsia" w:ascii="仿宋_GB2312" w:hAnsi="宋体" w:eastAsia="仿宋_GB2312" w:cs="宋体"/>
          <w:color w:val="000000"/>
          <w:kern w:val="0"/>
          <w:sz w:val="32"/>
          <w:szCs w:val="32"/>
          <w:highlight w:val="none"/>
        </w:rPr>
      </w:pPr>
      <w:bookmarkStart w:id="16" w:name="_Toc6074"/>
      <w:r>
        <w:rPr>
          <w:rFonts w:hint="eastAsia" w:ascii="黑体" w:hAnsi="黑体" w:eastAsia="黑体" w:cs="宋体"/>
          <w:color w:val="000000"/>
          <w:kern w:val="0"/>
          <w:sz w:val="32"/>
          <w:szCs w:val="32"/>
          <w:highlight w:val="none"/>
        </w:rPr>
        <w:t>六、措施建议</w:t>
      </w:r>
      <w:bookmarkEnd w:id="16"/>
    </w:p>
    <w:p>
      <w:pPr>
        <w:spacing w:line="600" w:lineRule="exact"/>
        <w:ind w:firstLine="640" w:firstLineChars="200"/>
        <w:rPr>
          <w:rFonts w:hint="eastAsia" w:ascii="仿宋_GB2312" w:hAnsi="宋体" w:eastAsia="仿宋_GB2312" w:cs="宋体"/>
          <w:color w:val="auto"/>
          <w:kern w:val="0"/>
          <w:sz w:val="32"/>
          <w:szCs w:val="32"/>
          <w:highlight w:val="none"/>
          <w:lang w:val="en-US" w:eastAsia="zh-CN"/>
        </w:rPr>
        <w:sectPr>
          <w:footerReference r:id="rId5" w:type="default"/>
          <w:pgSz w:w="11906" w:h="16838"/>
          <w:pgMar w:top="1440" w:right="1800" w:bottom="1440" w:left="1800" w:header="851" w:footer="992" w:gutter="0"/>
          <w:pgNumType w:fmt="decimal" w:start="1"/>
          <w:cols w:space="425" w:num="1"/>
          <w:docGrid w:type="lines" w:linePitch="312" w:charSpace="0"/>
        </w:sectPr>
      </w:pPr>
      <w:r>
        <w:rPr>
          <w:rFonts w:hint="eastAsia" w:ascii="仿宋_GB2312" w:hAnsi="宋体" w:eastAsia="仿宋_GB2312" w:cs="宋体"/>
          <w:color w:val="auto"/>
          <w:kern w:val="0"/>
          <w:sz w:val="32"/>
          <w:szCs w:val="32"/>
          <w:highlight w:val="none"/>
          <w:lang w:val="en-US" w:eastAsia="zh-CN"/>
        </w:rPr>
        <w:t>综上所述，市重大项目办在2024年度项目执行与效益实现过程中，虽然取得了较好的成绩，但仍有一些亟待解决的问题。针对上述问题，建议今后在设定绩效指标时要</w:t>
      </w:r>
      <w:r>
        <w:rPr>
          <w:rFonts w:hint="eastAsia" w:ascii="仿宋_GB2312" w:hAnsi="宋体" w:eastAsia="仿宋_GB2312" w:cs="宋体"/>
          <w:b w:val="0"/>
          <w:bCs w:val="0"/>
          <w:color w:val="auto"/>
          <w:kern w:val="0"/>
          <w:sz w:val="32"/>
          <w:szCs w:val="32"/>
          <w:highlight w:val="none"/>
          <w:lang w:val="en-US" w:eastAsia="zh-CN"/>
        </w:rPr>
        <w:t>优化项目效益实现路径，</w:t>
      </w:r>
      <w:r>
        <w:rPr>
          <w:rFonts w:hint="eastAsia" w:ascii="仿宋_GB2312" w:hAnsi="宋体" w:eastAsia="仿宋_GB2312" w:cs="宋体"/>
          <w:color w:val="auto"/>
          <w:kern w:val="0"/>
          <w:sz w:val="32"/>
          <w:szCs w:val="32"/>
          <w:highlight w:val="none"/>
          <w:lang w:val="en-US" w:eastAsia="zh-CN"/>
        </w:rPr>
        <w:t>对效益实现过程中存在的问题，要进行深入分析并及时优化解决。通过持续改进与创新，不断提升项目的整体效益与使用人员的满意度。</w:t>
      </w:r>
    </w:p>
    <w:p>
      <w:pPr>
        <w:pStyle w:val="7"/>
        <w:outlineLvl w:val="0"/>
      </w:pPr>
      <w:bookmarkStart w:id="17" w:name="_Toc18949"/>
      <w:r>
        <w:rPr>
          <w:rFonts w:hint="eastAsia" w:ascii="仿宋_GB2312" w:hAnsi="仿宋_GB2312" w:eastAsia="仿宋_GB2312" w:cs="仿宋_GB2312"/>
          <w:sz w:val="32"/>
          <w:szCs w:val="32"/>
        </w:rPr>
        <w:t>附件：</w:t>
      </w:r>
      <w:bookmarkEnd w:id="17"/>
    </w:p>
    <w:tbl>
      <w:tblPr>
        <w:tblStyle w:val="12"/>
        <w:tblW w:w="14445" w:type="dxa"/>
        <w:tblInd w:w="-13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5"/>
        <w:gridCol w:w="890"/>
        <w:gridCol w:w="1139"/>
        <w:gridCol w:w="1410"/>
        <w:gridCol w:w="3"/>
        <w:gridCol w:w="3013"/>
        <w:gridCol w:w="3"/>
        <w:gridCol w:w="1419"/>
        <w:gridCol w:w="3"/>
        <w:gridCol w:w="924"/>
        <w:gridCol w:w="3"/>
        <w:gridCol w:w="944"/>
        <w:gridCol w:w="3"/>
        <w:gridCol w:w="1611"/>
        <w:gridCol w:w="3"/>
        <w:gridCol w:w="2807"/>
        <w:gridCol w:w="117"/>
        <w:gridCol w:w="3"/>
        <w:gridCol w:w="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35" w:type="dxa"/>
          <w:trHeight w:val="390" w:hRule="atLeast"/>
        </w:trPr>
        <w:tc>
          <w:tcPr>
            <w:tcW w:w="14310" w:type="dxa"/>
            <w:gridSpan w:val="16"/>
            <w:shd w:val="clear" w:color="auto" w:fill="auto"/>
            <w:noWrap/>
            <w:vAlign w:val="center"/>
          </w:tcPr>
          <w:p>
            <w:pPr>
              <w:keepNext w:val="0"/>
              <w:keepLines w:val="0"/>
              <w:pageBreakBefore w:val="0"/>
              <w:widowControl/>
              <w:shd w:val="clear"/>
              <w:kinsoku/>
              <w:wordWrap/>
              <w:overflowPunct/>
              <w:topLinePunct w:val="0"/>
              <w:autoSpaceDE/>
              <w:autoSpaceDN/>
              <w:bidi w:val="0"/>
              <w:adjustRightInd w:val="0"/>
              <w:snapToGrid w:val="0"/>
              <w:spacing w:line="240" w:lineRule="auto"/>
              <w:ind w:firstLine="0" w:firstLineChars="0"/>
              <w:jc w:val="center"/>
              <w:textAlignment w:val="center"/>
              <w:rPr>
                <w:rFonts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北京市重大项目建设指挥部办公室202</w:t>
            </w:r>
            <w:r>
              <w:rPr>
                <w:rFonts w:hint="eastAsia" w:ascii="宋体" w:hAnsi="宋体" w:cs="宋体"/>
                <w:b/>
                <w:bCs/>
                <w:color w:val="auto"/>
                <w:kern w:val="0"/>
                <w:sz w:val="28"/>
                <w:szCs w:val="28"/>
                <w:highlight w:val="none"/>
                <w:lang w:val="en-US" w:eastAsia="zh-CN" w:bidi="ar"/>
              </w:rPr>
              <w:t>4</w:t>
            </w:r>
            <w:r>
              <w:rPr>
                <w:rFonts w:hint="eastAsia" w:ascii="宋体" w:hAnsi="宋体" w:cs="宋体"/>
                <w:b/>
                <w:bCs/>
                <w:color w:val="auto"/>
                <w:kern w:val="0"/>
                <w:sz w:val="28"/>
                <w:szCs w:val="28"/>
                <w:highlight w:val="none"/>
                <w:lang w:bidi="ar"/>
              </w:rPr>
              <w:t>年部门整体绩效评价指标体系评分表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wBefore w:w="135" w:type="dxa"/>
          <w:trHeight w:val="330" w:hRule="atLeast"/>
        </w:trPr>
        <w:tc>
          <w:tcPr>
            <w:tcW w:w="14310" w:type="dxa"/>
            <w:gridSpan w:val="18"/>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一、当年预算执行情况（20分）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一级指标</w:t>
            </w:r>
          </w:p>
        </w:tc>
        <w:tc>
          <w:tcPr>
            <w:tcW w:w="1139" w:type="dxa"/>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二级指标</w:t>
            </w:r>
          </w:p>
        </w:tc>
        <w:tc>
          <w:tcPr>
            <w:tcW w:w="1410" w:type="dxa"/>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预算数（万元）</w:t>
            </w:r>
          </w:p>
        </w:tc>
        <w:tc>
          <w:tcPr>
            <w:tcW w:w="3016" w:type="dxa"/>
            <w:gridSpan w:val="2"/>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执行数（万元）</w:t>
            </w:r>
          </w:p>
        </w:tc>
        <w:tc>
          <w:tcPr>
            <w:tcW w:w="1422" w:type="dxa"/>
            <w:gridSpan w:val="2"/>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预算执行率</w:t>
            </w:r>
          </w:p>
        </w:tc>
        <w:tc>
          <w:tcPr>
            <w:tcW w:w="927" w:type="dxa"/>
            <w:gridSpan w:val="2"/>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分值</w:t>
            </w:r>
          </w:p>
        </w:tc>
        <w:tc>
          <w:tcPr>
            <w:tcW w:w="947" w:type="dxa"/>
            <w:gridSpan w:val="2"/>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得分</w:t>
            </w:r>
          </w:p>
        </w:tc>
        <w:tc>
          <w:tcPr>
            <w:tcW w:w="1614" w:type="dxa"/>
            <w:gridSpan w:val="2"/>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指标解释</w:t>
            </w:r>
          </w:p>
        </w:tc>
        <w:tc>
          <w:tcPr>
            <w:tcW w:w="2927" w:type="dxa"/>
            <w:gridSpan w:val="3"/>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bCs/>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bCs/>
                <w:i w:val="0"/>
                <w:iCs w:val="0"/>
                <w:color w:val="auto"/>
                <w:sz w:val="18"/>
                <w:szCs w:val="18"/>
                <w:highlight w:val="none"/>
                <w:u w:val="none"/>
              </w:rPr>
            </w:pPr>
          </w:p>
        </w:tc>
        <w:tc>
          <w:tcPr>
            <w:tcW w:w="141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bCs/>
                <w:i w:val="0"/>
                <w:iCs w:val="0"/>
                <w:color w:val="auto"/>
                <w:sz w:val="18"/>
                <w:szCs w:val="18"/>
                <w:highlight w:val="none"/>
                <w:u w:val="none"/>
              </w:rPr>
            </w:pPr>
          </w:p>
        </w:tc>
        <w:tc>
          <w:tcPr>
            <w:tcW w:w="3016"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bCs/>
                <w:i w:val="0"/>
                <w:iCs w:val="0"/>
                <w:color w:val="auto"/>
                <w:sz w:val="18"/>
                <w:szCs w:val="18"/>
                <w:highlight w:val="none"/>
                <w:u w:val="none"/>
              </w:rPr>
            </w:pPr>
          </w:p>
        </w:tc>
        <w:tc>
          <w:tcPr>
            <w:tcW w:w="1422"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bCs/>
                <w:i w:val="0"/>
                <w:iCs w:val="0"/>
                <w:color w:val="auto"/>
                <w:sz w:val="18"/>
                <w:szCs w:val="18"/>
                <w:highlight w:val="none"/>
                <w:u w:val="none"/>
              </w:rPr>
            </w:pPr>
          </w:p>
        </w:tc>
        <w:tc>
          <w:tcPr>
            <w:tcW w:w="927"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bCs/>
                <w:i w:val="0"/>
                <w:iCs w:val="0"/>
                <w:color w:val="auto"/>
                <w:sz w:val="18"/>
                <w:szCs w:val="18"/>
                <w:highlight w:val="none"/>
                <w:u w:val="none"/>
              </w:rPr>
            </w:pPr>
          </w:p>
        </w:tc>
        <w:tc>
          <w:tcPr>
            <w:tcW w:w="947"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bCs/>
                <w:i w:val="0"/>
                <w:iCs w:val="0"/>
                <w:color w:val="auto"/>
                <w:sz w:val="18"/>
                <w:szCs w:val="18"/>
                <w:highlight w:val="none"/>
                <w:u w:val="none"/>
              </w:rPr>
            </w:pPr>
          </w:p>
        </w:tc>
        <w:tc>
          <w:tcPr>
            <w:tcW w:w="1614"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bCs/>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bCs/>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1134" w:hRule="exact"/>
        </w:trPr>
        <w:tc>
          <w:tcPr>
            <w:tcW w:w="890" w:type="dxa"/>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当年预算执行情况（20分）</w:t>
            </w:r>
          </w:p>
        </w:tc>
        <w:tc>
          <w:tcPr>
            <w:tcW w:w="1139" w:type="dxa"/>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资金总体</w:t>
            </w:r>
          </w:p>
        </w:tc>
        <w:tc>
          <w:tcPr>
            <w:tcW w:w="1410" w:type="dxa"/>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4,030.19</w:t>
            </w: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3,950.41</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98.02%</w:t>
            </w:r>
          </w:p>
        </w:tc>
        <w:tc>
          <w:tcPr>
            <w:tcW w:w="927" w:type="dxa"/>
            <w:gridSpan w:val="2"/>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20.00</w:t>
            </w:r>
          </w:p>
        </w:tc>
        <w:tc>
          <w:tcPr>
            <w:tcW w:w="947" w:type="dxa"/>
            <w:gridSpan w:val="2"/>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19.60</w:t>
            </w:r>
          </w:p>
        </w:tc>
        <w:tc>
          <w:tcPr>
            <w:tcW w:w="1614" w:type="dxa"/>
            <w:gridSpan w:val="2"/>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部门全年执行数与全年预算数的比率。资金总体=基本支出+项目支出+其他</w:t>
            </w:r>
          </w:p>
        </w:tc>
        <w:tc>
          <w:tcPr>
            <w:tcW w:w="2927" w:type="dxa"/>
            <w:gridSpan w:val="3"/>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①得分一档最高不能超过该指标分值上限（20分）。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②该指标若为正向指标，则得分计算方法应用全年实际值/年度指标值*该指标分值；若定量指标为反向指标，则得分计算方法应用年度指标值/全年实际值*该指标分值。若年初指标值设定偏低，则得分计算方法应用（全年实际值-年度指标值/年度指标值*100%。若计算结果在200%（含）-300%区间，则按照该指标分值的10%扣分；计算结果在300%（含）-500%区间，则按照该指标分值的20%扣分；计算结果高于500%（含），则按照该指标分值的30%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1134" w:hRule="exac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基本支出</w:t>
            </w:r>
          </w:p>
        </w:tc>
        <w:tc>
          <w:tcPr>
            <w:tcW w:w="1410" w:type="dxa"/>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3,775.76</w:t>
            </w: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3,706.98</w:t>
            </w:r>
          </w:p>
        </w:tc>
        <w:tc>
          <w:tcPr>
            <w:tcW w:w="1422" w:type="dxa"/>
            <w:gridSpan w:val="2"/>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927"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947"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614"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left"/>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1134" w:hRule="exac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项目支出</w:t>
            </w:r>
          </w:p>
        </w:tc>
        <w:tc>
          <w:tcPr>
            <w:tcW w:w="1410" w:type="dxa"/>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254.43</w:t>
            </w: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243.43</w:t>
            </w:r>
          </w:p>
        </w:tc>
        <w:tc>
          <w:tcPr>
            <w:tcW w:w="1422"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927"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947"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614"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left"/>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1134" w:hRule="exac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其他</w:t>
            </w:r>
          </w:p>
        </w:tc>
        <w:tc>
          <w:tcPr>
            <w:tcW w:w="1410" w:type="dxa"/>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3016" w:type="dxa"/>
            <w:gridSpan w:val="2"/>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22"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927"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947"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614"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left"/>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wBefore w:w="135" w:type="dxa"/>
          <w:trHeight w:val="330" w:hRule="atLeast"/>
        </w:trPr>
        <w:tc>
          <w:tcPr>
            <w:tcW w:w="14310" w:type="dxa"/>
            <w:gridSpan w:val="18"/>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二、整体绩效目标实现情况（60分）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一级指标</w:t>
            </w:r>
          </w:p>
        </w:tc>
        <w:tc>
          <w:tcPr>
            <w:tcW w:w="1139" w:type="dxa"/>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二级指标</w:t>
            </w:r>
          </w:p>
        </w:tc>
        <w:tc>
          <w:tcPr>
            <w:tcW w:w="1410" w:type="dxa"/>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三级指标</w:t>
            </w:r>
          </w:p>
        </w:tc>
        <w:tc>
          <w:tcPr>
            <w:tcW w:w="3016"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指标值</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完成值</w:t>
            </w:r>
          </w:p>
        </w:tc>
        <w:tc>
          <w:tcPr>
            <w:tcW w:w="927"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分值</w:t>
            </w:r>
          </w:p>
        </w:tc>
        <w:tc>
          <w:tcPr>
            <w:tcW w:w="947"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得分</w:t>
            </w:r>
          </w:p>
        </w:tc>
        <w:tc>
          <w:tcPr>
            <w:tcW w:w="1614"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指标解释</w:t>
            </w:r>
          </w:p>
        </w:tc>
        <w:tc>
          <w:tcPr>
            <w:tcW w:w="2927" w:type="dxa"/>
            <w:gridSpan w:val="3"/>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60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整体绩效目标实现情况（60分）</w:t>
            </w:r>
          </w:p>
        </w:tc>
        <w:tc>
          <w:tcPr>
            <w:tcW w:w="1139" w:type="dxa"/>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产出（30分）</w:t>
            </w:r>
          </w:p>
        </w:tc>
        <w:tc>
          <w:tcPr>
            <w:tcW w:w="1410" w:type="dxa"/>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数量指标</w:t>
            </w: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电子档案管理系统、政务综合办公服务平台系统运维数量＝2套</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2套</w:t>
            </w:r>
          </w:p>
        </w:tc>
        <w:tc>
          <w:tcPr>
            <w:tcW w:w="92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1.00</w:t>
            </w:r>
          </w:p>
        </w:tc>
        <w:tc>
          <w:tcPr>
            <w:tcW w:w="94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1.00</w:t>
            </w:r>
          </w:p>
        </w:tc>
        <w:tc>
          <w:tcPr>
            <w:tcW w:w="1614" w:type="dxa"/>
            <w:gridSpan w:val="2"/>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产出数量：</w:t>
            </w:r>
            <w:r>
              <w:rPr>
                <w:rFonts w:hint="eastAsia" w:ascii="宋体" w:hAnsi="宋体" w:eastAsia="宋体" w:cs="宋体"/>
                <w:i w:val="0"/>
                <w:iCs w:val="0"/>
                <w:color w:val="auto"/>
                <w:kern w:val="0"/>
                <w:sz w:val="18"/>
                <w:szCs w:val="18"/>
                <w:highlight w:val="none"/>
                <w:u w:val="none"/>
                <w:lang w:val="en-US" w:eastAsia="zh-CN" w:bidi="ar"/>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p>
        </w:tc>
        <w:tc>
          <w:tcPr>
            <w:tcW w:w="2927" w:type="dxa"/>
            <w:gridSpan w:val="3"/>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完成计划工作的90%以上，满分；每少完成10%的工作量扣0.1分，扣完为止。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1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法律咨询时间≥40小时</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49.80小时</w:t>
            </w:r>
          </w:p>
        </w:tc>
        <w:tc>
          <w:tcPr>
            <w:tcW w:w="92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1.00</w:t>
            </w:r>
          </w:p>
        </w:tc>
        <w:tc>
          <w:tcPr>
            <w:tcW w:w="94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1.00</w:t>
            </w:r>
          </w:p>
        </w:tc>
        <w:tc>
          <w:tcPr>
            <w:tcW w:w="1614"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b/>
                <w:bCs/>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1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合同审核份数≥20份</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40份</w:t>
            </w:r>
          </w:p>
        </w:tc>
        <w:tc>
          <w:tcPr>
            <w:tcW w:w="92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1.00</w:t>
            </w:r>
          </w:p>
        </w:tc>
        <w:tc>
          <w:tcPr>
            <w:tcW w:w="94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default"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0.70</w:t>
            </w:r>
          </w:p>
        </w:tc>
        <w:tc>
          <w:tcPr>
            <w:tcW w:w="1614"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b/>
                <w:bCs/>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1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计划册印刷数量＝190本</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190本</w:t>
            </w:r>
          </w:p>
        </w:tc>
        <w:tc>
          <w:tcPr>
            <w:tcW w:w="92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default"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1.00</w:t>
            </w:r>
          </w:p>
        </w:tc>
        <w:tc>
          <w:tcPr>
            <w:tcW w:w="94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default"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1.00</w:t>
            </w:r>
          </w:p>
        </w:tc>
        <w:tc>
          <w:tcPr>
            <w:tcW w:w="1614"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b/>
                <w:bCs/>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1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计算机终端运维数量（应用系统运维3个、硬件设备运维238台、安全软件运维12类）＝253个（台、套、件、辆）</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完成计算机终端标运维数量（应用系统运维3个、硬件设备运维238台、安全软件运维12类）</w:t>
            </w:r>
          </w:p>
        </w:tc>
        <w:tc>
          <w:tcPr>
            <w:tcW w:w="92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default"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1.00</w:t>
            </w:r>
          </w:p>
        </w:tc>
        <w:tc>
          <w:tcPr>
            <w:tcW w:w="94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default"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1.00</w:t>
            </w:r>
          </w:p>
        </w:tc>
        <w:tc>
          <w:tcPr>
            <w:tcW w:w="1614"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b/>
                <w:bCs/>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1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门户网站信息内容发布条数≥400条</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402条</w:t>
            </w:r>
          </w:p>
        </w:tc>
        <w:tc>
          <w:tcPr>
            <w:tcW w:w="92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default"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1.00</w:t>
            </w:r>
          </w:p>
        </w:tc>
        <w:tc>
          <w:tcPr>
            <w:tcW w:w="94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default"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1.00</w:t>
            </w:r>
          </w:p>
        </w:tc>
        <w:tc>
          <w:tcPr>
            <w:tcW w:w="1614"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b/>
                <w:bCs/>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1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门户网站运维次数（网页模板维护50次、网站功能维护482次）≥532次</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门户网站运维次数（网页模板维护64次、网站功能维护510次）</w:t>
            </w:r>
          </w:p>
        </w:tc>
        <w:tc>
          <w:tcPr>
            <w:tcW w:w="92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default"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2.00</w:t>
            </w:r>
          </w:p>
        </w:tc>
        <w:tc>
          <w:tcPr>
            <w:tcW w:w="94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default"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2.00</w:t>
            </w:r>
          </w:p>
        </w:tc>
        <w:tc>
          <w:tcPr>
            <w:tcW w:w="1614"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b/>
                <w:bCs/>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1908"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1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门户网站重要保障期安全值守＝52天</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52天</w:t>
            </w:r>
          </w:p>
        </w:tc>
        <w:tc>
          <w:tcPr>
            <w:tcW w:w="92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1.00</w:t>
            </w:r>
          </w:p>
        </w:tc>
        <w:tc>
          <w:tcPr>
            <w:tcW w:w="94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1.00</w:t>
            </w:r>
          </w:p>
        </w:tc>
        <w:tc>
          <w:tcPr>
            <w:tcW w:w="1614"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b/>
                <w:bCs/>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1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网站移动端兼容性改造＝1项</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1项</w:t>
            </w:r>
          </w:p>
        </w:tc>
        <w:tc>
          <w:tcPr>
            <w:tcW w:w="92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default"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1.00</w:t>
            </w:r>
          </w:p>
        </w:tc>
        <w:tc>
          <w:tcPr>
            <w:tcW w:w="94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default"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1.00</w:t>
            </w:r>
          </w:p>
        </w:tc>
        <w:tc>
          <w:tcPr>
            <w:tcW w:w="1614"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b/>
                <w:bCs/>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1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微信公众号处理次数（图文消息及页面处理次数290次≥290次</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346次</w:t>
            </w:r>
          </w:p>
        </w:tc>
        <w:tc>
          <w:tcPr>
            <w:tcW w:w="92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default"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1.00</w:t>
            </w:r>
          </w:p>
        </w:tc>
        <w:tc>
          <w:tcPr>
            <w:tcW w:w="94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default"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1.00</w:t>
            </w:r>
          </w:p>
        </w:tc>
        <w:tc>
          <w:tcPr>
            <w:tcW w:w="1614"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b/>
                <w:bCs/>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1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信息发布、文章审核和文档排版各项篇数≥180篇</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233篇</w:t>
            </w:r>
          </w:p>
        </w:tc>
        <w:tc>
          <w:tcPr>
            <w:tcW w:w="92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default"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1.00</w:t>
            </w:r>
          </w:p>
        </w:tc>
        <w:tc>
          <w:tcPr>
            <w:tcW w:w="94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default"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1.00</w:t>
            </w:r>
          </w:p>
        </w:tc>
        <w:tc>
          <w:tcPr>
            <w:tcW w:w="1614"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b/>
                <w:bCs/>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1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运维成果数量（漏洞扫描报告及安全整改建议2分、信息系统渗透测试报告1份、终端运维其他涉及的报告或记录3份、网站每月运维报告12份、季度自查报告4份）≥22份</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运维成果数量（漏洞扫描报告及安全整改建议2分、信息系统渗透测试报告1份、终端运维其他涉及的报告或记录3份、网站每月运维报告12份、季度自查报告4份）</w:t>
            </w:r>
          </w:p>
        </w:tc>
        <w:tc>
          <w:tcPr>
            <w:tcW w:w="92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default"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2.00</w:t>
            </w:r>
          </w:p>
        </w:tc>
        <w:tc>
          <w:tcPr>
            <w:tcW w:w="94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2.00</w:t>
            </w:r>
          </w:p>
        </w:tc>
        <w:tc>
          <w:tcPr>
            <w:tcW w:w="1614"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b/>
                <w:bCs/>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10" w:type="dxa"/>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质量指标</w:t>
            </w: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法律纠纷次数＝0次</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0次</w:t>
            </w:r>
          </w:p>
        </w:tc>
        <w:tc>
          <w:tcPr>
            <w:tcW w:w="92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cs="宋体"/>
                <w:i w:val="0"/>
                <w:iCs w:val="0"/>
                <w:color w:val="auto"/>
                <w:kern w:val="0"/>
                <w:sz w:val="18"/>
                <w:szCs w:val="18"/>
                <w:highlight w:val="none"/>
                <w:u w:val="none"/>
                <w:lang w:val="en-US" w:eastAsia="zh-CN" w:bidi="ar"/>
              </w:rPr>
              <w:t>2.00</w:t>
            </w:r>
          </w:p>
        </w:tc>
        <w:tc>
          <w:tcPr>
            <w:tcW w:w="94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cs="宋体"/>
                <w:i w:val="0"/>
                <w:iCs w:val="0"/>
                <w:color w:val="auto"/>
                <w:kern w:val="0"/>
                <w:sz w:val="18"/>
                <w:szCs w:val="18"/>
                <w:highlight w:val="none"/>
                <w:u w:val="none"/>
                <w:lang w:val="en-US" w:eastAsia="zh-CN" w:bidi="ar"/>
              </w:rPr>
              <w:t>2.00</w:t>
            </w:r>
          </w:p>
        </w:tc>
        <w:tc>
          <w:tcPr>
            <w:tcW w:w="1614" w:type="dxa"/>
            <w:gridSpan w:val="2"/>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产出质量：</w:t>
            </w:r>
            <w:r>
              <w:rPr>
                <w:rFonts w:hint="eastAsia" w:ascii="宋体" w:hAnsi="宋体" w:eastAsia="宋体" w:cs="宋体"/>
                <w:i w:val="0"/>
                <w:iCs w:val="0"/>
                <w:color w:val="auto"/>
                <w:kern w:val="0"/>
                <w:sz w:val="18"/>
                <w:szCs w:val="18"/>
                <w:highlight w:val="none"/>
                <w:u w:val="none"/>
                <w:lang w:val="en-US" w:eastAsia="zh-CN" w:bidi="ar"/>
              </w:rPr>
              <w:t>质量达标率=质量达标工作数/实际完成工作数×100%。质量达标工作数：一定时期（年度或规划期）内部门（单位）实际完成工作数中达到部门绩效目标要求（绩效标准值）的工作任务数量。</w:t>
            </w: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1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计划册印刷成品发放率＝100%</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100%</w:t>
            </w:r>
          </w:p>
        </w:tc>
        <w:tc>
          <w:tcPr>
            <w:tcW w:w="92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default" w:ascii="宋体" w:hAnsi="宋体" w:eastAsia="宋体" w:cs="宋体"/>
                <w:i w:val="0"/>
                <w:iCs w:val="0"/>
                <w:color w:val="auto"/>
                <w:kern w:val="2"/>
                <w:sz w:val="18"/>
                <w:szCs w:val="18"/>
                <w:highlight w:val="none"/>
                <w:u w:val="none"/>
                <w:lang w:val="en-US" w:eastAsia="zh-CN" w:bidi="ar-SA"/>
              </w:rPr>
            </w:pPr>
            <w:r>
              <w:rPr>
                <w:rFonts w:hint="eastAsia" w:ascii="宋体" w:hAnsi="宋体" w:cs="宋体"/>
                <w:i w:val="0"/>
                <w:iCs w:val="0"/>
                <w:color w:val="auto"/>
                <w:kern w:val="0"/>
                <w:sz w:val="18"/>
                <w:szCs w:val="18"/>
                <w:highlight w:val="none"/>
                <w:u w:val="none"/>
                <w:lang w:val="en-US" w:eastAsia="zh-CN" w:bidi="ar"/>
              </w:rPr>
              <w:t>2.00</w:t>
            </w:r>
          </w:p>
        </w:tc>
        <w:tc>
          <w:tcPr>
            <w:tcW w:w="94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cs="宋体"/>
                <w:i w:val="0"/>
                <w:iCs w:val="0"/>
                <w:color w:val="auto"/>
                <w:kern w:val="0"/>
                <w:sz w:val="18"/>
                <w:szCs w:val="18"/>
                <w:highlight w:val="none"/>
                <w:u w:val="none"/>
                <w:lang w:val="en-US" w:eastAsia="zh-CN" w:bidi="ar"/>
              </w:rPr>
              <w:t>2.00</w:t>
            </w:r>
          </w:p>
        </w:tc>
        <w:tc>
          <w:tcPr>
            <w:tcW w:w="1614"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bCs/>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1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运维项目初步验收合格率＝100%</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100%</w:t>
            </w:r>
          </w:p>
        </w:tc>
        <w:tc>
          <w:tcPr>
            <w:tcW w:w="92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cs="宋体"/>
                <w:i w:val="0"/>
                <w:iCs w:val="0"/>
                <w:color w:val="auto"/>
                <w:kern w:val="0"/>
                <w:sz w:val="18"/>
                <w:szCs w:val="18"/>
                <w:highlight w:val="none"/>
                <w:u w:val="none"/>
                <w:lang w:val="en-US" w:eastAsia="zh-CN" w:bidi="ar"/>
              </w:rPr>
              <w:t>2.00</w:t>
            </w:r>
          </w:p>
        </w:tc>
        <w:tc>
          <w:tcPr>
            <w:tcW w:w="94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cs="宋体"/>
                <w:i w:val="0"/>
                <w:iCs w:val="0"/>
                <w:color w:val="auto"/>
                <w:kern w:val="0"/>
                <w:sz w:val="18"/>
                <w:szCs w:val="18"/>
                <w:highlight w:val="none"/>
                <w:u w:val="none"/>
                <w:lang w:val="en-US" w:eastAsia="zh-CN" w:bidi="ar"/>
              </w:rPr>
              <w:t>2.00</w:t>
            </w:r>
          </w:p>
        </w:tc>
        <w:tc>
          <w:tcPr>
            <w:tcW w:w="1614"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bCs/>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10" w:type="dxa"/>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时效指标</w:t>
            </w: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12月底前完成项目实施≤12月</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2024年12月初做了初步验收，2025年1月初完成了最终验收</w:t>
            </w:r>
          </w:p>
        </w:tc>
        <w:tc>
          <w:tcPr>
            <w:tcW w:w="92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default"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4.00</w:t>
            </w:r>
          </w:p>
        </w:tc>
        <w:tc>
          <w:tcPr>
            <w:tcW w:w="94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4.00</w:t>
            </w:r>
          </w:p>
        </w:tc>
        <w:tc>
          <w:tcPr>
            <w:tcW w:w="1614" w:type="dxa"/>
            <w:gridSpan w:val="2"/>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产出进度：</w:t>
            </w:r>
            <w:r>
              <w:rPr>
                <w:rFonts w:hint="eastAsia" w:ascii="宋体" w:hAnsi="宋体" w:eastAsia="宋体" w:cs="宋体"/>
                <w:i w:val="0"/>
                <w:iCs w:val="0"/>
                <w:color w:val="auto"/>
                <w:kern w:val="0"/>
                <w:sz w:val="18"/>
                <w:szCs w:val="18"/>
                <w:highlight w:val="none"/>
                <w:u w:val="none"/>
                <w:lang w:val="en-US" w:eastAsia="zh-CN" w:bidi="ar"/>
              </w:rPr>
              <w:t>按时完成率=（按时完成工作数/实际完成工作数）×100%。按时完成工作数：部门（单位）按照整体绩效目标确定的时限实际完成的工作任务数量。</w:t>
            </w: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1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6月底前完成印刷及发放≤6月</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cs="宋体"/>
                <w:i w:val="0"/>
                <w:iCs w:val="0"/>
                <w:color w:val="auto"/>
                <w:kern w:val="0"/>
                <w:sz w:val="18"/>
                <w:szCs w:val="18"/>
                <w:highlight w:val="none"/>
                <w:u w:val="none"/>
                <w:lang w:val="en-US" w:eastAsia="zh-CN" w:bidi="ar"/>
              </w:rPr>
              <w:t>3</w:t>
            </w:r>
            <w:r>
              <w:rPr>
                <w:rFonts w:hint="eastAsia" w:ascii="宋体" w:hAnsi="宋体" w:eastAsia="宋体" w:cs="宋体"/>
                <w:i w:val="0"/>
                <w:iCs w:val="0"/>
                <w:color w:val="auto"/>
                <w:kern w:val="0"/>
                <w:sz w:val="18"/>
                <w:szCs w:val="18"/>
                <w:highlight w:val="none"/>
                <w:u w:val="none"/>
                <w:lang w:val="en-US" w:eastAsia="zh-CN" w:bidi="ar"/>
              </w:rPr>
              <w:t>月</w:t>
            </w:r>
          </w:p>
        </w:tc>
        <w:tc>
          <w:tcPr>
            <w:tcW w:w="92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default"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2.00</w:t>
            </w:r>
          </w:p>
        </w:tc>
        <w:tc>
          <w:tcPr>
            <w:tcW w:w="94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default"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1.25</w:t>
            </w:r>
          </w:p>
        </w:tc>
        <w:tc>
          <w:tcPr>
            <w:tcW w:w="1614"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bCs/>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10" w:type="dxa"/>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经济成本指标</w:t>
            </w: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项目总成本控制数≤4054.346006万元</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3,950.41万元</w:t>
            </w:r>
          </w:p>
        </w:tc>
        <w:tc>
          <w:tcPr>
            <w:tcW w:w="92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4.00</w:t>
            </w:r>
          </w:p>
        </w:tc>
        <w:tc>
          <w:tcPr>
            <w:tcW w:w="94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4.00</w:t>
            </w:r>
          </w:p>
        </w:tc>
        <w:tc>
          <w:tcPr>
            <w:tcW w:w="1614" w:type="dxa"/>
            <w:gridSpan w:val="2"/>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b/>
                <w:bCs/>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104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效果（30）</w:t>
            </w:r>
          </w:p>
        </w:tc>
        <w:tc>
          <w:tcPr>
            <w:tcW w:w="1410" w:type="dxa"/>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社会效益指标</w:t>
            </w: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保障单位经济行为的合法性，维护单位的合法权益，避免法律纠纷。得到保障</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保障了我办经济行为的合法性，维护了我办的合法权益，避免了法律纠纷</w:t>
            </w:r>
          </w:p>
        </w:tc>
        <w:tc>
          <w:tcPr>
            <w:tcW w:w="92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cs="宋体"/>
                <w:i w:val="0"/>
                <w:iCs w:val="0"/>
                <w:color w:val="auto"/>
                <w:kern w:val="0"/>
                <w:sz w:val="18"/>
                <w:szCs w:val="18"/>
                <w:highlight w:val="none"/>
                <w:u w:val="none"/>
                <w:lang w:val="en-US" w:eastAsia="zh-CN" w:bidi="ar"/>
              </w:rPr>
              <w:t>8</w:t>
            </w:r>
            <w:r>
              <w:rPr>
                <w:rFonts w:hint="eastAsia" w:ascii="宋体" w:hAnsi="宋体" w:eastAsia="宋体" w:cs="宋体"/>
                <w:i w:val="0"/>
                <w:iCs w:val="0"/>
                <w:color w:val="auto"/>
                <w:kern w:val="0"/>
                <w:sz w:val="18"/>
                <w:szCs w:val="18"/>
                <w:highlight w:val="none"/>
                <w:u w:val="none"/>
                <w:lang w:val="en-US" w:eastAsia="zh-CN" w:bidi="ar"/>
              </w:rPr>
              <w:t>.00</w:t>
            </w:r>
          </w:p>
        </w:tc>
        <w:tc>
          <w:tcPr>
            <w:tcW w:w="94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cs="宋体"/>
                <w:i w:val="0"/>
                <w:iCs w:val="0"/>
                <w:color w:val="auto"/>
                <w:kern w:val="0"/>
                <w:sz w:val="18"/>
                <w:szCs w:val="18"/>
                <w:highlight w:val="none"/>
                <w:u w:val="none"/>
                <w:lang w:val="en-US" w:eastAsia="zh-CN" w:bidi="ar"/>
              </w:rPr>
              <w:t>8</w:t>
            </w:r>
            <w:r>
              <w:rPr>
                <w:rFonts w:hint="eastAsia" w:ascii="宋体" w:hAnsi="宋体" w:eastAsia="宋体" w:cs="宋体"/>
                <w:i w:val="0"/>
                <w:iCs w:val="0"/>
                <w:color w:val="auto"/>
                <w:kern w:val="0"/>
                <w:sz w:val="18"/>
                <w:szCs w:val="18"/>
                <w:highlight w:val="none"/>
                <w:u w:val="none"/>
                <w:lang w:val="en-US" w:eastAsia="zh-CN" w:bidi="ar"/>
              </w:rPr>
              <w:t>.00</w:t>
            </w:r>
          </w:p>
        </w:tc>
        <w:tc>
          <w:tcPr>
            <w:tcW w:w="1614" w:type="dxa"/>
            <w:gridSpan w:val="2"/>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b/>
                <w:bCs/>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130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1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保障单位网站稳定运行，及时发布重大项目建设信息，让社会公众及时了解重大项目进展情况。得到保障</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通过每日巡检、重要保障期安全值守等工作，保障我办门户网站系统达到安全、可靠、稳定、高效运行</w:t>
            </w:r>
          </w:p>
        </w:tc>
        <w:tc>
          <w:tcPr>
            <w:tcW w:w="92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cs="宋体"/>
                <w:i w:val="0"/>
                <w:iCs w:val="0"/>
                <w:color w:val="auto"/>
                <w:kern w:val="0"/>
                <w:sz w:val="18"/>
                <w:szCs w:val="18"/>
                <w:highlight w:val="none"/>
                <w:u w:val="none"/>
                <w:lang w:val="en-US" w:eastAsia="zh-CN" w:bidi="ar"/>
              </w:rPr>
              <w:t>8</w:t>
            </w:r>
            <w:r>
              <w:rPr>
                <w:rFonts w:hint="eastAsia" w:ascii="宋体" w:hAnsi="宋体" w:eastAsia="宋体" w:cs="宋体"/>
                <w:i w:val="0"/>
                <w:iCs w:val="0"/>
                <w:color w:val="auto"/>
                <w:kern w:val="0"/>
                <w:sz w:val="18"/>
                <w:szCs w:val="18"/>
                <w:highlight w:val="none"/>
                <w:u w:val="none"/>
                <w:lang w:val="en-US" w:eastAsia="zh-CN" w:bidi="ar"/>
              </w:rPr>
              <w:t>.00</w:t>
            </w:r>
          </w:p>
        </w:tc>
        <w:tc>
          <w:tcPr>
            <w:tcW w:w="94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cs="宋体"/>
                <w:i w:val="0"/>
                <w:iCs w:val="0"/>
                <w:color w:val="auto"/>
                <w:kern w:val="0"/>
                <w:sz w:val="18"/>
                <w:szCs w:val="18"/>
                <w:highlight w:val="none"/>
                <w:u w:val="none"/>
                <w:lang w:val="en-US" w:eastAsia="zh-CN" w:bidi="ar"/>
              </w:rPr>
              <w:t>8</w:t>
            </w:r>
            <w:r>
              <w:rPr>
                <w:rFonts w:hint="eastAsia" w:ascii="宋体" w:hAnsi="宋体" w:eastAsia="宋体" w:cs="宋体"/>
                <w:i w:val="0"/>
                <w:iCs w:val="0"/>
                <w:color w:val="auto"/>
                <w:kern w:val="0"/>
                <w:sz w:val="18"/>
                <w:szCs w:val="18"/>
                <w:highlight w:val="none"/>
                <w:u w:val="none"/>
                <w:lang w:val="en-US" w:eastAsia="zh-CN" w:bidi="ar"/>
              </w:rPr>
              <w:t>.00</w:t>
            </w:r>
          </w:p>
        </w:tc>
        <w:tc>
          <w:tcPr>
            <w:tcW w:w="1614" w:type="dxa"/>
            <w:gridSpan w:val="2"/>
            <w:shd w:val="clear" w:color="auto" w:fill="auto"/>
            <w:noWrap/>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104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1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保障单位信息化设备和系统平台正常运转，提高档案管理水平及电子档案数据全面利用，减少使用原始档案的频率，保障行政办公效率。得到保障</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保障我办电子档案管理系统、政务综合办公服务平台系统安全稳定运行</w:t>
            </w:r>
          </w:p>
        </w:tc>
        <w:tc>
          <w:tcPr>
            <w:tcW w:w="92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cs="宋体"/>
                <w:i w:val="0"/>
                <w:iCs w:val="0"/>
                <w:color w:val="auto"/>
                <w:kern w:val="0"/>
                <w:sz w:val="18"/>
                <w:szCs w:val="18"/>
                <w:highlight w:val="none"/>
                <w:u w:val="none"/>
                <w:lang w:val="en-US" w:eastAsia="zh-CN" w:bidi="ar"/>
              </w:rPr>
              <w:t>8</w:t>
            </w:r>
            <w:r>
              <w:rPr>
                <w:rFonts w:hint="eastAsia" w:ascii="宋体" w:hAnsi="宋体" w:eastAsia="宋体" w:cs="宋体"/>
                <w:i w:val="0"/>
                <w:iCs w:val="0"/>
                <w:color w:val="auto"/>
                <w:kern w:val="0"/>
                <w:sz w:val="18"/>
                <w:szCs w:val="18"/>
                <w:highlight w:val="none"/>
                <w:u w:val="none"/>
                <w:lang w:val="en-US" w:eastAsia="zh-CN" w:bidi="ar"/>
              </w:rPr>
              <w:t>.00</w:t>
            </w:r>
          </w:p>
        </w:tc>
        <w:tc>
          <w:tcPr>
            <w:tcW w:w="94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default" w:ascii="宋体" w:hAnsi="宋体" w:eastAsia="宋体" w:cs="宋体"/>
                <w:i w:val="0"/>
                <w:iCs w:val="0"/>
                <w:color w:val="auto"/>
                <w:sz w:val="18"/>
                <w:szCs w:val="18"/>
                <w:highlight w:val="none"/>
                <w:u w:val="none"/>
                <w:lang w:val="en-US"/>
              </w:rPr>
            </w:pPr>
            <w:r>
              <w:rPr>
                <w:rFonts w:hint="eastAsia" w:ascii="宋体" w:hAnsi="宋体" w:cs="宋体"/>
                <w:i w:val="0"/>
                <w:iCs w:val="0"/>
                <w:color w:val="auto"/>
                <w:kern w:val="0"/>
                <w:sz w:val="18"/>
                <w:szCs w:val="18"/>
                <w:highlight w:val="none"/>
                <w:u w:val="none"/>
                <w:lang w:val="en-US" w:eastAsia="zh-CN" w:bidi="ar"/>
              </w:rPr>
              <w:t>6.88</w:t>
            </w:r>
          </w:p>
        </w:tc>
        <w:tc>
          <w:tcPr>
            <w:tcW w:w="1614" w:type="dxa"/>
            <w:gridSpan w:val="2"/>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b/>
                <w:bCs/>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78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1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both"/>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通过印制2024年轨道交通建设计划册，并向各使用单位发放，进一步提高轨道交通建设管理工作得到提高</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进一步提高了轨道交通建设管理工作</w:t>
            </w:r>
          </w:p>
        </w:tc>
        <w:tc>
          <w:tcPr>
            <w:tcW w:w="92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cs="宋体"/>
                <w:i w:val="0"/>
                <w:iCs w:val="0"/>
                <w:color w:val="auto"/>
                <w:kern w:val="0"/>
                <w:sz w:val="18"/>
                <w:szCs w:val="18"/>
                <w:highlight w:val="none"/>
                <w:u w:val="none"/>
                <w:lang w:val="en-US" w:eastAsia="zh-CN" w:bidi="ar"/>
              </w:rPr>
              <w:t>6</w:t>
            </w:r>
            <w:r>
              <w:rPr>
                <w:rFonts w:hint="eastAsia" w:ascii="宋体" w:hAnsi="宋体" w:eastAsia="宋体" w:cs="宋体"/>
                <w:i w:val="0"/>
                <w:iCs w:val="0"/>
                <w:color w:val="auto"/>
                <w:kern w:val="0"/>
                <w:sz w:val="18"/>
                <w:szCs w:val="18"/>
                <w:highlight w:val="none"/>
                <w:u w:val="none"/>
                <w:lang w:val="en-US" w:eastAsia="zh-CN" w:bidi="ar"/>
              </w:rPr>
              <w:t>.00</w:t>
            </w:r>
          </w:p>
        </w:tc>
        <w:tc>
          <w:tcPr>
            <w:tcW w:w="947"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cs="宋体"/>
                <w:i w:val="0"/>
                <w:iCs w:val="0"/>
                <w:color w:val="auto"/>
                <w:kern w:val="0"/>
                <w:sz w:val="18"/>
                <w:szCs w:val="18"/>
                <w:highlight w:val="none"/>
                <w:u w:val="none"/>
                <w:lang w:val="en-US" w:eastAsia="zh-CN" w:bidi="ar"/>
              </w:rPr>
              <w:t>6</w:t>
            </w:r>
            <w:r>
              <w:rPr>
                <w:rFonts w:hint="eastAsia" w:ascii="宋体" w:hAnsi="宋体" w:eastAsia="宋体" w:cs="宋体"/>
                <w:i w:val="0"/>
                <w:iCs w:val="0"/>
                <w:color w:val="auto"/>
                <w:kern w:val="0"/>
                <w:sz w:val="18"/>
                <w:szCs w:val="18"/>
                <w:highlight w:val="none"/>
                <w:u w:val="none"/>
                <w:lang w:val="en-US" w:eastAsia="zh-CN" w:bidi="ar"/>
              </w:rPr>
              <w:t>.00</w:t>
            </w:r>
          </w:p>
        </w:tc>
        <w:tc>
          <w:tcPr>
            <w:tcW w:w="1614" w:type="dxa"/>
            <w:gridSpan w:val="2"/>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b/>
                <w:bCs/>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wBefore w:w="135" w:type="dxa"/>
          <w:trHeight w:val="330" w:hRule="atLeast"/>
        </w:trPr>
        <w:tc>
          <w:tcPr>
            <w:tcW w:w="14310" w:type="dxa"/>
            <w:gridSpan w:val="18"/>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三、预算管理情况（20分）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一级指标</w:t>
            </w:r>
          </w:p>
        </w:tc>
        <w:tc>
          <w:tcPr>
            <w:tcW w:w="1139" w:type="dxa"/>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二级指标</w:t>
            </w:r>
          </w:p>
        </w:tc>
        <w:tc>
          <w:tcPr>
            <w:tcW w:w="1410" w:type="dxa"/>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三级指标</w:t>
            </w:r>
          </w:p>
        </w:tc>
        <w:tc>
          <w:tcPr>
            <w:tcW w:w="3016"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指标值</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完成值</w:t>
            </w:r>
          </w:p>
        </w:tc>
        <w:tc>
          <w:tcPr>
            <w:tcW w:w="927"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分值</w:t>
            </w:r>
          </w:p>
        </w:tc>
        <w:tc>
          <w:tcPr>
            <w:tcW w:w="947"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得分</w:t>
            </w:r>
          </w:p>
        </w:tc>
        <w:tc>
          <w:tcPr>
            <w:tcW w:w="1614"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指标解释</w:t>
            </w:r>
          </w:p>
        </w:tc>
        <w:tc>
          <w:tcPr>
            <w:tcW w:w="2927" w:type="dxa"/>
            <w:gridSpan w:val="3"/>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预算管理情况（20）</w:t>
            </w:r>
          </w:p>
        </w:tc>
        <w:tc>
          <w:tcPr>
            <w:tcW w:w="1139" w:type="dxa"/>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财务管理（4)</w:t>
            </w:r>
          </w:p>
        </w:tc>
        <w:tc>
          <w:tcPr>
            <w:tcW w:w="1410" w:type="dxa"/>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财务管理制度健全性</w:t>
            </w:r>
          </w:p>
        </w:tc>
        <w:tc>
          <w:tcPr>
            <w:tcW w:w="3016"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健全、完整、合规</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健全、完整、合规</w:t>
            </w:r>
          </w:p>
        </w:tc>
        <w:tc>
          <w:tcPr>
            <w:tcW w:w="927"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947"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1614"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财务管理制度健全性：部门（单位）为加强财务管理、规范财务行为而制定的管理制度。</w:t>
            </w:r>
          </w:p>
        </w:tc>
        <w:tc>
          <w:tcPr>
            <w:tcW w:w="2927" w:type="dxa"/>
            <w:gridSpan w:val="3"/>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10" w:type="dxa"/>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资金使用合规性和安全性</w:t>
            </w:r>
          </w:p>
        </w:tc>
        <w:tc>
          <w:tcPr>
            <w:tcW w:w="3016"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合规、安全</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合规、安全</w:t>
            </w:r>
          </w:p>
        </w:tc>
        <w:tc>
          <w:tcPr>
            <w:tcW w:w="927"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2.00</w:t>
            </w:r>
          </w:p>
        </w:tc>
        <w:tc>
          <w:tcPr>
            <w:tcW w:w="947"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2.00</w:t>
            </w:r>
          </w:p>
        </w:tc>
        <w:tc>
          <w:tcPr>
            <w:tcW w:w="1614"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2927" w:type="dxa"/>
            <w:gridSpan w:val="3"/>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10" w:type="dxa"/>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会计基础信息完善性</w:t>
            </w:r>
          </w:p>
        </w:tc>
        <w:tc>
          <w:tcPr>
            <w:tcW w:w="3016"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完整、准确</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完整、准确</w:t>
            </w:r>
          </w:p>
        </w:tc>
        <w:tc>
          <w:tcPr>
            <w:tcW w:w="927"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947"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1614"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会计基础信息完善性：部门（单位）会计基础信息情况。</w:t>
            </w:r>
          </w:p>
        </w:tc>
        <w:tc>
          <w:tcPr>
            <w:tcW w:w="2927" w:type="dxa"/>
            <w:gridSpan w:val="3"/>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①基础数据信息和会计信息资料是否真实；②基础数据信息和会计信息资料是否完整；③基础数据信息和会计信息资料是否准确。每有一项不合格扣0.5分，扣完为止。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资产管理（4）</w:t>
            </w:r>
          </w:p>
        </w:tc>
        <w:tc>
          <w:tcPr>
            <w:tcW w:w="1410" w:type="dxa"/>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资产管理规范性</w:t>
            </w:r>
          </w:p>
        </w:tc>
        <w:tc>
          <w:tcPr>
            <w:tcW w:w="3016"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规范</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规范</w:t>
            </w:r>
          </w:p>
        </w:tc>
        <w:tc>
          <w:tcPr>
            <w:tcW w:w="927"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4.00</w:t>
            </w:r>
          </w:p>
        </w:tc>
        <w:tc>
          <w:tcPr>
            <w:tcW w:w="947"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4.00</w:t>
            </w:r>
          </w:p>
        </w:tc>
        <w:tc>
          <w:tcPr>
            <w:tcW w:w="1614"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资产管理规范性：部门（单位）的资产是否保持安全完整，资产配置是否合理，资产使用和资产处理是否规范，用以反映和考核部门（单位）资产管理的整体水平。</w:t>
            </w:r>
          </w:p>
        </w:tc>
        <w:tc>
          <w:tcPr>
            <w:tcW w:w="2927" w:type="dxa"/>
            <w:gridSpan w:val="3"/>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照要求进行报批或资产不公开处置行为；⑥其它资产管理制度办法执行情况。每有一项不合格扣0.8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2"/>
          <w:wBefore w:w="135" w:type="dxa"/>
          <w:wAfter w:w="18"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139" w:type="dxa"/>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绩效管理（4）</w:t>
            </w:r>
          </w:p>
        </w:tc>
        <w:tc>
          <w:tcPr>
            <w:tcW w:w="1410" w:type="dxa"/>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绩效管理情况</w:t>
            </w:r>
          </w:p>
        </w:tc>
        <w:tc>
          <w:tcPr>
            <w:tcW w:w="3016"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及时、有效</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及时、有效</w:t>
            </w:r>
          </w:p>
        </w:tc>
        <w:tc>
          <w:tcPr>
            <w:tcW w:w="927"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4.00</w:t>
            </w:r>
          </w:p>
        </w:tc>
        <w:tc>
          <w:tcPr>
            <w:tcW w:w="947"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4.00</w:t>
            </w:r>
          </w:p>
        </w:tc>
        <w:tc>
          <w:tcPr>
            <w:tcW w:w="1614"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绩效管理情况：考核部门（单位）在绩效管理信息的汇总和应用情况。</w:t>
            </w:r>
          </w:p>
        </w:tc>
        <w:tc>
          <w:tcPr>
            <w:tcW w:w="2927" w:type="dxa"/>
            <w:gridSpan w:val="3"/>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①部门（单位）是否及时对绩效信息进行汇总分析整理；②部门（单位）是否对绩效目标偏离情况及时进行矫正。每有一项不合格扣2分。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1"/>
          <w:wBefore w:w="135" w:type="dxa"/>
          <w:wAfter w:w="15"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2552" w:type="dxa"/>
            <w:gridSpan w:val="3"/>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指标</w:t>
            </w:r>
          </w:p>
        </w:tc>
        <w:tc>
          <w:tcPr>
            <w:tcW w:w="3016" w:type="dxa"/>
            <w:gridSpan w:val="2"/>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2023年</w:t>
            </w:r>
          </w:p>
        </w:tc>
        <w:tc>
          <w:tcPr>
            <w:tcW w:w="1422"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2024年</w:t>
            </w:r>
          </w:p>
        </w:tc>
        <w:tc>
          <w:tcPr>
            <w:tcW w:w="927"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分值</w:t>
            </w:r>
          </w:p>
        </w:tc>
        <w:tc>
          <w:tcPr>
            <w:tcW w:w="947" w:type="dxa"/>
            <w:gridSpan w:val="2"/>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614" w:type="dxa"/>
            <w:gridSpan w:val="2"/>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2927" w:type="dxa"/>
            <w:gridSpan w:val="3"/>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left"/>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1"/>
          <w:wBefore w:w="135" w:type="dxa"/>
          <w:wAfter w:w="15"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2552" w:type="dxa"/>
            <w:gridSpan w:val="3"/>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结转结余率（4）</w:t>
            </w:r>
          </w:p>
        </w:tc>
        <w:tc>
          <w:tcPr>
            <w:tcW w:w="3016" w:type="dxa"/>
            <w:gridSpan w:val="2"/>
            <w:vMerge w:val="restart"/>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0.26%</w:t>
            </w:r>
          </w:p>
        </w:tc>
        <w:tc>
          <w:tcPr>
            <w:tcW w:w="1422" w:type="dxa"/>
            <w:gridSpan w:val="2"/>
            <w:vMerge w:val="restart"/>
            <w:shd w:val="clear" w:color="auto" w:fill="auto"/>
            <w:noWrap/>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1.98%</w:t>
            </w:r>
          </w:p>
        </w:tc>
        <w:tc>
          <w:tcPr>
            <w:tcW w:w="927" w:type="dxa"/>
            <w:gridSpan w:val="2"/>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4.00</w:t>
            </w:r>
          </w:p>
        </w:tc>
        <w:tc>
          <w:tcPr>
            <w:tcW w:w="947" w:type="dxa"/>
            <w:gridSpan w:val="2"/>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3.20</w:t>
            </w:r>
          </w:p>
        </w:tc>
        <w:tc>
          <w:tcPr>
            <w:tcW w:w="1614" w:type="dxa"/>
            <w:gridSpan w:val="2"/>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结转结余率=结转结余总额/支出预算数*100%。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结转结余总额：部门（单位）本年度的结转资金与结余资金之和。</w:t>
            </w:r>
          </w:p>
        </w:tc>
        <w:tc>
          <w:tcPr>
            <w:tcW w:w="2927" w:type="dxa"/>
            <w:gridSpan w:val="3"/>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1"/>
          <w:wBefore w:w="135" w:type="dxa"/>
          <w:wAfter w:w="15" w:type="dxa"/>
          <w:trHeight w:val="33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2552"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3016" w:type="dxa"/>
            <w:gridSpan w:val="2"/>
            <w:vMerge w:val="continue"/>
            <w:shd w:val="clear" w:color="auto" w:fill="auto"/>
            <w:noWrap/>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22" w:type="dxa"/>
            <w:gridSpan w:val="2"/>
            <w:vMerge w:val="continue"/>
            <w:shd w:val="clear" w:color="auto" w:fill="auto"/>
            <w:noWrap/>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927"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947"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614"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left"/>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1"/>
          <w:wBefore w:w="135" w:type="dxa"/>
          <w:wAfter w:w="15" w:type="dxa"/>
          <w:trHeight w:val="104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2552" w:type="dxa"/>
            <w:gridSpan w:val="3"/>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部门预决算差异率（4）</w:t>
            </w:r>
          </w:p>
        </w:tc>
        <w:tc>
          <w:tcPr>
            <w:tcW w:w="3016" w:type="dxa"/>
            <w:gridSpan w:val="2"/>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1422" w:type="dxa"/>
            <w:gridSpan w:val="2"/>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0.68%</w:t>
            </w:r>
          </w:p>
        </w:tc>
        <w:tc>
          <w:tcPr>
            <w:tcW w:w="927" w:type="dxa"/>
            <w:gridSpan w:val="2"/>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4.00</w:t>
            </w:r>
          </w:p>
        </w:tc>
        <w:tc>
          <w:tcPr>
            <w:tcW w:w="947" w:type="dxa"/>
            <w:gridSpan w:val="2"/>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4.00</w:t>
            </w:r>
          </w:p>
        </w:tc>
        <w:tc>
          <w:tcPr>
            <w:tcW w:w="1614" w:type="dxa"/>
            <w:gridSpan w:val="2"/>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通过年度部门决算与年初部门预算对比，对部门的年度支出情况进行考核，衡量部门预算的约束力。</w:t>
            </w:r>
          </w:p>
        </w:tc>
        <w:tc>
          <w:tcPr>
            <w:tcW w:w="2927" w:type="dxa"/>
            <w:gridSpan w:val="3"/>
            <w:vMerge w:val="restart"/>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部门预决算差异率高于市级平均差异率的，每高出10%（含），扣0.4分，扣完为止。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1"/>
          <w:wBefore w:w="135" w:type="dxa"/>
          <w:wAfter w:w="15" w:type="dxa"/>
          <w:trHeight w:val="1040" w:hRule="atLeast"/>
        </w:trPr>
        <w:tc>
          <w:tcPr>
            <w:tcW w:w="890" w:type="dxa"/>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2552"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3016"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22"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927"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947"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614" w:type="dxa"/>
            <w:gridSpan w:val="2"/>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2927" w:type="dxa"/>
            <w:gridSpan w:val="3"/>
            <w:vMerge w:val="continue"/>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left"/>
              <w:rPr>
                <w:rFonts w:hint="eastAsia" w:ascii="宋体" w:hAnsi="宋体" w:eastAsia="宋体" w:cs="宋体"/>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Before w:val="1"/>
          <w:gridAfter w:val="1"/>
          <w:wBefore w:w="135" w:type="dxa"/>
          <w:wAfter w:w="15" w:type="dxa"/>
          <w:trHeight w:val="330" w:hRule="atLeast"/>
        </w:trPr>
        <w:tc>
          <w:tcPr>
            <w:tcW w:w="3442" w:type="dxa"/>
            <w:gridSpan w:val="4"/>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合计</w:t>
            </w:r>
          </w:p>
        </w:tc>
        <w:tc>
          <w:tcPr>
            <w:tcW w:w="3016" w:type="dxa"/>
            <w:gridSpan w:val="2"/>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1422" w:type="dxa"/>
            <w:gridSpan w:val="2"/>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927"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100.00</w:t>
            </w:r>
          </w:p>
        </w:tc>
        <w:tc>
          <w:tcPr>
            <w:tcW w:w="947" w:type="dxa"/>
            <w:gridSpan w:val="2"/>
            <w:shd w:val="clear" w:color="auto" w:fill="auto"/>
            <w:vAlign w:val="center"/>
          </w:tcPr>
          <w:p>
            <w:pPr>
              <w:keepNext w:val="0"/>
              <w:keepLines w:val="0"/>
              <w:pageBreakBefore w:val="0"/>
              <w:widowControl/>
              <w:suppressLineNumbers w:val="0"/>
              <w:shd w:val="clear"/>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96.63</w:t>
            </w:r>
          </w:p>
        </w:tc>
        <w:tc>
          <w:tcPr>
            <w:tcW w:w="1614" w:type="dxa"/>
            <w:gridSpan w:val="2"/>
            <w:shd w:val="clear" w:color="auto" w:fill="auto"/>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auto"/>
                <w:sz w:val="18"/>
                <w:szCs w:val="18"/>
                <w:highlight w:val="none"/>
                <w:u w:val="none"/>
              </w:rPr>
            </w:pPr>
          </w:p>
        </w:tc>
        <w:tc>
          <w:tcPr>
            <w:tcW w:w="2927" w:type="dxa"/>
            <w:gridSpan w:val="3"/>
            <w:shd w:val="clear" w:color="auto" w:fill="auto"/>
            <w:noWrap/>
            <w:vAlign w:val="center"/>
          </w:tcPr>
          <w:p>
            <w:pPr>
              <w:keepNext w:val="0"/>
              <w:keepLines w:val="0"/>
              <w:pageBreakBefore w:val="0"/>
              <w:shd w:val="clear"/>
              <w:kinsoku/>
              <w:wordWrap/>
              <w:overflowPunct/>
              <w:topLinePunct w:val="0"/>
              <w:autoSpaceDE/>
              <w:autoSpaceDN/>
              <w:bidi w:val="0"/>
              <w:adjustRightInd w:val="0"/>
              <w:snapToGrid w:val="0"/>
              <w:spacing w:line="240" w:lineRule="auto"/>
              <w:ind w:firstLine="0" w:firstLineChars="0"/>
              <w:jc w:val="both"/>
              <w:rPr>
                <w:rFonts w:hint="eastAsia" w:ascii="宋体" w:hAnsi="宋体" w:eastAsia="宋体" w:cs="宋体"/>
                <w:i w:val="0"/>
                <w:iCs w:val="0"/>
                <w:color w:val="auto"/>
                <w:sz w:val="18"/>
                <w:szCs w:val="18"/>
                <w:highlight w:val="none"/>
                <w:u w:val="none"/>
              </w:rPr>
            </w:pPr>
          </w:p>
        </w:tc>
      </w:tr>
    </w:tbl>
    <w:p>
      <w:pPr>
        <w:keepNext w:val="0"/>
        <w:keepLines w:val="0"/>
        <w:pageBreakBefore w:val="0"/>
        <w:shd w:val="clear"/>
        <w:kinsoku/>
        <w:wordWrap/>
        <w:overflowPunct/>
        <w:topLinePunct w:val="0"/>
        <w:autoSpaceDE/>
        <w:autoSpaceDN/>
        <w:bidi w:val="0"/>
        <w:adjustRightInd w:val="0"/>
        <w:snapToGrid w:val="0"/>
        <w:spacing w:line="240" w:lineRule="auto"/>
        <w:ind w:firstLine="0" w:firstLineChars="0"/>
        <w:rPr>
          <w:rFonts w:hint="eastAsia" w:ascii="仿宋_GB2312" w:hAnsi="宋体" w:eastAsia="仿宋_GB2312" w:cs="宋体"/>
          <w:color w:val="auto"/>
          <w:kern w:val="0"/>
          <w:sz w:val="32"/>
          <w:szCs w:val="32"/>
          <w:highlight w:val="none"/>
          <w:lang w:val="en-US" w:eastAsia="zh-CN"/>
        </w:rPr>
      </w:pPr>
    </w:p>
    <w:sectPr>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wps:spPr>
                    <wps:txbx>
                      <w:txbxContent>
                        <w:p>
                          <w:pPr>
                            <w:pStyle w:val="7"/>
                            <w:jc w:val="center"/>
                          </w:pPr>
                          <w:r>
                            <w:fldChar w:fldCharType="begin"/>
                          </w:r>
                          <w:r>
                            <w:instrText xml:space="preserve">PAGE   \* MERGEFORMAT</w:instrText>
                          </w:r>
                          <w:r>
                            <w:fldChar w:fldCharType="separate"/>
                          </w:r>
                          <w:r>
                            <w:rPr>
                              <w:lang w:val="zh-CN"/>
                            </w:rPr>
                            <w:t>34</w:t>
                          </w:r>
                          <w:r>
                            <w:rPr>
                              <w:lang w:val="zh-CN"/>
                            </w:rPr>
                            <w:fldChar w:fldCharType="end"/>
                          </w:r>
                        </w:p>
                      </w:txbxContent>
                    </wps:txbx>
                    <wps:bodyPr vert="horz" wrap="none" lIns="0" tIns="0" rIns="0" bIns="0" anchor="t">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FgAAAGRycy9QSwECFAAUAAAACACHTuJAzql5uc8AAAAFAQAADwAAAAAAAAABACAAAAA4&#10;AAAAZHJzL2Rvd25yZXYueG1sUEsBAhQAFAAAAAgAh07iQImpuGnEAQAAZQMAAA4AAAAAAAAAAQAg&#10;AAAANAEAAGRycy9lMm9Eb2MueG1sUEsFBgAAAAAGAAYAWQEAAGoFAAAAAA==&#10;">
              <v:fill on="f" focussize="0,0"/>
              <v:stroke on="f"/>
              <v:imagedata o:title=""/>
              <o:lock v:ext="edit" aspectratio="f"/>
              <v:textbox inset="0mm,0mm,0mm,0mm" style="mso-fit-shape-to-text:t;">
                <w:txbxContent>
                  <w:p>
                    <w:pPr>
                      <w:pStyle w:val="7"/>
                      <w:jc w:val="center"/>
                    </w:pPr>
                    <w:r>
                      <w:fldChar w:fldCharType="begin"/>
                    </w:r>
                    <w:r>
                      <w:instrText xml:space="preserve">PAGE   \* MERGEFORMAT</w:instrText>
                    </w:r>
                    <w:r>
                      <w:fldChar w:fldCharType="separate"/>
                    </w:r>
                    <w:r>
                      <w:rPr>
                        <w:lang w:val="zh-CN"/>
                      </w:rPr>
                      <w:t>34</w:t>
                    </w:r>
                    <w:r>
                      <w:rPr>
                        <w:lang w:val="zh-CN"/>
                      </w:rPr>
                      <w:fldChar w:fldCharType="end"/>
                    </w:r>
                  </w:p>
                </w:txbxContent>
              </v:textbox>
            </v:shape>
          </w:pict>
        </mc:Fallback>
      </mc:AlternateContent>
    </w: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8F15882"/>
    <w:rsid w:val="0B1C04F5"/>
    <w:rsid w:val="171A1607"/>
    <w:rsid w:val="175F53D8"/>
    <w:rsid w:val="17FF9201"/>
    <w:rsid w:val="18DF4F5B"/>
    <w:rsid w:val="1BFBCA48"/>
    <w:rsid w:val="1D7FB03E"/>
    <w:rsid w:val="1DBFE66F"/>
    <w:rsid w:val="1E70111A"/>
    <w:rsid w:val="1EF501D6"/>
    <w:rsid w:val="21A237B1"/>
    <w:rsid w:val="2364201F"/>
    <w:rsid w:val="23996670"/>
    <w:rsid w:val="263C7165"/>
    <w:rsid w:val="2A6C35EB"/>
    <w:rsid w:val="2AFF8392"/>
    <w:rsid w:val="2B2FB187"/>
    <w:rsid w:val="2FDFD25F"/>
    <w:rsid w:val="37173543"/>
    <w:rsid w:val="37BB8997"/>
    <w:rsid w:val="37FDBB74"/>
    <w:rsid w:val="3B755702"/>
    <w:rsid w:val="3DFB6AA6"/>
    <w:rsid w:val="3F236886"/>
    <w:rsid w:val="3F373572"/>
    <w:rsid w:val="3FBD2716"/>
    <w:rsid w:val="3FDBA076"/>
    <w:rsid w:val="3FDFB3F0"/>
    <w:rsid w:val="3FDFC9A6"/>
    <w:rsid w:val="3FF76880"/>
    <w:rsid w:val="40F957F6"/>
    <w:rsid w:val="41FC7232"/>
    <w:rsid w:val="433C6A0B"/>
    <w:rsid w:val="49EE1C37"/>
    <w:rsid w:val="4B5D3110"/>
    <w:rsid w:val="4BF34E19"/>
    <w:rsid w:val="4FFC317D"/>
    <w:rsid w:val="526F9BE6"/>
    <w:rsid w:val="53FF9E48"/>
    <w:rsid w:val="5A3C11D4"/>
    <w:rsid w:val="5BFD4AC2"/>
    <w:rsid w:val="5D9F1D43"/>
    <w:rsid w:val="5DAFD6D3"/>
    <w:rsid w:val="5FF8D610"/>
    <w:rsid w:val="5FFD7A28"/>
    <w:rsid w:val="614C3ACC"/>
    <w:rsid w:val="67759716"/>
    <w:rsid w:val="68EC46EE"/>
    <w:rsid w:val="6AEB57B0"/>
    <w:rsid w:val="6AF68215"/>
    <w:rsid w:val="6AFBFA2A"/>
    <w:rsid w:val="6BB8001F"/>
    <w:rsid w:val="6CDFE5F7"/>
    <w:rsid w:val="6CFDDC64"/>
    <w:rsid w:val="6EEFF979"/>
    <w:rsid w:val="6EFFB980"/>
    <w:rsid w:val="6F7ED27B"/>
    <w:rsid w:val="6FAB76E8"/>
    <w:rsid w:val="6FD26139"/>
    <w:rsid w:val="6FEA4C63"/>
    <w:rsid w:val="75B17A7C"/>
    <w:rsid w:val="762006EC"/>
    <w:rsid w:val="775F006A"/>
    <w:rsid w:val="77EF9378"/>
    <w:rsid w:val="77FE6052"/>
    <w:rsid w:val="7A761F84"/>
    <w:rsid w:val="7AB7FF50"/>
    <w:rsid w:val="7AD84651"/>
    <w:rsid w:val="7AEAF641"/>
    <w:rsid w:val="7AEC11A7"/>
    <w:rsid w:val="7BAD2729"/>
    <w:rsid w:val="7BBFA6CE"/>
    <w:rsid w:val="7BFEB0DB"/>
    <w:rsid w:val="7BFF5924"/>
    <w:rsid w:val="7BFFF2F4"/>
    <w:rsid w:val="7DFB9038"/>
    <w:rsid w:val="7DFE6F7C"/>
    <w:rsid w:val="7EB616AB"/>
    <w:rsid w:val="7ED53E7D"/>
    <w:rsid w:val="7FA6FB0C"/>
    <w:rsid w:val="7FF381E9"/>
    <w:rsid w:val="7FF3C846"/>
    <w:rsid w:val="7FFD693C"/>
    <w:rsid w:val="7FFF2C74"/>
    <w:rsid w:val="7FFF4E81"/>
    <w:rsid w:val="7FFF5C87"/>
    <w:rsid w:val="7FFFD0D3"/>
    <w:rsid w:val="825F311A"/>
    <w:rsid w:val="8716660E"/>
    <w:rsid w:val="8D6F5F1B"/>
    <w:rsid w:val="97EB46C3"/>
    <w:rsid w:val="A3AA735E"/>
    <w:rsid w:val="A75D4892"/>
    <w:rsid w:val="A9FF91EF"/>
    <w:rsid w:val="AE56C194"/>
    <w:rsid w:val="AFEF7B20"/>
    <w:rsid w:val="AFFFCE02"/>
    <w:rsid w:val="B3FE0C7D"/>
    <w:rsid w:val="BB3FDB97"/>
    <w:rsid w:val="BBBA3CC3"/>
    <w:rsid w:val="BD7D2C11"/>
    <w:rsid w:val="BF5E9342"/>
    <w:rsid w:val="BFFD9433"/>
    <w:rsid w:val="C3FF9B6D"/>
    <w:rsid w:val="CDBFB4F1"/>
    <w:rsid w:val="CEFD3F3D"/>
    <w:rsid w:val="CFCF9B33"/>
    <w:rsid w:val="CFDE14E3"/>
    <w:rsid w:val="CFF90EA8"/>
    <w:rsid w:val="D6B22E60"/>
    <w:rsid w:val="D71BD017"/>
    <w:rsid w:val="D7570BD0"/>
    <w:rsid w:val="DCFF4CDB"/>
    <w:rsid w:val="DD5A7C1D"/>
    <w:rsid w:val="DF3A50CD"/>
    <w:rsid w:val="DF7B7559"/>
    <w:rsid w:val="E1FD8264"/>
    <w:rsid w:val="E3F3E5D7"/>
    <w:rsid w:val="E7A494A7"/>
    <w:rsid w:val="E7FBA7B2"/>
    <w:rsid w:val="EA3F77F2"/>
    <w:rsid w:val="EBEF66DC"/>
    <w:rsid w:val="ED588E89"/>
    <w:rsid w:val="EDE6BEC5"/>
    <w:rsid w:val="EEAE8389"/>
    <w:rsid w:val="EEDF1622"/>
    <w:rsid w:val="EEEF6E70"/>
    <w:rsid w:val="EEFE5989"/>
    <w:rsid w:val="EFCF3EAE"/>
    <w:rsid w:val="EFFF2EB1"/>
    <w:rsid w:val="F4FDEB06"/>
    <w:rsid w:val="F52ACC95"/>
    <w:rsid w:val="F5B764A2"/>
    <w:rsid w:val="F6BF403A"/>
    <w:rsid w:val="F77F09F4"/>
    <w:rsid w:val="F87F1E4B"/>
    <w:rsid w:val="F9DF5719"/>
    <w:rsid w:val="FBFC6C8A"/>
    <w:rsid w:val="FBFD88A0"/>
    <w:rsid w:val="FBFF6E65"/>
    <w:rsid w:val="FCC31ED4"/>
    <w:rsid w:val="FEEF6AA0"/>
    <w:rsid w:val="FEF7614C"/>
    <w:rsid w:val="FEF7DBD0"/>
    <w:rsid w:val="FFA6DDF8"/>
    <w:rsid w:val="FFB792B8"/>
    <w:rsid w:val="FFBC88EC"/>
    <w:rsid w:val="FFD7BFFC"/>
    <w:rsid w:val="FFFA6B0F"/>
    <w:rsid w:val="FFFB5BB5"/>
    <w:rsid w:val="FFFF3CB0"/>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0"/>
    <w:pPr>
      <w:spacing w:afterLines="0" w:afterAutospacing="0"/>
    </w:pPr>
  </w:style>
  <w:style w:type="paragraph" w:styleId="7">
    <w:name w:val="footer"/>
    <w:basedOn w:val="1"/>
    <w:next w:val="1"/>
    <w:qFormat/>
    <w:uiPriority w:val="99"/>
    <w:pPr>
      <w:tabs>
        <w:tab w:val="center" w:pos="4153"/>
        <w:tab w:val="right" w:pos="8306"/>
      </w:tabs>
      <w:snapToGrid w:val="0"/>
      <w:jc w:val="left"/>
    </w:pPr>
    <w:rPr>
      <w:sz w:val="18"/>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qFormat/>
    <w:uiPriority w:val="39"/>
    <w:pPr>
      <w:tabs>
        <w:tab w:val="right" w:leader="dot" w:pos="8680"/>
      </w:tabs>
      <w:ind w:left="420" w:leftChars="200"/>
      <w:jc w:val="center"/>
    </w:pPr>
    <w:rPr>
      <w:rFonts w:ascii="黑体" w:hAnsi="黑体" w:eastAsia="黑体" w:cs="黑体"/>
      <w:sz w:val="32"/>
      <w:szCs w:val="32"/>
    </w:rPr>
  </w:style>
  <w:style w:type="paragraph" w:styleId="11">
    <w:name w:val="Body Text First Indent 2"/>
    <w:unhideWhenUsed/>
    <w:qFormat/>
    <w:uiPriority w:val="99"/>
    <w:pPr>
      <w:widowControl w:val="0"/>
      <w:spacing w:line="360" w:lineRule="auto"/>
      <w:ind w:firstLine="420" w:firstLineChars="200"/>
      <w:jc w:val="both"/>
    </w:pPr>
    <w:rPr>
      <w:rFonts w:ascii="仿宋_GB2312" w:hAnsi="仿宋_GB2312" w:eastAsia="宋体" w:cs="Times New Roman"/>
      <w:kern w:val="2"/>
      <w:sz w:val="24"/>
      <w:szCs w:val="24"/>
      <w:lang w:val="en-US" w:eastAsia="zh-CN" w:bidi="ar-SA"/>
    </w:rPr>
  </w:style>
  <w:style w:type="character" w:styleId="14">
    <w:name w:val="Strong"/>
    <w:basedOn w:val="13"/>
    <w:qFormat/>
    <w:uiPriority w:val="0"/>
    <w:rPr>
      <w:b/>
    </w:rPr>
  </w:style>
  <w:style w:type="paragraph" w:customStyle="1" w:styleId="15">
    <w:name w:val="列出段落1"/>
    <w:basedOn w:val="1"/>
    <w:qFormat/>
    <w:uiPriority w:val="34"/>
    <w:pPr>
      <w:ind w:firstLine="420" w:firstLineChars="200"/>
    </w:pPr>
    <w:rPr>
      <w:rFonts w:ascii="Calibri" w:hAnsi="Calibri" w:cs="黑体"/>
      <w:szCs w:val="22"/>
    </w:rPr>
  </w:style>
  <w:style w:type="character" w:customStyle="1" w:styleId="16">
    <w:name w:val="font21"/>
    <w:basedOn w:val="13"/>
    <w:qFormat/>
    <w:uiPriority w:val="0"/>
    <w:rPr>
      <w:rFonts w:hint="eastAsia" w:ascii="宋体" w:hAnsi="宋体" w:eastAsia="宋体" w:cs="宋体"/>
      <w:color w:val="000000"/>
      <w:sz w:val="18"/>
      <w:szCs w:val="18"/>
      <w:u w:val="none"/>
    </w:rPr>
  </w:style>
  <w:style w:type="character" w:customStyle="1" w:styleId="17">
    <w:name w:val="NormalCharacter"/>
    <w:semiHidden/>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13323</Words>
  <Characters>14378</Characters>
  <Lines>0</Lines>
  <Paragraphs>0</Paragraphs>
  <TotalTime>11</TotalTime>
  <ScaleCrop>false</ScaleCrop>
  <LinksUpToDate>false</LinksUpToDate>
  <CharactersWithSpaces>14473</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2022-03-19T03:16:00Z</dcterms:created>
  <dc:creator>user</dc:creator>
  <cp:lastModifiedBy>zdbzd</cp:lastModifiedBy>
  <cp:lastPrinted>2025-05-03T10:11:00Z</cp:lastPrinted>
  <dcterms:modified xsi:type="dcterms:W3CDTF">2025-08-26T14:25:14Z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3C8560213BC64E30A696F09461A7E064_13</vt:lpwstr>
  </property>
  <property fmtid="{D5CDD505-2E9C-101B-9397-08002B2CF9AE}" pid="4" name="KSOTemplateDocerSaveRecord">
    <vt:lpwstr>eyJoZGlkIjoiZGY3OWVjN2E3NDZiNjc2NTcwY2VmOGE4NWMxMWRmYWQiLCJ1c2VySWQiOiI1ODIzNjI1NDMifQ==</vt:lpwstr>
  </property>
</Properties>
</file>