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6B075">
      <w:pPr>
        <w:pStyle w:val="11"/>
        <w:keepNext w:val="0"/>
        <w:keepLines w:val="0"/>
        <w:pageBreakBefore w:val="0"/>
        <w:widowControl/>
        <w:kinsoku w:val="0"/>
        <w:wordWrap/>
        <w:overflowPunct/>
        <w:topLinePunct w:val="0"/>
        <w:autoSpaceDE w:val="0"/>
        <w:autoSpaceDN w:val="0"/>
        <w:bidi w:val="0"/>
        <w:adjustRightInd w:val="0"/>
        <w:snapToGrid w:val="0"/>
        <w:spacing w:line="640" w:lineRule="exact"/>
        <w:ind w:firstLine="0" w:firstLineChars="0"/>
        <w:jc w:val="center"/>
        <w:textAlignment w:val="baseline"/>
        <w:outlineLvl w:val="9"/>
        <w:rPr>
          <w:rFonts w:hint="eastAsia" w:ascii="方正小标宋简体" w:hAnsi="方正小标宋简体" w:eastAsia="方正小标宋简体" w:cs="方正小标宋简体"/>
          <w:b w:val="0"/>
          <w:bCs w:val="0"/>
          <w:spacing w:val="2"/>
          <w:position w:val="2"/>
          <w:sz w:val="44"/>
          <w:szCs w:val="44"/>
          <w:lang w:eastAsia="zh-CN"/>
        </w:rPr>
      </w:pPr>
      <w:r>
        <w:rPr>
          <w:rFonts w:hint="eastAsia" w:ascii="方正小标宋简体" w:hAnsi="方正小标宋简体" w:eastAsia="方正小标宋简体" w:cs="方正小标宋简体"/>
          <w:b w:val="0"/>
          <w:bCs w:val="0"/>
          <w:spacing w:val="2"/>
          <w:position w:val="2"/>
          <w:sz w:val="44"/>
          <w:szCs w:val="44"/>
          <w:lang w:eastAsia="zh-CN"/>
        </w:rPr>
        <w:t>北京市科学技术协会</w:t>
      </w:r>
    </w:p>
    <w:p w14:paraId="38FC2D2E">
      <w:pPr>
        <w:pStyle w:val="11"/>
        <w:keepNext w:val="0"/>
        <w:keepLines w:val="0"/>
        <w:pageBreakBefore w:val="0"/>
        <w:widowControl/>
        <w:kinsoku w:val="0"/>
        <w:wordWrap/>
        <w:overflowPunct/>
        <w:topLinePunct w:val="0"/>
        <w:autoSpaceDE w:val="0"/>
        <w:autoSpaceDN w:val="0"/>
        <w:bidi w:val="0"/>
        <w:adjustRightInd w:val="0"/>
        <w:snapToGrid w:val="0"/>
        <w:spacing w:line="640" w:lineRule="exact"/>
        <w:ind w:firstLine="0" w:firstLineChars="0"/>
        <w:jc w:val="center"/>
        <w:textAlignment w:val="baseline"/>
        <w:outlineLvl w:val="9"/>
        <w:rPr>
          <w:rFonts w:hint="eastAsia" w:ascii="方正小标宋简体" w:hAnsi="方正小标宋简体" w:eastAsia="方正小标宋简体" w:cs="方正小标宋简体"/>
          <w:b w:val="0"/>
          <w:bCs w:val="0"/>
          <w:spacing w:val="2"/>
          <w:position w:val="2"/>
          <w:sz w:val="44"/>
          <w:szCs w:val="44"/>
          <w:lang w:eastAsia="zh-CN"/>
        </w:rPr>
      </w:pPr>
      <w:r>
        <w:rPr>
          <w:rFonts w:hint="eastAsia" w:ascii="方正小标宋简体" w:hAnsi="方正小标宋简体" w:eastAsia="方正小标宋简体" w:cs="方正小标宋简体"/>
          <w:b w:val="0"/>
          <w:bCs w:val="0"/>
          <w:spacing w:val="2"/>
          <w:position w:val="2"/>
          <w:sz w:val="44"/>
          <w:szCs w:val="44"/>
          <w:lang w:eastAsia="zh-CN"/>
        </w:rPr>
        <w:t>2024年度部门整体绩效评价报告</w:t>
      </w:r>
    </w:p>
    <w:p w14:paraId="3D5E0BC9">
      <w:pPr>
        <w:pStyle w:val="11"/>
        <w:keepNext w:val="0"/>
        <w:keepLines w:val="0"/>
        <w:pageBreakBefore w:val="0"/>
        <w:wordWrap/>
        <w:overflowPunct/>
        <w:topLinePunct w:val="0"/>
        <w:bidi w:val="0"/>
        <w:adjustRightInd w:val="0"/>
        <w:snapToGrid w:val="0"/>
        <w:spacing w:line="560" w:lineRule="exact"/>
        <w:ind w:firstLine="648" w:firstLineChars="200"/>
        <w:jc w:val="both"/>
        <w:outlineLvl w:val="9"/>
        <w:rPr>
          <w:rFonts w:hint="eastAsia" w:ascii="仿宋_GB2312" w:hAnsi="仿宋_GB2312" w:eastAsia="仿宋_GB2312" w:cs="仿宋_GB2312"/>
          <w:spacing w:val="2"/>
          <w:position w:val="2"/>
          <w:sz w:val="32"/>
          <w:szCs w:val="32"/>
          <w:lang w:eastAsia="zh-CN"/>
        </w:rPr>
      </w:pPr>
    </w:p>
    <w:p w14:paraId="5BF7023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黑体" w:hAnsi="黑体" w:eastAsia="黑体" w:cs="黑体"/>
          <w:b w:val="0"/>
          <w:bCs w:val="0"/>
          <w:snapToGrid/>
          <w:kern w:val="2"/>
          <w:sz w:val="32"/>
          <w:szCs w:val="32"/>
          <w:lang w:eastAsia="zh-CN"/>
        </w:rPr>
      </w:pPr>
      <w:bookmarkStart w:id="0" w:name="_Toc5400"/>
      <w:bookmarkStart w:id="1" w:name="_Toc16205"/>
      <w:bookmarkStart w:id="2" w:name="_Toc18335"/>
      <w:r>
        <w:rPr>
          <w:rFonts w:hint="eastAsia" w:ascii="黑体" w:hAnsi="黑体" w:eastAsia="黑体" w:cs="黑体"/>
          <w:b w:val="0"/>
          <w:bCs w:val="0"/>
          <w:snapToGrid/>
          <w:kern w:val="2"/>
          <w:sz w:val="32"/>
          <w:szCs w:val="32"/>
          <w:lang w:eastAsia="zh-CN"/>
        </w:rPr>
        <w:t>一、部门概况</w:t>
      </w:r>
      <w:bookmarkEnd w:id="0"/>
      <w:bookmarkEnd w:id="1"/>
      <w:bookmarkEnd w:id="2"/>
    </w:p>
    <w:p w14:paraId="2E1C32C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楷体_GB2312" w:hAnsi="楷体_GB2312" w:eastAsia="楷体_GB2312" w:cs="楷体_GB2312"/>
          <w:snapToGrid/>
          <w:kern w:val="2"/>
          <w:sz w:val="32"/>
          <w:szCs w:val="32"/>
          <w:lang w:eastAsia="zh-CN"/>
        </w:rPr>
      </w:pPr>
      <w:bookmarkStart w:id="3" w:name="_Toc24579"/>
      <w:bookmarkStart w:id="4" w:name="_Toc791"/>
      <w:bookmarkStart w:id="5" w:name="_Toc17570"/>
      <w:r>
        <w:rPr>
          <w:rFonts w:hint="eastAsia" w:ascii="楷体_GB2312" w:hAnsi="楷体_GB2312" w:eastAsia="楷体_GB2312" w:cs="楷体_GB2312"/>
          <w:snapToGrid/>
          <w:kern w:val="2"/>
          <w:sz w:val="32"/>
          <w:szCs w:val="32"/>
          <w:lang w:eastAsia="zh-CN"/>
        </w:rPr>
        <w:t>（一）机构设置及职责工作任务情况</w:t>
      </w:r>
      <w:bookmarkEnd w:id="3"/>
      <w:bookmarkEnd w:id="4"/>
      <w:bookmarkEnd w:id="5"/>
    </w:p>
    <w:p w14:paraId="0AD3A98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bookmarkStart w:id="6" w:name="_Toc11676"/>
      <w:r>
        <w:rPr>
          <w:rFonts w:hint="eastAsia" w:ascii="仿宋_GB2312" w:hAnsi="仿宋_GB2312" w:eastAsia="仿宋_GB2312" w:cs="仿宋_GB2312"/>
          <w:snapToGrid/>
          <w:kern w:val="2"/>
          <w:sz w:val="32"/>
          <w:szCs w:val="32"/>
          <w:lang w:eastAsia="zh-CN"/>
        </w:rPr>
        <w:t>1.机构设置</w:t>
      </w:r>
      <w:bookmarkEnd w:id="6"/>
    </w:p>
    <w:p w14:paraId="42A33B3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bookmarkStart w:id="7" w:name="_Toc32339"/>
      <w:r>
        <w:rPr>
          <w:rFonts w:hint="eastAsia" w:ascii="仿宋_GB2312" w:hAnsi="仿宋_GB2312" w:eastAsia="仿宋_GB2312" w:cs="仿宋_GB2312"/>
          <w:snapToGrid/>
          <w:kern w:val="2"/>
          <w:sz w:val="32"/>
          <w:szCs w:val="32"/>
          <w:lang w:eastAsia="zh-CN"/>
        </w:rPr>
        <w:t>北京市科学技术协会下设北京市科学技术协会综合服务中心、北京科技国际交流中心、北京市科技教育中心（北京市科学技术协会党校）、北京科普发展与研究中心、北京科技社团服务中心（北京老科学技术工作者总会秘书处、北京反邪教协会秘书处）、北京市科学技术协会创新服务中心、北京科学中心（北京青少年科技中心）7家二级预算单位。</w:t>
      </w:r>
    </w:p>
    <w:p w14:paraId="39AD0CD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2.部门职责</w:t>
      </w:r>
      <w:bookmarkEnd w:id="7"/>
    </w:p>
    <w:p w14:paraId="3ED271E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作为中国共产党北京市委员会领导下的人民团体，以及中国科学技术协会的地方组织，市科协接受中国科学技术协</w:t>
      </w:r>
      <w:r>
        <w:rPr>
          <w:rFonts w:hint="eastAsia" w:ascii="仿宋_GB2312" w:hAnsi="仿宋_GB2312" w:eastAsia="仿宋_GB2312" w:cs="仿宋_GB2312"/>
          <w:snapToGrid/>
          <w:kern w:val="2"/>
          <w:sz w:val="32"/>
          <w:szCs w:val="32"/>
          <w:lang w:eastAsia="zh-CN"/>
        </w:rPr>
        <w:t>会的业务指导。作为党和政府联系科学技术工作者的桥梁和纽带，市科协主要承担以下职责：</w:t>
      </w:r>
    </w:p>
    <w:p w14:paraId="0B79531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bookmarkStart w:id="8" w:name="_Toc17820"/>
      <w:r>
        <w:rPr>
          <w:rFonts w:hint="eastAsia" w:ascii="仿宋_GB2312" w:hAnsi="仿宋_GB2312" w:eastAsia="仿宋_GB2312" w:cs="仿宋_GB2312"/>
          <w:snapToGrid/>
          <w:kern w:val="2"/>
          <w:sz w:val="32"/>
          <w:szCs w:val="32"/>
          <w:lang w:eastAsia="zh-CN"/>
        </w:rPr>
        <w:t>为科技工作者服务。作为北京地区科技工作者的群众组织，是市委领导下的人民团体，是市委和市政府联系广大科技工作者的桥梁和纽带，是推动科技事业发展的重要力量。积极为科技工作者搭建平台，助力科技工作者成长成才。注重激发青少年科技兴趣，推进科技人才体系建设，广泛团结服务战略科学家、一流科技领军才和创新团队、青年科技人才、卓越工程师等优秀科技人才，发现培养一批科学传播人才，表彰奖励优秀科技工作者，举荐科技人才。</w:t>
      </w:r>
    </w:p>
    <w:p w14:paraId="7D49ACD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为创新驱动发展服务。围绕北京国际科技创新中心建设，大力培养创新后备人才，托举青年人才成长，充分发挥科协智力和人才优势，团结和引领首都广大科技工作者为实施创新驱动发展战略服务。开展学术交流和民间国际科学技术交流活动，活跃学术思想，倡导学术民主，优化学术环境，促进产学研深度融合，打造一流科技期刊，推进首都创新体系建设。组织科技工作者开展科技创新，参与科学论证和咨询服务。开展促进国际科学技术合作，推进国际科技组织在京集聚，扩大国际科技交流“朋友圈”，推进京港澳台全方位科技合作，开展首都“海智”行动。加快科学技术成果转化应用，助力创新发展，推进“首都科技期刊卓越行动计划”，促进科技创新与首都经济社会高质量发展深度融合。</w:t>
      </w:r>
    </w:p>
    <w:p w14:paraId="581F60F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为提高全民科学素质服务。切实履行北京市全民科学素质纲要实施工作办公室职责，建立公民科学素质共建机制。加强科普阵地建设，拓展科学传播广度，致力科普人才培养。开展科技科普志愿服务，弘扬科学精神，弘扬科学家精神，普及科学知识，推广先进技术，传播科学思想，倡导科学方法，捍卫科学尊严，提高全民科学素质。</w:t>
      </w:r>
    </w:p>
    <w:p w14:paraId="59537ED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为党和政府科学决策服务。着力建设专业智库基地，以调研课题、决策咨询沙龙、科技工作者建议、科技工作者状况调查、提案议案等为主要形式的特色决策咨询工作格局，组织科技工作者参与科技战略、规划、布局、政策、法律法规的研究、咨询、制定和有关事务的政治协商、科学决策、民主监督工作，建设具有中国特色、北京特点的高水平科技创新智库。</w:t>
      </w:r>
    </w:p>
    <w:p w14:paraId="448D591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加强科协团体自身建设。深入贯彻中央和市委群团工作会议精神，围绕保持和增强科协组织的“政治性、先进性、群众性”，建设开放型、枢纽型、平台型科协组织。全面加强思想政治建设，引导科技工作者学习贯彻习近平新时代中国特色社会主义思想，大力提升组织建设质量，推动科技社团改革，不断打牢自身建设基础，建设网上科技工作者之家。密切联系科技工作者，宣传党的路线方针政策，反映科技工作者的建议、意见和诉求，维护科技工作者的合法权益，建设有温度、可信赖、有活力、见实效的科技工作者之家。</w:t>
      </w:r>
    </w:p>
    <w:p w14:paraId="365FAD2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3.工作任务</w:t>
      </w:r>
      <w:bookmarkEnd w:id="8"/>
    </w:p>
    <w:p w14:paraId="0F83ACE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市科协坚持以习近平新时代中国特色社会主义思想为指导，认真贯彻总书记关于科技创新、群团工作和科协工作的重要论述和对北京重要讲话精神，以新时代首都发展为统领，深度履行“四服务”职责，落实全市重点任务，抓重点、抓特色、抓实效，增加工作系统性，团结带领首都广大科技工作者，以实干实绩为国际科技创新中心建设和首都高质量发展做出新贡献。</w:t>
      </w:r>
    </w:p>
    <w:p w14:paraId="498D090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2024年，市科协以年度总体工作要求为指导，对年度主要工作任务进行部署，包括：</w:t>
      </w:r>
    </w:p>
    <w:p w14:paraId="42A0866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一是坚持把政治建设摆在首位，做好对科技工作者的思想领航工作，引领广大科技工作者听党话、跟党走。</w:t>
      </w:r>
    </w:p>
    <w:p w14:paraId="2351A32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二是聚焦党的二十大报告提出的“有效发挥桥梁纽带作用”，强化组织建设，持续提升全链条人才服务能力，助力科技工作者成长成才，为北京高水平人才高地建设凝聚强大合力。</w:t>
      </w:r>
    </w:p>
    <w:p w14:paraId="0DEC87F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三是落实北京建设国际科技创新中心建设工作方案，发挥科协组织在促进科技经济融合中的重要作用，团结引领首都广大科技工作者融入新发展格局，在发展新质生产力中贡献力量。</w:t>
      </w:r>
    </w:p>
    <w:p w14:paraId="46294AE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四是促进人的全面发展，坚持大科普理念，围绕新时代科普需求，不断提升社会化动员能力、全媒体传播能力，为首都科技创新发展和提升社会文明风尚厚植公民科学素质基础。</w:t>
      </w:r>
    </w:p>
    <w:p w14:paraId="392A510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五是落实党对群团工作的指示精神，深化系统改革，强化政治保证，建设有温度、可信赖的科技工作者之家。</w:t>
      </w:r>
    </w:p>
    <w:p w14:paraId="1A1CE07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楷体_GB2312" w:hAnsi="楷体_GB2312" w:eastAsia="楷体_GB2312" w:cs="楷体_GB2312"/>
          <w:snapToGrid/>
          <w:kern w:val="2"/>
          <w:sz w:val="32"/>
          <w:szCs w:val="32"/>
          <w:lang w:eastAsia="zh-CN"/>
        </w:rPr>
      </w:pPr>
      <w:bookmarkStart w:id="9" w:name="_Toc15230"/>
      <w:bookmarkStart w:id="10" w:name="_Toc20904"/>
      <w:bookmarkStart w:id="11" w:name="_Toc19075"/>
      <w:r>
        <w:rPr>
          <w:rFonts w:hint="eastAsia" w:ascii="楷体_GB2312" w:hAnsi="楷体_GB2312" w:eastAsia="楷体_GB2312" w:cs="楷体_GB2312"/>
          <w:snapToGrid/>
          <w:kern w:val="2"/>
          <w:sz w:val="32"/>
          <w:szCs w:val="32"/>
          <w:lang w:eastAsia="zh-CN"/>
        </w:rPr>
        <w:t>（二）部门整体绩效目标设立情况</w:t>
      </w:r>
      <w:bookmarkEnd w:id="9"/>
      <w:bookmarkEnd w:id="10"/>
      <w:bookmarkEnd w:id="11"/>
    </w:p>
    <w:p w14:paraId="60DCB00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bookmarkStart w:id="12" w:name="_Toc7487"/>
      <w:r>
        <w:rPr>
          <w:rFonts w:hint="eastAsia" w:ascii="仿宋_GB2312" w:hAnsi="仿宋_GB2312" w:eastAsia="仿宋_GB2312" w:cs="仿宋_GB2312"/>
          <w:snapToGrid/>
          <w:kern w:val="2"/>
          <w:sz w:val="32"/>
          <w:szCs w:val="32"/>
          <w:lang w:eastAsia="zh-CN"/>
        </w:rPr>
        <w:t>1</w:t>
      </w:r>
      <w:r>
        <w:rPr>
          <w:rFonts w:hint="eastAsia" w:ascii="仿宋_GB2312" w:hAnsi="仿宋_GB2312" w:eastAsia="仿宋_GB2312" w:cs="仿宋_GB2312"/>
          <w:snapToGrid/>
          <w:kern w:val="2"/>
          <w:sz w:val="32"/>
          <w:szCs w:val="32"/>
          <w:lang w:eastAsia="zh-CN"/>
        </w:rPr>
        <w:t>.</w:t>
      </w:r>
      <w:r>
        <w:rPr>
          <w:rFonts w:hint="eastAsia" w:ascii="仿宋_GB2312" w:hAnsi="仿宋_GB2312" w:eastAsia="仿宋_GB2312" w:cs="仿宋_GB2312"/>
          <w:snapToGrid/>
          <w:kern w:val="2"/>
          <w:sz w:val="32"/>
          <w:szCs w:val="32"/>
          <w:lang w:eastAsia="zh-CN"/>
        </w:rPr>
        <w:t>绩效目标设立依据</w:t>
      </w:r>
      <w:bookmarkEnd w:id="12"/>
    </w:p>
    <w:p w14:paraId="0D59616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按照绩效目标管理相关规定，市科协部门整体支出绩效目标是指部门及所属单位运用全部预算资金，在既定周期内预期实现的总体工作成果和效益。绩效目标的设定严格遵循以下依据：一是国家法律法规、政策文件及国民经济和社会发展规划要求；二是部门职能定位、中长期发展规划及年度重点工作任务；三是财政部门关于中期和年度预算管理的具体规定；四是历史绩效数据、行业规范及计划标准等参考依据；五是财政部门明确的其他相关要求。市科协基于上述依据，采用科学规范的方法体系，系统制定部门整体绩效目标。市科协部门整体绩效目标依据以上内容并采用以下方法设立：</w:t>
      </w:r>
    </w:p>
    <w:p w14:paraId="38FB292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一是系统梳理部门职能，厘清各项工作职责。二是根据中长期规划和年度计划，确定年度重点任务及预期实现的总体成效。三是将目标任务分解到各内设机构及所属事业单位，细化形成可量化的绩效指标，并对应到具体项目。四是最后通过收集基准数据、参照绩效标准，结合预算安排和重点项目实施计划，科学设定各项绩效指标的具体目标值，确保绩效目标与部门职能、年度工作重点和预算安排紧密衔接。</w:t>
      </w:r>
    </w:p>
    <w:p w14:paraId="16668A7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bookmarkStart w:id="13" w:name="_Toc27382"/>
      <w:r>
        <w:rPr>
          <w:rFonts w:hint="eastAsia" w:ascii="仿宋_GB2312" w:hAnsi="仿宋_GB2312" w:eastAsia="仿宋_GB2312" w:cs="仿宋_GB2312"/>
          <w:snapToGrid/>
          <w:kern w:val="2"/>
          <w:sz w:val="32"/>
          <w:szCs w:val="32"/>
          <w:lang w:eastAsia="zh-CN"/>
        </w:rPr>
        <w:t>2.绩效目标与职责任务匹配情况及绩效目标合理性</w:t>
      </w:r>
      <w:bookmarkEnd w:id="13"/>
    </w:p>
    <w:p w14:paraId="76DBEEF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按照有关要求，市科协2024年度部门整体绩效目标随同部门预算一并公开。</w:t>
      </w:r>
    </w:p>
    <w:p w14:paraId="570CDA6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napToGrid/>
          <w:kern w:val="2"/>
          <w:sz w:val="32"/>
          <w:szCs w:val="32"/>
          <w:lang w:eastAsia="zh-CN"/>
        </w:rPr>
        <w:t>2024年度，市科协部门整体支出绩效目标的设定紧密围绕其内设机构职能及核心职责展开，绩效目标和指标体系的构建科学合理、导向明确：一方面，部门绩效目标中“大力弘扬科学家精神”“助力科技人才成长”“提升北京全民科学素质”等重点任务，与市科协“促进学术交流”“服务科技工作者”“加强科普队伍建设”“组织科技工作者继续教育与培训”等基本职能以及“四服务”工作定位高度契合，完全对接2024年度重点工作部署；另一方面，所有绩效指标均依据部门绩效目标科学设置，各项指标对应的具体工作均列入年度计划，指标体系逻辑严密、重点突出，且绝大多数指标均实现了量化考核要求。</w:t>
      </w:r>
    </w:p>
    <w:p w14:paraId="2324456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黑体" w:hAnsi="黑体" w:eastAsia="黑体" w:cs="黑体"/>
          <w:b w:val="0"/>
          <w:bCs w:val="0"/>
          <w:snapToGrid/>
          <w:kern w:val="2"/>
          <w:sz w:val="32"/>
          <w:szCs w:val="32"/>
          <w:lang w:eastAsia="zh-CN"/>
        </w:rPr>
      </w:pPr>
      <w:bookmarkStart w:id="14" w:name="_Toc22578"/>
      <w:bookmarkStart w:id="15" w:name="_Toc12621"/>
      <w:bookmarkStart w:id="16" w:name="_Toc26228"/>
      <w:r>
        <w:rPr>
          <w:rFonts w:hint="eastAsia" w:ascii="黑体" w:hAnsi="黑体" w:eastAsia="黑体" w:cs="黑体"/>
          <w:b w:val="0"/>
          <w:bCs w:val="0"/>
          <w:snapToGrid/>
          <w:kern w:val="2"/>
          <w:sz w:val="32"/>
          <w:szCs w:val="32"/>
          <w:lang w:eastAsia="zh-CN"/>
        </w:rPr>
        <w:t>二、当年预算执行情况</w:t>
      </w:r>
      <w:bookmarkEnd w:id="14"/>
      <w:bookmarkEnd w:id="15"/>
      <w:bookmarkEnd w:id="16"/>
    </w:p>
    <w:p w14:paraId="4187C7B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2024年全年预算数47,159.85万元，其中，基本支出预算数17,250.79万元，项目支出预算数29,909.06万元。全年支出39,959.63万元，其中，基本支出16,216.51万元，项目支出23,743.12万元。预算执行率为84.73%。</w:t>
      </w:r>
    </w:p>
    <w:p w14:paraId="11060AB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黑体" w:hAnsi="黑体" w:eastAsia="黑体" w:cs="黑体"/>
          <w:b w:val="0"/>
          <w:bCs w:val="0"/>
          <w:snapToGrid/>
          <w:kern w:val="2"/>
          <w:sz w:val="32"/>
          <w:szCs w:val="32"/>
          <w:lang w:eastAsia="zh-CN"/>
        </w:rPr>
      </w:pPr>
      <w:bookmarkStart w:id="17" w:name="_Toc19713"/>
      <w:bookmarkStart w:id="18" w:name="_Toc23799"/>
      <w:bookmarkStart w:id="19" w:name="_Toc2355"/>
      <w:r>
        <w:rPr>
          <w:rFonts w:hint="eastAsia" w:ascii="黑体" w:hAnsi="黑体" w:eastAsia="黑体" w:cs="黑体"/>
          <w:b w:val="0"/>
          <w:bCs w:val="0"/>
          <w:snapToGrid/>
          <w:kern w:val="2"/>
          <w:sz w:val="32"/>
          <w:szCs w:val="32"/>
          <w:lang w:eastAsia="zh-CN"/>
        </w:rPr>
        <w:t>三、整体绩效目标实现情况</w:t>
      </w:r>
      <w:bookmarkEnd w:id="17"/>
      <w:bookmarkEnd w:id="18"/>
      <w:bookmarkEnd w:id="19"/>
    </w:p>
    <w:p w14:paraId="2FD576F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楷体_GB2312" w:hAnsi="楷体_GB2312" w:eastAsia="楷体_GB2312" w:cs="楷体_GB2312"/>
          <w:snapToGrid/>
          <w:kern w:val="2"/>
          <w:sz w:val="32"/>
          <w:szCs w:val="32"/>
          <w:lang w:eastAsia="zh-CN"/>
        </w:rPr>
      </w:pPr>
      <w:bookmarkStart w:id="20" w:name="_Toc30620"/>
      <w:bookmarkStart w:id="21" w:name="_Toc30253"/>
      <w:bookmarkStart w:id="22" w:name="_Toc5"/>
      <w:r>
        <w:rPr>
          <w:rFonts w:hint="eastAsia" w:ascii="楷体_GB2312" w:hAnsi="楷体_GB2312" w:eastAsia="楷体_GB2312" w:cs="楷体_GB2312"/>
          <w:snapToGrid/>
          <w:kern w:val="2"/>
          <w:sz w:val="32"/>
          <w:szCs w:val="32"/>
          <w:lang w:eastAsia="zh-CN"/>
        </w:rPr>
        <w:t>（一）产出完成情况分析</w:t>
      </w:r>
      <w:bookmarkEnd w:id="20"/>
      <w:bookmarkEnd w:id="21"/>
      <w:bookmarkEnd w:id="22"/>
    </w:p>
    <w:p w14:paraId="2B41472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bookmarkStart w:id="23" w:name="_Toc27773"/>
      <w:r>
        <w:rPr>
          <w:rFonts w:hint="eastAsia" w:ascii="仿宋_GB2312" w:hAnsi="仿宋_GB2312" w:eastAsia="仿宋_GB2312" w:cs="仿宋_GB2312"/>
          <w:snapToGrid/>
          <w:kern w:val="2"/>
          <w:sz w:val="32"/>
          <w:szCs w:val="32"/>
          <w:lang w:eastAsia="zh-CN"/>
        </w:rPr>
        <w:t>1.产出数量</w:t>
      </w:r>
      <w:bookmarkEnd w:id="23"/>
    </w:p>
    <w:p w14:paraId="0252AAB0">
      <w:pPr>
        <w:pStyle w:val="11"/>
        <w:keepNext w:val="0"/>
        <w:keepLines w:val="0"/>
        <w:pageBreakBefore w:val="0"/>
        <w:wordWrap/>
        <w:overflowPunct/>
        <w:topLinePunct w:val="0"/>
        <w:bidi w:val="0"/>
        <w:adjustRightInd w:val="0"/>
        <w:snapToGrid w:val="0"/>
        <w:spacing w:line="560" w:lineRule="exact"/>
        <w:ind w:firstLine="656" w:firstLineChars="200"/>
        <w:jc w:val="both"/>
        <w:outlineLvl w:val="9"/>
        <w:rPr>
          <w:rFonts w:hint="eastAsia" w:ascii="仿宋_GB2312" w:hAnsi="仿宋_GB2312" w:eastAsia="仿宋_GB2312" w:cs="仿宋_GB2312"/>
          <w:spacing w:val="4"/>
          <w:position w:val="1"/>
          <w:sz w:val="32"/>
          <w:szCs w:val="32"/>
          <w:lang w:eastAsia="zh-CN"/>
        </w:rPr>
      </w:pPr>
      <w:r>
        <w:rPr>
          <w:rFonts w:hint="eastAsia" w:ascii="仿宋_GB2312" w:hAnsi="仿宋_GB2312" w:eastAsia="仿宋_GB2312" w:cs="仿宋_GB2312"/>
          <w:spacing w:val="4"/>
          <w:position w:val="1"/>
          <w:sz w:val="32"/>
          <w:szCs w:val="32"/>
          <w:lang w:eastAsia="zh-CN"/>
        </w:rPr>
        <w:t>（1）科技界思想引领</w:t>
      </w:r>
      <w:r>
        <w:rPr>
          <w:rFonts w:hint="eastAsia" w:ascii="仿宋_GB2312" w:hAnsi="仿宋_GB2312" w:eastAsia="仿宋_GB2312" w:cs="仿宋_GB2312"/>
          <w:spacing w:val="4"/>
          <w:position w:val="1"/>
          <w:sz w:val="32"/>
          <w:szCs w:val="32"/>
          <w:lang w:eastAsia="zh-CN"/>
        </w:rPr>
        <w:tab/>
      </w:r>
    </w:p>
    <w:p w14:paraId="386AD26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市科协强化科技界思想引领，大力弘扬科学家精神。一是通过“科技工作者思想政治宣传”项目实施，市科协遴选10名北京最美科技工作者，与北京日报社媒体合作完成领创版5个，北京广播电视台媒体合作播出视频20期。二是通过“北京市科学技术协会党校功能提升”项目实施，开展科学家精神宣讲活动80场，组织科学家精神展之主题微展1个。三是通过“科学教育节目运行服务”项目实施，市科协组织《大先生》校园活动10场、开发《大先生》系列二创短视频24个。</w:t>
      </w:r>
    </w:p>
    <w:p w14:paraId="75171A5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（2）科学技术普及</w:t>
      </w:r>
      <w:r>
        <w:rPr>
          <w:rFonts w:hint="eastAsia" w:ascii="仿宋_GB2312" w:hAnsi="仿宋_GB2312" w:eastAsia="仿宋_GB2312" w:cs="仿宋_GB2312"/>
          <w:snapToGrid/>
          <w:kern w:val="2"/>
          <w:sz w:val="32"/>
          <w:szCs w:val="32"/>
          <w:lang w:eastAsia="zh-CN"/>
        </w:rPr>
        <w:tab/>
      </w:r>
    </w:p>
    <w:p w14:paraId="125AEA7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市科协积极发挥全民科学素质建设牵头单位和科普工作主要社会力量作用。一是通过“基层科普服务行动”项目实施，市科协共组织区域科普专项行动、基层组织科普专项行动、硬科普专项行动等科普活动221场，科普委员会数量达30家，形成区域科普专项行动科普产品332项。二是通过“基层科普行动计划中央专项”项目实施，市科协共开展基层科普活动1002场。三是通过“社会化协同科普行动”项目实施，市科协共组织举办京津冀公民科学素质大赛线下决赛活动1场，举办公务员科学素质大讲堂32场，组织召开全民科学素质工作会3次。</w:t>
      </w:r>
    </w:p>
    <w:p w14:paraId="44E226DB">
      <w:pPr>
        <w:pStyle w:val="11"/>
        <w:keepNext w:val="0"/>
        <w:keepLines w:val="0"/>
        <w:pageBreakBefore w:val="0"/>
        <w:wordWrap/>
        <w:overflowPunct/>
        <w:topLinePunct w:val="0"/>
        <w:bidi w:val="0"/>
        <w:adjustRightInd w:val="0"/>
        <w:snapToGrid w:val="0"/>
        <w:spacing w:line="560" w:lineRule="exact"/>
        <w:ind w:firstLine="656" w:firstLineChars="200"/>
        <w:jc w:val="both"/>
        <w:outlineLvl w:val="9"/>
        <w:rPr>
          <w:rFonts w:hint="eastAsia" w:ascii="仿宋_GB2312" w:hAnsi="仿宋_GB2312" w:eastAsia="仿宋_GB2312" w:cs="仿宋_GB2312"/>
          <w:spacing w:val="4"/>
          <w:position w:val="1"/>
          <w:sz w:val="32"/>
          <w:szCs w:val="32"/>
          <w:lang w:eastAsia="zh-CN"/>
        </w:rPr>
      </w:pPr>
      <w:r>
        <w:rPr>
          <w:rFonts w:hint="eastAsia" w:ascii="仿宋_GB2312" w:hAnsi="仿宋_GB2312" w:eastAsia="仿宋_GB2312" w:cs="仿宋_GB2312"/>
          <w:spacing w:val="4"/>
          <w:position w:val="1"/>
          <w:sz w:val="32"/>
          <w:szCs w:val="32"/>
          <w:lang w:eastAsia="zh-CN"/>
        </w:rPr>
        <w:t>（3）科技人才培养</w:t>
      </w:r>
    </w:p>
    <w:p w14:paraId="32F985E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市科协强化了科技人才工作统筹力度，推动落实科技人才培养工作。一是通过“科技馆之城服务平台建设”项目实施，市科协共支持青年科技人才科普（团队）79人，动员科技工作者参与科普服务人数556人。二是通过“国际科技组织与科技人才建设项目”实施，支持首都科技团体组织开展港澳科技交流活动5场，举办京港澳青年科技交流主题活动1场，组织海外科技人才联络机制建设相关活动8场，举办京台青年科学家论坛相关活动2场。</w:t>
      </w:r>
    </w:p>
    <w:p w14:paraId="29931A21">
      <w:pPr>
        <w:pStyle w:val="11"/>
        <w:keepNext w:val="0"/>
        <w:keepLines w:val="0"/>
        <w:pageBreakBefore w:val="0"/>
        <w:wordWrap/>
        <w:overflowPunct/>
        <w:topLinePunct w:val="0"/>
        <w:bidi w:val="0"/>
        <w:adjustRightInd w:val="0"/>
        <w:snapToGrid w:val="0"/>
        <w:spacing w:line="560" w:lineRule="exact"/>
        <w:ind w:firstLine="656" w:firstLineChars="200"/>
        <w:jc w:val="both"/>
        <w:outlineLvl w:val="9"/>
        <w:rPr>
          <w:rFonts w:hint="eastAsia" w:ascii="仿宋_GB2312" w:hAnsi="仿宋_GB2312" w:eastAsia="仿宋_GB2312" w:cs="仿宋_GB2312"/>
          <w:spacing w:val="4"/>
          <w:position w:val="1"/>
          <w:sz w:val="32"/>
          <w:szCs w:val="32"/>
          <w:lang w:eastAsia="zh-CN"/>
        </w:rPr>
      </w:pPr>
      <w:r>
        <w:rPr>
          <w:rFonts w:hint="eastAsia" w:ascii="仿宋_GB2312" w:hAnsi="仿宋_GB2312" w:eastAsia="仿宋_GB2312" w:cs="仿宋_GB2312"/>
          <w:spacing w:val="4"/>
          <w:position w:val="1"/>
          <w:sz w:val="32"/>
          <w:szCs w:val="32"/>
          <w:lang w:eastAsia="zh-CN"/>
        </w:rPr>
        <w:t>（4）</w:t>
      </w:r>
      <w:r>
        <w:rPr>
          <w:rFonts w:hint="eastAsia" w:ascii="仿宋_GB2312" w:hAnsi="仿宋_GB2312" w:eastAsia="仿宋_GB2312" w:cs="仿宋_GB2312"/>
          <w:sz w:val="32"/>
          <w:szCs w:val="32"/>
          <w:lang w:eastAsia="zh-CN"/>
        </w:rPr>
        <w:t>科技类专业智库群建设</w:t>
      </w:r>
    </w:p>
    <w:p w14:paraId="39BE9C7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市科协进一步完善了专业智库组织体系，有效规范了专业智库基地研究和运营机制。通过“科学决策服务”项目实施，充分保障15家智库基地运行，推动产出210项高质量智库成果，报送决策咨询成果总量130项。</w:t>
      </w:r>
    </w:p>
    <w:p w14:paraId="6084F398">
      <w:pPr>
        <w:keepNext w:val="0"/>
        <w:keepLines w:val="0"/>
        <w:pageBreakBefore w:val="0"/>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z w:val="32"/>
          <w:szCs w:val="32"/>
          <w:lang w:eastAsia="zh-CN"/>
        </w:rPr>
        <w:t>（5）科协系统信息化建设</w:t>
      </w:r>
    </w:p>
    <w:p w14:paraId="6781E5C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市科协强化信息系统建设，保障科普工作顺利运行。一是通过“市科协信息系统基础运维和安全运维”项目实施，市科协维护应用系统2个、硬件500个。二是通过“市科协政务服务平台运维”项目实施，市科协实现存量纸质档案数字化加工数量8455件，建立目录数据库1个。三是通过“数字公共服务平台整合升级”项目实施，市科协实现软件开发成果3项。四是通过“‘数字科协’大数据中心建设”项目实施，新增科创、科普相关的数据记录1046万条，按各主题库要求完成数据汇聚工作、形成系统对接数据清单12类。</w:t>
      </w:r>
    </w:p>
    <w:p w14:paraId="7D5A1CFF">
      <w:pPr>
        <w:pStyle w:val="11"/>
        <w:keepNext w:val="0"/>
        <w:keepLines w:val="0"/>
        <w:pageBreakBefore w:val="0"/>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（6）服务国际科技创新中心</w:t>
      </w:r>
      <w:r>
        <w:rPr>
          <w:rFonts w:hint="eastAsia" w:ascii="仿宋_GB2312" w:hAnsi="仿宋_GB2312" w:eastAsia="仿宋_GB2312" w:cs="仿宋_GB2312"/>
          <w:sz w:val="32"/>
          <w:szCs w:val="32"/>
          <w:lang w:eastAsia="zh-CN"/>
        </w:rPr>
        <w:tab/>
      </w:r>
    </w:p>
    <w:p w14:paraId="05176AE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市科协进一步加强了与全国学会、国际组织的交流与合作，强化了国内外科技交流。一是通过“加强国际、港澳台民间科技交流合作”项目实施，有效组织了国际科技组织联络机制建设相关活动16场。二是通过“北京流动资源服务平台建设”项目实施，市科协组织开展科技创新展第二期教育活动18场、流动科技馆全年巡展活动28场，策划主题展2个。</w:t>
      </w:r>
    </w:p>
    <w:p w14:paraId="6E6E15E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总体而言，市科协2024年度各项任务产出数量目标基本完成。</w:t>
      </w:r>
    </w:p>
    <w:p w14:paraId="104A6EB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bookmarkStart w:id="24" w:name="_Toc16391"/>
      <w:r>
        <w:rPr>
          <w:rFonts w:hint="eastAsia" w:ascii="仿宋_GB2312" w:hAnsi="仿宋_GB2312" w:eastAsia="仿宋_GB2312" w:cs="仿宋_GB2312"/>
          <w:snapToGrid/>
          <w:kern w:val="2"/>
          <w:sz w:val="32"/>
          <w:szCs w:val="32"/>
          <w:lang w:eastAsia="zh-CN"/>
        </w:rPr>
        <w:t>2.产出质量</w:t>
      </w:r>
      <w:bookmarkEnd w:id="24"/>
    </w:p>
    <w:p w14:paraId="128761B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val="0"/>
          <w:bCs w:val="0"/>
          <w:snapToGrid/>
          <w:kern w:val="2"/>
          <w:sz w:val="32"/>
          <w:szCs w:val="32"/>
          <w:lang w:eastAsia="zh-CN"/>
        </w:rPr>
        <w:t>2024年，市科协围绕科技界思想引领、科学技术普及、科技人才培养等活动开展各项工作，整体产出质量较好。一是科技界思想引领方面，实现了宣传选题在科技自主创新、时效性、战略需求、前沿领先、重大工程等重要领域展现出高度专业性和权威性，科学教育节目内容均符合当期专业领域定位，具有一定趣味性、教育性。二是科学技术普及方面，基层科普服务行动实现了10个方向、重大时间节点全覆盖，各类媒体平台传播达311次。三是科技人才培养方面，通过开展茅以升北京青年科技奖等各类科技人才的举荐、表彰，以及青年科技人才跨界交流活动，各类申报组织覆盖率与上一年相比增加90%，参与单位较上一年增加300%。四是科技类专业智库群建设方面，各项智库成果合格率达100%。五是科协系统信息化建设方面，软件故障率低于5%、系统平均故障响应时间在120分钟内，平均修复时间在24小时内，数字化加工成果数据挂接率、数字化加工成果数据验收抽检合格率达100%。六是服务国际科技创新中心建设方面，市科协提炼形成服务港澳台科技组织交流合作机制成果5个，全年共完成13个因公出国、赴港澳组团任务，共计出访17个国家和地区，深度参与了欧洲科学中心和相关博物馆组织年会等活动，引导重点国际组织对接北京城市发展需求，扩大与世界重点创新国家及城市的交流合作，举办国际交流活动，实现了对80家国外科技组织及机构的辐射链接。</w:t>
      </w:r>
    </w:p>
    <w:p w14:paraId="6EBD6D0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bookmarkStart w:id="25" w:name="_Toc15917"/>
      <w:r>
        <w:rPr>
          <w:rFonts w:hint="eastAsia" w:ascii="仿宋_GB2312" w:hAnsi="仿宋_GB2312" w:eastAsia="仿宋_GB2312" w:cs="仿宋_GB2312"/>
          <w:snapToGrid/>
          <w:kern w:val="2"/>
          <w:sz w:val="32"/>
          <w:szCs w:val="32"/>
          <w:lang w:eastAsia="zh-CN"/>
        </w:rPr>
        <w:t>3.产出进度</w:t>
      </w:r>
      <w:bookmarkEnd w:id="25"/>
    </w:p>
    <w:p w14:paraId="740C3F1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2024年市科协重点工作总体进展顺利，多数任务按计划稳步推进，如期完成年度目标。</w:t>
      </w:r>
    </w:p>
    <w:p w14:paraId="14DD535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bookmarkStart w:id="26" w:name="_Toc17629"/>
      <w:r>
        <w:rPr>
          <w:rFonts w:hint="eastAsia" w:ascii="仿宋_GB2312" w:hAnsi="仿宋_GB2312" w:eastAsia="仿宋_GB2312" w:cs="仿宋_GB2312"/>
          <w:snapToGrid/>
          <w:kern w:val="2"/>
          <w:sz w:val="32"/>
          <w:szCs w:val="32"/>
          <w:lang w:eastAsia="zh-CN"/>
        </w:rPr>
        <w:t>4.产出成本</w:t>
      </w:r>
      <w:bookmarkEnd w:id="26"/>
    </w:p>
    <w:p w14:paraId="543AC44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一是基本支出方面。市科协2024年度基本支出决算数为16,216.51万元，2023年基本支出决算数为15,324.91万元，同比增加891.60万元，增长5.82%，受</w:t>
      </w:r>
      <w:r>
        <w:rPr>
          <w:rFonts w:hint="eastAsia" w:ascii="仿宋_GB2312" w:hAnsi="仿宋_GB2312" w:eastAsia="仿宋_GB2312" w:cs="仿宋_GB2312"/>
          <w:snapToGrid/>
          <w:kern w:val="2"/>
          <w:sz w:val="32"/>
          <w:szCs w:val="32"/>
          <w:lang w:val="en-US" w:eastAsia="zh-CN"/>
        </w:rPr>
        <w:t>招聘新员工及社保基数调整</w:t>
      </w:r>
      <w:r>
        <w:rPr>
          <w:rFonts w:hint="eastAsia" w:ascii="仿宋_GB2312" w:hAnsi="仿宋_GB2312" w:eastAsia="仿宋_GB2312" w:cs="仿宋_GB2312"/>
          <w:snapToGrid/>
          <w:kern w:val="2"/>
          <w:sz w:val="32"/>
          <w:szCs w:val="32"/>
          <w:lang w:eastAsia="zh-CN"/>
        </w:rPr>
        <w:t>等因素影响，</w:t>
      </w:r>
      <w:r>
        <w:rPr>
          <w:rFonts w:hint="eastAsia" w:ascii="仿宋_GB2312" w:hAnsi="仿宋_GB2312" w:eastAsia="仿宋_GB2312" w:cs="仿宋_GB2312"/>
          <w:snapToGrid/>
          <w:kern w:val="2"/>
          <w:sz w:val="32"/>
          <w:szCs w:val="32"/>
          <w:lang w:val="en-US" w:eastAsia="zh-CN"/>
        </w:rPr>
        <w:t>基本</w:t>
      </w:r>
      <w:r>
        <w:rPr>
          <w:rFonts w:hint="eastAsia" w:ascii="仿宋_GB2312" w:hAnsi="仿宋_GB2312" w:eastAsia="仿宋_GB2312" w:cs="仿宋_GB2312"/>
          <w:snapToGrid/>
          <w:kern w:val="2"/>
          <w:sz w:val="32"/>
          <w:szCs w:val="32"/>
          <w:lang w:eastAsia="zh-CN"/>
        </w:rPr>
        <w:t>经费有一定增长。</w:t>
      </w:r>
    </w:p>
    <w:p w14:paraId="6D89A33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二是项目支出方面。市科协2024年度项目支出决算数为23,743.12万元，2023年项目支出决算数为27,543.63万元，同比减少3,800.51万元，降低13.80%。</w:t>
      </w:r>
    </w:p>
    <w:p w14:paraId="5446C49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综上，从部门整体支出看，市科协2024年实际总支出39,959.63万元，2023年实际总支出42,868.54万元，同比减少2,908.91万元，降低6.79%。</w:t>
      </w:r>
    </w:p>
    <w:p w14:paraId="17CAA36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bookmarkStart w:id="27" w:name="_Toc11027"/>
      <w:bookmarkStart w:id="28" w:name="_Toc21904"/>
      <w:bookmarkStart w:id="29" w:name="_Toc24702"/>
      <w:r>
        <w:rPr>
          <w:rFonts w:hint="eastAsia" w:ascii="楷体_GB2312" w:hAnsi="楷体_GB2312" w:eastAsia="楷体_GB2312" w:cs="楷体_GB2312"/>
          <w:snapToGrid/>
          <w:kern w:val="2"/>
          <w:sz w:val="32"/>
          <w:szCs w:val="32"/>
          <w:lang w:eastAsia="zh-CN"/>
        </w:rPr>
        <w:t>（二）效果实现情况分析</w:t>
      </w:r>
      <w:bookmarkEnd w:id="27"/>
      <w:bookmarkEnd w:id="28"/>
      <w:bookmarkEnd w:id="29"/>
    </w:p>
    <w:p w14:paraId="53EA9AC0">
      <w:pPr>
        <w:keepNext w:val="0"/>
        <w:keepLines w:val="0"/>
        <w:pageBreakBefore w:val="0"/>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pacing w:val="4"/>
          <w:position w:val="1"/>
          <w:sz w:val="32"/>
          <w:szCs w:val="32"/>
          <w:lang w:eastAsia="zh-CN"/>
        </w:rPr>
      </w:pPr>
      <w:bookmarkStart w:id="30" w:name="_Toc20625"/>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eastAsia="zh-CN"/>
        </w:rPr>
        <w:t>社会效益</w:t>
      </w:r>
      <w:bookmarkEnd w:id="30"/>
    </w:p>
    <w:p w14:paraId="6A3FA1C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市科协严格根据年度工作任务开展系列工作，在科技界思想引领、贯彻落实市科协“四服务”职责、建设新时代科协组织、助力科技人才成长、强化全国科技创新中心核心功能、提升北京全民科学素质等方面取得显著成效。具体实现情况如下：</w:t>
      </w:r>
    </w:p>
    <w:p w14:paraId="262E039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val="0"/>
          <w:bCs w:val="0"/>
          <w:snapToGrid/>
          <w:kern w:val="2"/>
          <w:sz w:val="32"/>
          <w:szCs w:val="32"/>
          <w:lang w:eastAsia="zh-CN"/>
        </w:rPr>
        <w:t>一是加强科技界思想引领，引导社会形成良好氛围。科技社团党建工作小组履行政治引领职责，基层党组织通过组织宣讲会、发放学习资料等方式，有效推动了首都科技工作者学习党的理论创新成果，深化主题教育成效。2024年，市科协系统共开展247次党纪学习教育活动，开展“科学”流言榜专项宣传活动，辐射带动科学道德和学风建设覆盖首都地区高校师生、科研院所科研人员11680人次，有效形成了良好的科技思想氛围，取得预期效果。</w:t>
      </w:r>
    </w:p>
    <w:p w14:paraId="4E4CAFD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val="0"/>
          <w:bCs w:val="0"/>
          <w:snapToGrid/>
          <w:kern w:val="2"/>
          <w:sz w:val="32"/>
          <w:szCs w:val="32"/>
          <w:lang w:eastAsia="zh-CN"/>
        </w:rPr>
        <w:t>二是强化科学技术普及，提升北京全民科学素质。2024年全国科普日与第十四届北京科学嘉年华活动成功举办，吸引1600余家机构参与，共推出科普活动逾2000项，线上线下参与总人次突破4000万。同期，首都科学讲堂组织52场主题活动，联合49家合作单位共同开展，线上线下覆盖受众达4407.95万人次。</w:t>
      </w:r>
    </w:p>
    <w:p w14:paraId="6F01B75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val="0"/>
          <w:bCs w:val="0"/>
          <w:snapToGrid/>
          <w:kern w:val="2"/>
          <w:sz w:val="32"/>
          <w:szCs w:val="32"/>
          <w:lang w:eastAsia="zh-CN"/>
        </w:rPr>
        <w:t>三是建设新时代科协组织，助力科技人才成长。组织中国科协青托博士生专项计划推荐，495名北京地区在校博士生入选；开展第26、27届茅以升北京青年科技奖评选，发现了一批作出突出贡献的青年科技领军人才；支持科技社团和基层组织依法依章培养表彰人才，北京科技人才研究会、北京光华设计发展基金会、大北农等组织人才评选表彰，助力优秀人才崭露头角；推动科技工作者成才，推荐15名青年科技工作者参与“青年北京学者计划”，选拔培育100名卓越青年工程师及20位卓越工程师人才。</w:t>
      </w:r>
    </w:p>
    <w:p w14:paraId="4B0B15A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val="0"/>
          <w:bCs w:val="0"/>
          <w:snapToGrid/>
          <w:kern w:val="2"/>
          <w:sz w:val="32"/>
          <w:szCs w:val="32"/>
          <w:lang w:eastAsia="zh-CN"/>
        </w:rPr>
        <w:t>四是强化决策咨询，推进科技类专业智库群建设。2024年，市科协联动市属学会、区科协、基层组织，探索建设81支决策咨询专家团队，深化与国家和首都高端智库、民间智库的合作，切实推动“平战结合”工作机制有效发挥，产生决策咨询建议200余篇，完成中国科协为国家“十五五”规划建言等紧急咨询任务；收集市委、市政府关注议题30个，有机统筹到各项决策咨询项目中，组织战略决策咨询研究，开展决策咨询沙龙，形成一批有针对性的决策咨询报告；全年向市领导、中国科协及市相关部门报送建议近百篇，批示采纳回复30余篇。</w:t>
      </w:r>
    </w:p>
    <w:p w14:paraId="034AF13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val="0"/>
          <w:bCs w:val="0"/>
          <w:snapToGrid/>
          <w:kern w:val="2"/>
          <w:sz w:val="32"/>
          <w:szCs w:val="32"/>
          <w:lang w:eastAsia="zh-CN"/>
        </w:rPr>
        <w:t>五是加强信息化保障，为科普平台推广提供技术支撑。2024年实现平台及媒体注册会员数逾500万，线上业务与活动参与用户5000万人次，公众访问量达到15亿次/年，平台影响力持续扩大。通过优化技术架构、提升系统稳定性等措施，有效保障了科普服务的顺畅开展，为公众获取科学知识提供了便捷高效的数字化渠道。</w:t>
      </w:r>
    </w:p>
    <w:p w14:paraId="6D15091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b w:val="0"/>
          <w:bCs w:val="0"/>
          <w:snapToGrid/>
          <w:kern w:val="2"/>
          <w:sz w:val="32"/>
          <w:szCs w:val="32"/>
          <w:lang w:eastAsia="zh-CN"/>
        </w:rPr>
      </w:pPr>
      <w:r>
        <w:rPr>
          <w:rFonts w:hint="eastAsia" w:ascii="仿宋_GB2312" w:hAnsi="仿宋_GB2312" w:eastAsia="仿宋_GB2312" w:cs="仿宋_GB2312"/>
          <w:b w:val="0"/>
          <w:bCs w:val="0"/>
          <w:snapToGrid/>
          <w:kern w:val="2"/>
          <w:sz w:val="32"/>
          <w:szCs w:val="32"/>
          <w:lang w:eastAsia="zh-CN"/>
        </w:rPr>
        <w:t>六是强化全国科技创新中心核心功能。链接创新资源服务京津冀协同发展，市科协联动海淀区科协，组织有关单位开展应用场景发布与“千人进千企”技术交流对接会，联合通州区科协，组织“通武廊”企业科研人员围绕创新方法和农业技术问题进行跨界探讨交流和经验分享，“科创中国”京津冀青年百人会举办“青年说”系列主题研讨活动，全年组织各类科创活动100余场；聚焦生物医药、人工智能等15个领域，北京化学会等15家组织举办18场首都前沿学术成果报告会，有效促进首都重点产业领域科技前沿探索。</w:t>
      </w:r>
    </w:p>
    <w:p w14:paraId="5B09F0ED">
      <w:pPr>
        <w:keepNext w:val="0"/>
        <w:keepLines w:val="0"/>
        <w:pageBreakBefore w:val="0"/>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lang w:eastAsia="zh-CN"/>
        </w:rPr>
      </w:pPr>
      <w:bookmarkStart w:id="31" w:name="_Toc17126"/>
      <w:r>
        <w:rPr>
          <w:rFonts w:hint="eastAsia" w:ascii="仿宋_GB2312" w:hAnsi="仿宋_GB2312" w:eastAsia="仿宋_GB2312" w:cs="仿宋_GB2312"/>
          <w:sz w:val="32"/>
          <w:szCs w:val="32"/>
          <w:lang w:eastAsia="zh-CN"/>
        </w:rPr>
        <w:t>2.服务对象满意度</w:t>
      </w:r>
      <w:bookmarkEnd w:id="31"/>
    </w:p>
    <w:p w14:paraId="276C888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市科协在完善服务平台、提升组织建设质量、推进国际科技组织建设等工作中均取得一定成效，有效提升了相关服务对象满意度。一是通过升级数字公共服务平台，有效提升了科技工作者对市科协相关服务的满意度；二是通过指导成立新型交叉学会，成功提升了学会发展的信息化应用程度及学会成员对市科协促进科技交流与组织协同发展的满意度；三是通过支持在京高校、科研院所、科技组织同国际同行对接，举办国际交流活动、学术会议等，提升了相关组织机构对市科协发挥对外交流优势的满意度；四是通过动员“海智”基地参与北京市海外人才举荐工作、组织多个国家及地区的专家学者走进经开区企业、举办“海智摇篮科技创享汇”活动等，显著提升相关企业及科技工作者对市科协服务科技工作人才、开展国际科技交流与合作的满意度。</w:t>
      </w:r>
    </w:p>
    <w:p w14:paraId="09BF0B2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黑体" w:hAnsi="黑体" w:eastAsia="黑体" w:cs="黑体"/>
          <w:b w:val="0"/>
          <w:bCs w:val="0"/>
          <w:snapToGrid/>
          <w:kern w:val="2"/>
          <w:sz w:val="32"/>
          <w:szCs w:val="32"/>
          <w:lang w:eastAsia="zh-CN"/>
        </w:rPr>
      </w:pPr>
      <w:bookmarkStart w:id="32" w:name="_Toc2295"/>
      <w:bookmarkStart w:id="33" w:name="_Toc30908"/>
      <w:bookmarkStart w:id="34" w:name="_Toc16880"/>
      <w:r>
        <w:rPr>
          <w:rFonts w:hint="eastAsia" w:ascii="黑体" w:hAnsi="黑体" w:eastAsia="黑体" w:cs="黑体"/>
          <w:b w:val="0"/>
          <w:bCs w:val="0"/>
          <w:snapToGrid/>
          <w:kern w:val="2"/>
          <w:sz w:val="32"/>
          <w:szCs w:val="32"/>
          <w:lang w:eastAsia="zh-CN"/>
        </w:rPr>
        <w:t>四、预算管理情况分析</w:t>
      </w:r>
      <w:bookmarkEnd w:id="32"/>
      <w:bookmarkEnd w:id="33"/>
      <w:bookmarkEnd w:id="34"/>
    </w:p>
    <w:p w14:paraId="011C663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楷体_GB2312" w:hAnsi="楷体_GB2312" w:eastAsia="楷体_GB2312" w:cs="楷体_GB2312"/>
          <w:snapToGrid/>
          <w:kern w:val="2"/>
          <w:sz w:val="32"/>
          <w:szCs w:val="32"/>
          <w:lang w:eastAsia="zh-CN"/>
        </w:rPr>
      </w:pPr>
      <w:bookmarkStart w:id="35" w:name="_Toc17419"/>
      <w:bookmarkStart w:id="36" w:name="_Toc1894"/>
      <w:bookmarkStart w:id="37" w:name="_Toc10191"/>
      <w:r>
        <w:rPr>
          <w:rFonts w:hint="eastAsia" w:ascii="楷体_GB2312" w:hAnsi="楷体_GB2312" w:eastAsia="楷体_GB2312" w:cs="楷体_GB2312"/>
          <w:snapToGrid/>
          <w:kern w:val="2"/>
          <w:sz w:val="32"/>
          <w:szCs w:val="32"/>
          <w:lang w:eastAsia="zh-CN"/>
        </w:rPr>
        <w:t>（一）财务管理</w:t>
      </w:r>
      <w:bookmarkEnd w:id="35"/>
      <w:bookmarkEnd w:id="36"/>
      <w:bookmarkEnd w:id="37"/>
    </w:p>
    <w:p w14:paraId="3988F2B0">
      <w:pPr>
        <w:keepNext w:val="0"/>
        <w:keepLines w:val="0"/>
        <w:pageBreakBefore w:val="0"/>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lang w:eastAsia="zh-CN"/>
        </w:rPr>
      </w:pPr>
      <w:bookmarkStart w:id="38" w:name="_Toc24887"/>
      <w:r>
        <w:rPr>
          <w:rFonts w:hint="eastAsia" w:ascii="仿宋_GB2312" w:hAnsi="仿宋_GB2312" w:eastAsia="仿宋_GB2312" w:cs="仿宋_GB2312"/>
          <w:sz w:val="32"/>
          <w:szCs w:val="32"/>
          <w:lang w:eastAsia="zh-CN"/>
        </w:rPr>
        <w:t>1.财务管理制度健全性</w:t>
      </w:r>
      <w:bookmarkEnd w:id="38"/>
    </w:p>
    <w:p w14:paraId="2174D66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市科协于2023年新修订了《北京市科学技术协会内部控制手册》，明确了预算管理、支出管理、采购管理、实物资产管理、合同管理等业务的具体流程及风险控制措施，并制定了财务管理、内部审计管理、会计档案管理、项目管理、预算管理、预算绩效管理、会议费、培训费、差旅费、公务接待管理、公务卡结算、采购管理、固定资产管理、资产管理实施细则、办公用品及低值易耗品管理、建设项目管理、经济合同管理、统计工作管理等19项业务管理制度，市科协财务管理制度整体较为健全，为部门相关工作顺利开展夯实了制度基础。</w:t>
      </w:r>
    </w:p>
    <w:p w14:paraId="6DB0FF3E">
      <w:pPr>
        <w:keepNext w:val="0"/>
        <w:keepLines w:val="0"/>
        <w:pageBreakBefore w:val="0"/>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lang w:eastAsia="zh-CN"/>
        </w:rPr>
      </w:pPr>
      <w:bookmarkStart w:id="39" w:name="_Toc16213"/>
      <w:r>
        <w:rPr>
          <w:rFonts w:hint="eastAsia" w:ascii="仿宋_GB2312" w:hAnsi="仿宋_GB2312" w:eastAsia="仿宋_GB2312" w:cs="仿宋_GB2312"/>
          <w:sz w:val="32"/>
          <w:szCs w:val="32"/>
          <w:lang w:eastAsia="zh-CN"/>
        </w:rPr>
        <w:t>2.资金使用合规性和安全性</w:t>
      </w:r>
      <w:bookmarkEnd w:id="39"/>
    </w:p>
    <w:p w14:paraId="3A3CEC3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2024年，市科协机关内设机构及所属事业单位资金支出严格执行国家、北京市的财经法规和财务管理制度规定以及有关专项资金管理办法的规定，资金使用合规、安全。具体表现为：</w:t>
      </w:r>
    </w:p>
    <w:p w14:paraId="4E3F4CE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一是资金使用管理严格遵循《中华人民共和国预算法》《中华人民共和国会计法》《行政事业单位财务规则》等国家法律法规，以及市级部门预算管理相关制度要求。</w:t>
      </w:r>
    </w:p>
    <w:p w14:paraId="6D761FF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二是资金拨付业务均做到审批手续完备、支付凭证齐全，每笔支付都附有对应的合同文本、正规发票、验收材料等原始凭证，资金拨付内控制度完善。</w:t>
      </w:r>
    </w:p>
    <w:p w14:paraId="67B5561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三是对重大项目实施全过程绩效管理，项目的重大开支经过评估论证，相关程序合规、完善。</w:t>
      </w:r>
    </w:p>
    <w:p w14:paraId="32B3B67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四是严格执行预算管理制度，建立预算执行动态监控机制。通过财务系统设置预算科目控制红线，2024年所有支出均严格控制在批复的预算科目范围内，未发生任何超范围、超标准使用预算资金的情况。</w:t>
      </w:r>
    </w:p>
    <w:p w14:paraId="336B1F5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五是强化资金监管，开展资金使用情况自查，全年未发现截留、挤占、挪用专项资金等违规行为，资金使用规范率达100%。</w:t>
      </w:r>
    </w:p>
    <w:p w14:paraId="2F9D091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六是政府采购管理有序，2024年度实施的政府采购项目均通过政采云平台线上操作，严格执行公开招标、竞争性谈判等法定采购程序。所有政府采购项目采购计划、招标文件、评标记录、合同文本等档案资料留存完整。</w:t>
      </w:r>
    </w:p>
    <w:p w14:paraId="3673A18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七是全面推行公务卡结算制度，制定《北京市科学技术协会公务卡结算管理办法》，明确了公务卡的使用范围、日常管理及财务管理，并严格按照该管理办法执行公务卡强制结算目录，凡目录规定的公务支出项目，均通过国库集中支付系统和公务卡支出系统按照报销提请、还款、资金退回、账务处理与对账等规定程序使用公务卡结算。</w:t>
      </w:r>
    </w:p>
    <w:p w14:paraId="0D09C6BD">
      <w:pPr>
        <w:keepNext w:val="0"/>
        <w:keepLines w:val="0"/>
        <w:pageBreakBefore w:val="0"/>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lang w:eastAsia="zh-CN"/>
        </w:rPr>
      </w:pPr>
      <w:bookmarkStart w:id="40" w:name="_Toc25526"/>
      <w:r>
        <w:rPr>
          <w:rFonts w:hint="eastAsia" w:ascii="仿宋_GB2312" w:hAnsi="仿宋_GB2312" w:eastAsia="仿宋_GB2312" w:cs="仿宋_GB2312"/>
          <w:sz w:val="32"/>
          <w:szCs w:val="32"/>
          <w:lang w:eastAsia="zh-CN"/>
        </w:rPr>
        <w:t>3.会计基础信息完善性</w:t>
      </w:r>
      <w:bookmarkEnd w:id="40"/>
    </w:p>
    <w:p w14:paraId="4B1A07B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bookmarkStart w:id="41" w:name="_Hlk103343508"/>
      <w:r>
        <w:rPr>
          <w:rFonts w:hint="eastAsia" w:ascii="仿宋_GB2312" w:hAnsi="仿宋_GB2312" w:eastAsia="仿宋_GB2312" w:cs="仿宋_GB2312"/>
          <w:snapToGrid/>
          <w:kern w:val="2"/>
          <w:sz w:val="32"/>
          <w:szCs w:val="32"/>
          <w:lang w:eastAsia="zh-CN"/>
        </w:rPr>
        <w:t>市科协严格按照《中华人民共和国会计法》《政府会计准则》《北京市科学技术协会内部控制手册》等财经法规和单位内部财务管理制度开展会计核算工作，会计基础工作规范扎实。具体表现在：一是会计核算全面完整，建立了涵盖预算收支、资产负债等全要素的会计账簿体系，各类经济合同、原始凭证、会计账簿等资料归档齐全，确保会计信息无遗漏。二是会计信息质量可靠，从原始凭证审核到账簿登记实行多重校验机制，金额、期间、业务内容等关键信息记录准确，财务报表数据经过经办人、审核人、负责人三级审核，保证数据真实准确。三是会计处理及时高效，严格遵循权责发生制原则，按月结账、按季编报，重要财务信息实时反映，既满足财政部门预决算管理要求，又为单位领导决策提供了及时有效的财务数据支撑。通过以上措施，市科协形成了规范、准确、及时的会计信息管理体系，为提升财务管理水平奠定了坚实基础。</w:t>
      </w:r>
    </w:p>
    <w:bookmarkEnd w:id="41"/>
    <w:p w14:paraId="40A5F2A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楷体_GB2312" w:hAnsi="楷体_GB2312" w:eastAsia="楷体_GB2312" w:cs="楷体_GB2312"/>
          <w:snapToGrid/>
          <w:kern w:val="2"/>
          <w:sz w:val="32"/>
          <w:szCs w:val="32"/>
          <w:lang w:eastAsia="zh-CN"/>
        </w:rPr>
      </w:pPr>
      <w:bookmarkStart w:id="42" w:name="_Toc30227"/>
      <w:bookmarkStart w:id="43" w:name="_Toc16347"/>
      <w:bookmarkStart w:id="44" w:name="_Toc24754"/>
      <w:r>
        <w:rPr>
          <w:rFonts w:hint="eastAsia" w:ascii="楷体_GB2312" w:hAnsi="楷体_GB2312" w:eastAsia="楷体_GB2312" w:cs="楷体_GB2312"/>
          <w:snapToGrid/>
          <w:kern w:val="2"/>
          <w:sz w:val="32"/>
          <w:szCs w:val="32"/>
          <w:lang w:eastAsia="zh-CN"/>
        </w:rPr>
        <w:t>（二）资产管理</w:t>
      </w:r>
      <w:bookmarkEnd w:id="42"/>
      <w:bookmarkEnd w:id="43"/>
      <w:bookmarkEnd w:id="44"/>
    </w:p>
    <w:p w14:paraId="395A08D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市科协严格依照《北京市科学技术协会固定资产管理办法》规范资产管理工作。在固定资产配置环节，建立了三级审批机制，所有资产购置需求均需通过使用部门申报、财务部门审核、财政部门审批的完整流程，其中复印机、打印机等办公设备的配置数量严格对标《北京市行政事业单位日常办公设备配置标准（试行）》规定限额，经核查未发现超标配置现象。同时，在资产管理全流程中，从入库验收、领用登记到日常维护、定期盘点直至报废处置等各个环节，均严格执行既定管理规程，确保每项资产及时录入固定资产管理系统，建立动态更新的资产台账，实现资产从“入口”到“出口”的全生命周期闭环管理。截至2024年底，市科协单位价值在100万元以上的设备共计1</w:t>
      </w:r>
      <w:r>
        <w:rPr>
          <w:rFonts w:hint="eastAsia" w:ascii="仿宋_GB2312" w:hAnsi="仿宋_GB2312" w:eastAsia="仿宋_GB2312" w:cs="仿宋_GB2312"/>
          <w:snapToGrid/>
          <w:kern w:val="2"/>
          <w:sz w:val="32"/>
          <w:szCs w:val="32"/>
          <w:lang w:val="en-US" w:eastAsia="zh-CN"/>
        </w:rPr>
        <w:t>2</w:t>
      </w:r>
      <w:r>
        <w:rPr>
          <w:rFonts w:hint="eastAsia" w:ascii="仿宋_GB2312" w:hAnsi="仿宋_GB2312" w:eastAsia="仿宋_GB2312" w:cs="仿宋_GB2312"/>
          <w:snapToGrid/>
          <w:kern w:val="2"/>
          <w:sz w:val="32"/>
          <w:szCs w:val="32"/>
          <w:lang w:eastAsia="zh-CN"/>
        </w:rPr>
        <w:t>台（套）。全年定期盘查固定资产并进行规范处置，不存在因管理不当发生严重资产损失和丢失，未经批准擅自出租、出借资产，不按要求进行报批或资产不公开处置行为，以及对外投资等行为。</w:t>
      </w:r>
    </w:p>
    <w:p w14:paraId="4E111D3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楷体_GB2312" w:hAnsi="楷体_GB2312" w:eastAsia="楷体_GB2312" w:cs="楷体_GB2312"/>
          <w:snapToGrid/>
          <w:kern w:val="2"/>
          <w:sz w:val="32"/>
          <w:szCs w:val="32"/>
          <w:lang w:eastAsia="zh-CN"/>
        </w:rPr>
      </w:pPr>
      <w:bookmarkStart w:id="45" w:name="_Toc6968"/>
      <w:bookmarkStart w:id="46" w:name="_Toc19824"/>
      <w:bookmarkStart w:id="47" w:name="_Toc32422"/>
      <w:r>
        <w:rPr>
          <w:rFonts w:hint="eastAsia" w:ascii="楷体_GB2312" w:hAnsi="楷体_GB2312" w:eastAsia="楷体_GB2312" w:cs="楷体_GB2312"/>
          <w:snapToGrid/>
          <w:kern w:val="2"/>
          <w:sz w:val="32"/>
          <w:szCs w:val="32"/>
          <w:lang w:eastAsia="zh-CN"/>
        </w:rPr>
        <w:t>（三）绩效管理</w:t>
      </w:r>
      <w:bookmarkEnd w:id="45"/>
      <w:bookmarkEnd w:id="46"/>
      <w:bookmarkEnd w:id="47"/>
    </w:p>
    <w:p w14:paraId="019A479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市科协积极落实关于全面实施预算绩效管理的部署要求，构建了覆盖预算编制、执行、监督全过程的绩效管理体系，推动预算绩效管理工作提质增效。在预算申报阶段，市科协执行项目立项绩效评估机制，组织各部门及所属事业单位科学设定绩效目标，细化量化绩效指标，制定资金使用计划和工作方案；在项目执行阶段，建立“月度监督+半年监控”的动态监控机制，按月分析预算执行进度和绩效目标完成情况，并集中开展中期绩效监控，对执行进度滞后的10个项目进行跟踪督办；在绩效评价阶段，开展2024年度项目绩效自评工作，选取1个重点项目实施绩效评价，并将评价结果与后续年度预算安排挂钩，形成“评估-监控-评价-应用”的闭环管理机制，切实提升财政资金使用效益。</w:t>
      </w:r>
    </w:p>
    <w:p w14:paraId="16B8E3F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楷体_GB2312" w:hAnsi="楷体_GB2312" w:eastAsia="楷体_GB2312" w:cs="楷体_GB2312"/>
          <w:snapToGrid/>
          <w:kern w:val="2"/>
          <w:sz w:val="32"/>
          <w:szCs w:val="32"/>
          <w:lang w:eastAsia="zh-CN"/>
        </w:rPr>
      </w:pPr>
      <w:bookmarkStart w:id="48" w:name="_Toc2369"/>
      <w:bookmarkStart w:id="49" w:name="_Toc13611"/>
      <w:bookmarkStart w:id="50" w:name="_Toc3013"/>
      <w:r>
        <w:rPr>
          <w:rFonts w:hint="eastAsia" w:ascii="楷体_GB2312" w:hAnsi="楷体_GB2312" w:eastAsia="楷体_GB2312" w:cs="楷体_GB2312"/>
          <w:snapToGrid/>
          <w:kern w:val="2"/>
          <w:sz w:val="32"/>
          <w:szCs w:val="32"/>
          <w:lang w:eastAsia="zh-CN"/>
        </w:rPr>
        <w:t>（四）结转结余率</w:t>
      </w:r>
      <w:bookmarkEnd w:id="48"/>
      <w:bookmarkEnd w:id="49"/>
      <w:bookmarkEnd w:id="50"/>
    </w:p>
    <w:p w14:paraId="38E359B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2024年度，市科协年末结转结余总额为7,200.22万元，支出全年预算数为47,159.85万元，2024年度部门结转结余率15.27%。</w:t>
      </w:r>
    </w:p>
    <w:p w14:paraId="04F55BD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楷体_GB2312" w:hAnsi="楷体_GB2312" w:eastAsia="楷体_GB2312" w:cs="楷体_GB2312"/>
          <w:snapToGrid/>
          <w:kern w:val="2"/>
          <w:sz w:val="32"/>
          <w:szCs w:val="32"/>
          <w:lang w:eastAsia="zh-CN"/>
        </w:rPr>
      </w:pPr>
      <w:bookmarkStart w:id="51" w:name="_Toc15209"/>
      <w:bookmarkStart w:id="52" w:name="_Toc10928"/>
      <w:bookmarkStart w:id="53" w:name="_Toc10484"/>
      <w:r>
        <w:rPr>
          <w:rFonts w:hint="eastAsia" w:ascii="楷体_GB2312" w:hAnsi="楷体_GB2312" w:eastAsia="楷体_GB2312" w:cs="楷体_GB2312"/>
          <w:snapToGrid/>
          <w:kern w:val="2"/>
          <w:sz w:val="32"/>
          <w:szCs w:val="32"/>
          <w:lang w:eastAsia="zh-CN"/>
        </w:rPr>
        <w:t>（五）部门预决算差异率</w:t>
      </w:r>
      <w:bookmarkEnd w:id="51"/>
      <w:bookmarkEnd w:id="52"/>
      <w:bookmarkEnd w:id="53"/>
    </w:p>
    <w:p w14:paraId="53D1B80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2024年度，市科协年初预算数为43,876.55万元，年末部门决算数为39,959.63万元，部门预决算差异率为8.93</w:t>
      </w:r>
      <w:r>
        <w:rPr>
          <w:rFonts w:hint="eastAsia" w:ascii="仿宋_GB2312" w:hAnsi="仿宋_GB2312" w:eastAsia="仿宋_GB2312" w:cs="仿宋_GB2312"/>
          <w:snapToGrid/>
          <w:kern w:val="2"/>
          <w:sz w:val="32"/>
          <w:szCs w:val="32"/>
          <w:lang w:eastAsia="zh-CN"/>
        </w:rPr>
        <w:t>%。</w:t>
      </w:r>
    </w:p>
    <w:p w14:paraId="2F8CB0D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黑体" w:hAnsi="黑体" w:eastAsia="黑体" w:cs="黑体"/>
          <w:b w:val="0"/>
          <w:bCs w:val="0"/>
          <w:snapToGrid/>
          <w:kern w:val="2"/>
          <w:sz w:val="32"/>
          <w:szCs w:val="32"/>
          <w:lang w:eastAsia="zh-CN"/>
        </w:rPr>
      </w:pPr>
      <w:bookmarkStart w:id="54" w:name="_Toc12126"/>
      <w:bookmarkStart w:id="55" w:name="_Toc31287"/>
      <w:bookmarkStart w:id="56" w:name="_Toc18795"/>
      <w:r>
        <w:rPr>
          <w:rFonts w:hint="eastAsia" w:ascii="黑体" w:hAnsi="黑体" w:eastAsia="黑体" w:cs="黑体"/>
          <w:b w:val="0"/>
          <w:bCs w:val="0"/>
          <w:snapToGrid/>
          <w:kern w:val="2"/>
          <w:sz w:val="32"/>
          <w:szCs w:val="32"/>
          <w:lang w:eastAsia="zh-CN"/>
        </w:rPr>
        <w:t>五、总体评价结论</w:t>
      </w:r>
      <w:bookmarkEnd w:id="54"/>
      <w:bookmarkEnd w:id="55"/>
      <w:bookmarkEnd w:id="56"/>
    </w:p>
    <w:p w14:paraId="4369F87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楷体_GB2312" w:hAnsi="楷体_GB2312" w:eastAsia="楷体_GB2312" w:cs="楷体_GB2312"/>
          <w:snapToGrid/>
          <w:kern w:val="2"/>
          <w:sz w:val="32"/>
          <w:szCs w:val="32"/>
          <w:lang w:eastAsia="zh-CN"/>
        </w:rPr>
      </w:pPr>
      <w:bookmarkStart w:id="57" w:name="_Toc7277"/>
      <w:bookmarkStart w:id="58" w:name="_Toc21302"/>
      <w:bookmarkStart w:id="59" w:name="_Toc3775"/>
      <w:r>
        <w:rPr>
          <w:rFonts w:hint="eastAsia" w:ascii="楷体_GB2312" w:hAnsi="楷体_GB2312" w:eastAsia="楷体_GB2312" w:cs="楷体_GB2312"/>
          <w:snapToGrid/>
          <w:kern w:val="2"/>
          <w:sz w:val="32"/>
          <w:szCs w:val="32"/>
          <w:lang w:eastAsia="zh-CN"/>
        </w:rPr>
        <w:t>（一）评价得分情况</w:t>
      </w:r>
      <w:bookmarkEnd w:id="57"/>
      <w:bookmarkEnd w:id="58"/>
      <w:bookmarkEnd w:id="59"/>
    </w:p>
    <w:p w14:paraId="536D891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市科协部门整体绩效评价得分为91.60分，得分及扣分原因见附件。</w:t>
      </w:r>
      <w:bookmarkStart w:id="74" w:name="_GoBack"/>
      <w:bookmarkEnd w:id="74"/>
    </w:p>
    <w:p w14:paraId="2C319A2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楷体_GB2312" w:hAnsi="楷体_GB2312" w:eastAsia="楷体_GB2312" w:cs="楷体_GB2312"/>
          <w:snapToGrid/>
          <w:kern w:val="2"/>
          <w:sz w:val="32"/>
          <w:szCs w:val="32"/>
          <w:lang w:eastAsia="zh-CN"/>
        </w:rPr>
      </w:pPr>
      <w:bookmarkStart w:id="60" w:name="_Toc14988"/>
      <w:bookmarkStart w:id="61" w:name="_Toc4333"/>
      <w:bookmarkStart w:id="62" w:name="_Toc16023"/>
      <w:r>
        <w:rPr>
          <w:rFonts w:hint="eastAsia" w:ascii="楷体_GB2312" w:hAnsi="楷体_GB2312" w:eastAsia="楷体_GB2312" w:cs="楷体_GB2312"/>
          <w:snapToGrid/>
          <w:kern w:val="2"/>
          <w:sz w:val="32"/>
          <w:szCs w:val="32"/>
          <w:lang w:eastAsia="zh-CN"/>
        </w:rPr>
        <w:t>（二）存在的问题及原因分析</w:t>
      </w:r>
      <w:bookmarkEnd w:id="60"/>
      <w:bookmarkEnd w:id="61"/>
      <w:bookmarkEnd w:id="62"/>
    </w:p>
    <w:p w14:paraId="7F271743">
      <w:pPr>
        <w:keepNext w:val="0"/>
        <w:keepLines w:val="0"/>
        <w:pageBreakBefore w:val="0"/>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napToGrid/>
          <w:kern w:val="2"/>
          <w:sz w:val="32"/>
          <w:szCs w:val="32"/>
          <w:highlight w:val="none"/>
          <w:lang w:eastAsia="zh-CN"/>
        </w:rPr>
      </w:pPr>
      <w:bookmarkStart w:id="63" w:name="_Toc228"/>
      <w:r>
        <w:rPr>
          <w:rFonts w:hint="eastAsia" w:ascii="仿宋_GB2312" w:hAnsi="仿宋_GB2312" w:eastAsia="仿宋_GB2312" w:cs="仿宋_GB2312"/>
          <w:sz w:val="32"/>
          <w:szCs w:val="32"/>
          <w:highlight w:val="none"/>
          <w:lang w:eastAsia="zh-CN"/>
        </w:rPr>
        <w:t>1.部分项目个别指标目标值研判不足</w:t>
      </w:r>
      <w:bookmarkEnd w:id="63"/>
      <w:r>
        <w:rPr>
          <w:rFonts w:hint="eastAsia" w:ascii="仿宋_GB2312" w:hAnsi="仿宋_GB2312" w:eastAsia="仿宋_GB2312" w:cs="仿宋_GB2312"/>
          <w:snapToGrid/>
          <w:kern w:val="2"/>
          <w:sz w:val="32"/>
          <w:szCs w:val="32"/>
          <w:highlight w:val="none"/>
          <w:lang w:eastAsia="zh-CN"/>
        </w:rPr>
        <w:t>。如：个别项目年初绩效指标值设置偏低，导致实际完成值高于年初目标。</w:t>
      </w:r>
    </w:p>
    <w:p w14:paraId="3610550B">
      <w:pPr>
        <w:keepNext w:val="0"/>
        <w:keepLines w:val="0"/>
        <w:pageBreakBefore w:val="0"/>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napToGrid/>
          <w:kern w:val="2"/>
          <w:sz w:val="32"/>
          <w:szCs w:val="32"/>
          <w:highlight w:val="none"/>
          <w:lang w:eastAsia="zh-CN"/>
        </w:rPr>
      </w:pPr>
      <w:bookmarkStart w:id="64" w:name="_Toc1831"/>
      <w:r>
        <w:rPr>
          <w:rFonts w:hint="eastAsia" w:ascii="仿宋_GB2312" w:hAnsi="仿宋_GB2312" w:eastAsia="仿宋_GB2312" w:cs="仿宋_GB2312"/>
          <w:sz w:val="32"/>
          <w:szCs w:val="32"/>
          <w:highlight w:val="none"/>
          <w:lang w:eastAsia="zh-CN"/>
        </w:rPr>
        <w:t>2.部分项目实施效益有待进一步发挥</w:t>
      </w:r>
      <w:bookmarkEnd w:id="64"/>
      <w:r>
        <w:rPr>
          <w:rFonts w:hint="eastAsia" w:ascii="仿宋_GB2312" w:hAnsi="仿宋_GB2312" w:eastAsia="仿宋_GB2312" w:cs="仿宋_GB2312"/>
          <w:sz w:val="32"/>
          <w:szCs w:val="32"/>
          <w:highlight w:val="none"/>
          <w:lang w:eastAsia="zh-CN"/>
        </w:rPr>
        <w:t>。如：</w:t>
      </w:r>
      <w:r>
        <w:rPr>
          <w:rFonts w:hint="eastAsia" w:ascii="仿宋_GB2312" w:hAnsi="仿宋_GB2312" w:eastAsia="仿宋_GB2312" w:cs="仿宋_GB2312"/>
          <w:snapToGrid/>
          <w:kern w:val="2"/>
          <w:sz w:val="32"/>
          <w:szCs w:val="32"/>
          <w:highlight w:val="none"/>
          <w:lang w:eastAsia="zh-CN"/>
        </w:rPr>
        <w:t>个别项目</w:t>
      </w:r>
      <w:r>
        <w:rPr>
          <w:rFonts w:hint="eastAsia" w:ascii="仿宋_GB2312" w:hAnsi="仿宋_GB2312" w:eastAsia="仿宋_GB2312" w:cs="仿宋_GB2312"/>
          <w:snapToGrid/>
          <w:kern w:val="2"/>
          <w:sz w:val="32"/>
          <w:szCs w:val="32"/>
          <w:highlight w:val="none"/>
          <w:lang w:eastAsia="zh-CN"/>
        </w:rPr>
        <w:t>存在部分研究成果理论深度不足、实践操作性不强</w:t>
      </w:r>
      <w:r>
        <w:rPr>
          <w:rFonts w:hint="eastAsia" w:ascii="仿宋_GB2312" w:hAnsi="仿宋_GB2312" w:eastAsia="仿宋_GB2312" w:cs="仿宋_GB2312"/>
          <w:snapToGrid/>
          <w:kern w:val="2"/>
          <w:sz w:val="32"/>
          <w:szCs w:val="32"/>
          <w:highlight w:val="none"/>
          <w:lang w:eastAsia="zh-CN"/>
        </w:rPr>
        <w:t>等。</w:t>
      </w:r>
    </w:p>
    <w:p w14:paraId="2B9B594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bookmarkStart w:id="65" w:name="_Toc4006"/>
      <w:bookmarkStart w:id="66" w:name="_Toc1239"/>
      <w:bookmarkStart w:id="67" w:name="_Toc4696"/>
      <w:r>
        <w:rPr>
          <w:rFonts w:hint="eastAsia" w:ascii="黑体" w:hAnsi="黑体" w:eastAsia="黑体" w:cs="黑体"/>
          <w:b w:val="0"/>
          <w:bCs w:val="0"/>
          <w:snapToGrid/>
          <w:kern w:val="2"/>
          <w:sz w:val="32"/>
          <w:szCs w:val="32"/>
          <w:lang w:eastAsia="zh-CN"/>
        </w:rPr>
        <w:t>六、措施建议</w:t>
      </w:r>
      <w:bookmarkEnd w:id="65"/>
      <w:bookmarkEnd w:id="66"/>
      <w:bookmarkEnd w:id="67"/>
    </w:p>
    <w:p w14:paraId="01BC707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楷体_GB2312" w:hAnsi="楷体_GB2312" w:eastAsia="楷体_GB2312" w:cs="楷体_GB2312"/>
          <w:snapToGrid/>
          <w:kern w:val="2"/>
          <w:sz w:val="32"/>
          <w:szCs w:val="32"/>
          <w:lang w:eastAsia="zh-CN"/>
        </w:rPr>
      </w:pPr>
      <w:bookmarkStart w:id="68" w:name="_Toc24975"/>
      <w:bookmarkStart w:id="69" w:name="_Toc19899"/>
      <w:bookmarkStart w:id="70" w:name="_Toc16387"/>
      <w:r>
        <w:rPr>
          <w:rFonts w:hint="eastAsia" w:ascii="楷体_GB2312" w:hAnsi="楷体_GB2312" w:eastAsia="楷体_GB2312" w:cs="楷体_GB2312"/>
          <w:snapToGrid/>
          <w:kern w:val="2"/>
          <w:sz w:val="32"/>
          <w:szCs w:val="32"/>
          <w:lang w:eastAsia="zh-CN"/>
        </w:rPr>
        <w:t>（一）加强项目动态跟踪管理，提升项目质量和成效</w:t>
      </w:r>
      <w:bookmarkEnd w:id="68"/>
      <w:bookmarkEnd w:id="69"/>
      <w:bookmarkEnd w:id="70"/>
    </w:p>
    <w:p w14:paraId="3533CBF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加强绩效目标研判，结合实际情况设定绩效指标值，避免设置过高或过低，提升绩效管理的精准性和有效性。通过优化项目管理流程，强化过程监督，切实提高项目执行质量和成效。</w:t>
      </w:r>
    </w:p>
    <w:p w14:paraId="1F23AB4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楷体_GB2312" w:hAnsi="楷体_GB2312" w:eastAsia="楷体_GB2312" w:cs="楷体_GB2312"/>
          <w:snapToGrid/>
          <w:kern w:val="2"/>
          <w:sz w:val="32"/>
          <w:szCs w:val="32"/>
          <w:lang w:eastAsia="zh-CN"/>
        </w:rPr>
      </w:pPr>
      <w:bookmarkStart w:id="71" w:name="_Toc29822"/>
      <w:bookmarkStart w:id="72" w:name="_Toc20139"/>
      <w:bookmarkStart w:id="73" w:name="_Toc9662"/>
      <w:r>
        <w:rPr>
          <w:rFonts w:hint="eastAsia" w:ascii="楷体_GB2312" w:hAnsi="楷体_GB2312" w:eastAsia="楷体_GB2312" w:cs="楷体_GB2312"/>
          <w:snapToGrid/>
          <w:kern w:val="2"/>
          <w:sz w:val="32"/>
          <w:szCs w:val="32"/>
          <w:lang w:eastAsia="zh-CN"/>
        </w:rPr>
        <w:t>（二）完善项目质量评估体系，提升项目应用实效</w:t>
      </w:r>
      <w:bookmarkEnd w:id="71"/>
      <w:bookmarkEnd w:id="72"/>
      <w:bookmarkEnd w:id="73"/>
    </w:p>
    <w:p w14:paraId="366F962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napToGrid/>
          <w:kern w:val="2"/>
          <w:sz w:val="32"/>
          <w:szCs w:val="32"/>
          <w:lang w:eastAsia="zh-CN"/>
        </w:rPr>
      </w:pPr>
      <w:r>
        <w:rPr>
          <w:rFonts w:hint="eastAsia" w:ascii="仿宋_GB2312" w:hAnsi="仿宋_GB2312" w:eastAsia="仿宋_GB2312" w:cs="仿宋_GB2312"/>
          <w:snapToGrid/>
          <w:kern w:val="2"/>
          <w:sz w:val="32"/>
          <w:szCs w:val="32"/>
          <w:lang w:eastAsia="zh-CN"/>
        </w:rPr>
        <w:t>重点强化对项目实施成果理论深度、实践操作性和需求匹配度的三重把关，完善“需求-研究-应用”闭环机制，对具有应用潜力的研究成果提供后续支持，切实提升项目成果实践价值。</w:t>
      </w:r>
    </w:p>
    <w:p w14:paraId="0B4E2EEE">
      <w:pPr>
        <w:keepNext w:val="0"/>
        <w:keepLines w:val="0"/>
        <w:pageBreakBefore w:val="0"/>
        <w:wordWrap/>
        <w:overflowPunct/>
        <w:topLinePunct w:val="0"/>
        <w:bidi w:val="0"/>
        <w:adjustRightInd w:val="0"/>
        <w:snapToGrid w:val="0"/>
        <w:spacing w:line="560" w:lineRule="exact"/>
        <w:ind w:firstLine="640" w:firstLineChars="200"/>
        <w:jc w:val="both"/>
        <w:outlineLvl w:val="9"/>
        <w:rPr>
          <w:rFonts w:hint="eastAsia" w:ascii="仿宋_GB2312" w:hAnsi="仿宋_GB2312" w:eastAsia="仿宋_GB2312" w:cs="仿宋_GB2312"/>
          <w:sz w:val="32"/>
          <w:szCs w:val="32"/>
          <w:lang w:eastAsia="zh-CN"/>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613"/>
    <w:rsid w:val="000A6011"/>
    <w:rsid w:val="001A669A"/>
    <w:rsid w:val="002771A1"/>
    <w:rsid w:val="003874BB"/>
    <w:rsid w:val="004A1F25"/>
    <w:rsid w:val="0067579C"/>
    <w:rsid w:val="006A1613"/>
    <w:rsid w:val="0072587F"/>
    <w:rsid w:val="008918E7"/>
    <w:rsid w:val="008B68E0"/>
    <w:rsid w:val="008C7167"/>
    <w:rsid w:val="00C54030"/>
    <w:rsid w:val="00D25E20"/>
    <w:rsid w:val="00DB3FB8"/>
    <w:rsid w:val="00DF1D9C"/>
    <w:rsid w:val="00E040E0"/>
    <w:rsid w:val="00F32871"/>
    <w:rsid w:val="023B749C"/>
    <w:rsid w:val="47EF7CC4"/>
    <w:rsid w:val="4F1E0B6B"/>
    <w:rsid w:val="62246924"/>
    <w:rsid w:val="65605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18"/>
    <w:qFormat/>
    <w:uiPriority w:val="9"/>
    <w:pPr>
      <w:keepNext/>
      <w:keepLines/>
      <w:widowControl w:val="0"/>
      <w:kinsoku/>
      <w:autoSpaceDE/>
      <w:autoSpaceDN/>
      <w:adjustRightInd/>
      <w:snapToGrid/>
      <w:spacing w:before="480" w:after="80"/>
      <w:jc w:val="both"/>
      <w:textAlignment w:val="auto"/>
      <w:outlineLvl w:val="0"/>
    </w:pPr>
    <w:rPr>
      <w:rFonts w:asciiTheme="majorHAnsi" w:hAnsiTheme="majorHAnsi" w:eastAsiaTheme="majorEastAsia" w:cstheme="majorBidi"/>
      <w:snapToGrid/>
      <w:color w:val="2F5597" w:themeColor="accent1" w:themeShade="BF"/>
      <w:kern w:val="2"/>
      <w:sz w:val="48"/>
      <w:szCs w:val="48"/>
      <w:lang w:eastAsia="zh-CN"/>
    </w:rPr>
  </w:style>
  <w:style w:type="paragraph" w:styleId="2">
    <w:name w:val="heading 2"/>
    <w:basedOn w:val="1"/>
    <w:next w:val="1"/>
    <w:link w:val="19"/>
    <w:semiHidden/>
    <w:unhideWhenUsed/>
    <w:qFormat/>
    <w:uiPriority w:val="9"/>
    <w:pPr>
      <w:keepNext/>
      <w:keepLines/>
      <w:widowControl w:val="0"/>
      <w:kinsoku/>
      <w:autoSpaceDE/>
      <w:autoSpaceDN/>
      <w:adjustRightInd/>
      <w:snapToGrid/>
      <w:spacing w:before="160" w:after="80"/>
      <w:jc w:val="both"/>
      <w:textAlignment w:val="auto"/>
      <w:outlineLvl w:val="1"/>
    </w:pPr>
    <w:rPr>
      <w:rFonts w:asciiTheme="majorHAnsi" w:hAnsiTheme="majorHAnsi" w:eastAsiaTheme="majorEastAsia" w:cstheme="majorBidi"/>
      <w:snapToGrid/>
      <w:color w:val="2F5597" w:themeColor="accent1" w:themeShade="BF"/>
      <w:kern w:val="2"/>
      <w:sz w:val="40"/>
      <w:szCs w:val="40"/>
      <w:lang w:eastAsia="zh-CN"/>
    </w:rPr>
  </w:style>
  <w:style w:type="paragraph" w:styleId="4">
    <w:name w:val="heading 3"/>
    <w:basedOn w:val="1"/>
    <w:next w:val="1"/>
    <w:link w:val="20"/>
    <w:semiHidden/>
    <w:unhideWhenUsed/>
    <w:qFormat/>
    <w:uiPriority w:val="9"/>
    <w:pPr>
      <w:keepNext/>
      <w:keepLines/>
      <w:widowControl w:val="0"/>
      <w:kinsoku/>
      <w:autoSpaceDE/>
      <w:autoSpaceDN/>
      <w:adjustRightInd/>
      <w:snapToGrid/>
      <w:spacing w:before="160" w:after="80"/>
      <w:jc w:val="both"/>
      <w:textAlignment w:val="auto"/>
      <w:outlineLvl w:val="2"/>
    </w:pPr>
    <w:rPr>
      <w:rFonts w:asciiTheme="majorHAnsi" w:hAnsiTheme="majorHAnsi" w:eastAsiaTheme="majorEastAsia" w:cstheme="majorBidi"/>
      <w:snapToGrid/>
      <w:color w:val="2F5597" w:themeColor="accent1" w:themeShade="BF"/>
      <w:kern w:val="2"/>
      <w:sz w:val="32"/>
      <w:szCs w:val="32"/>
      <w:lang w:eastAsia="zh-CN"/>
    </w:rPr>
  </w:style>
  <w:style w:type="paragraph" w:styleId="5">
    <w:name w:val="heading 4"/>
    <w:basedOn w:val="1"/>
    <w:next w:val="1"/>
    <w:link w:val="21"/>
    <w:semiHidden/>
    <w:unhideWhenUsed/>
    <w:qFormat/>
    <w:uiPriority w:val="9"/>
    <w:pPr>
      <w:keepNext/>
      <w:keepLines/>
      <w:widowControl w:val="0"/>
      <w:kinsoku/>
      <w:autoSpaceDE/>
      <w:autoSpaceDN/>
      <w:adjustRightInd/>
      <w:snapToGrid/>
      <w:spacing w:before="80" w:after="40"/>
      <w:jc w:val="both"/>
      <w:textAlignment w:val="auto"/>
      <w:outlineLvl w:val="3"/>
    </w:pPr>
    <w:rPr>
      <w:rFonts w:asciiTheme="minorHAnsi" w:hAnsiTheme="minorHAnsi" w:eastAsiaTheme="minorEastAsia" w:cstheme="majorBidi"/>
      <w:snapToGrid/>
      <w:color w:val="2F5597" w:themeColor="accent1" w:themeShade="BF"/>
      <w:kern w:val="2"/>
      <w:sz w:val="28"/>
      <w:szCs w:val="28"/>
      <w:lang w:eastAsia="zh-CN"/>
    </w:rPr>
  </w:style>
  <w:style w:type="paragraph" w:styleId="6">
    <w:name w:val="heading 5"/>
    <w:basedOn w:val="1"/>
    <w:next w:val="1"/>
    <w:link w:val="22"/>
    <w:semiHidden/>
    <w:unhideWhenUsed/>
    <w:qFormat/>
    <w:uiPriority w:val="9"/>
    <w:pPr>
      <w:keepNext/>
      <w:keepLines/>
      <w:widowControl w:val="0"/>
      <w:kinsoku/>
      <w:autoSpaceDE/>
      <w:autoSpaceDN/>
      <w:adjustRightInd/>
      <w:snapToGrid/>
      <w:spacing w:before="80" w:after="40"/>
      <w:jc w:val="both"/>
      <w:textAlignment w:val="auto"/>
      <w:outlineLvl w:val="4"/>
    </w:pPr>
    <w:rPr>
      <w:rFonts w:asciiTheme="minorHAnsi" w:hAnsiTheme="minorHAnsi" w:eastAsiaTheme="minorEastAsia" w:cstheme="majorBidi"/>
      <w:snapToGrid/>
      <w:color w:val="2F5597" w:themeColor="accent1" w:themeShade="BF"/>
      <w:kern w:val="2"/>
      <w:sz w:val="24"/>
      <w:szCs w:val="24"/>
      <w:lang w:eastAsia="zh-CN"/>
    </w:rPr>
  </w:style>
  <w:style w:type="paragraph" w:styleId="7">
    <w:name w:val="heading 6"/>
    <w:basedOn w:val="1"/>
    <w:next w:val="1"/>
    <w:link w:val="23"/>
    <w:semiHidden/>
    <w:unhideWhenUsed/>
    <w:qFormat/>
    <w:uiPriority w:val="9"/>
    <w:pPr>
      <w:keepNext/>
      <w:keepLines/>
      <w:widowControl w:val="0"/>
      <w:kinsoku/>
      <w:autoSpaceDE/>
      <w:autoSpaceDN/>
      <w:adjustRightInd/>
      <w:snapToGrid/>
      <w:spacing w:before="40"/>
      <w:jc w:val="both"/>
      <w:textAlignment w:val="auto"/>
      <w:outlineLvl w:val="5"/>
    </w:pPr>
    <w:rPr>
      <w:rFonts w:asciiTheme="minorHAnsi" w:hAnsiTheme="minorHAnsi" w:eastAsiaTheme="minorEastAsia" w:cstheme="majorBidi"/>
      <w:b/>
      <w:bCs/>
      <w:snapToGrid/>
      <w:color w:val="2F5597" w:themeColor="accent1" w:themeShade="BF"/>
      <w:kern w:val="2"/>
      <w:szCs w:val="22"/>
      <w:lang w:eastAsia="zh-CN"/>
    </w:rPr>
  </w:style>
  <w:style w:type="paragraph" w:styleId="8">
    <w:name w:val="heading 7"/>
    <w:basedOn w:val="1"/>
    <w:next w:val="1"/>
    <w:link w:val="24"/>
    <w:semiHidden/>
    <w:unhideWhenUsed/>
    <w:qFormat/>
    <w:uiPriority w:val="9"/>
    <w:pPr>
      <w:keepNext/>
      <w:keepLines/>
      <w:widowControl w:val="0"/>
      <w:kinsoku/>
      <w:autoSpaceDE/>
      <w:autoSpaceDN/>
      <w:adjustRightInd/>
      <w:snapToGrid/>
      <w:spacing w:before="40"/>
      <w:jc w:val="both"/>
      <w:textAlignment w:val="auto"/>
      <w:outlineLvl w:val="6"/>
    </w:pPr>
    <w:rPr>
      <w:rFonts w:asciiTheme="minorHAnsi" w:hAnsiTheme="minorHAnsi" w:eastAsiaTheme="minorEastAsia" w:cstheme="majorBidi"/>
      <w:b/>
      <w:bCs/>
      <w:snapToGrid/>
      <w:color w:val="595959" w:themeColor="text1" w:themeTint="A6"/>
      <w:kern w:val="2"/>
      <w:szCs w:val="22"/>
      <w:lang w:eastAsia="zh-CN"/>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widowControl w:val="0"/>
      <w:kinsoku/>
      <w:autoSpaceDE/>
      <w:autoSpaceDN/>
      <w:adjustRightInd/>
      <w:snapToGrid/>
      <w:jc w:val="both"/>
      <w:textAlignment w:val="auto"/>
      <w:outlineLvl w:val="7"/>
    </w:pPr>
    <w:rPr>
      <w:rFonts w:asciiTheme="minorHAnsi" w:hAnsiTheme="minorHAnsi" w:eastAsiaTheme="minorEastAsia" w:cstheme="majorBidi"/>
      <w:snapToGrid/>
      <w:color w:val="595959" w:themeColor="text1" w:themeTint="A6"/>
      <w:kern w:val="2"/>
      <w:szCs w:val="22"/>
      <w:lang w:eastAsia="zh-CN"/>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widowControl w:val="0"/>
      <w:kinsoku/>
      <w:autoSpaceDE/>
      <w:autoSpaceDN/>
      <w:adjustRightInd/>
      <w:snapToGrid/>
      <w:jc w:val="both"/>
      <w:textAlignment w:val="auto"/>
      <w:outlineLvl w:val="8"/>
    </w:pPr>
    <w:rPr>
      <w:rFonts w:asciiTheme="minorHAnsi" w:hAnsiTheme="minorHAnsi" w:eastAsiaTheme="majorEastAsia" w:cstheme="majorBidi"/>
      <w:snapToGrid/>
      <w:color w:val="595959" w:themeColor="text1" w:themeTint="A6"/>
      <w:kern w:val="2"/>
      <w:szCs w:val="22"/>
      <w:lang w:eastAsia="zh-CN"/>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basedOn w:val="1"/>
    <w:next w:val="1"/>
    <w:link w:val="38"/>
    <w:semiHidden/>
    <w:qFormat/>
    <w:uiPriority w:val="0"/>
    <w:rPr>
      <w:rFonts w:ascii="宋体" w:hAnsi="宋体" w:eastAsia="宋体" w:cs="宋体"/>
      <w:sz w:val="31"/>
      <w:szCs w:val="31"/>
    </w:rPr>
  </w:style>
  <w:style w:type="paragraph" w:styleId="12">
    <w:name w:val="footer"/>
    <w:basedOn w:val="1"/>
    <w:link w:val="37"/>
    <w:unhideWhenUsed/>
    <w:qFormat/>
    <w:uiPriority w:val="99"/>
    <w:pPr>
      <w:widowControl w:val="0"/>
      <w:tabs>
        <w:tab w:val="center" w:pos="4153"/>
        <w:tab w:val="right" w:pos="8306"/>
      </w:tabs>
      <w:kinsoku/>
      <w:autoSpaceDE/>
      <w:autoSpaceDN/>
      <w:adjustRightInd/>
      <w:textAlignment w:val="auto"/>
    </w:pPr>
    <w:rPr>
      <w:rFonts w:asciiTheme="minorHAnsi" w:hAnsiTheme="minorHAnsi" w:eastAsiaTheme="minorEastAsia" w:cstheme="minorBidi"/>
      <w:snapToGrid/>
      <w:color w:val="auto"/>
      <w:kern w:val="2"/>
      <w:sz w:val="18"/>
      <w:szCs w:val="18"/>
      <w:lang w:eastAsia="zh-CN"/>
    </w:rPr>
  </w:style>
  <w:style w:type="paragraph" w:styleId="13">
    <w:name w:val="header"/>
    <w:basedOn w:val="1"/>
    <w:link w:val="36"/>
    <w:unhideWhenUsed/>
    <w:qFormat/>
    <w:uiPriority w:val="99"/>
    <w:pPr>
      <w:widowControl w:val="0"/>
      <w:tabs>
        <w:tab w:val="center" w:pos="4153"/>
        <w:tab w:val="right" w:pos="8306"/>
      </w:tabs>
      <w:kinsoku/>
      <w:autoSpaceDE/>
      <w:autoSpaceDN/>
      <w:adjustRightInd/>
      <w:jc w:val="center"/>
      <w:textAlignment w:val="auto"/>
    </w:pPr>
    <w:rPr>
      <w:rFonts w:asciiTheme="minorHAnsi" w:hAnsiTheme="minorHAnsi" w:eastAsiaTheme="minorEastAsia" w:cstheme="minorBidi"/>
      <w:snapToGrid/>
      <w:color w:val="auto"/>
      <w:kern w:val="2"/>
      <w:sz w:val="18"/>
      <w:szCs w:val="18"/>
      <w:lang w:eastAsia="zh-CN"/>
    </w:rPr>
  </w:style>
  <w:style w:type="paragraph" w:styleId="14">
    <w:name w:val="Subtitle"/>
    <w:basedOn w:val="1"/>
    <w:next w:val="1"/>
    <w:link w:val="28"/>
    <w:qFormat/>
    <w:uiPriority w:val="11"/>
    <w:pPr>
      <w:widowControl w:val="0"/>
      <w:kinsoku/>
      <w:autoSpaceDE/>
      <w:autoSpaceDN/>
      <w:adjustRightInd/>
      <w:snapToGrid/>
      <w:spacing w:after="160"/>
      <w:jc w:val="center"/>
      <w:textAlignment w:val="auto"/>
    </w:pPr>
    <w:rPr>
      <w:rFonts w:asciiTheme="majorHAnsi" w:hAnsiTheme="majorHAnsi" w:eastAsiaTheme="majorEastAsia" w:cstheme="majorBidi"/>
      <w:snapToGrid/>
      <w:color w:val="595959" w:themeColor="text1" w:themeTint="A6"/>
      <w:spacing w:val="15"/>
      <w:kern w:val="2"/>
      <w:sz w:val="28"/>
      <w:szCs w:val="28"/>
      <w:lang w:eastAsia="zh-CN"/>
      <w14:textFill>
        <w14:solidFill>
          <w14:schemeClr w14:val="tx1">
            <w14:lumMod w14:val="65000"/>
            <w14:lumOff w14:val="35000"/>
          </w14:schemeClr>
        </w14:solidFill>
      </w14:textFill>
    </w:rPr>
  </w:style>
  <w:style w:type="paragraph" w:styleId="15">
    <w:name w:val="Title"/>
    <w:basedOn w:val="1"/>
    <w:next w:val="1"/>
    <w:link w:val="27"/>
    <w:qFormat/>
    <w:uiPriority w:val="10"/>
    <w:pPr>
      <w:widowControl w:val="0"/>
      <w:kinsoku/>
      <w:autoSpaceDE/>
      <w:autoSpaceDN/>
      <w:adjustRightInd/>
      <w:snapToGrid/>
      <w:spacing w:after="80"/>
      <w:contextualSpacing/>
      <w:jc w:val="center"/>
      <w:textAlignment w:val="auto"/>
    </w:pPr>
    <w:rPr>
      <w:rFonts w:asciiTheme="majorHAnsi" w:hAnsiTheme="majorHAnsi" w:eastAsiaTheme="majorEastAsia" w:cstheme="majorBidi"/>
      <w:snapToGrid/>
      <w:color w:val="auto"/>
      <w:spacing w:val="-10"/>
      <w:kern w:val="28"/>
      <w:sz w:val="56"/>
      <w:szCs w:val="56"/>
      <w:lang w:eastAsia="zh-CN"/>
    </w:rPr>
  </w:style>
  <w:style w:type="character" w:customStyle="1" w:styleId="18">
    <w:name w:val="标题 1 字符"/>
    <w:basedOn w:val="17"/>
    <w:link w:val="3"/>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7"/>
    <w:link w:val="2"/>
    <w:semiHidden/>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7"/>
    <w:link w:val="5"/>
    <w:semiHidden/>
    <w:qFormat/>
    <w:uiPriority w:val="9"/>
    <w:rPr>
      <w:rFonts w:cstheme="majorBidi"/>
      <w:color w:val="2F5597" w:themeColor="accent1" w:themeShade="BF"/>
      <w:sz w:val="28"/>
      <w:szCs w:val="28"/>
    </w:rPr>
  </w:style>
  <w:style w:type="character" w:customStyle="1" w:styleId="22">
    <w:name w:val="标题 5 字符"/>
    <w:basedOn w:val="17"/>
    <w:link w:val="6"/>
    <w:semiHidden/>
    <w:qFormat/>
    <w:uiPriority w:val="9"/>
    <w:rPr>
      <w:rFonts w:cstheme="majorBidi"/>
      <w:color w:val="2F5597" w:themeColor="accent1" w:themeShade="BF"/>
      <w:sz w:val="24"/>
      <w:szCs w:val="24"/>
    </w:rPr>
  </w:style>
  <w:style w:type="character" w:customStyle="1" w:styleId="23">
    <w:name w:val="标题 6 字符"/>
    <w:basedOn w:val="17"/>
    <w:link w:val="7"/>
    <w:semiHidden/>
    <w:qFormat/>
    <w:uiPriority w:val="9"/>
    <w:rPr>
      <w:rFonts w:cstheme="majorBidi"/>
      <w:b/>
      <w:bCs/>
      <w:color w:val="2F5597"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widowControl w:val="0"/>
      <w:kinsoku/>
      <w:autoSpaceDE/>
      <w:autoSpaceDN/>
      <w:adjustRightInd/>
      <w:snapToGrid/>
      <w:spacing w:before="160" w:after="160"/>
      <w:jc w:val="center"/>
      <w:textAlignment w:val="auto"/>
    </w:pPr>
    <w:rPr>
      <w:rFonts w:asciiTheme="minorHAnsi" w:hAnsiTheme="minorHAnsi" w:eastAsiaTheme="minorEastAsia" w:cstheme="minorBidi"/>
      <w:i/>
      <w:iCs/>
      <w:snapToGrid/>
      <w:color w:val="404040" w:themeColor="text1" w:themeTint="BF"/>
      <w:kern w:val="2"/>
      <w:szCs w:val="22"/>
      <w:lang w:eastAsia="zh-CN"/>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widowControl w:val="0"/>
      <w:kinsoku/>
      <w:autoSpaceDE/>
      <w:autoSpaceDN/>
      <w:adjustRightInd/>
      <w:snapToGrid/>
      <w:ind w:left="720"/>
      <w:contextualSpacing/>
      <w:jc w:val="both"/>
      <w:textAlignment w:val="auto"/>
    </w:pPr>
    <w:rPr>
      <w:rFonts w:asciiTheme="minorHAnsi" w:hAnsiTheme="minorHAnsi" w:eastAsiaTheme="minorEastAsia" w:cstheme="minorBidi"/>
      <w:snapToGrid/>
      <w:color w:val="auto"/>
      <w:kern w:val="2"/>
      <w:szCs w:val="22"/>
      <w:lang w:eastAsia="zh-CN"/>
    </w:rPr>
  </w:style>
  <w:style w:type="character" w:customStyle="1" w:styleId="32">
    <w:name w:val="Intense Emphasis"/>
    <w:basedOn w:val="17"/>
    <w:qFormat/>
    <w:uiPriority w:val="21"/>
    <w:rPr>
      <w:i/>
      <w:iCs/>
      <w:color w:val="2F5597" w:themeColor="accent1" w:themeShade="BF"/>
    </w:rPr>
  </w:style>
  <w:style w:type="paragraph" w:styleId="33">
    <w:name w:val="Intense Quote"/>
    <w:basedOn w:val="1"/>
    <w:next w:val="1"/>
    <w:link w:val="34"/>
    <w:qFormat/>
    <w:uiPriority w:val="30"/>
    <w:pPr>
      <w:widowControl w:val="0"/>
      <w:pBdr>
        <w:top w:val="single" w:color="2F5496" w:themeColor="accent1" w:themeShade="BF" w:sz="4" w:space="10"/>
        <w:bottom w:val="single" w:color="2F5496" w:themeColor="accent1" w:themeShade="BF" w:sz="4" w:space="10"/>
      </w:pBdr>
      <w:kinsoku/>
      <w:autoSpaceDE/>
      <w:autoSpaceDN/>
      <w:adjustRightInd/>
      <w:snapToGrid/>
      <w:spacing w:before="360" w:after="360"/>
      <w:ind w:left="864" w:right="864"/>
      <w:jc w:val="center"/>
      <w:textAlignment w:val="auto"/>
    </w:pPr>
    <w:rPr>
      <w:rFonts w:asciiTheme="minorHAnsi" w:hAnsiTheme="minorHAnsi" w:eastAsiaTheme="minorEastAsia" w:cstheme="minorBidi"/>
      <w:i/>
      <w:iCs/>
      <w:snapToGrid/>
      <w:color w:val="2F5597" w:themeColor="accent1" w:themeShade="BF"/>
      <w:kern w:val="2"/>
      <w:szCs w:val="22"/>
      <w:lang w:eastAsia="zh-CN"/>
    </w:rPr>
  </w:style>
  <w:style w:type="character" w:customStyle="1" w:styleId="34">
    <w:name w:val="明显引用 字符"/>
    <w:basedOn w:val="17"/>
    <w:link w:val="33"/>
    <w:qFormat/>
    <w:uiPriority w:val="30"/>
    <w:rPr>
      <w:i/>
      <w:iCs/>
      <w:color w:val="2F5597" w:themeColor="accent1" w:themeShade="BF"/>
    </w:rPr>
  </w:style>
  <w:style w:type="character" w:customStyle="1" w:styleId="35">
    <w:name w:val="Intense Reference"/>
    <w:basedOn w:val="17"/>
    <w:qFormat/>
    <w:uiPriority w:val="32"/>
    <w:rPr>
      <w:b/>
      <w:bCs/>
      <w:smallCaps/>
      <w:color w:val="2F5597"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character" w:customStyle="1" w:styleId="38">
    <w:name w:val="正文文本 字符"/>
    <w:basedOn w:val="17"/>
    <w:link w:val="11"/>
    <w:semiHidden/>
    <w:qFormat/>
    <w:uiPriority w:val="0"/>
    <w:rPr>
      <w:rFonts w:ascii="宋体" w:hAnsi="宋体" w:eastAsia="宋体" w:cs="宋体"/>
      <w:snapToGrid w:val="0"/>
      <w:color w:val="000000"/>
      <w:kern w:val="0"/>
      <w:sz w:val="31"/>
      <w:szCs w:val="31"/>
      <w:lang w:eastAsia="en-US"/>
    </w:rPr>
  </w:style>
  <w:style w:type="character" w:customStyle="1" w:styleId="39">
    <w:name w:val="font31"/>
    <w:basedOn w:val="1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8885</Words>
  <Characters>9296</Characters>
  <Lines>350</Lines>
  <Paragraphs>229</Paragraphs>
  <TotalTime>21</TotalTime>
  <ScaleCrop>false</ScaleCrop>
  <LinksUpToDate>false</LinksUpToDate>
  <CharactersWithSpaces>9299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2025-08-23T08:21:00Z</dcterms:created>
  <dc:creator>qi shuaixing</dc:creator>
  <cp:lastModifiedBy>Administrator</cp:lastModifiedBy>
  <dcterms:modified xsi:type="dcterms:W3CDTF">2025-08-25T10:08:14Z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eyJoZGlkIjoiY2I1NTNiMjU0OWM4Y2M0MDI5ZGU3ZTA2NjRmMDFjY2UifQ==</vt:lpwstr>
  </property>
  <property fmtid="{D5CDD505-2E9C-101B-9397-08002B2CF9AE}" pid="3" name="KSOProductBuildVer">
    <vt:lpwstr>2052-12.1.0.21915</vt:lpwstr>
  </property>
  <property fmtid="{D5CDD505-2E9C-101B-9397-08002B2CF9AE}" pid="4" name="ICV">
    <vt:lpwstr>D8308B4935524CE39CE485C3F9FCF481_12</vt:lpwstr>
  </property>
</Properties>
</file>