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640" w:firstLineChars="200"/>
        <w:rPr>
          <w:rFonts w:ascii="黑体" w:hAnsi="黑体" w:eastAsia="黑体" w:cs="黑体"/>
          <w:color w:val="auto"/>
          <w:sz w:val="32"/>
          <w:szCs w:val="32"/>
          <w:highlight w:val="none"/>
        </w:rPr>
      </w:pPr>
    </w:p>
    <w:p>
      <w:pPr>
        <w:spacing w:line="560" w:lineRule="exact"/>
        <w:jc w:val="center"/>
        <w:rPr>
          <w:rFonts w:ascii="方正小标宋简体" w:eastAsia="方正小标宋简体"/>
          <w:color w:val="auto"/>
          <w:sz w:val="36"/>
          <w:szCs w:val="36"/>
          <w:highlight w:val="none"/>
        </w:rPr>
      </w:pPr>
      <w:r>
        <w:rPr>
          <w:rFonts w:hint="eastAsia" w:ascii="方正小标宋简体" w:eastAsia="方正小标宋简体"/>
          <w:color w:val="auto"/>
          <w:sz w:val="36"/>
          <w:szCs w:val="36"/>
          <w:highlight w:val="none"/>
        </w:rPr>
        <w:t>北京市延庆区人民法院部门整体绩效评价报告</w:t>
      </w:r>
    </w:p>
    <w:p>
      <w:pPr>
        <w:spacing w:line="560" w:lineRule="exact"/>
        <w:jc w:val="center"/>
        <w:rPr>
          <w:rFonts w:ascii="方正小标宋简体" w:eastAsia="方正小标宋简体"/>
          <w:color w:val="auto"/>
          <w:sz w:val="36"/>
          <w:szCs w:val="36"/>
          <w:highlight w:val="none"/>
        </w:rPr>
      </w:pPr>
    </w:p>
    <w:p>
      <w:pPr>
        <w:jc w:val="center"/>
        <w:rPr>
          <w:rFonts w:ascii="仿宋_GB2312"/>
          <w:color w:val="auto"/>
          <w:szCs w:val="30"/>
          <w:highlight w:val="none"/>
        </w:rPr>
      </w:pPr>
    </w:p>
    <w:p>
      <w:pPr>
        <w:spacing w:line="600" w:lineRule="exact"/>
        <w:ind w:firstLine="640" w:firstLineChars="200"/>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rPr>
        <w:t>一、部门概况</w:t>
      </w:r>
    </w:p>
    <w:p>
      <w:pPr>
        <w:spacing w:line="600" w:lineRule="exact"/>
        <w:ind w:firstLine="640" w:firstLineChars="200"/>
        <w:rPr>
          <w:rFonts w:ascii="楷体_GB2312" w:eastAsia="楷体_GB2312"/>
          <w:color w:val="auto"/>
          <w:sz w:val="32"/>
          <w:szCs w:val="32"/>
          <w:highlight w:val="none"/>
        </w:rPr>
      </w:pPr>
      <w:r>
        <w:rPr>
          <w:rFonts w:hint="eastAsia" w:ascii="楷体_GB2312" w:eastAsia="楷体_GB2312"/>
          <w:color w:val="auto"/>
          <w:sz w:val="32"/>
          <w:szCs w:val="32"/>
          <w:highlight w:val="none"/>
        </w:rPr>
        <w:t>（一）机构设置及职责工作任务情况</w:t>
      </w:r>
    </w:p>
    <w:p>
      <w:pPr>
        <w:spacing w:line="600" w:lineRule="exact"/>
        <w:ind w:firstLine="640" w:firstLineChars="200"/>
        <w:rPr>
          <w:rFonts w:hint="eastAsia" w:ascii="仿宋_GB2312" w:eastAsia="仿宋_GB2312"/>
          <w:color w:val="auto"/>
          <w:sz w:val="32"/>
          <w:szCs w:val="32"/>
          <w:highlight w:val="none"/>
        </w:rPr>
      </w:pPr>
      <w:bookmarkStart w:id="0" w:name="_GoBack"/>
      <w:bookmarkEnd w:id="0"/>
      <w:r>
        <w:rPr>
          <w:rFonts w:hint="eastAsia" w:ascii="仿宋_GB2312" w:eastAsia="仿宋_GB2312"/>
          <w:color w:val="auto"/>
          <w:sz w:val="32"/>
          <w:szCs w:val="32"/>
          <w:highlight w:val="none"/>
        </w:rPr>
        <w:t>北京市延庆区人民法院内设13个职能部门和1个综合事务中心，分别为：执行局、立案庭（诉讼服务中心）、刑事审判庭、民事审判一庭、民事审判二庭、行政审判庭（综合审判庭）、八达岭人民法庭（环境资源审判庭）、沈家营人民法庭、永宁人民法庭、审判管理办公室（研究室）、政治部（机关党委、机关纪委）、综合办公室、司法警察大队、综合事务中心。</w:t>
      </w:r>
    </w:p>
    <w:p>
      <w:pPr>
        <w:spacing w:line="60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北京市延庆区人民法院是国家的审判机关，依照法律规定独立行使审判权，负责审理辖区内民事、刑事和行政等案件，依法执行已发生法律效力的判决、裁定以及仲裁案件。通过行使国家审判权，惩办犯罪分子，解决民事纠纷、经济纠纷、行政纠纷，保护社会主义的全民所有制财产、集体所有制财产和公民合法的私有财产，保护公民的人身权利、民主权利和其他权利，维护社会主义法治和社会秩序，保障社会主义建设事业的顺利进行。</w:t>
      </w:r>
    </w:p>
    <w:p>
      <w:pPr>
        <w:spacing w:line="600" w:lineRule="exact"/>
        <w:ind w:firstLine="640" w:firstLineChars="200"/>
        <w:rPr>
          <w:rFonts w:ascii="楷体_GB2312" w:eastAsia="楷体_GB2312"/>
          <w:color w:val="auto"/>
          <w:sz w:val="32"/>
          <w:szCs w:val="32"/>
          <w:highlight w:val="none"/>
        </w:rPr>
      </w:pPr>
      <w:r>
        <w:rPr>
          <w:rFonts w:hint="eastAsia" w:ascii="楷体_GB2312" w:eastAsia="楷体_GB2312"/>
          <w:color w:val="auto"/>
          <w:sz w:val="32"/>
          <w:szCs w:val="32"/>
          <w:highlight w:val="none"/>
        </w:rPr>
        <w:t>（二）部门整体绩效目标设立情况。</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w:t>
      </w:r>
      <w:r>
        <w:rPr>
          <w:rFonts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绩效目标设立依据</w:t>
      </w:r>
    </w:p>
    <w:p>
      <w:pPr>
        <w:spacing w:line="600" w:lineRule="exact"/>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延庆区法院整体绩效目标的设立依据为单位职能职责和202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 xml:space="preserve">年度主要工作任务。总体绩效目标是在区委、区政法委的坚强领导下，在市高级人民法院的大力指导下，以习近平新时代中国特色社会主义思想为指引，深入学习贯彻习近平法治思想，围绕辖区中心工作，主动作为，为延庆区高质量绿色发展、最美冬奥城建设作出应有贡献；常态化开展扫黑除恶斗争，着力提高审判质效水平，为区域经济、社会提供有力的司法服务和保障。 </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w:t>
      </w:r>
      <w:r>
        <w:rPr>
          <w:rFonts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目标与职责任务匹配情况</w:t>
      </w:r>
    </w:p>
    <w:p>
      <w:pPr>
        <w:spacing w:line="600" w:lineRule="exact"/>
        <w:ind w:firstLine="640" w:firstLineChars="20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延庆区法院绩效目标与职责任务</w:t>
      </w:r>
      <w:r>
        <w:rPr>
          <w:rFonts w:hint="eastAsia" w:ascii="仿宋_GB2312" w:hAnsi="宋体" w:eastAsia="仿宋_GB2312" w:cs="宋体"/>
          <w:color w:val="auto"/>
          <w:kern w:val="0"/>
          <w:sz w:val="32"/>
          <w:szCs w:val="32"/>
          <w:highlight w:val="none"/>
          <w:lang w:eastAsia="zh-CN"/>
        </w:rPr>
        <w:t>高度</w:t>
      </w:r>
      <w:r>
        <w:rPr>
          <w:rFonts w:hint="eastAsia" w:ascii="仿宋_GB2312" w:hAnsi="宋体" w:eastAsia="仿宋_GB2312" w:cs="宋体"/>
          <w:color w:val="auto"/>
          <w:kern w:val="0"/>
          <w:sz w:val="32"/>
          <w:szCs w:val="32"/>
          <w:highlight w:val="none"/>
        </w:rPr>
        <w:t>匹配</w:t>
      </w:r>
      <w:r>
        <w:rPr>
          <w:rFonts w:hint="eastAsia" w:ascii="仿宋_GB2312" w:hAnsi="宋体" w:eastAsia="仿宋_GB2312" w:cs="宋体"/>
          <w:color w:val="auto"/>
          <w:kern w:val="0"/>
          <w:sz w:val="32"/>
          <w:szCs w:val="32"/>
          <w:highlight w:val="none"/>
          <w:lang w:eastAsia="zh-CN"/>
        </w:rPr>
        <w:t>。</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w:t>
      </w:r>
      <w:r>
        <w:rPr>
          <w:rFonts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rPr>
        <w:t>目标合理性</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延庆区法院部门整体绩效目标以习近平新时代中国特色社会主义思想为指导，紧密联系部门职能职责设置，与</w:t>
      </w:r>
      <w:r>
        <w:rPr>
          <w:rFonts w:hint="eastAsia" w:ascii="仿宋_GB2312" w:eastAsia="仿宋_GB2312"/>
          <w:color w:val="auto"/>
          <w:sz w:val="32"/>
          <w:szCs w:val="32"/>
          <w:highlight w:val="none"/>
        </w:rPr>
        <w:t>202</w:t>
      </w:r>
      <w:r>
        <w:rPr>
          <w:rFonts w:hint="eastAsia" w:ascii="仿宋_GB2312" w:eastAsia="仿宋_GB2312"/>
          <w:color w:val="auto"/>
          <w:sz w:val="32"/>
          <w:szCs w:val="32"/>
          <w:highlight w:val="none"/>
          <w:lang w:val="en-US" w:eastAsia="zh-CN"/>
        </w:rPr>
        <w:t>4</w:t>
      </w:r>
      <w:r>
        <w:rPr>
          <w:rFonts w:hint="eastAsia" w:ascii="仿宋_GB2312" w:eastAsia="仿宋_GB2312"/>
          <w:color w:val="auto"/>
          <w:sz w:val="32"/>
          <w:szCs w:val="32"/>
          <w:highlight w:val="none"/>
        </w:rPr>
        <w:t>年度工作任务匹配度较高，</w:t>
      </w:r>
      <w:r>
        <w:rPr>
          <w:rFonts w:hint="eastAsia" w:ascii="仿宋_GB2312" w:hAnsi="宋体" w:eastAsia="仿宋_GB2312" w:cs="宋体"/>
          <w:color w:val="auto"/>
          <w:kern w:val="0"/>
          <w:sz w:val="32"/>
          <w:szCs w:val="32"/>
          <w:highlight w:val="none"/>
        </w:rPr>
        <w:t>目标设置合理，与职责任务相匹配。</w:t>
      </w:r>
    </w:p>
    <w:p>
      <w:pPr>
        <w:spacing w:line="600" w:lineRule="exact"/>
        <w:ind w:firstLine="640" w:firstLineChars="200"/>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rPr>
        <w:t>二</w:t>
      </w:r>
      <w:r>
        <w:rPr>
          <w:rFonts w:ascii="黑体" w:hAnsi="黑体" w:eastAsia="黑体" w:cs="宋体"/>
          <w:color w:val="auto"/>
          <w:kern w:val="0"/>
          <w:sz w:val="32"/>
          <w:szCs w:val="32"/>
          <w:highlight w:val="none"/>
        </w:rPr>
        <w:t>、</w:t>
      </w:r>
      <w:r>
        <w:rPr>
          <w:rFonts w:hint="eastAsia" w:ascii="黑体" w:hAnsi="黑体" w:eastAsia="黑体" w:cs="宋体"/>
          <w:color w:val="auto"/>
          <w:kern w:val="0"/>
          <w:sz w:val="32"/>
          <w:szCs w:val="32"/>
          <w:highlight w:val="none"/>
        </w:rPr>
        <w:t>当年</w:t>
      </w:r>
      <w:r>
        <w:rPr>
          <w:rFonts w:ascii="黑体" w:hAnsi="黑体" w:eastAsia="黑体" w:cs="宋体"/>
          <w:color w:val="auto"/>
          <w:kern w:val="0"/>
          <w:sz w:val="32"/>
          <w:szCs w:val="32"/>
          <w:highlight w:val="none"/>
        </w:rPr>
        <w:t>预算执行情况</w:t>
      </w:r>
    </w:p>
    <w:p>
      <w:pPr>
        <w:spacing w:line="600" w:lineRule="exact"/>
        <w:ind w:firstLine="640" w:firstLineChars="20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w:t>
      </w:r>
      <w:r>
        <w:rPr>
          <w:rFonts w:ascii="仿宋_GB2312" w:hAnsi="宋体" w:eastAsia="仿宋_GB2312" w:cs="宋体"/>
          <w:color w:val="auto"/>
          <w:kern w:val="0"/>
          <w:sz w:val="32"/>
          <w:szCs w:val="32"/>
          <w:highlight w:val="none"/>
        </w:rPr>
        <w:t>全年</w:t>
      </w:r>
      <w:r>
        <w:rPr>
          <w:rFonts w:hint="eastAsia" w:ascii="仿宋_GB2312" w:hAnsi="宋体" w:eastAsia="仿宋_GB2312" w:cs="宋体"/>
          <w:color w:val="auto"/>
          <w:kern w:val="0"/>
          <w:sz w:val="32"/>
          <w:szCs w:val="32"/>
          <w:highlight w:val="none"/>
        </w:rPr>
        <w:t>预算数</w:t>
      </w:r>
      <w:r>
        <w:rPr>
          <w:rFonts w:hint="eastAsia" w:ascii="仿宋_GB2312" w:hAnsi="宋体" w:eastAsia="仿宋_GB2312" w:cs="宋体"/>
          <w:color w:val="auto"/>
          <w:kern w:val="0"/>
          <w:sz w:val="32"/>
          <w:szCs w:val="32"/>
          <w:highlight w:val="none"/>
          <w:lang w:val="en-US" w:eastAsia="zh-CN"/>
        </w:rPr>
        <w:t>12810.97</w:t>
      </w:r>
      <w:r>
        <w:rPr>
          <w:rFonts w:hint="eastAsia" w:ascii="仿宋_GB2312" w:hAnsi="宋体" w:eastAsia="仿宋_GB2312" w:cs="宋体"/>
          <w:color w:val="auto"/>
          <w:kern w:val="0"/>
          <w:sz w:val="32"/>
          <w:szCs w:val="32"/>
          <w:highlight w:val="none"/>
        </w:rPr>
        <w:t>万元，其中，基本支出预算数</w:t>
      </w:r>
      <w:r>
        <w:rPr>
          <w:rFonts w:hint="eastAsia" w:ascii="仿宋_GB2312" w:hAnsi="宋体" w:eastAsia="仿宋_GB2312" w:cs="宋体"/>
          <w:color w:val="auto"/>
          <w:kern w:val="0"/>
          <w:sz w:val="32"/>
          <w:szCs w:val="32"/>
          <w:highlight w:val="none"/>
          <w:lang w:val="en-US" w:eastAsia="zh-CN"/>
        </w:rPr>
        <w:t>10458.45</w:t>
      </w:r>
      <w:r>
        <w:rPr>
          <w:rFonts w:hint="eastAsia" w:ascii="仿宋_GB2312" w:hAnsi="宋体" w:eastAsia="仿宋_GB2312" w:cs="宋体"/>
          <w:color w:val="auto"/>
          <w:kern w:val="0"/>
          <w:sz w:val="32"/>
          <w:szCs w:val="32"/>
          <w:highlight w:val="none"/>
        </w:rPr>
        <w:t>万元，项目支出预算数</w:t>
      </w:r>
      <w:r>
        <w:rPr>
          <w:rFonts w:hint="eastAsia" w:ascii="仿宋_GB2312" w:hAnsi="宋体" w:eastAsia="仿宋_GB2312" w:cs="宋体"/>
          <w:color w:val="auto"/>
          <w:kern w:val="0"/>
          <w:sz w:val="32"/>
          <w:szCs w:val="32"/>
          <w:highlight w:val="none"/>
          <w:lang w:val="en-US" w:eastAsia="zh-CN"/>
        </w:rPr>
        <w:t>2343.52</w:t>
      </w:r>
      <w:r>
        <w:rPr>
          <w:rFonts w:hint="eastAsia" w:ascii="仿宋_GB2312" w:hAnsi="宋体" w:eastAsia="仿宋_GB2312" w:cs="宋体"/>
          <w:color w:val="auto"/>
          <w:kern w:val="0"/>
          <w:sz w:val="32"/>
          <w:szCs w:val="32"/>
          <w:highlight w:val="none"/>
        </w:rPr>
        <w:t>万元。资金总体支出</w:t>
      </w:r>
      <w:r>
        <w:rPr>
          <w:rFonts w:hint="eastAsia" w:ascii="仿宋_GB2312" w:hAnsi="宋体" w:eastAsia="仿宋_GB2312" w:cs="宋体"/>
          <w:color w:val="auto"/>
          <w:kern w:val="0"/>
          <w:sz w:val="32"/>
          <w:szCs w:val="32"/>
          <w:highlight w:val="none"/>
          <w:lang w:val="en-US" w:eastAsia="zh-CN"/>
        </w:rPr>
        <w:t>12366.72</w:t>
      </w:r>
      <w:r>
        <w:rPr>
          <w:rFonts w:hint="eastAsia" w:ascii="仿宋_GB2312" w:hAnsi="宋体" w:eastAsia="仿宋_GB2312" w:cs="宋体"/>
          <w:color w:val="auto"/>
          <w:kern w:val="0"/>
          <w:sz w:val="32"/>
          <w:szCs w:val="32"/>
          <w:highlight w:val="none"/>
        </w:rPr>
        <w:t>万元，其中，基本支出</w:t>
      </w:r>
      <w:r>
        <w:rPr>
          <w:rFonts w:hint="eastAsia" w:ascii="仿宋_GB2312" w:hAnsi="宋体" w:eastAsia="仿宋_GB2312" w:cs="宋体"/>
          <w:color w:val="auto"/>
          <w:kern w:val="0"/>
          <w:sz w:val="32"/>
          <w:szCs w:val="32"/>
          <w:highlight w:val="none"/>
          <w:lang w:val="en-US" w:eastAsia="zh-CN"/>
        </w:rPr>
        <w:t>10135.35</w:t>
      </w:r>
      <w:r>
        <w:rPr>
          <w:rFonts w:hint="eastAsia" w:ascii="仿宋_GB2312" w:hAnsi="宋体" w:eastAsia="仿宋_GB2312" w:cs="宋体"/>
          <w:color w:val="auto"/>
          <w:kern w:val="0"/>
          <w:sz w:val="32"/>
          <w:szCs w:val="32"/>
          <w:highlight w:val="none"/>
        </w:rPr>
        <w:t>万元，项目支出</w:t>
      </w:r>
      <w:r>
        <w:rPr>
          <w:rFonts w:hint="eastAsia" w:ascii="仿宋_GB2312" w:hAnsi="宋体" w:eastAsia="仿宋_GB2312" w:cs="宋体"/>
          <w:color w:val="auto"/>
          <w:kern w:val="0"/>
          <w:sz w:val="32"/>
          <w:szCs w:val="32"/>
          <w:highlight w:val="none"/>
          <w:lang w:val="en-US" w:eastAsia="zh-CN"/>
        </w:rPr>
        <w:t>2231.37</w:t>
      </w:r>
      <w:r>
        <w:rPr>
          <w:rFonts w:hint="eastAsia" w:ascii="仿宋_GB2312" w:hAnsi="宋体" w:eastAsia="仿宋_GB2312" w:cs="宋体"/>
          <w:color w:val="auto"/>
          <w:kern w:val="0"/>
          <w:sz w:val="32"/>
          <w:szCs w:val="32"/>
          <w:highlight w:val="none"/>
        </w:rPr>
        <w:t>万元。预算执行率为</w:t>
      </w:r>
      <w:r>
        <w:rPr>
          <w:rFonts w:hint="eastAsia" w:ascii="仿宋_GB2312" w:hAnsi="宋体" w:eastAsia="仿宋_GB2312" w:cs="宋体"/>
          <w:color w:val="auto"/>
          <w:kern w:val="0"/>
          <w:sz w:val="32"/>
          <w:szCs w:val="32"/>
          <w:highlight w:val="none"/>
          <w:lang w:val="en-US" w:eastAsia="zh-CN"/>
        </w:rPr>
        <w:t>96.53</w:t>
      </w:r>
      <w:r>
        <w:rPr>
          <w:rFonts w:hint="eastAsia" w:ascii="仿宋_GB2312" w:hAnsi="宋体" w:eastAsia="仿宋_GB2312" w:cs="宋体"/>
          <w:color w:val="auto"/>
          <w:kern w:val="0"/>
          <w:sz w:val="32"/>
          <w:szCs w:val="32"/>
          <w:highlight w:val="none"/>
        </w:rPr>
        <w:t>%。</w:t>
      </w:r>
    </w:p>
    <w:p>
      <w:pPr>
        <w:spacing w:line="600" w:lineRule="exact"/>
        <w:ind w:left="105" w:leftChars="50" w:firstLine="480" w:firstLineChars="150"/>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rPr>
        <w:t>三</w:t>
      </w:r>
      <w:r>
        <w:rPr>
          <w:rFonts w:ascii="黑体" w:hAnsi="黑体" w:eastAsia="黑体" w:cs="宋体"/>
          <w:color w:val="auto"/>
          <w:kern w:val="0"/>
          <w:sz w:val="32"/>
          <w:szCs w:val="32"/>
          <w:highlight w:val="none"/>
        </w:rPr>
        <w:t>、整体绩效目标实现情况</w:t>
      </w:r>
    </w:p>
    <w:p>
      <w:pPr>
        <w:spacing w:line="600" w:lineRule="exact"/>
        <w:ind w:left="105" w:leftChars="50" w:firstLine="480" w:firstLineChars="150"/>
        <w:rPr>
          <w:rFonts w:ascii="楷体_GB2312" w:eastAsia="楷体_GB2312"/>
          <w:color w:val="auto"/>
          <w:sz w:val="32"/>
          <w:szCs w:val="32"/>
          <w:highlight w:val="none"/>
        </w:rPr>
      </w:pPr>
      <w:r>
        <w:rPr>
          <w:rFonts w:hint="eastAsia" w:ascii="楷体_GB2312" w:eastAsia="楷体_GB2312"/>
          <w:color w:val="auto"/>
          <w:sz w:val="32"/>
          <w:szCs w:val="32"/>
          <w:highlight w:val="none"/>
        </w:rPr>
        <w:t>（一）产出完成情况分析</w:t>
      </w:r>
    </w:p>
    <w:p>
      <w:pPr>
        <w:spacing w:line="600" w:lineRule="exact"/>
        <w:ind w:left="105" w:leftChars="50" w:firstLine="480" w:firstLineChars="15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1.产出数量</w:t>
      </w:r>
    </w:p>
    <w:p>
      <w:pPr>
        <w:spacing w:line="600" w:lineRule="exact"/>
        <w:ind w:left="105" w:leftChars="50" w:firstLine="480" w:firstLineChars="150"/>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年数量指标为结案数；</w:t>
      </w:r>
      <w:r>
        <w:rPr>
          <w:rFonts w:hint="eastAsia" w:ascii="仿宋_GB2312" w:hAnsi="宋体" w:eastAsia="仿宋_GB2312" w:cs="宋体"/>
          <w:color w:val="auto"/>
          <w:kern w:val="0"/>
          <w:sz w:val="32"/>
          <w:szCs w:val="32"/>
          <w:highlight w:val="none"/>
          <w:lang w:eastAsia="zh-CN"/>
        </w:rPr>
        <w:t>已完成预计指标值。</w:t>
      </w:r>
    </w:p>
    <w:p>
      <w:pPr>
        <w:spacing w:line="600" w:lineRule="exact"/>
        <w:ind w:left="105" w:leftChars="50" w:firstLine="480" w:firstLineChars="15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2.产出质量</w:t>
      </w:r>
    </w:p>
    <w:p>
      <w:pPr>
        <w:spacing w:line="600" w:lineRule="exact"/>
        <w:ind w:left="105" w:leftChars="50" w:firstLine="480" w:firstLineChars="15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年质量指标为</w:t>
      </w:r>
      <w:r>
        <w:rPr>
          <w:rFonts w:hint="eastAsia" w:ascii="仿宋_GB2312" w:hAnsi="宋体" w:eastAsia="仿宋_GB2312" w:cs="宋体"/>
          <w:color w:val="auto"/>
          <w:kern w:val="0"/>
          <w:sz w:val="32"/>
          <w:szCs w:val="32"/>
          <w:highlight w:val="none"/>
          <w:lang w:eastAsia="zh-CN"/>
        </w:rPr>
        <w:t>审判质效（案件比）</w:t>
      </w:r>
      <w:r>
        <w:rPr>
          <w:rFonts w:hint="eastAsia" w:ascii="仿宋_GB2312" w:hAnsi="宋体" w:eastAsia="仿宋_GB2312" w:cs="宋体"/>
          <w:color w:val="auto"/>
          <w:kern w:val="0"/>
          <w:sz w:val="32"/>
          <w:szCs w:val="32"/>
          <w:highlight w:val="none"/>
        </w:rPr>
        <w:t>；指标值1：1.41-1：1.54；完成值为</w:t>
      </w:r>
      <w:r>
        <w:rPr>
          <w:rFonts w:hint="eastAsia" w:ascii="仿宋_GB2312" w:hAnsi="宋体" w:eastAsia="仿宋_GB2312" w:cs="宋体"/>
          <w:color w:val="auto"/>
          <w:kern w:val="0"/>
          <w:sz w:val="32"/>
          <w:szCs w:val="32"/>
          <w:highlight w:val="none"/>
          <w:lang w:val="en-US" w:eastAsia="zh-CN"/>
        </w:rPr>
        <w:t>1：1.45</w:t>
      </w:r>
      <w:r>
        <w:rPr>
          <w:rFonts w:hint="eastAsia" w:ascii="仿宋_GB2312" w:hAnsi="宋体" w:eastAsia="仿宋_GB2312" w:cs="宋体"/>
          <w:color w:val="auto"/>
          <w:kern w:val="0"/>
          <w:sz w:val="32"/>
          <w:szCs w:val="32"/>
          <w:highlight w:val="none"/>
        </w:rPr>
        <w:t>。</w:t>
      </w:r>
    </w:p>
    <w:p>
      <w:pPr>
        <w:spacing w:line="600" w:lineRule="exact"/>
        <w:ind w:left="105" w:leftChars="50" w:firstLine="480" w:firstLineChars="15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3.产出进度</w:t>
      </w:r>
    </w:p>
    <w:p>
      <w:pPr>
        <w:spacing w:line="600" w:lineRule="exact"/>
        <w:ind w:left="105" w:leftChars="50" w:firstLine="480" w:firstLineChars="15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年进度指标为</w:t>
      </w:r>
      <w:r>
        <w:rPr>
          <w:rFonts w:hint="eastAsia" w:ascii="仿宋_GB2312" w:hAnsi="宋体" w:eastAsia="仿宋_GB2312" w:cs="宋体"/>
          <w:color w:val="auto"/>
          <w:kern w:val="0"/>
          <w:sz w:val="32"/>
          <w:szCs w:val="32"/>
          <w:highlight w:val="none"/>
          <w:lang w:eastAsia="zh-CN"/>
        </w:rPr>
        <w:t>平均结案时间（天）</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已完成预计指标值</w:t>
      </w:r>
      <w:r>
        <w:rPr>
          <w:rFonts w:hint="eastAsia" w:ascii="仿宋_GB2312" w:hAnsi="宋体" w:eastAsia="仿宋_GB2312" w:cs="宋体"/>
          <w:color w:val="auto"/>
          <w:kern w:val="0"/>
          <w:sz w:val="32"/>
          <w:szCs w:val="32"/>
          <w:highlight w:val="none"/>
        </w:rPr>
        <w:t>。</w:t>
      </w:r>
    </w:p>
    <w:p>
      <w:pPr>
        <w:spacing w:line="600" w:lineRule="exact"/>
        <w:ind w:left="105" w:leftChars="50" w:firstLine="480" w:firstLineChars="15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4.产出成本</w:t>
      </w:r>
    </w:p>
    <w:p>
      <w:pPr>
        <w:spacing w:line="600" w:lineRule="exact"/>
        <w:ind w:left="105" w:leftChars="50" w:firstLine="480" w:firstLineChars="15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年成本指标为全口径案件成本；</w:t>
      </w:r>
      <w:r>
        <w:rPr>
          <w:rFonts w:hint="eastAsia" w:ascii="仿宋_GB2312" w:hAnsi="宋体" w:eastAsia="仿宋_GB2312" w:cs="宋体"/>
          <w:color w:val="auto"/>
          <w:kern w:val="0"/>
          <w:sz w:val="32"/>
          <w:szCs w:val="32"/>
          <w:highlight w:val="none"/>
          <w:lang w:eastAsia="zh-CN"/>
        </w:rPr>
        <w:t>已完成预计指标值</w:t>
      </w:r>
      <w:r>
        <w:rPr>
          <w:rFonts w:hint="eastAsia" w:ascii="仿宋_GB2312" w:hAnsi="宋体" w:eastAsia="仿宋_GB2312" w:cs="宋体"/>
          <w:color w:val="auto"/>
          <w:kern w:val="0"/>
          <w:sz w:val="32"/>
          <w:szCs w:val="32"/>
          <w:highlight w:val="none"/>
        </w:rPr>
        <w:t>。</w:t>
      </w:r>
    </w:p>
    <w:p>
      <w:pPr>
        <w:spacing w:line="600" w:lineRule="exact"/>
        <w:ind w:left="105" w:leftChars="50" w:firstLine="480" w:firstLineChars="150"/>
        <w:rPr>
          <w:rFonts w:ascii="楷体_GB2312" w:eastAsia="楷体_GB2312"/>
          <w:color w:val="auto"/>
          <w:sz w:val="32"/>
          <w:szCs w:val="32"/>
          <w:highlight w:val="none"/>
        </w:rPr>
      </w:pPr>
      <w:r>
        <w:rPr>
          <w:rFonts w:hint="eastAsia" w:ascii="楷体_GB2312" w:eastAsia="楷体_GB2312"/>
          <w:color w:val="auto"/>
          <w:sz w:val="32"/>
          <w:szCs w:val="32"/>
          <w:highlight w:val="none"/>
        </w:rPr>
        <w:t>（二）效果</w:t>
      </w:r>
      <w:r>
        <w:rPr>
          <w:rFonts w:ascii="楷体_GB2312" w:eastAsia="楷体_GB2312"/>
          <w:color w:val="auto"/>
          <w:sz w:val="32"/>
          <w:szCs w:val="32"/>
          <w:highlight w:val="none"/>
        </w:rPr>
        <w:t>实现情况分析</w:t>
      </w:r>
    </w:p>
    <w:p>
      <w:pPr>
        <w:spacing w:line="600" w:lineRule="exact"/>
        <w:ind w:left="105" w:leftChars="50" w:firstLine="480" w:firstLineChars="15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1.社会效益</w:t>
      </w:r>
    </w:p>
    <w:p>
      <w:pPr>
        <w:widowControl/>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社会效益指标为围绕大局履职尽责，服务区域内高质量绿色发展；指标值为围绕大局履职尽责，服务区域内高质量绿色发展；完成值为服务法治政府建设、服务美丽延庆建设、服务乡村振兴，强化民生司法保障、维护社会安全稳定。</w:t>
      </w:r>
    </w:p>
    <w:p>
      <w:pPr>
        <w:spacing w:line="600" w:lineRule="exact"/>
        <w:ind w:left="105" w:leftChars="50" w:firstLine="480" w:firstLineChars="15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2.经济</w:t>
      </w:r>
      <w:r>
        <w:rPr>
          <w:rFonts w:ascii="仿宋_GB2312" w:hAnsi="宋体" w:eastAsia="仿宋_GB2312" w:cs="宋体"/>
          <w:color w:val="auto"/>
          <w:kern w:val="0"/>
          <w:sz w:val="32"/>
          <w:szCs w:val="32"/>
          <w:highlight w:val="none"/>
        </w:rPr>
        <w:t>效益</w:t>
      </w:r>
    </w:p>
    <w:p>
      <w:pPr>
        <w:spacing w:line="600" w:lineRule="exact"/>
        <w:ind w:left="105" w:leftChars="50" w:firstLine="480" w:firstLineChars="15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经济效益指标为保证首都经济运转和维护营商环境；指标值为围绕优化营商环境重点工作，优化窗口服务环境，积极营造法治化、便利化营商环境；完成值围绕优化窗口服务环境，严格规范司法审判行为，切实有效提升审判质效，主动对接辖区内重点民营企业，依法保障企业合法经营。</w:t>
      </w:r>
    </w:p>
    <w:p>
      <w:pPr>
        <w:spacing w:line="600" w:lineRule="exact"/>
        <w:ind w:left="105" w:leftChars="50" w:firstLine="480" w:firstLineChars="15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3. 服务对象</w:t>
      </w:r>
      <w:r>
        <w:rPr>
          <w:rFonts w:ascii="仿宋_GB2312" w:hAnsi="宋体" w:eastAsia="仿宋_GB2312" w:cs="宋体"/>
          <w:color w:val="auto"/>
          <w:kern w:val="0"/>
          <w:sz w:val="32"/>
          <w:szCs w:val="32"/>
          <w:highlight w:val="none"/>
        </w:rPr>
        <w:t>满意度</w:t>
      </w:r>
    </w:p>
    <w:p>
      <w:pPr>
        <w:spacing w:line="600" w:lineRule="exact"/>
        <w:ind w:left="105" w:leftChars="50" w:firstLine="480" w:firstLineChars="15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年服务对象满意度指标值为</w:t>
      </w:r>
      <w:r>
        <w:rPr>
          <w:rFonts w:hint="eastAsia" w:ascii="仿宋_GB2312" w:hAnsi="宋体" w:eastAsia="仿宋_GB2312" w:cs="宋体"/>
          <w:color w:val="auto"/>
          <w:kern w:val="0"/>
          <w:sz w:val="32"/>
          <w:szCs w:val="32"/>
          <w:highlight w:val="none"/>
          <w:lang w:eastAsia="zh-CN"/>
        </w:rPr>
        <w:t>审判执行工作整体满意度</w:t>
      </w:r>
      <w:r>
        <w:rPr>
          <w:rFonts w:hint="eastAsia" w:ascii="仿宋_GB2312" w:hAnsi="宋体" w:eastAsia="仿宋_GB2312" w:cs="宋体"/>
          <w:color w:val="auto"/>
          <w:kern w:val="0"/>
          <w:sz w:val="32"/>
          <w:szCs w:val="32"/>
          <w:highlight w:val="none"/>
        </w:rPr>
        <w:t>；指标值为坚持以人民群众的满意度、获得感检验改革成效，抓住改革重点，聚焦突出问题，统筹推进司法体制综合配套改革；完成值</w:t>
      </w:r>
      <w:r>
        <w:rPr>
          <w:rFonts w:hint="eastAsia" w:ascii="仿宋_GB2312" w:hAnsi="宋体" w:eastAsia="仿宋_GB2312" w:cs="宋体"/>
          <w:color w:val="auto"/>
          <w:kern w:val="0"/>
          <w:sz w:val="32"/>
          <w:szCs w:val="32"/>
          <w:highlight w:val="none"/>
          <w:lang w:eastAsia="zh-CN"/>
        </w:rPr>
        <w:t>为</w:t>
      </w:r>
      <w:r>
        <w:rPr>
          <w:rFonts w:hint="eastAsia" w:ascii="仿宋_GB2312" w:hAnsi="宋体" w:eastAsia="仿宋_GB2312" w:cs="宋体"/>
          <w:color w:val="auto"/>
          <w:kern w:val="0"/>
          <w:sz w:val="32"/>
          <w:szCs w:val="32"/>
          <w:highlight w:val="none"/>
        </w:rPr>
        <w:t>坚持服务大局、司法为民、公正司法，认真落实市委、区委部署要求，各项工作均取得预期成效。4. 环境效益</w:t>
      </w:r>
    </w:p>
    <w:p>
      <w:pPr>
        <w:spacing w:line="600" w:lineRule="exact"/>
        <w:ind w:left="105" w:leftChars="50" w:firstLine="480" w:firstLineChars="150"/>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rPr>
        <w:t>四</w:t>
      </w:r>
      <w:r>
        <w:rPr>
          <w:rFonts w:ascii="黑体" w:hAnsi="黑体" w:eastAsia="黑体" w:cs="宋体"/>
          <w:color w:val="auto"/>
          <w:kern w:val="0"/>
          <w:sz w:val="32"/>
          <w:szCs w:val="32"/>
          <w:highlight w:val="none"/>
        </w:rPr>
        <w:t>、预算管理</w:t>
      </w:r>
      <w:r>
        <w:rPr>
          <w:rFonts w:hint="eastAsia" w:ascii="黑体" w:hAnsi="黑体" w:eastAsia="黑体" w:cs="宋体"/>
          <w:color w:val="auto"/>
          <w:kern w:val="0"/>
          <w:sz w:val="32"/>
          <w:szCs w:val="32"/>
          <w:highlight w:val="none"/>
        </w:rPr>
        <w:t>情况分</w:t>
      </w:r>
      <w:r>
        <w:rPr>
          <w:rFonts w:ascii="黑体" w:hAnsi="黑体" w:eastAsia="黑体" w:cs="宋体"/>
          <w:color w:val="auto"/>
          <w:kern w:val="0"/>
          <w:sz w:val="32"/>
          <w:szCs w:val="32"/>
          <w:highlight w:val="none"/>
        </w:rPr>
        <w:t>析</w:t>
      </w:r>
    </w:p>
    <w:p>
      <w:pPr>
        <w:spacing w:line="600" w:lineRule="exact"/>
        <w:ind w:left="105" w:leftChars="50" w:firstLine="480" w:firstLineChars="150"/>
        <w:rPr>
          <w:rFonts w:ascii="楷体_GB2312" w:eastAsia="楷体_GB2312"/>
          <w:color w:val="auto"/>
          <w:sz w:val="32"/>
          <w:szCs w:val="32"/>
          <w:highlight w:val="none"/>
        </w:rPr>
      </w:pPr>
      <w:r>
        <w:rPr>
          <w:rFonts w:hint="eastAsia" w:ascii="楷体_GB2312" w:eastAsia="楷体_GB2312"/>
          <w:color w:val="auto"/>
          <w:sz w:val="32"/>
          <w:szCs w:val="32"/>
          <w:highlight w:val="none"/>
        </w:rPr>
        <w:t>（一）财务管理</w:t>
      </w:r>
    </w:p>
    <w:p>
      <w:pPr>
        <w:spacing w:line="600" w:lineRule="exact"/>
        <w:ind w:left="105" w:leftChars="50" w:firstLine="480" w:firstLineChars="15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1.财务</w:t>
      </w:r>
      <w:r>
        <w:rPr>
          <w:rFonts w:ascii="仿宋_GB2312" w:hAnsi="宋体" w:eastAsia="仿宋_GB2312" w:cs="宋体"/>
          <w:color w:val="auto"/>
          <w:kern w:val="0"/>
          <w:sz w:val="32"/>
          <w:szCs w:val="32"/>
          <w:highlight w:val="none"/>
        </w:rPr>
        <w:t>管理制度健全性</w:t>
      </w:r>
    </w:p>
    <w:p>
      <w:pPr>
        <w:spacing w:line="600" w:lineRule="exact"/>
        <w:ind w:left="105" w:leftChars="50" w:firstLine="480" w:firstLineChars="15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北京市延庆区人民法院制定了较为完备的财务管理制度，预算资金管理办法、资产管理办法等各项制度健全；内部财务管理制度完整、合规；会计核算制度完整、合规。但目前尚未制定相关绩效跟踪管理办法。</w:t>
      </w:r>
    </w:p>
    <w:p>
      <w:pPr>
        <w:spacing w:line="600" w:lineRule="exact"/>
        <w:ind w:left="105" w:leftChars="50" w:firstLine="480" w:firstLineChars="15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2.资金使用合规性</w:t>
      </w:r>
      <w:r>
        <w:rPr>
          <w:rFonts w:ascii="仿宋_GB2312" w:hAnsi="宋体" w:eastAsia="仿宋_GB2312" w:cs="宋体"/>
          <w:color w:val="auto"/>
          <w:kern w:val="0"/>
          <w:sz w:val="32"/>
          <w:szCs w:val="32"/>
          <w:highlight w:val="none"/>
        </w:rPr>
        <w:t>和安全性</w:t>
      </w:r>
    </w:p>
    <w:p>
      <w:pPr>
        <w:spacing w:line="600" w:lineRule="exact"/>
        <w:ind w:left="105" w:leftChars="50" w:firstLine="480" w:firstLineChars="15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北京市延庆区人民法院严格按照国家财经法规和财务管理制度规定以及有关专项资金管理办法的规定管理使用财政资金，资金的拨付有完整的审批程序和手续；项目的重大开支均经过评估论证；按照部门预算批复的用途使用预算资金，不存在截留、挤占、挪用情况；需要履行政府采购程序的支出严格执行政府采购的程序和流程；资金支付符合公务卡结算相关制度和规定。</w:t>
      </w:r>
    </w:p>
    <w:p>
      <w:pPr>
        <w:spacing w:line="600" w:lineRule="exact"/>
        <w:ind w:left="105" w:leftChars="50" w:firstLine="480" w:firstLineChars="150"/>
        <w:rPr>
          <w:rFonts w:ascii="仿宋_GB2312" w:hAnsi="宋体" w:eastAsia="仿宋_GB2312" w:cs="宋体"/>
          <w:color w:val="auto"/>
          <w:kern w:val="0"/>
          <w:sz w:val="32"/>
          <w:szCs w:val="32"/>
          <w:highlight w:val="none"/>
        </w:rPr>
      </w:pPr>
      <w:r>
        <w:rPr>
          <w:rFonts w:ascii="仿宋_GB2312" w:hAnsi="宋体" w:eastAsia="仿宋_GB2312" w:cs="宋体"/>
          <w:color w:val="auto"/>
          <w:kern w:val="0"/>
          <w:sz w:val="32"/>
          <w:szCs w:val="32"/>
          <w:highlight w:val="none"/>
        </w:rPr>
        <w:t>3.</w:t>
      </w:r>
      <w:r>
        <w:rPr>
          <w:rFonts w:hint="eastAsia" w:ascii="仿宋_GB2312" w:hAnsi="宋体" w:eastAsia="仿宋_GB2312" w:cs="宋体"/>
          <w:color w:val="auto"/>
          <w:kern w:val="0"/>
          <w:sz w:val="32"/>
          <w:szCs w:val="32"/>
          <w:highlight w:val="none"/>
        </w:rPr>
        <w:t>会计</w:t>
      </w:r>
      <w:r>
        <w:rPr>
          <w:rFonts w:ascii="仿宋_GB2312" w:hAnsi="宋体" w:eastAsia="仿宋_GB2312" w:cs="宋体"/>
          <w:color w:val="auto"/>
          <w:kern w:val="0"/>
          <w:sz w:val="32"/>
          <w:szCs w:val="32"/>
          <w:highlight w:val="none"/>
        </w:rPr>
        <w:t>基础信息完善性</w:t>
      </w:r>
    </w:p>
    <w:p>
      <w:pPr>
        <w:spacing w:line="600" w:lineRule="exact"/>
        <w:ind w:left="105" w:leftChars="50" w:firstLine="480" w:firstLineChars="15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北京市延庆区人民法院基础数据信息和会计信息资料真实、完整、准确。</w:t>
      </w:r>
    </w:p>
    <w:p>
      <w:pPr>
        <w:spacing w:line="600" w:lineRule="exact"/>
        <w:ind w:left="105" w:leftChars="50" w:firstLine="480" w:firstLineChars="150"/>
        <w:rPr>
          <w:rFonts w:ascii="楷体_GB2312" w:eastAsia="楷体_GB2312"/>
          <w:color w:val="auto"/>
          <w:sz w:val="32"/>
          <w:szCs w:val="32"/>
          <w:highlight w:val="none"/>
        </w:rPr>
      </w:pPr>
      <w:r>
        <w:rPr>
          <w:rFonts w:hint="eastAsia" w:ascii="楷体_GB2312" w:eastAsia="楷体_GB2312"/>
          <w:color w:val="auto"/>
          <w:sz w:val="32"/>
          <w:szCs w:val="32"/>
          <w:highlight w:val="none"/>
        </w:rPr>
        <w:t>（二）资产管理</w:t>
      </w:r>
    </w:p>
    <w:p>
      <w:pPr>
        <w:spacing w:line="600" w:lineRule="exact"/>
        <w:ind w:left="105" w:leftChars="50" w:firstLine="480" w:firstLineChars="150"/>
        <w:rPr>
          <w:rFonts w:ascii="仿宋_GB2312" w:eastAsia="仿宋_GB2312"/>
          <w:color w:val="auto"/>
          <w:sz w:val="32"/>
          <w:szCs w:val="32"/>
          <w:highlight w:val="none"/>
        </w:rPr>
      </w:pPr>
      <w:r>
        <w:rPr>
          <w:rFonts w:hint="eastAsia" w:ascii="仿宋_GB2312" w:hAnsi="宋体" w:eastAsia="仿宋_GB2312" w:cs="宋体"/>
          <w:color w:val="auto"/>
          <w:kern w:val="0"/>
          <w:sz w:val="32"/>
          <w:szCs w:val="32"/>
          <w:highlight w:val="none"/>
        </w:rPr>
        <w:t>北京市延庆区人民法院的资产安全完整，资产使用和资产处理规范、及时，但存在个别资产配置数量超标的情况。</w:t>
      </w:r>
    </w:p>
    <w:p>
      <w:pPr>
        <w:spacing w:line="600" w:lineRule="exact"/>
        <w:ind w:left="105" w:leftChars="50" w:firstLine="480" w:firstLineChars="150"/>
        <w:rPr>
          <w:rFonts w:ascii="楷体_GB2312" w:eastAsia="楷体_GB2312"/>
          <w:color w:val="auto"/>
          <w:sz w:val="32"/>
          <w:szCs w:val="32"/>
          <w:highlight w:val="none"/>
        </w:rPr>
      </w:pPr>
      <w:r>
        <w:rPr>
          <w:rFonts w:hint="eastAsia" w:ascii="楷体_GB2312" w:eastAsia="楷体_GB2312"/>
          <w:color w:val="auto"/>
          <w:sz w:val="32"/>
          <w:szCs w:val="32"/>
          <w:highlight w:val="none"/>
        </w:rPr>
        <w:t>（三）绩效</w:t>
      </w:r>
      <w:r>
        <w:rPr>
          <w:rFonts w:ascii="楷体_GB2312" w:eastAsia="楷体_GB2312"/>
          <w:color w:val="auto"/>
          <w:sz w:val="32"/>
          <w:szCs w:val="32"/>
          <w:highlight w:val="none"/>
        </w:rPr>
        <w:t>管理</w:t>
      </w:r>
    </w:p>
    <w:p>
      <w:pPr>
        <w:spacing w:line="600" w:lineRule="exact"/>
        <w:ind w:left="105" w:leftChars="50" w:firstLine="480" w:firstLineChars="150"/>
        <w:rPr>
          <w:rFonts w:ascii="仿宋_GB2312" w:eastAsia="仿宋_GB2312"/>
          <w:color w:val="auto"/>
          <w:sz w:val="32"/>
          <w:szCs w:val="32"/>
          <w:highlight w:val="none"/>
        </w:rPr>
      </w:pPr>
      <w:r>
        <w:rPr>
          <w:rFonts w:hint="eastAsia" w:ascii="仿宋_GB2312" w:hAnsi="宋体" w:eastAsia="仿宋_GB2312" w:cs="宋体"/>
          <w:color w:val="auto"/>
          <w:kern w:val="0"/>
          <w:sz w:val="32"/>
          <w:szCs w:val="32"/>
          <w:highlight w:val="none"/>
        </w:rPr>
        <w:t>北京市延庆区人民法院定期对绩效信息进行汇总分析整理</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但对绩效目标偏离情况的矫正还有待进一步加强。</w:t>
      </w:r>
    </w:p>
    <w:p>
      <w:pPr>
        <w:spacing w:line="600" w:lineRule="exact"/>
        <w:ind w:left="105" w:leftChars="50" w:firstLine="480" w:firstLineChars="150"/>
        <w:rPr>
          <w:rFonts w:ascii="楷体_GB2312" w:eastAsia="楷体_GB2312"/>
          <w:color w:val="auto"/>
          <w:sz w:val="32"/>
          <w:szCs w:val="32"/>
          <w:highlight w:val="none"/>
        </w:rPr>
      </w:pPr>
      <w:r>
        <w:rPr>
          <w:rFonts w:hint="eastAsia" w:ascii="楷体_GB2312" w:eastAsia="楷体_GB2312"/>
          <w:color w:val="auto"/>
          <w:sz w:val="32"/>
          <w:szCs w:val="32"/>
          <w:highlight w:val="none"/>
        </w:rPr>
        <w:t>（四）结转结余率</w:t>
      </w:r>
    </w:p>
    <w:p>
      <w:pPr>
        <w:spacing w:line="600" w:lineRule="exact"/>
        <w:ind w:left="105" w:leftChars="50" w:firstLine="480" w:firstLineChars="150"/>
        <w:rPr>
          <w:rFonts w:hint="eastAsia" w:ascii="仿宋_GB2312" w:eastAsia="仿宋_GB2312"/>
          <w:color w:val="auto"/>
          <w:sz w:val="32"/>
          <w:szCs w:val="32"/>
          <w:highlight w:val="none"/>
          <w:lang w:val="en-US" w:eastAsia="zh-CN"/>
        </w:rPr>
      </w:pPr>
      <w:r>
        <w:rPr>
          <w:rFonts w:hint="eastAsia" w:ascii="仿宋_GB2312" w:hAnsi="宋体" w:eastAsia="仿宋_GB2312" w:cs="宋体"/>
          <w:color w:val="auto"/>
          <w:kern w:val="0"/>
          <w:sz w:val="32"/>
          <w:szCs w:val="32"/>
          <w:highlight w:val="none"/>
        </w:rPr>
        <w:t>北京市延庆区人民法院202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年度结转结余率</w:t>
      </w:r>
      <w:r>
        <w:rPr>
          <w:rFonts w:hint="eastAsia" w:ascii="仿宋_GB2312" w:hAnsi="宋体" w:eastAsia="仿宋_GB2312" w:cs="宋体"/>
          <w:color w:val="auto"/>
          <w:kern w:val="0"/>
          <w:sz w:val="32"/>
          <w:szCs w:val="32"/>
          <w:highlight w:val="none"/>
          <w:lang w:val="en-US" w:eastAsia="zh-CN"/>
        </w:rPr>
        <w:t>3.4</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eastAsia="zh-CN"/>
        </w:rPr>
        <w:t>高于</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年的结转结余率</w:t>
      </w:r>
      <w:r>
        <w:rPr>
          <w:rFonts w:hint="eastAsia" w:ascii="仿宋_GB2312" w:hAnsi="宋体" w:eastAsia="仿宋_GB2312" w:cs="宋体"/>
          <w:color w:val="auto"/>
          <w:kern w:val="0"/>
          <w:sz w:val="32"/>
          <w:szCs w:val="32"/>
          <w:highlight w:val="none"/>
          <w:lang w:val="en-US" w:eastAsia="zh-CN"/>
        </w:rPr>
        <w:t>。</w:t>
      </w:r>
    </w:p>
    <w:p>
      <w:pPr>
        <w:spacing w:line="600" w:lineRule="exact"/>
        <w:ind w:left="105" w:leftChars="50" w:firstLine="480" w:firstLineChars="150"/>
        <w:rPr>
          <w:rFonts w:ascii="楷体_GB2312" w:eastAsia="楷体_GB2312"/>
          <w:color w:val="auto"/>
          <w:sz w:val="32"/>
          <w:szCs w:val="32"/>
          <w:highlight w:val="none"/>
        </w:rPr>
      </w:pPr>
      <w:r>
        <w:rPr>
          <w:rFonts w:hint="eastAsia" w:ascii="楷体_GB2312" w:eastAsia="楷体_GB2312"/>
          <w:color w:val="auto"/>
          <w:sz w:val="32"/>
          <w:szCs w:val="32"/>
          <w:highlight w:val="none"/>
        </w:rPr>
        <w:t>（五）部门</w:t>
      </w:r>
      <w:r>
        <w:rPr>
          <w:rFonts w:ascii="楷体_GB2312" w:eastAsia="楷体_GB2312"/>
          <w:color w:val="auto"/>
          <w:sz w:val="32"/>
          <w:szCs w:val="32"/>
          <w:highlight w:val="none"/>
        </w:rPr>
        <w:t>预决算差异率</w:t>
      </w:r>
    </w:p>
    <w:p>
      <w:pPr>
        <w:spacing w:line="600" w:lineRule="exact"/>
        <w:ind w:left="105" w:leftChars="50" w:firstLine="640" w:firstLineChars="200"/>
        <w:rPr>
          <w:rFonts w:ascii="仿宋_GB2312" w:eastAsia="仿宋_GB2312"/>
          <w:color w:val="auto"/>
          <w:sz w:val="32"/>
          <w:szCs w:val="32"/>
          <w:highlight w:val="none"/>
        </w:rPr>
      </w:pPr>
      <w:r>
        <w:rPr>
          <w:rFonts w:hint="eastAsia" w:ascii="仿宋_GB2312" w:hAnsi="宋体" w:eastAsia="仿宋_GB2312" w:cs="宋体"/>
          <w:color w:val="auto"/>
          <w:kern w:val="0"/>
          <w:sz w:val="32"/>
          <w:szCs w:val="32"/>
          <w:highlight w:val="none"/>
        </w:rPr>
        <w:t>北京市延庆区人民法院202</w:t>
      </w:r>
      <w:r>
        <w:rPr>
          <w:rFonts w:hint="eastAsia" w:ascii="仿宋_GB2312" w:hAnsi="宋体" w:eastAsia="仿宋_GB2312" w:cs="宋体"/>
          <w:color w:val="auto"/>
          <w:kern w:val="0"/>
          <w:sz w:val="32"/>
          <w:szCs w:val="32"/>
          <w:highlight w:val="none"/>
          <w:lang w:val="en-US" w:eastAsia="zh-CN"/>
        </w:rPr>
        <w:t>4</w:t>
      </w:r>
      <w:r>
        <w:rPr>
          <w:rFonts w:hint="eastAsia" w:ascii="仿宋_GB2312" w:hAnsi="宋体" w:eastAsia="仿宋_GB2312" w:cs="宋体"/>
          <w:color w:val="auto"/>
          <w:kern w:val="0"/>
          <w:sz w:val="32"/>
          <w:szCs w:val="32"/>
          <w:highlight w:val="none"/>
        </w:rPr>
        <w:t>年预决算差异率为</w:t>
      </w:r>
      <w:r>
        <w:rPr>
          <w:rFonts w:hint="eastAsia" w:ascii="仿宋_GB2312" w:hAnsi="宋体" w:eastAsia="仿宋_GB2312" w:cs="宋体"/>
          <w:color w:val="auto"/>
          <w:kern w:val="0"/>
          <w:sz w:val="32"/>
          <w:szCs w:val="32"/>
          <w:highlight w:val="none"/>
          <w:lang w:val="en-US" w:eastAsia="zh-CN"/>
        </w:rPr>
        <w:t>0.98</w:t>
      </w:r>
      <w:r>
        <w:rPr>
          <w:rFonts w:hint="eastAsia" w:ascii="仿宋_GB2312" w:hAnsi="宋体" w:eastAsia="仿宋_GB2312" w:cs="宋体"/>
          <w:color w:val="auto"/>
          <w:kern w:val="0"/>
          <w:sz w:val="32"/>
          <w:szCs w:val="32"/>
          <w:highlight w:val="none"/>
        </w:rPr>
        <w:t>%，低于市级平均差异率。</w:t>
      </w:r>
    </w:p>
    <w:p>
      <w:pPr>
        <w:spacing w:line="600" w:lineRule="exact"/>
        <w:ind w:left="5" w:firstLine="579" w:firstLineChars="181"/>
        <w:rPr>
          <w:rFonts w:ascii="黑体" w:hAnsi="黑体" w:eastAsia="黑体"/>
          <w:color w:val="auto"/>
          <w:sz w:val="32"/>
          <w:szCs w:val="32"/>
          <w:highlight w:val="none"/>
        </w:rPr>
      </w:pPr>
      <w:r>
        <w:rPr>
          <w:rFonts w:hint="eastAsia" w:ascii="黑体" w:hAnsi="黑体" w:eastAsia="黑体"/>
          <w:color w:val="auto"/>
          <w:sz w:val="32"/>
          <w:szCs w:val="32"/>
          <w:highlight w:val="none"/>
        </w:rPr>
        <w:t>五、总体</w:t>
      </w:r>
      <w:r>
        <w:rPr>
          <w:rFonts w:ascii="黑体" w:hAnsi="黑体" w:eastAsia="黑体"/>
          <w:color w:val="auto"/>
          <w:sz w:val="32"/>
          <w:szCs w:val="32"/>
          <w:highlight w:val="none"/>
        </w:rPr>
        <w:t>评价结论</w:t>
      </w:r>
    </w:p>
    <w:p>
      <w:pPr>
        <w:spacing w:line="600" w:lineRule="exact"/>
        <w:ind w:left="5" w:firstLine="579" w:firstLineChars="181"/>
        <w:rPr>
          <w:rFonts w:ascii="楷体_GB2312" w:eastAsia="楷体_GB2312"/>
          <w:color w:val="auto"/>
          <w:sz w:val="32"/>
          <w:szCs w:val="32"/>
          <w:highlight w:val="none"/>
        </w:rPr>
      </w:pPr>
      <w:r>
        <w:rPr>
          <w:rFonts w:hint="eastAsia" w:ascii="楷体_GB2312" w:eastAsia="楷体_GB2312"/>
          <w:color w:val="auto"/>
          <w:sz w:val="32"/>
          <w:szCs w:val="32"/>
          <w:highlight w:val="none"/>
        </w:rPr>
        <w:t>（一）评价</w:t>
      </w:r>
      <w:r>
        <w:rPr>
          <w:rFonts w:ascii="楷体_GB2312" w:eastAsia="楷体_GB2312"/>
          <w:color w:val="auto"/>
          <w:sz w:val="32"/>
          <w:szCs w:val="32"/>
          <w:highlight w:val="none"/>
        </w:rPr>
        <w:t>得分</w:t>
      </w:r>
      <w:r>
        <w:rPr>
          <w:rFonts w:hint="eastAsia" w:ascii="楷体_GB2312" w:eastAsia="楷体_GB2312"/>
          <w:color w:val="auto"/>
          <w:sz w:val="32"/>
          <w:szCs w:val="32"/>
          <w:highlight w:val="none"/>
        </w:rPr>
        <w:t>情况</w:t>
      </w:r>
    </w:p>
    <w:p>
      <w:pPr>
        <w:spacing w:line="600" w:lineRule="exact"/>
        <w:ind w:firstLine="640" w:firstLineChars="200"/>
        <w:rPr>
          <w:rFonts w:ascii="仿宋_GB2312" w:eastAsia="仿宋_GB2312"/>
          <w:color w:val="auto"/>
          <w:sz w:val="32"/>
          <w:szCs w:val="32"/>
          <w:highlight w:val="none"/>
        </w:rPr>
      </w:pPr>
      <w:r>
        <w:rPr>
          <w:rFonts w:hint="eastAsia" w:ascii="仿宋_GB2312" w:eastAsia="仿宋_GB2312"/>
          <w:color w:val="auto"/>
          <w:sz w:val="32"/>
          <w:szCs w:val="32"/>
          <w:highlight w:val="none"/>
        </w:rPr>
        <w:t>延庆区法院部门整体绩效评价得分为</w:t>
      </w:r>
      <w:r>
        <w:rPr>
          <w:rFonts w:hint="eastAsia" w:ascii="仿宋_GB2312" w:eastAsia="仿宋_GB2312"/>
          <w:color w:val="auto"/>
          <w:sz w:val="32"/>
          <w:szCs w:val="32"/>
          <w:highlight w:val="none"/>
          <w:lang w:val="en-US" w:eastAsia="zh-CN"/>
        </w:rPr>
        <w:t>95.93</w:t>
      </w:r>
      <w:r>
        <w:rPr>
          <w:rFonts w:hint="eastAsia" w:ascii="仿宋_GB2312" w:eastAsia="仿宋_GB2312"/>
          <w:color w:val="auto"/>
          <w:sz w:val="32"/>
          <w:szCs w:val="32"/>
          <w:highlight w:val="none"/>
        </w:rPr>
        <w:t>分。其中当年预算执行情况满分20分，得分</w:t>
      </w:r>
      <w:r>
        <w:rPr>
          <w:rFonts w:hint="eastAsia" w:ascii="仿宋_GB2312" w:eastAsia="仿宋_GB2312"/>
          <w:color w:val="auto"/>
          <w:sz w:val="32"/>
          <w:szCs w:val="32"/>
          <w:highlight w:val="none"/>
          <w:lang w:val="en-US" w:eastAsia="zh-CN"/>
        </w:rPr>
        <w:t>19.31</w:t>
      </w:r>
      <w:r>
        <w:rPr>
          <w:rFonts w:hint="eastAsia" w:ascii="仿宋_GB2312" w:eastAsia="仿宋_GB2312"/>
          <w:color w:val="auto"/>
          <w:sz w:val="32"/>
          <w:szCs w:val="32"/>
          <w:highlight w:val="none"/>
        </w:rPr>
        <w:t>分，得分率</w:t>
      </w:r>
      <w:r>
        <w:rPr>
          <w:rFonts w:hint="eastAsia" w:ascii="仿宋_GB2312" w:eastAsia="仿宋_GB2312"/>
          <w:color w:val="auto"/>
          <w:sz w:val="32"/>
          <w:szCs w:val="32"/>
          <w:highlight w:val="none"/>
          <w:lang w:val="en-US" w:eastAsia="zh-CN"/>
        </w:rPr>
        <w:t>96.55</w:t>
      </w:r>
      <w:r>
        <w:rPr>
          <w:rFonts w:hint="eastAsia" w:ascii="仿宋_GB2312" w:eastAsia="仿宋_GB2312"/>
          <w:color w:val="auto"/>
          <w:sz w:val="32"/>
          <w:szCs w:val="32"/>
          <w:highlight w:val="none"/>
        </w:rPr>
        <w:t>%。；整体绩效目标实现情况满分60分，得分</w:t>
      </w:r>
      <w:r>
        <w:rPr>
          <w:rFonts w:hint="eastAsia" w:ascii="仿宋_GB2312" w:eastAsia="仿宋_GB2312"/>
          <w:color w:val="auto"/>
          <w:sz w:val="32"/>
          <w:szCs w:val="32"/>
          <w:highlight w:val="none"/>
          <w:lang w:val="en-US" w:eastAsia="zh-CN"/>
        </w:rPr>
        <w:t>60</w:t>
      </w:r>
      <w:r>
        <w:rPr>
          <w:rFonts w:hint="eastAsia" w:ascii="仿宋_GB2312" w:eastAsia="仿宋_GB2312"/>
          <w:color w:val="auto"/>
          <w:sz w:val="32"/>
          <w:szCs w:val="32"/>
          <w:highlight w:val="none"/>
        </w:rPr>
        <w:t>分，得分率</w:t>
      </w:r>
      <w:r>
        <w:rPr>
          <w:rFonts w:hint="eastAsia" w:ascii="仿宋_GB2312" w:eastAsia="仿宋_GB2312"/>
          <w:color w:val="auto"/>
          <w:sz w:val="32"/>
          <w:szCs w:val="32"/>
          <w:highlight w:val="none"/>
          <w:lang w:val="en-US" w:eastAsia="zh-CN"/>
        </w:rPr>
        <w:t>100</w:t>
      </w:r>
      <w:r>
        <w:rPr>
          <w:rFonts w:hint="eastAsia" w:ascii="仿宋_GB2312" w:eastAsia="仿宋_GB2312"/>
          <w:color w:val="auto"/>
          <w:sz w:val="32"/>
          <w:szCs w:val="32"/>
          <w:highlight w:val="none"/>
        </w:rPr>
        <w:t>%；预算管理情况满分20分，得分</w:t>
      </w:r>
      <w:r>
        <w:rPr>
          <w:rFonts w:hint="eastAsia" w:ascii="仿宋_GB2312" w:eastAsia="仿宋_GB2312"/>
          <w:color w:val="auto"/>
          <w:sz w:val="32"/>
          <w:szCs w:val="32"/>
          <w:highlight w:val="none"/>
          <w:lang w:val="en-US" w:eastAsia="zh-CN"/>
        </w:rPr>
        <w:t>16.62</w:t>
      </w:r>
      <w:r>
        <w:rPr>
          <w:rFonts w:hint="eastAsia" w:ascii="仿宋_GB2312" w:eastAsia="仿宋_GB2312"/>
          <w:color w:val="auto"/>
          <w:sz w:val="32"/>
          <w:szCs w:val="32"/>
          <w:highlight w:val="none"/>
        </w:rPr>
        <w:t>分，得分率</w:t>
      </w:r>
      <w:r>
        <w:rPr>
          <w:rFonts w:hint="eastAsia" w:ascii="仿宋_GB2312" w:eastAsia="仿宋_GB2312"/>
          <w:color w:val="auto"/>
          <w:sz w:val="32"/>
          <w:szCs w:val="32"/>
          <w:highlight w:val="none"/>
          <w:lang w:val="en-US" w:eastAsia="zh-CN"/>
        </w:rPr>
        <w:t>83.1</w:t>
      </w:r>
      <w:r>
        <w:rPr>
          <w:rFonts w:hint="eastAsia" w:ascii="仿宋_GB2312" w:eastAsia="仿宋_GB2312"/>
          <w:color w:val="auto"/>
          <w:sz w:val="32"/>
          <w:szCs w:val="32"/>
          <w:highlight w:val="none"/>
        </w:rPr>
        <w:t>%。</w:t>
      </w:r>
    </w:p>
    <w:p>
      <w:pPr>
        <w:spacing w:line="600" w:lineRule="exact"/>
        <w:ind w:left="5" w:firstLine="579" w:firstLineChars="181"/>
        <w:rPr>
          <w:rFonts w:ascii="楷体_GB2312" w:eastAsia="楷体_GB2312"/>
          <w:color w:val="auto"/>
          <w:sz w:val="32"/>
          <w:szCs w:val="32"/>
          <w:highlight w:val="none"/>
        </w:rPr>
      </w:pPr>
      <w:r>
        <w:rPr>
          <w:rFonts w:hint="eastAsia" w:ascii="楷体_GB2312" w:eastAsia="楷体_GB2312"/>
          <w:color w:val="auto"/>
          <w:sz w:val="32"/>
          <w:szCs w:val="32"/>
          <w:highlight w:val="none"/>
        </w:rPr>
        <w:t>（二）存在的问题及原因分析</w:t>
      </w:r>
    </w:p>
    <w:p>
      <w:pPr>
        <w:spacing w:line="600" w:lineRule="exact"/>
        <w:ind w:firstLine="640" w:firstLineChars="200"/>
        <w:rPr>
          <w:rFonts w:ascii="楷体_GB2312" w:eastAsia="楷体_GB2312"/>
          <w:color w:val="auto"/>
          <w:sz w:val="32"/>
          <w:szCs w:val="32"/>
          <w:highlight w:val="none"/>
        </w:rPr>
      </w:pPr>
      <w:r>
        <w:rPr>
          <w:rFonts w:hint="eastAsia" w:ascii="仿宋_GB2312" w:eastAsia="仿宋_GB2312"/>
          <w:color w:val="auto"/>
          <w:sz w:val="32"/>
          <w:szCs w:val="32"/>
          <w:highlight w:val="none"/>
        </w:rPr>
        <w:t>个别领域未完成指标值，需进一步加强</w:t>
      </w:r>
      <w:r>
        <w:rPr>
          <w:rFonts w:hint="eastAsia" w:ascii="仿宋_GB2312" w:eastAsia="仿宋_GB2312"/>
          <w:color w:val="auto"/>
          <w:sz w:val="32"/>
          <w:szCs w:val="32"/>
          <w:highlight w:val="none"/>
          <w:lang w:eastAsia="zh-CN"/>
        </w:rPr>
        <w:t>预算</w:t>
      </w:r>
      <w:r>
        <w:rPr>
          <w:rFonts w:hint="eastAsia" w:ascii="仿宋_GB2312" w:eastAsia="仿宋_GB2312"/>
          <w:color w:val="auto"/>
          <w:sz w:val="32"/>
          <w:szCs w:val="32"/>
          <w:highlight w:val="none"/>
        </w:rPr>
        <w:t>管理。</w:t>
      </w:r>
    </w:p>
    <w:p>
      <w:pPr>
        <w:spacing w:line="600" w:lineRule="exact"/>
        <w:ind w:firstLine="640" w:firstLineChars="200"/>
        <w:rPr>
          <w:rFonts w:ascii="黑体" w:hAnsi="黑体" w:eastAsia="黑体" w:cs="宋体"/>
          <w:color w:val="auto"/>
          <w:kern w:val="0"/>
          <w:sz w:val="32"/>
          <w:szCs w:val="32"/>
          <w:highlight w:val="none"/>
        </w:rPr>
      </w:pPr>
      <w:r>
        <w:rPr>
          <w:rFonts w:hint="eastAsia" w:ascii="黑体" w:hAnsi="黑体" w:eastAsia="黑体" w:cs="宋体"/>
          <w:color w:val="auto"/>
          <w:kern w:val="0"/>
          <w:sz w:val="32"/>
          <w:szCs w:val="32"/>
          <w:highlight w:val="none"/>
        </w:rPr>
        <w:t>六、措施建议</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lang w:eastAsia="zh-CN"/>
        </w:rPr>
        <w:t>强化对</w:t>
      </w:r>
      <w:r>
        <w:rPr>
          <w:rFonts w:hint="eastAsia" w:ascii="仿宋_GB2312" w:eastAsia="仿宋_GB2312"/>
          <w:color w:val="auto"/>
          <w:sz w:val="32"/>
          <w:szCs w:val="32"/>
          <w:highlight w:val="none"/>
        </w:rPr>
        <w:t>个别领域考核和管理，推动整体绩效目标中各项任务按照确定的时限、要求完成。</w:t>
      </w: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tbl>
      <w:tblPr>
        <w:tblStyle w:val="10"/>
        <w:tblW w:w="5000" w:type="pct"/>
        <w:tblInd w:w="0" w:type="dxa"/>
        <w:tblLayout w:type="fixed"/>
        <w:tblCellMar>
          <w:top w:w="0" w:type="dxa"/>
          <w:left w:w="108" w:type="dxa"/>
          <w:bottom w:w="0" w:type="dxa"/>
          <w:right w:w="108" w:type="dxa"/>
        </w:tblCellMar>
      </w:tblPr>
      <w:tblGrid>
        <w:gridCol w:w="433"/>
        <w:gridCol w:w="391"/>
        <w:gridCol w:w="417"/>
        <w:gridCol w:w="428"/>
        <w:gridCol w:w="54"/>
        <w:gridCol w:w="938"/>
        <w:gridCol w:w="850"/>
        <w:gridCol w:w="128"/>
        <w:gridCol w:w="14"/>
        <w:gridCol w:w="556"/>
        <w:gridCol w:w="2146"/>
        <w:gridCol w:w="669"/>
        <w:gridCol w:w="28"/>
        <w:gridCol w:w="9"/>
        <w:gridCol w:w="561"/>
        <w:gridCol w:w="48"/>
        <w:gridCol w:w="386"/>
        <w:gridCol w:w="2662"/>
        <w:gridCol w:w="23"/>
        <w:gridCol w:w="153"/>
        <w:gridCol w:w="3280"/>
      </w:tblGrid>
      <w:tr>
        <w:tblPrEx>
          <w:tblCellMar>
            <w:top w:w="0" w:type="dxa"/>
            <w:left w:w="108" w:type="dxa"/>
            <w:bottom w:w="0" w:type="dxa"/>
            <w:right w:w="108" w:type="dxa"/>
          </w:tblCellMar>
        </w:tblPrEx>
        <w:trPr>
          <w:trHeight w:val="499" w:hRule="atLeast"/>
        </w:trPr>
        <w:tc>
          <w:tcPr>
            <w:tcW w:w="5000" w:type="pct"/>
            <w:gridSpan w:val="21"/>
            <w:tcBorders>
              <w:top w:val="nil"/>
              <w:left w:val="nil"/>
              <w:bottom w:val="single" w:color="auto" w:sz="4" w:space="0"/>
              <w:right w:val="nil"/>
            </w:tcBorders>
            <w:noWrap/>
            <w:vAlign w:val="bottom"/>
          </w:tcPr>
          <w:p>
            <w:pPr>
              <w:widowControl/>
              <w:jc w:val="center"/>
              <w:rPr>
                <w:rFonts w:ascii="方正小标宋简体" w:hAnsi="黑体" w:eastAsia="方正小标宋简体" w:cs="宋体"/>
                <w:color w:val="auto"/>
                <w:kern w:val="0"/>
                <w:sz w:val="44"/>
                <w:szCs w:val="44"/>
                <w:highlight w:val="none"/>
              </w:rPr>
            </w:pPr>
            <w:r>
              <w:rPr>
                <w:rFonts w:hint="eastAsia" w:ascii="方正小标宋简体" w:hAnsi="黑体" w:eastAsia="方正小标宋简体" w:cs="宋体"/>
                <w:color w:val="auto"/>
                <w:kern w:val="0"/>
                <w:sz w:val="44"/>
                <w:szCs w:val="44"/>
                <w:highlight w:val="none"/>
              </w:rPr>
              <w:t>北京市延庆区人民法院202</w:t>
            </w:r>
            <w:r>
              <w:rPr>
                <w:rFonts w:hint="eastAsia" w:ascii="方正小标宋简体" w:hAnsi="黑体" w:eastAsia="方正小标宋简体" w:cs="宋体"/>
                <w:color w:val="auto"/>
                <w:kern w:val="0"/>
                <w:sz w:val="44"/>
                <w:szCs w:val="44"/>
                <w:highlight w:val="none"/>
                <w:lang w:val="en-US" w:eastAsia="zh-CN"/>
              </w:rPr>
              <w:t>4</w:t>
            </w:r>
            <w:r>
              <w:rPr>
                <w:rFonts w:hint="eastAsia" w:ascii="方正小标宋简体" w:hAnsi="黑体" w:eastAsia="方正小标宋简体" w:cs="宋体"/>
                <w:color w:val="auto"/>
                <w:kern w:val="0"/>
                <w:sz w:val="44"/>
                <w:szCs w:val="44"/>
                <w:highlight w:val="none"/>
              </w:rPr>
              <w:t>年部门整体绩效评价指标体系评分表</w:t>
            </w:r>
          </w:p>
        </w:tc>
      </w:tr>
      <w:tr>
        <w:tblPrEx>
          <w:tblCellMar>
            <w:top w:w="0" w:type="dxa"/>
            <w:left w:w="108" w:type="dxa"/>
            <w:bottom w:w="0" w:type="dxa"/>
            <w:right w:w="108" w:type="dxa"/>
          </w:tblCellMar>
        </w:tblPrEx>
        <w:trPr>
          <w:trHeight w:val="470" w:hRule="atLeast"/>
        </w:trPr>
        <w:tc>
          <w:tcPr>
            <w:tcW w:w="5000" w:type="pct"/>
            <w:gridSpan w:val="21"/>
            <w:tcBorders>
              <w:top w:val="single" w:color="auto" w:sz="4" w:space="0"/>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一、</w:t>
            </w:r>
            <w:r>
              <w:rPr>
                <w:rFonts w:hint="eastAsia" w:ascii="宋体" w:hAnsi="宋体" w:cs="宋体"/>
                <w:color w:val="auto"/>
                <w:kern w:val="0"/>
                <w:sz w:val="20"/>
                <w:szCs w:val="20"/>
                <w:highlight w:val="none"/>
              </w:rPr>
              <w:t>当年预算执行情况（20分）</w:t>
            </w:r>
          </w:p>
        </w:tc>
      </w:tr>
      <w:tr>
        <w:tblPrEx>
          <w:tblCellMar>
            <w:top w:w="0" w:type="dxa"/>
            <w:left w:w="108" w:type="dxa"/>
            <w:bottom w:w="0" w:type="dxa"/>
            <w:right w:w="108" w:type="dxa"/>
          </w:tblCellMar>
        </w:tblPrEx>
        <w:trPr>
          <w:trHeight w:val="660" w:hRule="atLeast"/>
        </w:trPr>
        <w:tc>
          <w:tcPr>
            <w:tcW w:w="15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一</w:t>
            </w:r>
            <w:r>
              <w:rPr>
                <w:rFonts w:ascii="宋体" w:hAnsi="宋体" w:cs="宋体"/>
                <w:color w:val="auto"/>
                <w:kern w:val="0"/>
                <w:sz w:val="20"/>
                <w:szCs w:val="20"/>
                <w:highlight w:val="none"/>
              </w:rPr>
              <w:t>级指标</w:t>
            </w:r>
            <w:r>
              <w:rPr>
                <w:rFonts w:hint="eastAsia" w:ascii="宋体" w:hAnsi="宋体" w:cs="宋体"/>
                <w:color w:val="auto"/>
                <w:kern w:val="0"/>
                <w:sz w:val="20"/>
                <w:szCs w:val="20"/>
                <w:highlight w:val="none"/>
              </w:rPr>
              <w:t>　</w:t>
            </w:r>
          </w:p>
        </w:tc>
        <w:tc>
          <w:tcPr>
            <w:tcW w:w="285" w:type="pct"/>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二</w:t>
            </w:r>
            <w:r>
              <w:rPr>
                <w:rFonts w:ascii="宋体" w:hAnsi="宋体" w:cs="宋体"/>
                <w:color w:val="auto"/>
                <w:kern w:val="0"/>
                <w:sz w:val="20"/>
                <w:szCs w:val="20"/>
                <w:highlight w:val="none"/>
              </w:rPr>
              <w:t>级指标</w:t>
            </w:r>
            <w:r>
              <w:rPr>
                <w:rFonts w:hint="eastAsia" w:ascii="宋体" w:hAnsi="宋体" w:cs="宋体"/>
                <w:color w:val="auto"/>
                <w:kern w:val="0"/>
                <w:sz w:val="20"/>
                <w:szCs w:val="20"/>
                <w:highlight w:val="none"/>
              </w:rPr>
              <w:t>　</w:t>
            </w:r>
          </w:p>
        </w:tc>
        <w:tc>
          <w:tcPr>
            <w:tcW w:w="500" w:type="pct"/>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预算数（万元）</w:t>
            </w:r>
          </w:p>
        </w:tc>
        <w:tc>
          <w:tcPr>
            <w:tcW w:w="349" w:type="pct"/>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执行数（万元）</w:t>
            </w:r>
          </w:p>
        </w:tc>
        <w:tc>
          <w:tcPr>
            <w:tcW w:w="196"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预算执行率</w:t>
            </w:r>
          </w:p>
        </w:tc>
        <w:tc>
          <w:tcPr>
            <w:tcW w:w="757"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分值</w:t>
            </w:r>
          </w:p>
        </w:tc>
        <w:tc>
          <w:tcPr>
            <w:tcW w:w="600" w:type="pct"/>
            <w:gridSpan w:val="6"/>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得分</w:t>
            </w:r>
          </w:p>
        </w:tc>
        <w:tc>
          <w:tcPr>
            <w:tcW w:w="1001" w:type="pct"/>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指标解释</w:t>
            </w:r>
          </w:p>
        </w:tc>
        <w:tc>
          <w:tcPr>
            <w:tcW w:w="1157"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评分标准</w:t>
            </w:r>
          </w:p>
        </w:tc>
      </w:tr>
      <w:tr>
        <w:tblPrEx>
          <w:tblCellMar>
            <w:top w:w="0" w:type="dxa"/>
            <w:left w:w="108" w:type="dxa"/>
            <w:bottom w:w="0" w:type="dxa"/>
            <w:right w:w="108" w:type="dxa"/>
          </w:tblCellMar>
        </w:tblPrEx>
        <w:trPr>
          <w:trHeight w:val="630" w:hRule="atLeast"/>
        </w:trPr>
        <w:tc>
          <w:tcPr>
            <w:tcW w:w="152" w:type="pct"/>
            <w:vMerge w:val="restart"/>
            <w:tcBorders>
              <w:top w:val="nil"/>
              <w:left w:val="single" w:color="auto" w:sz="4" w:space="0"/>
              <w:bottom w:val="single" w:color="000000"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当年预算执行情况（20）</w:t>
            </w:r>
          </w:p>
        </w:tc>
        <w:tc>
          <w:tcPr>
            <w:tcW w:w="285" w:type="pct"/>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资金总体</w:t>
            </w:r>
          </w:p>
        </w:tc>
        <w:tc>
          <w:tcPr>
            <w:tcW w:w="500" w:type="pct"/>
            <w:gridSpan w:val="3"/>
            <w:tcBorders>
              <w:top w:val="single" w:color="auto" w:sz="4" w:space="0"/>
              <w:left w:val="single" w:color="auto" w:sz="4" w:space="0"/>
              <w:bottom w:val="single" w:color="auto" w:sz="4" w:space="0"/>
              <w:right w:val="single" w:color="auto" w:sz="4" w:space="0"/>
            </w:tcBorders>
            <w:noWrap/>
            <w:vAlign w:val="center"/>
          </w:tcPr>
          <w:p>
            <w:pPr>
              <w:widowControl/>
              <w:ind w:firstLine="200" w:firstLineChars="100"/>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12810.97</w:t>
            </w:r>
          </w:p>
        </w:tc>
        <w:tc>
          <w:tcPr>
            <w:tcW w:w="349" w:type="pct"/>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12366.72</w:t>
            </w:r>
            <w:r>
              <w:rPr>
                <w:rFonts w:hint="eastAsia" w:ascii="宋体" w:hAnsi="宋体" w:cs="宋体"/>
                <w:color w:val="auto"/>
                <w:kern w:val="0"/>
                <w:sz w:val="20"/>
                <w:szCs w:val="20"/>
                <w:highlight w:val="none"/>
              </w:rPr>
              <w:t>　</w:t>
            </w:r>
          </w:p>
        </w:tc>
        <w:tc>
          <w:tcPr>
            <w:tcW w:w="196"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96.53</w:t>
            </w:r>
            <w:r>
              <w:rPr>
                <w:rFonts w:hint="eastAsia" w:ascii="宋体" w:hAnsi="宋体" w:cs="宋体"/>
                <w:color w:val="auto"/>
                <w:kern w:val="0"/>
                <w:sz w:val="20"/>
                <w:szCs w:val="20"/>
                <w:highlight w:val="none"/>
              </w:rPr>
              <w:t>%　</w:t>
            </w:r>
          </w:p>
        </w:tc>
        <w:tc>
          <w:tcPr>
            <w:tcW w:w="757"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w:t>
            </w:r>
          </w:p>
        </w:tc>
        <w:tc>
          <w:tcPr>
            <w:tcW w:w="600" w:type="pct"/>
            <w:gridSpan w:val="6"/>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cs="宋体"/>
                <w:color w:val="auto"/>
                <w:kern w:val="0"/>
                <w:sz w:val="20"/>
                <w:szCs w:val="20"/>
                <w:highlight w:val="none"/>
                <w:lang w:val="en-US"/>
              </w:rPr>
            </w:pPr>
            <w:r>
              <w:rPr>
                <w:rFonts w:hint="eastAsia" w:ascii="宋体" w:hAnsi="宋体" w:cs="宋体"/>
                <w:color w:val="auto"/>
                <w:kern w:val="0"/>
                <w:sz w:val="20"/>
                <w:szCs w:val="20"/>
                <w:highlight w:val="none"/>
                <w:lang w:val="en-US" w:eastAsia="zh-CN"/>
              </w:rPr>
              <w:t>19.31</w:t>
            </w:r>
          </w:p>
        </w:tc>
        <w:tc>
          <w:tcPr>
            <w:tcW w:w="1001" w:type="pct"/>
            <w:gridSpan w:val="3"/>
            <w:vMerge w:val="restart"/>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部门全年执行数与全年预算数的比率。</w:t>
            </w:r>
          </w:p>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资金总体=基本支出+项目支出+其他</w:t>
            </w:r>
          </w:p>
        </w:tc>
        <w:tc>
          <w:tcPr>
            <w:tcW w:w="1157" w:type="pct"/>
            <w:vMerge w:val="restart"/>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①得分一档最高不能超过该指标分值上限（20分）。</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②该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tc>
      </w:tr>
      <w:tr>
        <w:tblPrEx>
          <w:tblCellMar>
            <w:top w:w="0" w:type="dxa"/>
            <w:left w:w="108" w:type="dxa"/>
            <w:bottom w:w="0" w:type="dxa"/>
            <w:right w:w="108" w:type="dxa"/>
          </w:tblCellMar>
        </w:tblPrEx>
        <w:trPr>
          <w:trHeight w:val="1626" w:hRule="atLeast"/>
        </w:trPr>
        <w:tc>
          <w:tcPr>
            <w:tcW w:w="152" w:type="pct"/>
            <w:vMerge w:val="continue"/>
            <w:tcBorders>
              <w:top w:val="nil"/>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285" w:type="pct"/>
            <w:gridSpan w:val="2"/>
            <w:tcBorders>
              <w:top w:val="single" w:color="auto" w:sz="4" w:space="0"/>
              <w:left w:val="single" w:color="auto" w:sz="4" w:space="0"/>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基本支出</w:t>
            </w:r>
          </w:p>
        </w:tc>
        <w:tc>
          <w:tcPr>
            <w:tcW w:w="500" w:type="pct"/>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10458.45</w:t>
            </w:r>
          </w:p>
        </w:tc>
        <w:tc>
          <w:tcPr>
            <w:tcW w:w="349" w:type="pct"/>
            <w:gridSpan w:val="3"/>
            <w:tcBorders>
              <w:top w:val="single" w:color="auto" w:sz="4" w:space="0"/>
              <w:left w:val="nil"/>
              <w:bottom w:val="single" w:color="auto" w:sz="4" w:space="0"/>
              <w:right w:val="single" w:color="auto" w:sz="4" w:space="0"/>
            </w:tcBorders>
            <w:noWrap/>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10135.35</w:t>
            </w:r>
          </w:p>
        </w:tc>
        <w:tc>
          <w:tcPr>
            <w:tcW w:w="196"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757" w:type="pct"/>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600" w:type="pct"/>
            <w:gridSpan w:val="6"/>
            <w:vMerge w:val="continue"/>
            <w:tcBorders>
              <w:top w:val="single" w:color="auto" w:sz="4" w:space="0"/>
              <w:left w:val="nil"/>
              <w:bottom w:val="single" w:color="auto" w:sz="4" w:space="0"/>
              <w:right w:val="nil"/>
            </w:tcBorders>
            <w:noWrap/>
            <w:vAlign w:val="center"/>
          </w:tcPr>
          <w:p>
            <w:pPr>
              <w:widowControl/>
              <w:jc w:val="left"/>
              <w:rPr>
                <w:rFonts w:ascii="宋体" w:hAnsi="宋体" w:cs="宋体"/>
                <w:color w:val="auto"/>
                <w:kern w:val="0"/>
                <w:sz w:val="20"/>
                <w:szCs w:val="20"/>
                <w:highlight w:val="none"/>
              </w:rPr>
            </w:pPr>
          </w:p>
        </w:tc>
        <w:tc>
          <w:tcPr>
            <w:tcW w:w="1001" w:type="pct"/>
            <w:gridSpan w:val="3"/>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c>
          <w:tcPr>
            <w:tcW w:w="1157" w:type="pct"/>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615" w:hRule="atLeast"/>
        </w:trPr>
        <w:tc>
          <w:tcPr>
            <w:tcW w:w="152" w:type="pct"/>
            <w:vMerge w:val="continue"/>
            <w:tcBorders>
              <w:top w:val="nil"/>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285" w:type="pct"/>
            <w:gridSpan w:val="2"/>
            <w:tcBorders>
              <w:top w:val="single" w:color="auto" w:sz="4" w:space="0"/>
              <w:left w:val="single" w:color="auto" w:sz="4" w:space="0"/>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项目支出</w:t>
            </w:r>
          </w:p>
        </w:tc>
        <w:tc>
          <w:tcPr>
            <w:tcW w:w="500" w:type="pct"/>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2343.52</w:t>
            </w:r>
          </w:p>
        </w:tc>
        <w:tc>
          <w:tcPr>
            <w:tcW w:w="349" w:type="pct"/>
            <w:gridSpan w:val="3"/>
            <w:tcBorders>
              <w:top w:val="single" w:color="auto" w:sz="4" w:space="0"/>
              <w:left w:val="nil"/>
              <w:bottom w:val="single" w:color="auto" w:sz="4" w:space="0"/>
              <w:right w:val="single" w:color="auto" w:sz="4" w:space="0"/>
            </w:tcBorders>
            <w:noWrap/>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2231.37</w:t>
            </w:r>
          </w:p>
        </w:tc>
        <w:tc>
          <w:tcPr>
            <w:tcW w:w="196" w:type="pct"/>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757" w:type="pct"/>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600" w:type="pct"/>
            <w:gridSpan w:val="6"/>
            <w:vMerge w:val="continue"/>
            <w:tcBorders>
              <w:top w:val="single" w:color="auto" w:sz="4" w:space="0"/>
              <w:left w:val="nil"/>
              <w:bottom w:val="single" w:color="auto" w:sz="4" w:space="0"/>
              <w:right w:val="nil"/>
            </w:tcBorders>
            <w:noWrap/>
            <w:vAlign w:val="center"/>
          </w:tcPr>
          <w:p>
            <w:pPr>
              <w:widowControl/>
              <w:jc w:val="left"/>
              <w:rPr>
                <w:rFonts w:ascii="宋体" w:hAnsi="宋体" w:cs="宋体"/>
                <w:color w:val="auto"/>
                <w:kern w:val="0"/>
                <w:sz w:val="20"/>
                <w:szCs w:val="20"/>
                <w:highlight w:val="none"/>
              </w:rPr>
            </w:pPr>
          </w:p>
        </w:tc>
        <w:tc>
          <w:tcPr>
            <w:tcW w:w="1001" w:type="pct"/>
            <w:gridSpan w:val="3"/>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c>
          <w:tcPr>
            <w:tcW w:w="1157" w:type="pct"/>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569" w:hRule="atLeast"/>
        </w:trPr>
        <w:tc>
          <w:tcPr>
            <w:tcW w:w="5000" w:type="pct"/>
            <w:gridSpan w:val="21"/>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二</w:t>
            </w:r>
            <w:r>
              <w:rPr>
                <w:rFonts w:ascii="宋体" w:hAnsi="宋体" w:cs="宋体"/>
                <w:color w:val="auto"/>
                <w:kern w:val="0"/>
                <w:sz w:val="18"/>
                <w:szCs w:val="18"/>
                <w:highlight w:val="none"/>
              </w:rPr>
              <w:t>、</w:t>
            </w:r>
            <w:r>
              <w:rPr>
                <w:rFonts w:hint="eastAsia" w:ascii="宋体" w:hAnsi="宋体" w:cs="宋体"/>
                <w:color w:val="auto"/>
                <w:kern w:val="0"/>
                <w:sz w:val="20"/>
                <w:szCs w:val="20"/>
                <w:highlight w:val="none"/>
              </w:rPr>
              <w:t>整体绩效目标实现情况（60分）</w:t>
            </w:r>
          </w:p>
        </w:tc>
      </w:tr>
      <w:tr>
        <w:tblPrEx>
          <w:tblCellMar>
            <w:top w:w="0" w:type="dxa"/>
            <w:left w:w="108" w:type="dxa"/>
            <w:bottom w:w="0" w:type="dxa"/>
            <w:right w:w="108" w:type="dxa"/>
          </w:tblCellMar>
        </w:tblPrEx>
        <w:trPr>
          <w:trHeight w:val="499" w:hRule="atLeast"/>
        </w:trPr>
        <w:tc>
          <w:tcPr>
            <w:tcW w:w="15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一</w:t>
            </w:r>
            <w:r>
              <w:rPr>
                <w:rFonts w:ascii="宋体" w:hAnsi="宋体" w:cs="宋体"/>
                <w:color w:val="auto"/>
                <w:kern w:val="0"/>
                <w:sz w:val="20"/>
                <w:szCs w:val="20"/>
                <w:highlight w:val="none"/>
              </w:rPr>
              <w:t>级指标</w:t>
            </w:r>
          </w:p>
        </w:tc>
        <w:tc>
          <w:tcPr>
            <w:tcW w:w="137"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二</w:t>
            </w:r>
            <w:r>
              <w:rPr>
                <w:rFonts w:ascii="宋体" w:hAnsi="宋体" w:cs="宋体"/>
                <w:color w:val="auto"/>
                <w:kern w:val="0"/>
                <w:sz w:val="20"/>
                <w:szCs w:val="20"/>
                <w:highlight w:val="none"/>
              </w:rPr>
              <w:t>级指标</w:t>
            </w:r>
            <w:r>
              <w:rPr>
                <w:rFonts w:hint="eastAsia" w:ascii="宋体" w:hAnsi="宋体" w:cs="宋体"/>
                <w:color w:val="auto"/>
                <w:kern w:val="0"/>
                <w:sz w:val="20"/>
                <w:szCs w:val="20"/>
                <w:highlight w:val="none"/>
              </w:rPr>
              <w:t>　</w:t>
            </w:r>
          </w:p>
        </w:tc>
        <w:tc>
          <w:tcPr>
            <w:tcW w:w="317" w:type="pct"/>
            <w:gridSpan w:val="3"/>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三</w:t>
            </w:r>
            <w:r>
              <w:rPr>
                <w:rFonts w:ascii="宋体" w:hAnsi="宋体" w:cs="宋体"/>
                <w:color w:val="auto"/>
                <w:kern w:val="0"/>
                <w:sz w:val="20"/>
                <w:szCs w:val="20"/>
                <w:highlight w:val="none"/>
              </w:rPr>
              <w:t>级指标</w:t>
            </w:r>
            <w:r>
              <w:rPr>
                <w:rFonts w:hint="eastAsia" w:ascii="宋体" w:hAnsi="宋体" w:cs="宋体"/>
                <w:color w:val="auto"/>
                <w:kern w:val="0"/>
                <w:sz w:val="20"/>
                <w:szCs w:val="20"/>
                <w:highlight w:val="none"/>
              </w:rPr>
              <w:t>　</w:t>
            </w:r>
          </w:p>
        </w:tc>
        <w:tc>
          <w:tcPr>
            <w:tcW w:w="675" w:type="pct"/>
            <w:gridSpan w:val="3"/>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指标值</w:t>
            </w:r>
          </w:p>
        </w:tc>
        <w:tc>
          <w:tcPr>
            <w:tcW w:w="958" w:type="pct"/>
            <w:gridSpan w:val="3"/>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完成值</w:t>
            </w:r>
          </w:p>
        </w:tc>
        <w:tc>
          <w:tcPr>
            <w:tcW w:w="235"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分值</w:t>
            </w:r>
          </w:p>
        </w:tc>
        <w:tc>
          <w:tcPr>
            <w:tcW w:w="227" w:type="pct"/>
            <w:gridSpan w:val="4"/>
            <w:tcBorders>
              <w:top w:val="single" w:color="auto" w:sz="4" w:space="0"/>
              <w:left w:val="nil"/>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得分</w:t>
            </w:r>
          </w:p>
        </w:tc>
        <w:tc>
          <w:tcPr>
            <w:tcW w:w="1075" w:type="pct"/>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Cs/>
                <w:color w:val="auto"/>
                <w:kern w:val="0"/>
                <w:sz w:val="18"/>
                <w:szCs w:val="18"/>
                <w:highlight w:val="none"/>
              </w:rPr>
            </w:pPr>
            <w:r>
              <w:rPr>
                <w:rFonts w:hint="eastAsia" w:ascii="宋体" w:hAnsi="宋体" w:cs="宋体"/>
                <w:bCs/>
                <w:color w:val="auto"/>
                <w:kern w:val="0"/>
                <w:sz w:val="18"/>
                <w:szCs w:val="18"/>
                <w:highlight w:val="none"/>
              </w:rPr>
              <w:t>指标</w:t>
            </w:r>
            <w:r>
              <w:rPr>
                <w:rFonts w:ascii="宋体" w:hAnsi="宋体" w:cs="宋体"/>
                <w:bCs/>
                <w:color w:val="auto"/>
                <w:kern w:val="0"/>
                <w:sz w:val="18"/>
                <w:szCs w:val="18"/>
                <w:highlight w:val="none"/>
              </w:rPr>
              <w:t>解释</w:t>
            </w:r>
          </w:p>
        </w:tc>
        <w:tc>
          <w:tcPr>
            <w:tcW w:w="1219" w:type="pct"/>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评</w:t>
            </w:r>
            <w:r>
              <w:rPr>
                <w:rFonts w:ascii="宋体" w:hAnsi="宋体" w:cs="宋体"/>
                <w:color w:val="auto"/>
                <w:kern w:val="0"/>
                <w:sz w:val="18"/>
                <w:szCs w:val="18"/>
                <w:highlight w:val="none"/>
              </w:rPr>
              <w:t>分标准</w:t>
            </w:r>
          </w:p>
        </w:tc>
      </w:tr>
      <w:tr>
        <w:tblPrEx>
          <w:tblCellMar>
            <w:top w:w="0" w:type="dxa"/>
            <w:left w:w="108" w:type="dxa"/>
            <w:bottom w:w="0" w:type="dxa"/>
            <w:right w:w="108" w:type="dxa"/>
          </w:tblCellMar>
        </w:tblPrEx>
        <w:trPr>
          <w:trHeight w:val="1196" w:hRule="atLeast"/>
        </w:trPr>
        <w:tc>
          <w:tcPr>
            <w:tcW w:w="152"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整体绩效目标实现情况（60）</w:t>
            </w:r>
          </w:p>
        </w:tc>
        <w:tc>
          <w:tcPr>
            <w:tcW w:w="137" w:type="pct"/>
            <w:vMerge w:val="restart"/>
            <w:tcBorders>
              <w:top w:val="single" w:color="auto" w:sz="4" w:space="0"/>
              <w:left w:val="nil"/>
              <w:right w:val="single" w:color="auto" w:sz="4" w:space="0"/>
            </w:tcBorders>
            <w:noWrap/>
            <w:vAlign w:val="center"/>
          </w:tcPr>
          <w:p>
            <w:pPr>
              <w:widowControl/>
              <w:jc w:val="center"/>
              <w:rPr>
                <w:rFonts w:ascii="宋体" w:hAnsi="宋体" w:cs="宋体"/>
                <w:color w:val="auto"/>
                <w:kern w:val="0"/>
                <w:sz w:val="20"/>
                <w:szCs w:val="20"/>
                <w:highlight w:val="none"/>
              </w:rPr>
            </w:pPr>
          </w:p>
          <w:p>
            <w:pP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产出（30）</w:t>
            </w:r>
          </w:p>
        </w:tc>
        <w:tc>
          <w:tcPr>
            <w:tcW w:w="317" w:type="pct"/>
            <w:gridSpan w:val="3"/>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p>
          <w:p>
            <w:pP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数量指标：结案数</w:t>
            </w:r>
          </w:p>
        </w:tc>
        <w:tc>
          <w:tcPr>
            <w:tcW w:w="675" w:type="pct"/>
            <w:gridSpan w:val="3"/>
            <w:tcBorders>
              <w:top w:val="single" w:color="auto" w:sz="4" w:space="0"/>
              <w:left w:val="nil"/>
              <w:bottom w:val="single" w:color="auto" w:sz="4" w:space="0"/>
              <w:right w:val="single" w:color="auto" w:sz="4" w:space="0"/>
            </w:tcBorders>
            <w:noWrap/>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预计数</w:t>
            </w:r>
          </w:p>
        </w:tc>
        <w:tc>
          <w:tcPr>
            <w:tcW w:w="958" w:type="pct"/>
            <w:gridSpan w:val="3"/>
            <w:tcBorders>
              <w:top w:val="single" w:color="auto" w:sz="4" w:space="0"/>
              <w:left w:val="nil"/>
              <w:bottom w:val="single" w:color="auto" w:sz="4" w:space="0"/>
              <w:right w:val="single" w:color="auto" w:sz="4" w:space="0"/>
            </w:tcBorders>
            <w:noWrap/>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已完成</w:t>
            </w:r>
          </w:p>
        </w:tc>
        <w:tc>
          <w:tcPr>
            <w:tcW w:w="235"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w:t>
            </w:r>
          </w:p>
          <w:p>
            <w:pPr>
              <w:jc w:val="center"/>
              <w:rPr>
                <w:rFonts w:ascii="宋体" w:hAnsi="宋体" w:cs="宋体"/>
                <w:color w:val="auto"/>
                <w:kern w:val="0"/>
                <w:sz w:val="20"/>
                <w:szCs w:val="20"/>
                <w:highlight w:val="none"/>
              </w:rPr>
            </w:pPr>
          </w:p>
        </w:tc>
        <w:tc>
          <w:tcPr>
            <w:tcW w:w="227" w:type="pct"/>
            <w:gridSpan w:val="4"/>
            <w:tcBorders>
              <w:top w:val="single" w:color="auto" w:sz="4" w:space="0"/>
              <w:left w:val="nil"/>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w:t>
            </w:r>
          </w:p>
          <w:p>
            <w:pP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1075" w:type="pct"/>
            <w:gridSpan w:val="2"/>
            <w:vMerge w:val="restart"/>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b/>
                <w:bCs/>
                <w:color w:val="auto"/>
                <w:kern w:val="0"/>
                <w:sz w:val="18"/>
                <w:szCs w:val="18"/>
                <w:highlight w:val="none"/>
              </w:rPr>
              <w:t>产出数量</w:t>
            </w:r>
            <w:r>
              <w:rPr>
                <w:rFonts w:hint="eastAsia" w:ascii="宋体" w:hAnsi="宋体" w:cs="宋体"/>
                <w:color w:val="auto"/>
                <w:kern w:val="0"/>
                <w:sz w:val="18"/>
                <w:szCs w:val="18"/>
                <w:highlight w:val="none"/>
              </w:rPr>
              <w:t>：计划完成率=（实际完成工作数/计划工作数）×100%。实际完成工作数：一定时期（年度或规划期）内部门（单位）实际完成工作任务的数量。计划工作数：部门（单位）整体绩效目标确定的一定时期（年度或规划期）内预计完成工作任务的数量。</w:t>
            </w:r>
            <w:r>
              <w:rPr>
                <w:rFonts w:hint="eastAsia" w:ascii="宋体" w:hAnsi="宋体" w:cs="宋体"/>
                <w:b/>
                <w:bCs/>
                <w:color w:val="auto"/>
                <w:kern w:val="0"/>
                <w:sz w:val="18"/>
                <w:szCs w:val="18"/>
                <w:highlight w:val="none"/>
              </w:rPr>
              <w:t>产出质量</w:t>
            </w:r>
            <w:r>
              <w:rPr>
                <w:rFonts w:hint="eastAsia" w:ascii="宋体" w:hAnsi="宋体" w:cs="宋体"/>
                <w:color w:val="auto"/>
                <w:kern w:val="0"/>
                <w:sz w:val="18"/>
                <w:szCs w:val="18"/>
                <w:highlight w:val="none"/>
              </w:rPr>
              <w:t>：质量达标率=质量达标工作数/实际完成工作数×100%。质量达标工作数：一定时期（年度或规划期）内部门（单位）实际完成工作数中达到部门绩效目标要求（绩效标准值）的工作任务数量。</w:t>
            </w:r>
            <w:r>
              <w:rPr>
                <w:rFonts w:hint="eastAsia" w:ascii="宋体" w:hAnsi="宋体" w:cs="宋体"/>
                <w:b/>
                <w:bCs/>
                <w:color w:val="auto"/>
                <w:kern w:val="0"/>
                <w:sz w:val="18"/>
                <w:szCs w:val="18"/>
                <w:highlight w:val="none"/>
              </w:rPr>
              <w:t>产出进度：</w:t>
            </w:r>
            <w:r>
              <w:rPr>
                <w:rFonts w:hint="eastAsia" w:ascii="宋体" w:hAnsi="宋体" w:cs="宋体"/>
                <w:color w:val="auto"/>
                <w:kern w:val="0"/>
                <w:sz w:val="18"/>
                <w:szCs w:val="18"/>
                <w:highlight w:val="none"/>
              </w:rPr>
              <w:t>按时完成率=（按时完成工作数/实际完成工作数）×100%。按时完成工作数：部门（单位）按照整体绩效目标确定的时限实际完成的工作任务数量。</w:t>
            </w:r>
            <w:r>
              <w:rPr>
                <w:rFonts w:hint="eastAsia" w:ascii="宋体" w:hAnsi="宋体" w:cs="宋体"/>
                <w:b/>
                <w:bCs/>
                <w:color w:val="auto"/>
                <w:kern w:val="0"/>
                <w:sz w:val="18"/>
                <w:szCs w:val="18"/>
                <w:highlight w:val="none"/>
              </w:rPr>
              <w:t>产出成本</w:t>
            </w:r>
            <w:r>
              <w:rPr>
                <w:rFonts w:hint="eastAsia" w:ascii="宋体" w:hAnsi="宋体" w:cs="宋体"/>
                <w:color w:val="auto"/>
                <w:kern w:val="0"/>
                <w:sz w:val="18"/>
                <w:szCs w:val="18"/>
                <w:highlight w:val="none"/>
              </w:rPr>
              <w:t>：单位产出相对于上一年度的节约额；②单位产出相对于市场同类产出的节约额；③部门公用经费的控制情况。</w:t>
            </w:r>
          </w:p>
        </w:tc>
        <w:tc>
          <w:tcPr>
            <w:tcW w:w="1219" w:type="pct"/>
            <w:gridSpan w:val="3"/>
            <w:vMerge w:val="restart"/>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部门根据本单位情况自行确定并选择产出指标，合理确定各项指标权重。可量化的指标按照比率*单项指标分值即为该指标得分。如果不能定量评价，则以定性的方式进行自评。</w:t>
            </w:r>
          </w:p>
        </w:tc>
      </w:tr>
      <w:tr>
        <w:tblPrEx>
          <w:tblCellMar>
            <w:top w:w="0" w:type="dxa"/>
            <w:left w:w="108" w:type="dxa"/>
            <w:bottom w:w="0" w:type="dxa"/>
            <w:right w:w="108" w:type="dxa"/>
          </w:tblCellMar>
        </w:tblPrEx>
        <w:trPr>
          <w:trHeight w:val="1130" w:hRule="atLeast"/>
        </w:trPr>
        <w:tc>
          <w:tcPr>
            <w:tcW w:w="152" w:type="pct"/>
            <w:vMerge w:val="continue"/>
            <w:tcBorders>
              <w:top w:val="nil"/>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137" w:type="pct"/>
            <w:vMerge w:val="continue"/>
            <w:tcBorders>
              <w:left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317" w:type="pct"/>
            <w:gridSpan w:val="3"/>
            <w:tcBorders>
              <w:top w:val="single" w:color="auto" w:sz="4" w:space="0"/>
              <w:left w:val="nil"/>
              <w:bottom w:val="single" w:color="auto" w:sz="4" w:space="0"/>
              <w:right w:val="single" w:color="auto" w:sz="4" w:space="0"/>
            </w:tcBorders>
            <w:noWrap/>
            <w:vAlign w:val="center"/>
          </w:tcPr>
          <w:p>
            <w:pPr>
              <w:widowControl/>
              <w:rPr>
                <w:rFonts w:ascii="宋体" w:hAnsi="宋体" w:cs="宋体"/>
                <w:color w:val="auto"/>
                <w:kern w:val="0"/>
                <w:sz w:val="20"/>
                <w:szCs w:val="20"/>
                <w:highlight w:val="none"/>
              </w:rPr>
            </w:pPr>
            <w:r>
              <w:rPr>
                <w:rFonts w:hint="eastAsia" w:ascii="宋体" w:hAnsi="宋体" w:cs="宋体"/>
                <w:color w:val="auto"/>
                <w:kern w:val="0"/>
                <w:sz w:val="20"/>
                <w:szCs w:val="20"/>
                <w:highlight w:val="none"/>
              </w:rPr>
              <w:t>质量指标：</w:t>
            </w:r>
          </w:p>
          <w:p>
            <w:pPr>
              <w:widowControl/>
              <w:rPr>
                <w:rFonts w:hint="eastAsia" w:ascii="宋体" w:hAnsi="宋体" w:eastAsia="宋体" w:cs="宋体"/>
                <w:color w:val="auto"/>
                <w:kern w:val="0"/>
                <w:sz w:val="20"/>
                <w:szCs w:val="20"/>
                <w:highlight w:val="none"/>
                <w:lang w:eastAsia="zh-CN"/>
              </w:rPr>
            </w:pPr>
            <w:r>
              <w:rPr>
                <w:rFonts w:hint="eastAsia"/>
                <w:color w:val="auto"/>
                <w:sz w:val="20"/>
                <w:szCs w:val="20"/>
                <w:highlight w:val="none"/>
                <w:lang w:eastAsia="zh-CN"/>
              </w:rPr>
              <w:t>审判质效（案件比）</w:t>
            </w:r>
          </w:p>
        </w:tc>
        <w:tc>
          <w:tcPr>
            <w:tcW w:w="675" w:type="pct"/>
            <w:gridSpan w:val="3"/>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1：1.41-1：1.54</w:t>
            </w:r>
          </w:p>
        </w:tc>
        <w:tc>
          <w:tcPr>
            <w:tcW w:w="958" w:type="pct"/>
            <w:gridSpan w:val="3"/>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1：1.45</w:t>
            </w:r>
          </w:p>
        </w:tc>
        <w:tc>
          <w:tcPr>
            <w:tcW w:w="235" w:type="pct"/>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w:t>
            </w:r>
          </w:p>
        </w:tc>
        <w:tc>
          <w:tcPr>
            <w:tcW w:w="227" w:type="pct"/>
            <w:gridSpan w:val="4"/>
            <w:tcBorders>
              <w:top w:val="single" w:color="auto" w:sz="4" w:space="0"/>
              <w:left w:val="nil"/>
              <w:bottom w:val="single" w:color="auto" w:sz="4" w:space="0"/>
              <w:right w:val="nil"/>
            </w:tcBorders>
            <w:noWrap/>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8</w:t>
            </w:r>
          </w:p>
        </w:tc>
        <w:tc>
          <w:tcPr>
            <w:tcW w:w="1075" w:type="pct"/>
            <w:gridSpan w:val="2"/>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c>
          <w:tcPr>
            <w:tcW w:w="1219" w:type="pct"/>
            <w:gridSpan w:val="3"/>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1258" w:hRule="atLeast"/>
        </w:trPr>
        <w:tc>
          <w:tcPr>
            <w:tcW w:w="152" w:type="pct"/>
            <w:vMerge w:val="continue"/>
            <w:tcBorders>
              <w:top w:val="nil"/>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137" w:type="pct"/>
            <w:vMerge w:val="continue"/>
            <w:tcBorders>
              <w:left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317"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进度指标：</w:t>
            </w:r>
          </w:p>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平均结案时间（天）</w:t>
            </w:r>
          </w:p>
        </w:tc>
        <w:tc>
          <w:tcPr>
            <w:tcW w:w="675" w:type="pct"/>
            <w:gridSpan w:val="3"/>
            <w:tcBorders>
              <w:top w:val="nil"/>
              <w:left w:val="nil"/>
              <w:bottom w:val="single" w:color="auto" w:sz="4" w:space="0"/>
              <w:right w:val="single" w:color="auto" w:sz="4" w:space="0"/>
            </w:tcBorders>
            <w:noWrap/>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eastAsia="zh-CN"/>
              </w:rPr>
              <w:t>预计数</w:t>
            </w:r>
          </w:p>
        </w:tc>
        <w:tc>
          <w:tcPr>
            <w:tcW w:w="958"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已完成</w:t>
            </w:r>
            <w:r>
              <w:rPr>
                <w:rFonts w:hint="eastAsia" w:ascii="宋体" w:hAnsi="宋体" w:cs="宋体"/>
                <w:color w:val="auto"/>
                <w:kern w:val="0"/>
                <w:sz w:val="20"/>
                <w:szCs w:val="20"/>
                <w:highlight w:val="none"/>
              </w:rPr>
              <w:t>　</w:t>
            </w:r>
          </w:p>
        </w:tc>
        <w:tc>
          <w:tcPr>
            <w:tcW w:w="235"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w:t>
            </w:r>
          </w:p>
        </w:tc>
        <w:tc>
          <w:tcPr>
            <w:tcW w:w="227" w:type="pct"/>
            <w:gridSpan w:val="4"/>
            <w:tcBorders>
              <w:top w:val="nil"/>
              <w:left w:val="nil"/>
              <w:bottom w:val="single" w:color="auto" w:sz="4" w:space="0"/>
              <w:right w:val="nil"/>
            </w:tcBorders>
            <w:noWrap/>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8</w:t>
            </w:r>
          </w:p>
        </w:tc>
        <w:tc>
          <w:tcPr>
            <w:tcW w:w="1075" w:type="pct"/>
            <w:gridSpan w:val="2"/>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c>
          <w:tcPr>
            <w:tcW w:w="1219" w:type="pct"/>
            <w:gridSpan w:val="3"/>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975" w:hRule="atLeast"/>
        </w:trPr>
        <w:tc>
          <w:tcPr>
            <w:tcW w:w="152" w:type="pct"/>
            <w:vMerge w:val="continue"/>
            <w:tcBorders>
              <w:top w:val="nil"/>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137" w:type="pct"/>
            <w:vMerge w:val="continue"/>
            <w:tcBorders>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317" w:type="pct"/>
            <w:gridSpan w:val="3"/>
            <w:tcBorders>
              <w:top w:val="nil"/>
              <w:left w:val="nil"/>
              <w:bottom w:val="single" w:color="auto" w:sz="4" w:space="0"/>
              <w:right w:val="single" w:color="auto" w:sz="4" w:space="0"/>
            </w:tcBorders>
            <w:noWrap/>
            <w:vAlign w:val="center"/>
          </w:tcPr>
          <w:p>
            <w:pPr>
              <w:widowControl/>
              <w:rPr>
                <w:rFonts w:ascii="宋体" w:hAnsi="宋体" w:cs="宋体"/>
                <w:color w:val="auto"/>
                <w:kern w:val="0"/>
                <w:sz w:val="20"/>
                <w:szCs w:val="20"/>
                <w:highlight w:val="none"/>
              </w:rPr>
            </w:pPr>
            <w:r>
              <w:rPr>
                <w:rFonts w:hint="eastAsia" w:ascii="宋体" w:hAnsi="宋体" w:cs="宋体"/>
                <w:color w:val="auto"/>
                <w:kern w:val="0"/>
                <w:sz w:val="20"/>
                <w:szCs w:val="20"/>
                <w:highlight w:val="none"/>
              </w:rPr>
              <w:t>成本指标：</w:t>
            </w:r>
          </w:p>
          <w:p>
            <w:pPr>
              <w:widowControl/>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rPr>
              <w:t>全口径案件成本</w:t>
            </w:r>
            <w:r>
              <w:rPr>
                <w:rFonts w:hint="eastAsia" w:ascii="宋体" w:hAnsi="宋体" w:cs="宋体"/>
                <w:color w:val="auto"/>
                <w:kern w:val="0"/>
                <w:sz w:val="20"/>
                <w:szCs w:val="20"/>
                <w:highlight w:val="none"/>
                <w:lang w:eastAsia="zh-CN"/>
              </w:rPr>
              <w:t>（万元）</w:t>
            </w:r>
          </w:p>
        </w:tc>
        <w:tc>
          <w:tcPr>
            <w:tcW w:w="675"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预计数</w:t>
            </w:r>
          </w:p>
        </w:tc>
        <w:tc>
          <w:tcPr>
            <w:tcW w:w="958"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eastAsia="zh-CN"/>
              </w:rPr>
              <w:t>已完成</w:t>
            </w:r>
          </w:p>
        </w:tc>
        <w:tc>
          <w:tcPr>
            <w:tcW w:w="235"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w:t>
            </w:r>
          </w:p>
        </w:tc>
        <w:tc>
          <w:tcPr>
            <w:tcW w:w="227" w:type="pct"/>
            <w:gridSpan w:val="4"/>
            <w:tcBorders>
              <w:top w:val="nil"/>
              <w:left w:val="nil"/>
              <w:bottom w:val="single" w:color="auto" w:sz="4" w:space="0"/>
              <w:right w:val="nil"/>
            </w:tcBorders>
            <w:noWrap/>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lang w:val="en-US" w:eastAsia="zh-CN"/>
              </w:rPr>
              <w:t>7</w:t>
            </w:r>
          </w:p>
        </w:tc>
        <w:tc>
          <w:tcPr>
            <w:tcW w:w="1075" w:type="pct"/>
            <w:gridSpan w:val="2"/>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c>
          <w:tcPr>
            <w:tcW w:w="1219" w:type="pct"/>
            <w:gridSpan w:val="3"/>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675" w:hRule="atLeast"/>
        </w:trPr>
        <w:tc>
          <w:tcPr>
            <w:tcW w:w="152" w:type="pct"/>
            <w:vMerge w:val="continue"/>
            <w:tcBorders>
              <w:top w:val="nil"/>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137" w:type="pct"/>
            <w:vMerge w:val="restart"/>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效果（30）</w:t>
            </w:r>
          </w:p>
        </w:tc>
        <w:tc>
          <w:tcPr>
            <w:tcW w:w="317"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社会效益：</w:t>
            </w:r>
          </w:p>
        </w:tc>
        <w:tc>
          <w:tcPr>
            <w:tcW w:w="675" w:type="pct"/>
            <w:gridSpan w:val="3"/>
            <w:tcBorders>
              <w:top w:val="nil"/>
              <w:left w:val="nil"/>
              <w:bottom w:val="single" w:color="auto" w:sz="4" w:space="0"/>
              <w:right w:val="single" w:color="auto" w:sz="4" w:space="0"/>
            </w:tcBorders>
            <w:noWrap/>
            <w:vAlign w:val="bottom"/>
          </w:tcPr>
          <w:p>
            <w:pPr>
              <w:widowControl/>
              <w:jc w:val="center"/>
              <w:rPr>
                <w:rFonts w:ascii="宋体" w:hAnsi="宋体" w:cs="宋体"/>
                <w:color w:val="auto"/>
                <w:kern w:val="0"/>
                <w:sz w:val="20"/>
                <w:szCs w:val="20"/>
                <w:highlight w:val="none"/>
              </w:rPr>
            </w:pPr>
          </w:p>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围绕大局履职尽责，服务区域内高质量绿色发展</w:t>
            </w:r>
          </w:p>
          <w:p>
            <w:pPr>
              <w:widowControl/>
              <w:jc w:val="center"/>
              <w:rPr>
                <w:rFonts w:ascii="宋体" w:hAnsi="宋体" w:cs="宋体"/>
                <w:color w:val="auto"/>
                <w:kern w:val="0"/>
                <w:sz w:val="20"/>
                <w:szCs w:val="20"/>
                <w:highlight w:val="none"/>
              </w:rPr>
            </w:pPr>
          </w:p>
        </w:tc>
        <w:tc>
          <w:tcPr>
            <w:tcW w:w="958"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20"/>
                <w:szCs w:val="20"/>
                <w:highlight w:val="none"/>
              </w:rPr>
              <w:t>服务法治政府建设、服务美丽延庆建设、服务乡村振兴，强化民生司法保障、维护社会安全稳定</w:t>
            </w:r>
          </w:p>
        </w:tc>
        <w:tc>
          <w:tcPr>
            <w:tcW w:w="235"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w:t>
            </w:r>
          </w:p>
        </w:tc>
        <w:tc>
          <w:tcPr>
            <w:tcW w:w="227" w:type="pct"/>
            <w:gridSpan w:val="4"/>
            <w:tcBorders>
              <w:top w:val="nil"/>
              <w:left w:val="nil"/>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w:t>
            </w:r>
          </w:p>
        </w:tc>
        <w:tc>
          <w:tcPr>
            <w:tcW w:w="1075" w:type="pct"/>
            <w:gridSpan w:val="2"/>
            <w:vMerge w:val="restart"/>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b/>
                <w:bCs/>
                <w:color w:val="auto"/>
                <w:kern w:val="0"/>
                <w:sz w:val="18"/>
                <w:szCs w:val="18"/>
                <w:highlight w:val="none"/>
              </w:rPr>
              <w:t>经济效益</w:t>
            </w:r>
            <w:r>
              <w:rPr>
                <w:rFonts w:hint="eastAsia" w:ascii="宋体" w:hAnsi="宋体" w:cs="宋体"/>
                <w:color w:val="auto"/>
                <w:kern w:val="0"/>
                <w:sz w:val="18"/>
                <w:szCs w:val="18"/>
                <w:highlight w:val="none"/>
              </w:rPr>
              <w:t>：部门（单位）履行职责对经济发展所带来的直接或间接影响。</w:t>
            </w:r>
            <w:r>
              <w:rPr>
                <w:rFonts w:hint="eastAsia" w:ascii="宋体" w:hAnsi="宋体" w:cs="宋体"/>
                <w:b/>
                <w:bCs/>
                <w:color w:val="auto"/>
                <w:kern w:val="0"/>
                <w:sz w:val="18"/>
                <w:szCs w:val="18"/>
                <w:highlight w:val="none"/>
              </w:rPr>
              <w:t>社会效益</w:t>
            </w:r>
            <w:r>
              <w:rPr>
                <w:rFonts w:hint="eastAsia" w:ascii="宋体" w:hAnsi="宋体" w:cs="宋体"/>
                <w:color w:val="auto"/>
                <w:kern w:val="0"/>
                <w:sz w:val="18"/>
                <w:szCs w:val="18"/>
                <w:highlight w:val="none"/>
              </w:rPr>
              <w:t>：部门（单位）履行职责对社会发展所带来的直接或间接影响。</w:t>
            </w:r>
            <w:r>
              <w:rPr>
                <w:rFonts w:hint="eastAsia" w:ascii="宋体" w:hAnsi="宋体" w:cs="宋体"/>
                <w:b/>
                <w:bCs/>
                <w:color w:val="auto"/>
                <w:kern w:val="0"/>
                <w:sz w:val="18"/>
                <w:szCs w:val="18"/>
                <w:highlight w:val="none"/>
              </w:rPr>
              <w:t>环境效益</w:t>
            </w:r>
            <w:r>
              <w:rPr>
                <w:rFonts w:hint="eastAsia" w:ascii="宋体" w:hAnsi="宋体" w:cs="宋体"/>
                <w:color w:val="auto"/>
                <w:kern w:val="0"/>
                <w:sz w:val="18"/>
                <w:szCs w:val="18"/>
                <w:highlight w:val="none"/>
              </w:rPr>
              <w:t>：部门（单位）履行职责对环境所带来的直接或间接影响。</w:t>
            </w:r>
            <w:r>
              <w:rPr>
                <w:rFonts w:hint="eastAsia" w:ascii="宋体" w:hAnsi="宋体" w:cs="宋体"/>
                <w:b/>
                <w:bCs/>
                <w:color w:val="auto"/>
                <w:kern w:val="0"/>
                <w:sz w:val="18"/>
                <w:szCs w:val="18"/>
                <w:highlight w:val="none"/>
              </w:rPr>
              <w:t>可持续性影响：</w:t>
            </w:r>
            <w:r>
              <w:rPr>
                <w:rFonts w:hint="eastAsia" w:ascii="宋体" w:hAnsi="宋体" w:cs="宋体"/>
                <w:color w:val="auto"/>
                <w:kern w:val="0"/>
                <w:sz w:val="18"/>
                <w:szCs w:val="18"/>
                <w:highlight w:val="none"/>
              </w:rPr>
              <w:t>部门绩效目标实现的长效机制建设情况，部门工作效率提升措施的创新。</w:t>
            </w:r>
            <w:r>
              <w:rPr>
                <w:rFonts w:hint="eastAsia" w:ascii="宋体" w:hAnsi="宋体" w:cs="宋体"/>
                <w:b/>
                <w:bCs/>
                <w:color w:val="auto"/>
                <w:kern w:val="0"/>
                <w:sz w:val="18"/>
                <w:szCs w:val="18"/>
                <w:highlight w:val="none"/>
              </w:rPr>
              <w:t>服务对象满意度</w:t>
            </w:r>
            <w:r>
              <w:rPr>
                <w:rFonts w:hint="eastAsia" w:ascii="宋体" w:hAnsi="宋体" w:cs="宋体"/>
                <w:color w:val="auto"/>
                <w:kern w:val="0"/>
                <w:sz w:val="18"/>
                <w:szCs w:val="18"/>
                <w:highlight w:val="none"/>
              </w:rPr>
              <w:t>：部门（单位）的服务对象对部门履职效果的满意程度。</w:t>
            </w:r>
          </w:p>
        </w:tc>
        <w:tc>
          <w:tcPr>
            <w:tcW w:w="1219" w:type="pct"/>
            <w:gridSpan w:val="3"/>
            <w:vMerge w:val="restart"/>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部门根据实际情况选择指标进行填写，并将其细化为相应的个性化指标。对于效益类指标可从受益对象瞄准度、受益广度和受益深度上进行设计分析。</w:t>
            </w:r>
          </w:p>
        </w:tc>
      </w:tr>
      <w:tr>
        <w:tblPrEx>
          <w:tblCellMar>
            <w:top w:w="0" w:type="dxa"/>
            <w:left w:w="108" w:type="dxa"/>
            <w:bottom w:w="0" w:type="dxa"/>
            <w:right w:w="108" w:type="dxa"/>
          </w:tblCellMar>
        </w:tblPrEx>
        <w:trPr>
          <w:trHeight w:val="630" w:hRule="atLeast"/>
        </w:trPr>
        <w:tc>
          <w:tcPr>
            <w:tcW w:w="152" w:type="pct"/>
            <w:vMerge w:val="continue"/>
            <w:tcBorders>
              <w:top w:val="nil"/>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137" w:type="pct"/>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317" w:type="pct"/>
            <w:gridSpan w:val="3"/>
            <w:tcBorders>
              <w:top w:val="nil"/>
              <w:left w:val="nil"/>
              <w:bottom w:val="single" w:color="auto" w:sz="4" w:space="0"/>
              <w:right w:val="single" w:color="auto" w:sz="4" w:space="0"/>
            </w:tcBorders>
            <w:noWrap/>
            <w:vAlign w:val="center"/>
          </w:tcPr>
          <w:p>
            <w:pPr>
              <w:widowControl/>
              <w:jc w:val="center"/>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rPr>
              <w:t>服务对象满意度：</w:t>
            </w:r>
            <w:r>
              <w:rPr>
                <w:rFonts w:hint="eastAsia" w:ascii="宋体" w:hAnsi="宋体" w:cs="宋体"/>
                <w:color w:val="auto"/>
                <w:kern w:val="0"/>
                <w:sz w:val="20"/>
                <w:szCs w:val="20"/>
                <w:highlight w:val="none"/>
                <w:lang w:eastAsia="zh-CN"/>
              </w:rPr>
              <w:t>审判执行工作整体满意度</w:t>
            </w:r>
          </w:p>
        </w:tc>
        <w:tc>
          <w:tcPr>
            <w:tcW w:w="675"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坚持以人民群众的满意度、获得感检验改革成效，抓住改革重点，聚焦突出问题，统筹推进司法体制综合配套改革。　</w:t>
            </w:r>
          </w:p>
        </w:tc>
        <w:tc>
          <w:tcPr>
            <w:tcW w:w="958"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坚持服务大局、司法为民、公正司法，认真落实市委、区委部署要求，各项工作均取得预期成效。　</w:t>
            </w:r>
          </w:p>
        </w:tc>
        <w:tc>
          <w:tcPr>
            <w:tcW w:w="235" w:type="pct"/>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w:t>
            </w:r>
          </w:p>
        </w:tc>
        <w:tc>
          <w:tcPr>
            <w:tcW w:w="227" w:type="pct"/>
            <w:gridSpan w:val="4"/>
            <w:tcBorders>
              <w:top w:val="nil"/>
              <w:left w:val="nil"/>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　</w:t>
            </w:r>
          </w:p>
        </w:tc>
        <w:tc>
          <w:tcPr>
            <w:tcW w:w="1075" w:type="pct"/>
            <w:gridSpan w:val="2"/>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c>
          <w:tcPr>
            <w:tcW w:w="1219" w:type="pct"/>
            <w:gridSpan w:val="3"/>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690" w:hRule="atLeast"/>
        </w:trPr>
        <w:tc>
          <w:tcPr>
            <w:tcW w:w="152" w:type="pct"/>
            <w:vMerge w:val="continue"/>
            <w:tcBorders>
              <w:top w:val="nil"/>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137" w:type="pct"/>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317"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经济效益：</w:t>
            </w:r>
          </w:p>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保证首都经济运转和维护营商环境情况</w:t>
            </w:r>
          </w:p>
        </w:tc>
        <w:tc>
          <w:tcPr>
            <w:tcW w:w="675"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围绕优化营商环境重点工作，优化窗口服务环境，积极营造法治化、便利化营商环境。　</w:t>
            </w:r>
          </w:p>
        </w:tc>
        <w:tc>
          <w:tcPr>
            <w:tcW w:w="958"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优化窗口服务环境，严格规范司法审判行为，切实有效提升审判质效，主动对接辖区内重点民营企业，依法保障企业合法经营。</w:t>
            </w:r>
          </w:p>
          <w:p>
            <w:pPr>
              <w:widowControl/>
              <w:jc w:val="center"/>
              <w:rPr>
                <w:rFonts w:ascii="宋体" w:hAnsi="宋体" w:cs="宋体"/>
                <w:color w:val="auto"/>
                <w:kern w:val="0"/>
                <w:sz w:val="20"/>
                <w:szCs w:val="20"/>
                <w:highlight w:val="none"/>
              </w:rPr>
            </w:pPr>
          </w:p>
        </w:tc>
        <w:tc>
          <w:tcPr>
            <w:tcW w:w="235"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w:t>
            </w:r>
          </w:p>
        </w:tc>
        <w:tc>
          <w:tcPr>
            <w:tcW w:w="227" w:type="pct"/>
            <w:gridSpan w:val="4"/>
            <w:tcBorders>
              <w:top w:val="nil"/>
              <w:left w:val="nil"/>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8　</w:t>
            </w:r>
          </w:p>
        </w:tc>
        <w:tc>
          <w:tcPr>
            <w:tcW w:w="1075" w:type="pct"/>
            <w:gridSpan w:val="2"/>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c>
          <w:tcPr>
            <w:tcW w:w="1219" w:type="pct"/>
            <w:gridSpan w:val="3"/>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675" w:hRule="atLeast"/>
        </w:trPr>
        <w:tc>
          <w:tcPr>
            <w:tcW w:w="152" w:type="pct"/>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137" w:type="pct"/>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317" w:type="pct"/>
            <w:gridSpan w:val="3"/>
            <w:tcBorders>
              <w:top w:val="nil"/>
              <w:left w:val="nil"/>
              <w:bottom w:val="single" w:color="auto" w:sz="4" w:space="0"/>
              <w:right w:val="single" w:color="auto" w:sz="4" w:space="0"/>
            </w:tcBorders>
            <w:noWrap/>
            <w:vAlign w:val="center"/>
          </w:tcPr>
          <w:p>
            <w:pPr>
              <w:widowControl/>
              <w:rPr>
                <w:rFonts w:hint="eastAsia" w:ascii="宋体" w:hAnsi="宋体" w:eastAsia="宋体" w:cs="宋体"/>
                <w:color w:val="auto"/>
                <w:kern w:val="0"/>
                <w:sz w:val="20"/>
                <w:szCs w:val="20"/>
                <w:highlight w:val="none"/>
                <w:lang w:eastAsia="zh-CN"/>
              </w:rPr>
            </w:pPr>
            <w:r>
              <w:rPr>
                <w:rFonts w:hint="eastAsia" w:ascii="宋体" w:hAnsi="宋体" w:cs="宋体"/>
                <w:color w:val="auto"/>
                <w:kern w:val="0"/>
                <w:sz w:val="20"/>
                <w:szCs w:val="20"/>
                <w:highlight w:val="none"/>
              </w:rPr>
              <w:t>环境效益</w:t>
            </w:r>
            <w:r>
              <w:rPr>
                <w:rFonts w:hint="eastAsia" w:ascii="宋体" w:hAnsi="宋体" w:cs="宋体"/>
                <w:color w:val="auto"/>
                <w:kern w:val="0"/>
                <w:sz w:val="20"/>
                <w:szCs w:val="20"/>
                <w:highlight w:val="none"/>
                <w:lang w:eastAsia="zh-CN"/>
              </w:rPr>
              <w:t>：保护区域环境</w:t>
            </w:r>
          </w:p>
        </w:tc>
        <w:tc>
          <w:tcPr>
            <w:tcW w:w="675"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　着力打造“府院联动”司法协作、“区域协作”司法联动、“绿色发展”司法服务、“生态环保”司法宣传四大平台，以高质量环境司法护航辖区高质量绿色发展。</w:t>
            </w:r>
          </w:p>
        </w:tc>
        <w:tc>
          <w:tcPr>
            <w:tcW w:w="958"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持续推进环境资源法庭建设，推进环境资源审判四审合一。</w:t>
            </w:r>
          </w:p>
        </w:tc>
        <w:tc>
          <w:tcPr>
            <w:tcW w:w="235"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w:t>
            </w:r>
          </w:p>
        </w:tc>
        <w:tc>
          <w:tcPr>
            <w:tcW w:w="227" w:type="pct"/>
            <w:gridSpan w:val="4"/>
            <w:tcBorders>
              <w:top w:val="nil"/>
              <w:left w:val="nil"/>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7</w:t>
            </w:r>
          </w:p>
        </w:tc>
        <w:tc>
          <w:tcPr>
            <w:tcW w:w="1075" w:type="pct"/>
            <w:gridSpan w:val="2"/>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c>
          <w:tcPr>
            <w:tcW w:w="1219" w:type="pct"/>
            <w:gridSpan w:val="3"/>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699" w:hRule="atLeast"/>
        </w:trPr>
        <w:tc>
          <w:tcPr>
            <w:tcW w:w="5000" w:type="pct"/>
            <w:gridSpan w:val="21"/>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三</w:t>
            </w:r>
            <w:r>
              <w:rPr>
                <w:rFonts w:ascii="宋体" w:hAnsi="宋体" w:cs="宋体"/>
                <w:color w:val="auto"/>
                <w:kern w:val="0"/>
                <w:sz w:val="18"/>
                <w:szCs w:val="18"/>
                <w:highlight w:val="none"/>
              </w:rPr>
              <w:t>、</w:t>
            </w:r>
            <w:r>
              <w:rPr>
                <w:rFonts w:hint="eastAsia" w:ascii="宋体" w:hAnsi="宋体" w:cs="宋体"/>
                <w:color w:val="auto"/>
                <w:kern w:val="0"/>
                <w:sz w:val="20"/>
                <w:szCs w:val="20"/>
                <w:highlight w:val="none"/>
              </w:rPr>
              <w:t>预算管理情况（20分）</w:t>
            </w:r>
          </w:p>
        </w:tc>
      </w:tr>
      <w:tr>
        <w:tblPrEx>
          <w:tblCellMar>
            <w:top w:w="0" w:type="dxa"/>
            <w:left w:w="108" w:type="dxa"/>
            <w:bottom w:w="0" w:type="dxa"/>
            <w:right w:w="108" w:type="dxa"/>
          </w:tblCellMar>
        </w:tblPrEx>
        <w:trPr>
          <w:trHeight w:val="702" w:hRule="atLeast"/>
        </w:trPr>
        <w:tc>
          <w:tcPr>
            <w:tcW w:w="152"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一</w:t>
            </w:r>
            <w:r>
              <w:rPr>
                <w:rFonts w:ascii="宋体" w:hAnsi="宋体" w:cs="宋体"/>
                <w:color w:val="auto"/>
                <w:kern w:val="0"/>
                <w:sz w:val="20"/>
                <w:szCs w:val="20"/>
                <w:highlight w:val="none"/>
              </w:rPr>
              <w:t>级指标</w:t>
            </w:r>
          </w:p>
        </w:tc>
        <w:tc>
          <w:tcPr>
            <w:tcW w:w="137"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二</w:t>
            </w:r>
            <w:r>
              <w:rPr>
                <w:rFonts w:ascii="宋体" w:hAnsi="宋体" w:cs="宋体"/>
                <w:color w:val="auto"/>
                <w:kern w:val="0"/>
                <w:sz w:val="20"/>
                <w:szCs w:val="20"/>
                <w:highlight w:val="none"/>
              </w:rPr>
              <w:t>级指标</w:t>
            </w:r>
          </w:p>
        </w:tc>
        <w:tc>
          <w:tcPr>
            <w:tcW w:w="317" w:type="pct"/>
            <w:gridSpan w:val="3"/>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三</w:t>
            </w:r>
            <w:r>
              <w:rPr>
                <w:rFonts w:ascii="宋体" w:hAnsi="宋体" w:cs="宋体"/>
                <w:color w:val="auto"/>
                <w:kern w:val="0"/>
                <w:sz w:val="20"/>
                <w:szCs w:val="20"/>
                <w:highlight w:val="none"/>
              </w:rPr>
              <w:t>级指标</w:t>
            </w:r>
          </w:p>
        </w:tc>
        <w:tc>
          <w:tcPr>
            <w:tcW w:w="630" w:type="pct"/>
            <w:gridSpan w:val="2"/>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指标</w:t>
            </w:r>
            <w:r>
              <w:rPr>
                <w:rFonts w:ascii="宋体" w:hAnsi="宋体" w:cs="宋体"/>
                <w:color w:val="auto"/>
                <w:kern w:val="0"/>
                <w:sz w:val="20"/>
                <w:szCs w:val="20"/>
                <w:highlight w:val="none"/>
              </w:rPr>
              <w:t>值</w:t>
            </w:r>
          </w:p>
        </w:tc>
        <w:tc>
          <w:tcPr>
            <w:tcW w:w="1003" w:type="pct"/>
            <w:gridSpan w:val="4"/>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完成</w:t>
            </w:r>
            <w:r>
              <w:rPr>
                <w:rFonts w:ascii="宋体" w:hAnsi="宋体" w:cs="宋体"/>
                <w:color w:val="auto"/>
                <w:kern w:val="0"/>
                <w:sz w:val="20"/>
                <w:szCs w:val="20"/>
                <w:highlight w:val="none"/>
              </w:rPr>
              <w:t>值</w:t>
            </w:r>
          </w:p>
        </w:tc>
        <w:tc>
          <w:tcPr>
            <w:tcW w:w="249" w:type="pct"/>
            <w:gridSpan w:val="3"/>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分</w:t>
            </w:r>
            <w:r>
              <w:rPr>
                <w:rFonts w:ascii="宋体" w:hAnsi="宋体" w:cs="宋体"/>
                <w:color w:val="auto"/>
                <w:kern w:val="0"/>
                <w:sz w:val="20"/>
                <w:szCs w:val="20"/>
                <w:highlight w:val="none"/>
              </w:rPr>
              <w:t>值</w:t>
            </w:r>
          </w:p>
        </w:tc>
        <w:tc>
          <w:tcPr>
            <w:tcW w:w="214" w:type="pct"/>
            <w:gridSpan w:val="2"/>
            <w:tcBorders>
              <w:top w:val="single" w:color="auto" w:sz="4" w:space="0"/>
              <w:left w:val="nil"/>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得</w:t>
            </w:r>
            <w:r>
              <w:rPr>
                <w:rFonts w:ascii="宋体" w:hAnsi="宋体" w:cs="宋体"/>
                <w:color w:val="auto"/>
                <w:kern w:val="0"/>
                <w:sz w:val="20"/>
                <w:szCs w:val="20"/>
                <w:highlight w:val="none"/>
              </w:rPr>
              <w:t>分</w:t>
            </w:r>
          </w:p>
        </w:tc>
        <w:tc>
          <w:tcPr>
            <w:tcW w:w="1083" w:type="pct"/>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auto"/>
                <w:kern w:val="0"/>
                <w:sz w:val="18"/>
                <w:szCs w:val="18"/>
                <w:highlight w:val="none"/>
              </w:rPr>
            </w:pPr>
            <w:r>
              <w:rPr>
                <w:rFonts w:hint="eastAsia" w:ascii="宋体" w:hAnsi="宋体" w:cs="宋体"/>
                <w:bCs/>
                <w:color w:val="auto"/>
                <w:kern w:val="0"/>
                <w:sz w:val="18"/>
                <w:szCs w:val="18"/>
                <w:highlight w:val="none"/>
              </w:rPr>
              <w:t>指标</w:t>
            </w:r>
            <w:r>
              <w:rPr>
                <w:rFonts w:ascii="宋体" w:hAnsi="宋体" w:cs="宋体"/>
                <w:bCs/>
                <w:color w:val="auto"/>
                <w:kern w:val="0"/>
                <w:sz w:val="18"/>
                <w:szCs w:val="18"/>
                <w:highlight w:val="none"/>
              </w:rPr>
              <w:t>解释</w:t>
            </w:r>
          </w:p>
        </w:tc>
        <w:tc>
          <w:tcPr>
            <w:tcW w:w="1211" w:type="pct"/>
            <w:gridSpan w:val="2"/>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18"/>
                <w:szCs w:val="18"/>
                <w:highlight w:val="none"/>
              </w:rPr>
            </w:pPr>
            <w:r>
              <w:rPr>
                <w:rFonts w:hint="eastAsia" w:ascii="宋体" w:hAnsi="宋体" w:cs="宋体"/>
                <w:color w:val="auto"/>
                <w:kern w:val="0"/>
                <w:sz w:val="18"/>
                <w:szCs w:val="18"/>
                <w:highlight w:val="none"/>
              </w:rPr>
              <w:t>评</w:t>
            </w:r>
            <w:r>
              <w:rPr>
                <w:rFonts w:ascii="宋体" w:hAnsi="宋体" w:cs="宋体"/>
                <w:color w:val="auto"/>
                <w:kern w:val="0"/>
                <w:sz w:val="18"/>
                <w:szCs w:val="18"/>
                <w:highlight w:val="none"/>
              </w:rPr>
              <w:t>分标准</w:t>
            </w:r>
          </w:p>
        </w:tc>
      </w:tr>
      <w:tr>
        <w:tblPrEx>
          <w:tblCellMar>
            <w:top w:w="0" w:type="dxa"/>
            <w:left w:w="108" w:type="dxa"/>
            <w:bottom w:w="0" w:type="dxa"/>
            <w:right w:w="108" w:type="dxa"/>
          </w:tblCellMar>
        </w:tblPrEx>
        <w:trPr>
          <w:trHeight w:val="1991" w:hRule="atLeast"/>
        </w:trPr>
        <w:tc>
          <w:tcPr>
            <w:tcW w:w="152"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预算管理情况（20）</w:t>
            </w:r>
          </w:p>
        </w:tc>
        <w:tc>
          <w:tcPr>
            <w:tcW w:w="137" w:type="pct"/>
            <w:vMerge w:val="restar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财务管理（4）</w:t>
            </w:r>
          </w:p>
        </w:tc>
        <w:tc>
          <w:tcPr>
            <w:tcW w:w="317" w:type="pct"/>
            <w:gridSpan w:val="3"/>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财务管理制度健全性</w:t>
            </w:r>
          </w:p>
        </w:tc>
        <w:tc>
          <w:tcPr>
            <w:tcW w:w="630" w:type="pct"/>
            <w:gridSpan w:val="2"/>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预算资金管理办法、绩效跟踪管理办法、资产管理办法等各项制度健全；部门内部财务管理制度完整、合规；会计核算制度完整、合规。</w:t>
            </w:r>
          </w:p>
        </w:tc>
        <w:tc>
          <w:tcPr>
            <w:tcW w:w="1003" w:type="pct"/>
            <w:gridSpan w:val="4"/>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预算资金管理办法、资产管理办法等各项制度健全；部门内部财务管理制度完整、合规；会计核算制度完整、合规。但缺少绩效跟踪管理办法　</w:t>
            </w:r>
          </w:p>
        </w:tc>
        <w:tc>
          <w:tcPr>
            <w:tcW w:w="245" w:type="pct"/>
            <w:gridSpan w:val="2"/>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c>
          <w:tcPr>
            <w:tcW w:w="218" w:type="pct"/>
            <w:gridSpan w:val="3"/>
            <w:tcBorders>
              <w:top w:val="single" w:color="auto" w:sz="4" w:space="0"/>
              <w:left w:val="nil"/>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0.5　</w:t>
            </w:r>
          </w:p>
        </w:tc>
        <w:tc>
          <w:tcPr>
            <w:tcW w:w="1083" w:type="pct"/>
            <w:gridSpan w:val="3"/>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b/>
                <w:bCs/>
                <w:color w:val="auto"/>
                <w:kern w:val="0"/>
                <w:sz w:val="18"/>
                <w:szCs w:val="18"/>
                <w:highlight w:val="none"/>
              </w:rPr>
              <w:t>财务管理制度健全性:</w:t>
            </w:r>
            <w:r>
              <w:rPr>
                <w:rFonts w:hint="eastAsia" w:ascii="宋体" w:hAnsi="宋体" w:cs="宋体"/>
                <w:color w:val="auto"/>
                <w:kern w:val="0"/>
                <w:sz w:val="18"/>
                <w:szCs w:val="18"/>
                <w:highlight w:val="none"/>
              </w:rPr>
              <w:t>部门（单位）为加强财务管理、规范财务行为而制定的管理制度。</w:t>
            </w:r>
          </w:p>
        </w:tc>
        <w:tc>
          <w:tcPr>
            <w:tcW w:w="1211" w:type="pct"/>
            <w:gridSpan w:val="2"/>
            <w:tcBorders>
              <w:top w:val="single" w:color="auto" w:sz="4" w:space="0"/>
              <w:left w:val="nil"/>
              <w:bottom w:val="single" w:color="auto" w:sz="4" w:space="0"/>
              <w:right w:val="single" w:color="auto" w:sz="4" w:space="0"/>
            </w:tcBorders>
            <w:noWrap/>
            <w:vAlign w:val="center"/>
          </w:tcPr>
          <w:p>
            <w:pPr>
              <w:widowControl/>
              <w:rPr>
                <w:rFonts w:ascii="宋体" w:hAnsi="宋体" w:cs="宋体"/>
                <w:color w:val="auto"/>
                <w:kern w:val="0"/>
                <w:sz w:val="18"/>
                <w:szCs w:val="18"/>
                <w:highlight w:val="none"/>
              </w:rPr>
            </w:pPr>
            <w:r>
              <w:rPr>
                <w:rFonts w:hint="eastAsia" w:ascii="宋体" w:hAnsi="宋体" w:cs="宋体"/>
                <w:color w:val="auto"/>
                <w:kern w:val="0"/>
                <w:sz w:val="18"/>
                <w:szCs w:val="18"/>
                <w:highlight w:val="none"/>
              </w:rPr>
              <w:t>①预算资金管理办法、绩效跟踪管理办法、资产管理办法等各项制度是否健全；②部门内部财务管理制度是否完整、合规；③会计核算制度是否完整、合规。每有一项不合格扣0.5分，扣完为止。</w:t>
            </w:r>
          </w:p>
        </w:tc>
      </w:tr>
      <w:tr>
        <w:tblPrEx>
          <w:tblCellMar>
            <w:top w:w="0" w:type="dxa"/>
            <w:left w:w="108" w:type="dxa"/>
            <w:bottom w:w="0" w:type="dxa"/>
            <w:right w:w="108" w:type="dxa"/>
          </w:tblCellMar>
        </w:tblPrEx>
        <w:trPr>
          <w:trHeight w:val="927" w:hRule="atLeast"/>
        </w:trPr>
        <w:tc>
          <w:tcPr>
            <w:tcW w:w="152" w:type="pct"/>
            <w:vMerge w:val="continue"/>
            <w:tcBorders>
              <w:top w:val="single" w:color="auto" w:sz="4" w:space="0"/>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137" w:type="pct"/>
            <w:vMerge w:val="continue"/>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317" w:type="pct"/>
            <w:gridSpan w:val="3"/>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资金使用合规性和安全性</w:t>
            </w:r>
          </w:p>
        </w:tc>
        <w:tc>
          <w:tcPr>
            <w:tcW w:w="630" w:type="pct"/>
            <w:gridSpan w:val="2"/>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18"/>
                <w:szCs w:val="18"/>
                <w:highlight w:val="none"/>
              </w:rPr>
              <w:t>资金使用符合国家财经法规和财务管理制度规定，拨付有完整的审批程序和手续，项目的重大开支经过评估论证，符合部门预算批复的用途，无截留、挤占、挪用情况，符合政府采购的程序和流程，资金使用严格遵照公务卡结算相关制度</w:t>
            </w:r>
          </w:p>
        </w:tc>
        <w:tc>
          <w:tcPr>
            <w:tcW w:w="1003" w:type="pct"/>
            <w:gridSpan w:val="4"/>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18"/>
                <w:szCs w:val="18"/>
                <w:highlight w:val="none"/>
              </w:rPr>
              <w:t>资金使用符合国家财经法规和财务管理制度规定，拨付有完整的审批程序和手续，项目的重大开支经过评估论证，符合部门预算批复的用途，无截留、挤占、挪用情况，预算经费的使用符合政府采购的程序、流程和公务卡结算相关制度</w:t>
            </w:r>
          </w:p>
        </w:tc>
        <w:tc>
          <w:tcPr>
            <w:tcW w:w="245" w:type="pct"/>
            <w:gridSpan w:val="2"/>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w:t>
            </w:r>
          </w:p>
        </w:tc>
        <w:tc>
          <w:tcPr>
            <w:tcW w:w="218" w:type="pct"/>
            <w:gridSpan w:val="3"/>
            <w:tcBorders>
              <w:top w:val="single" w:color="auto" w:sz="4" w:space="0"/>
              <w:left w:val="nil"/>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　</w:t>
            </w:r>
          </w:p>
        </w:tc>
        <w:tc>
          <w:tcPr>
            <w:tcW w:w="1083" w:type="pct"/>
            <w:gridSpan w:val="3"/>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b/>
                <w:bCs/>
                <w:color w:val="auto"/>
                <w:kern w:val="0"/>
                <w:sz w:val="18"/>
                <w:szCs w:val="18"/>
                <w:highlight w:val="none"/>
              </w:rPr>
              <w:t>资金使用合规性和安全性:</w:t>
            </w:r>
            <w:r>
              <w:rPr>
                <w:rFonts w:hint="eastAsia" w:ascii="宋体" w:hAnsi="宋体" w:cs="宋体"/>
                <w:color w:val="auto"/>
                <w:kern w:val="0"/>
                <w:sz w:val="18"/>
                <w:szCs w:val="18"/>
                <w:highlight w:val="none"/>
              </w:rPr>
              <w:t>部门（单位）使用预算资金是否符合相关的预算财务管理制度的规定，是否符合相关规定的开支范围，用以反映考核部门（单位）预算资金的规范运行和安全运行情况。</w:t>
            </w:r>
          </w:p>
        </w:tc>
        <w:tc>
          <w:tcPr>
            <w:tcW w:w="1211" w:type="pct"/>
            <w:gridSpan w:val="2"/>
            <w:tcBorders>
              <w:top w:val="single" w:color="auto" w:sz="4" w:space="0"/>
              <w:left w:val="nil"/>
              <w:bottom w:val="single" w:color="auto" w:sz="4" w:space="0"/>
              <w:right w:val="single" w:color="auto" w:sz="4" w:space="0"/>
            </w:tcBorders>
            <w:noWrap/>
            <w:vAlign w:val="center"/>
          </w:tcPr>
          <w:p>
            <w:pPr>
              <w:widowControl/>
              <w:rPr>
                <w:rFonts w:ascii="宋体" w:hAnsi="宋体" w:cs="宋体"/>
                <w:color w:val="auto"/>
                <w:kern w:val="0"/>
                <w:sz w:val="18"/>
                <w:szCs w:val="18"/>
                <w:highlight w:val="none"/>
              </w:rPr>
            </w:pPr>
            <w:r>
              <w:rPr>
                <w:rFonts w:hint="eastAsia" w:ascii="宋体" w:hAnsi="宋体" w:cs="宋体"/>
                <w:color w:val="auto"/>
                <w:kern w:val="0"/>
                <w:sz w:val="18"/>
                <w:szCs w:val="18"/>
                <w:highlight w:val="none"/>
              </w:rPr>
              <w:t>①否符合国家财经法规和财务管理制度规定以及有关专项资金管理办法的规定；②资金的拨付是否有完整的审批程序和手续；③项目的重大开支是否经过评估论证；④是否符合部门预算批复的用途；⑤是否存在截留、挤占、挪用情况；⑥资金使用是否符合政府采购的程序和流程；⑦资金使用是否符合公务卡结算相关制度和规定。每有一项不合格扣0.5分，扣完为止。</w:t>
            </w:r>
          </w:p>
        </w:tc>
      </w:tr>
      <w:tr>
        <w:tblPrEx>
          <w:tblCellMar>
            <w:top w:w="0" w:type="dxa"/>
            <w:left w:w="108" w:type="dxa"/>
            <w:bottom w:w="0" w:type="dxa"/>
            <w:right w:w="108" w:type="dxa"/>
          </w:tblCellMar>
        </w:tblPrEx>
        <w:trPr>
          <w:trHeight w:val="1035" w:hRule="atLeast"/>
        </w:trPr>
        <w:tc>
          <w:tcPr>
            <w:tcW w:w="152" w:type="pct"/>
            <w:vMerge w:val="continue"/>
            <w:tcBorders>
              <w:top w:val="nil"/>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137" w:type="pct"/>
            <w:vMerge w:val="continue"/>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317"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会计基础信息完善性</w:t>
            </w:r>
          </w:p>
        </w:tc>
        <w:tc>
          <w:tcPr>
            <w:tcW w:w="630" w:type="pct"/>
            <w:gridSpan w:val="2"/>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18"/>
                <w:szCs w:val="18"/>
                <w:highlight w:val="none"/>
              </w:rPr>
              <w:t>基础数据信息和会计信息资料真实、准确、完整</w:t>
            </w:r>
            <w:r>
              <w:rPr>
                <w:rFonts w:hint="eastAsia" w:ascii="宋体" w:hAnsi="宋体" w:cs="宋体"/>
                <w:color w:val="auto"/>
                <w:kern w:val="0"/>
                <w:sz w:val="20"/>
                <w:szCs w:val="20"/>
                <w:highlight w:val="none"/>
              </w:rPr>
              <w:t>　</w:t>
            </w:r>
          </w:p>
        </w:tc>
        <w:tc>
          <w:tcPr>
            <w:tcW w:w="1003" w:type="pct"/>
            <w:gridSpan w:val="4"/>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18"/>
                <w:szCs w:val="18"/>
                <w:highlight w:val="none"/>
              </w:rPr>
              <w:t>基础数据信息和会计信息资料真实、准确、完整</w:t>
            </w:r>
            <w:r>
              <w:rPr>
                <w:rFonts w:hint="eastAsia" w:ascii="宋体" w:hAnsi="宋体" w:cs="宋体"/>
                <w:color w:val="auto"/>
                <w:kern w:val="0"/>
                <w:sz w:val="20"/>
                <w:szCs w:val="20"/>
                <w:highlight w:val="none"/>
              </w:rPr>
              <w:t>　　</w:t>
            </w:r>
          </w:p>
        </w:tc>
        <w:tc>
          <w:tcPr>
            <w:tcW w:w="245" w:type="pct"/>
            <w:gridSpan w:val="2"/>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w:t>
            </w:r>
          </w:p>
        </w:tc>
        <w:tc>
          <w:tcPr>
            <w:tcW w:w="218" w:type="pct"/>
            <w:gridSpan w:val="3"/>
            <w:tcBorders>
              <w:top w:val="nil"/>
              <w:left w:val="nil"/>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1　</w:t>
            </w:r>
          </w:p>
        </w:tc>
        <w:tc>
          <w:tcPr>
            <w:tcW w:w="1083" w:type="pct"/>
            <w:gridSpan w:val="3"/>
            <w:tcBorders>
              <w:top w:val="nil"/>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b/>
                <w:bCs/>
                <w:color w:val="auto"/>
                <w:kern w:val="0"/>
                <w:sz w:val="18"/>
                <w:szCs w:val="18"/>
                <w:highlight w:val="none"/>
              </w:rPr>
              <w:t>会计基础信息完善性:</w:t>
            </w:r>
            <w:r>
              <w:rPr>
                <w:rFonts w:hint="eastAsia" w:ascii="宋体" w:hAnsi="宋体" w:cs="宋体"/>
                <w:color w:val="auto"/>
                <w:kern w:val="0"/>
                <w:sz w:val="18"/>
                <w:szCs w:val="18"/>
                <w:highlight w:val="none"/>
              </w:rPr>
              <w:t>部门（单位）会计基础信息情况。</w:t>
            </w:r>
          </w:p>
        </w:tc>
        <w:tc>
          <w:tcPr>
            <w:tcW w:w="1211" w:type="pct"/>
            <w:gridSpan w:val="2"/>
            <w:tcBorders>
              <w:top w:val="nil"/>
              <w:left w:val="nil"/>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①基础数据信息和会计信息资料是否真实；②基础数据信息和会计信息资料是否完整；③基础数据信息和会计信息资料是否准确。每有一项不合格扣0.5分，扣完为止。</w:t>
            </w:r>
          </w:p>
        </w:tc>
      </w:tr>
      <w:tr>
        <w:tblPrEx>
          <w:tblCellMar>
            <w:top w:w="0" w:type="dxa"/>
            <w:left w:w="108" w:type="dxa"/>
            <w:bottom w:w="0" w:type="dxa"/>
            <w:right w:w="108" w:type="dxa"/>
          </w:tblCellMar>
        </w:tblPrEx>
        <w:trPr>
          <w:trHeight w:val="2220" w:hRule="atLeast"/>
        </w:trPr>
        <w:tc>
          <w:tcPr>
            <w:tcW w:w="152" w:type="pct"/>
            <w:vMerge w:val="continue"/>
            <w:tcBorders>
              <w:top w:val="nil"/>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137"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资产管理（4）</w:t>
            </w:r>
          </w:p>
        </w:tc>
        <w:tc>
          <w:tcPr>
            <w:tcW w:w="317" w:type="pct"/>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资产管理规范性</w:t>
            </w:r>
          </w:p>
        </w:tc>
        <w:tc>
          <w:tcPr>
            <w:tcW w:w="630" w:type="pct"/>
            <w:gridSpan w:val="2"/>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18"/>
                <w:szCs w:val="18"/>
                <w:highlight w:val="none"/>
              </w:rPr>
              <w:t>无因管理不当发生严重资产损失和丢失情况；无超标准配置资产；资产使用规范，不存在未经批准擅自出租、出借资产行为；资产处置规范，无不按要求进行报批或资产不公开处置行为</w:t>
            </w:r>
          </w:p>
        </w:tc>
        <w:tc>
          <w:tcPr>
            <w:tcW w:w="1003" w:type="pct"/>
            <w:gridSpan w:val="4"/>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资产管理规范，但存在超标配置资产情况</w:t>
            </w:r>
          </w:p>
        </w:tc>
        <w:tc>
          <w:tcPr>
            <w:tcW w:w="245" w:type="pct"/>
            <w:gridSpan w:val="2"/>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w:t>
            </w:r>
          </w:p>
        </w:tc>
        <w:tc>
          <w:tcPr>
            <w:tcW w:w="218" w:type="pct"/>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　3</w:t>
            </w:r>
          </w:p>
        </w:tc>
        <w:tc>
          <w:tcPr>
            <w:tcW w:w="1083" w:type="pct"/>
            <w:gridSpan w:val="3"/>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b/>
                <w:bCs/>
                <w:color w:val="auto"/>
                <w:kern w:val="0"/>
                <w:sz w:val="18"/>
                <w:szCs w:val="18"/>
                <w:highlight w:val="none"/>
              </w:rPr>
              <w:t>资产管理规范性:</w:t>
            </w:r>
            <w:r>
              <w:rPr>
                <w:rFonts w:hint="eastAsia" w:ascii="宋体" w:hAnsi="宋体" w:cs="宋体"/>
                <w:color w:val="auto"/>
                <w:kern w:val="0"/>
                <w:sz w:val="18"/>
                <w:szCs w:val="18"/>
                <w:highlight w:val="none"/>
              </w:rPr>
              <w:t>部门（单位）的资产是否保持安全完整，资产配置是否合理，资产使用和资产处理是否规范，用以反映和考核部门（单位）资产管理的整体水平。</w:t>
            </w:r>
          </w:p>
        </w:tc>
        <w:tc>
          <w:tcPr>
            <w:tcW w:w="1211" w:type="pct"/>
            <w:gridSpan w:val="2"/>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①外投资行为是否经审批，是否存在投资亏损；②是否有因管理不当发生严重资产损失和丢失情况；③是否存在超标准配置资产；④资产使用是否规范，是否存在未经批准擅自出租、出借资产行为；⑤资产处置是否规范，是否存在不按要求进行报批或资产不公开处置行为；⑥其它资产管理制度办法执行情况。每有一项不合格扣0.8分，扣完为止。</w:t>
            </w:r>
          </w:p>
        </w:tc>
      </w:tr>
      <w:tr>
        <w:tblPrEx>
          <w:tblCellMar>
            <w:top w:w="0" w:type="dxa"/>
            <w:left w:w="108" w:type="dxa"/>
            <w:bottom w:w="0" w:type="dxa"/>
            <w:right w:w="108" w:type="dxa"/>
          </w:tblCellMar>
        </w:tblPrEx>
        <w:trPr>
          <w:trHeight w:val="1750" w:hRule="atLeast"/>
        </w:trPr>
        <w:tc>
          <w:tcPr>
            <w:tcW w:w="152" w:type="pct"/>
            <w:vMerge w:val="continue"/>
            <w:tcBorders>
              <w:top w:val="nil"/>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137"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绩效管理（4）</w:t>
            </w:r>
          </w:p>
        </w:tc>
        <w:tc>
          <w:tcPr>
            <w:tcW w:w="317" w:type="pct"/>
            <w:gridSpan w:val="3"/>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绩效管理情况</w:t>
            </w:r>
          </w:p>
        </w:tc>
        <w:tc>
          <w:tcPr>
            <w:tcW w:w="630" w:type="pct"/>
            <w:gridSpan w:val="2"/>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18"/>
                <w:szCs w:val="18"/>
                <w:highlight w:val="none"/>
              </w:rPr>
              <w:t>及时对绩效信息进行汇总分析整理；对绩效目标偏离情况在规定时限内进行矫正</w:t>
            </w:r>
          </w:p>
        </w:tc>
        <w:tc>
          <w:tcPr>
            <w:tcW w:w="1003" w:type="pct"/>
            <w:gridSpan w:val="4"/>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r>
              <w:rPr>
                <w:rFonts w:hint="eastAsia" w:ascii="宋体" w:hAnsi="宋体" w:cs="宋体"/>
                <w:color w:val="auto"/>
                <w:kern w:val="0"/>
                <w:sz w:val="18"/>
                <w:szCs w:val="18"/>
                <w:highlight w:val="none"/>
              </w:rPr>
              <w:t>对绩效信息进行了汇总分析整理，但对绩效目标偏离情况的矫正工作应进一步加强。</w:t>
            </w:r>
          </w:p>
        </w:tc>
        <w:tc>
          <w:tcPr>
            <w:tcW w:w="245" w:type="pct"/>
            <w:gridSpan w:val="2"/>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w:t>
            </w:r>
          </w:p>
        </w:tc>
        <w:tc>
          <w:tcPr>
            <w:tcW w:w="218" w:type="pct"/>
            <w:gridSpan w:val="3"/>
            <w:tcBorders>
              <w:top w:val="single" w:color="auto" w:sz="4" w:space="0"/>
              <w:left w:val="nil"/>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w:t>
            </w:r>
            <w:r>
              <w:rPr>
                <w:rFonts w:hint="eastAsia" w:ascii="宋体" w:hAnsi="宋体" w:cs="宋体"/>
                <w:color w:val="auto"/>
                <w:kern w:val="0"/>
                <w:sz w:val="20"/>
                <w:szCs w:val="20"/>
                <w:highlight w:val="none"/>
              </w:rPr>
              <w:t>　</w:t>
            </w:r>
          </w:p>
        </w:tc>
        <w:tc>
          <w:tcPr>
            <w:tcW w:w="1083" w:type="pct"/>
            <w:gridSpan w:val="3"/>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b/>
                <w:bCs/>
                <w:color w:val="auto"/>
                <w:kern w:val="0"/>
                <w:sz w:val="18"/>
                <w:szCs w:val="18"/>
                <w:highlight w:val="none"/>
              </w:rPr>
              <w:t>绩效管理情况:</w:t>
            </w:r>
            <w:r>
              <w:rPr>
                <w:rFonts w:hint="eastAsia" w:ascii="宋体" w:hAnsi="宋体" w:cs="宋体"/>
                <w:color w:val="auto"/>
                <w:kern w:val="0"/>
                <w:sz w:val="18"/>
                <w:szCs w:val="18"/>
                <w:highlight w:val="none"/>
              </w:rPr>
              <w:t>考核部门（单位）在绩效管理信息的汇总和应用情况。</w:t>
            </w:r>
          </w:p>
        </w:tc>
        <w:tc>
          <w:tcPr>
            <w:tcW w:w="1211" w:type="pct"/>
            <w:gridSpan w:val="2"/>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①部门（单位）是否及时对绩效信息进行汇总分析整理；②部门（单位）是否对绩效目标偏离情况及时进行矫正。每有一项不合格扣2分。</w:t>
            </w:r>
          </w:p>
        </w:tc>
      </w:tr>
      <w:tr>
        <w:tblPrEx>
          <w:tblCellMar>
            <w:top w:w="0" w:type="dxa"/>
            <w:left w:w="108" w:type="dxa"/>
            <w:bottom w:w="0" w:type="dxa"/>
            <w:right w:w="108" w:type="dxa"/>
          </w:tblCellMar>
        </w:tblPrEx>
        <w:trPr>
          <w:trHeight w:val="634" w:hRule="atLeast"/>
        </w:trPr>
        <w:tc>
          <w:tcPr>
            <w:tcW w:w="152" w:type="pct"/>
            <w:vMerge w:val="continue"/>
            <w:tcBorders>
              <w:top w:val="nil"/>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137"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指标　</w:t>
            </w:r>
          </w:p>
        </w:tc>
        <w:tc>
          <w:tcPr>
            <w:tcW w:w="298" w:type="pct"/>
            <w:gridSpan w:val="2"/>
            <w:tcBorders>
              <w:top w:val="single" w:color="auto" w:sz="4" w:space="0"/>
              <w:left w:val="nil"/>
              <w:bottom w:val="single" w:color="auto" w:sz="4" w:space="0"/>
              <w:right w:val="single" w:color="000000"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202</w:t>
            </w:r>
            <w:r>
              <w:rPr>
                <w:rFonts w:hint="eastAsia" w:ascii="宋体" w:hAnsi="宋体" w:cs="宋体"/>
                <w:color w:val="auto"/>
                <w:kern w:val="0"/>
                <w:sz w:val="20"/>
                <w:szCs w:val="20"/>
                <w:highlight w:val="none"/>
                <w:lang w:val="en-US" w:eastAsia="zh-CN"/>
              </w:rPr>
              <w:t>3</w:t>
            </w:r>
            <w:r>
              <w:rPr>
                <w:rFonts w:hint="eastAsia" w:ascii="宋体" w:hAnsi="宋体" w:cs="宋体"/>
                <w:color w:val="auto"/>
                <w:kern w:val="0"/>
                <w:sz w:val="20"/>
                <w:szCs w:val="20"/>
                <w:highlight w:val="none"/>
              </w:rPr>
              <w:t>年</w:t>
            </w:r>
          </w:p>
        </w:tc>
        <w:tc>
          <w:tcPr>
            <w:tcW w:w="649" w:type="pct"/>
            <w:gridSpan w:val="3"/>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202</w:t>
            </w:r>
            <w:r>
              <w:rPr>
                <w:rFonts w:hint="eastAsia" w:ascii="宋体" w:hAnsi="宋体" w:cs="宋体"/>
                <w:color w:val="auto"/>
                <w:kern w:val="0"/>
                <w:sz w:val="20"/>
                <w:szCs w:val="20"/>
                <w:highlight w:val="none"/>
                <w:lang w:val="en-US" w:eastAsia="zh-CN"/>
              </w:rPr>
              <w:t>4</w:t>
            </w:r>
            <w:r>
              <w:rPr>
                <w:rFonts w:hint="eastAsia" w:ascii="宋体" w:hAnsi="宋体" w:cs="宋体"/>
                <w:color w:val="auto"/>
                <w:kern w:val="0"/>
                <w:sz w:val="20"/>
                <w:szCs w:val="20"/>
                <w:highlight w:val="none"/>
              </w:rPr>
              <w:t>年</w:t>
            </w:r>
          </w:p>
        </w:tc>
        <w:tc>
          <w:tcPr>
            <w:tcW w:w="1003" w:type="pct"/>
            <w:gridSpan w:val="4"/>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分值</w:t>
            </w:r>
          </w:p>
        </w:tc>
        <w:tc>
          <w:tcPr>
            <w:tcW w:w="446" w:type="pct"/>
            <w:gridSpan w:val="4"/>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得分</w:t>
            </w:r>
          </w:p>
        </w:tc>
        <w:tc>
          <w:tcPr>
            <w:tcW w:w="1092" w:type="pct"/>
            <w:gridSpan w:val="3"/>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bCs/>
                <w:color w:val="auto"/>
                <w:kern w:val="0"/>
                <w:sz w:val="18"/>
                <w:szCs w:val="18"/>
                <w:highlight w:val="none"/>
              </w:rPr>
              <w:t>指标</w:t>
            </w:r>
            <w:r>
              <w:rPr>
                <w:rFonts w:ascii="宋体" w:hAnsi="宋体" w:cs="宋体"/>
                <w:bCs/>
                <w:color w:val="auto"/>
                <w:kern w:val="0"/>
                <w:sz w:val="18"/>
                <w:szCs w:val="18"/>
                <w:highlight w:val="none"/>
              </w:rPr>
              <w:t>解释</w:t>
            </w:r>
          </w:p>
        </w:tc>
        <w:tc>
          <w:tcPr>
            <w:tcW w:w="1219" w:type="pct"/>
            <w:gridSpan w:val="3"/>
            <w:tcBorders>
              <w:top w:val="single" w:color="auto" w:sz="4" w:space="0"/>
              <w:left w:val="nil"/>
              <w:bottom w:val="single" w:color="auto" w:sz="4" w:space="0"/>
              <w:right w:val="single" w:color="auto" w:sz="4" w:space="0"/>
            </w:tcBorders>
            <w:noWrap/>
            <w:vAlign w:val="center"/>
          </w:tcPr>
          <w:p>
            <w:pPr>
              <w:widowControl/>
              <w:jc w:val="center"/>
              <w:rPr>
                <w:rFonts w:eastAsia="Times New Roman"/>
                <w:color w:val="auto"/>
                <w:kern w:val="0"/>
                <w:sz w:val="20"/>
                <w:szCs w:val="20"/>
                <w:highlight w:val="none"/>
              </w:rPr>
            </w:pPr>
            <w:r>
              <w:rPr>
                <w:rFonts w:hint="eastAsia" w:ascii="宋体" w:hAnsi="宋体" w:cs="宋体"/>
                <w:color w:val="auto"/>
                <w:kern w:val="0"/>
                <w:sz w:val="18"/>
                <w:szCs w:val="18"/>
                <w:highlight w:val="none"/>
              </w:rPr>
              <w:t>评</w:t>
            </w:r>
            <w:r>
              <w:rPr>
                <w:rFonts w:ascii="宋体" w:hAnsi="宋体" w:cs="宋体"/>
                <w:color w:val="auto"/>
                <w:kern w:val="0"/>
                <w:sz w:val="18"/>
                <w:szCs w:val="18"/>
                <w:highlight w:val="none"/>
              </w:rPr>
              <w:t>分标准</w:t>
            </w:r>
          </w:p>
        </w:tc>
      </w:tr>
      <w:tr>
        <w:tblPrEx>
          <w:tblCellMar>
            <w:top w:w="0" w:type="dxa"/>
            <w:left w:w="108" w:type="dxa"/>
            <w:bottom w:w="0" w:type="dxa"/>
            <w:right w:w="108" w:type="dxa"/>
          </w:tblCellMar>
        </w:tblPrEx>
        <w:trPr>
          <w:trHeight w:val="2235" w:hRule="atLeast"/>
        </w:trPr>
        <w:tc>
          <w:tcPr>
            <w:tcW w:w="152" w:type="pct"/>
            <w:vMerge w:val="continue"/>
            <w:tcBorders>
              <w:top w:val="nil"/>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137" w:type="pct"/>
            <w:tcBorders>
              <w:top w:val="nil"/>
              <w:left w:val="nil"/>
              <w:bottom w:val="single" w:color="auto" w:sz="4" w:space="0"/>
              <w:right w:val="single" w:color="auto" w:sz="4" w:space="0"/>
            </w:tcBorders>
            <w:noWrap/>
            <w:vAlign w:val="center"/>
          </w:tcPr>
          <w:p>
            <w:pPr>
              <w:widowControl/>
              <w:rPr>
                <w:rFonts w:ascii="宋体" w:hAnsi="宋体" w:cs="宋体"/>
                <w:color w:val="auto"/>
                <w:kern w:val="0"/>
                <w:sz w:val="20"/>
                <w:szCs w:val="20"/>
                <w:highlight w:val="none"/>
              </w:rPr>
            </w:pPr>
            <w:r>
              <w:rPr>
                <w:rFonts w:hint="eastAsia" w:ascii="宋体" w:hAnsi="宋体" w:cs="宋体"/>
                <w:color w:val="auto"/>
                <w:kern w:val="0"/>
                <w:sz w:val="20"/>
                <w:szCs w:val="20"/>
                <w:highlight w:val="none"/>
              </w:rPr>
              <w:t>结转结余率（4）</w:t>
            </w:r>
          </w:p>
        </w:tc>
        <w:tc>
          <w:tcPr>
            <w:tcW w:w="298" w:type="pct"/>
            <w:gridSpan w:val="2"/>
            <w:tcBorders>
              <w:top w:val="single" w:color="auto" w:sz="4" w:space="0"/>
              <w:left w:val="nil"/>
              <w:bottom w:val="single" w:color="auto" w:sz="4" w:space="0"/>
              <w:right w:val="single" w:color="000000"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w:t>
            </w:r>
            <w:r>
              <w:rPr>
                <w:rFonts w:hint="eastAsia" w:ascii="宋体" w:hAnsi="宋体" w:cs="宋体"/>
                <w:color w:val="auto"/>
                <w:kern w:val="0"/>
                <w:sz w:val="20"/>
                <w:szCs w:val="20"/>
                <w:highlight w:val="none"/>
              </w:rPr>
              <w:t>　</w:t>
            </w:r>
          </w:p>
        </w:tc>
        <w:tc>
          <w:tcPr>
            <w:tcW w:w="649" w:type="pct"/>
            <w:gridSpan w:val="3"/>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3.4%</w:t>
            </w:r>
            <w:r>
              <w:rPr>
                <w:rFonts w:hint="eastAsia" w:ascii="宋体" w:hAnsi="宋体" w:cs="宋体"/>
                <w:color w:val="auto"/>
                <w:kern w:val="0"/>
                <w:sz w:val="20"/>
                <w:szCs w:val="20"/>
                <w:highlight w:val="none"/>
              </w:rPr>
              <w:t>　</w:t>
            </w:r>
          </w:p>
        </w:tc>
        <w:tc>
          <w:tcPr>
            <w:tcW w:w="1003" w:type="pct"/>
            <w:gridSpan w:val="4"/>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w:t>
            </w:r>
          </w:p>
        </w:tc>
        <w:tc>
          <w:tcPr>
            <w:tcW w:w="446" w:type="pct"/>
            <w:gridSpan w:val="4"/>
            <w:tcBorders>
              <w:top w:val="nil"/>
              <w:left w:val="nil"/>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3.12</w:t>
            </w:r>
            <w:r>
              <w:rPr>
                <w:rFonts w:hint="eastAsia" w:ascii="宋体" w:hAnsi="宋体" w:cs="宋体"/>
                <w:color w:val="auto"/>
                <w:kern w:val="0"/>
                <w:sz w:val="20"/>
                <w:szCs w:val="20"/>
                <w:highlight w:val="none"/>
              </w:rPr>
              <w:t>　</w:t>
            </w:r>
          </w:p>
        </w:tc>
        <w:tc>
          <w:tcPr>
            <w:tcW w:w="1092" w:type="pct"/>
            <w:gridSpan w:val="3"/>
            <w:tcBorders>
              <w:top w:val="single" w:color="auto" w:sz="4" w:space="0"/>
              <w:left w:val="single" w:color="auto" w:sz="4" w:space="0"/>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结转结余率=结转结余总额/支出</w:t>
            </w:r>
            <w:r>
              <w:rPr>
                <w:rFonts w:hint="eastAsia" w:ascii="宋体" w:hAnsi="宋体" w:cs="宋体"/>
                <w:color w:val="auto"/>
                <w:kern w:val="0"/>
                <w:sz w:val="18"/>
                <w:szCs w:val="18"/>
                <w:highlight w:val="none"/>
                <w:lang w:eastAsia="zh-CN"/>
              </w:rPr>
              <w:t>全年</w:t>
            </w:r>
            <w:r>
              <w:rPr>
                <w:rFonts w:hint="eastAsia" w:ascii="宋体" w:hAnsi="宋体" w:cs="宋体"/>
                <w:color w:val="auto"/>
                <w:kern w:val="0"/>
                <w:sz w:val="18"/>
                <w:szCs w:val="18"/>
                <w:highlight w:val="none"/>
              </w:rPr>
              <w:t>预算数×100%。</w:t>
            </w:r>
            <w:r>
              <w:rPr>
                <w:rFonts w:hint="eastAsia" w:ascii="宋体" w:hAnsi="宋体" w:cs="宋体"/>
                <w:color w:val="auto"/>
                <w:kern w:val="0"/>
                <w:sz w:val="18"/>
                <w:szCs w:val="18"/>
                <w:highlight w:val="none"/>
              </w:rPr>
              <w:br w:type="textWrapping"/>
            </w:r>
            <w:r>
              <w:rPr>
                <w:rFonts w:hint="eastAsia" w:ascii="宋体" w:hAnsi="宋体" w:cs="宋体"/>
                <w:color w:val="auto"/>
                <w:kern w:val="0"/>
                <w:sz w:val="18"/>
                <w:szCs w:val="18"/>
                <w:highlight w:val="none"/>
              </w:rPr>
              <w:t>结转结余总额：部门（单位）本年度的结转资金与结余资金之和。</w:t>
            </w:r>
          </w:p>
        </w:tc>
        <w:tc>
          <w:tcPr>
            <w:tcW w:w="1219" w:type="pct"/>
            <w:gridSpan w:val="3"/>
            <w:tcBorders>
              <w:top w:val="single" w:color="auto" w:sz="4" w:space="0"/>
              <w:left w:val="nil"/>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r>
              <w:rPr>
                <w:rFonts w:hint="eastAsia" w:ascii="宋体" w:hAnsi="宋体" w:cs="宋体"/>
                <w:color w:val="auto"/>
                <w:kern w:val="0"/>
                <w:sz w:val="18"/>
                <w:szCs w:val="18"/>
                <w:highlight w:val="none"/>
              </w:rPr>
              <w:t>部门结转结余率低于上年的不扣分；高于上年结余率，每高出1个百分点扣0.4分，扣完为止。（说明：预算调整和结转结余指标，如非预算部门主观因素导致扣分的，在评分结果征求意见环节，经与相关部门预算主管处室共同研究，可作为例外情况酌情考虑。</w:t>
            </w:r>
          </w:p>
        </w:tc>
      </w:tr>
      <w:tr>
        <w:tblPrEx>
          <w:tblCellMar>
            <w:top w:w="0" w:type="dxa"/>
            <w:left w:w="108" w:type="dxa"/>
            <w:bottom w:w="0" w:type="dxa"/>
            <w:right w:w="108" w:type="dxa"/>
          </w:tblCellMar>
        </w:tblPrEx>
        <w:trPr>
          <w:trHeight w:val="560" w:hRule="atLeast"/>
        </w:trPr>
        <w:tc>
          <w:tcPr>
            <w:tcW w:w="152" w:type="pct"/>
            <w:vMerge w:val="continue"/>
            <w:tcBorders>
              <w:top w:val="nil"/>
              <w:left w:val="single" w:color="auto" w:sz="4" w:space="0"/>
              <w:bottom w:val="single" w:color="000000" w:sz="4" w:space="0"/>
              <w:right w:val="single" w:color="auto" w:sz="4" w:space="0"/>
            </w:tcBorders>
            <w:noWrap/>
            <w:vAlign w:val="center"/>
          </w:tcPr>
          <w:p>
            <w:pPr>
              <w:widowControl/>
              <w:jc w:val="left"/>
              <w:rPr>
                <w:rFonts w:ascii="宋体" w:hAnsi="宋体" w:cs="宋体"/>
                <w:color w:val="auto"/>
                <w:kern w:val="0"/>
                <w:sz w:val="20"/>
                <w:szCs w:val="20"/>
                <w:highlight w:val="none"/>
              </w:rPr>
            </w:pPr>
          </w:p>
        </w:tc>
        <w:tc>
          <w:tcPr>
            <w:tcW w:w="137" w:type="pct"/>
            <w:tcBorders>
              <w:top w:val="nil"/>
              <w:left w:val="nil"/>
              <w:bottom w:val="single" w:color="auto" w:sz="4" w:space="0"/>
              <w:right w:val="single" w:color="auto" w:sz="4" w:space="0"/>
            </w:tcBorders>
            <w:noWrap/>
            <w:vAlign w:val="center"/>
          </w:tcPr>
          <w:p>
            <w:pPr>
              <w:widowControl/>
              <w:rPr>
                <w:rFonts w:ascii="宋体" w:hAnsi="宋体" w:cs="宋体"/>
                <w:color w:val="auto"/>
                <w:kern w:val="0"/>
                <w:sz w:val="20"/>
                <w:szCs w:val="20"/>
                <w:highlight w:val="none"/>
              </w:rPr>
            </w:pPr>
            <w:r>
              <w:rPr>
                <w:rFonts w:hint="eastAsia" w:ascii="宋体" w:hAnsi="宋体" w:cs="宋体"/>
                <w:color w:val="auto"/>
                <w:kern w:val="0"/>
                <w:sz w:val="20"/>
                <w:szCs w:val="20"/>
                <w:highlight w:val="none"/>
              </w:rPr>
              <w:t>部门预决算差异率（4）</w:t>
            </w:r>
          </w:p>
        </w:tc>
        <w:tc>
          <w:tcPr>
            <w:tcW w:w="298" w:type="pct"/>
            <w:gridSpan w:val="2"/>
            <w:tcBorders>
              <w:top w:val="single" w:color="auto" w:sz="4" w:space="0"/>
              <w:left w:val="nil"/>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w:t>
            </w:r>
          </w:p>
        </w:tc>
        <w:tc>
          <w:tcPr>
            <w:tcW w:w="649" w:type="pct"/>
            <w:gridSpan w:val="3"/>
            <w:tcBorders>
              <w:top w:val="nil"/>
              <w:left w:val="single" w:color="auto" w:sz="4" w:space="0"/>
              <w:bottom w:val="single" w:color="auto" w:sz="4" w:space="0"/>
              <w:right w:val="single" w:color="auto" w:sz="4" w:space="0"/>
            </w:tcBorders>
            <w:noWrap/>
            <w:vAlign w:val="center"/>
          </w:tcPr>
          <w:p>
            <w:pPr>
              <w:widowControl/>
              <w:jc w:val="center"/>
              <w:rPr>
                <w:rFonts w:hint="eastAsia" w:ascii="宋体" w:hAnsi="宋体" w:cs="宋体"/>
                <w:color w:val="auto"/>
                <w:kern w:val="0"/>
                <w:sz w:val="20"/>
                <w:szCs w:val="20"/>
                <w:highlight w:val="none"/>
                <w:lang w:val="en-US" w:eastAsia="zh-CN"/>
              </w:rPr>
            </w:pPr>
          </w:p>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0.98</w:t>
            </w:r>
            <w:r>
              <w:rPr>
                <w:rFonts w:hint="eastAsia" w:ascii="宋体" w:hAnsi="宋体" w:cs="宋体"/>
                <w:color w:val="auto"/>
                <w:kern w:val="0"/>
                <w:sz w:val="20"/>
                <w:szCs w:val="20"/>
                <w:highlight w:val="none"/>
              </w:rPr>
              <w:t>%</w:t>
            </w:r>
          </w:p>
          <w:p>
            <w:pPr>
              <w:widowControl/>
              <w:jc w:val="center"/>
              <w:rPr>
                <w:rFonts w:ascii="宋体" w:hAnsi="宋体" w:cs="宋体"/>
                <w:color w:val="auto"/>
                <w:kern w:val="0"/>
                <w:sz w:val="20"/>
                <w:szCs w:val="20"/>
                <w:highlight w:val="none"/>
              </w:rPr>
            </w:pPr>
          </w:p>
        </w:tc>
        <w:tc>
          <w:tcPr>
            <w:tcW w:w="1003" w:type="pct"/>
            <w:gridSpan w:val="4"/>
            <w:tcBorders>
              <w:top w:val="nil"/>
              <w:left w:val="nil"/>
              <w:bottom w:val="single" w:color="auto" w:sz="4" w:space="0"/>
              <w:right w:val="single" w:color="auto" w:sz="4" w:space="0"/>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w:t>
            </w:r>
          </w:p>
        </w:tc>
        <w:tc>
          <w:tcPr>
            <w:tcW w:w="446" w:type="pct"/>
            <w:gridSpan w:val="4"/>
            <w:tcBorders>
              <w:top w:val="nil"/>
              <w:left w:val="nil"/>
              <w:bottom w:val="single" w:color="auto" w:sz="4" w:space="0"/>
              <w:right w:val="nil"/>
            </w:tcBorders>
            <w:noWrap/>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4　</w:t>
            </w:r>
          </w:p>
        </w:tc>
        <w:tc>
          <w:tcPr>
            <w:tcW w:w="1092" w:type="pct"/>
            <w:gridSpan w:val="3"/>
            <w:tcBorders>
              <w:top w:val="nil"/>
              <w:left w:val="single" w:color="auto" w:sz="4" w:space="0"/>
              <w:bottom w:val="single" w:color="auto" w:sz="4" w:space="0"/>
              <w:right w:val="single" w:color="auto" w:sz="4" w:space="0"/>
            </w:tcBorders>
            <w:noWrap/>
            <w:vAlign w:val="center"/>
          </w:tcPr>
          <w:p>
            <w:pPr>
              <w:widowControl/>
              <w:jc w:val="left"/>
              <w:rPr>
                <w:rFonts w:hint="default" w:ascii="宋体" w:hAnsi="宋体" w:eastAsia="宋体" w:cs="宋体"/>
                <w:color w:val="auto"/>
                <w:kern w:val="0"/>
                <w:sz w:val="18"/>
                <w:szCs w:val="18"/>
                <w:highlight w:val="none"/>
                <w:lang w:val="en-US" w:eastAsia="zh-CN"/>
              </w:rPr>
            </w:pPr>
            <w:r>
              <w:rPr>
                <w:rFonts w:hint="eastAsia" w:ascii="宋体" w:hAnsi="宋体" w:cs="宋体"/>
                <w:color w:val="auto"/>
                <w:kern w:val="0"/>
                <w:sz w:val="18"/>
                <w:szCs w:val="18"/>
                <w:highlight w:val="none"/>
              </w:rPr>
              <w:t>通过年度部门决算与年初部门预算对比，对部门的年度支出情况进行考核，衡量部门预算的约束力。</w:t>
            </w:r>
            <w:r>
              <w:rPr>
                <w:rFonts w:hint="eastAsia" w:ascii="宋体" w:hAnsi="宋体" w:cs="宋体"/>
                <w:color w:val="auto"/>
                <w:kern w:val="0"/>
                <w:sz w:val="18"/>
                <w:szCs w:val="18"/>
                <w:highlight w:val="none"/>
                <w:lang w:eastAsia="zh-CN"/>
              </w:rPr>
              <w:t>年初预算数与全年预算数比较（全年</w:t>
            </w:r>
            <w:r>
              <w:rPr>
                <w:rFonts w:hint="eastAsia" w:ascii="宋体" w:hAnsi="宋体" w:cs="宋体"/>
                <w:color w:val="auto"/>
                <w:kern w:val="0"/>
                <w:sz w:val="18"/>
                <w:szCs w:val="18"/>
                <w:highlight w:val="none"/>
                <w:lang w:val="en-US" w:eastAsia="zh-CN"/>
              </w:rPr>
              <w:t>-年初</w:t>
            </w:r>
            <w:r>
              <w:rPr>
                <w:rFonts w:hint="eastAsia" w:ascii="宋体" w:hAnsi="宋体" w:cs="宋体"/>
                <w:color w:val="auto"/>
                <w:kern w:val="0"/>
                <w:sz w:val="18"/>
                <w:szCs w:val="18"/>
                <w:highlight w:val="none"/>
                <w:lang w:eastAsia="zh-CN"/>
              </w:rPr>
              <w:t>）</w:t>
            </w:r>
            <w:r>
              <w:rPr>
                <w:rFonts w:hint="eastAsia" w:ascii="宋体" w:hAnsi="宋体" w:cs="宋体"/>
                <w:color w:val="auto"/>
                <w:kern w:val="0"/>
                <w:sz w:val="18"/>
                <w:szCs w:val="18"/>
                <w:highlight w:val="none"/>
                <w:lang w:val="en-US" w:eastAsia="zh-CN"/>
              </w:rPr>
              <w:t>/年初</w:t>
            </w:r>
          </w:p>
        </w:tc>
        <w:tc>
          <w:tcPr>
            <w:tcW w:w="1219" w:type="pct"/>
            <w:gridSpan w:val="3"/>
            <w:tcBorders>
              <w:top w:val="nil"/>
              <w:left w:val="nil"/>
              <w:bottom w:val="single" w:color="auto" w:sz="4" w:space="0"/>
              <w:right w:val="single" w:color="auto" w:sz="4" w:space="0"/>
            </w:tcBorders>
            <w:noWrap/>
            <w:vAlign w:val="center"/>
          </w:tcPr>
          <w:p>
            <w:pPr>
              <w:widowControl/>
              <w:jc w:val="left"/>
              <w:rPr>
                <w:rFonts w:ascii="宋体" w:hAnsi="宋体" w:cs="宋体"/>
                <w:color w:val="auto"/>
                <w:kern w:val="0"/>
                <w:sz w:val="18"/>
                <w:szCs w:val="18"/>
                <w:highlight w:val="none"/>
              </w:rPr>
            </w:pPr>
          </w:p>
        </w:tc>
      </w:tr>
      <w:tr>
        <w:tblPrEx>
          <w:tblCellMar>
            <w:top w:w="0" w:type="dxa"/>
            <w:left w:w="108" w:type="dxa"/>
            <w:bottom w:w="0" w:type="dxa"/>
            <w:right w:w="108" w:type="dxa"/>
          </w:tblCellMar>
        </w:tblPrEx>
        <w:trPr>
          <w:trHeight w:val="404" w:hRule="atLeast"/>
        </w:trPr>
        <w:tc>
          <w:tcPr>
            <w:tcW w:w="1238" w:type="pct"/>
            <w:gridSpan w:val="7"/>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合计</w:t>
            </w:r>
          </w:p>
        </w:tc>
        <w:tc>
          <w:tcPr>
            <w:tcW w:w="1003" w:type="pct"/>
            <w:gridSpan w:val="4"/>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100</w:t>
            </w:r>
          </w:p>
        </w:tc>
        <w:tc>
          <w:tcPr>
            <w:tcW w:w="446" w:type="pct"/>
            <w:gridSpan w:val="4"/>
            <w:tcBorders>
              <w:top w:val="nil"/>
              <w:left w:val="nil"/>
              <w:bottom w:val="single" w:color="auto" w:sz="4" w:space="0"/>
              <w:right w:val="nil"/>
            </w:tcBorders>
            <w:noWrap/>
            <w:vAlign w:val="center"/>
          </w:tcPr>
          <w:p>
            <w:pPr>
              <w:widowControl/>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95.93</w:t>
            </w:r>
          </w:p>
        </w:tc>
        <w:tc>
          <w:tcPr>
            <w:tcW w:w="2311" w:type="pct"/>
            <w:gridSpan w:val="6"/>
            <w:tcBorders>
              <w:top w:val="single" w:color="auto" w:sz="4" w:space="0"/>
              <w:left w:val="single" w:color="auto" w:sz="4" w:space="0"/>
              <w:bottom w:val="single" w:color="auto" w:sz="4" w:space="0"/>
              <w:right w:val="single" w:color="000000" w:sz="4" w:space="0"/>
            </w:tcBorders>
            <w:noWrap/>
            <w:vAlign w:val="center"/>
          </w:tcPr>
          <w:p>
            <w:pPr>
              <w:widowControl/>
              <w:jc w:val="center"/>
              <w:rPr>
                <w:rFonts w:ascii="宋体" w:hAnsi="宋体" w:cs="宋体"/>
                <w:color w:val="000000"/>
                <w:kern w:val="0"/>
                <w:sz w:val="18"/>
                <w:szCs w:val="18"/>
              </w:rPr>
            </w:pPr>
            <w:r>
              <w:rPr>
                <w:rFonts w:hint="eastAsia" w:ascii="宋体" w:hAnsi="宋体" w:cs="宋体"/>
                <w:color w:val="000000"/>
                <w:kern w:val="0"/>
                <w:sz w:val="18"/>
                <w:szCs w:val="18"/>
              </w:rPr>
              <w:t>　</w:t>
            </w:r>
          </w:p>
        </w:tc>
      </w:tr>
    </w:tbl>
    <w:p>
      <w:pPr>
        <w:spacing w:line="20" w:lineRule="exact"/>
        <w:ind w:left="-21" w:leftChars="-10" w:right="42" w:rightChars="20"/>
      </w:pPr>
    </w:p>
    <w:p>
      <w:pPr>
        <w:spacing w:line="600" w:lineRule="exact"/>
        <w:ind w:firstLine="640" w:firstLineChars="200"/>
        <w:rPr>
          <w:rFonts w:ascii="仿宋_GB2312" w:hAnsi="宋体" w:eastAsia="仿宋_GB2312" w:cs="宋体"/>
          <w:color w:val="000000"/>
          <w:kern w:val="0"/>
          <w:sz w:val="32"/>
          <w:szCs w:val="32"/>
        </w:rPr>
      </w:pPr>
    </w:p>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widowControl/>
        <w:jc w:val="center"/>
        <w:rPr>
          <w:rFonts w:ascii="方正小标宋简体" w:hAnsi="黑体" w:eastAsia="方正小标宋简体" w:cs="宋体"/>
          <w:color w:val="auto"/>
          <w:kern w:val="0"/>
          <w:sz w:val="44"/>
          <w:szCs w:val="44"/>
          <w:highlight w:val="none"/>
        </w:rPr>
        <w:sectPr>
          <w:footerReference r:id="rId3" w:type="default"/>
          <w:pgSz w:w="16838" w:h="11906" w:orient="landscape"/>
          <w:pgMar w:top="1803" w:right="1440" w:bottom="1803" w:left="1440" w:header="851" w:footer="992" w:gutter="0"/>
          <w:pgNumType w:fmt="numberInDash"/>
          <w:cols w:space="0" w:num="1"/>
          <w:rtlGutter w:val="0"/>
          <w:docGrid w:type="lines" w:linePitch="319" w:charSpace="0"/>
        </w:sectPr>
      </w:pPr>
    </w:p>
    <w:p/>
    <w:sectPr>
      <w:pgSz w:w="16838" w:h="11906" w:orient="landscape"/>
      <w:pgMar w:top="1800" w:right="1440" w:bottom="1800" w:left="144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FZFangSong-Z02">
    <w:panose1 w:val="02000000000000000000"/>
    <w:charset w:val="86"/>
    <w:family w:val="script"/>
    <w:pitch w:val="default"/>
    <w:sig w:usb0="00000001" w:usb1="0800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楷体_GB2312">
    <w:altName w:val="方正楷体_GBK"/>
    <w:panose1 w:val="00000000000000000000"/>
    <w:charset w:val="86"/>
    <w:family w:val="modern"/>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仿宋_GBK">
    <w:panose1 w:val="02000000000000000000"/>
    <w:charset w:val="86"/>
    <w:family w:val="auto"/>
    <w:pitch w:val="default"/>
    <w:sig w:usb0="00000001" w:usb1="08000000" w:usb2="00000000" w:usb3="00000000" w:csb0="00040000" w:csb1="00000000"/>
  </w:font>
  <w:font w:name="方正楷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rPr>
        <w:rFonts w:ascii="宋体" w:hAnsi="宋体"/>
        <w:sz w:val="28"/>
        <w:szCs w:val="28"/>
      </w:rPr>
    </w:pPr>
    <w:r>
      <w:rPr>
        <w:sz w:val="28"/>
      </w:rPr>
      <w:pict>
        <v:shape id="_x0000_s1027" o:spid="_x0000_s1027" o:spt="202" type="#_x0000_t202" style="position:absolute;left:0pt;margin-top:0pt;height:144pt;width:144pt;mso-position-horizontal:righ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path/>
          <v:fill on="f" focussize="0,0"/>
          <v:stroke on="f" weight="0.5pt" joinstyle="miter"/>
          <v:imagedata o:title=""/>
          <o:lock v:ext="edit"/>
          <v:textbox inset="0mm,0mm,0mm,0mm" style="mso-fit-shape-to-text:t;">
            <w:txbxContent>
              <w:p>
                <w:pPr>
                  <w:pStyle w:val="7"/>
                  <w:jc w:val="right"/>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15 -</w:t>
                </w:r>
                <w:r>
                  <w:rPr>
                    <w:rFonts w:ascii="宋体" w:hAnsi="宋体"/>
                    <w:sz w:val="28"/>
                    <w:szCs w:val="28"/>
                  </w:rPr>
                  <w:fldChar w:fldCharType="end"/>
                </w:r>
              </w:p>
            </w:txbxContent>
          </v:textbox>
        </v:shape>
      </w:pict>
    </w:r>
  </w:p>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true"/>
  <w:bordersDoNotSurroundFooter w:val="true"/>
  <w:documentProtection w:enforcement="0"/>
  <w:defaultTabStop w:val="420"/>
  <w:drawingGridVerticalSpacing w:val="159"/>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F77F09F4"/>
    <w:rsid w:val="00006BEE"/>
    <w:rsid w:val="0002597E"/>
    <w:rsid w:val="00033C6A"/>
    <w:rsid w:val="00050BEB"/>
    <w:rsid w:val="000516E7"/>
    <w:rsid w:val="0006349B"/>
    <w:rsid w:val="00093F8A"/>
    <w:rsid w:val="000D00B6"/>
    <w:rsid w:val="000D14C8"/>
    <w:rsid w:val="000F1A60"/>
    <w:rsid w:val="0010287D"/>
    <w:rsid w:val="00106500"/>
    <w:rsid w:val="0012395C"/>
    <w:rsid w:val="00125A94"/>
    <w:rsid w:val="00130F67"/>
    <w:rsid w:val="001310E3"/>
    <w:rsid w:val="00131A54"/>
    <w:rsid w:val="00136928"/>
    <w:rsid w:val="00172121"/>
    <w:rsid w:val="001C6432"/>
    <w:rsid w:val="001F4D65"/>
    <w:rsid w:val="001F5DBB"/>
    <w:rsid w:val="00210D13"/>
    <w:rsid w:val="002312A1"/>
    <w:rsid w:val="00244A5E"/>
    <w:rsid w:val="00246150"/>
    <w:rsid w:val="0024715E"/>
    <w:rsid w:val="00255D9E"/>
    <w:rsid w:val="00256103"/>
    <w:rsid w:val="002569E6"/>
    <w:rsid w:val="0025767B"/>
    <w:rsid w:val="00260F6D"/>
    <w:rsid w:val="00262896"/>
    <w:rsid w:val="002713D5"/>
    <w:rsid w:val="00280E24"/>
    <w:rsid w:val="002A2000"/>
    <w:rsid w:val="002D0051"/>
    <w:rsid w:val="002F42C1"/>
    <w:rsid w:val="003158A1"/>
    <w:rsid w:val="003261E7"/>
    <w:rsid w:val="003576B9"/>
    <w:rsid w:val="003753F6"/>
    <w:rsid w:val="00380AC4"/>
    <w:rsid w:val="0039462A"/>
    <w:rsid w:val="003A5E1B"/>
    <w:rsid w:val="003B008E"/>
    <w:rsid w:val="003B1779"/>
    <w:rsid w:val="003E67BC"/>
    <w:rsid w:val="003F735B"/>
    <w:rsid w:val="00407AFF"/>
    <w:rsid w:val="00411859"/>
    <w:rsid w:val="0041639B"/>
    <w:rsid w:val="00416D78"/>
    <w:rsid w:val="00437B44"/>
    <w:rsid w:val="00441EDF"/>
    <w:rsid w:val="0046753E"/>
    <w:rsid w:val="0047342E"/>
    <w:rsid w:val="00487357"/>
    <w:rsid w:val="00495B68"/>
    <w:rsid w:val="004B1067"/>
    <w:rsid w:val="004E44E5"/>
    <w:rsid w:val="004E4B1D"/>
    <w:rsid w:val="00502E8F"/>
    <w:rsid w:val="005074F5"/>
    <w:rsid w:val="00516FED"/>
    <w:rsid w:val="00542DCC"/>
    <w:rsid w:val="00567495"/>
    <w:rsid w:val="0056774E"/>
    <w:rsid w:val="0057054B"/>
    <w:rsid w:val="005B4C4F"/>
    <w:rsid w:val="005D5C33"/>
    <w:rsid w:val="005E35FE"/>
    <w:rsid w:val="005F0638"/>
    <w:rsid w:val="00617847"/>
    <w:rsid w:val="006223B6"/>
    <w:rsid w:val="00645F7A"/>
    <w:rsid w:val="0069736D"/>
    <w:rsid w:val="006A0D9A"/>
    <w:rsid w:val="006A5852"/>
    <w:rsid w:val="006C1178"/>
    <w:rsid w:val="006D446B"/>
    <w:rsid w:val="006D4B3F"/>
    <w:rsid w:val="006F1D54"/>
    <w:rsid w:val="006F3652"/>
    <w:rsid w:val="00732710"/>
    <w:rsid w:val="00737C82"/>
    <w:rsid w:val="00767B4F"/>
    <w:rsid w:val="00770301"/>
    <w:rsid w:val="00772135"/>
    <w:rsid w:val="00773E71"/>
    <w:rsid w:val="0079738E"/>
    <w:rsid w:val="007A3DA1"/>
    <w:rsid w:val="007D0D28"/>
    <w:rsid w:val="007D7034"/>
    <w:rsid w:val="007F2855"/>
    <w:rsid w:val="00805250"/>
    <w:rsid w:val="00851866"/>
    <w:rsid w:val="008705C8"/>
    <w:rsid w:val="00877B37"/>
    <w:rsid w:val="00896FA8"/>
    <w:rsid w:val="008B0DE6"/>
    <w:rsid w:val="008B56C9"/>
    <w:rsid w:val="008C0063"/>
    <w:rsid w:val="008F032E"/>
    <w:rsid w:val="008F3732"/>
    <w:rsid w:val="00901174"/>
    <w:rsid w:val="00902236"/>
    <w:rsid w:val="009266CF"/>
    <w:rsid w:val="00931C07"/>
    <w:rsid w:val="00933C5C"/>
    <w:rsid w:val="0095067B"/>
    <w:rsid w:val="00951F63"/>
    <w:rsid w:val="00952535"/>
    <w:rsid w:val="00960258"/>
    <w:rsid w:val="009811EF"/>
    <w:rsid w:val="009A2484"/>
    <w:rsid w:val="009A4DEA"/>
    <w:rsid w:val="009B2930"/>
    <w:rsid w:val="009B47F8"/>
    <w:rsid w:val="009E1A43"/>
    <w:rsid w:val="00A30CB5"/>
    <w:rsid w:val="00A313F9"/>
    <w:rsid w:val="00A414AE"/>
    <w:rsid w:val="00A46C02"/>
    <w:rsid w:val="00A61D2E"/>
    <w:rsid w:val="00A8238E"/>
    <w:rsid w:val="00A91FA4"/>
    <w:rsid w:val="00A959B2"/>
    <w:rsid w:val="00AB67D0"/>
    <w:rsid w:val="00AC30DF"/>
    <w:rsid w:val="00B37E24"/>
    <w:rsid w:val="00B444D2"/>
    <w:rsid w:val="00B5459C"/>
    <w:rsid w:val="00B5666F"/>
    <w:rsid w:val="00B63B5D"/>
    <w:rsid w:val="00B96D94"/>
    <w:rsid w:val="00BB41EC"/>
    <w:rsid w:val="00BB725C"/>
    <w:rsid w:val="00BE7361"/>
    <w:rsid w:val="00C20FA5"/>
    <w:rsid w:val="00C32878"/>
    <w:rsid w:val="00C35CFB"/>
    <w:rsid w:val="00C67330"/>
    <w:rsid w:val="00C737BE"/>
    <w:rsid w:val="00C83D26"/>
    <w:rsid w:val="00C87FE5"/>
    <w:rsid w:val="00CA3121"/>
    <w:rsid w:val="00CD75A4"/>
    <w:rsid w:val="00CE2EAA"/>
    <w:rsid w:val="00CF0978"/>
    <w:rsid w:val="00D06D59"/>
    <w:rsid w:val="00D57D67"/>
    <w:rsid w:val="00D831A9"/>
    <w:rsid w:val="00D84802"/>
    <w:rsid w:val="00DB567B"/>
    <w:rsid w:val="00DC1E33"/>
    <w:rsid w:val="00E0616A"/>
    <w:rsid w:val="00E2619D"/>
    <w:rsid w:val="00E43ED6"/>
    <w:rsid w:val="00E45CEB"/>
    <w:rsid w:val="00EA5F1D"/>
    <w:rsid w:val="00EC0005"/>
    <w:rsid w:val="00EC5F15"/>
    <w:rsid w:val="00EF56B0"/>
    <w:rsid w:val="00F06A95"/>
    <w:rsid w:val="00F13A1F"/>
    <w:rsid w:val="00F27DAE"/>
    <w:rsid w:val="00F367F9"/>
    <w:rsid w:val="00F8482C"/>
    <w:rsid w:val="00FA0A45"/>
    <w:rsid w:val="00FB0EDC"/>
    <w:rsid w:val="00FB3386"/>
    <w:rsid w:val="00FC31E7"/>
    <w:rsid w:val="0ECF9C51"/>
    <w:rsid w:val="1FD93E06"/>
    <w:rsid w:val="22FFF354"/>
    <w:rsid w:val="2BFD75F2"/>
    <w:rsid w:val="35FF2FFA"/>
    <w:rsid w:val="3657BCD7"/>
    <w:rsid w:val="36BFD4EC"/>
    <w:rsid w:val="37173543"/>
    <w:rsid w:val="379E2BF3"/>
    <w:rsid w:val="3FD39F36"/>
    <w:rsid w:val="3FDC58D9"/>
    <w:rsid w:val="3FF76880"/>
    <w:rsid w:val="5B73F692"/>
    <w:rsid w:val="5EFB03D4"/>
    <w:rsid w:val="777EE2E9"/>
    <w:rsid w:val="77A51A42"/>
    <w:rsid w:val="79BF7A4C"/>
    <w:rsid w:val="7AB7FF50"/>
    <w:rsid w:val="7BCF3315"/>
    <w:rsid w:val="7BFEB0DB"/>
    <w:rsid w:val="7DA54C43"/>
    <w:rsid w:val="7DD54D6C"/>
    <w:rsid w:val="7DEE490F"/>
    <w:rsid w:val="7DF6858C"/>
    <w:rsid w:val="7EBDD1F4"/>
    <w:rsid w:val="7EFF20AF"/>
    <w:rsid w:val="7F6B0512"/>
    <w:rsid w:val="7F7ECD21"/>
    <w:rsid w:val="7FAEFAEE"/>
    <w:rsid w:val="7FD7A52F"/>
    <w:rsid w:val="7FEF5D58"/>
    <w:rsid w:val="7FF59B63"/>
    <w:rsid w:val="7FFF3306"/>
    <w:rsid w:val="9AEFF9CB"/>
    <w:rsid w:val="9FEE6BB8"/>
    <w:rsid w:val="B3FBB058"/>
    <w:rsid w:val="B5BD11FE"/>
    <w:rsid w:val="BBEEF296"/>
    <w:rsid w:val="BDBD8C3B"/>
    <w:rsid w:val="BF7B38EF"/>
    <w:rsid w:val="BFBF23E9"/>
    <w:rsid w:val="BFCCA0B7"/>
    <w:rsid w:val="BFDF644D"/>
    <w:rsid w:val="C36F37B1"/>
    <w:rsid w:val="CEFD3F3D"/>
    <w:rsid w:val="D5EBDFC4"/>
    <w:rsid w:val="D8FF4829"/>
    <w:rsid w:val="DAF76604"/>
    <w:rsid w:val="DC7972E3"/>
    <w:rsid w:val="DDBF4103"/>
    <w:rsid w:val="DEFA29DF"/>
    <w:rsid w:val="DF5FFA8F"/>
    <w:rsid w:val="DF7E0247"/>
    <w:rsid w:val="E3F71357"/>
    <w:rsid w:val="E9BFD0D3"/>
    <w:rsid w:val="EA3F77F2"/>
    <w:rsid w:val="EAEFF65F"/>
    <w:rsid w:val="EDB8F44D"/>
    <w:rsid w:val="EEFE5989"/>
    <w:rsid w:val="EFCF3EAE"/>
    <w:rsid w:val="F5B764A2"/>
    <w:rsid w:val="F6EFB25A"/>
    <w:rsid w:val="F77F09F4"/>
    <w:rsid w:val="F77FD56D"/>
    <w:rsid w:val="F9BFB98D"/>
    <w:rsid w:val="F9EF45FF"/>
    <w:rsid w:val="FBAF3F0C"/>
    <w:rsid w:val="FBFFFC41"/>
    <w:rsid w:val="FD7F0FD8"/>
    <w:rsid w:val="FDDB954A"/>
    <w:rsid w:val="FDF7C377"/>
    <w:rsid w:val="FEAF9A49"/>
    <w:rsid w:val="FF98CE20"/>
    <w:rsid w:val="FFD7BFFC"/>
    <w:rsid w:val="FFFBFD3A"/>
    <w:rsid w:val="FFFF6AB7"/>
    <w:rsid w:val="FFFFA82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Normal Indent"/>
    <w:basedOn w:val="1"/>
    <w:next w:val="4"/>
    <w:qFormat/>
    <w:uiPriority w:val="0"/>
    <w:pPr>
      <w:ind w:firstLine="880" w:firstLineChars="200"/>
    </w:pPr>
    <w:rPr>
      <w:rFonts w:ascii="Calibri" w:hAnsi="Calibri"/>
    </w:rPr>
  </w:style>
  <w:style w:type="paragraph" w:styleId="4">
    <w:name w:val="Body Text Indent"/>
    <w:basedOn w:val="1"/>
    <w:next w:val="3"/>
    <w:unhideWhenUsed/>
    <w:qFormat/>
    <w:uiPriority w:val="99"/>
    <w:pPr>
      <w:spacing w:after="120"/>
      <w:ind w:left="420" w:leftChars="200"/>
    </w:pPr>
  </w:style>
  <w:style w:type="paragraph" w:styleId="5">
    <w:name w:val="Body Text"/>
    <w:basedOn w:val="1"/>
    <w:next w:val="1"/>
    <w:qFormat/>
    <w:uiPriority w:val="0"/>
    <w:pPr>
      <w:spacing w:before="0" w:after="140" w:line="276" w:lineRule="auto"/>
    </w:pPr>
  </w:style>
  <w:style w:type="paragraph" w:styleId="6">
    <w:name w:val="Plain Text"/>
    <w:basedOn w:val="1"/>
    <w:qFormat/>
    <w:uiPriority w:val="0"/>
    <w:rPr>
      <w:rFonts w:ascii="宋体" w:hAnsi="Courier New" w:cs="Courier New"/>
      <w:szCs w:val="21"/>
    </w:rPr>
  </w:style>
  <w:style w:type="paragraph" w:styleId="7">
    <w:name w:val="footer"/>
    <w:basedOn w:val="1"/>
    <w:qFormat/>
    <w:uiPriority w:val="99"/>
    <w:pPr>
      <w:tabs>
        <w:tab w:val="center" w:pos="4153"/>
        <w:tab w:val="right" w:pos="8306"/>
      </w:tabs>
      <w:snapToGrid w:val="0"/>
      <w:jc w:val="left"/>
    </w:pPr>
    <w:rPr>
      <w:sz w:val="18"/>
      <w:szCs w:val="20"/>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unhideWhenUsed/>
    <w:qFormat/>
    <w:uiPriority w:val="99"/>
    <w:rPr>
      <w:sz w:val="24"/>
    </w:rPr>
  </w:style>
  <w:style w:type="character" w:styleId="12">
    <w:name w:val="page number"/>
    <w:basedOn w:val="11"/>
    <w:qFormat/>
    <w:uiPriority w:val="0"/>
  </w:style>
  <w:style w:type="paragraph" w:customStyle="1" w:styleId="13">
    <w:name w:val="列出段落1"/>
    <w:basedOn w:val="1"/>
    <w:qFormat/>
    <w:uiPriority w:val="34"/>
    <w:pPr>
      <w:ind w:firstLine="420" w:firstLineChars="200"/>
    </w:pPr>
    <w:rPr>
      <w:rFonts w:ascii="Calibri" w:hAnsi="Calibri" w:cs="黑体"/>
      <w:szCs w:val="22"/>
    </w:rPr>
  </w:style>
  <w:style w:type="paragraph" w:styleId="14">
    <w:name w:val="List Paragraph"/>
    <w:basedOn w:val="1"/>
    <w:unhideWhenUsed/>
    <w:qFormat/>
    <w:uiPriority w:val="99"/>
    <w:pPr>
      <w:ind w:firstLine="420" w:firstLineChars="200"/>
    </w:pPr>
  </w:style>
  <w:style w:type="paragraph" w:customStyle="1" w:styleId="15">
    <w:name w:val="Default"/>
    <w:basedOn w:val="1"/>
    <w:qFormat/>
    <w:uiPriority w:val="99"/>
    <w:pPr>
      <w:autoSpaceDE w:val="0"/>
      <w:autoSpaceDN w:val="0"/>
      <w:adjustRightInd w:val="0"/>
      <w:jc w:val="left"/>
    </w:pPr>
    <w:rPr>
      <w:rFonts w:ascii="FZFangSong-Z02" w:hAnsi="FZFangSong-Z02" w:cs="宋体"/>
      <w:color w:val="000000"/>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1590</Words>
  <Characters>9066</Characters>
  <Lines>75</Lines>
  <Paragraphs>21</Paragraphs>
  <TotalTime>3</TotalTime>
  <ScaleCrop>false</ScaleCrop>
  <LinksUpToDate>false</LinksUpToDate>
  <CharactersWithSpaces>10635</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2022-03-16T11:16:00Z</dcterms:created>
  <dc:creator>user</dc:creator>
  <cp:lastModifiedBy>user</cp:lastModifiedBy>
  <cp:lastPrinted>2025-05-24T02:09:00Z</cp:lastPrinted>
  <dcterms:modified xsi:type="dcterms:W3CDTF">2025-08-27T08:51:11Z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ies>
</file>