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left" w:pos="1137"/>
          <w:tab w:val="left" w:pos="1343"/>
        </w:tabs>
        <w:spacing w:line="500" w:lineRule="exact"/>
        <w:ind w:firstLine="0"/>
        <w:jc w:val="center"/>
        <w:rPr>
          <w:rFonts w:hint="eastAsia" w:ascii="方正小标宋简体" w:hAnsi="方正小标宋简体" w:eastAsia="方正小标宋简体" w:cs="方正小标宋简体"/>
          <w:bCs/>
          <w:sz w:val="44"/>
          <w:szCs w:val="44"/>
          <w:lang w:eastAsia="zh-CN"/>
        </w:rPr>
      </w:pPr>
      <w:bookmarkStart w:id="0" w:name="_Toc6053"/>
      <w:bookmarkStart w:id="1" w:name="_Toc684"/>
      <w:bookmarkStart w:id="2" w:name="_Toc18391"/>
      <w:r>
        <w:rPr>
          <w:rFonts w:hint="eastAsia" w:ascii="方正小标宋简体" w:hAnsi="方正小标宋简体" w:eastAsia="方正小标宋简体" w:cs="方正小标宋简体"/>
          <w:bCs/>
          <w:sz w:val="44"/>
          <w:szCs w:val="44"/>
          <w:lang w:eastAsia="zh-CN"/>
        </w:rPr>
        <w:t>北京市延庆区</w:t>
      </w:r>
      <w:bookmarkEnd w:id="0"/>
      <w:bookmarkEnd w:id="1"/>
      <w:bookmarkEnd w:id="2"/>
      <w:r>
        <w:rPr>
          <w:rFonts w:hint="eastAsia" w:ascii="方正小标宋简体" w:hAnsi="方正小标宋简体" w:eastAsia="方正小标宋简体" w:cs="方正小标宋简体"/>
          <w:bCs/>
          <w:sz w:val="44"/>
          <w:szCs w:val="44"/>
          <w:lang w:eastAsia="zh-CN"/>
        </w:rPr>
        <w:t>人民法院</w:t>
      </w:r>
    </w:p>
    <w:p>
      <w:pPr>
        <w:pStyle w:val="7"/>
        <w:tabs>
          <w:tab w:val="left" w:pos="1137"/>
          <w:tab w:val="left" w:pos="1343"/>
        </w:tabs>
        <w:spacing w:line="500" w:lineRule="exact"/>
        <w:ind w:firstLine="0"/>
        <w:jc w:val="center"/>
        <w:rPr>
          <w:rFonts w:ascii="黑体" w:hAnsi="黑体" w:eastAsia="黑体"/>
          <w:b/>
          <w:sz w:val="44"/>
          <w:szCs w:val="44"/>
          <w:lang w:eastAsia="zh-CN"/>
        </w:rPr>
      </w:pPr>
      <w:r>
        <w:rPr>
          <w:rFonts w:hint="eastAsia" w:ascii="方正小标宋简体" w:hAnsi="方正小标宋简体" w:eastAsia="方正小标宋简体" w:cs="方正小标宋简体"/>
          <w:bCs/>
          <w:sz w:val="44"/>
          <w:szCs w:val="44"/>
          <w:lang w:eastAsia="zh-CN"/>
        </w:rPr>
        <w:t>安检工作经费项目</w:t>
      </w:r>
      <w:bookmarkStart w:id="3" w:name="_Toc15113"/>
      <w:bookmarkStart w:id="4" w:name="_Toc11438"/>
      <w:bookmarkStart w:id="5" w:name="_Toc13892"/>
      <w:r>
        <w:rPr>
          <w:rFonts w:hint="eastAsia" w:ascii="方正小标宋简体" w:hAnsi="方正小标宋简体" w:eastAsia="方正小标宋简体" w:cs="方正小标宋简体"/>
          <w:bCs/>
          <w:sz w:val="44"/>
          <w:szCs w:val="44"/>
          <w:lang w:eastAsia="zh-CN"/>
        </w:rPr>
        <w:t>绩效评价报告</w:t>
      </w:r>
      <w:bookmarkEnd w:id="3"/>
      <w:bookmarkEnd w:id="4"/>
      <w:bookmarkEnd w:id="5"/>
    </w:p>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6" w:name="_Toc10582"/>
      <w:bookmarkStart w:id="7" w:name="_Toc8864"/>
      <w:bookmarkStart w:id="8" w:name="_Toc8074"/>
      <w:bookmarkStart w:id="9" w:name="_Toc77203339"/>
      <w:bookmarkStart w:id="10" w:name="_Toc19521"/>
      <w:bookmarkStart w:id="11" w:name="_Toc516663569"/>
      <w:r>
        <w:rPr>
          <w:rFonts w:hint="eastAsia" w:ascii="黑体" w:hAnsi="黑体" w:eastAsia="黑体" w:cs="黑体"/>
          <w:b w:val="0"/>
          <w:kern w:val="0"/>
          <w:sz w:val="32"/>
          <w:szCs w:val="32"/>
          <w:lang w:bidi="en-US"/>
        </w:rPr>
        <w:t>基本情况</w:t>
      </w:r>
      <w:bookmarkEnd w:id="6"/>
      <w:bookmarkEnd w:id="7"/>
      <w:bookmarkEnd w:id="8"/>
      <w:bookmarkEnd w:id="9"/>
      <w:bookmarkEnd w:id="10"/>
    </w:p>
    <w:bookmarkEnd w:id="11"/>
    <w:p>
      <w:pPr>
        <w:numPr>
          <w:ilvl w:val="0"/>
          <w:numId w:val="2"/>
        </w:numPr>
        <w:spacing w:line="560" w:lineRule="exact"/>
        <w:outlineLvl w:val="1"/>
        <w:rPr>
          <w:rFonts w:ascii="楷体_GB2312" w:hAnsi="楷体" w:eastAsia="楷体_GB2312" w:cs="仿宋_GB2312"/>
          <w:bCs/>
          <w:sz w:val="32"/>
          <w:szCs w:val="32"/>
        </w:rPr>
      </w:pPr>
      <w:bookmarkStart w:id="12" w:name="_Toc8611"/>
      <w:bookmarkStart w:id="13" w:name="_Toc1076"/>
      <w:bookmarkStart w:id="14" w:name="_Toc21450"/>
      <w:bookmarkStart w:id="15" w:name="_Toc24756"/>
      <w:bookmarkStart w:id="16" w:name="_Toc77203340"/>
      <w:bookmarkStart w:id="17" w:name="_Toc516663571"/>
      <w:bookmarkStart w:id="18" w:name="_Toc508205330"/>
      <w:r>
        <w:rPr>
          <w:rFonts w:hint="eastAsia" w:ascii="楷体_GB2312" w:hAnsi="楷体" w:eastAsia="楷体_GB2312" w:cs="仿宋_GB2312"/>
          <w:bCs/>
          <w:sz w:val="32"/>
          <w:szCs w:val="32"/>
        </w:rPr>
        <w:t>项目</w:t>
      </w:r>
      <w:bookmarkEnd w:id="12"/>
      <w:bookmarkEnd w:id="13"/>
      <w:bookmarkEnd w:id="14"/>
      <w:bookmarkEnd w:id="15"/>
      <w:bookmarkEnd w:id="16"/>
      <w:r>
        <w:rPr>
          <w:rFonts w:hint="eastAsia" w:ascii="楷体_GB2312" w:hAnsi="楷体" w:eastAsia="楷体_GB2312" w:cs="仿宋_GB2312"/>
          <w:bCs/>
          <w:sz w:val="32"/>
          <w:szCs w:val="32"/>
        </w:rPr>
        <w:t>概况</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1</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项目背景</w:t>
      </w:r>
    </w:p>
    <w:p>
      <w:pPr>
        <w:spacing w:line="520" w:lineRule="atLeast"/>
        <w:ind w:firstLine="560" w:firstLineChars="200"/>
        <w:rPr>
          <w:rFonts w:ascii="仿宋_GB2312" w:hAnsi="仿宋" w:eastAsia="仿宋_GB2312" w:cs="Times New Roman"/>
          <w:kern w:val="0"/>
          <w:sz w:val="28"/>
          <w:szCs w:val="28"/>
          <w:lang w:val="en-GB" w:bidi="en-US"/>
        </w:rPr>
      </w:pPr>
      <w:r>
        <w:rPr>
          <w:rFonts w:hint="eastAsia" w:ascii="仿宋_GB2312" w:hAnsi="仿宋" w:eastAsia="仿宋_GB2312" w:cs="Times New Roman"/>
          <w:kern w:val="0"/>
          <w:sz w:val="28"/>
          <w:szCs w:val="28"/>
          <w:lang w:bidi="en-US"/>
        </w:rPr>
        <w:t>北京市延庆区人民法院（以下简称“延庆区法院”）庭审活动多，安检保障任务重，需配备专业安检人员、设备以确保庭审活动安全进行，为法院审判、诉讼工作开展提供安全保障，降低管理风险。</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2</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主要内容及实施情况</w:t>
      </w:r>
    </w:p>
    <w:p>
      <w:pPr>
        <w:spacing w:line="520" w:lineRule="atLeast"/>
        <w:ind w:firstLine="560" w:firstLineChars="200"/>
        <w:rPr>
          <w:rFonts w:ascii="仿宋_GB2312" w:hAnsi="仿宋" w:eastAsia="仿宋_GB2312" w:cs="Times New Roman"/>
          <w:kern w:val="0"/>
          <w:sz w:val="28"/>
          <w:szCs w:val="28"/>
          <w:lang w:val="en-GB" w:bidi="en-US"/>
        </w:rPr>
      </w:pPr>
      <w:r>
        <w:rPr>
          <w:rFonts w:hint="eastAsia" w:ascii="仿宋_GB2312" w:hAnsi="仿宋" w:eastAsia="仿宋_GB2312" w:cs="Times New Roman"/>
          <w:kern w:val="0"/>
          <w:sz w:val="28"/>
          <w:szCs w:val="28"/>
          <w:lang w:bidi="en-US"/>
        </w:rPr>
        <w:t>（1）主要内容</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延庆</w:t>
      </w:r>
      <w:r>
        <w:rPr>
          <w:rFonts w:ascii="仿宋_GB2312" w:hAnsi="仿宋" w:eastAsia="仿宋_GB2312" w:cs="Times New Roman"/>
          <w:kern w:val="0"/>
          <w:sz w:val="28"/>
          <w:szCs w:val="28"/>
          <w:lang w:bidi="en-US"/>
        </w:rPr>
        <w:t>区法院安检岗位设置</w:t>
      </w:r>
      <w:r>
        <w:rPr>
          <w:rFonts w:hint="eastAsia" w:ascii="仿宋_GB2312" w:hAnsi="仿宋" w:eastAsia="仿宋_GB2312" w:cs="Times New Roman"/>
          <w:kern w:val="0"/>
          <w:sz w:val="28"/>
          <w:szCs w:val="28"/>
          <w:lang w:bidi="en-US"/>
        </w:rPr>
        <w:t>包含六</w:t>
      </w:r>
      <w:r>
        <w:rPr>
          <w:rFonts w:ascii="仿宋_GB2312" w:hAnsi="仿宋" w:eastAsia="仿宋_GB2312" w:cs="Times New Roman"/>
          <w:kern w:val="0"/>
          <w:sz w:val="28"/>
          <w:szCs w:val="28"/>
          <w:lang w:bidi="en-US"/>
        </w:rPr>
        <w:t>个办公</w:t>
      </w:r>
      <w:r>
        <w:rPr>
          <w:rFonts w:hint="eastAsia" w:ascii="仿宋_GB2312" w:hAnsi="仿宋" w:eastAsia="仿宋_GB2312" w:cs="Times New Roman"/>
          <w:kern w:val="0"/>
          <w:sz w:val="28"/>
          <w:szCs w:val="28"/>
          <w:lang w:bidi="en-US"/>
        </w:rPr>
        <w:t>、庭审场所</w:t>
      </w:r>
      <w:r>
        <w:rPr>
          <w:rFonts w:ascii="仿宋_GB2312" w:hAnsi="仿宋" w:eastAsia="仿宋_GB2312" w:cs="Times New Roman"/>
          <w:kern w:val="0"/>
          <w:sz w:val="28"/>
          <w:szCs w:val="28"/>
          <w:lang w:bidi="en-US"/>
        </w:rPr>
        <w:t>，分别为</w:t>
      </w:r>
      <w:r>
        <w:rPr>
          <w:rFonts w:hint="eastAsia" w:ascii="仿宋_GB2312" w:hAnsi="仿宋" w:eastAsia="仿宋_GB2312" w:cs="Times New Roman"/>
          <w:kern w:val="0"/>
          <w:sz w:val="28"/>
          <w:szCs w:val="28"/>
          <w:lang w:bidi="en-US"/>
        </w:rPr>
        <w:t>延庆</w:t>
      </w:r>
      <w:r>
        <w:rPr>
          <w:rFonts w:ascii="仿宋_GB2312" w:hAnsi="仿宋" w:eastAsia="仿宋_GB2312" w:cs="Times New Roman"/>
          <w:kern w:val="0"/>
          <w:sz w:val="28"/>
          <w:szCs w:val="28"/>
          <w:lang w:bidi="en-US"/>
        </w:rPr>
        <w:t>区法院机关本部、</w:t>
      </w:r>
      <w:r>
        <w:rPr>
          <w:rFonts w:hint="eastAsia" w:ascii="仿宋_GB2312" w:hAnsi="仿宋" w:eastAsia="仿宋_GB2312" w:cs="Times New Roman"/>
          <w:kern w:val="0"/>
          <w:sz w:val="28"/>
          <w:szCs w:val="28"/>
          <w:lang w:bidi="en-US"/>
        </w:rPr>
        <w:t>诉调对接中心、</w:t>
      </w:r>
      <w:r>
        <w:rPr>
          <w:rFonts w:ascii="仿宋_GB2312" w:hAnsi="仿宋" w:eastAsia="仿宋_GB2312" w:cs="Times New Roman"/>
          <w:kern w:val="0"/>
          <w:sz w:val="28"/>
          <w:szCs w:val="28"/>
          <w:lang w:bidi="en-US"/>
        </w:rPr>
        <w:t>执行局、</w:t>
      </w:r>
      <w:r>
        <w:rPr>
          <w:rFonts w:hint="eastAsia" w:ascii="仿宋_GB2312" w:hAnsi="仿宋" w:eastAsia="仿宋_GB2312" w:cs="Times New Roman"/>
          <w:kern w:val="0"/>
          <w:sz w:val="28"/>
          <w:szCs w:val="28"/>
          <w:lang w:bidi="en-US"/>
        </w:rPr>
        <w:t>八达岭</w:t>
      </w:r>
      <w:r>
        <w:rPr>
          <w:rFonts w:ascii="仿宋_GB2312" w:hAnsi="仿宋" w:eastAsia="仿宋_GB2312" w:cs="Times New Roman"/>
          <w:kern w:val="0"/>
          <w:sz w:val="28"/>
          <w:szCs w:val="28"/>
          <w:lang w:bidi="en-US"/>
        </w:rPr>
        <w:t>人民法庭、</w:t>
      </w:r>
      <w:r>
        <w:rPr>
          <w:rFonts w:hint="eastAsia" w:ascii="仿宋_GB2312" w:hAnsi="仿宋" w:eastAsia="仿宋_GB2312" w:cs="Times New Roman"/>
          <w:kern w:val="0"/>
          <w:sz w:val="28"/>
          <w:szCs w:val="28"/>
          <w:lang w:bidi="en-US"/>
        </w:rPr>
        <w:t>沈家营</w:t>
      </w:r>
      <w:r>
        <w:rPr>
          <w:rFonts w:ascii="仿宋_GB2312" w:hAnsi="仿宋" w:eastAsia="仿宋_GB2312" w:cs="Times New Roman"/>
          <w:kern w:val="0"/>
          <w:sz w:val="28"/>
          <w:szCs w:val="28"/>
          <w:lang w:bidi="en-US"/>
        </w:rPr>
        <w:t>人民法庭、</w:t>
      </w:r>
      <w:r>
        <w:rPr>
          <w:rFonts w:hint="eastAsia" w:ascii="仿宋_GB2312" w:hAnsi="仿宋" w:eastAsia="仿宋_GB2312" w:cs="Times New Roman"/>
          <w:kern w:val="0"/>
          <w:sz w:val="28"/>
          <w:szCs w:val="28"/>
          <w:lang w:bidi="en-US"/>
        </w:rPr>
        <w:t>永宁</w:t>
      </w:r>
      <w:r>
        <w:rPr>
          <w:rFonts w:ascii="仿宋_GB2312" w:hAnsi="仿宋" w:eastAsia="仿宋_GB2312" w:cs="Times New Roman"/>
          <w:kern w:val="0"/>
          <w:sz w:val="28"/>
          <w:szCs w:val="28"/>
          <w:lang w:bidi="en-US"/>
        </w:rPr>
        <w:t>人民法庭。</w:t>
      </w:r>
      <w:r>
        <w:rPr>
          <w:rFonts w:hint="eastAsia" w:ascii="仿宋_GB2312" w:hAnsi="仿宋" w:eastAsia="仿宋_GB2312" w:cs="Times New Roman"/>
          <w:kern w:val="0"/>
          <w:sz w:val="28"/>
          <w:szCs w:val="28"/>
          <w:lang w:bidi="en-US"/>
        </w:rPr>
        <w:t>共</w:t>
      </w:r>
      <w:r>
        <w:rPr>
          <w:rFonts w:ascii="仿宋_GB2312" w:hAnsi="仿宋" w:eastAsia="仿宋_GB2312" w:cs="Times New Roman"/>
          <w:kern w:val="0"/>
          <w:sz w:val="28"/>
          <w:szCs w:val="28"/>
          <w:lang w:bidi="en-US"/>
        </w:rPr>
        <w:t>配置安检员2</w:t>
      </w:r>
      <w:r>
        <w:rPr>
          <w:rFonts w:hint="eastAsia" w:ascii="仿宋_GB2312" w:hAnsi="仿宋" w:eastAsia="仿宋_GB2312" w:cs="Times New Roman"/>
          <w:kern w:val="0"/>
          <w:sz w:val="28"/>
          <w:szCs w:val="28"/>
          <w:lang w:bidi="en-US"/>
        </w:rPr>
        <w:t>7</w:t>
      </w:r>
      <w:r>
        <w:rPr>
          <w:rFonts w:ascii="仿宋_GB2312" w:hAnsi="仿宋" w:eastAsia="仿宋_GB2312" w:cs="Times New Roman"/>
          <w:kern w:val="0"/>
          <w:sz w:val="28"/>
          <w:szCs w:val="28"/>
          <w:lang w:bidi="en-US"/>
        </w:rPr>
        <w:t>人，其中</w:t>
      </w:r>
      <w:r>
        <w:rPr>
          <w:rFonts w:hint="eastAsia" w:ascii="仿宋_GB2312" w:hAnsi="仿宋" w:eastAsia="仿宋_GB2312" w:cs="Times New Roman"/>
          <w:kern w:val="0"/>
          <w:sz w:val="28"/>
          <w:szCs w:val="28"/>
          <w:lang w:bidi="en-US"/>
        </w:rPr>
        <w:t>安检队长3名</w:t>
      </w:r>
      <w:r>
        <w:rPr>
          <w:rFonts w:ascii="仿宋_GB2312" w:hAnsi="仿宋" w:eastAsia="仿宋_GB2312" w:cs="Times New Roman"/>
          <w:kern w:val="0"/>
          <w:sz w:val="28"/>
          <w:szCs w:val="28"/>
          <w:lang w:bidi="en-US"/>
        </w:rPr>
        <w:t>。</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安检工作内容为对所有进入审判场所的人员及携带物品实施安检，防止限制物品、管制物品、易燃易爆物品、强腐蚀性物品等危险物品进入审判场所，消除一切可能危及审判场所和参加庭审活动人员人身安全的因素，保障庭审活动正常进行。</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（2）实施情况</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2024年度，延庆区法院</w:t>
      </w:r>
      <w:r>
        <w:rPr>
          <w:rFonts w:hint="eastAsia" w:ascii="仿宋_GB2312" w:hAnsi="仿宋" w:eastAsia="仿宋_GB2312" w:cs="Times New Roman"/>
          <w:kern w:val="0"/>
          <w:sz w:val="28"/>
          <w:szCs w:val="28"/>
          <w:lang w:eastAsia="zh-CN" w:bidi="en-US"/>
        </w:rPr>
        <w:t>严格落实</w:t>
      </w:r>
      <w:r>
        <w:rPr>
          <w:rFonts w:ascii="仿宋_GB2312" w:hAnsi="仿宋" w:eastAsia="仿宋_GB2312" w:cs="Times New Roman"/>
          <w:kern w:val="0"/>
          <w:sz w:val="28"/>
          <w:szCs w:val="28"/>
          <w:lang w:bidi="en-US"/>
        </w:rPr>
        <w:t>来院必安检、进院必安全</w:t>
      </w:r>
      <w:r>
        <w:rPr>
          <w:rFonts w:hint="eastAsia" w:ascii="仿宋_GB2312" w:hAnsi="仿宋" w:eastAsia="仿宋_GB2312" w:cs="Times New Roman"/>
          <w:kern w:val="0"/>
          <w:sz w:val="28"/>
          <w:szCs w:val="28"/>
          <w:lang w:bidi="en-US"/>
        </w:rPr>
        <w:t>，保证了参加庭审活动人员的人身安全和审判执行工作的顺利进行。</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3</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资金投入和使用情况</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（1）资金投入</w:t>
      </w:r>
    </w:p>
    <w:p>
      <w:pPr>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年初预算批复项目资金</w:t>
      </w:r>
      <w:r>
        <w:rPr>
          <w:rFonts w:ascii="仿宋_GB2312" w:hAnsi="仿宋" w:eastAsia="仿宋_GB2312" w:cs="Times New Roman"/>
          <w:kern w:val="0"/>
          <w:sz w:val="28"/>
          <w:szCs w:val="28"/>
          <w:lang w:val="en-GB" w:bidi="en-US"/>
        </w:rPr>
        <w:t>2</w:t>
      </w:r>
      <w:r>
        <w:rPr>
          <w:rFonts w:hint="eastAsia" w:ascii="仿宋_GB2312" w:hAnsi="仿宋" w:eastAsia="仿宋_GB2312" w:cs="Times New Roman"/>
          <w:kern w:val="0"/>
          <w:sz w:val="28"/>
          <w:szCs w:val="28"/>
          <w:lang w:bidi="en-US"/>
        </w:rPr>
        <w:t>,</w:t>
      </w:r>
      <w:r>
        <w:rPr>
          <w:rFonts w:ascii="仿宋_GB2312" w:hAnsi="仿宋" w:eastAsia="仿宋_GB2312" w:cs="Times New Roman"/>
          <w:kern w:val="0"/>
          <w:sz w:val="28"/>
          <w:szCs w:val="28"/>
          <w:lang w:val="en-GB" w:bidi="en-US"/>
        </w:rPr>
        <w:t>383</w:t>
      </w:r>
      <w:r>
        <w:rPr>
          <w:rFonts w:hint="eastAsia" w:ascii="仿宋_GB2312" w:hAnsi="仿宋" w:eastAsia="仿宋_GB2312" w:cs="Times New Roman"/>
          <w:kern w:val="0"/>
          <w:sz w:val="28"/>
          <w:szCs w:val="28"/>
          <w:lang w:bidi="en-US"/>
        </w:rPr>
        <w:t>,</w:t>
      </w:r>
      <w:r>
        <w:rPr>
          <w:rFonts w:ascii="仿宋_GB2312" w:hAnsi="仿宋" w:eastAsia="仿宋_GB2312" w:cs="Times New Roman"/>
          <w:kern w:val="0"/>
          <w:sz w:val="28"/>
          <w:szCs w:val="28"/>
          <w:lang w:val="en-GB" w:bidi="en-US"/>
        </w:rPr>
        <w:t>560</w:t>
      </w:r>
      <w:r>
        <w:rPr>
          <w:rFonts w:hint="eastAsia" w:ascii="仿宋_GB2312" w:hAnsi="仿宋" w:eastAsia="仿宋_GB2312" w:cs="Times New Roman"/>
          <w:kern w:val="0"/>
          <w:sz w:val="28"/>
          <w:szCs w:val="28"/>
          <w:lang w:bidi="en-US"/>
        </w:rPr>
        <w:t>.00元，实际到位资金2,383,560.00元。</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（2）使用情况</w:t>
      </w:r>
    </w:p>
    <w:p>
      <w:pPr>
        <w:spacing w:line="520" w:lineRule="atLeast"/>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截至202</w:t>
      </w:r>
      <w:r>
        <w:rPr>
          <w:rFonts w:ascii="仿宋_GB2312" w:hAnsi="仿宋" w:eastAsia="仿宋_GB2312" w:cs="Times New Roman"/>
          <w:kern w:val="0"/>
          <w:sz w:val="28"/>
          <w:szCs w:val="28"/>
          <w:lang w:val="en-GB" w:bidi="en-US"/>
        </w:rPr>
        <w:t>4</w:t>
      </w:r>
      <w:r>
        <w:rPr>
          <w:rFonts w:hint="eastAsia" w:ascii="仿宋_GB2312" w:hAnsi="仿宋" w:eastAsia="仿宋_GB2312" w:cs="Times New Roman"/>
          <w:kern w:val="0"/>
          <w:sz w:val="28"/>
          <w:szCs w:val="28"/>
          <w:lang w:bidi="en-US"/>
        </w:rPr>
        <w:t>年12月31日，依据延庆</w:t>
      </w:r>
      <w:r>
        <w:rPr>
          <w:rFonts w:ascii="仿宋_GB2312" w:hAnsi="仿宋" w:eastAsia="仿宋_GB2312" w:cs="Times New Roman"/>
          <w:kern w:val="0"/>
          <w:sz w:val="28"/>
          <w:szCs w:val="28"/>
          <w:lang w:bidi="en-US"/>
        </w:rPr>
        <w:t>区法院</w:t>
      </w:r>
      <w:r>
        <w:rPr>
          <w:rFonts w:hint="eastAsia" w:ascii="仿宋_GB2312" w:hAnsi="仿宋" w:eastAsia="仿宋_GB2312" w:cs="Times New Roman"/>
          <w:kern w:val="0"/>
          <w:sz w:val="28"/>
          <w:szCs w:val="28"/>
          <w:lang w:bidi="en-US"/>
        </w:rPr>
        <w:t>相关合同及资金审批流程，已实际支付资金2,383,560.00元，预算资金执行率为100%。</w:t>
      </w:r>
    </w:p>
    <w:p>
      <w:pPr>
        <w:numPr>
          <w:ilvl w:val="0"/>
          <w:numId w:val="2"/>
        </w:numPr>
        <w:spacing w:line="560" w:lineRule="exact"/>
        <w:outlineLvl w:val="1"/>
        <w:rPr>
          <w:rFonts w:ascii="楷体_GB2312" w:hAnsi="楷体" w:eastAsia="楷体_GB2312" w:cs="仿宋_GB2312"/>
          <w:bCs/>
          <w:sz w:val="32"/>
          <w:szCs w:val="32"/>
        </w:rPr>
      </w:pPr>
      <w:bookmarkStart w:id="19" w:name="_Toc27184"/>
      <w:bookmarkStart w:id="20" w:name="_Toc23047"/>
      <w:bookmarkStart w:id="21" w:name="_Toc77203343"/>
      <w:bookmarkStart w:id="22" w:name="_Toc20164"/>
      <w:bookmarkStart w:id="23" w:name="_Toc11266"/>
      <w:r>
        <w:rPr>
          <w:rFonts w:hint="eastAsia" w:ascii="楷体_GB2312" w:hAnsi="楷体" w:eastAsia="楷体_GB2312" w:cs="仿宋_GB2312"/>
          <w:bCs/>
          <w:sz w:val="32"/>
          <w:szCs w:val="32"/>
        </w:rPr>
        <w:t>项目绩效目标</w:t>
      </w:r>
      <w:bookmarkEnd w:id="19"/>
      <w:bookmarkEnd w:id="20"/>
      <w:bookmarkEnd w:id="21"/>
      <w:bookmarkEnd w:id="22"/>
      <w:bookmarkEnd w:id="23"/>
    </w:p>
    <w:p>
      <w:pPr>
        <w:spacing w:line="560" w:lineRule="exact"/>
        <w:ind w:firstLine="560" w:firstLineChars="200"/>
        <w:outlineLvl w:val="2"/>
        <w:rPr>
          <w:rFonts w:ascii="仿宋_GB2312" w:hAnsi="仿宋_GB2312" w:eastAsia="仿宋_GB2312" w:cs="仿宋_GB2312"/>
          <w:bCs/>
          <w:sz w:val="28"/>
          <w:szCs w:val="28"/>
        </w:rPr>
      </w:pPr>
      <w:bookmarkStart w:id="24" w:name="_Toc3189"/>
      <w:bookmarkStart w:id="25" w:name="_Toc12601"/>
      <w:bookmarkStart w:id="26" w:name="_Toc23154"/>
      <w:bookmarkStart w:id="27" w:name="_Toc77203345"/>
      <w:bookmarkStart w:id="28" w:name="_Toc27840"/>
      <w:r>
        <w:rPr>
          <w:rFonts w:hint="eastAsia" w:ascii="仿宋_GB2312" w:hAnsi="仿宋_GB2312" w:eastAsia="仿宋_GB2312" w:cs="仿宋_GB2312"/>
          <w:bCs/>
          <w:sz w:val="28"/>
          <w:szCs w:val="28"/>
        </w:rPr>
        <w:t>1</w:t>
      </w:r>
      <w:r>
        <w:rPr>
          <w:rFonts w:hint="eastAsia" w:ascii="仿宋_GB2312" w:hAnsi="仿宋_GB2312" w:eastAsia="仿宋_GB2312" w:cs="仿宋_GB2312"/>
          <w:kern w:val="44"/>
          <w:sz w:val="28"/>
          <w:szCs w:val="28"/>
        </w:rPr>
        <w:t>.</w:t>
      </w:r>
      <w:r>
        <w:rPr>
          <w:rFonts w:hint="eastAsia" w:ascii="仿宋_GB2312" w:hAnsi="仿宋_GB2312" w:eastAsia="仿宋_GB2312" w:cs="仿宋_GB2312"/>
          <w:bCs/>
          <w:sz w:val="28"/>
          <w:szCs w:val="28"/>
        </w:rPr>
        <w:t>总体目标</w:t>
      </w:r>
      <w:bookmarkEnd w:id="24"/>
      <w:bookmarkEnd w:id="25"/>
      <w:bookmarkEnd w:id="26"/>
      <w:bookmarkEnd w:id="27"/>
      <w:bookmarkEnd w:id="28"/>
    </w:p>
    <w:p>
      <w:pPr>
        <w:pStyle w:val="39"/>
        <w:ind w:firstLine="560" w:firstLineChars="200"/>
        <w:jc w:val="left"/>
        <w:rPr>
          <w:rFonts w:ascii="仿宋_GB2312" w:hAnsi="仿宋"/>
          <w:kern w:val="0"/>
          <w:sz w:val="28"/>
          <w:szCs w:val="28"/>
          <w:lang w:eastAsia="zh-CN" w:bidi="en-US"/>
        </w:rPr>
      </w:pPr>
      <w:r>
        <w:rPr>
          <w:rFonts w:hint="eastAsia" w:ascii="仿宋_GB2312" w:hAnsi="仿宋"/>
          <w:kern w:val="0"/>
          <w:sz w:val="28"/>
          <w:szCs w:val="28"/>
          <w:lang w:eastAsia="zh-CN" w:bidi="en-US"/>
        </w:rPr>
        <w:t>在完善安检制度体系建设的基础上，通过配置专业的安检服务，提高延庆区法院办公场所、庭审活动的安全性，维护法院的工作秩序，杜绝各种安全隐患，为法院审判、诉讼工作开展提供安全保障，降低管理风险。</w:t>
      </w:r>
    </w:p>
    <w:p>
      <w:pPr>
        <w:pStyle w:val="39"/>
        <w:ind w:firstLine="560" w:firstLineChars="200"/>
        <w:jc w:val="left"/>
        <w:rPr>
          <w:rFonts w:ascii="仿宋_GB2312" w:hAnsi="仿宋"/>
          <w:kern w:val="0"/>
          <w:sz w:val="28"/>
          <w:szCs w:val="28"/>
          <w:lang w:eastAsia="zh-CN" w:bidi="en-US"/>
        </w:rPr>
      </w:pPr>
      <w:r>
        <w:rPr>
          <w:rFonts w:hint="eastAsia" w:ascii="仿宋_GB2312" w:hAnsi="仿宋"/>
          <w:kern w:val="0"/>
          <w:sz w:val="28"/>
          <w:szCs w:val="28"/>
          <w:lang w:eastAsia="zh-CN" w:bidi="en-US"/>
        </w:rPr>
        <w:t>2</w:t>
      </w:r>
      <w:r>
        <w:rPr>
          <w:rFonts w:hint="eastAsia" w:ascii="仿宋_GB2312" w:hAnsi="仿宋_GB2312" w:cs="仿宋_GB2312"/>
          <w:kern w:val="44"/>
          <w:sz w:val="28"/>
          <w:szCs w:val="28"/>
          <w:lang w:eastAsia="zh-CN"/>
        </w:rPr>
        <w:t>.</w:t>
      </w:r>
      <w:r>
        <w:rPr>
          <w:rFonts w:hint="eastAsia" w:ascii="仿宋_GB2312" w:hAnsi="仿宋"/>
          <w:kern w:val="0"/>
          <w:sz w:val="28"/>
          <w:szCs w:val="28"/>
          <w:lang w:eastAsia="zh-CN" w:bidi="en-US"/>
        </w:rPr>
        <w:t>年度目标</w:t>
      </w:r>
    </w:p>
    <w:p>
      <w:pPr>
        <w:pStyle w:val="39"/>
        <w:ind w:firstLine="560" w:firstLineChars="200"/>
        <w:jc w:val="left"/>
        <w:rPr>
          <w:rFonts w:ascii="仿宋_GB2312" w:hAnsi="仿宋"/>
          <w:kern w:val="0"/>
          <w:sz w:val="28"/>
          <w:szCs w:val="28"/>
          <w:lang w:eastAsia="zh-CN" w:bidi="en-US"/>
        </w:rPr>
      </w:pPr>
      <w:r>
        <w:rPr>
          <w:rFonts w:hint="eastAsia" w:ascii="仿宋_GB2312" w:hAnsi="仿宋"/>
          <w:kern w:val="0"/>
          <w:sz w:val="28"/>
          <w:szCs w:val="28"/>
          <w:lang w:eastAsia="zh-CN" w:bidi="en-US"/>
        </w:rPr>
        <w:t>在本年度对所有进入延庆区法院审判场所的车辆、人员及携带物品实施安检，消除一切可能危及审判场所和参加庭审活动人员人身安全的因素，维护法院正常工作秩序，保障庭审活动正常进行。</w:t>
      </w:r>
    </w:p>
    <w:bookmarkEnd w:id="17"/>
    <w:bookmarkEnd w:id="18"/>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29" w:name="_Toc10472"/>
      <w:bookmarkStart w:id="30" w:name="_Toc14759"/>
      <w:bookmarkStart w:id="31" w:name="_Toc26593"/>
      <w:bookmarkStart w:id="32" w:name="_Toc77203349"/>
      <w:bookmarkStart w:id="33" w:name="_Toc20080"/>
      <w:bookmarkStart w:id="34" w:name="_Toc516663573"/>
      <w:r>
        <w:rPr>
          <w:rFonts w:hint="eastAsia" w:ascii="黑体" w:hAnsi="黑体" w:eastAsia="黑体" w:cs="黑体"/>
          <w:b w:val="0"/>
          <w:kern w:val="0"/>
          <w:sz w:val="32"/>
          <w:szCs w:val="32"/>
          <w:lang w:bidi="en-US"/>
        </w:rPr>
        <w:t>绩效评价工作</w:t>
      </w:r>
      <w:bookmarkEnd w:id="29"/>
      <w:bookmarkEnd w:id="30"/>
      <w:bookmarkEnd w:id="31"/>
      <w:bookmarkEnd w:id="32"/>
      <w:bookmarkEnd w:id="33"/>
      <w:r>
        <w:rPr>
          <w:rFonts w:hint="eastAsia" w:ascii="黑体" w:hAnsi="黑体" w:eastAsia="黑体" w:cs="黑体"/>
          <w:b w:val="0"/>
          <w:kern w:val="0"/>
          <w:sz w:val="32"/>
          <w:szCs w:val="32"/>
          <w:lang w:bidi="en-US"/>
        </w:rPr>
        <w:t>开展情况</w:t>
      </w:r>
    </w:p>
    <w:bookmarkEnd w:id="34"/>
    <w:p>
      <w:pPr>
        <w:numPr>
          <w:ilvl w:val="0"/>
          <w:numId w:val="3"/>
        </w:numPr>
        <w:spacing w:line="560" w:lineRule="exact"/>
        <w:outlineLvl w:val="1"/>
        <w:rPr>
          <w:rFonts w:ascii="楷体_GB2312" w:hAnsi="楷体_GB2312" w:eastAsia="楷体_GB2312" w:cs="楷体_GB2312"/>
          <w:bCs/>
          <w:sz w:val="32"/>
          <w:szCs w:val="32"/>
        </w:rPr>
      </w:pPr>
      <w:bookmarkStart w:id="35" w:name="_Toc15183"/>
      <w:bookmarkStart w:id="36" w:name="_Toc21515"/>
      <w:bookmarkStart w:id="37" w:name="_Toc28297"/>
      <w:bookmarkStart w:id="38" w:name="_Toc26854"/>
      <w:bookmarkStart w:id="39" w:name="_Toc77203350"/>
      <w:r>
        <w:rPr>
          <w:rFonts w:hint="eastAsia" w:ascii="楷体_GB2312" w:hAnsi="楷体_GB2312" w:eastAsia="楷体_GB2312" w:cs="楷体_GB2312"/>
          <w:bCs/>
          <w:sz w:val="32"/>
          <w:szCs w:val="32"/>
        </w:rPr>
        <w:t>绩效评价</w:t>
      </w:r>
      <w:bookmarkEnd w:id="35"/>
      <w:bookmarkEnd w:id="36"/>
      <w:bookmarkEnd w:id="37"/>
      <w:bookmarkEnd w:id="38"/>
      <w:bookmarkEnd w:id="39"/>
      <w:r>
        <w:rPr>
          <w:rFonts w:hint="eastAsia" w:ascii="楷体_GB2312" w:hAnsi="楷体_GB2312" w:eastAsia="楷体_GB2312" w:cs="楷体_GB2312"/>
          <w:bCs/>
          <w:sz w:val="32"/>
          <w:szCs w:val="32"/>
        </w:rPr>
        <w:t>目的、对象和范围</w:t>
      </w:r>
    </w:p>
    <w:p>
      <w:pPr>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绩效评价的目的为推进财政绩效管理科学化、精细化水平，增强绩效观念和责任意识，提高财政资金使用效益。</w:t>
      </w:r>
    </w:p>
    <w:p>
      <w:pPr>
        <w:ind w:firstLine="560" w:firstLineChars="20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本次绩效评价的对象和范围是：延庆区法院2024年度安检工作经费项目。</w:t>
      </w:r>
    </w:p>
    <w:p>
      <w:pPr>
        <w:numPr>
          <w:ilvl w:val="0"/>
          <w:numId w:val="3"/>
        </w:numPr>
        <w:spacing w:line="560" w:lineRule="exact"/>
        <w:outlineLvl w:val="1"/>
        <w:rPr>
          <w:rFonts w:ascii="楷体_GB2312" w:hAnsi="楷体_GB2312" w:eastAsia="楷体_GB2312" w:cs="楷体_GB2312"/>
          <w:bCs/>
          <w:sz w:val="32"/>
          <w:szCs w:val="32"/>
        </w:rPr>
      </w:pPr>
      <w:bookmarkStart w:id="40" w:name="_Toc27040"/>
      <w:bookmarkStart w:id="41" w:name="_Toc15141"/>
      <w:bookmarkStart w:id="42" w:name="_Toc168"/>
      <w:bookmarkStart w:id="43" w:name="_Toc77203351"/>
      <w:bookmarkStart w:id="44" w:name="_Toc516663575"/>
      <w:r>
        <w:rPr>
          <w:rFonts w:hint="eastAsia" w:ascii="楷体_GB2312" w:hAnsi="楷体_GB2312" w:eastAsia="楷体_GB2312" w:cs="楷体_GB2312"/>
          <w:bCs/>
          <w:sz w:val="32"/>
          <w:szCs w:val="32"/>
        </w:rPr>
        <w:t>绩效评价原则与指标体系</w:t>
      </w:r>
      <w:bookmarkEnd w:id="40"/>
      <w:bookmarkEnd w:id="41"/>
      <w:bookmarkEnd w:id="42"/>
      <w:bookmarkEnd w:id="43"/>
    </w:p>
    <w:p>
      <w:pPr>
        <w:ind w:firstLine="640"/>
        <w:rPr>
          <w:rFonts w:ascii="仿宋_GB2312" w:hAnsi="仿宋_GB2312" w:eastAsia="仿宋_GB2312" w:cs="仿宋_GB2312"/>
          <w:kern w:val="44"/>
          <w:sz w:val="28"/>
          <w:szCs w:val="28"/>
        </w:rPr>
      </w:pPr>
      <w:r>
        <w:rPr>
          <w:rFonts w:hint="eastAsia" w:ascii="仿宋_GB2312" w:hAnsi="仿宋" w:eastAsia="仿宋_GB2312" w:cs="Times New Roman"/>
          <w:kern w:val="0"/>
          <w:sz w:val="28"/>
          <w:szCs w:val="28"/>
          <w:lang w:bidi="en-US"/>
        </w:rPr>
        <w:t>1</w:t>
      </w:r>
      <w:r>
        <w:rPr>
          <w:rFonts w:hint="eastAsia" w:ascii="仿宋_GB2312" w:hAnsi="仿宋_GB2312" w:eastAsia="仿宋_GB2312" w:cs="仿宋_GB2312"/>
          <w:kern w:val="44"/>
          <w:sz w:val="28"/>
          <w:szCs w:val="28"/>
        </w:rPr>
        <w:t>.绩效评价原则</w:t>
      </w:r>
    </w:p>
    <w:p>
      <w:pPr>
        <w:ind w:firstLine="64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本次绩效评价运用成本效益法、比较法、因素分析法、调查评判法等方法，同时通过文献资料搜索、多因素分析来支撑评价的逻辑紧密性与客观性。本次评价坚持定量优先、定量与定性相结合的方式，遵循科学规范、公正公开、分级分类、绩效相关的基本原则。</w:t>
      </w:r>
    </w:p>
    <w:p>
      <w:pPr>
        <w:ind w:firstLine="64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2</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指标体系设定</w:t>
      </w:r>
    </w:p>
    <w:p>
      <w:pPr>
        <w:ind w:firstLine="64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本次绩效评价指标体系包括决策、过程、产出、效益4个一级指标。在各项指标权重设定方面，体现绩效结果导向，更加注重产出和效益原则，产出、效益指标权重不低于60%，本项目产出、效益指标权重为70%。根据对各指标的重要性和影响力大小的理解给予相应的权重分值，并采取定性与定量分析相结合的方法分别记分。</w:t>
      </w:r>
    </w:p>
    <w:p>
      <w:pPr>
        <w:numPr>
          <w:ilvl w:val="0"/>
          <w:numId w:val="4"/>
        </w:numPr>
        <w:ind w:firstLine="64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决策指标：主要评价项目立项依据、目标和资金情况。决策指标包括项目立项、绩效目标和资金投入3个二级指标，以及立项依据充分性、立项程序规范性、绩效目标合理性、绩效指标明确性、预算编制科学性和资金分配合理性</w:t>
      </w:r>
      <w:bookmarkStart w:id="45" w:name="_Hlk73315744"/>
      <w:r>
        <w:rPr>
          <w:rFonts w:hint="eastAsia" w:ascii="仿宋_GB2312" w:hAnsi="仿宋" w:eastAsia="仿宋_GB2312" w:cs="Times New Roman"/>
          <w:kern w:val="0"/>
          <w:sz w:val="28"/>
          <w:szCs w:val="28"/>
          <w:lang w:bidi="en-US"/>
        </w:rPr>
        <w:t>6个三级指标。</w:t>
      </w:r>
      <w:bookmarkEnd w:id="45"/>
      <w:r>
        <w:rPr>
          <w:rFonts w:hint="eastAsia" w:ascii="仿宋_GB2312" w:hAnsi="仿宋" w:eastAsia="仿宋_GB2312" w:cs="Times New Roman"/>
          <w:kern w:val="0"/>
          <w:sz w:val="28"/>
          <w:szCs w:val="28"/>
          <w:lang w:bidi="en-US"/>
        </w:rPr>
        <w:t>决策类指标权重共计10分。</w:t>
      </w:r>
    </w:p>
    <w:p>
      <w:pPr>
        <w:numPr>
          <w:ilvl w:val="0"/>
          <w:numId w:val="4"/>
        </w:numPr>
        <w:ind w:firstLine="640"/>
        <w:rPr>
          <w:rFonts w:ascii="仿宋_GB2312" w:hAnsi="仿宋" w:eastAsia="仿宋_GB2312" w:cs="Times New Roman"/>
          <w:kern w:val="0"/>
          <w:sz w:val="28"/>
          <w:szCs w:val="28"/>
          <w:lang w:bidi="en-US"/>
        </w:rPr>
      </w:pPr>
      <w:r>
        <w:rPr>
          <w:rFonts w:hint="eastAsia" w:ascii="仿宋_GB2312" w:hAnsi="仿宋" w:eastAsia="仿宋_GB2312" w:cs="Times New Roman"/>
          <w:kern w:val="0"/>
          <w:sz w:val="28"/>
          <w:szCs w:val="28"/>
          <w:lang w:bidi="en-US"/>
        </w:rPr>
        <w:t>过程指标：主要评价项目资金在实施过程中的流程及监督管理情况。过程指标包括资金管理和组织实施2个二级指标，以及资金到位率、预算执行率、资金使用合规性、管理制度健全性、制度执行有效性和实施方案有效性6个三级指标。过程类指标权重共计20分。</w:t>
      </w:r>
    </w:p>
    <w:p>
      <w:pPr>
        <w:numPr>
          <w:ilvl w:val="0"/>
          <w:numId w:val="4"/>
        </w:numPr>
        <w:ind w:firstLine="640"/>
        <w:rPr>
          <w:rFonts w:ascii="仿宋_GB2312" w:hAnsi="仿宋" w:eastAsia="仿宋_GB2312" w:cs="Times New Roman"/>
          <w:kern w:val="0"/>
          <w:sz w:val="28"/>
          <w:szCs w:val="28"/>
          <w:lang w:val="en-GB" w:bidi="en-US"/>
        </w:rPr>
      </w:pPr>
      <w:r>
        <w:rPr>
          <w:rFonts w:hint="eastAsia" w:ascii="仿宋_GB2312" w:hAnsi="仿宋" w:eastAsia="仿宋_GB2312" w:cs="Times New Roman"/>
          <w:kern w:val="0"/>
          <w:sz w:val="28"/>
          <w:szCs w:val="28"/>
          <w:lang w:bidi="en-US"/>
        </w:rPr>
        <w:t>产出指标：主要评价项目实施的完成情况。产出指标均包括产出数量、产出质量、产出时效、产出成本4个二级指标，以及实际完成率、质量达标率、完成及时性、成本节约率4个三级指标。产出类指标权重共计40分。</w:t>
      </w:r>
    </w:p>
    <w:p>
      <w:pPr>
        <w:numPr>
          <w:ilvl w:val="0"/>
          <w:numId w:val="4"/>
        </w:numPr>
        <w:ind w:firstLine="640"/>
        <w:rPr>
          <w:rFonts w:ascii="仿宋_GB2312" w:hAnsi="仿宋" w:eastAsia="仿宋_GB2312" w:cs="Times New Roman"/>
          <w:kern w:val="0"/>
          <w:sz w:val="28"/>
          <w:szCs w:val="28"/>
          <w:lang w:val="en-GB" w:bidi="en-US"/>
        </w:rPr>
      </w:pPr>
      <w:r>
        <w:rPr>
          <w:rFonts w:hint="eastAsia" w:ascii="仿宋_GB2312" w:hAnsi="仿宋" w:eastAsia="仿宋_GB2312" w:cs="Times New Roman"/>
          <w:kern w:val="0"/>
          <w:sz w:val="28"/>
          <w:szCs w:val="28"/>
          <w:lang w:bidi="en-US"/>
        </w:rPr>
        <w:t>效益指标：主要评价项目实施所取得的效果。包括实施效益和满意度2个三级指标。实施效益从社会效益、经济效益、可持续影响、满意度4个方面进行评价。效益类指标权重共计30分。</w:t>
      </w:r>
    </w:p>
    <w:p>
      <w:pPr>
        <w:numPr>
          <w:ilvl w:val="0"/>
          <w:numId w:val="3"/>
        </w:numPr>
        <w:spacing w:line="560" w:lineRule="exact"/>
        <w:outlineLvl w:val="1"/>
        <w:rPr>
          <w:rFonts w:ascii="楷体_GB2312" w:hAnsi="楷体_GB2312" w:eastAsia="楷体_GB2312" w:cs="楷体_GB2312"/>
          <w:bCs/>
          <w:sz w:val="32"/>
          <w:szCs w:val="32"/>
        </w:rPr>
      </w:pPr>
      <w:bookmarkStart w:id="46" w:name="_Toc22673"/>
      <w:bookmarkStart w:id="47" w:name="_Toc18090"/>
      <w:bookmarkStart w:id="48" w:name="_Toc1742"/>
      <w:bookmarkStart w:id="49" w:name="_Toc77203352"/>
      <w:r>
        <w:rPr>
          <w:rFonts w:hint="eastAsia" w:ascii="楷体_GB2312" w:hAnsi="楷体_GB2312" w:eastAsia="楷体_GB2312" w:cs="楷体_GB2312"/>
          <w:bCs/>
          <w:sz w:val="32"/>
          <w:szCs w:val="32"/>
        </w:rPr>
        <w:t>绩效评价工作过程</w:t>
      </w:r>
      <w:bookmarkEnd w:id="46"/>
      <w:bookmarkEnd w:id="47"/>
      <w:bookmarkEnd w:id="48"/>
      <w:bookmarkEnd w:id="49"/>
    </w:p>
    <w:p>
      <w:pPr>
        <w:pStyle w:val="4"/>
        <w:ind w:firstLine="567"/>
        <w:rPr>
          <w:rFonts w:ascii="仿宋_GB2312" w:hAnsi="仿宋" w:eastAsia="仿宋_GB2312" w:cs="Times New Roman"/>
          <w:kern w:val="0"/>
          <w:sz w:val="28"/>
          <w:szCs w:val="28"/>
          <w:lang w:bidi="en-US"/>
        </w:rPr>
      </w:pPr>
      <w:bookmarkStart w:id="50" w:name="_Toc5141"/>
      <w:bookmarkStart w:id="51" w:name="_Toc27215"/>
      <w:bookmarkStart w:id="52" w:name="_Toc24877"/>
      <w:r>
        <w:rPr>
          <w:rFonts w:hint="eastAsia" w:ascii="仿宋_GB2312" w:hAnsi="仿宋" w:eastAsia="仿宋_GB2312" w:cs="Times New Roman"/>
          <w:kern w:val="0"/>
          <w:sz w:val="28"/>
          <w:szCs w:val="28"/>
          <w:lang w:bidi="en-US"/>
        </w:rPr>
        <w:t>1</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前期调研</w:t>
      </w:r>
      <w:bookmarkEnd w:id="50"/>
      <w:bookmarkEnd w:id="51"/>
      <w:bookmarkEnd w:id="52"/>
      <w:r>
        <w:rPr>
          <w:rFonts w:hint="eastAsia" w:ascii="仿宋_GB2312" w:hAnsi="仿宋" w:eastAsia="仿宋_GB2312" w:cs="Times New Roman"/>
          <w:kern w:val="0"/>
          <w:sz w:val="28"/>
          <w:szCs w:val="28"/>
          <w:lang w:bidi="en-US"/>
        </w:rPr>
        <w:t>。评价组与项目实施单位进行沟通，并搜集相关政策文件、项目资料以及相关财务收支凭证、合同、管理制度等，进行分析、评估。</w:t>
      </w:r>
    </w:p>
    <w:p>
      <w:pPr>
        <w:pStyle w:val="4"/>
        <w:ind w:firstLine="567"/>
        <w:rPr>
          <w:rFonts w:ascii="仿宋_GB2312" w:hAnsi="仿宋" w:eastAsia="仿宋_GB2312" w:cs="Times New Roman"/>
          <w:kern w:val="0"/>
          <w:sz w:val="28"/>
          <w:szCs w:val="28"/>
          <w:lang w:bidi="en-US"/>
        </w:rPr>
      </w:pPr>
      <w:bookmarkStart w:id="53" w:name="_Toc10687"/>
      <w:bookmarkStart w:id="54" w:name="_Toc28449"/>
      <w:bookmarkStart w:id="55" w:name="_Toc2438"/>
      <w:r>
        <w:rPr>
          <w:rFonts w:hint="eastAsia" w:ascii="仿宋_GB2312" w:hAnsi="仿宋" w:eastAsia="仿宋_GB2312" w:cs="Times New Roman"/>
          <w:kern w:val="0"/>
          <w:sz w:val="28"/>
          <w:szCs w:val="28"/>
          <w:lang w:bidi="en-US"/>
        </w:rPr>
        <w:t>2</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方案制定</w:t>
      </w:r>
      <w:bookmarkEnd w:id="53"/>
      <w:bookmarkEnd w:id="54"/>
      <w:bookmarkEnd w:id="55"/>
      <w:r>
        <w:rPr>
          <w:rFonts w:hint="eastAsia" w:ascii="仿宋_GB2312" w:hAnsi="仿宋" w:eastAsia="仿宋_GB2312" w:cs="Times New Roman"/>
          <w:kern w:val="0"/>
          <w:sz w:val="28"/>
          <w:szCs w:val="28"/>
          <w:lang w:bidi="en-US"/>
        </w:rPr>
        <w:t>。了解年度项目实施内容、实施流程，根据项目资金实际情况和绩效管理要求制定工作方案。</w:t>
      </w:r>
    </w:p>
    <w:p>
      <w:pPr>
        <w:pStyle w:val="4"/>
        <w:ind w:firstLine="567"/>
        <w:rPr>
          <w:rFonts w:ascii="仿宋_GB2312" w:hAnsi="仿宋" w:eastAsia="仿宋_GB2312" w:cs="Times New Roman"/>
          <w:kern w:val="0"/>
          <w:sz w:val="28"/>
          <w:szCs w:val="28"/>
          <w:lang w:bidi="en-US"/>
        </w:rPr>
      </w:pPr>
      <w:bookmarkStart w:id="56" w:name="_Toc20872"/>
      <w:bookmarkStart w:id="57" w:name="_Toc26043"/>
      <w:bookmarkStart w:id="58" w:name="_Toc16449"/>
      <w:r>
        <w:rPr>
          <w:rFonts w:hint="eastAsia" w:ascii="仿宋_GB2312" w:hAnsi="仿宋" w:eastAsia="仿宋_GB2312" w:cs="Times New Roman"/>
          <w:kern w:val="0"/>
          <w:sz w:val="28"/>
          <w:szCs w:val="28"/>
          <w:lang w:bidi="en-US"/>
        </w:rPr>
        <w:t>3</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数据采集</w:t>
      </w:r>
      <w:bookmarkEnd w:id="56"/>
      <w:bookmarkEnd w:id="57"/>
      <w:bookmarkEnd w:id="58"/>
      <w:r>
        <w:rPr>
          <w:rFonts w:hint="eastAsia" w:ascii="仿宋_GB2312" w:hAnsi="仿宋" w:eastAsia="仿宋_GB2312" w:cs="Times New Roman"/>
          <w:kern w:val="0"/>
          <w:sz w:val="28"/>
          <w:szCs w:val="28"/>
          <w:lang w:bidi="en-US"/>
        </w:rPr>
        <w:t>。按照现场评价通知中的现场调研时间安排，到项目单位进行调研访谈、核查资料和分析评价。</w:t>
      </w:r>
    </w:p>
    <w:p>
      <w:pPr>
        <w:pStyle w:val="4"/>
        <w:spacing w:after="0" w:line="240" w:lineRule="auto"/>
        <w:ind w:firstLine="560" w:firstLineChars="200"/>
        <w:jc w:val="both"/>
        <w:outlineLvl w:val="3"/>
        <w:rPr>
          <w:rFonts w:ascii="仿宋_GB2312" w:hAnsi="仿宋" w:eastAsia="仿宋_GB2312" w:cs="Times New Roman"/>
          <w:b/>
          <w:bCs/>
          <w:kern w:val="0"/>
          <w:sz w:val="28"/>
          <w:szCs w:val="28"/>
          <w:lang w:bidi="en-US"/>
        </w:rPr>
      </w:pPr>
      <w:bookmarkStart w:id="59" w:name="_Toc6779"/>
      <w:bookmarkStart w:id="60" w:name="_Toc24237"/>
      <w:bookmarkStart w:id="61" w:name="_Toc4349"/>
      <w:r>
        <w:rPr>
          <w:rFonts w:hint="eastAsia" w:ascii="仿宋_GB2312" w:hAnsi="仿宋" w:eastAsia="仿宋_GB2312" w:cs="Times New Roman"/>
          <w:kern w:val="0"/>
          <w:sz w:val="28"/>
          <w:szCs w:val="28"/>
          <w:lang w:bidi="en-US"/>
        </w:rPr>
        <w:t>4</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召开专家评价会</w:t>
      </w:r>
      <w:r>
        <w:rPr>
          <w:rFonts w:hint="eastAsia" w:ascii="仿宋_GB2312" w:hAnsi="仿宋" w:eastAsia="仿宋_GB2312" w:cs="Times New Roman"/>
          <w:b w:val="0"/>
          <w:bCs/>
          <w:kern w:val="0"/>
          <w:sz w:val="28"/>
          <w:szCs w:val="28"/>
          <w:lang w:bidi="en-US"/>
        </w:rPr>
        <w:t>。</w:t>
      </w:r>
      <w:r>
        <w:rPr>
          <w:rFonts w:hint="eastAsia" w:ascii="仿宋_GB2312" w:hAnsi="仿宋" w:eastAsia="仿宋_GB2312" w:cs="Times New Roman"/>
          <w:kern w:val="0"/>
          <w:sz w:val="28"/>
          <w:szCs w:val="28"/>
          <w:lang w:bidi="en-US"/>
        </w:rPr>
        <w:t>遴选业务专家、管理专家和财务专家进行分析评价，向专家提供数据采集资料，组织召开专家评价会，形成专家意见。</w:t>
      </w:r>
    </w:p>
    <w:p>
      <w:pPr>
        <w:pStyle w:val="4"/>
        <w:ind w:firstLine="560" w:firstLineChars="200"/>
        <w:rPr>
          <w:rFonts w:ascii="仿宋_GB2312" w:hAnsi="仿宋" w:eastAsia="仿宋_GB2312" w:cs="Times New Roman"/>
          <w:kern w:val="0"/>
          <w:sz w:val="32"/>
          <w:szCs w:val="32"/>
          <w:lang w:bidi="en-US"/>
        </w:rPr>
      </w:pPr>
      <w:r>
        <w:rPr>
          <w:rFonts w:hint="eastAsia" w:ascii="仿宋_GB2312" w:hAnsi="仿宋" w:eastAsia="仿宋_GB2312" w:cs="Times New Roman"/>
          <w:kern w:val="0"/>
          <w:sz w:val="28"/>
          <w:szCs w:val="28"/>
          <w:lang w:bidi="en-US"/>
        </w:rPr>
        <w:t>5</w:t>
      </w:r>
      <w:r>
        <w:rPr>
          <w:rFonts w:hint="eastAsia" w:ascii="仿宋_GB2312" w:hAnsi="仿宋_GB2312" w:eastAsia="仿宋_GB2312" w:cs="仿宋_GB2312"/>
          <w:kern w:val="44"/>
          <w:sz w:val="28"/>
          <w:szCs w:val="28"/>
        </w:rPr>
        <w:t>.</w:t>
      </w:r>
      <w:r>
        <w:rPr>
          <w:rFonts w:hint="eastAsia" w:ascii="仿宋_GB2312" w:hAnsi="仿宋" w:eastAsia="仿宋_GB2312" w:cs="Times New Roman"/>
          <w:kern w:val="0"/>
          <w:sz w:val="28"/>
          <w:szCs w:val="28"/>
          <w:lang w:bidi="en-US"/>
        </w:rPr>
        <w:t>综合分析及报告撰写</w:t>
      </w:r>
      <w:bookmarkEnd w:id="59"/>
      <w:bookmarkEnd w:id="60"/>
      <w:bookmarkEnd w:id="61"/>
      <w:r>
        <w:rPr>
          <w:rFonts w:hint="eastAsia" w:ascii="仿宋_GB2312" w:hAnsi="仿宋" w:eastAsia="仿宋_GB2312" w:cs="Times New Roman"/>
          <w:kern w:val="0"/>
          <w:sz w:val="28"/>
          <w:szCs w:val="28"/>
          <w:lang w:bidi="en-US"/>
        </w:rPr>
        <w:t>。</w:t>
      </w:r>
    </w:p>
    <w:bookmarkEnd w:id="44"/>
    <w:p>
      <w:pPr>
        <w:pStyle w:val="2"/>
        <w:keepNext w:val="0"/>
        <w:keepLines w:val="0"/>
        <w:widowControl/>
        <w:numPr>
          <w:ilvl w:val="0"/>
          <w:numId w:val="1"/>
        </w:numPr>
        <w:spacing w:before="0" w:after="0" w:line="520" w:lineRule="atLeast"/>
        <w:ind w:firstLine="709"/>
        <w:contextualSpacing/>
        <w:jc w:val="left"/>
        <w:rPr>
          <w:rFonts w:ascii="黑体" w:hAnsi="黑体" w:eastAsia="黑体" w:cs="黑体"/>
          <w:b w:val="0"/>
          <w:kern w:val="0"/>
          <w:sz w:val="32"/>
          <w:szCs w:val="32"/>
          <w:lang w:bidi="en-US"/>
        </w:rPr>
      </w:pPr>
      <w:bookmarkStart w:id="62" w:name="_Toc9623"/>
      <w:bookmarkStart w:id="63" w:name="_Toc25668"/>
      <w:bookmarkStart w:id="64" w:name="_Toc77203353"/>
      <w:bookmarkStart w:id="65" w:name="_Toc13026"/>
      <w:bookmarkStart w:id="66" w:name="_Toc1216"/>
      <w:bookmarkStart w:id="67" w:name="_Toc516663576"/>
      <w:r>
        <w:rPr>
          <w:rFonts w:hint="eastAsia" w:ascii="黑体" w:hAnsi="黑体" w:eastAsia="黑体" w:cs="黑体"/>
          <w:b w:val="0"/>
          <w:kern w:val="0"/>
          <w:sz w:val="32"/>
          <w:szCs w:val="32"/>
          <w:lang w:bidi="en-US"/>
        </w:rPr>
        <w:t>综合评价情况及评价结论</w:t>
      </w:r>
    </w:p>
    <w:p>
      <w:pPr>
        <w:spacing w:line="520" w:lineRule="atLeast"/>
        <w:ind w:firstLine="618" w:firstLineChars="221"/>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经综合评价，本项目绩效评价得分89.98分。</w:t>
      </w:r>
      <w:bookmarkStart w:id="185" w:name="_GoBack"/>
      <w:bookmarkEnd w:id="185"/>
      <w:r>
        <w:rPr>
          <w:rFonts w:hint="eastAsia" w:ascii="仿宋_GB2312" w:hAnsi="仿宋_GB2312" w:eastAsia="仿宋_GB2312" w:cs="仿宋_GB2312"/>
          <w:kern w:val="44"/>
          <w:sz w:val="28"/>
          <w:szCs w:val="28"/>
        </w:rPr>
        <w:t>该项目综合绩效评价级别为 “良”。本项目得分情况汇总表如下：</w:t>
      </w:r>
    </w:p>
    <w:tbl>
      <w:tblPr>
        <w:tblStyle w:val="18"/>
        <w:tblW w:w="8095" w:type="dxa"/>
        <w:tblInd w:w="93" w:type="dxa"/>
        <w:tblLayout w:type="autofit"/>
        <w:tblCellMar>
          <w:top w:w="0" w:type="dxa"/>
          <w:left w:w="108" w:type="dxa"/>
          <w:bottom w:w="0" w:type="dxa"/>
          <w:right w:w="108" w:type="dxa"/>
        </w:tblCellMar>
      </w:tblPr>
      <w:tblGrid>
        <w:gridCol w:w="3134"/>
        <w:gridCol w:w="1701"/>
        <w:gridCol w:w="1559"/>
        <w:gridCol w:w="1701"/>
      </w:tblGrid>
      <w:tr>
        <w:tblPrEx>
          <w:tblCellMar>
            <w:top w:w="0" w:type="dxa"/>
            <w:left w:w="108" w:type="dxa"/>
            <w:bottom w:w="0" w:type="dxa"/>
            <w:right w:w="108" w:type="dxa"/>
          </w:tblCellMar>
        </w:tblPrEx>
        <w:trPr>
          <w:trHeight w:val="348" w:hRule="atLeast"/>
        </w:trPr>
        <w:tc>
          <w:tcPr>
            <w:tcW w:w="3134" w:type="dxa"/>
            <w:tcBorders>
              <w:top w:val="single" w:color="auto" w:sz="12" w:space="0"/>
              <w:left w:val="nil"/>
              <w:bottom w:val="single" w:color="auto" w:sz="8" w:space="0"/>
              <w:right w:val="dotted" w:color="auto" w:sz="4"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一级指标</w:t>
            </w:r>
          </w:p>
        </w:tc>
        <w:tc>
          <w:tcPr>
            <w:tcW w:w="1701" w:type="dxa"/>
            <w:tcBorders>
              <w:top w:val="single" w:color="auto" w:sz="12" w:space="0"/>
              <w:left w:val="nil"/>
              <w:bottom w:val="single" w:color="auto" w:sz="8" w:space="0"/>
              <w:right w:val="dotted" w:color="auto" w:sz="4"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w:t>
            </w:r>
          </w:p>
        </w:tc>
        <w:tc>
          <w:tcPr>
            <w:tcW w:w="1559" w:type="dxa"/>
            <w:tcBorders>
              <w:top w:val="single" w:color="auto" w:sz="12" w:space="0"/>
              <w:left w:val="nil"/>
              <w:bottom w:val="single" w:color="auto" w:sz="8" w:space="0"/>
              <w:right w:val="dotted" w:color="auto" w:sz="4"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701" w:type="dxa"/>
            <w:tcBorders>
              <w:top w:val="single" w:color="auto" w:sz="12" w:space="0"/>
              <w:left w:val="nil"/>
              <w:bottom w:val="single" w:color="auto" w:sz="8" w:space="0"/>
              <w:right w:val="nil"/>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决策（10%）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9.00 </w:t>
            </w:r>
          </w:p>
        </w:tc>
        <w:tc>
          <w:tcPr>
            <w:tcW w:w="1701" w:type="dxa"/>
            <w:tcBorders>
              <w:top w:val="nil"/>
              <w:left w:val="nil"/>
              <w:bottom w:val="dotted" w:color="auto" w:sz="4" w:space="0"/>
              <w:right w:val="nil"/>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90.00%</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过程（20%）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19.18 </w:t>
            </w:r>
          </w:p>
        </w:tc>
        <w:tc>
          <w:tcPr>
            <w:tcW w:w="1701" w:type="dxa"/>
            <w:tcBorders>
              <w:top w:val="nil"/>
              <w:left w:val="nil"/>
              <w:bottom w:val="dotted" w:color="auto" w:sz="4" w:space="0"/>
              <w:right w:val="nil"/>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95.90%</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产出（40%）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36.48 </w:t>
            </w:r>
          </w:p>
        </w:tc>
        <w:tc>
          <w:tcPr>
            <w:tcW w:w="1701" w:type="dxa"/>
            <w:tcBorders>
              <w:top w:val="nil"/>
              <w:left w:val="nil"/>
              <w:bottom w:val="dotted" w:color="auto" w:sz="4" w:space="0"/>
              <w:right w:val="nil"/>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91.20%</w:t>
            </w:r>
          </w:p>
        </w:tc>
      </w:tr>
      <w:tr>
        <w:tblPrEx>
          <w:tblCellMar>
            <w:top w:w="0" w:type="dxa"/>
            <w:left w:w="108" w:type="dxa"/>
            <w:bottom w:w="0" w:type="dxa"/>
            <w:right w:w="108" w:type="dxa"/>
          </w:tblCellMar>
        </w:tblPrEx>
        <w:trPr>
          <w:trHeight w:val="285" w:hRule="atLeast"/>
        </w:trPr>
        <w:tc>
          <w:tcPr>
            <w:tcW w:w="3134"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效益（30%）</w:t>
            </w:r>
          </w:p>
        </w:tc>
        <w:tc>
          <w:tcPr>
            <w:tcW w:w="1701"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30</w:t>
            </w:r>
          </w:p>
        </w:tc>
        <w:tc>
          <w:tcPr>
            <w:tcW w:w="1559" w:type="dxa"/>
            <w:tcBorders>
              <w:top w:val="nil"/>
              <w:left w:val="nil"/>
              <w:bottom w:val="dotted" w:color="auto" w:sz="4" w:space="0"/>
              <w:right w:val="dotted" w:color="auto" w:sz="4" w:space="0"/>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25.32 </w:t>
            </w:r>
          </w:p>
        </w:tc>
        <w:tc>
          <w:tcPr>
            <w:tcW w:w="1701" w:type="dxa"/>
            <w:tcBorders>
              <w:top w:val="nil"/>
              <w:left w:val="nil"/>
              <w:bottom w:val="dotted" w:color="auto" w:sz="4" w:space="0"/>
              <w:right w:val="nil"/>
            </w:tcBorders>
            <w:shd w:val="clear" w:color="auto" w:fill="auto"/>
            <w:noWrap/>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84.40%</w:t>
            </w:r>
          </w:p>
        </w:tc>
      </w:tr>
      <w:tr>
        <w:tblPrEx>
          <w:tblCellMar>
            <w:top w:w="0" w:type="dxa"/>
            <w:left w:w="108" w:type="dxa"/>
            <w:bottom w:w="0" w:type="dxa"/>
            <w:right w:w="108" w:type="dxa"/>
          </w:tblCellMar>
        </w:tblPrEx>
        <w:trPr>
          <w:trHeight w:val="300" w:hRule="atLeast"/>
        </w:trPr>
        <w:tc>
          <w:tcPr>
            <w:tcW w:w="3134" w:type="dxa"/>
            <w:tcBorders>
              <w:top w:val="nil"/>
              <w:left w:val="nil"/>
              <w:bottom w:val="single" w:color="auto" w:sz="12" w:space="0"/>
              <w:right w:val="dotted" w:color="auto" w:sz="4" w:space="0"/>
            </w:tcBorders>
            <w:shd w:val="clear" w:color="auto" w:fill="auto"/>
            <w:noWrap/>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合  计</w:t>
            </w:r>
          </w:p>
        </w:tc>
        <w:tc>
          <w:tcPr>
            <w:tcW w:w="1701" w:type="dxa"/>
            <w:tcBorders>
              <w:top w:val="nil"/>
              <w:left w:val="nil"/>
              <w:bottom w:val="single" w:color="auto" w:sz="12" w:space="0"/>
              <w:right w:val="dotted" w:color="auto" w:sz="4" w:space="0"/>
            </w:tcBorders>
            <w:shd w:val="clear" w:color="auto" w:fill="auto"/>
            <w:noWrap/>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100</w:t>
            </w:r>
          </w:p>
        </w:tc>
        <w:tc>
          <w:tcPr>
            <w:tcW w:w="1559" w:type="dxa"/>
            <w:tcBorders>
              <w:top w:val="nil"/>
              <w:left w:val="nil"/>
              <w:bottom w:val="single" w:color="auto" w:sz="12" w:space="0"/>
              <w:right w:val="dotted" w:color="auto" w:sz="4" w:space="0"/>
            </w:tcBorders>
            <w:shd w:val="clear" w:color="auto" w:fill="auto"/>
            <w:noWrap/>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89.98 </w:t>
            </w:r>
          </w:p>
        </w:tc>
        <w:tc>
          <w:tcPr>
            <w:tcW w:w="1701" w:type="dxa"/>
            <w:tcBorders>
              <w:top w:val="nil"/>
              <w:left w:val="nil"/>
              <w:bottom w:val="single" w:color="auto" w:sz="12" w:space="0"/>
              <w:right w:val="nil"/>
            </w:tcBorders>
            <w:shd w:val="clear" w:color="auto" w:fill="auto"/>
            <w:noWrap/>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89.98%</w:t>
            </w:r>
          </w:p>
        </w:tc>
      </w:tr>
    </w:tbl>
    <w:p/>
    <w:p>
      <w:pPr>
        <w:pStyle w:val="2"/>
        <w:keepNext w:val="0"/>
        <w:keepLines w:val="0"/>
        <w:widowControl/>
        <w:numPr>
          <w:ilvl w:val="0"/>
          <w:numId w:val="1"/>
        </w:numPr>
        <w:spacing w:before="0" w:after="0" w:line="520" w:lineRule="atLeast"/>
        <w:ind w:firstLine="709"/>
        <w:contextualSpacing/>
        <w:jc w:val="left"/>
        <w:rPr>
          <w:rFonts w:ascii="黑体" w:hAnsi="黑体" w:eastAsia="黑体" w:cs="黑体"/>
          <w:b w:val="0"/>
          <w:kern w:val="0"/>
          <w:sz w:val="32"/>
          <w:szCs w:val="32"/>
          <w:lang w:bidi="en-US"/>
        </w:rPr>
      </w:pPr>
      <w:r>
        <w:rPr>
          <w:rFonts w:hint="eastAsia" w:ascii="黑体" w:hAnsi="黑体" w:eastAsia="黑体" w:cs="黑体"/>
          <w:b w:val="0"/>
          <w:kern w:val="0"/>
          <w:sz w:val="32"/>
          <w:szCs w:val="32"/>
          <w:lang w:bidi="en-US"/>
        </w:rPr>
        <w:t>绩效评价指标分析</w:t>
      </w:r>
      <w:bookmarkEnd w:id="62"/>
      <w:bookmarkEnd w:id="63"/>
      <w:bookmarkEnd w:id="64"/>
      <w:bookmarkEnd w:id="65"/>
      <w:bookmarkEnd w:id="66"/>
    </w:p>
    <w:p>
      <w:pPr>
        <w:numPr>
          <w:ilvl w:val="0"/>
          <w:numId w:val="5"/>
        </w:numPr>
        <w:spacing w:line="560" w:lineRule="exact"/>
        <w:ind w:firstLine="567"/>
        <w:outlineLvl w:val="1"/>
        <w:rPr>
          <w:rFonts w:ascii="楷体_GB2312" w:hAnsi="楷体_GB2312" w:eastAsia="楷体_GB2312" w:cs="楷体_GB2312"/>
          <w:bCs/>
          <w:sz w:val="32"/>
          <w:szCs w:val="32"/>
        </w:rPr>
      </w:pPr>
      <w:bookmarkStart w:id="68" w:name="_Toc30167"/>
      <w:bookmarkStart w:id="69" w:name="_Toc23775"/>
      <w:bookmarkStart w:id="70" w:name="_Toc30811"/>
      <w:bookmarkStart w:id="71" w:name="_Toc4274"/>
      <w:bookmarkStart w:id="72" w:name="_Toc77203354"/>
      <w:r>
        <w:rPr>
          <w:rFonts w:hint="eastAsia" w:ascii="楷体_GB2312" w:hAnsi="楷体_GB2312" w:eastAsia="楷体_GB2312" w:cs="楷体_GB2312"/>
          <w:bCs/>
          <w:sz w:val="32"/>
          <w:szCs w:val="32"/>
        </w:rPr>
        <w:t>项目</w:t>
      </w:r>
      <w:bookmarkEnd w:id="68"/>
      <w:bookmarkEnd w:id="69"/>
      <w:bookmarkEnd w:id="70"/>
      <w:bookmarkEnd w:id="71"/>
      <w:r>
        <w:rPr>
          <w:rFonts w:hint="eastAsia" w:ascii="楷体_GB2312" w:hAnsi="楷体_GB2312" w:eastAsia="楷体_GB2312" w:cs="楷体_GB2312"/>
          <w:bCs/>
          <w:sz w:val="32"/>
          <w:szCs w:val="32"/>
        </w:rPr>
        <w:t>决策情况</w:t>
      </w:r>
      <w:bookmarkEnd w:id="72"/>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决策评价分析从项目立项、绩效目标和资金投入三个方面六个三级指标对项目决策进行考察，决策指标分值共计10分，本项目实际得分</w:t>
      </w:r>
      <w:r>
        <w:rPr>
          <w:rFonts w:ascii="仿宋_GB2312" w:hAnsi="仿宋_GB2312" w:eastAsia="仿宋_GB2312" w:cs="仿宋_GB2312"/>
          <w:kern w:val="44"/>
          <w:sz w:val="28"/>
          <w:szCs w:val="28"/>
          <w:lang w:val="en-GB"/>
        </w:rPr>
        <w:t>9.</w:t>
      </w:r>
      <w:r>
        <w:rPr>
          <w:rFonts w:hint="eastAsia" w:ascii="仿宋_GB2312" w:hAnsi="仿宋_GB2312" w:eastAsia="仿宋_GB2312" w:cs="仿宋_GB2312"/>
          <w:kern w:val="44"/>
          <w:sz w:val="28"/>
          <w:szCs w:val="28"/>
        </w:rPr>
        <w:t>00分，得分率为</w:t>
      </w:r>
      <w:r>
        <w:rPr>
          <w:rFonts w:ascii="仿宋_GB2312" w:hAnsi="仿宋_GB2312" w:eastAsia="仿宋_GB2312" w:cs="仿宋_GB2312"/>
          <w:kern w:val="44"/>
          <w:sz w:val="28"/>
          <w:szCs w:val="28"/>
          <w:lang w:val="en-GB"/>
        </w:rPr>
        <w:t>9</w:t>
      </w:r>
      <w:r>
        <w:rPr>
          <w:rFonts w:hint="eastAsia" w:ascii="仿宋_GB2312" w:hAnsi="仿宋_GB2312" w:eastAsia="仿宋_GB2312" w:cs="仿宋_GB2312"/>
          <w:kern w:val="44"/>
          <w:sz w:val="28"/>
          <w:szCs w:val="28"/>
        </w:rPr>
        <w:t>0.00%。具体情况如下表：</w:t>
      </w:r>
    </w:p>
    <w:tbl>
      <w:tblPr>
        <w:tblStyle w:val="18"/>
        <w:tblW w:w="8662"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3188"/>
        <w:gridCol w:w="1080"/>
        <w:gridCol w:w="1080"/>
        <w:gridCol w:w="1080"/>
        <w:gridCol w:w="1154"/>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3188"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154"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90" w:hRule="atLeast"/>
        </w:trPr>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3188"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立项依据充分性</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充分</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2.00 </w:t>
            </w:r>
          </w:p>
        </w:tc>
        <w:tc>
          <w:tcPr>
            <w:tcW w:w="1154"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立项程序规范性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规范</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2.00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绩效目标合理性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合理</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1.70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85.00%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2"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绩效指标明确性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明确</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1.68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84.00%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预算编制科学性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科学</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0.62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62.00%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资金分配合理性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合理</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1.00 </w:t>
            </w:r>
          </w:p>
        </w:tc>
        <w:tc>
          <w:tcPr>
            <w:tcW w:w="1154"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3188"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10</w:t>
            </w:r>
          </w:p>
        </w:tc>
        <w:tc>
          <w:tcPr>
            <w:tcW w:w="1080" w:type="dxa"/>
            <w:shd w:val="clear" w:color="auto" w:fill="auto"/>
            <w:vAlign w:val="center"/>
          </w:tcPr>
          <w:p>
            <w:pPr>
              <w:widowControl/>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9.00 </w:t>
            </w:r>
          </w:p>
        </w:tc>
        <w:tc>
          <w:tcPr>
            <w:tcW w:w="1154"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90.00%</w:t>
            </w:r>
          </w:p>
        </w:tc>
      </w:tr>
    </w:tbl>
    <w:p>
      <w:pPr>
        <w:numPr>
          <w:ilvl w:val="0"/>
          <w:numId w:val="6"/>
        </w:numPr>
        <w:spacing w:line="560" w:lineRule="exact"/>
        <w:ind w:firstLine="560" w:firstLineChars="200"/>
        <w:outlineLvl w:val="2"/>
        <w:rPr>
          <w:rFonts w:ascii="仿宋_GB2312" w:hAnsi="仿宋_GB2312" w:eastAsia="仿宋_GB2312" w:cs="仿宋_GB2312"/>
          <w:bCs/>
          <w:sz w:val="28"/>
          <w:szCs w:val="28"/>
        </w:rPr>
      </w:pPr>
      <w:bookmarkStart w:id="73" w:name="_Toc32544"/>
      <w:bookmarkStart w:id="74" w:name="_Toc7092"/>
      <w:bookmarkStart w:id="75" w:name="_Toc77203355"/>
      <w:bookmarkStart w:id="76" w:name="_Toc3411"/>
      <w:r>
        <w:rPr>
          <w:rFonts w:hint="eastAsia" w:ascii="仿宋_GB2312" w:hAnsi="仿宋_GB2312" w:eastAsia="仿宋_GB2312" w:cs="仿宋_GB2312"/>
          <w:bCs/>
          <w:sz w:val="28"/>
          <w:szCs w:val="28"/>
        </w:rPr>
        <w:t>项目立项分析</w:t>
      </w:r>
      <w:bookmarkEnd w:id="73"/>
      <w:bookmarkEnd w:id="74"/>
      <w:bookmarkEnd w:id="75"/>
      <w:bookmarkEnd w:id="76"/>
    </w:p>
    <w:p>
      <w:pPr>
        <w:ind w:firstLine="618" w:firstLineChars="221"/>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（1）立项依据充分性分析</w:t>
      </w:r>
    </w:p>
    <w:p>
      <w:pPr>
        <w:ind w:firstLine="560" w:firstLineChars="200"/>
        <w:rPr>
          <w:rFonts w:ascii="仿宋_GB2312" w:hAnsi="仿宋_GB2312" w:eastAsia="仿宋_GB2312" w:cs="仿宋_GB2312"/>
          <w:kern w:val="44"/>
          <w:sz w:val="28"/>
          <w:szCs w:val="28"/>
        </w:rPr>
      </w:pPr>
      <w:r>
        <w:rPr>
          <w:rFonts w:hint="eastAsia" w:ascii="仿宋_GB2312" w:eastAsia="仿宋_GB2312" w:cs="仿宋_GB2312"/>
          <w:sz w:val="28"/>
          <w:szCs w:val="28"/>
        </w:rPr>
        <w:t>项目</w:t>
      </w:r>
      <w:r>
        <w:rPr>
          <w:rFonts w:hint="eastAsia" w:ascii="仿宋_GB2312" w:hAnsi="仿宋_GB2312" w:eastAsia="仿宋_GB2312" w:cs="仿宋_GB2312"/>
          <w:kern w:val="44"/>
          <w:sz w:val="28"/>
          <w:szCs w:val="28"/>
        </w:rPr>
        <w:t>立项依据符合国家和北京市的相关规定，与项目单位职责密切相关，立项依据充分。该项指标权重分为2分，根据评分规则评价得2分。</w:t>
      </w:r>
    </w:p>
    <w:p>
      <w:pPr>
        <w:ind w:firstLine="618" w:firstLineChars="221"/>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（2）立项程序规范性分析</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项目为机构运行保障延续性项目，项目申请、设立过程符合相关要求，程序规范。</w:t>
      </w:r>
      <w:r>
        <w:rPr>
          <w:rFonts w:ascii="仿宋_GB2312" w:hAnsi="仿宋_GB2312" w:eastAsia="仿宋_GB2312" w:cs="仿宋_GB2312"/>
          <w:kern w:val="44"/>
          <w:sz w:val="28"/>
          <w:szCs w:val="28"/>
        </w:rPr>
        <w:t>该项指标权重分为2分，根据评分规则评价得</w:t>
      </w:r>
      <w:r>
        <w:rPr>
          <w:rFonts w:hint="eastAsia" w:ascii="仿宋_GB2312" w:hAnsi="仿宋_GB2312" w:eastAsia="仿宋_GB2312" w:cs="仿宋_GB2312"/>
          <w:kern w:val="44"/>
          <w:sz w:val="28"/>
          <w:szCs w:val="28"/>
        </w:rPr>
        <w:t>2</w:t>
      </w:r>
      <w:r>
        <w:rPr>
          <w:rFonts w:ascii="仿宋_GB2312" w:hAnsi="仿宋_GB2312" w:eastAsia="仿宋_GB2312" w:cs="仿宋_GB2312"/>
          <w:kern w:val="44"/>
          <w:sz w:val="28"/>
          <w:szCs w:val="28"/>
        </w:rPr>
        <w:t>分。</w:t>
      </w:r>
    </w:p>
    <w:p>
      <w:pPr>
        <w:numPr>
          <w:ilvl w:val="0"/>
          <w:numId w:val="6"/>
        </w:numPr>
        <w:spacing w:line="560" w:lineRule="exact"/>
        <w:ind w:firstLine="560" w:firstLineChars="200"/>
        <w:outlineLvl w:val="2"/>
        <w:rPr>
          <w:rFonts w:ascii="仿宋_GB2312" w:hAnsi="仿宋_GB2312" w:eastAsia="仿宋_GB2312" w:cs="仿宋_GB2312"/>
          <w:bCs/>
          <w:sz w:val="28"/>
          <w:szCs w:val="28"/>
        </w:rPr>
      </w:pPr>
      <w:bookmarkStart w:id="77" w:name="_Toc30046"/>
      <w:bookmarkStart w:id="78" w:name="_Toc32625"/>
      <w:bookmarkStart w:id="79" w:name="_Toc7603"/>
      <w:bookmarkStart w:id="80" w:name="_Toc77203356"/>
      <w:r>
        <w:rPr>
          <w:rFonts w:hint="eastAsia" w:ascii="仿宋_GB2312" w:hAnsi="仿宋_GB2312" w:eastAsia="仿宋_GB2312" w:cs="仿宋_GB2312"/>
          <w:bCs/>
          <w:sz w:val="28"/>
          <w:szCs w:val="28"/>
        </w:rPr>
        <w:t>绩效目标分析</w:t>
      </w:r>
      <w:bookmarkEnd w:id="77"/>
      <w:bookmarkEnd w:id="78"/>
      <w:bookmarkEnd w:id="79"/>
      <w:bookmarkEnd w:id="80"/>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（1）绩效目标合理性分析</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绩效目标设定不够具体。该项指标权重分为2分，根据评分规则评价得1.</w:t>
      </w:r>
      <w:r>
        <w:rPr>
          <w:rFonts w:ascii="仿宋_GB2312" w:hAnsi="仿宋_GB2312" w:eastAsia="仿宋_GB2312" w:cs="仿宋_GB2312"/>
          <w:kern w:val="44"/>
          <w:sz w:val="28"/>
          <w:szCs w:val="28"/>
          <w:lang w:val="en-GB"/>
        </w:rPr>
        <w:t>70</w:t>
      </w:r>
      <w:r>
        <w:rPr>
          <w:rFonts w:hint="eastAsia" w:ascii="仿宋_GB2312" w:hAnsi="仿宋_GB2312" w:eastAsia="仿宋_GB2312" w:cs="仿宋_GB2312"/>
          <w:kern w:val="44"/>
          <w:sz w:val="28"/>
          <w:szCs w:val="28"/>
        </w:rPr>
        <w:t xml:space="preserve">分。                                                                                          </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（2）绩效指标明确性分析</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绩效指标不够明确，数量、标准不够细化、明确，指标可量化性、可衡量性有待提高。该项指标权重分2分，根据评分规则评价得1.</w:t>
      </w:r>
      <w:r>
        <w:rPr>
          <w:rFonts w:ascii="仿宋_GB2312" w:hAnsi="仿宋_GB2312" w:eastAsia="仿宋_GB2312" w:cs="仿宋_GB2312"/>
          <w:kern w:val="44"/>
          <w:sz w:val="28"/>
          <w:szCs w:val="28"/>
          <w:lang w:val="en-GB"/>
        </w:rPr>
        <w:t>68</w:t>
      </w:r>
      <w:r>
        <w:rPr>
          <w:rFonts w:hint="eastAsia" w:ascii="仿宋_GB2312" w:hAnsi="仿宋_GB2312" w:eastAsia="仿宋_GB2312" w:cs="仿宋_GB2312"/>
          <w:kern w:val="44"/>
          <w:sz w:val="28"/>
          <w:szCs w:val="28"/>
        </w:rPr>
        <w:t>分。</w:t>
      </w:r>
    </w:p>
    <w:p>
      <w:pPr>
        <w:numPr>
          <w:ilvl w:val="0"/>
          <w:numId w:val="6"/>
        </w:numPr>
        <w:spacing w:line="560" w:lineRule="exact"/>
        <w:ind w:firstLine="560" w:firstLineChars="200"/>
        <w:outlineLvl w:val="2"/>
        <w:rPr>
          <w:rFonts w:ascii="仿宋_GB2312" w:hAnsi="仿宋_GB2312" w:eastAsia="仿宋_GB2312" w:cs="仿宋_GB2312"/>
          <w:bCs/>
          <w:sz w:val="28"/>
          <w:szCs w:val="28"/>
        </w:rPr>
      </w:pPr>
      <w:bookmarkStart w:id="81" w:name="_Toc16986"/>
      <w:bookmarkStart w:id="82" w:name="_Toc77203357"/>
      <w:bookmarkStart w:id="83" w:name="_Toc11073"/>
      <w:bookmarkStart w:id="84" w:name="_Toc22133"/>
      <w:r>
        <w:rPr>
          <w:rFonts w:hint="eastAsia" w:ascii="仿宋_GB2312" w:hAnsi="仿宋_GB2312" w:eastAsia="仿宋_GB2312" w:cs="仿宋_GB2312"/>
          <w:bCs/>
          <w:sz w:val="28"/>
          <w:szCs w:val="28"/>
        </w:rPr>
        <w:t>资金投入分析</w:t>
      </w:r>
      <w:bookmarkEnd w:id="81"/>
      <w:bookmarkEnd w:id="82"/>
      <w:bookmarkEnd w:id="83"/>
      <w:bookmarkEnd w:id="84"/>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（1）预算编制科学性</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项目预算缺少预算测算依据和细化预算内容，预算编制科学性不足。该项指标权重分1分，根据评分规则评价得0.</w:t>
      </w:r>
      <w:r>
        <w:rPr>
          <w:rFonts w:ascii="仿宋_GB2312" w:hAnsi="仿宋_GB2312" w:eastAsia="仿宋_GB2312" w:cs="仿宋_GB2312"/>
          <w:kern w:val="44"/>
          <w:sz w:val="28"/>
          <w:szCs w:val="28"/>
          <w:lang w:val="en-GB"/>
        </w:rPr>
        <w:t>62</w:t>
      </w:r>
      <w:r>
        <w:rPr>
          <w:rFonts w:hint="eastAsia" w:ascii="仿宋_GB2312" w:hAnsi="仿宋_GB2312" w:eastAsia="仿宋_GB2312" w:cs="仿宋_GB2312"/>
          <w:kern w:val="44"/>
          <w:sz w:val="28"/>
          <w:szCs w:val="28"/>
        </w:rPr>
        <w:t>分。</w:t>
      </w:r>
    </w:p>
    <w:p>
      <w:pPr>
        <w:numPr>
          <w:ilvl w:val="0"/>
          <w:numId w:val="7"/>
        </w:num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资金分配合理性</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由于项目预算编制科学性不足，资金分配的合理性无法准确判定。该项指标权重分1分，根据评分规则评价得1.00分。</w:t>
      </w:r>
    </w:p>
    <w:p>
      <w:pPr>
        <w:numPr>
          <w:ilvl w:val="0"/>
          <w:numId w:val="5"/>
        </w:numPr>
        <w:spacing w:line="560" w:lineRule="exact"/>
        <w:outlineLvl w:val="1"/>
        <w:rPr>
          <w:rFonts w:ascii="楷体_GB2312" w:hAnsi="楷体_GB2312" w:eastAsia="楷体_GB2312" w:cs="楷体_GB2312"/>
          <w:bCs/>
          <w:sz w:val="32"/>
          <w:szCs w:val="32"/>
        </w:rPr>
      </w:pPr>
      <w:bookmarkStart w:id="85" w:name="_Toc21291"/>
      <w:bookmarkStart w:id="86" w:name="_Toc9756"/>
      <w:bookmarkStart w:id="87" w:name="_Toc14468"/>
      <w:bookmarkStart w:id="88" w:name="_Toc4843"/>
      <w:bookmarkStart w:id="89" w:name="_Toc77203358"/>
      <w:r>
        <w:rPr>
          <w:rFonts w:hint="eastAsia" w:ascii="楷体_GB2312" w:hAnsi="楷体_GB2312" w:eastAsia="楷体_GB2312" w:cs="楷体_GB2312"/>
          <w:bCs/>
          <w:sz w:val="32"/>
          <w:szCs w:val="32"/>
        </w:rPr>
        <w:t>项目</w:t>
      </w:r>
      <w:bookmarkEnd w:id="85"/>
      <w:bookmarkEnd w:id="86"/>
      <w:bookmarkEnd w:id="87"/>
      <w:bookmarkEnd w:id="88"/>
      <w:r>
        <w:rPr>
          <w:rFonts w:hint="eastAsia" w:ascii="楷体_GB2312" w:hAnsi="楷体_GB2312" w:eastAsia="楷体_GB2312" w:cs="楷体_GB2312"/>
          <w:bCs/>
          <w:sz w:val="32"/>
          <w:szCs w:val="32"/>
        </w:rPr>
        <w:t>过程情况</w:t>
      </w:r>
      <w:bookmarkEnd w:id="89"/>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过程部分从资金管理和组织实施两个方面六个三级指标对项目进行考察，过程类指标分值为20分，本项目实际得分19.18分，得分率95.90%。具体如下表：</w:t>
      </w:r>
    </w:p>
    <w:tbl>
      <w:tblPr>
        <w:tblStyle w:val="18"/>
        <w:tblW w:w="8517"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55"/>
        <w:gridCol w:w="3071"/>
        <w:gridCol w:w="1055"/>
        <w:gridCol w:w="1067"/>
        <w:gridCol w:w="1073"/>
        <w:gridCol w:w="119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0" w:hRule="atLeast"/>
        </w:trPr>
        <w:tc>
          <w:tcPr>
            <w:tcW w:w="1055"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3071"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55"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67"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73"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196"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3071"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资金到位率</w:t>
            </w:r>
          </w:p>
        </w:tc>
        <w:tc>
          <w:tcPr>
            <w:tcW w:w="1055"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1067"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73"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2.00 </w:t>
            </w:r>
          </w:p>
        </w:tc>
        <w:tc>
          <w:tcPr>
            <w:tcW w:w="1196"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预算执行率</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4.00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资金使用合规性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规范</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4.00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管理制度健全性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健全</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3.84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96.00%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制度执行有效性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有效</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3.54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88.50%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w:t>
            </w:r>
          </w:p>
        </w:tc>
        <w:tc>
          <w:tcPr>
            <w:tcW w:w="3071"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实施方案有效性</w:t>
            </w:r>
          </w:p>
        </w:tc>
        <w:tc>
          <w:tcPr>
            <w:tcW w:w="1055"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1067"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有效</w:t>
            </w:r>
          </w:p>
        </w:tc>
        <w:tc>
          <w:tcPr>
            <w:tcW w:w="107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1.80 </w:t>
            </w:r>
          </w:p>
        </w:tc>
        <w:tc>
          <w:tcPr>
            <w:tcW w:w="11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5" w:hRule="atLeast"/>
        </w:trPr>
        <w:tc>
          <w:tcPr>
            <w:tcW w:w="1055" w:type="dxa"/>
            <w:shd w:val="clear" w:color="auto" w:fill="auto"/>
            <w:vAlign w:val="center"/>
          </w:tcPr>
          <w:p>
            <w:pPr>
              <w:widowControl/>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3071"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55"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20</w:t>
            </w:r>
          </w:p>
        </w:tc>
        <w:tc>
          <w:tcPr>
            <w:tcW w:w="1067" w:type="dxa"/>
            <w:shd w:val="clear" w:color="auto" w:fill="auto"/>
            <w:vAlign w:val="center"/>
          </w:tcPr>
          <w:p>
            <w:pPr>
              <w:widowControl/>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1073"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19.18 </w:t>
            </w:r>
          </w:p>
        </w:tc>
        <w:tc>
          <w:tcPr>
            <w:tcW w:w="1196"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95.90%</w:t>
            </w:r>
          </w:p>
        </w:tc>
      </w:tr>
    </w:tbl>
    <w:p>
      <w:pPr>
        <w:outlineLvl w:val="3"/>
        <w:rPr>
          <w:rFonts w:ascii="宋体" w:hAnsi="宋体" w:eastAsia="宋体" w:cs="仿宋_GB2312"/>
          <w:kern w:val="44"/>
          <w:szCs w:val="21"/>
        </w:rPr>
      </w:pPr>
    </w:p>
    <w:p>
      <w:pPr>
        <w:numPr>
          <w:ilvl w:val="0"/>
          <w:numId w:val="8"/>
        </w:numPr>
        <w:spacing w:line="560" w:lineRule="exact"/>
        <w:ind w:firstLine="560" w:firstLineChars="200"/>
        <w:outlineLvl w:val="2"/>
        <w:rPr>
          <w:rFonts w:ascii="仿宋_GB2312" w:hAnsi="仿宋_GB2312" w:eastAsia="仿宋_GB2312" w:cs="仿宋_GB2312"/>
          <w:bCs/>
          <w:sz w:val="28"/>
          <w:szCs w:val="28"/>
        </w:rPr>
      </w:pPr>
      <w:bookmarkStart w:id="90" w:name="_Toc77203359"/>
      <w:r>
        <w:rPr>
          <w:rFonts w:hint="eastAsia" w:ascii="仿宋_GB2312" w:hAnsi="仿宋_GB2312" w:eastAsia="仿宋_GB2312" w:cs="仿宋_GB2312"/>
          <w:bCs/>
          <w:sz w:val="28"/>
          <w:szCs w:val="28"/>
        </w:rPr>
        <w:t>资金使用及管理情况</w:t>
      </w:r>
      <w:bookmarkEnd w:id="90"/>
    </w:p>
    <w:p>
      <w:pPr>
        <w:numPr>
          <w:ilvl w:val="0"/>
          <w:numId w:val="9"/>
        </w:numPr>
        <w:rPr>
          <w:rFonts w:ascii="仿宋_GB2312" w:hAnsi="仿宋_GB2312" w:eastAsia="仿宋_GB2312" w:cs="仿宋_GB2312"/>
          <w:bCs/>
          <w:kern w:val="0"/>
          <w:sz w:val="28"/>
          <w:szCs w:val="28"/>
        </w:rPr>
      </w:pPr>
      <w:bookmarkStart w:id="91" w:name="_Toc18405"/>
      <w:bookmarkStart w:id="92" w:name="_Toc31939"/>
      <w:bookmarkStart w:id="93" w:name="_Toc28045"/>
      <w:r>
        <w:rPr>
          <w:rFonts w:hint="eastAsia" w:ascii="仿宋_GB2312" w:hAnsi="仿宋_GB2312" w:eastAsia="仿宋_GB2312" w:cs="仿宋_GB2312"/>
          <w:bCs/>
          <w:kern w:val="0"/>
          <w:sz w:val="28"/>
          <w:szCs w:val="28"/>
        </w:rPr>
        <w:t>资金到位率</w:t>
      </w:r>
      <w:bookmarkEnd w:id="91"/>
      <w:bookmarkEnd w:id="92"/>
      <w:bookmarkEnd w:id="93"/>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项目2024年预算批复</w:t>
      </w:r>
      <w:r>
        <w:rPr>
          <w:rFonts w:hint="eastAsia" w:ascii="仿宋_GB2312" w:hAnsi="仿宋" w:eastAsia="仿宋_GB2312" w:cs="Times New Roman"/>
          <w:kern w:val="0"/>
          <w:sz w:val="28"/>
          <w:szCs w:val="28"/>
          <w:lang w:bidi="en-US"/>
        </w:rPr>
        <w:t>2,383,560.00</w:t>
      </w:r>
      <w:r>
        <w:rPr>
          <w:rFonts w:hint="eastAsia" w:ascii="仿宋_GB2312" w:hAnsi="仿宋_GB2312" w:eastAsia="仿宋_GB2312" w:cs="仿宋_GB2312"/>
          <w:kern w:val="44"/>
          <w:sz w:val="28"/>
          <w:szCs w:val="28"/>
        </w:rPr>
        <w:t>元，实际到位资金</w:t>
      </w:r>
      <w:r>
        <w:rPr>
          <w:rFonts w:hint="eastAsia" w:ascii="仿宋_GB2312" w:hAnsi="仿宋" w:eastAsia="仿宋_GB2312" w:cs="Times New Roman"/>
          <w:kern w:val="0"/>
          <w:sz w:val="28"/>
          <w:szCs w:val="28"/>
          <w:lang w:bidi="en-US"/>
        </w:rPr>
        <w:t>2,383,560.00</w:t>
      </w:r>
      <w:r>
        <w:rPr>
          <w:rFonts w:hint="eastAsia" w:ascii="仿宋_GB2312" w:hAnsi="仿宋_GB2312" w:eastAsia="仿宋_GB2312" w:cs="仿宋_GB2312"/>
          <w:kern w:val="44"/>
          <w:sz w:val="28"/>
          <w:szCs w:val="28"/>
        </w:rPr>
        <w:t>元，资金到位率100%。该项指标权重分2分，根据评分规则评价得分2分。</w:t>
      </w:r>
    </w:p>
    <w:p>
      <w:pPr>
        <w:numPr>
          <w:ilvl w:val="0"/>
          <w:numId w:val="9"/>
        </w:numPr>
        <w:rPr>
          <w:rFonts w:ascii="仿宋_GB2312" w:hAnsi="仿宋_GB2312" w:eastAsia="仿宋_GB2312" w:cs="仿宋_GB2312"/>
          <w:bCs/>
          <w:kern w:val="0"/>
          <w:sz w:val="28"/>
          <w:szCs w:val="28"/>
        </w:rPr>
      </w:pPr>
      <w:bookmarkStart w:id="94" w:name="_Toc32425"/>
      <w:bookmarkStart w:id="95" w:name="_Toc26175"/>
      <w:bookmarkStart w:id="96" w:name="_Toc19603"/>
      <w:r>
        <w:rPr>
          <w:rFonts w:hint="eastAsia" w:ascii="仿宋_GB2312" w:hAnsi="仿宋_GB2312" w:eastAsia="仿宋_GB2312" w:cs="仿宋_GB2312"/>
          <w:bCs/>
          <w:kern w:val="0"/>
          <w:sz w:val="28"/>
          <w:szCs w:val="28"/>
        </w:rPr>
        <w:t>预算执行率</w:t>
      </w:r>
      <w:bookmarkEnd w:id="94"/>
      <w:bookmarkEnd w:id="95"/>
      <w:bookmarkEnd w:id="96"/>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项目2024年最终获批资金预算</w:t>
      </w:r>
      <w:r>
        <w:rPr>
          <w:rFonts w:hint="eastAsia" w:ascii="仿宋_GB2312" w:hAnsi="仿宋" w:eastAsia="仿宋_GB2312" w:cs="Times New Roman"/>
          <w:kern w:val="0"/>
          <w:sz w:val="28"/>
          <w:szCs w:val="28"/>
          <w:lang w:bidi="en-US"/>
        </w:rPr>
        <w:t>2,383,560.00</w:t>
      </w:r>
      <w:r>
        <w:rPr>
          <w:rFonts w:hint="eastAsia" w:ascii="仿宋_GB2312" w:hAnsi="仿宋_GB2312" w:eastAsia="仿宋_GB2312" w:cs="仿宋_GB2312"/>
          <w:kern w:val="44"/>
          <w:sz w:val="28"/>
          <w:szCs w:val="28"/>
        </w:rPr>
        <w:t>元，截至2024年12月31日，已实际支付资金</w:t>
      </w:r>
      <w:r>
        <w:rPr>
          <w:rFonts w:hint="eastAsia" w:ascii="仿宋_GB2312" w:hAnsi="仿宋" w:eastAsia="仿宋_GB2312" w:cs="Times New Roman"/>
          <w:kern w:val="0"/>
          <w:sz w:val="28"/>
          <w:szCs w:val="28"/>
          <w:lang w:bidi="en-US"/>
        </w:rPr>
        <w:t>2,383,560.00</w:t>
      </w:r>
      <w:r>
        <w:rPr>
          <w:rFonts w:hint="eastAsia" w:ascii="仿宋_GB2312" w:hAnsi="仿宋_GB2312" w:eastAsia="仿宋_GB2312" w:cs="仿宋_GB2312"/>
          <w:kern w:val="44"/>
          <w:sz w:val="28"/>
          <w:szCs w:val="28"/>
        </w:rPr>
        <w:t>元，预算执行率为100%。</w:t>
      </w:r>
      <w:r>
        <w:rPr>
          <w:rFonts w:ascii="仿宋_GB2312" w:hAnsi="仿宋_GB2312" w:eastAsia="仿宋_GB2312" w:cs="仿宋_GB2312"/>
          <w:kern w:val="44"/>
          <w:sz w:val="28"/>
          <w:szCs w:val="28"/>
        </w:rPr>
        <w:t>该项指标权重分</w:t>
      </w:r>
      <w:r>
        <w:rPr>
          <w:rFonts w:hint="eastAsia" w:ascii="仿宋_GB2312" w:hAnsi="仿宋_GB2312" w:eastAsia="仿宋_GB2312" w:cs="仿宋_GB2312"/>
          <w:kern w:val="44"/>
          <w:sz w:val="28"/>
          <w:szCs w:val="28"/>
        </w:rPr>
        <w:t>4</w:t>
      </w:r>
      <w:r>
        <w:rPr>
          <w:rFonts w:ascii="仿宋_GB2312" w:hAnsi="仿宋_GB2312" w:eastAsia="仿宋_GB2312" w:cs="仿宋_GB2312"/>
          <w:kern w:val="44"/>
          <w:sz w:val="28"/>
          <w:szCs w:val="28"/>
        </w:rPr>
        <w:t>分，根据评分规则评价得分</w:t>
      </w:r>
      <w:r>
        <w:rPr>
          <w:rFonts w:hint="eastAsia" w:ascii="仿宋_GB2312" w:hAnsi="仿宋_GB2312" w:eastAsia="仿宋_GB2312" w:cs="仿宋_GB2312"/>
          <w:kern w:val="44"/>
          <w:sz w:val="28"/>
          <w:szCs w:val="28"/>
        </w:rPr>
        <w:t>4</w:t>
      </w:r>
      <w:r>
        <w:rPr>
          <w:rFonts w:ascii="仿宋_GB2312" w:hAnsi="仿宋_GB2312" w:eastAsia="仿宋_GB2312" w:cs="仿宋_GB2312"/>
          <w:kern w:val="44"/>
          <w:sz w:val="28"/>
          <w:szCs w:val="28"/>
        </w:rPr>
        <w:t>分。</w:t>
      </w:r>
    </w:p>
    <w:p>
      <w:pPr>
        <w:numPr>
          <w:ilvl w:val="0"/>
          <w:numId w:val="9"/>
        </w:numPr>
        <w:rPr>
          <w:rFonts w:ascii="仿宋_GB2312" w:hAnsi="仿宋_GB2312" w:eastAsia="仿宋_GB2312" w:cs="仿宋_GB2312"/>
          <w:bCs/>
          <w:kern w:val="44"/>
          <w:sz w:val="28"/>
          <w:szCs w:val="28"/>
        </w:rPr>
      </w:pPr>
      <w:bookmarkStart w:id="97" w:name="_Toc26289"/>
      <w:bookmarkStart w:id="98" w:name="_Toc567"/>
      <w:bookmarkStart w:id="99" w:name="_Toc7531"/>
      <w:r>
        <w:rPr>
          <w:rFonts w:hint="eastAsia" w:ascii="仿宋_GB2312" w:hAnsi="仿宋_GB2312" w:eastAsia="仿宋_GB2312" w:cs="仿宋_GB2312"/>
          <w:bCs/>
          <w:kern w:val="44"/>
          <w:sz w:val="28"/>
          <w:szCs w:val="28"/>
        </w:rPr>
        <w:t>资金使用合规性</w:t>
      </w:r>
      <w:bookmarkEnd w:id="97"/>
      <w:bookmarkEnd w:id="98"/>
      <w:bookmarkEnd w:id="99"/>
    </w:p>
    <w:p>
      <w:pPr>
        <w:ind w:firstLine="560" w:firstLineChars="200"/>
        <w:rPr>
          <w:rFonts w:ascii="仿宋_GB2312" w:hAnsi="仿宋_GB2312" w:eastAsia="仿宋_GB2312" w:cs="仿宋_GB2312"/>
          <w:kern w:val="44"/>
          <w:sz w:val="28"/>
          <w:szCs w:val="28"/>
        </w:rPr>
      </w:pPr>
      <w:r>
        <w:rPr>
          <w:rFonts w:ascii="仿宋_GB2312" w:hAnsi="仿宋_GB2312" w:eastAsia="仿宋_GB2312" w:cs="仿宋_GB2312"/>
          <w:kern w:val="44"/>
          <w:sz w:val="28"/>
          <w:szCs w:val="28"/>
        </w:rPr>
        <w:t>项目专项经费使用基本符合国家和本市财经法规，符合</w:t>
      </w:r>
      <w:r>
        <w:rPr>
          <w:rFonts w:hint="eastAsia" w:ascii="仿宋_GB2312" w:hAnsi="仿宋_GB2312" w:eastAsia="仿宋_GB2312" w:cs="仿宋_GB2312"/>
          <w:kern w:val="44"/>
          <w:sz w:val="28"/>
          <w:szCs w:val="28"/>
        </w:rPr>
        <w:t>延庆区法院</w:t>
      </w:r>
      <w:r>
        <w:rPr>
          <w:rFonts w:ascii="仿宋_GB2312" w:hAnsi="仿宋_GB2312" w:eastAsia="仿宋_GB2312" w:cs="仿宋_GB2312"/>
          <w:kern w:val="44"/>
          <w:sz w:val="28"/>
          <w:szCs w:val="28"/>
        </w:rPr>
        <w:t>财务内控规定；资金拨付有较完整的审批程序和手续，资金使用和项目规定的用途和内容相符</w:t>
      </w:r>
      <w:r>
        <w:rPr>
          <w:rFonts w:hint="eastAsia" w:ascii="仿宋_GB2312" w:hAnsi="仿宋_GB2312" w:eastAsia="仿宋_GB2312" w:cs="仿宋_GB2312"/>
          <w:kern w:val="44"/>
          <w:sz w:val="28"/>
          <w:szCs w:val="28"/>
        </w:rPr>
        <w:t>。该项指标权重分4分，根据评分规则评价得分4.00分。</w:t>
      </w:r>
      <w:r>
        <w:rPr>
          <w:rFonts w:ascii="仿宋_GB2312" w:hAnsi="仿宋_GB2312" w:eastAsia="仿宋_GB2312" w:cs="仿宋_GB2312"/>
          <w:kern w:val="44"/>
          <w:sz w:val="28"/>
          <w:szCs w:val="28"/>
        </w:rPr>
        <w:t xml:space="preserve">                                 </w:t>
      </w:r>
    </w:p>
    <w:p>
      <w:pPr>
        <w:numPr>
          <w:ilvl w:val="0"/>
          <w:numId w:val="8"/>
        </w:numPr>
        <w:spacing w:line="560" w:lineRule="exact"/>
        <w:ind w:firstLine="560" w:firstLineChars="200"/>
        <w:outlineLvl w:val="2"/>
        <w:rPr>
          <w:rFonts w:ascii="仿宋_GB2312" w:hAnsi="仿宋_GB2312" w:eastAsia="仿宋_GB2312" w:cs="仿宋_GB2312"/>
          <w:bCs/>
          <w:sz w:val="28"/>
          <w:szCs w:val="28"/>
        </w:rPr>
      </w:pPr>
      <w:bookmarkStart w:id="100" w:name="_Toc77203360"/>
      <w:r>
        <w:rPr>
          <w:rFonts w:hint="eastAsia" w:ascii="仿宋_GB2312" w:hAnsi="仿宋_GB2312" w:eastAsia="仿宋_GB2312" w:cs="仿宋_GB2312"/>
          <w:bCs/>
          <w:sz w:val="28"/>
          <w:szCs w:val="28"/>
        </w:rPr>
        <w:t>组织管理情况</w:t>
      </w:r>
      <w:bookmarkEnd w:id="100"/>
    </w:p>
    <w:p>
      <w:pPr>
        <w:numPr>
          <w:ilvl w:val="0"/>
          <w:numId w:val="10"/>
        </w:numPr>
        <w:ind w:firstLine="0"/>
        <w:rPr>
          <w:rFonts w:ascii="仿宋_GB2312" w:hAnsi="仿宋_GB2312" w:eastAsia="仿宋_GB2312" w:cs="仿宋_GB2312"/>
          <w:bCs/>
          <w:kern w:val="0"/>
          <w:sz w:val="28"/>
          <w:szCs w:val="28"/>
        </w:rPr>
      </w:pPr>
      <w:bookmarkStart w:id="101" w:name="_Toc31766"/>
      <w:bookmarkStart w:id="102" w:name="_Toc22748"/>
      <w:bookmarkStart w:id="103" w:name="_Toc8558"/>
      <w:r>
        <w:rPr>
          <w:rFonts w:hint="eastAsia" w:ascii="仿宋_GB2312" w:hAnsi="仿宋_GB2312" w:eastAsia="仿宋_GB2312" w:cs="仿宋_GB2312"/>
          <w:bCs/>
          <w:kern w:val="0"/>
          <w:sz w:val="28"/>
          <w:szCs w:val="28"/>
        </w:rPr>
        <w:t>管理制度健全性</w:t>
      </w:r>
      <w:bookmarkEnd w:id="101"/>
      <w:bookmarkEnd w:id="102"/>
      <w:bookmarkEnd w:id="103"/>
    </w:p>
    <w:p>
      <w:pPr>
        <w:ind w:firstLine="560" w:firstLineChars="200"/>
        <w:rPr>
          <w:rFonts w:ascii="仿宋_GB2312" w:hAnsi="仿宋_GB2312" w:eastAsia="仿宋_GB2312" w:cs="仿宋_GB2312"/>
          <w:kern w:val="44"/>
          <w:sz w:val="28"/>
          <w:szCs w:val="28"/>
          <w:lang w:val="en-GB"/>
        </w:rPr>
      </w:pPr>
      <w:r>
        <w:rPr>
          <w:rFonts w:hint="eastAsia" w:ascii="仿宋_GB2312" w:hAnsi="仿宋_GB2312" w:eastAsia="仿宋_GB2312" w:cs="仿宋_GB2312"/>
          <w:kern w:val="44"/>
          <w:sz w:val="28"/>
          <w:szCs w:val="28"/>
        </w:rPr>
        <w:t>项目单位提供了《北京市延庆区人民法院支出管理办法》，虽未单独制定“安检管理制度”，但在《安检服务合同》中明确了安检员岗位职责、安检员纪律规定，规范了安检工作流程等。管理制度基本合法、合规、健全。</w:t>
      </w:r>
      <w:r>
        <w:rPr>
          <w:rFonts w:ascii="仿宋_GB2312" w:hAnsi="仿宋_GB2312" w:eastAsia="仿宋_GB2312" w:cs="仿宋_GB2312"/>
          <w:kern w:val="44"/>
          <w:sz w:val="28"/>
          <w:szCs w:val="28"/>
        </w:rPr>
        <w:t>该项指标权重分</w:t>
      </w:r>
      <w:r>
        <w:rPr>
          <w:rFonts w:hint="eastAsia" w:ascii="仿宋_GB2312" w:hAnsi="仿宋_GB2312" w:eastAsia="仿宋_GB2312" w:cs="仿宋_GB2312"/>
          <w:kern w:val="44"/>
          <w:sz w:val="28"/>
          <w:szCs w:val="28"/>
        </w:rPr>
        <w:t>4</w:t>
      </w:r>
      <w:r>
        <w:rPr>
          <w:rFonts w:ascii="仿宋_GB2312" w:hAnsi="仿宋_GB2312" w:eastAsia="仿宋_GB2312" w:cs="仿宋_GB2312"/>
          <w:kern w:val="44"/>
          <w:sz w:val="28"/>
          <w:szCs w:val="28"/>
        </w:rPr>
        <w:t>分，根据评分规则评价得分</w:t>
      </w:r>
      <w:r>
        <w:rPr>
          <w:rFonts w:hint="eastAsia" w:ascii="仿宋_GB2312" w:hAnsi="仿宋_GB2312" w:eastAsia="仿宋_GB2312" w:cs="仿宋_GB2312"/>
          <w:kern w:val="44"/>
          <w:sz w:val="28"/>
          <w:szCs w:val="28"/>
        </w:rPr>
        <w:t>3.</w:t>
      </w:r>
      <w:r>
        <w:rPr>
          <w:rFonts w:ascii="仿宋_GB2312" w:hAnsi="仿宋_GB2312" w:eastAsia="仿宋_GB2312" w:cs="仿宋_GB2312"/>
          <w:kern w:val="44"/>
          <w:sz w:val="28"/>
          <w:szCs w:val="28"/>
          <w:lang w:val="en-GB"/>
        </w:rPr>
        <w:t>84</w:t>
      </w:r>
      <w:r>
        <w:rPr>
          <w:rFonts w:ascii="仿宋_GB2312" w:hAnsi="仿宋_GB2312" w:eastAsia="仿宋_GB2312" w:cs="仿宋_GB2312"/>
          <w:kern w:val="44"/>
          <w:sz w:val="28"/>
          <w:szCs w:val="28"/>
        </w:rPr>
        <w:t>分。</w:t>
      </w:r>
    </w:p>
    <w:p>
      <w:pPr>
        <w:numPr>
          <w:ilvl w:val="0"/>
          <w:numId w:val="10"/>
        </w:numPr>
        <w:ind w:firstLine="0"/>
        <w:rPr>
          <w:rFonts w:ascii="仿宋_GB2312" w:hAnsi="仿宋_GB2312" w:eastAsia="仿宋_GB2312" w:cs="仿宋_GB2312"/>
          <w:bCs/>
          <w:kern w:val="0"/>
          <w:sz w:val="28"/>
          <w:szCs w:val="28"/>
        </w:rPr>
      </w:pPr>
      <w:bookmarkStart w:id="104" w:name="_Toc26951"/>
      <w:bookmarkStart w:id="105" w:name="_Toc8657"/>
      <w:bookmarkStart w:id="106" w:name="_Toc23471"/>
      <w:r>
        <w:rPr>
          <w:rFonts w:hint="eastAsia" w:ascii="仿宋_GB2312" w:hAnsi="仿宋_GB2312" w:eastAsia="仿宋_GB2312" w:cs="仿宋_GB2312"/>
          <w:bCs/>
          <w:kern w:val="0"/>
          <w:sz w:val="28"/>
          <w:szCs w:val="28"/>
        </w:rPr>
        <w:t>制度执行有效性</w:t>
      </w:r>
      <w:bookmarkEnd w:id="104"/>
      <w:bookmarkEnd w:id="105"/>
      <w:bookmarkEnd w:id="106"/>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项目的相关管理制度呈现的不够充分。</w:t>
      </w:r>
      <w:r>
        <w:rPr>
          <w:rFonts w:ascii="仿宋_GB2312" w:hAnsi="仿宋_GB2312" w:eastAsia="仿宋_GB2312" w:cs="仿宋_GB2312"/>
          <w:kern w:val="44"/>
          <w:sz w:val="28"/>
          <w:szCs w:val="28"/>
        </w:rPr>
        <w:t>该项指标权重分</w:t>
      </w:r>
      <w:r>
        <w:rPr>
          <w:rFonts w:hint="eastAsia" w:ascii="仿宋_GB2312" w:hAnsi="仿宋_GB2312" w:eastAsia="仿宋_GB2312" w:cs="仿宋_GB2312"/>
          <w:kern w:val="44"/>
          <w:sz w:val="28"/>
          <w:szCs w:val="28"/>
        </w:rPr>
        <w:t>4</w:t>
      </w:r>
      <w:r>
        <w:rPr>
          <w:rFonts w:ascii="仿宋_GB2312" w:hAnsi="仿宋_GB2312" w:eastAsia="仿宋_GB2312" w:cs="仿宋_GB2312"/>
          <w:kern w:val="44"/>
          <w:sz w:val="28"/>
          <w:szCs w:val="28"/>
        </w:rPr>
        <w:t>分，根据评分规则评价得分</w:t>
      </w:r>
      <w:r>
        <w:rPr>
          <w:rFonts w:hint="eastAsia" w:ascii="仿宋_GB2312" w:hAnsi="仿宋_GB2312" w:eastAsia="仿宋_GB2312" w:cs="仿宋_GB2312"/>
          <w:kern w:val="44"/>
          <w:sz w:val="28"/>
          <w:szCs w:val="28"/>
        </w:rPr>
        <w:t>3.5</w:t>
      </w:r>
      <w:r>
        <w:rPr>
          <w:rFonts w:ascii="仿宋_GB2312" w:hAnsi="仿宋_GB2312" w:eastAsia="仿宋_GB2312" w:cs="仿宋_GB2312"/>
          <w:kern w:val="44"/>
          <w:sz w:val="28"/>
          <w:szCs w:val="28"/>
          <w:lang w:val="en-GB"/>
        </w:rPr>
        <w:t>4</w:t>
      </w:r>
      <w:r>
        <w:rPr>
          <w:rFonts w:ascii="仿宋_GB2312" w:hAnsi="仿宋_GB2312" w:eastAsia="仿宋_GB2312" w:cs="仿宋_GB2312"/>
          <w:kern w:val="44"/>
          <w:sz w:val="28"/>
          <w:szCs w:val="28"/>
        </w:rPr>
        <w:t>分。</w:t>
      </w:r>
    </w:p>
    <w:p>
      <w:pPr>
        <w:numPr>
          <w:ilvl w:val="0"/>
          <w:numId w:val="10"/>
        </w:numPr>
        <w:ind w:firstLine="0"/>
        <w:rPr>
          <w:rFonts w:ascii="仿宋_GB2312" w:hAnsi="仿宋_GB2312" w:eastAsia="仿宋_GB2312" w:cs="仿宋_GB2312"/>
          <w:bCs/>
          <w:kern w:val="0"/>
          <w:sz w:val="28"/>
          <w:szCs w:val="28"/>
        </w:rPr>
      </w:pPr>
      <w:bookmarkStart w:id="107" w:name="_Toc13188"/>
      <w:bookmarkStart w:id="108" w:name="_Toc15495"/>
      <w:bookmarkStart w:id="109" w:name="_Toc32499"/>
      <w:r>
        <w:rPr>
          <w:rFonts w:hint="eastAsia" w:ascii="仿宋_GB2312" w:hAnsi="仿宋_GB2312" w:eastAsia="仿宋_GB2312" w:cs="仿宋_GB2312"/>
          <w:bCs/>
          <w:kern w:val="0"/>
          <w:sz w:val="28"/>
          <w:szCs w:val="28"/>
        </w:rPr>
        <w:t>实施方案有效性</w:t>
      </w:r>
      <w:bookmarkEnd w:id="107"/>
      <w:bookmarkEnd w:id="108"/>
      <w:bookmarkEnd w:id="109"/>
    </w:p>
    <w:p>
      <w:pPr>
        <w:ind w:firstLine="560" w:firstLineChars="200"/>
        <w:rPr>
          <w:rFonts w:ascii="仿宋_GB2312" w:hAnsi="仿宋_GB2312" w:eastAsia="仿宋_GB2312" w:cs="仿宋_GB2312"/>
          <w:kern w:val="44"/>
          <w:sz w:val="32"/>
          <w:szCs w:val="32"/>
        </w:rPr>
      </w:pPr>
      <w:r>
        <w:rPr>
          <w:rFonts w:hint="eastAsia" w:ascii="仿宋_GB2312" w:hAnsi="仿宋_GB2312" w:eastAsia="仿宋_GB2312" w:cs="仿宋_GB2312"/>
          <w:bCs/>
          <w:kern w:val="0"/>
          <w:sz w:val="28"/>
          <w:szCs w:val="28"/>
        </w:rPr>
        <w:t>未单独制定实施方案，但实施方案内容在《安检服务合同》附件中有所体现。</w:t>
      </w:r>
      <w:r>
        <w:rPr>
          <w:rFonts w:hint="eastAsia" w:ascii="仿宋_GB2312" w:hAnsi="仿宋_GB2312" w:eastAsia="仿宋_GB2312" w:cs="仿宋_GB2312"/>
          <w:kern w:val="44"/>
          <w:sz w:val="28"/>
          <w:szCs w:val="28"/>
        </w:rPr>
        <w:t>该项指标权重分2分，根据评分规则评价得分1.</w:t>
      </w:r>
      <w:r>
        <w:rPr>
          <w:rFonts w:ascii="仿宋_GB2312" w:hAnsi="仿宋_GB2312" w:eastAsia="仿宋_GB2312" w:cs="仿宋_GB2312"/>
          <w:kern w:val="44"/>
          <w:sz w:val="28"/>
          <w:szCs w:val="28"/>
          <w:lang w:val="en-GB"/>
        </w:rPr>
        <w:t>8</w:t>
      </w:r>
      <w:r>
        <w:rPr>
          <w:rFonts w:hint="eastAsia" w:ascii="仿宋_GB2312" w:hAnsi="仿宋_GB2312" w:eastAsia="仿宋_GB2312" w:cs="仿宋_GB2312"/>
          <w:kern w:val="44"/>
          <w:sz w:val="28"/>
          <w:szCs w:val="28"/>
        </w:rPr>
        <w:t>0分。</w:t>
      </w:r>
    </w:p>
    <w:p>
      <w:pPr>
        <w:numPr>
          <w:ilvl w:val="0"/>
          <w:numId w:val="5"/>
        </w:numPr>
        <w:spacing w:line="560" w:lineRule="exact"/>
        <w:outlineLvl w:val="1"/>
        <w:rPr>
          <w:rFonts w:ascii="楷体_GB2312" w:hAnsi="楷体_GB2312" w:eastAsia="楷体_GB2312" w:cs="楷体_GB2312"/>
          <w:bCs/>
          <w:sz w:val="32"/>
          <w:szCs w:val="32"/>
        </w:rPr>
      </w:pPr>
      <w:bookmarkStart w:id="110" w:name="_Toc77203361"/>
      <w:bookmarkStart w:id="111" w:name="_Toc32517"/>
      <w:bookmarkStart w:id="112" w:name="_Toc5531"/>
      <w:bookmarkStart w:id="113" w:name="_Toc13844"/>
      <w:bookmarkStart w:id="114" w:name="_Toc968"/>
      <w:r>
        <w:rPr>
          <w:rFonts w:hint="eastAsia" w:ascii="楷体_GB2312" w:hAnsi="楷体_GB2312" w:eastAsia="楷体_GB2312" w:cs="楷体_GB2312"/>
          <w:bCs/>
          <w:sz w:val="32"/>
          <w:szCs w:val="32"/>
        </w:rPr>
        <w:t>项目产出评价分析</w:t>
      </w:r>
      <w:bookmarkEnd w:id="110"/>
      <w:bookmarkEnd w:id="111"/>
      <w:bookmarkEnd w:id="112"/>
      <w:bookmarkEnd w:id="113"/>
      <w:bookmarkEnd w:id="114"/>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产出部分从产出数量、产出质量、产出时效和产出成本四个方面共四个三级指标对项目进行考察，产出类指标分值共计40分，本项目得分36.48分，得分率为91.20% ，具体得分情况如下表：</w:t>
      </w:r>
    </w:p>
    <w:tbl>
      <w:tblPr>
        <w:tblStyle w:val="18"/>
        <w:tblW w:w="8698"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3188"/>
        <w:gridCol w:w="1080"/>
        <w:gridCol w:w="1080"/>
        <w:gridCol w:w="1080"/>
        <w:gridCol w:w="1190"/>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3188"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19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3188"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实际完成率</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15</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14.20 </w:t>
            </w:r>
          </w:p>
        </w:tc>
        <w:tc>
          <w:tcPr>
            <w:tcW w:w="119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94.67%</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质量达标率</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15</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13.70 </w:t>
            </w:r>
          </w:p>
        </w:tc>
        <w:tc>
          <w:tcPr>
            <w:tcW w:w="119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91.33%</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完成及时性</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及时</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5.00 </w:t>
            </w:r>
          </w:p>
        </w:tc>
        <w:tc>
          <w:tcPr>
            <w:tcW w:w="119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4</w:t>
            </w:r>
          </w:p>
        </w:tc>
        <w:tc>
          <w:tcPr>
            <w:tcW w:w="3188"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成本节约率</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5</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达标</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3.58 </w:t>
            </w:r>
          </w:p>
        </w:tc>
        <w:tc>
          <w:tcPr>
            <w:tcW w:w="119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71.60%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3188"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40</w:t>
            </w:r>
          </w:p>
        </w:tc>
        <w:tc>
          <w:tcPr>
            <w:tcW w:w="1080" w:type="dxa"/>
            <w:shd w:val="clear" w:color="auto" w:fill="auto"/>
            <w:vAlign w:val="center"/>
          </w:tcPr>
          <w:p>
            <w:pPr>
              <w:widowControl/>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108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 xml:space="preserve">36.48 </w:t>
            </w:r>
          </w:p>
        </w:tc>
        <w:tc>
          <w:tcPr>
            <w:tcW w:w="1190" w:type="dxa"/>
            <w:shd w:val="clear" w:color="auto" w:fill="auto"/>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91.20%</w:t>
            </w:r>
          </w:p>
        </w:tc>
      </w:tr>
    </w:tbl>
    <w:p>
      <w:pPr>
        <w:numPr>
          <w:ilvl w:val="0"/>
          <w:numId w:val="11"/>
        </w:numPr>
        <w:spacing w:line="560" w:lineRule="exact"/>
        <w:ind w:firstLine="560" w:firstLineChars="200"/>
        <w:outlineLvl w:val="2"/>
        <w:rPr>
          <w:rFonts w:ascii="仿宋_GB2312" w:hAnsi="仿宋_GB2312" w:eastAsia="仿宋_GB2312" w:cs="仿宋_GB2312"/>
          <w:bCs/>
          <w:sz w:val="28"/>
          <w:szCs w:val="28"/>
        </w:rPr>
      </w:pPr>
      <w:bookmarkStart w:id="115" w:name="_Toc77203362"/>
      <w:bookmarkStart w:id="116" w:name="_Toc371"/>
      <w:bookmarkStart w:id="117" w:name="_Toc30363"/>
      <w:bookmarkStart w:id="118" w:name="_Toc5885"/>
      <w:bookmarkStart w:id="119" w:name="_Toc23579"/>
      <w:bookmarkStart w:id="120" w:name="_Toc25502"/>
      <w:bookmarkStart w:id="121" w:name="_Toc12068"/>
      <w:r>
        <w:rPr>
          <w:rFonts w:hint="eastAsia" w:ascii="仿宋_GB2312" w:hAnsi="仿宋_GB2312" w:eastAsia="仿宋_GB2312" w:cs="仿宋_GB2312"/>
          <w:bCs/>
          <w:sz w:val="28"/>
          <w:szCs w:val="28"/>
        </w:rPr>
        <w:t>项目完成数量</w:t>
      </w:r>
      <w:bookmarkEnd w:id="115"/>
      <w:bookmarkEnd w:id="116"/>
      <w:bookmarkEnd w:id="117"/>
      <w:bookmarkEnd w:id="118"/>
      <w:bookmarkEnd w:id="119"/>
      <w:bookmarkEnd w:id="120"/>
      <w:bookmarkEnd w:id="121"/>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项目验收程序、相关资料的有效性不足，绩效成果的呈现不够充分。该项指标权重15分，根据评分规则评价得分1</w:t>
      </w:r>
      <w:r>
        <w:rPr>
          <w:rFonts w:ascii="仿宋_GB2312" w:hAnsi="仿宋_GB2312" w:eastAsia="仿宋_GB2312" w:cs="仿宋_GB2312"/>
          <w:kern w:val="44"/>
          <w:sz w:val="28"/>
          <w:szCs w:val="28"/>
          <w:lang w:val="en-GB"/>
        </w:rPr>
        <w:t>4</w:t>
      </w:r>
      <w:r>
        <w:rPr>
          <w:rFonts w:hint="eastAsia" w:ascii="仿宋_GB2312" w:hAnsi="仿宋_GB2312" w:eastAsia="仿宋_GB2312" w:cs="仿宋_GB2312"/>
          <w:kern w:val="44"/>
          <w:sz w:val="28"/>
          <w:szCs w:val="28"/>
        </w:rPr>
        <w:t>.</w:t>
      </w:r>
      <w:r>
        <w:rPr>
          <w:rFonts w:ascii="仿宋_GB2312" w:hAnsi="仿宋_GB2312" w:eastAsia="仿宋_GB2312" w:cs="仿宋_GB2312"/>
          <w:kern w:val="44"/>
          <w:sz w:val="28"/>
          <w:szCs w:val="28"/>
          <w:lang w:val="en-GB"/>
        </w:rPr>
        <w:t>2</w:t>
      </w:r>
      <w:r>
        <w:rPr>
          <w:rFonts w:hint="eastAsia" w:ascii="仿宋_GB2312" w:hAnsi="仿宋_GB2312" w:eastAsia="仿宋_GB2312" w:cs="仿宋_GB2312"/>
          <w:kern w:val="44"/>
          <w:sz w:val="28"/>
          <w:szCs w:val="28"/>
        </w:rPr>
        <w:t>0分。</w:t>
      </w:r>
    </w:p>
    <w:p>
      <w:pPr>
        <w:numPr>
          <w:ilvl w:val="0"/>
          <w:numId w:val="11"/>
        </w:numPr>
        <w:spacing w:line="560" w:lineRule="exact"/>
        <w:ind w:firstLine="560" w:firstLineChars="200"/>
        <w:outlineLvl w:val="2"/>
        <w:rPr>
          <w:rFonts w:ascii="仿宋_GB2312" w:hAnsi="仿宋_GB2312" w:eastAsia="仿宋_GB2312" w:cs="仿宋_GB2312"/>
          <w:bCs/>
          <w:sz w:val="28"/>
          <w:szCs w:val="28"/>
        </w:rPr>
      </w:pPr>
      <w:bookmarkStart w:id="122" w:name="_Toc27027"/>
      <w:bookmarkStart w:id="123" w:name="_Toc77203363"/>
      <w:bookmarkStart w:id="124" w:name="_Toc7442"/>
      <w:bookmarkStart w:id="125" w:name="_Toc384"/>
      <w:bookmarkStart w:id="126" w:name="_Toc29327"/>
      <w:r>
        <w:rPr>
          <w:rFonts w:hint="eastAsia" w:ascii="仿宋_GB2312" w:hAnsi="仿宋_GB2312" w:eastAsia="仿宋_GB2312" w:cs="仿宋_GB2312"/>
          <w:bCs/>
          <w:sz w:val="28"/>
          <w:szCs w:val="28"/>
        </w:rPr>
        <w:t>项目效率性分析</w:t>
      </w:r>
      <w:bookmarkEnd w:id="122"/>
      <w:bookmarkEnd w:id="123"/>
      <w:bookmarkEnd w:id="124"/>
      <w:bookmarkEnd w:id="125"/>
      <w:bookmarkEnd w:id="126"/>
    </w:p>
    <w:p>
      <w:pPr>
        <w:numPr>
          <w:ilvl w:val="0"/>
          <w:numId w:val="12"/>
        </w:numPr>
        <w:ind w:firstLine="0" w:firstLineChars="0"/>
        <w:rPr>
          <w:rFonts w:ascii="仿宋_GB2312" w:hAnsi="仿宋_GB2312" w:eastAsia="仿宋_GB2312" w:cs="仿宋_GB2312"/>
          <w:bCs/>
          <w:kern w:val="44"/>
          <w:sz w:val="28"/>
          <w:szCs w:val="28"/>
        </w:rPr>
      </w:pPr>
      <w:r>
        <w:rPr>
          <w:rFonts w:hint="eastAsia" w:ascii="仿宋_GB2312" w:hAnsi="仿宋_GB2312" w:eastAsia="仿宋_GB2312" w:cs="仿宋_GB2312"/>
          <w:bCs/>
          <w:kern w:val="44"/>
          <w:sz w:val="28"/>
          <w:szCs w:val="28"/>
        </w:rPr>
        <w:t>项目完成质量</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缺乏明确细化的质量标准，项目验收的有效性不足。该项指标权重15分，根据评分规则评价得分13.</w:t>
      </w:r>
      <w:r>
        <w:rPr>
          <w:rFonts w:ascii="仿宋_GB2312" w:hAnsi="仿宋_GB2312" w:eastAsia="仿宋_GB2312" w:cs="仿宋_GB2312"/>
          <w:kern w:val="44"/>
          <w:sz w:val="28"/>
          <w:szCs w:val="28"/>
          <w:lang w:val="en-GB"/>
        </w:rPr>
        <w:t>7</w:t>
      </w:r>
      <w:r>
        <w:rPr>
          <w:rFonts w:hint="eastAsia" w:ascii="仿宋_GB2312" w:hAnsi="仿宋_GB2312" w:eastAsia="仿宋_GB2312" w:cs="仿宋_GB2312"/>
          <w:kern w:val="44"/>
          <w:sz w:val="28"/>
          <w:szCs w:val="28"/>
        </w:rPr>
        <w:t>0分。</w:t>
      </w:r>
    </w:p>
    <w:p>
      <w:pPr>
        <w:ind w:left="400" w:firstLine="280" w:firstLineChars="100"/>
        <w:rPr>
          <w:rFonts w:ascii="仿宋_GB2312" w:hAnsi="仿宋_GB2312" w:eastAsia="仿宋_GB2312" w:cs="仿宋_GB2312"/>
          <w:bCs/>
          <w:kern w:val="44"/>
          <w:sz w:val="28"/>
          <w:szCs w:val="28"/>
        </w:rPr>
      </w:pPr>
      <w:r>
        <w:rPr>
          <w:rFonts w:hint="eastAsia" w:ascii="仿宋_GB2312" w:hAnsi="仿宋_GB2312" w:eastAsia="仿宋_GB2312" w:cs="仿宋_GB2312"/>
          <w:bCs/>
          <w:kern w:val="44"/>
          <w:sz w:val="28"/>
          <w:szCs w:val="28"/>
        </w:rPr>
        <w:t>（2）项目的实施进度</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项目在年度内按计划完成。</w:t>
      </w:r>
      <w:r>
        <w:rPr>
          <w:rFonts w:ascii="仿宋_GB2312" w:hAnsi="仿宋_GB2312" w:eastAsia="仿宋_GB2312" w:cs="仿宋_GB2312"/>
          <w:kern w:val="44"/>
          <w:sz w:val="28"/>
          <w:szCs w:val="28"/>
        </w:rPr>
        <w:t>该项指标权重5分，根据评分规则评价得分</w:t>
      </w:r>
      <w:r>
        <w:rPr>
          <w:rFonts w:hint="eastAsia" w:ascii="仿宋_GB2312" w:hAnsi="仿宋_GB2312" w:eastAsia="仿宋_GB2312" w:cs="仿宋_GB2312"/>
          <w:kern w:val="44"/>
          <w:sz w:val="28"/>
          <w:szCs w:val="28"/>
        </w:rPr>
        <w:t>5.00</w:t>
      </w:r>
      <w:r>
        <w:rPr>
          <w:rFonts w:ascii="仿宋_GB2312" w:hAnsi="仿宋_GB2312" w:eastAsia="仿宋_GB2312" w:cs="仿宋_GB2312"/>
          <w:kern w:val="44"/>
          <w:sz w:val="28"/>
          <w:szCs w:val="28"/>
        </w:rPr>
        <w:t>分。</w:t>
      </w:r>
    </w:p>
    <w:p>
      <w:pPr>
        <w:numPr>
          <w:ilvl w:val="0"/>
          <w:numId w:val="11"/>
        </w:numPr>
        <w:spacing w:line="560" w:lineRule="exact"/>
        <w:ind w:firstLine="560" w:firstLineChars="200"/>
        <w:outlineLvl w:val="2"/>
        <w:rPr>
          <w:rFonts w:ascii="仿宋_GB2312" w:hAnsi="仿宋_GB2312" w:eastAsia="仿宋_GB2312" w:cs="仿宋_GB2312"/>
          <w:bCs/>
          <w:sz w:val="28"/>
          <w:szCs w:val="28"/>
        </w:rPr>
      </w:pPr>
      <w:bookmarkStart w:id="127" w:name="_Toc1484"/>
      <w:bookmarkStart w:id="128" w:name="_Toc18244"/>
      <w:bookmarkStart w:id="129" w:name="_Toc32143"/>
      <w:bookmarkStart w:id="130" w:name="_Toc14040"/>
      <w:bookmarkStart w:id="131" w:name="_Toc25211"/>
      <w:bookmarkStart w:id="132" w:name="_Toc4559"/>
      <w:bookmarkStart w:id="133" w:name="_Toc77203364"/>
      <w:r>
        <w:rPr>
          <w:rFonts w:hint="eastAsia" w:ascii="仿宋_GB2312" w:hAnsi="仿宋_GB2312" w:eastAsia="仿宋_GB2312" w:cs="仿宋_GB2312"/>
          <w:bCs/>
          <w:sz w:val="28"/>
          <w:szCs w:val="28"/>
        </w:rPr>
        <w:t>项目产出成本</w:t>
      </w:r>
      <w:bookmarkEnd w:id="127"/>
      <w:bookmarkEnd w:id="128"/>
      <w:r>
        <w:rPr>
          <w:rFonts w:hint="eastAsia" w:ascii="仿宋_GB2312" w:hAnsi="仿宋_GB2312" w:eastAsia="仿宋_GB2312" w:cs="仿宋_GB2312"/>
          <w:bCs/>
          <w:sz w:val="28"/>
          <w:szCs w:val="28"/>
        </w:rPr>
        <w:t>节约率</w:t>
      </w:r>
      <w:bookmarkEnd w:id="129"/>
      <w:bookmarkEnd w:id="130"/>
      <w:bookmarkEnd w:id="131"/>
      <w:bookmarkEnd w:id="132"/>
      <w:bookmarkEnd w:id="133"/>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2024年批复项目资金</w:t>
      </w:r>
      <w:r>
        <w:rPr>
          <w:rFonts w:hint="eastAsia" w:ascii="仿宋_GB2312" w:hAnsi="仿宋" w:eastAsia="仿宋_GB2312" w:cs="Times New Roman"/>
          <w:kern w:val="0"/>
          <w:sz w:val="28"/>
          <w:szCs w:val="28"/>
          <w:lang w:bidi="en-US"/>
        </w:rPr>
        <w:t>2,383,560.00</w:t>
      </w:r>
      <w:r>
        <w:rPr>
          <w:rFonts w:hint="eastAsia" w:ascii="仿宋_GB2312" w:hAnsi="仿宋_GB2312" w:eastAsia="仿宋_GB2312" w:cs="仿宋_GB2312"/>
          <w:kern w:val="44"/>
          <w:sz w:val="28"/>
          <w:szCs w:val="28"/>
        </w:rPr>
        <w:t>元，截至2024年12月31日已支付资金</w:t>
      </w:r>
      <w:r>
        <w:rPr>
          <w:rFonts w:hint="eastAsia" w:ascii="仿宋_GB2312" w:hAnsi="仿宋" w:eastAsia="仿宋_GB2312" w:cs="Times New Roman"/>
          <w:kern w:val="0"/>
          <w:sz w:val="28"/>
          <w:szCs w:val="28"/>
          <w:lang w:bidi="en-US"/>
        </w:rPr>
        <w:t>2,383,560.00</w:t>
      </w:r>
      <w:r>
        <w:rPr>
          <w:rFonts w:hint="eastAsia" w:ascii="仿宋_GB2312" w:hAnsi="仿宋_GB2312" w:eastAsia="仿宋_GB2312" w:cs="仿宋_GB2312"/>
          <w:kern w:val="44"/>
          <w:sz w:val="28"/>
          <w:szCs w:val="28"/>
        </w:rPr>
        <w:t>元，预算执行率为100%，资金节约率为0。项目成本控制措施不够明确，对于延续性项目的成本测算信息不足。该项指标权重分5分，根据评分规则评价得分3.</w:t>
      </w:r>
      <w:r>
        <w:rPr>
          <w:rFonts w:ascii="仿宋_GB2312" w:hAnsi="仿宋_GB2312" w:eastAsia="仿宋_GB2312" w:cs="仿宋_GB2312"/>
          <w:kern w:val="44"/>
          <w:sz w:val="28"/>
          <w:szCs w:val="28"/>
          <w:lang w:val="en-GB"/>
        </w:rPr>
        <w:t>58</w:t>
      </w:r>
      <w:r>
        <w:rPr>
          <w:rFonts w:hint="eastAsia" w:ascii="仿宋_GB2312" w:hAnsi="仿宋_GB2312" w:eastAsia="仿宋_GB2312" w:cs="仿宋_GB2312"/>
          <w:kern w:val="44"/>
          <w:sz w:val="28"/>
          <w:szCs w:val="28"/>
        </w:rPr>
        <w:t>分。</w:t>
      </w:r>
    </w:p>
    <w:p>
      <w:pPr>
        <w:numPr>
          <w:ilvl w:val="0"/>
          <w:numId w:val="5"/>
        </w:numPr>
        <w:spacing w:line="560" w:lineRule="exact"/>
        <w:outlineLvl w:val="1"/>
        <w:rPr>
          <w:rFonts w:ascii="楷体_GB2312" w:hAnsi="楷体_GB2312" w:eastAsia="楷体_GB2312" w:cs="楷体_GB2312"/>
          <w:bCs/>
          <w:sz w:val="32"/>
          <w:szCs w:val="32"/>
        </w:rPr>
      </w:pPr>
      <w:bookmarkStart w:id="134" w:name="_Toc77203365"/>
      <w:bookmarkStart w:id="135" w:name="_Toc24895"/>
      <w:bookmarkStart w:id="136" w:name="_Toc10930"/>
      <w:bookmarkStart w:id="137" w:name="_Toc26692"/>
      <w:bookmarkStart w:id="138" w:name="_Toc27826"/>
      <w:r>
        <w:rPr>
          <w:rFonts w:hint="eastAsia" w:ascii="楷体_GB2312" w:hAnsi="楷体_GB2312" w:eastAsia="楷体_GB2312" w:cs="楷体_GB2312"/>
          <w:bCs/>
          <w:sz w:val="32"/>
          <w:szCs w:val="32"/>
        </w:rPr>
        <w:t>项目效益性分析</w:t>
      </w:r>
      <w:bookmarkEnd w:id="134"/>
      <w:bookmarkEnd w:id="135"/>
      <w:bookmarkEnd w:id="136"/>
      <w:bookmarkEnd w:id="137"/>
      <w:bookmarkEnd w:id="138"/>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效益部分从实施效益和服务对象满意度两个方面两个三级指标对项目进行考察，其中实施效益包括经济、社会和可持续影响，效益类指标共计30分，本项目实际得分2</w:t>
      </w:r>
      <w:r>
        <w:rPr>
          <w:rFonts w:ascii="仿宋_GB2312" w:hAnsi="仿宋_GB2312" w:eastAsia="仿宋_GB2312" w:cs="仿宋_GB2312"/>
          <w:kern w:val="44"/>
          <w:sz w:val="28"/>
          <w:szCs w:val="28"/>
          <w:lang w:val="en-GB"/>
        </w:rPr>
        <w:t>5</w:t>
      </w:r>
      <w:r>
        <w:rPr>
          <w:rFonts w:hint="eastAsia" w:ascii="仿宋_GB2312" w:hAnsi="仿宋_GB2312" w:eastAsia="仿宋_GB2312" w:cs="仿宋_GB2312"/>
          <w:kern w:val="44"/>
          <w:sz w:val="28"/>
          <w:szCs w:val="28"/>
        </w:rPr>
        <w:t>.32分，得分率84.40%。各指标的实际得分情况如下表：</w:t>
      </w:r>
    </w:p>
    <w:tbl>
      <w:tblPr>
        <w:tblStyle w:val="18"/>
        <w:tblW w:w="8379" w:type="dxa"/>
        <w:tblInd w:w="93"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080"/>
        <w:gridCol w:w="2763"/>
        <w:gridCol w:w="1080"/>
        <w:gridCol w:w="1080"/>
        <w:gridCol w:w="1080"/>
        <w:gridCol w:w="1296"/>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0" w:hRule="atLeast"/>
        </w:trPr>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序号</w:t>
            </w:r>
          </w:p>
        </w:tc>
        <w:tc>
          <w:tcPr>
            <w:tcW w:w="2763"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三级指标内容</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权重</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目标值</w:t>
            </w:r>
          </w:p>
        </w:tc>
        <w:tc>
          <w:tcPr>
            <w:tcW w:w="1080"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w:t>
            </w:r>
          </w:p>
        </w:tc>
        <w:tc>
          <w:tcPr>
            <w:tcW w:w="1296" w:type="dxa"/>
            <w:tcBorders>
              <w:top w:val="single" w:color="auto" w:sz="12" w:space="0"/>
              <w:bottom w:val="single" w:color="auto" w:sz="6" w:space="0"/>
            </w:tcBorders>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得分率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w:t>
            </w:r>
          </w:p>
        </w:tc>
        <w:tc>
          <w:tcPr>
            <w:tcW w:w="2763"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实施效益</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18.92 </w:t>
            </w:r>
          </w:p>
        </w:tc>
        <w:tc>
          <w:tcPr>
            <w:tcW w:w="1296" w:type="dxa"/>
            <w:tcBorders>
              <w:top w:val="single" w:color="auto" w:sz="6" w:space="0"/>
            </w:tcBorders>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94.60%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70" w:hRule="atLeast"/>
        </w:trPr>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2</w:t>
            </w:r>
          </w:p>
        </w:tc>
        <w:tc>
          <w:tcPr>
            <w:tcW w:w="2763"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满意度</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100%</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6.40 </w:t>
            </w:r>
          </w:p>
        </w:tc>
        <w:tc>
          <w:tcPr>
            <w:tcW w:w="12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64.00%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285" w:hRule="atLeast"/>
        </w:trPr>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2763"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分值合计</w:t>
            </w:r>
          </w:p>
        </w:tc>
        <w:tc>
          <w:tcPr>
            <w:tcW w:w="1080" w:type="dxa"/>
            <w:shd w:val="clear" w:color="auto"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30</w:t>
            </w:r>
          </w:p>
        </w:tc>
        <w:tc>
          <w:tcPr>
            <w:tcW w:w="1080" w:type="dxa"/>
            <w:shd w:val="clear" w:color="auto" w:fill="auto"/>
            <w:vAlign w:val="center"/>
          </w:tcPr>
          <w:p>
            <w:pPr>
              <w:widowControl/>
              <w:rPr>
                <w:rFonts w:ascii="仿宋" w:hAnsi="仿宋" w:eastAsia="仿宋" w:cs="宋体"/>
                <w:b/>
                <w:color w:val="000000"/>
                <w:kern w:val="0"/>
                <w:sz w:val="24"/>
                <w:szCs w:val="24"/>
              </w:rPr>
            </w:pPr>
            <w:r>
              <w:rPr>
                <w:rFonts w:hint="eastAsia" w:ascii="仿宋" w:hAnsi="仿宋" w:eastAsia="仿宋" w:cs="宋体"/>
                <w:b/>
                <w:color w:val="000000"/>
                <w:kern w:val="0"/>
                <w:sz w:val="24"/>
                <w:szCs w:val="24"/>
              </w:rPr>
              <w:t>　</w:t>
            </w:r>
          </w:p>
        </w:tc>
        <w:tc>
          <w:tcPr>
            <w:tcW w:w="1080"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xml:space="preserve">25.32 </w:t>
            </w:r>
          </w:p>
        </w:tc>
        <w:tc>
          <w:tcPr>
            <w:tcW w:w="1296" w:type="dxa"/>
            <w:shd w:val="clear" w:color="auto" w:fill="auto"/>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84.40%</w:t>
            </w:r>
          </w:p>
        </w:tc>
      </w:tr>
    </w:tbl>
    <w:p>
      <w:pPr>
        <w:rPr>
          <w:rFonts w:ascii="宋体" w:hAnsi="宋体" w:eastAsia="宋体" w:cs="仿宋_GB2312"/>
          <w:b/>
          <w:kern w:val="44"/>
          <w:szCs w:val="21"/>
        </w:rPr>
      </w:pPr>
    </w:p>
    <w:p>
      <w:pPr>
        <w:numPr>
          <w:ilvl w:val="0"/>
          <w:numId w:val="13"/>
        </w:numPr>
        <w:spacing w:line="560" w:lineRule="exact"/>
        <w:ind w:firstLine="560" w:firstLineChars="200"/>
        <w:outlineLvl w:val="2"/>
        <w:rPr>
          <w:rFonts w:ascii="仿宋_GB2312" w:hAnsi="仿宋_GB2312" w:eastAsia="仿宋_GB2312" w:cs="仿宋_GB2312"/>
          <w:bCs/>
          <w:sz w:val="28"/>
          <w:szCs w:val="28"/>
        </w:rPr>
      </w:pPr>
      <w:bookmarkStart w:id="139" w:name="_Toc23857"/>
      <w:bookmarkStart w:id="140" w:name="_Toc77203366"/>
      <w:bookmarkStart w:id="141" w:name="_Toc11656"/>
      <w:bookmarkStart w:id="142" w:name="_Toc8883"/>
      <w:r>
        <w:rPr>
          <w:rFonts w:hint="eastAsia" w:ascii="仿宋_GB2312" w:hAnsi="仿宋_GB2312" w:eastAsia="仿宋_GB2312" w:cs="仿宋_GB2312"/>
          <w:bCs/>
          <w:sz w:val="28"/>
          <w:szCs w:val="28"/>
        </w:rPr>
        <w:t>实施效益</w:t>
      </w:r>
      <w:bookmarkEnd w:id="139"/>
      <w:bookmarkEnd w:id="140"/>
      <w:bookmarkEnd w:id="141"/>
      <w:bookmarkEnd w:id="142"/>
    </w:p>
    <w:p>
      <w:pPr>
        <w:numPr>
          <w:ilvl w:val="0"/>
          <w:numId w:val="14"/>
        </w:numPr>
        <w:ind w:firstLine="0" w:firstLineChars="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项目实施对经济和社会的影响</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项目的实施可提高延庆区法院庭审活动的安全性，为法院审判、诉讼工作开展提供安全保障，降低管理风险。该项指标权重分15分，根据评分规则评价得分15.00分。</w:t>
      </w:r>
    </w:p>
    <w:p>
      <w:pPr>
        <w:numPr>
          <w:ilvl w:val="0"/>
          <w:numId w:val="14"/>
        </w:numPr>
        <w:ind w:firstLine="0" w:firstLineChars="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项目可持续影响</w:t>
      </w:r>
    </w:p>
    <w:p>
      <w:pPr>
        <w:ind w:firstLine="560" w:firstLineChars="20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项目为保障延续性项目，对延庆区法院庭审活动安全保障产生积极的可持续影响，但可持续影响指标设置不够明确。该项指标权重分5分，根据评分规则评价得分3.9</w:t>
      </w:r>
      <w:r>
        <w:rPr>
          <w:rFonts w:ascii="仿宋_GB2312" w:hAnsi="仿宋_GB2312" w:eastAsia="仿宋_GB2312" w:cs="仿宋_GB2312"/>
          <w:kern w:val="44"/>
          <w:sz w:val="28"/>
          <w:szCs w:val="28"/>
          <w:lang w:val="en-GB"/>
        </w:rPr>
        <w:t>2</w:t>
      </w:r>
      <w:r>
        <w:rPr>
          <w:rFonts w:hint="eastAsia" w:ascii="仿宋_GB2312" w:hAnsi="仿宋_GB2312" w:eastAsia="仿宋_GB2312" w:cs="仿宋_GB2312"/>
          <w:kern w:val="44"/>
          <w:sz w:val="28"/>
          <w:szCs w:val="28"/>
        </w:rPr>
        <w:t>分。</w:t>
      </w:r>
    </w:p>
    <w:p>
      <w:pPr>
        <w:numPr>
          <w:ilvl w:val="0"/>
          <w:numId w:val="13"/>
        </w:numPr>
        <w:spacing w:line="560" w:lineRule="exact"/>
        <w:ind w:firstLine="560" w:firstLineChars="200"/>
        <w:outlineLvl w:val="2"/>
        <w:rPr>
          <w:rFonts w:ascii="仿宋_GB2312" w:hAnsi="仿宋_GB2312" w:eastAsia="仿宋_GB2312" w:cs="仿宋_GB2312"/>
          <w:bCs/>
          <w:sz w:val="28"/>
          <w:szCs w:val="28"/>
        </w:rPr>
      </w:pPr>
      <w:bookmarkStart w:id="143" w:name="_Toc19554"/>
      <w:bookmarkStart w:id="144" w:name="_Toc22456"/>
      <w:bookmarkStart w:id="145" w:name="_Toc77203367"/>
      <w:bookmarkStart w:id="146" w:name="_Toc5403"/>
      <w:r>
        <w:rPr>
          <w:rFonts w:hint="eastAsia" w:ascii="仿宋_GB2312" w:hAnsi="仿宋_GB2312" w:eastAsia="仿宋_GB2312" w:cs="仿宋_GB2312"/>
          <w:bCs/>
          <w:sz w:val="28"/>
          <w:szCs w:val="28"/>
        </w:rPr>
        <w:t>服务对象满意度</w:t>
      </w:r>
      <w:bookmarkEnd w:id="143"/>
      <w:bookmarkEnd w:id="144"/>
      <w:bookmarkEnd w:id="145"/>
      <w:bookmarkEnd w:id="146"/>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满意度调查和分析不足。</w:t>
      </w:r>
      <w:r>
        <w:rPr>
          <w:rFonts w:ascii="仿宋_GB2312" w:hAnsi="仿宋_GB2312" w:eastAsia="仿宋_GB2312" w:cs="仿宋_GB2312"/>
          <w:kern w:val="44"/>
          <w:sz w:val="28"/>
          <w:szCs w:val="28"/>
        </w:rPr>
        <w:t>该项指标权重分</w:t>
      </w:r>
      <w:r>
        <w:rPr>
          <w:rFonts w:hint="eastAsia" w:ascii="仿宋_GB2312" w:hAnsi="仿宋_GB2312" w:eastAsia="仿宋_GB2312" w:cs="仿宋_GB2312"/>
          <w:kern w:val="44"/>
          <w:sz w:val="28"/>
          <w:szCs w:val="28"/>
        </w:rPr>
        <w:t>10</w:t>
      </w:r>
      <w:r>
        <w:rPr>
          <w:rFonts w:ascii="仿宋_GB2312" w:hAnsi="仿宋_GB2312" w:eastAsia="仿宋_GB2312" w:cs="仿宋_GB2312"/>
          <w:kern w:val="44"/>
          <w:sz w:val="28"/>
          <w:szCs w:val="28"/>
        </w:rPr>
        <w:t>分，根据评分规则评价得分</w:t>
      </w:r>
      <w:r>
        <w:rPr>
          <w:rFonts w:hint="eastAsia" w:ascii="仿宋_GB2312" w:hAnsi="仿宋_GB2312" w:eastAsia="仿宋_GB2312" w:cs="仿宋_GB2312"/>
          <w:kern w:val="44"/>
          <w:sz w:val="28"/>
          <w:szCs w:val="28"/>
        </w:rPr>
        <w:t>6.</w:t>
      </w:r>
      <w:r>
        <w:rPr>
          <w:rFonts w:ascii="仿宋_GB2312" w:hAnsi="仿宋_GB2312" w:eastAsia="仿宋_GB2312" w:cs="仿宋_GB2312"/>
          <w:kern w:val="44"/>
          <w:sz w:val="28"/>
          <w:szCs w:val="28"/>
          <w:lang w:val="en-GB"/>
        </w:rPr>
        <w:t>4</w:t>
      </w:r>
      <w:r>
        <w:rPr>
          <w:rFonts w:hint="eastAsia" w:ascii="仿宋_GB2312" w:hAnsi="仿宋_GB2312" w:eastAsia="仿宋_GB2312" w:cs="仿宋_GB2312"/>
          <w:kern w:val="44"/>
          <w:sz w:val="28"/>
          <w:szCs w:val="28"/>
        </w:rPr>
        <w:t>0</w:t>
      </w:r>
      <w:r>
        <w:rPr>
          <w:rFonts w:ascii="仿宋_GB2312" w:hAnsi="仿宋_GB2312" w:eastAsia="仿宋_GB2312" w:cs="仿宋_GB2312"/>
          <w:kern w:val="44"/>
          <w:sz w:val="28"/>
          <w:szCs w:val="28"/>
        </w:rPr>
        <w:t>分。</w:t>
      </w:r>
    </w:p>
    <w:bookmarkEnd w:id="67"/>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47" w:name="_Toc516663580"/>
      <w:bookmarkStart w:id="148" w:name="_Toc29005"/>
      <w:bookmarkStart w:id="149" w:name="_Toc77203369"/>
      <w:bookmarkStart w:id="150" w:name="_Toc30795"/>
      <w:bookmarkStart w:id="151" w:name="_Toc9678"/>
      <w:bookmarkStart w:id="152" w:name="_Toc15272"/>
      <w:r>
        <w:rPr>
          <w:rFonts w:hint="eastAsia" w:ascii="黑体" w:hAnsi="黑体" w:eastAsia="黑体" w:cs="黑体"/>
          <w:b w:val="0"/>
          <w:kern w:val="0"/>
          <w:sz w:val="32"/>
          <w:szCs w:val="32"/>
          <w:lang w:bidi="en-US"/>
        </w:rPr>
        <w:t>存在的主要问题</w:t>
      </w:r>
      <w:bookmarkEnd w:id="147"/>
      <w:bookmarkEnd w:id="148"/>
      <w:bookmarkEnd w:id="149"/>
      <w:bookmarkEnd w:id="150"/>
      <w:bookmarkEnd w:id="151"/>
      <w:bookmarkEnd w:id="152"/>
    </w:p>
    <w:p>
      <w:pPr>
        <w:numPr>
          <w:ilvl w:val="0"/>
          <w:numId w:val="15"/>
        </w:numPr>
        <w:spacing w:line="560" w:lineRule="exact"/>
        <w:outlineLvl w:val="1"/>
        <w:rPr>
          <w:rFonts w:ascii="楷体_GB2312" w:hAnsi="楷体_GB2312" w:eastAsia="楷体_GB2312" w:cs="楷体_GB2312"/>
          <w:bCs/>
          <w:sz w:val="32"/>
          <w:szCs w:val="32"/>
        </w:rPr>
      </w:pPr>
      <w:bookmarkStart w:id="153" w:name="_Toc77203370"/>
      <w:bookmarkStart w:id="154" w:name="_Toc31070"/>
      <w:bookmarkStart w:id="155" w:name="_Toc15285"/>
      <w:bookmarkStart w:id="156" w:name="_Toc14536"/>
      <w:r>
        <w:rPr>
          <w:rFonts w:hint="eastAsia" w:ascii="楷体_GB2312" w:hAnsi="楷体_GB2312" w:eastAsia="楷体_GB2312" w:cs="楷体_GB2312"/>
          <w:bCs/>
          <w:sz w:val="32"/>
          <w:szCs w:val="32"/>
        </w:rPr>
        <w:t>项目决策方面</w:t>
      </w:r>
      <w:bookmarkEnd w:id="153"/>
      <w:bookmarkEnd w:id="154"/>
      <w:bookmarkEnd w:id="155"/>
      <w:bookmarkEnd w:id="156"/>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1.项目绩效目标和指标设定不够准确和明确。质量指标不够明确，设定为“维护法院正常工作秩序，杜绝安全隐患”，未能明确安检工作具体质量指标，如发现不同违禁品与危险品的处置流程、规范等。</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2.预算编制科学性不足。预算编制不够细化，安检工作经费项目预算238.356万元，预算测算信息不足，未明确安检的工作量和标准的细化内容。</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以上1-2问题属于限期整改类，应在评价结束后在下一年度内完成整改。</w:t>
      </w:r>
    </w:p>
    <w:p>
      <w:pPr>
        <w:numPr>
          <w:ilvl w:val="0"/>
          <w:numId w:val="15"/>
        </w:numPr>
        <w:spacing w:line="560" w:lineRule="exact"/>
        <w:outlineLvl w:val="1"/>
        <w:rPr>
          <w:rFonts w:ascii="楷体_GB2312" w:hAnsi="楷体_GB2312" w:eastAsia="楷体_GB2312" w:cs="楷体_GB2312"/>
          <w:bCs/>
          <w:sz w:val="32"/>
          <w:szCs w:val="32"/>
        </w:rPr>
      </w:pPr>
      <w:bookmarkStart w:id="157" w:name="_Toc9417"/>
      <w:bookmarkStart w:id="158" w:name="_Toc77203371"/>
      <w:bookmarkStart w:id="159" w:name="_Toc4802"/>
      <w:bookmarkStart w:id="160" w:name="_Toc3318"/>
      <w:r>
        <w:rPr>
          <w:rFonts w:hint="eastAsia" w:ascii="楷体_GB2312" w:hAnsi="楷体_GB2312" w:eastAsia="楷体_GB2312" w:cs="楷体_GB2312"/>
          <w:bCs/>
          <w:sz w:val="32"/>
          <w:szCs w:val="32"/>
        </w:rPr>
        <w:t>项目过程管理方面</w:t>
      </w:r>
      <w:bookmarkEnd w:id="157"/>
      <w:bookmarkEnd w:id="158"/>
      <w:bookmarkEnd w:id="159"/>
      <w:bookmarkEnd w:id="160"/>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1.项目实施方案的有效性不足。未单独制定实施方案，实施方案内容在《安检服务合同》附件中有所体现，实施方案的有效性不足。</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2.项目管理制度待完善。未单独制定《安检管理制度》，《安检服务合同》中的相关管理规定呈现的不够充分。</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以上问题属于限期整改类，应在评价结束后在下一年度内完成整改。</w:t>
      </w:r>
    </w:p>
    <w:p>
      <w:pPr>
        <w:numPr>
          <w:ilvl w:val="0"/>
          <w:numId w:val="15"/>
        </w:numPr>
        <w:spacing w:line="560" w:lineRule="exact"/>
        <w:outlineLvl w:val="1"/>
        <w:rPr>
          <w:rFonts w:ascii="楷体_GB2312" w:hAnsi="楷体_GB2312" w:eastAsia="楷体_GB2312" w:cs="楷体_GB2312"/>
          <w:bCs/>
          <w:sz w:val="32"/>
          <w:szCs w:val="32"/>
        </w:rPr>
      </w:pPr>
      <w:r>
        <w:rPr>
          <w:rFonts w:hint="eastAsia" w:ascii="楷体_GB2312" w:hAnsi="楷体_GB2312" w:eastAsia="楷体_GB2312" w:cs="楷体_GB2312"/>
          <w:bCs/>
          <w:sz w:val="32"/>
          <w:szCs w:val="32"/>
        </w:rPr>
        <w:t>项目产出方面</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项目预算的执行缺乏控制机制，对成本控制措施不够明确，对于经常性项目成本测算信息不足。</w:t>
      </w:r>
    </w:p>
    <w:p>
      <w:pPr>
        <w:ind w:firstLine="560"/>
        <w:rPr>
          <w:rFonts w:ascii="楷体_GB2312" w:hAnsi="楷体_GB2312" w:eastAsia="仿宋_GB2312" w:cs="楷体_GB2312"/>
          <w:bCs/>
          <w:sz w:val="32"/>
          <w:szCs w:val="32"/>
        </w:rPr>
      </w:pPr>
      <w:r>
        <w:rPr>
          <w:rFonts w:hint="eastAsia" w:ascii="仿宋_GB2312" w:hAnsi="仿宋_GB2312" w:eastAsia="仿宋_GB2312" w:cs="仿宋_GB2312"/>
          <w:kern w:val="44"/>
          <w:sz w:val="28"/>
          <w:szCs w:val="28"/>
        </w:rPr>
        <w:t>以上问题属于限期整改类，应在评价结束后在下一年度内完成整改。</w:t>
      </w:r>
    </w:p>
    <w:p>
      <w:pPr>
        <w:numPr>
          <w:ilvl w:val="0"/>
          <w:numId w:val="15"/>
        </w:numPr>
        <w:spacing w:line="560" w:lineRule="exact"/>
        <w:outlineLvl w:val="1"/>
        <w:rPr>
          <w:rFonts w:ascii="楷体_GB2312" w:hAnsi="楷体_GB2312" w:eastAsia="楷体_GB2312" w:cs="楷体_GB2312"/>
          <w:bCs/>
          <w:sz w:val="32"/>
          <w:szCs w:val="32"/>
        </w:rPr>
      </w:pPr>
      <w:r>
        <w:rPr>
          <w:rFonts w:hint="eastAsia" w:ascii="楷体_GB2312" w:hAnsi="楷体_GB2312" w:eastAsia="楷体_GB2312" w:cs="楷体_GB2312"/>
          <w:bCs/>
          <w:sz w:val="32"/>
          <w:szCs w:val="32"/>
        </w:rPr>
        <w:t>项目效益方面</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 xml:space="preserve">1.项目绩效成果呈现的不够充分，缺少相关支撑信息。项目的可持续性影响说明不够充分。 </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 xml:space="preserve">2.满意度调查和分析不够充分。  </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以上问题属于限期整改类，应在评价结束后在下一年度内完成整改。</w:t>
      </w:r>
    </w:p>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61" w:name="_Toc12454"/>
      <w:bookmarkStart w:id="162" w:name="_Toc13469"/>
      <w:bookmarkStart w:id="163" w:name="_Toc8825"/>
      <w:bookmarkStart w:id="164" w:name="_Toc77203374"/>
      <w:bookmarkStart w:id="165" w:name="_Toc516663581"/>
      <w:bookmarkStart w:id="166" w:name="_Toc16337"/>
      <w:r>
        <w:rPr>
          <w:rFonts w:hint="eastAsia" w:ascii="黑体" w:hAnsi="黑体" w:eastAsia="黑体" w:cs="黑体"/>
          <w:b w:val="0"/>
          <w:kern w:val="0"/>
          <w:sz w:val="32"/>
          <w:szCs w:val="32"/>
          <w:lang w:bidi="en-US"/>
        </w:rPr>
        <w:t>有关建议</w:t>
      </w:r>
      <w:bookmarkEnd w:id="161"/>
      <w:bookmarkEnd w:id="162"/>
      <w:bookmarkEnd w:id="163"/>
      <w:bookmarkEnd w:id="164"/>
      <w:bookmarkEnd w:id="165"/>
      <w:bookmarkEnd w:id="166"/>
    </w:p>
    <w:p>
      <w:pPr>
        <w:numPr>
          <w:ilvl w:val="0"/>
          <w:numId w:val="16"/>
        </w:numPr>
        <w:spacing w:line="560" w:lineRule="exact"/>
        <w:outlineLvl w:val="1"/>
        <w:rPr>
          <w:rFonts w:ascii="楷体_GB2312" w:hAnsi="楷体_GB2312" w:eastAsia="楷体_GB2312" w:cs="楷体_GB2312"/>
          <w:bCs/>
          <w:sz w:val="32"/>
          <w:szCs w:val="32"/>
        </w:rPr>
      </w:pPr>
      <w:bookmarkStart w:id="167" w:name="_Toc12160"/>
      <w:bookmarkStart w:id="168" w:name="_Toc10391"/>
      <w:bookmarkStart w:id="169" w:name="_Toc23802"/>
      <w:bookmarkStart w:id="170" w:name="_Toc77203375"/>
      <w:bookmarkStart w:id="171" w:name="_Toc516663582"/>
      <w:r>
        <w:rPr>
          <w:rFonts w:hint="eastAsia" w:ascii="楷体_GB2312" w:hAnsi="楷体_GB2312" w:eastAsia="楷体_GB2312" w:cs="楷体_GB2312"/>
          <w:bCs/>
          <w:sz w:val="32"/>
          <w:szCs w:val="32"/>
        </w:rPr>
        <w:t>项目决策方面</w:t>
      </w:r>
      <w:bookmarkEnd w:id="167"/>
      <w:bookmarkEnd w:id="168"/>
      <w:bookmarkEnd w:id="169"/>
      <w:bookmarkEnd w:id="170"/>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1.进一步明确项目绩效目标，细化绩效指标的设定。细化安检质量标准，提高绩效指标的的针对性和可量化性，以便方便考核、评估绩效目标的实现程度。</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2.合理测算项目预算。安检工作经费作为持续性项目，应根据历史数据，合理测算安检的工作量和相关标准，科学测算项目预算，避免项目预算固化。</w:t>
      </w:r>
    </w:p>
    <w:p>
      <w:pPr>
        <w:numPr>
          <w:ilvl w:val="0"/>
          <w:numId w:val="16"/>
        </w:numPr>
        <w:spacing w:line="560" w:lineRule="exact"/>
        <w:outlineLvl w:val="1"/>
        <w:rPr>
          <w:rFonts w:ascii="楷体_GB2312" w:hAnsi="楷体_GB2312" w:eastAsia="楷体_GB2312" w:cs="楷体_GB2312"/>
          <w:bCs/>
          <w:sz w:val="32"/>
          <w:szCs w:val="32"/>
        </w:rPr>
      </w:pPr>
      <w:bookmarkStart w:id="172" w:name="_Toc77203376"/>
      <w:bookmarkStart w:id="173" w:name="_Toc29302"/>
      <w:bookmarkStart w:id="174" w:name="_Toc22545"/>
      <w:bookmarkStart w:id="175" w:name="_Toc4124"/>
      <w:r>
        <w:rPr>
          <w:rFonts w:hint="eastAsia" w:ascii="楷体_GB2312" w:hAnsi="楷体_GB2312" w:eastAsia="楷体_GB2312" w:cs="楷体_GB2312"/>
          <w:bCs/>
          <w:sz w:val="32"/>
          <w:szCs w:val="32"/>
        </w:rPr>
        <w:t>项目管理方面</w:t>
      </w:r>
      <w:bookmarkEnd w:id="172"/>
      <w:bookmarkEnd w:id="173"/>
      <w:bookmarkEnd w:id="174"/>
      <w:bookmarkEnd w:id="175"/>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1.制定、完善项目实施方案。要体现项目实施主体对安检工作经费的采购方式、实施进度、工作质量、项目验收等具体要求，提高实施方案的有效性。</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2.健全项目管理制度。应建立单独的安检制度，作为持续性项目，还应健全对第三方安检工作的管理制度，提高项目管理的制度化和规范化水平。</w:t>
      </w:r>
    </w:p>
    <w:p>
      <w:pPr>
        <w:numPr>
          <w:ilvl w:val="0"/>
          <w:numId w:val="16"/>
        </w:numPr>
        <w:spacing w:line="560" w:lineRule="exact"/>
        <w:outlineLvl w:val="1"/>
        <w:rPr>
          <w:rFonts w:hint="eastAsia" w:ascii="楷体_GB2312" w:hAnsi="楷体_GB2312" w:eastAsia="楷体_GB2312" w:cs="楷体_GB2312"/>
          <w:bCs/>
          <w:sz w:val="32"/>
          <w:szCs w:val="32"/>
        </w:rPr>
      </w:pPr>
      <w:bookmarkStart w:id="176" w:name="_Toc77203378"/>
      <w:bookmarkStart w:id="177" w:name="_Toc18925"/>
      <w:bookmarkStart w:id="178" w:name="_Toc10175"/>
      <w:bookmarkStart w:id="179" w:name="_Toc16303"/>
      <w:r>
        <w:rPr>
          <w:rFonts w:hint="eastAsia" w:ascii="楷体_GB2312" w:hAnsi="楷体_GB2312" w:eastAsia="楷体_GB2312" w:cs="楷体_GB2312"/>
          <w:bCs/>
          <w:sz w:val="32"/>
          <w:szCs w:val="32"/>
        </w:rPr>
        <w:t>项目产出方面</w:t>
      </w:r>
    </w:p>
    <w:p>
      <w:pPr>
        <w:spacing w:line="560" w:lineRule="exact"/>
        <w:ind w:left="420"/>
        <w:outlineLvl w:val="1"/>
        <w:rPr>
          <w:rFonts w:ascii="楷体_GB2312" w:hAnsi="楷体_GB2312" w:eastAsia="楷体_GB2312" w:cs="楷体_GB2312"/>
          <w:bCs/>
          <w:sz w:val="32"/>
          <w:szCs w:val="32"/>
        </w:rPr>
      </w:pP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优化预算管理，完善成本控制措施，在项目执行过程中发现、纠正预算偏差，夯实成本管理基础，使财政资金产出效益最大化。</w:t>
      </w:r>
    </w:p>
    <w:p>
      <w:pPr>
        <w:numPr>
          <w:ilvl w:val="0"/>
          <w:numId w:val="16"/>
        </w:numPr>
        <w:spacing w:line="560" w:lineRule="exact"/>
        <w:outlineLvl w:val="1"/>
        <w:rPr>
          <w:rFonts w:ascii="楷体_GB2312" w:hAnsi="楷体_GB2312" w:eastAsia="楷体_GB2312" w:cs="楷体_GB2312"/>
          <w:bCs/>
          <w:sz w:val="32"/>
          <w:szCs w:val="32"/>
        </w:rPr>
      </w:pPr>
      <w:r>
        <w:rPr>
          <w:rFonts w:hint="eastAsia" w:ascii="楷体_GB2312" w:hAnsi="楷体_GB2312" w:eastAsia="楷体_GB2312" w:cs="楷体_GB2312"/>
          <w:bCs/>
          <w:sz w:val="32"/>
          <w:szCs w:val="32"/>
        </w:rPr>
        <w:t>项目效益方面</w:t>
      </w:r>
      <w:bookmarkEnd w:id="176"/>
      <w:bookmarkEnd w:id="177"/>
      <w:bookmarkEnd w:id="178"/>
      <w:bookmarkEnd w:id="179"/>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1.注重项目绩效成果的归集工作，体现财政资金使用的效益性。</w:t>
      </w:r>
    </w:p>
    <w:p>
      <w:pPr>
        <w:ind w:firstLine="560"/>
        <w:rPr>
          <w:rFonts w:ascii="仿宋_GB2312" w:hAnsi="仿宋_GB2312" w:eastAsia="仿宋_GB2312" w:cs="仿宋_GB2312"/>
          <w:kern w:val="44"/>
          <w:sz w:val="28"/>
          <w:szCs w:val="28"/>
        </w:rPr>
      </w:pPr>
      <w:r>
        <w:rPr>
          <w:rFonts w:hint="eastAsia" w:ascii="仿宋_GB2312" w:hAnsi="仿宋_GB2312" w:eastAsia="仿宋_GB2312" w:cs="仿宋_GB2312"/>
          <w:kern w:val="44"/>
          <w:sz w:val="28"/>
          <w:szCs w:val="28"/>
        </w:rPr>
        <w:t>2.重视服务对象满意度的分析与评估，以便发现问题对安检工作持续改进，提高工作效率与质量。</w:t>
      </w:r>
    </w:p>
    <w:p>
      <w:pPr>
        <w:pStyle w:val="2"/>
        <w:keepNext w:val="0"/>
        <w:keepLines w:val="0"/>
        <w:widowControl/>
        <w:numPr>
          <w:ilvl w:val="0"/>
          <w:numId w:val="1"/>
        </w:numPr>
        <w:spacing w:before="0" w:after="0" w:line="520" w:lineRule="atLeast"/>
        <w:contextualSpacing/>
        <w:jc w:val="left"/>
        <w:rPr>
          <w:rFonts w:ascii="黑体" w:hAnsi="黑体" w:eastAsia="黑体" w:cs="黑体"/>
          <w:b w:val="0"/>
          <w:kern w:val="0"/>
          <w:sz w:val="32"/>
          <w:szCs w:val="32"/>
          <w:lang w:bidi="en-US"/>
        </w:rPr>
      </w:pPr>
      <w:bookmarkStart w:id="180" w:name="_Toc13431"/>
      <w:bookmarkStart w:id="181" w:name="_Toc26739"/>
      <w:bookmarkStart w:id="182" w:name="_Toc25246"/>
      <w:bookmarkStart w:id="183" w:name="_Toc77203379"/>
      <w:bookmarkStart w:id="184" w:name="_Toc969"/>
      <w:r>
        <w:rPr>
          <w:rFonts w:hint="eastAsia" w:ascii="黑体" w:hAnsi="黑体" w:eastAsia="黑体" w:cs="黑体"/>
          <w:b w:val="0"/>
          <w:kern w:val="0"/>
          <w:sz w:val="32"/>
          <w:szCs w:val="32"/>
          <w:lang w:bidi="en-US"/>
        </w:rPr>
        <w:t>其他需要说明的问题</w:t>
      </w:r>
    </w:p>
    <w:p>
      <w:pPr>
        <w:ind w:firstLine="560" w:firstLineChars="200"/>
        <w:rPr>
          <w:rFonts w:ascii="仿宋_GB2312" w:hAnsi="仿宋" w:eastAsia="仿宋_GB2312" w:cs="Times New Roman"/>
          <w:kern w:val="0"/>
          <w:sz w:val="32"/>
          <w:szCs w:val="32"/>
          <w:lang w:bidi="en-US"/>
        </w:rPr>
      </w:pPr>
      <w:r>
        <w:rPr>
          <w:rFonts w:hint="eastAsia" w:ascii="仿宋_GB2312" w:hAnsi="仿宋_GB2312" w:eastAsia="仿宋_GB2312" w:cs="仿宋_GB2312"/>
          <w:kern w:val="44"/>
          <w:sz w:val="28"/>
          <w:szCs w:val="28"/>
        </w:rPr>
        <w:t>无。</w:t>
      </w:r>
      <w:bookmarkEnd w:id="171"/>
      <w:bookmarkEnd w:id="180"/>
      <w:bookmarkEnd w:id="181"/>
      <w:bookmarkEnd w:id="182"/>
      <w:bookmarkEnd w:id="183"/>
      <w:bookmarkEnd w:id="184"/>
    </w:p>
    <w:sectPr>
      <w:footerReference r:id="rId3" w:type="default"/>
      <w:pgSz w:w="16838" w:h="11906" w:orient="landscape"/>
      <w:pgMar w:top="1803" w:right="1440" w:bottom="1803" w:left="1440" w:header="851" w:footer="992" w:gutter="0"/>
      <w:pgNumType w:start="1"/>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0000019F" w:csb1="00000000"/>
  </w:font>
  <w:font w:name="Verdana">
    <w:altName w:val="DejaVu Sans"/>
    <w:panose1 w:val="020B0604030504040204"/>
    <w:charset w:val="00"/>
    <w:family w:val="swiss"/>
    <w:pitch w:val="default"/>
    <w:sig w:usb0="00000000" w:usb1="00000000" w:usb2="00000010"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altName w:val="方正楷体_GBK"/>
    <w:panose1 w:val="00000000000000000000"/>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4097" o:spid="_x0000_s4097"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vbGRr0QAAAAIBAAAPAAAAAAAAAAEAIAAAACIAAABkcnMvZG93bnJldi54bWxQSwECFAAUAAAA&#10;CACHTuJA4oSfyi4CAABSBAAADgAAAAAAAAABACAAAAAgAQAAZHJzL2Uyb0RvYy54bWxQSwUGAAAA&#10;AAYABgBZAQAAwAU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13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1003ED"/>
    <w:multiLevelType w:val="singleLevel"/>
    <w:tmpl w:val="801003ED"/>
    <w:lvl w:ilvl="0" w:tentative="0">
      <w:start w:val="1"/>
      <w:numFmt w:val="decimal"/>
      <w:suff w:val="nothing"/>
      <w:lvlText w:val="（%1）"/>
      <w:lvlJc w:val="left"/>
      <w:pPr>
        <w:ind w:left="640" w:firstLine="0"/>
      </w:pPr>
    </w:lvl>
  </w:abstractNum>
  <w:abstractNum w:abstractNumId="1">
    <w:nsid w:val="8320A65E"/>
    <w:multiLevelType w:val="singleLevel"/>
    <w:tmpl w:val="8320A65E"/>
    <w:lvl w:ilvl="0" w:tentative="0">
      <w:start w:val="1"/>
      <w:numFmt w:val="chineseCounting"/>
      <w:suff w:val="nothing"/>
      <w:lvlText w:val="%1、"/>
      <w:lvlJc w:val="left"/>
      <w:pPr>
        <w:ind w:left="0" w:firstLine="420"/>
      </w:pPr>
      <w:rPr>
        <w:rFonts w:hint="eastAsia"/>
      </w:rPr>
    </w:lvl>
  </w:abstractNum>
  <w:abstractNum w:abstractNumId="2">
    <w:nsid w:val="9750FE19"/>
    <w:multiLevelType w:val="singleLevel"/>
    <w:tmpl w:val="9750FE19"/>
    <w:lvl w:ilvl="0" w:tentative="0">
      <w:start w:val="1"/>
      <w:numFmt w:val="chineseCounting"/>
      <w:suff w:val="nothing"/>
      <w:lvlText w:val="（%1）"/>
      <w:lvlJc w:val="left"/>
      <w:pPr>
        <w:ind w:left="0" w:firstLine="420"/>
      </w:pPr>
      <w:rPr>
        <w:rFonts w:hint="eastAsia"/>
      </w:rPr>
    </w:lvl>
  </w:abstractNum>
  <w:abstractNum w:abstractNumId="3">
    <w:nsid w:val="9D92D379"/>
    <w:multiLevelType w:val="singleLevel"/>
    <w:tmpl w:val="9D92D379"/>
    <w:lvl w:ilvl="0" w:tentative="0">
      <w:start w:val="1"/>
      <w:numFmt w:val="decimal"/>
      <w:suff w:val="nothing"/>
      <w:lvlText w:val="（%1）"/>
      <w:lvlJc w:val="left"/>
    </w:lvl>
  </w:abstractNum>
  <w:abstractNum w:abstractNumId="4">
    <w:nsid w:val="B0274473"/>
    <w:multiLevelType w:val="singleLevel"/>
    <w:tmpl w:val="B0274473"/>
    <w:lvl w:ilvl="0" w:tentative="0">
      <w:start w:val="2"/>
      <w:numFmt w:val="decimal"/>
      <w:suff w:val="nothing"/>
      <w:lvlText w:val="（%1）"/>
      <w:lvlJc w:val="left"/>
    </w:lvl>
  </w:abstractNum>
  <w:abstractNum w:abstractNumId="5">
    <w:nsid w:val="CD296E4C"/>
    <w:multiLevelType w:val="singleLevel"/>
    <w:tmpl w:val="CD296E4C"/>
    <w:lvl w:ilvl="0" w:tentative="0">
      <w:start w:val="1"/>
      <w:numFmt w:val="chineseCounting"/>
      <w:suff w:val="nothing"/>
      <w:lvlText w:val="（%1）"/>
      <w:lvlJc w:val="left"/>
      <w:pPr>
        <w:ind w:left="0" w:firstLine="420"/>
      </w:pPr>
      <w:rPr>
        <w:rFonts w:hint="eastAsia"/>
      </w:rPr>
    </w:lvl>
  </w:abstractNum>
  <w:abstractNum w:abstractNumId="6">
    <w:nsid w:val="CE30C9CC"/>
    <w:multiLevelType w:val="singleLevel"/>
    <w:tmpl w:val="CE30C9CC"/>
    <w:lvl w:ilvl="0" w:tentative="0">
      <w:start w:val="1"/>
      <w:numFmt w:val="chineseCounting"/>
      <w:suff w:val="nothing"/>
      <w:lvlText w:val="（%1）"/>
      <w:lvlJc w:val="left"/>
      <w:pPr>
        <w:ind w:left="0" w:firstLine="420"/>
      </w:pPr>
      <w:rPr>
        <w:rFonts w:hint="eastAsia"/>
      </w:rPr>
    </w:lvl>
  </w:abstractNum>
  <w:abstractNum w:abstractNumId="7">
    <w:nsid w:val="08901A37"/>
    <w:multiLevelType w:val="multilevel"/>
    <w:tmpl w:val="08901A37"/>
    <w:lvl w:ilvl="0" w:tentative="0">
      <w:start w:val="1"/>
      <w:numFmt w:val="decimal"/>
      <w:suff w:val="nothing"/>
      <w:lvlText w:val="（%1）"/>
      <w:lvlJc w:val="left"/>
      <w:pPr>
        <w:ind w:left="64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143B80"/>
    <w:multiLevelType w:val="multilevel"/>
    <w:tmpl w:val="0E143B80"/>
    <w:lvl w:ilvl="0" w:tentative="0">
      <w:start w:val="1"/>
      <w:numFmt w:val="decimal"/>
      <w:suff w:val="nothing"/>
      <w:lvlText w:val="（%1）"/>
      <w:lvlJc w:val="left"/>
      <w:pPr>
        <w:ind w:left="64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CE224FF"/>
    <w:multiLevelType w:val="multilevel"/>
    <w:tmpl w:val="2CE224FF"/>
    <w:lvl w:ilvl="0" w:tentative="0">
      <w:start w:val="1"/>
      <w:numFmt w:val="decimal"/>
      <w:suff w:val="nothing"/>
      <w:lvlText w:val="（%1）"/>
      <w:lvlJc w:val="left"/>
      <w:pPr>
        <w:ind w:left="64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F1AF8B5"/>
    <w:multiLevelType w:val="singleLevel"/>
    <w:tmpl w:val="2F1AF8B5"/>
    <w:lvl w:ilvl="0" w:tentative="0">
      <w:start w:val="1"/>
      <w:numFmt w:val="chineseCounting"/>
      <w:suff w:val="nothing"/>
      <w:lvlText w:val="（%1）"/>
      <w:lvlJc w:val="left"/>
      <w:pPr>
        <w:ind w:left="0" w:firstLine="420"/>
      </w:pPr>
      <w:rPr>
        <w:rFonts w:hint="eastAsia"/>
      </w:rPr>
    </w:lvl>
  </w:abstractNum>
  <w:abstractNum w:abstractNumId="11">
    <w:nsid w:val="3DD6BE6C"/>
    <w:multiLevelType w:val="singleLevel"/>
    <w:tmpl w:val="3DD6BE6C"/>
    <w:lvl w:ilvl="0" w:tentative="0">
      <w:start w:val="1"/>
      <w:numFmt w:val="decimal"/>
      <w:suff w:val="nothing"/>
      <w:lvlText w:val="%1．"/>
      <w:lvlJc w:val="left"/>
      <w:pPr>
        <w:ind w:left="0" w:firstLine="400"/>
      </w:pPr>
      <w:rPr>
        <w:rFonts w:hint="default"/>
      </w:rPr>
    </w:lvl>
  </w:abstractNum>
  <w:abstractNum w:abstractNumId="12">
    <w:nsid w:val="44F120BD"/>
    <w:multiLevelType w:val="singleLevel"/>
    <w:tmpl w:val="44F120BD"/>
    <w:lvl w:ilvl="0" w:tentative="0">
      <w:start w:val="1"/>
      <w:numFmt w:val="decimal"/>
      <w:suff w:val="nothing"/>
      <w:lvlText w:val="%1．"/>
      <w:lvlJc w:val="left"/>
      <w:pPr>
        <w:ind w:left="0" w:firstLine="400"/>
      </w:pPr>
      <w:rPr>
        <w:rFonts w:hint="default"/>
      </w:rPr>
    </w:lvl>
  </w:abstractNum>
  <w:abstractNum w:abstractNumId="13">
    <w:nsid w:val="68085586"/>
    <w:multiLevelType w:val="singleLevel"/>
    <w:tmpl w:val="68085586"/>
    <w:lvl w:ilvl="0" w:tentative="0">
      <w:start w:val="1"/>
      <w:numFmt w:val="decimal"/>
      <w:suff w:val="nothing"/>
      <w:lvlText w:val="%1．"/>
      <w:lvlJc w:val="left"/>
      <w:pPr>
        <w:ind w:left="0" w:firstLine="400"/>
      </w:pPr>
      <w:rPr>
        <w:rFonts w:hint="default"/>
      </w:rPr>
    </w:lvl>
  </w:abstractNum>
  <w:abstractNum w:abstractNumId="14">
    <w:nsid w:val="7760CF9C"/>
    <w:multiLevelType w:val="singleLevel"/>
    <w:tmpl w:val="7760CF9C"/>
    <w:lvl w:ilvl="0" w:tentative="0">
      <w:start w:val="1"/>
      <w:numFmt w:val="chineseCounting"/>
      <w:suff w:val="nothing"/>
      <w:lvlText w:val="（%1）"/>
      <w:lvlJc w:val="left"/>
      <w:pPr>
        <w:ind w:left="0" w:firstLine="420"/>
      </w:pPr>
      <w:rPr>
        <w:rFonts w:hint="eastAsia"/>
      </w:rPr>
    </w:lvl>
  </w:abstractNum>
  <w:abstractNum w:abstractNumId="15">
    <w:nsid w:val="7D465CD0"/>
    <w:multiLevelType w:val="singleLevel"/>
    <w:tmpl w:val="7D465CD0"/>
    <w:lvl w:ilvl="0" w:tentative="0">
      <w:start w:val="1"/>
      <w:numFmt w:val="decimal"/>
      <w:suff w:val="nothing"/>
      <w:lvlText w:val="%1．"/>
      <w:lvlJc w:val="left"/>
      <w:pPr>
        <w:ind w:left="0" w:firstLine="400"/>
      </w:pPr>
      <w:rPr>
        <w:rFonts w:hint="default"/>
      </w:rPr>
    </w:lvl>
  </w:abstractNum>
  <w:num w:numId="1">
    <w:abstractNumId w:val="1"/>
  </w:num>
  <w:num w:numId="2">
    <w:abstractNumId w:val="14"/>
  </w:num>
  <w:num w:numId="3">
    <w:abstractNumId w:val="10"/>
  </w:num>
  <w:num w:numId="4">
    <w:abstractNumId w:val="3"/>
  </w:num>
  <w:num w:numId="5">
    <w:abstractNumId w:val="2"/>
  </w:num>
  <w:num w:numId="6">
    <w:abstractNumId w:val="11"/>
  </w:num>
  <w:num w:numId="7">
    <w:abstractNumId w:val="4"/>
  </w:num>
  <w:num w:numId="8">
    <w:abstractNumId w:val="12"/>
  </w:num>
  <w:num w:numId="9">
    <w:abstractNumId w:val="0"/>
  </w:num>
  <w:num w:numId="10">
    <w:abstractNumId w:val="9"/>
  </w:num>
  <w:num w:numId="11">
    <w:abstractNumId w:val="13"/>
  </w:num>
  <w:num w:numId="12">
    <w:abstractNumId w:val="8"/>
  </w:num>
  <w:num w:numId="13">
    <w:abstractNumId w:val="15"/>
  </w:num>
  <w:num w:numId="14">
    <w:abstractNumId w:val="7"/>
  </w:num>
  <w:num w:numId="15">
    <w:abstractNumId w:val="6"/>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HorizontalSpacing w:val="105"/>
  <w:drawingGridVerticalSpacing w:val="159"/>
  <w:displayVerticalDrawingGridEvery w:val="2"/>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QxNDdhMjBiZmM4NmI4MGM0MzRlZTUwMDUyZjkxYzcifQ=="/>
  </w:docVars>
  <w:rsids>
    <w:rsidRoot w:val="004824CF"/>
    <w:rsid w:val="00000B7B"/>
    <w:rsid w:val="000113AD"/>
    <w:rsid w:val="000116E3"/>
    <w:rsid w:val="000120A3"/>
    <w:rsid w:val="00017A8A"/>
    <w:rsid w:val="00027EF1"/>
    <w:rsid w:val="00030E57"/>
    <w:rsid w:val="00031B71"/>
    <w:rsid w:val="000470B5"/>
    <w:rsid w:val="00047CA8"/>
    <w:rsid w:val="00051071"/>
    <w:rsid w:val="00061F38"/>
    <w:rsid w:val="00062C04"/>
    <w:rsid w:val="000847AF"/>
    <w:rsid w:val="000A4A46"/>
    <w:rsid w:val="000A7A1A"/>
    <w:rsid w:val="000B347C"/>
    <w:rsid w:val="000B777A"/>
    <w:rsid w:val="000C310D"/>
    <w:rsid w:val="000C3A23"/>
    <w:rsid w:val="000C662E"/>
    <w:rsid w:val="000D1468"/>
    <w:rsid w:val="000D3B57"/>
    <w:rsid w:val="000F0C0F"/>
    <w:rsid w:val="000F7E5D"/>
    <w:rsid w:val="00101119"/>
    <w:rsid w:val="00106F7F"/>
    <w:rsid w:val="0011296F"/>
    <w:rsid w:val="001177C1"/>
    <w:rsid w:val="00124BFA"/>
    <w:rsid w:val="0014520C"/>
    <w:rsid w:val="00145727"/>
    <w:rsid w:val="00145AE8"/>
    <w:rsid w:val="00146E66"/>
    <w:rsid w:val="001519A9"/>
    <w:rsid w:val="00153BD5"/>
    <w:rsid w:val="00176EB8"/>
    <w:rsid w:val="0018205A"/>
    <w:rsid w:val="001822CD"/>
    <w:rsid w:val="0018651E"/>
    <w:rsid w:val="001874E2"/>
    <w:rsid w:val="001919C2"/>
    <w:rsid w:val="001937DB"/>
    <w:rsid w:val="001A09D0"/>
    <w:rsid w:val="001A1752"/>
    <w:rsid w:val="001A3E81"/>
    <w:rsid w:val="001E02E7"/>
    <w:rsid w:val="001E6F98"/>
    <w:rsid w:val="001F5575"/>
    <w:rsid w:val="00200A7F"/>
    <w:rsid w:val="00211C70"/>
    <w:rsid w:val="002460B1"/>
    <w:rsid w:val="0025099B"/>
    <w:rsid w:val="00250B4B"/>
    <w:rsid w:val="002675C2"/>
    <w:rsid w:val="0027082C"/>
    <w:rsid w:val="00270D84"/>
    <w:rsid w:val="00275677"/>
    <w:rsid w:val="00287F7E"/>
    <w:rsid w:val="0029037F"/>
    <w:rsid w:val="002A1EA8"/>
    <w:rsid w:val="002A431A"/>
    <w:rsid w:val="002A63D3"/>
    <w:rsid w:val="002C06F4"/>
    <w:rsid w:val="002C27DF"/>
    <w:rsid w:val="002D0AAC"/>
    <w:rsid w:val="002D184A"/>
    <w:rsid w:val="002D2472"/>
    <w:rsid w:val="002D2D1C"/>
    <w:rsid w:val="002D782B"/>
    <w:rsid w:val="002E378B"/>
    <w:rsid w:val="002F35CA"/>
    <w:rsid w:val="00301EF3"/>
    <w:rsid w:val="00307088"/>
    <w:rsid w:val="0031046C"/>
    <w:rsid w:val="00312255"/>
    <w:rsid w:val="00313862"/>
    <w:rsid w:val="00320E2B"/>
    <w:rsid w:val="003268B4"/>
    <w:rsid w:val="00327B49"/>
    <w:rsid w:val="00336665"/>
    <w:rsid w:val="00347422"/>
    <w:rsid w:val="00354D5E"/>
    <w:rsid w:val="003556D5"/>
    <w:rsid w:val="00387403"/>
    <w:rsid w:val="00394A41"/>
    <w:rsid w:val="003A1BFB"/>
    <w:rsid w:val="003B64C0"/>
    <w:rsid w:val="003C06E3"/>
    <w:rsid w:val="003D27EC"/>
    <w:rsid w:val="003D64A6"/>
    <w:rsid w:val="003D6BAF"/>
    <w:rsid w:val="003D7214"/>
    <w:rsid w:val="003F6A00"/>
    <w:rsid w:val="00404407"/>
    <w:rsid w:val="00407005"/>
    <w:rsid w:val="0040755A"/>
    <w:rsid w:val="00424462"/>
    <w:rsid w:val="00425818"/>
    <w:rsid w:val="00427CD2"/>
    <w:rsid w:val="00431894"/>
    <w:rsid w:val="00434DFA"/>
    <w:rsid w:val="00453294"/>
    <w:rsid w:val="004603EC"/>
    <w:rsid w:val="004645C5"/>
    <w:rsid w:val="00470212"/>
    <w:rsid w:val="004824CF"/>
    <w:rsid w:val="004855E5"/>
    <w:rsid w:val="00486024"/>
    <w:rsid w:val="0048650A"/>
    <w:rsid w:val="00490CB0"/>
    <w:rsid w:val="004A3D6E"/>
    <w:rsid w:val="004A47D1"/>
    <w:rsid w:val="004B2099"/>
    <w:rsid w:val="004B25D3"/>
    <w:rsid w:val="004C3BA2"/>
    <w:rsid w:val="004D156F"/>
    <w:rsid w:val="004D5207"/>
    <w:rsid w:val="004D66AB"/>
    <w:rsid w:val="004D6BFA"/>
    <w:rsid w:val="004E485B"/>
    <w:rsid w:val="004F4841"/>
    <w:rsid w:val="00510D33"/>
    <w:rsid w:val="005114F8"/>
    <w:rsid w:val="00512E92"/>
    <w:rsid w:val="00514C3D"/>
    <w:rsid w:val="00521DAE"/>
    <w:rsid w:val="005348FE"/>
    <w:rsid w:val="00534AAB"/>
    <w:rsid w:val="0054037B"/>
    <w:rsid w:val="00555466"/>
    <w:rsid w:val="0055683E"/>
    <w:rsid w:val="0055753B"/>
    <w:rsid w:val="00571E86"/>
    <w:rsid w:val="00573425"/>
    <w:rsid w:val="0058068B"/>
    <w:rsid w:val="00584E12"/>
    <w:rsid w:val="005B097F"/>
    <w:rsid w:val="005C1710"/>
    <w:rsid w:val="005C1CD3"/>
    <w:rsid w:val="005C72DD"/>
    <w:rsid w:val="005D1606"/>
    <w:rsid w:val="005E318B"/>
    <w:rsid w:val="005E3E47"/>
    <w:rsid w:val="005E676A"/>
    <w:rsid w:val="005E7E34"/>
    <w:rsid w:val="005F6AAB"/>
    <w:rsid w:val="00600F0F"/>
    <w:rsid w:val="00601989"/>
    <w:rsid w:val="006231CB"/>
    <w:rsid w:val="006269B3"/>
    <w:rsid w:val="0063479D"/>
    <w:rsid w:val="006442D4"/>
    <w:rsid w:val="00647344"/>
    <w:rsid w:val="00652B6D"/>
    <w:rsid w:val="0065679B"/>
    <w:rsid w:val="00660792"/>
    <w:rsid w:val="00663C7C"/>
    <w:rsid w:val="00667E1D"/>
    <w:rsid w:val="006752CC"/>
    <w:rsid w:val="00675819"/>
    <w:rsid w:val="006771B1"/>
    <w:rsid w:val="006A2B3E"/>
    <w:rsid w:val="006A2DB3"/>
    <w:rsid w:val="006A38CE"/>
    <w:rsid w:val="006B3FCA"/>
    <w:rsid w:val="006B586A"/>
    <w:rsid w:val="006E05BE"/>
    <w:rsid w:val="006E1613"/>
    <w:rsid w:val="006E21A8"/>
    <w:rsid w:val="006E27F9"/>
    <w:rsid w:val="006F5DFD"/>
    <w:rsid w:val="006F6121"/>
    <w:rsid w:val="00706307"/>
    <w:rsid w:val="00715B01"/>
    <w:rsid w:val="00725074"/>
    <w:rsid w:val="00725C0C"/>
    <w:rsid w:val="00726133"/>
    <w:rsid w:val="00737F5E"/>
    <w:rsid w:val="007429DD"/>
    <w:rsid w:val="00754D59"/>
    <w:rsid w:val="0075567D"/>
    <w:rsid w:val="007600AB"/>
    <w:rsid w:val="007619A2"/>
    <w:rsid w:val="00762939"/>
    <w:rsid w:val="00765A5F"/>
    <w:rsid w:val="00770CBD"/>
    <w:rsid w:val="00783535"/>
    <w:rsid w:val="007A30B5"/>
    <w:rsid w:val="007A4706"/>
    <w:rsid w:val="007D210A"/>
    <w:rsid w:val="007E7F54"/>
    <w:rsid w:val="007F01D1"/>
    <w:rsid w:val="007F35C4"/>
    <w:rsid w:val="007F3641"/>
    <w:rsid w:val="007F6CAF"/>
    <w:rsid w:val="00801E29"/>
    <w:rsid w:val="00802CF2"/>
    <w:rsid w:val="00804224"/>
    <w:rsid w:val="00806262"/>
    <w:rsid w:val="00821CB8"/>
    <w:rsid w:val="00834CB7"/>
    <w:rsid w:val="00834D9A"/>
    <w:rsid w:val="0084137F"/>
    <w:rsid w:val="00843285"/>
    <w:rsid w:val="00845193"/>
    <w:rsid w:val="008571B6"/>
    <w:rsid w:val="00865547"/>
    <w:rsid w:val="00872A62"/>
    <w:rsid w:val="00875EF9"/>
    <w:rsid w:val="0088255C"/>
    <w:rsid w:val="00883530"/>
    <w:rsid w:val="00890BFF"/>
    <w:rsid w:val="008948FF"/>
    <w:rsid w:val="008965BD"/>
    <w:rsid w:val="008A098E"/>
    <w:rsid w:val="008A6A01"/>
    <w:rsid w:val="008A6F04"/>
    <w:rsid w:val="008B3F87"/>
    <w:rsid w:val="008B5774"/>
    <w:rsid w:val="008C30F1"/>
    <w:rsid w:val="008D4501"/>
    <w:rsid w:val="008D6E8A"/>
    <w:rsid w:val="0090533F"/>
    <w:rsid w:val="00906A71"/>
    <w:rsid w:val="00907AA8"/>
    <w:rsid w:val="00913C84"/>
    <w:rsid w:val="0091722D"/>
    <w:rsid w:val="00934D3F"/>
    <w:rsid w:val="0093625A"/>
    <w:rsid w:val="00950AFB"/>
    <w:rsid w:val="00952DDA"/>
    <w:rsid w:val="00953181"/>
    <w:rsid w:val="00960F4F"/>
    <w:rsid w:val="0096650B"/>
    <w:rsid w:val="00970EBF"/>
    <w:rsid w:val="00971113"/>
    <w:rsid w:val="00973D11"/>
    <w:rsid w:val="009916FA"/>
    <w:rsid w:val="009C0F46"/>
    <w:rsid w:val="009C14CE"/>
    <w:rsid w:val="009C1D38"/>
    <w:rsid w:val="009D3760"/>
    <w:rsid w:val="009E5F9B"/>
    <w:rsid w:val="009E6674"/>
    <w:rsid w:val="009F3CA0"/>
    <w:rsid w:val="009F3FCC"/>
    <w:rsid w:val="00A04436"/>
    <w:rsid w:val="00A3553E"/>
    <w:rsid w:val="00A50C4D"/>
    <w:rsid w:val="00A80155"/>
    <w:rsid w:val="00A81C92"/>
    <w:rsid w:val="00A9344B"/>
    <w:rsid w:val="00A94314"/>
    <w:rsid w:val="00AB06FB"/>
    <w:rsid w:val="00AB4021"/>
    <w:rsid w:val="00AB40A2"/>
    <w:rsid w:val="00AB448A"/>
    <w:rsid w:val="00AC0B2B"/>
    <w:rsid w:val="00AC28E8"/>
    <w:rsid w:val="00AC2EB0"/>
    <w:rsid w:val="00AD61D0"/>
    <w:rsid w:val="00AE3FC8"/>
    <w:rsid w:val="00AE4D2B"/>
    <w:rsid w:val="00AF00F5"/>
    <w:rsid w:val="00AF5329"/>
    <w:rsid w:val="00B11274"/>
    <w:rsid w:val="00B12487"/>
    <w:rsid w:val="00B21DCE"/>
    <w:rsid w:val="00B25E00"/>
    <w:rsid w:val="00B30CE4"/>
    <w:rsid w:val="00B47046"/>
    <w:rsid w:val="00B510E4"/>
    <w:rsid w:val="00B6486A"/>
    <w:rsid w:val="00B70470"/>
    <w:rsid w:val="00B706A4"/>
    <w:rsid w:val="00BA53CA"/>
    <w:rsid w:val="00BB202D"/>
    <w:rsid w:val="00BB3104"/>
    <w:rsid w:val="00BB3893"/>
    <w:rsid w:val="00BC17D3"/>
    <w:rsid w:val="00BD6C39"/>
    <w:rsid w:val="00BE2FE4"/>
    <w:rsid w:val="00C21B7A"/>
    <w:rsid w:val="00C3142F"/>
    <w:rsid w:val="00C34783"/>
    <w:rsid w:val="00C51E2C"/>
    <w:rsid w:val="00C520C7"/>
    <w:rsid w:val="00C547AC"/>
    <w:rsid w:val="00C55D3B"/>
    <w:rsid w:val="00C56D59"/>
    <w:rsid w:val="00C602E8"/>
    <w:rsid w:val="00C63D4D"/>
    <w:rsid w:val="00C818A7"/>
    <w:rsid w:val="00C903DA"/>
    <w:rsid w:val="00C90E81"/>
    <w:rsid w:val="00C91E18"/>
    <w:rsid w:val="00CA108C"/>
    <w:rsid w:val="00CA4754"/>
    <w:rsid w:val="00CA4CF0"/>
    <w:rsid w:val="00CA5946"/>
    <w:rsid w:val="00CB288E"/>
    <w:rsid w:val="00CB3363"/>
    <w:rsid w:val="00CC595C"/>
    <w:rsid w:val="00CC686D"/>
    <w:rsid w:val="00CF419C"/>
    <w:rsid w:val="00D11C9E"/>
    <w:rsid w:val="00D14279"/>
    <w:rsid w:val="00D14591"/>
    <w:rsid w:val="00D15B44"/>
    <w:rsid w:val="00D173CD"/>
    <w:rsid w:val="00D3539E"/>
    <w:rsid w:val="00D4594A"/>
    <w:rsid w:val="00D45A1C"/>
    <w:rsid w:val="00D5364D"/>
    <w:rsid w:val="00D53D26"/>
    <w:rsid w:val="00D57672"/>
    <w:rsid w:val="00D60609"/>
    <w:rsid w:val="00D6771A"/>
    <w:rsid w:val="00D67EE8"/>
    <w:rsid w:val="00D706A6"/>
    <w:rsid w:val="00D73044"/>
    <w:rsid w:val="00D7383E"/>
    <w:rsid w:val="00D75078"/>
    <w:rsid w:val="00D80E1B"/>
    <w:rsid w:val="00D95887"/>
    <w:rsid w:val="00DB2954"/>
    <w:rsid w:val="00DB7C74"/>
    <w:rsid w:val="00DC0E8A"/>
    <w:rsid w:val="00DC1120"/>
    <w:rsid w:val="00DC6AB1"/>
    <w:rsid w:val="00DC77E5"/>
    <w:rsid w:val="00DD0050"/>
    <w:rsid w:val="00DE504A"/>
    <w:rsid w:val="00DE632A"/>
    <w:rsid w:val="00E001D7"/>
    <w:rsid w:val="00E14EB6"/>
    <w:rsid w:val="00E304BF"/>
    <w:rsid w:val="00E36E71"/>
    <w:rsid w:val="00E55BC5"/>
    <w:rsid w:val="00E62AB4"/>
    <w:rsid w:val="00E839A4"/>
    <w:rsid w:val="00E87163"/>
    <w:rsid w:val="00EA037D"/>
    <w:rsid w:val="00EA0438"/>
    <w:rsid w:val="00EC7275"/>
    <w:rsid w:val="00ED22A3"/>
    <w:rsid w:val="00ED5DF2"/>
    <w:rsid w:val="00EE4EC8"/>
    <w:rsid w:val="00F00D3E"/>
    <w:rsid w:val="00F1307A"/>
    <w:rsid w:val="00F16848"/>
    <w:rsid w:val="00F21D69"/>
    <w:rsid w:val="00F3467A"/>
    <w:rsid w:val="00F41A1F"/>
    <w:rsid w:val="00F60299"/>
    <w:rsid w:val="00F60EFF"/>
    <w:rsid w:val="00F6301B"/>
    <w:rsid w:val="00F7225C"/>
    <w:rsid w:val="00F87058"/>
    <w:rsid w:val="00FA021A"/>
    <w:rsid w:val="00FA3A47"/>
    <w:rsid w:val="00FA5E76"/>
    <w:rsid w:val="00FB31B4"/>
    <w:rsid w:val="00FB3728"/>
    <w:rsid w:val="00FB6632"/>
    <w:rsid w:val="00FD04AD"/>
    <w:rsid w:val="00FF0482"/>
    <w:rsid w:val="00FF0B06"/>
    <w:rsid w:val="00FF1B6C"/>
    <w:rsid w:val="00FF2926"/>
    <w:rsid w:val="01115B19"/>
    <w:rsid w:val="01282E62"/>
    <w:rsid w:val="015E4AD6"/>
    <w:rsid w:val="01871852"/>
    <w:rsid w:val="01AE15BA"/>
    <w:rsid w:val="01FA75C2"/>
    <w:rsid w:val="02151F5D"/>
    <w:rsid w:val="0233386D"/>
    <w:rsid w:val="028B5457"/>
    <w:rsid w:val="02900CBF"/>
    <w:rsid w:val="02916500"/>
    <w:rsid w:val="029C7664"/>
    <w:rsid w:val="02B9341E"/>
    <w:rsid w:val="02CB1CF7"/>
    <w:rsid w:val="02F42E5E"/>
    <w:rsid w:val="03B94246"/>
    <w:rsid w:val="03BB7FBE"/>
    <w:rsid w:val="04082AD7"/>
    <w:rsid w:val="042876E7"/>
    <w:rsid w:val="04594368"/>
    <w:rsid w:val="048E7480"/>
    <w:rsid w:val="04B46E6D"/>
    <w:rsid w:val="04BA2023"/>
    <w:rsid w:val="04E470A0"/>
    <w:rsid w:val="04E92909"/>
    <w:rsid w:val="050140F6"/>
    <w:rsid w:val="050B3192"/>
    <w:rsid w:val="052F2BF9"/>
    <w:rsid w:val="05726DA2"/>
    <w:rsid w:val="05876BD1"/>
    <w:rsid w:val="05BF7509"/>
    <w:rsid w:val="05C05B2C"/>
    <w:rsid w:val="05C83080"/>
    <w:rsid w:val="05CF3896"/>
    <w:rsid w:val="05D45367"/>
    <w:rsid w:val="062036DC"/>
    <w:rsid w:val="06485B93"/>
    <w:rsid w:val="065A3ABE"/>
    <w:rsid w:val="0696261C"/>
    <w:rsid w:val="06C35A28"/>
    <w:rsid w:val="071C6FC5"/>
    <w:rsid w:val="071F37E4"/>
    <w:rsid w:val="07AB458E"/>
    <w:rsid w:val="07B65858"/>
    <w:rsid w:val="07E86406"/>
    <w:rsid w:val="08021F03"/>
    <w:rsid w:val="081F66DD"/>
    <w:rsid w:val="085963BE"/>
    <w:rsid w:val="08763A67"/>
    <w:rsid w:val="08AA23AF"/>
    <w:rsid w:val="08AC4379"/>
    <w:rsid w:val="08C36EB5"/>
    <w:rsid w:val="090B5543"/>
    <w:rsid w:val="094E71DE"/>
    <w:rsid w:val="09591C60"/>
    <w:rsid w:val="097A7FD3"/>
    <w:rsid w:val="09811362"/>
    <w:rsid w:val="099F6326"/>
    <w:rsid w:val="09AC51F4"/>
    <w:rsid w:val="09C37BCC"/>
    <w:rsid w:val="09DA6BC1"/>
    <w:rsid w:val="09DF1555"/>
    <w:rsid w:val="09F72B37"/>
    <w:rsid w:val="09F9317A"/>
    <w:rsid w:val="0A1827D7"/>
    <w:rsid w:val="0A197091"/>
    <w:rsid w:val="0AAE58EC"/>
    <w:rsid w:val="0AB67731"/>
    <w:rsid w:val="0AF055C0"/>
    <w:rsid w:val="0B056D1D"/>
    <w:rsid w:val="0B0C55A3"/>
    <w:rsid w:val="0B2E0290"/>
    <w:rsid w:val="0B646FD0"/>
    <w:rsid w:val="0B9F01C5"/>
    <w:rsid w:val="0BE64C7B"/>
    <w:rsid w:val="0C104C1F"/>
    <w:rsid w:val="0C7A28A0"/>
    <w:rsid w:val="0CAE01EE"/>
    <w:rsid w:val="0CD143AE"/>
    <w:rsid w:val="0CD914B5"/>
    <w:rsid w:val="0CDD56B7"/>
    <w:rsid w:val="0D0176CE"/>
    <w:rsid w:val="0D3112F1"/>
    <w:rsid w:val="0D480AAD"/>
    <w:rsid w:val="0D896A37"/>
    <w:rsid w:val="0D8E2C6D"/>
    <w:rsid w:val="0DB1596D"/>
    <w:rsid w:val="0DE533FE"/>
    <w:rsid w:val="0DFE246D"/>
    <w:rsid w:val="0E0367E9"/>
    <w:rsid w:val="0E1A3C41"/>
    <w:rsid w:val="0E1C5C8A"/>
    <w:rsid w:val="0E5F6C22"/>
    <w:rsid w:val="0E9235F2"/>
    <w:rsid w:val="0ED463D8"/>
    <w:rsid w:val="0EFD76DC"/>
    <w:rsid w:val="0F152C78"/>
    <w:rsid w:val="0F2C6214"/>
    <w:rsid w:val="0F73140B"/>
    <w:rsid w:val="0F827BE2"/>
    <w:rsid w:val="0F8459E7"/>
    <w:rsid w:val="0F8704DA"/>
    <w:rsid w:val="0FD348E1"/>
    <w:rsid w:val="0FE16FFE"/>
    <w:rsid w:val="102F0F82"/>
    <w:rsid w:val="106F4679"/>
    <w:rsid w:val="107C0AC4"/>
    <w:rsid w:val="10A55AC5"/>
    <w:rsid w:val="10B464C1"/>
    <w:rsid w:val="10DE709A"/>
    <w:rsid w:val="10E76023"/>
    <w:rsid w:val="10EC02A4"/>
    <w:rsid w:val="110411F6"/>
    <w:rsid w:val="113035A1"/>
    <w:rsid w:val="113911B0"/>
    <w:rsid w:val="114950F1"/>
    <w:rsid w:val="114A6B08"/>
    <w:rsid w:val="11AC051D"/>
    <w:rsid w:val="11CF0642"/>
    <w:rsid w:val="11E90AE8"/>
    <w:rsid w:val="11FC13A8"/>
    <w:rsid w:val="121A05A5"/>
    <w:rsid w:val="122825AB"/>
    <w:rsid w:val="122A4C8C"/>
    <w:rsid w:val="123553DF"/>
    <w:rsid w:val="123A47A4"/>
    <w:rsid w:val="12844B5F"/>
    <w:rsid w:val="12A3059B"/>
    <w:rsid w:val="12BE53D5"/>
    <w:rsid w:val="12F81301"/>
    <w:rsid w:val="1323348A"/>
    <w:rsid w:val="137141F5"/>
    <w:rsid w:val="13841283"/>
    <w:rsid w:val="13B87E82"/>
    <w:rsid w:val="13BA5B9C"/>
    <w:rsid w:val="13D03611"/>
    <w:rsid w:val="14046669"/>
    <w:rsid w:val="14081F50"/>
    <w:rsid w:val="140F746A"/>
    <w:rsid w:val="14634486"/>
    <w:rsid w:val="147815B3"/>
    <w:rsid w:val="14B60A59"/>
    <w:rsid w:val="14B92F7F"/>
    <w:rsid w:val="14C43166"/>
    <w:rsid w:val="14E4459F"/>
    <w:rsid w:val="150E4DA7"/>
    <w:rsid w:val="152D38D2"/>
    <w:rsid w:val="153616F9"/>
    <w:rsid w:val="15887D48"/>
    <w:rsid w:val="158C0FC4"/>
    <w:rsid w:val="159700A9"/>
    <w:rsid w:val="15C9656A"/>
    <w:rsid w:val="15CB2FC8"/>
    <w:rsid w:val="15DD0268"/>
    <w:rsid w:val="15FB517D"/>
    <w:rsid w:val="161C36A4"/>
    <w:rsid w:val="161E74F7"/>
    <w:rsid w:val="162E461F"/>
    <w:rsid w:val="162F0A5F"/>
    <w:rsid w:val="16342FB8"/>
    <w:rsid w:val="165450C8"/>
    <w:rsid w:val="165D4F05"/>
    <w:rsid w:val="16955512"/>
    <w:rsid w:val="16A20B69"/>
    <w:rsid w:val="16A313AB"/>
    <w:rsid w:val="16D231FD"/>
    <w:rsid w:val="16E573D4"/>
    <w:rsid w:val="16F615E1"/>
    <w:rsid w:val="16F9596D"/>
    <w:rsid w:val="1729324A"/>
    <w:rsid w:val="173E6AE4"/>
    <w:rsid w:val="17471444"/>
    <w:rsid w:val="1763654B"/>
    <w:rsid w:val="176606D1"/>
    <w:rsid w:val="17681DB3"/>
    <w:rsid w:val="1783551C"/>
    <w:rsid w:val="1787183D"/>
    <w:rsid w:val="17BA717E"/>
    <w:rsid w:val="17D411EF"/>
    <w:rsid w:val="18132663"/>
    <w:rsid w:val="186D4723"/>
    <w:rsid w:val="18D56FD4"/>
    <w:rsid w:val="18D67438"/>
    <w:rsid w:val="18EB3F81"/>
    <w:rsid w:val="18EB67F8"/>
    <w:rsid w:val="19066ED2"/>
    <w:rsid w:val="191C404E"/>
    <w:rsid w:val="19353F17"/>
    <w:rsid w:val="198C70D4"/>
    <w:rsid w:val="1990455A"/>
    <w:rsid w:val="1A4A39F2"/>
    <w:rsid w:val="1A4C59BC"/>
    <w:rsid w:val="1A7F342E"/>
    <w:rsid w:val="1AA337EE"/>
    <w:rsid w:val="1AA75E35"/>
    <w:rsid w:val="1AED4CEE"/>
    <w:rsid w:val="1AFA0BF0"/>
    <w:rsid w:val="1AFF47DC"/>
    <w:rsid w:val="1B1738D4"/>
    <w:rsid w:val="1B631DDD"/>
    <w:rsid w:val="1B66485B"/>
    <w:rsid w:val="1B733B75"/>
    <w:rsid w:val="1B7C7BDB"/>
    <w:rsid w:val="1BCD6688"/>
    <w:rsid w:val="1BD87507"/>
    <w:rsid w:val="1BE539D2"/>
    <w:rsid w:val="1BEF2AA3"/>
    <w:rsid w:val="1C01726E"/>
    <w:rsid w:val="1C502ABD"/>
    <w:rsid w:val="1C6C5EA1"/>
    <w:rsid w:val="1C945D59"/>
    <w:rsid w:val="1C9A47BD"/>
    <w:rsid w:val="1CA078F9"/>
    <w:rsid w:val="1CB3762C"/>
    <w:rsid w:val="1CBB4733"/>
    <w:rsid w:val="1CEE616B"/>
    <w:rsid w:val="1D293CB5"/>
    <w:rsid w:val="1D6A0633"/>
    <w:rsid w:val="1D6E5D93"/>
    <w:rsid w:val="1D794BDF"/>
    <w:rsid w:val="1D8036C3"/>
    <w:rsid w:val="1D9A259A"/>
    <w:rsid w:val="1D9C0459"/>
    <w:rsid w:val="1D9F5E03"/>
    <w:rsid w:val="1DA02655"/>
    <w:rsid w:val="1DB536C5"/>
    <w:rsid w:val="1E193E07"/>
    <w:rsid w:val="1E1F39B9"/>
    <w:rsid w:val="1E2E630E"/>
    <w:rsid w:val="1E4C5FEA"/>
    <w:rsid w:val="1E5D0C3B"/>
    <w:rsid w:val="1E6D26F3"/>
    <w:rsid w:val="1E74103D"/>
    <w:rsid w:val="1E8A260F"/>
    <w:rsid w:val="1EA506FE"/>
    <w:rsid w:val="1EA77665"/>
    <w:rsid w:val="1EC612D4"/>
    <w:rsid w:val="1EE82D37"/>
    <w:rsid w:val="1F212F73"/>
    <w:rsid w:val="1F356024"/>
    <w:rsid w:val="1F547D36"/>
    <w:rsid w:val="1FBD28F6"/>
    <w:rsid w:val="200E7F92"/>
    <w:rsid w:val="204964BA"/>
    <w:rsid w:val="206155F1"/>
    <w:rsid w:val="20786BD9"/>
    <w:rsid w:val="208C6B12"/>
    <w:rsid w:val="20A0436C"/>
    <w:rsid w:val="20C242E2"/>
    <w:rsid w:val="20FC73FD"/>
    <w:rsid w:val="21224D81"/>
    <w:rsid w:val="215D592A"/>
    <w:rsid w:val="21AD6D40"/>
    <w:rsid w:val="21BF2747"/>
    <w:rsid w:val="21E12424"/>
    <w:rsid w:val="22552843"/>
    <w:rsid w:val="22631AF5"/>
    <w:rsid w:val="22664960"/>
    <w:rsid w:val="226F0499"/>
    <w:rsid w:val="22A56D19"/>
    <w:rsid w:val="22B8577A"/>
    <w:rsid w:val="2322375E"/>
    <w:rsid w:val="2335523F"/>
    <w:rsid w:val="233A6B89"/>
    <w:rsid w:val="233D06CE"/>
    <w:rsid w:val="234436D4"/>
    <w:rsid w:val="23703CB9"/>
    <w:rsid w:val="23A35F91"/>
    <w:rsid w:val="23B1063E"/>
    <w:rsid w:val="23C927A8"/>
    <w:rsid w:val="23CD6CF2"/>
    <w:rsid w:val="24092228"/>
    <w:rsid w:val="24133523"/>
    <w:rsid w:val="245C2091"/>
    <w:rsid w:val="24831FDA"/>
    <w:rsid w:val="24B2106B"/>
    <w:rsid w:val="24F66C50"/>
    <w:rsid w:val="253E5A7A"/>
    <w:rsid w:val="254E4396"/>
    <w:rsid w:val="255274E3"/>
    <w:rsid w:val="25627E42"/>
    <w:rsid w:val="256F2C00"/>
    <w:rsid w:val="257C53A7"/>
    <w:rsid w:val="25983863"/>
    <w:rsid w:val="25A42208"/>
    <w:rsid w:val="25AC5561"/>
    <w:rsid w:val="25F0369F"/>
    <w:rsid w:val="25F767DC"/>
    <w:rsid w:val="262F241A"/>
    <w:rsid w:val="2699536E"/>
    <w:rsid w:val="26A24ACF"/>
    <w:rsid w:val="26C64400"/>
    <w:rsid w:val="27AA1890"/>
    <w:rsid w:val="27BA5D13"/>
    <w:rsid w:val="27D43D1A"/>
    <w:rsid w:val="27FA25B3"/>
    <w:rsid w:val="280B2A12"/>
    <w:rsid w:val="280D3B8A"/>
    <w:rsid w:val="280F5E8D"/>
    <w:rsid w:val="285443B9"/>
    <w:rsid w:val="28A576A5"/>
    <w:rsid w:val="28B906C0"/>
    <w:rsid w:val="28D505A3"/>
    <w:rsid w:val="2924732A"/>
    <w:rsid w:val="292A5CD7"/>
    <w:rsid w:val="292F2731"/>
    <w:rsid w:val="2936586D"/>
    <w:rsid w:val="294855A0"/>
    <w:rsid w:val="296E704B"/>
    <w:rsid w:val="297445E7"/>
    <w:rsid w:val="298E4C8F"/>
    <w:rsid w:val="29A12C44"/>
    <w:rsid w:val="29B82CB2"/>
    <w:rsid w:val="29DB01C2"/>
    <w:rsid w:val="29E654E5"/>
    <w:rsid w:val="29FB1394"/>
    <w:rsid w:val="2A3717E6"/>
    <w:rsid w:val="2A4622B9"/>
    <w:rsid w:val="2A9A7ECE"/>
    <w:rsid w:val="2A9D67A7"/>
    <w:rsid w:val="2AA9206F"/>
    <w:rsid w:val="2ABE21FE"/>
    <w:rsid w:val="2B084FE7"/>
    <w:rsid w:val="2B167810"/>
    <w:rsid w:val="2B2A2FA5"/>
    <w:rsid w:val="2B55755F"/>
    <w:rsid w:val="2BCE6231"/>
    <w:rsid w:val="2BD870AF"/>
    <w:rsid w:val="2BDB094E"/>
    <w:rsid w:val="2BEC74D1"/>
    <w:rsid w:val="2BF36EA8"/>
    <w:rsid w:val="2BFE204A"/>
    <w:rsid w:val="2C3D6F12"/>
    <w:rsid w:val="2C477D91"/>
    <w:rsid w:val="2C646B95"/>
    <w:rsid w:val="2C90730E"/>
    <w:rsid w:val="2CA13945"/>
    <w:rsid w:val="2CA7500E"/>
    <w:rsid w:val="2CAB47C4"/>
    <w:rsid w:val="2CC31B0E"/>
    <w:rsid w:val="2CF241A1"/>
    <w:rsid w:val="2D283FDF"/>
    <w:rsid w:val="2D872CCF"/>
    <w:rsid w:val="2DE735DA"/>
    <w:rsid w:val="2DEA7573"/>
    <w:rsid w:val="2E3B1F69"/>
    <w:rsid w:val="2E452049"/>
    <w:rsid w:val="2E626351"/>
    <w:rsid w:val="2E9458AA"/>
    <w:rsid w:val="2EAE40F8"/>
    <w:rsid w:val="2EDC0400"/>
    <w:rsid w:val="2EEA7A87"/>
    <w:rsid w:val="2F7155EC"/>
    <w:rsid w:val="2FA25366"/>
    <w:rsid w:val="2FAD1429"/>
    <w:rsid w:val="2FAD2601"/>
    <w:rsid w:val="2FFD70E5"/>
    <w:rsid w:val="301A1FCC"/>
    <w:rsid w:val="301E0747"/>
    <w:rsid w:val="304A4F45"/>
    <w:rsid w:val="30C773D6"/>
    <w:rsid w:val="30D37E45"/>
    <w:rsid w:val="30D750F1"/>
    <w:rsid w:val="310224D9"/>
    <w:rsid w:val="311D6966"/>
    <w:rsid w:val="317C04DD"/>
    <w:rsid w:val="317E6D45"/>
    <w:rsid w:val="31886E82"/>
    <w:rsid w:val="318D0861"/>
    <w:rsid w:val="31A16195"/>
    <w:rsid w:val="31EC01A1"/>
    <w:rsid w:val="32002EBC"/>
    <w:rsid w:val="32024E86"/>
    <w:rsid w:val="320317B2"/>
    <w:rsid w:val="3207424E"/>
    <w:rsid w:val="320E349A"/>
    <w:rsid w:val="32317519"/>
    <w:rsid w:val="324234D5"/>
    <w:rsid w:val="324D1DB2"/>
    <w:rsid w:val="325915B4"/>
    <w:rsid w:val="325F115A"/>
    <w:rsid w:val="32827D75"/>
    <w:rsid w:val="328C0C95"/>
    <w:rsid w:val="328D5BA3"/>
    <w:rsid w:val="32FA388A"/>
    <w:rsid w:val="33216BD9"/>
    <w:rsid w:val="333746BC"/>
    <w:rsid w:val="33484B1B"/>
    <w:rsid w:val="337F22D4"/>
    <w:rsid w:val="33D053DE"/>
    <w:rsid w:val="33D53F47"/>
    <w:rsid w:val="33E45440"/>
    <w:rsid w:val="342033A2"/>
    <w:rsid w:val="342F7A89"/>
    <w:rsid w:val="34614C5E"/>
    <w:rsid w:val="348B0B67"/>
    <w:rsid w:val="34A41893"/>
    <w:rsid w:val="34D870ED"/>
    <w:rsid w:val="34DB550E"/>
    <w:rsid w:val="351F2835"/>
    <w:rsid w:val="35650230"/>
    <w:rsid w:val="35661288"/>
    <w:rsid w:val="35E14DB3"/>
    <w:rsid w:val="35E6061B"/>
    <w:rsid w:val="36211653"/>
    <w:rsid w:val="36581519"/>
    <w:rsid w:val="36687282"/>
    <w:rsid w:val="366A4DA8"/>
    <w:rsid w:val="366D6646"/>
    <w:rsid w:val="369E0EF6"/>
    <w:rsid w:val="36A94F0A"/>
    <w:rsid w:val="36AD4E95"/>
    <w:rsid w:val="36C00E6C"/>
    <w:rsid w:val="36EC3A0F"/>
    <w:rsid w:val="373C0FEE"/>
    <w:rsid w:val="37631D52"/>
    <w:rsid w:val="379003FF"/>
    <w:rsid w:val="37A34A15"/>
    <w:rsid w:val="37F1012E"/>
    <w:rsid w:val="380F2752"/>
    <w:rsid w:val="38233460"/>
    <w:rsid w:val="38543DC8"/>
    <w:rsid w:val="38550D30"/>
    <w:rsid w:val="38554E37"/>
    <w:rsid w:val="3861534B"/>
    <w:rsid w:val="38832151"/>
    <w:rsid w:val="3890595B"/>
    <w:rsid w:val="38B36EDA"/>
    <w:rsid w:val="38BE2F41"/>
    <w:rsid w:val="38E56968"/>
    <w:rsid w:val="38FA1F08"/>
    <w:rsid w:val="397D3044"/>
    <w:rsid w:val="397F785A"/>
    <w:rsid w:val="399A59A4"/>
    <w:rsid w:val="39E4143D"/>
    <w:rsid w:val="3A35391F"/>
    <w:rsid w:val="3A865B06"/>
    <w:rsid w:val="3A946897"/>
    <w:rsid w:val="3A95616C"/>
    <w:rsid w:val="3A956EBD"/>
    <w:rsid w:val="3AA768DE"/>
    <w:rsid w:val="3AAA04B4"/>
    <w:rsid w:val="3AB02FA5"/>
    <w:rsid w:val="3AC54CA3"/>
    <w:rsid w:val="3ACB0B41"/>
    <w:rsid w:val="3AD2116E"/>
    <w:rsid w:val="3AF137E3"/>
    <w:rsid w:val="3AF35CDF"/>
    <w:rsid w:val="3B351E28"/>
    <w:rsid w:val="3B3D6A07"/>
    <w:rsid w:val="3B417784"/>
    <w:rsid w:val="3B54620D"/>
    <w:rsid w:val="3B59615D"/>
    <w:rsid w:val="3B7A5A8D"/>
    <w:rsid w:val="3B7B68ED"/>
    <w:rsid w:val="3B7D37CF"/>
    <w:rsid w:val="3B8D4E54"/>
    <w:rsid w:val="3BC728D0"/>
    <w:rsid w:val="3C1B6030"/>
    <w:rsid w:val="3C2A3A07"/>
    <w:rsid w:val="3CA34797"/>
    <w:rsid w:val="3CB274A9"/>
    <w:rsid w:val="3CCA31C7"/>
    <w:rsid w:val="3CF950D8"/>
    <w:rsid w:val="3D0243F7"/>
    <w:rsid w:val="3D10334B"/>
    <w:rsid w:val="3D8449A1"/>
    <w:rsid w:val="3D8C1AA8"/>
    <w:rsid w:val="3DA22991"/>
    <w:rsid w:val="3DAB52CC"/>
    <w:rsid w:val="3DEB2C72"/>
    <w:rsid w:val="3DEE4511"/>
    <w:rsid w:val="3E1508B5"/>
    <w:rsid w:val="3E627186"/>
    <w:rsid w:val="3E90275C"/>
    <w:rsid w:val="3E9D3EC9"/>
    <w:rsid w:val="3EDA3DFC"/>
    <w:rsid w:val="3F877E48"/>
    <w:rsid w:val="3FA23805"/>
    <w:rsid w:val="3FE427A7"/>
    <w:rsid w:val="3FFC1167"/>
    <w:rsid w:val="40077B0C"/>
    <w:rsid w:val="40291570"/>
    <w:rsid w:val="40AA0BC3"/>
    <w:rsid w:val="40B10E42"/>
    <w:rsid w:val="40B36C44"/>
    <w:rsid w:val="40D52426"/>
    <w:rsid w:val="4162149D"/>
    <w:rsid w:val="41723778"/>
    <w:rsid w:val="419E1DAA"/>
    <w:rsid w:val="41CA01DE"/>
    <w:rsid w:val="41E37787"/>
    <w:rsid w:val="422E5823"/>
    <w:rsid w:val="423C69EA"/>
    <w:rsid w:val="424E2033"/>
    <w:rsid w:val="42613503"/>
    <w:rsid w:val="427A213E"/>
    <w:rsid w:val="42BA6DF8"/>
    <w:rsid w:val="42EE6118"/>
    <w:rsid w:val="431F0359"/>
    <w:rsid w:val="43516107"/>
    <w:rsid w:val="435C019A"/>
    <w:rsid w:val="436C25BC"/>
    <w:rsid w:val="436D237B"/>
    <w:rsid w:val="436D4129"/>
    <w:rsid w:val="437454B8"/>
    <w:rsid w:val="43776D56"/>
    <w:rsid w:val="437A3E83"/>
    <w:rsid w:val="438C2802"/>
    <w:rsid w:val="43B14016"/>
    <w:rsid w:val="43D9356D"/>
    <w:rsid w:val="43F37F35"/>
    <w:rsid w:val="43F403A7"/>
    <w:rsid w:val="440E3217"/>
    <w:rsid w:val="441428A0"/>
    <w:rsid w:val="443133A9"/>
    <w:rsid w:val="44450C02"/>
    <w:rsid w:val="444C01E3"/>
    <w:rsid w:val="4454331F"/>
    <w:rsid w:val="451F1453"/>
    <w:rsid w:val="453250A4"/>
    <w:rsid w:val="4554734F"/>
    <w:rsid w:val="458918DA"/>
    <w:rsid w:val="459E5A67"/>
    <w:rsid w:val="45C46415"/>
    <w:rsid w:val="45C9701F"/>
    <w:rsid w:val="45D466E2"/>
    <w:rsid w:val="45F36B68"/>
    <w:rsid w:val="45F428E0"/>
    <w:rsid w:val="46004DE1"/>
    <w:rsid w:val="46076AE9"/>
    <w:rsid w:val="46090F87"/>
    <w:rsid w:val="460A2104"/>
    <w:rsid w:val="46113492"/>
    <w:rsid w:val="46613521"/>
    <w:rsid w:val="46B725E2"/>
    <w:rsid w:val="46C403FE"/>
    <w:rsid w:val="46E17EB6"/>
    <w:rsid w:val="46F54B62"/>
    <w:rsid w:val="46F661E4"/>
    <w:rsid w:val="46FA5CD4"/>
    <w:rsid w:val="47471AB7"/>
    <w:rsid w:val="475C69E4"/>
    <w:rsid w:val="478657BA"/>
    <w:rsid w:val="478C25E5"/>
    <w:rsid w:val="479954ED"/>
    <w:rsid w:val="47EE0A00"/>
    <w:rsid w:val="480929E4"/>
    <w:rsid w:val="48272AF9"/>
    <w:rsid w:val="4840005F"/>
    <w:rsid w:val="484C07B1"/>
    <w:rsid w:val="48757D08"/>
    <w:rsid w:val="488050EA"/>
    <w:rsid w:val="48984FC5"/>
    <w:rsid w:val="48AB6F46"/>
    <w:rsid w:val="48AC74A2"/>
    <w:rsid w:val="48C22822"/>
    <w:rsid w:val="48DA7B6B"/>
    <w:rsid w:val="490948F4"/>
    <w:rsid w:val="490B5F77"/>
    <w:rsid w:val="4913307D"/>
    <w:rsid w:val="491D3EFC"/>
    <w:rsid w:val="49225C15"/>
    <w:rsid w:val="49252F99"/>
    <w:rsid w:val="49431BB4"/>
    <w:rsid w:val="495F4514"/>
    <w:rsid w:val="49C622E4"/>
    <w:rsid w:val="49F07BA6"/>
    <w:rsid w:val="4A253068"/>
    <w:rsid w:val="4A323552"/>
    <w:rsid w:val="4A4259CA"/>
    <w:rsid w:val="4A82036E"/>
    <w:rsid w:val="4AE178D7"/>
    <w:rsid w:val="4AEB4B7F"/>
    <w:rsid w:val="4AFA0812"/>
    <w:rsid w:val="4B002956"/>
    <w:rsid w:val="4B0C49C6"/>
    <w:rsid w:val="4B0E33CA"/>
    <w:rsid w:val="4B141895"/>
    <w:rsid w:val="4B2801FD"/>
    <w:rsid w:val="4B285466"/>
    <w:rsid w:val="4B3A2B43"/>
    <w:rsid w:val="4B776719"/>
    <w:rsid w:val="4B846DFD"/>
    <w:rsid w:val="4B8F4302"/>
    <w:rsid w:val="4B9E7909"/>
    <w:rsid w:val="4BD4700F"/>
    <w:rsid w:val="4BEA0B92"/>
    <w:rsid w:val="4BEE22DF"/>
    <w:rsid w:val="4BF038AE"/>
    <w:rsid w:val="4BFD4E69"/>
    <w:rsid w:val="4BFE6267"/>
    <w:rsid w:val="4C1A4723"/>
    <w:rsid w:val="4C1C76B6"/>
    <w:rsid w:val="4C567E51"/>
    <w:rsid w:val="4C7E1155"/>
    <w:rsid w:val="4C8538EA"/>
    <w:rsid w:val="4C883D82"/>
    <w:rsid w:val="4CEC5B28"/>
    <w:rsid w:val="4CFC0FF6"/>
    <w:rsid w:val="4D0C4969"/>
    <w:rsid w:val="4D720CBA"/>
    <w:rsid w:val="4D9D3829"/>
    <w:rsid w:val="4DC66910"/>
    <w:rsid w:val="4DDE1EAC"/>
    <w:rsid w:val="4E064266"/>
    <w:rsid w:val="4E0A269E"/>
    <w:rsid w:val="4E102281"/>
    <w:rsid w:val="4E3B0634"/>
    <w:rsid w:val="4E4940E5"/>
    <w:rsid w:val="4E7740AE"/>
    <w:rsid w:val="4EC56BC8"/>
    <w:rsid w:val="4F134A42"/>
    <w:rsid w:val="4F5906D5"/>
    <w:rsid w:val="4F5A192F"/>
    <w:rsid w:val="4F76776A"/>
    <w:rsid w:val="4FA91166"/>
    <w:rsid w:val="4FAE1D52"/>
    <w:rsid w:val="4FB63597"/>
    <w:rsid w:val="4FBC5831"/>
    <w:rsid w:val="4FD00ACF"/>
    <w:rsid w:val="4FFC1D50"/>
    <w:rsid w:val="50131BB5"/>
    <w:rsid w:val="50393A9E"/>
    <w:rsid w:val="50493828"/>
    <w:rsid w:val="50776834"/>
    <w:rsid w:val="50B4107E"/>
    <w:rsid w:val="51446AA1"/>
    <w:rsid w:val="5147420C"/>
    <w:rsid w:val="51777DFD"/>
    <w:rsid w:val="51A23E50"/>
    <w:rsid w:val="51E43733"/>
    <w:rsid w:val="51E72140"/>
    <w:rsid w:val="5219315D"/>
    <w:rsid w:val="52372B85"/>
    <w:rsid w:val="526D1A50"/>
    <w:rsid w:val="52777331"/>
    <w:rsid w:val="52B633F7"/>
    <w:rsid w:val="52C53E09"/>
    <w:rsid w:val="52D464CF"/>
    <w:rsid w:val="52E5233B"/>
    <w:rsid w:val="52F514E3"/>
    <w:rsid w:val="530D4FE1"/>
    <w:rsid w:val="532E2075"/>
    <w:rsid w:val="533F5418"/>
    <w:rsid w:val="539E3E71"/>
    <w:rsid w:val="53A65B5F"/>
    <w:rsid w:val="53B4545D"/>
    <w:rsid w:val="53BA6F17"/>
    <w:rsid w:val="53EA0E7E"/>
    <w:rsid w:val="53F81EBC"/>
    <w:rsid w:val="544A3D1E"/>
    <w:rsid w:val="54640A90"/>
    <w:rsid w:val="54A92AE8"/>
    <w:rsid w:val="54AB2D04"/>
    <w:rsid w:val="54BB7994"/>
    <w:rsid w:val="54BD2443"/>
    <w:rsid w:val="54D566F1"/>
    <w:rsid w:val="54FE110E"/>
    <w:rsid w:val="551D59AF"/>
    <w:rsid w:val="55486565"/>
    <w:rsid w:val="555B2034"/>
    <w:rsid w:val="55766E6E"/>
    <w:rsid w:val="557D644E"/>
    <w:rsid w:val="55854469"/>
    <w:rsid w:val="5587107B"/>
    <w:rsid w:val="55937A20"/>
    <w:rsid w:val="559636FD"/>
    <w:rsid w:val="559E3374"/>
    <w:rsid w:val="55A40F21"/>
    <w:rsid w:val="55E31E7D"/>
    <w:rsid w:val="55EE10FA"/>
    <w:rsid w:val="55FB7373"/>
    <w:rsid w:val="56113D7B"/>
    <w:rsid w:val="56260894"/>
    <w:rsid w:val="56327239"/>
    <w:rsid w:val="566A6A77"/>
    <w:rsid w:val="56835CE6"/>
    <w:rsid w:val="56A0282F"/>
    <w:rsid w:val="56DD0A63"/>
    <w:rsid w:val="56F3111F"/>
    <w:rsid w:val="56FB2013"/>
    <w:rsid w:val="570B0B2B"/>
    <w:rsid w:val="576C677A"/>
    <w:rsid w:val="577A63FD"/>
    <w:rsid w:val="57933D94"/>
    <w:rsid w:val="57B66DEA"/>
    <w:rsid w:val="57E75E01"/>
    <w:rsid w:val="58000950"/>
    <w:rsid w:val="58306174"/>
    <w:rsid w:val="58415292"/>
    <w:rsid w:val="584E1402"/>
    <w:rsid w:val="590E6880"/>
    <w:rsid w:val="591C41D0"/>
    <w:rsid w:val="59633BAD"/>
    <w:rsid w:val="59725B9E"/>
    <w:rsid w:val="598002BB"/>
    <w:rsid w:val="598704B1"/>
    <w:rsid w:val="598B3F77"/>
    <w:rsid w:val="599B21FE"/>
    <w:rsid w:val="59B61F2F"/>
    <w:rsid w:val="59B63CDD"/>
    <w:rsid w:val="59D40607"/>
    <w:rsid w:val="5A025174"/>
    <w:rsid w:val="5A32680C"/>
    <w:rsid w:val="5A3769F1"/>
    <w:rsid w:val="5A631883"/>
    <w:rsid w:val="5A64198B"/>
    <w:rsid w:val="5A751DEA"/>
    <w:rsid w:val="5A9912BD"/>
    <w:rsid w:val="5ABA77FD"/>
    <w:rsid w:val="5AC74793"/>
    <w:rsid w:val="5AE753D1"/>
    <w:rsid w:val="5AE96334"/>
    <w:rsid w:val="5B25059C"/>
    <w:rsid w:val="5B3550D5"/>
    <w:rsid w:val="5B90055D"/>
    <w:rsid w:val="5BE90F79"/>
    <w:rsid w:val="5C1C1FAB"/>
    <w:rsid w:val="5C49708A"/>
    <w:rsid w:val="5C6977DE"/>
    <w:rsid w:val="5C74228C"/>
    <w:rsid w:val="5C772F12"/>
    <w:rsid w:val="5C7D4F86"/>
    <w:rsid w:val="5C9D2F32"/>
    <w:rsid w:val="5CE70D7E"/>
    <w:rsid w:val="5CF54B1C"/>
    <w:rsid w:val="5D281706"/>
    <w:rsid w:val="5D287866"/>
    <w:rsid w:val="5D347D3A"/>
    <w:rsid w:val="5D635307"/>
    <w:rsid w:val="5D7B346D"/>
    <w:rsid w:val="5DE352BC"/>
    <w:rsid w:val="5DE66B5A"/>
    <w:rsid w:val="5E1060A2"/>
    <w:rsid w:val="5E2345E1"/>
    <w:rsid w:val="5E4C1698"/>
    <w:rsid w:val="5E592D62"/>
    <w:rsid w:val="5E6261E1"/>
    <w:rsid w:val="5E70058E"/>
    <w:rsid w:val="5E7B56A3"/>
    <w:rsid w:val="5E98670E"/>
    <w:rsid w:val="5EC469EA"/>
    <w:rsid w:val="5F052ABF"/>
    <w:rsid w:val="5F090D52"/>
    <w:rsid w:val="5F0D7FD9"/>
    <w:rsid w:val="5F1A4D0E"/>
    <w:rsid w:val="5F2416E8"/>
    <w:rsid w:val="5F472550"/>
    <w:rsid w:val="5F4B2345"/>
    <w:rsid w:val="5F5C0E82"/>
    <w:rsid w:val="5F603322"/>
    <w:rsid w:val="5FA84E02"/>
    <w:rsid w:val="601B1346"/>
    <w:rsid w:val="603C3A0F"/>
    <w:rsid w:val="604068A7"/>
    <w:rsid w:val="60A9459B"/>
    <w:rsid w:val="60AB4119"/>
    <w:rsid w:val="60B46A9C"/>
    <w:rsid w:val="60E20DDA"/>
    <w:rsid w:val="60E824E1"/>
    <w:rsid w:val="60FA6BA5"/>
    <w:rsid w:val="6136410C"/>
    <w:rsid w:val="61601925"/>
    <w:rsid w:val="617A5F38"/>
    <w:rsid w:val="621C2B4B"/>
    <w:rsid w:val="622F1809"/>
    <w:rsid w:val="62301725"/>
    <w:rsid w:val="62456545"/>
    <w:rsid w:val="62726741"/>
    <w:rsid w:val="6291178B"/>
    <w:rsid w:val="62E55AA2"/>
    <w:rsid w:val="62E713AB"/>
    <w:rsid w:val="630769A2"/>
    <w:rsid w:val="631F3C4B"/>
    <w:rsid w:val="634F08A9"/>
    <w:rsid w:val="63D27965"/>
    <w:rsid w:val="63DD630A"/>
    <w:rsid w:val="63FEF24D"/>
    <w:rsid w:val="640F141E"/>
    <w:rsid w:val="642A7489"/>
    <w:rsid w:val="64553E02"/>
    <w:rsid w:val="645E6B2B"/>
    <w:rsid w:val="64625B6D"/>
    <w:rsid w:val="646A2293"/>
    <w:rsid w:val="646B211F"/>
    <w:rsid w:val="648F335C"/>
    <w:rsid w:val="64B43692"/>
    <w:rsid w:val="64D127DF"/>
    <w:rsid w:val="64F97173"/>
    <w:rsid w:val="64FA4A6C"/>
    <w:rsid w:val="65024186"/>
    <w:rsid w:val="65097BA0"/>
    <w:rsid w:val="6523360F"/>
    <w:rsid w:val="652553AF"/>
    <w:rsid w:val="65500148"/>
    <w:rsid w:val="65BC6026"/>
    <w:rsid w:val="65BD2897"/>
    <w:rsid w:val="65C14135"/>
    <w:rsid w:val="65DD5A69"/>
    <w:rsid w:val="66303069"/>
    <w:rsid w:val="66451F92"/>
    <w:rsid w:val="66540909"/>
    <w:rsid w:val="66560D21"/>
    <w:rsid w:val="667E3A3F"/>
    <w:rsid w:val="66931603"/>
    <w:rsid w:val="66BD2D49"/>
    <w:rsid w:val="66D306CB"/>
    <w:rsid w:val="6711031F"/>
    <w:rsid w:val="67204E8B"/>
    <w:rsid w:val="673246DF"/>
    <w:rsid w:val="676324C3"/>
    <w:rsid w:val="677F6346"/>
    <w:rsid w:val="67AE06E9"/>
    <w:rsid w:val="67B11913"/>
    <w:rsid w:val="67BF15D1"/>
    <w:rsid w:val="67F90CA0"/>
    <w:rsid w:val="681C3DB2"/>
    <w:rsid w:val="68250D23"/>
    <w:rsid w:val="682C3F7D"/>
    <w:rsid w:val="68367C0B"/>
    <w:rsid w:val="684C3601"/>
    <w:rsid w:val="68923B67"/>
    <w:rsid w:val="689E42BA"/>
    <w:rsid w:val="68AD2729"/>
    <w:rsid w:val="68BB30BE"/>
    <w:rsid w:val="68ED3493"/>
    <w:rsid w:val="68FA753F"/>
    <w:rsid w:val="695B4A24"/>
    <w:rsid w:val="696738C0"/>
    <w:rsid w:val="69B875FD"/>
    <w:rsid w:val="6A1F6E67"/>
    <w:rsid w:val="6A5F216E"/>
    <w:rsid w:val="6A941E18"/>
    <w:rsid w:val="6A94371C"/>
    <w:rsid w:val="6A994DB4"/>
    <w:rsid w:val="6A9F242C"/>
    <w:rsid w:val="6ACE4BFE"/>
    <w:rsid w:val="6AE35B67"/>
    <w:rsid w:val="6AE663EC"/>
    <w:rsid w:val="6AEB57B0"/>
    <w:rsid w:val="6B190D2E"/>
    <w:rsid w:val="6B43739A"/>
    <w:rsid w:val="6B777044"/>
    <w:rsid w:val="6B7F00EA"/>
    <w:rsid w:val="6B9A098B"/>
    <w:rsid w:val="6BA719DB"/>
    <w:rsid w:val="6BAE4965"/>
    <w:rsid w:val="6BE242D3"/>
    <w:rsid w:val="6BEA59EE"/>
    <w:rsid w:val="6C2C7E2E"/>
    <w:rsid w:val="6C932FC3"/>
    <w:rsid w:val="6CF472C9"/>
    <w:rsid w:val="6CF748E0"/>
    <w:rsid w:val="6D025E6E"/>
    <w:rsid w:val="6D2B458A"/>
    <w:rsid w:val="6D3904DD"/>
    <w:rsid w:val="6D567A0A"/>
    <w:rsid w:val="6D6500DA"/>
    <w:rsid w:val="6D9263B7"/>
    <w:rsid w:val="6D9A5111"/>
    <w:rsid w:val="6DA253D5"/>
    <w:rsid w:val="6DFFC786"/>
    <w:rsid w:val="6E097153"/>
    <w:rsid w:val="6E272FA3"/>
    <w:rsid w:val="6E6B7519"/>
    <w:rsid w:val="6EBA3E17"/>
    <w:rsid w:val="6EBC7B8F"/>
    <w:rsid w:val="6EE8472C"/>
    <w:rsid w:val="6F3F39FB"/>
    <w:rsid w:val="6F421F46"/>
    <w:rsid w:val="6F5D478C"/>
    <w:rsid w:val="6F97347C"/>
    <w:rsid w:val="6F9A7E28"/>
    <w:rsid w:val="6FA93B71"/>
    <w:rsid w:val="6FBB0C95"/>
    <w:rsid w:val="6FC27788"/>
    <w:rsid w:val="701814CC"/>
    <w:rsid w:val="701F03D6"/>
    <w:rsid w:val="70310109"/>
    <w:rsid w:val="706A3949"/>
    <w:rsid w:val="70B93805"/>
    <w:rsid w:val="70F51137"/>
    <w:rsid w:val="713D6905"/>
    <w:rsid w:val="71817DDF"/>
    <w:rsid w:val="718330AE"/>
    <w:rsid w:val="719B1CDE"/>
    <w:rsid w:val="719D77B4"/>
    <w:rsid w:val="719E532A"/>
    <w:rsid w:val="71B62CB1"/>
    <w:rsid w:val="71C31235"/>
    <w:rsid w:val="71CE6BCA"/>
    <w:rsid w:val="71DC5E53"/>
    <w:rsid w:val="722F0678"/>
    <w:rsid w:val="723A1ED0"/>
    <w:rsid w:val="72477A52"/>
    <w:rsid w:val="7252121A"/>
    <w:rsid w:val="728C3ECF"/>
    <w:rsid w:val="72A9042B"/>
    <w:rsid w:val="72C9287B"/>
    <w:rsid w:val="73075151"/>
    <w:rsid w:val="7327625C"/>
    <w:rsid w:val="733704AF"/>
    <w:rsid w:val="7352749C"/>
    <w:rsid w:val="73997999"/>
    <w:rsid w:val="73A41284"/>
    <w:rsid w:val="73BC23E0"/>
    <w:rsid w:val="73C4683B"/>
    <w:rsid w:val="73CA0659"/>
    <w:rsid w:val="73CD1EF7"/>
    <w:rsid w:val="73D34432"/>
    <w:rsid w:val="73F531FC"/>
    <w:rsid w:val="73FC037B"/>
    <w:rsid w:val="73FC27DC"/>
    <w:rsid w:val="73FE751D"/>
    <w:rsid w:val="742F7C25"/>
    <w:rsid w:val="744C3764"/>
    <w:rsid w:val="744D672D"/>
    <w:rsid w:val="74534AF2"/>
    <w:rsid w:val="745D327B"/>
    <w:rsid w:val="746C7962"/>
    <w:rsid w:val="748441E9"/>
    <w:rsid w:val="749649DF"/>
    <w:rsid w:val="74AE3AD6"/>
    <w:rsid w:val="74B447DD"/>
    <w:rsid w:val="74DA0E50"/>
    <w:rsid w:val="74DC4AE7"/>
    <w:rsid w:val="74F27449"/>
    <w:rsid w:val="74FA4F6E"/>
    <w:rsid w:val="75207D73"/>
    <w:rsid w:val="75D6158B"/>
    <w:rsid w:val="75DE488F"/>
    <w:rsid w:val="760342F6"/>
    <w:rsid w:val="760F4A49"/>
    <w:rsid w:val="763FF617"/>
    <w:rsid w:val="76463CCB"/>
    <w:rsid w:val="765468FF"/>
    <w:rsid w:val="765D3A06"/>
    <w:rsid w:val="76697C65"/>
    <w:rsid w:val="767321F3"/>
    <w:rsid w:val="769A4F57"/>
    <w:rsid w:val="76B16007"/>
    <w:rsid w:val="76BA0E58"/>
    <w:rsid w:val="76F50AF3"/>
    <w:rsid w:val="77412296"/>
    <w:rsid w:val="77585F7B"/>
    <w:rsid w:val="7762452D"/>
    <w:rsid w:val="778E39B8"/>
    <w:rsid w:val="77905715"/>
    <w:rsid w:val="77B1060A"/>
    <w:rsid w:val="77B6520E"/>
    <w:rsid w:val="77C4682D"/>
    <w:rsid w:val="77E32918"/>
    <w:rsid w:val="783249FD"/>
    <w:rsid w:val="78565B21"/>
    <w:rsid w:val="785D5F3F"/>
    <w:rsid w:val="78A34761"/>
    <w:rsid w:val="78EF6251"/>
    <w:rsid w:val="794D276D"/>
    <w:rsid w:val="794E3ADA"/>
    <w:rsid w:val="7960471F"/>
    <w:rsid w:val="79913615"/>
    <w:rsid w:val="79927E6B"/>
    <w:rsid w:val="799405C8"/>
    <w:rsid w:val="79A539F0"/>
    <w:rsid w:val="79AC6640"/>
    <w:rsid w:val="79F0693F"/>
    <w:rsid w:val="79FF3026"/>
    <w:rsid w:val="7A1D3082"/>
    <w:rsid w:val="7ACD0A2E"/>
    <w:rsid w:val="7B22521E"/>
    <w:rsid w:val="7B482534"/>
    <w:rsid w:val="7BB94FCC"/>
    <w:rsid w:val="7BC92AB9"/>
    <w:rsid w:val="7C2A65B5"/>
    <w:rsid w:val="7C9243D2"/>
    <w:rsid w:val="7CA0289E"/>
    <w:rsid w:val="7CBE0F77"/>
    <w:rsid w:val="7CE81B50"/>
    <w:rsid w:val="7CEC0F0F"/>
    <w:rsid w:val="7CEC58EA"/>
    <w:rsid w:val="7CF94051"/>
    <w:rsid w:val="7CFA3EC7"/>
    <w:rsid w:val="7D006E99"/>
    <w:rsid w:val="7D0160C7"/>
    <w:rsid w:val="7D0A5583"/>
    <w:rsid w:val="7D1172F8"/>
    <w:rsid w:val="7D126BCC"/>
    <w:rsid w:val="7D175381"/>
    <w:rsid w:val="7D230DDA"/>
    <w:rsid w:val="7D456FA2"/>
    <w:rsid w:val="7D617936"/>
    <w:rsid w:val="7D6B5811"/>
    <w:rsid w:val="7D94748A"/>
    <w:rsid w:val="7D9A6AAF"/>
    <w:rsid w:val="7DB14637"/>
    <w:rsid w:val="7DC0487A"/>
    <w:rsid w:val="7DC51861"/>
    <w:rsid w:val="7DD21995"/>
    <w:rsid w:val="7E422113"/>
    <w:rsid w:val="7E431733"/>
    <w:rsid w:val="7E464D80"/>
    <w:rsid w:val="7E4960BC"/>
    <w:rsid w:val="7EA076E5"/>
    <w:rsid w:val="7EAF0B77"/>
    <w:rsid w:val="7EBB4972"/>
    <w:rsid w:val="7EE46585"/>
    <w:rsid w:val="7EF03B35"/>
    <w:rsid w:val="7EF221EC"/>
    <w:rsid w:val="7F270B69"/>
    <w:rsid w:val="7F4339B5"/>
    <w:rsid w:val="7F6452A1"/>
    <w:rsid w:val="7F6C4CBA"/>
    <w:rsid w:val="7F875650"/>
    <w:rsid w:val="7F967E36"/>
    <w:rsid w:val="7F9B734D"/>
    <w:rsid w:val="7FC22B2C"/>
    <w:rsid w:val="7FC3739A"/>
    <w:rsid w:val="7FE642B3"/>
    <w:rsid w:val="7FFB6A03"/>
    <w:rsid w:val="B9F9EC80"/>
    <w:rsid w:val="F3F54F70"/>
    <w:rsid w:val="F9FD6B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line="520" w:lineRule="atLeast"/>
      <w:ind w:firstLine="200" w:firstLineChars="200"/>
      <w:outlineLvl w:val="1"/>
    </w:pPr>
    <w:rPr>
      <w:rFonts w:asciiTheme="majorHAnsi" w:hAnsiTheme="majorHAnsi" w:eastAsiaTheme="majorEastAsia" w:cstheme="majorBidi"/>
      <w:bCs/>
      <w:sz w:val="24"/>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32"/>
    <w:qFormat/>
    <w:uiPriority w:val="0"/>
    <w:pPr>
      <w:widowControl/>
      <w:autoSpaceDE w:val="0"/>
      <w:autoSpaceDN w:val="0"/>
      <w:adjustRightInd w:val="0"/>
      <w:spacing w:after="200" w:line="360" w:lineRule="atLeast"/>
      <w:ind w:firstLine="420"/>
      <w:jc w:val="left"/>
    </w:pPr>
    <w:rPr>
      <w:rFonts w:ascii="宋体" w:eastAsia="宋体"/>
      <w:sz w:val="24"/>
      <w:szCs w:val="21"/>
    </w:rPr>
  </w:style>
  <w:style w:type="paragraph" w:styleId="5">
    <w:name w:val="annotation text"/>
    <w:basedOn w:val="1"/>
    <w:link w:val="35"/>
    <w:semiHidden/>
    <w:unhideWhenUsed/>
    <w:qFormat/>
    <w:uiPriority w:val="99"/>
    <w:pPr>
      <w:jc w:val="left"/>
    </w:pPr>
  </w:style>
  <w:style w:type="paragraph" w:styleId="6">
    <w:name w:val="Body Text"/>
    <w:basedOn w:val="1"/>
    <w:link w:val="34"/>
    <w:qFormat/>
    <w:uiPriority w:val="0"/>
    <w:pPr>
      <w:widowControl/>
      <w:autoSpaceDE w:val="0"/>
      <w:autoSpaceDN w:val="0"/>
      <w:adjustRightInd w:val="0"/>
      <w:spacing w:after="200" w:line="400" w:lineRule="atLeast"/>
      <w:jc w:val="left"/>
    </w:pPr>
    <w:rPr>
      <w:rFonts w:ascii="宋体" w:hAnsi="Cambria" w:eastAsia="宋体" w:cs="Times New Roman"/>
      <w:color w:val="000000"/>
      <w:kern w:val="0"/>
      <w:sz w:val="24"/>
      <w:lang w:eastAsia="en-US" w:bidi="en-US"/>
    </w:rPr>
  </w:style>
  <w:style w:type="paragraph" w:styleId="7">
    <w:name w:val="Body Text Indent"/>
    <w:basedOn w:val="1"/>
    <w:link w:val="33"/>
    <w:qFormat/>
    <w:uiPriority w:val="0"/>
    <w:pPr>
      <w:widowControl/>
      <w:spacing w:after="200" w:line="276" w:lineRule="auto"/>
      <w:ind w:firstLine="420"/>
      <w:jc w:val="left"/>
    </w:pPr>
    <w:rPr>
      <w:rFonts w:ascii="Cambria" w:hAnsi="Cambria" w:eastAsia="宋体" w:cs="Times New Roman"/>
      <w:kern w:val="0"/>
      <w:sz w:val="22"/>
      <w:lang w:eastAsia="en-US" w:bidi="en-US"/>
    </w:rPr>
  </w:style>
  <w:style w:type="paragraph" w:styleId="8">
    <w:name w:val="toc 3"/>
    <w:basedOn w:val="1"/>
    <w:next w:val="1"/>
    <w:unhideWhenUsed/>
    <w:qFormat/>
    <w:uiPriority w:val="39"/>
    <w:pPr>
      <w:widowControl/>
      <w:spacing w:after="100" w:line="276" w:lineRule="auto"/>
      <w:ind w:left="440"/>
      <w:jc w:val="left"/>
    </w:pPr>
    <w:rPr>
      <w:kern w:val="0"/>
      <w:sz w:val="22"/>
    </w:rPr>
  </w:style>
  <w:style w:type="paragraph" w:styleId="9">
    <w:name w:val="Date"/>
    <w:basedOn w:val="1"/>
    <w:next w:val="1"/>
    <w:link w:val="37"/>
    <w:semiHidden/>
    <w:unhideWhenUsed/>
    <w:qFormat/>
    <w:uiPriority w:val="99"/>
    <w:pPr>
      <w:ind w:left="100" w:leftChars="2500"/>
    </w:pPr>
  </w:style>
  <w:style w:type="paragraph" w:styleId="10">
    <w:name w:val="Body Text Indent 2"/>
    <w:basedOn w:val="1"/>
    <w:link w:val="31"/>
    <w:qFormat/>
    <w:uiPriority w:val="0"/>
    <w:pPr>
      <w:widowControl/>
      <w:spacing w:after="200" w:line="420" w:lineRule="atLeast"/>
      <w:ind w:firstLine="480"/>
      <w:jc w:val="left"/>
    </w:pPr>
    <w:rPr>
      <w:rFonts w:ascii="Cambria" w:hAnsi="Cambria" w:eastAsia="宋体" w:cs="Times New Roman"/>
      <w:kern w:val="0"/>
      <w:sz w:val="24"/>
      <w:lang w:eastAsia="en-US" w:bidi="en-US"/>
    </w:rPr>
  </w:style>
  <w:style w:type="paragraph" w:styleId="11">
    <w:name w:val="Balloon Text"/>
    <w:basedOn w:val="1"/>
    <w:link w:val="28"/>
    <w:semiHidden/>
    <w:unhideWhenUsed/>
    <w:qFormat/>
    <w:uiPriority w:val="99"/>
    <w:rPr>
      <w:sz w:val="18"/>
      <w:szCs w:val="18"/>
    </w:rPr>
  </w:style>
  <w:style w:type="paragraph" w:styleId="12">
    <w:name w:val="footer"/>
    <w:basedOn w:val="1"/>
    <w:link w:val="25"/>
    <w:unhideWhenUsed/>
    <w:qFormat/>
    <w:uiPriority w:val="99"/>
    <w:pPr>
      <w:tabs>
        <w:tab w:val="center" w:pos="4153"/>
        <w:tab w:val="right" w:pos="8306"/>
      </w:tabs>
      <w:snapToGrid w:val="0"/>
      <w:jc w:val="left"/>
    </w:pPr>
    <w:rPr>
      <w:sz w:val="18"/>
      <w:szCs w:val="18"/>
    </w:rPr>
  </w:style>
  <w:style w:type="paragraph" w:styleId="13">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widowControl/>
      <w:tabs>
        <w:tab w:val="right" w:leader="dot" w:pos="8296"/>
      </w:tabs>
      <w:spacing w:line="520" w:lineRule="atLeast"/>
      <w:jc w:val="left"/>
    </w:pPr>
    <w:rPr>
      <w:kern w:val="0"/>
      <w:sz w:val="28"/>
      <w:szCs w:val="28"/>
    </w:rPr>
  </w:style>
  <w:style w:type="paragraph" w:styleId="15">
    <w:name w:val="Subtitle"/>
    <w:basedOn w:val="1"/>
    <w:next w:val="1"/>
    <w:link w:val="38"/>
    <w:qFormat/>
    <w:uiPriority w:val="0"/>
    <w:pPr>
      <w:spacing w:line="312" w:lineRule="auto"/>
      <w:ind w:firstLine="200" w:firstLineChars="200"/>
      <w:jc w:val="left"/>
      <w:outlineLvl w:val="2"/>
    </w:pPr>
    <w:rPr>
      <w:rFonts w:eastAsia="黑体" w:asciiTheme="majorHAnsi" w:hAnsiTheme="majorHAnsi" w:cstheme="majorBidi"/>
      <w:bCs/>
      <w:kern w:val="28"/>
      <w:sz w:val="24"/>
      <w:szCs w:val="32"/>
    </w:rPr>
  </w:style>
  <w:style w:type="paragraph" w:styleId="16">
    <w:name w:val="toc 2"/>
    <w:basedOn w:val="1"/>
    <w:next w:val="1"/>
    <w:unhideWhenUsed/>
    <w:qFormat/>
    <w:uiPriority w:val="39"/>
    <w:pPr>
      <w:widowControl/>
      <w:spacing w:after="100" w:line="276" w:lineRule="auto"/>
      <w:ind w:left="220"/>
      <w:jc w:val="left"/>
    </w:pPr>
    <w:rPr>
      <w:kern w:val="0"/>
      <w:sz w:val="22"/>
    </w:rPr>
  </w:style>
  <w:style w:type="paragraph" w:styleId="17">
    <w:name w:val="annotation subject"/>
    <w:basedOn w:val="5"/>
    <w:next w:val="5"/>
    <w:link w:val="3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000FF" w:themeColor="hyperlink"/>
      <w:u w:val="single"/>
    </w:rPr>
  </w:style>
  <w:style w:type="character" w:styleId="23">
    <w:name w:val="annotation reference"/>
    <w:basedOn w:val="20"/>
    <w:semiHidden/>
    <w:unhideWhenUsed/>
    <w:qFormat/>
    <w:uiPriority w:val="99"/>
    <w:rPr>
      <w:sz w:val="21"/>
      <w:szCs w:val="21"/>
    </w:rPr>
  </w:style>
  <w:style w:type="character" w:customStyle="1" w:styleId="24">
    <w:name w:val="页眉 Char"/>
    <w:basedOn w:val="20"/>
    <w:link w:val="13"/>
    <w:semiHidden/>
    <w:qFormat/>
    <w:uiPriority w:val="99"/>
    <w:rPr>
      <w:sz w:val="18"/>
      <w:szCs w:val="18"/>
    </w:rPr>
  </w:style>
  <w:style w:type="character" w:customStyle="1" w:styleId="25">
    <w:name w:val="页脚 Char"/>
    <w:basedOn w:val="20"/>
    <w:link w:val="12"/>
    <w:qFormat/>
    <w:uiPriority w:val="99"/>
    <w:rPr>
      <w:sz w:val="18"/>
      <w:szCs w:val="18"/>
    </w:rPr>
  </w:style>
  <w:style w:type="character" w:customStyle="1" w:styleId="26">
    <w:name w:val="标题 1 Char"/>
    <w:basedOn w:val="20"/>
    <w:link w:val="2"/>
    <w:qFormat/>
    <w:uiPriority w:val="9"/>
    <w:rPr>
      <w:b/>
      <w:bCs/>
      <w:kern w:val="44"/>
      <w:sz w:val="44"/>
      <w:szCs w:val="44"/>
    </w:rPr>
  </w:style>
  <w:style w:type="paragraph" w:styleId="27">
    <w:name w:val="List Paragraph"/>
    <w:basedOn w:val="1"/>
    <w:qFormat/>
    <w:uiPriority w:val="34"/>
    <w:pPr>
      <w:ind w:firstLine="420" w:firstLineChars="200"/>
    </w:pPr>
  </w:style>
  <w:style w:type="character" w:customStyle="1" w:styleId="28">
    <w:name w:val="批注框文本 Char"/>
    <w:basedOn w:val="20"/>
    <w:link w:val="11"/>
    <w:semiHidden/>
    <w:qFormat/>
    <w:uiPriority w:val="99"/>
    <w:rPr>
      <w:sz w:val="18"/>
      <w:szCs w:val="18"/>
    </w:rPr>
  </w:style>
  <w:style w:type="paragraph" w:customStyle="1" w:styleId="29">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30">
    <w:name w:val="标题 2 Char"/>
    <w:basedOn w:val="20"/>
    <w:link w:val="3"/>
    <w:qFormat/>
    <w:uiPriority w:val="9"/>
    <w:rPr>
      <w:rFonts w:asciiTheme="majorHAnsi" w:hAnsiTheme="majorHAnsi" w:eastAsiaTheme="majorEastAsia" w:cstheme="majorBidi"/>
      <w:bCs/>
      <w:sz w:val="24"/>
      <w:szCs w:val="32"/>
    </w:rPr>
  </w:style>
  <w:style w:type="character" w:customStyle="1" w:styleId="31">
    <w:name w:val="正文文本缩进 2 Char"/>
    <w:basedOn w:val="20"/>
    <w:link w:val="10"/>
    <w:qFormat/>
    <w:uiPriority w:val="0"/>
    <w:rPr>
      <w:rFonts w:ascii="Cambria" w:hAnsi="Cambria" w:eastAsia="宋体" w:cs="Times New Roman"/>
      <w:kern w:val="0"/>
      <w:sz w:val="24"/>
      <w:lang w:eastAsia="en-US" w:bidi="en-US"/>
    </w:rPr>
  </w:style>
  <w:style w:type="character" w:customStyle="1" w:styleId="32">
    <w:name w:val="正文缩进 Char"/>
    <w:link w:val="4"/>
    <w:qFormat/>
    <w:uiPriority w:val="0"/>
    <w:rPr>
      <w:rFonts w:ascii="宋体" w:eastAsia="宋体"/>
      <w:sz w:val="24"/>
      <w:szCs w:val="21"/>
    </w:rPr>
  </w:style>
  <w:style w:type="character" w:customStyle="1" w:styleId="33">
    <w:name w:val="正文文本缩进 Char"/>
    <w:basedOn w:val="20"/>
    <w:link w:val="7"/>
    <w:qFormat/>
    <w:uiPriority w:val="0"/>
    <w:rPr>
      <w:rFonts w:ascii="Cambria" w:hAnsi="Cambria" w:eastAsia="宋体" w:cs="Times New Roman"/>
      <w:kern w:val="0"/>
      <w:sz w:val="22"/>
      <w:lang w:eastAsia="en-US" w:bidi="en-US"/>
    </w:rPr>
  </w:style>
  <w:style w:type="character" w:customStyle="1" w:styleId="34">
    <w:name w:val="正文文本 Char"/>
    <w:basedOn w:val="20"/>
    <w:link w:val="6"/>
    <w:qFormat/>
    <w:uiPriority w:val="0"/>
    <w:rPr>
      <w:rFonts w:ascii="宋体" w:hAnsi="Cambria" w:eastAsia="宋体" w:cs="Times New Roman"/>
      <w:color w:val="000000"/>
      <w:kern w:val="0"/>
      <w:sz w:val="24"/>
      <w:lang w:eastAsia="en-US" w:bidi="en-US"/>
    </w:rPr>
  </w:style>
  <w:style w:type="character" w:customStyle="1" w:styleId="35">
    <w:name w:val="批注文字 Char"/>
    <w:basedOn w:val="20"/>
    <w:link w:val="5"/>
    <w:semiHidden/>
    <w:qFormat/>
    <w:uiPriority w:val="99"/>
  </w:style>
  <w:style w:type="character" w:customStyle="1" w:styleId="36">
    <w:name w:val="批注主题 Char"/>
    <w:basedOn w:val="35"/>
    <w:link w:val="17"/>
    <w:semiHidden/>
    <w:qFormat/>
    <w:uiPriority w:val="99"/>
    <w:rPr>
      <w:b/>
      <w:bCs/>
    </w:rPr>
  </w:style>
  <w:style w:type="character" w:customStyle="1" w:styleId="37">
    <w:name w:val="日期 Char"/>
    <w:basedOn w:val="20"/>
    <w:link w:val="9"/>
    <w:semiHidden/>
    <w:qFormat/>
    <w:uiPriority w:val="99"/>
  </w:style>
  <w:style w:type="character" w:customStyle="1" w:styleId="38">
    <w:name w:val="副标题 Char"/>
    <w:basedOn w:val="20"/>
    <w:link w:val="15"/>
    <w:qFormat/>
    <w:uiPriority w:val="0"/>
    <w:rPr>
      <w:rFonts w:eastAsia="黑体" w:asciiTheme="majorHAnsi" w:hAnsiTheme="majorHAnsi" w:cstheme="majorBidi"/>
      <w:bCs/>
      <w:kern w:val="28"/>
      <w:sz w:val="24"/>
      <w:szCs w:val="32"/>
    </w:rPr>
  </w:style>
  <w:style w:type="paragraph" w:customStyle="1" w:styleId="39">
    <w:name w:val="表格"/>
    <w:basedOn w:val="1"/>
    <w:qFormat/>
    <w:uiPriority w:val="0"/>
    <w:pPr>
      <w:jc w:val="center"/>
    </w:pPr>
    <w:rPr>
      <w:rFonts w:ascii="Verdana" w:hAnsi="Verdana" w:eastAsia="仿宋_GB2312" w:cs="Times New Roman"/>
      <w:lang w:eastAsia="en-US"/>
    </w:rPr>
  </w:style>
  <w:style w:type="paragraph" w:customStyle="1" w:styleId="40">
    <w:name w:val="WPSOffice手动目录 1"/>
    <w:qFormat/>
    <w:uiPriority w:val="0"/>
    <w:rPr>
      <w:rFonts w:ascii="Times New Roman" w:hAnsi="Times New Roman" w:eastAsia="宋体" w:cs="Times New Roman"/>
      <w:lang w:val="en-US" w:eastAsia="zh-CN" w:bidi="ar-SA"/>
    </w:rPr>
  </w:style>
  <w:style w:type="paragraph" w:customStyle="1" w:styleId="4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2">
    <w:name w:val="WPSOffice手动目录 3"/>
    <w:qFormat/>
    <w:uiPriority w:val="0"/>
    <w:pPr>
      <w:ind w:left="400" w:leftChars="4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1337</Words>
  <Characters>7627</Characters>
  <Lines>63</Lines>
  <Paragraphs>17</Paragraphs>
  <TotalTime>33</TotalTime>
  <ScaleCrop>false</ScaleCrop>
  <LinksUpToDate>false</LinksUpToDate>
  <CharactersWithSpaces>8947</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2025-05-22T15:16:00Z</dcterms:created>
  <dc:creator>user</dc:creator>
  <cp:lastModifiedBy>user</cp:lastModifiedBy>
  <cp:lastPrinted>2020-08-22T10:36:00Z</cp:lastPrinted>
  <dcterms:modified xsi:type="dcterms:W3CDTF">2025-08-26T17:30:26Z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1EAC2A526C85435CB2ADF04681E7AAA9</vt:lpwstr>
  </property>
  <property fmtid="{D5CDD505-2E9C-101B-9397-08002B2CF9AE}" pid="4" name="KSOTemplateDocerSaveRecord">
    <vt:lpwstr>eyJoZGlkIjoiMWQxNDdhMjBiZmM4NmI4MGM0MzRlZTUwMDUyZjkxYzciLCJ1c2VySWQiOiIxMTc1NTE2ODU2In0=</vt:lpwstr>
  </property>
</Properties>
</file>