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Toc6053"/>
    </w:p>
    <w:p>
      <w:pPr>
        <w:pStyle w:val="7"/>
        <w:tabs>
          <w:tab w:val="left" w:pos="1137"/>
          <w:tab w:val="left" w:pos="1343"/>
        </w:tabs>
        <w:spacing w:line="500" w:lineRule="exact"/>
        <w:ind w:firstLine="0"/>
        <w:jc w:val="center"/>
        <w:rPr>
          <w:rFonts w:ascii="方正小标宋简体" w:hAnsi="方正小标宋简体" w:eastAsia="方正小标宋简体" w:cs="方正小标宋简体"/>
          <w:bCs/>
          <w:sz w:val="44"/>
          <w:szCs w:val="44"/>
          <w:lang w:eastAsia="zh-CN"/>
        </w:rPr>
      </w:pPr>
      <w:bookmarkStart w:id="1" w:name="_Toc18391"/>
      <w:bookmarkStart w:id="2" w:name="_Toc684"/>
      <w:r>
        <w:rPr>
          <w:rFonts w:hint="eastAsia" w:ascii="方正小标宋简体" w:hAnsi="方正小标宋简体" w:eastAsia="方正小标宋简体" w:cs="方正小标宋简体"/>
          <w:bCs/>
          <w:sz w:val="44"/>
          <w:szCs w:val="44"/>
          <w:lang w:eastAsia="zh-CN"/>
        </w:rPr>
        <w:t>北京市密云区</w:t>
      </w:r>
      <w:bookmarkEnd w:id="0"/>
      <w:bookmarkEnd w:id="1"/>
      <w:bookmarkEnd w:id="2"/>
      <w:r>
        <w:rPr>
          <w:rFonts w:hint="eastAsia" w:ascii="方正小标宋简体" w:hAnsi="方正小标宋简体" w:eastAsia="方正小标宋简体" w:cs="方正小标宋简体"/>
          <w:bCs/>
          <w:sz w:val="44"/>
          <w:szCs w:val="44"/>
          <w:lang w:eastAsia="zh-CN"/>
        </w:rPr>
        <w:t>人民法院安检工作经费项目</w:t>
      </w:r>
    </w:p>
    <w:p>
      <w:pPr>
        <w:pStyle w:val="7"/>
        <w:tabs>
          <w:tab w:val="left" w:pos="1137"/>
          <w:tab w:val="left" w:pos="1343"/>
        </w:tabs>
        <w:spacing w:line="500" w:lineRule="exact"/>
        <w:ind w:firstLine="0"/>
        <w:jc w:val="center"/>
        <w:rPr>
          <w:rFonts w:ascii="黑体" w:hAnsi="黑体" w:eastAsia="黑体"/>
          <w:b/>
          <w:sz w:val="44"/>
          <w:szCs w:val="44"/>
          <w:lang w:eastAsia="zh-CN"/>
        </w:rPr>
      </w:pPr>
      <w:bookmarkStart w:id="3" w:name="_Toc11438"/>
      <w:bookmarkStart w:id="4" w:name="_Toc15113"/>
      <w:bookmarkStart w:id="5" w:name="_Toc13892"/>
      <w:r>
        <w:rPr>
          <w:rFonts w:hint="eastAsia" w:ascii="方正小标宋简体" w:hAnsi="方正小标宋简体" w:eastAsia="方正小标宋简体" w:cs="方正小标宋简体"/>
          <w:bCs/>
          <w:sz w:val="44"/>
          <w:szCs w:val="44"/>
          <w:lang w:eastAsia="zh-CN"/>
        </w:rPr>
        <w:t>绩效评价报告</w:t>
      </w:r>
      <w:bookmarkEnd w:id="3"/>
      <w:bookmarkEnd w:id="4"/>
      <w:bookmarkEnd w:id="5"/>
    </w:p>
    <w:p>
      <w:pPr>
        <w:spacing w:line="520" w:lineRule="atLeast"/>
        <w:ind w:firstLine="560" w:firstLineChars="200"/>
        <w:rPr>
          <w:rFonts w:ascii="仿宋_GB2312" w:hAnsi="仿宋" w:eastAsia="仿宋_GB2312"/>
          <w:kern w:val="0"/>
          <w:sz w:val="32"/>
          <w:szCs w:val="32"/>
        </w:rPr>
      </w:pPr>
      <w:bookmarkStart w:id="6" w:name="_Toc508205329"/>
      <w:r>
        <w:rPr>
          <w:rFonts w:hint="eastAsia" w:ascii="仿宋_GB2312" w:hAnsi="宋体" w:eastAsia="仿宋_GB2312"/>
          <w:sz w:val="28"/>
          <w:szCs w:val="28"/>
        </w:rPr>
        <w:t>为不断推进财政绩效管理科学化、精细化水平，增强各部门绩效观念和责任意识，提高财政资金使用效益，</w:t>
      </w:r>
      <w:r>
        <w:rPr>
          <w:rFonts w:hint="eastAsia" w:ascii="仿宋_GB2312" w:hAnsi="仿宋" w:eastAsia="仿宋_GB2312"/>
          <w:kern w:val="0"/>
          <w:sz w:val="28"/>
          <w:szCs w:val="28"/>
        </w:rPr>
        <w:t>北京市密云区人民法院成立了绩效评价工作组，于</w:t>
      </w:r>
      <w:r>
        <w:rPr>
          <w:rFonts w:ascii="仿宋_GB2312" w:hAnsi="仿宋" w:eastAsia="仿宋_GB2312"/>
          <w:kern w:val="0"/>
          <w:sz w:val="28"/>
          <w:szCs w:val="28"/>
        </w:rPr>
        <w:t>2025</w:t>
      </w:r>
      <w:r>
        <w:rPr>
          <w:rFonts w:hint="eastAsia" w:ascii="仿宋_GB2312" w:hAnsi="仿宋" w:eastAsia="仿宋_GB2312"/>
          <w:kern w:val="0"/>
          <w:sz w:val="28"/>
          <w:szCs w:val="28"/>
        </w:rPr>
        <w:t>年</w:t>
      </w:r>
      <w:r>
        <w:rPr>
          <w:rFonts w:ascii="仿宋_GB2312" w:hAnsi="仿宋" w:eastAsia="仿宋_GB2312"/>
          <w:kern w:val="0"/>
          <w:sz w:val="28"/>
          <w:szCs w:val="28"/>
        </w:rPr>
        <w:t>5</w:t>
      </w:r>
      <w:r>
        <w:rPr>
          <w:rFonts w:hint="eastAsia" w:ascii="仿宋_GB2312" w:hAnsi="仿宋" w:eastAsia="仿宋_GB2312"/>
          <w:kern w:val="0"/>
          <w:sz w:val="28"/>
          <w:szCs w:val="28"/>
        </w:rPr>
        <w:t>月对“</w:t>
      </w:r>
      <w:r>
        <w:rPr>
          <w:rFonts w:ascii="仿宋_GB2312" w:hAnsi="仿宋" w:eastAsia="仿宋_GB2312"/>
          <w:kern w:val="0"/>
          <w:sz w:val="28"/>
          <w:szCs w:val="28"/>
        </w:rPr>
        <w:t>2024</w:t>
      </w:r>
      <w:r>
        <w:rPr>
          <w:rFonts w:hint="eastAsia" w:ascii="仿宋_GB2312" w:hAnsi="仿宋" w:eastAsia="仿宋_GB2312"/>
          <w:kern w:val="0"/>
          <w:sz w:val="28"/>
          <w:szCs w:val="28"/>
        </w:rPr>
        <w:t>年度北京市密云区人民法院安检工作经费项目”（以下简称“项目”）开展了绩效评价。具体情况如下：</w:t>
      </w:r>
    </w:p>
    <w:bookmarkEnd w:id="6"/>
    <w:p>
      <w:pPr>
        <w:pStyle w:val="2"/>
        <w:keepNext w:val="0"/>
        <w:keepLines w:val="0"/>
        <w:widowControl/>
        <w:numPr>
          <w:ilvl w:val="0"/>
          <w:numId w:val="1"/>
        </w:numPr>
        <w:spacing w:before="0" w:after="0" w:line="520" w:lineRule="atLeast"/>
        <w:contextualSpacing/>
        <w:jc w:val="left"/>
        <w:rPr>
          <w:rFonts w:ascii="黑体" w:hAnsi="黑体" w:eastAsia="黑体" w:cs="黑体"/>
          <w:b w:val="0"/>
          <w:kern w:val="0"/>
          <w:sz w:val="32"/>
          <w:szCs w:val="32"/>
        </w:rPr>
      </w:pPr>
      <w:bookmarkStart w:id="7" w:name="_Toc8074"/>
      <w:bookmarkStart w:id="8" w:name="_Toc77203339"/>
      <w:bookmarkStart w:id="9" w:name="_Toc19521"/>
      <w:bookmarkStart w:id="10" w:name="_Toc10582"/>
      <w:bookmarkStart w:id="11" w:name="_Toc8864"/>
      <w:bookmarkStart w:id="12" w:name="_Toc516663569"/>
      <w:r>
        <w:rPr>
          <w:rFonts w:hint="eastAsia" w:ascii="黑体" w:hAnsi="黑体" w:eastAsia="黑体" w:cs="黑体"/>
          <w:b w:val="0"/>
          <w:kern w:val="0"/>
          <w:sz w:val="32"/>
          <w:szCs w:val="32"/>
        </w:rPr>
        <w:t>基本情况</w:t>
      </w:r>
      <w:bookmarkEnd w:id="7"/>
      <w:bookmarkEnd w:id="8"/>
      <w:bookmarkEnd w:id="9"/>
      <w:bookmarkEnd w:id="10"/>
      <w:bookmarkEnd w:id="11"/>
    </w:p>
    <w:bookmarkEnd w:id="12"/>
    <w:p>
      <w:pPr>
        <w:numPr>
          <w:ilvl w:val="0"/>
          <w:numId w:val="2"/>
        </w:numPr>
        <w:spacing w:line="560" w:lineRule="exact"/>
        <w:outlineLvl w:val="1"/>
        <w:rPr>
          <w:rFonts w:ascii="楷体_GB2312" w:hAnsi="楷体" w:eastAsia="楷体_GB2312" w:cs="仿宋_GB2312"/>
          <w:bCs/>
          <w:sz w:val="32"/>
          <w:szCs w:val="32"/>
        </w:rPr>
      </w:pPr>
      <w:bookmarkStart w:id="13" w:name="_Toc77203340"/>
      <w:bookmarkStart w:id="14" w:name="_Toc8611"/>
      <w:bookmarkStart w:id="15" w:name="_Toc21450"/>
      <w:bookmarkStart w:id="16" w:name="_Toc1076"/>
      <w:bookmarkStart w:id="17" w:name="_Toc24756"/>
      <w:bookmarkStart w:id="18" w:name="_Toc508205330"/>
      <w:bookmarkStart w:id="19" w:name="_Toc516663571"/>
      <w:r>
        <w:rPr>
          <w:rFonts w:hint="eastAsia" w:ascii="楷体_GB2312" w:hAnsi="楷体" w:eastAsia="楷体_GB2312" w:cs="仿宋_GB2312"/>
          <w:bCs/>
          <w:sz w:val="32"/>
          <w:szCs w:val="32"/>
        </w:rPr>
        <w:t>项目</w:t>
      </w:r>
      <w:bookmarkEnd w:id="13"/>
      <w:bookmarkEnd w:id="14"/>
      <w:bookmarkEnd w:id="15"/>
      <w:bookmarkEnd w:id="16"/>
      <w:bookmarkEnd w:id="17"/>
      <w:r>
        <w:rPr>
          <w:rFonts w:hint="eastAsia" w:ascii="楷体_GB2312" w:hAnsi="楷体" w:eastAsia="楷体_GB2312" w:cs="仿宋_GB2312"/>
          <w:bCs/>
          <w:sz w:val="32"/>
          <w:szCs w:val="32"/>
        </w:rPr>
        <w:t>概况</w:t>
      </w:r>
    </w:p>
    <w:p>
      <w:pPr>
        <w:spacing w:line="520" w:lineRule="atLeast"/>
        <w:ind w:firstLine="560" w:firstLineChars="200"/>
        <w:rPr>
          <w:rFonts w:ascii="仿宋_GB2312" w:hAnsi="仿宋" w:eastAsia="仿宋_GB2312"/>
          <w:kern w:val="0"/>
          <w:sz w:val="28"/>
          <w:szCs w:val="28"/>
        </w:rPr>
      </w:pPr>
      <w:r>
        <w:rPr>
          <w:rFonts w:ascii="仿宋_GB2312" w:hAnsi="仿宋" w:eastAsia="仿宋_GB2312"/>
          <w:kern w:val="0"/>
          <w:sz w:val="28"/>
          <w:szCs w:val="28"/>
        </w:rPr>
        <w:t>1</w:t>
      </w:r>
      <w:r>
        <w:rPr>
          <w:rFonts w:ascii="仿宋_GB2312" w:hAnsi="仿宋_GB2312" w:eastAsia="仿宋_GB2312" w:cs="仿宋_GB2312"/>
          <w:kern w:val="44"/>
          <w:sz w:val="28"/>
          <w:szCs w:val="28"/>
        </w:rPr>
        <w:t>.</w:t>
      </w:r>
      <w:r>
        <w:rPr>
          <w:rFonts w:hint="eastAsia" w:ascii="仿宋_GB2312" w:hAnsi="仿宋" w:eastAsia="仿宋_GB2312"/>
          <w:kern w:val="0"/>
          <w:sz w:val="28"/>
          <w:szCs w:val="28"/>
        </w:rPr>
        <w:t>项目背景</w:t>
      </w:r>
    </w:p>
    <w:p>
      <w:pPr>
        <w:spacing w:line="520" w:lineRule="atLeast"/>
        <w:ind w:firstLine="560" w:firstLineChars="200"/>
        <w:rPr>
          <w:rFonts w:ascii="仿宋_GB2312" w:hAnsi="仿宋" w:eastAsia="仿宋_GB2312"/>
          <w:kern w:val="0"/>
          <w:sz w:val="28"/>
          <w:szCs w:val="28"/>
          <w:lang w:val="en-GB"/>
        </w:rPr>
      </w:pPr>
      <w:r>
        <w:rPr>
          <w:rFonts w:hint="eastAsia" w:ascii="仿宋_GB2312" w:hAnsi="仿宋" w:eastAsia="仿宋_GB2312"/>
          <w:kern w:val="0"/>
          <w:sz w:val="28"/>
          <w:szCs w:val="28"/>
        </w:rPr>
        <w:t>北京市密云区人民法院（以下简称“密云区法院”）平均年受理案件</w:t>
      </w:r>
      <w:r>
        <w:rPr>
          <w:rFonts w:ascii="仿宋_GB2312" w:hAnsi="仿宋" w:eastAsia="仿宋_GB2312"/>
          <w:kern w:val="0"/>
          <w:sz w:val="28"/>
          <w:szCs w:val="28"/>
        </w:rPr>
        <w:t>2</w:t>
      </w:r>
      <w:r>
        <w:rPr>
          <w:rFonts w:hint="eastAsia" w:ascii="仿宋_GB2312" w:hAnsi="仿宋" w:eastAsia="仿宋_GB2312"/>
          <w:kern w:val="0"/>
          <w:sz w:val="28"/>
          <w:szCs w:val="28"/>
        </w:rPr>
        <w:t>万余件，庭审活动多，安检保障任务重，需配备专业安检人员、设备以确保庭审活动安全进行，为法院审判、诉讼工作开展提供安全保障，降低管理风险。</w:t>
      </w:r>
    </w:p>
    <w:p>
      <w:pPr>
        <w:spacing w:line="520" w:lineRule="atLeast"/>
        <w:ind w:firstLine="560" w:firstLineChars="200"/>
        <w:rPr>
          <w:rFonts w:ascii="仿宋_GB2312" w:hAnsi="仿宋" w:eastAsia="仿宋_GB2312"/>
          <w:kern w:val="0"/>
          <w:sz w:val="28"/>
          <w:szCs w:val="28"/>
        </w:rPr>
      </w:pPr>
      <w:r>
        <w:rPr>
          <w:rFonts w:ascii="仿宋_GB2312" w:hAnsi="仿宋" w:eastAsia="仿宋_GB2312"/>
          <w:kern w:val="0"/>
          <w:sz w:val="28"/>
          <w:szCs w:val="28"/>
        </w:rPr>
        <w:t>2</w:t>
      </w:r>
      <w:r>
        <w:rPr>
          <w:rFonts w:ascii="仿宋_GB2312" w:hAnsi="仿宋_GB2312" w:eastAsia="仿宋_GB2312" w:cs="仿宋_GB2312"/>
          <w:kern w:val="44"/>
          <w:sz w:val="28"/>
          <w:szCs w:val="28"/>
        </w:rPr>
        <w:t>.</w:t>
      </w:r>
      <w:r>
        <w:rPr>
          <w:rFonts w:hint="eastAsia" w:ascii="仿宋_GB2312" w:hAnsi="仿宋" w:eastAsia="仿宋_GB2312"/>
          <w:kern w:val="0"/>
          <w:sz w:val="28"/>
          <w:szCs w:val="28"/>
        </w:rPr>
        <w:t>主要内容及实施情况</w:t>
      </w:r>
    </w:p>
    <w:p>
      <w:pPr>
        <w:spacing w:line="520" w:lineRule="atLeas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1</w:t>
      </w:r>
      <w:r>
        <w:rPr>
          <w:rFonts w:hint="eastAsia" w:ascii="仿宋_GB2312" w:hAnsi="仿宋" w:eastAsia="仿宋_GB2312"/>
          <w:kern w:val="0"/>
          <w:sz w:val="28"/>
          <w:szCs w:val="28"/>
        </w:rPr>
        <w:t>）主要内容</w:t>
      </w:r>
    </w:p>
    <w:p>
      <w:pPr>
        <w:spacing w:line="520" w:lineRule="atLeas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密云区法院安检岗位设置包含六个办公、庭审场所，分别为密云区法院机关本部、执行局、西田各庄人民法庭、溪翁庄人民法庭、巨各庄人民法庭、太师屯人民法庭。</w:t>
      </w:r>
    </w:p>
    <w:p>
      <w:pPr>
        <w:spacing w:line="520" w:lineRule="atLeas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安检工作内容为对所有进入审判场所的人员及携带物品实施安检，防止限制物品、管制物品、易燃易爆物品、强腐蚀性物品等危险物品进入审判场所，消除一切可能危及审判场所和参加庭审活动人员人身安全的因素，保障庭审活动正常进行。</w:t>
      </w:r>
    </w:p>
    <w:p>
      <w:pPr>
        <w:spacing w:line="520" w:lineRule="atLeas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2</w:t>
      </w:r>
      <w:r>
        <w:rPr>
          <w:rFonts w:hint="eastAsia" w:ascii="仿宋_GB2312" w:hAnsi="仿宋" w:eastAsia="仿宋_GB2312"/>
          <w:kern w:val="0"/>
          <w:sz w:val="28"/>
          <w:szCs w:val="28"/>
        </w:rPr>
        <w:t>）实施情况</w:t>
      </w:r>
    </w:p>
    <w:p>
      <w:pPr>
        <w:spacing w:line="520" w:lineRule="atLeast"/>
        <w:ind w:firstLine="560" w:firstLineChars="200"/>
        <w:rPr>
          <w:rFonts w:ascii="仿宋_GB2312" w:hAnsi="仿宋" w:eastAsia="仿宋_GB2312"/>
          <w:kern w:val="0"/>
          <w:sz w:val="28"/>
          <w:szCs w:val="28"/>
        </w:rPr>
      </w:pPr>
      <w:r>
        <w:rPr>
          <w:rFonts w:ascii="仿宋_GB2312" w:hAnsi="仿宋" w:eastAsia="仿宋_GB2312"/>
          <w:kern w:val="0"/>
          <w:sz w:val="28"/>
          <w:szCs w:val="28"/>
        </w:rPr>
        <w:t>2024</w:t>
      </w:r>
      <w:r>
        <w:rPr>
          <w:rFonts w:hint="eastAsia" w:ascii="仿宋_GB2312" w:hAnsi="仿宋" w:eastAsia="仿宋_GB2312"/>
          <w:kern w:val="0"/>
          <w:sz w:val="28"/>
          <w:szCs w:val="28"/>
        </w:rPr>
        <w:t>年度，密云区法院累计完成安检</w:t>
      </w:r>
      <w:r>
        <w:rPr>
          <w:rFonts w:ascii="仿宋_GB2312" w:hAnsi="仿宋" w:eastAsia="仿宋_GB2312"/>
          <w:kern w:val="0"/>
          <w:sz w:val="28"/>
          <w:szCs w:val="28"/>
        </w:rPr>
        <w:t>105564</w:t>
      </w:r>
      <w:r>
        <w:rPr>
          <w:rFonts w:hint="eastAsia" w:ascii="仿宋_GB2312" w:hAnsi="仿宋" w:eastAsia="仿宋_GB2312"/>
          <w:kern w:val="0"/>
          <w:sz w:val="28"/>
          <w:szCs w:val="28"/>
        </w:rPr>
        <w:t>人次，检查包裹</w:t>
      </w:r>
      <w:r>
        <w:rPr>
          <w:rFonts w:ascii="仿宋_GB2312" w:hAnsi="仿宋" w:eastAsia="仿宋_GB2312"/>
          <w:kern w:val="0"/>
          <w:sz w:val="28"/>
          <w:szCs w:val="28"/>
        </w:rPr>
        <w:t>83789</w:t>
      </w:r>
      <w:r>
        <w:rPr>
          <w:rFonts w:hint="eastAsia" w:ascii="仿宋_GB2312" w:hAnsi="仿宋" w:eastAsia="仿宋_GB2312"/>
          <w:kern w:val="0"/>
          <w:sz w:val="28"/>
          <w:szCs w:val="28"/>
        </w:rPr>
        <w:t>件，查出限制物品</w:t>
      </w:r>
      <w:r>
        <w:rPr>
          <w:rFonts w:ascii="仿宋_GB2312" w:hAnsi="仿宋" w:eastAsia="仿宋_GB2312"/>
          <w:kern w:val="0"/>
          <w:sz w:val="28"/>
          <w:szCs w:val="28"/>
        </w:rPr>
        <w:t>4241</w:t>
      </w:r>
      <w:r>
        <w:rPr>
          <w:rFonts w:hint="eastAsia" w:ascii="仿宋_GB2312" w:hAnsi="仿宋" w:eastAsia="仿宋_GB2312"/>
          <w:kern w:val="0"/>
          <w:sz w:val="28"/>
          <w:szCs w:val="28"/>
        </w:rPr>
        <w:t>件</w:t>
      </w:r>
      <w:r>
        <w:rPr>
          <w:rFonts w:ascii="仿宋_GB2312" w:hAnsi="仿宋" w:eastAsia="仿宋_GB2312"/>
          <w:kern w:val="0"/>
          <w:sz w:val="28"/>
          <w:szCs w:val="28"/>
          <w:lang w:val="en-GB"/>
        </w:rPr>
        <w:t>,</w:t>
      </w:r>
      <w:r>
        <w:rPr>
          <w:rFonts w:hint="eastAsia" w:ascii="仿宋_GB2312" w:hAnsi="仿宋" w:eastAsia="仿宋_GB2312"/>
          <w:kern w:val="0"/>
          <w:sz w:val="28"/>
          <w:szCs w:val="28"/>
        </w:rPr>
        <w:t>危险品检出率为</w:t>
      </w:r>
      <w:r>
        <w:rPr>
          <w:rFonts w:ascii="仿宋_GB2312" w:hAnsi="仿宋" w:eastAsia="仿宋_GB2312"/>
          <w:kern w:val="0"/>
          <w:sz w:val="28"/>
          <w:szCs w:val="28"/>
        </w:rPr>
        <w:t>100%</w:t>
      </w:r>
      <w:r>
        <w:rPr>
          <w:rFonts w:hint="eastAsia" w:ascii="仿宋_GB2312" w:hAnsi="仿宋" w:eastAsia="仿宋_GB2312"/>
          <w:kern w:val="0"/>
          <w:sz w:val="28"/>
          <w:szCs w:val="28"/>
        </w:rPr>
        <w:t>。确保来院必安检、进院必安全，保证了参加庭审活动人员的人身安全和审判执行工作的顺利进行。</w:t>
      </w:r>
    </w:p>
    <w:p>
      <w:pPr>
        <w:spacing w:line="520" w:lineRule="atLeast"/>
        <w:ind w:firstLine="560" w:firstLineChars="200"/>
        <w:rPr>
          <w:rFonts w:ascii="仿宋_GB2312" w:hAnsi="仿宋" w:eastAsia="仿宋_GB2312"/>
          <w:kern w:val="0"/>
          <w:sz w:val="28"/>
          <w:szCs w:val="28"/>
        </w:rPr>
      </w:pPr>
      <w:r>
        <w:rPr>
          <w:rFonts w:ascii="仿宋_GB2312" w:hAnsi="仿宋" w:eastAsia="仿宋_GB2312"/>
          <w:kern w:val="0"/>
          <w:sz w:val="28"/>
          <w:szCs w:val="28"/>
        </w:rPr>
        <w:t>3</w:t>
      </w:r>
      <w:r>
        <w:rPr>
          <w:rFonts w:ascii="仿宋_GB2312" w:hAnsi="仿宋_GB2312" w:eastAsia="仿宋_GB2312" w:cs="仿宋_GB2312"/>
          <w:kern w:val="44"/>
          <w:sz w:val="28"/>
          <w:szCs w:val="28"/>
        </w:rPr>
        <w:t>.</w:t>
      </w:r>
      <w:r>
        <w:rPr>
          <w:rFonts w:hint="eastAsia" w:ascii="仿宋_GB2312" w:hAnsi="仿宋" w:eastAsia="仿宋_GB2312"/>
          <w:kern w:val="0"/>
          <w:sz w:val="28"/>
          <w:szCs w:val="28"/>
        </w:rPr>
        <w:t>资金投入和使用情况</w:t>
      </w:r>
    </w:p>
    <w:p>
      <w:pPr>
        <w:spacing w:line="520" w:lineRule="atLeas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1</w:t>
      </w:r>
      <w:r>
        <w:rPr>
          <w:rFonts w:hint="eastAsia" w:ascii="仿宋_GB2312" w:hAnsi="仿宋" w:eastAsia="仿宋_GB2312"/>
          <w:kern w:val="0"/>
          <w:sz w:val="28"/>
          <w:szCs w:val="28"/>
        </w:rPr>
        <w:t>）资金投入</w:t>
      </w:r>
    </w:p>
    <w:p>
      <w:pPr>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年初预算批复项目资金</w:t>
      </w:r>
      <w:r>
        <w:rPr>
          <w:rFonts w:ascii="仿宋_GB2312" w:hAnsi="仿宋" w:eastAsia="仿宋_GB2312"/>
          <w:kern w:val="0"/>
          <w:sz w:val="28"/>
          <w:szCs w:val="28"/>
          <w:lang w:val="en-GB"/>
        </w:rPr>
        <w:t>2</w:t>
      </w:r>
      <w:r>
        <w:rPr>
          <w:rFonts w:ascii="仿宋_GB2312" w:hAnsi="仿宋" w:eastAsia="仿宋_GB2312"/>
          <w:kern w:val="0"/>
          <w:sz w:val="28"/>
          <w:szCs w:val="28"/>
        </w:rPr>
        <w:t>,</w:t>
      </w:r>
      <w:r>
        <w:rPr>
          <w:rFonts w:ascii="仿宋_GB2312" w:hAnsi="仿宋" w:eastAsia="仿宋_GB2312"/>
          <w:kern w:val="0"/>
          <w:sz w:val="28"/>
          <w:szCs w:val="28"/>
          <w:lang w:val="en-GB"/>
        </w:rPr>
        <w:t>78</w:t>
      </w:r>
      <w:r>
        <w:rPr>
          <w:rFonts w:ascii="仿宋_GB2312" w:hAnsi="仿宋" w:eastAsia="仿宋_GB2312"/>
          <w:kern w:val="0"/>
          <w:sz w:val="28"/>
          <w:szCs w:val="28"/>
        </w:rPr>
        <w:t>0,</w:t>
      </w:r>
      <w:r>
        <w:rPr>
          <w:rFonts w:ascii="仿宋_GB2312" w:hAnsi="仿宋" w:eastAsia="仿宋_GB2312"/>
          <w:kern w:val="0"/>
          <w:sz w:val="28"/>
          <w:szCs w:val="28"/>
          <w:lang w:val="en-GB"/>
        </w:rPr>
        <w:t>82</w:t>
      </w:r>
      <w:r>
        <w:rPr>
          <w:rFonts w:ascii="仿宋_GB2312" w:hAnsi="仿宋" w:eastAsia="仿宋_GB2312"/>
          <w:kern w:val="0"/>
          <w:sz w:val="28"/>
          <w:szCs w:val="28"/>
        </w:rPr>
        <w:t>0.00</w:t>
      </w:r>
      <w:r>
        <w:rPr>
          <w:rFonts w:hint="eastAsia" w:ascii="仿宋_GB2312" w:hAnsi="仿宋" w:eastAsia="仿宋_GB2312"/>
          <w:kern w:val="0"/>
          <w:sz w:val="28"/>
          <w:szCs w:val="28"/>
        </w:rPr>
        <w:t>元，实际到位资金</w:t>
      </w:r>
      <w:r>
        <w:rPr>
          <w:rFonts w:ascii="仿宋_GB2312" w:hAnsi="仿宋" w:eastAsia="仿宋_GB2312"/>
          <w:kern w:val="0"/>
          <w:sz w:val="28"/>
          <w:szCs w:val="28"/>
        </w:rPr>
        <w:t>2,780,820.00</w:t>
      </w:r>
      <w:r>
        <w:rPr>
          <w:rFonts w:hint="eastAsia" w:ascii="仿宋_GB2312" w:hAnsi="仿宋" w:eastAsia="仿宋_GB2312"/>
          <w:kern w:val="0"/>
          <w:sz w:val="28"/>
          <w:szCs w:val="28"/>
        </w:rPr>
        <w:t>元。</w:t>
      </w:r>
    </w:p>
    <w:p>
      <w:pPr>
        <w:spacing w:line="520" w:lineRule="atLeas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2</w:t>
      </w:r>
      <w:r>
        <w:rPr>
          <w:rFonts w:hint="eastAsia" w:ascii="仿宋_GB2312" w:hAnsi="仿宋" w:eastAsia="仿宋_GB2312"/>
          <w:kern w:val="0"/>
          <w:sz w:val="28"/>
          <w:szCs w:val="28"/>
        </w:rPr>
        <w:t>）使用情况</w:t>
      </w:r>
    </w:p>
    <w:p>
      <w:pPr>
        <w:spacing w:line="520" w:lineRule="atLeas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截至</w:t>
      </w:r>
      <w:r>
        <w:rPr>
          <w:rFonts w:ascii="仿宋_GB2312" w:hAnsi="仿宋" w:eastAsia="仿宋_GB2312"/>
          <w:kern w:val="0"/>
          <w:sz w:val="28"/>
          <w:szCs w:val="28"/>
        </w:rPr>
        <w:t>202</w:t>
      </w:r>
      <w:r>
        <w:rPr>
          <w:rFonts w:ascii="仿宋_GB2312" w:hAnsi="仿宋" w:eastAsia="仿宋_GB2312"/>
          <w:kern w:val="0"/>
          <w:sz w:val="28"/>
          <w:szCs w:val="28"/>
          <w:lang w:val="en-GB"/>
        </w:rPr>
        <w:t>4</w:t>
      </w:r>
      <w:r>
        <w:rPr>
          <w:rFonts w:hint="eastAsia" w:ascii="仿宋_GB2312" w:hAnsi="仿宋" w:eastAsia="仿宋_GB2312"/>
          <w:kern w:val="0"/>
          <w:sz w:val="28"/>
          <w:szCs w:val="28"/>
        </w:rPr>
        <w:t>年</w:t>
      </w:r>
      <w:r>
        <w:rPr>
          <w:rFonts w:ascii="仿宋_GB2312" w:hAnsi="仿宋" w:eastAsia="仿宋_GB2312"/>
          <w:kern w:val="0"/>
          <w:sz w:val="28"/>
          <w:szCs w:val="28"/>
        </w:rPr>
        <w:t>12</w:t>
      </w:r>
      <w:r>
        <w:rPr>
          <w:rFonts w:hint="eastAsia" w:ascii="仿宋_GB2312" w:hAnsi="仿宋" w:eastAsia="仿宋_GB2312"/>
          <w:kern w:val="0"/>
          <w:sz w:val="28"/>
          <w:szCs w:val="28"/>
        </w:rPr>
        <w:t>月</w:t>
      </w:r>
      <w:r>
        <w:rPr>
          <w:rFonts w:ascii="仿宋_GB2312" w:hAnsi="仿宋" w:eastAsia="仿宋_GB2312"/>
          <w:kern w:val="0"/>
          <w:sz w:val="28"/>
          <w:szCs w:val="28"/>
        </w:rPr>
        <w:t>31</w:t>
      </w:r>
      <w:r>
        <w:rPr>
          <w:rFonts w:hint="eastAsia" w:ascii="仿宋_GB2312" w:hAnsi="仿宋" w:eastAsia="仿宋_GB2312"/>
          <w:kern w:val="0"/>
          <w:sz w:val="28"/>
          <w:szCs w:val="28"/>
        </w:rPr>
        <w:t>日，依据密云区法院相关合同及资金审批流程，已实际支付资金</w:t>
      </w:r>
      <w:r>
        <w:rPr>
          <w:rFonts w:ascii="仿宋_GB2312" w:hAnsi="仿宋" w:eastAsia="仿宋_GB2312"/>
          <w:kern w:val="0"/>
          <w:sz w:val="28"/>
          <w:szCs w:val="28"/>
        </w:rPr>
        <w:t>2,780,820.00</w:t>
      </w:r>
      <w:r>
        <w:rPr>
          <w:rFonts w:hint="eastAsia" w:ascii="仿宋_GB2312" w:hAnsi="仿宋" w:eastAsia="仿宋_GB2312"/>
          <w:kern w:val="0"/>
          <w:sz w:val="28"/>
          <w:szCs w:val="28"/>
        </w:rPr>
        <w:t>元，预算资金执行率为</w:t>
      </w:r>
      <w:r>
        <w:rPr>
          <w:rFonts w:ascii="仿宋_GB2312" w:hAnsi="仿宋" w:eastAsia="仿宋_GB2312"/>
          <w:kern w:val="0"/>
          <w:sz w:val="28"/>
          <w:szCs w:val="28"/>
        </w:rPr>
        <w:t>100%</w:t>
      </w:r>
      <w:r>
        <w:rPr>
          <w:rFonts w:hint="eastAsia" w:ascii="仿宋_GB2312" w:hAnsi="仿宋" w:eastAsia="仿宋_GB2312"/>
          <w:kern w:val="0"/>
          <w:sz w:val="28"/>
          <w:szCs w:val="28"/>
        </w:rPr>
        <w:t>。</w:t>
      </w:r>
    </w:p>
    <w:p>
      <w:pPr>
        <w:numPr>
          <w:ilvl w:val="0"/>
          <w:numId w:val="2"/>
        </w:numPr>
        <w:spacing w:line="560" w:lineRule="exact"/>
        <w:outlineLvl w:val="1"/>
        <w:rPr>
          <w:rFonts w:ascii="楷体_GB2312" w:hAnsi="楷体" w:eastAsia="楷体_GB2312" w:cs="仿宋_GB2312"/>
          <w:bCs/>
          <w:sz w:val="32"/>
          <w:szCs w:val="32"/>
        </w:rPr>
      </w:pPr>
      <w:bookmarkStart w:id="20" w:name="_Toc20164"/>
      <w:bookmarkStart w:id="21" w:name="_Toc77203343"/>
      <w:bookmarkStart w:id="22" w:name="_Toc11266"/>
      <w:bookmarkStart w:id="23" w:name="_Toc23047"/>
      <w:bookmarkStart w:id="24" w:name="_Toc27184"/>
      <w:r>
        <w:rPr>
          <w:rFonts w:hint="eastAsia" w:ascii="楷体_GB2312" w:hAnsi="楷体" w:eastAsia="楷体_GB2312" w:cs="仿宋_GB2312"/>
          <w:bCs/>
          <w:sz w:val="32"/>
          <w:szCs w:val="32"/>
        </w:rPr>
        <w:t>项目绩效目标</w:t>
      </w:r>
      <w:bookmarkEnd w:id="20"/>
      <w:bookmarkEnd w:id="21"/>
      <w:bookmarkEnd w:id="22"/>
      <w:bookmarkEnd w:id="23"/>
      <w:bookmarkEnd w:id="24"/>
    </w:p>
    <w:p>
      <w:pPr>
        <w:spacing w:line="560" w:lineRule="exact"/>
        <w:ind w:firstLine="560" w:firstLineChars="200"/>
        <w:outlineLvl w:val="2"/>
        <w:rPr>
          <w:rFonts w:ascii="仿宋_GB2312" w:hAnsi="仿宋_GB2312" w:eastAsia="仿宋_GB2312" w:cs="仿宋_GB2312"/>
          <w:bCs/>
          <w:sz w:val="28"/>
          <w:szCs w:val="28"/>
        </w:rPr>
      </w:pPr>
      <w:bookmarkStart w:id="25" w:name="_Toc12601"/>
      <w:bookmarkStart w:id="26" w:name="_Toc27840"/>
      <w:bookmarkStart w:id="27" w:name="_Toc23154"/>
      <w:bookmarkStart w:id="28" w:name="_Toc3189"/>
      <w:bookmarkStart w:id="29" w:name="_Toc77203345"/>
      <w:r>
        <w:rPr>
          <w:rFonts w:ascii="仿宋_GB2312" w:hAnsi="仿宋_GB2312" w:eastAsia="仿宋_GB2312" w:cs="仿宋_GB2312"/>
          <w:bCs/>
          <w:sz w:val="28"/>
          <w:szCs w:val="28"/>
        </w:rPr>
        <w:t>1</w:t>
      </w:r>
      <w:r>
        <w:rPr>
          <w:rFonts w:ascii="仿宋_GB2312" w:hAnsi="仿宋_GB2312" w:eastAsia="仿宋_GB2312" w:cs="仿宋_GB2312"/>
          <w:kern w:val="44"/>
          <w:sz w:val="28"/>
          <w:szCs w:val="28"/>
        </w:rPr>
        <w:t>.</w:t>
      </w:r>
      <w:r>
        <w:rPr>
          <w:rFonts w:hint="eastAsia" w:ascii="仿宋_GB2312" w:hAnsi="仿宋_GB2312" w:eastAsia="仿宋_GB2312" w:cs="仿宋_GB2312"/>
          <w:bCs/>
          <w:sz w:val="28"/>
          <w:szCs w:val="28"/>
        </w:rPr>
        <w:t>总体目标</w:t>
      </w:r>
      <w:bookmarkEnd w:id="25"/>
      <w:bookmarkEnd w:id="26"/>
      <w:bookmarkEnd w:id="27"/>
      <w:bookmarkEnd w:id="28"/>
      <w:bookmarkEnd w:id="29"/>
    </w:p>
    <w:p>
      <w:pPr>
        <w:pStyle w:val="39"/>
        <w:ind w:firstLine="560" w:firstLineChars="200"/>
        <w:jc w:val="left"/>
        <w:rPr>
          <w:rFonts w:ascii="仿宋_GB2312" w:hAnsi="仿宋"/>
          <w:kern w:val="0"/>
          <w:sz w:val="28"/>
          <w:szCs w:val="28"/>
          <w:lang w:eastAsia="zh-CN"/>
        </w:rPr>
      </w:pPr>
      <w:r>
        <w:rPr>
          <w:rFonts w:hint="eastAsia" w:ascii="仿宋_GB2312" w:hAnsi="仿宋"/>
          <w:kern w:val="0"/>
          <w:sz w:val="28"/>
          <w:szCs w:val="28"/>
          <w:lang w:eastAsia="zh-CN"/>
        </w:rPr>
        <w:t>在完善安检制度体系建设的基础上，通过配置专业的安检服务，提高密云区法院办公场所、庭审活动的安全性，为法院审判、诉讼工作开展提供安全保障，降低管理风险。</w:t>
      </w:r>
    </w:p>
    <w:p>
      <w:pPr>
        <w:pStyle w:val="39"/>
        <w:ind w:firstLine="560" w:firstLineChars="200"/>
        <w:jc w:val="left"/>
        <w:rPr>
          <w:rFonts w:ascii="仿宋_GB2312" w:hAnsi="仿宋"/>
          <w:kern w:val="0"/>
          <w:sz w:val="28"/>
          <w:szCs w:val="28"/>
          <w:lang w:eastAsia="zh-CN"/>
        </w:rPr>
      </w:pPr>
      <w:r>
        <w:rPr>
          <w:rFonts w:ascii="仿宋_GB2312" w:hAnsi="仿宋"/>
          <w:kern w:val="0"/>
          <w:sz w:val="28"/>
          <w:szCs w:val="28"/>
          <w:lang w:eastAsia="zh-CN"/>
        </w:rPr>
        <w:t>2</w:t>
      </w:r>
      <w:r>
        <w:rPr>
          <w:rFonts w:ascii="仿宋_GB2312" w:cs="仿宋_GB2312"/>
          <w:kern w:val="44"/>
          <w:sz w:val="28"/>
          <w:szCs w:val="28"/>
        </w:rPr>
        <w:t>.</w:t>
      </w:r>
      <w:r>
        <w:rPr>
          <w:rFonts w:hint="eastAsia" w:ascii="仿宋_GB2312" w:cs="仿宋_GB2312"/>
          <w:kern w:val="44"/>
          <w:sz w:val="28"/>
          <w:szCs w:val="28"/>
          <w:lang w:eastAsia="zh-CN"/>
        </w:rPr>
        <w:t>阶段性</w:t>
      </w:r>
      <w:r>
        <w:rPr>
          <w:rFonts w:hint="eastAsia" w:ascii="仿宋_GB2312" w:hAnsi="仿宋"/>
          <w:kern w:val="0"/>
          <w:sz w:val="28"/>
          <w:szCs w:val="28"/>
          <w:lang w:eastAsia="zh-CN"/>
        </w:rPr>
        <w:t>目标</w:t>
      </w:r>
    </w:p>
    <w:p>
      <w:pPr>
        <w:pStyle w:val="39"/>
        <w:ind w:firstLine="560" w:firstLineChars="200"/>
        <w:jc w:val="left"/>
        <w:rPr>
          <w:rFonts w:ascii="仿宋_GB2312" w:hAnsi="仿宋"/>
          <w:kern w:val="0"/>
          <w:sz w:val="28"/>
          <w:szCs w:val="28"/>
          <w:lang w:eastAsia="zh-CN"/>
        </w:rPr>
      </w:pPr>
      <w:r>
        <w:rPr>
          <w:rFonts w:hint="eastAsia" w:ascii="仿宋_GB2312" w:hAnsi="仿宋"/>
          <w:kern w:val="0"/>
          <w:sz w:val="28"/>
          <w:szCs w:val="28"/>
          <w:lang w:eastAsia="zh-CN"/>
        </w:rPr>
        <w:t>在本年度对所有进入密云区法院审判场所的人员及携带物品实施安检，消除一切可能危及审判场所和参加庭审活动人员人身安全的因素，保障庭审活动正常进行。</w:t>
      </w:r>
    </w:p>
    <w:bookmarkEnd w:id="18"/>
    <w:bookmarkEnd w:id="19"/>
    <w:p>
      <w:pPr>
        <w:pStyle w:val="2"/>
        <w:keepNext w:val="0"/>
        <w:keepLines w:val="0"/>
        <w:widowControl/>
        <w:numPr>
          <w:ilvl w:val="0"/>
          <w:numId w:val="1"/>
        </w:numPr>
        <w:spacing w:before="0" w:after="0" w:line="520" w:lineRule="atLeast"/>
        <w:contextualSpacing/>
        <w:jc w:val="left"/>
        <w:rPr>
          <w:rFonts w:ascii="黑体" w:hAnsi="黑体" w:eastAsia="黑体" w:cs="黑体"/>
          <w:b w:val="0"/>
          <w:kern w:val="0"/>
          <w:sz w:val="32"/>
          <w:szCs w:val="32"/>
        </w:rPr>
      </w:pPr>
      <w:bookmarkStart w:id="30" w:name="_Toc20080"/>
      <w:bookmarkStart w:id="31" w:name="_Toc14759"/>
      <w:bookmarkStart w:id="32" w:name="_Toc10472"/>
      <w:bookmarkStart w:id="33" w:name="_Toc26593"/>
      <w:bookmarkStart w:id="34" w:name="_Toc77203349"/>
      <w:bookmarkStart w:id="35" w:name="_Toc516663573"/>
      <w:r>
        <w:rPr>
          <w:rFonts w:hint="eastAsia" w:ascii="黑体" w:hAnsi="黑体" w:eastAsia="黑体" w:cs="黑体"/>
          <w:b w:val="0"/>
          <w:kern w:val="0"/>
          <w:sz w:val="32"/>
          <w:szCs w:val="32"/>
        </w:rPr>
        <w:t>绩效评价工作</w:t>
      </w:r>
      <w:bookmarkEnd w:id="30"/>
      <w:bookmarkEnd w:id="31"/>
      <w:bookmarkEnd w:id="32"/>
      <w:bookmarkEnd w:id="33"/>
      <w:bookmarkEnd w:id="34"/>
      <w:r>
        <w:rPr>
          <w:rFonts w:hint="eastAsia" w:ascii="黑体" w:hAnsi="黑体" w:eastAsia="黑体" w:cs="黑体"/>
          <w:b w:val="0"/>
          <w:kern w:val="0"/>
          <w:sz w:val="32"/>
          <w:szCs w:val="32"/>
        </w:rPr>
        <w:t>开展情况</w:t>
      </w:r>
    </w:p>
    <w:bookmarkEnd w:id="35"/>
    <w:p>
      <w:pPr>
        <w:numPr>
          <w:ilvl w:val="0"/>
          <w:numId w:val="3"/>
        </w:numPr>
        <w:spacing w:line="560" w:lineRule="exact"/>
        <w:outlineLvl w:val="1"/>
        <w:rPr>
          <w:rFonts w:ascii="楷体_GB2312" w:hAnsi="楷体_GB2312" w:eastAsia="楷体_GB2312" w:cs="楷体_GB2312"/>
          <w:bCs/>
          <w:sz w:val="32"/>
          <w:szCs w:val="32"/>
        </w:rPr>
      </w:pPr>
      <w:bookmarkStart w:id="36" w:name="_Toc28297"/>
      <w:bookmarkStart w:id="37" w:name="_Toc21515"/>
      <w:bookmarkStart w:id="38" w:name="_Toc26854"/>
      <w:bookmarkStart w:id="39" w:name="_Toc77203350"/>
      <w:bookmarkStart w:id="40" w:name="_Toc15183"/>
      <w:r>
        <w:rPr>
          <w:rFonts w:hint="eastAsia" w:ascii="楷体_GB2312" w:hAnsi="楷体_GB2312" w:eastAsia="楷体_GB2312" w:cs="楷体_GB2312"/>
          <w:bCs/>
          <w:sz w:val="32"/>
          <w:szCs w:val="32"/>
        </w:rPr>
        <w:t>绩效评价</w:t>
      </w:r>
      <w:bookmarkEnd w:id="36"/>
      <w:bookmarkEnd w:id="37"/>
      <w:bookmarkEnd w:id="38"/>
      <w:bookmarkEnd w:id="39"/>
      <w:bookmarkEnd w:id="40"/>
      <w:r>
        <w:rPr>
          <w:rFonts w:hint="eastAsia" w:ascii="楷体_GB2312" w:hAnsi="楷体_GB2312" w:eastAsia="楷体_GB2312" w:cs="楷体_GB2312"/>
          <w:bCs/>
          <w:sz w:val="32"/>
          <w:szCs w:val="32"/>
        </w:rPr>
        <w:t>目的、对象和范围</w:t>
      </w:r>
    </w:p>
    <w:p>
      <w:pPr>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绩效评价的目的为推进财政绩效管理科学化、精细化水平，增强绩效观念和责任意识，提高财政资金使用效益。</w:t>
      </w:r>
    </w:p>
    <w:p>
      <w:pPr>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本次绩效评价的对象和范围是：密云区法院</w:t>
      </w:r>
      <w:r>
        <w:rPr>
          <w:rFonts w:ascii="仿宋_GB2312" w:hAnsi="仿宋" w:eastAsia="仿宋_GB2312"/>
          <w:kern w:val="0"/>
          <w:sz w:val="28"/>
          <w:szCs w:val="28"/>
        </w:rPr>
        <w:t>2024</w:t>
      </w:r>
      <w:r>
        <w:rPr>
          <w:rFonts w:hint="eastAsia" w:ascii="仿宋_GB2312" w:hAnsi="仿宋" w:eastAsia="仿宋_GB2312"/>
          <w:kern w:val="0"/>
          <w:sz w:val="28"/>
          <w:szCs w:val="28"/>
        </w:rPr>
        <w:t>年度安检工作经费项目。</w:t>
      </w:r>
    </w:p>
    <w:p>
      <w:pPr>
        <w:pStyle w:val="36"/>
        <w:numPr>
          <w:ilvl w:val="0"/>
          <w:numId w:val="4"/>
        </w:numPr>
        <w:spacing w:line="560" w:lineRule="exact"/>
        <w:ind w:firstLineChars="0"/>
        <w:outlineLvl w:val="2"/>
        <w:rPr>
          <w:rFonts w:ascii="楷体_GB2312" w:hAnsi="楷体_GB2312" w:eastAsia="楷体_GB2312" w:cs="楷体_GB2312"/>
          <w:bCs/>
          <w:sz w:val="32"/>
          <w:szCs w:val="32"/>
        </w:rPr>
      </w:pPr>
      <w:bookmarkStart w:id="41" w:name="_Toc15141"/>
      <w:bookmarkStart w:id="42" w:name="_Toc168"/>
      <w:bookmarkStart w:id="43" w:name="_Toc27040"/>
      <w:bookmarkStart w:id="44" w:name="_Toc77203351"/>
      <w:bookmarkStart w:id="45" w:name="_Toc516663575"/>
      <w:r>
        <w:rPr>
          <w:rFonts w:hint="eastAsia" w:ascii="楷体_GB2312" w:hAnsi="楷体_GB2312" w:eastAsia="楷体_GB2312" w:cs="楷体_GB2312"/>
          <w:bCs/>
          <w:sz w:val="32"/>
          <w:szCs w:val="32"/>
        </w:rPr>
        <w:t>绩效评价原则、评价指标体系</w:t>
      </w:r>
      <w:bookmarkEnd w:id="41"/>
      <w:bookmarkEnd w:id="42"/>
      <w:bookmarkEnd w:id="43"/>
      <w:bookmarkEnd w:id="44"/>
      <w:r>
        <w:rPr>
          <w:rFonts w:hint="eastAsia" w:ascii="楷体_GB2312" w:hAnsi="楷体_GB2312" w:eastAsia="楷体_GB2312" w:cs="楷体_GB2312"/>
          <w:bCs/>
          <w:sz w:val="32"/>
          <w:szCs w:val="32"/>
        </w:rPr>
        <w:t>、评价方法</w:t>
      </w:r>
    </w:p>
    <w:p>
      <w:pPr>
        <w:ind w:firstLine="640"/>
        <w:rPr>
          <w:rFonts w:ascii="仿宋_GB2312" w:hAnsi="仿宋_GB2312" w:eastAsia="仿宋_GB2312" w:cs="仿宋_GB2312"/>
          <w:kern w:val="44"/>
          <w:sz w:val="28"/>
          <w:szCs w:val="28"/>
        </w:rPr>
      </w:pPr>
      <w:r>
        <w:rPr>
          <w:rFonts w:ascii="仿宋_GB2312" w:hAnsi="仿宋" w:eastAsia="仿宋_GB2312"/>
          <w:kern w:val="0"/>
          <w:sz w:val="28"/>
          <w:szCs w:val="28"/>
        </w:rPr>
        <w:t>1</w:t>
      </w:r>
      <w:r>
        <w:rPr>
          <w:rFonts w:ascii="仿宋_GB2312" w:hAnsi="仿宋_GB2312" w:eastAsia="仿宋_GB2312" w:cs="仿宋_GB2312"/>
          <w:kern w:val="44"/>
          <w:sz w:val="28"/>
          <w:szCs w:val="28"/>
        </w:rPr>
        <w:t>.</w:t>
      </w:r>
      <w:r>
        <w:rPr>
          <w:rFonts w:hint="eastAsia" w:ascii="仿宋_GB2312" w:hAnsi="仿宋_GB2312" w:eastAsia="仿宋_GB2312" w:cs="仿宋_GB2312"/>
          <w:kern w:val="44"/>
          <w:sz w:val="28"/>
          <w:szCs w:val="28"/>
        </w:rPr>
        <w:t>绩效评价原则</w:t>
      </w:r>
    </w:p>
    <w:p>
      <w:pPr>
        <w:ind w:firstLine="640"/>
        <w:rPr>
          <w:rFonts w:ascii="仿宋_GB2312" w:hAnsi="仿宋" w:eastAsia="仿宋_GB2312"/>
          <w:kern w:val="0"/>
          <w:sz w:val="28"/>
          <w:szCs w:val="28"/>
        </w:rPr>
      </w:pPr>
      <w:r>
        <w:rPr>
          <w:rFonts w:hint="eastAsia" w:ascii="仿宋_GB2312" w:hAnsi="仿宋" w:eastAsia="仿宋_GB2312"/>
          <w:kern w:val="0"/>
          <w:sz w:val="28"/>
          <w:szCs w:val="28"/>
        </w:rPr>
        <w:t>本次绩效评价运用成本效益法、比较法、因素分析法、调查评判法等方法，同时通过文献资料搜索、多因素分析来支撑评价的逻辑紧密性与客观性。本次评价坚持定量优先、定量与定性相结合的方式，遵循科学规范、公正公开、分级分类、绩效相关的基本原则。</w:t>
      </w:r>
    </w:p>
    <w:p>
      <w:pPr>
        <w:ind w:firstLine="640"/>
        <w:rPr>
          <w:rFonts w:ascii="仿宋_GB2312" w:hAnsi="仿宋" w:eastAsia="仿宋_GB2312"/>
          <w:kern w:val="0"/>
          <w:sz w:val="28"/>
          <w:szCs w:val="28"/>
        </w:rPr>
      </w:pPr>
      <w:r>
        <w:rPr>
          <w:rFonts w:ascii="仿宋_GB2312" w:hAnsi="仿宋" w:eastAsia="仿宋_GB2312"/>
          <w:kern w:val="0"/>
          <w:sz w:val="28"/>
          <w:szCs w:val="28"/>
        </w:rPr>
        <w:t>2</w:t>
      </w:r>
      <w:r>
        <w:rPr>
          <w:rFonts w:ascii="仿宋_GB2312" w:hAnsi="仿宋_GB2312" w:eastAsia="仿宋_GB2312" w:cs="仿宋_GB2312"/>
          <w:kern w:val="44"/>
          <w:sz w:val="28"/>
          <w:szCs w:val="28"/>
        </w:rPr>
        <w:t>.</w:t>
      </w:r>
      <w:r>
        <w:rPr>
          <w:rFonts w:hint="eastAsia" w:ascii="仿宋_GB2312" w:hAnsi="仿宋" w:eastAsia="仿宋_GB2312"/>
          <w:kern w:val="0"/>
          <w:sz w:val="28"/>
          <w:szCs w:val="28"/>
        </w:rPr>
        <w:t>指标体系设定</w:t>
      </w:r>
    </w:p>
    <w:p>
      <w:pPr>
        <w:ind w:firstLine="640"/>
        <w:rPr>
          <w:rFonts w:ascii="仿宋_GB2312" w:hAnsi="仿宋" w:eastAsia="仿宋_GB2312"/>
          <w:kern w:val="0"/>
          <w:sz w:val="28"/>
          <w:szCs w:val="28"/>
        </w:rPr>
      </w:pPr>
      <w:r>
        <w:rPr>
          <w:rFonts w:hint="eastAsia" w:ascii="仿宋_GB2312" w:hAnsi="仿宋" w:eastAsia="仿宋_GB2312"/>
          <w:kern w:val="0"/>
          <w:sz w:val="28"/>
          <w:szCs w:val="28"/>
        </w:rPr>
        <w:t>本次绩效评价指标体系包括决策、过程、产出、效益</w:t>
      </w:r>
      <w:r>
        <w:rPr>
          <w:rFonts w:ascii="仿宋_GB2312" w:hAnsi="仿宋" w:eastAsia="仿宋_GB2312"/>
          <w:kern w:val="0"/>
          <w:sz w:val="28"/>
          <w:szCs w:val="28"/>
        </w:rPr>
        <w:t>4</w:t>
      </w:r>
      <w:r>
        <w:rPr>
          <w:rFonts w:hint="eastAsia" w:ascii="仿宋_GB2312" w:hAnsi="仿宋" w:eastAsia="仿宋_GB2312"/>
          <w:kern w:val="0"/>
          <w:sz w:val="28"/>
          <w:szCs w:val="28"/>
        </w:rPr>
        <w:t>个一级指标。在各项指标权重设定方面，我们主要依据项目支出绩效评价管理办法中体现绩效结果导向，更加注重产出和效益原则，产出、效益指标权重不低于</w:t>
      </w:r>
      <w:r>
        <w:rPr>
          <w:rFonts w:ascii="仿宋_GB2312" w:hAnsi="仿宋" w:eastAsia="仿宋_GB2312"/>
          <w:kern w:val="0"/>
          <w:sz w:val="28"/>
          <w:szCs w:val="28"/>
        </w:rPr>
        <w:t>60%</w:t>
      </w:r>
      <w:r>
        <w:rPr>
          <w:rFonts w:hint="eastAsia" w:ascii="仿宋_GB2312" w:hAnsi="仿宋" w:eastAsia="仿宋_GB2312"/>
          <w:kern w:val="0"/>
          <w:sz w:val="28"/>
          <w:szCs w:val="28"/>
        </w:rPr>
        <w:t>，本项目产出、效益指标权重为</w:t>
      </w:r>
      <w:r>
        <w:rPr>
          <w:rFonts w:ascii="仿宋_GB2312" w:hAnsi="仿宋" w:eastAsia="仿宋_GB2312"/>
          <w:kern w:val="0"/>
          <w:sz w:val="28"/>
          <w:szCs w:val="28"/>
        </w:rPr>
        <w:t>70%</w:t>
      </w:r>
      <w:r>
        <w:rPr>
          <w:rFonts w:hint="eastAsia" w:ascii="仿宋_GB2312" w:hAnsi="仿宋" w:eastAsia="仿宋_GB2312"/>
          <w:kern w:val="0"/>
          <w:sz w:val="28"/>
          <w:szCs w:val="28"/>
        </w:rPr>
        <w:t>。根据对各指标的重要性和影响力大小的理解给予相应的权重分值，并采取定性与定量分析相结合的方法分别记分。</w:t>
      </w:r>
    </w:p>
    <w:p>
      <w:pPr>
        <w:numPr>
          <w:ilvl w:val="0"/>
          <w:numId w:val="5"/>
        </w:numPr>
        <w:ind w:firstLine="640"/>
        <w:rPr>
          <w:rFonts w:ascii="仿宋_GB2312" w:hAnsi="仿宋" w:eastAsia="仿宋_GB2312"/>
          <w:kern w:val="0"/>
          <w:sz w:val="28"/>
          <w:szCs w:val="28"/>
        </w:rPr>
      </w:pPr>
      <w:r>
        <w:rPr>
          <w:rFonts w:hint="eastAsia" w:ascii="仿宋_GB2312" w:hAnsi="仿宋" w:eastAsia="仿宋_GB2312"/>
          <w:kern w:val="0"/>
          <w:sz w:val="28"/>
          <w:szCs w:val="28"/>
        </w:rPr>
        <w:t>决策指标：主要评价项目立项依据、目标和资金情况。决策指标包括项目立项、绩效目标和资金投入</w:t>
      </w:r>
      <w:r>
        <w:rPr>
          <w:rFonts w:ascii="仿宋_GB2312" w:hAnsi="仿宋" w:eastAsia="仿宋_GB2312"/>
          <w:kern w:val="0"/>
          <w:sz w:val="28"/>
          <w:szCs w:val="28"/>
        </w:rPr>
        <w:t>3</w:t>
      </w:r>
      <w:r>
        <w:rPr>
          <w:rFonts w:hint="eastAsia" w:ascii="仿宋_GB2312" w:hAnsi="仿宋" w:eastAsia="仿宋_GB2312"/>
          <w:kern w:val="0"/>
          <w:sz w:val="28"/>
          <w:szCs w:val="28"/>
        </w:rPr>
        <w:t>个二级指标，以及立项依据充分性、立项程序规范性、绩效目标合理性、绩效指标明确性、预算编制科学性和资金分配合理性</w:t>
      </w:r>
      <w:bookmarkStart w:id="46" w:name="_Hlk73315744"/>
      <w:r>
        <w:rPr>
          <w:rFonts w:ascii="仿宋_GB2312" w:hAnsi="仿宋" w:eastAsia="仿宋_GB2312"/>
          <w:kern w:val="0"/>
          <w:sz w:val="28"/>
          <w:szCs w:val="28"/>
        </w:rPr>
        <w:t>6</w:t>
      </w:r>
      <w:r>
        <w:rPr>
          <w:rFonts w:hint="eastAsia" w:ascii="仿宋_GB2312" w:hAnsi="仿宋" w:eastAsia="仿宋_GB2312"/>
          <w:kern w:val="0"/>
          <w:sz w:val="28"/>
          <w:szCs w:val="28"/>
        </w:rPr>
        <w:t>个三级指标。</w:t>
      </w:r>
      <w:bookmarkEnd w:id="46"/>
      <w:r>
        <w:rPr>
          <w:rFonts w:hint="eastAsia" w:ascii="仿宋_GB2312" w:hAnsi="仿宋" w:eastAsia="仿宋_GB2312"/>
          <w:kern w:val="0"/>
          <w:sz w:val="28"/>
          <w:szCs w:val="28"/>
        </w:rPr>
        <w:t>决策类指标权重共计</w:t>
      </w:r>
      <w:r>
        <w:rPr>
          <w:rFonts w:ascii="仿宋_GB2312" w:hAnsi="仿宋" w:eastAsia="仿宋_GB2312"/>
          <w:kern w:val="0"/>
          <w:sz w:val="28"/>
          <w:szCs w:val="28"/>
        </w:rPr>
        <w:t>10</w:t>
      </w:r>
      <w:r>
        <w:rPr>
          <w:rFonts w:hint="eastAsia" w:ascii="仿宋_GB2312" w:hAnsi="仿宋" w:eastAsia="仿宋_GB2312"/>
          <w:kern w:val="0"/>
          <w:sz w:val="28"/>
          <w:szCs w:val="28"/>
        </w:rPr>
        <w:t>分。</w:t>
      </w:r>
    </w:p>
    <w:p>
      <w:pPr>
        <w:numPr>
          <w:ilvl w:val="0"/>
          <w:numId w:val="5"/>
        </w:numPr>
        <w:ind w:firstLine="640"/>
        <w:rPr>
          <w:rFonts w:ascii="仿宋_GB2312" w:hAnsi="仿宋" w:eastAsia="仿宋_GB2312"/>
          <w:kern w:val="0"/>
          <w:sz w:val="28"/>
          <w:szCs w:val="28"/>
        </w:rPr>
      </w:pPr>
      <w:r>
        <w:rPr>
          <w:rFonts w:hint="eastAsia" w:ascii="仿宋_GB2312" w:hAnsi="仿宋" w:eastAsia="仿宋_GB2312"/>
          <w:kern w:val="0"/>
          <w:sz w:val="28"/>
          <w:szCs w:val="28"/>
        </w:rPr>
        <w:t>过程指标：主要评价项目资金在实施过程中的流程及监督管理情况。过程指标包括资金管理和组织实施</w:t>
      </w:r>
      <w:r>
        <w:rPr>
          <w:rFonts w:ascii="仿宋_GB2312" w:hAnsi="仿宋" w:eastAsia="仿宋_GB2312"/>
          <w:kern w:val="0"/>
          <w:sz w:val="28"/>
          <w:szCs w:val="28"/>
        </w:rPr>
        <w:t>2</w:t>
      </w:r>
      <w:r>
        <w:rPr>
          <w:rFonts w:hint="eastAsia" w:ascii="仿宋_GB2312" w:hAnsi="仿宋" w:eastAsia="仿宋_GB2312"/>
          <w:kern w:val="0"/>
          <w:sz w:val="28"/>
          <w:szCs w:val="28"/>
        </w:rPr>
        <w:t>个二级指标，以及资金到位率、预算执行率、资金使用合规性、管理制度健全性、制度执行有效性和实施方案有效性</w:t>
      </w:r>
      <w:r>
        <w:rPr>
          <w:rFonts w:ascii="仿宋_GB2312" w:hAnsi="仿宋" w:eastAsia="仿宋_GB2312"/>
          <w:kern w:val="0"/>
          <w:sz w:val="28"/>
          <w:szCs w:val="28"/>
        </w:rPr>
        <w:t>6</w:t>
      </w:r>
      <w:r>
        <w:rPr>
          <w:rFonts w:hint="eastAsia" w:ascii="仿宋_GB2312" w:hAnsi="仿宋" w:eastAsia="仿宋_GB2312"/>
          <w:kern w:val="0"/>
          <w:sz w:val="28"/>
          <w:szCs w:val="28"/>
        </w:rPr>
        <w:t>个三级指标。过程类指标权重共计</w:t>
      </w:r>
      <w:r>
        <w:rPr>
          <w:rFonts w:ascii="仿宋_GB2312" w:hAnsi="仿宋" w:eastAsia="仿宋_GB2312"/>
          <w:kern w:val="0"/>
          <w:sz w:val="28"/>
          <w:szCs w:val="28"/>
        </w:rPr>
        <w:t>20</w:t>
      </w:r>
      <w:r>
        <w:rPr>
          <w:rFonts w:hint="eastAsia" w:ascii="仿宋_GB2312" w:hAnsi="仿宋" w:eastAsia="仿宋_GB2312"/>
          <w:kern w:val="0"/>
          <w:sz w:val="28"/>
          <w:szCs w:val="28"/>
        </w:rPr>
        <w:t>分。</w:t>
      </w:r>
    </w:p>
    <w:p>
      <w:pPr>
        <w:numPr>
          <w:ilvl w:val="0"/>
          <w:numId w:val="5"/>
        </w:numPr>
        <w:ind w:firstLine="640"/>
        <w:rPr>
          <w:rFonts w:ascii="仿宋_GB2312" w:hAnsi="仿宋" w:eastAsia="仿宋_GB2312"/>
          <w:kern w:val="0"/>
          <w:sz w:val="28"/>
          <w:szCs w:val="28"/>
          <w:lang w:val="en-GB"/>
        </w:rPr>
      </w:pPr>
      <w:r>
        <w:rPr>
          <w:rFonts w:hint="eastAsia" w:ascii="仿宋_GB2312" w:hAnsi="仿宋" w:eastAsia="仿宋_GB2312"/>
          <w:kern w:val="0"/>
          <w:sz w:val="28"/>
          <w:szCs w:val="28"/>
        </w:rPr>
        <w:t>产出指标：主要评价项目实施的完成情况。产出指标均包括产出数量、产出质量、产出时效、产出成本</w:t>
      </w:r>
      <w:r>
        <w:rPr>
          <w:rFonts w:ascii="仿宋_GB2312" w:hAnsi="仿宋" w:eastAsia="仿宋_GB2312"/>
          <w:kern w:val="0"/>
          <w:sz w:val="28"/>
          <w:szCs w:val="28"/>
        </w:rPr>
        <w:t>4</w:t>
      </w:r>
      <w:r>
        <w:rPr>
          <w:rFonts w:hint="eastAsia" w:ascii="仿宋_GB2312" w:hAnsi="仿宋" w:eastAsia="仿宋_GB2312"/>
          <w:kern w:val="0"/>
          <w:sz w:val="28"/>
          <w:szCs w:val="28"/>
        </w:rPr>
        <w:t>个二级指标，以及实际完成率、质量达标率、完成及时性、成本节约率</w:t>
      </w:r>
      <w:r>
        <w:rPr>
          <w:rFonts w:ascii="仿宋_GB2312" w:hAnsi="仿宋" w:eastAsia="仿宋_GB2312"/>
          <w:kern w:val="0"/>
          <w:sz w:val="28"/>
          <w:szCs w:val="28"/>
        </w:rPr>
        <w:t>4</w:t>
      </w:r>
      <w:r>
        <w:rPr>
          <w:rFonts w:hint="eastAsia" w:ascii="仿宋_GB2312" w:hAnsi="仿宋" w:eastAsia="仿宋_GB2312"/>
          <w:kern w:val="0"/>
          <w:sz w:val="28"/>
          <w:szCs w:val="28"/>
        </w:rPr>
        <w:t>个三级指标。产出类指标权重共计</w:t>
      </w:r>
      <w:r>
        <w:rPr>
          <w:rFonts w:ascii="仿宋_GB2312" w:hAnsi="仿宋" w:eastAsia="仿宋_GB2312"/>
          <w:kern w:val="0"/>
          <w:sz w:val="28"/>
          <w:szCs w:val="28"/>
        </w:rPr>
        <w:t>40</w:t>
      </w:r>
      <w:r>
        <w:rPr>
          <w:rFonts w:hint="eastAsia" w:ascii="仿宋_GB2312" w:hAnsi="仿宋" w:eastAsia="仿宋_GB2312"/>
          <w:kern w:val="0"/>
          <w:sz w:val="28"/>
          <w:szCs w:val="28"/>
        </w:rPr>
        <w:t>分。</w:t>
      </w:r>
    </w:p>
    <w:p>
      <w:pPr>
        <w:numPr>
          <w:ilvl w:val="0"/>
          <w:numId w:val="5"/>
        </w:numPr>
        <w:ind w:firstLine="640"/>
        <w:rPr>
          <w:rFonts w:ascii="仿宋_GB2312" w:hAnsi="仿宋" w:eastAsia="仿宋_GB2312"/>
          <w:kern w:val="0"/>
          <w:sz w:val="28"/>
          <w:szCs w:val="28"/>
          <w:lang w:val="en-GB"/>
        </w:rPr>
      </w:pPr>
      <w:r>
        <w:rPr>
          <w:rFonts w:hint="eastAsia" w:ascii="仿宋_GB2312" w:hAnsi="仿宋" w:eastAsia="仿宋_GB2312"/>
          <w:kern w:val="0"/>
          <w:sz w:val="28"/>
          <w:szCs w:val="28"/>
        </w:rPr>
        <w:t>效益指标：主要评价项目实施所取得的效果。包括实施效益和满意度</w:t>
      </w:r>
      <w:r>
        <w:rPr>
          <w:rFonts w:ascii="仿宋_GB2312" w:hAnsi="仿宋" w:eastAsia="仿宋_GB2312"/>
          <w:kern w:val="0"/>
          <w:sz w:val="28"/>
          <w:szCs w:val="28"/>
        </w:rPr>
        <w:t>2</w:t>
      </w:r>
      <w:r>
        <w:rPr>
          <w:rFonts w:hint="eastAsia" w:ascii="仿宋_GB2312" w:hAnsi="仿宋" w:eastAsia="仿宋_GB2312"/>
          <w:kern w:val="0"/>
          <w:sz w:val="28"/>
          <w:szCs w:val="28"/>
        </w:rPr>
        <w:t>个三级指标。实施效益从社会效益、经济效益、可持续影响、满意度</w:t>
      </w:r>
      <w:r>
        <w:rPr>
          <w:rFonts w:ascii="仿宋_GB2312" w:hAnsi="仿宋" w:eastAsia="仿宋_GB2312"/>
          <w:kern w:val="0"/>
          <w:sz w:val="28"/>
          <w:szCs w:val="28"/>
        </w:rPr>
        <w:t>4</w:t>
      </w:r>
      <w:r>
        <w:rPr>
          <w:rFonts w:hint="eastAsia" w:ascii="仿宋_GB2312" w:hAnsi="仿宋" w:eastAsia="仿宋_GB2312"/>
          <w:kern w:val="0"/>
          <w:sz w:val="28"/>
          <w:szCs w:val="28"/>
        </w:rPr>
        <w:t>个方面进行评价。效益类指标权重共计</w:t>
      </w:r>
      <w:r>
        <w:rPr>
          <w:rFonts w:ascii="仿宋_GB2312" w:hAnsi="仿宋" w:eastAsia="仿宋_GB2312"/>
          <w:kern w:val="0"/>
          <w:sz w:val="28"/>
          <w:szCs w:val="28"/>
        </w:rPr>
        <w:t>30</w:t>
      </w:r>
      <w:r>
        <w:rPr>
          <w:rFonts w:hint="eastAsia" w:ascii="仿宋_GB2312" w:hAnsi="仿宋" w:eastAsia="仿宋_GB2312"/>
          <w:kern w:val="0"/>
          <w:sz w:val="28"/>
          <w:szCs w:val="28"/>
        </w:rPr>
        <w:t>分。</w:t>
      </w:r>
    </w:p>
    <w:p>
      <w:pPr>
        <w:pStyle w:val="36"/>
        <w:numPr>
          <w:ilvl w:val="0"/>
          <w:numId w:val="4"/>
        </w:numPr>
        <w:spacing w:line="560" w:lineRule="exact"/>
        <w:ind w:firstLineChars="0"/>
        <w:outlineLvl w:val="2"/>
        <w:rPr>
          <w:rFonts w:ascii="楷体_GB2312" w:hAnsi="楷体_GB2312" w:eastAsia="楷体_GB2312" w:cs="楷体_GB2312"/>
          <w:bCs/>
          <w:sz w:val="32"/>
          <w:szCs w:val="32"/>
        </w:rPr>
      </w:pPr>
      <w:bookmarkStart w:id="47" w:name="_Toc18090"/>
      <w:bookmarkStart w:id="48" w:name="_Toc77203352"/>
      <w:bookmarkStart w:id="49" w:name="_Toc22673"/>
      <w:bookmarkStart w:id="50" w:name="_Toc1742"/>
      <w:r>
        <w:rPr>
          <w:rFonts w:hint="eastAsia" w:ascii="楷体_GB2312" w:hAnsi="楷体_GB2312" w:eastAsia="楷体_GB2312" w:cs="楷体_GB2312"/>
          <w:bCs/>
          <w:sz w:val="32"/>
          <w:szCs w:val="32"/>
        </w:rPr>
        <w:t>绩效评价工作过程</w:t>
      </w:r>
      <w:bookmarkEnd w:id="47"/>
      <w:bookmarkEnd w:id="48"/>
      <w:bookmarkEnd w:id="49"/>
      <w:bookmarkEnd w:id="50"/>
    </w:p>
    <w:p>
      <w:pPr>
        <w:pStyle w:val="4"/>
        <w:ind w:firstLine="567"/>
        <w:rPr>
          <w:rFonts w:ascii="仿宋_GB2312" w:hAnsi="仿宋" w:eastAsia="仿宋_GB2312"/>
          <w:sz w:val="28"/>
          <w:szCs w:val="28"/>
        </w:rPr>
      </w:pPr>
      <w:bookmarkStart w:id="51" w:name="_Toc5141"/>
      <w:bookmarkStart w:id="52" w:name="_Toc24877"/>
      <w:bookmarkStart w:id="53" w:name="_Toc27215"/>
      <w:r>
        <w:rPr>
          <w:rFonts w:ascii="仿宋_GB2312" w:hAnsi="仿宋" w:eastAsia="仿宋_GB2312"/>
          <w:sz w:val="28"/>
          <w:szCs w:val="28"/>
        </w:rPr>
        <w:t>1</w:t>
      </w:r>
      <w:r>
        <w:rPr>
          <w:rFonts w:ascii="仿宋_GB2312" w:hAnsi="仿宋_GB2312" w:eastAsia="仿宋_GB2312" w:cs="仿宋_GB2312"/>
          <w:kern w:val="44"/>
          <w:sz w:val="28"/>
          <w:szCs w:val="28"/>
        </w:rPr>
        <w:t>.</w:t>
      </w:r>
      <w:r>
        <w:rPr>
          <w:rFonts w:hint="eastAsia" w:ascii="仿宋_GB2312" w:hAnsi="仿宋" w:eastAsia="仿宋_GB2312"/>
          <w:sz w:val="28"/>
          <w:szCs w:val="28"/>
        </w:rPr>
        <w:t>前期调研</w:t>
      </w:r>
      <w:bookmarkEnd w:id="51"/>
      <w:bookmarkEnd w:id="52"/>
      <w:bookmarkEnd w:id="53"/>
      <w:r>
        <w:rPr>
          <w:rFonts w:hint="eastAsia" w:ascii="仿宋_GB2312" w:hAnsi="仿宋" w:eastAsia="仿宋_GB2312"/>
          <w:sz w:val="28"/>
          <w:szCs w:val="28"/>
        </w:rPr>
        <w:t>。评价组与项目实施单位进行沟通，并搜集相关政策文件、项目资料以及相关财务收支凭证、合同、管理制度等，进行分析、评估。</w:t>
      </w:r>
    </w:p>
    <w:p>
      <w:pPr>
        <w:pStyle w:val="4"/>
        <w:ind w:firstLine="567"/>
        <w:rPr>
          <w:rFonts w:ascii="仿宋_GB2312" w:hAnsi="仿宋" w:eastAsia="仿宋_GB2312"/>
          <w:sz w:val="28"/>
          <w:szCs w:val="28"/>
        </w:rPr>
      </w:pPr>
      <w:bookmarkStart w:id="54" w:name="_Toc28449"/>
      <w:bookmarkStart w:id="55" w:name="_Toc10687"/>
      <w:bookmarkStart w:id="56" w:name="_Toc2438"/>
      <w:r>
        <w:rPr>
          <w:rFonts w:ascii="仿宋_GB2312" w:hAnsi="仿宋" w:eastAsia="仿宋_GB2312"/>
          <w:sz w:val="28"/>
          <w:szCs w:val="28"/>
        </w:rPr>
        <w:t>2</w:t>
      </w:r>
      <w:r>
        <w:rPr>
          <w:rFonts w:ascii="仿宋_GB2312" w:hAnsi="仿宋_GB2312" w:eastAsia="仿宋_GB2312" w:cs="仿宋_GB2312"/>
          <w:kern w:val="44"/>
          <w:sz w:val="28"/>
          <w:szCs w:val="28"/>
        </w:rPr>
        <w:t>.</w:t>
      </w:r>
      <w:r>
        <w:rPr>
          <w:rFonts w:hint="eastAsia" w:ascii="仿宋_GB2312" w:hAnsi="仿宋" w:eastAsia="仿宋_GB2312"/>
          <w:sz w:val="28"/>
          <w:szCs w:val="28"/>
        </w:rPr>
        <w:t>方案制定</w:t>
      </w:r>
      <w:bookmarkEnd w:id="54"/>
      <w:bookmarkEnd w:id="55"/>
      <w:bookmarkEnd w:id="56"/>
      <w:r>
        <w:rPr>
          <w:rFonts w:hint="eastAsia" w:ascii="仿宋_GB2312" w:hAnsi="仿宋" w:eastAsia="仿宋_GB2312"/>
          <w:sz w:val="28"/>
          <w:szCs w:val="28"/>
        </w:rPr>
        <w:t>。了解年度项目实施内容、实施流程，根据项目资金实际情况和绩效管理要求制定工作方案。</w:t>
      </w:r>
    </w:p>
    <w:p>
      <w:pPr>
        <w:pStyle w:val="4"/>
        <w:ind w:firstLine="567"/>
        <w:rPr>
          <w:rFonts w:ascii="仿宋_GB2312" w:hAnsi="仿宋" w:eastAsia="仿宋_GB2312"/>
          <w:sz w:val="28"/>
          <w:szCs w:val="28"/>
        </w:rPr>
      </w:pPr>
      <w:bookmarkStart w:id="57" w:name="_Toc20872"/>
      <w:bookmarkStart w:id="58" w:name="_Toc26043"/>
      <w:bookmarkStart w:id="59" w:name="_Toc16449"/>
      <w:r>
        <w:rPr>
          <w:rFonts w:ascii="仿宋_GB2312" w:hAnsi="仿宋" w:eastAsia="仿宋_GB2312"/>
          <w:sz w:val="28"/>
          <w:szCs w:val="28"/>
        </w:rPr>
        <w:t>3</w:t>
      </w:r>
      <w:r>
        <w:rPr>
          <w:rFonts w:ascii="仿宋_GB2312" w:hAnsi="仿宋_GB2312" w:eastAsia="仿宋_GB2312" w:cs="仿宋_GB2312"/>
          <w:kern w:val="44"/>
          <w:sz w:val="28"/>
          <w:szCs w:val="28"/>
        </w:rPr>
        <w:t>.</w:t>
      </w:r>
      <w:r>
        <w:rPr>
          <w:rFonts w:hint="eastAsia" w:ascii="仿宋_GB2312" w:hAnsi="仿宋" w:eastAsia="仿宋_GB2312"/>
          <w:sz w:val="28"/>
          <w:szCs w:val="28"/>
        </w:rPr>
        <w:t>数据采集</w:t>
      </w:r>
      <w:bookmarkEnd w:id="57"/>
      <w:bookmarkEnd w:id="58"/>
      <w:bookmarkEnd w:id="59"/>
      <w:r>
        <w:rPr>
          <w:rFonts w:hint="eastAsia" w:ascii="仿宋_GB2312" w:hAnsi="仿宋" w:eastAsia="仿宋_GB2312"/>
          <w:sz w:val="28"/>
          <w:szCs w:val="28"/>
        </w:rPr>
        <w:t>。按照现场评价通知中的现场调研时间安排，到项目单位进行调研访谈、核查资料和分析评价。</w:t>
      </w:r>
    </w:p>
    <w:p>
      <w:pPr>
        <w:pStyle w:val="4"/>
        <w:spacing w:after="0" w:line="240" w:lineRule="auto"/>
        <w:ind w:firstLine="560" w:firstLineChars="200"/>
        <w:jc w:val="both"/>
        <w:outlineLvl w:val="3"/>
        <w:rPr>
          <w:rFonts w:ascii="仿宋_GB2312" w:hAnsi="仿宋" w:eastAsia="仿宋_GB2312"/>
          <w:b/>
          <w:bCs/>
          <w:sz w:val="28"/>
          <w:szCs w:val="28"/>
        </w:rPr>
      </w:pPr>
      <w:bookmarkStart w:id="60" w:name="_Toc24237"/>
      <w:bookmarkStart w:id="61" w:name="_Toc4349"/>
      <w:bookmarkStart w:id="62" w:name="_Toc6779"/>
      <w:r>
        <w:rPr>
          <w:rFonts w:ascii="仿宋_GB2312" w:hAnsi="仿宋" w:eastAsia="仿宋_GB2312"/>
          <w:sz w:val="28"/>
          <w:szCs w:val="28"/>
        </w:rPr>
        <w:t>4</w:t>
      </w:r>
      <w:r>
        <w:rPr>
          <w:rFonts w:ascii="仿宋_GB2312" w:hAnsi="仿宋_GB2312" w:eastAsia="仿宋_GB2312" w:cs="仿宋_GB2312"/>
          <w:kern w:val="44"/>
          <w:sz w:val="28"/>
          <w:szCs w:val="28"/>
        </w:rPr>
        <w:t>.</w:t>
      </w:r>
      <w:r>
        <w:rPr>
          <w:rFonts w:hint="eastAsia" w:ascii="仿宋_GB2312" w:hAnsi="仿宋" w:eastAsia="仿宋_GB2312"/>
          <w:sz w:val="28"/>
          <w:szCs w:val="28"/>
        </w:rPr>
        <w:t>召开专家评价会</w:t>
      </w:r>
      <w:r>
        <w:rPr>
          <w:rFonts w:hint="eastAsia" w:ascii="仿宋_GB2312" w:hAnsi="仿宋" w:eastAsia="仿宋_GB2312"/>
          <w:b/>
          <w:bCs/>
          <w:sz w:val="28"/>
          <w:szCs w:val="28"/>
        </w:rPr>
        <w:t>。</w:t>
      </w:r>
      <w:r>
        <w:rPr>
          <w:rFonts w:hint="eastAsia" w:ascii="仿宋_GB2312" w:hAnsi="仿宋" w:eastAsia="仿宋_GB2312"/>
          <w:sz w:val="28"/>
          <w:szCs w:val="28"/>
        </w:rPr>
        <w:t>遴选业务专家、管理专家和财务专家进行分析评价，向专家提供数据采集资料，组织召开专家评价会，形成专家意见。</w:t>
      </w:r>
    </w:p>
    <w:p>
      <w:pPr>
        <w:pStyle w:val="4"/>
        <w:ind w:firstLine="560" w:firstLineChars="200"/>
        <w:rPr>
          <w:rFonts w:ascii="仿宋_GB2312" w:hAnsi="仿宋" w:eastAsia="仿宋_GB2312"/>
          <w:sz w:val="32"/>
          <w:szCs w:val="32"/>
        </w:rPr>
      </w:pPr>
      <w:r>
        <w:rPr>
          <w:rFonts w:ascii="仿宋_GB2312" w:hAnsi="仿宋" w:eastAsia="仿宋_GB2312"/>
          <w:sz w:val="28"/>
          <w:szCs w:val="28"/>
        </w:rPr>
        <w:t>5</w:t>
      </w:r>
      <w:r>
        <w:rPr>
          <w:rFonts w:ascii="仿宋_GB2312" w:hAnsi="仿宋_GB2312" w:eastAsia="仿宋_GB2312" w:cs="仿宋_GB2312"/>
          <w:kern w:val="44"/>
          <w:sz w:val="28"/>
          <w:szCs w:val="28"/>
        </w:rPr>
        <w:t>.</w:t>
      </w:r>
      <w:r>
        <w:rPr>
          <w:rFonts w:hint="eastAsia" w:ascii="仿宋_GB2312" w:hAnsi="仿宋" w:eastAsia="仿宋_GB2312"/>
          <w:sz w:val="28"/>
          <w:szCs w:val="28"/>
        </w:rPr>
        <w:t>综合分析及报告撰写</w:t>
      </w:r>
      <w:bookmarkEnd w:id="60"/>
      <w:bookmarkEnd w:id="61"/>
      <w:bookmarkEnd w:id="62"/>
      <w:r>
        <w:rPr>
          <w:rFonts w:hint="eastAsia" w:ascii="仿宋_GB2312" w:hAnsi="仿宋" w:eastAsia="仿宋_GB2312"/>
          <w:sz w:val="28"/>
          <w:szCs w:val="28"/>
        </w:rPr>
        <w:t>。</w:t>
      </w:r>
    </w:p>
    <w:bookmarkEnd w:id="45"/>
    <w:p>
      <w:pPr>
        <w:pStyle w:val="2"/>
        <w:keepNext w:val="0"/>
        <w:keepLines w:val="0"/>
        <w:widowControl/>
        <w:numPr>
          <w:ilvl w:val="0"/>
          <w:numId w:val="1"/>
        </w:numPr>
        <w:spacing w:before="0" w:after="0" w:line="520" w:lineRule="atLeast"/>
        <w:ind w:firstLine="709"/>
        <w:contextualSpacing/>
        <w:jc w:val="left"/>
        <w:rPr>
          <w:rFonts w:ascii="黑体" w:hAnsi="黑体" w:eastAsia="黑体" w:cs="黑体"/>
          <w:b w:val="0"/>
          <w:kern w:val="0"/>
          <w:sz w:val="32"/>
          <w:szCs w:val="32"/>
        </w:rPr>
      </w:pPr>
      <w:bookmarkStart w:id="63" w:name="_Toc77203353"/>
      <w:bookmarkStart w:id="64" w:name="_Toc9623"/>
      <w:bookmarkStart w:id="65" w:name="_Toc25668"/>
      <w:bookmarkStart w:id="66" w:name="_Toc1216"/>
      <w:bookmarkStart w:id="67" w:name="_Toc13026"/>
      <w:bookmarkStart w:id="68" w:name="_Toc516663576"/>
      <w:r>
        <w:rPr>
          <w:rFonts w:hint="eastAsia" w:ascii="黑体" w:hAnsi="黑体" w:eastAsia="黑体" w:cs="黑体"/>
          <w:b w:val="0"/>
          <w:kern w:val="0"/>
          <w:sz w:val="32"/>
          <w:szCs w:val="32"/>
        </w:rPr>
        <w:t>综合评价情况及评价结论</w:t>
      </w:r>
    </w:p>
    <w:p>
      <w:pPr>
        <w:spacing w:line="520" w:lineRule="atLeast"/>
        <w:ind w:firstLine="618" w:firstLineChars="221"/>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经综合评价，本项目绩效评价得分</w:t>
      </w:r>
      <w:r>
        <w:rPr>
          <w:rFonts w:ascii="仿宋_GB2312" w:hAnsi="仿宋_GB2312" w:eastAsia="仿宋_GB2312" w:cs="仿宋_GB2312"/>
          <w:kern w:val="44"/>
          <w:sz w:val="28"/>
          <w:szCs w:val="28"/>
        </w:rPr>
        <w:t>89.98</w:t>
      </w:r>
      <w:r>
        <w:rPr>
          <w:rFonts w:hint="eastAsia" w:ascii="仿宋_GB2312" w:hAnsi="仿宋_GB2312" w:eastAsia="仿宋_GB2312" w:cs="仿宋_GB2312"/>
          <w:kern w:val="44"/>
          <w:sz w:val="28"/>
          <w:szCs w:val="28"/>
        </w:rPr>
        <w:t>分。参考财政部《关于印发</w:t>
      </w:r>
      <w:r>
        <w:rPr>
          <w:rFonts w:ascii="仿宋_GB2312" w:hAnsi="仿宋_GB2312" w:eastAsia="仿宋_GB2312" w:cs="仿宋_GB2312"/>
          <w:kern w:val="44"/>
          <w:sz w:val="28"/>
          <w:szCs w:val="28"/>
        </w:rPr>
        <w:t>&lt;</w:t>
      </w:r>
      <w:r>
        <w:rPr>
          <w:rFonts w:hint="eastAsia" w:ascii="仿宋_GB2312" w:hAnsi="仿宋_GB2312" w:eastAsia="仿宋_GB2312" w:cs="仿宋_GB2312"/>
          <w:kern w:val="44"/>
          <w:sz w:val="28"/>
          <w:szCs w:val="28"/>
        </w:rPr>
        <w:t>项目支出绩效评价管理办法</w:t>
      </w:r>
      <w:r>
        <w:rPr>
          <w:rFonts w:ascii="仿宋_GB2312" w:hAnsi="仿宋_GB2312" w:eastAsia="仿宋_GB2312" w:cs="仿宋_GB2312"/>
          <w:kern w:val="44"/>
          <w:sz w:val="28"/>
          <w:szCs w:val="28"/>
        </w:rPr>
        <w:t>&gt;</w:t>
      </w:r>
      <w:r>
        <w:rPr>
          <w:rFonts w:hint="eastAsia" w:ascii="仿宋_GB2312" w:hAnsi="仿宋_GB2312" w:eastAsia="仿宋_GB2312" w:cs="仿宋_GB2312"/>
          <w:kern w:val="44"/>
          <w:sz w:val="28"/>
          <w:szCs w:val="28"/>
        </w:rPr>
        <w:t>的通知》（财预〔</w:t>
      </w:r>
      <w:r>
        <w:rPr>
          <w:rFonts w:ascii="仿宋_GB2312" w:hAnsi="仿宋_GB2312" w:eastAsia="仿宋_GB2312" w:cs="仿宋_GB2312"/>
          <w:kern w:val="44"/>
          <w:sz w:val="28"/>
          <w:szCs w:val="28"/>
        </w:rPr>
        <w:t>2020</w:t>
      </w:r>
      <w:r>
        <w:rPr>
          <w:rFonts w:hint="eastAsia" w:ascii="仿宋_GB2312" w:hAnsi="仿宋_GB2312" w:eastAsia="仿宋_GB2312" w:cs="仿宋_GB2312"/>
          <w:kern w:val="44"/>
          <w:sz w:val="28"/>
          <w:szCs w:val="28"/>
        </w:rPr>
        <w:t>〕</w:t>
      </w:r>
      <w:r>
        <w:rPr>
          <w:rFonts w:ascii="仿宋_GB2312" w:hAnsi="仿宋_GB2312" w:eastAsia="仿宋_GB2312" w:cs="仿宋_GB2312"/>
          <w:kern w:val="44"/>
          <w:sz w:val="28"/>
          <w:szCs w:val="28"/>
        </w:rPr>
        <w:t>10</w:t>
      </w:r>
      <w:r>
        <w:rPr>
          <w:rFonts w:hint="eastAsia" w:ascii="仿宋_GB2312" w:hAnsi="仿宋_GB2312" w:eastAsia="仿宋_GB2312" w:cs="仿宋_GB2312"/>
          <w:kern w:val="44"/>
          <w:sz w:val="28"/>
          <w:szCs w:val="28"/>
        </w:rPr>
        <w:t>号）文件的评价标准，项目评分</w:t>
      </w:r>
      <w:r>
        <w:rPr>
          <w:rFonts w:ascii="仿宋_GB2312" w:hAnsi="仿宋_GB2312" w:eastAsia="仿宋_GB2312" w:cs="仿宋_GB2312"/>
          <w:kern w:val="44"/>
          <w:sz w:val="28"/>
          <w:szCs w:val="28"/>
        </w:rPr>
        <w:t>90</w:t>
      </w:r>
      <w:r>
        <w:rPr>
          <w:rFonts w:hint="eastAsia" w:ascii="仿宋_GB2312" w:hAnsi="仿宋_GB2312" w:eastAsia="仿宋_GB2312" w:cs="仿宋_GB2312"/>
          <w:kern w:val="44"/>
          <w:sz w:val="28"/>
          <w:szCs w:val="28"/>
        </w:rPr>
        <w:t>（含）</w:t>
      </w:r>
      <w:r>
        <w:rPr>
          <w:rFonts w:ascii="仿宋_GB2312" w:hAnsi="仿宋_GB2312" w:eastAsia="仿宋_GB2312" w:cs="仿宋_GB2312"/>
          <w:kern w:val="44"/>
          <w:sz w:val="28"/>
          <w:szCs w:val="28"/>
        </w:rPr>
        <w:t>-100</w:t>
      </w:r>
      <w:r>
        <w:rPr>
          <w:rFonts w:hint="eastAsia" w:ascii="仿宋_GB2312" w:hAnsi="仿宋_GB2312" w:eastAsia="仿宋_GB2312" w:cs="仿宋_GB2312"/>
          <w:kern w:val="44"/>
          <w:sz w:val="28"/>
          <w:szCs w:val="28"/>
        </w:rPr>
        <w:t>分为优、</w:t>
      </w:r>
      <w:r>
        <w:rPr>
          <w:rFonts w:ascii="仿宋_GB2312" w:hAnsi="仿宋_GB2312" w:eastAsia="仿宋_GB2312" w:cs="仿宋_GB2312"/>
          <w:kern w:val="44"/>
          <w:sz w:val="28"/>
          <w:szCs w:val="28"/>
        </w:rPr>
        <w:t>80</w:t>
      </w:r>
      <w:r>
        <w:rPr>
          <w:rFonts w:hint="eastAsia" w:ascii="仿宋_GB2312" w:hAnsi="仿宋_GB2312" w:eastAsia="仿宋_GB2312" w:cs="仿宋_GB2312"/>
          <w:kern w:val="44"/>
          <w:sz w:val="28"/>
          <w:szCs w:val="28"/>
        </w:rPr>
        <w:t>（含）</w:t>
      </w:r>
      <w:r>
        <w:rPr>
          <w:rFonts w:ascii="仿宋_GB2312" w:hAnsi="仿宋_GB2312" w:eastAsia="仿宋_GB2312" w:cs="仿宋_GB2312"/>
          <w:kern w:val="44"/>
          <w:sz w:val="28"/>
          <w:szCs w:val="28"/>
        </w:rPr>
        <w:t>-90</w:t>
      </w:r>
      <w:r>
        <w:rPr>
          <w:rFonts w:hint="eastAsia" w:ascii="仿宋_GB2312" w:hAnsi="仿宋_GB2312" w:eastAsia="仿宋_GB2312" w:cs="仿宋_GB2312"/>
          <w:kern w:val="44"/>
          <w:sz w:val="28"/>
          <w:szCs w:val="28"/>
        </w:rPr>
        <w:t>分为良、</w:t>
      </w:r>
      <w:r>
        <w:rPr>
          <w:rFonts w:ascii="仿宋_GB2312" w:hAnsi="仿宋_GB2312" w:eastAsia="仿宋_GB2312" w:cs="仿宋_GB2312"/>
          <w:kern w:val="44"/>
          <w:sz w:val="28"/>
          <w:szCs w:val="28"/>
        </w:rPr>
        <w:t>60</w:t>
      </w:r>
      <w:r>
        <w:rPr>
          <w:rFonts w:hint="eastAsia" w:ascii="仿宋_GB2312" w:hAnsi="仿宋_GB2312" w:eastAsia="仿宋_GB2312" w:cs="仿宋_GB2312"/>
          <w:kern w:val="44"/>
          <w:sz w:val="28"/>
          <w:szCs w:val="28"/>
        </w:rPr>
        <w:t>（含）</w:t>
      </w:r>
      <w:r>
        <w:rPr>
          <w:rFonts w:ascii="仿宋_GB2312" w:hAnsi="仿宋_GB2312" w:eastAsia="仿宋_GB2312" w:cs="仿宋_GB2312"/>
          <w:kern w:val="44"/>
          <w:sz w:val="28"/>
          <w:szCs w:val="28"/>
        </w:rPr>
        <w:t>-80</w:t>
      </w:r>
      <w:r>
        <w:rPr>
          <w:rFonts w:hint="eastAsia" w:ascii="仿宋_GB2312" w:hAnsi="仿宋_GB2312" w:eastAsia="仿宋_GB2312" w:cs="仿宋_GB2312"/>
          <w:kern w:val="44"/>
          <w:sz w:val="28"/>
          <w:szCs w:val="28"/>
        </w:rPr>
        <w:t>分为中、</w:t>
      </w:r>
      <w:r>
        <w:rPr>
          <w:rFonts w:ascii="仿宋_GB2312" w:hAnsi="仿宋_GB2312" w:eastAsia="仿宋_GB2312" w:cs="仿宋_GB2312"/>
          <w:kern w:val="44"/>
          <w:sz w:val="28"/>
          <w:szCs w:val="28"/>
        </w:rPr>
        <w:t>60</w:t>
      </w:r>
      <w:r>
        <w:rPr>
          <w:rFonts w:hint="eastAsia" w:ascii="仿宋_GB2312" w:hAnsi="仿宋_GB2312" w:eastAsia="仿宋_GB2312" w:cs="仿宋_GB2312"/>
          <w:kern w:val="44"/>
          <w:sz w:val="28"/>
          <w:szCs w:val="28"/>
        </w:rPr>
        <w:t>分以下为差，该项目综合绩效评价级别为</w:t>
      </w:r>
      <w:r>
        <w:rPr>
          <w:rFonts w:ascii="仿宋_GB2312" w:hAnsi="仿宋_GB2312" w:eastAsia="仿宋_GB2312" w:cs="仿宋_GB2312"/>
          <w:kern w:val="44"/>
          <w:sz w:val="28"/>
          <w:szCs w:val="28"/>
        </w:rPr>
        <w:t xml:space="preserve"> </w:t>
      </w:r>
      <w:r>
        <w:rPr>
          <w:rFonts w:hint="eastAsia" w:ascii="仿宋_GB2312" w:hAnsi="仿宋_GB2312" w:eastAsia="仿宋_GB2312" w:cs="仿宋_GB2312"/>
          <w:kern w:val="44"/>
          <w:sz w:val="28"/>
          <w:szCs w:val="28"/>
        </w:rPr>
        <w:t>“良”。本项目得分情况汇总表如下：</w:t>
      </w:r>
    </w:p>
    <w:tbl>
      <w:tblPr>
        <w:tblStyle w:val="18"/>
        <w:tblW w:w="8095" w:type="dxa"/>
        <w:tblInd w:w="93" w:type="dxa"/>
        <w:tblLayout w:type="autofit"/>
        <w:tblCellMar>
          <w:top w:w="0" w:type="dxa"/>
          <w:left w:w="108" w:type="dxa"/>
          <w:bottom w:w="0" w:type="dxa"/>
          <w:right w:w="108" w:type="dxa"/>
        </w:tblCellMar>
      </w:tblPr>
      <w:tblGrid>
        <w:gridCol w:w="3134"/>
        <w:gridCol w:w="1701"/>
        <w:gridCol w:w="1559"/>
        <w:gridCol w:w="1701"/>
      </w:tblGrid>
      <w:tr>
        <w:tblPrEx>
          <w:tblCellMar>
            <w:top w:w="0" w:type="dxa"/>
            <w:left w:w="108" w:type="dxa"/>
            <w:bottom w:w="0" w:type="dxa"/>
            <w:right w:w="108" w:type="dxa"/>
          </w:tblCellMar>
        </w:tblPrEx>
        <w:trPr>
          <w:trHeight w:val="348" w:hRule="atLeast"/>
        </w:trPr>
        <w:tc>
          <w:tcPr>
            <w:tcW w:w="3134" w:type="dxa"/>
            <w:tcBorders>
              <w:top w:val="single" w:color="auto" w:sz="12" w:space="0"/>
              <w:left w:val="nil"/>
              <w:bottom w:val="single" w:color="auto" w:sz="8" w:space="0"/>
              <w:right w:val="dotted" w:color="auto" w:sz="4"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一级指标</w:t>
            </w:r>
          </w:p>
        </w:tc>
        <w:tc>
          <w:tcPr>
            <w:tcW w:w="1701" w:type="dxa"/>
            <w:tcBorders>
              <w:top w:val="single" w:color="auto" w:sz="12" w:space="0"/>
              <w:left w:val="nil"/>
              <w:bottom w:val="single" w:color="auto" w:sz="8" w:space="0"/>
              <w:right w:val="dotted" w:color="auto" w:sz="4"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分值</w:t>
            </w:r>
          </w:p>
        </w:tc>
        <w:tc>
          <w:tcPr>
            <w:tcW w:w="1559" w:type="dxa"/>
            <w:tcBorders>
              <w:top w:val="single" w:color="auto" w:sz="12" w:space="0"/>
              <w:left w:val="nil"/>
              <w:bottom w:val="single" w:color="auto" w:sz="8" w:space="0"/>
              <w:right w:val="dotted" w:color="auto" w:sz="4"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w:t>
            </w:r>
          </w:p>
        </w:tc>
        <w:tc>
          <w:tcPr>
            <w:tcW w:w="1701" w:type="dxa"/>
            <w:tcBorders>
              <w:top w:val="single" w:color="auto" w:sz="12" w:space="0"/>
              <w:left w:val="nil"/>
              <w:bottom w:val="single" w:color="auto" w:sz="8" w:space="0"/>
              <w:right w:val="nil"/>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得分率</w:t>
            </w:r>
          </w:p>
        </w:tc>
      </w:tr>
      <w:tr>
        <w:tblPrEx>
          <w:tblCellMar>
            <w:top w:w="0" w:type="dxa"/>
            <w:left w:w="108" w:type="dxa"/>
            <w:bottom w:w="0" w:type="dxa"/>
            <w:right w:w="108" w:type="dxa"/>
          </w:tblCellMar>
        </w:tblPrEx>
        <w:trPr>
          <w:trHeight w:val="285" w:hRule="atLeast"/>
        </w:trPr>
        <w:tc>
          <w:tcPr>
            <w:tcW w:w="3134" w:type="dxa"/>
            <w:tcBorders>
              <w:top w:val="nil"/>
              <w:left w:val="nil"/>
              <w:bottom w:val="dotted" w:color="auto" w:sz="4" w:space="0"/>
              <w:right w:val="dotted" w:color="auto" w:sz="4" w:space="0"/>
            </w:tcBorders>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决策（</w:t>
            </w:r>
            <w:r>
              <w:rPr>
                <w:rFonts w:ascii="仿宋" w:hAnsi="仿宋" w:eastAsia="仿宋" w:cs="宋体"/>
                <w:color w:val="000000"/>
                <w:kern w:val="0"/>
                <w:sz w:val="24"/>
                <w:szCs w:val="24"/>
              </w:rPr>
              <w:t>10%</w:t>
            </w:r>
            <w:r>
              <w:rPr>
                <w:rFonts w:hint="eastAsia" w:ascii="仿宋" w:hAnsi="仿宋" w:eastAsia="仿宋" w:cs="宋体"/>
                <w:color w:val="000000"/>
                <w:kern w:val="0"/>
                <w:sz w:val="24"/>
                <w:szCs w:val="24"/>
              </w:rPr>
              <w:t>）</w:t>
            </w:r>
          </w:p>
        </w:tc>
        <w:tc>
          <w:tcPr>
            <w:tcW w:w="1701" w:type="dxa"/>
            <w:tcBorders>
              <w:top w:val="nil"/>
              <w:left w:val="nil"/>
              <w:bottom w:val="dotted" w:color="auto" w:sz="4" w:space="0"/>
              <w:right w:val="dotted" w:color="auto" w:sz="4" w:space="0"/>
            </w:tcBorders>
            <w:noWrap/>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w:t>
            </w:r>
          </w:p>
        </w:tc>
        <w:tc>
          <w:tcPr>
            <w:tcW w:w="1559" w:type="dxa"/>
            <w:tcBorders>
              <w:top w:val="nil"/>
              <w:left w:val="nil"/>
              <w:bottom w:val="dotted" w:color="auto" w:sz="4" w:space="0"/>
              <w:right w:val="dotted" w:color="auto" w:sz="4" w:space="0"/>
            </w:tcBorders>
            <w:noWrap/>
            <w:vAlign w:val="center"/>
          </w:tcPr>
          <w:p>
            <w:pPr>
              <w:widowControl/>
              <w:jc w:val="center"/>
              <w:textAlignment w:val="center"/>
              <w:rPr>
                <w:rFonts w:ascii="仿宋" w:hAnsi="仿宋" w:eastAsia="仿宋" w:cs="宋体"/>
                <w:color w:val="000000"/>
                <w:kern w:val="0"/>
                <w:sz w:val="24"/>
                <w:szCs w:val="24"/>
              </w:rPr>
            </w:pPr>
            <w:r>
              <w:rPr>
                <w:rFonts w:ascii="仿宋_GB2312" w:hAnsi="宋体" w:eastAsia="仿宋_GB2312" w:cs="仿宋_GB2312"/>
                <w:color w:val="000000"/>
                <w:kern w:val="0"/>
                <w:sz w:val="24"/>
                <w:szCs w:val="24"/>
              </w:rPr>
              <w:t>9.10</w:t>
            </w:r>
          </w:p>
        </w:tc>
        <w:tc>
          <w:tcPr>
            <w:tcW w:w="1701" w:type="dxa"/>
            <w:tcBorders>
              <w:top w:val="nil"/>
              <w:left w:val="nil"/>
              <w:bottom w:val="dotted" w:color="auto" w:sz="4" w:space="0"/>
              <w:right w:val="nil"/>
            </w:tcBorders>
            <w:noWrap/>
            <w:vAlign w:val="center"/>
          </w:tcPr>
          <w:p>
            <w:pPr>
              <w:widowControl/>
              <w:jc w:val="center"/>
              <w:textAlignment w:val="center"/>
              <w:rPr>
                <w:rFonts w:ascii="仿宋" w:hAnsi="仿宋" w:eastAsia="仿宋" w:cs="宋体"/>
                <w:color w:val="000000"/>
                <w:kern w:val="0"/>
                <w:sz w:val="24"/>
                <w:szCs w:val="24"/>
              </w:rPr>
            </w:pPr>
            <w:r>
              <w:rPr>
                <w:rFonts w:ascii="仿宋_GB2312" w:hAnsi="宋体" w:eastAsia="仿宋_GB2312" w:cs="仿宋_GB2312"/>
                <w:color w:val="000000"/>
                <w:kern w:val="0"/>
                <w:sz w:val="24"/>
                <w:szCs w:val="24"/>
              </w:rPr>
              <w:t>91.00%</w:t>
            </w:r>
          </w:p>
        </w:tc>
      </w:tr>
      <w:tr>
        <w:tblPrEx>
          <w:tblCellMar>
            <w:top w:w="0" w:type="dxa"/>
            <w:left w:w="108" w:type="dxa"/>
            <w:bottom w:w="0" w:type="dxa"/>
            <w:right w:w="108" w:type="dxa"/>
          </w:tblCellMar>
        </w:tblPrEx>
        <w:trPr>
          <w:trHeight w:val="285" w:hRule="atLeast"/>
        </w:trPr>
        <w:tc>
          <w:tcPr>
            <w:tcW w:w="3134" w:type="dxa"/>
            <w:tcBorders>
              <w:top w:val="nil"/>
              <w:left w:val="nil"/>
              <w:bottom w:val="dotted" w:color="auto" w:sz="4" w:space="0"/>
              <w:right w:val="dotted" w:color="auto" w:sz="4" w:space="0"/>
            </w:tcBorders>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过程（</w:t>
            </w:r>
            <w:r>
              <w:rPr>
                <w:rFonts w:ascii="仿宋" w:hAnsi="仿宋" w:eastAsia="仿宋" w:cs="宋体"/>
                <w:color w:val="000000"/>
                <w:kern w:val="0"/>
                <w:sz w:val="24"/>
                <w:szCs w:val="24"/>
              </w:rPr>
              <w:t>20%</w:t>
            </w:r>
            <w:r>
              <w:rPr>
                <w:rFonts w:hint="eastAsia" w:ascii="仿宋" w:hAnsi="仿宋" w:eastAsia="仿宋" w:cs="宋体"/>
                <w:color w:val="000000"/>
                <w:kern w:val="0"/>
                <w:sz w:val="24"/>
                <w:szCs w:val="24"/>
              </w:rPr>
              <w:t>）</w:t>
            </w:r>
          </w:p>
        </w:tc>
        <w:tc>
          <w:tcPr>
            <w:tcW w:w="1701" w:type="dxa"/>
            <w:tcBorders>
              <w:top w:val="nil"/>
              <w:left w:val="nil"/>
              <w:bottom w:val="dotted" w:color="auto" w:sz="4" w:space="0"/>
              <w:right w:val="dotted" w:color="auto" w:sz="4" w:space="0"/>
            </w:tcBorders>
            <w:noWrap/>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20</w:t>
            </w:r>
          </w:p>
        </w:tc>
        <w:tc>
          <w:tcPr>
            <w:tcW w:w="1559" w:type="dxa"/>
            <w:tcBorders>
              <w:top w:val="nil"/>
              <w:left w:val="nil"/>
              <w:bottom w:val="dotted" w:color="auto" w:sz="4" w:space="0"/>
              <w:right w:val="dotted" w:color="auto" w:sz="4" w:space="0"/>
            </w:tcBorders>
            <w:noWrap/>
            <w:vAlign w:val="center"/>
          </w:tcPr>
          <w:p>
            <w:pPr>
              <w:widowControl/>
              <w:jc w:val="center"/>
              <w:textAlignment w:val="center"/>
              <w:rPr>
                <w:rFonts w:ascii="仿宋" w:hAnsi="仿宋" w:eastAsia="仿宋" w:cs="宋体"/>
                <w:color w:val="000000"/>
                <w:kern w:val="0"/>
                <w:sz w:val="24"/>
                <w:szCs w:val="24"/>
              </w:rPr>
            </w:pPr>
            <w:r>
              <w:rPr>
                <w:rFonts w:ascii="仿宋_GB2312" w:hAnsi="宋体" w:eastAsia="仿宋_GB2312" w:cs="仿宋_GB2312"/>
                <w:color w:val="000000"/>
                <w:kern w:val="0"/>
                <w:sz w:val="24"/>
                <w:szCs w:val="24"/>
              </w:rPr>
              <w:t>18.96</w:t>
            </w:r>
          </w:p>
        </w:tc>
        <w:tc>
          <w:tcPr>
            <w:tcW w:w="1701" w:type="dxa"/>
            <w:tcBorders>
              <w:top w:val="nil"/>
              <w:left w:val="nil"/>
              <w:bottom w:val="dotted" w:color="auto" w:sz="4" w:space="0"/>
              <w:right w:val="nil"/>
            </w:tcBorders>
            <w:noWrap/>
            <w:vAlign w:val="center"/>
          </w:tcPr>
          <w:p>
            <w:pPr>
              <w:widowControl/>
              <w:jc w:val="center"/>
              <w:textAlignment w:val="center"/>
              <w:rPr>
                <w:rFonts w:ascii="仿宋" w:hAnsi="仿宋" w:eastAsia="仿宋" w:cs="宋体"/>
                <w:color w:val="000000"/>
                <w:kern w:val="0"/>
                <w:sz w:val="24"/>
                <w:szCs w:val="24"/>
              </w:rPr>
            </w:pPr>
            <w:r>
              <w:rPr>
                <w:rFonts w:ascii="仿宋_GB2312" w:hAnsi="宋体" w:eastAsia="仿宋_GB2312" w:cs="仿宋_GB2312"/>
                <w:color w:val="000000"/>
                <w:kern w:val="0"/>
                <w:sz w:val="24"/>
                <w:szCs w:val="24"/>
              </w:rPr>
              <w:t>94.80%</w:t>
            </w:r>
          </w:p>
        </w:tc>
      </w:tr>
      <w:tr>
        <w:tblPrEx>
          <w:tblCellMar>
            <w:top w:w="0" w:type="dxa"/>
            <w:left w:w="108" w:type="dxa"/>
            <w:bottom w:w="0" w:type="dxa"/>
            <w:right w:w="108" w:type="dxa"/>
          </w:tblCellMar>
        </w:tblPrEx>
        <w:trPr>
          <w:trHeight w:val="285" w:hRule="atLeast"/>
        </w:trPr>
        <w:tc>
          <w:tcPr>
            <w:tcW w:w="3134" w:type="dxa"/>
            <w:tcBorders>
              <w:top w:val="nil"/>
              <w:left w:val="nil"/>
              <w:bottom w:val="dotted" w:color="auto" w:sz="4" w:space="0"/>
              <w:right w:val="dotted" w:color="auto" w:sz="4" w:space="0"/>
            </w:tcBorders>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产出（</w:t>
            </w:r>
            <w:r>
              <w:rPr>
                <w:rFonts w:ascii="仿宋" w:hAnsi="仿宋" w:eastAsia="仿宋" w:cs="宋体"/>
                <w:color w:val="000000"/>
                <w:kern w:val="0"/>
                <w:sz w:val="24"/>
                <w:szCs w:val="24"/>
              </w:rPr>
              <w:t>40%</w:t>
            </w:r>
            <w:r>
              <w:rPr>
                <w:rFonts w:hint="eastAsia" w:ascii="仿宋" w:hAnsi="仿宋" w:eastAsia="仿宋" w:cs="宋体"/>
                <w:color w:val="000000"/>
                <w:kern w:val="0"/>
                <w:sz w:val="24"/>
                <w:szCs w:val="24"/>
              </w:rPr>
              <w:t>）</w:t>
            </w:r>
          </w:p>
        </w:tc>
        <w:tc>
          <w:tcPr>
            <w:tcW w:w="1701" w:type="dxa"/>
            <w:tcBorders>
              <w:top w:val="nil"/>
              <w:left w:val="nil"/>
              <w:bottom w:val="dotted" w:color="auto" w:sz="4" w:space="0"/>
              <w:right w:val="dotted" w:color="auto" w:sz="4" w:space="0"/>
            </w:tcBorders>
            <w:noWrap/>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40</w:t>
            </w:r>
          </w:p>
        </w:tc>
        <w:tc>
          <w:tcPr>
            <w:tcW w:w="1559" w:type="dxa"/>
            <w:tcBorders>
              <w:top w:val="nil"/>
              <w:left w:val="nil"/>
              <w:bottom w:val="dotted" w:color="auto" w:sz="4" w:space="0"/>
              <w:right w:val="dotted" w:color="auto" w:sz="4" w:space="0"/>
            </w:tcBorders>
            <w:noWrap/>
            <w:vAlign w:val="center"/>
          </w:tcPr>
          <w:p>
            <w:pPr>
              <w:widowControl/>
              <w:jc w:val="center"/>
              <w:textAlignment w:val="center"/>
              <w:rPr>
                <w:rFonts w:ascii="仿宋" w:hAnsi="仿宋" w:eastAsia="仿宋" w:cs="宋体"/>
                <w:color w:val="000000"/>
                <w:kern w:val="0"/>
                <w:sz w:val="24"/>
                <w:szCs w:val="24"/>
              </w:rPr>
            </w:pPr>
            <w:r>
              <w:rPr>
                <w:rFonts w:ascii="仿宋_GB2312" w:hAnsi="宋体" w:eastAsia="仿宋_GB2312" w:cs="仿宋_GB2312"/>
                <w:color w:val="000000"/>
                <w:kern w:val="0"/>
                <w:sz w:val="24"/>
                <w:szCs w:val="24"/>
              </w:rPr>
              <w:t>36.30</w:t>
            </w:r>
          </w:p>
        </w:tc>
        <w:tc>
          <w:tcPr>
            <w:tcW w:w="1701" w:type="dxa"/>
            <w:tcBorders>
              <w:top w:val="nil"/>
              <w:left w:val="nil"/>
              <w:bottom w:val="dotted" w:color="auto" w:sz="4" w:space="0"/>
              <w:right w:val="nil"/>
            </w:tcBorders>
            <w:noWrap/>
            <w:vAlign w:val="center"/>
          </w:tcPr>
          <w:p>
            <w:pPr>
              <w:widowControl/>
              <w:jc w:val="center"/>
              <w:textAlignment w:val="center"/>
              <w:rPr>
                <w:rFonts w:ascii="仿宋" w:hAnsi="仿宋" w:eastAsia="仿宋" w:cs="宋体"/>
                <w:color w:val="000000"/>
                <w:kern w:val="0"/>
                <w:sz w:val="24"/>
                <w:szCs w:val="24"/>
              </w:rPr>
            </w:pPr>
            <w:r>
              <w:rPr>
                <w:rFonts w:ascii="仿宋_GB2312" w:hAnsi="宋体" w:eastAsia="仿宋_GB2312" w:cs="仿宋_GB2312"/>
                <w:color w:val="000000"/>
                <w:kern w:val="0"/>
                <w:sz w:val="24"/>
                <w:szCs w:val="24"/>
              </w:rPr>
              <w:t>90.75%</w:t>
            </w:r>
          </w:p>
        </w:tc>
      </w:tr>
      <w:tr>
        <w:tblPrEx>
          <w:tblCellMar>
            <w:top w:w="0" w:type="dxa"/>
            <w:left w:w="108" w:type="dxa"/>
            <w:bottom w:w="0" w:type="dxa"/>
            <w:right w:w="108" w:type="dxa"/>
          </w:tblCellMar>
        </w:tblPrEx>
        <w:trPr>
          <w:trHeight w:val="285" w:hRule="atLeast"/>
        </w:trPr>
        <w:tc>
          <w:tcPr>
            <w:tcW w:w="3134" w:type="dxa"/>
            <w:tcBorders>
              <w:top w:val="nil"/>
              <w:left w:val="nil"/>
              <w:bottom w:val="dotted" w:color="auto" w:sz="4" w:space="0"/>
              <w:right w:val="dotted" w:color="auto" w:sz="4" w:space="0"/>
            </w:tcBorders>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效益（</w:t>
            </w:r>
            <w:r>
              <w:rPr>
                <w:rFonts w:ascii="仿宋" w:hAnsi="仿宋" w:eastAsia="仿宋" w:cs="宋体"/>
                <w:color w:val="000000"/>
                <w:kern w:val="0"/>
                <w:sz w:val="24"/>
                <w:szCs w:val="24"/>
              </w:rPr>
              <w:t>30%</w:t>
            </w:r>
            <w:r>
              <w:rPr>
                <w:rFonts w:hint="eastAsia" w:ascii="仿宋" w:hAnsi="仿宋" w:eastAsia="仿宋" w:cs="宋体"/>
                <w:color w:val="000000"/>
                <w:kern w:val="0"/>
                <w:sz w:val="24"/>
                <w:szCs w:val="24"/>
              </w:rPr>
              <w:t>）</w:t>
            </w:r>
          </w:p>
        </w:tc>
        <w:tc>
          <w:tcPr>
            <w:tcW w:w="1701" w:type="dxa"/>
            <w:tcBorders>
              <w:top w:val="nil"/>
              <w:left w:val="nil"/>
              <w:bottom w:val="dotted" w:color="auto" w:sz="4" w:space="0"/>
              <w:right w:val="dotted" w:color="auto" w:sz="4" w:space="0"/>
            </w:tcBorders>
            <w:noWrap/>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30</w:t>
            </w:r>
          </w:p>
        </w:tc>
        <w:tc>
          <w:tcPr>
            <w:tcW w:w="1559" w:type="dxa"/>
            <w:tcBorders>
              <w:top w:val="nil"/>
              <w:left w:val="nil"/>
              <w:bottom w:val="dotted" w:color="auto" w:sz="4" w:space="0"/>
              <w:right w:val="dotted" w:color="auto" w:sz="4" w:space="0"/>
            </w:tcBorders>
            <w:noWrap/>
            <w:vAlign w:val="center"/>
          </w:tcPr>
          <w:p>
            <w:pPr>
              <w:widowControl/>
              <w:jc w:val="center"/>
              <w:textAlignment w:val="center"/>
              <w:rPr>
                <w:rFonts w:ascii="仿宋" w:hAnsi="仿宋" w:eastAsia="仿宋" w:cs="宋体"/>
                <w:color w:val="000000"/>
                <w:kern w:val="0"/>
                <w:sz w:val="24"/>
                <w:szCs w:val="24"/>
              </w:rPr>
            </w:pPr>
            <w:r>
              <w:rPr>
                <w:rFonts w:ascii="仿宋_GB2312" w:hAnsi="宋体" w:eastAsia="仿宋_GB2312" w:cs="仿宋_GB2312"/>
                <w:color w:val="000000"/>
                <w:kern w:val="0"/>
                <w:sz w:val="24"/>
                <w:szCs w:val="24"/>
              </w:rPr>
              <w:t>25.62</w:t>
            </w:r>
          </w:p>
        </w:tc>
        <w:tc>
          <w:tcPr>
            <w:tcW w:w="1701" w:type="dxa"/>
            <w:tcBorders>
              <w:top w:val="nil"/>
              <w:left w:val="nil"/>
              <w:bottom w:val="dotted" w:color="auto" w:sz="4" w:space="0"/>
              <w:right w:val="nil"/>
            </w:tcBorders>
            <w:noWrap/>
            <w:vAlign w:val="center"/>
          </w:tcPr>
          <w:p>
            <w:pPr>
              <w:widowControl/>
              <w:jc w:val="center"/>
              <w:textAlignment w:val="center"/>
              <w:rPr>
                <w:rFonts w:ascii="仿宋" w:hAnsi="仿宋" w:eastAsia="仿宋" w:cs="宋体"/>
                <w:color w:val="000000"/>
                <w:kern w:val="0"/>
                <w:sz w:val="24"/>
                <w:szCs w:val="24"/>
              </w:rPr>
            </w:pPr>
            <w:r>
              <w:rPr>
                <w:rFonts w:ascii="仿宋_GB2312" w:hAnsi="宋体" w:eastAsia="仿宋_GB2312" w:cs="仿宋_GB2312"/>
                <w:color w:val="000000"/>
                <w:kern w:val="0"/>
                <w:sz w:val="24"/>
                <w:szCs w:val="24"/>
              </w:rPr>
              <w:t>85.40%</w:t>
            </w:r>
          </w:p>
        </w:tc>
      </w:tr>
      <w:tr>
        <w:tblPrEx>
          <w:tblCellMar>
            <w:top w:w="0" w:type="dxa"/>
            <w:left w:w="108" w:type="dxa"/>
            <w:bottom w:w="0" w:type="dxa"/>
            <w:right w:w="108" w:type="dxa"/>
          </w:tblCellMar>
        </w:tblPrEx>
        <w:trPr>
          <w:trHeight w:val="300" w:hRule="atLeast"/>
        </w:trPr>
        <w:tc>
          <w:tcPr>
            <w:tcW w:w="3134" w:type="dxa"/>
            <w:tcBorders>
              <w:top w:val="nil"/>
              <w:left w:val="nil"/>
              <w:bottom w:val="single" w:color="auto" w:sz="12" w:space="0"/>
              <w:right w:val="dotted" w:color="auto" w:sz="4" w:space="0"/>
            </w:tcBorders>
            <w:noWrap/>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合</w:t>
            </w:r>
            <w:r>
              <w:rPr>
                <w:rFonts w:ascii="仿宋" w:hAnsi="仿宋" w:eastAsia="仿宋" w:cs="宋体"/>
                <w:b/>
                <w:color w:val="000000"/>
                <w:kern w:val="0"/>
                <w:sz w:val="24"/>
                <w:szCs w:val="24"/>
              </w:rPr>
              <w:t xml:space="preserve">  </w:t>
            </w:r>
            <w:r>
              <w:rPr>
                <w:rFonts w:hint="eastAsia" w:ascii="仿宋" w:hAnsi="仿宋" w:eastAsia="仿宋" w:cs="宋体"/>
                <w:b/>
                <w:color w:val="000000"/>
                <w:kern w:val="0"/>
                <w:sz w:val="24"/>
                <w:szCs w:val="24"/>
              </w:rPr>
              <w:t>计</w:t>
            </w:r>
          </w:p>
        </w:tc>
        <w:tc>
          <w:tcPr>
            <w:tcW w:w="1701" w:type="dxa"/>
            <w:tcBorders>
              <w:top w:val="nil"/>
              <w:left w:val="nil"/>
              <w:bottom w:val="single" w:color="auto" w:sz="12" w:space="0"/>
              <w:right w:val="dotted" w:color="auto" w:sz="4" w:space="0"/>
            </w:tcBorders>
            <w:noWrap/>
            <w:vAlign w:val="center"/>
          </w:tcPr>
          <w:p>
            <w:pPr>
              <w:widowControl/>
              <w:jc w:val="center"/>
              <w:rPr>
                <w:rFonts w:ascii="仿宋" w:hAnsi="仿宋" w:eastAsia="仿宋" w:cs="宋体"/>
                <w:b/>
                <w:color w:val="000000"/>
                <w:kern w:val="0"/>
                <w:sz w:val="24"/>
                <w:szCs w:val="24"/>
              </w:rPr>
            </w:pPr>
            <w:r>
              <w:rPr>
                <w:rFonts w:ascii="仿宋" w:hAnsi="仿宋" w:eastAsia="仿宋" w:cs="宋体"/>
                <w:b/>
                <w:color w:val="000000"/>
                <w:kern w:val="0"/>
                <w:sz w:val="24"/>
                <w:szCs w:val="24"/>
              </w:rPr>
              <w:t>100</w:t>
            </w:r>
          </w:p>
        </w:tc>
        <w:tc>
          <w:tcPr>
            <w:tcW w:w="1559" w:type="dxa"/>
            <w:tcBorders>
              <w:top w:val="nil"/>
              <w:left w:val="nil"/>
              <w:bottom w:val="single" w:color="auto" w:sz="12" w:space="0"/>
              <w:right w:val="dotted" w:color="auto" w:sz="4" w:space="0"/>
            </w:tcBorders>
            <w:noWrap/>
            <w:vAlign w:val="center"/>
          </w:tcPr>
          <w:p>
            <w:pPr>
              <w:widowControl/>
              <w:jc w:val="center"/>
              <w:textAlignment w:val="center"/>
              <w:rPr>
                <w:rFonts w:ascii="仿宋" w:hAnsi="仿宋" w:eastAsia="仿宋" w:cs="宋体"/>
                <w:b/>
                <w:color w:val="000000"/>
                <w:kern w:val="0"/>
                <w:sz w:val="24"/>
                <w:szCs w:val="24"/>
              </w:rPr>
            </w:pPr>
            <w:r>
              <w:rPr>
                <w:rFonts w:ascii="仿宋_GB2312" w:hAnsi="宋体" w:eastAsia="仿宋_GB2312" w:cs="仿宋_GB2312"/>
                <w:b/>
                <w:bCs/>
                <w:color w:val="000000"/>
                <w:kern w:val="0"/>
                <w:sz w:val="24"/>
                <w:szCs w:val="24"/>
              </w:rPr>
              <w:t>89.98</w:t>
            </w:r>
          </w:p>
        </w:tc>
        <w:tc>
          <w:tcPr>
            <w:tcW w:w="1701" w:type="dxa"/>
            <w:tcBorders>
              <w:top w:val="nil"/>
              <w:left w:val="nil"/>
              <w:bottom w:val="single" w:color="auto" w:sz="12" w:space="0"/>
              <w:right w:val="nil"/>
            </w:tcBorders>
            <w:noWrap/>
            <w:vAlign w:val="center"/>
          </w:tcPr>
          <w:p>
            <w:pPr>
              <w:widowControl/>
              <w:jc w:val="center"/>
              <w:textAlignment w:val="center"/>
              <w:rPr>
                <w:rFonts w:ascii="仿宋" w:hAnsi="仿宋" w:eastAsia="仿宋" w:cs="宋体"/>
                <w:b/>
                <w:color w:val="000000"/>
                <w:kern w:val="0"/>
                <w:sz w:val="24"/>
                <w:szCs w:val="24"/>
              </w:rPr>
            </w:pPr>
            <w:r>
              <w:rPr>
                <w:rFonts w:ascii="仿宋_GB2312" w:hAnsi="宋体" w:eastAsia="仿宋_GB2312" w:cs="仿宋_GB2312"/>
                <w:b/>
                <w:bCs/>
                <w:color w:val="000000"/>
                <w:kern w:val="0"/>
                <w:sz w:val="24"/>
                <w:szCs w:val="24"/>
              </w:rPr>
              <w:t>89.98%</w:t>
            </w:r>
          </w:p>
        </w:tc>
      </w:tr>
    </w:tbl>
    <w:p/>
    <w:p>
      <w:pPr>
        <w:pStyle w:val="2"/>
        <w:keepNext w:val="0"/>
        <w:keepLines w:val="0"/>
        <w:widowControl/>
        <w:numPr>
          <w:ilvl w:val="0"/>
          <w:numId w:val="1"/>
        </w:numPr>
        <w:spacing w:before="0" w:after="0" w:line="520" w:lineRule="atLeast"/>
        <w:ind w:firstLine="709"/>
        <w:contextualSpacing/>
        <w:jc w:val="left"/>
        <w:rPr>
          <w:rFonts w:ascii="黑体" w:hAnsi="黑体" w:eastAsia="黑体" w:cs="黑体"/>
          <w:b w:val="0"/>
          <w:kern w:val="0"/>
          <w:sz w:val="32"/>
          <w:szCs w:val="32"/>
        </w:rPr>
      </w:pPr>
      <w:r>
        <w:rPr>
          <w:rFonts w:hint="eastAsia" w:ascii="黑体" w:hAnsi="黑体" w:eastAsia="黑体" w:cs="黑体"/>
          <w:b w:val="0"/>
          <w:kern w:val="0"/>
          <w:sz w:val="32"/>
          <w:szCs w:val="32"/>
        </w:rPr>
        <w:t>绩效评价指标分析</w:t>
      </w:r>
      <w:bookmarkEnd w:id="63"/>
      <w:bookmarkEnd w:id="64"/>
      <w:bookmarkEnd w:id="65"/>
      <w:bookmarkEnd w:id="66"/>
      <w:bookmarkEnd w:id="67"/>
    </w:p>
    <w:p>
      <w:pPr>
        <w:numPr>
          <w:ilvl w:val="0"/>
          <w:numId w:val="6"/>
        </w:numPr>
        <w:spacing w:line="560" w:lineRule="exact"/>
        <w:ind w:firstLine="567"/>
        <w:outlineLvl w:val="1"/>
        <w:rPr>
          <w:rFonts w:ascii="楷体_GB2312" w:hAnsi="楷体_GB2312" w:eastAsia="楷体_GB2312" w:cs="楷体_GB2312"/>
          <w:bCs/>
          <w:sz w:val="32"/>
          <w:szCs w:val="32"/>
        </w:rPr>
      </w:pPr>
      <w:bookmarkStart w:id="69" w:name="_Toc4274"/>
      <w:bookmarkStart w:id="70" w:name="_Toc30167"/>
      <w:bookmarkStart w:id="71" w:name="_Toc23775"/>
      <w:bookmarkStart w:id="72" w:name="_Toc30811"/>
      <w:bookmarkStart w:id="73" w:name="_Toc77203354"/>
      <w:r>
        <w:rPr>
          <w:rFonts w:hint="eastAsia" w:ascii="楷体_GB2312" w:hAnsi="楷体_GB2312" w:eastAsia="楷体_GB2312" w:cs="楷体_GB2312"/>
          <w:bCs/>
          <w:sz w:val="32"/>
          <w:szCs w:val="32"/>
        </w:rPr>
        <w:t>项目</w:t>
      </w:r>
      <w:bookmarkEnd w:id="69"/>
      <w:bookmarkEnd w:id="70"/>
      <w:bookmarkEnd w:id="71"/>
      <w:bookmarkEnd w:id="72"/>
      <w:r>
        <w:rPr>
          <w:rFonts w:hint="eastAsia" w:ascii="楷体_GB2312" w:hAnsi="楷体_GB2312" w:eastAsia="楷体_GB2312" w:cs="楷体_GB2312"/>
          <w:bCs/>
          <w:sz w:val="32"/>
          <w:szCs w:val="32"/>
        </w:rPr>
        <w:t>决策情况</w:t>
      </w:r>
      <w:bookmarkEnd w:id="73"/>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决策评价分析从项目立项、绩效目标和资金投入三个方面六个三级指标对项目决策进行考察，决策指标分值共计</w:t>
      </w:r>
      <w:r>
        <w:rPr>
          <w:rFonts w:ascii="仿宋_GB2312" w:hAnsi="仿宋_GB2312" w:eastAsia="仿宋_GB2312" w:cs="仿宋_GB2312"/>
          <w:kern w:val="44"/>
          <w:sz w:val="28"/>
          <w:szCs w:val="28"/>
        </w:rPr>
        <w:t>10</w:t>
      </w:r>
      <w:r>
        <w:rPr>
          <w:rFonts w:hint="eastAsia" w:ascii="仿宋_GB2312" w:hAnsi="仿宋_GB2312" w:eastAsia="仿宋_GB2312" w:cs="仿宋_GB2312"/>
          <w:kern w:val="44"/>
          <w:sz w:val="28"/>
          <w:szCs w:val="28"/>
        </w:rPr>
        <w:t>分，本项目实际得分</w:t>
      </w:r>
      <w:r>
        <w:rPr>
          <w:rFonts w:ascii="仿宋_GB2312" w:hAnsi="仿宋_GB2312" w:eastAsia="仿宋_GB2312" w:cs="仿宋_GB2312"/>
          <w:kern w:val="44"/>
          <w:sz w:val="28"/>
          <w:szCs w:val="28"/>
          <w:lang w:val="en-GB"/>
        </w:rPr>
        <w:t>9.1</w:t>
      </w:r>
      <w:r>
        <w:rPr>
          <w:rFonts w:ascii="仿宋_GB2312" w:hAnsi="仿宋_GB2312" w:eastAsia="仿宋_GB2312" w:cs="仿宋_GB2312"/>
          <w:kern w:val="44"/>
          <w:sz w:val="28"/>
          <w:szCs w:val="28"/>
        </w:rPr>
        <w:t>0</w:t>
      </w:r>
      <w:r>
        <w:rPr>
          <w:rFonts w:hint="eastAsia" w:ascii="仿宋_GB2312" w:hAnsi="仿宋_GB2312" w:eastAsia="仿宋_GB2312" w:cs="仿宋_GB2312"/>
          <w:kern w:val="44"/>
          <w:sz w:val="28"/>
          <w:szCs w:val="28"/>
        </w:rPr>
        <w:t>分，得分率为</w:t>
      </w:r>
      <w:r>
        <w:rPr>
          <w:rFonts w:ascii="仿宋_GB2312" w:hAnsi="仿宋_GB2312" w:eastAsia="仿宋_GB2312" w:cs="仿宋_GB2312"/>
          <w:kern w:val="44"/>
          <w:sz w:val="28"/>
          <w:szCs w:val="28"/>
          <w:lang w:val="en-GB"/>
        </w:rPr>
        <w:t>91</w:t>
      </w:r>
      <w:r>
        <w:rPr>
          <w:rFonts w:ascii="仿宋_GB2312" w:hAnsi="仿宋_GB2312" w:eastAsia="仿宋_GB2312" w:cs="仿宋_GB2312"/>
          <w:kern w:val="44"/>
          <w:sz w:val="28"/>
          <w:szCs w:val="28"/>
        </w:rPr>
        <w:t>.00%</w:t>
      </w:r>
      <w:r>
        <w:rPr>
          <w:rFonts w:hint="eastAsia" w:ascii="仿宋_GB2312" w:hAnsi="仿宋_GB2312" w:eastAsia="仿宋_GB2312" w:cs="仿宋_GB2312"/>
          <w:kern w:val="44"/>
          <w:sz w:val="28"/>
          <w:szCs w:val="28"/>
        </w:rPr>
        <w:t>。具体情况如下表：</w:t>
      </w:r>
    </w:p>
    <w:p>
      <w:pPr>
        <w:ind w:firstLine="560" w:firstLineChars="200"/>
        <w:rPr>
          <w:rFonts w:ascii="仿宋_GB2312" w:hAnsi="仿宋_GB2312" w:eastAsia="仿宋_GB2312" w:cs="仿宋_GB2312"/>
          <w:kern w:val="44"/>
          <w:sz w:val="28"/>
          <w:szCs w:val="28"/>
        </w:rPr>
      </w:pPr>
    </w:p>
    <w:tbl>
      <w:tblPr>
        <w:tblStyle w:val="18"/>
        <w:tblW w:w="8662"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80"/>
        <w:gridCol w:w="3188"/>
        <w:gridCol w:w="1080"/>
        <w:gridCol w:w="1080"/>
        <w:gridCol w:w="1080"/>
        <w:gridCol w:w="1154"/>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00" w:hRule="atLeast"/>
        </w:trPr>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序号</w:t>
            </w:r>
          </w:p>
        </w:tc>
        <w:tc>
          <w:tcPr>
            <w:tcW w:w="3188"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三级指标内容</w:t>
            </w:r>
          </w:p>
        </w:tc>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权重</w:t>
            </w:r>
          </w:p>
        </w:tc>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目标值</w:t>
            </w:r>
          </w:p>
        </w:tc>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w:t>
            </w:r>
          </w:p>
        </w:tc>
        <w:tc>
          <w:tcPr>
            <w:tcW w:w="1154"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90" w:hRule="atLeast"/>
        </w:trPr>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w:t>
            </w:r>
          </w:p>
        </w:tc>
        <w:tc>
          <w:tcPr>
            <w:tcW w:w="3188"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立项依据充分性</w:t>
            </w:r>
          </w:p>
        </w:tc>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充分</w:t>
            </w:r>
          </w:p>
        </w:tc>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2.00 </w:t>
            </w:r>
          </w:p>
        </w:tc>
        <w:tc>
          <w:tcPr>
            <w:tcW w:w="1154"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3188"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立项程序规范性</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1080"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规范</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2.00 </w:t>
            </w:r>
          </w:p>
        </w:tc>
        <w:tc>
          <w:tcPr>
            <w:tcW w:w="1154"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3</w:t>
            </w:r>
          </w:p>
        </w:tc>
        <w:tc>
          <w:tcPr>
            <w:tcW w:w="3188"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绩效目标合理性</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1080"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合理</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1.72 </w:t>
            </w:r>
          </w:p>
        </w:tc>
        <w:tc>
          <w:tcPr>
            <w:tcW w:w="1154"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86.00%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2" w:hRule="atLeast"/>
        </w:trPr>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4</w:t>
            </w:r>
          </w:p>
        </w:tc>
        <w:tc>
          <w:tcPr>
            <w:tcW w:w="3188"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绩效指标明确性</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1080"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明确</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1.66 </w:t>
            </w:r>
          </w:p>
        </w:tc>
        <w:tc>
          <w:tcPr>
            <w:tcW w:w="1154"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83.00%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5</w:t>
            </w:r>
          </w:p>
        </w:tc>
        <w:tc>
          <w:tcPr>
            <w:tcW w:w="3188"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预算编制科学性</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w:t>
            </w:r>
          </w:p>
        </w:tc>
        <w:tc>
          <w:tcPr>
            <w:tcW w:w="1080"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科学</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0.72 </w:t>
            </w:r>
          </w:p>
        </w:tc>
        <w:tc>
          <w:tcPr>
            <w:tcW w:w="1154"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72.00%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6</w:t>
            </w:r>
          </w:p>
        </w:tc>
        <w:tc>
          <w:tcPr>
            <w:tcW w:w="3188"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资金分配合理性</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w:t>
            </w:r>
          </w:p>
        </w:tc>
        <w:tc>
          <w:tcPr>
            <w:tcW w:w="1080"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合理</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1.00 </w:t>
            </w:r>
          </w:p>
        </w:tc>
        <w:tc>
          <w:tcPr>
            <w:tcW w:w="1154"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5" w:hRule="atLeast"/>
        </w:trPr>
        <w:tc>
          <w:tcPr>
            <w:tcW w:w="1080"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w:t>
            </w:r>
          </w:p>
        </w:tc>
        <w:tc>
          <w:tcPr>
            <w:tcW w:w="3188"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分值合计</w:t>
            </w:r>
          </w:p>
        </w:tc>
        <w:tc>
          <w:tcPr>
            <w:tcW w:w="1080"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ascii="仿宋" w:hAnsi="仿宋" w:eastAsia="仿宋" w:cs="宋体"/>
                <w:b/>
                <w:color w:val="000000"/>
                <w:kern w:val="0"/>
                <w:sz w:val="24"/>
                <w:szCs w:val="24"/>
              </w:rPr>
              <w:t>10</w:t>
            </w:r>
          </w:p>
        </w:tc>
        <w:tc>
          <w:tcPr>
            <w:tcW w:w="1080" w:type="dxa"/>
            <w:tcBorders>
              <w:bottom w:val="single" w:color="auto" w:sz="12" w:space="0"/>
            </w:tcBorders>
            <w:vAlign w:val="center"/>
          </w:tcPr>
          <w:p>
            <w:pPr>
              <w:widowControl/>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w:t>
            </w:r>
          </w:p>
        </w:tc>
        <w:tc>
          <w:tcPr>
            <w:tcW w:w="1080" w:type="dxa"/>
            <w:tcBorders>
              <w:bottom w:val="single" w:color="auto" w:sz="12" w:space="0"/>
            </w:tcBorders>
            <w:vAlign w:val="center"/>
          </w:tcPr>
          <w:p>
            <w:pPr>
              <w:widowControl/>
              <w:jc w:val="center"/>
              <w:rPr>
                <w:rFonts w:ascii="仿宋" w:hAnsi="仿宋" w:eastAsia="仿宋" w:cs="宋体"/>
                <w:b/>
                <w:bCs/>
                <w:color w:val="000000"/>
                <w:kern w:val="0"/>
                <w:sz w:val="24"/>
                <w:szCs w:val="24"/>
              </w:rPr>
            </w:pPr>
            <w:r>
              <w:rPr>
                <w:rFonts w:ascii="仿宋" w:hAnsi="仿宋" w:eastAsia="仿宋" w:cs="宋体"/>
                <w:b/>
                <w:bCs/>
                <w:color w:val="000000"/>
                <w:kern w:val="0"/>
                <w:sz w:val="24"/>
                <w:szCs w:val="24"/>
              </w:rPr>
              <w:t xml:space="preserve">9.10 </w:t>
            </w:r>
          </w:p>
        </w:tc>
        <w:tc>
          <w:tcPr>
            <w:tcW w:w="1154" w:type="dxa"/>
            <w:tcBorders>
              <w:bottom w:val="single" w:color="auto" w:sz="12" w:space="0"/>
            </w:tcBorders>
            <w:vAlign w:val="center"/>
          </w:tcPr>
          <w:p>
            <w:pPr>
              <w:widowControl/>
              <w:jc w:val="center"/>
              <w:rPr>
                <w:rFonts w:ascii="仿宋" w:hAnsi="仿宋" w:eastAsia="仿宋" w:cs="宋体"/>
                <w:b/>
                <w:bCs/>
                <w:color w:val="000000"/>
                <w:kern w:val="0"/>
                <w:sz w:val="24"/>
                <w:szCs w:val="24"/>
              </w:rPr>
            </w:pPr>
            <w:r>
              <w:rPr>
                <w:rFonts w:ascii="仿宋" w:hAnsi="仿宋" w:eastAsia="仿宋" w:cs="宋体"/>
                <w:b/>
                <w:bCs/>
                <w:color w:val="000000"/>
                <w:kern w:val="0"/>
                <w:sz w:val="24"/>
                <w:szCs w:val="24"/>
              </w:rPr>
              <w:t>91.00%</w:t>
            </w:r>
          </w:p>
        </w:tc>
      </w:tr>
    </w:tbl>
    <w:p>
      <w:pPr>
        <w:numPr>
          <w:ilvl w:val="0"/>
          <w:numId w:val="7"/>
        </w:numPr>
        <w:spacing w:line="560" w:lineRule="exact"/>
        <w:ind w:firstLine="560" w:firstLineChars="200"/>
        <w:outlineLvl w:val="2"/>
        <w:rPr>
          <w:rFonts w:ascii="仿宋_GB2312" w:hAnsi="仿宋_GB2312" w:eastAsia="仿宋_GB2312" w:cs="仿宋_GB2312"/>
          <w:bCs/>
          <w:sz w:val="28"/>
          <w:szCs w:val="28"/>
        </w:rPr>
      </w:pPr>
      <w:bookmarkStart w:id="74" w:name="_Toc77203355"/>
      <w:bookmarkStart w:id="75" w:name="_Toc32544"/>
      <w:bookmarkStart w:id="76" w:name="_Toc7092"/>
      <w:bookmarkStart w:id="77" w:name="_Toc3411"/>
      <w:r>
        <w:rPr>
          <w:rFonts w:hint="eastAsia" w:ascii="仿宋_GB2312" w:hAnsi="仿宋_GB2312" w:eastAsia="仿宋_GB2312" w:cs="仿宋_GB2312"/>
          <w:bCs/>
          <w:sz w:val="28"/>
          <w:szCs w:val="28"/>
        </w:rPr>
        <w:t>项目立项分析</w:t>
      </w:r>
      <w:bookmarkEnd w:id="74"/>
      <w:bookmarkEnd w:id="75"/>
      <w:bookmarkEnd w:id="76"/>
      <w:bookmarkEnd w:id="77"/>
    </w:p>
    <w:p>
      <w:pPr>
        <w:ind w:firstLine="618" w:firstLineChars="221"/>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w:t>
      </w: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）立项依据充分性分析</w:t>
      </w:r>
    </w:p>
    <w:p>
      <w:pPr>
        <w:ind w:firstLine="560" w:firstLineChars="200"/>
        <w:rPr>
          <w:rFonts w:ascii="仿宋_GB2312" w:hAnsi="仿宋_GB2312" w:eastAsia="仿宋_GB2312" w:cs="仿宋_GB2312"/>
          <w:kern w:val="44"/>
          <w:sz w:val="28"/>
          <w:szCs w:val="28"/>
        </w:rPr>
      </w:pPr>
      <w:r>
        <w:rPr>
          <w:rFonts w:hint="eastAsia" w:ascii="仿宋_GB2312" w:eastAsia="仿宋_GB2312" w:cs="仿宋_GB2312"/>
          <w:sz w:val="28"/>
          <w:szCs w:val="28"/>
        </w:rPr>
        <w:t>项目</w:t>
      </w:r>
      <w:r>
        <w:rPr>
          <w:rFonts w:hint="eastAsia" w:ascii="仿宋_GB2312" w:hAnsi="仿宋_GB2312" w:eastAsia="仿宋_GB2312" w:cs="仿宋_GB2312"/>
          <w:kern w:val="44"/>
          <w:sz w:val="28"/>
          <w:szCs w:val="28"/>
        </w:rPr>
        <w:t>立项依据符合国家和北京市的相关规定，与项目单位职责密切相关，立项依据充分。该项指标权重分为</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分，根据评分规则评价得</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分。</w:t>
      </w:r>
    </w:p>
    <w:p>
      <w:pPr>
        <w:ind w:firstLine="618" w:firstLineChars="221"/>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）立项程序规范性分析</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项目为机构运行保障延续性项目，项目申请、设立过程符合相关要求，程序规范。该项指标权重分为</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分，根据评分规则评价得</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分。</w:t>
      </w:r>
    </w:p>
    <w:p>
      <w:pPr>
        <w:numPr>
          <w:ilvl w:val="0"/>
          <w:numId w:val="7"/>
        </w:numPr>
        <w:spacing w:line="560" w:lineRule="exact"/>
        <w:ind w:firstLine="560" w:firstLineChars="200"/>
        <w:outlineLvl w:val="2"/>
        <w:rPr>
          <w:rFonts w:ascii="仿宋_GB2312" w:hAnsi="仿宋_GB2312" w:eastAsia="仿宋_GB2312" w:cs="仿宋_GB2312"/>
          <w:bCs/>
          <w:sz w:val="28"/>
          <w:szCs w:val="28"/>
        </w:rPr>
      </w:pPr>
      <w:bookmarkStart w:id="78" w:name="_Toc30046"/>
      <w:bookmarkStart w:id="79" w:name="_Toc7603"/>
      <w:bookmarkStart w:id="80" w:name="_Toc32625"/>
      <w:bookmarkStart w:id="81" w:name="_Toc77203356"/>
      <w:r>
        <w:rPr>
          <w:rFonts w:hint="eastAsia" w:ascii="仿宋_GB2312" w:hAnsi="仿宋_GB2312" w:eastAsia="仿宋_GB2312" w:cs="仿宋_GB2312"/>
          <w:bCs/>
          <w:sz w:val="28"/>
          <w:szCs w:val="28"/>
        </w:rPr>
        <w:t>绩效目标分析</w:t>
      </w:r>
      <w:bookmarkEnd w:id="78"/>
      <w:bookmarkEnd w:id="79"/>
      <w:bookmarkEnd w:id="80"/>
      <w:bookmarkEnd w:id="81"/>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w:t>
      </w: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）绩效目标合理性分析</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绩效目标设定不够具体。该项指标权重分为</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分，根据评分规则评价得</w:t>
      </w:r>
      <w:r>
        <w:rPr>
          <w:rFonts w:ascii="仿宋_GB2312" w:hAnsi="仿宋_GB2312" w:eastAsia="仿宋_GB2312" w:cs="仿宋_GB2312"/>
          <w:kern w:val="44"/>
          <w:sz w:val="28"/>
          <w:szCs w:val="28"/>
        </w:rPr>
        <w:t>1.</w:t>
      </w:r>
      <w:r>
        <w:rPr>
          <w:rFonts w:ascii="仿宋_GB2312" w:hAnsi="仿宋_GB2312" w:eastAsia="仿宋_GB2312" w:cs="仿宋_GB2312"/>
          <w:kern w:val="44"/>
          <w:sz w:val="28"/>
          <w:szCs w:val="28"/>
          <w:lang w:val="en-GB"/>
        </w:rPr>
        <w:t>72</w:t>
      </w:r>
      <w:r>
        <w:rPr>
          <w:rFonts w:hint="eastAsia" w:ascii="仿宋_GB2312" w:hAnsi="仿宋_GB2312" w:eastAsia="仿宋_GB2312" w:cs="仿宋_GB2312"/>
          <w:kern w:val="44"/>
          <w:sz w:val="28"/>
          <w:szCs w:val="28"/>
        </w:rPr>
        <w:t>分。</w:t>
      </w:r>
      <w:r>
        <w:rPr>
          <w:rFonts w:ascii="仿宋_GB2312" w:hAnsi="仿宋_GB2312" w:eastAsia="仿宋_GB2312" w:cs="仿宋_GB2312"/>
          <w:kern w:val="44"/>
          <w:sz w:val="28"/>
          <w:szCs w:val="28"/>
        </w:rPr>
        <w:t xml:space="preserve">                                                                                          </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）绩效指标明确性分析</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绩效指标不够明确，数量、标准不够细化、明确，指标可量化性、可衡量性有待提高。该项指标权重分</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分，根据评分规则评价得</w:t>
      </w:r>
      <w:r>
        <w:rPr>
          <w:rFonts w:ascii="仿宋_GB2312" w:hAnsi="仿宋_GB2312" w:eastAsia="仿宋_GB2312" w:cs="仿宋_GB2312"/>
          <w:kern w:val="44"/>
          <w:sz w:val="28"/>
          <w:szCs w:val="28"/>
        </w:rPr>
        <w:t>1.66</w:t>
      </w:r>
      <w:r>
        <w:rPr>
          <w:rFonts w:hint="eastAsia" w:ascii="仿宋_GB2312" w:hAnsi="仿宋_GB2312" w:eastAsia="仿宋_GB2312" w:cs="仿宋_GB2312"/>
          <w:kern w:val="44"/>
          <w:sz w:val="28"/>
          <w:szCs w:val="28"/>
        </w:rPr>
        <w:t>分。</w:t>
      </w:r>
    </w:p>
    <w:p>
      <w:pPr>
        <w:numPr>
          <w:ilvl w:val="0"/>
          <w:numId w:val="7"/>
        </w:numPr>
        <w:spacing w:line="560" w:lineRule="exact"/>
        <w:ind w:firstLine="560" w:firstLineChars="200"/>
        <w:outlineLvl w:val="2"/>
        <w:rPr>
          <w:rFonts w:ascii="仿宋_GB2312" w:hAnsi="仿宋_GB2312" w:eastAsia="仿宋_GB2312" w:cs="仿宋_GB2312"/>
          <w:bCs/>
          <w:sz w:val="28"/>
          <w:szCs w:val="28"/>
        </w:rPr>
      </w:pPr>
      <w:bookmarkStart w:id="82" w:name="_Toc77203357"/>
      <w:bookmarkStart w:id="83" w:name="_Toc11073"/>
      <w:bookmarkStart w:id="84" w:name="_Toc22133"/>
      <w:bookmarkStart w:id="85" w:name="_Toc16986"/>
      <w:r>
        <w:rPr>
          <w:rFonts w:hint="eastAsia" w:ascii="仿宋_GB2312" w:hAnsi="仿宋_GB2312" w:eastAsia="仿宋_GB2312" w:cs="仿宋_GB2312"/>
          <w:bCs/>
          <w:sz w:val="28"/>
          <w:szCs w:val="28"/>
        </w:rPr>
        <w:t>资金投入分析</w:t>
      </w:r>
      <w:bookmarkEnd w:id="82"/>
      <w:bookmarkEnd w:id="83"/>
      <w:bookmarkEnd w:id="84"/>
      <w:bookmarkEnd w:id="85"/>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w:t>
      </w: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）预算编制科学性</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项目预算按安检场所数量，人员及物品流量等测算得出</w:t>
      </w:r>
      <w:r>
        <w:rPr>
          <w:rFonts w:ascii="仿宋_GB2312" w:hAnsi="仿宋_GB2312" w:eastAsia="仿宋_GB2312" w:cs="仿宋_GB2312"/>
          <w:kern w:val="44"/>
          <w:sz w:val="28"/>
          <w:szCs w:val="28"/>
        </w:rPr>
        <w:t>2,780,820.00</w:t>
      </w:r>
      <w:r>
        <w:rPr>
          <w:rFonts w:hint="eastAsia" w:ascii="仿宋_GB2312" w:hAnsi="仿宋_GB2312" w:eastAsia="仿宋_GB2312" w:cs="仿宋_GB2312"/>
          <w:kern w:val="44"/>
          <w:sz w:val="28"/>
          <w:szCs w:val="28"/>
        </w:rPr>
        <w:t>元，预算测算依据不够细化与实际人数存在一定差异，预算编制科学性不足。该项指标权重分</w:t>
      </w: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分，根据评分规则评价得</w:t>
      </w:r>
      <w:r>
        <w:rPr>
          <w:rFonts w:ascii="仿宋_GB2312" w:hAnsi="仿宋_GB2312" w:eastAsia="仿宋_GB2312" w:cs="仿宋_GB2312"/>
          <w:kern w:val="44"/>
          <w:sz w:val="28"/>
          <w:szCs w:val="28"/>
        </w:rPr>
        <w:t>0.72</w:t>
      </w:r>
      <w:r>
        <w:rPr>
          <w:rFonts w:hint="eastAsia" w:ascii="仿宋_GB2312" w:hAnsi="仿宋_GB2312" w:eastAsia="仿宋_GB2312" w:cs="仿宋_GB2312"/>
          <w:kern w:val="44"/>
          <w:sz w:val="28"/>
          <w:szCs w:val="28"/>
        </w:rPr>
        <w:t>分。</w:t>
      </w:r>
    </w:p>
    <w:p>
      <w:pPr>
        <w:numPr>
          <w:ilvl w:val="0"/>
          <w:numId w:val="8"/>
        </w:numPr>
        <w:ind w:firstLine="56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资金分配合理性</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由于项目预算编制科学性不足，资金分配的合理性无法准确判定。该项指标权重分</w:t>
      </w: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分，根据评分规则评价得</w:t>
      </w:r>
      <w:r>
        <w:rPr>
          <w:rFonts w:ascii="仿宋_GB2312" w:hAnsi="仿宋_GB2312" w:eastAsia="仿宋_GB2312" w:cs="仿宋_GB2312"/>
          <w:kern w:val="44"/>
          <w:sz w:val="28"/>
          <w:szCs w:val="28"/>
        </w:rPr>
        <w:t>1.00</w:t>
      </w:r>
      <w:r>
        <w:rPr>
          <w:rFonts w:hint="eastAsia" w:ascii="仿宋_GB2312" w:hAnsi="仿宋_GB2312" w:eastAsia="仿宋_GB2312" w:cs="仿宋_GB2312"/>
          <w:kern w:val="44"/>
          <w:sz w:val="28"/>
          <w:szCs w:val="28"/>
        </w:rPr>
        <w:t>分。</w:t>
      </w:r>
    </w:p>
    <w:p>
      <w:pPr>
        <w:numPr>
          <w:ilvl w:val="0"/>
          <w:numId w:val="6"/>
        </w:numPr>
        <w:spacing w:line="560" w:lineRule="exact"/>
        <w:outlineLvl w:val="1"/>
        <w:rPr>
          <w:rFonts w:ascii="楷体_GB2312" w:hAnsi="楷体_GB2312" w:eastAsia="楷体_GB2312" w:cs="楷体_GB2312"/>
          <w:bCs/>
          <w:sz w:val="32"/>
          <w:szCs w:val="32"/>
        </w:rPr>
      </w:pPr>
      <w:bookmarkStart w:id="86" w:name="_Toc14468"/>
      <w:bookmarkStart w:id="87" w:name="_Toc9756"/>
      <w:bookmarkStart w:id="88" w:name="_Toc21291"/>
      <w:bookmarkStart w:id="89" w:name="_Toc4843"/>
      <w:bookmarkStart w:id="90" w:name="_Toc77203358"/>
      <w:r>
        <w:rPr>
          <w:rFonts w:hint="eastAsia" w:ascii="楷体_GB2312" w:hAnsi="楷体_GB2312" w:eastAsia="楷体_GB2312" w:cs="楷体_GB2312"/>
          <w:bCs/>
          <w:sz w:val="32"/>
          <w:szCs w:val="32"/>
        </w:rPr>
        <w:t>项目</w:t>
      </w:r>
      <w:bookmarkEnd w:id="86"/>
      <w:bookmarkEnd w:id="87"/>
      <w:bookmarkEnd w:id="88"/>
      <w:bookmarkEnd w:id="89"/>
      <w:r>
        <w:rPr>
          <w:rFonts w:hint="eastAsia" w:ascii="楷体_GB2312" w:hAnsi="楷体_GB2312" w:eastAsia="楷体_GB2312" w:cs="楷体_GB2312"/>
          <w:bCs/>
          <w:sz w:val="32"/>
          <w:szCs w:val="32"/>
        </w:rPr>
        <w:t>过程情况</w:t>
      </w:r>
      <w:bookmarkEnd w:id="90"/>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过程部分从资金管理和组织实施两个方面六个三级指标对项目进行考察，过程类指标分值为</w:t>
      </w:r>
      <w:r>
        <w:rPr>
          <w:rFonts w:ascii="仿宋_GB2312" w:hAnsi="仿宋_GB2312" w:eastAsia="仿宋_GB2312" w:cs="仿宋_GB2312"/>
          <w:kern w:val="44"/>
          <w:sz w:val="28"/>
          <w:szCs w:val="28"/>
        </w:rPr>
        <w:t>20</w:t>
      </w:r>
      <w:r>
        <w:rPr>
          <w:rFonts w:hint="eastAsia" w:ascii="仿宋_GB2312" w:hAnsi="仿宋_GB2312" w:eastAsia="仿宋_GB2312" w:cs="仿宋_GB2312"/>
          <w:kern w:val="44"/>
          <w:sz w:val="28"/>
          <w:szCs w:val="28"/>
        </w:rPr>
        <w:t>分，本项目实际得分</w:t>
      </w:r>
      <w:r>
        <w:rPr>
          <w:rFonts w:ascii="仿宋_GB2312" w:hAnsi="仿宋_GB2312" w:eastAsia="仿宋_GB2312" w:cs="仿宋_GB2312"/>
          <w:kern w:val="44"/>
          <w:sz w:val="28"/>
          <w:szCs w:val="28"/>
        </w:rPr>
        <w:t>18.96</w:t>
      </w:r>
      <w:r>
        <w:rPr>
          <w:rFonts w:hint="eastAsia" w:ascii="仿宋_GB2312" w:hAnsi="仿宋_GB2312" w:eastAsia="仿宋_GB2312" w:cs="仿宋_GB2312"/>
          <w:kern w:val="44"/>
          <w:sz w:val="28"/>
          <w:szCs w:val="28"/>
        </w:rPr>
        <w:t>分，得分率</w:t>
      </w:r>
      <w:r>
        <w:rPr>
          <w:rFonts w:ascii="仿宋_GB2312" w:hAnsi="仿宋_GB2312" w:eastAsia="仿宋_GB2312" w:cs="仿宋_GB2312"/>
          <w:kern w:val="44"/>
          <w:sz w:val="28"/>
          <w:szCs w:val="28"/>
        </w:rPr>
        <w:t>94.80%</w:t>
      </w:r>
      <w:r>
        <w:rPr>
          <w:rFonts w:hint="eastAsia" w:ascii="仿宋_GB2312" w:hAnsi="仿宋_GB2312" w:eastAsia="仿宋_GB2312" w:cs="仿宋_GB2312"/>
          <w:kern w:val="44"/>
          <w:sz w:val="28"/>
          <w:szCs w:val="28"/>
        </w:rPr>
        <w:t>。具体如下表：</w:t>
      </w:r>
    </w:p>
    <w:tbl>
      <w:tblPr>
        <w:tblStyle w:val="18"/>
        <w:tblW w:w="8517"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55"/>
        <w:gridCol w:w="3071"/>
        <w:gridCol w:w="1055"/>
        <w:gridCol w:w="1067"/>
        <w:gridCol w:w="1073"/>
        <w:gridCol w:w="1196"/>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00" w:hRule="atLeast"/>
        </w:trPr>
        <w:tc>
          <w:tcPr>
            <w:tcW w:w="1055"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序号</w:t>
            </w:r>
          </w:p>
        </w:tc>
        <w:tc>
          <w:tcPr>
            <w:tcW w:w="3071"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三级指标内容</w:t>
            </w:r>
          </w:p>
        </w:tc>
        <w:tc>
          <w:tcPr>
            <w:tcW w:w="1055"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权重</w:t>
            </w:r>
          </w:p>
        </w:tc>
        <w:tc>
          <w:tcPr>
            <w:tcW w:w="1067"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目标值</w:t>
            </w:r>
          </w:p>
        </w:tc>
        <w:tc>
          <w:tcPr>
            <w:tcW w:w="1073"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w:t>
            </w:r>
          </w:p>
        </w:tc>
        <w:tc>
          <w:tcPr>
            <w:tcW w:w="1196"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5" w:hRule="atLeast"/>
        </w:trPr>
        <w:tc>
          <w:tcPr>
            <w:tcW w:w="1055"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w:t>
            </w:r>
          </w:p>
        </w:tc>
        <w:tc>
          <w:tcPr>
            <w:tcW w:w="3071"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资金到位率</w:t>
            </w:r>
          </w:p>
        </w:tc>
        <w:tc>
          <w:tcPr>
            <w:tcW w:w="1055"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1067"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w:t>
            </w:r>
          </w:p>
        </w:tc>
        <w:tc>
          <w:tcPr>
            <w:tcW w:w="1073"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2.00 </w:t>
            </w:r>
          </w:p>
        </w:tc>
        <w:tc>
          <w:tcPr>
            <w:tcW w:w="1196"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5" w:hRule="atLeast"/>
        </w:trPr>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3071"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预算执行率</w:t>
            </w:r>
          </w:p>
        </w:tc>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4</w:t>
            </w:r>
          </w:p>
        </w:tc>
        <w:tc>
          <w:tcPr>
            <w:tcW w:w="1067"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w:t>
            </w:r>
          </w:p>
        </w:tc>
        <w:tc>
          <w:tcPr>
            <w:tcW w:w="1073"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4.00 </w:t>
            </w:r>
          </w:p>
        </w:tc>
        <w:tc>
          <w:tcPr>
            <w:tcW w:w="1196"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5" w:hRule="atLeast"/>
        </w:trPr>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3</w:t>
            </w:r>
          </w:p>
        </w:tc>
        <w:tc>
          <w:tcPr>
            <w:tcW w:w="3071"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资金使用合规性</w:t>
            </w:r>
          </w:p>
        </w:tc>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4</w:t>
            </w:r>
          </w:p>
        </w:tc>
        <w:tc>
          <w:tcPr>
            <w:tcW w:w="1067"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规范</w:t>
            </w:r>
          </w:p>
        </w:tc>
        <w:tc>
          <w:tcPr>
            <w:tcW w:w="1073"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4.00 </w:t>
            </w:r>
          </w:p>
        </w:tc>
        <w:tc>
          <w:tcPr>
            <w:tcW w:w="1196"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5" w:hRule="atLeast"/>
        </w:trPr>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4</w:t>
            </w:r>
          </w:p>
        </w:tc>
        <w:tc>
          <w:tcPr>
            <w:tcW w:w="3071"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管理制度健全性</w:t>
            </w:r>
          </w:p>
        </w:tc>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4</w:t>
            </w:r>
          </w:p>
        </w:tc>
        <w:tc>
          <w:tcPr>
            <w:tcW w:w="1067"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健全</w:t>
            </w:r>
          </w:p>
        </w:tc>
        <w:tc>
          <w:tcPr>
            <w:tcW w:w="1073"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4.00 </w:t>
            </w:r>
          </w:p>
        </w:tc>
        <w:tc>
          <w:tcPr>
            <w:tcW w:w="1196"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5" w:hRule="atLeast"/>
        </w:trPr>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5</w:t>
            </w:r>
          </w:p>
        </w:tc>
        <w:tc>
          <w:tcPr>
            <w:tcW w:w="3071"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制度执行有效性</w:t>
            </w:r>
          </w:p>
        </w:tc>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4</w:t>
            </w:r>
          </w:p>
        </w:tc>
        <w:tc>
          <w:tcPr>
            <w:tcW w:w="1067"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有效</w:t>
            </w:r>
          </w:p>
        </w:tc>
        <w:tc>
          <w:tcPr>
            <w:tcW w:w="1073"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3.22 </w:t>
            </w:r>
          </w:p>
        </w:tc>
        <w:tc>
          <w:tcPr>
            <w:tcW w:w="1196"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80.50%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5" w:hRule="atLeast"/>
        </w:trPr>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6</w:t>
            </w:r>
          </w:p>
        </w:tc>
        <w:tc>
          <w:tcPr>
            <w:tcW w:w="3071"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实施方案有效性</w:t>
            </w:r>
          </w:p>
        </w:tc>
        <w:tc>
          <w:tcPr>
            <w:tcW w:w="1055"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1067"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有效</w:t>
            </w:r>
          </w:p>
        </w:tc>
        <w:tc>
          <w:tcPr>
            <w:tcW w:w="1073"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1.74 </w:t>
            </w:r>
          </w:p>
        </w:tc>
        <w:tc>
          <w:tcPr>
            <w:tcW w:w="1196"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87.00%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5" w:hRule="atLeast"/>
        </w:trPr>
        <w:tc>
          <w:tcPr>
            <w:tcW w:w="1055" w:type="dxa"/>
            <w:tcBorders>
              <w:bottom w:val="single" w:color="auto" w:sz="12" w:space="0"/>
            </w:tcBorders>
            <w:vAlign w:val="center"/>
          </w:tcPr>
          <w:p>
            <w:pPr>
              <w:widowControl/>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3071"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分值合计</w:t>
            </w:r>
          </w:p>
        </w:tc>
        <w:tc>
          <w:tcPr>
            <w:tcW w:w="1055"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ascii="仿宋" w:hAnsi="仿宋" w:eastAsia="仿宋" w:cs="宋体"/>
                <w:b/>
                <w:color w:val="000000"/>
                <w:kern w:val="0"/>
                <w:sz w:val="24"/>
                <w:szCs w:val="24"/>
              </w:rPr>
              <w:t>20</w:t>
            </w:r>
          </w:p>
        </w:tc>
        <w:tc>
          <w:tcPr>
            <w:tcW w:w="1067" w:type="dxa"/>
            <w:tcBorders>
              <w:bottom w:val="single" w:color="auto" w:sz="12" w:space="0"/>
            </w:tcBorders>
            <w:vAlign w:val="center"/>
          </w:tcPr>
          <w:p>
            <w:pPr>
              <w:widowControl/>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w:t>
            </w:r>
          </w:p>
        </w:tc>
        <w:tc>
          <w:tcPr>
            <w:tcW w:w="1073" w:type="dxa"/>
            <w:tcBorders>
              <w:bottom w:val="single" w:color="auto" w:sz="12" w:space="0"/>
            </w:tcBorders>
            <w:vAlign w:val="center"/>
          </w:tcPr>
          <w:p>
            <w:pPr>
              <w:widowControl/>
              <w:jc w:val="center"/>
              <w:rPr>
                <w:rFonts w:ascii="仿宋" w:hAnsi="仿宋" w:eastAsia="仿宋" w:cs="宋体"/>
                <w:b/>
                <w:bCs/>
                <w:color w:val="000000"/>
                <w:kern w:val="0"/>
                <w:sz w:val="24"/>
                <w:szCs w:val="24"/>
              </w:rPr>
            </w:pPr>
            <w:r>
              <w:rPr>
                <w:rFonts w:ascii="仿宋" w:hAnsi="仿宋" w:eastAsia="仿宋" w:cs="宋体"/>
                <w:b/>
                <w:bCs/>
                <w:color w:val="000000"/>
                <w:kern w:val="0"/>
                <w:sz w:val="24"/>
                <w:szCs w:val="24"/>
              </w:rPr>
              <w:t xml:space="preserve">18.96 </w:t>
            </w:r>
          </w:p>
        </w:tc>
        <w:tc>
          <w:tcPr>
            <w:tcW w:w="1196" w:type="dxa"/>
            <w:tcBorders>
              <w:bottom w:val="single" w:color="auto" w:sz="12" w:space="0"/>
            </w:tcBorders>
            <w:vAlign w:val="center"/>
          </w:tcPr>
          <w:p>
            <w:pPr>
              <w:widowControl/>
              <w:jc w:val="center"/>
              <w:rPr>
                <w:rFonts w:ascii="仿宋" w:hAnsi="仿宋" w:eastAsia="仿宋" w:cs="宋体"/>
                <w:b/>
                <w:bCs/>
                <w:color w:val="000000"/>
                <w:kern w:val="0"/>
                <w:sz w:val="24"/>
                <w:szCs w:val="24"/>
              </w:rPr>
            </w:pPr>
            <w:r>
              <w:rPr>
                <w:rFonts w:ascii="仿宋" w:hAnsi="仿宋" w:eastAsia="仿宋" w:cs="宋体"/>
                <w:b/>
                <w:bCs/>
                <w:color w:val="000000"/>
                <w:kern w:val="0"/>
                <w:sz w:val="24"/>
                <w:szCs w:val="24"/>
              </w:rPr>
              <w:t>94.80%</w:t>
            </w:r>
          </w:p>
        </w:tc>
      </w:tr>
    </w:tbl>
    <w:p>
      <w:pPr>
        <w:outlineLvl w:val="3"/>
        <w:rPr>
          <w:rFonts w:ascii="宋体" w:cs="仿宋_GB2312"/>
          <w:kern w:val="44"/>
          <w:szCs w:val="21"/>
        </w:rPr>
      </w:pPr>
    </w:p>
    <w:p>
      <w:pPr>
        <w:numPr>
          <w:ilvl w:val="0"/>
          <w:numId w:val="9"/>
        </w:numPr>
        <w:spacing w:line="560" w:lineRule="exact"/>
        <w:ind w:firstLine="560" w:firstLineChars="200"/>
        <w:outlineLvl w:val="2"/>
        <w:rPr>
          <w:rFonts w:ascii="仿宋_GB2312" w:hAnsi="仿宋_GB2312" w:eastAsia="仿宋_GB2312" w:cs="仿宋_GB2312"/>
          <w:bCs/>
          <w:sz w:val="28"/>
          <w:szCs w:val="28"/>
        </w:rPr>
      </w:pPr>
      <w:bookmarkStart w:id="91" w:name="_Toc77203359"/>
      <w:r>
        <w:rPr>
          <w:rFonts w:hint="eastAsia" w:ascii="仿宋_GB2312" w:hAnsi="仿宋_GB2312" w:eastAsia="仿宋_GB2312" w:cs="仿宋_GB2312"/>
          <w:bCs/>
          <w:sz w:val="28"/>
          <w:szCs w:val="28"/>
        </w:rPr>
        <w:t>资金使用及管理情况</w:t>
      </w:r>
      <w:bookmarkEnd w:id="91"/>
    </w:p>
    <w:p>
      <w:pPr>
        <w:numPr>
          <w:ilvl w:val="0"/>
          <w:numId w:val="10"/>
        </w:numPr>
        <w:rPr>
          <w:rFonts w:ascii="仿宋_GB2312" w:hAnsi="仿宋_GB2312" w:eastAsia="仿宋_GB2312" w:cs="仿宋_GB2312"/>
          <w:bCs/>
          <w:kern w:val="0"/>
          <w:sz w:val="28"/>
          <w:szCs w:val="28"/>
        </w:rPr>
      </w:pPr>
      <w:bookmarkStart w:id="92" w:name="_Toc28045"/>
      <w:bookmarkStart w:id="93" w:name="_Toc31939"/>
      <w:bookmarkStart w:id="94" w:name="_Toc18405"/>
      <w:r>
        <w:rPr>
          <w:rFonts w:hint="eastAsia" w:ascii="仿宋_GB2312" w:hAnsi="仿宋_GB2312" w:eastAsia="仿宋_GB2312" w:cs="仿宋_GB2312"/>
          <w:bCs/>
          <w:kern w:val="0"/>
          <w:sz w:val="28"/>
          <w:szCs w:val="28"/>
        </w:rPr>
        <w:t>资金到位率</w:t>
      </w:r>
      <w:bookmarkEnd w:id="92"/>
      <w:bookmarkEnd w:id="93"/>
      <w:bookmarkEnd w:id="94"/>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w:t>
      </w:r>
      <w:r>
        <w:rPr>
          <w:rFonts w:ascii="仿宋_GB2312" w:hAnsi="仿宋_GB2312" w:eastAsia="仿宋_GB2312" w:cs="仿宋_GB2312"/>
          <w:kern w:val="44"/>
          <w:sz w:val="28"/>
          <w:szCs w:val="28"/>
        </w:rPr>
        <w:t>2024</w:t>
      </w:r>
      <w:r>
        <w:rPr>
          <w:rFonts w:hint="eastAsia" w:ascii="仿宋_GB2312" w:hAnsi="仿宋_GB2312" w:eastAsia="仿宋_GB2312" w:cs="仿宋_GB2312"/>
          <w:kern w:val="44"/>
          <w:sz w:val="28"/>
          <w:szCs w:val="28"/>
        </w:rPr>
        <w:t>年预算批复</w:t>
      </w:r>
      <w:r>
        <w:rPr>
          <w:rFonts w:ascii="仿宋_GB2312" w:hAnsi="仿宋" w:eastAsia="仿宋_GB2312"/>
          <w:kern w:val="0"/>
          <w:sz w:val="28"/>
          <w:szCs w:val="28"/>
        </w:rPr>
        <w:t>2,780,820.00</w:t>
      </w:r>
      <w:r>
        <w:rPr>
          <w:rFonts w:hint="eastAsia" w:ascii="仿宋_GB2312" w:hAnsi="仿宋_GB2312" w:eastAsia="仿宋_GB2312" w:cs="仿宋_GB2312"/>
          <w:kern w:val="44"/>
          <w:sz w:val="28"/>
          <w:szCs w:val="28"/>
        </w:rPr>
        <w:t>元，实际到位资金</w:t>
      </w:r>
      <w:r>
        <w:rPr>
          <w:rFonts w:ascii="仿宋_GB2312" w:hAnsi="仿宋" w:eastAsia="仿宋_GB2312"/>
          <w:kern w:val="0"/>
          <w:sz w:val="28"/>
          <w:szCs w:val="28"/>
        </w:rPr>
        <w:t>2,780,820.00</w:t>
      </w:r>
      <w:r>
        <w:rPr>
          <w:rFonts w:hint="eastAsia" w:ascii="仿宋_GB2312" w:hAnsi="仿宋_GB2312" w:eastAsia="仿宋_GB2312" w:cs="仿宋_GB2312"/>
          <w:kern w:val="44"/>
          <w:sz w:val="28"/>
          <w:szCs w:val="28"/>
        </w:rPr>
        <w:t>元，资金到位率</w:t>
      </w:r>
      <w:r>
        <w:rPr>
          <w:rFonts w:ascii="仿宋_GB2312" w:hAnsi="仿宋_GB2312" w:eastAsia="仿宋_GB2312" w:cs="仿宋_GB2312"/>
          <w:kern w:val="44"/>
          <w:sz w:val="28"/>
          <w:szCs w:val="28"/>
        </w:rPr>
        <w:t>100%</w:t>
      </w:r>
      <w:r>
        <w:rPr>
          <w:rFonts w:hint="eastAsia" w:ascii="仿宋_GB2312" w:hAnsi="仿宋_GB2312" w:eastAsia="仿宋_GB2312" w:cs="仿宋_GB2312"/>
          <w:kern w:val="44"/>
          <w:sz w:val="28"/>
          <w:szCs w:val="28"/>
        </w:rPr>
        <w:t>。该项指标权重分</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分。</w:t>
      </w:r>
    </w:p>
    <w:p>
      <w:pPr>
        <w:numPr>
          <w:ilvl w:val="0"/>
          <w:numId w:val="10"/>
        </w:numPr>
        <w:rPr>
          <w:rFonts w:ascii="仿宋_GB2312" w:hAnsi="仿宋_GB2312" w:eastAsia="仿宋_GB2312" w:cs="仿宋_GB2312"/>
          <w:bCs/>
          <w:kern w:val="0"/>
          <w:sz w:val="28"/>
          <w:szCs w:val="28"/>
        </w:rPr>
      </w:pPr>
      <w:bookmarkStart w:id="95" w:name="_Toc26175"/>
      <w:bookmarkStart w:id="96" w:name="_Toc19603"/>
      <w:bookmarkStart w:id="97" w:name="_Toc32425"/>
      <w:r>
        <w:rPr>
          <w:rFonts w:hint="eastAsia" w:ascii="仿宋_GB2312" w:hAnsi="仿宋_GB2312" w:eastAsia="仿宋_GB2312" w:cs="仿宋_GB2312"/>
          <w:bCs/>
          <w:kern w:val="0"/>
          <w:sz w:val="28"/>
          <w:szCs w:val="28"/>
        </w:rPr>
        <w:t>预算执行率</w:t>
      </w:r>
      <w:bookmarkEnd w:id="95"/>
      <w:bookmarkEnd w:id="96"/>
      <w:bookmarkEnd w:id="97"/>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w:t>
      </w:r>
      <w:r>
        <w:rPr>
          <w:rFonts w:ascii="仿宋_GB2312" w:hAnsi="仿宋_GB2312" w:eastAsia="仿宋_GB2312" w:cs="仿宋_GB2312"/>
          <w:kern w:val="44"/>
          <w:sz w:val="28"/>
          <w:szCs w:val="28"/>
        </w:rPr>
        <w:t>2024</w:t>
      </w:r>
      <w:r>
        <w:rPr>
          <w:rFonts w:hint="eastAsia" w:ascii="仿宋_GB2312" w:hAnsi="仿宋_GB2312" w:eastAsia="仿宋_GB2312" w:cs="仿宋_GB2312"/>
          <w:kern w:val="44"/>
          <w:sz w:val="28"/>
          <w:szCs w:val="28"/>
        </w:rPr>
        <w:t>年最终获批资金预算</w:t>
      </w:r>
      <w:r>
        <w:rPr>
          <w:rFonts w:ascii="仿宋_GB2312" w:hAnsi="仿宋" w:eastAsia="仿宋_GB2312"/>
          <w:kern w:val="0"/>
          <w:sz w:val="28"/>
          <w:szCs w:val="28"/>
        </w:rPr>
        <w:t>2,780,820.00</w:t>
      </w:r>
      <w:r>
        <w:rPr>
          <w:rFonts w:hint="eastAsia" w:ascii="仿宋_GB2312" w:hAnsi="仿宋_GB2312" w:eastAsia="仿宋_GB2312" w:cs="仿宋_GB2312"/>
          <w:kern w:val="44"/>
          <w:sz w:val="28"/>
          <w:szCs w:val="28"/>
        </w:rPr>
        <w:t>元，截至</w:t>
      </w:r>
      <w:r>
        <w:rPr>
          <w:rFonts w:ascii="仿宋_GB2312" w:hAnsi="仿宋_GB2312" w:eastAsia="仿宋_GB2312" w:cs="仿宋_GB2312"/>
          <w:kern w:val="44"/>
          <w:sz w:val="28"/>
          <w:szCs w:val="28"/>
        </w:rPr>
        <w:t>2024</w:t>
      </w:r>
      <w:r>
        <w:rPr>
          <w:rFonts w:hint="eastAsia" w:ascii="仿宋_GB2312" w:hAnsi="仿宋_GB2312" w:eastAsia="仿宋_GB2312" w:cs="仿宋_GB2312"/>
          <w:kern w:val="44"/>
          <w:sz w:val="28"/>
          <w:szCs w:val="28"/>
        </w:rPr>
        <w:t>年</w:t>
      </w:r>
      <w:r>
        <w:rPr>
          <w:rFonts w:ascii="仿宋_GB2312" w:hAnsi="仿宋_GB2312" w:eastAsia="仿宋_GB2312" w:cs="仿宋_GB2312"/>
          <w:kern w:val="44"/>
          <w:sz w:val="28"/>
          <w:szCs w:val="28"/>
        </w:rPr>
        <w:t>12</w:t>
      </w:r>
      <w:r>
        <w:rPr>
          <w:rFonts w:hint="eastAsia" w:ascii="仿宋_GB2312" w:hAnsi="仿宋_GB2312" w:eastAsia="仿宋_GB2312" w:cs="仿宋_GB2312"/>
          <w:kern w:val="44"/>
          <w:sz w:val="28"/>
          <w:szCs w:val="28"/>
        </w:rPr>
        <w:t>月</w:t>
      </w:r>
      <w:r>
        <w:rPr>
          <w:rFonts w:ascii="仿宋_GB2312" w:hAnsi="仿宋_GB2312" w:eastAsia="仿宋_GB2312" w:cs="仿宋_GB2312"/>
          <w:kern w:val="44"/>
          <w:sz w:val="28"/>
          <w:szCs w:val="28"/>
        </w:rPr>
        <w:t>31</w:t>
      </w:r>
      <w:r>
        <w:rPr>
          <w:rFonts w:hint="eastAsia" w:ascii="仿宋_GB2312" w:hAnsi="仿宋_GB2312" w:eastAsia="仿宋_GB2312" w:cs="仿宋_GB2312"/>
          <w:kern w:val="44"/>
          <w:sz w:val="28"/>
          <w:szCs w:val="28"/>
        </w:rPr>
        <w:t>日，已实际支付资金</w:t>
      </w:r>
      <w:r>
        <w:rPr>
          <w:rFonts w:ascii="仿宋_GB2312" w:hAnsi="仿宋" w:eastAsia="仿宋_GB2312"/>
          <w:kern w:val="0"/>
          <w:sz w:val="28"/>
          <w:szCs w:val="28"/>
        </w:rPr>
        <w:t>2,780,820.00</w:t>
      </w:r>
      <w:r>
        <w:rPr>
          <w:rFonts w:hint="eastAsia" w:ascii="仿宋_GB2312" w:hAnsi="仿宋_GB2312" w:eastAsia="仿宋_GB2312" w:cs="仿宋_GB2312"/>
          <w:kern w:val="44"/>
          <w:sz w:val="28"/>
          <w:szCs w:val="28"/>
        </w:rPr>
        <w:t>元，预算执行率为</w:t>
      </w:r>
      <w:r>
        <w:rPr>
          <w:rFonts w:ascii="仿宋_GB2312" w:hAnsi="仿宋_GB2312" w:eastAsia="仿宋_GB2312" w:cs="仿宋_GB2312"/>
          <w:kern w:val="44"/>
          <w:sz w:val="28"/>
          <w:szCs w:val="28"/>
        </w:rPr>
        <w:t>100%</w:t>
      </w:r>
      <w:r>
        <w:rPr>
          <w:rFonts w:hint="eastAsia" w:ascii="仿宋_GB2312" w:hAnsi="仿宋_GB2312" w:eastAsia="仿宋_GB2312" w:cs="仿宋_GB2312"/>
          <w:kern w:val="44"/>
          <w:sz w:val="28"/>
          <w:szCs w:val="28"/>
        </w:rPr>
        <w:t>。该项指标权重分</w:t>
      </w:r>
      <w:r>
        <w:rPr>
          <w:rFonts w:ascii="仿宋_GB2312" w:hAnsi="仿宋_GB2312" w:eastAsia="仿宋_GB2312" w:cs="仿宋_GB2312"/>
          <w:kern w:val="44"/>
          <w:sz w:val="28"/>
          <w:szCs w:val="28"/>
        </w:rPr>
        <w:t>4</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4</w:t>
      </w:r>
      <w:r>
        <w:rPr>
          <w:rFonts w:hint="eastAsia" w:ascii="仿宋_GB2312" w:hAnsi="仿宋_GB2312" w:eastAsia="仿宋_GB2312" w:cs="仿宋_GB2312"/>
          <w:kern w:val="44"/>
          <w:sz w:val="28"/>
          <w:szCs w:val="28"/>
        </w:rPr>
        <w:t>分。</w:t>
      </w:r>
    </w:p>
    <w:p>
      <w:pPr>
        <w:numPr>
          <w:ilvl w:val="0"/>
          <w:numId w:val="10"/>
        </w:numPr>
        <w:rPr>
          <w:rFonts w:ascii="仿宋_GB2312" w:hAnsi="仿宋_GB2312" w:eastAsia="仿宋_GB2312" w:cs="仿宋_GB2312"/>
          <w:bCs/>
          <w:kern w:val="44"/>
          <w:sz w:val="28"/>
          <w:szCs w:val="28"/>
        </w:rPr>
      </w:pPr>
      <w:bookmarkStart w:id="98" w:name="_Toc567"/>
      <w:bookmarkStart w:id="99" w:name="_Toc7531"/>
      <w:bookmarkStart w:id="100" w:name="_Toc26289"/>
      <w:r>
        <w:rPr>
          <w:rFonts w:hint="eastAsia" w:ascii="仿宋_GB2312" w:hAnsi="仿宋_GB2312" w:eastAsia="仿宋_GB2312" w:cs="仿宋_GB2312"/>
          <w:bCs/>
          <w:kern w:val="44"/>
          <w:sz w:val="28"/>
          <w:szCs w:val="28"/>
        </w:rPr>
        <w:t>资金使用合规性</w:t>
      </w:r>
      <w:bookmarkEnd w:id="98"/>
      <w:bookmarkEnd w:id="99"/>
      <w:bookmarkEnd w:id="100"/>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项目专项经费使用基本符合国家和本市财经法规，符合密云区法院财务内控规定；资金拨付有较完整的审批程序和手续，资金使用和项目规定的用途和内容相符。该项指标权重分</w:t>
      </w:r>
      <w:r>
        <w:rPr>
          <w:rFonts w:ascii="仿宋_GB2312" w:hAnsi="仿宋_GB2312" w:eastAsia="仿宋_GB2312" w:cs="仿宋_GB2312"/>
          <w:kern w:val="44"/>
          <w:sz w:val="28"/>
          <w:szCs w:val="28"/>
        </w:rPr>
        <w:t>4</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4.00</w:t>
      </w:r>
      <w:r>
        <w:rPr>
          <w:rFonts w:hint="eastAsia" w:ascii="仿宋_GB2312" w:hAnsi="仿宋_GB2312" w:eastAsia="仿宋_GB2312" w:cs="仿宋_GB2312"/>
          <w:kern w:val="44"/>
          <w:sz w:val="28"/>
          <w:szCs w:val="28"/>
        </w:rPr>
        <w:t>分。</w:t>
      </w:r>
      <w:r>
        <w:rPr>
          <w:rFonts w:ascii="仿宋_GB2312" w:hAnsi="仿宋_GB2312" w:eastAsia="仿宋_GB2312" w:cs="仿宋_GB2312"/>
          <w:kern w:val="44"/>
          <w:sz w:val="28"/>
          <w:szCs w:val="28"/>
        </w:rPr>
        <w:t xml:space="preserve">                                 </w:t>
      </w:r>
    </w:p>
    <w:p>
      <w:pPr>
        <w:numPr>
          <w:ilvl w:val="0"/>
          <w:numId w:val="9"/>
        </w:numPr>
        <w:spacing w:line="560" w:lineRule="exact"/>
        <w:ind w:firstLine="560" w:firstLineChars="200"/>
        <w:outlineLvl w:val="2"/>
        <w:rPr>
          <w:rFonts w:ascii="仿宋_GB2312" w:hAnsi="仿宋_GB2312" w:eastAsia="仿宋_GB2312" w:cs="仿宋_GB2312"/>
          <w:bCs/>
          <w:sz w:val="28"/>
          <w:szCs w:val="28"/>
        </w:rPr>
      </w:pPr>
      <w:bookmarkStart w:id="101" w:name="_Toc77203360"/>
      <w:r>
        <w:rPr>
          <w:rFonts w:hint="eastAsia" w:ascii="仿宋_GB2312" w:hAnsi="仿宋_GB2312" w:eastAsia="仿宋_GB2312" w:cs="仿宋_GB2312"/>
          <w:bCs/>
          <w:sz w:val="28"/>
          <w:szCs w:val="28"/>
        </w:rPr>
        <w:t>组织管理情况</w:t>
      </w:r>
      <w:bookmarkEnd w:id="101"/>
    </w:p>
    <w:p>
      <w:pPr>
        <w:numPr>
          <w:ilvl w:val="2"/>
          <w:numId w:val="11"/>
        </w:numPr>
        <w:rPr>
          <w:rFonts w:ascii="仿宋_GB2312" w:hAnsi="仿宋_GB2312" w:eastAsia="仿宋_GB2312" w:cs="仿宋_GB2312"/>
          <w:bCs/>
          <w:kern w:val="0"/>
          <w:sz w:val="28"/>
          <w:szCs w:val="28"/>
        </w:rPr>
      </w:pPr>
      <w:bookmarkStart w:id="102" w:name="_Toc31766"/>
      <w:bookmarkStart w:id="103" w:name="_Toc8558"/>
      <w:bookmarkStart w:id="104" w:name="_Toc22748"/>
      <w:r>
        <w:rPr>
          <w:rFonts w:hint="eastAsia" w:ascii="仿宋_GB2312" w:hAnsi="仿宋_GB2312" w:eastAsia="仿宋_GB2312" w:cs="仿宋_GB2312"/>
          <w:bCs/>
          <w:kern w:val="0"/>
          <w:sz w:val="28"/>
          <w:szCs w:val="28"/>
        </w:rPr>
        <w:t>管理制度健全性</w:t>
      </w:r>
      <w:bookmarkEnd w:id="102"/>
      <w:bookmarkEnd w:id="103"/>
      <w:bookmarkEnd w:id="104"/>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项目单位提供了《北京市密云区人民法</w:t>
      </w:r>
      <w:bookmarkStart w:id="180" w:name="_GoBack"/>
      <w:bookmarkEnd w:id="180"/>
      <w:r>
        <w:rPr>
          <w:rFonts w:hint="eastAsia" w:ascii="仿宋_GB2312" w:hAnsi="仿宋_GB2312" w:eastAsia="仿宋_GB2312" w:cs="仿宋_GB2312"/>
          <w:kern w:val="44"/>
          <w:sz w:val="28"/>
          <w:szCs w:val="28"/>
        </w:rPr>
        <w:t>院支出管理办法》，制定了《安检管理制度》明确了安检员岗位职责、安检员纪律规定，规范了安检工作流程等。管理制度基本合法、合规、健全。该项指标权重分</w:t>
      </w:r>
      <w:r>
        <w:rPr>
          <w:rFonts w:ascii="仿宋_GB2312" w:hAnsi="仿宋_GB2312" w:eastAsia="仿宋_GB2312" w:cs="仿宋_GB2312"/>
          <w:kern w:val="44"/>
          <w:sz w:val="28"/>
          <w:szCs w:val="28"/>
        </w:rPr>
        <w:t>4</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4</w:t>
      </w:r>
      <w:r>
        <w:rPr>
          <w:rFonts w:hint="eastAsia" w:ascii="仿宋_GB2312" w:hAnsi="仿宋_GB2312" w:eastAsia="仿宋_GB2312" w:cs="仿宋_GB2312"/>
          <w:kern w:val="44"/>
          <w:sz w:val="28"/>
          <w:szCs w:val="28"/>
        </w:rPr>
        <w:t>分。</w:t>
      </w:r>
    </w:p>
    <w:p>
      <w:pPr>
        <w:numPr>
          <w:ilvl w:val="2"/>
          <w:numId w:val="11"/>
        </w:numPr>
        <w:rPr>
          <w:rFonts w:ascii="仿宋_GB2312" w:hAnsi="仿宋_GB2312" w:eastAsia="仿宋_GB2312" w:cs="仿宋_GB2312"/>
          <w:bCs/>
          <w:kern w:val="0"/>
          <w:sz w:val="28"/>
          <w:szCs w:val="28"/>
        </w:rPr>
      </w:pPr>
      <w:bookmarkStart w:id="105" w:name="_Toc23471"/>
      <w:bookmarkStart w:id="106" w:name="_Toc26951"/>
      <w:bookmarkStart w:id="107" w:name="_Toc8657"/>
      <w:r>
        <w:rPr>
          <w:rFonts w:hint="eastAsia" w:ascii="仿宋_GB2312" w:hAnsi="仿宋_GB2312" w:eastAsia="仿宋_GB2312" w:cs="仿宋_GB2312"/>
          <w:bCs/>
          <w:kern w:val="0"/>
          <w:sz w:val="28"/>
          <w:szCs w:val="28"/>
        </w:rPr>
        <w:t>制度执行有效性</w:t>
      </w:r>
      <w:bookmarkEnd w:id="105"/>
      <w:bookmarkEnd w:id="106"/>
      <w:bookmarkEnd w:id="107"/>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项目的相关管理制度呈现的不够充分。该项指标权重分</w:t>
      </w:r>
      <w:r>
        <w:rPr>
          <w:rFonts w:ascii="仿宋_GB2312" w:hAnsi="仿宋_GB2312" w:eastAsia="仿宋_GB2312" w:cs="仿宋_GB2312"/>
          <w:kern w:val="44"/>
          <w:sz w:val="28"/>
          <w:szCs w:val="28"/>
        </w:rPr>
        <w:t>4</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3.22</w:t>
      </w:r>
      <w:r>
        <w:rPr>
          <w:rFonts w:hint="eastAsia" w:ascii="仿宋_GB2312" w:hAnsi="仿宋_GB2312" w:eastAsia="仿宋_GB2312" w:cs="仿宋_GB2312"/>
          <w:kern w:val="44"/>
          <w:sz w:val="28"/>
          <w:szCs w:val="28"/>
        </w:rPr>
        <w:t>分。</w:t>
      </w:r>
    </w:p>
    <w:p>
      <w:pPr>
        <w:numPr>
          <w:ilvl w:val="2"/>
          <w:numId w:val="11"/>
        </w:numPr>
        <w:rPr>
          <w:rFonts w:ascii="仿宋_GB2312" w:hAnsi="仿宋_GB2312" w:eastAsia="仿宋_GB2312" w:cs="仿宋_GB2312"/>
          <w:bCs/>
          <w:kern w:val="0"/>
          <w:sz w:val="28"/>
          <w:szCs w:val="28"/>
        </w:rPr>
      </w:pPr>
      <w:bookmarkStart w:id="108" w:name="_Toc32499"/>
      <w:bookmarkStart w:id="109" w:name="_Toc13188"/>
      <w:bookmarkStart w:id="110" w:name="_Toc15495"/>
      <w:r>
        <w:rPr>
          <w:rFonts w:hint="eastAsia" w:ascii="仿宋_GB2312" w:hAnsi="仿宋_GB2312" w:eastAsia="仿宋_GB2312" w:cs="仿宋_GB2312"/>
          <w:bCs/>
          <w:kern w:val="0"/>
          <w:sz w:val="28"/>
          <w:szCs w:val="28"/>
        </w:rPr>
        <w:t>实施方案有效性</w:t>
      </w:r>
      <w:bookmarkEnd w:id="108"/>
      <w:bookmarkEnd w:id="109"/>
      <w:bookmarkEnd w:id="110"/>
    </w:p>
    <w:p>
      <w:pPr>
        <w:ind w:firstLine="560" w:firstLineChars="200"/>
        <w:rPr>
          <w:rFonts w:ascii="仿宋_GB2312" w:hAnsi="仿宋_GB2312" w:eastAsia="仿宋_GB2312" w:cs="仿宋_GB2312"/>
          <w:kern w:val="44"/>
          <w:sz w:val="32"/>
          <w:szCs w:val="32"/>
        </w:rPr>
      </w:pPr>
      <w:r>
        <w:rPr>
          <w:rFonts w:hint="eastAsia" w:ascii="仿宋_GB2312" w:hAnsi="仿宋_GB2312" w:eastAsia="仿宋_GB2312" w:cs="仿宋_GB2312"/>
          <w:bCs/>
          <w:kern w:val="0"/>
          <w:sz w:val="28"/>
          <w:szCs w:val="28"/>
        </w:rPr>
        <w:t>未单独制定实施方案，实施方案在《安检管理制度》中有所体现，但不够具体，如未明确对危险品的处置方案，未明确对“突发事件进行处置”的流程、预案等</w:t>
      </w:r>
      <w:r>
        <w:rPr>
          <w:rFonts w:hint="eastAsia" w:ascii="仿宋_GB2312" w:hAnsi="仿宋_GB2312" w:eastAsia="仿宋_GB2312" w:cs="仿宋_GB2312"/>
          <w:kern w:val="44"/>
          <w:sz w:val="28"/>
          <w:szCs w:val="28"/>
        </w:rPr>
        <w:t>，实施方案的有效性不足。该项指标权重分</w:t>
      </w: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1.74</w:t>
      </w:r>
      <w:r>
        <w:rPr>
          <w:rFonts w:hint="eastAsia" w:ascii="仿宋_GB2312" w:hAnsi="仿宋_GB2312" w:eastAsia="仿宋_GB2312" w:cs="仿宋_GB2312"/>
          <w:kern w:val="44"/>
          <w:sz w:val="28"/>
          <w:szCs w:val="28"/>
        </w:rPr>
        <w:t>分。</w:t>
      </w:r>
    </w:p>
    <w:p>
      <w:pPr>
        <w:numPr>
          <w:ilvl w:val="0"/>
          <w:numId w:val="6"/>
        </w:numPr>
        <w:spacing w:line="560" w:lineRule="exact"/>
        <w:outlineLvl w:val="1"/>
        <w:rPr>
          <w:rFonts w:ascii="楷体_GB2312" w:hAnsi="楷体_GB2312" w:eastAsia="楷体_GB2312" w:cs="楷体_GB2312"/>
          <w:bCs/>
          <w:sz w:val="32"/>
          <w:szCs w:val="32"/>
        </w:rPr>
      </w:pPr>
      <w:bookmarkStart w:id="111" w:name="_Toc32517"/>
      <w:bookmarkStart w:id="112" w:name="_Toc13844"/>
      <w:bookmarkStart w:id="113" w:name="_Toc5531"/>
      <w:bookmarkStart w:id="114" w:name="_Toc77203361"/>
      <w:bookmarkStart w:id="115" w:name="_Toc968"/>
      <w:r>
        <w:rPr>
          <w:rFonts w:hint="eastAsia" w:ascii="楷体_GB2312" w:hAnsi="楷体_GB2312" w:eastAsia="楷体_GB2312" w:cs="楷体_GB2312"/>
          <w:bCs/>
          <w:sz w:val="32"/>
          <w:szCs w:val="32"/>
        </w:rPr>
        <w:t>项目产出</w:t>
      </w:r>
      <w:bookmarkEnd w:id="111"/>
      <w:bookmarkEnd w:id="112"/>
      <w:bookmarkEnd w:id="113"/>
      <w:bookmarkEnd w:id="114"/>
      <w:bookmarkEnd w:id="115"/>
      <w:r>
        <w:rPr>
          <w:rFonts w:hint="eastAsia" w:ascii="楷体_GB2312" w:hAnsi="楷体_GB2312" w:eastAsia="楷体_GB2312" w:cs="楷体_GB2312"/>
          <w:bCs/>
          <w:sz w:val="32"/>
          <w:szCs w:val="32"/>
        </w:rPr>
        <w:t>情况</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产出部分从产出数量、产出质量、产出时效和产出成本四个方面共四个三级指标对项目进行考察，产出类指标分值共计</w:t>
      </w:r>
      <w:r>
        <w:rPr>
          <w:rFonts w:ascii="仿宋_GB2312" w:hAnsi="仿宋_GB2312" w:eastAsia="仿宋_GB2312" w:cs="仿宋_GB2312"/>
          <w:kern w:val="44"/>
          <w:sz w:val="28"/>
          <w:szCs w:val="28"/>
        </w:rPr>
        <w:t>40</w:t>
      </w:r>
      <w:r>
        <w:rPr>
          <w:rFonts w:hint="eastAsia" w:ascii="仿宋_GB2312" w:hAnsi="仿宋_GB2312" w:eastAsia="仿宋_GB2312" w:cs="仿宋_GB2312"/>
          <w:kern w:val="44"/>
          <w:sz w:val="28"/>
          <w:szCs w:val="28"/>
        </w:rPr>
        <w:t>分，本项目得分</w:t>
      </w:r>
      <w:r>
        <w:rPr>
          <w:rFonts w:ascii="仿宋_GB2312" w:hAnsi="仿宋_GB2312" w:eastAsia="仿宋_GB2312" w:cs="仿宋_GB2312"/>
          <w:kern w:val="44"/>
          <w:sz w:val="28"/>
          <w:szCs w:val="28"/>
        </w:rPr>
        <w:t>36.30</w:t>
      </w:r>
      <w:r>
        <w:rPr>
          <w:rFonts w:hint="eastAsia" w:ascii="仿宋_GB2312" w:hAnsi="仿宋_GB2312" w:eastAsia="仿宋_GB2312" w:cs="仿宋_GB2312"/>
          <w:kern w:val="44"/>
          <w:sz w:val="28"/>
          <w:szCs w:val="28"/>
        </w:rPr>
        <w:t>分，得分率为</w:t>
      </w:r>
      <w:r>
        <w:rPr>
          <w:rFonts w:ascii="仿宋_GB2312" w:hAnsi="仿宋_GB2312" w:eastAsia="仿宋_GB2312" w:cs="仿宋_GB2312"/>
          <w:kern w:val="44"/>
          <w:sz w:val="28"/>
          <w:szCs w:val="28"/>
        </w:rPr>
        <w:t xml:space="preserve">90.75% </w:t>
      </w:r>
      <w:r>
        <w:rPr>
          <w:rFonts w:hint="eastAsia" w:ascii="仿宋_GB2312" w:hAnsi="仿宋_GB2312" w:eastAsia="仿宋_GB2312" w:cs="仿宋_GB2312"/>
          <w:kern w:val="44"/>
          <w:sz w:val="28"/>
          <w:szCs w:val="28"/>
        </w:rPr>
        <w:t>，具体得分情况如下表：</w:t>
      </w:r>
    </w:p>
    <w:tbl>
      <w:tblPr>
        <w:tblStyle w:val="18"/>
        <w:tblW w:w="8698"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80"/>
        <w:gridCol w:w="3188"/>
        <w:gridCol w:w="1080"/>
        <w:gridCol w:w="1080"/>
        <w:gridCol w:w="1080"/>
        <w:gridCol w:w="119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80" w:hRule="atLeast"/>
        </w:trPr>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序号</w:t>
            </w:r>
          </w:p>
        </w:tc>
        <w:tc>
          <w:tcPr>
            <w:tcW w:w="3188"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三级指标内容</w:t>
            </w:r>
          </w:p>
        </w:tc>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权重</w:t>
            </w:r>
          </w:p>
        </w:tc>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目标值</w:t>
            </w:r>
          </w:p>
        </w:tc>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w:t>
            </w:r>
          </w:p>
        </w:tc>
        <w:tc>
          <w:tcPr>
            <w:tcW w:w="119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w:t>
            </w:r>
          </w:p>
        </w:tc>
        <w:tc>
          <w:tcPr>
            <w:tcW w:w="3188"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实际完成率</w:t>
            </w:r>
          </w:p>
        </w:tc>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15</w:t>
            </w:r>
          </w:p>
        </w:tc>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w:t>
            </w:r>
          </w:p>
        </w:tc>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14.00 </w:t>
            </w:r>
          </w:p>
        </w:tc>
        <w:tc>
          <w:tcPr>
            <w:tcW w:w="119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93.33%</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3188"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质量达标率</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15</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13.50 </w:t>
            </w:r>
          </w:p>
        </w:tc>
        <w:tc>
          <w:tcPr>
            <w:tcW w:w="119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90.00%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3</w:t>
            </w:r>
          </w:p>
        </w:tc>
        <w:tc>
          <w:tcPr>
            <w:tcW w:w="3188"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完成及时性</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5</w:t>
            </w:r>
          </w:p>
        </w:tc>
        <w:tc>
          <w:tcPr>
            <w:tcW w:w="1080"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及时</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5.00 </w:t>
            </w:r>
          </w:p>
        </w:tc>
        <w:tc>
          <w:tcPr>
            <w:tcW w:w="119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4</w:t>
            </w:r>
          </w:p>
        </w:tc>
        <w:tc>
          <w:tcPr>
            <w:tcW w:w="3188"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成本节约率</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5</w:t>
            </w:r>
          </w:p>
        </w:tc>
        <w:tc>
          <w:tcPr>
            <w:tcW w:w="1080"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达标</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3.80 </w:t>
            </w:r>
          </w:p>
        </w:tc>
        <w:tc>
          <w:tcPr>
            <w:tcW w:w="119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76.00%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5" w:hRule="atLeast"/>
        </w:trPr>
        <w:tc>
          <w:tcPr>
            <w:tcW w:w="1080"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w:t>
            </w:r>
          </w:p>
        </w:tc>
        <w:tc>
          <w:tcPr>
            <w:tcW w:w="3188"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分值合计</w:t>
            </w:r>
          </w:p>
        </w:tc>
        <w:tc>
          <w:tcPr>
            <w:tcW w:w="1080"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ascii="仿宋" w:hAnsi="仿宋" w:eastAsia="仿宋" w:cs="宋体"/>
                <w:b/>
                <w:color w:val="000000"/>
                <w:kern w:val="0"/>
                <w:sz w:val="24"/>
                <w:szCs w:val="24"/>
              </w:rPr>
              <w:t>40</w:t>
            </w:r>
          </w:p>
        </w:tc>
        <w:tc>
          <w:tcPr>
            <w:tcW w:w="1080" w:type="dxa"/>
            <w:tcBorders>
              <w:bottom w:val="single" w:color="auto" w:sz="12" w:space="0"/>
            </w:tcBorders>
            <w:vAlign w:val="center"/>
          </w:tcPr>
          <w:p>
            <w:pPr>
              <w:widowControl/>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w:t>
            </w:r>
          </w:p>
        </w:tc>
        <w:tc>
          <w:tcPr>
            <w:tcW w:w="1080" w:type="dxa"/>
            <w:tcBorders>
              <w:bottom w:val="single" w:color="auto" w:sz="12" w:space="0"/>
            </w:tcBorders>
            <w:vAlign w:val="center"/>
          </w:tcPr>
          <w:p>
            <w:pPr>
              <w:widowControl/>
              <w:jc w:val="center"/>
              <w:rPr>
                <w:rFonts w:ascii="仿宋" w:hAnsi="仿宋" w:eastAsia="仿宋" w:cs="宋体"/>
                <w:b/>
                <w:bCs/>
                <w:color w:val="000000"/>
                <w:kern w:val="0"/>
                <w:sz w:val="24"/>
                <w:szCs w:val="24"/>
              </w:rPr>
            </w:pPr>
            <w:r>
              <w:rPr>
                <w:rFonts w:ascii="仿宋" w:hAnsi="仿宋" w:eastAsia="仿宋" w:cs="宋体"/>
                <w:b/>
                <w:bCs/>
                <w:color w:val="000000"/>
                <w:kern w:val="0"/>
                <w:sz w:val="24"/>
                <w:szCs w:val="24"/>
              </w:rPr>
              <w:t xml:space="preserve">36.30 </w:t>
            </w:r>
          </w:p>
        </w:tc>
        <w:tc>
          <w:tcPr>
            <w:tcW w:w="1190" w:type="dxa"/>
            <w:tcBorders>
              <w:bottom w:val="single" w:color="auto" w:sz="12" w:space="0"/>
            </w:tcBorders>
            <w:vAlign w:val="center"/>
          </w:tcPr>
          <w:p>
            <w:pPr>
              <w:widowControl/>
              <w:jc w:val="center"/>
              <w:rPr>
                <w:rFonts w:ascii="仿宋" w:hAnsi="仿宋" w:eastAsia="仿宋" w:cs="宋体"/>
                <w:b/>
                <w:bCs/>
                <w:color w:val="000000"/>
                <w:kern w:val="0"/>
                <w:sz w:val="24"/>
                <w:szCs w:val="24"/>
              </w:rPr>
            </w:pPr>
            <w:r>
              <w:rPr>
                <w:rFonts w:ascii="仿宋" w:hAnsi="仿宋" w:eastAsia="仿宋" w:cs="宋体"/>
                <w:b/>
                <w:bCs/>
                <w:color w:val="000000"/>
                <w:kern w:val="0"/>
                <w:sz w:val="24"/>
                <w:szCs w:val="24"/>
              </w:rPr>
              <w:t>90.75%</w:t>
            </w:r>
          </w:p>
        </w:tc>
      </w:tr>
    </w:tbl>
    <w:p>
      <w:pPr>
        <w:numPr>
          <w:ilvl w:val="0"/>
          <w:numId w:val="12"/>
        </w:numPr>
        <w:spacing w:line="560" w:lineRule="exact"/>
        <w:ind w:firstLine="560" w:firstLineChars="200"/>
        <w:outlineLvl w:val="2"/>
        <w:rPr>
          <w:rFonts w:ascii="仿宋_GB2312" w:hAnsi="仿宋_GB2312" w:eastAsia="仿宋_GB2312" w:cs="仿宋_GB2312"/>
          <w:bCs/>
          <w:sz w:val="28"/>
          <w:szCs w:val="28"/>
        </w:rPr>
      </w:pPr>
      <w:bookmarkStart w:id="116" w:name="_Toc23579"/>
      <w:bookmarkStart w:id="117" w:name="_Toc5885"/>
      <w:bookmarkStart w:id="118" w:name="_Toc25502"/>
      <w:bookmarkStart w:id="119" w:name="_Toc12068"/>
      <w:bookmarkStart w:id="120" w:name="_Toc371"/>
      <w:bookmarkStart w:id="121" w:name="_Toc77203362"/>
      <w:bookmarkStart w:id="122" w:name="_Toc30363"/>
      <w:r>
        <w:rPr>
          <w:rFonts w:hint="eastAsia" w:ascii="仿宋_GB2312" w:hAnsi="仿宋_GB2312" w:eastAsia="仿宋_GB2312" w:cs="仿宋_GB2312"/>
          <w:bCs/>
          <w:sz w:val="28"/>
          <w:szCs w:val="28"/>
        </w:rPr>
        <w:t>项目完成数量</w:t>
      </w:r>
      <w:bookmarkEnd w:id="116"/>
      <w:bookmarkEnd w:id="117"/>
      <w:bookmarkEnd w:id="118"/>
      <w:bookmarkEnd w:id="119"/>
      <w:bookmarkEnd w:id="120"/>
      <w:bookmarkEnd w:id="121"/>
      <w:bookmarkEnd w:id="122"/>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项目验收程序、相关资料的有效性不足，绩效成果的呈现不够充分。该项指标权重</w:t>
      </w:r>
      <w:r>
        <w:rPr>
          <w:rFonts w:ascii="仿宋_GB2312" w:hAnsi="仿宋_GB2312" w:eastAsia="仿宋_GB2312" w:cs="仿宋_GB2312"/>
          <w:kern w:val="44"/>
          <w:sz w:val="28"/>
          <w:szCs w:val="28"/>
        </w:rPr>
        <w:t>15</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1</w:t>
      </w:r>
      <w:r>
        <w:rPr>
          <w:rFonts w:ascii="仿宋_GB2312" w:hAnsi="仿宋_GB2312" w:eastAsia="仿宋_GB2312" w:cs="仿宋_GB2312"/>
          <w:kern w:val="44"/>
          <w:sz w:val="28"/>
          <w:szCs w:val="28"/>
          <w:lang w:val="en-GB"/>
        </w:rPr>
        <w:t>4</w:t>
      </w:r>
      <w:r>
        <w:rPr>
          <w:rFonts w:ascii="仿宋_GB2312" w:hAnsi="仿宋_GB2312" w:eastAsia="仿宋_GB2312" w:cs="仿宋_GB2312"/>
          <w:kern w:val="44"/>
          <w:sz w:val="28"/>
          <w:szCs w:val="28"/>
        </w:rPr>
        <w:t>.</w:t>
      </w:r>
      <w:r>
        <w:rPr>
          <w:rFonts w:ascii="仿宋_GB2312" w:hAnsi="仿宋_GB2312" w:eastAsia="仿宋_GB2312" w:cs="仿宋_GB2312"/>
          <w:kern w:val="44"/>
          <w:sz w:val="28"/>
          <w:szCs w:val="28"/>
          <w:lang w:val="en-GB"/>
        </w:rPr>
        <w:t>0</w:t>
      </w:r>
      <w:r>
        <w:rPr>
          <w:rFonts w:ascii="仿宋_GB2312" w:hAnsi="仿宋_GB2312" w:eastAsia="仿宋_GB2312" w:cs="仿宋_GB2312"/>
          <w:kern w:val="44"/>
          <w:sz w:val="28"/>
          <w:szCs w:val="28"/>
        </w:rPr>
        <w:t>0</w:t>
      </w:r>
      <w:r>
        <w:rPr>
          <w:rFonts w:hint="eastAsia" w:ascii="仿宋_GB2312" w:hAnsi="仿宋_GB2312" w:eastAsia="仿宋_GB2312" w:cs="仿宋_GB2312"/>
          <w:kern w:val="44"/>
          <w:sz w:val="28"/>
          <w:szCs w:val="28"/>
        </w:rPr>
        <w:t>分。</w:t>
      </w:r>
    </w:p>
    <w:p>
      <w:pPr>
        <w:numPr>
          <w:ilvl w:val="0"/>
          <w:numId w:val="12"/>
        </w:numPr>
        <w:spacing w:line="560" w:lineRule="exact"/>
        <w:ind w:firstLine="560" w:firstLineChars="200"/>
        <w:outlineLvl w:val="2"/>
        <w:rPr>
          <w:rFonts w:ascii="仿宋_GB2312" w:hAnsi="仿宋_GB2312" w:eastAsia="仿宋_GB2312" w:cs="仿宋_GB2312"/>
          <w:bCs/>
          <w:sz w:val="28"/>
          <w:szCs w:val="28"/>
        </w:rPr>
      </w:pPr>
      <w:bookmarkStart w:id="123" w:name="_Toc27027"/>
      <w:bookmarkStart w:id="124" w:name="_Toc384"/>
      <w:bookmarkStart w:id="125" w:name="_Toc29327"/>
      <w:bookmarkStart w:id="126" w:name="_Toc77203363"/>
      <w:bookmarkStart w:id="127" w:name="_Toc7442"/>
      <w:r>
        <w:rPr>
          <w:rFonts w:hint="eastAsia" w:ascii="仿宋_GB2312" w:hAnsi="仿宋_GB2312" w:eastAsia="仿宋_GB2312" w:cs="仿宋_GB2312"/>
          <w:bCs/>
          <w:sz w:val="28"/>
          <w:szCs w:val="28"/>
        </w:rPr>
        <w:t>项目效率性分析</w:t>
      </w:r>
      <w:bookmarkEnd w:id="123"/>
      <w:bookmarkEnd w:id="124"/>
      <w:bookmarkEnd w:id="125"/>
      <w:bookmarkEnd w:id="126"/>
      <w:bookmarkEnd w:id="127"/>
    </w:p>
    <w:p>
      <w:pPr>
        <w:ind w:firstLine="560" w:firstLineChars="200"/>
        <w:rPr>
          <w:rFonts w:ascii="仿宋_GB2312" w:hAnsi="仿宋_GB2312" w:eastAsia="仿宋_GB2312" w:cs="仿宋_GB2312"/>
          <w:bCs/>
          <w:kern w:val="44"/>
          <w:sz w:val="28"/>
          <w:szCs w:val="28"/>
        </w:rPr>
      </w:pPr>
      <w:r>
        <w:rPr>
          <w:rFonts w:hint="eastAsia" w:ascii="仿宋_GB2312" w:hAnsi="仿宋_GB2312" w:eastAsia="仿宋_GB2312" w:cs="仿宋_GB2312"/>
          <w:bCs/>
          <w:kern w:val="44"/>
          <w:sz w:val="28"/>
          <w:szCs w:val="28"/>
        </w:rPr>
        <w:t>（</w:t>
      </w:r>
      <w:r>
        <w:rPr>
          <w:rFonts w:ascii="仿宋_GB2312" w:hAnsi="仿宋_GB2312" w:eastAsia="仿宋_GB2312" w:cs="仿宋_GB2312"/>
          <w:bCs/>
          <w:kern w:val="44"/>
          <w:sz w:val="28"/>
          <w:szCs w:val="28"/>
        </w:rPr>
        <w:t>1</w:t>
      </w:r>
      <w:r>
        <w:rPr>
          <w:rFonts w:hint="eastAsia" w:ascii="仿宋_GB2312" w:hAnsi="仿宋_GB2312" w:eastAsia="仿宋_GB2312" w:cs="仿宋_GB2312"/>
          <w:bCs/>
          <w:kern w:val="44"/>
          <w:sz w:val="28"/>
          <w:szCs w:val="28"/>
        </w:rPr>
        <w:t>）项目完成质量</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缺乏明确细化的质量标准，项目验收的有效性不足。该项指标权重</w:t>
      </w:r>
      <w:r>
        <w:rPr>
          <w:rFonts w:ascii="仿宋_GB2312" w:hAnsi="仿宋_GB2312" w:eastAsia="仿宋_GB2312" w:cs="仿宋_GB2312"/>
          <w:kern w:val="44"/>
          <w:sz w:val="28"/>
          <w:szCs w:val="28"/>
        </w:rPr>
        <w:t>15</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13.50</w:t>
      </w:r>
      <w:r>
        <w:rPr>
          <w:rFonts w:hint="eastAsia" w:ascii="仿宋_GB2312" w:hAnsi="仿宋_GB2312" w:eastAsia="仿宋_GB2312" w:cs="仿宋_GB2312"/>
          <w:kern w:val="44"/>
          <w:sz w:val="28"/>
          <w:szCs w:val="28"/>
        </w:rPr>
        <w:t>分。</w:t>
      </w:r>
    </w:p>
    <w:p>
      <w:pPr>
        <w:ind w:left="400" w:firstLine="280" w:firstLineChars="100"/>
        <w:rPr>
          <w:rFonts w:ascii="仿宋_GB2312" w:hAnsi="仿宋_GB2312" w:eastAsia="仿宋_GB2312" w:cs="仿宋_GB2312"/>
          <w:bCs/>
          <w:kern w:val="44"/>
          <w:sz w:val="28"/>
          <w:szCs w:val="28"/>
        </w:rPr>
      </w:pPr>
      <w:r>
        <w:rPr>
          <w:rFonts w:hint="eastAsia" w:ascii="仿宋_GB2312" w:hAnsi="仿宋_GB2312" w:eastAsia="仿宋_GB2312" w:cs="仿宋_GB2312"/>
          <w:bCs/>
          <w:kern w:val="44"/>
          <w:sz w:val="28"/>
          <w:szCs w:val="28"/>
        </w:rPr>
        <w:t>（</w:t>
      </w:r>
      <w:r>
        <w:rPr>
          <w:rFonts w:ascii="仿宋_GB2312" w:hAnsi="仿宋_GB2312" w:eastAsia="仿宋_GB2312" w:cs="仿宋_GB2312"/>
          <w:bCs/>
          <w:kern w:val="44"/>
          <w:sz w:val="28"/>
          <w:szCs w:val="28"/>
        </w:rPr>
        <w:t>2</w:t>
      </w:r>
      <w:r>
        <w:rPr>
          <w:rFonts w:hint="eastAsia" w:ascii="仿宋_GB2312" w:hAnsi="仿宋_GB2312" w:eastAsia="仿宋_GB2312" w:cs="仿宋_GB2312"/>
          <w:bCs/>
          <w:kern w:val="44"/>
          <w:sz w:val="28"/>
          <w:szCs w:val="28"/>
        </w:rPr>
        <w:t>）项目的实施进度</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项目在年度内按计划完成。该项指标权重</w:t>
      </w:r>
      <w:r>
        <w:rPr>
          <w:rFonts w:ascii="仿宋_GB2312" w:hAnsi="仿宋_GB2312" w:eastAsia="仿宋_GB2312" w:cs="仿宋_GB2312"/>
          <w:kern w:val="44"/>
          <w:sz w:val="28"/>
          <w:szCs w:val="28"/>
        </w:rPr>
        <w:t>5</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5.00</w:t>
      </w:r>
      <w:r>
        <w:rPr>
          <w:rFonts w:hint="eastAsia" w:ascii="仿宋_GB2312" w:hAnsi="仿宋_GB2312" w:eastAsia="仿宋_GB2312" w:cs="仿宋_GB2312"/>
          <w:kern w:val="44"/>
          <w:sz w:val="28"/>
          <w:szCs w:val="28"/>
        </w:rPr>
        <w:t>分。</w:t>
      </w:r>
    </w:p>
    <w:p>
      <w:pPr>
        <w:numPr>
          <w:ilvl w:val="0"/>
          <w:numId w:val="12"/>
        </w:numPr>
        <w:spacing w:line="560" w:lineRule="exact"/>
        <w:ind w:firstLine="560" w:firstLineChars="200"/>
        <w:outlineLvl w:val="2"/>
        <w:rPr>
          <w:rFonts w:ascii="仿宋_GB2312" w:hAnsi="仿宋_GB2312" w:eastAsia="仿宋_GB2312" w:cs="仿宋_GB2312"/>
          <w:bCs/>
          <w:sz w:val="28"/>
          <w:szCs w:val="28"/>
        </w:rPr>
      </w:pPr>
      <w:bookmarkStart w:id="128" w:name="_Toc18244"/>
      <w:bookmarkStart w:id="129" w:name="_Toc1484"/>
      <w:bookmarkStart w:id="130" w:name="_Toc14040"/>
      <w:bookmarkStart w:id="131" w:name="_Toc4559"/>
      <w:bookmarkStart w:id="132" w:name="_Toc25211"/>
      <w:bookmarkStart w:id="133" w:name="_Toc77203364"/>
      <w:bookmarkStart w:id="134" w:name="_Toc32143"/>
      <w:r>
        <w:rPr>
          <w:rFonts w:hint="eastAsia" w:ascii="仿宋_GB2312" w:hAnsi="仿宋_GB2312" w:eastAsia="仿宋_GB2312" w:cs="仿宋_GB2312"/>
          <w:bCs/>
          <w:sz w:val="28"/>
          <w:szCs w:val="28"/>
        </w:rPr>
        <w:t>项目产出成本</w:t>
      </w:r>
      <w:bookmarkEnd w:id="128"/>
      <w:bookmarkEnd w:id="129"/>
      <w:r>
        <w:rPr>
          <w:rFonts w:hint="eastAsia" w:ascii="仿宋_GB2312" w:hAnsi="仿宋_GB2312" w:eastAsia="仿宋_GB2312" w:cs="仿宋_GB2312"/>
          <w:bCs/>
          <w:sz w:val="28"/>
          <w:szCs w:val="28"/>
        </w:rPr>
        <w:t>节约率</w:t>
      </w:r>
      <w:bookmarkEnd w:id="130"/>
      <w:bookmarkEnd w:id="131"/>
      <w:bookmarkEnd w:id="132"/>
      <w:bookmarkEnd w:id="133"/>
      <w:bookmarkEnd w:id="134"/>
    </w:p>
    <w:p>
      <w:pPr>
        <w:ind w:firstLine="560" w:firstLineChars="20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2024</w:t>
      </w:r>
      <w:r>
        <w:rPr>
          <w:rFonts w:hint="eastAsia" w:ascii="仿宋_GB2312" w:hAnsi="仿宋_GB2312" w:eastAsia="仿宋_GB2312" w:cs="仿宋_GB2312"/>
          <w:kern w:val="44"/>
          <w:sz w:val="28"/>
          <w:szCs w:val="28"/>
        </w:rPr>
        <w:t>年批复项目资金</w:t>
      </w:r>
      <w:r>
        <w:rPr>
          <w:rFonts w:ascii="仿宋_GB2312" w:hAnsi="仿宋" w:eastAsia="仿宋_GB2312"/>
          <w:kern w:val="0"/>
          <w:sz w:val="28"/>
          <w:szCs w:val="28"/>
        </w:rPr>
        <w:t>2,780,820.00</w:t>
      </w:r>
      <w:r>
        <w:rPr>
          <w:rFonts w:hint="eastAsia" w:ascii="仿宋_GB2312" w:hAnsi="仿宋_GB2312" w:eastAsia="仿宋_GB2312" w:cs="仿宋_GB2312"/>
          <w:kern w:val="44"/>
          <w:sz w:val="28"/>
          <w:szCs w:val="28"/>
        </w:rPr>
        <w:t>元，截至</w:t>
      </w:r>
      <w:r>
        <w:rPr>
          <w:rFonts w:ascii="仿宋_GB2312" w:hAnsi="仿宋_GB2312" w:eastAsia="仿宋_GB2312" w:cs="仿宋_GB2312"/>
          <w:kern w:val="44"/>
          <w:sz w:val="28"/>
          <w:szCs w:val="28"/>
        </w:rPr>
        <w:t>2024</w:t>
      </w:r>
      <w:r>
        <w:rPr>
          <w:rFonts w:hint="eastAsia" w:ascii="仿宋_GB2312" w:hAnsi="仿宋_GB2312" w:eastAsia="仿宋_GB2312" w:cs="仿宋_GB2312"/>
          <w:kern w:val="44"/>
          <w:sz w:val="28"/>
          <w:szCs w:val="28"/>
        </w:rPr>
        <w:t>年</w:t>
      </w:r>
      <w:r>
        <w:rPr>
          <w:rFonts w:ascii="仿宋_GB2312" w:hAnsi="仿宋_GB2312" w:eastAsia="仿宋_GB2312" w:cs="仿宋_GB2312"/>
          <w:kern w:val="44"/>
          <w:sz w:val="28"/>
          <w:szCs w:val="28"/>
        </w:rPr>
        <w:t>12</w:t>
      </w:r>
      <w:r>
        <w:rPr>
          <w:rFonts w:hint="eastAsia" w:ascii="仿宋_GB2312" w:hAnsi="仿宋_GB2312" w:eastAsia="仿宋_GB2312" w:cs="仿宋_GB2312"/>
          <w:kern w:val="44"/>
          <w:sz w:val="28"/>
          <w:szCs w:val="28"/>
        </w:rPr>
        <w:t>月</w:t>
      </w:r>
      <w:r>
        <w:rPr>
          <w:rFonts w:ascii="仿宋_GB2312" w:hAnsi="仿宋_GB2312" w:eastAsia="仿宋_GB2312" w:cs="仿宋_GB2312"/>
          <w:kern w:val="44"/>
          <w:sz w:val="28"/>
          <w:szCs w:val="28"/>
        </w:rPr>
        <w:t>31</w:t>
      </w:r>
      <w:r>
        <w:rPr>
          <w:rFonts w:hint="eastAsia" w:ascii="仿宋_GB2312" w:hAnsi="仿宋_GB2312" w:eastAsia="仿宋_GB2312" w:cs="仿宋_GB2312"/>
          <w:kern w:val="44"/>
          <w:sz w:val="28"/>
          <w:szCs w:val="28"/>
        </w:rPr>
        <w:t>日已支付资金</w:t>
      </w:r>
      <w:r>
        <w:rPr>
          <w:rFonts w:ascii="仿宋_GB2312" w:hAnsi="仿宋" w:eastAsia="仿宋_GB2312"/>
          <w:kern w:val="0"/>
          <w:sz w:val="28"/>
          <w:szCs w:val="28"/>
        </w:rPr>
        <w:t>2,780,820.00</w:t>
      </w:r>
      <w:r>
        <w:rPr>
          <w:rFonts w:hint="eastAsia" w:ascii="仿宋_GB2312" w:hAnsi="仿宋_GB2312" w:eastAsia="仿宋_GB2312" w:cs="仿宋_GB2312"/>
          <w:kern w:val="44"/>
          <w:sz w:val="28"/>
          <w:szCs w:val="28"/>
        </w:rPr>
        <w:t>元，预算执行率为</w:t>
      </w:r>
      <w:r>
        <w:rPr>
          <w:rFonts w:ascii="仿宋_GB2312" w:hAnsi="仿宋_GB2312" w:eastAsia="仿宋_GB2312" w:cs="仿宋_GB2312"/>
          <w:kern w:val="44"/>
          <w:sz w:val="28"/>
          <w:szCs w:val="28"/>
        </w:rPr>
        <w:t>100%</w:t>
      </w:r>
      <w:r>
        <w:rPr>
          <w:rFonts w:hint="eastAsia" w:ascii="仿宋_GB2312" w:hAnsi="仿宋_GB2312" w:eastAsia="仿宋_GB2312" w:cs="仿宋_GB2312"/>
          <w:kern w:val="44"/>
          <w:sz w:val="28"/>
          <w:szCs w:val="28"/>
        </w:rPr>
        <w:t>，资金节约率为</w:t>
      </w:r>
      <w:r>
        <w:rPr>
          <w:rFonts w:ascii="仿宋_GB2312" w:hAnsi="仿宋_GB2312" w:eastAsia="仿宋_GB2312" w:cs="仿宋_GB2312"/>
          <w:kern w:val="44"/>
          <w:sz w:val="28"/>
          <w:szCs w:val="28"/>
        </w:rPr>
        <w:t>0</w:t>
      </w:r>
      <w:r>
        <w:rPr>
          <w:rFonts w:hint="eastAsia" w:ascii="仿宋_GB2312" w:hAnsi="仿宋_GB2312" w:eastAsia="仿宋_GB2312" w:cs="仿宋_GB2312"/>
          <w:kern w:val="44"/>
          <w:sz w:val="28"/>
          <w:szCs w:val="28"/>
        </w:rPr>
        <w:t>。项目成本控制措施不够明确，对于延续性项目的成本测算信息不足。该项指标权重分</w:t>
      </w:r>
      <w:r>
        <w:rPr>
          <w:rFonts w:ascii="仿宋_GB2312" w:hAnsi="仿宋_GB2312" w:eastAsia="仿宋_GB2312" w:cs="仿宋_GB2312"/>
          <w:kern w:val="44"/>
          <w:sz w:val="28"/>
          <w:szCs w:val="28"/>
        </w:rPr>
        <w:t>5</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3.80</w:t>
      </w:r>
      <w:r>
        <w:rPr>
          <w:rFonts w:hint="eastAsia" w:ascii="仿宋_GB2312" w:hAnsi="仿宋_GB2312" w:eastAsia="仿宋_GB2312" w:cs="仿宋_GB2312"/>
          <w:kern w:val="44"/>
          <w:sz w:val="28"/>
          <w:szCs w:val="28"/>
        </w:rPr>
        <w:t>分。</w:t>
      </w:r>
    </w:p>
    <w:p>
      <w:pPr>
        <w:numPr>
          <w:ilvl w:val="0"/>
          <w:numId w:val="6"/>
        </w:numPr>
        <w:spacing w:line="560" w:lineRule="exact"/>
        <w:outlineLvl w:val="1"/>
        <w:rPr>
          <w:rFonts w:ascii="楷体_GB2312" w:hAnsi="楷体_GB2312" w:eastAsia="楷体_GB2312" w:cs="楷体_GB2312"/>
          <w:bCs/>
          <w:sz w:val="32"/>
          <w:szCs w:val="32"/>
        </w:rPr>
      </w:pPr>
      <w:bookmarkStart w:id="135" w:name="_Toc24895"/>
      <w:bookmarkStart w:id="136" w:name="_Toc10930"/>
      <w:bookmarkStart w:id="137" w:name="_Toc26692"/>
      <w:bookmarkStart w:id="138" w:name="_Toc77203365"/>
      <w:bookmarkStart w:id="139" w:name="_Toc27826"/>
      <w:r>
        <w:rPr>
          <w:rFonts w:hint="eastAsia" w:ascii="楷体_GB2312" w:hAnsi="楷体_GB2312" w:eastAsia="楷体_GB2312" w:cs="楷体_GB2312"/>
          <w:bCs/>
          <w:sz w:val="32"/>
          <w:szCs w:val="32"/>
        </w:rPr>
        <w:t>项目效益</w:t>
      </w:r>
      <w:bookmarkEnd w:id="135"/>
      <w:bookmarkEnd w:id="136"/>
      <w:bookmarkEnd w:id="137"/>
      <w:bookmarkEnd w:id="138"/>
      <w:bookmarkEnd w:id="139"/>
      <w:r>
        <w:rPr>
          <w:rFonts w:hint="eastAsia" w:ascii="楷体_GB2312" w:hAnsi="楷体_GB2312" w:eastAsia="楷体_GB2312" w:cs="楷体_GB2312"/>
          <w:bCs/>
          <w:sz w:val="32"/>
          <w:szCs w:val="32"/>
        </w:rPr>
        <w:t>情况</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效益部分从实施效益和服务对象满意度两个方面两个三级指标对项目进行考察，其中实施效益包括经济、社会和可持续影响，效益类指标共计</w:t>
      </w:r>
      <w:r>
        <w:rPr>
          <w:rFonts w:ascii="仿宋_GB2312" w:hAnsi="仿宋_GB2312" w:eastAsia="仿宋_GB2312" w:cs="仿宋_GB2312"/>
          <w:kern w:val="44"/>
          <w:sz w:val="28"/>
          <w:szCs w:val="28"/>
        </w:rPr>
        <w:t>30</w:t>
      </w:r>
      <w:r>
        <w:rPr>
          <w:rFonts w:hint="eastAsia" w:ascii="仿宋_GB2312" w:hAnsi="仿宋_GB2312" w:eastAsia="仿宋_GB2312" w:cs="仿宋_GB2312"/>
          <w:kern w:val="44"/>
          <w:sz w:val="28"/>
          <w:szCs w:val="28"/>
        </w:rPr>
        <w:t>分，本项目实际得分</w:t>
      </w:r>
      <w:r>
        <w:rPr>
          <w:rFonts w:ascii="仿宋_GB2312" w:hAnsi="仿宋_GB2312" w:eastAsia="仿宋_GB2312" w:cs="仿宋_GB2312"/>
          <w:kern w:val="44"/>
          <w:sz w:val="28"/>
          <w:szCs w:val="28"/>
        </w:rPr>
        <w:t>2</w:t>
      </w:r>
      <w:r>
        <w:rPr>
          <w:rFonts w:ascii="仿宋_GB2312" w:hAnsi="仿宋_GB2312" w:eastAsia="仿宋_GB2312" w:cs="仿宋_GB2312"/>
          <w:kern w:val="44"/>
          <w:sz w:val="28"/>
          <w:szCs w:val="28"/>
          <w:lang w:val="en-GB"/>
        </w:rPr>
        <w:t>5</w:t>
      </w:r>
      <w:r>
        <w:rPr>
          <w:rFonts w:ascii="仿宋_GB2312" w:hAnsi="仿宋_GB2312" w:eastAsia="仿宋_GB2312" w:cs="仿宋_GB2312"/>
          <w:kern w:val="44"/>
          <w:sz w:val="28"/>
          <w:szCs w:val="28"/>
        </w:rPr>
        <w:t>.62</w:t>
      </w:r>
      <w:r>
        <w:rPr>
          <w:rFonts w:hint="eastAsia" w:ascii="仿宋_GB2312" w:hAnsi="仿宋_GB2312" w:eastAsia="仿宋_GB2312" w:cs="仿宋_GB2312"/>
          <w:kern w:val="44"/>
          <w:sz w:val="28"/>
          <w:szCs w:val="28"/>
        </w:rPr>
        <w:t>分，得分率</w:t>
      </w:r>
      <w:r>
        <w:rPr>
          <w:rFonts w:ascii="仿宋_GB2312" w:hAnsi="仿宋_GB2312" w:eastAsia="仿宋_GB2312" w:cs="仿宋_GB2312"/>
          <w:kern w:val="44"/>
          <w:sz w:val="28"/>
          <w:szCs w:val="28"/>
        </w:rPr>
        <w:t>8</w:t>
      </w:r>
      <w:r>
        <w:rPr>
          <w:rFonts w:ascii="仿宋_GB2312" w:hAnsi="仿宋_GB2312" w:eastAsia="仿宋_GB2312" w:cs="仿宋_GB2312"/>
          <w:kern w:val="44"/>
          <w:sz w:val="28"/>
          <w:szCs w:val="28"/>
          <w:lang w:val="en-GB"/>
        </w:rPr>
        <w:t>5</w:t>
      </w:r>
      <w:r>
        <w:rPr>
          <w:rFonts w:ascii="仿宋_GB2312" w:hAnsi="仿宋_GB2312" w:eastAsia="仿宋_GB2312" w:cs="仿宋_GB2312"/>
          <w:kern w:val="44"/>
          <w:sz w:val="28"/>
          <w:szCs w:val="28"/>
        </w:rPr>
        <w:t>.40%</w:t>
      </w:r>
      <w:r>
        <w:rPr>
          <w:rFonts w:hint="eastAsia" w:ascii="仿宋_GB2312" w:hAnsi="仿宋_GB2312" w:eastAsia="仿宋_GB2312" w:cs="仿宋_GB2312"/>
          <w:kern w:val="44"/>
          <w:sz w:val="28"/>
          <w:szCs w:val="28"/>
        </w:rPr>
        <w:t>。各指标的实际得分情况如下表：</w:t>
      </w:r>
    </w:p>
    <w:tbl>
      <w:tblPr>
        <w:tblStyle w:val="18"/>
        <w:tblW w:w="8379"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80"/>
        <w:gridCol w:w="2763"/>
        <w:gridCol w:w="1080"/>
        <w:gridCol w:w="1080"/>
        <w:gridCol w:w="1080"/>
        <w:gridCol w:w="1296"/>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80" w:hRule="atLeast"/>
        </w:trPr>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序号</w:t>
            </w:r>
          </w:p>
        </w:tc>
        <w:tc>
          <w:tcPr>
            <w:tcW w:w="2763"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三级指标内容</w:t>
            </w:r>
          </w:p>
        </w:tc>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权重</w:t>
            </w:r>
          </w:p>
        </w:tc>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目标值</w:t>
            </w:r>
          </w:p>
        </w:tc>
        <w:tc>
          <w:tcPr>
            <w:tcW w:w="1080"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w:t>
            </w:r>
          </w:p>
        </w:tc>
        <w:tc>
          <w:tcPr>
            <w:tcW w:w="1296" w:type="dxa"/>
            <w:tcBorders>
              <w:top w:val="single" w:color="auto" w:sz="12" w:space="0"/>
              <w:bottom w:val="single" w:color="auto" w:sz="6"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w:t>
            </w:r>
          </w:p>
        </w:tc>
        <w:tc>
          <w:tcPr>
            <w:tcW w:w="2763"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实施效益</w:t>
            </w:r>
          </w:p>
        </w:tc>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20</w:t>
            </w:r>
          </w:p>
        </w:tc>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w:t>
            </w:r>
          </w:p>
        </w:tc>
        <w:tc>
          <w:tcPr>
            <w:tcW w:w="1080"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18.92 </w:t>
            </w:r>
          </w:p>
        </w:tc>
        <w:tc>
          <w:tcPr>
            <w:tcW w:w="1296" w:type="dxa"/>
            <w:tcBorders>
              <w:top w:val="single" w:color="auto" w:sz="6" w:space="0"/>
            </w:tcBorders>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94.60%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2</w:t>
            </w:r>
          </w:p>
        </w:tc>
        <w:tc>
          <w:tcPr>
            <w:tcW w:w="2763" w:type="dxa"/>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满意度</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100%</w:t>
            </w:r>
          </w:p>
        </w:tc>
        <w:tc>
          <w:tcPr>
            <w:tcW w:w="1080"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6.70 </w:t>
            </w:r>
          </w:p>
        </w:tc>
        <w:tc>
          <w:tcPr>
            <w:tcW w:w="1296" w:type="dxa"/>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67.00%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5" w:hRule="atLeast"/>
        </w:trPr>
        <w:tc>
          <w:tcPr>
            <w:tcW w:w="1080"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w:t>
            </w:r>
          </w:p>
        </w:tc>
        <w:tc>
          <w:tcPr>
            <w:tcW w:w="2763"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分值合计</w:t>
            </w:r>
          </w:p>
        </w:tc>
        <w:tc>
          <w:tcPr>
            <w:tcW w:w="1080" w:type="dxa"/>
            <w:tcBorders>
              <w:bottom w:val="single" w:color="auto" w:sz="12" w:space="0"/>
            </w:tcBorders>
            <w:vAlign w:val="center"/>
          </w:tcPr>
          <w:p>
            <w:pPr>
              <w:widowControl/>
              <w:jc w:val="center"/>
              <w:rPr>
                <w:rFonts w:ascii="仿宋" w:hAnsi="仿宋" w:eastAsia="仿宋" w:cs="宋体"/>
                <w:b/>
                <w:color w:val="000000"/>
                <w:kern w:val="0"/>
                <w:sz w:val="24"/>
                <w:szCs w:val="24"/>
              </w:rPr>
            </w:pPr>
            <w:r>
              <w:rPr>
                <w:rFonts w:ascii="仿宋" w:hAnsi="仿宋" w:eastAsia="仿宋" w:cs="宋体"/>
                <w:b/>
                <w:color w:val="000000"/>
                <w:kern w:val="0"/>
                <w:sz w:val="24"/>
                <w:szCs w:val="24"/>
              </w:rPr>
              <w:t>30</w:t>
            </w:r>
          </w:p>
        </w:tc>
        <w:tc>
          <w:tcPr>
            <w:tcW w:w="1080" w:type="dxa"/>
            <w:tcBorders>
              <w:bottom w:val="single" w:color="auto" w:sz="12" w:space="0"/>
            </w:tcBorders>
            <w:vAlign w:val="center"/>
          </w:tcPr>
          <w:p>
            <w:pPr>
              <w:widowControl/>
              <w:rPr>
                <w:rFonts w:ascii="仿宋" w:hAnsi="仿宋" w:eastAsia="仿宋" w:cs="宋体"/>
                <w:b/>
                <w:color w:val="000000"/>
                <w:kern w:val="0"/>
                <w:sz w:val="24"/>
                <w:szCs w:val="24"/>
              </w:rPr>
            </w:pPr>
            <w:r>
              <w:rPr>
                <w:rFonts w:hint="eastAsia" w:ascii="仿宋" w:hAnsi="仿宋" w:eastAsia="仿宋" w:cs="宋体"/>
                <w:b/>
                <w:color w:val="000000"/>
                <w:kern w:val="0"/>
                <w:sz w:val="24"/>
                <w:szCs w:val="24"/>
              </w:rPr>
              <w:t>　</w:t>
            </w:r>
          </w:p>
        </w:tc>
        <w:tc>
          <w:tcPr>
            <w:tcW w:w="1080" w:type="dxa"/>
            <w:tcBorders>
              <w:bottom w:val="single" w:color="auto" w:sz="12" w:space="0"/>
            </w:tcBorders>
            <w:vAlign w:val="center"/>
          </w:tcPr>
          <w:p>
            <w:pPr>
              <w:widowControl/>
              <w:jc w:val="center"/>
              <w:rPr>
                <w:rFonts w:ascii="仿宋" w:hAnsi="仿宋" w:eastAsia="仿宋" w:cs="宋体"/>
                <w:b/>
                <w:bCs/>
                <w:color w:val="000000"/>
                <w:kern w:val="0"/>
                <w:sz w:val="24"/>
                <w:szCs w:val="24"/>
              </w:rPr>
            </w:pPr>
            <w:r>
              <w:rPr>
                <w:rFonts w:ascii="仿宋" w:hAnsi="仿宋" w:eastAsia="仿宋" w:cs="宋体"/>
                <w:b/>
                <w:bCs/>
                <w:color w:val="000000"/>
                <w:kern w:val="0"/>
                <w:sz w:val="24"/>
                <w:szCs w:val="24"/>
              </w:rPr>
              <w:t xml:space="preserve">25.62 </w:t>
            </w:r>
          </w:p>
        </w:tc>
        <w:tc>
          <w:tcPr>
            <w:tcW w:w="1296" w:type="dxa"/>
            <w:tcBorders>
              <w:bottom w:val="single" w:color="auto" w:sz="12" w:space="0"/>
            </w:tcBorders>
            <w:vAlign w:val="center"/>
          </w:tcPr>
          <w:p>
            <w:pPr>
              <w:widowControl/>
              <w:jc w:val="center"/>
              <w:rPr>
                <w:rFonts w:ascii="仿宋" w:hAnsi="仿宋" w:eastAsia="仿宋" w:cs="宋体"/>
                <w:b/>
                <w:bCs/>
                <w:color w:val="000000"/>
                <w:kern w:val="0"/>
                <w:sz w:val="24"/>
                <w:szCs w:val="24"/>
              </w:rPr>
            </w:pPr>
            <w:r>
              <w:rPr>
                <w:rFonts w:ascii="仿宋" w:hAnsi="仿宋" w:eastAsia="仿宋" w:cs="宋体"/>
                <w:b/>
                <w:bCs/>
                <w:color w:val="000000"/>
                <w:kern w:val="0"/>
                <w:sz w:val="24"/>
                <w:szCs w:val="24"/>
              </w:rPr>
              <w:t>85.40%</w:t>
            </w:r>
          </w:p>
        </w:tc>
      </w:tr>
    </w:tbl>
    <w:p>
      <w:pPr>
        <w:rPr>
          <w:rFonts w:ascii="宋体" w:cs="仿宋_GB2312"/>
          <w:b/>
          <w:kern w:val="44"/>
          <w:szCs w:val="21"/>
        </w:rPr>
      </w:pPr>
    </w:p>
    <w:p>
      <w:pPr>
        <w:numPr>
          <w:ilvl w:val="0"/>
          <w:numId w:val="13"/>
        </w:numPr>
        <w:spacing w:line="560" w:lineRule="exact"/>
        <w:ind w:firstLine="560" w:firstLineChars="200"/>
        <w:outlineLvl w:val="2"/>
        <w:rPr>
          <w:rFonts w:ascii="仿宋_GB2312" w:hAnsi="仿宋_GB2312" w:eastAsia="仿宋_GB2312" w:cs="仿宋_GB2312"/>
          <w:bCs/>
          <w:sz w:val="28"/>
          <w:szCs w:val="28"/>
        </w:rPr>
      </w:pPr>
      <w:bookmarkStart w:id="140" w:name="_Toc77203366"/>
      <w:bookmarkStart w:id="141" w:name="_Toc23857"/>
      <w:bookmarkStart w:id="142" w:name="_Toc11656"/>
      <w:bookmarkStart w:id="143" w:name="_Toc8883"/>
      <w:r>
        <w:rPr>
          <w:rFonts w:hint="eastAsia" w:ascii="仿宋_GB2312" w:hAnsi="仿宋_GB2312" w:eastAsia="仿宋_GB2312" w:cs="仿宋_GB2312"/>
          <w:bCs/>
          <w:sz w:val="28"/>
          <w:szCs w:val="28"/>
        </w:rPr>
        <w:t>实施效益</w:t>
      </w:r>
      <w:bookmarkEnd w:id="140"/>
      <w:bookmarkEnd w:id="141"/>
      <w:bookmarkEnd w:id="142"/>
      <w:bookmarkEnd w:id="143"/>
    </w:p>
    <w:p>
      <w:pPr>
        <w:numPr>
          <w:ilvl w:val="0"/>
          <w:numId w:val="14"/>
        </w:num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项目实施对经济和社会的影响</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项目的实施可提高密云区法院庭审活动的安全性，为法院审判、诉讼工作开展提供安全保障，降低管理风险。该项指标权重分</w:t>
      </w:r>
      <w:r>
        <w:rPr>
          <w:rFonts w:ascii="仿宋_GB2312" w:hAnsi="仿宋_GB2312" w:eastAsia="仿宋_GB2312" w:cs="仿宋_GB2312"/>
          <w:kern w:val="44"/>
          <w:sz w:val="28"/>
          <w:szCs w:val="28"/>
        </w:rPr>
        <w:t>15</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15.00</w:t>
      </w:r>
      <w:r>
        <w:rPr>
          <w:rFonts w:hint="eastAsia" w:ascii="仿宋_GB2312" w:hAnsi="仿宋_GB2312" w:eastAsia="仿宋_GB2312" w:cs="仿宋_GB2312"/>
          <w:kern w:val="44"/>
          <w:sz w:val="28"/>
          <w:szCs w:val="28"/>
        </w:rPr>
        <w:t>分。</w:t>
      </w:r>
    </w:p>
    <w:p>
      <w:pPr>
        <w:numPr>
          <w:ilvl w:val="0"/>
          <w:numId w:val="14"/>
        </w:num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项目可持续影响</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项目为保障延续性项目，对密云区法院庭审活动安全保障产生积极的可持续影响，但可持续影响指标设置不够明确，相关管理机制和对第三方的监管要求不明晰。该项指标权重分</w:t>
      </w:r>
      <w:r>
        <w:rPr>
          <w:rFonts w:ascii="仿宋_GB2312" w:hAnsi="仿宋_GB2312" w:eastAsia="仿宋_GB2312" w:cs="仿宋_GB2312"/>
          <w:kern w:val="44"/>
          <w:sz w:val="28"/>
          <w:szCs w:val="28"/>
        </w:rPr>
        <w:t>5</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3.92</w:t>
      </w:r>
      <w:r>
        <w:rPr>
          <w:rFonts w:hint="eastAsia" w:ascii="仿宋_GB2312" w:hAnsi="仿宋_GB2312" w:eastAsia="仿宋_GB2312" w:cs="仿宋_GB2312"/>
          <w:kern w:val="44"/>
          <w:sz w:val="28"/>
          <w:szCs w:val="28"/>
        </w:rPr>
        <w:t>分。</w:t>
      </w:r>
    </w:p>
    <w:p>
      <w:pPr>
        <w:numPr>
          <w:ilvl w:val="0"/>
          <w:numId w:val="13"/>
        </w:numPr>
        <w:spacing w:line="560" w:lineRule="exact"/>
        <w:ind w:firstLine="560" w:firstLineChars="200"/>
        <w:outlineLvl w:val="2"/>
        <w:rPr>
          <w:rFonts w:ascii="仿宋_GB2312" w:hAnsi="仿宋_GB2312" w:eastAsia="仿宋_GB2312" w:cs="仿宋_GB2312"/>
          <w:bCs/>
          <w:sz w:val="28"/>
          <w:szCs w:val="28"/>
        </w:rPr>
      </w:pPr>
      <w:bookmarkStart w:id="144" w:name="_Toc22456"/>
      <w:bookmarkStart w:id="145" w:name="_Toc77203367"/>
      <w:bookmarkStart w:id="146" w:name="_Toc19554"/>
      <w:bookmarkStart w:id="147" w:name="_Toc5403"/>
      <w:r>
        <w:rPr>
          <w:rFonts w:hint="eastAsia" w:ascii="仿宋_GB2312" w:hAnsi="仿宋_GB2312" w:eastAsia="仿宋_GB2312" w:cs="仿宋_GB2312"/>
          <w:bCs/>
          <w:sz w:val="28"/>
          <w:szCs w:val="28"/>
        </w:rPr>
        <w:t>服务对象满意度</w:t>
      </w:r>
      <w:bookmarkEnd w:id="144"/>
      <w:bookmarkEnd w:id="145"/>
      <w:bookmarkEnd w:id="146"/>
      <w:bookmarkEnd w:id="147"/>
    </w:p>
    <w:p>
      <w:pPr>
        <w:ind w:firstLine="56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满意度调查和分析不足。该项指标权重分</w:t>
      </w:r>
      <w:r>
        <w:rPr>
          <w:rFonts w:ascii="仿宋_GB2312" w:hAnsi="仿宋_GB2312" w:eastAsia="仿宋_GB2312" w:cs="仿宋_GB2312"/>
          <w:kern w:val="44"/>
          <w:sz w:val="28"/>
          <w:szCs w:val="28"/>
        </w:rPr>
        <w:t>10</w:t>
      </w:r>
      <w:r>
        <w:rPr>
          <w:rFonts w:hint="eastAsia" w:ascii="仿宋_GB2312" w:hAnsi="仿宋_GB2312" w:eastAsia="仿宋_GB2312" w:cs="仿宋_GB2312"/>
          <w:kern w:val="44"/>
          <w:sz w:val="28"/>
          <w:szCs w:val="28"/>
        </w:rPr>
        <w:t>分，根据评分规则评价得分</w:t>
      </w:r>
      <w:r>
        <w:rPr>
          <w:rFonts w:ascii="仿宋_GB2312" w:hAnsi="仿宋_GB2312" w:eastAsia="仿宋_GB2312" w:cs="仿宋_GB2312"/>
          <w:kern w:val="44"/>
          <w:sz w:val="28"/>
          <w:szCs w:val="28"/>
        </w:rPr>
        <w:t>6.70</w:t>
      </w:r>
      <w:r>
        <w:rPr>
          <w:rFonts w:hint="eastAsia" w:ascii="仿宋_GB2312" w:hAnsi="仿宋_GB2312" w:eastAsia="仿宋_GB2312" w:cs="仿宋_GB2312"/>
          <w:kern w:val="44"/>
          <w:sz w:val="28"/>
          <w:szCs w:val="28"/>
        </w:rPr>
        <w:t>分。</w:t>
      </w:r>
    </w:p>
    <w:bookmarkEnd w:id="68"/>
    <w:p>
      <w:pPr>
        <w:pStyle w:val="2"/>
        <w:keepNext w:val="0"/>
        <w:keepLines w:val="0"/>
        <w:widowControl/>
        <w:numPr>
          <w:ilvl w:val="0"/>
          <w:numId w:val="1"/>
        </w:numPr>
        <w:spacing w:before="0" w:after="0" w:line="520" w:lineRule="atLeast"/>
        <w:contextualSpacing/>
        <w:jc w:val="left"/>
        <w:rPr>
          <w:rFonts w:ascii="黑体" w:hAnsi="黑体" w:eastAsia="黑体" w:cs="黑体"/>
          <w:b w:val="0"/>
          <w:kern w:val="0"/>
          <w:sz w:val="32"/>
          <w:szCs w:val="32"/>
        </w:rPr>
      </w:pPr>
      <w:bookmarkStart w:id="148" w:name="_Toc30795"/>
      <w:bookmarkStart w:id="149" w:name="_Toc9678"/>
      <w:bookmarkStart w:id="150" w:name="_Toc77203369"/>
      <w:bookmarkStart w:id="151" w:name="_Toc516663580"/>
      <w:bookmarkStart w:id="152" w:name="_Toc29005"/>
      <w:bookmarkStart w:id="153" w:name="_Toc15272"/>
      <w:r>
        <w:rPr>
          <w:rFonts w:hint="eastAsia" w:ascii="黑体" w:hAnsi="黑体" w:eastAsia="黑体" w:cs="黑体"/>
          <w:b w:val="0"/>
          <w:kern w:val="0"/>
          <w:sz w:val="32"/>
          <w:szCs w:val="32"/>
        </w:rPr>
        <w:t>主要经验及做法、存在的问题</w:t>
      </w:r>
      <w:bookmarkEnd w:id="148"/>
      <w:bookmarkEnd w:id="149"/>
      <w:bookmarkEnd w:id="150"/>
      <w:bookmarkEnd w:id="151"/>
      <w:bookmarkEnd w:id="152"/>
      <w:bookmarkEnd w:id="153"/>
      <w:r>
        <w:rPr>
          <w:rFonts w:hint="eastAsia" w:ascii="黑体" w:hAnsi="黑体" w:eastAsia="黑体" w:cs="黑体"/>
          <w:b w:val="0"/>
          <w:kern w:val="0"/>
          <w:sz w:val="32"/>
          <w:szCs w:val="32"/>
        </w:rPr>
        <w:t>及原因分析</w:t>
      </w:r>
    </w:p>
    <w:p>
      <w:pPr>
        <w:numPr>
          <w:ilvl w:val="0"/>
          <w:numId w:val="15"/>
        </w:numPr>
        <w:spacing w:line="560" w:lineRule="exact"/>
        <w:outlineLvl w:val="1"/>
        <w:rPr>
          <w:rFonts w:ascii="楷体_GB2312" w:hAnsi="楷体_GB2312" w:eastAsia="楷体_GB2312" w:cs="楷体_GB2312"/>
          <w:bCs/>
          <w:sz w:val="32"/>
          <w:szCs w:val="32"/>
        </w:rPr>
      </w:pPr>
      <w:bookmarkStart w:id="154" w:name="_Toc15285"/>
      <w:bookmarkStart w:id="155" w:name="_Toc14536"/>
      <w:bookmarkStart w:id="156" w:name="_Toc77203370"/>
      <w:bookmarkStart w:id="157" w:name="_Toc31070"/>
      <w:r>
        <w:rPr>
          <w:rFonts w:hint="eastAsia" w:ascii="楷体_GB2312" w:hAnsi="楷体_GB2312" w:eastAsia="楷体_GB2312" w:cs="楷体_GB2312"/>
          <w:bCs/>
          <w:sz w:val="32"/>
          <w:szCs w:val="32"/>
        </w:rPr>
        <w:t>项目决策方面</w:t>
      </w:r>
      <w:bookmarkEnd w:id="154"/>
      <w:bookmarkEnd w:id="155"/>
      <w:bookmarkEnd w:id="156"/>
      <w:bookmarkEnd w:id="157"/>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项目绩效目标和指标设定不够准确和明确。质量指标不够明确，只是列出危险品检出率</w:t>
      </w:r>
      <w:r>
        <w:rPr>
          <w:rFonts w:ascii="仿宋_GB2312" w:hAnsi="仿宋_GB2312" w:eastAsia="仿宋_GB2312" w:cs="仿宋_GB2312"/>
          <w:kern w:val="44"/>
          <w:sz w:val="28"/>
          <w:szCs w:val="28"/>
        </w:rPr>
        <w:t>100%</w:t>
      </w:r>
      <w:r>
        <w:rPr>
          <w:rFonts w:hint="eastAsia" w:ascii="仿宋_GB2312" w:hAnsi="仿宋_GB2312" w:eastAsia="仿宋_GB2312" w:cs="仿宋_GB2312"/>
          <w:kern w:val="44"/>
          <w:sz w:val="28"/>
          <w:szCs w:val="28"/>
        </w:rPr>
        <w:t>，未能明确安检工作具体质量要求，如发现危险品的处置规范等。时效指标只是为期一年，未能明确安检突发事件应急响应时间等要求。</w:t>
      </w:r>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预算编制科学性不足。预算编制不够细化，安检工作经费项目预算</w:t>
      </w:r>
      <w:r>
        <w:rPr>
          <w:rFonts w:ascii="仿宋_GB2312" w:hAnsi="仿宋_GB2312" w:eastAsia="仿宋_GB2312" w:cs="仿宋_GB2312"/>
          <w:kern w:val="44"/>
          <w:sz w:val="28"/>
          <w:szCs w:val="28"/>
        </w:rPr>
        <w:t>278.08</w:t>
      </w:r>
      <w:r>
        <w:rPr>
          <w:rFonts w:hint="eastAsia" w:ascii="仿宋_GB2312" w:hAnsi="仿宋_GB2312" w:eastAsia="仿宋_GB2312" w:cs="仿宋_GB2312"/>
          <w:kern w:val="44"/>
          <w:sz w:val="28"/>
          <w:szCs w:val="28"/>
        </w:rPr>
        <w:t>万元，预算测算信息不足，未明确安检的工作量和标准的细化内容。</w:t>
      </w:r>
    </w:p>
    <w:p>
      <w:pPr>
        <w:ind w:firstLine="56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以上</w:t>
      </w:r>
      <w:r>
        <w:rPr>
          <w:rFonts w:ascii="仿宋_GB2312" w:hAnsi="仿宋_GB2312" w:eastAsia="仿宋_GB2312" w:cs="仿宋_GB2312"/>
          <w:kern w:val="44"/>
          <w:sz w:val="28"/>
          <w:szCs w:val="28"/>
        </w:rPr>
        <w:t>1-2</w:t>
      </w:r>
      <w:r>
        <w:rPr>
          <w:rFonts w:hint="eastAsia" w:ascii="仿宋_GB2312" w:hAnsi="仿宋_GB2312" w:eastAsia="仿宋_GB2312" w:cs="仿宋_GB2312"/>
          <w:kern w:val="44"/>
          <w:sz w:val="28"/>
          <w:szCs w:val="28"/>
        </w:rPr>
        <w:t>问题属于限期整改类，应在评价结束后在下一年度内完成整改。</w:t>
      </w:r>
    </w:p>
    <w:p>
      <w:pPr>
        <w:numPr>
          <w:ilvl w:val="0"/>
          <w:numId w:val="15"/>
        </w:numPr>
        <w:spacing w:line="560" w:lineRule="exact"/>
        <w:outlineLvl w:val="1"/>
        <w:rPr>
          <w:rFonts w:ascii="楷体_GB2312" w:hAnsi="楷体_GB2312" w:eastAsia="楷体_GB2312" w:cs="楷体_GB2312"/>
          <w:bCs/>
          <w:sz w:val="32"/>
          <w:szCs w:val="32"/>
        </w:rPr>
      </w:pPr>
      <w:bookmarkStart w:id="158" w:name="_Toc3318"/>
      <w:bookmarkStart w:id="159" w:name="_Toc9417"/>
      <w:bookmarkStart w:id="160" w:name="_Toc77203371"/>
      <w:bookmarkStart w:id="161" w:name="_Toc4802"/>
      <w:r>
        <w:rPr>
          <w:rFonts w:hint="eastAsia" w:ascii="楷体_GB2312" w:hAnsi="楷体_GB2312" w:eastAsia="楷体_GB2312" w:cs="楷体_GB2312"/>
          <w:bCs/>
          <w:sz w:val="32"/>
          <w:szCs w:val="32"/>
        </w:rPr>
        <w:t>项目过程管理方面</w:t>
      </w:r>
      <w:bookmarkEnd w:id="158"/>
      <w:bookmarkEnd w:id="159"/>
      <w:bookmarkEnd w:id="160"/>
      <w:bookmarkEnd w:id="161"/>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项目实施方案的有效性不足。未单独制定实施方案，实施方案在《安检管理制度》中有所体现，但不够具体，如未规定对危险品的处置流程方案，未明确对“突发事件进行处置”的流程、预案等，实施方案的有效性不足。</w:t>
      </w:r>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虽然密云区法院制定了《安检管理制度》，但项目的相关管理制度呈现的不够充分，对第三方安检的监管机制不够明晰，缺少反映监管过程相关信息。</w:t>
      </w:r>
    </w:p>
    <w:p>
      <w:pPr>
        <w:ind w:firstLine="56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以上问题属于限期整改类，应在评价结束后在下一年度内完成整改。</w:t>
      </w:r>
    </w:p>
    <w:p>
      <w:pPr>
        <w:numPr>
          <w:ilvl w:val="0"/>
          <w:numId w:val="15"/>
        </w:numPr>
        <w:spacing w:line="560" w:lineRule="exact"/>
        <w:outlineLvl w:val="1"/>
        <w:rPr>
          <w:rFonts w:ascii="楷体_GB2312" w:hAnsi="楷体_GB2312" w:eastAsia="楷体_GB2312" w:cs="楷体_GB2312"/>
          <w:bCs/>
          <w:sz w:val="32"/>
          <w:szCs w:val="32"/>
        </w:rPr>
      </w:pPr>
      <w:r>
        <w:rPr>
          <w:rFonts w:hint="eastAsia" w:ascii="楷体_GB2312" w:hAnsi="楷体_GB2312" w:eastAsia="楷体_GB2312" w:cs="楷体_GB2312"/>
          <w:bCs/>
          <w:sz w:val="32"/>
          <w:szCs w:val="32"/>
        </w:rPr>
        <w:t>项目效益方面</w:t>
      </w:r>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项目绩效成果呈现的不够充分，缺少相关支撑信息。项目的可持续性影响说明不够充分。</w:t>
      </w:r>
      <w:r>
        <w:rPr>
          <w:rFonts w:ascii="仿宋_GB2312" w:hAnsi="仿宋_GB2312" w:eastAsia="仿宋_GB2312" w:cs="仿宋_GB2312"/>
          <w:kern w:val="44"/>
          <w:sz w:val="28"/>
          <w:szCs w:val="28"/>
        </w:rPr>
        <w:t xml:space="preserve"> </w:t>
      </w:r>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满意度调查和分析不够充分。</w:t>
      </w:r>
      <w:r>
        <w:rPr>
          <w:rFonts w:ascii="仿宋_GB2312" w:hAnsi="仿宋_GB2312" w:eastAsia="仿宋_GB2312" w:cs="仿宋_GB2312"/>
          <w:kern w:val="44"/>
          <w:sz w:val="28"/>
          <w:szCs w:val="28"/>
        </w:rPr>
        <w:t xml:space="preserve">  </w:t>
      </w:r>
    </w:p>
    <w:p>
      <w:pPr>
        <w:ind w:firstLine="56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以上问题属于限期整改类，应在评价结束后在下一年度内完成整改。</w:t>
      </w:r>
    </w:p>
    <w:p>
      <w:pPr>
        <w:pStyle w:val="2"/>
        <w:keepNext w:val="0"/>
        <w:keepLines w:val="0"/>
        <w:widowControl/>
        <w:numPr>
          <w:ilvl w:val="0"/>
          <w:numId w:val="1"/>
        </w:numPr>
        <w:spacing w:before="0" w:after="0" w:line="520" w:lineRule="atLeast"/>
        <w:contextualSpacing/>
        <w:jc w:val="left"/>
        <w:rPr>
          <w:rFonts w:ascii="黑体" w:hAnsi="黑体" w:eastAsia="黑体" w:cs="黑体"/>
          <w:b w:val="0"/>
          <w:kern w:val="0"/>
          <w:sz w:val="32"/>
          <w:szCs w:val="32"/>
        </w:rPr>
      </w:pPr>
      <w:bookmarkStart w:id="162" w:name="_Toc12454"/>
      <w:bookmarkStart w:id="163" w:name="_Toc516663581"/>
      <w:bookmarkStart w:id="164" w:name="_Toc13469"/>
      <w:bookmarkStart w:id="165" w:name="_Toc16337"/>
      <w:bookmarkStart w:id="166" w:name="_Toc77203374"/>
      <w:bookmarkStart w:id="167" w:name="_Toc8825"/>
      <w:r>
        <w:rPr>
          <w:rFonts w:hint="eastAsia" w:ascii="黑体" w:hAnsi="黑体" w:eastAsia="黑体" w:cs="黑体"/>
          <w:b w:val="0"/>
          <w:kern w:val="0"/>
          <w:sz w:val="32"/>
          <w:szCs w:val="32"/>
        </w:rPr>
        <w:t>有关建议</w:t>
      </w:r>
      <w:bookmarkEnd w:id="162"/>
      <w:bookmarkEnd w:id="163"/>
      <w:bookmarkEnd w:id="164"/>
      <w:bookmarkEnd w:id="165"/>
      <w:bookmarkEnd w:id="166"/>
      <w:bookmarkEnd w:id="167"/>
    </w:p>
    <w:p>
      <w:pPr>
        <w:numPr>
          <w:ilvl w:val="0"/>
          <w:numId w:val="16"/>
        </w:numPr>
        <w:spacing w:line="560" w:lineRule="exact"/>
        <w:outlineLvl w:val="1"/>
        <w:rPr>
          <w:rFonts w:ascii="楷体_GB2312" w:hAnsi="楷体_GB2312" w:eastAsia="楷体_GB2312" w:cs="楷体_GB2312"/>
          <w:bCs/>
          <w:sz w:val="32"/>
          <w:szCs w:val="32"/>
        </w:rPr>
      </w:pPr>
      <w:bookmarkStart w:id="168" w:name="_Toc12160"/>
      <w:bookmarkStart w:id="169" w:name="_Toc77203375"/>
      <w:bookmarkStart w:id="170" w:name="_Toc10391"/>
      <w:bookmarkStart w:id="171" w:name="_Toc23802"/>
      <w:r>
        <w:rPr>
          <w:rFonts w:hint="eastAsia" w:ascii="楷体_GB2312" w:hAnsi="楷体_GB2312" w:eastAsia="楷体_GB2312" w:cs="楷体_GB2312"/>
          <w:bCs/>
          <w:sz w:val="32"/>
          <w:szCs w:val="32"/>
        </w:rPr>
        <w:t>项目决策方面</w:t>
      </w:r>
      <w:bookmarkEnd w:id="168"/>
      <w:bookmarkEnd w:id="169"/>
      <w:bookmarkEnd w:id="170"/>
      <w:bookmarkEnd w:id="171"/>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进一步明确项目绩效目标，细化绩效指标的设定。细化安检质量标准，提高绩效指标的的针对性和可量化性，以便方便考核、评估绩效目标的实现程度。</w:t>
      </w:r>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合理测算项目预算。安检工作经费作为持续性项目，应根据历史数据，合理测算安检的工作量和相关标准，科学测算项目预算，避免项目预算固化。</w:t>
      </w:r>
    </w:p>
    <w:p>
      <w:pPr>
        <w:numPr>
          <w:ilvl w:val="0"/>
          <w:numId w:val="16"/>
        </w:numPr>
        <w:spacing w:line="560" w:lineRule="exact"/>
        <w:outlineLvl w:val="1"/>
        <w:rPr>
          <w:rFonts w:ascii="楷体_GB2312" w:hAnsi="楷体_GB2312" w:eastAsia="楷体_GB2312" w:cs="楷体_GB2312"/>
          <w:bCs/>
          <w:sz w:val="32"/>
          <w:szCs w:val="32"/>
        </w:rPr>
      </w:pPr>
      <w:bookmarkStart w:id="172" w:name="_Toc22545"/>
      <w:bookmarkStart w:id="173" w:name="_Toc77203376"/>
      <w:bookmarkStart w:id="174" w:name="_Toc4124"/>
      <w:bookmarkStart w:id="175" w:name="_Toc29302"/>
      <w:r>
        <w:rPr>
          <w:rFonts w:hint="eastAsia" w:ascii="楷体_GB2312" w:hAnsi="楷体_GB2312" w:eastAsia="楷体_GB2312" w:cs="楷体_GB2312"/>
          <w:bCs/>
          <w:sz w:val="32"/>
          <w:szCs w:val="32"/>
        </w:rPr>
        <w:t>项目管理方面</w:t>
      </w:r>
      <w:bookmarkEnd w:id="172"/>
      <w:bookmarkEnd w:id="173"/>
      <w:bookmarkEnd w:id="174"/>
      <w:bookmarkEnd w:id="175"/>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完善、优化项目实施方案。实施方案中要明确对危险品的处置流程方案，对“突发事件进行处置”的流程、预案等；要体现项目实施主体对安检工作经费的采购方式、实施进度、工作质量、项目验收等具体要求，提高实施方案的有效性。</w:t>
      </w:r>
    </w:p>
    <w:p>
      <w:pPr>
        <w:ind w:firstLine="560"/>
        <w:rPr>
          <w:rFonts w:ascii="仿宋_GB2312" w:hAnsi="仿宋_GB2312" w:eastAsia="仿宋_GB2312" w:cs="仿宋_GB2312"/>
          <w:kern w:val="44"/>
          <w:sz w:val="28"/>
          <w:szCs w:val="28"/>
          <w:lang w:val="en-GB"/>
        </w:rPr>
      </w:pP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提高项目管理的精细化水平。作为持续性项目，应健全对第三方安检工作的管理制度、流程，加强对第三方的监管和验收，提高项目管理的制度化和规范化水平。</w:t>
      </w:r>
    </w:p>
    <w:p>
      <w:pPr>
        <w:numPr>
          <w:ilvl w:val="0"/>
          <w:numId w:val="16"/>
        </w:numPr>
        <w:spacing w:line="560" w:lineRule="exact"/>
        <w:outlineLvl w:val="1"/>
        <w:rPr>
          <w:rFonts w:ascii="楷体_GB2312" w:hAnsi="楷体_GB2312" w:eastAsia="楷体_GB2312" w:cs="楷体_GB2312"/>
          <w:bCs/>
          <w:sz w:val="32"/>
          <w:szCs w:val="32"/>
        </w:rPr>
      </w:pPr>
      <w:bookmarkStart w:id="176" w:name="_Toc77203378"/>
      <w:bookmarkStart w:id="177" w:name="_Toc10175"/>
      <w:bookmarkStart w:id="178" w:name="_Toc16303"/>
      <w:bookmarkStart w:id="179" w:name="_Toc18925"/>
      <w:r>
        <w:rPr>
          <w:rFonts w:hint="eastAsia" w:ascii="楷体_GB2312" w:hAnsi="楷体_GB2312" w:eastAsia="楷体_GB2312" w:cs="楷体_GB2312"/>
          <w:bCs/>
          <w:sz w:val="32"/>
          <w:szCs w:val="32"/>
        </w:rPr>
        <w:t>项目效益方面</w:t>
      </w:r>
      <w:bookmarkEnd w:id="176"/>
      <w:bookmarkEnd w:id="177"/>
      <w:bookmarkEnd w:id="178"/>
      <w:bookmarkEnd w:id="179"/>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1.</w:t>
      </w:r>
      <w:r>
        <w:rPr>
          <w:rFonts w:hint="eastAsia" w:ascii="仿宋_GB2312" w:hAnsi="仿宋_GB2312" w:eastAsia="仿宋_GB2312" w:cs="仿宋_GB2312"/>
          <w:kern w:val="44"/>
          <w:sz w:val="28"/>
          <w:szCs w:val="28"/>
        </w:rPr>
        <w:t>注重项目绩效成果的归集工作，体现财政资金使用的效益性。</w:t>
      </w:r>
    </w:p>
    <w:p>
      <w:pPr>
        <w:ind w:firstLine="560"/>
        <w:rPr>
          <w:rFonts w:ascii="仿宋_GB2312" w:hAnsi="仿宋_GB2312" w:eastAsia="仿宋_GB2312" w:cs="仿宋_GB2312"/>
          <w:kern w:val="44"/>
          <w:sz w:val="28"/>
          <w:szCs w:val="28"/>
        </w:rPr>
      </w:pPr>
      <w:r>
        <w:rPr>
          <w:rFonts w:ascii="仿宋_GB2312" w:hAnsi="仿宋_GB2312" w:eastAsia="仿宋_GB2312" w:cs="仿宋_GB2312"/>
          <w:kern w:val="44"/>
          <w:sz w:val="28"/>
          <w:szCs w:val="28"/>
        </w:rPr>
        <w:t>2.</w:t>
      </w:r>
      <w:r>
        <w:rPr>
          <w:rFonts w:hint="eastAsia" w:ascii="仿宋_GB2312" w:hAnsi="仿宋_GB2312" w:eastAsia="仿宋_GB2312" w:cs="仿宋_GB2312"/>
          <w:kern w:val="44"/>
          <w:sz w:val="28"/>
          <w:szCs w:val="28"/>
        </w:rPr>
        <w:t>重视服务对象满意度的分析与评估，以便发现问题对安检工作持续改进，提高工作效率与质量。</w:t>
      </w:r>
    </w:p>
    <w:p>
      <w:pPr>
        <w:pStyle w:val="2"/>
        <w:keepNext w:val="0"/>
        <w:keepLines w:val="0"/>
        <w:widowControl/>
        <w:numPr>
          <w:ilvl w:val="0"/>
          <w:numId w:val="1"/>
        </w:numPr>
        <w:spacing w:before="0" w:after="0" w:line="520" w:lineRule="atLeast"/>
        <w:contextualSpacing/>
        <w:jc w:val="left"/>
        <w:rPr>
          <w:rFonts w:ascii="黑体" w:hAnsi="黑体" w:eastAsia="黑体" w:cs="黑体"/>
          <w:b w:val="0"/>
          <w:kern w:val="0"/>
          <w:sz w:val="32"/>
          <w:szCs w:val="32"/>
        </w:rPr>
      </w:pPr>
      <w:r>
        <w:rPr>
          <w:rFonts w:hint="eastAsia" w:ascii="黑体" w:hAnsi="黑体" w:eastAsia="黑体" w:cs="黑体"/>
          <w:b w:val="0"/>
          <w:kern w:val="0"/>
          <w:sz w:val="32"/>
          <w:szCs w:val="32"/>
        </w:rPr>
        <w:t>其他需要说明的问题</w:t>
      </w:r>
    </w:p>
    <w:p>
      <w:pPr>
        <w:ind w:firstLine="560" w:firstLineChars="200"/>
        <w:rPr>
          <w:rFonts w:ascii="仿宋_GB2312" w:hAnsi="仿宋_GB2312" w:eastAsia="仿宋_GB2312" w:cs="仿宋_GB2312"/>
          <w:kern w:val="44"/>
          <w:sz w:val="28"/>
          <w:szCs w:val="28"/>
        </w:rPr>
      </w:pPr>
      <w:r>
        <w:rPr>
          <w:rFonts w:hint="eastAsia" w:ascii="仿宋_GB2312" w:hAnsi="仿宋_GB2312" w:eastAsia="仿宋_GB2312" w:cs="仿宋_GB2312"/>
          <w:kern w:val="44"/>
          <w:sz w:val="28"/>
          <w:szCs w:val="28"/>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2049" o:spid="_x0000_s2049"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vbGRr0QAAAAIBAAAPAAAAAAAA&#10;AAEAIAAAACIAAABkcnMvZG93bnJldi54bWxQSwECFAAUAAAACACHTuJAc7cmARkCAAASBAAADgAA&#10;AAAAAAABACAAAAAgAQAAZHJzL2Uyb0RvYy54bWxQSwUGAAAAAAYABgBZAQAAqwUAAAAA&#10;">
          <v:path/>
          <v:fill on="f" focussize="0,0"/>
          <v:stroke on="f" weight="0.5pt" joinstyle="miter"/>
          <v:imagedata o:title=""/>
          <o:lock v:ext="edit"/>
          <v:textbox inset="0mm,0mm,0mm,0mm" style="mso-fit-shape-to-text:t;">
            <w:txbxContent>
              <w:p>
                <w:pPr>
                  <w:pStyle w:val="12"/>
                </w:pPr>
                <w:r>
                  <w:fldChar w:fldCharType="begin"/>
                </w:r>
                <w:r>
                  <w:instrText xml:space="preserve"> PAGE  \* MERGEFORMAT </w:instrText>
                </w:r>
                <w:r>
                  <w:fldChar w:fldCharType="separate"/>
                </w:r>
                <w:r>
                  <w:t>14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1003ED"/>
    <w:multiLevelType w:val="singleLevel"/>
    <w:tmpl w:val="801003ED"/>
    <w:lvl w:ilvl="0" w:tentative="0">
      <w:start w:val="1"/>
      <w:numFmt w:val="decimal"/>
      <w:suff w:val="nothing"/>
      <w:lvlText w:val="（%1）"/>
      <w:lvlJc w:val="left"/>
      <w:pPr>
        <w:ind w:left="640"/>
      </w:pPr>
      <w:rPr>
        <w:rFonts w:cs="Times New Roman"/>
      </w:rPr>
    </w:lvl>
  </w:abstractNum>
  <w:abstractNum w:abstractNumId="1">
    <w:nsid w:val="8320A65E"/>
    <w:multiLevelType w:val="singleLevel"/>
    <w:tmpl w:val="8320A65E"/>
    <w:lvl w:ilvl="0" w:tentative="0">
      <w:start w:val="1"/>
      <w:numFmt w:val="chineseCounting"/>
      <w:suff w:val="nothing"/>
      <w:lvlText w:val="%1、"/>
      <w:lvlJc w:val="left"/>
      <w:pPr>
        <w:ind w:firstLine="420"/>
      </w:pPr>
      <w:rPr>
        <w:rFonts w:hint="eastAsia" w:cs="Times New Roman"/>
      </w:rPr>
    </w:lvl>
  </w:abstractNum>
  <w:abstractNum w:abstractNumId="2">
    <w:nsid w:val="9750FE19"/>
    <w:multiLevelType w:val="singleLevel"/>
    <w:tmpl w:val="9750FE19"/>
    <w:lvl w:ilvl="0" w:tentative="0">
      <w:start w:val="1"/>
      <w:numFmt w:val="chineseCounting"/>
      <w:suff w:val="nothing"/>
      <w:lvlText w:val="（%1）"/>
      <w:lvlJc w:val="left"/>
      <w:pPr>
        <w:ind w:firstLine="420"/>
      </w:pPr>
      <w:rPr>
        <w:rFonts w:hint="eastAsia" w:cs="Times New Roman"/>
      </w:rPr>
    </w:lvl>
  </w:abstractNum>
  <w:abstractNum w:abstractNumId="3">
    <w:nsid w:val="9D92D379"/>
    <w:multiLevelType w:val="singleLevel"/>
    <w:tmpl w:val="9D92D379"/>
    <w:lvl w:ilvl="0" w:tentative="0">
      <w:start w:val="1"/>
      <w:numFmt w:val="decimal"/>
      <w:suff w:val="nothing"/>
      <w:lvlText w:val="（%1）"/>
      <w:lvlJc w:val="left"/>
      <w:rPr>
        <w:rFonts w:cs="Times New Roman"/>
      </w:rPr>
    </w:lvl>
  </w:abstractNum>
  <w:abstractNum w:abstractNumId="4">
    <w:nsid w:val="B0274473"/>
    <w:multiLevelType w:val="singleLevel"/>
    <w:tmpl w:val="B0274473"/>
    <w:lvl w:ilvl="0" w:tentative="0">
      <w:start w:val="2"/>
      <w:numFmt w:val="decimal"/>
      <w:suff w:val="nothing"/>
      <w:lvlText w:val="（%1）"/>
      <w:lvlJc w:val="left"/>
      <w:rPr>
        <w:rFonts w:cs="Times New Roman"/>
      </w:rPr>
    </w:lvl>
  </w:abstractNum>
  <w:abstractNum w:abstractNumId="5">
    <w:nsid w:val="B3B88104"/>
    <w:multiLevelType w:val="singleLevel"/>
    <w:tmpl w:val="B3B88104"/>
    <w:lvl w:ilvl="0" w:tentative="0">
      <w:start w:val="1"/>
      <w:numFmt w:val="decimal"/>
      <w:suff w:val="nothing"/>
      <w:lvlText w:val="（%1）"/>
      <w:lvlJc w:val="left"/>
      <w:rPr>
        <w:rFonts w:cs="Times New Roman"/>
      </w:rPr>
    </w:lvl>
  </w:abstractNum>
  <w:abstractNum w:abstractNumId="6">
    <w:nsid w:val="CD296E4C"/>
    <w:multiLevelType w:val="singleLevel"/>
    <w:tmpl w:val="CD296E4C"/>
    <w:lvl w:ilvl="0" w:tentative="0">
      <w:start w:val="1"/>
      <w:numFmt w:val="chineseCounting"/>
      <w:suff w:val="nothing"/>
      <w:lvlText w:val="（%1）"/>
      <w:lvlJc w:val="left"/>
      <w:pPr>
        <w:ind w:firstLine="420"/>
      </w:pPr>
      <w:rPr>
        <w:rFonts w:hint="eastAsia" w:cs="Times New Roman"/>
      </w:rPr>
    </w:lvl>
  </w:abstractNum>
  <w:abstractNum w:abstractNumId="7">
    <w:nsid w:val="CE30C9CC"/>
    <w:multiLevelType w:val="singleLevel"/>
    <w:tmpl w:val="CE30C9CC"/>
    <w:lvl w:ilvl="0" w:tentative="0">
      <w:start w:val="1"/>
      <w:numFmt w:val="chineseCounting"/>
      <w:suff w:val="nothing"/>
      <w:lvlText w:val="（%1）"/>
      <w:lvlJc w:val="left"/>
      <w:pPr>
        <w:ind w:firstLine="420"/>
      </w:pPr>
      <w:rPr>
        <w:rFonts w:hint="eastAsia" w:cs="Times New Roman"/>
      </w:rPr>
    </w:lvl>
  </w:abstractNum>
  <w:abstractNum w:abstractNumId="8">
    <w:nsid w:val="0F7AB233"/>
    <w:multiLevelType w:val="multilevel"/>
    <w:tmpl w:val="0F7AB233"/>
    <w:lvl w:ilvl="0" w:tentative="0">
      <w:start w:val="1"/>
      <w:numFmt w:val="chineseCounting"/>
      <w:suff w:val="nothing"/>
      <w:lvlText w:val="%1、"/>
      <w:lvlJc w:val="left"/>
      <w:pPr>
        <w:ind w:firstLine="400"/>
      </w:pPr>
      <w:rPr>
        <w:rFonts w:hint="eastAsia" w:cs="Times New Roman"/>
      </w:rPr>
    </w:lvl>
    <w:lvl w:ilvl="1" w:tentative="0">
      <w:start w:val="1"/>
      <w:numFmt w:val="decimal"/>
      <w:suff w:val="nothing"/>
      <w:lvlText w:val="%2．"/>
      <w:lvlJc w:val="left"/>
      <w:pPr>
        <w:ind w:firstLine="400"/>
      </w:pPr>
      <w:rPr>
        <w:rFonts w:hint="eastAsia" w:cs="Times New Roman"/>
      </w:rPr>
    </w:lvl>
    <w:lvl w:ilvl="2" w:tentative="0">
      <w:start w:val="1"/>
      <w:numFmt w:val="decimal"/>
      <w:suff w:val="nothing"/>
      <w:lvlText w:val="（%3）"/>
      <w:lvlJc w:val="left"/>
      <w:pPr>
        <w:ind w:firstLine="402"/>
      </w:pPr>
      <w:rPr>
        <w:rFonts w:hint="eastAsia" w:cs="Times New Roman"/>
      </w:rPr>
    </w:lvl>
    <w:lvl w:ilvl="3" w:tentative="0">
      <w:start w:val="1"/>
      <w:numFmt w:val="decimalEnclosedCircleChinese"/>
      <w:suff w:val="nothing"/>
      <w:lvlText w:val="%4 "/>
      <w:lvlJc w:val="left"/>
      <w:pPr>
        <w:ind w:firstLine="402"/>
      </w:pPr>
      <w:rPr>
        <w:rFonts w:hint="eastAsia" w:cs="Times New Roman"/>
      </w:rPr>
    </w:lvl>
    <w:lvl w:ilvl="4" w:tentative="0">
      <w:start w:val="1"/>
      <w:numFmt w:val="decimal"/>
      <w:suff w:val="nothing"/>
      <w:lvlText w:val="%5）"/>
      <w:lvlJc w:val="left"/>
      <w:pPr>
        <w:ind w:firstLine="402"/>
      </w:pPr>
      <w:rPr>
        <w:rFonts w:hint="eastAsia" w:cs="Times New Roman"/>
      </w:rPr>
    </w:lvl>
    <w:lvl w:ilvl="5" w:tentative="0">
      <w:start w:val="1"/>
      <w:numFmt w:val="lowerLetter"/>
      <w:suff w:val="nothing"/>
      <w:lvlText w:val="%6．"/>
      <w:lvlJc w:val="left"/>
      <w:pPr>
        <w:ind w:firstLine="402"/>
      </w:pPr>
      <w:rPr>
        <w:rFonts w:hint="eastAsia" w:cs="Times New Roman"/>
      </w:rPr>
    </w:lvl>
    <w:lvl w:ilvl="6" w:tentative="0">
      <w:start w:val="1"/>
      <w:numFmt w:val="lowerLetter"/>
      <w:suff w:val="nothing"/>
      <w:lvlText w:val="%7）"/>
      <w:lvlJc w:val="left"/>
      <w:pPr>
        <w:ind w:firstLine="402"/>
      </w:pPr>
      <w:rPr>
        <w:rFonts w:hint="eastAsia" w:cs="Times New Roman"/>
      </w:rPr>
    </w:lvl>
    <w:lvl w:ilvl="7" w:tentative="0">
      <w:start w:val="1"/>
      <w:numFmt w:val="lowerRoman"/>
      <w:suff w:val="nothing"/>
      <w:lvlText w:val="%8. "/>
      <w:lvlJc w:val="left"/>
      <w:pPr>
        <w:ind w:firstLine="402"/>
      </w:pPr>
      <w:rPr>
        <w:rFonts w:hint="eastAsia" w:cs="Times New Roman"/>
      </w:rPr>
    </w:lvl>
    <w:lvl w:ilvl="8" w:tentative="0">
      <w:start w:val="1"/>
      <w:numFmt w:val="lowerRoman"/>
      <w:suff w:val="nothing"/>
      <w:lvlText w:val="%9）"/>
      <w:lvlJc w:val="left"/>
      <w:pPr>
        <w:ind w:firstLine="402"/>
      </w:pPr>
      <w:rPr>
        <w:rFonts w:hint="eastAsia" w:cs="Times New Roman"/>
      </w:rPr>
    </w:lvl>
  </w:abstractNum>
  <w:abstractNum w:abstractNumId="9">
    <w:nsid w:val="2F1AF8B5"/>
    <w:multiLevelType w:val="singleLevel"/>
    <w:tmpl w:val="2F1AF8B5"/>
    <w:lvl w:ilvl="0" w:tentative="0">
      <w:start w:val="1"/>
      <w:numFmt w:val="chineseCounting"/>
      <w:suff w:val="nothing"/>
      <w:lvlText w:val="（%1）"/>
      <w:lvlJc w:val="left"/>
      <w:pPr>
        <w:ind w:firstLine="420"/>
      </w:pPr>
      <w:rPr>
        <w:rFonts w:hint="eastAsia" w:cs="Times New Roman"/>
      </w:rPr>
    </w:lvl>
  </w:abstractNum>
  <w:abstractNum w:abstractNumId="10">
    <w:nsid w:val="3DD6BE6C"/>
    <w:multiLevelType w:val="singleLevel"/>
    <w:tmpl w:val="3DD6BE6C"/>
    <w:lvl w:ilvl="0" w:tentative="0">
      <w:start w:val="1"/>
      <w:numFmt w:val="decimal"/>
      <w:suff w:val="nothing"/>
      <w:lvlText w:val="%1．"/>
      <w:lvlJc w:val="left"/>
      <w:pPr>
        <w:ind w:firstLine="400"/>
      </w:pPr>
      <w:rPr>
        <w:rFonts w:hint="default" w:cs="Times New Roman"/>
      </w:rPr>
    </w:lvl>
  </w:abstractNum>
  <w:abstractNum w:abstractNumId="11">
    <w:nsid w:val="44F120BD"/>
    <w:multiLevelType w:val="singleLevel"/>
    <w:tmpl w:val="44F120BD"/>
    <w:lvl w:ilvl="0" w:tentative="0">
      <w:start w:val="1"/>
      <w:numFmt w:val="decimal"/>
      <w:suff w:val="nothing"/>
      <w:lvlText w:val="%1．"/>
      <w:lvlJc w:val="left"/>
      <w:pPr>
        <w:ind w:firstLine="400"/>
      </w:pPr>
      <w:rPr>
        <w:rFonts w:hint="default" w:cs="Times New Roman"/>
      </w:rPr>
    </w:lvl>
  </w:abstractNum>
  <w:abstractNum w:abstractNumId="12">
    <w:nsid w:val="5D1403D9"/>
    <w:multiLevelType w:val="multilevel"/>
    <w:tmpl w:val="5D1403D9"/>
    <w:lvl w:ilvl="0" w:tentative="0">
      <w:start w:val="2"/>
      <w:numFmt w:val="japaneseCounting"/>
      <w:lvlText w:val="（%1）"/>
      <w:lvlJc w:val="left"/>
      <w:pPr>
        <w:ind w:left="1720" w:hanging="1080"/>
      </w:pPr>
      <w:rPr>
        <w:rFonts w:hint="default" w:ascii="楷体_GB2312" w:hAnsi="楷体_GB2312" w:eastAsia="楷体_GB2312" w:cs="楷体_GB2312"/>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13">
    <w:nsid w:val="68085586"/>
    <w:multiLevelType w:val="singleLevel"/>
    <w:tmpl w:val="68085586"/>
    <w:lvl w:ilvl="0" w:tentative="0">
      <w:start w:val="1"/>
      <w:numFmt w:val="decimal"/>
      <w:suff w:val="nothing"/>
      <w:lvlText w:val="%1．"/>
      <w:lvlJc w:val="left"/>
      <w:pPr>
        <w:ind w:firstLine="400"/>
      </w:pPr>
      <w:rPr>
        <w:rFonts w:hint="default" w:cs="Times New Roman"/>
      </w:rPr>
    </w:lvl>
  </w:abstractNum>
  <w:abstractNum w:abstractNumId="14">
    <w:nsid w:val="7760CF9C"/>
    <w:multiLevelType w:val="singleLevel"/>
    <w:tmpl w:val="7760CF9C"/>
    <w:lvl w:ilvl="0" w:tentative="0">
      <w:start w:val="1"/>
      <w:numFmt w:val="chineseCounting"/>
      <w:suff w:val="nothing"/>
      <w:lvlText w:val="（%1）"/>
      <w:lvlJc w:val="left"/>
      <w:pPr>
        <w:ind w:firstLine="420"/>
      </w:pPr>
      <w:rPr>
        <w:rFonts w:hint="eastAsia" w:cs="Times New Roman"/>
      </w:rPr>
    </w:lvl>
  </w:abstractNum>
  <w:abstractNum w:abstractNumId="15">
    <w:nsid w:val="7D465CD0"/>
    <w:multiLevelType w:val="singleLevel"/>
    <w:tmpl w:val="7D465CD0"/>
    <w:lvl w:ilvl="0" w:tentative="0">
      <w:start w:val="1"/>
      <w:numFmt w:val="decimal"/>
      <w:suff w:val="nothing"/>
      <w:lvlText w:val="%1．"/>
      <w:lvlJc w:val="left"/>
      <w:pPr>
        <w:ind w:firstLine="400"/>
      </w:pPr>
      <w:rPr>
        <w:rFonts w:hint="default" w:cs="Times New Roman"/>
      </w:rPr>
    </w:lvl>
  </w:abstractNum>
  <w:num w:numId="1">
    <w:abstractNumId w:val="1"/>
  </w:num>
  <w:num w:numId="2">
    <w:abstractNumId w:val="14"/>
  </w:num>
  <w:num w:numId="3">
    <w:abstractNumId w:val="9"/>
  </w:num>
  <w:num w:numId="4">
    <w:abstractNumId w:val="12"/>
  </w:num>
  <w:num w:numId="5">
    <w:abstractNumId w:val="3"/>
  </w:num>
  <w:num w:numId="6">
    <w:abstractNumId w:val="2"/>
  </w:num>
  <w:num w:numId="7">
    <w:abstractNumId w:val="10"/>
  </w:num>
  <w:num w:numId="8">
    <w:abstractNumId w:val="4"/>
  </w:num>
  <w:num w:numId="9">
    <w:abstractNumId w:val="11"/>
  </w:num>
  <w:num w:numId="10">
    <w:abstractNumId w:val="0"/>
  </w:num>
  <w:num w:numId="11">
    <w:abstractNumId w:val="8"/>
  </w:num>
  <w:num w:numId="12">
    <w:abstractNumId w:val="13"/>
  </w:num>
  <w:num w:numId="13">
    <w:abstractNumId w:val="15"/>
  </w:num>
  <w:num w:numId="14">
    <w:abstractNumId w:val="5"/>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QxNDdhMjBiZmM4NmI4MGM0MzRlZTUwMDUyZjkxYzcifQ=="/>
  </w:docVars>
  <w:rsids>
    <w:rsidRoot w:val="004824CF"/>
    <w:rsid w:val="000113AD"/>
    <w:rsid w:val="000116E3"/>
    <w:rsid w:val="000120A3"/>
    <w:rsid w:val="00017A8A"/>
    <w:rsid w:val="00027EF1"/>
    <w:rsid w:val="00030E57"/>
    <w:rsid w:val="00031B71"/>
    <w:rsid w:val="000470B5"/>
    <w:rsid w:val="00047CA8"/>
    <w:rsid w:val="00051071"/>
    <w:rsid w:val="00061F38"/>
    <w:rsid w:val="00062C04"/>
    <w:rsid w:val="000847AF"/>
    <w:rsid w:val="000A4A46"/>
    <w:rsid w:val="000A7A1A"/>
    <w:rsid w:val="000B347C"/>
    <w:rsid w:val="000B777A"/>
    <w:rsid w:val="000C310D"/>
    <w:rsid w:val="000C3A23"/>
    <w:rsid w:val="000C662E"/>
    <w:rsid w:val="000D1468"/>
    <w:rsid w:val="000D3B57"/>
    <w:rsid w:val="000F0C0F"/>
    <w:rsid w:val="000F7E5D"/>
    <w:rsid w:val="00101119"/>
    <w:rsid w:val="00106F7F"/>
    <w:rsid w:val="0011296F"/>
    <w:rsid w:val="001177C1"/>
    <w:rsid w:val="00124BFA"/>
    <w:rsid w:val="0014520C"/>
    <w:rsid w:val="00145727"/>
    <w:rsid w:val="00145AE8"/>
    <w:rsid w:val="00146E66"/>
    <w:rsid w:val="001519A9"/>
    <w:rsid w:val="00153BD5"/>
    <w:rsid w:val="00176EB8"/>
    <w:rsid w:val="001822CD"/>
    <w:rsid w:val="0018651E"/>
    <w:rsid w:val="001874E2"/>
    <w:rsid w:val="001919C2"/>
    <w:rsid w:val="001937DB"/>
    <w:rsid w:val="001A09D0"/>
    <w:rsid w:val="001A1752"/>
    <w:rsid w:val="001A2FDF"/>
    <w:rsid w:val="001A3E81"/>
    <w:rsid w:val="001E02E7"/>
    <w:rsid w:val="001E6F98"/>
    <w:rsid w:val="001F5575"/>
    <w:rsid w:val="00200A7F"/>
    <w:rsid w:val="00211C70"/>
    <w:rsid w:val="002460B1"/>
    <w:rsid w:val="0025099B"/>
    <w:rsid w:val="00250B4B"/>
    <w:rsid w:val="002675C2"/>
    <w:rsid w:val="0027082C"/>
    <w:rsid w:val="00270D84"/>
    <w:rsid w:val="00275677"/>
    <w:rsid w:val="00287F7E"/>
    <w:rsid w:val="0029037F"/>
    <w:rsid w:val="002A1EA8"/>
    <w:rsid w:val="002A431A"/>
    <w:rsid w:val="002A63D3"/>
    <w:rsid w:val="002C06F4"/>
    <w:rsid w:val="002C27DF"/>
    <w:rsid w:val="002D0AAC"/>
    <w:rsid w:val="002D184A"/>
    <w:rsid w:val="002D2472"/>
    <w:rsid w:val="002D2D1C"/>
    <w:rsid w:val="002D782B"/>
    <w:rsid w:val="002E378B"/>
    <w:rsid w:val="002F35CA"/>
    <w:rsid w:val="00301EF3"/>
    <w:rsid w:val="00307088"/>
    <w:rsid w:val="0031046C"/>
    <w:rsid w:val="00312255"/>
    <w:rsid w:val="00313862"/>
    <w:rsid w:val="00320E2B"/>
    <w:rsid w:val="003268B4"/>
    <w:rsid w:val="00327B49"/>
    <w:rsid w:val="00336665"/>
    <w:rsid w:val="00347422"/>
    <w:rsid w:val="00354D5E"/>
    <w:rsid w:val="003556D5"/>
    <w:rsid w:val="00387403"/>
    <w:rsid w:val="00394A41"/>
    <w:rsid w:val="003A1BFB"/>
    <w:rsid w:val="003B64C0"/>
    <w:rsid w:val="003C06E3"/>
    <w:rsid w:val="003D27EC"/>
    <w:rsid w:val="003D64A6"/>
    <w:rsid w:val="003D6BAF"/>
    <w:rsid w:val="003D7214"/>
    <w:rsid w:val="003F6A00"/>
    <w:rsid w:val="00404407"/>
    <w:rsid w:val="00407005"/>
    <w:rsid w:val="0040755A"/>
    <w:rsid w:val="00424462"/>
    <w:rsid w:val="00425818"/>
    <w:rsid w:val="00427CD2"/>
    <w:rsid w:val="00431894"/>
    <w:rsid w:val="00434DFA"/>
    <w:rsid w:val="00453294"/>
    <w:rsid w:val="004603EC"/>
    <w:rsid w:val="004645C5"/>
    <w:rsid w:val="004824CF"/>
    <w:rsid w:val="004855E5"/>
    <w:rsid w:val="00486024"/>
    <w:rsid w:val="0048650A"/>
    <w:rsid w:val="00490CB0"/>
    <w:rsid w:val="004A3D6E"/>
    <w:rsid w:val="004A47D1"/>
    <w:rsid w:val="004B2099"/>
    <w:rsid w:val="004B25D3"/>
    <w:rsid w:val="004C3BA2"/>
    <w:rsid w:val="004D5207"/>
    <w:rsid w:val="004D66AB"/>
    <w:rsid w:val="004D6BFA"/>
    <w:rsid w:val="004E485B"/>
    <w:rsid w:val="004F4841"/>
    <w:rsid w:val="00510D33"/>
    <w:rsid w:val="005114F8"/>
    <w:rsid w:val="00512E92"/>
    <w:rsid w:val="00514C3D"/>
    <w:rsid w:val="00521DAE"/>
    <w:rsid w:val="005348FE"/>
    <w:rsid w:val="00534AAB"/>
    <w:rsid w:val="00537772"/>
    <w:rsid w:val="0054037B"/>
    <w:rsid w:val="00555466"/>
    <w:rsid w:val="0055753B"/>
    <w:rsid w:val="00571E86"/>
    <w:rsid w:val="00573425"/>
    <w:rsid w:val="0058068B"/>
    <w:rsid w:val="00584E12"/>
    <w:rsid w:val="005A14B0"/>
    <w:rsid w:val="005B097F"/>
    <w:rsid w:val="005C1710"/>
    <w:rsid w:val="005C1CD3"/>
    <w:rsid w:val="005C72DD"/>
    <w:rsid w:val="005D1606"/>
    <w:rsid w:val="005E318B"/>
    <w:rsid w:val="005E3E47"/>
    <w:rsid w:val="005E676A"/>
    <w:rsid w:val="005E7E34"/>
    <w:rsid w:val="005F6AAB"/>
    <w:rsid w:val="00600F0F"/>
    <w:rsid w:val="00601989"/>
    <w:rsid w:val="006231CB"/>
    <w:rsid w:val="006269B3"/>
    <w:rsid w:val="0063479D"/>
    <w:rsid w:val="00640891"/>
    <w:rsid w:val="006442D4"/>
    <w:rsid w:val="00647344"/>
    <w:rsid w:val="00652B6D"/>
    <w:rsid w:val="0065679B"/>
    <w:rsid w:val="00660792"/>
    <w:rsid w:val="00663C7C"/>
    <w:rsid w:val="00667E1D"/>
    <w:rsid w:val="006752CC"/>
    <w:rsid w:val="00675819"/>
    <w:rsid w:val="006771B1"/>
    <w:rsid w:val="006A2B3E"/>
    <w:rsid w:val="006A2DB3"/>
    <w:rsid w:val="006A38CE"/>
    <w:rsid w:val="006B3FCA"/>
    <w:rsid w:val="006B586A"/>
    <w:rsid w:val="006E05BE"/>
    <w:rsid w:val="006E1613"/>
    <w:rsid w:val="006E21A8"/>
    <w:rsid w:val="006E27F9"/>
    <w:rsid w:val="006F5DFD"/>
    <w:rsid w:val="006F6121"/>
    <w:rsid w:val="00700226"/>
    <w:rsid w:val="00706307"/>
    <w:rsid w:val="00715B01"/>
    <w:rsid w:val="00725074"/>
    <w:rsid w:val="00725C0C"/>
    <w:rsid w:val="00726133"/>
    <w:rsid w:val="00737F5E"/>
    <w:rsid w:val="007429DD"/>
    <w:rsid w:val="00754D59"/>
    <w:rsid w:val="0075567D"/>
    <w:rsid w:val="007600AB"/>
    <w:rsid w:val="007619A2"/>
    <w:rsid w:val="00762939"/>
    <w:rsid w:val="00765A5F"/>
    <w:rsid w:val="00770CBD"/>
    <w:rsid w:val="00783535"/>
    <w:rsid w:val="007A30B5"/>
    <w:rsid w:val="007A4706"/>
    <w:rsid w:val="007D210A"/>
    <w:rsid w:val="007E7F54"/>
    <w:rsid w:val="007F01D1"/>
    <w:rsid w:val="007F35C4"/>
    <w:rsid w:val="007F6CAF"/>
    <w:rsid w:val="00801E29"/>
    <w:rsid w:val="00802CF2"/>
    <w:rsid w:val="00804224"/>
    <w:rsid w:val="008052AE"/>
    <w:rsid w:val="00806262"/>
    <w:rsid w:val="00821CB8"/>
    <w:rsid w:val="00834CB7"/>
    <w:rsid w:val="00834D9A"/>
    <w:rsid w:val="0084137F"/>
    <w:rsid w:val="00843285"/>
    <w:rsid w:val="00845193"/>
    <w:rsid w:val="008571B6"/>
    <w:rsid w:val="00865547"/>
    <w:rsid w:val="00872A62"/>
    <w:rsid w:val="00875EF9"/>
    <w:rsid w:val="0088255C"/>
    <w:rsid w:val="00883530"/>
    <w:rsid w:val="00890BFF"/>
    <w:rsid w:val="008948FF"/>
    <w:rsid w:val="008965BD"/>
    <w:rsid w:val="008A098E"/>
    <w:rsid w:val="008A6A01"/>
    <w:rsid w:val="008A6F04"/>
    <w:rsid w:val="008B3F87"/>
    <w:rsid w:val="008B5774"/>
    <w:rsid w:val="008C30F1"/>
    <w:rsid w:val="008D4501"/>
    <w:rsid w:val="008D6E8A"/>
    <w:rsid w:val="0090533F"/>
    <w:rsid w:val="00906A71"/>
    <w:rsid w:val="00907AA8"/>
    <w:rsid w:val="00913C84"/>
    <w:rsid w:val="0091722D"/>
    <w:rsid w:val="00934D3F"/>
    <w:rsid w:val="0093625A"/>
    <w:rsid w:val="00950AFB"/>
    <w:rsid w:val="00952DDA"/>
    <w:rsid w:val="00953181"/>
    <w:rsid w:val="00960F4F"/>
    <w:rsid w:val="0096650B"/>
    <w:rsid w:val="00970EBF"/>
    <w:rsid w:val="00973D11"/>
    <w:rsid w:val="009916FA"/>
    <w:rsid w:val="009C0F46"/>
    <w:rsid w:val="009C14CE"/>
    <w:rsid w:val="009C1D38"/>
    <w:rsid w:val="009D3760"/>
    <w:rsid w:val="009E5F9B"/>
    <w:rsid w:val="009E6674"/>
    <w:rsid w:val="009F3CA0"/>
    <w:rsid w:val="009F3FCC"/>
    <w:rsid w:val="00A04436"/>
    <w:rsid w:val="00A3553E"/>
    <w:rsid w:val="00A50C4D"/>
    <w:rsid w:val="00A80155"/>
    <w:rsid w:val="00A81C92"/>
    <w:rsid w:val="00A94314"/>
    <w:rsid w:val="00AB06FB"/>
    <w:rsid w:val="00AB4021"/>
    <w:rsid w:val="00AB40A2"/>
    <w:rsid w:val="00AB448A"/>
    <w:rsid w:val="00AC0B2B"/>
    <w:rsid w:val="00AC28E8"/>
    <w:rsid w:val="00AC2EB0"/>
    <w:rsid w:val="00AD61D0"/>
    <w:rsid w:val="00AE3FC8"/>
    <w:rsid w:val="00AE4D2B"/>
    <w:rsid w:val="00AF00F5"/>
    <w:rsid w:val="00AF5329"/>
    <w:rsid w:val="00B11274"/>
    <w:rsid w:val="00B12487"/>
    <w:rsid w:val="00B21DCE"/>
    <w:rsid w:val="00B25E00"/>
    <w:rsid w:val="00B30CE4"/>
    <w:rsid w:val="00B510E4"/>
    <w:rsid w:val="00B6486A"/>
    <w:rsid w:val="00B70470"/>
    <w:rsid w:val="00B706A4"/>
    <w:rsid w:val="00BA53CA"/>
    <w:rsid w:val="00BB202D"/>
    <w:rsid w:val="00BB3104"/>
    <w:rsid w:val="00BB3893"/>
    <w:rsid w:val="00BC17D3"/>
    <w:rsid w:val="00BD0095"/>
    <w:rsid w:val="00BD6C39"/>
    <w:rsid w:val="00BE2FE4"/>
    <w:rsid w:val="00C02F91"/>
    <w:rsid w:val="00C14CC2"/>
    <w:rsid w:val="00C21B7A"/>
    <w:rsid w:val="00C3142F"/>
    <w:rsid w:val="00C34783"/>
    <w:rsid w:val="00C51E2C"/>
    <w:rsid w:val="00C520C7"/>
    <w:rsid w:val="00C547AC"/>
    <w:rsid w:val="00C55D3B"/>
    <w:rsid w:val="00C56D59"/>
    <w:rsid w:val="00C602E8"/>
    <w:rsid w:val="00C63D4D"/>
    <w:rsid w:val="00C818A7"/>
    <w:rsid w:val="00C903DA"/>
    <w:rsid w:val="00C90E81"/>
    <w:rsid w:val="00C91E18"/>
    <w:rsid w:val="00CA108C"/>
    <w:rsid w:val="00CA4754"/>
    <w:rsid w:val="00CA4CF0"/>
    <w:rsid w:val="00CA5946"/>
    <w:rsid w:val="00CB288E"/>
    <w:rsid w:val="00CB3363"/>
    <w:rsid w:val="00CC686D"/>
    <w:rsid w:val="00CF419C"/>
    <w:rsid w:val="00D11C9E"/>
    <w:rsid w:val="00D14279"/>
    <w:rsid w:val="00D14591"/>
    <w:rsid w:val="00D15B44"/>
    <w:rsid w:val="00D173CD"/>
    <w:rsid w:val="00D3539E"/>
    <w:rsid w:val="00D4594A"/>
    <w:rsid w:val="00D45A1C"/>
    <w:rsid w:val="00D5364D"/>
    <w:rsid w:val="00D53D26"/>
    <w:rsid w:val="00D57672"/>
    <w:rsid w:val="00D60609"/>
    <w:rsid w:val="00D6771A"/>
    <w:rsid w:val="00D67EE8"/>
    <w:rsid w:val="00D706A6"/>
    <w:rsid w:val="00D73044"/>
    <w:rsid w:val="00D7383E"/>
    <w:rsid w:val="00D75078"/>
    <w:rsid w:val="00D80E1B"/>
    <w:rsid w:val="00D95887"/>
    <w:rsid w:val="00DB17FA"/>
    <w:rsid w:val="00DB2954"/>
    <w:rsid w:val="00DB7C74"/>
    <w:rsid w:val="00DC0E8A"/>
    <w:rsid w:val="00DC1120"/>
    <w:rsid w:val="00DC6AB1"/>
    <w:rsid w:val="00DC77E5"/>
    <w:rsid w:val="00DD0050"/>
    <w:rsid w:val="00DE504A"/>
    <w:rsid w:val="00DE632A"/>
    <w:rsid w:val="00E001D7"/>
    <w:rsid w:val="00E14EB6"/>
    <w:rsid w:val="00E304BF"/>
    <w:rsid w:val="00E36E71"/>
    <w:rsid w:val="00E47C18"/>
    <w:rsid w:val="00E55BC5"/>
    <w:rsid w:val="00E62AB4"/>
    <w:rsid w:val="00E839A4"/>
    <w:rsid w:val="00E87163"/>
    <w:rsid w:val="00EA037D"/>
    <w:rsid w:val="00EA0438"/>
    <w:rsid w:val="00EC7275"/>
    <w:rsid w:val="00ED22A3"/>
    <w:rsid w:val="00ED5DF2"/>
    <w:rsid w:val="00EE4EC8"/>
    <w:rsid w:val="00F00D3E"/>
    <w:rsid w:val="00F1307A"/>
    <w:rsid w:val="00F16848"/>
    <w:rsid w:val="00F21D69"/>
    <w:rsid w:val="00F3467A"/>
    <w:rsid w:val="00F41A1F"/>
    <w:rsid w:val="00F60299"/>
    <w:rsid w:val="00F60EFF"/>
    <w:rsid w:val="00F6301B"/>
    <w:rsid w:val="00F7225C"/>
    <w:rsid w:val="00F87058"/>
    <w:rsid w:val="00FA021A"/>
    <w:rsid w:val="00FA3A47"/>
    <w:rsid w:val="00FA5E76"/>
    <w:rsid w:val="00FB31B4"/>
    <w:rsid w:val="00FB3728"/>
    <w:rsid w:val="00FB6632"/>
    <w:rsid w:val="00FD04AD"/>
    <w:rsid w:val="00FF0482"/>
    <w:rsid w:val="00FF0B06"/>
    <w:rsid w:val="00FF1B6C"/>
    <w:rsid w:val="00FF2926"/>
    <w:rsid w:val="01282E62"/>
    <w:rsid w:val="015E4AD6"/>
    <w:rsid w:val="01871852"/>
    <w:rsid w:val="01FA75C2"/>
    <w:rsid w:val="02151F5D"/>
    <w:rsid w:val="0233386D"/>
    <w:rsid w:val="028B5457"/>
    <w:rsid w:val="02900CBF"/>
    <w:rsid w:val="02916500"/>
    <w:rsid w:val="029C7664"/>
    <w:rsid w:val="02B9341E"/>
    <w:rsid w:val="02CB1CF7"/>
    <w:rsid w:val="02F42E5E"/>
    <w:rsid w:val="03B94246"/>
    <w:rsid w:val="03BB7FBE"/>
    <w:rsid w:val="04082AD7"/>
    <w:rsid w:val="042876E7"/>
    <w:rsid w:val="04594368"/>
    <w:rsid w:val="048E7480"/>
    <w:rsid w:val="04B46E6D"/>
    <w:rsid w:val="04BA2023"/>
    <w:rsid w:val="04E92909"/>
    <w:rsid w:val="050140F6"/>
    <w:rsid w:val="052F2BF9"/>
    <w:rsid w:val="05726DA2"/>
    <w:rsid w:val="05876BD1"/>
    <w:rsid w:val="05BF7509"/>
    <w:rsid w:val="05C05B2C"/>
    <w:rsid w:val="05C83080"/>
    <w:rsid w:val="05CF3896"/>
    <w:rsid w:val="05D45367"/>
    <w:rsid w:val="062036DC"/>
    <w:rsid w:val="06485B93"/>
    <w:rsid w:val="065A3ABE"/>
    <w:rsid w:val="06C35A28"/>
    <w:rsid w:val="071C6FC5"/>
    <w:rsid w:val="071F37E4"/>
    <w:rsid w:val="07AB458E"/>
    <w:rsid w:val="07B65858"/>
    <w:rsid w:val="07E86406"/>
    <w:rsid w:val="08021F03"/>
    <w:rsid w:val="081F66DD"/>
    <w:rsid w:val="085963BE"/>
    <w:rsid w:val="08763A67"/>
    <w:rsid w:val="08AC4379"/>
    <w:rsid w:val="08C36EB5"/>
    <w:rsid w:val="090B5543"/>
    <w:rsid w:val="09591C60"/>
    <w:rsid w:val="097A7FD3"/>
    <w:rsid w:val="09811362"/>
    <w:rsid w:val="099F6326"/>
    <w:rsid w:val="09AC51F4"/>
    <w:rsid w:val="09DA6BC1"/>
    <w:rsid w:val="09DF1555"/>
    <w:rsid w:val="09F72B37"/>
    <w:rsid w:val="09F9317A"/>
    <w:rsid w:val="0A1827D7"/>
    <w:rsid w:val="0A197091"/>
    <w:rsid w:val="0AAE58EC"/>
    <w:rsid w:val="0AB67731"/>
    <w:rsid w:val="0AF055C0"/>
    <w:rsid w:val="0B056D1D"/>
    <w:rsid w:val="0B0C55A3"/>
    <w:rsid w:val="0B2E0290"/>
    <w:rsid w:val="0B646FD0"/>
    <w:rsid w:val="0B9F01C5"/>
    <w:rsid w:val="0BE64C7B"/>
    <w:rsid w:val="0C104C1F"/>
    <w:rsid w:val="0C7A28A0"/>
    <w:rsid w:val="0CAE01EE"/>
    <w:rsid w:val="0CD143AE"/>
    <w:rsid w:val="0CD914B5"/>
    <w:rsid w:val="0CDD56B7"/>
    <w:rsid w:val="0D0176CE"/>
    <w:rsid w:val="0D3112F1"/>
    <w:rsid w:val="0D480AAD"/>
    <w:rsid w:val="0D8E2C6D"/>
    <w:rsid w:val="0DB1596D"/>
    <w:rsid w:val="0DE533FE"/>
    <w:rsid w:val="0DFE246D"/>
    <w:rsid w:val="0E0367E9"/>
    <w:rsid w:val="0E1A3C41"/>
    <w:rsid w:val="0E1C5C8A"/>
    <w:rsid w:val="0E5F6C22"/>
    <w:rsid w:val="0E9235F2"/>
    <w:rsid w:val="0ED463D8"/>
    <w:rsid w:val="0F2C6214"/>
    <w:rsid w:val="0F73140B"/>
    <w:rsid w:val="0F827BE2"/>
    <w:rsid w:val="0F8459E7"/>
    <w:rsid w:val="0F8704DA"/>
    <w:rsid w:val="0FD348E1"/>
    <w:rsid w:val="106F4679"/>
    <w:rsid w:val="107C0AC4"/>
    <w:rsid w:val="10A55AC5"/>
    <w:rsid w:val="10B464C1"/>
    <w:rsid w:val="10DE709A"/>
    <w:rsid w:val="10E76023"/>
    <w:rsid w:val="10EC02A4"/>
    <w:rsid w:val="110411F6"/>
    <w:rsid w:val="113035A1"/>
    <w:rsid w:val="113911B0"/>
    <w:rsid w:val="114950F1"/>
    <w:rsid w:val="114A6B08"/>
    <w:rsid w:val="11AC051D"/>
    <w:rsid w:val="11CF0642"/>
    <w:rsid w:val="11E90AE8"/>
    <w:rsid w:val="11FC13A8"/>
    <w:rsid w:val="121A05A5"/>
    <w:rsid w:val="122825AB"/>
    <w:rsid w:val="122A4C8C"/>
    <w:rsid w:val="123553DF"/>
    <w:rsid w:val="123A47A4"/>
    <w:rsid w:val="12844B5F"/>
    <w:rsid w:val="12A3059B"/>
    <w:rsid w:val="12BE53D5"/>
    <w:rsid w:val="12F81301"/>
    <w:rsid w:val="1323348A"/>
    <w:rsid w:val="137141F5"/>
    <w:rsid w:val="13841283"/>
    <w:rsid w:val="13B87E82"/>
    <w:rsid w:val="13BA5B9C"/>
    <w:rsid w:val="14046669"/>
    <w:rsid w:val="14081F50"/>
    <w:rsid w:val="140F746A"/>
    <w:rsid w:val="14B60A59"/>
    <w:rsid w:val="14B92F7F"/>
    <w:rsid w:val="14C43166"/>
    <w:rsid w:val="14E4459F"/>
    <w:rsid w:val="150E4DA7"/>
    <w:rsid w:val="152D38D2"/>
    <w:rsid w:val="153616F9"/>
    <w:rsid w:val="15887D48"/>
    <w:rsid w:val="158C0FC4"/>
    <w:rsid w:val="159700A9"/>
    <w:rsid w:val="15C9656A"/>
    <w:rsid w:val="15CB2FC8"/>
    <w:rsid w:val="15DD0268"/>
    <w:rsid w:val="15FB517D"/>
    <w:rsid w:val="161C36A4"/>
    <w:rsid w:val="161E74F7"/>
    <w:rsid w:val="162F0A5F"/>
    <w:rsid w:val="16342FB8"/>
    <w:rsid w:val="165450C8"/>
    <w:rsid w:val="165D4F05"/>
    <w:rsid w:val="16955512"/>
    <w:rsid w:val="16A20B69"/>
    <w:rsid w:val="16A313AB"/>
    <w:rsid w:val="16D231FD"/>
    <w:rsid w:val="16F615E1"/>
    <w:rsid w:val="16F9596D"/>
    <w:rsid w:val="1729324A"/>
    <w:rsid w:val="173E6AE4"/>
    <w:rsid w:val="17471444"/>
    <w:rsid w:val="1763654B"/>
    <w:rsid w:val="176606D1"/>
    <w:rsid w:val="17681DB3"/>
    <w:rsid w:val="1783551C"/>
    <w:rsid w:val="1787183D"/>
    <w:rsid w:val="17BA717E"/>
    <w:rsid w:val="17D411EF"/>
    <w:rsid w:val="18132663"/>
    <w:rsid w:val="186D4723"/>
    <w:rsid w:val="18D56FD4"/>
    <w:rsid w:val="18D67438"/>
    <w:rsid w:val="18EB3F81"/>
    <w:rsid w:val="18EB67F8"/>
    <w:rsid w:val="19066ED2"/>
    <w:rsid w:val="191C404E"/>
    <w:rsid w:val="19353F17"/>
    <w:rsid w:val="198C70D4"/>
    <w:rsid w:val="1990455A"/>
    <w:rsid w:val="1A4A39F2"/>
    <w:rsid w:val="1A4C59BC"/>
    <w:rsid w:val="1A7F342E"/>
    <w:rsid w:val="1AA337EE"/>
    <w:rsid w:val="1AA75E35"/>
    <w:rsid w:val="1AED4CEE"/>
    <w:rsid w:val="1AFA0BF0"/>
    <w:rsid w:val="1AFF47DC"/>
    <w:rsid w:val="1B1738D4"/>
    <w:rsid w:val="1B631DDD"/>
    <w:rsid w:val="1B66485B"/>
    <w:rsid w:val="1B733B75"/>
    <w:rsid w:val="1B7C7BDB"/>
    <w:rsid w:val="1BCD6688"/>
    <w:rsid w:val="1BD87507"/>
    <w:rsid w:val="1BEF2AA3"/>
    <w:rsid w:val="1C01726E"/>
    <w:rsid w:val="1C502ABD"/>
    <w:rsid w:val="1C6C5EA1"/>
    <w:rsid w:val="1C945D59"/>
    <w:rsid w:val="1C9A47BD"/>
    <w:rsid w:val="1CA078F9"/>
    <w:rsid w:val="1CB3762C"/>
    <w:rsid w:val="1CBB4733"/>
    <w:rsid w:val="1CEE616B"/>
    <w:rsid w:val="1D293CB5"/>
    <w:rsid w:val="1D6E5D93"/>
    <w:rsid w:val="1D794BDF"/>
    <w:rsid w:val="1D8036C3"/>
    <w:rsid w:val="1D9C0459"/>
    <w:rsid w:val="1DA02655"/>
    <w:rsid w:val="1DB536C5"/>
    <w:rsid w:val="1E193E07"/>
    <w:rsid w:val="1E1F39B9"/>
    <w:rsid w:val="1E2E630E"/>
    <w:rsid w:val="1E4C5FEA"/>
    <w:rsid w:val="1E5D0C3B"/>
    <w:rsid w:val="1E6D26F3"/>
    <w:rsid w:val="1E74103D"/>
    <w:rsid w:val="1EA506FE"/>
    <w:rsid w:val="1EA77665"/>
    <w:rsid w:val="1EC612D4"/>
    <w:rsid w:val="1EE82D37"/>
    <w:rsid w:val="1F356024"/>
    <w:rsid w:val="1F547D36"/>
    <w:rsid w:val="1FBD28F6"/>
    <w:rsid w:val="200E7F92"/>
    <w:rsid w:val="204964BA"/>
    <w:rsid w:val="206155F1"/>
    <w:rsid w:val="20786BD9"/>
    <w:rsid w:val="208C6B12"/>
    <w:rsid w:val="20C242E2"/>
    <w:rsid w:val="20FC73FD"/>
    <w:rsid w:val="215D592A"/>
    <w:rsid w:val="21AD6D40"/>
    <w:rsid w:val="21BF2747"/>
    <w:rsid w:val="21E12424"/>
    <w:rsid w:val="22552843"/>
    <w:rsid w:val="22664960"/>
    <w:rsid w:val="226F0499"/>
    <w:rsid w:val="22A56D19"/>
    <w:rsid w:val="22B8577A"/>
    <w:rsid w:val="233A6B89"/>
    <w:rsid w:val="233D06CE"/>
    <w:rsid w:val="234436D4"/>
    <w:rsid w:val="23703CB9"/>
    <w:rsid w:val="23A35F91"/>
    <w:rsid w:val="23B1063E"/>
    <w:rsid w:val="23C927A8"/>
    <w:rsid w:val="23CD6CF2"/>
    <w:rsid w:val="24092228"/>
    <w:rsid w:val="24133523"/>
    <w:rsid w:val="245C2091"/>
    <w:rsid w:val="24831FDA"/>
    <w:rsid w:val="24F66C50"/>
    <w:rsid w:val="253E5A7A"/>
    <w:rsid w:val="254E4396"/>
    <w:rsid w:val="255274E3"/>
    <w:rsid w:val="25627E42"/>
    <w:rsid w:val="256F2C00"/>
    <w:rsid w:val="257C53A7"/>
    <w:rsid w:val="25983863"/>
    <w:rsid w:val="25A42208"/>
    <w:rsid w:val="25F0369F"/>
    <w:rsid w:val="262F241A"/>
    <w:rsid w:val="2699536E"/>
    <w:rsid w:val="26A24ACF"/>
    <w:rsid w:val="26C64400"/>
    <w:rsid w:val="27AA1890"/>
    <w:rsid w:val="27BA5D13"/>
    <w:rsid w:val="27D43D1A"/>
    <w:rsid w:val="27FA25B3"/>
    <w:rsid w:val="280B2A12"/>
    <w:rsid w:val="280D3B8A"/>
    <w:rsid w:val="280F5E8D"/>
    <w:rsid w:val="285443B9"/>
    <w:rsid w:val="28A576A5"/>
    <w:rsid w:val="28B906C0"/>
    <w:rsid w:val="28D505A3"/>
    <w:rsid w:val="2924732A"/>
    <w:rsid w:val="292A5CD7"/>
    <w:rsid w:val="294855A0"/>
    <w:rsid w:val="296E704B"/>
    <w:rsid w:val="297445E7"/>
    <w:rsid w:val="298E4C8F"/>
    <w:rsid w:val="29A12C44"/>
    <w:rsid w:val="29B82CB2"/>
    <w:rsid w:val="29DB01C2"/>
    <w:rsid w:val="29E654E5"/>
    <w:rsid w:val="29FB1394"/>
    <w:rsid w:val="2A3717E6"/>
    <w:rsid w:val="2A4622B9"/>
    <w:rsid w:val="2A9A7ECE"/>
    <w:rsid w:val="2A9D67A7"/>
    <w:rsid w:val="2AA9206F"/>
    <w:rsid w:val="2ABE21FE"/>
    <w:rsid w:val="2B167810"/>
    <w:rsid w:val="2B2A2FA5"/>
    <w:rsid w:val="2B55755F"/>
    <w:rsid w:val="2BDB094E"/>
    <w:rsid w:val="2BEC74D1"/>
    <w:rsid w:val="2BF36EA8"/>
    <w:rsid w:val="2BFE204A"/>
    <w:rsid w:val="2C3D6F12"/>
    <w:rsid w:val="2C477D91"/>
    <w:rsid w:val="2C646B95"/>
    <w:rsid w:val="2C90730E"/>
    <w:rsid w:val="2CA13945"/>
    <w:rsid w:val="2CA7500E"/>
    <w:rsid w:val="2CAB47C4"/>
    <w:rsid w:val="2CF241A1"/>
    <w:rsid w:val="2D283FDF"/>
    <w:rsid w:val="2D872CCF"/>
    <w:rsid w:val="2DE735DA"/>
    <w:rsid w:val="2DEA7573"/>
    <w:rsid w:val="2E3B1F69"/>
    <w:rsid w:val="2E452049"/>
    <w:rsid w:val="2E626351"/>
    <w:rsid w:val="2E9458AA"/>
    <w:rsid w:val="2EAE40F8"/>
    <w:rsid w:val="2EDC0400"/>
    <w:rsid w:val="2EEA7A87"/>
    <w:rsid w:val="2F7155EC"/>
    <w:rsid w:val="2FA25366"/>
    <w:rsid w:val="2FAD1429"/>
    <w:rsid w:val="2FAD2601"/>
    <w:rsid w:val="301A1FCC"/>
    <w:rsid w:val="301E0747"/>
    <w:rsid w:val="304A4F45"/>
    <w:rsid w:val="30C773D6"/>
    <w:rsid w:val="30D37E45"/>
    <w:rsid w:val="30D750F1"/>
    <w:rsid w:val="310224D9"/>
    <w:rsid w:val="311D6966"/>
    <w:rsid w:val="317C04DD"/>
    <w:rsid w:val="317E6D45"/>
    <w:rsid w:val="31886E82"/>
    <w:rsid w:val="318D0861"/>
    <w:rsid w:val="31EC01A1"/>
    <w:rsid w:val="32002EBC"/>
    <w:rsid w:val="32024E86"/>
    <w:rsid w:val="320317B2"/>
    <w:rsid w:val="3207424E"/>
    <w:rsid w:val="320E349A"/>
    <w:rsid w:val="32317519"/>
    <w:rsid w:val="324234D5"/>
    <w:rsid w:val="324D1DB2"/>
    <w:rsid w:val="325915B4"/>
    <w:rsid w:val="325F115A"/>
    <w:rsid w:val="32827D75"/>
    <w:rsid w:val="328C0C95"/>
    <w:rsid w:val="328D5BA3"/>
    <w:rsid w:val="32FA388A"/>
    <w:rsid w:val="33216BD9"/>
    <w:rsid w:val="333746BC"/>
    <w:rsid w:val="33484B1B"/>
    <w:rsid w:val="337F22D4"/>
    <w:rsid w:val="33D053DE"/>
    <w:rsid w:val="33D53F47"/>
    <w:rsid w:val="33E45440"/>
    <w:rsid w:val="342F7A89"/>
    <w:rsid w:val="34614C5E"/>
    <w:rsid w:val="348B0B67"/>
    <w:rsid w:val="34A41893"/>
    <w:rsid w:val="34D870ED"/>
    <w:rsid w:val="34DB550E"/>
    <w:rsid w:val="351F2835"/>
    <w:rsid w:val="35650230"/>
    <w:rsid w:val="35661288"/>
    <w:rsid w:val="35E14DB3"/>
    <w:rsid w:val="35E6061B"/>
    <w:rsid w:val="36211653"/>
    <w:rsid w:val="36581519"/>
    <w:rsid w:val="36687282"/>
    <w:rsid w:val="366A4DA8"/>
    <w:rsid w:val="366D6646"/>
    <w:rsid w:val="369E0EF6"/>
    <w:rsid w:val="36A94F0A"/>
    <w:rsid w:val="36AD4E95"/>
    <w:rsid w:val="36C00E6C"/>
    <w:rsid w:val="36EC3A0F"/>
    <w:rsid w:val="373C0FEE"/>
    <w:rsid w:val="37631D52"/>
    <w:rsid w:val="379003FF"/>
    <w:rsid w:val="37A34A15"/>
    <w:rsid w:val="37F1012E"/>
    <w:rsid w:val="380F2752"/>
    <w:rsid w:val="38233460"/>
    <w:rsid w:val="38543DC8"/>
    <w:rsid w:val="38550D30"/>
    <w:rsid w:val="38554E37"/>
    <w:rsid w:val="3861534B"/>
    <w:rsid w:val="38832151"/>
    <w:rsid w:val="3890595B"/>
    <w:rsid w:val="38B36EDA"/>
    <w:rsid w:val="38BE2F41"/>
    <w:rsid w:val="38FA1F08"/>
    <w:rsid w:val="397D3044"/>
    <w:rsid w:val="397F785A"/>
    <w:rsid w:val="399A59A4"/>
    <w:rsid w:val="39E4143D"/>
    <w:rsid w:val="3A865B06"/>
    <w:rsid w:val="3A946897"/>
    <w:rsid w:val="3A95616C"/>
    <w:rsid w:val="3A956EBD"/>
    <w:rsid w:val="3AA768DE"/>
    <w:rsid w:val="3AAA04B4"/>
    <w:rsid w:val="3AC54CA3"/>
    <w:rsid w:val="3ACB0B41"/>
    <w:rsid w:val="3AD2116E"/>
    <w:rsid w:val="3AF137E3"/>
    <w:rsid w:val="3AF35CDF"/>
    <w:rsid w:val="3B351E28"/>
    <w:rsid w:val="3B3D6A07"/>
    <w:rsid w:val="3B417784"/>
    <w:rsid w:val="3B54620D"/>
    <w:rsid w:val="3B59615D"/>
    <w:rsid w:val="3B7B68ED"/>
    <w:rsid w:val="3B7D37CF"/>
    <w:rsid w:val="3B8D4E54"/>
    <w:rsid w:val="3BC728D0"/>
    <w:rsid w:val="3C1B6030"/>
    <w:rsid w:val="3C2A3A07"/>
    <w:rsid w:val="3CA34797"/>
    <w:rsid w:val="3CCA31C7"/>
    <w:rsid w:val="3CF950D8"/>
    <w:rsid w:val="3D0243F7"/>
    <w:rsid w:val="3D10334B"/>
    <w:rsid w:val="3D8449A1"/>
    <w:rsid w:val="3DA22991"/>
    <w:rsid w:val="3DAB52CC"/>
    <w:rsid w:val="3DEE4511"/>
    <w:rsid w:val="3E1508B5"/>
    <w:rsid w:val="3E627186"/>
    <w:rsid w:val="3E90275C"/>
    <w:rsid w:val="3E9D3EC9"/>
    <w:rsid w:val="3EDA3DFC"/>
    <w:rsid w:val="3F877E48"/>
    <w:rsid w:val="3FA23805"/>
    <w:rsid w:val="3FE427A7"/>
    <w:rsid w:val="3FFC1167"/>
    <w:rsid w:val="40077B0C"/>
    <w:rsid w:val="40291570"/>
    <w:rsid w:val="40AA0BC3"/>
    <w:rsid w:val="40B10E42"/>
    <w:rsid w:val="40B36C44"/>
    <w:rsid w:val="40D52426"/>
    <w:rsid w:val="41723778"/>
    <w:rsid w:val="41CA01DE"/>
    <w:rsid w:val="41E37787"/>
    <w:rsid w:val="422E5823"/>
    <w:rsid w:val="423C69EA"/>
    <w:rsid w:val="424E2033"/>
    <w:rsid w:val="42613503"/>
    <w:rsid w:val="427A213E"/>
    <w:rsid w:val="42BA6DF8"/>
    <w:rsid w:val="42EE6118"/>
    <w:rsid w:val="431F0359"/>
    <w:rsid w:val="43516107"/>
    <w:rsid w:val="435C019A"/>
    <w:rsid w:val="436C25BC"/>
    <w:rsid w:val="436D237B"/>
    <w:rsid w:val="436D4129"/>
    <w:rsid w:val="43776D56"/>
    <w:rsid w:val="437A3E83"/>
    <w:rsid w:val="438C2802"/>
    <w:rsid w:val="43B14016"/>
    <w:rsid w:val="43D9356D"/>
    <w:rsid w:val="43F37F35"/>
    <w:rsid w:val="43F403A7"/>
    <w:rsid w:val="440E3217"/>
    <w:rsid w:val="441428A0"/>
    <w:rsid w:val="44450C02"/>
    <w:rsid w:val="444C01E3"/>
    <w:rsid w:val="4454331F"/>
    <w:rsid w:val="451F1453"/>
    <w:rsid w:val="453250A4"/>
    <w:rsid w:val="4554734F"/>
    <w:rsid w:val="458918DA"/>
    <w:rsid w:val="459E5A67"/>
    <w:rsid w:val="45C46415"/>
    <w:rsid w:val="45C9701F"/>
    <w:rsid w:val="45D466E2"/>
    <w:rsid w:val="45F36B68"/>
    <w:rsid w:val="45F428E0"/>
    <w:rsid w:val="46076AE9"/>
    <w:rsid w:val="46090F87"/>
    <w:rsid w:val="460A2104"/>
    <w:rsid w:val="46613521"/>
    <w:rsid w:val="46B725E2"/>
    <w:rsid w:val="46C403FE"/>
    <w:rsid w:val="46E17EB6"/>
    <w:rsid w:val="46F54B62"/>
    <w:rsid w:val="46FA5CD4"/>
    <w:rsid w:val="47471AB7"/>
    <w:rsid w:val="475C69E4"/>
    <w:rsid w:val="478C25E5"/>
    <w:rsid w:val="479954ED"/>
    <w:rsid w:val="47EE0A00"/>
    <w:rsid w:val="480929E4"/>
    <w:rsid w:val="4840005F"/>
    <w:rsid w:val="484C07B1"/>
    <w:rsid w:val="48757D08"/>
    <w:rsid w:val="488050EA"/>
    <w:rsid w:val="48984FC5"/>
    <w:rsid w:val="48AB6F46"/>
    <w:rsid w:val="48AC74A2"/>
    <w:rsid w:val="48C22822"/>
    <w:rsid w:val="48DA7B6B"/>
    <w:rsid w:val="490948F4"/>
    <w:rsid w:val="490B5F77"/>
    <w:rsid w:val="4913307D"/>
    <w:rsid w:val="491D3EFC"/>
    <w:rsid w:val="49225C15"/>
    <w:rsid w:val="49252F99"/>
    <w:rsid w:val="495F4514"/>
    <w:rsid w:val="49C622E4"/>
    <w:rsid w:val="49F07BA6"/>
    <w:rsid w:val="4A253068"/>
    <w:rsid w:val="4A323552"/>
    <w:rsid w:val="4A4259CA"/>
    <w:rsid w:val="4A82036E"/>
    <w:rsid w:val="4AE178D7"/>
    <w:rsid w:val="4AEB4B7F"/>
    <w:rsid w:val="4AFA0812"/>
    <w:rsid w:val="4B002956"/>
    <w:rsid w:val="4B0C49C6"/>
    <w:rsid w:val="4B0E33CA"/>
    <w:rsid w:val="4B141895"/>
    <w:rsid w:val="4B2801FD"/>
    <w:rsid w:val="4B285466"/>
    <w:rsid w:val="4B3A2B43"/>
    <w:rsid w:val="4B776719"/>
    <w:rsid w:val="4B846DFD"/>
    <w:rsid w:val="4B8F4302"/>
    <w:rsid w:val="4B9E7909"/>
    <w:rsid w:val="4BD4700F"/>
    <w:rsid w:val="4BEA0B92"/>
    <w:rsid w:val="4BEE22DF"/>
    <w:rsid w:val="4BF038AE"/>
    <w:rsid w:val="4BFD4E69"/>
    <w:rsid w:val="4BFE6267"/>
    <w:rsid w:val="4C1A4723"/>
    <w:rsid w:val="4C1C76B6"/>
    <w:rsid w:val="4C567E51"/>
    <w:rsid w:val="4C8538EA"/>
    <w:rsid w:val="4C883D82"/>
    <w:rsid w:val="4CEC5B28"/>
    <w:rsid w:val="4CFC0FF6"/>
    <w:rsid w:val="4D0C4969"/>
    <w:rsid w:val="4D720CBA"/>
    <w:rsid w:val="4D9D3829"/>
    <w:rsid w:val="4DC66910"/>
    <w:rsid w:val="4DDE1EAC"/>
    <w:rsid w:val="4E064266"/>
    <w:rsid w:val="4E0A269E"/>
    <w:rsid w:val="4E102281"/>
    <w:rsid w:val="4E3B0634"/>
    <w:rsid w:val="4E4940E5"/>
    <w:rsid w:val="4E7740AE"/>
    <w:rsid w:val="4F134A42"/>
    <w:rsid w:val="4F5906D5"/>
    <w:rsid w:val="4F5A192F"/>
    <w:rsid w:val="4F76776A"/>
    <w:rsid w:val="4FA91166"/>
    <w:rsid w:val="4FAE1D52"/>
    <w:rsid w:val="4FB63597"/>
    <w:rsid w:val="4FBC5831"/>
    <w:rsid w:val="4FD00ACF"/>
    <w:rsid w:val="4FFC1D50"/>
    <w:rsid w:val="50393A9E"/>
    <w:rsid w:val="50493828"/>
    <w:rsid w:val="50776834"/>
    <w:rsid w:val="50B4107E"/>
    <w:rsid w:val="51446AA1"/>
    <w:rsid w:val="5147420C"/>
    <w:rsid w:val="51777DFD"/>
    <w:rsid w:val="51A23E50"/>
    <w:rsid w:val="51E43733"/>
    <w:rsid w:val="51E72140"/>
    <w:rsid w:val="5219315D"/>
    <w:rsid w:val="52372B85"/>
    <w:rsid w:val="526D1A50"/>
    <w:rsid w:val="52777331"/>
    <w:rsid w:val="52B633F7"/>
    <w:rsid w:val="52C53E09"/>
    <w:rsid w:val="52D464CF"/>
    <w:rsid w:val="52E5233B"/>
    <w:rsid w:val="52F514E3"/>
    <w:rsid w:val="530D4FE1"/>
    <w:rsid w:val="532E2075"/>
    <w:rsid w:val="533F5418"/>
    <w:rsid w:val="539E3E71"/>
    <w:rsid w:val="53A65B5F"/>
    <w:rsid w:val="53BA6F17"/>
    <w:rsid w:val="53F81EBC"/>
    <w:rsid w:val="544A3D1E"/>
    <w:rsid w:val="54640A90"/>
    <w:rsid w:val="54A92AE8"/>
    <w:rsid w:val="54AB2D04"/>
    <w:rsid w:val="54BB7994"/>
    <w:rsid w:val="54D566F1"/>
    <w:rsid w:val="54FE110E"/>
    <w:rsid w:val="551D59AF"/>
    <w:rsid w:val="55486565"/>
    <w:rsid w:val="555B2034"/>
    <w:rsid w:val="55766E6E"/>
    <w:rsid w:val="557D644E"/>
    <w:rsid w:val="55854469"/>
    <w:rsid w:val="5587107B"/>
    <w:rsid w:val="55937A20"/>
    <w:rsid w:val="559636FD"/>
    <w:rsid w:val="559E3374"/>
    <w:rsid w:val="55A40F21"/>
    <w:rsid w:val="55E31E7D"/>
    <w:rsid w:val="55FB7373"/>
    <w:rsid w:val="56113D7B"/>
    <w:rsid w:val="56260894"/>
    <w:rsid w:val="56327239"/>
    <w:rsid w:val="56835CE6"/>
    <w:rsid w:val="56A0282F"/>
    <w:rsid w:val="56DD0A63"/>
    <w:rsid w:val="56F3111F"/>
    <w:rsid w:val="56FB2013"/>
    <w:rsid w:val="570B0B2B"/>
    <w:rsid w:val="576C677A"/>
    <w:rsid w:val="577A63FD"/>
    <w:rsid w:val="57933D94"/>
    <w:rsid w:val="57B66DEA"/>
    <w:rsid w:val="57E75E01"/>
    <w:rsid w:val="58000950"/>
    <w:rsid w:val="58306174"/>
    <w:rsid w:val="58415292"/>
    <w:rsid w:val="584E1402"/>
    <w:rsid w:val="590E6880"/>
    <w:rsid w:val="59633BAD"/>
    <w:rsid w:val="59725B9E"/>
    <w:rsid w:val="598002BB"/>
    <w:rsid w:val="598704B1"/>
    <w:rsid w:val="598B3F77"/>
    <w:rsid w:val="599B21FE"/>
    <w:rsid w:val="59B61F2F"/>
    <w:rsid w:val="59B63CDD"/>
    <w:rsid w:val="59D40607"/>
    <w:rsid w:val="5A32680C"/>
    <w:rsid w:val="5A3769F1"/>
    <w:rsid w:val="5A631883"/>
    <w:rsid w:val="5A64198B"/>
    <w:rsid w:val="5A751DEA"/>
    <w:rsid w:val="5A9912BD"/>
    <w:rsid w:val="5ABA77FD"/>
    <w:rsid w:val="5AC74793"/>
    <w:rsid w:val="5AE753D1"/>
    <w:rsid w:val="5AE96334"/>
    <w:rsid w:val="5B25059C"/>
    <w:rsid w:val="5B3550D5"/>
    <w:rsid w:val="5B90055D"/>
    <w:rsid w:val="5BE90F79"/>
    <w:rsid w:val="5C1C1FAB"/>
    <w:rsid w:val="5C6977DE"/>
    <w:rsid w:val="5C74228C"/>
    <w:rsid w:val="5C772F12"/>
    <w:rsid w:val="5C7D4F86"/>
    <w:rsid w:val="5CE70D7E"/>
    <w:rsid w:val="5CF54B1C"/>
    <w:rsid w:val="5D287866"/>
    <w:rsid w:val="5D347D3A"/>
    <w:rsid w:val="5D635307"/>
    <w:rsid w:val="5D7B346D"/>
    <w:rsid w:val="5E1060A2"/>
    <w:rsid w:val="5E2345E1"/>
    <w:rsid w:val="5E4C1698"/>
    <w:rsid w:val="5E592D62"/>
    <w:rsid w:val="5E6261E1"/>
    <w:rsid w:val="5E70058E"/>
    <w:rsid w:val="5E7B56A3"/>
    <w:rsid w:val="5E98670E"/>
    <w:rsid w:val="5EC469EA"/>
    <w:rsid w:val="5F052ABF"/>
    <w:rsid w:val="5F090D52"/>
    <w:rsid w:val="5F0D7FD9"/>
    <w:rsid w:val="5F2416E8"/>
    <w:rsid w:val="5F472550"/>
    <w:rsid w:val="5F4B2345"/>
    <w:rsid w:val="5F603322"/>
    <w:rsid w:val="5FA84E02"/>
    <w:rsid w:val="601B1346"/>
    <w:rsid w:val="603C3A0F"/>
    <w:rsid w:val="604068A7"/>
    <w:rsid w:val="60A9459B"/>
    <w:rsid w:val="60AB4119"/>
    <w:rsid w:val="60B46A9C"/>
    <w:rsid w:val="60E20DDA"/>
    <w:rsid w:val="60E824E1"/>
    <w:rsid w:val="60FA6BA5"/>
    <w:rsid w:val="6136410C"/>
    <w:rsid w:val="61601925"/>
    <w:rsid w:val="617A5F38"/>
    <w:rsid w:val="621C2B4B"/>
    <w:rsid w:val="622F1809"/>
    <w:rsid w:val="62301725"/>
    <w:rsid w:val="62456545"/>
    <w:rsid w:val="62726741"/>
    <w:rsid w:val="6291178B"/>
    <w:rsid w:val="62E55AA2"/>
    <w:rsid w:val="62E713AB"/>
    <w:rsid w:val="630769A2"/>
    <w:rsid w:val="631F3C4B"/>
    <w:rsid w:val="634F08A9"/>
    <w:rsid w:val="63DD630A"/>
    <w:rsid w:val="640F141E"/>
    <w:rsid w:val="642A7489"/>
    <w:rsid w:val="64553E02"/>
    <w:rsid w:val="645E6B2B"/>
    <w:rsid w:val="64625B6D"/>
    <w:rsid w:val="646B211F"/>
    <w:rsid w:val="648F335C"/>
    <w:rsid w:val="64B43692"/>
    <w:rsid w:val="64D127DF"/>
    <w:rsid w:val="64F97173"/>
    <w:rsid w:val="64FA4A6C"/>
    <w:rsid w:val="65024186"/>
    <w:rsid w:val="65097BA0"/>
    <w:rsid w:val="6523360F"/>
    <w:rsid w:val="652553AF"/>
    <w:rsid w:val="65500148"/>
    <w:rsid w:val="65BC6026"/>
    <w:rsid w:val="65BD2897"/>
    <w:rsid w:val="65C14135"/>
    <w:rsid w:val="65DD5A69"/>
    <w:rsid w:val="66303069"/>
    <w:rsid w:val="66451F92"/>
    <w:rsid w:val="66540909"/>
    <w:rsid w:val="66560D21"/>
    <w:rsid w:val="667E3A3F"/>
    <w:rsid w:val="66931603"/>
    <w:rsid w:val="66BD2D49"/>
    <w:rsid w:val="66D306CB"/>
    <w:rsid w:val="6711031F"/>
    <w:rsid w:val="67204E8B"/>
    <w:rsid w:val="673246DF"/>
    <w:rsid w:val="676324C3"/>
    <w:rsid w:val="677F6346"/>
    <w:rsid w:val="67AE06E9"/>
    <w:rsid w:val="67B11913"/>
    <w:rsid w:val="67BF15D1"/>
    <w:rsid w:val="67F90CA0"/>
    <w:rsid w:val="681C3DB2"/>
    <w:rsid w:val="68250D23"/>
    <w:rsid w:val="682C3F7D"/>
    <w:rsid w:val="68367C0B"/>
    <w:rsid w:val="684C3601"/>
    <w:rsid w:val="68923B67"/>
    <w:rsid w:val="68AD2729"/>
    <w:rsid w:val="68ED3493"/>
    <w:rsid w:val="68FA753F"/>
    <w:rsid w:val="695B4A24"/>
    <w:rsid w:val="696738C0"/>
    <w:rsid w:val="69B875FD"/>
    <w:rsid w:val="6A1F6E67"/>
    <w:rsid w:val="6A5F216E"/>
    <w:rsid w:val="6A94371C"/>
    <w:rsid w:val="6A994DB4"/>
    <w:rsid w:val="6A9F242C"/>
    <w:rsid w:val="6ACE4BFE"/>
    <w:rsid w:val="6AE35B67"/>
    <w:rsid w:val="6AE663EC"/>
    <w:rsid w:val="6AEB57B0"/>
    <w:rsid w:val="6B190D2E"/>
    <w:rsid w:val="6B43739A"/>
    <w:rsid w:val="6B777044"/>
    <w:rsid w:val="6B9A098B"/>
    <w:rsid w:val="6BA719DB"/>
    <w:rsid w:val="6BAE4965"/>
    <w:rsid w:val="6BE242D3"/>
    <w:rsid w:val="6BEA59EE"/>
    <w:rsid w:val="6C932FC3"/>
    <w:rsid w:val="6CF472C9"/>
    <w:rsid w:val="6CF748E0"/>
    <w:rsid w:val="6D025E6E"/>
    <w:rsid w:val="6D2B458A"/>
    <w:rsid w:val="6D3904DD"/>
    <w:rsid w:val="6D567A0A"/>
    <w:rsid w:val="6D6500DA"/>
    <w:rsid w:val="6D9263B7"/>
    <w:rsid w:val="6E097153"/>
    <w:rsid w:val="6E6B7519"/>
    <w:rsid w:val="6EBC7B8F"/>
    <w:rsid w:val="6EE8472C"/>
    <w:rsid w:val="6F3F39FB"/>
    <w:rsid w:val="6F421F46"/>
    <w:rsid w:val="6F5D478C"/>
    <w:rsid w:val="6F97347C"/>
    <w:rsid w:val="6F9A7E28"/>
    <w:rsid w:val="6FBB0C95"/>
    <w:rsid w:val="6FC27788"/>
    <w:rsid w:val="701814CC"/>
    <w:rsid w:val="701F03D6"/>
    <w:rsid w:val="706A3949"/>
    <w:rsid w:val="70B93805"/>
    <w:rsid w:val="70D8302E"/>
    <w:rsid w:val="70F51137"/>
    <w:rsid w:val="713D6905"/>
    <w:rsid w:val="71817DDF"/>
    <w:rsid w:val="718330AE"/>
    <w:rsid w:val="719B1CDE"/>
    <w:rsid w:val="719D77B4"/>
    <w:rsid w:val="719E532A"/>
    <w:rsid w:val="71B62CB1"/>
    <w:rsid w:val="71C31235"/>
    <w:rsid w:val="71CE6BCA"/>
    <w:rsid w:val="71DC5E53"/>
    <w:rsid w:val="722F0678"/>
    <w:rsid w:val="723A1ED0"/>
    <w:rsid w:val="72477A52"/>
    <w:rsid w:val="7252121A"/>
    <w:rsid w:val="728C3ECF"/>
    <w:rsid w:val="72C9287B"/>
    <w:rsid w:val="73075151"/>
    <w:rsid w:val="733704AF"/>
    <w:rsid w:val="7352749C"/>
    <w:rsid w:val="73997999"/>
    <w:rsid w:val="73A41284"/>
    <w:rsid w:val="73BC23E0"/>
    <w:rsid w:val="73C4683B"/>
    <w:rsid w:val="73CA0659"/>
    <w:rsid w:val="73CD1EF7"/>
    <w:rsid w:val="73D34432"/>
    <w:rsid w:val="73F531FC"/>
    <w:rsid w:val="73FC037B"/>
    <w:rsid w:val="73FC27DC"/>
    <w:rsid w:val="73FE751D"/>
    <w:rsid w:val="742F7C25"/>
    <w:rsid w:val="744C3764"/>
    <w:rsid w:val="744D672D"/>
    <w:rsid w:val="74534AF2"/>
    <w:rsid w:val="745D327B"/>
    <w:rsid w:val="746C7962"/>
    <w:rsid w:val="748441E9"/>
    <w:rsid w:val="74AE3AD6"/>
    <w:rsid w:val="74B447DD"/>
    <w:rsid w:val="74DA0E50"/>
    <w:rsid w:val="74DC4AE7"/>
    <w:rsid w:val="74F27449"/>
    <w:rsid w:val="74FA4F6E"/>
    <w:rsid w:val="75207D73"/>
    <w:rsid w:val="75D6158B"/>
    <w:rsid w:val="75DE488F"/>
    <w:rsid w:val="760342F6"/>
    <w:rsid w:val="760F4A49"/>
    <w:rsid w:val="76463CCB"/>
    <w:rsid w:val="765468FF"/>
    <w:rsid w:val="765D3A06"/>
    <w:rsid w:val="76697C65"/>
    <w:rsid w:val="767321F3"/>
    <w:rsid w:val="769A4F57"/>
    <w:rsid w:val="76B16007"/>
    <w:rsid w:val="76BA0E58"/>
    <w:rsid w:val="76F50AF3"/>
    <w:rsid w:val="77412296"/>
    <w:rsid w:val="77585F7B"/>
    <w:rsid w:val="7762452D"/>
    <w:rsid w:val="778E39B8"/>
    <w:rsid w:val="77905715"/>
    <w:rsid w:val="77B1060A"/>
    <w:rsid w:val="77B6520E"/>
    <w:rsid w:val="77C4682D"/>
    <w:rsid w:val="77E32918"/>
    <w:rsid w:val="783249FD"/>
    <w:rsid w:val="78565B21"/>
    <w:rsid w:val="785D5F3F"/>
    <w:rsid w:val="78A34761"/>
    <w:rsid w:val="78EF6251"/>
    <w:rsid w:val="794D276D"/>
    <w:rsid w:val="794E3ADA"/>
    <w:rsid w:val="7960471F"/>
    <w:rsid w:val="79913615"/>
    <w:rsid w:val="79927E6B"/>
    <w:rsid w:val="799405C8"/>
    <w:rsid w:val="79AC6640"/>
    <w:rsid w:val="79FF3026"/>
    <w:rsid w:val="7A1D3082"/>
    <w:rsid w:val="7ACD0A2E"/>
    <w:rsid w:val="7B22521E"/>
    <w:rsid w:val="7B482534"/>
    <w:rsid w:val="7BB94FCC"/>
    <w:rsid w:val="7BC92AB9"/>
    <w:rsid w:val="7C2A65B5"/>
    <w:rsid w:val="7C9243D2"/>
    <w:rsid w:val="7CA0289E"/>
    <w:rsid w:val="7CBE0F77"/>
    <w:rsid w:val="7CE81B50"/>
    <w:rsid w:val="7CEC0F0F"/>
    <w:rsid w:val="7CEC58EA"/>
    <w:rsid w:val="7CF94051"/>
    <w:rsid w:val="7D006E99"/>
    <w:rsid w:val="7D0160C7"/>
    <w:rsid w:val="7D0A5583"/>
    <w:rsid w:val="7D1172F8"/>
    <w:rsid w:val="7D126BCC"/>
    <w:rsid w:val="7D175381"/>
    <w:rsid w:val="7D230DDA"/>
    <w:rsid w:val="7D456FA2"/>
    <w:rsid w:val="7D617936"/>
    <w:rsid w:val="7D6B5811"/>
    <w:rsid w:val="7D94748A"/>
    <w:rsid w:val="7D9A6AAF"/>
    <w:rsid w:val="7DC0487A"/>
    <w:rsid w:val="7DC51861"/>
    <w:rsid w:val="7DD21995"/>
    <w:rsid w:val="7E422113"/>
    <w:rsid w:val="7E431733"/>
    <w:rsid w:val="7E4960BC"/>
    <w:rsid w:val="7EA076E5"/>
    <w:rsid w:val="7EAF0B77"/>
    <w:rsid w:val="7EBB4972"/>
    <w:rsid w:val="7EE46585"/>
    <w:rsid w:val="7EF03B35"/>
    <w:rsid w:val="7F270B69"/>
    <w:rsid w:val="7F6452A1"/>
    <w:rsid w:val="7F6C4CBA"/>
    <w:rsid w:val="7F967E36"/>
    <w:rsid w:val="7F9B734D"/>
    <w:rsid w:val="7FC3739A"/>
    <w:rsid w:val="7FE642B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4"/>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25"/>
    <w:qFormat/>
    <w:uiPriority w:val="99"/>
    <w:pPr>
      <w:keepNext/>
      <w:keepLines/>
      <w:spacing w:line="520" w:lineRule="atLeast"/>
      <w:ind w:firstLine="200" w:firstLineChars="200"/>
      <w:outlineLvl w:val="1"/>
    </w:pPr>
    <w:rPr>
      <w:rFonts w:ascii="Cambria" w:hAnsi="Cambria"/>
      <w:bCs/>
      <w:sz w:val="24"/>
      <w:szCs w:val="32"/>
    </w:rPr>
  </w:style>
  <w:style w:type="character" w:default="1" w:styleId="20">
    <w:name w:val="Default Paragraph Font"/>
    <w:semiHidden/>
    <w:uiPriority w:val="99"/>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38"/>
    <w:qFormat/>
    <w:uiPriority w:val="99"/>
    <w:pPr>
      <w:widowControl/>
      <w:autoSpaceDE w:val="0"/>
      <w:autoSpaceDN w:val="0"/>
      <w:adjustRightInd w:val="0"/>
      <w:spacing w:after="200" w:line="360" w:lineRule="atLeast"/>
      <w:ind w:firstLine="420"/>
      <w:jc w:val="left"/>
    </w:pPr>
    <w:rPr>
      <w:rFonts w:ascii="宋体" w:hAnsi="Times New Roman"/>
      <w:kern w:val="0"/>
      <w:szCs w:val="20"/>
    </w:rPr>
  </w:style>
  <w:style w:type="paragraph" w:styleId="5">
    <w:name w:val="annotation text"/>
    <w:basedOn w:val="1"/>
    <w:link w:val="26"/>
    <w:semiHidden/>
    <w:qFormat/>
    <w:uiPriority w:val="99"/>
    <w:pPr>
      <w:jc w:val="left"/>
    </w:pPr>
  </w:style>
  <w:style w:type="paragraph" w:styleId="6">
    <w:name w:val="Body Text"/>
    <w:basedOn w:val="1"/>
    <w:link w:val="27"/>
    <w:qFormat/>
    <w:uiPriority w:val="99"/>
    <w:pPr>
      <w:widowControl/>
      <w:autoSpaceDE w:val="0"/>
      <w:autoSpaceDN w:val="0"/>
      <w:adjustRightInd w:val="0"/>
      <w:spacing w:after="200" w:line="400" w:lineRule="atLeast"/>
      <w:jc w:val="left"/>
    </w:pPr>
    <w:rPr>
      <w:rFonts w:ascii="宋体" w:hAnsi="Cambria"/>
      <w:color w:val="000000"/>
      <w:kern w:val="0"/>
      <w:sz w:val="24"/>
      <w:lang w:eastAsia="en-US"/>
    </w:rPr>
  </w:style>
  <w:style w:type="paragraph" w:styleId="7">
    <w:name w:val="Body Text Indent"/>
    <w:basedOn w:val="1"/>
    <w:link w:val="28"/>
    <w:qFormat/>
    <w:uiPriority w:val="99"/>
    <w:pPr>
      <w:widowControl/>
      <w:spacing w:after="200" w:line="276" w:lineRule="auto"/>
      <w:ind w:firstLine="420"/>
      <w:jc w:val="left"/>
    </w:pPr>
    <w:rPr>
      <w:rFonts w:ascii="Cambria" w:hAnsi="Cambria"/>
      <w:kern w:val="0"/>
      <w:sz w:val="22"/>
      <w:lang w:eastAsia="en-US"/>
    </w:rPr>
  </w:style>
  <w:style w:type="paragraph" w:styleId="8">
    <w:name w:val="toc 3"/>
    <w:basedOn w:val="1"/>
    <w:next w:val="1"/>
    <w:qFormat/>
    <w:uiPriority w:val="99"/>
    <w:pPr>
      <w:widowControl/>
      <w:spacing w:after="100" w:line="276" w:lineRule="auto"/>
      <w:ind w:left="440"/>
      <w:jc w:val="left"/>
    </w:pPr>
    <w:rPr>
      <w:kern w:val="0"/>
      <w:sz w:val="22"/>
    </w:rPr>
  </w:style>
  <w:style w:type="paragraph" w:styleId="9">
    <w:name w:val="Date"/>
    <w:basedOn w:val="1"/>
    <w:next w:val="1"/>
    <w:link w:val="29"/>
    <w:semiHidden/>
    <w:qFormat/>
    <w:uiPriority w:val="99"/>
    <w:pPr>
      <w:ind w:left="100" w:leftChars="2500"/>
    </w:pPr>
  </w:style>
  <w:style w:type="paragraph" w:styleId="10">
    <w:name w:val="Body Text Indent 2"/>
    <w:basedOn w:val="1"/>
    <w:link w:val="30"/>
    <w:qFormat/>
    <w:uiPriority w:val="99"/>
    <w:pPr>
      <w:widowControl/>
      <w:spacing w:after="200" w:line="420" w:lineRule="atLeast"/>
      <w:ind w:firstLine="480"/>
      <w:jc w:val="left"/>
    </w:pPr>
    <w:rPr>
      <w:rFonts w:ascii="Cambria" w:hAnsi="Cambria"/>
      <w:kern w:val="0"/>
      <w:sz w:val="24"/>
      <w:lang w:eastAsia="en-US"/>
    </w:rPr>
  </w:style>
  <w:style w:type="paragraph" w:styleId="11">
    <w:name w:val="Balloon Text"/>
    <w:basedOn w:val="1"/>
    <w:link w:val="31"/>
    <w:semiHidden/>
    <w:qFormat/>
    <w:uiPriority w:val="99"/>
    <w:rPr>
      <w:sz w:val="18"/>
      <w:szCs w:val="18"/>
    </w:rPr>
  </w:style>
  <w:style w:type="paragraph" w:styleId="12">
    <w:name w:val="footer"/>
    <w:basedOn w:val="1"/>
    <w:link w:val="32"/>
    <w:qFormat/>
    <w:uiPriority w:val="99"/>
    <w:pPr>
      <w:tabs>
        <w:tab w:val="center" w:pos="4153"/>
        <w:tab w:val="right" w:pos="8306"/>
      </w:tabs>
      <w:snapToGrid w:val="0"/>
      <w:jc w:val="left"/>
    </w:pPr>
    <w:rPr>
      <w:sz w:val="18"/>
      <w:szCs w:val="18"/>
    </w:rPr>
  </w:style>
  <w:style w:type="paragraph" w:styleId="13">
    <w:name w:val="header"/>
    <w:basedOn w:val="1"/>
    <w:link w:val="33"/>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pPr>
      <w:widowControl/>
      <w:tabs>
        <w:tab w:val="right" w:leader="dot" w:pos="8296"/>
      </w:tabs>
      <w:spacing w:line="520" w:lineRule="atLeast"/>
      <w:jc w:val="left"/>
    </w:pPr>
    <w:rPr>
      <w:kern w:val="0"/>
      <w:sz w:val="28"/>
      <w:szCs w:val="28"/>
    </w:rPr>
  </w:style>
  <w:style w:type="paragraph" w:styleId="15">
    <w:name w:val="Subtitle"/>
    <w:basedOn w:val="1"/>
    <w:next w:val="1"/>
    <w:link w:val="34"/>
    <w:qFormat/>
    <w:uiPriority w:val="99"/>
    <w:pPr>
      <w:spacing w:line="312" w:lineRule="auto"/>
      <w:ind w:firstLine="200" w:firstLineChars="200"/>
      <w:jc w:val="left"/>
      <w:outlineLvl w:val="2"/>
    </w:pPr>
    <w:rPr>
      <w:rFonts w:ascii="Cambria" w:hAnsi="Cambria" w:eastAsia="黑体"/>
      <w:bCs/>
      <w:kern w:val="28"/>
      <w:sz w:val="24"/>
      <w:szCs w:val="32"/>
    </w:rPr>
  </w:style>
  <w:style w:type="paragraph" w:styleId="16">
    <w:name w:val="toc 2"/>
    <w:basedOn w:val="1"/>
    <w:next w:val="1"/>
    <w:qFormat/>
    <w:uiPriority w:val="99"/>
    <w:pPr>
      <w:widowControl/>
      <w:spacing w:after="100" w:line="276" w:lineRule="auto"/>
      <w:ind w:left="220"/>
      <w:jc w:val="left"/>
    </w:pPr>
    <w:rPr>
      <w:kern w:val="0"/>
      <w:sz w:val="22"/>
    </w:rPr>
  </w:style>
  <w:style w:type="paragraph" w:styleId="17">
    <w:name w:val="annotation subject"/>
    <w:basedOn w:val="5"/>
    <w:next w:val="5"/>
    <w:link w:val="35"/>
    <w:semiHidden/>
    <w:qFormat/>
    <w:uiPriority w:val="99"/>
    <w:rPr>
      <w:b/>
      <w:bCs/>
    </w:rPr>
  </w:style>
  <w:style w:type="table" w:styleId="19">
    <w:name w:val="Table Grid"/>
    <w:basedOn w:val="18"/>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99"/>
    <w:rPr>
      <w:rFonts w:cs="Times New Roman"/>
    </w:rPr>
  </w:style>
  <w:style w:type="character" w:styleId="22">
    <w:name w:val="Hyperlink"/>
    <w:basedOn w:val="20"/>
    <w:qFormat/>
    <w:uiPriority w:val="99"/>
    <w:rPr>
      <w:rFonts w:cs="Times New Roman"/>
      <w:color w:val="0000FF"/>
      <w:u w:val="single"/>
    </w:rPr>
  </w:style>
  <w:style w:type="character" w:styleId="23">
    <w:name w:val="annotation reference"/>
    <w:basedOn w:val="20"/>
    <w:semiHidden/>
    <w:qFormat/>
    <w:uiPriority w:val="99"/>
    <w:rPr>
      <w:rFonts w:cs="Times New Roman"/>
      <w:sz w:val="21"/>
      <w:szCs w:val="21"/>
    </w:rPr>
  </w:style>
  <w:style w:type="character" w:customStyle="1" w:styleId="24">
    <w:name w:val="Heading 1 Char"/>
    <w:basedOn w:val="20"/>
    <w:link w:val="2"/>
    <w:locked/>
    <w:uiPriority w:val="99"/>
    <w:rPr>
      <w:rFonts w:cs="Times New Roman"/>
      <w:b/>
      <w:bCs/>
      <w:kern w:val="44"/>
      <w:sz w:val="44"/>
      <w:szCs w:val="44"/>
    </w:rPr>
  </w:style>
  <w:style w:type="character" w:customStyle="1" w:styleId="25">
    <w:name w:val="Heading 2 Char"/>
    <w:basedOn w:val="20"/>
    <w:link w:val="3"/>
    <w:locked/>
    <w:uiPriority w:val="99"/>
    <w:rPr>
      <w:rFonts w:ascii="Cambria" w:hAnsi="Cambria" w:eastAsia="宋体" w:cs="Times New Roman"/>
      <w:bCs/>
      <w:sz w:val="32"/>
      <w:szCs w:val="32"/>
    </w:rPr>
  </w:style>
  <w:style w:type="character" w:customStyle="1" w:styleId="26">
    <w:name w:val="Comment Text Char"/>
    <w:basedOn w:val="20"/>
    <w:link w:val="5"/>
    <w:semiHidden/>
    <w:qFormat/>
    <w:locked/>
    <w:uiPriority w:val="99"/>
    <w:rPr>
      <w:rFonts w:cs="Times New Roman"/>
    </w:rPr>
  </w:style>
  <w:style w:type="character" w:customStyle="1" w:styleId="27">
    <w:name w:val="Body Text Char"/>
    <w:basedOn w:val="20"/>
    <w:link w:val="6"/>
    <w:qFormat/>
    <w:locked/>
    <w:uiPriority w:val="99"/>
    <w:rPr>
      <w:rFonts w:ascii="宋体" w:hAnsi="Cambria" w:eastAsia="宋体" w:cs="Times New Roman"/>
      <w:color w:val="000000"/>
      <w:kern w:val="0"/>
      <w:sz w:val="24"/>
      <w:lang w:eastAsia="en-US"/>
    </w:rPr>
  </w:style>
  <w:style w:type="character" w:customStyle="1" w:styleId="28">
    <w:name w:val="Body Text Indent Char"/>
    <w:basedOn w:val="20"/>
    <w:link w:val="7"/>
    <w:qFormat/>
    <w:locked/>
    <w:uiPriority w:val="99"/>
    <w:rPr>
      <w:rFonts w:ascii="Cambria" w:hAnsi="Cambria" w:eastAsia="宋体" w:cs="Times New Roman"/>
      <w:kern w:val="0"/>
      <w:sz w:val="22"/>
      <w:lang w:eastAsia="en-US"/>
    </w:rPr>
  </w:style>
  <w:style w:type="character" w:customStyle="1" w:styleId="29">
    <w:name w:val="Date Char"/>
    <w:basedOn w:val="20"/>
    <w:link w:val="9"/>
    <w:semiHidden/>
    <w:qFormat/>
    <w:locked/>
    <w:uiPriority w:val="99"/>
    <w:rPr>
      <w:rFonts w:cs="Times New Roman"/>
    </w:rPr>
  </w:style>
  <w:style w:type="character" w:customStyle="1" w:styleId="30">
    <w:name w:val="Body Text Indent 2 Char"/>
    <w:basedOn w:val="20"/>
    <w:link w:val="10"/>
    <w:qFormat/>
    <w:locked/>
    <w:uiPriority w:val="99"/>
    <w:rPr>
      <w:rFonts w:ascii="Cambria" w:hAnsi="Cambria" w:eastAsia="宋体" w:cs="Times New Roman"/>
      <w:kern w:val="0"/>
      <w:sz w:val="24"/>
      <w:lang w:eastAsia="en-US"/>
    </w:rPr>
  </w:style>
  <w:style w:type="character" w:customStyle="1" w:styleId="31">
    <w:name w:val="Balloon Text Char"/>
    <w:basedOn w:val="20"/>
    <w:link w:val="11"/>
    <w:semiHidden/>
    <w:qFormat/>
    <w:locked/>
    <w:uiPriority w:val="99"/>
    <w:rPr>
      <w:rFonts w:cs="Times New Roman"/>
      <w:sz w:val="18"/>
      <w:szCs w:val="18"/>
    </w:rPr>
  </w:style>
  <w:style w:type="character" w:customStyle="1" w:styleId="32">
    <w:name w:val="Footer Char"/>
    <w:basedOn w:val="20"/>
    <w:link w:val="12"/>
    <w:qFormat/>
    <w:locked/>
    <w:uiPriority w:val="99"/>
    <w:rPr>
      <w:rFonts w:cs="Times New Roman"/>
      <w:sz w:val="18"/>
      <w:szCs w:val="18"/>
    </w:rPr>
  </w:style>
  <w:style w:type="character" w:customStyle="1" w:styleId="33">
    <w:name w:val="Header Char"/>
    <w:basedOn w:val="20"/>
    <w:link w:val="13"/>
    <w:semiHidden/>
    <w:qFormat/>
    <w:locked/>
    <w:uiPriority w:val="99"/>
    <w:rPr>
      <w:rFonts w:cs="Times New Roman"/>
      <w:sz w:val="18"/>
      <w:szCs w:val="18"/>
    </w:rPr>
  </w:style>
  <w:style w:type="character" w:customStyle="1" w:styleId="34">
    <w:name w:val="Subtitle Char"/>
    <w:basedOn w:val="20"/>
    <w:link w:val="15"/>
    <w:qFormat/>
    <w:locked/>
    <w:uiPriority w:val="99"/>
    <w:rPr>
      <w:rFonts w:ascii="Cambria" w:hAnsi="Cambria" w:eastAsia="黑体" w:cs="Times New Roman"/>
      <w:bCs/>
      <w:kern w:val="28"/>
      <w:sz w:val="32"/>
      <w:szCs w:val="32"/>
    </w:rPr>
  </w:style>
  <w:style w:type="character" w:customStyle="1" w:styleId="35">
    <w:name w:val="Comment Subject Char"/>
    <w:basedOn w:val="26"/>
    <w:link w:val="17"/>
    <w:semiHidden/>
    <w:qFormat/>
    <w:locked/>
    <w:uiPriority w:val="99"/>
    <w:rPr>
      <w:b/>
      <w:bCs/>
    </w:rPr>
  </w:style>
  <w:style w:type="paragraph" w:styleId="36">
    <w:name w:val="List Paragraph"/>
    <w:basedOn w:val="1"/>
    <w:qFormat/>
    <w:uiPriority w:val="99"/>
    <w:pPr>
      <w:ind w:firstLine="420" w:firstLineChars="200"/>
    </w:pPr>
  </w:style>
  <w:style w:type="paragraph" w:customStyle="1" w:styleId="37">
    <w:name w:val="TOC 标题1"/>
    <w:basedOn w:val="2"/>
    <w:next w:val="1"/>
    <w:semiHidden/>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38">
    <w:name w:val="Normal Indent Char"/>
    <w:link w:val="4"/>
    <w:qFormat/>
    <w:locked/>
    <w:uiPriority w:val="99"/>
    <w:rPr>
      <w:rFonts w:ascii="宋体" w:eastAsia="宋体"/>
      <w:sz w:val="21"/>
    </w:rPr>
  </w:style>
  <w:style w:type="paragraph" w:customStyle="1" w:styleId="39">
    <w:name w:val="表格"/>
    <w:basedOn w:val="1"/>
    <w:qFormat/>
    <w:uiPriority w:val="99"/>
    <w:pPr>
      <w:jc w:val="center"/>
    </w:pPr>
    <w:rPr>
      <w:rFonts w:ascii="Verdana" w:hAnsi="Verdana" w:eastAsia="仿宋_GB2312"/>
      <w:lang w:eastAsia="en-US"/>
    </w:rPr>
  </w:style>
  <w:style w:type="paragraph" w:customStyle="1" w:styleId="40">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41">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42">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14</Pages>
  <Words>943</Words>
  <Characters>5381</Characters>
  <Lines>0</Lines>
  <Paragraphs>0</Paragraphs>
  <TotalTime>26</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2021-08-21T02:11:00Z</dcterms:created>
  <dc:creator>user</dc:creator>
  <cp:lastModifiedBy>admini</cp:lastModifiedBy>
  <cp:lastPrinted>2020-08-20T02:36:00Z</cp:lastPrinted>
  <dcterms:modified xsi:type="dcterms:W3CDTF">2025-08-26T07:55:57Z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1EAC2A526C85435CB2ADF04681E7AAA9</vt:lpwstr>
  </property>
  <property fmtid="{D5CDD505-2E9C-101B-9397-08002B2CF9AE}" pid="4" name="KSOTemplateDocerSaveRecord">
    <vt:lpwstr>eyJoZGlkIjoiMWQxNDdhMjBiZmM4NmI4MGM0MzRlZTUwMDUyZjkxYzciLCJ1c2VySWQiOiIxMTc1NTE2ODU2In0=</vt:lpwstr>
  </property>
</Properties>
</file>