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jc w:val="center"/>
        <w:rPr>
          <w:rFonts w:ascii="黑体" w:hAnsi="黑体" w:eastAsia="黑体"/>
          <w:b/>
          <w:color w:val="auto"/>
          <w:sz w:val="24"/>
          <w:szCs w:val="24"/>
          <w:highlight w:val="none"/>
        </w:rPr>
      </w:pPr>
    </w:p>
    <w:p>
      <w:pPr>
        <w:adjustRightInd w:val="0"/>
        <w:spacing w:line="560" w:lineRule="exact"/>
        <w:jc w:val="center"/>
        <w:rPr>
          <w:rFonts w:ascii="黑体" w:hAnsi="黑体" w:eastAsia="黑体"/>
          <w:b/>
          <w:color w:val="auto"/>
          <w:sz w:val="24"/>
          <w:szCs w:val="24"/>
          <w:highlight w:val="none"/>
        </w:rPr>
      </w:pPr>
    </w:p>
    <w:p>
      <w:pPr>
        <w:adjustRightInd w:val="0"/>
        <w:spacing w:line="560" w:lineRule="exact"/>
        <w:jc w:val="center"/>
        <w:rPr>
          <w:rFonts w:ascii="黑体" w:hAnsi="黑体" w:eastAsia="黑体"/>
          <w:color w:val="auto"/>
          <w:sz w:val="44"/>
          <w:szCs w:val="44"/>
          <w:highlight w:val="none"/>
          <w:lang w:val="zh-CN"/>
        </w:rPr>
      </w:pPr>
    </w:p>
    <w:p>
      <w:pPr>
        <w:adjustRightInd w:val="0"/>
        <w:snapToGrid w:val="0"/>
        <w:spacing w:line="360" w:lineRule="auto"/>
        <w:jc w:val="center"/>
        <w:rPr>
          <w:rFonts w:ascii="黑体" w:hAnsi="黑体" w:eastAsia="黑体" w:cs="黑体"/>
          <w:bCs/>
          <w:color w:val="auto"/>
          <w:sz w:val="72"/>
          <w:szCs w:val="72"/>
          <w:highlight w:val="none"/>
        </w:rPr>
      </w:pPr>
      <w:r>
        <w:rPr>
          <w:rFonts w:hint="eastAsia" w:ascii="黑体" w:hAnsi="黑体" w:eastAsia="黑体" w:cs="黑体"/>
          <w:bCs/>
          <w:color w:val="auto"/>
          <w:sz w:val="72"/>
          <w:szCs w:val="72"/>
          <w:highlight w:val="none"/>
        </w:rPr>
        <w:t>202</w:t>
      </w:r>
      <w:r>
        <w:rPr>
          <w:rFonts w:hint="eastAsia" w:ascii="黑体" w:hAnsi="黑体" w:eastAsia="黑体" w:cs="黑体"/>
          <w:bCs/>
          <w:color w:val="auto"/>
          <w:sz w:val="72"/>
          <w:szCs w:val="72"/>
          <w:highlight w:val="none"/>
          <w:lang w:val="en-US" w:eastAsia="zh-CN"/>
        </w:rPr>
        <w:t>4</w:t>
      </w:r>
      <w:r>
        <w:rPr>
          <w:rFonts w:hint="eastAsia" w:ascii="黑体" w:hAnsi="黑体" w:eastAsia="黑体" w:cs="黑体"/>
          <w:bCs/>
          <w:color w:val="auto"/>
          <w:sz w:val="72"/>
          <w:szCs w:val="72"/>
          <w:highlight w:val="none"/>
        </w:rPr>
        <w:t>年部门整体</w:t>
      </w:r>
    </w:p>
    <w:p>
      <w:pPr>
        <w:adjustRightInd w:val="0"/>
        <w:snapToGrid w:val="0"/>
        <w:spacing w:line="360" w:lineRule="auto"/>
        <w:jc w:val="center"/>
        <w:rPr>
          <w:rFonts w:ascii="黑体" w:hAnsi="黑体" w:eastAsia="黑体" w:cs="黑体"/>
          <w:bCs/>
          <w:color w:val="auto"/>
          <w:sz w:val="72"/>
          <w:szCs w:val="72"/>
          <w:highlight w:val="none"/>
        </w:rPr>
      </w:pPr>
      <w:r>
        <w:rPr>
          <w:rFonts w:hint="eastAsia" w:ascii="黑体" w:hAnsi="黑体" w:eastAsia="黑体" w:cs="黑体"/>
          <w:bCs/>
          <w:color w:val="auto"/>
          <w:sz w:val="72"/>
          <w:szCs w:val="72"/>
          <w:highlight w:val="none"/>
        </w:rPr>
        <w:t>绩效评价报告</w:t>
      </w:r>
    </w:p>
    <w:p>
      <w:pPr>
        <w:adjustRightInd w:val="0"/>
        <w:spacing w:line="560" w:lineRule="exact"/>
        <w:jc w:val="center"/>
        <w:rPr>
          <w:rFonts w:ascii="黑体" w:hAnsi="黑体" w:eastAsia="黑体"/>
          <w:b/>
          <w:color w:val="auto"/>
          <w:sz w:val="72"/>
          <w:szCs w:val="72"/>
          <w:highlight w:val="none"/>
          <w:lang w:val="zh-CN"/>
        </w:rPr>
      </w:pPr>
    </w:p>
    <w:p>
      <w:pPr>
        <w:adjustRightInd w:val="0"/>
        <w:spacing w:line="560" w:lineRule="exact"/>
        <w:jc w:val="center"/>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pStyle w:val="2"/>
        <w:adjustRightInd w:val="0"/>
        <w:snapToGrid/>
        <w:spacing w:line="560" w:lineRule="exact"/>
        <w:rPr>
          <w:color w:val="auto"/>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left"/>
        <w:rPr>
          <w:rFonts w:ascii="黑体" w:hAnsi="黑体" w:eastAsia="黑体"/>
          <w:color w:val="auto"/>
          <w:sz w:val="30"/>
          <w:szCs w:val="30"/>
          <w:highlight w:val="none"/>
          <w:lang w:val="zh-CN"/>
        </w:rPr>
      </w:pPr>
    </w:p>
    <w:p>
      <w:pPr>
        <w:adjustRightInd w:val="0"/>
        <w:spacing w:line="560" w:lineRule="exact"/>
        <w:jc w:val="center"/>
        <w:rPr>
          <w:rFonts w:ascii="楷体" w:hAnsi="楷体" w:eastAsia="楷体" w:cs="楷体"/>
          <w:b/>
          <w:color w:val="auto"/>
          <w:sz w:val="44"/>
          <w:szCs w:val="44"/>
          <w:highlight w:val="none"/>
        </w:rPr>
      </w:pPr>
    </w:p>
    <w:p>
      <w:pPr>
        <w:pStyle w:val="2"/>
        <w:adjustRightInd w:val="0"/>
        <w:snapToGrid/>
        <w:spacing w:line="560" w:lineRule="exact"/>
        <w:rPr>
          <w:color w:val="auto"/>
          <w:highlight w:val="none"/>
        </w:rPr>
      </w:pPr>
    </w:p>
    <w:p>
      <w:pPr>
        <w:adjustRightInd w:val="0"/>
        <w:spacing w:line="560" w:lineRule="exact"/>
        <w:jc w:val="center"/>
        <w:outlineLvl w:val="0"/>
        <w:rPr>
          <w:rFonts w:ascii="楷体_GB2312" w:hAnsi="楷体_GB2312" w:eastAsia="楷体_GB2312" w:cs="楷体_GB2312"/>
          <w:color w:val="auto"/>
          <w:sz w:val="32"/>
          <w:szCs w:val="32"/>
          <w:highlight w:val="none"/>
          <w:lang w:val="zh-CN"/>
        </w:rPr>
      </w:pPr>
      <w:bookmarkStart w:id="0" w:name="_Toc22505"/>
      <w:r>
        <w:rPr>
          <w:rFonts w:hint="eastAsia" w:ascii="楷体_GB2312" w:hAnsi="楷体_GB2312" w:eastAsia="楷体_GB2312" w:cs="楷体_GB2312"/>
          <w:color w:val="auto"/>
          <w:sz w:val="32"/>
          <w:szCs w:val="32"/>
          <w:highlight w:val="none"/>
          <w:lang w:val="zh-CN"/>
        </w:rPr>
        <w:t>北京市规划和自然资源委员会</w:t>
      </w:r>
      <w:bookmarkEnd w:id="0"/>
    </w:p>
    <w:p>
      <w:pPr>
        <w:adjustRightInd w:val="0"/>
        <w:spacing w:line="560" w:lineRule="exact"/>
        <w:jc w:val="center"/>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202</w:t>
      </w:r>
      <w:r>
        <w:rPr>
          <w:rFonts w:hint="eastAsia" w:ascii="楷体_GB2312" w:hAnsi="楷体_GB2312" w:eastAsia="楷体_GB2312" w:cs="楷体_GB2312"/>
          <w:color w:val="auto"/>
          <w:sz w:val="32"/>
          <w:szCs w:val="32"/>
          <w:highlight w:val="none"/>
          <w:lang w:val="en-US" w:eastAsia="zh-CN"/>
        </w:rPr>
        <w:t>5</w:t>
      </w:r>
      <w:r>
        <w:rPr>
          <w:rFonts w:hint="eastAsia" w:ascii="楷体_GB2312" w:hAnsi="楷体_GB2312" w:eastAsia="楷体_GB2312" w:cs="楷体_GB2312"/>
          <w:color w:val="auto"/>
          <w:sz w:val="32"/>
          <w:szCs w:val="32"/>
          <w:highlight w:val="none"/>
        </w:rPr>
        <w:t>年5月</w:t>
      </w:r>
    </w:p>
    <w:p>
      <w:pPr>
        <w:adjustRightInd w:val="0"/>
        <w:spacing w:line="560" w:lineRule="exact"/>
        <w:rPr>
          <w:rFonts w:ascii="仿宋" w:hAnsi="仿宋" w:eastAsia="仿宋" w:cs="仿宋"/>
          <w:color w:val="auto"/>
          <w:sz w:val="30"/>
          <w:szCs w:val="30"/>
          <w:highlight w:val="none"/>
        </w:rPr>
        <w:sectPr>
          <w:pgSz w:w="11906" w:h="16838"/>
          <w:pgMar w:top="1440" w:right="1800" w:bottom="1440" w:left="1800" w:header="851" w:footer="992" w:gutter="0"/>
          <w:cols w:space="720" w:num="1"/>
          <w:docGrid w:type="lines" w:linePitch="312" w:charSpace="0"/>
        </w:sectPr>
      </w:pPr>
    </w:p>
    <w:p>
      <w:pPr>
        <w:pStyle w:val="14"/>
        <w:adjustRightInd w:val="0"/>
        <w:spacing w:line="560" w:lineRule="exact"/>
        <w:ind w:left="0" w:leftChars="0"/>
        <w:rPr>
          <w:color w:val="auto"/>
          <w:sz w:val="36"/>
          <w:szCs w:val="36"/>
          <w:highlight w:val="none"/>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sdt>
      <w:sdtPr>
        <w:rPr>
          <w:rFonts w:ascii="宋体" w:hAnsi="宋体" w:eastAsia="宋体" w:cs="Times New Roman"/>
          <w:color w:val="auto"/>
          <w:kern w:val="2"/>
          <w:sz w:val="21"/>
          <w:szCs w:val="22"/>
          <w:highlight w:val="none"/>
          <w:lang w:val="en-US" w:eastAsia="zh-CN" w:bidi="ar-SA"/>
        </w:rPr>
        <w:id w:val="147460050"/>
        <w15:color w:val="DBDBDB"/>
        <w:docPartObj>
          <w:docPartGallery w:val="Table of Contents"/>
          <w:docPartUnique/>
        </w:docPartObj>
      </w:sdtPr>
      <w:sdtEndPr>
        <w:rPr>
          <w:rFonts w:ascii="黑体" w:hAnsi="黑体" w:eastAsia="黑体" w:cs="黑体"/>
          <w:b/>
          <w:color w:val="auto"/>
          <w:kern w:val="2"/>
          <w:sz w:val="21"/>
          <w:szCs w:val="44"/>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color w:val="auto"/>
              <w:kern w:val="2"/>
              <w:sz w:val="36"/>
              <w:szCs w:val="36"/>
              <w:highlight w:val="none"/>
              <w:lang w:val="en-US" w:eastAsia="zh-CN" w:bidi="ar-SA"/>
            </w:rPr>
          </w:pPr>
          <w:r>
            <w:rPr>
              <w:rFonts w:hint="eastAsia" w:ascii="黑体" w:hAnsi="黑体" w:eastAsia="黑体" w:cs="黑体"/>
              <w:color w:val="auto"/>
              <w:kern w:val="2"/>
              <w:sz w:val="36"/>
              <w:szCs w:val="36"/>
              <w:highlight w:val="none"/>
              <w:lang w:val="en-US" w:eastAsia="zh-CN" w:bidi="ar-SA"/>
            </w:rPr>
            <w:t>目  录</w:t>
          </w:r>
        </w:p>
        <w:p>
          <w:pPr>
            <w:pStyle w:val="37"/>
            <w:tabs>
              <w:tab w:val="right" w:leader="dot" w:pos="8690"/>
            </w:tabs>
            <w:rPr>
              <w:b/>
              <w:color w:val="auto"/>
              <w:sz w:val="32"/>
              <w:szCs w:val="32"/>
              <w:highlight w:val="none"/>
            </w:rPr>
          </w:pPr>
          <w:r>
            <w:rPr>
              <w:rFonts w:ascii="黑体" w:hAnsi="黑体" w:eastAsia="黑体" w:cs="黑体"/>
              <w:color w:val="auto"/>
              <w:sz w:val="44"/>
              <w:szCs w:val="44"/>
              <w:highlight w:val="none"/>
            </w:rPr>
            <w:fldChar w:fldCharType="begin"/>
          </w:r>
          <w:r>
            <w:rPr>
              <w:rFonts w:ascii="黑体" w:hAnsi="黑体" w:eastAsia="黑体" w:cs="黑体"/>
              <w:color w:val="auto"/>
              <w:sz w:val="44"/>
              <w:szCs w:val="44"/>
              <w:highlight w:val="none"/>
            </w:rPr>
            <w:instrText xml:space="preserve">TOC \o "1-2" \h \u </w:instrText>
          </w:r>
          <w:r>
            <w:rPr>
              <w:rFonts w:ascii="黑体" w:hAnsi="黑体" w:eastAsia="黑体" w:cs="黑体"/>
              <w:color w:val="auto"/>
              <w:sz w:val="44"/>
              <w:szCs w:val="44"/>
              <w:highlight w:val="none"/>
            </w:rPr>
            <w:fldChar w:fldCharType="separate"/>
          </w: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_Toc5814 </w:instrText>
          </w:r>
          <w:r>
            <w:rPr>
              <w:rFonts w:ascii="黑体" w:hAnsi="黑体" w:eastAsia="黑体" w:cs="黑体"/>
              <w:b/>
              <w:color w:val="auto"/>
              <w:sz w:val="32"/>
              <w:szCs w:val="32"/>
              <w:highlight w:val="none"/>
            </w:rPr>
            <w:fldChar w:fldCharType="separate"/>
          </w:r>
          <w:r>
            <w:rPr>
              <w:rFonts w:hint="eastAsia" w:ascii="黑体" w:hAnsi="黑体" w:eastAsia="黑体"/>
              <w:b/>
              <w:bCs w:val="0"/>
              <w:color w:val="auto"/>
              <w:sz w:val="32"/>
              <w:szCs w:val="32"/>
              <w:highlight w:val="none"/>
            </w:rPr>
            <w:t>一、部门概况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_Toc5814 \h </w:instrText>
          </w:r>
          <w:r>
            <w:rPr>
              <w:b/>
              <w:color w:val="auto"/>
              <w:sz w:val="32"/>
              <w:szCs w:val="32"/>
              <w:highlight w:val="none"/>
            </w:rPr>
            <w:fldChar w:fldCharType="separate"/>
          </w:r>
          <w:r>
            <w:rPr>
              <w:b/>
              <w:color w:val="auto"/>
              <w:sz w:val="32"/>
              <w:szCs w:val="32"/>
              <w:highlight w:val="none"/>
            </w:rPr>
            <w:t>1</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_Toc2135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（一）机构设置及职责工作任务情况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_Toc2135 \h </w:instrText>
          </w:r>
          <w:r>
            <w:rPr>
              <w:color w:val="auto"/>
              <w:sz w:val="32"/>
              <w:szCs w:val="32"/>
              <w:highlight w:val="none"/>
            </w:rPr>
            <w:fldChar w:fldCharType="separate"/>
          </w:r>
          <w:r>
            <w:rPr>
              <w:color w:val="auto"/>
              <w:sz w:val="32"/>
              <w:szCs w:val="32"/>
              <w:highlight w:val="none"/>
            </w:rPr>
            <w:t>1</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_Toc28811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（二）部门整体绩效目标设立情况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_Toc28811 \h </w:instrText>
          </w:r>
          <w:r>
            <w:rPr>
              <w:color w:val="auto"/>
              <w:sz w:val="32"/>
              <w:szCs w:val="32"/>
              <w:highlight w:val="none"/>
            </w:rPr>
            <w:fldChar w:fldCharType="separate"/>
          </w:r>
          <w:r>
            <w:rPr>
              <w:color w:val="auto"/>
              <w:sz w:val="32"/>
              <w:szCs w:val="32"/>
              <w:highlight w:val="none"/>
            </w:rPr>
            <w:t>6</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7"/>
            <w:tabs>
              <w:tab w:val="right" w:leader="dot" w:pos="8690"/>
            </w:tabs>
            <w:rPr>
              <w:b/>
              <w:color w:val="auto"/>
              <w:sz w:val="32"/>
              <w:szCs w:val="32"/>
              <w:highlight w:val="none"/>
            </w:rPr>
          </w:pP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_Toc27415 </w:instrText>
          </w:r>
          <w:r>
            <w:rPr>
              <w:rFonts w:ascii="黑体" w:hAnsi="黑体" w:eastAsia="黑体" w:cs="黑体"/>
              <w:b/>
              <w:color w:val="auto"/>
              <w:sz w:val="32"/>
              <w:szCs w:val="32"/>
              <w:highlight w:val="none"/>
            </w:rPr>
            <w:fldChar w:fldCharType="separate"/>
          </w:r>
          <w:r>
            <w:rPr>
              <w:rFonts w:hint="eastAsia" w:ascii="黑体" w:hAnsi="黑体" w:eastAsia="黑体"/>
              <w:b/>
              <w:bCs w:val="0"/>
              <w:color w:val="auto"/>
              <w:sz w:val="32"/>
              <w:szCs w:val="32"/>
              <w:highlight w:val="none"/>
            </w:rPr>
            <w:t>二、当年预算执行情况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_Toc27415 \h </w:instrText>
          </w:r>
          <w:r>
            <w:rPr>
              <w:b/>
              <w:color w:val="auto"/>
              <w:sz w:val="32"/>
              <w:szCs w:val="32"/>
              <w:highlight w:val="none"/>
            </w:rPr>
            <w:fldChar w:fldCharType="separate"/>
          </w:r>
          <w:r>
            <w:rPr>
              <w:b/>
              <w:color w:val="auto"/>
              <w:sz w:val="32"/>
              <w:szCs w:val="32"/>
              <w:highlight w:val="none"/>
            </w:rPr>
            <w:t>7</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pStyle w:val="37"/>
            <w:tabs>
              <w:tab w:val="right" w:leader="dot" w:pos="8690"/>
            </w:tabs>
            <w:rPr>
              <w:b/>
              <w:color w:val="auto"/>
              <w:sz w:val="32"/>
              <w:szCs w:val="32"/>
              <w:highlight w:val="none"/>
            </w:rPr>
          </w:pP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_Toc25257 </w:instrText>
          </w:r>
          <w:r>
            <w:rPr>
              <w:rFonts w:ascii="黑体" w:hAnsi="黑体" w:eastAsia="黑体" w:cs="黑体"/>
              <w:b/>
              <w:color w:val="auto"/>
              <w:sz w:val="32"/>
              <w:szCs w:val="32"/>
              <w:highlight w:val="none"/>
            </w:rPr>
            <w:fldChar w:fldCharType="separate"/>
          </w:r>
          <w:r>
            <w:rPr>
              <w:rFonts w:hint="eastAsia" w:ascii="黑体" w:hAnsi="黑体" w:eastAsia="黑体"/>
              <w:b/>
              <w:bCs w:val="0"/>
              <w:color w:val="auto"/>
              <w:sz w:val="32"/>
              <w:szCs w:val="32"/>
              <w:highlight w:val="none"/>
            </w:rPr>
            <w:t>三、整体绩效目标实现情况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_Toc25257 \h </w:instrText>
          </w:r>
          <w:r>
            <w:rPr>
              <w:b/>
              <w:color w:val="auto"/>
              <w:sz w:val="32"/>
              <w:szCs w:val="32"/>
              <w:highlight w:val="none"/>
            </w:rPr>
            <w:fldChar w:fldCharType="separate"/>
          </w:r>
          <w:r>
            <w:rPr>
              <w:b/>
              <w:color w:val="auto"/>
              <w:sz w:val="32"/>
              <w:szCs w:val="32"/>
              <w:highlight w:val="none"/>
            </w:rPr>
            <w:t>7</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_Toc1089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（一）产出完成情况分析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_Toc1089 \h </w:instrText>
          </w:r>
          <w:r>
            <w:rPr>
              <w:color w:val="auto"/>
              <w:sz w:val="32"/>
              <w:szCs w:val="32"/>
              <w:highlight w:val="none"/>
            </w:rPr>
            <w:fldChar w:fldCharType="separate"/>
          </w:r>
          <w:r>
            <w:rPr>
              <w:color w:val="auto"/>
              <w:sz w:val="32"/>
              <w:szCs w:val="32"/>
              <w:highlight w:val="none"/>
            </w:rPr>
            <w:t>7</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_Toc3269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（二）效果实现情况分析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_Toc3269 \h </w:instrText>
          </w:r>
          <w:r>
            <w:rPr>
              <w:color w:val="auto"/>
              <w:sz w:val="32"/>
              <w:szCs w:val="32"/>
              <w:highlight w:val="none"/>
            </w:rPr>
            <w:fldChar w:fldCharType="separate"/>
          </w:r>
          <w:r>
            <w:rPr>
              <w:color w:val="auto"/>
              <w:sz w:val="32"/>
              <w:szCs w:val="32"/>
              <w:highlight w:val="none"/>
            </w:rPr>
            <w:t>15</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7"/>
            <w:tabs>
              <w:tab w:val="right" w:leader="dot" w:pos="8690"/>
            </w:tabs>
            <w:rPr>
              <w:b/>
              <w:color w:val="auto"/>
              <w:sz w:val="32"/>
              <w:szCs w:val="32"/>
              <w:highlight w:val="none"/>
            </w:rPr>
          </w:pP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_Toc22724 </w:instrText>
          </w:r>
          <w:r>
            <w:rPr>
              <w:rFonts w:ascii="黑体" w:hAnsi="黑体" w:eastAsia="黑体" w:cs="黑体"/>
              <w:b/>
              <w:color w:val="auto"/>
              <w:sz w:val="32"/>
              <w:szCs w:val="32"/>
              <w:highlight w:val="none"/>
            </w:rPr>
            <w:fldChar w:fldCharType="separate"/>
          </w:r>
          <w:r>
            <w:rPr>
              <w:rFonts w:hint="eastAsia" w:ascii="黑体" w:hAnsi="黑体" w:eastAsia="黑体"/>
              <w:b/>
              <w:bCs w:val="0"/>
              <w:color w:val="auto"/>
              <w:sz w:val="32"/>
              <w:szCs w:val="32"/>
              <w:highlight w:val="none"/>
            </w:rPr>
            <w:t>四、预算管理情况分析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_Toc22724 \h </w:instrText>
          </w:r>
          <w:r>
            <w:rPr>
              <w:b/>
              <w:color w:val="auto"/>
              <w:sz w:val="32"/>
              <w:szCs w:val="32"/>
              <w:highlight w:val="none"/>
            </w:rPr>
            <w:fldChar w:fldCharType="separate"/>
          </w:r>
          <w:r>
            <w:rPr>
              <w:b/>
              <w:color w:val="auto"/>
              <w:sz w:val="32"/>
              <w:szCs w:val="32"/>
              <w:highlight w:val="none"/>
            </w:rPr>
            <w:t>18</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_Toc31704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（一）财务管理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_Toc31704 \h </w:instrText>
          </w:r>
          <w:r>
            <w:rPr>
              <w:color w:val="auto"/>
              <w:sz w:val="32"/>
              <w:szCs w:val="32"/>
              <w:highlight w:val="none"/>
            </w:rPr>
            <w:fldChar w:fldCharType="separate"/>
          </w:r>
          <w:r>
            <w:rPr>
              <w:color w:val="auto"/>
              <w:sz w:val="32"/>
              <w:szCs w:val="32"/>
              <w:highlight w:val="none"/>
            </w:rPr>
            <w:t>18</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_Toc5720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（二）资产管理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_Toc5720 \h </w:instrText>
          </w:r>
          <w:r>
            <w:rPr>
              <w:color w:val="auto"/>
              <w:sz w:val="32"/>
              <w:szCs w:val="32"/>
              <w:highlight w:val="none"/>
            </w:rPr>
            <w:fldChar w:fldCharType="separate"/>
          </w:r>
          <w:r>
            <w:rPr>
              <w:color w:val="auto"/>
              <w:sz w:val="32"/>
              <w:szCs w:val="32"/>
              <w:highlight w:val="none"/>
            </w:rPr>
            <w:t>19</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_Toc12500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（三）绩效管理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_Toc12500 \h </w:instrText>
          </w:r>
          <w:r>
            <w:rPr>
              <w:color w:val="auto"/>
              <w:sz w:val="32"/>
              <w:szCs w:val="32"/>
              <w:highlight w:val="none"/>
            </w:rPr>
            <w:fldChar w:fldCharType="separate"/>
          </w:r>
          <w:r>
            <w:rPr>
              <w:color w:val="auto"/>
              <w:sz w:val="32"/>
              <w:szCs w:val="32"/>
              <w:highlight w:val="none"/>
            </w:rPr>
            <w:t>19</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_Toc983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（四）结转结余率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_Toc983 \h </w:instrText>
          </w:r>
          <w:r>
            <w:rPr>
              <w:color w:val="auto"/>
              <w:sz w:val="32"/>
              <w:szCs w:val="32"/>
              <w:highlight w:val="none"/>
            </w:rPr>
            <w:fldChar w:fldCharType="separate"/>
          </w:r>
          <w:r>
            <w:rPr>
              <w:color w:val="auto"/>
              <w:sz w:val="32"/>
              <w:szCs w:val="32"/>
              <w:highlight w:val="none"/>
            </w:rPr>
            <w:t>21</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_Toc16920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（五）部门预决算差异率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_Toc16920 \h </w:instrText>
          </w:r>
          <w:r>
            <w:rPr>
              <w:color w:val="auto"/>
              <w:sz w:val="32"/>
              <w:szCs w:val="32"/>
              <w:highlight w:val="none"/>
            </w:rPr>
            <w:fldChar w:fldCharType="separate"/>
          </w:r>
          <w:r>
            <w:rPr>
              <w:color w:val="auto"/>
              <w:sz w:val="32"/>
              <w:szCs w:val="32"/>
              <w:highlight w:val="none"/>
            </w:rPr>
            <w:t>21</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7"/>
            <w:tabs>
              <w:tab w:val="right" w:leader="dot" w:pos="8690"/>
            </w:tabs>
            <w:rPr>
              <w:b/>
              <w:color w:val="auto"/>
              <w:sz w:val="32"/>
              <w:szCs w:val="32"/>
              <w:highlight w:val="none"/>
            </w:rPr>
          </w:pP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_Toc17772 </w:instrText>
          </w:r>
          <w:r>
            <w:rPr>
              <w:rFonts w:ascii="黑体" w:hAnsi="黑体" w:eastAsia="黑体" w:cs="黑体"/>
              <w:b/>
              <w:color w:val="auto"/>
              <w:sz w:val="32"/>
              <w:szCs w:val="32"/>
              <w:highlight w:val="none"/>
            </w:rPr>
            <w:fldChar w:fldCharType="separate"/>
          </w:r>
          <w:r>
            <w:rPr>
              <w:rFonts w:ascii="黑体" w:hAnsi="黑体" w:eastAsia="黑体" w:cs="Times New Roman"/>
              <w:b/>
              <w:bCs w:val="0"/>
              <w:color w:val="auto"/>
              <w:kern w:val="2"/>
              <w:sz w:val="32"/>
              <w:szCs w:val="32"/>
              <w:highlight w:val="none"/>
              <w:lang w:val="en-US" w:eastAsia="zh-CN" w:bidi="ar-SA"/>
            </w:rPr>
            <w:t>五、</w:t>
          </w:r>
          <w:r>
            <w:rPr>
              <w:rFonts w:hint="eastAsia" w:ascii="黑体" w:hAnsi="黑体" w:eastAsia="黑体"/>
              <w:b/>
              <w:bCs w:val="0"/>
              <w:color w:val="auto"/>
              <w:sz w:val="32"/>
              <w:szCs w:val="32"/>
              <w:highlight w:val="none"/>
            </w:rPr>
            <w:t>总体评价结论</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_Toc17772 \h </w:instrText>
          </w:r>
          <w:r>
            <w:rPr>
              <w:b/>
              <w:color w:val="auto"/>
              <w:sz w:val="32"/>
              <w:szCs w:val="32"/>
              <w:highlight w:val="none"/>
            </w:rPr>
            <w:fldChar w:fldCharType="separate"/>
          </w:r>
          <w:r>
            <w:rPr>
              <w:b/>
              <w:color w:val="auto"/>
              <w:sz w:val="32"/>
              <w:szCs w:val="32"/>
              <w:highlight w:val="none"/>
            </w:rPr>
            <w:t>22</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_Toc5466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（一）评价得分情况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_Toc5466 \h </w:instrText>
          </w:r>
          <w:r>
            <w:rPr>
              <w:color w:val="auto"/>
              <w:sz w:val="32"/>
              <w:szCs w:val="32"/>
              <w:highlight w:val="none"/>
            </w:rPr>
            <w:fldChar w:fldCharType="separate"/>
          </w:r>
          <w:r>
            <w:rPr>
              <w:color w:val="auto"/>
              <w:sz w:val="32"/>
              <w:szCs w:val="32"/>
              <w:highlight w:val="none"/>
            </w:rPr>
            <w:t>22</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8"/>
            <w:tabs>
              <w:tab w:val="right" w:leader="dot" w:pos="8690"/>
            </w:tabs>
            <w:rPr>
              <w:color w:val="auto"/>
              <w:sz w:val="32"/>
              <w:szCs w:val="32"/>
              <w:highlight w:val="none"/>
            </w:rPr>
          </w:pPr>
          <w:r>
            <w:rPr>
              <w:rFonts w:ascii="黑体" w:hAnsi="黑体" w:eastAsia="黑体" w:cs="黑体"/>
              <w:color w:val="auto"/>
              <w:sz w:val="32"/>
              <w:szCs w:val="32"/>
              <w:highlight w:val="none"/>
            </w:rPr>
            <w:fldChar w:fldCharType="begin"/>
          </w:r>
          <w:r>
            <w:rPr>
              <w:rFonts w:ascii="黑体" w:hAnsi="黑体" w:eastAsia="黑体" w:cs="黑体"/>
              <w:color w:val="auto"/>
              <w:sz w:val="32"/>
              <w:szCs w:val="32"/>
              <w:highlight w:val="none"/>
            </w:rPr>
            <w:instrText xml:space="preserve"> HYPERLINK \l _Toc6976 </w:instrText>
          </w:r>
          <w:r>
            <w:rPr>
              <w:rFonts w:ascii="黑体" w:hAnsi="黑体" w:eastAsia="黑体" w:cs="黑体"/>
              <w:color w:val="auto"/>
              <w:sz w:val="32"/>
              <w:szCs w:val="32"/>
              <w:highlight w:val="none"/>
            </w:rPr>
            <w:fldChar w:fldCharType="separate"/>
          </w:r>
          <w:r>
            <w:rPr>
              <w:rFonts w:hint="eastAsia" w:ascii="楷体" w:hAnsi="楷体" w:eastAsia="楷体"/>
              <w:bCs w:val="0"/>
              <w:color w:val="auto"/>
              <w:sz w:val="32"/>
              <w:szCs w:val="32"/>
              <w:highlight w:val="none"/>
            </w:rPr>
            <w:t>（二）存在的问题及原因分析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_Toc6976 \h </w:instrText>
          </w:r>
          <w:r>
            <w:rPr>
              <w:color w:val="auto"/>
              <w:sz w:val="32"/>
              <w:szCs w:val="32"/>
              <w:highlight w:val="none"/>
            </w:rPr>
            <w:fldChar w:fldCharType="separate"/>
          </w:r>
          <w:r>
            <w:rPr>
              <w:color w:val="auto"/>
              <w:sz w:val="32"/>
              <w:szCs w:val="32"/>
              <w:highlight w:val="none"/>
            </w:rPr>
            <w:t>22</w:t>
          </w:r>
          <w:r>
            <w:rPr>
              <w:color w:val="auto"/>
              <w:sz w:val="32"/>
              <w:szCs w:val="32"/>
              <w:highlight w:val="none"/>
            </w:rPr>
            <w:fldChar w:fldCharType="end"/>
          </w:r>
          <w:r>
            <w:rPr>
              <w:rFonts w:ascii="黑体" w:hAnsi="黑体" w:eastAsia="黑体" w:cs="黑体"/>
              <w:color w:val="auto"/>
              <w:sz w:val="32"/>
              <w:szCs w:val="32"/>
              <w:highlight w:val="none"/>
            </w:rPr>
            <w:fldChar w:fldCharType="end"/>
          </w:r>
        </w:p>
        <w:p>
          <w:pPr>
            <w:pStyle w:val="37"/>
            <w:tabs>
              <w:tab w:val="right" w:leader="dot" w:pos="8690"/>
            </w:tabs>
            <w:rPr>
              <w:b/>
              <w:color w:val="auto"/>
              <w:sz w:val="32"/>
              <w:szCs w:val="32"/>
              <w:highlight w:val="none"/>
            </w:rPr>
          </w:pP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_Toc24105 </w:instrText>
          </w:r>
          <w:r>
            <w:rPr>
              <w:rFonts w:ascii="黑体" w:hAnsi="黑体" w:eastAsia="黑体" w:cs="黑体"/>
              <w:b/>
              <w:color w:val="auto"/>
              <w:sz w:val="32"/>
              <w:szCs w:val="32"/>
              <w:highlight w:val="none"/>
            </w:rPr>
            <w:fldChar w:fldCharType="separate"/>
          </w:r>
          <w:r>
            <w:rPr>
              <w:rFonts w:hint="eastAsia" w:ascii="黑体" w:hAnsi="黑体" w:eastAsia="黑体"/>
              <w:b/>
              <w:bCs w:val="0"/>
              <w:color w:val="auto"/>
              <w:sz w:val="32"/>
              <w:szCs w:val="32"/>
              <w:highlight w:val="none"/>
            </w:rPr>
            <w:t>六、措施建议</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_Toc24105 \h </w:instrText>
          </w:r>
          <w:r>
            <w:rPr>
              <w:b/>
              <w:color w:val="auto"/>
              <w:sz w:val="32"/>
              <w:szCs w:val="32"/>
              <w:highlight w:val="none"/>
            </w:rPr>
            <w:fldChar w:fldCharType="separate"/>
          </w:r>
          <w:r>
            <w:rPr>
              <w:b/>
              <w:color w:val="auto"/>
              <w:sz w:val="32"/>
              <w:szCs w:val="32"/>
              <w:highlight w:val="none"/>
            </w:rPr>
            <w:t>23</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pStyle w:val="37"/>
            <w:tabs>
              <w:tab w:val="right" w:leader="dot" w:pos="8690"/>
            </w:tabs>
            <w:rPr>
              <w:b/>
              <w:color w:val="auto"/>
              <w:sz w:val="32"/>
              <w:szCs w:val="32"/>
              <w:highlight w:val="none"/>
            </w:rPr>
          </w:pPr>
          <w:r>
            <w:rPr>
              <w:rFonts w:ascii="黑体" w:hAnsi="黑体" w:eastAsia="黑体" w:cs="黑体"/>
              <w:b/>
              <w:color w:val="auto"/>
              <w:sz w:val="32"/>
              <w:szCs w:val="32"/>
              <w:highlight w:val="none"/>
            </w:rPr>
            <w:fldChar w:fldCharType="begin"/>
          </w:r>
          <w:r>
            <w:rPr>
              <w:rFonts w:ascii="黑体" w:hAnsi="黑体" w:eastAsia="黑体" w:cs="黑体"/>
              <w:b/>
              <w:color w:val="auto"/>
              <w:sz w:val="32"/>
              <w:szCs w:val="32"/>
              <w:highlight w:val="none"/>
            </w:rPr>
            <w:instrText xml:space="preserve"> HYPERLINK \l _Toc13966 </w:instrText>
          </w:r>
          <w:r>
            <w:rPr>
              <w:rFonts w:ascii="黑体" w:hAnsi="黑体" w:eastAsia="黑体" w:cs="黑体"/>
              <w:b/>
              <w:color w:val="auto"/>
              <w:sz w:val="32"/>
              <w:szCs w:val="32"/>
              <w:highlight w:val="none"/>
            </w:rPr>
            <w:fldChar w:fldCharType="separate"/>
          </w:r>
          <w:r>
            <w:rPr>
              <w:rFonts w:hint="eastAsia" w:ascii="黑体" w:hAnsi="黑体" w:eastAsia="黑体"/>
              <w:b/>
              <w:bCs w:val="0"/>
              <w:color w:val="auto"/>
              <w:sz w:val="32"/>
              <w:szCs w:val="32"/>
              <w:highlight w:val="none"/>
            </w:rPr>
            <w:t>七、附件</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_Toc13966 \h </w:instrText>
          </w:r>
          <w:r>
            <w:rPr>
              <w:b/>
              <w:color w:val="auto"/>
              <w:sz w:val="32"/>
              <w:szCs w:val="32"/>
              <w:highlight w:val="none"/>
            </w:rPr>
            <w:fldChar w:fldCharType="separate"/>
          </w:r>
          <w:r>
            <w:rPr>
              <w:b/>
              <w:color w:val="auto"/>
              <w:sz w:val="32"/>
              <w:szCs w:val="32"/>
              <w:highlight w:val="none"/>
            </w:rPr>
            <w:t>24</w:t>
          </w:r>
          <w:r>
            <w:rPr>
              <w:b/>
              <w:color w:val="auto"/>
              <w:sz w:val="32"/>
              <w:szCs w:val="32"/>
              <w:highlight w:val="none"/>
            </w:rPr>
            <w:fldChar w:fldCharType="end"/>
          </w:r>
          <w:r>
            <w:rPr>
              <w:rFonts w:ascii="黑体" w:hAnsi="黑体" w:eastAsia="黑体" w:cs="黑体"/>
              <w:b/>
              <w:color w:val="auto"/>
              <w:sz w:val="32"/>
              <w:szCs w:val="32"/>
              <w:highlight w:val="none"/>
            </w:rPr>
            <w:fldChar w:fldCharType="end"/>
          </w:r>
        </w:p>
        <w:p>
          <w:pPr>
            <w:adjustRightInd w:val="0"/>
            <w:spacing w:line="560" w:lineRule="exact"/>
            <w:outlineLvl w:val="9"/>
            <w:rPr>
              <w:rFonts w:ascii="黑体" w:hAnsi="黑体" w:eastAsia="黑体" w:cs="黑体"/>
              <w:color w:val="auto"/>
              <w:sz w:val="44"/>
              <w:szCs w:val="44"/>
              <w:highlight w:val="none"/>
            </w:rPr>
          </w:pPr>
          <w:r>
            <w:rPr>
              <w:rFonts w:ascii="黑体" w:hAnsi="黑体" w:eastAsia="黑体" w:cs="黑体"/>
              <w:b/>
              <w:color w:val="auto"/>
              <w:szCs w:val="44"/>
              <w:highlight w:val="none"/>
            </w:rPr>
            <w:fldChar w:fldCharType="end"/>
          </w:r>
        </w:p>
      </w:sdtContent>
    </w:sdt>
    <w:p>
      <w:pPr>
        <w:pStyle w:val="4"/>
        <w:adjustRightInd w:val="0"/>
        <w:spacing w:before="0" w:after="0" w:line="560" w:lineRule="exact"/>
        <w:ind w:firstLine="643" w:firstLineChars="200"/>
        <w:outlineLvl w:val="9"/>
        <w:rPr>
          <w:rFonts w:ascii="黑体" w:hAnsi="黑体" w:eastAsia="黑体"/>
          <w:color w:val="auto"/>
          <w:highlight w:val="none"/>
        </w:rPr>
        <w:sectPr>
          <w:footerReference r:id="rId4" w:type="default"/>
          <w:footnotePr>
            <w:numFmt w:val="decimalEnclosedCircleChinese"/>
          </w:footnotePr>
          <w:pgSz w:w="11906" w:h="16838"/>
          <w:pgMar w:top="1440" w:right="1416" w:bottom="1440" w:left="1800" w:header="851" w:footer="992" w:gutter="0"/>
          <w:pgNumType w:start="1"/>
          <w:cols w:space="720" w:num="1"/>
          <w:docGrid w:type="lines" w:linePitch="312" w:charSpace="0"/>
        </w:sectPr>
      </w:pPr>
    </w:p>
    <w:p>
      <w:pPr>
        <w:pStyle w:val="4"/>
        <w:adjustRightInd w:val="0"/>
        <w:snapToGrid w:val="0"/>
        <w:spacing w:before="0" w:after="0" w:line="360" w:lineRule="auto"/>
        <w:ind w:firstLine="640" w:firstLineChars="200"/>
        <w:outlineLvl w:val="0"/>
        <w:rPr>
          <w:rFonts w:ascii="黑体" w:hAnsi="黑体" w:eastAsia="黑体"/>
          <w:b w:val="0"/>
          <w:bCs w:val="0"/>
          <w:color w:val="auto"/>
          <w:highlight w:val="none"/>
        </w:rPr>
      </w:pPr>
      <w:bookmarkStart w:id="1" w:name="_Toc72221076"/>
      <w:bookmarkStart w:id="2" w:name="_Toc5814"/>
      <w:r>
        <w:rPr>
          <w:rFonts w:hint="eastAsia" w:ascii="黑体" w:hAnsi="黑体" w:eastAsia="黑体"/>
          <w:b w:val="0"/>
          <w:bCs w:val="0"/>
          <w:color w:val="auto"/>
          <w:highlight w:val="none"/>
        </w:rPr>
        <w:t>一、部门概况</w:t>
      </w:r>
      <w:bookmarkEnd w:id="1"/>
      <w:bookmarkEnd w:id="2"/>
    </w:p>
    <w:p>
      <w:pPr>
        <w:pStyle w:val="4"/>
        <w:adjustRightInd w:val="0"/>
        <w:snapToGrid w:val="0"/>
        <w:spacing w:before="0" w:after="0" w:line="360" w:lineRule="auto"/>
        <w:ind w:firstLine="640" w:firstLineChars="200"/>
        <w:rPr>
          <w:rFonts w:ascii="楷体" w:hAnsi="楷体" w:eastAsia="楷体"/>
          <w:b w:val="0"/>
          <w:bCs w:val="0"/>
          <w:color w:val="auto"/>
          <w:highlight w:val="none"/>
        </w:rPr>
      </w:pPr>
      <w:bookmarkStart w:id="3" w:name="_Toc2135"/>
      <w:bookmarkStart w:id="4" w:name="_Toc72221077"/>
      <w:r>
        <w:rPr>
          <w:rFonts w:hint="eastAsia" w:ascii="楷体" w:hAnsi="楷体" w:eastAsia="楷体"/>
          <w:b w:val="0"/>
          <w:bCs w:val="0"/>
          <w:color w:val="auto"/>
          <w:highlight w:val="none"/>
        </w:rPr>
        <w:t>（一）机构设置及职责工作任务情况</w:t>
      </w:r>
      <w:bookmarkEnd w:id="3"/>
      <w:bookmarkEnd w:id="4"/>
    </w:p>
    <w:p>
      <w:pPr>
        <w:adjustRightInd w:val="0"/>
        <w:snapToGrid w:val="0"/>
        <w:spacing w:line="360" w:lineRule="auto"/>
        <w:ind w:firstLine="640" w:firstLineChars="200"/>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根据北京市委办公厅印发的《北京市规划和自然资源委员会职能配置、内设机构和人员编制规定》（京办字〔2019〕19号）、市委编办《关于划转建设工程消防设计审查职责有关事项的通知》（京编办发〔2019〕44号）、《关于调整首规委办机构编制事项的通知》（京编办发〔2019〕52号），北京市规划和自然资源委员会下属15个行政事业单位，16个分局。</w:t>
      </w:r>
    </w:p>
    <w:p>
      <w:pPr>
        <w:adjustRightInd w:val="0"/>
        <w:snapToGrid w:val="0"/>
        <w:spacing w:line="360" w:lineRule="auto"/>
        <w:ind w:firstLine="640" w:firstLineChars="200"/>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1.部门职责</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（1）履行本市全民所有土地、矿产、森林、湿地、水等自然资源资产所有者职责和所有国土空间用途管制职责。贯彻落实国家关于自然资源和国土空间规划及测绘、勘察设计管理等方面的</w:t>
      </w:r>
      <w:r>
        <w:rPr>
          <w:rFonts w:hint="eastAsia" w:ascii="仿宋_GB2312" w:hAnsi="仿宋" w:eastAsia="仿宋_GB2312" w:cs="仿宋"/>
          <w:color w:val="auto"/>
          <w:sz w:val="32"/>
          <w:szCs w:val="40"/>
          <w:highlight w:val="none"/>
          <w:lang w:eastAsia="zh-CN"/>
        </w:rPr>
        <w:t>法律法规</w:t>
      </w:r>
      <w:r>
        <w:rPr>
          <w:rFonts w:hint="eastAsia" w:ascii="仿宋_GB2312" w:hAnsi="仿宋" w:eastAsia="仿宋_GB2312" w:cs="仿宋"/>
          <w:color w:val="auto"/>
          <w:sz w:val="32"/>
          <w:szCs w:val="40"/>
          <w:highlight w:val="none"/>
        </w:rPr>
        <w:t>、规章和政策，起草相关地方性法规、政府规章草案，制定相关管理规范和技术标准并监督检查执行情况。</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2）负责建立本市空间规划体系。推进主体功能区战略和制度，组织编制国土空间规划和北京历史文化名城保护、公共服务、公共安全设施、城市基础设施、城市地下空间等专项规划。组织划定生态保护红线、永久基本农田、城镇开发边界等控制线，构建节约资源和保护环境的生产、生活、生态空间布局。开展国土空间开发适宜性评价，建立国土空间规划实施监测、评估和预警体系及城市体检评估机制。负责城市设计工作。负责城市雕塑和公共空间景观风貌规划管理工作。</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3）负责本市国土空间用途管制。建立健全国土空间用途管制制度，研究拟订城乡规划政策并监督实施。组织拟订并实施土地等自然资源年度利用计划。负责工程建设项目规划和用地管理相关工作。负责国土空间用途转用工作。负责土地征收征用管理。</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4）负责本市自然资源调查监测评价。制定自然资源调查监测评价的指标体系和统计标准，建立统一规范的自然资源调查监测评价制度。实施自然资源基础调查、专项调查和监测。负责自然资源调查监测评价成果的监督管理和信息发布。</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5）负责本市自然资源统一确权登记工作。制定各类自然资源和不动产统一确权登记、权籍调查、不动产测绘、争议调处、成果应用的制度和规范。建立健全自然资源和不动产登记信息管理基础平台。负责自然资源和不动产登记资料收集、整理、共享、汇交管理等。依法调处相关权属纠纷。</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6）负责本市自然资源资产有偿使用工作。建立全民所有自然资源资产统计制度，负责全民所有自然资源资产核算。编制全民所有自然资源资产负债表，拟订考核标准。制定全民所有自然资源资产划拨、出让、租赁、作价出资和土地储备政策，合理配置全民所有自然资源资产。负责自然资源资产价值评估管理，依法收缴相关资产收益。</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7）负责本市自然资源的合理开发利用。组织拟订自然资源发展规划和战略，制定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8）负责统筹本市国土空间生态修复。牵头组织编制本市国土空间生态修复规划并实施有关生态修复工程。负责国土空间综合整治、土地整理复垦、矿山地质环境恢复治理等工作。牵头建立和实施生态保护补偿制度，制定合理利用社会资金进行生态修复的政策措施，提出备选项目。</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9）负责组织实施最严格的耕地保护制度。牵头拟订并实施本市耕地保护政策，负责耕地数量、质量、生态保护。组织实施耕地保护责任目标考核和永久基本农田特殊保护。完善耕地占补平衡制度，监督占用耕地补偿制度执行情况。</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10）负责本市地质灾害预防和治理。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11）负责本市地质勘查和矿产资源管理工作。编制地质勘查规划并监督检查执行情况。管理地质勘查项目。监督管理地下水过量开采及引发的地面沉降等地质问题。负责古生物化石的监督管理。负责矿产资源储量管理。负责矿业权管理。监督矿产资源合理利用和保护。</w:t>
      </w:r>
    </w:p>
    <w:p>
      <w:pPr>
        <w:adjustRightInd w:val="0"/>
        <w:snapToGrid w:val="0"/>
        <w:spacing w:line="360" w:lineRule="auto"/>
        <w:ind w:firstLine="640" w:firstLineChars="200"/>
        <w:rPr>
          <w:rFonts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12）负责本市勘察设计和测绘地理信息管理工作。负责勘察设计和基础测绘、测绘行业管理。负责勘察设计和测绘资质资格与信用管理，监督管理勘察设计科技促进、质量安全和市场秩序。监督管理测绘地理信息安全</w:t>
      </w:r>
      <w:r>
        <w:rPr>
          <w:rFonts w:hint="eastAsia" w:ascii="仿宋_GB2312" w:hAnsi="仿宋" w:eastAsia="仿宋_GB2312" w:cs="仿宋"/>
          <w:color w:val="auto"/>
          <w:sz w:val="32"/>
          <w:szCs w:val="40"/>
          <w:highlight w:val="none"/>
          <w:lang w:eastAsia="zh-CN"/>
        </w:rPr>
        <w:t>和</w:t>
      </w:r>
      <w:r>
        <w:rPr>
          <w:rFonts w:hint="eastAsia" w:ascii="仿宋_GB2312" w:hAnsi="仿宋" w:eastAsia="仿宋_GB2312" w:cs="仿宋"/>
          <w:color w:val="auto"/>
          <w:sz w:val="32"/>
          <w:szCs w:val="40"/>
          <w:highlight w:val="none"/>
        </w:rPr>
        <w:t>市场秩序。负责地理信息公共服务管理。负责测量标志保护。负责地名管理。</w:t>
      </w:r>
    </w:p>
    <w:p>
      <w:pPr>
        <w:pStyle w:val="15"/>
        <w:widowControl w:val="0"/>
        <w:shd w:val="clear" w:color="auto" w:fill="FFFFFF"/>
        <w:adjustRightInd w:val="0"/>
        <w:snapToGrid w:val="0"/>
        <w:spacing w:before="0" w:beforeAutospacing="0" w:after="0" w:afterAutospacing="0" w:line="360" w:lineRule="auto"/>
        <w:ind w:firstLine="640" w:firstLineChars="200"/>
        <w:jc w:val="both"/>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13）依法承担本市建设工程消防设计审查工作。拟定相关地方性法规和政府规章草案及政策标准规范，并监督执行。组织开展建设工程特殊消防设计专家评审工作。参与建设工程重大火灾事故调查工作。指导、监督、协调各区建设工程消防设计审查工作。</w:t>
      </w:r>
    </w:p>
    <w:p>
      <w:pPr>
        <w:pStyle w:val="15"/>
        <w:widowControl w:val="0"/>
        <w:shd w:val="clear" w:color="auto" w:fill="FFFFFF"/>
        <w:adjustRightInd w:val="0"/>
        <w:snapToGrid w:val="0"/>
        <w:spacing w:before="0" w:beforeAutospacing="0" w:after="0" w:afterAutospacing="0" w:line="360" w:lineRule="auto"/>
        <w:ind w:firstLine="640" w:firstLineChars="200"/>
        <w:jc w:val="both"/>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14）推动本市自然资源领域科技发展。制定并实施自然资源领域科技创新发展规划和计划。推进自然资源信息化和信息资料的公共服务，统筹管理自然资源和国土空间规划相关数据。负责自然资源和国土空间规划相关档案的监督和管理工作。</w:t>
      </w:r>
    </w:p>
    <w:p>
      <w:pPr>
        <w:pStyle w:val="15"/>
        <w:widowControl w:val="0"/>
        <w:shd w:val="clear" w:color="auto" w:fill="FFFFFF"/>
        <w:adjustRightInd w:val="0"/>
        <w:snapToGrid w:val="0"/>
        <w:spacing w:before="0" w:beforeAutospacing="0" w:after="0" w:afterAutospacing="0" w:line="360" w:lineRule="auto"/>
        <w:ind w:firstLine="640" w:firstLineChars="200"/>
        <w:jc w:val="both"/>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（15）承担首都规划建设委员会和北京历史文化名城保护委员会的具体工作。承担研究、论证本市城乡规划建设发展重大问题的基础工作。承担向党中央、国务院请示报告首都规划建设重大事项相关工作。</w:t>
      </w:r>
    </w:p>
    <w:p>
      <w:pPr>
        <w:pStyle w:val="15"/>
        <w:widowControl w:val="0"/>
        <w:shd w:val="clear" w:color="auto" w:fill="FFFFFF"/>
        <w:adjustRightInd w:val="0"/>
        <w:snapToGrid w:val="0"/>
        <w:spacing w:before="0" w:beforeAutospacing="0" w:after="0" w:afterAutospacing="0" w:line="360" w:lineRule="auto"/>
        <w:ind w:firstLine="640" w:firstLineChars="200"/>
        <w:jc w:val="both"/>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（16）负责本市自然资源和国土空间规划管理的督察工作。依法承担工程建设项目的规划核验。查处自然资源开发利用和国土空间规划及勘察设计、测绘违法案件。</w:t>
      </w:r>
    </w:p>
    <w:p>
      <w:pPr>
        <w:pStyle w:val="15"/>
        <w:widowControl w:val="0"/>
        <w:shd w:val="clear" w:color="auto" w:fill="FFFFFF"/>
        <w:adjustRightInd w:val="0"/>
        <w:snapToGrid w:val="0"/>
        <w:spacing w:before="0" w:beforeAutospacing="0" w:after="0" w:afterAutospacing="0" w:line="360" w:lineRule="auto"/>
        <w:ind w:firstLine="640" w:firstLineChars="200"/>
        <w:jc w:val="both"/>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（17）完成市委、市政府交办的其他任务。</w:t>
      </w:r>
    </w:p>
    <w:p>
      <w:pPr>
        <w:pStyle w:val="15"/>
        <w:widowControl w:val="0"/>
        <w:shd w:val="clear" w:color="auto" w:fill="FFFFFF"/>
        <w:adjustRightInd w:val="0"/>
        <w:snapToGrid w:val="0"/>
        <w:spacing w:before="0" w:beforeAutospacing="0" w:after="0" w:afterAutospacing="0" w:line="360" w:lineRule="auto"/>
        <w:ind w:firstLine="640" w:firstLineChars="200"/>
        <w:jc w:val="both"/>
        <w:rPr>
          <w:rFonts w:ascii="仿宋_GB2312" w:hAnsi="仿宋" w:eastAsia="仿宋_GB2312" w:cs="仿宋"/>
          <w:color w:val="auto"/>
          <w:kern w:val="2"/>
          <w:sz w:val="32"/>
          <w:szCs w:val="40"/>
          <w:highlight w:val="none"/>
        </w:rPr>
      </w:pPr>
      <w:r>
        <w:rPr>
          <w:rFonts w:hint="eastAsia" w:ascii="仿宋_GB2312" w:hAnsi="仿宋" w:eastAsia="仿宋_GB2312" w:cs="仿宋"/>
          <w:color w:val="auto"/>
          <w:kern w:val="2"/>
          <w:sz w:val="32"/>
          <w:szCs w:val="40"/>
          <w:highlight w:val="none"/>
        </w:rPr>
        <w:t>2.202</w:t>
      </w:r>
      <w:r>
        <w:rPr>
          <w:rFonts w:hint="eastAsia" w:ascii="仿宋_GB2312" w:hAnsi="仿宋" w:eastAsia="仿宋_GB2312" w:cs="仿宋"/>
          <w:color w:val="auto"/>
          <w:kern w:val="2"/>
          <w:sz w:val="32"/>
          <w:szCs w:val="40"/>
          <w:highlight w:val="none"/>
          <w:lang w:val="en-US" w:eastAsia="zh-CN"/>
        </w:rPr>
        <w:t>4</w:t>
      </w:r>
      <w:r>
        <w:rPr>
          <w:rFonts w:hint="eastAsia" w:ascii="仿宋_GB2312" w:hAnsi="仿宋" w:eastAsia="仿宋_GB2312" w:cs="仿宋"/>
          <w:color w:val="auto"/>
          <w:kern w:val="2"/>
          <w:sz w:val="32"/>
          <w:szCs w:val="40"/>
          <w:highlight w:val="none"/>
        </w:rPr>
        <w:t>年重点工作任务</w:t>
      </w:r>
    </w:p>
    <w:p>
      <w:pPr>
        <w:adjustRightInd w:val="0"/>
        <w:snapToGrid w:val="0"/>
        <w:spacing w:line="360" w:lineRule="auto"/>
        <w:ind w:firstLine="640" w:firstLineChars="200"/>
        <w:rPr>
          <w:rFonts w:hint="eastAsia" w:ascii="仿宋_GB2312" w:hAnsi="仿宋" w:eastAsia="仿宋_GB2312" w:cs="仿宋"/>
          <w:color w:val="auto"/>
          <w:sz w:val="32"/>
          <w:szCs w:val="40"/>
          <w:highlight w:val="none"/>
        </w:rPr>
      </w:pPr>
      <w:r>
        <w:rPr>
          <w:rFonts w:hint="eastAsia" w:ascii="仿宋_GB2312" w:hAnsi="仿宋" w:eastAsia="仿宋_GB2312" w:cs="仿宋"/>
          <w:color w:val="auto"/>
          <w:sz w:val="32"/>
          <w:szCs w:val="40"/>
          <w:highlight w:val="none"/>
        </w:rPr>
        <w:t>2024年是京津冀协同发展战略实施10周年，是实现“十四五”规划目标的关键一年</w:t>
      </w:r>
      <w:r>
        <w:rPr>
          <w:rFonts w:hint="eastAsia" w:ascii="仿宋_GB2312" w:hAnsi="仿宋" w:eastAsia="仿宋_GB2312" w:cs="仿宋"/>
          <w:color w:val="auto"/>
          <w:sz w:val="32"/>
          <w:szCs w:val="40"/>
          <w:highlight w:val="none"/>
          <w:lang w:eastAsia="zh-CN"/>
        </w:rPr>
        <w:t>，</w:t>
      </w:r>
      <w:r>
        <w:rPr>
          <w:rFonts w:hint="eastAsia" w:ascii="仿宋_GB2312" w:hAnsi="仿宋" w:eastAsia="仿宋_GB2312" w:cs="仿宋"/>
          <w:color w:val="auto"/>
          <w:sz w:val="32"/>
          <w:szCs w:val="40"/>
          <w:highlight w:val="none"/>
        </w:rPr>
        <w:t>做好首都规划自然资源工作意义重大。202</w:t>
      </w:r>
      <w:r>
        <w:rPr>
          <w:rFonts w:hint="eastAsia" w:ascii="仿宋_GB2312" w:hAnsi="仿宋" w:eastAsia="仿宋_GB2312" w:cs="仿宋"/>
          <w:color w:val="auto"/>
          <w:sz w:val="32"/>
          <w:szCs w:val="40"/>
          <w:highlight w:val="none"/>
          <w:lang w:val="en-US" w:eastAsia="zh-CN"/>
        </w:rPr>
        <w:t>4</w:t>
      </w:r>
      <w:r>
        <w:rPr>
          <w:rFonts w:hint="eastAsia" w:ascii="仿宋_GB2312" w:hAnsi="仿宋" w:eastAsia="仿宋_GB2312" w:cs="仿宋"/>
          <w:color w:val="auto"/>
          <w:sz w:val="32"/>
          <w:szCs w:val="40"/>
          <w:highlight w:val="none"/>
        </w:rPr>
        <w:t>年重点工作任务主要包括：</w:t>
      </w:r>
      <w:r>
        <w:rPr>
          <w:rFonts w:hint="eastAsia" w:ascii="仿宋_GB2312" w:hAnsi="仿宋" w:eastAsia="仿宋_GB2312" w:cs="仿宋"/>
          <w:color w:val="auto"/>
          <w:sz w:val="32"/>
          <w:szCs w:val="40"/>
          <w:highlight w:val="none"/>
          <w:lang w:val="en-US" w:eastAsia="zh-CN"/>
        </w:rPr>
        <w:t>一是</w:t>
      </w:r>
      <w:r>
        <w:rPr>
          <w:rFonts w:hint="eastAsia" w:ascii="仿宋_GB2312" w:hAnsi="仿宋" w:eastAsia="仿宋_GB2312" w:cs="仿宋"/>
          <w:color w:val="auto"/>
          <w:sz w:val="32"/>
          <w:szCs w:val="40"/>
          <w:highlight w:val="none"/>
        </w:rPr>
        <w:t>坚决落实首都城市战略定位，持续提升首都功能。主要包括中央政务保障坚定有力、深入实施核心区控规、全面推进历史文化名城保护、扎实推进国际交往和科创中心建设、充分发挥首规委办平台作用。</w:t>
      </w:r>
      <w:r>
        <w:rPr>
          <w:rFonts w:hint="eastAsia" w:ascii="仿宋_GB2312" w:hAnsi="仿宋" w:eastAsia="仿宋_GB2312" w:cs="仿宋"/>
          <w:color w:val="auto"/>
          <w:sz w:val="32"/>
          <w:szCs w:val="40"/>
          <w:highlight w:val="none"/>
          <w:lang w:val="en-US" w:eastAsia="zh-CN"/>
        </w:rPr>
        <w:t>二是</w:t>
      </w:r>
      <w:r>
        <w:rPr>
          <w:rFonts w:hint="eastAsia" w:ascii="仿宋_GB2312" w:hAnsi="仿宋" w:eastAsia="仿宋_GB2312" w:cs="仿宋"/>
          <w:color w:val="auto"/>
          <w:sz w:val="32"/>
          <w:szCs w:val="40"/>
          <w:highlight w:val="none"/>
        </w:rPr>
        <w:t>坚持规划战略引领，进一步优化城市空间布局。主要包括进一步完善国土空间规划体系、推进减量提质增效、</w:t>
      </w:r>
      <w:r>
        <w:rPr>
          <w:rFonts w:hint="eastAsia" w:ascii="仿宋_GB2312" w:hAnsi="仿宋" w:eastAsia="仿宋_GB2312" w:cs="仿宋"/>
          <w:color w:val="auto"/>
          <w:sz w:val="32"/>
          <w:szCs w:val="40"/>
          <w:highlight w:val="none"/>
          <w:lang w:val="en-US" w:eastAsia="zh-CN"/>
        </w:rPr>
        <w:t>推进</w:t>
      </w:r>
      <w:r>
        <w:rPr>
          <w:rFonts w:hint="eastAsia" w:ascii="仿宋_GB2312" w:hAnsi="仿宋" w:eastAsia="仿宋_GB2312" w:cs="仿宋"/>
          <w:color w:val="auto"/>
          <w:sz w:val="32"/>
          <w:szCs w:val="40"/>
          <w:highlight w:val="none"/>
        </w:rPr>
        <w:t>功能疏解承接、积极推进城乡融合发展。</w:t>
      </w:r>
      <w:r>
        <w:rPr>
          <w:rFonts w:hint="eastAsia" w:ascii="仿宋_GB2312" w:hAnsi="仿宋" w:eastAsia="仿宋_GB2312" w:cs="仿宋"/>
          <w:color w:val="auto"/>
          <w:sz w:val="32"/>
          <w:szCs w:val="40"/>
          <w:highlight w:val="none"/>
          <w:lang w:val="en-US" w:eastAsia="zh-CN"/>
        </w:rPr>
        <w:t>三是</w:t>
      </w:r>
      <w:r>
        <w:rPr>
          <w:rFonts w:hint="eastAsia" w:ascii="仿宋_GB2312" w:hAnsi="仿宋" w:eastAsia="仿宋_GB2312" w:cs="仿宋"/>
          <w:color w:val="auto"/>
          <w:sz w:val="32"/>
          <w:szCs w:val="40"/>
          <w:highlight w:val="none"/>
        </w:rPr>
        <w:t>创新资源要素配置，推动首都经济发展。主要包括有力保障土地要素、有效服务重大项目、有效拓展资源向资产转化路径、持续深化营商环境改革。</w:t>
      </w:r>
      <w:r>
        <w:rPr>
          <w:rFonts w:hint="eastAsia" w:ascii="仿宋_GB2312" w:hAnsi="仿宋" w:eastAsia="仿宋_GB2312" w:cs="仿宋"/>
          <w:color w:val="auto"/>
          <w:sz w:val="32"/>
          <w:szCs w:val="40"/>
          <w:highlight w:val="none"/>
          <w:lang w:val="en-US" w:eastAsia="zh-CN"/>
        </w:rPr>
        <w:t>四是</w:t>
      </w:r>
      <w:r>
        <w:rPr>
          <w:rFonts w:hint="eastAsia" w:ascii="仿宋_GB2312" w:hAnsi="仿宋" w:eastAsia="仿宋_GB2312" w:cs="仿宋"/>
          <w:color w:val="auto"/>
          <w:sz w:val="32"/>
          <w:szCs w:val="40"/>
          <w:highlight w:val="none"/>
        </w:rPr>
        <w:t>践行人民城市理念，推动城市精细化治理不断加强。主要包括扎实推进交通规划建设、逐步完善城市更新政策机制、加快推进城中村改造、积极回应群众急难愁盼。</w:t>
      </w:r>
      <w:r>
        <w:rPr>
          <w:rFonts w:hint="eastAsia" w:ascii="仿宋_GB2312" w:hAnsi="仿宋" w:eastAsia="仿宋_GB2312" w:cs="仿宋"/>
          <w:color w:val="auto"/>
          <w:sz w:val="32"/>
          <w:szCs w:val="40"/>
          <w:highlight w:val="none"/>
          <w:lang w:val="en-US" w:eastAsia="zh-CN"/>
        </w:rPr>
        <w:t>五是</w:t>
      </w:r>
      <w:r>
        <w:rPr>
          <w:rFonts w:hint="eastAsia" w:ascii="仿宋_GB2312" w:hAnsi="仿宋" w:eastAsia="仿宋_GB2312" w:cs="仿宋"/>
          <w:color w:val="auto"/>
          <w:sz w:val="32"/>
          <w:szCs w:val="40"/>
          <w:highlight w:val="none"/>
        </w:rPr>
        <w:t>统筹发展和安全，筑牢首都生态安全底线。主要包括牢牢守住耕地保护红线、推进生态保护修复、支持灾后恢复重建和地灾防治、增强生态空间融合治理、坚决落实安全生产责任。</w:t>
      </w:r>
      <w:r>
        <w:rPr>
          <w:rFonts w:hint="eastAsia" w:ascii="仿宋_GB2312" w:hAnsi="仿宋" w:eastAsia="仿宋_GB2312" w:cs="仿宋"/>
          <w:color w:val="auto"/>
          <w:sz w:val="32"/>
          <w:szCs w:val="40"/>
          <w:highlight w:val="none"/>
          <w:lang w:val="en-US" w:eastAsia="zh-CN"/>
        </w:rPr>
        <w:t>六是</w:t>
      </w:r>
      <w:r>
        <w:rPr>
          <w:rFonts w:hint="eastAsia" w:ascii="仿宋_GB2312" w:hAnsi="仿宋" w:eastAsia="仿宋_GB2312" w:cs="仿宋"/>
          <w:color w:val="auto"/>
          <w:sz w:val="32"/>
          <w:szCs w:val="40"/>
          <w:highlight w:val="none"/>
        </w:rPr>
        <w:t>严格监督执法，切实维护规划严肃性权威性。主要包括推进依法行政、持续加强规划监督、巩固深化规自领域问题整改、增强大数据治理能力。</w:t>
      </w:r>
      <w:r>
        <w:rPr>
          <w:rFonts w:hint="eastAsia" w:ascii="仿宋_GB2312" w:hAnsi="仿宋" w:eastAsia="仿宋_GB2312" w:cs="仿宋"/>
          <w:color w:val="auto"/>
          <w:sz w:val="32"/>
          <w:szCs w:val="40"/>
          <w:highlight w:val="none"/>
          <w:lang w:val="en-US" w:eastAsia="zh-CN"/>
        </w:rPr>
        <w:t>七是</w:t>
      </w:r>
      <w:r>
        <w:rPr>
          <w:rFonts w:hint="eastAsia" w:ascii="仿宋_GB2312" w:hAnsi="仿宋" w:eastAsia="仿宋_GB2312" w:cs="仿宋"/>
          <w:color w:val="auto"/>
          <w:sz w:val="32"/>
          <w:szCs w:val="40"/>
          <w:highlight w:val="none"/>
        </w:rPr>
        <w:t>以政治机关建设为统领，机关党的建设全面加强主要包括深入机关党的政治建设、扎实开展党纪学习教育、提升干部队伍素质能力、深入推进党风廉政建设、加强机关自身建设。</w:t>
      </w:r>
      <w:bookmarkStart w:id="5" w:name="OLE_LINK1"/>
    </w:p>
    <w:bookmarkEnd w:id="5"/>
    <w:p>
      <w:pPr>
        <w:pStyle w:val="4"/>
        <w:adjustRightInd w:val="0"/>
        <w:snapToGrid w:val="0"/>
        <w:spacing w:before="0" w:after="0" w:line="360" w:lineRule="auto"/>
        <w:ind w:firstLine="640" w:firstLineChars="200"/>
        <w:rPr>
          <w:rFonts w:ascii="楷体" w:hAnsi="楷体" w:eastAsia="楷体"/>
          <w:b w:val="0"/>
          <w:bCs w:val="0"/>
          <w:color w:val="auto"/>
          <w:highlight w:val="none"/>
        </w:rPr>
      </w:pPr>
      <w:bookmarkStart w:id="6" w:name="_Toc28811"/>
      <w:bookmarkStart w:id="7" w:name="_Toc72221078"/>
      <w:r>
        <w:rPr>
          <w:rFonts w:hint="eastAsia" w:ascii="楷体" w:hAnsi="楷体" w:eastAsia="楷体"/>
          <w:b w:val="0"/>
          <w:bCs w:val="0"/>
          <w:color w:val="auto"/>
          <w:highlight w:val="none"/>
        </w:rPr>
        <w:t>（二）部门整体绩效目标设立情况</w:t>
      </w:r>
      <w:bookmarkEnd w:id="6"/>
      <w:bookmarkEnd w:id="7"/>
    </w:p>
    <w:p>
      <w:pPr>
        <w:adjustRightInd w:val="0"/>
        <w:snapToGrid w:val="0"/>
        <w:spacing w:line="360" w:lineRule="auto"/>
        <w:ind w:firstLine="640" w:firstLineChars="200"/>
        <w:rPr>
          <w:rFonts w:ascii="仿宋_GB2312" w:hAnsi="仿宋" w:eastAsia="仿宋_GB2312"/>
          <w:bCs/>
          <w:color w:val="auto"/>
          <w:sz w:val="32"/>
          <w:szCs w:val="32"/>
          <w:highlight w:val="none"/>
        </w:rPr>
      </w:pPr>
      <w:r>
        <w:rPr>
          <w:rFonts w:ascii="仿宋_GB2312" w:hAnsi="仿宋" w:eastAsia="仿宋_GB2312"/>
          <w:bCs/>
          <w:color w:val="auto"/>
          <w:sz w:val="32"/>
          <w:szCs w:val="32"/>
          <w:highlight w:val="none"/>
        </w:rPr>
        <w:t>我委</w:t>
      </w:r>
      <w:r>
        <w:rPr>
          <w:rFonts w:hint="eastAsia" w:ascii="仿宋_GB2312" w:hAnsi="仿宋" w:eastAsia="仿宋_GB2312"/>
          <w:bCs/>
          <w:color w:val="auto"/>
          <w:sz w:val="32"/>
          <w:szCs w:val="32"/>
          <w:highlight w:val="none"/>
        </w:rPr>
        <w:t>结合部门职责、202</w:t>
      </w:r>
      <w:r>
        <w:rPr>
          <w:rFonts w:hint="eastAsia" w:ascii="仿宋_GB2312" w:hAnsi="仿宋" w:eastAsia="仿宋_GB2312"/>
          <w:bCs/>
          <w:color w:val="auto"/>
          <w:sz w:val="32"/>
          <w:szCs w:val="32"/>
          <w:highlight w:val="none"/>
          <w:lang w:val="en-US" w:eastAsia="zh-CN"/>
        </w:rPr>
        <w:t>4</w:t>
      </w:r>
      <w:r>
        <w:rPr>
          <w:rFonts w:hint="eastAsia" w:ascii="仿宋_GB2312" w:hAnsi="仿宋" w:eastAsia="仿宋_GB2312"/>
          <w:bCs/>
          <w:color w:val="auto"/>
          <w:sz w:val="32"/>
          <w:szCs w:val="32"/>
          <w:highlight w:val="none"/>
        </w:rPr>
        <w:t>年重点工作任务及财政资金分配使用计划，制定了《北京市规划和自然资源委员会202</w:t>
      </w:r>
      <w:r>
        <w:rPr>
          <w:rFonts w:hint="eastAsia" w:ascii="仿宋_GB2312" w:hAnsi="仿宋" w:eastAsia="仿宋_GB2312"/>
          <w:bCs/>
          <w:color w:val="auto"/>
          <w:sz w:val="32"/>
          <w:szCs w:val="32"/>
          <w:highlight w:val="none"/>
          <w:lang w:val="en-US" w:eastAsia="zh-CN"/>
        </w:rPr>
        <w:t>4</w:t>
      </w:r>
      <w:r>
        <w:rPr>
          <w:rFonts w:hint="eastAsia" w:ascii="仿宋_GB2312" w:hAnsi="仿宋" w:eastAsia="仿宋_GB2312"/>
          <w:bCs/>
          <w:color w:val="auto"/>
          <w:sz w:val="32"/>
          <w:szCs w:val="32"/>
          <w:highlight w:val="none"/>
        </w:rPr>
        <w:t>年部门整体支出绩效目标申报表》，明确了部门总体绩效目标：坚持以习近平新时代中国特色社会主义思想为指导，全面贯彻落实党的二十大和中央经济工作会议精神，深入贯彻习近平总书记对北京一系列重要讲话精神，坚持稳中求进工作总基调，完整、准确、全面贯彻新发展理念，以新时代首都发展为统领，牢固坚守首都城市战略定位，以钉钉子精神抓好城市总体规划实施，突出稳增长、促发展、守底线、惠民生，增强系统观念和底线思维，大力提振市场信心，着力推动高质量发展，为奋力谱写中国式现代化的北京篇章贡献力量。</w:t>
      </w:r>
    </w:p>
    <w:p>
      <w:pPr>
        <w:adjustRightInd w:val="0"/>
        <w:snapToGrid w:val="0"/>
        <w:spacing w:line="360" w:lineRule="auto"/>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我委围绕部门职责及年度重点工作设置部门整体绩效目标，并细化了相关绩效指标，指标设定与全委职能任务匹配，符合相关法律法规的要求及部门整体支出的客观实际，目标依据充分，具有一定的可操作性和可实现性。</w:t>
      </w:r>
    </w:p>
    <w:p>
      <w:pPr>
        <w:pStyle w:val="4"/>
        <w:adjustRightInd w:val="0"/>
        <w:snapToGrid w:val="0"/>
        <w:spacing w:before="0" w:after="0" w:line="360" w:lineRule="auto"/>
        <w:ind w:firstLine="640" w:firstLineChars="200"/>
        <w:outlineLvl w:val="0"/>
        <w:rPr>
          <w:rFonts w:ascii="黑体" w:hAnsi="黑体" w:eastAsia="黑体"/>
          <w:b w:val="0"/>
          <w:bCs w:val="0"/>
          <w:color w:val="auto"/>
          <w:highlight w:val="none"/>
        </w:rPr>
      </w:pPr>
      <w:bookmarkStart w:id="8" w:name="_Toc27415"/>
      <w:bookmarkStart w:id="9" w:name="_Toc72221079"/>
      <w:r>
        <w:rPr>
          <w:rFonts w:hint="eastAsia" w:ascii="黑体" w:hAnsi="黑体" w:eastAsia="黑体"/>
          <w:b w:val="0"/>
          <w:bCs w:val="0"/>
          <w:color w:val="auto"/>
          <w:highlight w:val="none"/>
        </w:rPr>
        <w:t>二、当年预算执行情况</w:t>
      </w:r>
      <w:bookmarkEnd w:id="8"/>
      <w:bookmarkEnd w:id="9"/>
    </w:p>
    <w:p>
      <w:pPr>
        <w:adjustRightInd w:val="0"/>
        <w:snapToGrid w:val="0"/>
        <w:spacing w:line="360" w:lineRule="auto"/>
        <w:ind w:firstLine="640" w:firstLineChars="200"/>
        <w:rPr>
          <w:rFonts w:hint="eastAsia" w:ascii="仿宋_GB2312" w:hAnsi="仿宋" w:eastAsia="仿宋_GB2312"/>
          <w:color w:val="auto"/>
          <w:sz w:val="32"/>
          <w:szCs w:val="32"/>
          <w:highlight w:val="none"/>
        </w:rPr>
      </w:pPr>
      <w:bookmarkStart w:id="10" w:name="OLE_LINK21"/>
      <w:bookmarkStart w:id="11" w:name="OLE_LINK20"/>
      <w:r>
        <w:rPr>
          <w:rFonts w:hint="eastAsia" w:ascii="仿宋_GB2312" w:hAnsi="仿宋" w:eastAsia="仿宋_GB2312"/>
          <w:color w:val="auto"/>
          <w:sz w:val="32"/>
          <w:szCs w:val="32"/>
          <w:highlight w:val="none"/>
        </w:rPr>
        <w:t>2024年全年预算（含区级资金）1</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120</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097.86万元，其中，基本经费217</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830.49万元，项目经费902</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267.37万元。资金总体支出1</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090</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974.13万元，其中，基本支出215</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468.30万元，项目支出875</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505.83万元，预算执行率为97.40%。</w:t>
      </w:r>
    </w:p>
    <w:p>
      <w:pPr>
        <w:adjustRightInd w:val="0"/>
        <w:snapToGrid w:val="0"/>
        <w:spacing w:line="360" w:lineRule="auto"/>
        <w:ind w:firstLine="640" w:firstLineChars="200"/>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扣除区级资金外，市级资金全年预算数843,808.02万元，支出835,288.51万元，预算执行率为98.99%。</w:t>
      </w:r>
    </w:p>
    <w:bookmarkEnd w:id="10"/>
    <w:bookmarkEnd w:id="11"/>
    <w:p>
      <w:pPr>
        <w:pStyle w:val="4"/>
        <w:tabs>
          <w:tab w:val="left" w:pos="5746"/>
        </w:tabs>
        <w:adjustRightInd w:val="0"/>
        <w:snapToGrid w:val="0"/>
        <w:spacing w:before="0" w:after="0" w:line="360" w:lineRule="auto"/>
        <w:ind w:firstLine="640" w:firstLineChars="200"/>
        <w:outlineLvl w:val="0"/>
        <w:rPr>
          <w:rFonts w:ascii="黑体" w:hAnsi="黑体" w:eastAsia="黑体"/>
          <w:b w:val="0"/>
          <w:bCs w:val="0"/>
          <w:color w:val="auto"/>
          <w:highlight w:val="none"/>
        </w:rPr>
      </w:pPr>
      <w:bookmarkStart w:id="12" w:name="_Toc72221080"/>
      <w:bookmarkStart w:id="13" w:name="_Toc25257"/>
      <w:r>
        <w:rPr>
          <w:rFonts w:hint="eastAsia" w:ascii="黑体" w:hAnsi="黑体" w:eastAsia="黑体"/>
          <w:b w:val="0"/>
          <w:bCs w:val="0"/>
          <w:color w:val="auto"/>
          <w:highlight w:val="none"/>
        </w:rPr>
        <w:t>三、整体绩效目标实现情况</w:t>
      </w:r>
      <w:bookmarkEnd w:id="12"/>
      <w:bookmarkEnd w:id="13"/>
    </w:p>
    <w:p>
      <w:pPr>
        <w:adjustRightInd w:val="0"/>
        <w:snapToGrid w:val="0"/>
        <w:spacing w:line="360" w:lineRule="auto"/>
        <w:ind w:firstLine="640" w:firstLineChars="200"/>
        <w:rPr>
          <w:rFonts w:hint="eastAsia" w:ascii="仿宋_GB2312" w:eastAsia="仿宋_GB2312"/>
          <w:color w:val="auto"/>
          <w:sz w:val="32"/>
          <w:szCs w:val="32"/>
          <w:highlight w:val="yellow"/>
          <w:lang w:val="en-US"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年我委按照部门职责，确定了年度重点工作任务，细化任务目标及牵头处室、印发分工方案，根据年度重点工作任务安排项目预算，并</w:t>
      </w:r>
      <w:bookmarkStart w:id="39" w:name="_GoBack"/>
      <w:bookmarkEnd w:id="39"/>
      <w:r>
        <w:rPr>
          <w:rFonts w:hint="eastAsia" w:ascii="仿宋_GB2312" w:eastAsia="仿宋_GB2312"/>
          <w:color w:val="auto"/>
          <w:sz w:val="32"/>
          <w:szCs w:val="32"/>
          <w:highlight w:val="none"/>
        </w:rPr>
        <w:t>按照要求对202</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年度部门项目支出实施绩效自评，评价项目</w:t>
      </w:r>
      <w:r>
        <w:rPr>
          <w:rFonts w:hint="eastAsia" w:ascii="仿宋_GB2312" w:eastAsia="仿宋_GB2312"/>
          <w:color w:val="auto"/>
          <w:sz w:val="32"/>
          <w:szCs w:val="32"/>
          <w:highlight w:val="none"/>
          <w:lang w:val="en-US" w:eastAsia="zh-CN"/>
        </w:rPr>
        <w:t>746</w:t>
      </w:r>
      <w:r>
        <w:rPr>
          <w:rFonts w:hint="eastAsia" w:ascii="仿宋_GB2312" w:eastAsia="仿宋_GB2312"/>
          <w:color w:val="auto"/>
          <w:sz w:val="32"/>
          <w:szCs w:val="32"/>
          <w:highlight w:val="none"/>
        </w:rPr>
        <w:t>个，其中，开展部门绩效评价项目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单位自评项目</w:t>
      </w:r>
      <w:r>
        <w:rPr>
          <w:rFonts w:hint="eastAsia" w:ascii="仿宋_GB2312" w:eastAsia="仿宋_GB2312"/>
          <w:color w:val="auto"/>
          <w:sz w:val="32"/>
          <w:szCs w:val="32"/>
          <w:highlight w:val="none"/>
          <w:lang w:val="en-US" w:eastAsia="zh-CN"/>
        </w:rPr>
        <w:t>746</w:t>
      </w:r>
      <w:r>
        <w:rPr>
          <w:rFonts w:hint="eastAsia" w:ascii="仿宋_GB2312" w:eastAsia="仿宋_GB2312"/>
          <w:color w:val="auto"/>
          <w:sz w:val="32"/>
          <w:szCs w:val="32"/>
          <w:highlight w:val="none"/>
        </w:rPr>
        <w:t>个（含部门绩效评价项目）</w:t>
      </w:r>
      <w:r>
        <w:rPr>
          <w:rFonts w:hint="eastAsia" w:ascii="仿宋_GB2312" w:eastAsia="仿宋_GB2312"/>
          <w:color w:val="auto"/>
          <w:sz w:val="32"/>
          <w:szCs w:val="32"/>
          <w:highlight w:val="none"/>
          <w:lang w:eastAsia="zh-CN"/>
        </w:rPr>
        <w:t>。</w:t>
      </w:r>
    </w:p>
    <w:p>
      <w:pPr>
        <w:pStyle w:val="4"/>
        <w:adjustRightInd w:val="0"/>
        <w:snapToGrid w:val="0"/>
        <w:spacing w:before="0" w:after="0" w:line="360" w:lineRule="auto"/>
        <w:ind w:firstLine="640" w:firstLineChars="200"/>
        <w:rPr>
          <w:rFonts w:ascii="楷体" w:hAnsi="楷体" w:eastAsia="楷体"/>
          <w:b w:val="0"/>
          <w:bCs w:val="0"/>
          <w:color w:val="auto"/>
          <w:highlight w:val="none"/>
        </w:rPr>
      </w:pPr>
      <w:bookmarkStart w:id="14" w:name="_Toc72221081"/>
      <w:bookmarkStart w:id="15" w:name="_Toc1089"/>
      <w:r>
        <w:rPr>
          <w:rFonts w:hint="eastAsia" w:ascii="楷体" w:hAnsi="楷体" w:eastAsia="楷体"/>
          <w:b w:val="0"/>
          <w:bCs w:val="0"/>
          <w:color w:val="auto"/>
          <w:highlight w:val="none"/>
        </w:rPr>
        <w:t>（一）产出完成情况分析</w:t>
      </w:r>
      <w:bookmarkEnd w:id="14"/>
      <w:bookmarkEnd w:id="15"/>
    </w:p>
    <w:p>
      <w:pPr>
        <w:adjustRightInd w:val="0"/>
        <w:snapToGrid w:val="0"/>
        <w:spacing w:line="360" w:lineRule="auto"/>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年全年我委按照任务目标的要求完成了各项工作。具体情况如下：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bookmarkStart w:id="16" w:name="_Toc72221082"/>
      <w:bookmarkStart w:id="17" w:name="_Toc3269"/>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落实首都城市战略定位，首都功能持续优化提升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中央政务保障坚定有力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保障重点地区政务需求，优化政务功能空间布局持续改善政务环境，制定重点地区交通优化提升方案加快南中轴地区博物馆群规划实施，国家自然博物馆开工建设</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核心区控规深入实施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全面完成三年行动计划明确的年度任务印发核心区地上建筑规模减量方案，细化减量工作路径，项目化清单化推动落实，持续降低“四个密度”西单连廊系统空间提升等项目竣工亮相</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历史文化名城保护全面推进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助力中轴线申遗圆满成功，特别是天安门广场及建筑群纳入中轴线遗产的重要组成部分，让世界以全新理念看待文化遗产保护传承，增强中华文化国际影响力抓好首批核心区重点文物腾退保护利用发布北京历史文化遗产保护传承体系规划，将4.8万个项目纳入保护，系统构建北京历史文化遗产的价值体系、保护体系、传承体系和实施体系</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国际交往和科创中心建设扎实推进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国际交往功能体系，积极推进第四使馆区规划实施，高质量开展第一、第二使馆区驻华使馆馆舍、新国展二期等项目规划核验服务，完成国家会议中心二期主体会展部分改造工作，有序推动亮马河北路、雁栖湖市政交通基础设施建设服务保障科技创新中心建设，持续推进“三城一区”和重点科创簇群的规划编制和实施，批复亦庄新城马驹桥制造基地、昌平区沙河西北片区等街区控规，优化空间配置和要素保障</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首规委办平台作用充分发挥全力保障二十届首规委两次全体会议和主任办公会议顺利召开，研究审议首都规划重大事项严格执行重大事项请示报告制度加强首规委会议精神和决定事项督促落实，确保落地见效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加强规划战略引领，城市空间布局进一步优化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国土空间规划体系更加完善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连续7年开展总体规划实施体检评估现代化首都都市圈空间协同规划经首规委全体会议审议通过加快推动街区控规和乡镇国土空间规划编制审查，引领丰台分钟寺、昌平园西区水屯组团、平谷农业中关村、房山周口店镇、门头沟雁翅镇等地区加快发展修订分区规划实施管理办法，持续推动分区规划高效实施花园城市、绿道系统、韧性城市空间专项规划获批实施组织编制地下空间专项规划，积极做好立法调研发布国土空间调查、规划、用途管制用地分类标准等15项标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减量提质增效不断深入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现城乡建设用地再减量6.6平方公里加快编制二绿地区区级减量提质实施方案，统筹实施二绿地区重点项目，西山绿道石景山段、绿隔公园环绿道朝阳段一期建成开放印发建筑规模管理办法，释放市级指标，保障重大项目落地实施严守132平方公里战略留白用地，地上建筑规模持续减少聚焦水岸水体空间品质提升，开展“两河两湖”规划设计研究，“两园一河”城市设计形成初步成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积极推进城乡融合发展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出台乡镇国土空间规划实施管理办法，制定乡村地区空间规划管理全覆盖政策，指导各区在用好原有村庄规划成果基础上，对已批村庄规划开展评估套合试点推动点状供地政策实施，首例项目落地顺义稳妥推进集体经营性建设用地入市出台房地一体宅基地确权登记工作指导意见，逐步推进颁证到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创新资源要素配置，推动首都经济发展稳中有进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土地要素保障扎实有力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市实现建设用地供应3437公顷，计划执行率106%，其中七成以上的工业研发用地供应在平原多点地区，存量供应占比68%土地市场平稳运行，土地出让收入入库超额完成年度任务试点开展“好房子”建设，高品质商品住宅设计导则出台，配租型保障性住房供地超额完成年度任务出台国有建设用地使用权作价出资（入股）、工业用地先租后让、非宅用地使用权届满处置等政策化解批而未供土地2044公顷，新增闲置土地全国最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服务重大项目有力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积极推进“3个100”市级重点工程落地灾后恢复重建及增发国债项目，除长远发展和转入超长期国债外，开工前置规划用地手续全部办结，有力保障开工需求积极谋划生成市政交通重大投资项目，支撑“十五五”重大工程储备“京地智管”审批系统上线运行，推动征地前期工作提速提效超额完成补充耕地指标建设任务，加强占补平衡指标市级统筹，保障温潮减河工程等重大项目落地</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资源向资产转化路径有效拓展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扎实开展全民所有自然资源资产清查工作，查清实物量并估算经济价值，逐步形成覆盖全市、时点统一的国有自然资源资产“一本底账”连续7年向市人大报告自然资源资产管理情况深入开展市、区属国企用地资源分析，推动存量盘活利用全口径梳理在施储备土地的规模、结构、布局和投资情况，探索开展绩效评价，促进土地资产价值显化聚焦提升自然资源配置效率，在地铁霍营站等项目中开展责任估价师运行试点，引入责任估价师全程参与城中村改造项目资金平衡分析，取得良好效果</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营商环境改革持续深化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北京服务”和世行新评估改革年度任务，打造“企业服务直通车”品牌，优化工程建设项目审批管理系统，开展“四有”政务服务建设，委政务服务中心荣获年度全市政务服务先进单位和最佳首席代表全面推行用地预审与规划许可全程网办，“一书两证”办理量同比增加3%，“两证”办理综合平均用时同比减少10%，建立工程规划许可证豁免清单，86个项目完成报备、免于办理许可探索规自领域信用评价管理，建立15个“风险+信用”分级分类模型，“一码检查”绑定率和扫码率均达100%，非现场检查占比进一步扩大提前完成施工图审查改革三年任务目标，向全国推广施工图质量管理的北京经验，在朝阳、石景山开展消防设计审查下放试点，建立“审、验、管”全流程管理机制全年办理不动产登记业务123万件，全业务实现“一网通办”，朝阳、通州率先实现非涉税业务“全市通办”，“京津冀+晋蒙”完成117笔“跨省通办”，“三交”服务持续深化，通州瓮城遗址公园实现全市首个三维立体空间不动产登记，海淀、通州登记大厅及全市16名工作人员获自然资源部通报表扬</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践行人民城市理念，推动城市精细化治理不断加强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交通规划建设扎实推进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保障3号线、12号线、1号线支线等项目实施，完成全市高快速路系统规划实施评估，有效支撑城市骨干网络体系优化有力指导三期新线及在建项目一体化方案编制，提高站点周边规划指标，增强轨道微中心集聚效应优化“学医景商”等重点地区道路空间环境，积极支撑副中心重要节点交通优化用好疏解腾退空间、老旧厂房闲置空间、桥下空间，新增停车位约2.4万个</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城市更新政策机制逐步完善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出台老旧厂房更新改造、城市更新项目土地价款核定缴纳、核心区平房（院落）更新改造消防技术指南等支持政策依托街区控规、历史文化街区整体设计，大力推进钟鼓楼片区、朝外街道、长辛店老镇等成片更新支持房山区、经开区开展低效用地再开发试点，提出低效用地认定标准，实现资源落图入库加强勘察设计服务，支持更新主体将同一类型或同一区域内项目打捆招标、统一设计举办第三届城市更新论坛，开展第三届北京城市更新最佳实践评选，新增评选14个最佳实践和24个优秀项目，推广石景山规划展览馆、金隅兴发科技园等优秀案例</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城中村改造加快推进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健全城中村改造“1+N+X”政策体系坚持“拆除新建”“整治提升”“拆整结合”分类推进首批20个项目加快实施，实施方案全部获市政府批准，全部完成立项，全部启动拆迁腾退住宅腾退签约和安置房开工建设年度目标任务超额完成</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积极助力智慧城市建设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委17项服务接入“京通”，10个平台接入“京办”、接入率100%，市区两级重点项目驾驶舱、用地管理规划审批模块接入“京智”制作智慧城市“一张图”全域三维底图，形成高精度三维地形和重点区域三维模型新型基础测绘试点通过自然资源部验收，4个案例入选数据创新应用典型案例率先发布城市码地方标准，年内完成实体赋码超1000万个探索构建自动驾驶地图地方标准体系，开展在线智能审查核心技术攻关上线运行市政交通基础设施综合管理信息平台，更新完善全市基础设施数据底座，支持丽泽商务区等试点开展地上地下三维场景一体化建设</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积极回应群众急难愁盼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本级“接诉即办”成绩全年各月均获满分，委系统信访事项总量同比下降16.5%，及时受理率100%，一次性化解率96.4%，高于全市平均水平持续化解历史遗留“办证难”问题，今年再为8.2万套房屋打通办证路径，累计达到49.6万套，加大力度提高实际办证率</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行业加快转型发展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建筑师负责制试点4年来，50余家设计单位、150余名建筑师积极参与，试点项目累计达170余个，占全国试点项目总数七成以上修订责任规划师制度实施办法，全面总结责任规划师实施5周年成效，丰台“小蜜丰”、通州“小通、小州”等品牌日益壮大，涌现出怡乐园社区级家园中心等优秀实践案例推动成立北京建筑师学会，积极开展第30届世界建筑师大会各项筹备工作完善勘察设计行业智慧服务平台，加强“人员库”“业绩库”建设会同住建、人社等部门开展违规“挂证”行为专项整治，加强动态监管，净化行业环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统筹发展和安全，首都生态安全底线进一步筑牢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牢牢守住耕地保护红线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着力提升耕地保护质效，编制完成城市级耕地保护专项规划，划定万亩级、千亩级、百亩级“大田”，引领耕地布局优化会同农业农村部门推动实际耕种，对新增耕地验收项目开展管护情况“回头看”严肃开展占用耕地和永久基本农田倾倒建筑垃圾问题排查整治</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生态保护修复推进有力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首都西部“山水工程”扎实推进，累计保护修复面积超1.4万公顷，“山水工程赋能新质生产力的路径”获批部省合作科研项目开展2023年度国土空间生态修复规划实施体检，规划技术体系入选自然资源部国土空间生态修复创新适用技术名录扎实推进矿山生态修复工作，“十四五”任务进入攻坚收尾阶段全年完成非建设空间拆违腾退用地生态修复及利用约12.9平方公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灾后恢复重建和地灾防治效果明显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门头沟区、房山区灾后恢复重建整体规划批复实施，69处异地新建安置房入汛前全部完成选址并落地实施更新9147处地灾隐患点台账，新增布设监测设备，新实施地灾治理项目覆盖8个区800余处隐患点与市相关部门、津冀地区共享雨量监测信息，提前发布各类风险预警62期，拉网式排查隐患3.8万次，做好转移群众的闭环安全管理，昌平海字村崩塌避险入选全国地灾避险典型案例全年共发生地质灾害37起，未造成人员伤亡，64%在隐患点台账内、高于全国平均，得到自然资源部肯定</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生态空间融合治理不断增强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强化调查监测、耕地保护、执法、督察等部门会商机制，实现调查监测数据“一调多用、融合衔接、共享共用”与园林部门联合发布林地保护专项规划积极探索自然资源确权登记，完成全市重点和跨区单元地籍调查，实现首个自然资源项目确权登记</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坚决落实安全生产责任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扎实推进安全生产治本攻坚三年行动，认真落实“4.18”重大火灾事故整改和防范措施聚焦重点行业领域和关键环节，修订完善隐患检查清单，分类分级开展监督检查针对地下水位回升，发布建筑与市政工程抗浮勘察标准，建设工程勘察地质信息查询服务平台全覆盖开展消防安全隐患排查整治，组织6次消防培训演练，不断提升干部职工消防安全意识和应急处置能力</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严格监督执法，切实维护规划严肃性权威性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依法行政稳步推进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北京市建设征地补偿安置办法修订立项研究，完成集体土地房屋拆迁管理办法等立法后评估，开展20余项重大行政决策和规范性文件合法性审查深化府院联动，加强诉源治理，全委行政复议诉讼案件纠错和败诉率保持低位运行聚焦行政审批重点环节开展案卷评查，强化内部约束监督在自然资源部建设用地审批“双随机、一公开”考核中进步明显加大规划和自然资源执法力度，快速处置案件平均办理时限进一步压缩，在历史建筑保护等方面形成“首案”查处经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规划监督不断发力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年完成房建类项目规划验收、市政类项目规划备案的项目数和规模数较去年均有提升出台建设工程全过程规划监督工作意见，“多测合一”平台、施工图审查系统与全过程规划监督平台实现对接，将近4000个项目纳入全过程管理，对近千个项目开展规划监督专项检查，帮助项目提前发现问题、及时整改试行开展规划核验与土地核验融合，加大规划和土地监管信息共享力度，为120个项目完成规划核验（土地核验）业务办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规自领域问题整改巩固深化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续加强内部约束监督、治理基层涉地乱象，扎实推进年度任务印发实施深化巩固“创无”成果三年行动计划，建立“拆、治、管、用”协同推进机制治理违法建设超2000万平方米，新生在施违法建设均处置到位，拆违腾退地块疑似复建问题整改率100%积极推动拆后利用，规划非建设空间利用率提高至80%市级自主督察靠前防范化解风险，全力推进年度督察指出问题和历年督察挂账问题整改</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大数据治理能力不断增强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智慧规自”顶层设计加快推进，市区两级重点项目驾驶舱2.0版正式上线，对近2000个重点项目实现在线管理国土空间用途管制系统加速建设，乡镇国土空间规划率先实现全生命周期数字化管理，国土空间“一张图”实施监测系统上线运行，全委数字化治理能力不断提升，数据应用价值持续凸显</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以政治机关建设为统领，机关党的建设全面加强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机关党的政治建设不断深入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时跟进学习习近平总书记重要讲话精神，认真开展理论中心组学习，严格落实“第一议题”制度深入学习贯彻党的二十届三中全会精神，开展多种形式的宣讲、交流、培训，推动改革任务落实广泛开展“共学新思想 共担新使命”联学共建，组建百余名党员先锋队支援基层防汛，两支青年突击队获评“北京市抗汛救灾和灾后恢复重建青年突击队”</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党纪学习教育扎实开展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入学习贯彻习近平总书记关于全面加强党的纪律建设重要论述，引导党员干部原原本本学条例召开全系统警示教育大会，组织观看警示教育片，参观警示教育基地，引导党员干部学纪、知纪、明纪、守纪各级党组织通过“三会一课”等形式开展集中学习，全委党员干部遵守纪律的自觉进一步强化</w:t>
      </w:r>
      <w:r>
        <w:rPr>
          <w:rFonts w:hint="eastAsia" w:ascii="仿宋_GB2312" w:hAnsi="仿宋_GB2312" w:eastAsia="仿宋_GB2312" w:cs="仿宋_GB2312"/>
          <w:sz w:val="32"/>
          <w:szCs w:val="32"/>
          <w:lang w:eastAsia="zh-CN"/>
        </w:rPr>
        <w:t>。</w:t>
      </w:r>
    </w:p>
    <w:p>
      <w:pPr>
        <w:pStyle w:val="4"/>
        <w:numPr>
          <w:ilvl w:val="0"/>
          <w:numId w:val="1"/>
        </w:numPr>
        <w:adjustRightInd w:val="0"/>
        <w:snapToGrid w:val="0"/>
        <w:spacing w:before="0" w:after="0" w:line="360" w:lineRule="auto"/>
        <w:ind w:firstLine="640" w:firstLineChars="200"/>
        <w:rPr>
          <w:rFonts w:hint="eastAsia" w:ascii="楷体" w:hAnsi="楷体" w:eastAsia="楷体"/>
          <w:b w:val="0"/>
          <w:bCs w:val="0"/>
          <w:color w:val="auto"/>
          <w:highlight w:val="none"/>
        </w:rPr>
      </w:pPr>
      <w:r>
        <w:rPr>
          <w:rFonts w:hint="eastAsia" w:ascii="楷体" w:hAnsi="楷体" w:eastAsia="楷体"/>
          <w:b w:val="0"/>
          <w:bCs w:val="0"/>
          <w:color w:val="auto"/>
          <w:highlight w:val="none"/>
        </w:rPr>
        <w:t>效果实现情况分析</w:t>
      </w:r>
      <w:bookmarkEnd w:id="16"/>
      <w:bookmarkEnd w:id="17"/>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在市委、市政府的坚强领导下，</w:t>
      </w:r>
      <w:r>
        <w:rPr>
          <w:rFonts w:hint="eastAsia" w:ascii="仿宋_GB2312" w:hAnsi="仿宋_GB2312" w:eastAsia="仿宋_GB2312" w:cs="仿宋_GB2312"/>
          <w:sz w:val="32"/>
          <w:szCs w:val="32"/>
          <w:lang w:val="en-US" w:eastAsia="zh-CN"/>
        </w:rPr>
        <w:t>市规自委</w:t>
      </w:r>
      <w:r>
        <w:rPr>
          <w:rFonts w:hint="eastAsia" w:ascii="仿宋_GB2312" w:hAnsi="仿宋_GB2312" w:eastAsia="仿宋_GB2312" w:cs="仿宋_GB2312"/>
          <w:sz w:val="32"/>
          <w:szCs w:val="32"/>
        </w:rPr>
        <w:t>2024年坚持以习近平新时代中国特色社会主义思想为指导，全面贯彻党的二十大和二十届二中、三中全会精神，以新时代首都发展为统领，聚焦首都城市战略定位，以钉钉子精神抓好城市总体规划实施，在服务大局中实现新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坚决</w:t>
      </w:r>
      <w:r>
        <w:rPr>
          <w:rFonts w:hint="eastAsia" w:ascii="仿宋_GB2312" w:hAnsi="仿宋_GB2312" w:eastAsia="仿宋_GB2312" w:cs="仿宋_GB2312"/>
          <w:sz w:val="32"/>
          <w:szCs w:val="32"/>
        </w:rPr>
        <w:t>落实首都城市战略定位，首都功能持续优化提升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持续</w:t>
      </w:r>
      <w:r>
        <w:rPr>
          <w:rFonts w:hint="eastAsia" w:ascii="仿宋_GB2312" w:hAnsi="仿宋_GB2312" w:eastAsia="仿宋_GB2312" w:cs="仿宋_GB2312"/>
          <w:sz w:val="32"/>
          <w:szCs w:val="32"/>
        </w:rPr>
        <w:t>加强规划战略引领</w:t>
      </w:r>
      <w:r>
        <w:rPr>
          <w:rFonts w:hint="eastAsia" w:ascii="仿宋_GB2312" w:hAnsi="仿宋_GB2312" w:eastAsia="仿宋_GB2312" w:cs="仿宋_GB2312"/>
          <w:sz w:val="32"/>
          <w:szCs w:val="32"/>
          <w:lang w:val="en-US" w:eastAsia="zh-CN"/>
        </w:rPr>
        <w:t>作用</w:t>
      </w:r>
      <w:r>
        <w:rPr>
          <w:rFonts w:hint="eastAsia" w:ascii="仿宋_GB2312" w:hAnsi="仿宋_GB2312" w:eastAsia="仿宋_GB2312" w:cs="仿宋_GB2312"/>
          <w:sz w:val="32"/>
          <w:szCs w:val="32"/>
        </w:rPr>
        <w:t>，城市空间布局</w:t>
      </w:r>
      <w:r>
        <w:rPr>
          <w:rFonts w:hint="eastAsia" w:ascii="仿宋_GB2312" w:hAnsi="仿宋_GB2312" w:eastAsia="仿宋_GB2312" w:cs="仿宋_GB2312"/>
          <w:sz w:val="32"/>
          <w:szCs w:val="32"/>
          <w:lang w:val="en-US" w:eastAsia="zh-CN"/>
        </w:rPr>
        <w:t>得到</w:t>
      </w:r>
      <w:r>
        <w:rPr>
          <w:rFonts w:hint="eastAsia" w:ascii="仿宋_GB2312" w:hAnsi="仿宋_GB2312" w:eastAsia="仿宋_GB2312" w:cs="仿宋_GB2312"/>
          <w:sz w:val="32"/>
          <w:szCs w:val="32"/>
        </w:rPr>
        <w:t>进一步优化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加强</w:t>
      </w:r>
      <w:r>
        <w:rPr>
          <w:rFonts w:hint="eastAsia" w:ascii="仿宋_GB2312" w:hAnsi="仿宋_GB2312" w:eastAsia="仿宋_GB2312" w:cs="仿宋_GB2312"/>
          <w:sz w:val="32"/>
          <w:szCs w:val="32"/>
        </w:rPr>
        <w:t>创新资源要素配置，</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推动首都经济发展稳中有进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努力</w:t>
      </w:r>
      <w:r>
        <w:rPr>
          <w:rFonts w:hint="eastAsia" w:ascii="仿宋_GB2312" w:hAnsi="仿宋_GB2312" w:eastAsia="仿宋_GB2312" w:cs="仿宋_GB2312"/>
          <w:sz w:val="32"/>
          <w:szCs w:val="32"/>
        </w:rPr>
        <w:t>践行人民城市理念，城市精细化治理不断加强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深化</w:t>
      </w:r>
      <w:r>
        <w:rPr>
          <w:rFonts w:hint="eastAsia" w:ascii="仿宋_GB2312" w:hAnsi="仿宋_GB2312" w:eastAsia="仿宋_GB2312" w:cs="仿宋_GB2312"/>
          <w:sz w:val="32"/>
          <w:szCs w:val="32"/>
        </w:rPr>
        <w:t>统筹发展和安全，进一步筑牢首都生态安全底线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严格监督执法，切实维护规划严肃性权威性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以政治机关建设为统领，全面加强机关党的建设</w:t>
      </w:r>
      <w:r>
        <w:rPr>
          <w:rFonts w:hint="eastAsia" w:ascii="仿宋_GB2312" w:hAnsi="仿宋_GB2312" w:eastAsia="仿宋_GB2312" w:cs="仿宋_GB2312"/>
          <w:sz w:val="32"/>
          <w:szCs w:val="32"/>
          <w:lang w:eastAsia="zh-CN"/>
        </w:rPr>
        <w:t>。</w:t>
      </w:r>
    </w:p>
    <w:p>
      <w:pPr>
        <w:pStyle w:val="4"/>
        <w:adjustRightInd w:val="0"/>
        <w:snapToGrid w:val="0"/>
        <w:spacing w:before="0" w:after="0" w:line="360" w:lineRule="auto"/>
        <w:ind w:firstLine="640" w:firstLineChars="200"/>
        <w:outlineLvl w:val="0"/>
        <w:rPr>
          <w:rFonts w:ascii="仿宋" w:hAnsi="仿宋" w:eastAsia="仿宋" w:cs="仿宋"/>
          <w:b w:val="0"/>
          <w:bCs w:val="0"/>
          <w:color w:val="auto"/>
          <w:szCs w:val="36"/>
          <w:highlight w:val="none"/>
        </w:rPr>
      </w:pPr>
      <w:bookmarkStart w:id="18" w:name="_Toc22724"/>
      <w:bookmarkStart w:id="19" w:name="_Toc72221083"/>
      <w:r>
        <w:rPr>
          <w:rFonts w:hint="eastAsia" w:ascii="黑体" w:hAnsi="黑体" w:eastAsia="黑体"/>
          <w:b w:val="0"/>
          <w:bCs w:val="0"/>
          <w:color w:val="auto"/>
          <w:highlight w:val="none"/>
        </w:rPr>
        <w:t>四、预算管理情况分析</w:t>
      </w:r>
      <w:bookmarkEnd w:id="18"/>
      <w:bookmarkEnd w:id="19"/>
    </w:p>
    <w:p>
      <w:pPr>
        <w:pStyle w:val="4"/>
        <w:adjustRightInd w:val="0"/>
        <w:snapToGrid w:val="0"/>
        <w:spacing w:before="0" w:after="0" w:line="360" w:lineRule="auto"/>
        <w:ind w:firstLine="640" w:firstLineChars="200"/>
        <w:rPr>
          <w:rFonts w:ascii="楷体" w:hAnsi="楷体" w:eastAsia="楷体"/>
          <w:b w:val="0"/>
          <w:bCs w:val="0"/>
          <w:color w:val="auto"/>
          <w:highlight w:val="none"/>
        </w:rPr>
      </w:pPr>
      <w:bookmarkStart w:id="20" w:name="_Toc72221084"/>
      <w:bookmarkStart w:id="21" w:name="_Toc31704"/>
      <w:r>
        <w:rPr>
          <w:rFonts w:hint="eastAsia" w:ascii="楷体" w:hAnsi="楷体" w:eastAsia="楷体"/>
          <w:b w:val="0"/>
          <w:bCs w:val="0"/>
          <w:color w:val="auto"/>
          <w:highlight w:val="none"/>
        </w:rPr>
        <w:t>（一）财务管理</w:t>
      </w:r>
      <w:bookmarkEnd w:id="20"/>
      <w:bookmarkEnd w:id="21"/>
    </w:p>
    <w:p>
      <w:pPr>
        <w:adjustRightInd w:val="0"/>
        <w:snapToGrid w:val="0"/>
        <w:spacing w:line="360" w:lineRule="auto"/>
        <w:ind w:firstLine="640" w:firstLineChars="200"/>
        <w:outlineLvl w:val="2"/>
        <w:rPr>
          <w:rFonts w:ascii="仿宋_GB2312" w:hAnsi="仿宋" w:eastAsia="仿宋_GB2312" w:cs="仿宋"/>
          <w:bCs/>
          <w:color w:val="auto"/>
          <w:sz w:val="32"/>
          <w:szCs w:val="32"/>
          <w:highlight w:val="none"/>
        </w:rPr>
      </w:pPr>
      <w:r>
        <w:rPr>
          <w:rFonts w:hint="eastAsia" w:ascii="仿宋_GB2312" w:hAnsi="仿宋" w:eastAsia="仿宋_GB2312" w:cs="仿宋"/>
          <w:bCs/>
          <w:color w:val="auto"/>
          <w:sz w:val="32"/>
          <w:szCs w:val="32"/>
          <w:highlight w:val="none"/>
        </w:rPr>
        <w:t>1.财务管理制度完善健全。</w:t>
      </w:r>
    </w:p>
    <w:p>
      <w:pPr>
        <w:adjustRightInd w:val="0"/>
        <w:snapToGrid w:val="0"/>
        <w:spacing w:line="360" w:lineRule="auto"/>
        <w:ind w:firstLine="640" w:firstLineChars="200"/>
        <w:outlineLvl w:val="2"/>
        <w:rPr>
          <w:rFonts w:ascii="仿宋_GB2312" w:hAnsi="仿宋" w:eastAsia="仿宋_GB2312" w:cs="仿宋"/>
          <w:bCs/>
          <w:color w:val="auto"/>
          <w:sz w:val="32"/>
          <w:szCs w:val="32"/>
          <w:highlight w:val="none"/>
        </w:rPr>
      </w:pPr>
      <w:r>
        <w:rPr>
          <w:rFonts w:hint="eastAsia" w:ascii="仿宋_GB2312" w:hAnsi="仿宋" w:eastAsia="仿宋_GB2312" w:cs="仿宋"/>
          <w:bCs/>
          <w:color w:val="auto"/>
          <w:sz w:val="32"/>
          <w:szCs w:val="32"/>
          <w:highlight w:val="none"/>
        </w:rPr>
        <w:t>为进一步提高全委财务管理能力和水平，我委建立了完善的财务管理制度体系，从资金审批、预算管理、会计核算、资产管理、政府采购等方面对财务工作进行了规范监督，保障日常工作有章可循、稳步推进。</w:t>
      </w:r>
    </w:p>
    <w:p>
      <w:pPr>
        <w:adjustRightInd w:val="0"/>
        <w:snapToGrid w:val="0"/>
        <w:spacing w:line="360" w:lineRule="auto"/>
        <w:ind w:firstLine="640" w:firstLineChars="200"/>
        <w:outlineLvl w:val="2"/>
        <w:rPr>
          <w:rFonts w:ascii="仿宋_GB2312" w:hAnsi="仿宋" w:eastAsia="仿宋_GB2312" w:cs="仿宋"/>
          <w:bCs/>
          <w:color w:val="auto"/>
          <w:sz w:val="32"/>
          <w:szCs w:val="32"/>
          <w:highlight w:val="none"/>
        </w:rPr>
      </w:pPr>
      <w:r>
        <w:rPr>
          <w:rFonts w:hint="eastAsia" w:ascii="仿宋_GB2312" w:hAnsi="仿宋" w:eastAsia="仿宋_GB2312" w:cs="仿宋"/>
          <w:bCs/>
          <w:color w:val="auto"/>
          <w:sz w:val="32"/>
          <w:szCs w:val="32"/>
          <w:highlight w:val="none"/>
        </w:rPr>
        <w:t>2.资金使用安全合规。</w:t>
      </w:r>
    </w:p>
    <w:p>
      <w:pPr>
        <w:adjustRightInd w:val="0"/>
        <w:snapToGrid w:val="0"/>
        <w:spacing w:line="360" w:lineRule="auto"/>
        <w:ind w:firstLine="640" w:firstLineChars="200"/>
        <w:outlineLvl w:val="2"/>
        <w:rPr>
          <w:rFonts w:ascii="仿宋_GB2312" w:hAnsi="仿宋" w:eastAsia="仿宋_GB2312" w:cs="仿宋"/>
          <w:bCs/>
          <w:color w:val="auto"/>
          <w:sz w:val="32"/>
          <w:szCs w:val="32"/>
          <w:highlight w:val="none"/>
        </w:rPr>
      </w:pPr>
      <w:r>
        <w:rPr>
          <w:rFonts w:ascii="Times New Roman" w:hAnsi="Times New Roman" w:eastAsia="仿宋_GB2312"/>
          <w:bCs/>
          <w:color w:val="auto"/>
          <w:sz w:val="32"/>
          <w:szCs w:val="32"/>
          <w:highlight w:val="none"/>
        </w:rPr>
        <w:t>督导各预算单位严格按照经费收支管理规定支付资金和办理结算业务</w:t>
      </w:r>
      <w:r>
        <w:rPr>
          <w:rFonts w:hint="eastAsia" w:ascii="仿宋_GB2312" w:hAnsi="仿宋" w:eastAsia="仿宋_GB2312" w:cs="仿宋"/>
          <w:bCs/>
          <w:color w:val="auto"/>
          <w:sz w:val="32"/>
          <w:szCs w:val="32"/>
          <w:highlight w:val="none"/>
        </w:rPr>
        <w:t>，资金拨付审批程序完整规范，资金使用安全合规。内部审计和监督机制完善，审计监督全面、纵深发展，为资金高效</w:t>
      </w:r>
      <w:r>
        <w:rPr>
          <w:rFonts w:hint="eastAsia" w:ascii="仿宋_GB2312" w:hAnsi="仿宋" w:eastAsia="仿宋_GB2312" w:cs="仿宋"/>
          <w:bCs/>
          <w:color w:val="auto"/>
          <w:sz w:val="32"/>
          <w:szCs w:val="32"/>
          <w:highlight w:val="none"/>
          <w:lang w:eastAsia="zh-CN"/>
        </w:rPr>
        <w:t>安全地使用</w:t>
      </w:r>
      <w:r>
        <w:rPr>
          <w:rFonts w:hint="eastAsia" w:ascii="仿宋_GB2312" w:hAnsi="仿宋" w:eastAsia="仿宋_GB2312" w:cs="仿宋"/>
          <w:bCs/>
          <w:color w:val="auto"/>
          <w:sz w:val="32"/>
          <w:szCs w:val="32"/>
          <w:highlight w:val="none"/>
        </w:rPr>
        <w:t>保驾护航。严格审核资金支付流程，严格履行合同条款，保证资金的安全性、支付的及时性。</w:t>
      </w:r>
    </w:p>
    <w:p>
      <w:pPr>
        <w:adjustRightInd w:val="0"/>
        <w:snapToGrid w:val="0"/>
        <w:spacing w:line="360" w:lineRule="auto"/>
        <w:ind w:firstLine="640" w:firstLineChars="200"/>
        <w:outlineLvl w:val="2"/>
        <w:rPr>
          <w:rFonts w:ascii="仿宋_GB2312" w:hAnsi="仿宋" w:eastAsia="仿宋_GB2312" w:cs="仿宋"/>
          <w:bCs/>
          <w:color w:val="auto"/>
          <w:sz w:val="32"/>
          <w:szCs w:val="32"/>
          <w:highlight w:val="none"/>
        </w:rPr>
      </w:pPr>
      <w:r>
        <w:rPr>
          <w:rFonts w:hint="eastAsia" w:ascii="仿宋_GB2312" w:hAnsi="仿宋" w:eastAsia="仿宋_GB2312" w:cs="仿宋"/>
          <w:bCs/>
          <w:color w:val="auto"/>
          <w:sz w:val="32"/>
          <w:szCs w:val="32"/>
          <w:highlight w:val="none"/>
        </w:rPr>
        <w:t>3.会计基础信息完整准确。</w:t>
      </w:r>
    </w:p>
    <w:p>
      <w:pPr>
        <w:adjustRightInd w:val="0"/>
        <w:snapToGrid w:val="0"/>
        <w:spacing w:line="360" w:lineRule="auto"/>
        <w:ind w:firstLine="640" w:firstLineChars="200"/>
        <w:outlineLvl w:val="2"/>
        <w:rPr>
          <w:rFonts w:hint="eastAsia" w:ascii="仿宋_GB2312" w:hAnsi="仿宋" w:eastAsia="仿宋_GB2312" w:cs="仿宋"/>
          <w:bCs/>
          <w:color w:val="auto"/>
          <w:sz w:val="32"/>
          <w:szCs w:val="32"/>
          <w:highlight w:val="none"/>
        </w:rPr>
      </w:pPr>
      <w:r>
        <w:rPr>
          <w:rFonts w:hint="eastAsia" w:ascii="仿宋_GB2312" w:hAnsi="仿宋" w:eastAsia="仿宋_GB2312" w:cs="仿宋"/>
          <w:bCs/>
          <w:color w:val="auto"/>
          <w:sz w:val="32"/>
          <w:szCs w:val="32"/>
          <w:highlight w:val="none"/>
        </w:rPr>
        <w:t>严格按照《政府会计制度》组织会计核算，在费用报销及合同付款过程中，严格审批原始凭证，对内容不全、手续不完备的原始凭证以及未审批完成的支出不予办理支付，以保障会计基础信息的完整、准确。</w:t>
      </w:r>
    </w:p>
    <w:p>
      <w:pPr>
        <w:pStyle w:val="4"/>
        <w:adjustRightInd w:val="0"/>
        <w:snapToGrid w:val="0"/>
        <w:spacing w:before="0" w:after="0" w:line="360" w:lineRule="auto"/>
        <w:ind w:firstLine="640" w:firstLineChars="200"/>
        <w:rPr>
          <w:rFonts w:hint="eastAsia" w:ascii="楷体" w:hAnsi="楷体" w:eastAsia="楷体"/>
          <w:b w:val="0"/>
          <w:bCs w:val="0"/>
          <w:color w:val="auto"/>
          <w:highlight w:val="none"/>
        </w:rPr>
      </w:pPr>
      <w:bookmarkStart w:id="22" w:name="_Toc5720"/>
      <w:bookmarkStart w:id="23" w:name="_Toc72221085"/>
      <w:r>
        <w:rPr>
          <w:rFonts w:hint="eastAsia" w:ascii="楷体" w:hAnsi="楷体" w:eastAsia="楷体"/>
          <w:b w:val="0"/>
          <w:bCs w:val="0"/>
          <w:color w:val="auto"/>
          <w:highlight w:val="none"/>
        </w:rPr>
        <w:t>（二）资产管理</w:t>
      </w:r>
      <w:bookmarkEnd w:id="22"/>
      <w:bookmarkEnd w:id="23"/>
    </w:p>
    <w:p>
      <w:pPr>
        <w:adjustRightInd w:val="0"/>
        <w:snapToGrid w:val="0"/>
        <w:spacing w:line="360" w:lineRule="auto"/>
        <w:ind w:firstLine="640" w:firstLineChars="200"/>
        <w:outlineLvl w:val="2"/>
        <w:rPr>
          <w:rFonts w:hint="eastAsia" w:ascii="仿宋_GB2312" w:hAnsi="仿宋" w:eastAsia="仿宋_GB2312" w:cs="仿宋"/>
          <w:bCs/>
          <w:color w:val="auto"/>
          <w:sz w:val="32"/>
          <w:szCs w:val="32"/>
          <w:highlight w:val="yellow"/>
          <w:lang w:val="en-US" w:eastAsia="zh-CN"/>
        </w:rPr>
      </w:pPr>
      <w:bookmarkStart w:id="24" w:name="OLE_LINK10"/>
      <w:r>
        <w:rPr>
          <w:rFonts w:hint="eastAsia" w:ascii="仿宋_GB2312" w:hAnsi="仿宋" w:eastAsia="仿宋_GB2312" w:cs="仿宋"/>
          <w:bCs/>
          <w:color w:val="auto"/>
          <w:sz w:val="32"/>
          <w:szCs w:val="32"/>
          <w:highlight w:val="none"/>
          <w:lang w:eastAsia="zh-CN"/>
        </w:rPr>
        <w:t>为进一步规范和加强单位资产管理，实现库存物资科学调配和高效利用，制定了《机关固定资产实物管理办法（试行）》，坚持按照“合理配置、分工负责、归口管理、依规使用、毁损问责”的原则管理和使用实物资产；</w:t>
      </w:r>
      <w:r>
        <w:rPr>
          <w:rFonts w:hint="eastAsia" w:ascii="仿宋_GB2312" w:hAnsi="仿宋" w:eastAsia="仿宋_GB2312" w:cs="仿宋"/>
          <w:bCs/>
          <w:color w:val="auto"/>
          <w:sz w:val="32"/>
          <w:szCs w:val="32"/>
          <w:highlight w:val="none"/>
          <w:lang w:val="en-US" w:eastAsia="zh-CN"/>
        </w:rPr>
        <w:t>严格执行资产交付使用验收制度；为</w:t>
      </w:r>
      <w:r>
        <w:rPr>
          <w:rFonts w:hint="eastAsia" w:ascii="仿宋_GB2312" w:hAnsi="仿宋_GB2312" w:eastAsia="仿宋_GB2312" w:cs="仿宋_GB2312"/>
          <w:color w:val="auto"/>
          <w:kern w:val="0"/>
          <w:sz w:val="32"/>
          <w:szCs w:val="32"/>
          <w:highlight w:val="none"/>
        </w:rPr>
        <w:t>进一步提高固定资产科学配置和高效利用</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聘请第三方专业机构开展</w:t>
      </w:r>
      <w:r>
        <w:rPr>
          <w:rFonts w:hint="eastAsia" w:ascii="仿宋_GB2312" w:hAnsi="仿宋_GB2312" w:eastAsia="仿宋_GB2312" w:cs="仿宋_GB2312"/>
          <w:color w:val="auto"/>
          <w:kern w:val="0"/>
          <w:sz w:val="32"/>
          <w:szCs w:val="32"/>
          <w:highlight w:val="none"/>
        </w:rPr>
        <w:t>资产清查工作</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提高了各使用部门对</w:t>
      </w:r>
      <w:r>
        <w:rPr>
          <w:rFonts w:hint="eastAsia" w:ascii="仿宋_GB2312" w:hAnsi="仿宋_GB2312" w:eastAsia="仿宋_GB2312" w:cs="仿宋_GB2312"/>
          <w:color w:val="auto"/>
          <w:kern w:val="0"/>
          <w:sz w:val="32"/>
          <w:szCs w:val="32"/>
          <w:highlight w:val="none"/>
        </w:rPr>
        <w:t>资产管理的重视度</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形成</w:t>
      </w:r>
      <w:r>
        <w:rPr>
          <w:rFonts w:hint="eastAsia" w:ascii="仿宋_GB2312" w:hAnsi="仿宋_GB2312" w:eastAsia="仿宋_GB2312" w:cs="仿宋_GB2312"/>
          <w:color w:val="auto"/>
          <w:kern w:val="0"/>
          <w:sz w:val="32"/>
          <w:szCs w:val="32"/>
          <w:highlight w:val="none"/>
          <w:lang w:val="en-US" w:eastAsia="zh-CN"/>
        </w:rPr>
        <w:t>了</w:t>
      </w:r>
      <w:r>
        <w:rPr>
          <w:rFonts w:hint="eastAsia" w:ascii="仿宋_GB2312" w:hAnsi="仿宋_GB2312" w:eastAsia="仿宋_GB2312" w:cs="仿宋_GB2312"/>
          <w:color w:val="auto"/>
          <w:kern w:val="0"/>
          <w:sz w:val="32"/>
          <w:szCs w:val="32"/>
          <w:highlight w:val="none"/>
        </w:rPr>
        <w:t>齐抓共管的良好氛围</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加快</w:t>
      </w:r>
      <w:r>
        <w:rPr>
          <w:rFonts w:hint="eastAsia" w:ascii="仿宋_GB2312" w:hAnsi="仿宋_GB2312" w:eastAsia="仿宋_GB2312" w:cs="仿宋_GB2312"/>
          <w:color w:val="auto"/>
          <w:kern w:val="0"/>
          <w:sz w:val="32"/>
          <w:szCs w:val="32"/>
          <w:highlight w:val="none"/>
        </w:rPr>
        <w:t>推进资产管理信息化建设</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实现了固定资产的申请领用、借用、归还由线下转换为内控的线上审批</w:t>
      </w:r>
      <w:r>
        <w:rPr>
          <w:rFonts w:hint="eastAsia" w:ascii="仿宋_GB2312" w:hAnsi="仿宋_GB2312" w:eastAsia="仿宋_GB2312" w:cs="仿宋_GB2312"/>
          <w:color w:val="auto"/>
          <w:kern w:val="0"/>
          <w:sz w:val="32"/>
          <w:szCs w:val="32"/>
          <w:highlight w:val="none"/>
          <w:lang w:eastAsia="zh-CN"/>
        </w:rPr>
        <w:t>。</w:t>
      </w:r>
    </w:p>
    <w:bookmarkEnd w:id="24"/>
    <w:p>
      <w:pPr>
        <w:pStyle w:val="4"/>
        <w:adjustRightInd w:val="0"/>
        <w:snapToGrid w:val="0"/>
        <w:spacing w:before="0" w:after="0" w:line="360" w:lineRule="auto"/>
        <w:ind w:firstLine="640" w:firstLineChars="200"/>
        <w:rPr>
          <w:rFonts w:ascii="楷体" w:hAnsi="楷体" w:eastAsia="楷体"/>
          <w:b w:val="0"/>
          <w:bCs w:val="0"/>
          <w:color w:val="auto"/>
          <w:highlight w:val="none"/>
        </w:rPr>
      </w:pPr>
      <w:bookmarkStart w:id="25" w:name="_Toc72221086"/>
      <w:bookmarkStart w:id="26" w:name="_Toc12500"/>
      <w:r>
        <w:rPr>
          <w:rFonts w:hint="eastAsia" w:ascii="楷体" w:hAnsi="楷体" w:eastAsia="楷体"/>
          <w:b w:val="0"/>
          <w:bCs w:val="0"/>
          <w:color w:val="auto"/>
          <w:highlight w:val="none"/>
        </w:rPr>
        <w:t>（三）绩效管理</w:t>
      </w:r>
      <w:bookmarkEnd w:id="25"/>
      <w:bookmarkEnd w:id="26"/>
    </w:p>
    <w:p>
      <w:pPr>
        <w:adjustRightInd w:val="0"/>
        <w:snapToGrid w:val="0"/>
        <w:spacing w:line="360" w:lineRule="auto"/>
        <w:ind w:firstLine="640" w:firstLineChars="200"/>
        <w:rPr>
          <w:rFonts w:hint="eastAsia" w:ascii="仿宋_GB2312" w:hAnsi="Times New Roman" w:eastAsia="仿宋_GB2312"/>
          <w:color w:val="auto"/>
          <w:sz w:val="32"/>
          <w:szCs w:val="32"/>
          <w:highlight w:val="none"/>
        </w:rPr>
      </w:pPr>
      <w:r>
        <w:rPr>
          <w:rFonts w:hint="eastAsia" w:ascii="仿宋_GB2312" w:hAnsi="仿宋_GB2312" w:eastAsia="仿宋_GB2312" w:cs="仿宋_GB2312"/>
          <w:color w:val="auto"/>
          <w:sz w:val="32"/>
          <w:szCs w:val="32"/>
          <w:highlight w:val="none"/>
        </w:rPr>
        <w:t>高度重视绩效管理工作，将</w:t>
      </w:r>
      <w:r>
        <w:rPr>
          <w:rFonts w:ascii="仿宋_GB2312" w:hAnsi="仿宋_GB2312" w:eastAsia="仿宋_GB2312" w:cs="仿宋_GB2312"/>
          <w:color w:val="auto"/>
          <w:sz w:val="32"/>
          <w:szCs w:val="32"/>
          <w:highlight w:val="none"/>
        </w:rPr>
        <w:t>绩效理念深度融入预算编制、执行</w:t>
      </w:r>
      <w:r>
        <w:rPr>
          <w:rFonts w:hint="eastAsia" w:ascii="仿宋_GB2312" w:hAnsi="仿宋_GB2312" w:eastAsia="仿宋_GB2312" w:cs="仿宋_GB2312"/>
          <w:color w:val="auto"/>
          <w:sz w:val="32"/>
          <w:szCs w:val="32"/>
          <w:highlight w:val="none"/>
        </w:rPr>
        <w:t>和</w:t>
      </w:r>
      <w:r>
        <w:rPr>
          <w:rFonts w:ascii="仿宋_GB2312" w:hAnsi="仿宋_GB2312" w:eastAsia="仿宋_GB2312" w:cs="仿宋_GB2312"/>
          <w:color w:val="auto"/>
          <w:sz w:val="32"/>
          <w:szCs w:val="32"/>
          <w:highlight w:val="none"/>
        </w:rPr>
        <w:t>监督全过程，构建事前、事中、事后绩效管理闭环系统，创新预算管理方式，</w:t>
      </w:r>
      <w:r>
        <w:rPr>
          <w:rFonts w:hint="eastAsia" w:ascii="仿宋_GB2312" w:hAnsi="仿宋_GB2312" w:eastAsia="仿宋_GB2312" w:cs="仿宋_GB2312"/>
          <w:color w:val="auto"/>
          <w:sz w:val="32"/>
          <w:szCs w:val="32"/>
          <w:highlight w:val="none"/>
        </w:rPr>
        <w:t>扎实做好各项绩效管理工作</w:t>
      </w:r>
      <w:r>
        <w:rPr>
          <w:rFonts w:ascii="Times New Roman" w:hAnsi="Times New Roman" w:eastAsia="仿宋_GB2312"/>
          <w:color w:val="auto"/>
          <w:sz w:val="32"/>
          <w:szCs w:val="32"/>
          <w:highlight w:val="none"/>
        </w:rPr>
        <w:t>。</w:t>
      </w:r>
    </w:p>
    <w:p>
      <w:pPr>
        <w:pStyle w:val="4"/>
        <w:adjustRightInd w:val="0"/>
        <w:snapToGrid w:val="0"/>
        <w:spacing w:before="0" w:after="0" w:line="360" w:lineRule="auto"/>
        <w:ind w:firstLine="640" w:firstLineChars="200"/>
        <w:rPr>
          <w:rFonts w:ascii="楷体" w:hAnsi="楷体" w:eastAsia="楷体"/>
          <w:b w:val="0"/>
          <w:bCs w:val="0"/>
          <w:color w:val="auto"/>
          <w:highlight w:val="none"/>
        </w:rPr>
      </w:pPr>
      <w:bookmarkStart w:id="27" w:name="_Toc72221087"/>
      <w:bookmarkStart w:id="28" w:name="_Toc983"/>
      <w:r>
        <w:rPr>
          <w:rFonts w:hint="eastAsia" w:ascii="楷体" w:hAnsi="楷体" w:eastAsia="楷体"/>
          <w:b w:val="0"/>
          <w:bCs w:val="0"/>
          <w:color w:val="auto"/>
          <w:highlight w:val="none"/>
        </w:rPr>
        <w:t>（四）结转结余率</w:t>
      </w:r>
      <w:bookmarkEnd w:id="27"/>
      <w:bookmarkEnd w:id="28"/>
    </w:p>
    <w:p>
      <w:pPr>
        <w:adjustRightInd w:val="0"/>
        <w:snapToGrid w:val="0"/>
        <w:spacing w:line="360" w:lineRule="auto"/>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2024年末结转结余182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696.42万元，占全年支出预算金额1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120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097.86万元的16.31%，较上年结转结余率18.37%有所降低。</w:t>
      </w:r>
    </w:p>
    <w:p>
      <w:pPr>
        <w:pStyle w:val="4"/>
        <w:adjustRightInd w:val="0"/>
        <w:snapToGrid w:val="0"/>
        <w:spacing w:before="0" w:after="0" w:line="360" w:lineRule="auto"/>
        <w:ind w:firstLine="640" w:firstLineChars="200"/>
        <w:rPr>
          <w:rFonts w:hint="eastAsia" w:ascii="楷体" w:hAnsi="楷体" w:eastAsia="楷体"/>
          <w:b w:val="0"/>
          <w:bCs w:val="0"/>
          <w:color w:val="auto"/>
          <w:highlight w:val="none"/>
        </w:rPr>
      </w:pPr>
      <w:bookmarkStart w:id="29" w:name="_Toc16920"/>
      <w:r>
        <w:rPr>
          <w:rFonts w:hint="eastAsia" w:ascii="楷体" w:hAnsi="楷体" w:eastAsia="楷体"/>
          <w:b w:val="0"/>
          <w:bCs w:val="0"/>
          <w:color w:val="auto"/>
          <w:highlight w:val="none"/>
        </w:rPr>
        <w:t>（五）部门预决算差异率</w:t>
      </w:r>
      <w:bookmarkEnd w:id="29"/>
    </w:p>
    <w:p>
      <w:pPr>
        <w:adjustRightInd w:val="0"/>
        <w:snapToGrid w:val="0"/>
        <w:spacing w:line="360" w:lineRule="auto"/>
        <w:ind w:firstLine="640" w:firstLineChars="200"/>
        <w:outlineLvl w:val="2"/>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2024年末决算收入734</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633.7万元（不含追加土地储备资金、区财政项目），年初预算收入624</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735.76万元，部门预算决算差异率为32.18%。</w:t>
      </w:r>
    </w:p>
    <w:p>
      <w:pPr>
        <w:pStyle w:val="4"/>
        <w:numPr>
          <w:ilvl w:val="0"/>
          <w:numId w:val="0"/>
        </w:numPr>
        <w:adjustRightInd w:val="0"/>
        <w:snapToGrid w:val="0"/>
        <w:spacing w:before="0" w:after="0" w:line="360" w:lineRule="auto"/>
        <w:ind w:firstLine="640" w:firstLineChars="200"/>
        <w:outlineLvl w:val="0"/>
        <w:rPr>
          <w:rFonts w:ascii="黑体" w:hAnsi="黑体" w:eastAsia="黑体"/>
          <w:b w:val="0"/>
          <w:bCs w:val="0"/>
          <w:color w:val="auto"/>
          <w:highlight w:val="none"/>
        </w:rPr>
      </w:pPr>
      <w:bookmarkStart w:id="30" w:name="_Toc17772"/>
      <w:bookmarkStart w:id="31" w:name="_Toc72221089"/>
      <w:r>
        <w:rPr>
          <w:rFonts w:ascii="黑体" w:hAnsi="黑体" w:eastAsia="黑体" w:cs="Times New Roman"/>
          <w:b w:val="0"/>
          <w:bCs w:val="0"/>
          <w:color w:val="auto"/>
          <w:kern w:val="2"/>
          <w:sz w:val="32"/>
          <w:szCs w:val="32"/>
          <w:highlight w:val="none"/>
          <w:lang w:val="en-US" w:eastAsia="zh-CN" w:bidi="ar-SA"/>
        </w:rPr>
        <w:t>五、</w:t>
      </w:r>
      <w:r>
        <w:rPr>
          <w:rFonts w:hint="eastAsia" w:ascii="黑体" w:hAnsi="黑体" w:eastAsia="黑体"/>
          <w:b w:val="0"/>
          <w:bCs w:val="0"/>
          <w:color w:val="auto"/>
          <w:highlight w:val="none"/>
        </w:rPr>
        <w:t>总体评价结论</w:t>
      </w:r>
      <w:bookmarkEnd w:id="30"/>
      <w:bookmarkEnd w:id="31"/>
    </w:p>
    <w:p>
      <w:pPr>
        <w:pStyle w:val="4"/>
        <w:adjustRightInd w:val="0"/>
        <w:snapToGrid w:val="0"/>
        <w:spacing w:before="0" w:after="0" w:line="360" w:lineRule="auto"/>
        <w:ind w:firstLine="640" w:firstLineChars="200"/>
        <w:rPr>
          <w:rFonts w:hint="eastAsia" w:ascii="楷体" w:hAnsi="楷体" w:eastAsia="楷体"/>
          <w:b w:val="0"/>
          <w:bCs w:val="0"/>
          <w:color w:val="auto"/>
          <w:highlight w:val="none"/>
        </w:rPr>
      </w:pPr>
      <w:bookmarkStart w:id="32" w:name="_Toc5466"/>
      <w:r>
        <w:rPr>
          <w:rFonts w:hint="eastAsia" w:ascii="楷体" w:hAnsi="楷体" w:eastAsia="楷体"/>
          <w:b w:val="0"/>
          <w:bCs w:val="0"/>
          <w:color w:val="auto"/>
          <w:highlight w:val="none"/>
        </w:rPr>
        <w:t>（一）评价得分情况</w:t>
      </w:r>
      <w:bookmarkEnd w:id="32"/>
    </w:p>
    <w:p>
      <w:pPr>
        <w:adjustRightInd w:val="0"/>
        <w:snapToGrid w:val="0"/>
        <w:spacing w:line="360" w:lineRule="auto"/>
        <w:ind w:firstLine="640" w:firstLineChars="200"/>
        <w:outlineLvl w:val="2"/>
        <w:rPr>
          <w:rFonts w:ascii="仿宋_GB2312" w:eastAsia="仿宋_GB2312"/>
          <w:color w:val="auto"/>
          <w:sz w:val="32"/>
          <w:szCs w:val="32"/>
          <w:highlight w:val="none"/>
        </w:rPr>
      </w:pPr>
      <w:r>
        <w:rPr>
          <w:rFonts w:hint="eastAsia" w:ascii="仿宋_GB2312" w:eastAsia="仿宋_GB2312"/>
          <w:color w:val="auto"/>
          <w:sz w:val="32"/>
          <w:szCs w:val="32"/>
          <w:highlight w:val="none"/>
        </w:rPr>
        <w:t>本次部门整体绩效评价通过资料分析、专家评议等多种方式开展了全面、系统、</w:t>
      </w:r>
      <w:r>
        <w:rPr>
          <w:rFonts w:hint="eastAsia" w:ascii="仿宋_GB2312" w:eastAsia="仿宋_GB2312"/>
          <w:color w:val="auto"/>
          <w:sz w:val="32"/>
          <w:szCs w:val="32"/>
          <w:highlight w:val="none"/>
          <w:lang w:eastAsia="zh-CN"/>
        </w:rPr>
        <w:t>客观地分析</w:t>
      </w:r>
      <w:r>
        <w:rPr>
          <w:rFonts w:hint="eastAsia" w:ascii="仿宋_GB2312" w:eastAsia="仿宋_GB2312"/>
          <w:color w:val="auto"/>
          <w:sz w:val="32"/>
          <w:szCs w:val="32"/>
          <w:highlight w:val="none"/>
        </w:rPr>
        <w:t>评价，最终得分为</w:t>
      </w:r>
      <w:r>
        <w:rPr>
          <w:rFonts w:hint="eastAsia" w:ascii="仿宋_GB2312" w:eastAsia="仿宋_GB2312"/>
          <w:color w:val="auto"/>
          <w:sz w:val="32"/>
          <w:szCs w:val="32"/>
          <w:highlight w:val="none"/>
          <w:lang w:val="en-US" w:eastAsia="zh-CN"/>
        </w:rPr>
        <w:t>99.08</w:t>
      </w:r>
      <w:r>
        <w:rPr>
          <w:rFonts w:ascii="仿宋_GB2312" w:eastAsia="仿宋_GB2312"/>
          <w:color w:val="auto"/>
          <w:sz w:val="32"/>
          <w:szCs w:val="32"/>
          <w:highlight w:val="none"/>
        </w:rPr>
        <w:t>分</w:t>
      </w:r>
      <w:r>
        <w:rPr>
          <w:rFonts w:hint="eastAsia" w:ascii="仿宋_GB2312" w:eastAsia="仿宋_GB2312"/>
          <w:color w:val="auto"/>
          <w:sz w:val="32"/>
          <w:szCs w:val="32"/>
          <w:highlight w:val="none"/>
        </w:rPr>
        <w:t>，综合评价等级为“优秀”。其中：当年预算执行情况</w:t>
      </w:r>
      <w:r>
        <w:rPr>
          <w:rFonts w:hint="eastAsia" w:ascii="仿宋_GB2312" w:eastAsia="仿宋_GB2312"/>
          <w:color w:val="auto"/>
          <w:sz w:val="32"/>
          <w:szCs w:val="32"/>
          <w:highlight w:val="none"/>
          <w:lang w:val="en-US" w:eastAsia="zh-CN"/>
        </w:rPr>
        <w:t>19.48</w:t>
      </w:r>
      <w:r>
        <w:rPr>
          <w:rFonts w:ascii="仿宋_GB2312" w:eastAsia="仿宋_GB2312"/>
          <w:color w:val="auto"/>
          <w:sz w:val="32"/>
          <w:szCs w:val="32"/>
          <w:highlight w:val="none"/>
        </w:rPr>
        <w:t>分</w:t>
      </w:r>
      <w:r>
        <w:rPr>
          <w:rFonts w:hint="eastAsia" w:ascii="仿宋_GB2312" w:eastAsia="仿宋_GB2312"/>
          <w:color w:val="auto"/>
          <w:sz w:val="32"/>
          <w:szCs w:val="32"/>
          <w:highlight w:val="none"/>
        </w:rPr>
        <w:t>，</w:t>
      </w:r>
      <w:r>
        <w:rPr>
          <w:rFonts w:ascii="仿宋_GB2312" w:eastAsia="仿宋_GB2312"/>
          <w:color w:val="auto"/>
          <w:sz w:val="32"/>
          <w:szCs w:val="32"/>
          <w:highlight w:val="none"/>
        </w:rPr>
        <w:t>整体绩效目标实际情况</w:t>
      </w:r>
      <w:r>
        <w:rPr>
          <w:rFonts w:hint="eastAsia" w:ascii="仿宋_GB2312" w:eastAsia="仿宋_GB2312"/>
          <w:color w:val="auto"/>
          <w:sz w:val="32"/>
          <w:szCs w:val="32"/>
          <w:highlight w:val="none"/>
          <w:lang w:val="en-US" w:eastAsia="zh-CN"/>
        </w:rPr>
        <w:t>60</w:t>
      </w:r>
      <w:r>
        <w:rPr>
          <w:rFonts w:ascii="仿宋_GB2312" w:eastAsia="仿宋_GB2312"/>
          <w:color w:val="auto"/>
          <w:sz w:val="32"/>
          <w:szCs w:val="32"/>
          <w:highlight w:val="none"/>
        </w:rPr>
        <w:t>分</w:t>
      </w:r>
      <w:r>
        <w:rPr>
          <w:rFonts w:hint="eastAsia" w:ascii="仿宋_GB2312" w:eastAsia="仿宋_GB2312"/>
          <w:color w:val="auto"/>
          <w:sz w:val="32"/>
          <w:szCs w:val="32"/>
          <w:highlight w:val="none"/>
        </w:rPr>
        <w:t>，预算管理情况</w:t>
      </w:r>
      <w:r>
        <w:rPr>
          <w:rFonts w:hint="eastAsia" w:ascii="仿宋_GB2312" w:eastAsia="仿宋_GB2312"/>
          <w:color w:val="auto"/>
          <w:sz w:val="32"/>
          <w:szCs w:val="32"/>
          <w:highlight w:val="none"/>
          <w:lang w:val="en-US" w:eastAsia="zh-CN"/>
        </w:rPr>
        <w:t>19.6</w:t>
      </w:r>
      <w:r>
        <w:rPr>
          <w:rFonts w:ascii="仿宋_GB2312" w:eastAsia="仿宋_GB2312"/>
          <w:color w:val="auto"/>
          <w:sz w:val="32"/>
          <w:szCs w:val="32"/>
          <w:highlight w:val="none"/>
        </w:rPr>
        <w:t>分</w:t>
      </w:r>
      <w:r>
        <w:rPr>
          <w:rFonts w:hint="eastAsia" w:ascii="仿宋_GB2312" w:eastAsia="仿宋_GB2312"/>
          <w:color w:val="auto"/>
          <w:sz w:val="32"/>
          <w:szCs w:val="32"/>
          <w:highlight w:val="none"/>
        </w:rPr>
        <w:t>，</w:t>
      </w:r>
      <w:r>
        <w:rPr>
          <w:rFonts w:ascii="仿宋_GB2312" w:eastAsia="仿宋_GB2312"/>
          <w:color w:val="auto"/>
          <w:sz w:val="32"/>
          <w:szCs w:val="32"/>
          <w:highlight w:val="none"/>
        </w:rPr>
        <w:t>具体评分</w:t>
      </w:r>
      <w:r>
        <w:rPr>
          <w:rFonts w:hint="eastAsia" w:ascii="仿宋_GB2312" w:eastAsia="仿宋_GB2312"/>
          <w:color w:val="auto"/>
          <w:sz w:val="32"/>
          <w:szCs w:val="32"/>
          <w:highlight w:val="none"/>
        </w:rPr>
        <w:t>见《北京市规划和自然资源委员会202</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年度部门整体绩效评价指标体系评分表》</w:t>
      </w:r>
      <w:r>
        <w:rPr>
          <w:rFonts w:ascii="仿宋_GB2312" w:eastAsia="仿宋_GB2312"/>
          <w:color w:val="auto"/>
          <w:sz w:val="32"/>
          <w:szCs w:val="32"/>
          <w:highlight w:val="none"/>
        </w:rPr>
        <w:t>。</w:t>
      </w:r>
    </w:p>
    <w:p>
      <w:pPr>
        <w:pStyle w:val="4"/>
        <w:adjustRightInd w:val="0"/>
        <w:snapToGrid w:val="0"/>
        <w:spacing w:before="0" w:after="0" w:line="360" w:lineRule="auto"/>
        <w:ind w:firstLine="640" w:firstLineChars="200"/>
        <w:rPr>
          <w:rFonts w:hint="eastAsia" w:ascii="楷体" w:hAnsi="楷体" w:eastAsia="楷体"/>
          <w:b w:val="0"/>
          <w:bCs w:val="0"/>
          <w:color w:val="auto"/>
          <w:highlight w:val="none"/>
        </w:rPr>
      </w:pPr>
      <w:bookmarkStart w:id="33" w:name="_Toc6976"/>
      <w:r>
        <w:rPr>
          <w:rFonts w:hint="eastAsia" w:ascii="楷体" w:hAnsi="楷体" w:eastAsia="楷体"/>
          <w:b w:val="0"/>
          <w:bCs w:val="0"/>
          <w:color w:val="auto"/>
          <w:highlight w:val="none"/>
        </w:rPr>
        <w:t>（二）存在的问题及原因分析</w:t>
      </w:r>
      <w:bookmarkEnd w:id="33"/>
    </w:p>
    <w:p>
      <w:pPr>
        <w:adjustRightInd w:val="0"/>
        <w:snapToGrid w:val="0"/>
        <w:spacing w:line="360" w:lineRule="auto"/>
        <w:ind w:firstLine="640" w:firstLineChars="200"/>
        <w:outlineLvl w:val="2"/>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1.项目立项前期论证有待加强。项目执行过程中发现，个别项目因项目申报阶段对项目开展论证不够充分导致绩效目标设定与项目实际情况存在差异。</w:t>
      </w:r>
    </w:p>
    <w:p>
      <w:pPr>
        <w:adjustRightInd w:val="0"/>
        <w:snapToGrid w:val="0"/>
        <w:spacing w:line="360" w:lineRule="auto"/>
        <w:ind w:firstLine="640" w:firstLineChars="200"/>
        <w:outlineLvl w:val="2"/>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2.项目绩效持续跟踪机制有待进一步加强。</w:t>
      </w:r>
      <w:r>
        <w:rPr>
          <w:rFonts w:hint="eastAsia" w:ascii="仿宋_GB2312" w:eastAsia="仿宋_GB2312"/>
          <w:color w:val="auto"/>
          <w:sz w:val="32"/>
          <w:szCs w:val="32"/>
          <w:highlight w:val="none"/>
        </w:rPr>
        <w:t>个别项目绩效成果</w:t>
      </w:r>
      <w:r>
        <w:rPr>
          <w:rFonts w:hint="eastAsia" w:ascii="仿宋_GB2312" w:eastAsia="仿宋_GB2312"/>
          <w:color w:val="auto"/>
          <w:sz w:val="32"/>
          <w:szCs w:val="32"/>
          <w:highlight w:val="none"/>
          <w:lang w:val="en-US" w:eastAsia="zh-CN"/>
        </w:rPr>
        <w:t>资料</w:t>
      </w:r>
      <w:r>
        <w:rPr>
          <w:rFonts w:hint="eastAsia" w:ascii="仿宋_GB2312" w:eastAsia="仿宋_GB2312"/>
          <w:color w:val="auto"/>
          <w:sz w:val="32"/>
          <w:szCs w:val="32"/>
          <w:highlight w:val="none"/>
        </w:rPr>
        <w:t>的归集、整理和数据分析等不够充分，满意度调查的深度和广度仍需加强。</w:t>
      </w:r>
    </w:p>
    <w:p>
      <w:pPr>
        <w:pStyle w:val="4"/>
        <w:adjustRightInd w:val="0"/>
        <w:snapToGrid w:val="0"/>
        <w:spacing w:before="0" w:after="0" w:line="360" w:lineRule="auto"/>
        <w:ind w:firstLine="640" w:firstLineChars="200"/>
        <w:outlineLvl w:val="0"/>
        <w:rPr>
          <w:rFonts w:ascii="黑体" w:hAnsi="黑体" w:eastAsia="黑体"/>
          <w:b w:val="0"/>
          <w:bCs w:val="0"/>
          <w:color w:val="auto"/>
          <w:highlight w:val="none"/>
        </w:rPr>
      </w:pPr>
      <w:bookmarkStart w:id="34" w:name="_Toc24105"/>
      <w:bookmarkStart w:id="35" w:name="_Toc72221090"/>
      <w:r>
        <w:rPr>
          <w:rFonts w:hint="eastAsia" w:ascii="黑体" w:hAnsi="黑体" w:eastAsia="黑体"/>
          <w:b w:val="0"/>
          <w:bCs w:val="0"/>
          <w:color w:val="auto"/>
          <w:highlight w:val="none"/>
        </w:rPr>
        <w:t>六、措施建议</w:t>
      </w:r>
      <w:bookmarkEnd w:id="34"/>
      <w:bookmarkEnd w:id="35"/>
    </w:p>
    <w:p>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b w:val="0"/>
          <w:bCs w:val="0"/>
          <w:color w:val="auto"/>
          <w:sz w:val="32"/>
          <w:szCs w:val="32"/>
          <w:highlight w:val="none"/>
          <w:lang w:val="en-US" w:eastAsia="zh-CN"/>
        </w:rPr>
        <w:t>强化项目前期论证，夯实绩效基础，强化预算规划与管理，通过绩效运行监控及时跟进项目“资金支付进度”“目标完成率”等指标，对执行进度滞后的项目及时督促或纠偏，</w:t>
      </w:r>
      <w:r>
        <w:rPr>
          <w:rFonts w:hint="eastAsia" w:ascii="仿宋_GB2312" w:eastAsia="仿宋_GB2312"/>
          <w:color w:val="auto"/>
          <w:sz w:val="32"/>
          <w:szCs w:val="32"/>
          <w:highlight w:val="none"/>
        </w:rPr>
        <w:t>充分发挥财政资金使用效益。</w:t>
      </w:r>
    </w:p>
    <w:p>
      <w:pPr>
        <w:pStyle w:val="4"/>
        <w:adjustRightInd w:val="0"/>
        <w:snapToGrid w:val="0"/>
        <w:spacing w:before="0" w:after="0" w:line="360" w:lineRule="auto"/>
        <w:ind w:firstLine="640" w:firstLineChars="200"/>
        <w:outlineLvl w:val="0"/>
        <w:rPr>
          <w:rFonts w:hint="eastAsia" w:ascii="黑体" w:hAnsi="黑体" w:eastAsia="黑体"/>
          <w:b w:val="0"/>
          <w:bCs w:val="0"/>
          <w:color w:val="auto"/>
          <w:highlight w:val="none"/>
        </w:rPr>
      </w:pPr>
      <w:bookmarkStart w:id="36" w:name="_Toc27383"/>
      <w:bookmarkStart w:id="37" w:name="_Toc13966"/>
      <w:bookmarkStart w:id="38" w:name="_Toc103006301"/>
      <w:r>
        <w:rPr>
          <w:rFonts w:hint="eastAsia" w:ascii="黑体" w:hAnsi="黑体" w:eastAsia="黑体"/>
          <w:b w:val="0"/>
          <w:bCs w:val="0"/>
          <w:color w:val="auto"/>
          <w:highlight w:val="none"/>
        </w:rPr>
        <w:t>七、附件</w:t>
      </w:r>
      <w:bookmarkEnd w:id="36"/>
      <w:bookmarkEnd w:id="37"/>
      <w:bookmarkEnd w:id="38"/>
    </w:p>
    <w:p>
      <w:pPr>
        <w:adjustRightInd w:val="0"/>
        <w:snapToGrid w:val="0"/>
        <w:spacing w:line="360" w:lineRule="auto"/>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北京市规划和自然资源委员会</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年度部门整体绩效评价指标体系评分表</w:t>
      </w:r>
    </w:p>
    <w:sectPr>
      <w:footerReference r:id="rId5" w:type="default"/>
      <w:footnotePr>
        <w:numFmt w:val="decimalEnclosedCircleChinese"/>
      </w:footnotePr>
      <w:pgSz w:w="11906" w:h="16838"/>
      <w:pgMar w:top="1440" w:right="1416"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C46D6E-70A9-4464-BC29-860BBCB109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461FC22B-1F05-49A9-B083-C4D6B71A65EF}"/>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embedRegular r:id="rId3" w:fontKey="{67065D41-6F2C-4410-92E8-CFEACD3EC15B}"/>
  </w:font>
  <w:font w:name="楷体_GB2312">
    <w:panose1 w:val="02010609030101010101"/>
    <w:charset w:val="86"/>
    <w:family w:val="modern"/>
    <w:pitch w:val="default"/>
    <w:sig w:usb0="00000001" w:usb1="080E0000" w:usb2="00000000" w:usb3="00000000" w:csb0="00040000" w:csb1="00000000"/>
    <w:embedRegular r:id="rId4" w:fontKey="{3C8812E8-F98E-4941-B6D8-177ECAA23CEE}"/>
  </w:font>
  <w:font w:name="仿宋">
    <w:panose1 w:val="02010609060101010101"/>
    <w:charset w:val="86"/>
    <w:family w:val="modern"/>
    <w:pitch w:val="default"/>
    <w:sig w:usb0="800002BF" w:usb1="38CF7CFA" w:usb2="00000016" w:usb3="00000000" w:csb0="00040001" w:csb1="00000000"/>
    <w:embedRegular r:id="rId5" w:fontKey="{85767AD0-C7C0-4EE4-AAD8-1334F277DE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BzRyebzwEAAHwDAAAOAAAAAAAAAAEAIAAAAB4BAABkcnMv&#10;ZTJvRG9jLnhtbFBLBQYAAAAABgAGAFkBAABfBQAAAAA=&#10;">
              <v:fill on="f" focussize="0,0"/>
              <v:stroke on="f"/>
              <v:imagedata o:title=""/>
              <o:lock v:ext="edit" aspectratio="f"/>
              <v:textbox inset="0mm,0mm,0mm,0mm" style="mso-fit-shape-to-text:t;">
                <w:txbxContent>
                  <w:p>
                    <w:pPr>
                      <w:pStyle w:val="2"/>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jc w:val="center"/>
                          </w:pPr>
                          <w:r>
                            <w:fldChar w:fldCharType="begin"/>
                          </w:r>
                          <w:r>
                            <w:instrText xml:space="preserve">PAGE   \* MERGEFORMAT</w:instrText>
                          </w:r>
                          <w:r>
                            <w:fldChar w:fldCharType="separate"/>
                          </w:r>
                          <w:r>
                            <w:rPr>
                              <w:lang w:val="zh-CN"/>
                            </w:rPr>
                            <w:t>20</w:t>
                          </w:r>
                          <w:r>
                            <w:rPr>
                              <w:lang w:val="zh-CN"/>
                            </w:rPr>
                            <w:fldChar w:fldCharType="end"/>
                          </w:r>
                        </w:p>
                        <w:p/>
                      </w:txbxContent>
                    </wps:txbx>
                    <wps:bodyPr wrap="none" lIns="0" tIns="0" rIns="0" bIns="0" upright="1">
                      <a:spAutoFit/>
                    </wps:bodyPr>
                  </wps:wsp>
                </a:graphicData>
              </a:graphic>
            </wp:anchor>
          </w:drawing>
        </mc:Choice>
        <mc:Fallback>
          <w:pict>
            <v:shape id="Quad Arrow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Ivo2o68BAABj&#10;AwAADgAAAAAAAAABACAAAAAeAQAAZHJzL2Uyb0RvYy54bWxQSwUGAAAAAAYABgBZAQAAPwUAAAAA&#10;">
              <v:fill on="f" focussize="0,0"/>
              <v:stroke on="f"/>
              <v:imagedata o:title=""/>
              <o:lock v:ext="edit" aspectratio="f"/>
              <v:textbox inset="0mm,0mm,0mm,0mm" style="mso-fit-shape-to-text:t;">
                <w:txbxContent>
                  <w:p>
                    <w:pPr>
                      <w:pStyle w:val="2"/>
                      <w:jc w:val="center"/>
                    </w:pPr>
                    <w:r>
                      <w:fldChar w:fldCharType="begin"/>
                    </w:r>
                    <w:r>
                      <w:instrText xml:space="preserve">PAGE   \* MERGEFORMAT</w:instrText>
                    </w:r>
                    <w:r>
                      <w:fldChar w:fldCharType="separate"/>
                    </w:r>
                    <w:r>
                      <w:rPr>
                        <w:lang w:val="zh-CN"/>
                      </w:rPr>
                      <w:t>20</w:t>
                    </w:r>
                    <w:r>
                      <w:rPr>
                        <w:lang w:val="zh-CN"/>
                      </w:rPr>
                      <w:fldChar w:fldCharType="end"/>
                    </w:r>
                  </w:p>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64846"/>
    <w:multiLevelType w:val="singleLevel"/>
    <w:tmpl w:val="394648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Y2NiMTQ5YmQxODE3NDRhMDAzY2E1ZWZlYmRhZjUifQ=="/>
  </w:docVars>
  <w:rsids>
    <w:rsidRoot w:val="008F65C7"/>
    <w:rsid w:val="00000C9B"/>
    <w:rsid w:val="00001B05"/>
    <w:rsid w:val="00004A29"/>
    <w:rsid w:val="00004C74"/>
    <w:rsid w:val="00005A47"/>
    <w:rsid w:val="0000744B"/>
    <w:rsid w:val="00007E49"/>
    <w:rsid w:val="00014393"/>
    <w:rsid w:val="000178DB"/>
    <w:rsid w:val="00021247"/>
    <w:rsid w:val="000259C5"/>
    <w:rsid w:val="00026745"/>
    <w:rsid w:val="000277F2"/>
    <w:rsid w:val="000317A3"/>
    <w:rsid w:val="000334C0"/>
    <w:rsid w:val="000357A9"/>
    <w:rsid w:val="000359AF"/>
    <w:rsid w:val="00036BFA"/>
    <w:rsid w:val="000379C4"/>
    <w:rsid w:val="0005553D"/>
    <w:rsid w:val="00055D06"/>
    <w:rsid w:val="00055E6A"/>
    <w:rsid w:val="00056D2A"/>
    <w:rsid w:val="0005742C"/>
    <w:rsid w:val="00057D1B"/>
    <w:rsid w:val="0006148C"/>
    <w:rsid w:val="000615E0"/>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927"/>
    <w:rsid w:val="000A7EDF"/>
    <w:rsid w:val="000C1AE7"/>
    <w:rsid w:val="000C6B89"/>
    <w:rsid w:val="000C7684"/>
    <w:rsid w:val="000D2EC2"/>
    <w:rsid w:val="000D5841"/>
    <w:rsid w:val="000E09B2"/>
    <w:rsid w:val="000E2154"/>
    <w:rsid w:val="000E54F2"/>
    <w:rsid w:val="000F5CCA"/>
    <w:rsid w:val="00101D13"/>
    <w:rsid w:val="0010271A"/>
    <w:rsid w:val="001027AB"/>
    <w:rsid w:val="0010413F"/>
    <w:rsid w:val="001053CD"/>
    <w:rsid w:val="00105782"/>
    <w:rsid w:val="00106AD3"/>
    <w:rsid w:val="00111F0C"/>
    <w:rsid w:val="00115276"/>
    <w:rsid w:val="0011775F"/>
    <w:rsid w:val="00123963"/>
    <w:rsid w:val="0012746E"/>
    <w:rsid w:val="00134F8B"/>
    <w:rsid w:val="00135D90"/>
    <w:rsid w:val="00136629"/>
    <w:rsid w:val="00144C17"/>
    <w:rsid w:val="001458D2"/>
    <w:rsid w:val="00145C82"/>
    <w:rsid w:val="00160221"/>
    <w:rsid w:val="001630E1"/>
    <w:rsid w:val="00163465"/>
    <w:rsid w:val="001664F0"/>
    <w:rsid w:val="00166862"/>
    <w:rsid w:val="00166DE3"/>
    <w:rsid w:val="001673D2"/>
    <w:rsid w:val="00167F5C"/>
    <w:rsid w:val="00173614"/>
    <w:rsid w:val="001742A7"/>
    <w:rsid w:val="00174A50"/>
    <w:rsid w:val="0017588C"/>
    <w:rsid w:val="001773FE"/>
    <w:rsid w:val="001818A7"/>
    <w:rsid w:val="001829C8"/>
    <w:rsid w:val="001867C6"/>
    <w:rsid w:val="00186C38"/>
    <w:rsid w:val="00186EC6"/>
    <w:rsid w:val="001909EF"/>
    <w:rsid w:val="00190E54"/>
    <w:rsid w:val="00191DA2"/>
    <w:rsid w:val="00193788"/>
    <w:rsid w:val="00194469"/>
    <w:rsid w:val="00195E08"/>
    <w:rsid w:val="00197475"/>
    <w:rsid w:val="001974E1"/>
    <w:rsid w:val="001A1360"/>
    <w:rsid w:val="001A3085"/>
    <w:rsid w:val="001A371C"/>
    <w:rsid w:val="001A7262"/>
    <w:rsid w:val="001A7857"/>
    <w:rsid w:val="001B030A"/>
    <w:rsid w:val="001B1FD2"/>
    <w:rsid w:val="001B6828"/>
    <w:rsid w:val="001B69E4"/>
    <w:rsid w:val="001B77A4"/>
    <w:rsid w:val="001C4ECE"/>
    <w:rsid w:val="001C7500"/>
    <w:rsid w:val="001D3D44"/>
    <w:rsid w:val="001D6DAC"/>
    <w:rsid w:val="001E1F9F"/>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34A3C"/>
    <w:rsid w:val="002408C5"/>
    <w:rsid w:val="00242033"/>
    <w:rsid w:val="002422CC"/>
    <w:rsid w:val="00242385"/>
    <w:rsid w:val="0024426E"/>
    <w:rsid w:val="0024602F"/>
    <w:rsid w:val="00250B0E"/>
    <w:rsid w:val="002521AD"/>
    <w:rsid w:val="00252548"/>
    <w:rsid w:val="00256018"/>
    <w:rsid w:val="00257EE4"/>
    <w:rsid w:val="00262AEF"/>
    <w:rsid w:val="002631A0"/>
    <w:rsid w:val="00263DC9"/>
    <w:rsid w:val="002655B8"/>
    <w:rsid w:val="00270119"/>
    <w:rsid w:val="0027283B"/>
    <w:rsid w:val="00273671"/>
    <w:rsid w:val="00282CEB"/>
    <w:rsid w:val="00282D8C"/>
    <w:rsid w:val="00282E74"/>
    <w:rsid w:val="002845FC"/>
    <w:rsid w:val="002A4156"/>
    <w:rsid w:val="002A55A7"/>
    <w:rsid w:val="002A6DFF"/>
    <w:rsid w:val="002A6E10"/>
    <w:rsid w:val="002A7151"/>
    <w:rsid w:val="002A7824"/>
    <w:rsid w:val="002B0F61"/>
    <w:rsid w:val="002B6452"/>
    <w:rsid w:val="002B6E32"/>
    <w:rsid w:val="002B6FF1"/>
    <w:rsid w:val="002C1CC5"/>
    <w:rsid w:val="002C277F"/>
    <w:rsid w:val="002C7047"/>
    <w:rsid w:val="002D3791"/>
    <w:rsid w:val="002D6C30"/>
    <w:rsid w:val="002E030B"/>
    <w:rsid w:val="002E354C"/>
    <w:rsid w:val="002E3D34"/>
    <w:rsid w:val="002E6D1F"/>
    <w:rsid w:val="002E79F9"/>
    <w:rsid w:val="002F3D8C"/>
    <w:rsid w:val="002F4D90"/>
    <w:rsid w:val="0030355D"/>
    <w:rsid w:val="00310C24"/>
    <w:rsid w:val="0031124E"/>
    <w:rsid w:val="0031251F"/>
    <w:rsid w:val="00312DE7"/>
    <w:rsid w:val="00313C5A"/>
    <w:rsid w:val="00315AC6"/>
    <w:rsid w:val="00317136"/>
    <w:rsid w:val="00323756"/>
    <w:rsid w:val="00325946"/>
    <w:rsid w:val="00330EDB"/>
    <w:rsid w:val="00331499"/>
    <w:rsid w:val="00335FCB"/>
    <w:rsid w:val="00340601"/>
    <w:rsid w:val="00340C1A"/>
    <w:rsid w:val="00343D71"/>
    <w:rsid w:val="0034725D"/>
    <w:rsid w:val="003475D9"/>
    <w:rsid w:val="00353D19"/>
    <w:rsid w:val="0035769A"/>
    <w:rsid w:val="003613BC"/>
    <w:rsid w:val="003633D7"/>
    <w:rsid w:val="00363F10"/>
    <w:rsid w:val="003646C9"/>
    <w:rsid w:val="003658DD"/>
    <w:rsid w:val="00365B74"/>
    <w:rsid w:val="003660D4"/>
    <w:rsid w:val="003665FD"/>
    <w:rsid w:val="003705CF"/>
    <w:rsid w:val="00371172"/>
    <w:rsid w:val="00373CDA"/>
    <w:rsid w:val="003742A8"/>
    <w:rsid w:val="0037594A"/>
    <w:rsid w:val="00377C46"/>
    <w:rsid w:val="003839F5"/>
    <w:rsid w:val="00391557"/>
    <w:rsid w:val="00391D7E"/>
    <w:rsid w:val="00395AA3"/>
    <w:rsid w:val="00396B4A"/>
    <w:rsid w:val="00396E7B"/>
    <w:rsid w:val="00396E95"/>
    <w:rsid w:val="003A1977"/>
    <w:rsid w:val="003A2161"/>
    <w:rsid w:val="003A363E"/>
    <w:rsid w:val="003A4238"/>
    <w:rsid w:val="003A4D6F"/>
    <w:rsid w:val="003A5713"/>
    <w:rsid w:val="003A6D5E"/>
    <w:rsid w:val="003A721A"/>
    <w:rsid w:val="003B0D04"/>
    <w:rsid w:val="003B3685"/>
    <w:rsid w:val="003B3C68"/>
    <w:rsid w:val="003B4353"/>
    <w:rsid w:val="003B43F3"/>
    <w:rsid w:val="003C0693"/>
    <w:rsid w:val="003C08C0"/>
    <w:rsid w:val="003C1173"/>
    <w:rsid w:val="003C5F90"/>
    <w:rsid w:val="003D17A3"/>
    <w:rsid w:val="003D21DD"/>
    <w:rsid w:val="003D4456"/>
    <w:rsid w:val="003D4EAE"/>
    <w:rsid w:val="003D52A0"/>
    <w:rsid w:val="003E040B"/>
    <w:rsid w:val="003E2BF4"/>
    <w:rsid w:val="003E397B"/>
    <w:rsid w:val="003E4C1B"/>
    <w:rsid w:val="003E7732"/>
    <w:rsid w:val="003E79EB"/>
    <w:rsid w:val="003F3FF6"/>
    <w:rsid w:val="003F430F"/>
    <w:rsid w:val="003F5833"/>
    <w:rsid w:val="003F619E"/>
    <w:rsid w:val="003F6B8F"/>
    <w:rsid w:val="003F741C"/>
    <w:rsid w:val="00400B2B"/>
    <w:rsid w:val="00400E83"/>
    <w:rsid w:val="00401614"/>
    <w:rsid w:val="00401B02"/>
    <w:rsid w:val="0040360F"/>
    <w:rsid w:val="004067F0"/>
    <w:rsid w:val="004072A8"/>
    <w:rsid w:val="00413C0C"/>
    <w:rsid w:val="00413D35"/>
    <w:rsid w:val="00416375"/>
    <w:rsid w:val="0042307D"/>
    <w:rsid w:val="00423D52"/>
    <w:rsid w:val="00423D96"/>
    <w:rsid w:val="00425433"/>
    <w:rsid w:val="004431E1"/>
    <w:rsid w:val="004444A2"/>
    <w:rsid w:val="00445B90"/>
    <w:rsid w:val="004463E0"/>
    <w:rsid w:val="0045206A"/>
    <w:rsid w:val="004527D4"/>
    <w:rsid w:val="004621D1"/>
    <w:rsid w:val="00462472"/>
    <w:rsid w:val="0046609B"/>
    <w:rsid w:val="0046768C"/>
    <w:rsid w:val="004733A9"/>
    <w:rsid w:val="00474699"/>
    <w:rsid w:val="00476E4C"/>
    <w:rsid w:val="0048680F"/>
    <w:rsid w:val="004873D3"/>
    <w:rsid w:val="00494834"/>
    <w:rsid w:val="00497AE0"/>
    <w:rsid w:val="004A2348"/>
    <w:rsid w:val="004A28DB"/>
    <w:rsid w:val="004A6F1F"/>
    <w:rsid w:val="004B13A1"/>
    <w:rsid w:val="004B4687"/>
    <w:rsid w:val="004B6DA8"/>
    <w:rsid w:val="004B7105"/>
    <w:rsid w:val="004B7901"/>
    <w:rsid w:val="004C12C5"/>
    <w:rsid w:val="004C21FC"/>
    <w:rsid w:val="004C299C"/>
    <w:rsid w:val="004C3184"/>
    <w:rsid w:val="004D13E3"/>
    <w:rsid w:val="004D31B5"/>
    <w:rsid w:val="004D32AA"/>
    <w:rsid w:val="004E0083"/>
    <w:rsid w:val="004E2911"/>
    <w:rsid w:val="004E3D6C"/>
    <w:rsid w:val="004E5C5B"/>
    <w:rsid w:val="004E5D3F"/>
    <w:rsid w:val="004E64C7"/>
    <w:rsid w:val="004F06FD"/>
    <w:rsid w:val="004F1FD5"/>
    <w:rsid w:val="004F3F0F"/>
    <w:rsid w:val="004F4686"/>
    <w:rsid w:val="004F560A"/>
    <w:rsid w:val="004F6D61"/>
    <w:rsid w:val="004F7CEC"/>
    <w:rsid w:val="00510E51"/>
    <w:rsid w:val="005110EE"/>
    <w:rsid w:val="0051775D"/>
    <w:rsid w:val="00523AF4"/>
    <w:rsid w:val="005271B2"/>
    <w:rsid w:val="0053300C"/>
    <w:rsid w:val="00533707"/>
    <w:rsid w:val="005401A7"/>
    <w:rsid w:val="0054416C"/>
    <w:rsid w:val="005451AC"/>
    <w:rsid w:val="00546B56"/>
    <w:rsid w:val="00550470"/>
    <w:rsid w:val="00551231"/>
    <w:rsid w:val="00554BDE"/>
    <w:rsid w:val="00554E33"/>
    <w:rsid w:val="00561483"/>
    <w:rsid w:val="0056224D"/>
    <w:rsid w:val="005666A9"/>
    <w:rsid w:val="0056768A"/>
    <w:rsid w:val="005703A2"/>
    <w:rsid w:val="00570A3A"/>
    <w:rsid w:val="005716A7"/>
    <w:rsid w:val="00571BAF"/>
    <w:rsid w:val="005751B3"/>
    <w:rsid w:val="00575ABF"/>
    <w:rsid w:val="00577B86"/>
    <w:rsid w:val="00583CB9"/>
    <w:rsid w:val="005A0A27"/>
    <w:rsid w:val="005A1CEB"/>
    <w:rsid w:val="005A3577"/>
    <w:rsid w:val="005A3D65"/>
    <w:rsid w:val="005A60AB"/>
    <w:rsid w:val="005B1F78"/>
    <w:rsid w:val="005B39D8"/>
    <w:rsid w:val="005B40A1"/>
    <w:rsid w:val="005B48F6"/>
    <w:rsid w:val="005B55F9"/>
    <w:rsid w:val="005B69DE"/>
    <w:rsid w:val="005C295E"/>
    <w:rsid w:val="005D019A"/>
    <w:rsid w:val="005D73E0"/>
    <w:rsid w:val="005E03C6"/>
    <w:rsid w:val="005E37AD"/>
    <w:rsid w:val="005E6E12"/>
    <w:rsid w:val="005F29D3"/>
    <w:rsid w:val="005F640C"/>
    <w:rsid w:val="0060142A"/>
    <w:rsid w:val="006014F4"/>
    <w:rsid w:val="00601DE4"/>
    <w:rsid w:val="0060525D"/>
    <w:rsid w:val="00605A41"/>
    <w:rsid w:val="00612758"/>
    <w:rsid w:val="006141B9"/>
    <w:rsid w:val="00617108"/>
    <w:rsid w:val="006205B9"/>
    <w:rsid w:val="00620ACB"/>
    <w:rsid w:val="00620EC5"/>
    <w:rsid w:val="00621EA9"/>
    <w:rsid w:val="00622FC9"/>
    <w:rsid w:val="00632225"/>
    <w:rsid w:val="00633A3A"/>
    <w:rsid w:val="0063470B"/>
    <w:rsid w:val="00635CCA"/>
    <w:rsid w:val="00640F00"/>
    <w:rsid w:val="00643EE4"/>
    <w:rsid w:val="00646CC5"/>
    <w:rsid w:val="00652577"/>
    <w:rsid w:val="006538C2"/>
    <w:rsid w:val="00653D34"/>
    <w:rsid w:val="00653DB7"/>
    <w:rsid w:val="0065589A"/>
    <w:rsid w:val="00655931"/>
    <w:rsid w:val="00656A14"/>
    <w:rsid w:val="0066282A"/>
    <w:rsid w:val="00662E88"/>
    <w:rsid w:val="00664856"/>
    <w:rsid w:val="006660D2"/>
    <w:rsid w:val="00667394"/>
    <w:rsid w:val="00670C84"/>
    <w:rsid w:val="00673854"/>
    <w:rsid w:val="00676984"/>
    <w:rsid w:val="00681EA4"/>
    <w:rsid w:val="00686366"/>
    <w:rsid w:val="0069091A"/>
    <w:rsid w:val="00692465"/>
    <w:rsid w:val="006A1C39"/>
    <w:rsid w:val="006A2C3A"/>
    <w:rsid w:val="006A37B8"/>
    <w:rsid w:val="006A46D3"/>
    <w:rsid w:val="006A5C9C"/>
    <w:rsid w:val="006A5CBA"/>
    <w:rsid w:val="006B2703"/>
    <w:rsid w:val="006C0CC3"/>
    <w:rsid w:val="006C2891"/>
    <w:rsid w:val="006C326D"/>
    <w:rsid w:val="006D0EE0"/>
    <w:rsid w:val="006D7C6E"/>
    <w:rsid w:val="006E1605"/>
    <w:rsid w:val="006E1B08"/>
    <w:rsid w:val="006E2202"/>
    <w:rsid w:val="006E2AA3"/>
    <w:rsid w:val="006E3B72"/>
    <w:rsid w:val="006E4154"/>
    <w:rsid w:val="006E464D"/>
    <w:rsid w:val="006F57FA"/>
    <w:rsid w:val="006F713E"/>
    <w:rsid w:val="00700719"/>
    <w:rsid w:val="00700871"/>
    <w:rsid w:val="00705BCE"/>
    <w:rsid w:val="00705CDC"/>
    <w:rsid w:val="00706043"/>
    <w:rsid w:val="007064A4"/>
    <w:rsid w:val="00707BB1"/>
    <w:rsid w:val="00711E3E"/>
    <w:rsid w:val="007120D0"/>
    <w:rsid w:val="007141FF"/>
    <w:rsid w:val="007164DB"/>
    <w:rsid w:val="007224D6"/>
    <w:rsid w:val="00723049"/>
    <w:rsid w:val="00723753"/>
    <w:rsid w:val="00724001"/>
    <w:rsid w:val="00730D65"/>
    <w:rsid w:val="00733341"/>
    <w:rsid w:val="0073777D"/>
    <w:rsid w:val="00740583"/>
    <w:rsid w:val="00744136"/>
    <w:rsid w:val="0074493F"/>
    <w:rsid w:val="00745E2E"/>
    <w:rsid w:val="00750CE7"/>
    <w:rsid w:val="0075643B"/>
    <w:rsid w:val="007564C7"/>
    <w:rsid w:val="00756629"/>
    <w:rsid w:val="00761CB0"/>
    <w:rsid w:val="00767276"/>
    <w:rsid w:val="00767CDC"/>
    <w:rsid w:val="0077011B"/>
    <w:rsid w:val="0077078A"/>
    <w:rsid w:val="00771B04"/>
    <w:rsid w:val="00774D7D"/>
    <w:rsid w:val="0077574D"/>
    <w:rsid w:val="00777085"/>
    <w:rsid w:val="007800E4"/>
    <w:rsid w:val="00781D2C"/>
    <w:rsid w:val="00786B97"/>
    <w:rsid w:val="00787617"/>
    <w:rsid w:val="00790841"/>
    <w:rsid w:val="0079313D"/>
    <w:rsid w:val="007958BB"/>
    <w:rsid w:val="00796312"/>
    <w:rsid w:val="0079746A"/>
    <w:rsid w:val="007A3914"/>
    <w:rsid w:val="007A3E6F"/>
    <w:rsid w:val="007B2A8F"/>
    <w:rsid w:val="007B44F5"/>
    <w:rsid w:val="007B4581"/>
    <w:rsid w:val="007B5414"/>
    <w:rsid w:val="007B7B6C"/>
    <w:rsid w:val="007C10F0"/>
    <w:rsid w:val="007C2CC6"/>
    <w:rsid w:val="007C4FC1"/>
    <w:rsid w:val="007C78A8"/>
    <w:rsid w:val="007D4084"/>
    <w:rsid w:val="007D5F3A"/>
    <w:rsid w:val="007D6CE9"/>
    <w:rsid w:val="007E0F3C"/>
    <w:rsid w:val="007E1CB5"/>
    <w:rsid w:val="007E2BFF"/>
    <w:rsid w:val="007E5043"/>
    <w:rsid w:val="007E6AEE"/>
    <w:rsid w:val="007E72DA"/>
    <w:rsid w:val="007E7B59"/>
    <w:rsid w:val="007F178D"/>
    <w:rsid w:val="007F1B3A"/>
    <w:rsid w:val="0080263D"/>
    <w:rsid w:val="008041F0"/>
    <w:rsid w:val="00804BD9"/>
    <w:rsid w:val="008052A8"/>
    <w:rsid w:val="00805CB8"/>
    <w:rsid w:val="00807097"/>
    <w:rsid w:val="00807E8F"/>
    <w:rsid w:val="00810062"/>
    <w:rsid w:val="00812F06"/>
    <w:rsid w:val="0081481F"/>
    <w:rsid w:val="0081630F"/>
    <w:rsid w:val="0081637F"/>
    <w:rsid w:val="008168C4"/>
    <w:rsid w:val="00824813"/>
    <w:rsid w:val="00825276"/>
    <w:rsid w:val="0082669C"/>
    <w:rsid w:val="00826713"/>
    <w:rsid w:val="00826E2F"/>
    <w:rsid w:val="00830CC6"/>
    <w:rsid w:val="008343E8"/>
    <w:rsid w:val="00845002"/>
    <w:rsid w:val="0085330D"/>
    <w:rsid w:val="0085370A"/>
    <w:rsid w:val="00854D9D"/>
    <w:rsid w:val="00854F5E"/>
    <w:rsid w:val="00855166"/>
    <w:rsid w:val="00861ADC"/>
    <w:rsid w:val="00861D9F"/>
    <w:rsid w:val="00862678"/>
    <w:rsid w:val="0086589C"/>
    <w:rsid w:val="0086626D"/>
    <w:rsid w:val="0087392F"/>
    <w:rsid w:val="00873AF4"/>
    <w:rsid w:val="008767A5"/>
    <w:rsid w:val="008829F6"/>
    <w:rsid w:val="0088457A"/>
    <w:rsid w:val="00891AC2"/>
    <w:rsid w:val="00894046"/>
    <w:rsid w:val="0089580E"/>
    <w:rsid w:val="008A1D45"/>
    <w:rsid w:val="008A296E"/>
    <w:rsid w:val="008A4CB1"/>
    <w:rsid w:val="008A6381"/>
    <w:rsid w:val="008B2ABB"/>
    <w:rsid w:val="008B4CA2"/>
    <w:rsid w:val="008B4FFB"/>
    <w:rsid w:val="008B6EB1"/>
    <w:rsid w:val="008C00E6"/>
    <w:rsid w:val="008C340E"/>
    <w:rsid w:val="008C4D06"/>
    <w:rsid w:val="008D1643"/>
    <w:rsid w:val="008D2186"/>
    <w:rsid w:val="008D23FB"/>
    <w:rsid w:val="008D3EF0"/>
    <w:rsid w:val="008E0E2D"/>
    <w:rsid w:val="008E4659"/>
    <w:rsid w:val="008F487D"/>
    <w:rsid w:val="008F65C7"/>
    <w:rsid w:val="008F6A76"/>
    <w:rsid w:val="00900475"/>
    <w:rsid w:val="009044E5"/>
    <w:rsid w:val="009139CD"/>
    <w:rsid w:val="0091555B"/>
    <w:rsid w:val="0092022D"/>
    <w:rsid w:val="00922A68"/>
    <w:rsid w:val="00925E71"/>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F78"/>
    <w:rsid w:val="009C4FC2"/>
    <w:rsid w:val="009C75D8"/>
    <w:rsid w:val="009D37B7"/>
    <w:rsid w:val="009D5306"/>
    <w:rsid w:val="009D64C6"/>
    <w:rsid w:val="009E10C2"/>
    <w:rsid w:val="009E42D9"/>
    <w:rsid w:val="009F022D"/>
    <w:rsid w:val="009F2FF0"/>
    <w:rsid w:val="009F391C"/>
    <w:rsid w:val="009F3CA2"/>
    <w:rsid w:val="009F3FE2"/>
    <w:rsid w:val="009F494A"/>
    <w:rsid w:val="00A00950"/>
    <w:rsid w:val="00A01C19"/>
    <w:rsid w:val="00A03048"/>
    <w:rsid w:val="00A04334"/>
    <w:rsid w:val="00A14E8E"/>
    <w:rsid w:val="00A1504E"/>
    <w:rsid w:val="00A16BB9"/>
    <w:rsid w:val="00A20B44"/>
    <w:rsid w:val="00A24BFA"/>
    <w:rsid w:val="00A24D19"/>
    <w:rsid w:val="00A2551B"/>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39CB"/>
    <w:rsid w:val="00AA70CD"/>
    <w:rsid w:val="00AB0B2A"/>
    <w:rsid w:val="00AB1167"/>
    <w:rsid w:val="00AB1CD7"/>
    <w:rsid w:val="00AB1E80"/>
    <w:rsid w:val="00AB2044"/>
    <w:rsid w:val="00AB28BD"/>
    <w:rsid w:val="00AB5726"/>
    <w:rsid w:val="00AB6197"/>
    <w:rsid w:val="00AB6BA6"/>
    <w:rsid w:val="00AC3572"/>
    <w:rsid w:val="00AC459B"/>
    <w:rsid w:val="00AC6A2A"/>
    <w:rsid w:val="00AD02BC"/>
    <w:rsid w:val="00AD279C"/>
    <w:rsid w:val="00AD4B6D"/>
    <w:rsid w:val="00AD6A1E"/>
    <w:rsid w:val="00AD6D32"/>
    <w:rsid w:val="00AE3C57"/>
    <w:rsid w:val="00AE710C"/>
    <w:rsid w:val="00AF18EC"/>
    <w:rsid w:val="00AF59D9"/>
    <w:rsid w:val="00AF769D"/>
    <w:rsid w:val="00B07457"/>
    <w:rsid w:val="00B10D0A"/>
    <w:rsid w:val="00B111EA"/>
    <w:rsid w:val="00B11C1F"/>
    <w:rsid w:val="00B11D2D"/>
    <w:rsid w:val="00B12EC8"/>
    <w:rsid w:val="00B15CE5"/>
    <w:rsid w:val="00B23601"/>
    <w:rsid w:val="00B23750"/>
    <w:rsid w:val="00B2497E"/>
    <w:rsid w:val="00B27190"/>
    <w:rsid w:val="00B34521"/>
    <w:rsid w:val="00B36B24"/>
    <w:rsid w:val="00B40309"/>
    <w:rsid w:val="00B40F42"/>
    <w:rsid w:val="00B43537"/>
    <w:rsid w:val="00B45A08"/>
    <w:rsid w:val="00B460EC"/>
    <w:rsid w:val="00B54387"/>
    <w:rsid w:val="00B55207"/>
    <w:rsid w:val="00B56A8D"/>
    <w:rsid w:val="00B62368"/>
    <w:rsid w:val="00B62B68"/>
    <w:rsid w:val="00B65A54"/>
    <w:rsid w:val="00B65AA7"/>
    <w:rsid w:val="00B662EB"/>
    <w:rsid w:val="00B7465A"/>
    <w:rsid w:val="00B7512B"/>
    <w:rsid w:val="00B75F2B"/>
    <w:rsid w:val="00B77C63"/>
    <w:rsid w:val="00B80311"/>
    <w:rsid w:val="00B8147B"/>
    <w:rsid w:val="00B841AC"/>
    <w:rsid w:val="00B84595"/>
    <w:rsid w:val="00B84F75"/>
    <w:rsid w:val="00B86DB3"/>
    <w:rsid w:val="00B872BE"/>
    <w:rsid w:val="00B9168B"/>
    <w:rsid w:val="00B91C04"/>
    <w:rsid w:val="00B91C1C"/>
    <w:rsid w:val="00B94224"/>
    <w:rsid w:val="00B955A1"/>
    <w:rsid w:val="00BA282D"/>
    <w:rsid w:val="00BA2975"/>
    <w:rsid w:val="00BB00B2"/>
    <w:rsid w:val="00BB1489"/>
    <w:rsid w:val="00BB1A1D"/>
    <w:rsid w:val="00BB35E7"/>
    <w:rsid w:val="00BB51E2"/>
    <w:rsid w:val="00BC30A1"/>
    <w:rsid w:val="00BC39AF"/>
    <w:rsid w:val="00BC5EBF"/>
    <w:rsid w:val="00BC7ECB"/>
    <w:rsid w:val="00BD094F"/>
    <w:rsid w:val="00BD3ED4"/>
    <w:rsid w:val="00BD7E40"/>
    <w:rsid w:val="00BD7EFA"/>
    <w:rsid w:val="00BE3B9D"/>
    <w:rsid w:val="00BE3CA3"/>
    <w:rsid w:val="00BE5E86"/>
    <w:rsid w:val="00BF04D9"/>
    <w:rsid w:val="00BF181E"/>
    <w:rsid w:val="00BF4937"/>
    <w:rsid w:val="00BF5913"/>
    <w:rsid w:val="00BF620C"/>
    <w:rsid w:val="00BF78E2"/>
    <w:rsid w:val="00C00B9C"/>
    <w:rsid w:val="00C03B1D"/>
    <w:rsid w:val="00C03B6E"/>
    <w:rsid w:val="00C05FAE"/>
    <w:rsid w:val="00C06D97"/>
    <w:rsid w:val="00C074E9"/>
    <w:rsid w:val="00C07890"/>
    <w:rsid w:val="00C07BE1"/>
    <w:rsid w:val="00C10A45"/>
    <w:rsid w:val="00C112F2"/>
    <w:rsid w:val="00C13853"/>
    <w:rsid w:val="00C14EB3"/>
    <w:rsid w:val="00C15A7A"/>
    <w:rsid w:val="00C202DF"/>
    <w:rsid w:val="00C2365D"/>
    <w:rsid w:val="00C23C00"/>
    <w:rsid w:val="00C25E9D"/>
    <w:rsid w:val="00C2691D"/>
    <w:rsid w:val="00C36E92"/>
    <w:rsid w:val="00C372C0"/>
    <w:rsid w:val="00C37304"/>
    <w:rsid w:val="00C405EE"/>
    <w:rsid w:val="00C41B74"/>
    <w:rsid w:val="00C4596D"/>
    <w:rsid w:val="00C45E48"/>
    <w:rsid w:val="00C50D9E"/>
    <w:rsid w:val="00C524F4"/>
    <w:rsid w:val="00C52613"/>
    <w:rsid w:val="00C5316D"/>
    <w:rsid w:val="00C539F4"/>
    <w:rsid w:val="00C53DAC"/>
    <w:rsid w:val="00C53F79"/>
    <w:rsid w:val="00C5439B"/>
    <w:rsid w:val="00C54A75"/>
    <w:rsid w:val="00C54BC3"/>
    <w:rsid w:val="00C54FF3"/>
    <w:rsid w:val="00C579E1"/>
    <w:rsid w:val="00C61F53"/>
    <w:rsid w:val="00C64439"/>
    <w:rsid w:val="00C66C72"/>
    <w:rsid w:val="00C6773F"/>
    <w:rsid w:val="00C678B5"/>
    <w:rsid w:val="00C67CE5"/>
    <w:rsid w:val="00C758C0"/>
    <w:rsid w:val="00C768E7"/>
    <w:rsid w:val="00C77BB7"/>
    <w:rsid w:val="00C80F7D"/>
    <w:rsid w:val="00C855A4"/>
    <w:rsid w:val="00C86865"/>
    <w:rsid w:val="00C8775A"/>
    <w:rsid w:val="00C92603"/>
    <w:rsid w:val="00C95693"/>
    <w:rsid w:val="00C9631C"/>
    <w:rsid w:val="00C963B3"/>
    <w:rsid w:val="00C97408"/>
    <w:rsid w:val="00CA1A6E"/>
    <w:rsid w:val="00CA4862"/>
    <w:rsid w:val="00CA5021"/>
    <w:rsid w:val="00CB0E79"/>
    <w:rsid w:val="00CB286A"/>
    <w:rsid w:val="00CB531E"/>
    <w:rsid w:val="00CB63E1"/>
    <w:rsid w:val="00CB6943"/>
    <w:rsid w:val="00CB7A72"/>
    <w:rsid w:val="00CC2726"/>
    <w:rsid w:val="00CD05A4"/>
    <w:rsid w:val="00CD2F65"/>
    <w:rsid w:val="00CD3477"/>
    <w:rsid w:val="00CE08D0"/>
    <w:rsid w:val="00CE15D8"/>
    <w:rsid w:val="00CE3893"/>
    <w:rsid w:val="00CE645C"/>
    <w:rsid w:val="00CE6FEE"/>
    <w:rsid w:val="00CE76D1"/>
    <w:rsid w:val="00CF1F70"/>
    <w:rsid w:val="00CF335E"/>
    <w:rsid w:val="00CF5F0E"/>
    <w:rsid w:val="00CF6F6C"/>
    <w:rsid w:val="00CF71AD"/>
    <w:rsid w:val="00CF75C6"/>
    <w:rsid w:val="00CF779E"/>
    <w:rsid w:val="00D02D0A"/>
    <w:rsid w:val="00D02E7C"/>
    <w:rsid w:val="00D147ED"/>
    <w:rsid w:val="00D156C4"/>
    <w:rsid w:val="00D22686"/>
    <w:rsid w:val="00D237BC"/>
    <w:rsid w:val="00D24692"/>
    <w:rsid w:val="00D26BCF"/>
    <w:rsid w:val="00D30322"/>
    <w:rsid w:val="00D3331D"/>
    <w:rsid w:val="00D343F0"/>
    <w:rsid w:val="00D449AB"/>
    <w:rsid w:val="00D4537C"/>
    <w:rsid w:val="00D47115"/>
    <w:rsid w:val="00D607C2"/>
    <w:rsid w:val="00D60A84"/>
    <w:rsid w:val="00D621C9"/>
    <w:rsid w:val="00D64D92"/>
    <w:rsid w:val="00D67702"/>
    <w:rsid w:val="00D67BE6"/>
    <w:rsid w:val="00D72342"/>
    <w:rsid w:val="00D75171"/>
    <w:rsid w:val="00D759CE"/>
    <w:rsid w:val="00D760D4"/>
    <w:rsid w:val="00D7732F"/>
    <w:rsid w:val="00D806D8"/>
    <w:rsid w:val="00D85E8C"/>
    <w:rsid w:val="00D91964"/>
    <w:rsid w:val="00D956AF"/>
    <w:rsid w:val="00D97A56"/>
    <w:rsid w:val="00D97CE4"/>
    <w:rsid w:val="00DA1CAE"/>
    <w:rsid w:val="00DA2BFA"/>
    <w:rsid w:val="00DA3701"/>
    <w:rsid w:val="00DA4AB1"/>
    <w:rsid w:val="00DA795B"/>
    <w:rsid w:val="00DB079B"/>
    <w:rsid w:val="00DB4DE3"/>
    <w:rsid w:val="00DB7EB0"/>
    <w:rsid w:val="00DC2568"/>
    <w:rsid w:val="00DC3630"/>
    <w:rsid w:val="00DC4906"/>
    <w:rsid w:val="00DC5B60"/>
    <w:rsid w:val="00DD02DD"/>
    <w:rsid w:val="00DD0579"/>
    <w:rsid w:val="00DD0D20"/>
    <w:rsid w:val="00DD3BBD"/>
    <w:rsid w:val="00DD4EA5"/>
    <w:rsid w:val="00DD5061"/>
    <w:rsid w:val="00DD5B05"/>
    <w:rsid w:val="00DD6ABF"/>
    <w:rsid w:val="00DD6FFF"/>
    <w:rsid w:val="00DD75CD"/>
    <w:rsid w:val="00DD79B0"/>
    <w:rsid w:val="00DE112E"/>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72F7"/>
    <w:rsid w:val="00E1736F"/>
    <w:rsid w:val="00E1757D"/>
    <w:rsid w:val="00E206DD"/>
    <w:rsid w:val="00E2474A"/>
    <w:rsid w:val="00E25610"/>
    <w:rsid w:val="00E26EAB"/>
    <w:rsid w:val="00E30A20"/>
    <w:rsid w:val="00E32DF8"/>
    <w:rsid w:val="00E40B34"/>
    <w:rsid w:val="00E41C73"/>
    <w:rsid w:val="00E4372D"/>
    <w:rsid w:val="00E5356B"/>
    <w:rsid w:val="00E5445A"/>
    <w:rsid w:val="00E54672"/>
    <w:rsid w:val="00E54B00"/>
    <w:rsid w:val="00E5508D"/>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A58C9"/>
    <w:rsid w:val="00EB0101"/>
    <w:rsid w:val="00EB2895"/>
    <w:rsid w:val="00EB323A"/>
    <w:rsid w:val="00EB67A7"/>
    <w:rsid w:val="00EB6EB6"/>
    <w:rsid w:val="00EB760E"/>
    <w:rsid w:val="00EC38F6"/>
    <w:rsid w:val="00EC4313"/>
    <w:rsid w:val="00EC6525"/>
    <w:rsid w:val="00ED2B7C"/>
    <w:rsid w:val="00ED4F7F"/>
    <w:rsid w:val="00ED4F8D"/>
    <w:rsid w:val="00EE0494"/>
    <w:rsid w:val="00EE117C"/>
    <w:rsid w:val="00EE16B6"/>
    <w:rsid w:val="00EE5FAB"/>
    <w:rsid w:val="00EF0CF2"/>
    <w:rsid w:val="00EF1016"/>
    <w:rsid w:val="00EF2063"/>
    <w:rsid w:val="00EF6D64"/>
    <w:rsid w:val="00F00391"/>
    <w:rsid w:val="00F021E2"/>
    <w:rsid w:val="00F03BCB"/>
    <w:rsid w:val="00F04CC3"/>
    <w:rsid w:val="00F04D9C"/>
    <w:rsid w:val="00F0641A"/>
    <w:rsid w:val="00F123FB"/>
    <w:rsid w:val="00F20980"/>
    <w:rsid w:val="00F20EFE"/>
    <w:rsid w:val="00F21240"/>
    <w:rsid w:val="00F21381"/>
    <w:rsid w:val="00F21C18"/>
    <w:rsid w:val="00F24C10"/>
    <w:rsid w:val="00F315F3"/>
    <w:rsid w:val="00F32B82"/>
    <w:rsid w:val="00F33C4E"/>
    <w:rsid w:val="00F35106"/>
    <w:rsid w:val="00F4218D"/>
    <w:rsid w:val="00F435E4"/>
    <w:rsid w:val="00F45D2E"/>
    <w:rsid w:val="00F55172"/>
    <w:rsid w:val="00F6026B"/>
    <w:rsid w:val="00F620F1"/>
    <w:rsid w:val="00F63B8D"/>
    <w:rsid w:val="00F66CD0"/>
    <w:rsid w:val="00F724E5"/>
    <w:rsid w:val="00F74A85"/>
    <w:rsid w:val="00F74F03"/>
    <w:rsid w:val="00F765C5"/>
    <w:rsid w:val="00F76F47"/>
    <w:rsid w:val="00F81415"/>
    <w:rsid w:val="00F8184C"/>
    <w:rsid w:val="00F856E9"/>
    <w:rsid w:val="00F873FC"/>
    <w:rsid w:val="00F92352"/>
    <w:rsid w:val="00F92D8F"/>
    <w:rsid w:val="00FA3C24"/>
    <w:rsid w:val="00FA70BF"/>
    <w:rsid w:val="00FB4412"/>
    <w:rsid w:val="00FB46F0"/>
    <w:rsid w:val="00FC0768"/>
    <w:rsid w:val="00FC11B6"/>
    <w:rsid w:val="00FC5848"/>
    <w:rsid w:val="00FD385B"/>
    <w:rsid w:val="00FD7096"/>
    <w:rsid w:val="00FD7C1F"/>
    <w:rsid w:val="00FD7DB1"/>
    <w:rsid w:val="00FD7E2E"/>
    <w:rsid w:val="00FE273B"/>
    <w:rsid w:val="00FE29BC"/>
    <w:rsid w:val="00FE3D99"/>
    <w:rsid w:val="00FF1E6B"/>
    <w:rsid w:val="00FF279F"/>
    <w:rsid w:val="00FF51E8"/>
    <w:rsid w:val="00FF6780"/>
    <w:rsid w:val="00FF74BA"/>
    <w:rsid w:val="010F0552"/>
    <w:rsid w:val="01171186"/>
    <w:rsid w:val="011D0840"/>
    <w:rsid w:val="011D78AE"/>
    <w:rsid w:val="011E00B5"/>
    <w:rsid w:val="011E3AF5"/>
    <w:rsid w:val="012A4928"/>
    <w:rsid w:val="01340AE2"/>
    <w:rsid w:val="01405697"/>
    <w:rsid w:val="01456907"/>
    <w:rsid w:val="014976A0"/>
    <w:rsid w:val="016F346A"/>
    <w:rsid w:val="01702627"/>
    <w:rsid w:val="01783D85"/>
    <w:rsid w:val="01873853"/>
    <w:rsid w:val="018841CA"/>
    <w:rsid w:val="019C597A"/>
    <w:rsid w:val="01A03A4F"/>
    <w:rsid w:val="01A75904"/>
    <w:rsid w:val="01A907B7"/>
    <w:rsid w:val="01A90B8E"/>
    <w:rsid w:val="01C743A2"/>
    <w:rsid w:val="01CF1530"/>
    <w:rsid w:val="01D00747"/>
    <w:rsid w:val="01D23D77"/>
    <w:rsid w:val="01D5307D"/>
    <w:rsid w:val="01DB0CC9"/>
    <w:rsid w:val="01DE44F6"/>
    <w:rsid w:val="01E10A6D"/>
    <w:rsid w:val="01E1780B"/>
    <w:rsid w:val="01E41120"/>
    <w:rsid w:val="01E71180"/>
    <w:rsid w:val="01E77BEE"/>
    <w:rsid w:val="01EA4B85"/>
    <w:rsid w:val="01ED6321"/>
    <w:rsid w:val="01F74DB5"/>
    <w:rsid w:val="0202330B"/>
    <w:rsid w:val="0209253A"/>
    <w:rsid w:val="020F790C"/>
    <w:rsid w:val="02150167"/>
    <w:rsid w:val="021C2000"/>
    <w:rsid w:val="022C5A80"/>
    <w:rsid w:val="02436BA8"/>
    <w:rsid w:val="02437B74"/>
    <w:rsid w:val="024B0640"/>
    <w:rsid w:val="024B2998"/>
    <w:rsid w:val="02517C05"/>
    <w:rsid w:val="02706069"/>
    <w:rsid w:val="02787649"/>
    <w:rsid w:val="027B15CC"/>
    <w:rsid w:val="028A2470"/>
    <w:rsid w:val="029570D5"/>
    <w:rsid w:val="02981110"/>
    <w:rsid w:val="029A778E"/>
    <w:rsid w:val="02A164F1"/>
    <w:rsid w:val="02A323B6"/>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C6598"/>
    <w:rsid w:val="02FF5323"/>
    <w:rsid w:val="03014CF8"/>
    <w:rsid w:val="03034D08"/>
    <w:rsid w:val="03054189"/>
    <w:rsid w:val="03116497"/>
    <w:rsid w:val="0330015E"/>
    <w:rsid w:val="03304D38"/>
    <w:rsid w:val="0334635D"/>
    <w:rsid w:val="033C7A10"/>
    <w:rsid w:val="0346219A"/>
    <w:rsid w:val="034958B1"/>
    <w:rsid w:val="03574AA3"/>
    <w:rsid w:val="03575611"/>
    <w:rsid w:val="035A5EA0"/>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4020C75"/>
    <w:rsid w:val="040B40E1"/>
    <w:rsid w:val="040D72D1"/>
    <w:rsid w:val="04106487"/>
    <w:rsid w:val="04132C74"/>
    <w:rsid w:val="041C0F50"/>
    <w:rsid w:val="042010F0"/>
    <w:rsid w:val="04216019"/>
    <w:rsid w:val="04272C7E"/>
    <w:rsid w:val="04297A57"/>
    <w:rsid w:val="042D12B1"/>
    <w:rsid w:val="043819F3"/>
    <w:rsid w:val="043E6D61"/>
    <w:rsid w:val="044040F4"/>
    <w:rsid w:val="044D2740"/>
    <w:rsid w:val="04542A5D"/>
    <w:rsid w:val="04585A8B"/>
    <w:rsid w:val="045A2820"/>
    <w:rsid w:val="04603111"/>
    <w:rsid w:val="046200EF"/>
    <w:rsid w:val="04655950"/>
    <w:rsid w:val="046736EA"/>
    <w:rsid w:val="0467541C"/>
    <w:rsid w:val="046B6145"/>
    <w:rsid w:val="04776C81"/>
    <w:rsid w:val="047A192B"/>
    <w:rsid w:val="047A3324"/>
    <w:rsid w:val="047D0309"/>
    <w:rsid w:val="048707FB"/>
    <w:rsid w:val="049B5A51"/>
    <w:rsid w:val="049F0E2C"/>
    <w:rsid w:val="04A36B65"/>
    <w:rsid w:val="04A918BC"/>
    <w:rsid w:val="04AD4A1F"/>
    <w:rsid w:val="04AE5E3F"/>
    <w:rsid w:val="04B34F96"/>
    <w:rsid w:val="04BC0624"/>
    <w:rsid w:val="04BD5B8F"/>
    <w:rsid w:val="04C0574D"/>
    <w:rsid w:val="04CE5AB2"/>
    <w:rsid w:val="04E36FED"/>
    <w:rsid w:val="04F375BD"/>
    <w:rsid w:val="04F76DEF"/>
    <w:rsid w:val="04F87901"/>
    <w:rsid w:val="04FE52A6"/>
    <w:rsid w:val="05014155"/>
    <w:rsid w:val="05032F9C"/>
    <w:rsid w:val="050372C2"/>
    <w:rsid w:val="050774D4"/>
    <w:rsid w:val="051E2627"/>
    <w:rsid w:val="05310933"/>
    <w:rsid w:val="05372082"/>
    <w:rsid w:val="05452C6A"/>
    <w:rsid w:val="054A1787"/>
    <w:rsid w:val="05556088"/>
    <w:rsid w:val="05591693"/>
    <w:rsid w:val="055F1886"/>
    <w:rsid w:val="056748D2"/>
    <w:rsid w:val="056A77DD"/>
    <w:rsid w:val="056B10F6"/>
    <w:rsid w:val="056F47F6"/>
    <w:rsid w:val="057023DA"/>
    <w:rsid w:val="05767A5C"/>
    <w:rsid w:val="05782413"/>
    <w:rsid w:val="05791C40"/>
    <w:rsid w:val="058B57D3"/>
    <w:rsid w:val="058D3611"/>
    <w:rsid w:val="05A7707C"/>
    <w:rsid w:val="05B25A51"/>
    <w:rsid w:val="05B34024"/>
    <w:rsid w:val="05BA54C3"/>
    <w:rsid w:val="05BC2B39"/>
    <w:rsid w:val="05C171C2"/>
    <w:rsid w:val="05DA0ADE"/>
    <w:rsid w:val="05DD43A7"/>
    <w:rsid w:val="05E029A5"/>
    <w:rsid w:val="05E20BC3"/>
    <w:rsid w:val="05E537C2"/>
    <w:rsid w:val="05E66CB7"/>
    <w:rsid w:val="05F82144"/>
    <w:rsid w:val="05F928F8"/>
    <w:rsid w:val="05F96B7B"/>
    <w:rsid w:val="060047D8"/>
    <w:rsid w:val="060E7F2A"/>
    <w:rsid w:val="061A0D30"/>
    <w:rsid w:val="06275FBE"/>
    <w:rsid w:val="06292B4D"/>
    <w:rsid w:val="062D3580"/>
    <w:rsid w:val="062E1D6B"/>
    <w:rsid w:val="062F3A10"/>
    <w:rsid w:val="06321CA7"/>
    <w:rsid w:val="0632264C"/>
    <w:rsid w:val="06475461"/>
    <w:rsid w:val="06527E2F"/>
    <w:rsid w:val="06595547"/>
    <w:rsid w:val="0661054C"/>
    <w:rsid w:val="066C3EB1"/>
    <w:rsid w:val="066E3B75"/>
    <w:rsid w:val="067B6CBA"/>
    <w:rsid w:val="069822D9"/>
    <w:rsid w:val="069A5C01"/>
    <w:rsid w:val="069E6492"/>
    <w:rsid w:val="06A527F0"/>
    <w:rsid w:val="06AC171C"/>
    <w:rsid w:val="06AD12D2"/>
    <w:rsid w:val="06AE3964"/>
    <w:rsid w:val="06B324FE"/>
    <w:rsid w:val="06B37627"/>
    <w:rsid w:val="06B62719"/>
    <w:rsid w:val="06C443CB"/>
    <w:rsid w:val="06C504CE"/>
    <w:rsid w:val="06C53D03"/>
    <w:rsid w:val="06C93C5E"/>
    <w:rsid w:val="06CA5C18"/>
    <w:rsid w:val="06CC0BD5"/>
    <w:rsid w:val="06D25D71"/>
    <w:rsid w:val="06D34459"/>
    <w:rsid w:val="06D974E8"/>
    <w:rsid w:val="06DA02B9"/>
    <w:rsid w:val="06ED1021"/>
    <w:rsid w:val="06F657D0"/>
    <w:rsid w:val="06F70BF4"/>
    <w:rsid w:val="071D128A"/>
    <w:rsid w:val="073711F4"/>
    <w:rsid w:val="07376561"/>
    <w:rsid w:val="073830AF"/>
    <w:rsid w:val="07386D26"/>
    <w:rsid w:val="073B4F81"/>
    <w:rsid w:val="073D03C6"/>
    <w:rsid w:val="073F714A"/>
    <w:rsid w:val="074D7D48"/>
    <w:rsid w:val="075563C9"/>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B6A3D"/>
    <w:rsid w:val="07DF3AF2"/>
    <w:rsid w:val="07E62052"/>
    <w:rsid w:val="07EF6B7D"/>
    <w:rsid w:val="07FB705E"/>
    <w:rsid w:val="08177C1C"/>
    <w:rsid w:val="081866CE"/>
    <w:rsid w:val="082309F3"/>
    <w:rsid w:val="082B0362"/>
    <w:rsid w:val="082B5213"/>
    <w:rsid w:val="082F38AB"/>
    <w:rsid w:val="08324C29"/>
    <w:rsid w:val="08326169"/>
    <w:rsid w:val="083971E1"/>
    <w:rsid w:val="08432B91"/>
    <w:rsid w:val="084714FA"/>
    <w:rsid w:val="085D5A5A"/>
    <w:rsid w:val="086462CD"/>
    <w:rsid w:val="08740339"/>
    <w:rsid w:val="087414B6"/>
    <w:rsid w:val="08761325"/>
    <w:rsid w:val="087613FE"/>
    <w:rsid w:val="08827DF0"/>
    <w:rsid w:val="08974F89"/>
    <w:rsid w:val="08A42035"/>
    <w:rsid w:val="08B920A2"/>
    <w:rsid w:val="08BB321D"/>
    <w:rsid w:val="08C517A0"/>
    <w:rsid w:val="08D144DB"/>
    <w:rsid w:val="08D151C5"/>
    <w:rsid w:val="08D37234"/>
    <w:rsid w:val="08D6248A"/>
    <w:rsid w:val="08DD60B9"/>
    <w:rsid w:val="08DE318F"/>
    <w:rsid w:val="08E4633B"/>
    <w:rsid w:val="08F36BAC"/>
    <w:rsid w:val="08F809AA"/>
    <w:rsid w:val="08F92DB8"/>
    <w:rsid w:val="09012991"/>
    <w:rsid w:val="091453FE"/>
    <w:rsid w:val="091974DF"/>
    <w:rsid w:val="09236970"/>
    <w:rsid w:val="092905B8"/>
    <w:rsid w:val="09342126"/>
    <w:rsid w:val="093B5F8B"/>
    <w:rsid w:val="09436560"/>
    <w:rsid w:val="094F59DA"/>
    <w:rsid w:val="09575089"/>
    <w:rsid w:val="095B255C"/>
    <w:rsid w:val="095C2537"/>
    <w:rsid w:val="095F1305"/>
    <w:rsid w:val="09623EF2"/>
    <w:rsid w:val="097125A0"/>
    <w:rsid w:val="09804807"/>
    <w:rsid w:val="09853C90"/>
    <w:rsid w:val="098C17B9"/>
    <w:rsid w:val="09936FC3"/>
    <w:rsid w:val="09946D5C"/>
    <w:rsid w:val="09A64E42"/>
    <w:rsid w:val="09AD59EE"/>
    <w:rsid w:val="09AE12C5"/>
    <w:rsid w:val="09B12A44"/>
    <w:rsid w:val="09C32654"/>
    <w:rsid w:val="09C702DD"/>
    <w:rsid w:val="09CB0B0D"/>
    <w:rsid w:val="09D3769D"/>
    <w:rsid w:val="09DA1166"/>
    <w:rsid w:val="09E366DE"/>
    <w:rsid w:val="09E5583C"/>
    <w:rsid w:val="09ED02CC"/>
    <w:rsid w:val="09EE3AD3"/>
    <w:rsid w:val="09EE6657"/>
    <w:rsid w:val="09F66D64"/>
    <w:rsid w:val="0A031F61"/>
    <w:rsid w:val="0A0C347C"/>
    <w:rsid w:val="0A127B6F"/>
    <w:rsid w:val="0A222A1C"/>
    <w:rsid w:val="0A29722D"/>
    <w:rsid w:val="0A2C16CF"/>
    <w:rsid w:val="0A362975"/>
    <w:rsid w:val="0A384148"/>
    <w:rsid w:val="0A3A7D09"/>
    <w:rsid w:val="0A437D58"/>
    <w:rsid w:val="0A492346"/>
    <w:rsid w:val="0A4D0BCF"/>
    <w:rsid w:val="0A4F0699"/>
    <w:rsid w:val="0A566443"/>
    <w:rsid w:val="0A634F6F"/>
    <w:rsid w:val="0A6D6118"/>
    <w:rsid w:val="0A707775"/>
    <w:rsid w:val="0A744864"/>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F714A"/>
    <w:rsid w:val="0AE51545"/>
    <w:rsid w:val="0AEC1707"/>
    <w:rsid w:val="0AEF3257"/>
    <w:rsid w:val="0AF6400E"/>
    <w:rsid w:val="0B0750F0"/>
    <w:rsid w:val="0B181B0D"/>
    <w:rsid w:val="0B185FC3"/>
    <w:rsid w:val="0B1A38DA"/>
    <w:rsid w:val="0B397DE7"/>
    <w:rsid w:val="0B3F6ED7"/>
    <w:rsid w:val="0B4E68F3"/>
    <w:rsid w:val="0B5B7494"/>
    <w:rsid w:val="0B5D2FEC"/>
    <w:rsid w:val="0B752406"/>
    <w:rsid w:val="0B781007"/>
    <w:rsid w:val="0B84075C"/>
    <w:rsid w:val="0B8B4E56"/>
    <w:rsid w:val="0B9571A8"/>
    <w:rsid w:val="0B974136"/>
    <w:rsid w:val="0B9A53DA"/>
    <w:rsid w:val="0BAA094B"/>
    <w:rsid w:val="0BB95620"/>
    <w:rsid w:val="0BBD342B"/>
    <w:rsid w:val="0BC46F87"/>
    <w:rsid w:val="0BC97E2A"/>
    <w:rsid w:val="0BD453CF"/>
    <w:rsid w:val="0BDB1723"/>
    <w:rsid w:val="0BE46C37"/>
    <w:rsid w:val="0BE47AEA"/>
    <w:rsid w:val="0BF31B2B"/>
    <w:rsid w:val="0BF735AB"/>
    <w:rsid w:val="0BFE6929"/>
    <w:rsid w:val="0C06165F"/>
    <w:rsid w:val="0C19682A"/>
    <w:rsid w:val="0C1D2405"/>
    <w:rsid w:val="0C3211CF"/>
    <w:rsid w:val="0C3F1F4B"/>
    <w:rsid w:val="0C41127C"/>
    <w:rsid w:val="0C4E53DC"/>
    <w:rsid w:val="0C520F4C"/>
    <w:rsid w:val="0C5307CD"/>
    <w:rsid w:val="0C547855"/>
    <w:rsid w:val="0C564C94"/>
    <w:rsid w:val="0C58262E"/>
    <w:rsid w:val="0C623E5B"/>
    <w:rsid w:val="0C640BA5"/>
    <w:rsid w:val="0C83191D"/>
    <w:rsid w:val="0C8B2068"/>
    <w:rsid w:val="0C945B0C"/>
    <w:rsid w:val="0C9F3036"/>
    <w:rsid w:val="0CA1108E"/>
    <w:rsid w:val="0CA627DE"/>
    <w:rsid w:val="0CA92FCB"/>
    <w:rsid w:val="0CAC6A0C"/>
    <w:rsid w:val="0CC469FF"/>
    <w:rsid w:val="0CCB0863"/>
    <w:rsid w:val="0CCB5BE0"/>
    <w:rsid w:val="0CCE325B"/>
    <w:rsid w:val="0CCF611E"/>
    <w:rsid w:val="0CD02B56"/>
    <w:rsid w:val="0CE65050"/>
    <w:rsid w:val="0CF01379"/>
    <w:rsid w:val="0CF04C0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A2318"/>
    <w:rsid w:val="0D8C3B39"/>
    <w:rsid w:val="0D8D2BB1"/>
    <w:rsid w:val="0D947909"/>
    <w:rsid w:val="0D9C1F69"/>
    <w:rsid w:val="0DA51B8A"/>
    <w:rsid w:val="0DA731A8"/>
    <w:rsid w:val="0DA77AA8"/>
    <w:rsid w:val="0DAB5E3E"/>
    <w:rsid w:val="0DB5208C"/>
    <w:rsid w:val="0DC96F2A"/>
    <w:rsid w:val="0DCD21C8"/>
    <w:rsid w:val="0DCF3F5F"/>
    <w:rsid w:val="0DDE1014"/>
    <w:rsid w:val="0DE10940"/>
    <w:rsid w:val="0DE36AA8"/>
    <w:rsid w:val="0DE538B8"/>
    <w:rsid w:val="0DF50F71"/>
    <w:rsid w:val="0DF80FE8"/>
    <w:rsid w:val="0DF8136C"/>
    <w:rsid w:val="0E1D4B14"/>
    <w:rsid w:val="0E297F0A"/>
    <w:rsid w:val="0E351ED5"/>
    <w:rsid w:val="0E494D17"/>
    <w:rsid w:val="0E500971"/>
    <w:rsid w:val="0E5C0B54"/>
    <w:rsid w:val="0E6200BA"/>
    <w:rsid w:val="0E92229F"/>
    <w:rsid w:val="0EB74FB6"/>
    <w:rsid w:val="0EBA3E96"/>
    <w:rsid w:val="0EBD00B9"/>
    <w:rsid w:val="0EBD14BB"/>
    <w:rsid w:val="0EC11770"/>
    <w:rsid w:val="0ECE7C05"/>
    <w:rsid w:val="0EDA4193"/>
    <w:rsid w:val="0EE36FFE"/>
    <w:rsid w:val="0EE471DF"/>
    <w:rsid w:val="0EEF4888"/>
    <w:rsid w:val="0EF86BAF"/>
    <w:rsid w:val="0EFF695E"/>
    <w:rsid w:val="0F0A266B"/>
    <w:rsid w:val="0F0E72E0"/>
    <w:rsid w:val="0F19183D"/>
    <w:rsid w:val="0F2335AB"/>
    <w:rsid w:val="0F250BAF"/>
    <w:rsid w:val="0F262023"/>
    <w:rsid w:val="0F26508B"/>
    <w:rsid w:val="0F2817A1"/>
    <w:rsid w:val="0F2A0028"/>
    <w:rsid w:val="0F303C1E"/>
    <w:rsid w:val="0F362667"/>
    <w:rsid w:val="0F3C7401"/>
    <w:rsid w:val="0F3E3E38"/>
    <w:rsid w:val="0F402224"/>
    <w:rsid w:val="0F451577"/>
    <w:rsid w:val="0F4F4996"/>
    <w:rsid w:val="0F5229B3"/>
    <w:rsid w:val="0F58009F"/>
    <w:rsid w:val="0F612436"/>
    <w:rsid w:val="0F694AA9"/>
    <w:rsid w:val="0F6956E4"/>
    <w:rsid w:val="0F81737E"/>
    <w:rsid w:val="0F872E0F"/>
    <w:rsid w:val="0FA062F3"/>
    <w:rsid w:val="0FAE784A"/>
    <w:rsid w:val="0FB22494"/>
    <w:rsid w:val="0FB41949"/>
    <w:rsid w:val="0FB90369"/>
    <w:rsid w:val="0FBC5D75"/>
    <w:rsid w:val="0FC475B0"/>
    <w:rsid w:val="0FCB4D59"/>
    <w:rsid w:val="0FCD6509"/>
    <w:rsid w:val="0FCE27E7"/>
    <w:rsid w:val="0FD82F98"/>
    <w:rsid w:val="0FE035A6"/>
    <w:rsid w:val="0FE231CA"/>
    <w:rsid w:val="0FE82539"/>
    <w:rsid w:val="0FF45F0D"/>
    <w:rsid w:val="0FFC4CE5"/>
    <w:rsid w:val="0FFD2047"/>
    <w:rsid w:val="101677BE"/>
    <w:rsid w:val="101773DB"/>
    <w:rsid w:val="102612F5"/>
    <w:rsid w:val="102F73C2"/>
    <w:rsid w:val="10374854"/>
    <w:rsid w:val="103B4A6E"/>
    <w:rsid w:val="10500BE0"/>
    <w:rsid w:val="105110FF"/>
    <w:rsid w:val="105A1F08"/>
    <w:rsid w:val="105F0F86"/>
    <w:rsid w:val="10672A05"/>
    <w:rsid w:val="10785AA8"/>
    <w:rsid w:val="107A607D"/>
    <w:rsid w:val="107D5524"/>
    <w:rsid w:val="108816F7"/>
    <w:rsid w:val="10925381"/>
    <w:rsid w:val="10A16005"/>
    <w:rsid w:val="10A446AE"/>
    <w:rsid w:val="10B5541F"/>
    <w:rsid w:val="10C27421"/>
    <w:rsid w:val="10E155EE"/>
    <w:rsid w:val="10E66CBA"/>
    <w:rsid w:val="10EA6828"/>
    <w:rsid w:val="10EC452A"/>
    <w:rsid w:val="10EF4A7E"/>
    <w:rsid w:val="10F31B4F"/>
    <w:rsid w:val="10F35DD7"/>
    <w:rsid w:val="10F4276D"/>
    <w:rsid w:val="10FA4B0D"/>
    <w:rsid w:val="110E3A82"/>
    <w:rsid w:val="11132A39"/>
    <w:rsid w:val="1117761D"/>
    <w:rsid w:val="11196308"/>
    <w:rsid w:val="111C3718"/>
    <w:rsid w:val="11222B03"/>
    <w:rsid w:val="11297EBD"/>
    <w:rsid w:val="11365503"/>
    <w:rsid w:val="11427DE1"/>
    <w:rsid w:val="1147189A"/>
    <w:rsid w:val="114A7560"/>
    <w:rsid w:val="114B4B74"/>
    <w:rsid w:val="114E04E2"/>
    <w:rsid w:val="11506F7F"/>
    <w:rsid w:val="115D0906"/>
    <w:rsid w:val="115D5315"/>
    <w:rsid w:val="11683BE9"/>
    <w:rsid w:val="11765A51"/>
    <w:rsid w:val="11783DD5"/>
    <w:rsid w:val="117D7A64"/>
    <w:rsid w:val="118273A1"/>
    <w:rsid w:val="118B349C"/>
    <w:rsid w:val="11A030D6"/>
    <w:rsid w:val="11B408EE"/>
    <w:rsid w:val="11B45EBA"/>
    <w:rsid w:val="11B54E0F"/>
    <w:rsid w:val="11C8237D"/>
    <w:rsid w:val="11CD1B5E"/>
    <w:rsid w:val="11D41AF6"/>
    <w:rsid w:val="11D472FB"/>
    <w:rsid w:val="11D55DA8"/>
    <w:rsid w:val="11E331E0"/>
    <w:rsid w:val="11F00300"/>
    <w:rsid w:val="11F934CC"/>
    <w:rsid w:val="11FD0BCA"/>
    <w:rsid w:val="1205755A"/>
    <w:rsid w:val="1214783D"/>
    <w:rsid w:val="12191EC2"/>
    <w:rsid w:val="122901DE"/>
    <w:rsid w:val="1229525E"/>
    <w:rsid w:val="123477BF"/>
    <w:rsid w:val="123B5BA0"/>
    <w:rsid w:val="124720AA"/>
    <w:rsid w:val="124C0A08"/>
    <w:rsid w:val="124D16D2"/>
    <w:rsid w:val="12544FD8"/>
    <w:rsid w:val="125A788A"/>
    <w:rsid w:val="125B0AC3"/>
    <w:rsid w:val="125C2979"/>
    <w:rsid w:val="125D114D"/>
    <w:rsid w:val="1269054F"/>
    <w:rsid w:val="12691ED8"/>
    <w:rsid w:val="126A0311"/>
    <w:rsid w:val="127316B6"/>
    <w:rsid w:val="127675A9"/>
    <w:rsid w:val="12784A53"/>
    <w:rsid w:val="1288245E"/>
    <w:rsid w:val="128B3B27"/>
    <w:rsid w:val="1291433D"/>
    <w:rsid w:val="129220B8"/>
    <w:rsid w:val="12937CB3"/>
    <w:rsid w:val="12952467"/>
    <w:rsid w:val="129A7DC3"/>
    <w:rsid w:val="129D78EB"/>
    <w:rsid w:val="129E39A6"/>
    <w:rsid w:val="129E6B19"/>
    <w:rsid w:val="12A80A90"/>
    <w:rsid w:val="12AC62D3"/>
    <w:rsid w:val="12B80C15"/>
    <w:rsid w:val="12C43FAF"/>
    <w:rsid w:val="12CD73C6"/>
    <w:rsid w:val="12CE5301"/>
    <w:rsid w:val="12D17696"/>
    <w:rsid w:val="12DE050E"/>
    <w:rsid w:val="12E65846"/>
    <w:rsid w:val="12E73C34"/>
    <w:rsid w:val="12EE7A34"/>
    <w:rsid w:val="12F57336"/>
    <w:rsid w:val="12F65C29"/>
    <w:rsid w:val="12FD3485"/>
    <w:rsid w:val="13022974"/>
    <w:rsid w:val="13033C0C"/>
    <w:rsid w:val="1306576C"/>
    <w:rsid w:val="130E26E1"/>
    <w:rsid w:val="131A31F0"/>
    <w:rsid w:val="131D7B8F"/>
    <w:rsid w:val="131E5414"/>
    <w:rsid w:val="13236E43"/>
    <w:rsid w:val="13283B41"/>
    <w:rsid w:val="132F480C"/>
    <w:rsid w:val="13393182"/>
    <w:rsid w:val="134145B5"/>
    <w:rsid w:val="134625FD"/>
    <w:rsid w:val="134A1A56"/>
    <w:rsid w:val="13526C9F"/>
    <w:rsid w:val="1353235A"/>
    <w:rsid w:val="13545D39"/>
    <w:rsid w:val="135A09D5"/>
    <w:rsid w:val="136B4542"/>
    <w:rsid w:val="137A2A6A"/>
    <w:rsid w:val="137B3418"/>
    <w:rsid w:val="137B79C5"/>
    <w:rsid w:val="13966FD3"/>
    <w:rsid w:val="13A041CC"/>
    <w:rsid w:val="13A15104"/>
    <w:rsid w:val="13A51648"/>
    <w:rsid w:val="13A66E07"/>
    <w:rsid w:val="13B0617B"/>
    <w:rsid w:val="13B32590"/>
    <w:rsid w:val="13C32C46"/>
    <w:rsid w:val="13C72E82"/>
    <w:rsid w:val="13C74753"/>
    <w:rsid w:val="13CF6522"/>
    <w:rsid w:val="13D43765"/>
    <w:rsid w:val="13D521F9"/>
    <w:rsid w:val="13DB6AF6"/>
    <w:rsid w:val="13EB31F1"/>
    <w:rsid w:val="13ED31BA"/>
    <w:rsid w:val="13F4549E"/>
    <w:rsid w:val="140B2C94"/>
    <w:rsid w:val="140D0883"/>
    <w:rsid w:val="140D56A0"/>
    <w:rsid w:val="140D768E"/>
    <w:rsid w:val="1410457B"/>
    <w:rsid w:val="141131A0"/>
    <w:rsid w:val="14122E98"/>
    <w:rsid w:val="1414340A"/>
    <w:rsid w:val="14162F2D"/>
    <w:rsid w:val="14176A23"/>
    <w:rsid w:val="141A121C"/>
    <w:rsid w:val="142B5F52"/>
    <w:rsid w:val="143A03C2"/>
    <w:rsid w:val="144168A3"/>
    <w:rsid w:val="144A0B11"/>
    <w:rsid w:val="144B56EF"/>
    <w:rsid w:val="144C008F"/>
    <w:rsid w:val="144C59B5"/>
    <w:rsid w:val="144D46EF"/>
    <w:rsid w:val="144F7241"/>
    <w:rsid w:val="14680762"/>
    <w:rsid w:val="146B69E4"/>
    <w:rsid w:val="146F5296"/>
    <w:rsid w:val="14755BA6"/>
    <w:rsid w:val="14782755"/>
    <w:rsid w:val="14801919"/>
    <w:rsid w:val="14861714"/>
    <w:rsid w:val="1492637A"/>
    <w:rsid w:val="14983A4A"/>
    <w:rsid w:val="14A94FED"/>
    <w:rsid w:val="14A9504A"/>
    <w:rsid w:val="14AB3FC0"/>
    <w:rsid w:val="14AE4E20"/>
    <w:rsid w:val="14B05AE3"/>
    <w:rsid w:val="14B247CF"/>
    <w:rsid w:val="14B63EC6"/>
    <w:rsid w:val="14BB3D85"/>
    <w:rsid w:val="14C87271"/>
    <w:rsid w:val="14C9149D"/>
    <w:rsid w:val="14C91B58"/>
    <w:rsid w:val="14D62DCD"/>
    <w:rsid w:val="14D6585D"/>
    <w:rsid w:val="14E21AEC"/>
    <w:rsid w:val="14EB5121"/>
    <w:rsid w:val="14ED1AF1"/>
    <w:rsid w:val="14EF4729"/>
    <w:rsid w:val="15050DB6"/>
    <w:rsid w:val="15054273"/>
    <w:rsid w:val="150B7290"/>
    <w:rsid w:val="150D49E0"/>
    <w:rsid w:val="15135019"/>
    <w:rsid w:val="151625F0"/>
    <w:rsid w:val="151725C0"/>
    <w:rsid w:val="15227D0B"/>
    <w:rsid w:val="15256486"/>
    <w:rsid w:val="15277D13"/>
    <w:rsid w:val="15344EF4"/>
    <w:rsid w:val="15374C81"/>
    <w:rsid w:val="154532F3"/>
    <w:rsid w:val="154630B6"/>
    <w:rsid w:val="154A0E69"/>
    <w:rsid w:val="154B7B62"/>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77567"/>
    <w:rsid w:val="15E917E8"/>
    <w:rsid w:val="15E943C5"/>
    <w:rsid w:val="15EA62E9"/>
    <w:rsid w:val="15FC1C8E"/>
    <w:rsid w:val="15FE2D6C"/>
    <w:rsid w:val="16123768"/>
    <w:rsid w:val="1617097C"/>
    <w:rsid w:val="16184C36"/>
    <w:rsid w:val="161C3E21"/>
    <w:rsid w:val="16200801"/>
    <w:rsid w:val="162674E6"/>
    <w:rsid w:val="162D6022"/>
    <w:rsid w:val="16385C65"/>
    <w:rsid w:val="163C02B5"/>
    <w:rsid w:val="163C0349"/>
    <w:rsid w:val="164D199F"/>
    <w:rsid w:val="164D5E99"/>
    <w:rsid w:val="165C683C"/>
    <w:rsid w:val="165E5581"/>
    <w:rsid w:val="166164A5"/>
    <w:rsid w:val="16625CB6"/>
    <w:rsid w:val="1676111C"/>
    <w:rsid w:val="167F411B"/>
    <w:rsid w:val="167F4EFC"/>
    <w:rsid w:val="1685774E"/>
    <w:rsid w:val="16875C9E"/>
    <w:rsid w:val="16894593"/>
    <w:rsid w:val="168E1F79"/>
    <w:rsid w:val="169110E8"/>
    <w:rsid w:val="169644A9"/>
    <w:rsid w:val="16980730"/>
    <w:rsid w:val="169A7B3B"/>
    <w:rsid w:val="16AC6366"/>
    <w:rsid w:val="16B107C7"/>
    <w:rsid w:val="16B5338C"/>
    <w:rsid w:val="16B8722B"/>
    <w:rsid w:val="16BF6881"/>
    <w:rsid w:val="16C5250B"/>
    <w:rsid w:val="16C70099"/>
    <w:rsid w:val="16C87A82"/>
    <w:rsid w:val="16CB3BCC"/>
    <w:rsid w:val="16CD6F5D"/>
    <w:rsid w:val="16D9579A"/>
    <w:rsid w:val="16ED61F6"/>
    <w:rsid w:val="16F11E7F"/>
    <w:rsid w:val="16F36502"/>
    <w:rsid w:val="16F8500B"/>
    <w:rsid w:val="16FC56A3"/>
    <w:rsid w:val="170D4AA1"/>
    <w:rsid w:val="171152DE"/>
    <w:rsid w:val="17180376"/>
    <w:rsid w:val="172A45AF"/>
    <w:rsid w:val="172B063D"/>
    <w:rsid w:val="17366025"/>
    <w:rsid w:val="173970B9"/>
    <w:rsid w:val="173C129F"/>
    <w:rsid w:val="173D5C8D"/>
    <w:rsid w:val="17414199"/>
    <w:rsid w:val="174677BB"/>
    <w:rsid w:val="174B21FD"/>
    <w:rsid w:val="174B7873"/>
    <w:rsid w:val="17563CDB"/>
    <w:rsid w:val="17620EEE"/>
    <w:rsid w:val="17641D0C"/>
    <w:rsid w:val="17666B8B"/>
    <w:rsid w:val="17672AE0"/>
    <w:rsid w:val="17673B2D"/>
    <w:rsid w:val="176F7856"/>
    <w:rsid w:val="177E19D4"/>
    <w:rsid w:val="1780159D"/>
    <w:rsid w:val="178907EB"/>
    <w:rsid w:val="1789394D"/>
    <w:rsid w:val="1792438C"/>
    <w:rsid w:val="17950266"/>
    <w:rsid w:val="179761F4"/>
    <w:rsid w:val="179B410F"/>
    <w:rsid w:val="17A32EA2"/>
    <w:rsid w:val="17A3464C"/>
    <w:rsid w:val="17A42247"/>
    <w:rsid w:val="17AB0E90"/>
    <w:rsid w:val="17AE3DF9"/>
    <w:rsid w:val="17B17001"/>
    <w:rsid w:val="17B66C8C"/>
    <w:rsid w:val="17B7390A"/>
    <w:rsid w:val="17CE4EE8"/>
    <w:rsid w:val="17CF71D5"/>
    <w:rsid w:val="17D30995"/>
    <w:rsid w:val="17D51474"/>
    <w:rsid w:val="17E14BE0"/>
    <w:rsid w:val="17E9009B"/>
    <w:rsid w:val="17F04B0C"/>
    <w:rsid w:val="17F9514B"/>
    <w:rsid w:val="17FA028A"/>
    <w:rsid w:val="18052C62"/>
    <w:rsid w:val="18222D01"/>
    <w:rsid w:val="18233912"/>
    <w:rsid w:val="182F4000"/>
    <w:rsid w:val="18320EDA"/>
    <w:rsid w:val="1842371C"/>
    <w:rsid w:val="18465356"/>
    <w:rsid w:val="184675AA"/>
    <w:rsid w:val="184D75B5"/>
    <w:rsid w:val="184E57AD"/>
    <w:rsid w:val="18570F48"/>
    <w:rsid w:val="185D7F03"/>
    <w:rsid w:val="18651308"/>
    <w:rsid w:val="18691228"/>
    <w:rsid w:val="187D68BE"/>
    <w:rsid w:val="187E61D4"/>
    <w:rsid w:val="188405EE"/>
    <w:rsid w:val="18870B3C"/>
    <w:rsid w:val="18887FCB"/>
    <w:rsid w:val="188D113E"/>
    <w:rsid w:val="188D2C31"/>
    <w:rsid w:val="189221DA"/>
    <w:rsid w:val="189B0340"/>
    <w:rsid w:val="18AB5F50"/>
    <w:rsid w:val="18C50DCA"/>
    <w:rsid w:val="18CC5680"/>
    <w:rsid w:val="18D351C1"/>
    <w:rsid w:val="18DA0C0E"/>
    <w:rsid w:val="18E273C9"/>
    <w:rsid w:val="18E31592"/>
    <w:rsid w:val="18E46383"/>
    <w:rsid w:val="18E77C11"/>
    <w:rsid w:val="18EA422C"/>
    <w:rsid w:val="18EB4D39"/>
    <w:rsid w:val="18EC1531"/>
    <w:rsid w:val="190C148B"/>
    <w:rsid w:val="1915664F"/>
    <w:rsid w:val="19286A05"/>
    <w:rsid w:val="192D6677"/>
    <w:rsid w:val="193619AF"/>
    <w:rsid w:val="19377763"/>
    <w:rsid w:val="193A1063"/>
    <w:rsid w:val="193D169B"/>
    <w:rsid w:val="19483488"/>
    <w:rsid w:val="19541E21"/>
    <w:rsid w:val="195B2677"/>
    <w:rsid w:val="19615618"/>
    <w:rsid w:val="19726221"/>
    <w:rsid w:val="19774296"/>
    <w:rsid w:val="197A5974"/>
    <w:rsid w:val="19882C6F"/>
    <w:rsid w:val="198C7D58"/>
    <w:rsid w:val="19915327"/>
    <w:rsid w:val="19AD174C"/>
    <w:rsid w:val="19B11F24"/>
    <w:rsid w:val="19BC0BC7"/>
    <w:rsid w:val="19C94B44"/>
    <w:rsid w:val="19CA6F8B"/>
    <w:rsid w:val="19CF0F3E"/>
    <w:rsid w:val="19D72D72"/>
    <w:rsid w:val="19DE2F19"/>
    <w:rsid w:val="19E03225"/>
    <w:rsid w:val="19E172C1"/>
    <w:rsid w:val="19E222FF"/>
    <w:rsid w:val="19F517D2"/>
    <w:rsid w:val="19F6750F"/>
    <w:rsid w:val="1A086052"/>
    <w:rsid w:val="1A0F270F"/>
    <w:rsid w:val="1A1B6926"/>
    <w:rsid w:val="1A1D0E5F"/>
    <w:rsid w:val="1A1E3D8E"/>
    <w:rsid w:val="1A255D45"/>
    <w:rsid w:val="1A256FAF"/>
    <w:rsid w:val="1A2B3E01"/>
    <w:rsid w:val="1A2D042A"/>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E55BE"/>
    <w:rsid w:val="1AAA5D29"/>
    <w:rsid w:val="1AAB017A"/>
    <w:rsid w:val="1AAE7847"/>
    <w:rsid w:val="1AB0305E"/>
    <w:rsid w:val="1AB12E86"/>
    <w:rsid w:val="1AB61DCB"/>
    <w:rsid w:val="1AC34736"/>
    <w:rsid w:val="1AC62F86"/>
    <w:rsid w:val="1AC807BD"/>
    <w:rsid w:val="1ACF4628"/>
    <w:rsid w:val="1AD305F7"/>
    <w:rsid w:val="1AD8671D"/>
    <w:rsid w:val="1ADE1CE9"/>
    <w:rsid w:val="1ADF68C2"/>
    <w:rsid w:val="1AE313A7"/>
    <w:rsid w:val="1AE41843"/>
    <w:rsid w:val="1AEB2657"/>
    <w:rsid w:val="1AED2AC5"/>
    <w:rsid w:val="1AF21441"/>
    <w:rsid w:val="1AF7720B"/>
    <w:rsid w:val="1AF86173"/>
    <w:rsid w:val="1B043150"/>
    <w:rsid w:val="1B0A0449"/>
    <w:rsid w:val="1B214344"/>
    <w:rsid w:val="1B2618AA"/>
    <w:rsid w:val="1B282A1F"/>
    <w:rsid w:val="1B2C2900"/>
    <w:rsid w:val="1B2E270D"/>
    <w:rsid w:val="1B3A6ABC"/>
    <w:rsid w:val="1B411CAD"/>
    <w:rsid w:val="1B472C60"/>
    <w:rsid w:val="1B481F20"/>
    <w:rsid w:val="1B525520"/>
    <w:rsid w:val="1B5D658A"/>
    <w:rsid w:val="1B6810CA"/>
    <w:rsid w:val="1B847190"/>
    <w:rsid w:val="1B855D1B"/>
    <w:rsid w:val="1B901D24"/>
    <w:rsid w:val="1B9238C5"/>
    <w:rsid w:val="1BA330E6"/>
    <w:rsid w:val="1BAA12C3"/>
    <w:rsid w:val="1BB11D65"/>
    <w:rsid w:val="1BBB4785"/>
    <w:rsid w:val="1BC842A7"/>
    <w:rsid w:val="1BCE55CD"/>
    <w:rsid w:val="1BD22422"/>
    <w:rsid w:val="1BD758BF"/>
    <w:rsid w:val="1BD85C0F"/>
    <w:rsid w:val="1BE665A9"/>
    <w:rsid w:val="1BEA7134"/>
    <w:rsid w:val="1BEF752C"/>
    <w:rsid w:val="1C094D52"/>
    <w:rsid w:val="1C09660A"/>
    <w:rsid w:val="1C0C12F3"/>
    <w:rsid w:val="1C0C5FC4"/>
    <w:rsid w:val="1C121A2E"/>
    <w:rsid w:val="1C213CA2"/>
    <w:rsid w:val="1C2166E4"/>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F5CE6"/>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324838"/>
    <w:rsid w:val="1D4A6C0C"/>
    <w:rsid w:val="1D4E0F11"/>
    <w:rsid w:val="1D544CD0"/>
    <w:rsid w:val="1D570664"/>
    <w:rsid w:val="1D5959B8"/>
    <w:rsid w:val="1D601DE5"/>
    <w:rsid w:val="1D662D00"/>
    <w:rsid w:val="1D6715D4"/>
    <w:rsid w:val="1D731564"/>
    <w:rsid w:val="1D7F48D9"/>
    <w:rsid w:val="1D800675"/>
    <w:rsid w:val="1D883C26"/>
    <w:rsid w:val="1D901466"/>
    <w:rsid w:val="1D916CA9"/>
    <w:rsid w:val="1D986D58"/>
    <w:rsid w:val="1DA03981"/>
    <w:rsid w:val="1DA436CC"/>
    <w:rsid w:val="1DAA548B"/>
    <w:rsid w:val="1DAE6C6E"/>
    <w:rsid w:val="1DB03F77"/>
    <w:rsid w:val="1DBB5F1A"/>
    <w:rsid w:val="1DBC6165"/>
    <w:rsid w:val="1DCB6C52"/>
    <w:rsid w:val="1DD332A5"/>
    <w:rsid w:val="1DE75E8F"/>
    <w:rsid w:val="1DE819A8"/>
    <w:rsid w:val="1DEC5DFD"/>
    <w:rsid w:val="1DEE6BE7"/>
    <w:rsid w:val="1DF00C8B"/>
    <w:rsid w:val="1DF57CC0"/>
    <w:rsid w:val="1E0631EA"/>
    <w:rsid w:val="1E07035C"/>
    <w:rsid w:val="1E0A72C5"/>
    <w:rsid w:val="1E0E1D8B"/>
    <w:rsid w:val="1E136084"/>
    <w:rsid w:val="1E152737"/>
    <w:rsid w:val="1E19443F"/>
    <w:rsid w:val="1E195E3B"/>
    <w:rsid w:val="1E1A4A82"/>
    <w:rsid w:val="1E1E7098"/>
    <w:rsid w:val="1E323D1C"/>
    <w:rsid w:val="1E3B2D3A"/>
    <w:rsid w:val="1E414076"/>
    <w:rsid w:val="1E444ACF"/>
    <w:rsid w:val="1E4809CB"/>
    <w:rsid w:val="1E4D2C6C"/>
    <w:rsid w:val="1E560B35"/>
    <w:rsid w:val="1E583CD3"/>
    <w:rsid w:val="1E5F1645"/>
    <w:rsid w:val="1E5F35E9"/>
    <w:rsid w:val="1E6142BE"/>
    <w:rsid w:val="1E7A5305"/>
    <w:rsid w:val="1E7F64D3"/>
    <w:rsid w:val="1E820C8A"/>
    <w:rsid w:val="1E86624C"/>
    <w:rsid w:val="1E9021F3"/>
    <w:rsid w:val="1EA57CBE"/>
    <w:rsid w:val="1EA920DC"/>
    <w:rsid w:val="1EAA3A02"/>
    <w:rsid w:val="1EAC1876"/>
    <w:rsid w:val="1EB31215"/>
    <w:rsid w:val="1EB41EF0"/>
    <w:rsid w:val="1ED627B8"/>
    <w:rsid w:val="1EDC0CE5"/>
    <w:rsid w:val="1EDC6549"/>
    <w:rsid w:val="1F0513B1"/>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7217C"/>
    <w:rsid w:val="1F677E03"/>
    <w:rsid w:val="1F727F37"/>
    <w:rsid w:val="1F8320D0"/>
    <w:rsid w:val="1F9920A5"/>
    <w:rsid w:val="1FA0216D"/>
    <w:rsid w:val="1FAD225B"/>
    <w:rsid w:val="1FB26157"/>
    <w:rsid w:val="1FB31D0A"/>
    <w:rsid w:val="1FB524DE"/>
    <w:rsid w:val="1FB572A9"/>
    <w:rsid w:val="1FBC7C24"/>
    <w:rsid w:val="1FC4563B"/>
    <w:rsid w:val="1FC76D3D"/>
    <w:rsid w:val="1FC81159"/>
    <w:rsid w:val="1FE34BC6"/>
    <w:rsid w:val="1FE41856"/>
    <w:rsid w:val="1FE83DDC"/>
    <w:rsid w:val="1FEB7446"/>
    <w:rsid w:val="1FFE0A77"/>
    <w:rsid w:val="20055C68"/>
    <w:rsid w:val="2008261D"/>
    <w:rsid w:val="202B2AF4"/>
    <w:rsid w:val="20316D2A"/>
    <w:rsid w:val="203F0F39"/>
    <w:rsid w:val="20461C42"/>
    <w:rsid w:val="204D2584"/>
    <w:rsid w:val="204E57D3"/>
    <w:rsid w:val="20515FBA"/>
    <w:rsid w:val="20517BEC"/>
    <w:rsid w:val="20555725"/>
    <w:rsid w:val="206538A3"/>
    <w:rsid w:val="206755AB"/>
    <w:rsid w:val="20703A0E"/>
    <w:rsid w:val="207B3800"/>
    <w:rsid w:val="207B7A31"/>
    <w:rsid w:val="20807B83"/>
    <w:rsid w:val="208A1412"/>
    <w:rsid w:val="20925FB2"/>
    <w:rsid w:val="20B220B5"/>
    <w:rsid w:val="20B517CC"/>
    <w:rsid w:val="20C874CF"/>
    <w:rsid w:val="20D43928"/>
    <w:rsid w:val="20D44D86"/>
    <w:rsid w:val="20DA02A4"/>
    <w:rsid w:val="20DB5196"/>
    <w:rsid w:val="20F1332C"/>
    <w:rsid w:val="20FF2023"/>
    <w:rsid w:val="21012B73"/>
    <w:rsid w:val="21052FDF"/>
    <w:rsid w:val="210543B3"/>
    <w:rsid w:val="210B1F41"/>
    <w:rsid w:val="211A0F79"/>
    <w:rsid w:val="21305EA8"/>
    <w:rsid w:val="21331C19"/>
    <w:rsid w:val="213754B1"/>
    <w:rsid w:val="213C22A1"/>
    <w:rsid w:val="213E37E4"/>
    <w:rsid w:val="213E5369"/>
    <w:rsid w:val="21426FE0"/>
    <w:rsid w:val="21446326"/>
    <w:rsid w:val="21467F17"/>
    <w:rsid w:val="214833CD"/>
    <w:rsid w:val="214E64EF"/>
    <w:rsid w:val="215163F7"/>
    <w:rsid w:val="21523A44"/>
    <w:rsid w:val="21526A50"/>
    <w:rsid w:val="21590FA5"/>
    <w:rsid w:val="2159361F"/>
    <w:rsid w:val="217043C3"/>
    <w:rsid w:val="217334F8"/>
    <w:rsid w:val="21847EDE"/>
    <w:rsid w:val="21863A96"/>
    <w:rsid w:val="219011FB"/>
    <w:rsid w:val="21A17DBB"/>
    <w:rsid w:val="21AB744A"/>
    <w:rsid w:val="21AC46EE"/>
    <w:rsid w:val="21AD38FB"/>
    <w:rsid w:val="21BA3FD6"/>
    <w:rsid w:val="21BA7D0C"/>
    <w:rsid w:val="21BD0253"/>
    <w:rsid w:val="21CE1B27"/>
    <w:rsid w:val="21CF3FE7"/>
    <w:rsid w:val="21D05CDD"/>
    <w:rsid w:val="21D35012"/>
    <w:rsid w:val="21D604E6"/>
    <w:rsid w:val="21DC43C2"/>
    <w:rsid w:val="21FC6987"/>
    <w:rsid w:val="22054593"/>
    <w:rsid w:val="22190DF0"/>
    <w:rsid w:val="221966A6"/>
    <w:rsid w:val="22346226"/>
    <w:rsid w:val="223660EF"/>
    <w:rsid w:val="2246615D"/>
    <w:rsid w:val="22467831"/>
    <w:rsid w:val="225709AF"/>
    <w:rsid w:val="226264E4"/>
    <w:rsid w:val="22712124"/>
    <w:rsid w:val="22756396"/>
    <w:rsid w:val="2277737E"/>
    <w:rsid w:val="2278627B"/>
    <w:rsid w:val="227D3DD3"/>
    <w:rsid w:val="227D50AF"/>
    <w:rsid w:val="228A32ED"/>
    <w:rsid w:val="229F0FDC"/>
    <w:rsid w:val="22AB34FD"/>
    <w:rsid w:val="22B00FE3"/>
    <w:rsid w:val="22B412BB"/>
    <w:rsid w:val="22B921DA"/>
    <w:rsid w:val="22B94355"/>
    <w:rsid w:val="22C00FF6"/>
    <w:rsid w:val="22C31AB2"/>
    <w:rsid w:val="22C93511"/>
    <w:rsid w:val="22C97A4D"/>
    <w:rsid w:val="22CA1123"/>
    <w:rsid w:val="22D448A9"/>
    <w:rsid w:val="22DA4910"/>
    <w:rsid w:val="22DB44FC"/>
    <w:rsid w:val="22E67F1C"/>
    <w:rsid w:val="22E76EF6"/>
    <w:rsid w:val="22E92F5A"/>
    <w:rsid w:val="22ED4E92"/>
    <w:rsid w:val="22EE232A"/>
    <w:rsid w:val="22F834E5"/>
    <w:rsid w:val="22F846D3"/>
    <w:rsid w:val="22FC38E3"/>
    <w:rsid w:val="22FF54B6"/>
    <w:rsid w:val="23140095"/>
    <w:rsid w:val="23157F61"/>
    <w:rsid w:val="231D5C46"/>
    <w:rsid w:val="232936D0"/>
    <w:rsid w:val="232D4051"/>
    <w:rsid w:val="23314992"/>
    <w:rsid w:val="2332113F"/>
    <w:rsid w:val="23351FA9"/>
    <w:rsid w:val="23393DBB"/>
    <w:rsid w:val="234472BE"/>
    <w:rsid w:val="2345336D"/>
    <w:rsid w:val="234A76EF"/>
    <w:rsid w:val="234B2789"/>
    <w:rsid w:val="234E4970"/>
    <w:rsid w:val="235B61C9"/>
    <w:rsid w:val="236E3CBA"/>
    <w:rsid w:val="23764990"/>
    <w:rsid w:val="238A6CD1"/>
    <w:rsid w:val="239E0AFE"/>
    <w:rsid w:val="23A36852"/>
    <w:rsid w:val="23A42FE5"/>
    <w:rsid w:val="23A80A91"/>
    <w:rsid w:val="23B52E13"/>
    <w:rsid w:val="23B53DAB"/>
    <w:rsid w:val="23B963A3"/>
    <w:rsid w:val="23C960C1"/>
    <w:rsid w:val="23CE7222"/>
    <w:rsid w:val="23D507D0"/>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45ADD"/>
    <w:rsid w:val="24366057"/>
    <w:rsid w:val="24395BC7"/>
    <w:rsid w:val="243E1454"/>
    <w:rsid w:val="24480B04"/>
    <w:rsid w:val="244B00C0"/>
    <w:rsid w:val="24504564"/>
    <w:rsid w:val="245E4B1C"/>
    <w:rsid w:val="245E65F7"/>
    <w:rsid w:val="246063DF"/>
    <w:rsid w:val="246451CA"/>
    <w:rsid w:val="246A734E"/>
    <w:rsid w:val="246B20E8"/>
    <w:rsid w:val="24757E60"/>
    <w:rsid w:val="247C4CC8"/>
    <w:rsid w:val="247C711F"/>
    <w:rsid w:val="248E7CF4"/>
    <w:rsid w:val="249352DE"/>
    <w:rsid w:val="24AD0773"/>
    <w:rsid w:val="24AD5999"/>
    <w:rsid w:val="24B35271"/>
    <w:rsid w:val="24B40316"/>
    <w:rsid w:val="24B521B5"/>
    <w:rsid w:val="24B545C8"/>
    <w:rsid w:val="24BA19EE"/>
    <w:rsid w:val="24CE4AF6"/>
    <w:rsid w:val="24D20846"/>
    <w:rsid w:val="24DD64FC"/>
    <w:rsid w:val="24E329D4"/>
    <w:rsid w:val="24E57B81"/>
    <w:rsid w:val="24E61D5B"/>
    <w:rsid w:val="24E65598"/>
    <w:rsid w:val="24E96743"/>
    <w:rsid w:val="24EA675F"/>
    <w:rsid w:val="24EE5A0B"/>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8249F5"/>
    <w:rsid w:val="25852F8D"/>
    <w:rsid w:val="258C1E50"/>
    <w:rsid w:val="25963BDC"/>
    <w:rsid w:val="259E0F52"/>
    <w:rsid w:val="25A131B1"/>
    <w:rsid w:val="25A56969"/>
    <w:rsid w:val="25AC209F"/>
    <w:rsid w:val="25AF5AD1"/>
    <w:rsid w:val="25B0694C"/>
    <w:rsid w:val="25C03F3E"/>
    <w:rsid w:val="25C913AC"/>
    <w:rsid w:val="25C94238"/>
    <w:rsid w:val="25D90F75"/>
    <w:rsid w:val="25DA3DD7"/>
    <w:rsid w:val="25E17531"/>
    <w:rsid w:val="260A62CD"/>
    <w:rsid w:val="260C0317"/>
    <w:rsid w:val="260D0F43"/>
    <w:rsid w:val="261B2A21"/>
    <w:rsid w:val="26230FB3"/>
    <w:rsid w:val="26277D9A"/>
    <w:rsid w:val="26280A3A"/>
    <w:rsid w:val="262C2DFB"/>
    <w:rsid w:val="26362445"/>
    <w:rsid w:val="264B79AC"/>
    <w:rsid w:val="265D2C36"/>
    <w:rsid w:val="266863CC"/>
    <w:rsid w:val="266D068F"/>
    <w:rsid w:val="26771D77"/>
    <w:rsid w:val="267A3EA7"/>
    <w:rsid w:val="26811112"/>
    <w:rsid w:val="26881D7F"/>
    <w:rsid w:val="269162C2"/>
    <w:rsid w:val="26941211"/>
    <w:rsid w:val="269A39CE"/>
    <w:rsid w:val="26A364C5"/>
    <w:rsid w:val="26A44093"/>
    <w:rsid w:val="26AA72BE"/>
    <w:rsid w:val="26AC0A54"/>
    <w:rsid w:val="26B079EB"/>
    <w:rsid w:val="26B56802"/>
    <w:rsid w:val="26B93D6C"/>
    <w:rsid w:val="26B972F5"/>
    <w:rsid w:val="26CA4E13"/>
    <w:rsid w:val="26E12CEB"/>
    <w:rsid w:val="26E165B9"/>
    <w:rsid w:val="27001A1C"/>
    <w:rsid w:val="2707669F"/>
    <w:rsid w:val="27093B41"/>
    <w:rsid w:val="270975D9"/>
    <w:rsid w:val="270B0F88"/>
    <w:rsid w:val="270F6DCE"/>
    <w:rsid w:val="27104E2C"/>
    <w:rsid w:val="271D074B"/>
    <w:rsid w:val="272A076F"/>
    <w:rsid w:val="273A6D23"/>
    <w:rsid w:val="2744508E"/>
    <w:rsid w:val="27475DA8"/>
    <w:rsid w:val="27514BF7"/>
    <w:rsid w:val="275B2D4B"/>
    <w:rsid w:val="27675135"/>
    <w:rsid w:val="27711D45"/>
    <w:rsid w:val="277D0B81"/>
    <w:rsid w:val="27811362"/>
    <w:rsid w:val="278334F7"/>
    <w:rsid w:val="278A44E6"/>
    <w:rsid w:val="279C45E8"/>
    <w:rsid w:val="27A25E51"/>
    <w:rsid w:val="27A8737C"/>
    <w:rsid w:val="27AC2852"/>
    <w:rsid w:val="27B14F29"/>
    <w:rsid w:val="27BB232A"/>
    <w:rsid w:val="27BC7000"/>
    <w:rsid w:val="27C34BCB"/>
    <w:rsid w:val="27D03B58"/>
    <w:rsid w:val="27D711E9"/>
    <w:rsid w:val="27E17E6D"/>
    <w:rsid w:val="27E5487F"/>
    <w:rsid w:val="27EC3678"/>
    <w:rsid w:val="27F87B30"/>
    <w:rsid w:val="27FC3FF5"/>
    <w:rsid w:val="27FC5B66"/>
    <w:rsid w:val="28001066"/>
    <w:rsid w:val="280964C0"/>
    <w:rsid w:val="281A3EA5"/>
    <w:rsid w:val="28271983"/>
    <w:rsid w:val="28273F08"/>
    <w:rsid w:val="282D4A2F"/>
    <w:rsid w:val="28335AC5"/>
    <w:rsid w:val="28494535"/>
    <w:rsid w:val="284D0039"/>
    <w:rsid w:val="285F1B5C"/>
    <w:rsid w:val="2864350E"/>
    <w:rsid w:val="286706B6"/>
    <w:rsid w:val="286E406A"/>
    <w:rsid w:val="28713AB4"/>
    <w:rsid w:val="287B2CA8"/>
    <w:rsid w:val="287C7545"/>
    <w:rsid w:val="28920A3E"/>
    <w:rsid w:val="28923372"/>
    <w:rsid w:val="28977F29"/>
    <w:rsid w:val="289B7D7E"/>
    <w:rsid w:val="28A36416"/>
    <w:rsid w:val="28B134F3"/>
    <w:rsid w:val="28C7538A"/>
    <w:rsid w:val="28CF2658"/>
    <w:rsid w:val="28DB3A7B"/>
    <w:rsid w:val="28DB5F36"/>
    <w:rsid w:val="28E62AF5"/>
    <w:rsid w:val="28E667CC"/>
    <w:rsid w:val="28F93D04"/>
    <w:rsid w:val="28FE1AB3"/>
    <w:rsid w:val="28FE4B2D"/>
    <w:rsid w:val="29041E6B"/>
    <w:rsid w:val="29162F3C"/>
    <w:rsid w:val="291C315B"/>
    <w:rsid w:val="29336423"/>
    <w:rsid w:val="29362C39"/>
    <w:rsid w:val="293C308A"/>
    <w:rsid w:val="293D7E8D"/>
    <w:rsid w:val="29415C67"/>
    <w:rsid w:val="2944459C"/>
    <w:rsid w:val="294B48E7"/>
    <w:rsid w:val="295623BD"/>
    <w:rsid w:val="29572119"/>
    <w:rsid w:val="295F59C2"/>
    <w:rsid w:val="29611C40"/>
    <w:rsid w:val="29763832"/>
    <w:rsid w:val="297B3133"/>
    <w:rsid w:val="297E1B70"/>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F566E"/>
    <w:rsid w:val="2A0F5AD0"/>
    <w:rsid w:val="2A122202"/>
    <w:rsid w:val="2A152DB6"/>
    <w:rsid w:val="2A1A285E"/>
    <w:rsid w:val="2A2468B8"/>
    <w:rsid w:val="2A2F2E6F"/>
    <w:rsid w:val="2A301D68"/>
    <w:rsid w:val="2A357449"/>
    <w:rsid w:val="2A4D0573"/>
    <w:rsid w:val="2A5B012D"/>
    <w:rsid w:val="2A5E6191"/>
    <w:rsid w:val="2A67601F"/>
    <w:rsid w:val="2A6932E0"/>
    <w:rsid w:val="2A6E71D0"/>
    <w:rsid w:val="2A7C0FEE"/>
    <w:rsid w:val="2AA33CFD"/>
    <w:rsid w:val="2AAE40CF"/>
    <w:rsid w:val="2AAE5B7B"/>
    <w:rsid w:val="2AC2238B"/>
    <w:rsid w:val="2AC5066A"/>
    <w:rsid w:val="2AC805B9"/>
    <w:rsid w:val="2ACC748C"/>
    <w:rsid w:val="2ACF6A8A"/>
    <w:rsid w:val="2AE23FC9"/>
    <w:rsid w:val="2AE609CA"/>
    <w:rsid w:val="2AE6274F"/>
    <w:rsid w:val="2AE70EB2"/>
    <w:rsid w:val="2AE75AFF"/>
    <w:rsid w:val="2AEF405A"/>
    <w:rsid w:val="2AF37208"/>
    <w:rsid w:val="2AF50B76"/>
    <w:rsid w:val="2AFD31AB"/>
    <w:rsid w:val="2B184B68"/>
    <w:rsid w:val="2B205BA3"/>
    <w:rsid w:val="2B223118"/>
    <w:rsid w:val="2B285E7C"/>
    <w:rsid w:val="2B2C5116"/>
    <w:rsid w:val="2B3136F7"/>
    <w:rsid w:val="2B3559C2"/>
    <w:rsid w:val="2B3F1E1C"/>
    <w:rsid w:val="2B4A3D8D"/>
    <w:rsid w:val="2B4A471E"/>
    <w:rsid w:val="2B4A5FA4"/>
    <w:rsid w:val="2B4C6985"/>
    <w:rsid w:val="2B501B65"/>
    <w:rsid w:val="2B613C4D"/>
    <w:rsid w:val="2B6F182C"/>
    <w:rsid w:val="2B74171E"/>
    <w:rsid w:val="2B7C62E4"/>
    <w:rsid w:val="2B841A50"/>
    <w:rsid w:val="2B873A41"/>
    <w:rsid w:val="2BA0294D"/>
    <w:rsid w:val="2BA11B99"/>
    <w:rsid w:val="2BA864FF"/>
    <w:rsid w:val="2BC91F60"/>
    <w:rsid w:val="2BD73FEB"/>
    <w:rsid w:val="2BDC3C01"/>
    <w:rsid w:val="2BEC6C7A"/>
    <w:rsid w:val="2BF0238C"/>
    <w:rsid w:val="2BF07ED6"/>
    <w:rsid w:val="2BF44B30"/>
    <w:rsid w:val="2BF7191D"/>
    <w:rsid w:val="2C020E52"/>
    <w:rsid w:val="2C051307"/>
    <w:rsid w:val="2C0819FF"/>
    <w:rsid w:val="2C091F09"/>
    <w:rsid w:val="2C140305"/>
    <w:rsid w:val="2C155EFF"/>
    <w:rsid w:val="2C1E2655"/>
    <w:rsid w:val="2C290AD7"/>
    <w:rsid w:val="2C36789D"/>
    <w:rsid w:val="2C37579C"/>
    <w:rsid w:val="2C413362"/>
    <w:rsid w:val="2C471CC1"/>
    <w:rsid w:val="2C554F9D"/>
    <w:rsid w:val="2C6124BC"/>
    <w:rsid w:val="2C6203AC"/>
    <w:rsid w:val="2C696F2A"/>
    <w:rsid w:val="2C764051"/>
    <w:rsid w:val="2C7B30C7"/>
    <w:rsid w:val="2C801670"/>
    <w:rsid w:val="2C83561C"/>
    <w:rsid w:val="2C8B4EF3"/>
    <w:rsid w:val="2C8F1FC8"/>
    <w:rsid w:val="2C8F4CA1"/>
    <w:rsid w:val="2C93279C"/>
    <w:rsid w:val="2C955175"/>
    <w:rsid w:val="2CA366B4"/>
    <w:rsid w:val="2CA75A8F"/>
    <w:rsid w:val="2CAA247A"/>
    <w:rsid w:val="2CAA59A1"/>
    <w:rsid w:val="2CAE5946"/>
    <w:rsid w:val="2CB60393"/>
    <w:rsid w:val="2CB6664F"/>
    <w:rsid w:val="2CB768C6"/>
    <w:rsid w:val="2CBA7EE4"/>
    <w:rsid w:val="2CBC5E92"/>
    <w:rsid w:val="2CC16776"/>
    <w:rsid w:val="2CD53BF3"/>
    <w:rsid w:val="2CDF1C79"/>
    <w:rsid w:val="2CFA45B1"/>
    <w:rsid w:val="2D08622F"/>
    <w:rsid w:val="2D0D0C73"/>
    <w:rsid w:val="2D2345C7"/>
    <w:rsid w:val="2D261723"/>
    <w:rsid w:val="2D30781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26137"/>
    <w:rsid w:val="2DA22417"/>
    <w:rsid w:val="2DA500D9"/>
    <w:rsid w:val="2DAC06F5"/>
    <w:rsid w:val="2DAE0F14"/>
    <w:rsid w:val="2DAF5AAF"/>
    <w:rsid w:val="2DB65AAE"/>
    <w:rsid w:val="2DC8442F"/>
    <w:rsid w:val="2DD32C8F"/>
    <w:rsid w:val="2DDD25EF"/>
    <w:rsid w:val="2DE45CFD"/>
    <w:rsid w:val="2DEF5A58"/>
    <w:rsid w:val="2DFA7F9E"/>
    <w:rsid w:val="2DFF4613"/>
    <w:rsid w:val="2E0105C4"/>
    <w:rsid w:val="2E0138AD"/>
    <w:rsid w:val="2E1B4AFC"/>
    <w:rsid w:val="2E1C2D47"/>
    <w:rsid w:val="2E2022A8"/>
    <w:rsid w:val="2E245F9F"/>
    <w:rsid w:val="2E2603E5"/>
    <w:rsid w:val="2E2D43B8"/>
    <w:rsid w:val="2E2F11A0"/>
    <w:rsid w:val="2E316F3F"/>
    <w:rsid w:val="2E3F49AD"/>
    <w:rsid w:val="2E4462D2"/>
    <w:rsid w:val="2E4E530C"/>
    <w:rsid w:val="2E6D227D"/>
    <w:rsid w:val="2E6D7E65"/>
    <w:rsid w:val="2E787995"/>
    <w:rsid w:val="2E79424B"/>
    <w:rsid w:val="2E7C45AD"/>
    <w:rsid w:val="2E8554FA"/>
    <w:rsid w:val="2E8D7461"/>
    <w:rsid w:val="2EA60516"/>
    <w:rsid w:val="2EA8442B"/>
    <w:rsid w:val="2EAD2145"/>
    <w:rsid w:val="2EB81B62"/>
    <w:rsid w:val="2EBC2263"/>
    <w:rsid w:val="2EBD0643"/>
    <w:rsid w:val="2EC233F9"/>
    <w:rsid w:val="2EC35595"/>
    <w:rsid w:val="2EC547F2"/>
    <w:rsid w:val="2ED07EF2"/>
    <w:rsid w:val="2EDE0469"/>
    <w:rsid w:val="2EE37FA0"/>
    <w:rsid w:val="2EE711B6"/>
    <w:rsid w:val="2EEB49FA"/>
    <w:rsid w:val="2EED4F50"/>
    <w:rsid w:val="2F06315B"/>
    <w:rsid w:val="2F0B0AE3"/>
    <w:rsid w:val="2F14652F"/>
    <w:rsid w:val="2F1F7372"/>
    <w:rsid w:val="2F24468F"/>
    <w:rsid w:val="2F261EE0"/>
    <w:rsid w:val="2F270AC3"/>
    <w:rsid w:val="2F2D4FF3"/>
    <w:rsid w:val="2F342A84"/>
    <w:rsid w:val="2F3454EE"/>
    <w:rsid w:val="2F371654"/>
    <w:rsid w:val="2F395E92"/>
    <w:rsid w:val="2F3A4E04"/>
    <w:rsid w:val="2F4003EC"/>
    <w:rsid w:val="2F4076BB"/>
    <w:rsid w:val="2F430FF7"/>
    <w:rsid w:val="2F481044"/>
    <w:rsid w:val="2F4A7913"/>
    <w:rsid w:val="2F5A149E"/>
    <w:rsid w:val="2F5C7A53"/>
    <w:rsid w:val="2F604ED2"/>
    <w:rsid w:val="2F6B07A4"/>
    <w:rsid w:val="2F6F6E22"/>
    <w:rsid w:val="2F75606A"/>
    <w:rsid w:val="2F780359"/>
    <w:rsid w:val="2F8E6C98"/>
    <w:rsid w:val="2F9327A7"/>
    <w:rsid w:val="2FA6537A"/>
    <w:rsid w:val="2FA67D1F"/>
    <w:rsid w:val="2FA867E1"/>
    <w:rsid w:val="2FAB76D1"/>
    <w:rsid w:val="2FB56B98"/>
    <w:rsid w:val="2FBA0D9A"/>
    <w:rsid w:val="2FBE5B8D"/>
    <w:rsid w:val="2FBF713D"/>
    <w:rsid w:val="2FC77845"/>
    <w:rsid w:val="2FC9676A"/>
    <w:rsid w:val="2FCB4DD1"/>
    <w:rsid w:val="2FDC4FF1"/>
    <w:rsid w:val="2FDC5166"/>
    <w:rsid w:val="2FDE194E"/>
    <w:rsid w:val="2FDE6B46"/>
    <w:rsid w:val="2FE232A7"/>
    <w:rsid w:val="2FE3161C"/>
    <w:rsid w:val="2FE754B4"/>
    <w:rsid w:val="2FE94B9A"/>
    <w:rsid w:val="2FF108F6"/>
    <w:rsid w:val="2FF67A42"/>
    <w:rsid w:val="30077136"/>
    <w:rsid w:val="30090875"/>
    <w:rsid w:val="300C16BD"/>
    <w:rsid w:val="300C6D0C"/>
    <w:rsid w:val="3016617D"/>
    <w:rsid w:val="30251522"/>
    <w:rsid w:val="302C1774"/>
    <w:rsid w:val="30345EE8"/>
    <w:rsid w:val="30370F83"/>
    <w:rsid w:val="30372891"/>
    <w:rsid w:val="30396B10"/>
    <w:rsid w:val="303B336D"/>
    <w:rsid w:val="30433157"/>
    <w:rsid w:val="304F6B17"/>
    <w:rsid w:val="30516C77"/>
    <w:rsid w:val="30600370"/>
    <w:rsid w:val="306741DB"/>
    <w:rsid w:val="30780DFA"/>
    <w:rsid w:val="307B4F89"/>
    <w:rsid w:val="308B5CBA"/>
    <w:rsid w:val="30A706D1"/>
    <w:rsid w:val="30AB2825"/>
    <w:rsid w:val="30AB3B6B"/>
    <w:rsid w:val="30AD36ED"/>
    <w:rsid w:val="30CD2327"/>
    <w:rsid w:val="30D0530A"/>
    <w:rsid w:val="30D55375"/>
    <w:rsid w:val="30D9094A"/>
    <w:rsid w:val="30DA1C8A"/>
    <w:rsid w:val="30DB6191"/>
    <w:rsid w:val="30DD06A7"/>
    <w:rsid w:val="30DD29CE"/>
    <w:rsid w:val="30DE37F5"/>
    <w:rsid w:val="30E57BC8"/>
    <w:rsid w:val="30E6523C"/>
    <w:rsid w:val="30E7578F"/>
    <w:rsid w:val="30E91822"/>
    <w:rsid w:val="30ED62B1"/>
    <w:rsid w:val="30EE18BE"/>
    <w:rsid w:val="30EE58FA"/>
    <w:rsid w:val="30F12587"/>
    <w:rsid w:val="30F8450D"/>
    <w:rsid w:val="30F94B3F"/>
    <w:rsid w:val="30FA66F9"/>
    <w:rsid w:val="3102477E"/>
    <w:rsid w:val="31026961"/>
    <w:rsid w:val="3105390F"/>
    <w:rsid w:val="311E3592"/>
    <w:rsid w:val="31225802"/>
    <w:rsid w:val="3138432A"/>
    <w:rsid w:val="313D5697"/>
    <w:rsid w:val="314E4954"/>
    <w:rsid w:val="31500B3C"/>
    <w:rsid w:val="31542211"/>
    <w:rsid w:val="315E2D3B"/>
    <w:rsid w:val="316124DC"/>
    <w:rsid w:val="31643D76"/>
    <w:rsid w:val="31682BB3"/>
    <w:rsid w:val="3168625F"/>
    <w:rsid w:val="31704633"/>
    <w:rsid w:val="3172332D"/>
    <w:rsid w:val="31864D3E"/>
    <w:rsid w:val="318F6100"/>
    <w:rsid w:val="31910D55"/>
    <w:rsid w:val="31991C66"/>
    <w:rsid w:val="319C7B3C"/>
    <w:rsid w:val="31A3175F"/>
    <w:rsid w:val="31A60F66"/>
    <w:rsid w:val="31A87ADD"/>
    <w:rsid w:val="31AA213A"/>
    <w:rsid w:val="31AB33E4"/>
    <w:rsid w:val="31B000F0"/>
    <w:rsid w:val="31BB57B1"/>
    <w:rsid w:val="31BD7DC2"/>
    <w:rsid w:val="31C128E7"/>
    <w:rsid w:val="31C50591"/>
    <w:rsid w:val="31CB53D5"/>
    <w:rsid w:val="31D36060"/>
    <w:rsid w:val="31E73000"/>
    <w:rsid w:val="31EC21BD"/>
    <w:rsid w:val="31EC7522"/>
    <w:rsid w:val="31ED2EF1"/>
    <w:rsid w:val="32017785"/>
    <w:rsid w:val="322721C8"/>
    <w:rsid w:val="32381C5F"/>
    <w:rsid w:val="323C4A2E"/>
    <w:rsid w:val="324030EE"/>
    <w:rsid w:val="32422E19"/>
    <w:rsid w:val="32491755"/>
    <w:rsid w:val="324E140C"/>
    <w:rsid w:val="32614B4A"/>
    <w:rsid w:val="326B6851"/>
    <w:rsid w:val="326F4E9C"/>
    <w:rsid w:val="32702BD5"/>
    <w:rsid w:val="32781E62"/>
    <w:rsid w:val="32811F79"/>
    <w:rsid w:val="32864655"/>
    <w:rsid w:val="32893451"/>
    <w:rsid w:val="32957960"/>
    <w:rsid w:val="329965F5"/>
    <w:rsid w:val="329A6A9E"/>
    <w:rsid w:val="329A736B"/>
    <w:rsid w:val="32A04A94"/>
    <w:rsid w:val="32A427CA"/>
    <w:rsid w:val="32A7197B"/>
    <w:rsid w:val="32B33797"/>
    <w:rsid w:val="32B37E0D"/>
    <w:rsid w:val="32B51BDE"/>
    <w:rsid w:val="32BC3D75"/>
    <w:rsid w:val="32C40A07"/>
    <w:rsid w:val="32CA0686"/>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412A47"/>
    <w:rsid w:val="33443787"/>
    <w:rsid w:val="33482C37"/>
    <w:rsid w:val="334F68F9"/>
    <w:rsid w:val="335131FB"/>
    <w:rsid w:val="3360622F"/>
    <w:rsid w:val="336205A2"/>
    <w:rsid w:val="336D2C26"/>
    <w:rsid w:val="337269A6"/>
    <w:rsid w:val="33791790"/>
    <w:rsid w:val="33810C7A"/>
    <w:rsid w:val="33834D7C"/>
    <w:rsid w:val="33852819"/>
    <w:rsid w:val="33871999"/>
    <w:rsid w:val="338C37F9"/>
    <w:rsid w:val="33900DD8"/>
    <w:rsid w:val="33933FAE"/>
    <w:rsid w:val="33AC185A"/>
    <w:rsid w:val="33AD4603"/>
    <w:rsid w:val="33AD67B5"/>
    <w:rsid w:val="33B900C0"/>
    <w:rsid w:val="33BC00F2"/>
    <w:rsid w:val="33BF13B4"/>
    <w:rsid w:val="33CF792F"/>
    <w:rsid w:val="33DD1044"/>
    <w:rsid w:val="33E22A9F"/>
    <w:rsid w:val="33E252DE"/>
    <w:rsid w:val="33EF4903"/>
    <w:rsid w:val="33F319D8"/>
    <w:rsid w:val="33FB393B"/>
    <w:rsid w:val="340D1BC5"/>
    <w:rsid w:val="340D4B04"/>
    <w:rsid w:val="3422536C"/>
    <w:rsid w:val="342B76AC"/>
    <w:rsid w:val="342F7562"/>
    <w:rsid w:val="34364B8B"/>
    <w:rsid w:val="34375332"/>
    <w:rsid w:val="34442D5D"/>
    <w:rsid w:val="34443210"/>
    <w:rsid w:val="344D76D4"/>
    <w:rsid w:val="34563C27"/>
    <w:rsid w:val="34577CDD"/>
    <w:rsid w:val="345965FA"/>
    <w:rsid w:val="3461183B"/>
    <w:rsid w:val="34674748"/>
    <w:rsid w:val="346B2570"/>
    <w:rsid w:val="34716A18"/>
    <w:rsid w:val="34716D4F"/>
    <w:rsid w:val="347C5154"/>
    <w:rsid w:val="3482183C"/>
    <w:rsid w:val="34850D8B"/>
    <w:rsid w:val="348659F9"/>
    <w:rsid w:val="34887FF5"/>
    <w:rsid w:val="348A1767"/>
    <w:rsid w:val="34920DBA"/>
    <w:rsid w:val="3493711F"/>
    <w:rsid w:val="349F5C3D"/>
    <w:rsid w:val="34AE00F1"/>
    <w:rsid w:val="34AE5218"/>
    <w:rsid w:val="34B070F1"/>
    <w:rsid w:val="34B271E0"/>
    <w:rsid w:val="34B57A6A"/>
    <w:rsid w:val="34B90A4C"/>
    <w:rsid w:val="34BC2AEE"/>
    <w:rsid w:val="34BE4EFB"/>
    <w:rsid w:val="34CB4A12"/>
    <w:rsid w:val="34D21EE8"/>
    <w:rsid w:val="34D47537"/>
    <w:rsid w:val="34D53539"/>
    <w:rsid w:val="34E205A8"/>
    <w:rsid w:val="34EA761F"/>
    <w:rsid w:val="34F262D6"/>
    <w:rsid w:val="34F368AB"/>
    <w:rsid w:val="34F74066"/>
    <w:rsid w:val="34F741B9"/>
    <w:rsid w:val="34FA0D1C"/>
    <w:rsid w:val="34FE0255"/>
    <w:rsid w:val="350730B8"/>
    <w:rsid w:val="35124BDF"/>
    <w:rsid w:val="351547F2"/>
    <w:rsid w:val="351847DE"/>
    <w:rsid w:val="352164B6"/>
    <w:rsid w:val="3522270D"/>
    <w:rsid w:val="35263A2B"/>
    <w:rsid w:val="3528176C"/>
    <w:rsid w:val="352A1A45"/>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BB566F"/>
    <w:rsid w:val="35C04EAE"/>
    <w:rsid w:val="35C55293"/>
    <w:rsid w:val="35CA2A36"/>
    <w:rsid w:val="35D178B2"/>
    <w:rsid w:val="35D43014"/>
    <w:rsid w:val="35D650EC"/>
    <w:rsid w:val="35DB6B26"/>
    <w:rsid w:val="35DE3A4D"/>
    <w:rsid w:val="35E22D8D"/>
    <w:rsid w:val="35E55251"/>
    <w:rsid w:val="35F81772"/>
    <w:rsid w:val="36011A02"/>
    <w:rsid w:val="36094C87"/>
    <w:rsid w:val="36170DC0"/>
    <w:rsid w:val="362A1DFA"/>
    <w:rsid w:val="362B427C"/>
    <w:rsid w:val="362D0BBA"/>
    <w:rsid w:val="362D138E"/>
    <w:rsid w:val="362D79C7"/>
    <w:rsid w:val="363B3F7C"/>
    <w:rsid w:val="363F6804"/>
    <w:rsid w:val="36452BA8"/>
    <w:rsid w:val="36530F8F"/>
    <w:rsid w:val="365F6233"/>
    <w:rsid w:val="36604F52"/>
    <w:rsid w:val="36631EBB"/>
    <w:rsid w:val="36710540"/>
    <w:rsid w:val="367914DA"/>
    <w:rsid w:val="36816BEC"/>
    <w:rsid w:val="36944A6B"/>
    <w:rsid w:val="36963D16"/>
    <w:rsid w:val="36A03182"/>
    <w:rsid w:val="36A46123"/>
    <w:rsid w:val="36AB75A5"/>
    <w:rsid w:val="36CB7422"/>
    <w:rsid w:val="36D24FE3"/>
    <w:rsid w:val="36D44FD1"/>
    <w:rsid w:val="36E147DC"/>
    <w:rsid w:val="36E66A2E"/>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687349"/>
    <w:rsid w:val="37774AF1"/>
    <w:rsid w:val="37825B07"/>
    <w:rsid w:val="37AF4CE7"/>
    <w:rsid w:val="37BE70F0"/>
    <w:rsid w:val="37C279E6"/>
    <w:rsid w:val="37C75D9B"/>
    <w:rsid w:val="37CA1B5C"/>
    <w:rsid w:val="37D92B41"/>
    <w:rsid w:val="37DF4A7F"/>
    <w:rsid w:val="37E420C4"/>
    <w:rsid w:val="37EB040A"/>
    <w:rsid w:val="37F43B51"/>
    <w:rsid w:val="37F976E5"/>
    <w:rsid w:val="38110CEC"/>
    <w:rsid w:val="38290DB3"/>
    <w:rsid w:val="38326A66"/>
    <w:rsid w:val="38376340"/>
    <w:rsid w:val="383D70E7"/>
    <w:rsid w:val="38664E2E"/>
    <w:rsid w:val="386A5665"/>
    <w:rsid w:val="38735FE6"/>
    <w:rsid w:val="38754BF2"/>
    <w:rsid w:val="3876702E"/>
    <w:rsid w:val="387828C4"/>
    <w:rsid w:val="387B6682"/>
    <w:rsid w:val="387C42B2"/>
    <w:rsid w:val="387F773D"/>
    <w:rsid w:val="38872071"/>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46389"/>
    <w:rsid w:val="38D56E7C"/>
    <w:rsid w:val="38DA4C4D"/>
    <w:rsid w:val="38DF49DC"/>
    <w:rsid w:val="38E13451"/>
    <w:rsid w:val="38E16704"/>
    <w:rsid w:val="38E511CC"/>
    <w:rsid w:val="38F14A9A"/>
    <w:rsid w:val="38F55363"/>
    <w:rsid w:val="38FC27C1"/>
    <w:rsid w:val="39086667"/>
    <w:rsid w:val="390F2FF9"/>
    <w:rsid w:val="3910200E"/>
    <w:rsid w:val="391C61E0"/>
    <w:rsid w:val="391D1AF6"/>
    <w:rsid w:val="391F121C"/>
    <w:rsid w:val="39227ED6"/>
    <w:rsid w:val="39247565"/>
    <w:rsid w:val="39275CC8"/>
    <w:rsid w:val="39373005"/>
    <w:rsid w:val="39425244"/>
    <w:rsid w:val="39447834"/>
    <w:rsid w:val="39452CF0"/>
    <w:rsid w:val="394B1976"/>
    <w:rsid w:val="39576EF4"/>
    <w:rsid w:val="395A0C8B"/>
    <w:rsid w:val="3960479A"/>
    <w:rsid w:val="39623066"/>
    <w:rsid w:val="397F20EE"/>
    <w:rsid w:val="39826C0F"/>
    <w:rsid w:val="39834066"/>
    <w:rsid w:val="39946946"/>
    <w:rsid w:val="39A40146"/>
    <w:rsid w:val="39A66893"/>
    <w:rsid w:val="39B11BBD"/>
    <w:rsid w:val="39BD380D"/>
    <w:rsid w:val="39C678D5"/>
    <w:rsid w:val="39C8188B"/>
    <w:rsid w:val="39D33090"/>
    <w:rsid w:val="39D6511B"/>
    <w:rsid w:val="39DB63B7"/>
    <w:rsid w:val="39EC63B4"/>
    <w:rsid w:val="39EF3E2E"/>
    <w:rsid w:val="39F14B5C"/>
    <w:rsid w:val="39F31198"/>
    <w:rsid w:val="39FC5027"/>
    <w:rsid w:val="3A0251EF"/>
    <w:rsid w:val="3A052141"/>
    <w:rsid w:val="3A106E99"/>
    <w:rsid w:val="3A22354D"/>
    <w:rsid w:val="3A281AFF"/>
    <w:rsid w:val="3A334EF5"/>
    <w:rsid w:val="3A3C4A01"/>
    <w:rsid w:val="3A4241F8"/>
    <w:rsid w:val="3A4246A7"/>
    <w:rsid w:val="3A5D13E2"/>
    <w:rsid w:val="3A657FBD"/>
    <w:rsid w:val="3A6A0A69"/>
    <w:rsid w:val="3A6D151C"/>
    <w:rsid w:val="3A6D6026"/>
    <w:rsid w:val="3A7B0FED"/>
    <w:rsid w:val="3A8C4B88"/>
    <w:rsid w:val="3A92109E"/>
    <w:rsid w:val="3A94135D"/>
    <w:rsid w:val="3A975E8B"/>
    <w:rsid w:val="3AA143DE"/>
    <w:rsid w:val="3AA77A0B"/>
    <w:rsid w:val="3AA8108F"/>
    <w:rsid w:val="3AAC1FDD"/>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F7440"/>
    <w:rsid w:val="3B1212F4"/>
    <w:rsid w:val="3B1337B8"/>
    <w:rsid w:val="3B172B4F"/>
    <w:rsid w:val="3B185FF2"/>
    <w:rsid w:val="3B1C653F"/>
    <w:rsid w:val="3B27041B"/>
    <w:rsid w:val="3B31003F"/>
    <w:rsid w:val="3B332AD5"/>
    <w:rsid w:val="3B3701AA"/>
    <w:rsid w:val="3B457E78"/>
    <w:rsid w:val="3B4A44AC"/>
    <w:rsid w:val="3B595F92"/>
    <w:rsid w:val="3B615221"/>
    <w:rsid w:val="3B662AA0"/>
    <w:rsid w:val="3B6C5A58"/>
    <w:rsid w:val="3B7B2F20"/>
    <w:rsid w:val="3B7F5877"/>
    <w:rsid w:val="3B800C8A"/>
    <w:rsid w:val="3B8220A8"/>
    <w:rsid w:val="3B8915E1"/>
    <w:rsid w:val="3B904CA9"/>
    <w:rsid w:val="3B9E4948"/>
    <w:rsid w:val="3BB85C1D"/>
    <w:rsid w:val="3BBD0A80"/>
    <w:rsid w:val="3BBD3523"/>
    <w:rsid w:val="3BD00E93"/>
    <w:rsid w:val="3BD13884"/>
    <w:rsid w:val="3BDB1D94"/>
    <w:rsid w:val="3BE3271A"/>
    <w:rsid w:val="3BF0187E"/>
    <w:rsid w:val="3BF24721"/>
    <w:rsid w:val="3BF35B55"/>
    <w:rsid w:val="3BF80CB4"/>
    <w:rsid w:val="3BFE6FB8"/>
    <w:rsid w:val="3C022CB9"/>
    <w:rsid w:val="3C0269F3"/>
    <w:rsid w:val="3C064D0A"/>
    <w:rsid w:val="3C0D6273"/>
    <w:rsid w:val="3C1220DB"/>
    <w:rsid w:val="3C1A5D98"/>
    <w:rsid w:val="3C200389"/>
    <w:rsid w:val="3C265A11"/>
    <w:rsid w:val="3C300A38"/>
    <w:rsid w:val="3C372852"/>
    <w:rsid w:val="3C383425"/>
    <w:rsid w:val="3C392C95"/>
    <w:rsid w:val="3C3950B9"/>
    <w:rsid w:val="3C3E244B"/>
    <w:rsid w:val="3C416A98"/>
    <w:rsid w:val="3C4A7F1D"/>
    <w:rsid w:val="3C62410F"/>
    <w:rsid w:val="3C877A7E"/>
    <w:rsid w:val="3C8D6DE4"/>
    <w:rsid w:val="3C953614"/>
    <w:rsid w:val="3CBA1FE0"/>
    <w:rsid w:val="3CC44CC1"/>
    <w:rsid w:val="3CCD425B"/>
    <w:rsid w:val="3CCE048D"/>
    <w:rsid w:val="3CDA219E"/>
    <w:rsid w:val="3CDA5A95"/>
    <w:rsid w:val="3CE0091C"/>
    <w:rsid w:val="3CE30C99"/>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C63C7"/>
    <w:rsid w:val="3D5C5D0B"/>
    <w:rsid w:val="3D5C74E1"/>
    <w:rsid w:val="3D626116"/>
    <w:rsid w:val="3D661F9E"/>
    <w:rsid w:val="3D697B45"/>
    <w:rsid w:val="3D6B1CC2"/>
    <w:rsid w:val="3D7224BB"/>
    <w:rsid w:val="3D794F2B"/>
    <w:rsid w:val="3D803C2A"/>
    <w:rsid w:val="3D921760"/>
    <w:rsid w:val="3D935DC9"/>
    <w:rsid w:val="3D9C74E3"/>
    <w:rsid w:val="3D9C7BE7"/>
    <w:rsid w:val="3D9C7D4F"/>
    <w:rsid w:val="3D9F4DE4"/>
    <w:rsid w:val="3DA73AC3"/>
    <w:rsid w:val="3DA831FF"/>
    <w:rsid w:val="3DAB3355"/>
    <w:rsid w:val="3DAB6840"/>
    <w:rsid w:val="3DB260AE"/>
    <w:rsid w:val="3DBA16D5"/>
    <w:rsid w:val="3DC76976"/>
    <w:rsid w:val="3DDA4C2C"/>
    <w:rsid w:val="3DE906D1"/>
    <w:rsid w:val="3DE92602"/>
    <w:rsid w:val="3DEA7231"/>
    <w:rsid w:val="3DEC7A38"/>
    <w:rsid w:val="3DED276E"/>
    <w:rsid w:val="3DF3277A"/>
    <w:rsid w:val="3DF8397D"/>
    <w:rsid w:val="3DFA7DC1"/>
    <w:rsid w:val="3E01085D"/>
    <w:rsid w:val="3E04260E"/>
    <w:rsid w:val="3E045DF4"/>
    <w:rsid w:val="3E0735F6"/>
    <w:rsid w:val="3E0A10D6"/>
    <w:rsid w:val="3E0F5A7C"/>
    <w:rsid w:val="3E110F37"/>
    <w:rsid w:val="3E161447"/>
    <w:rsid w:val="3E195271"/>
    <w:rsid w:val="3E213816"/>
    <w:rsid w:val="3E233C25"/>
    <w:rsid w:val="3E2675E7"/>
    <w:rsid w:val="3E287A32"/>
    <w:rsid w:val="3E2E097B"/>
    <w:rsid w:val="3E3370B2"/>
    <w:rsid w:val="3E3434AD"/>
    <w:rsid w:val="3E370B80"/>
    <w:rsid w:val="3E3803E5"/>
    <w:rsid w:val="3E3B6B03"/>
    <w:rsid w:val="3E4337BF"/>
    <w:rsid w:val="3E452CEA"/>
    <w:rsid w:val="3E4937FB"/>
    <w:rsid w:val="3E4D2593"/>
    <w:rsid w:val="3E6D3C44"/>
    <w:rsid w:val="3E746C96"/>
    <w:rsid w:val="3E7A29C4"/>
    <w:rsid w:val="3E7C0A8B"/>
    <w:rsid w:val="3E7E5709"/>
    <w:rsid w:val="3E814541"/>
    <w:rsid w:val="3E9416B0"/>
    <w:rsid w:val="3E955332"/>
    <w:rsid w:val="3E972947"/>
    <w:rsid w:val="3E977B78"/>
    <w:rsid w:val="3E9B0BD0"/>
    <w:rsid w:val="3EA831CB"/>
    <w:rsid w:val="3EAF3365"/>
    <w:rsid w:val="3EAF4DE2"/>
    <w:rsid w:val="3EB02CF7"/>
    <w:rsid w:val="3EB472EA"/>
    <w:rsid w:val="3EBA58E4"/>
    <w:rsid w:val="3EC171DE"/>
    <w:rsid w:val="3ED13664"/>
    <w:rsid w:val="3ED260B2"/>
    <w:rsid w:val="3EDC311B"/>
    <w:rsid w:val="3EEC4975"/>
    <w:rsid w:val="3EED5649"/>
    <w:rsid w:val="3EF32E4D"/>
    <w:rsid w:val="3F0119A3"/>
    <w:rsid w:val="3F085415"/>
    <w:rsid w:val="3F0F014B"/>
    <w:rsid w:val="3F0F58EA"/>
    <w:rsid w:val="3F166C0A"/>
    <w:rsid w:val="3F1B3A62"/>
    <w:rsid w:val="3F20737D"/>
    <w:rsid w:val="3F2675AA"/>
    <w:rsid w:val="3F2759A8"/>
    <w:rsid w:val="3F2B4A98"/>
    <w:rsid w:val="3F323A33"/>
    <w:rsid w:val="3F352B64"/>
    <w:rsid w:val="3F3674B2"/>
    <w:rsid w:val="3F3E0999"/>
    <w:rsid w:val="3F404C89"/>
    <w:rsid w:val="3F450FDB"/>
    <w:rsid w:val="3F4E3420"/>
    <w:rsid w:val="3F5C462C"/>
    <w:rsid w:val="3F5E78C6"/>
    <w:rsid w:val="3F635A61"/>
    <w:rsid w:val="3F681639"/>
    <w:rsid w:val="3F693A5A"/>
    <w:rsid w:val="3F8A64BB"/>
    <w:rsid w:val="3F8F79C6"/>
    <w:rsid w:val="3F9160E8"/>
    <w:rsid w:val="3F96388E"/>
    <w:rsid w:val="3F992E13"/>
    <w:rsid w:val="3FAE571D"/>
    <w:rsid w:val="3FB07776"/>
    <w:rsid w:val="3FB266B6"/>
    <w:rsid w:val="3FB52A2F"/>
    <w:rsid w:val="3FBA4B49"/>
    <w:rsid w:val="3FC82785"/>
    <w:rsid w:val="3FC82F10"/>
    <w:rsid w:val="3FD354C0"/>
    <w:rsid w:val="3FD77C27"/>
    <w:rsid w:val="3FDE4A7E"/>
    <w:rsid w:val="3FDE5A2C"/>
    <w:rsid w:val="3FE70A09"/>
    <w:rsid w:val="3FEF5FE4"/>
    <w:rsid w:val="3FF34101"/>
    <w:rsid w:val="3FF60BBE"/>
    <w:rsid w:val="3FFC0C43"/>
    <w:rsid w:val="40010DA8"/>
    <w:rsid w:val="40130AB9"/>
    <w:rsid w:val="401C527C"/>
    <w:rsid w:val="401E24FE"/>
    <w:rsid w:val="402A405C"/>
    <w:rsid w:val="40366D92"/>
    <w:rsid w:val="404A4B00"/>
    <w:rsid w:val="40541512"/>
    <w:rsid w:val="405B69B7"/>
    <w:rsid w:val="406225E0"/>
    <w:rsid w:val="406A07A5"/>
    <w:rsid w:val="407435D3"/>
    <w:rsid w:val="407B46EF"/>
    <w:rsid w:val="407B7720"/>
    <w:rsid w:val="407F4D7D"/>
    <w:rsid w:val="40986F7A"/>
    <w:rsid w:val="409A2BFF"/>
    <w:rsid w:val="40A57F06"/>
    <w:rsid w:val="40BD701A"/>
    <w:rsid w:val="40CB1D2F"/>
    <w:rsid w:val="40D9702B"/>
    <w:rsid w:val="40DE16DE"/>
    <w:rsid w:val="40F036ED"/>
    <w:rsid w:val="40F2481C"/>
    <w:rsid w:val="40F31DB4"/>
    <w:rsid w:val="40F70084"/>
    <w:rsid w:val="40FC556D"/>
    <w:rsid w:val="410E63CA"/>
    <w:rsid w:val="411879D0"/>
    <w:rsid w:val="411C3E2A"/>
    <w:rsid w:val="411C580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9F7587"/>
    <w:rsid w:val="41AC5BFD"/>
    <w:rsid w:val="41B24D0C"/>
    <w:rsid w:val="41B62584"/>
    <w:rsid w:val="41BD7C6A"/>
    <w:rsid w:val="41DA46A9"/>
    <w:rsid w:val="41DC6E65"/>
    <w:rsid w:val="41E21A59"/>
    <w:rsid w:val="41E32E1B"/>
    <w:rsid w:val="41E52704"/>
    <w:rsid w:val="41EB3A2C"/>
    <w:rsid w:val="41EE4E31"/>
    <w:rsid w:val="41F03646"/>
    <w:rsid w:val="41F13142"/>
    <w:rsid w:val="41F43008"/>
    <w:rsid w:val="4209746C"/>
    <w:rsid w:val="420F1061"/>
    <w:rsid w:val="421319BB"/>
    <w:rsid w:val="4217286E"/>
    <w:rsid w:val="421D13C7"/>
    <w:rsid w:val="421E3260"/>
    <w:rsid w:val="42392B6D"/>
    <w:rsid w:val="423C17F5"/>
    <w:rsid w:val="424A7C49"/>
    <w:rsid w:val="424B7D79"/>
    <w:rsid w:val="42682B55"/>
    <w:rsid w:val="42687C4C"/>
    <w:rsid w:val="426C0E01"/>
    <w:rsid w:val="426D3625"/>
    <w:rsid w:val="42763B2F"/>
    <w:rsid w:val="427F01E0"/>
    <w:rsid w:val="42962F4C"/>
    <w:rsid w:val="429A03F4"/>
    <w:rsid w:val="42A47574"/>
    <w:rsid w:val="42A5183F"/>
    <w:rsid w:val="42A94991"/>
    <w:rsid w:val="42AC7708"/>
    <w:rsid w:val="42B55834"/>
    <w:rsid w:val="42C20EF5"/>
    <w:rsid w:val="42C24E97"/>
    <w:rsid w:val="42C953BF"/>
    <w:rsid w:val="42CB5598"/>
    <w:rsid w:val="42CC3676"/>
    <w:rsid w:val="42DC7894"/>
    <w:rsid w:val="42DD12B8"/>
    <w:rsid w:val="42E7080D"/>
    <w:rsid w:val="42EF1ECA"/>
    <w:rsid w:val="42F1358E"/>
    <w:rsid w:val="42F44D74"/>
    <w:rsid w:val="42F93A0F"/>
    <w:rsid w:val="42FA2C71"/>
    <w:rsid w:val="43001F84"/>
    <w:rsid w:val="43043A39"/>
    <w:rsid w:val="431A7B55"/>
    <w:rsid w:val="432951F6"/>
    <w:rsid w:val="432B3B3F"/>
    <w:rsid w:val="433A1882"/>
    <w:rsid w:val="43401E67"/>
    <w:rsid w:val="434206D5"/>
    <w:rsid w:val="43627F42"/>
    <w:rsid w:val="43631EF9"/>
    <w:rsid w:val="4363310A"/>
    <w:rsid w:val="436B21D8"/>
    <w:rsid w:val="436B341D"/>
    <w:rsid w:val="437A5975"/>
    <w:rsid w:val="438A0835"/>
    <w:rsid w:val="438B52E0"/>
    <w:rsid w:val="43916981"/>
    <w:rsid w:val="439C45A4"/>
    <w:rsid w:val="43B901A7"/>
    <w:rsid w:val="43BC75C6"/>
    <w:rsid w:val="43BC7EBD"/>
    <w:rsid w:val="43C64ECB"/>
    <w:rsid w:val="43CB0869"/>
    <w:rsid w:val="43D00944"/>
    <w:rsid w:val="43D25F89"/>
    <w:rsid w:val="43DD4C04"/>
    <w:rsid w:val="43E37A0E"/>
    <w:rsid w:val="43E75AC5"/>
    <w:rsid w:val="43F41C3D"/>
    <w:rsid w:val="43F44980"/>
    <w:rsid w:val="43F60B10"/>
    <w:rsid w:val="43FB6C70"/>
    <w:rsid w:val="44040CCC"/>
    <w:rsid w:val="440E51B7"/>
    <w:rsid w:val="441373B9"/>
    <w:rsid w:val="4417428C"/>
    <w:rsid w:val="4419668D"/>
    <w:rsid w:val="442E6DCD"/>
    <w:rsid w:val="443F168F"/>
    <w:rsid w:val="44416A28"/>
    <w:rsid w:val="445A16E7"/>
    <w:rsid w:val="44695A64"/>
    <w:rsid w:val="446A1F2B"/>
    <w:rsid w:val="446B2A97"/>
    <w:rsid w:val="44785348"/>
    <w:rsid w:val="44883E1A"/>
    <w:rsid w:val="448D112C"/>
    <w:rsid w:val="4494718F"/>
    <w:rsid w:val="44B37920"/>
    <w:rsid w:val="44B81C74"/>
    <w:rsid w:val="44C412E0"/>
    <w:rsid w:val="44C6239C"/>
    <w:rsid w:val="44C90E74"/>
    <w:rsid w:val="44CD7B5D"/>
    <w:rsid w:val="44D242F0"/>
    <w:rsid w:val="44E25EC8"/>
    <w:rsid w:val="44ED1AB7"/>
    <w:rsid w:val="44EF5927"/>
    <w:rsid w:val="44F1176D"/>
    <w:rsid w:val="44F33246"/>
    <w:rsid w:val="450A5E13"/>
    <w:rsid w:val="451262FD"/>
    <w:rsid w:val="4516721D"/>
    <w:rsid w:val="45173EE8"/>
    <w:rsid w:val="45194E52"/>
    <w:rsid w:val="451C6E79"/>
    <w:rsid w:val="451D4342"/>
    <w:rsid w:val="451D691D"/>
    <w:rsid w:val="451D6BCE"/>
    <w:rsid w:val="452766AE"/>
    <w:rsid w:val="452B1D79"/>
    <w:rsid w:val="453749EF"/>
    <w:rsid w:val="4538439A"/>
    <w:rsid w:val="453C6751"/>
    <w:rsid w:val="4541256D"/>
    <w:rsid w:val="45554DA6"/>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5366"/>
    <w:rsid w:val="45C72682"/>
    <w:rsid w:val="45CD5527"/>
    <w:rsid w:val="45CE42DE"/>
    <w:rsid w:val="45D87BEF"/>
    <w:rsid w:val="45DC0B26"/>
    <w:rsid w:val="45E657C3"/>
    <w:rsid w:val="45F25875"/>
    <w:rsid w:val="45F32D90"/>
    <w:rsid w:val="45F864BD"/>
    <w:rsid w:val="45FA0300"/>
    <w:rsid w:val="45FF0F3E"/>
    <w:rsid w:val="45FF17EF"/>
    <w:rsid w:val="460075EB"/>
    <w:rsid w:val="46035A57"/>
    <w:rsid w:val="460B47C4"/>
    <w:rsid w:val="462264EF"/>
    <w:rsid w:val="463246FD"/>
    <w:rsid w:val="46371A60"/>
    <w:rsid w:val="464014DD"/>
    <w:rsid w:val="46420F20"/>
    <w:rsid w:val="46495061"/>
    <w:rsid w:val="4649770B"/>
    <w:rsid w:val="464A6A97"/>
    <w:rsid w:val="464C72CE"/>
    <w:rsid w:val="46521EE5"/>
    <w:rsid w:val="46525093"/>
    <w:rsid w:val="4661125D"/>
    <w:rsid w:val="467C02E8"/>
    <w:rsid w:val="468269BA"/>
    <w:rsid w:val="46861B61"/>
    <w:rsid w:val="46891BFD"/>
    <w:rsid w:val="46902F03"/>
    <w:rsid w:val="46966495"/>
    <w:rsid w:val="46975376"/>
    <w:rsid w:val="469E5829"/>
    <w:rsid w:val="46A132A1"/>
    <w:rsid w:val="46AF5785"/>
    <w:rsid w:val="46B00BEB"/>
    <w:rsid w:val="46B017DC"/>
    <w:rsid w:val="46B11DA1"/>
    <w:rsid w:val="46B3719C"/>
    <w:rsid w:val="46C7595A"/>
    <w:rsid w:val="46C919A1"/>
    <w:rsid w:val="46CA3EAC"/>
    <w:rsid w:val="46CD108A"/>
    <w:rsid w:val="46CF2B8E"/>
    <w:rsid w:val="46D039A6"/>
    <w:rsid w:val="46D1570C"/>
    <w:rsid w:val="46D835E4"/>
    <w:rsid w:val="46E90864"/>
    <w:rsid w:val="46F3301E"/>
    <w:rsid w:val="46F35F18"/>
    <w:rsid w:val="46F61C13"/>
    <w:rsid w:val="46FA6CB1"/>
    <w:rsid w:val="470A7C30"/>
    <w:rsid w:val="47141380"/>
    <w:rsid w:val="471472EB"/>
    <w:rsid w:val="47177045"/>
    <w:rsid w:val="4723347D"/>
    <w:rsid w:val="472D330E"/>
    <w:rsid w:val="474110AE"/>
    <w:rsid w:val="474430FA"/>
    <w:rsid w:val="474D4F88"/>
    <w:rsid w:val="475340F0"/>
    <w:rsid w:val="47562583"/>
    <w:rsid w:val="475C53EC"/>
    <w:rsid w:val="47837970"/>
    <w:rsid w:val="47845F6A"/>
    <w:rsid w:val="478522B7"/>
    <w:rsid w:val="47A76B68"/>
    <w:rsid w:val="47B47089"/>
    <w:rsid w:val="47B54119"/>
    <w:rsid w:val="47D559FD"/>
    <w:rsid w:val="47DB1730"/>
    <w:rsid w:val="47DB22FE"/>
    <w:rsid w:val="47DF492E"/>
    <w:rsid w:val="47E0621F"/>
    <w:rsid w:val="47E15214"/>
    <w:rsid w:val="47E7533C"/>
    <w:rsid w:val="47F55F20"/>
    <w:rsid w:val="47FC24A8"/>
    <w:rsid w:val="48045892"/>
    <w:rsid w:val="480C7137"/>
    <w:rsid w:val="4810371F"/>
    <w:rsid w:val="4814777E"/>
    <w:rsid w:val="481E346C"/>
    <w:rsid w:val="482F2574"/>
    <w:rsid w:val="483D36B2"/>
    <w:rsid w:val="484A37E9"/>
    <w:rsid w:val="485C6BBC"/>
    <w:rsid w:val="485D6CD3"/>
    <w:rsid w:val="48613C9F"/>
    <w:rsid w:val="48642C1F"/>
    <w:rsid w:val="486432FB"/>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C32F97"/>
    <w:rsid w:val="48C82506"/>
    <w:rsid w:val="48D34DBE"/>
    <w:rsid w:val="48D42328"/>
    <w:rsid w:val="48DF2E1E"/>
    <w:rsid w:val="48E85F04"/>
    <w:rsid w:val="48EB6147"/>
    <w:rsid w:val="48EF4857"/>
    <w:rsid w:val="48F053BB"/>
    <w:rsid w:val="48F3112A"/>
    <w:rsid w:val="48F90735"/>
    <w:rsid w:val="49042FB8"/>
    <w:rsid w:val="490F71F1"/>
    <w:rsid w:val="491E1F88"/>
    <w:rsid w:val="492A51F8"/>
    <w:rsid w:val="492D76E6"/>
    <w:rsid w:val="49307255"/>
    <w:rsid w:val="49313764"/>
    <w:rsid w:val="4933374B"/>
    <w:rsid w:val="493957EA"/>
    <w:rsid w:val="493A0A08"/>
    <w:rsid w:val="494224B8"/>
    <w:rsid w:val="494275AE"/>
    <w:rsid w:val="494707A3"/>
    <w:rsid w:val="49485C35"/>
    <w:rsid w:val="495A006F"/>
    <w:rsid w:val="495D3DC1"/>
    <w:rsid w:val="49617F11"/>
    <w:rsid w:val="49627A95"/>
    <w:rsid w:val="496B39E2"/>
    <w:rsid w:val="49721D88"/>
    <w:rsid w:val="497929CF"/>
    <w:rsid w:val="497C0DC1"/>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114E"/>
    <w:rsid w:val="49BC645D"/>
    <w:rsid w:val="49C9661F"/>
    <w:rsid w:val="49D071F1"/>
    <w:rsid w:val="49D71A3A"/>
    <w:rsid w:val="49DB050B"/>
    <w:rsid w:val="49DD728F"/>
    <w:rsid w:val="49E62680"/>
    <w:rsid w:val="49E72BDC"/>
    <w:rsid w:val="49EA7937"/>
    <w:rsid w:val="49F028E0"/>
    <w:rsid w:val="49F43609"/>
    <w:rsid w:val="49FB25F1"/>
    <w:rsid w:val="4A065FDF"/>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E31C7"/>
    <w:rsid w:val="4AAD74CC"/>
    <w:rsid w:val="4ABA375D"/>
    <w:rsid w:val="4AC25DDB"/>
    <w:rsid w:val="4AC86E3C"/>
    <w:rsid w:val="4AD0632C"/>
    <w:rsid w:val="4ADB024C"/>
    <w:rsid w:val="4ADF4A04"/>
    <w:rsid w:val="4AE05C37"/>
    <w:rsid w:val="4AE87EF3"/>
    <w:rsid w:val="4AFF57A0"/>
    <w:rsid w:val="4B0222FB"/>
    <w:rsid w:val="4B070135"/>
    <w:rsid w:val="4B0F34C3"/>
    <w:rsid w:val="4B1576F3"/>
    <w:rsid w:val="4B2731A5"/>
    <w:rsid w:val="4B360CA0"/>
    <w:rsid w:val="4B3E7214"/>
    <w:rsid w:val="4B465D0E"/>
    <w:rsid w:val="4B500FBC"/>
    <w:rsid w:val="4B51247A"/>
    <w:rsid w:val="4B553168"/>
    <w:rsid w:val="4B644B6E"/>
    <w:rsid w:val="4B6A4E3B"/>
    <w:rsid w:val="4B7052C7"/>
    <w:rsid w:val="4B733C5D"/>
    <w:rsid w:val="4B766759"/>
    <w:rsid w:val="4B7C3483"/>
    <w:rsid w:val="4B893B8A"/>
    <w:rsid w:val="4B8A766E"/>
    <w:rsid w:val="4B9C0FA4"/>
    <w:rsid w:val="4BB530EE"/>
    <w:rsid w:val="4BBC7F50"/>
    <w:rsid w:val="4BC17D85"/>
    <w:rsid w:val="4BC31389"/>
    <w:rsid w:val="4BD22EDF"/>
    <w:rsid w:val="4BD42EDC"/>
    <w:rsid w:val="4BE3154E"/>
    <w:rsid w:val="4BE61D31"/>
    <w:rsid w:val="4BEC3947"/>
    <w:rsid w:val="4BFA060C"/>
    <w:rsid w:val="4C01015B"/>
    <w:rsid w:val="4C0479CE"/>
    <w:rsid w:val="4C137734"/>
    <w:rsid w:val="4C176BC6"/>
    <w:rsid w:val="4C1B1631"/>
    <w:rsid w:val="4C1B5304"/>
    <w:rsid w:val="4C1B72E7"/>
    <w:rsid w:val="4C1C1F65"/>
    <w:rsid w:val="4C22424A"/>
    <w:rsid w:val="4C2B166D"/>
    <w:rsid w:val="4C2D2E4F"/>
    <w:rsid w:val="4C2D72A5"/>
    <w:rsid w:val="4C2E589B"/>
    <w:rsid w:val="4C350015"/>
    <w:rsid w:val="4C375EA1"/>
    <w:rsid w:val="4C3C7C87"/>
    <w:rsid w:val="4C424792"/>
    <w:rsid w:val="4C504585"/>
    <w:rsid w:val="4C566AB8"/>
    <w:rsid w:val="4C577AB7"/>
    <w:rsid w:val="4C5904D7"/>
    <w:rsid w:val="4C6C3DA3"/>
    <w:rsid w:val="4C7154D0"/>
    <w:rsid w:val="4C790F23"/>
    <w:rsid w:val="4C7925D2"/>
    <w:rsid w:val="4C8245B0"/>
    <w:rsid w:val="4C8347F8"/>
    <w:rsid w:val="4C863110"/>
    <w:rsid w:val="4C8D1F8F"/>
    <w:rsid w:val="4CA36DF1"/>
    <w:rsid w:val="4CAE0D95"/>
    <w:rsid w:val="4CBA06D4"/>
    <w:rsid w:val="4CBA10CB"/>
    <w:rsid w:val="4CC12BE0"/>
    <w:rsid w:val="4CCA1913"/>
    <w:rsid w:val="4CD45F49"/>
    <w:rsid w:val="4CDA60FF"/>
    <w:rsid w:val="4CEA5424"/>
    <w:rsid w:val="4CEC3C0A"/>
    <w:rsid w:val="4CEE4CBB"/>
    <w:rsid w:val="4CF02834"/>
    <w:rsid w:val="4CF527BF"/>
    <w:rsid w:val="4CF7206F"/>
    <w:rsid w:val="4D000B99"/>
    <w:rsid w:val="4D070D9A"/>
    <w:rsid w:val="4D076CF6"/>
    <w:rsid w:val="4D106337"/>
    <w:rsid w:val="4D111596"/>
    <w:rsid w:val="4D1332A6"/>
    <w:rsid w:val="4D16248A"/>
    <w:rsid w:val="4D2772AE"/>
    <w:rsid w:val="4D317C62"/>
    <w:rsid w:val="4D3D2579"/>
    <w:rsid w:val="4D4E7D77"/>
    <w:rsid w:val="4D5A7C22"/>
    <w:rsid w:val="4D5C74F5"/>
    <w:rsid w:val="4D632858"/>
    <w:rsid w:val="4D6412B2"/>
    <w:rsid w:val="4D646D2F"/>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AF773E"/>
    <w:rsid w:val="4DBB5F38"/>
    <w:rsid w:val="4DC4607F"/>
    <w:rsid w:val="4DC80C04"/>
    <w:rsid w:val="4DD42F7A"/>
    <w:rsid w:val="4DDA5AB5"/>
    <w:rsid w:val="4DDC1174"/>
    <w:rsid w:val="4DDC5F80"/>
    <w:rsid w:val="4DE244DC"/>
    <w:rsid w:val="4DED3507"/>
    <w:rsid w:val="4DED59D8"/>
    <w:rsid w:val="4DEE0BA6"/>
    <w:rsid w:val="4DF3379E"/>
    <w:rsid w:val="4E017AF8"/>
    <w:rsid w:val="4E053E33"/>
    <w:rsid w:val="4E0A7A34"/>
    <w:rsid w:val="4E0F3079"/>
    <w:rsid w:val="4E137F97"/>
    <w:rsid w:val="4E155F51"/>
    <w:rsid w:val="4E161CDB"/>
    <w:rsid w:val="4E2719DE"/>
    <w:rsid w:val="4E274868"/>
    <w:rsid w:val="4E293BFF"/>
    <w:rsid w:val="4E317A5B"/>
    <w:rsid w:val="4E32646C"/>
    <w:rsid w:val="4E3C091D"/>
    <w:rsid w:val="4E417944"/>
    <w:rsid w:val="4E4361B3"/>
    <w:rsid w:val="4E4C3DFB"/>
    <w:rsid w:val="4E4E5217"/>
    <w:rsid w:val="4E4F5C66"/>
    <w:rsid w:val="4E56224C"/>
    <w:rsid w:val="4E6661C9"/>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C1332E"/>
    <w:rsid w:val="4EC2456A"/>
    <w:rsid w:val="4EC81BF7"/>
    <w:rsid w:val="4EC847BA"/>
    <w:rsid w:val="4EDB1813"/>
    <w:rsid w:val="4EE03590"/>
    <w:rsid w:val="4EE450CC"/>
    <w:rsid w:val="4EE67D8A"/>
    <w:rsid w:val="4EEC0D10"/>
    <w:rsid w:val="4EFB1846"/>
    <w:rsid w:val="4EFC3CE7"/>
    <w:rsid w:val="4F0024E4"/>
    <w:rsid w:val="4F01550E"/>
    <w:rsid w:val="4F071A2A"/>
    <w:rsid w:val="4F2D7545"/>
    <w:rsid w:val="4F3019E1"/>
    <w:rsid w:val="4F3049EB"/>
    <w:rsid w:val="4F4C3DD2"/>
    <w:rsid w:val="4F541BD1"/>
    <w:rsid w:val="4F671B40"/>
    <w:rsid w:val="4F732E08"/>
    <w:rsid w:val="4F755ABA"/>
    <w:rsid w:val="4F7D7B6F"/>
    <w:rsid w:val="4F800789"/>
    <w:rsid w:val="4F88708C"/>
    <w:rsid w:val="4F9471C8"/>
    <w:rsid w:val="4F9C59BD"/>
    <w:rsid w:val="4FA554D0"/>
    <w:rsid w:val="4FB50C3D"/>
    <w:rsid w:val="4FB70C9E"/>
    <w:rsid w:val="4FBC6C28"/>
    <w:rsid w:val="4FC2174E"/>
    <w:rsid w:val="4FC95D22"/>
    <w:rsid w:val="4FC96BDD"/>
    <w:rsid w:val="4FD84FFC"/>
    <w:rsid w:val="4FEE56C6"/>
    <w:rsid w:val="4FEF62BA"/>
    <w:rsid w:val="4FF223AF"/>
    <w:rsid w:val="4FF3250C"/>
    <w:rsid w:val="4FF4635F"/>
    <w:rsid w:val="4FF52176"/>
    <w:rsid w:val="4FFF3ACF"/>
    <w:rsid w:val="50014F85"/>
    <w:rsid w:val="500801EE"/>
    <w:rsid w:val="501577E6"/>
    <w:rsid w:val="501B12FA"/>
    <w:rsid w:val="502A3FE7"/>
    <w:rsid w:val="50437F47"/>
    <w:rsid w:val="504E0A1C"/>
    <w:rsid w:val="504F5E58"/>
    <w:rsid w:val="5050366A"/>
    <w:rsid w:val="50524B42"/>
    <w:rsid w:val="505F6968"/>
    <w:rsid w:val="50674DF4"/>
    <w:rsid w:val="506812DC"/>
    <w:rsid w:val="507546FB"/>
    <w:rsid w:val="5087340C"/>
    <w:rsid w:val="50945719"/>
    <w:rsid w:val="50957357"/>
    <w:rsid w:val="50985A88"/>
    <w:rsid w:val="509C6BA1"/>
    <w:rsid w:val="509D641C"/>
    <w:rsid w:val="50A0282F"/>
    <w:rsid w:val="50A33D09"/>
    <w:rsid w:val="50A77B3B"/>
    <w:rsid w:val="50A97965"/>
    <w:rsid w:val="50B131BD"/>
    <w:rsid w:val="50B8301B"/>
    <w:rsid w:val="50CC0E90"/>
    <w:rsid w:val="50CD0B1D"/>
    <w:rsid w:val="50D51C3D"/>
    <w:rsid w:val="50DC2512"/>
    <w:rsid w:val="50DE4D41"/>
    <w:rsid w:val="50E47B0A"/>
    <w:rsid w:val="50ED166F"/>
    <w:rsid w:val="50F12DEB"/>
    <w:rsid w:val="50F24353"/>
    <w:rsid w:val="50FA1F48"/>
    <w:rsid w:val="50FB0C27"/>
    <w:rsid w:val="50FF230B"/>
    <w:rsid w:val="51010618"/>
    <w:rsid w:val="51082401"/>
    <w:rsid w:val="510B0A7B"/>
    <w:rsid w:val="510B1E42"/>
    <w:rsid w:val="510D415F"/>
    <w:rsid w:val="5116134F"/>
    <w:rsid w:val="5118245E"/>
    <w:rsid w:val="51191774"/>
    <w:rsid w:val="511E0724"/>
    <w:rsid w:val="512013C3"/>
    <w:rsid w:val="51220351"/>
    <w:rsid w:val="51224F3F"/>
    <w:rsid w:val="51296729"/>
    <w:rsid w:val="512970B2"/>
    <w:rsid w:val="51323A6D"/>
    <w:rsid w:val="513736F6"/>
    <w:rsid w:val="514D7F52"/>
    <w:rsid w:val="51515572"/>
    <w:rsid w:val="5157778E"/>
    <w:rsid w:val="5158272B"/>
    <w:rsid w:val="516F0D9A"/>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3E0171"/>
    <w:rsid w:val="52443F13"/>
    <w:rsid w:val="52465F54"/>
    <w:rsid w:val="52527F91"/>
    <w:rsid w:val="5255718B"/>
    <w:rsid w:val="52626852"/>
    <w:rsid w:val="52647786"/>
    <w:rsid w:val="52660409"/>
    <w:rsid w:val="52691CEF"/>
    <w:rsid w:val="527A116F"/>
    <w:rsid w:val="52826223"/>
    <w:rsid w:val="52833F88"/>
    <w:rsid w:val="528D054C"/>
    <w:rsid w:val="5291550A"/>
    <w:rsid w:val="529156DF"/>
    <w:rsid w:val="529A1137"/>
    <w:rsid w:val="529A4B46"/>
    <w:rsid w:val="52A622E2"/>
    <w:rsid w:val="52AC685B"/>
    <w:rsid w:val="52B1645E"/>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C5A79"/>
    <w:rsid w:val="53455292"/>
    <w:rsid w:val="53461A42"/>
    <w:rsid w:val="53461D72"/>
    <w:rsid w:val="53483DF3"/>
    <w:rsid w:val="53485467"/>
    <w:rsid w:val="534F794F"/>
    <w:rsid w:val="53502C2C"/>
    <w:rsid w:val="53621C23"/>
    <w:rsid w:val="53653D3E"/>
    <w:rsid w:val="536900F0"/>
    <w:rsid w:val="536D1C35"/>
    <w:rsid w:val="53750EF7"/>
    <w:rsid w:val="5390208E"/>
    <w:rsid w:val="53917015"/>
    <w:rsid w:val="539B1075"/>
    <w:rsid w:val="53A37B0D"/>
    <w:rsid w:val="53A86CFC"/>
    <w:rsid w:val="53AC17E0"/>
    <w:rsid w:val="53AC42AC"/>
    <w:rsid w:val="53B275F6"/>
    <w:rsid w:val="53B612F2"/>
    <w:rsid w:val="53B724AF"/>
    <w:rsid w:val="53BC1D1A"/>
    <w:rsid w:val="53BC7D8A"/>
    <w:rsid w:val="53C3550A"/>
    <w:rsid w:val="53CF4463"/>
    <w:rsid w:val="53D75012"/>
    <w:rsid w:val="53DB0468"/>
    <w:rsid w:val="53F342C8"/>
    <w:rsid w:val="53F84C14"/>
    <w:rsid w:val="53FB3F6A"/>
    <w:rsid w:val="54045D31"/>
    <w:rsid w:val="540817BB"/>
    <w:rsid w:val="540965BB"/>
    <w:rsid w:val="540E41E7"/>
    <w:rsid w:val="54106CA6"/>
    <w:rsid w:val="54123EA6"/>
    <w:rsid w:val="541F126E"/>
    <w:rsid w:val="54230505"/>
    <w:rsid w:val="542B7D85"/>
    <w:rsid w:val="543512B2"/>
    <w:rsid w:val="5438056D"/>
    <w:rsid w:val="543D38C7"/>
    <w:rsid w:val="544B19FF"/>
    <w:rsid w:val="544B51E5"/>
    <w:rsid w:val="544C3429"/>
    <w:rsid w:val="54523A54"/>
    <w:rsid w:val="54545D5F"/>
    <w:rsid w:val="5456436D"/>
    <w:rsid w:val="546537C4"/>
    <w:rsid w:val="54667494"/>
    <w:rsid w:val="547D04CD"/>
    <w:rsid w:val="5491674B"/>
    <w:rsid w:val="54A4171E"/>
    <w:rsid w:val="54A57BB3"/>
    <w:rsid w:val="54B906EA"/>
    <w:rsid w:val="54BF419A"/>
    <w:rsid w:val="54C96C6D"/>
    <w:rsid w:val="54CD26B0"/>
    <w:rsid w:val="54E10573"/>
    <w:rsid w:val="54E90C9C"/>
    <w:rsid w:val="54F43B90"/>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15A56"/>
    <w:rsid w:val="559F173A"/>
    <w:rsid w:val="55AC2A2D"/>
    <w:rsid w:val="55B0300F"/>
    <w:rsid w:val="55B10E0C"/>
    <w:rsid w:val="55B62D99"/>
    <w:rsid w:val="55BD63A9"/>
    <w:rsid w:val="55BF6453"/>
    <w:rsid w:val="55C946A6"/>
    <w:rsid w:val="55CB06E3"/>
    <w:rsid w:val="55CC0B49"/>
    <w:rsid w:val="55D53A3D"/>
    <w:rsid w:val="55D66F30"/>
    <w:rsid w:val="55D8703F"/>
    <w:rsid w:val="55DA611C"/>
    <w:rsid w:val="55E15A70"/>
    <w:rsid w:val="55F93187"/>
    <w:rsid w:val="560D181B"/>
    <w:rsid w:val="5614634D"/>
    <w:rsid w:val="561815A2"/>
    <w:rsid w:val="561977E3"/>
    <w:rsid w:val="5630661A"/>
    <w:rsid w:val="563B18C7"/>
    <w:rsid w:val="56494199"/>
    <w:rsid w:val="56581D07"/>
    <w:rsid w:val="565E398E"/>
    <w:rsid w:val="565F4B00"/>
    <w:rsid w:val="56611F01"/>
    <w:rsid w:val="56791DE5"/>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A7DEA"/>
    <w:rsid w:val="572E3655"/>
    <w:rsid w:val="572F1200"/>
    <w:rsid w:val="5730000D"/>
    <w:rsid w:val="573B2D6F"/>
    <w:rsid w:val="5740796C"/>
    <w:rsid w:val="574166D2"/>
    <w:rsid w:val="5749576E"/>
    <w:rsid w:val="575B25B7"/>
    <w:rsid w:val="57636C94"/>
    <w:rsid w:val="576471A6"/>
    <w:rsid w:val="57695050"/>
    <w:rsid w:val="576F67EC"/>
    <w:rsid w:val="57882CFD"/>
    <w:rsid w:val="57950F4C"/>
    <w:rsid w:val="57952103"/>
    <w:rsid w:val="57966FD7"/>
    <w:rsid w:val="5797100C"/>
    <w:rsid w:val="579A6E67"/>
    <w:rsid w:val="57A501B2"/>
    <w:rsid w:val="57A50274"/>
    <w:rsid w:val="57A61C5F"/>
    <w:rsid w:val="57A646D9"/>
    <w:rsid w:val="57AA2D40"/>
    <w:rsid w:val="57AD6BB5"/>
    <w:rsid w:val="57AD6F26"/>
    <w:rsid w:val="57B152DB"/>
    <w:rsid w:val="57B64263"/>
    <w:rsid w:val="57BA517D"/>
    <w:rsid w:val="57BF2AC3"/>
    <w:rsid w:val="57C156C8"/>
    <w:rsid w:val="57C17085"/>
    <w:rsid w:val="57C31E4A"/>
    <w:rsid w:val="57F10061"/>
    <w:rsid w:val="580C3AB9"/>
    <w:rsid w:val="582E41C9"/>
    <w:rsid w:val="583120BF"/>
    <w:rsid w:val="58367BFA"/>
    <w:rsid w:val="5839331D"/>
    <w:rsid w:val="583969CB"/>
    <w:rsid w:val="584302DC"/>
    <w:rsid w:val="58477C34"/>
    <w:rsid w:val="584D0815"/>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409F"/>
    <w:rsid w:val="58CD4299"/>
    <w:rsid w:val="58D300C1"/>
    <w:rsid w:val="58DE775E"/>
    <w:rsid w:val="58E440FE"/>
    <w:rsid w:val="58E73BE7"/>
    <w:rsid w:val="58E95FEA"/>
    <w:rsid w:val="58F92870"/>
    <w:rsid w:val="590609C7"/>
    <w:rsid w:val="590A1350"/>
    <w:rsid w:val="590C1FEF"/>
    <w:rsid w:val="59174765"/>
    <w:rsid w:val="591F3D4C"/>
    <w:rsid w:val="5932025B"/>
    <w:rsid w:val="593B4D1E"/>
    <w:rsid w:val="593C7301"/>
    <w:rsid w:val="59457283"/>
    <w:rsid w:val="5955761A"/>
    <w:rsid w:val="5957333B"/>
    <w:rsid w:val="596003EE"/>
    <w:rsid w:val="59641F24"/>
    <w:rsid w:val="59681C3C"/>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A0407DB"/>
    <w:rsid w:val="5A041AD7"/>
    <w:rsid w:val="5A070E9C"/>
    <w:rsid w:val="5A0B0154"/>
    <w:rsid w:val="5A0D6618"/>
    <w:rsid w:val="5A251C8F"/>
    <w:rsid w:val="5A367E74"/>
    <w:rsid w:val="5A5058CB"/>
    <w:rsid w:val="5A555F76"/>
    <w:rsid w:val="5A6277A5"/>
    <w:rsid w:val="5A6760B5"/>
    <w:rsid w:val="5A6B46D9"/>
    <w:rsid w:val="5A7616BE"/>
    <w:rsid w:val="5A7652F3"/>
    <w:rsid w:val="5A7E7A8F"/>
    <w:rsid w:val="5A80324E"/>
    <w:rsid w:val="5A836FDF"/>
    <w:rsid w:val="5A8A56BF"/>
    <w:rsid w:val="5A8C18DD"/>
    <w:rsid w:val="5A8F5646"/>
    <w:rsid w:val="5A94004B"/>
    <w:rsid w:val="5A98006A"/>
    <w:rsid w:val="5AA07A36"/>
    <w:rsid w:val="5AA258CA"/>
    <w:rsid w:val="5AA90BDD"/>
    <w:rsid w:val="5AAB6BA6"/>
    <w:rsid w:val="5AB87E0B"/>
    <w:rsid w:val="5ABF583B"/>
    <w:rsid w:val="5AC05D65"/>
    <w:rsid w:val="5AC9244F"/>
    <w:rsid w:val="5ACA6932"/>
    <w:rsid w:val="5ADE2BBA"/>
    <w:rsid w:val="5AE802C5"/>
    <w:rsid w:val="5AEA6B64"/>
    <w:rsid w:val="5AEE6466"/>
    <w:rsid w:val="5AF74542"/>
    <w:rsid w:val="5AF97841"/>
    <w:rsid w:val="5AFC1DFF"/>
    <w:rsid w:val="5B02167F"/>
    <w:rsid w:val="5B093548"/>
    <w:rsid w:val="5B09715C"/>
    <w:rsid w:val="5B0E549E"/>
    <w:rsid w:val="5B130D39"/>
    <w:rsid w:val="5B1A68F5"/>
    <w:rsid w:val="5B1D34B1"/>
    <w:rsid w:val="5B2B7067"/>
    <w:rsid w:val="5B2F694C"/>
    <w:rsid w:val="5B304F60"/>
    <w:rsid w:val="5B32089C"/>
    <w:rsid w:val="5B39513D"/>
    <w:rsid w:val="5B3E3807"/>
    <w:rsid w:val="5B443E3A"/>
    <w:rsid w:val="5B4F1FDC"/>
    <w:rsid w:val="5B685FE2"/>
    <w:rsid w:val="5B6A0AD0"/>
    <w:rsid w:val="5B6E342D"/>
    <w:rsid w:val="5B7B7072"/>
    <w:rsid w:val="5B7C4AB2"/>
    <w:rsid w:val="5B7F6D96"/>
    <w:rsid w:val="5B8158C8"/>
    <w:rsid w:val="5B8541C5"/>
    <w:rsid w:val="5B8A0314"/>
    <w:rsid w:val="5B8A7460"/>
    <w:rsid w:val="5B8B09AB"/>
    <w:rsid w:val="5B923CD5"/>
    <w:rsid w:val="5B9D3914"/>
    <w:rsid w:val="5BAB4D57"/>
    <w:rsid w:val="5BB02991"/>
    <w:rsid w:val="5BBF2701"/>
    <w:rsid w:val="5BED535D"/>
    <w:rsid w:val="5BED7BB2"/>
    <w:rsid w:val="5BEE3ADC"/>
    <w:rsid w:val="5BFC7B76"/>
    <w:rsid w:val="5C094DB3"/>
    <w:rsid w:val="5C1102B0"/>
    <w:rsid w:val="5C184EF3"/>
    <w:rsid w:val="5C1D60C8"/>
    <w:rsid w:val="5C200928"/>
    <w:rsid w:val="5C3D18C9"/>
    <w:rsid w:val="5C4F18D5"/>
    <w:rsid w:val="5C57422B"/>
    <w:rsid w:val="5C5920B9"/>
    <w:rsid w:val="5C5B2FE8"/>
    <w:rsid w:val="5C742923"/>
    <w:rsid w:val="5C7834CB"/>
    <w:rsid w:val="5C79451E"/>
    <w:rsid w:val="5C8678C1"/>
    <w:rsid w:val="5C8869EB"/>
    <w:rsid w:val="5C8C2731"/>
    <w:rsid w:val="5C93243D"/>
    <w:rsid w:val="5C933B25"/>
    <w:rsid w:val="5C9C7311"/>
    <w:rsid w:val="5CA819CD"/>
    <w:rsid w:val="5CAC54B9"/>
    <w:rsid w:val="5CAD75BC"/>
    <w:rsid w:val="5CC03785"/>
    <w:rsid w:val="5CC30737"/>
    <w:rsid w:val="5CC30B73"/>
    <w:rsid w:val="5CC65634"/>
    <w:rsid w:val="5CC65D8C"/>
    <w:rsid w:val="5CC82976"/>
    <w:rsid w:val="5CC8798E"/>
    <w:rsid w:val="5CCF592A"/>
    <w:rsid w:val="5CD00C39"/>
    <w:rsid w:val="5CE43EE0"/>
    <w:rsid w:val="5CE963C2"/>
    <w:rsid w:val="5CEF7531"/>
    <w:rsid w:val="5CF15B09"/>
    <w:rsid w:val="5CF313EF"/>
    <w:rsid w:val="5CFF436D"/>
    <w:rsid w:val="5D083D48"/>
    <w:rsid w:val="5D090453"/>
    <w:rsid w:val="5D0A5312"/>
    <w:rsid w:val="5D0B519F"/>
    <w:rsid w:val="5D0C1626"/>
    <w:rsid w:val="5D0F1FBD"/>
    <w:rsid w:val="5D1718BE"/>
    <w:rsid w:val="5D1F240F"/>
    <w:rsid w:val="5D254995"/>
    <w:rsid w:val="5D485840"/>
    <w:rsid w:val="5D51714C"/>
    <w:rsid w:val="5D535034"/>
    <w:rsid w:val="5D54036D"/>
    <w:rsid w:val="5D6B6FDD"/>
    <w:rsid w:val="5D711D7F"/>
    <w:rsid w:val="5D7602B3"/>
    <w:rsid w:val="5D7621CE"/>
    <w:rsid w:val="5D766ADE"/>
    <w:rsid w:val="5D7F1010"/>
    <w:rsid w:val="5D8240E3"/>
    <w:rsid w:val="5D86445A"/>
    <w:rsid w:val="5D897178"/>
    <w:rsid w:val="5D962018"/>
    <w:rsid w:val="5D9A703F"/>
    <w:rsid w:val="5DA40595"/>
    <w:rsid w:val="5DAC1755"/>
    <w:rsid w:val="5DAC7E65"/>
    <w:rsid w:val="5DB13ADE"/>
    <w:rsid w:val="5DB4019F"/>
    <w:rsid w:val="5DBB72FE"/>
    <w:rsid w:val="5DC70600"/>
    <w:rsid w:val="5DC717A6"/>
    <w:rsid w:val="5DC8665F"/>
    <w:rsid w:val="5DCD3D6F"/>
    <w:rsid w:val="5DCE5C1F"/>
    <w:rsid w:val="5DDA33C1"/>
    <w:rsid w:val="5DDC1927"/>
    <w:rsid w:val="5DE247A3"/>
    <w:rsid w:val="5DE53D04"/>
    <w:rsid w:val="5DE65116"/>
    <w:rsid w:val="5DEE00B1"/>
    <w:rsid w:val="5DF12A41"/>
    <w:rsid w:val="5DF5215D"/>
    <w:rsid w:val="5DF770F4"/>
    <w:rsid w:val="5DFA2928"/>
    <w:rsid w:val="5DFD670B"/>
    <w:rsid w:val="5DFE1DC2"/>
    <w:rsid w:val="5E006CAF"/>
    <w:rsid w:val="5E0B0CF6"/>
    <w:rsid w:val="5E0C09BB"/>
    <w:rsid w:val="5E0F3961"/>
    <w:rsid w:val="5E143748"/>
    <w:rsid w:val="5E1A5910"/>
    <w:rsid w:val="5E2106E9"/>
    <w:rsid w:val="5E2978A3"/>
    <w:rsid w:val="5E2D1087"/>
    <w:rsid w:val="5E3522CF"/>
    <w:rsid w:val="5E3F07D8"/>
    <w:rsid w:val="5E4D12DF"/>
    <w:rsid w:val="5E4D4FC9"/>
    <w:rsid w:val="5E617B22"/>
    <w:rsid w:val="5E6F15A4"/>
    <w:rsid w:val="5E706F71"/>
    <w:rsid w:val="5E733AFE"/>
    <w:rsid w:val="5E786107"/>
    <w:rsid w:val="5E803A23"/>
    <w:rsid w:val="5E8237DF"/>
    <w:rsid w:val="5E8B3284"/>
    <w:rsid w:val="5E9F73EE"/>
    <w:rsid w:val="5EB3655C"/>
    <w:rsid w:val="5EB70C72"/>
    <w:rsid w:val="5EBD7906"/>
    <w:rsid w:val="5EC12590"/>
    <w:rsid w:val="5EC4123A"/>
    <w:rsid w:val="5EC72E48"/>
    <w:rsid w:val="5ED0419C"/>
    <w:rsid w:val="5ED27DCA"/>
    <w:rsid w:val="5ED44AFC"/>
    <w:rsid w:val="5ED47FAC"/>
    <w:rsid w:val="5ED722D9"/>
    <w:rsid w:val="5ED908A4"/>
    <w:rsid w:val="5EDB38C8"/>
    <w:rsid w:val="5EDD75E8"/>
    <w:rsid w:val="5EDF3EB7"/>
    <w:rsid w:val="5EF0691C"/>
    <w:rsid w:val="5EF25A1B"/>
    <w:rsid w:val="5F0A54CE"/>
    <w:rsid w:val="5F215264"/>
    <w:rsid w:val="5F3348F7"/>
    <w:rsid w:val="5F3B7E49"/>
    <w:rsid w:val="5F460402"/>
    <w:rsid w:val="5F4D03DB"/>
    <w:rsid w:val="5F5D4B3D"/>
    <w:rsid w:val="5F5E0D5A"/>
    <w:rsid w:val="5F5E5CA5"/>
    <w:rsid w:val="5F645D67"/>
    <w:rsid w:val="5F6B3D85"/>
    <w:rsid w:val="5F6B564E"/>
    <w:rsid w:val="5F6B7DEC"/>
    <w:rsid w:val="5F6E0461"/>
    <w:rsid w:val="5F747AD1"/>
    <w:rsid w:val="5F78397E"/>
    <w:rsid w:val="5F794CF2"/>
    <w:rsid w:val="5F7E2D90"/>
    <w:rsid w:val="5F801DE2"/>
    <w:rsid w:val="5F8550C7"/>
    <w:rsid w:val="5F86408B"/>
    <w:rsid w:val="5F982EAC"/>
    <w:rsid w:val="5F9A3E47"/>
    <w:rsid w:val="5FAA6187"/>
    <w:rsid w:val="5FBF19D4"/>
    <w:rsid w:val="5FCA2C2A"/>
    <w:rsid w:val="5FD712CD"/>
    <w:rsid w:val="5FE66AE4"/>
    <w:rsid w:val="5FEB593B"/>
    <w:rsid w:val="5FFC34AB"/>
    <w:rsid w:val="5FFF190C"/>
    <w:rsid w:val="601005C2"/>
    <w:rsid w:val="60174A4F"/>
    <w:rsid w:val="601B33EC"/>
    <w:rsid w:val="60303445"/>
    <w:rsid w:val="603303D1"/>
    <w:rsid w:val="60395379"/>
    <w:rsid w:val="603F6EDC"/>
    <w:rsid w:val="60406A93"/>
    <w:rsid w:val="60450393"/>
    <w:rsid w:val="6045087B"/>
    <w:rsid w:val="60567839"/>
    <w:rsid w:val="6059292E"/>
    <w:rsid w:val="60595F9E"/>
    <w:rsid w:val="606A0FF4"/>
    <w:rsid w:val="606B478A"/>
    <w:rsid w:val="606E27FE"/>
    <w:rsid w:val="608E41C0"/>
    <w:rsid w:val="60942943"/>
    <w:rsid w:val="60C235CA"/>
    <w:rsid w:val="60D33FA2"/>
    <w:rsid w:val="60DD641D"/>
    <w:rsid w:val="60E00A33"/>
    <w:rsid w:val="60EF3B13"/>
    <w:rsid w:val="60FC68D3"/>
    <w:rsid w:val="61021F62"/>
    <w:rsid w:val="610E38FC"/>
    <w:rsid w:val="611722A2"/>
    <w:rsid w:val="61180C9D"/>
    <w:rsid w:val="611C0456"/>
    <w:rsid w:val="61252B28"/>
    <w:rsid w:val="61314937"/>
    <w:rsid w:val="6152291A"/>
    <w:rsid w:val="61551AF2"/>
    <w:rsid w:val="615578FA"/>
    <w:rsid w:val="61561F9F"/>
    <w:rsid w:val="615F48CE"/>
    <w:rsid w:val="616C61A7"/>
    <w:rsid w:val="616F44B1"/>
    <w:rsid w:val="617764AE"/>
    <w:rsid w:val="617827A7"/>
    <w:rsid w:val="61784E29"/>
    <w:rsid w:val="617F501C"/>
    <w:rsid w:val="61860707"/>
    <w:rsid w:val="61952AD8"/>
    <w:rsid w:val="619858D0"/>
    <w:rsid w:val="619E0BD0"/>
    <w:rsid w:val="619E41CF"/>
    <w:rsid w:val="61BB7D24"/>
    <w:rsid w:val="61BC6B36"/>
    <w:rsid w:val="61BE39F8"/>
    <w:rsid w:val="61C54A2C"/>
    <w:rsid w:val="61C839A7"/>
    <w:rsid w:val="61CA47AE"/>
    <w:rsid w:val="61DA72AB"/>
    <w:rsid w:val="61E43D0E"/>
    <w:rsid w:val="61F9272E"/>
    <w:rsid w:val="61FA1902"/>
    <w:rsid w:val="62156036"/>
    <w:rsid w:val="622A6EC2"/>
    <w:rsid w:val="622F47B0"/>
    <w:rsid w:val="62365F09"/>
    <w:rsid w:val="62390CB6"/>
    <w:rsid w:val="623A5F53"/>
    <w:rsid w:val="62435DCB"/>
    <w:rsid w:val="624A10A9"/>
    <w:rsid w:val="624B58DB"/>
    <w:rsid w:val="628407B1"/>
    <w:rsid w:val="628E2E22"/>
    <w:rsid w:val="62932032"/>
    <w:rsid w:val="62934A57"/>
    <w:rsid w:val="629813F8"/>
    <w:rsid w:val="62A60A16"/>
    <w:rsid w:val="62A97D63"/>
    <w:rsid w:val="62AB777F"/>
    <w:rsid w:val="62AD5A83"/>
    <w:rsid w:val="62AE20B2"/>
    <w:rsid w:val="62C40A78"/>
    <w:rsid w:val="62CA45A4"/>
    <w:rsid w:val="62CD3C18"/>
    <w:rsid w:val="62D154F4"/>
    <w:rsid w:val="62DB45F3"/>
    <w:rsid w:val="62DB66DB"/>
    <w:rsid w:val="62DD2D1D"/>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D491F"/>
    <w:rsid w:val="633F7C7C"/>
    <w:rsid w:val="6347004C"/>
    <w:rsid w:val="6348218C"/>
    <w:rsid w:val="634906C0"/>
    <w:rsid w:val="634D119A"/>
    <w:rsid w:val="634F1A75"/>
    <w:rsid w:val="63662614"/>
    <w:rsid w:val="636B4C33"/>
    <w:rsid w:val="636C64F0"/>
    <w:rsid w:val="636F4D01"/>
    <w:rsid w:val="637C52E7"/>
    <w:rsid w:val="637F5EF4"/>
    <w:rsid w:val="63801807"/>
    <w:rsid w:val="63821837"/>
    <w:rsid w:val="63983B46"/>
    <w:rsid w:val="63A04041"/>
    <w:rsid w:val="63AF30A8"/>
    <w:rsid w:val="63AF7653"/>
    <w:rsid w:val="63B66091"/>
    <w:rsid w:val="63B84349"/>
    <w:rsid w:val="63B87B36"/>
    <w:rsid w:val="63BD2CDF"/>
    <w:rsid w:val="63BE441F"/>
    <w:rsid w:val="63C30706"/>
    <w:rsid w:val="63CE07EC"/>
    <w:rsid w:val="63D64C7A"/>
    <w:rsid w:val="63EA18E6"/>
    <w:rsid w:val="63EE35EE"/>
    <w:rsid w:val="63F66E28"/>
    <w:rsid w:val="63F71815"/>
    <w:rsid w:val="63FD003F"/>
    <w:rsid w:val="64012899"/>
    <w:rsid w:val="640A3456"/>
    <w:rsid w:val="641360FB"/>
    <w:rsid w:val="64183B3A"/>
    <w:rsid w:val="64195594"/>
    <w:rsid w:val="641A2856"/>
    <w:rsid w:val="64254CA9"/>
    <w:rsid w:val="642640A7"/>
    <w:rsid w:val="643D4780"/>
    <w:rsid w:val="643E241F"/>
    <w:rsid w:val="644E6B71"/>
    <w:rsid w:val="645050FA"/>
    <w:rsid w:val="64533603"/>
    <w:rsid w:val="645F5C12"/>
    <w:rsid w:val="64695447"/>
    <w:rsid w:val="646A3702"/>
    <w:rsid w:val="64704A63"/>
    <w:rsid w:val="64725549"/>
    <w:rsid w:val="647532BD"/>
    <w:rsid w:val="647A288D"/>
    <w:rsid w:val="647B128B"/>
    <w:rsid w:val="647B3E17"/>
    <w:rsid w:val="64910CD9"/>
    <w:rsid w:val="64A30365"/>
    <w:rsid w:val="64AA3309"/>
    <w:rsid w:val="64AA3E10"/>
    <w:rsid w:val="64AE4354"/>
    <w:rsid w:val="64B972BE"/>
    <w:rsid w:val="64BD1347"/>
    <w:rsid w:val="64BD4E54"/>
    <w:rsid w:val="64C24FBD"/>
    <w:rsid w:val="64C5082B"/>
    <w:rsid w:val="64C8345D"/>
    <w:rsid w:val="64CB72F5"/>
    <w:rsid w:val="64D70E03"/>
    <w:rsid w:val="64DA45FF"/>
    <w:rsid w:val="64DE09CD"/>
    <w:rsid w:val="64E06343"/>
    <w:rsid w:val="64EA0439"/>
    <w:rsid w:val="64EE729B"/>
    <w:rsid w:val="64EF7A50"/>
    <w:rsid w:val="64F06511"/>
    <w:rsid w:val="64FF6DF5"/>
    <w:rsid w:val="65026A30"/>
    <w:rsid w:val="650B60F2"/>
    <w:rsid w:val="650E3602"/>
    <w:rsid w:val="6514571A"/>
    <w:rsid w:val="6514758F"/>
    <w:rsid w:val="65165191"/>
    <w:rsid w:val="65227FE9"/>
    <w:rsid w:val="65274189"/>
    <w:rsid w:val="65314887"/>
    <w:rsid w:val="654273A2"/>
    <w:rsid w:val="654D3A68"/>
    <w:rsid w:val="65515A8C"/>
    <w:rsid w:val="655227FD"/>
    <w:rsid w:val="65540770"/>
    <w:rsid w:val="65664E54"/>
    <w:rsid w:val="656665D3"/>
    <w:rsid w:val="657B03B2"/>
    <w:rsid w:val="657C3D1E"/>
    <w:rsid w:val="658D070D"/>
    <w:rsid w:val="65907A4E"/>
    <w:rsid w:val="65950EF8"/>
    <w:rsid w:val="65AB40C0"/>
    <w:rsid w:val="65B338D0"/>
    <w:rsid w:val="65B445B5"/>
    <w:rsid w:val="65C203DF"/>
    <w:rsid w:val="65C653AB"/>
    <w:rsid w:val="65C80D0D"/>
    <w:rsid w:val="65D917F2"/>
    <w:rsid w:val="65EC4BEC"/>
    <w:rsid w:val="65F42A8E"/>
    <w:rsid w:val="65FD452A"/>
    <w:rsid w:val="66061444"/>
    <w:rsid w:val="6606776F"/>
    <w:rsid w:val="66180394"/>
    <w:rsid w:val="661F2D41"/>
    <w:rsid w:val="66204C09"/>
    <w:rsid w:val="662D0036"/>
    <w:rsid w:val="66366F92"/>
    <w:rsid w:val="66375B80"/>
    <w:rsid w:val="663A5677"/>
    <w:rsid w:val="66426477"/>
    <w:rsid w:val="66474439"/>
    <w:rsid w:val="66495441"/>
    <w:rsid w:val="664A2444"/>
    <w:rsid w:val="66540D83"/>
    <w:rsid w:val="66581BBC"/>
    <w:rsid w:val="66672105"/>
    <w:rsid w:val="66677CAC"/>
    <w:rsid w:val="666845A2"/>
    <w:rsid w:val="66714D68"/>
    <w:rsid w:val="66760DC5"/>
    <w:rsid w:val="667D480D"/>
    <w:rsid w:val="66887617"/>
    <w:rsid w:val="668B029F"/>
    <w:rsid w:val="66984910"/>
    <w:rsid w:val="669B59E7"/>
    <w:rsid w:val="66A71BBE"/>
    <w:rsid w:val="66AD7F94"/>
    <w:rsid w:val="66B12236"/>
    <w:rsid w:val="66C855FF"/>
    <w:rsid w:val="66CF62BF"/>
    <w:rsid w:val="66D37B8D"/>
    <w:rsid w:val="66D87988"/>
    <w:rsid w:val="66E8423D"/>
    <w:rsid w:val="66EA6D79"/>
    <w:rsid w:val="66EC2A73"/>
    <w:rsid w:val="66F028E3"/>
    <w:rsid w:val="66F5749B"/>
    <w:rsid w:val="66FA71FA"/>
    <w:rsid w:val="6703581A"/>
    <w:rsid w:val="671359B7"/>
    <w:rsid w:val="67185A8E"/>
    <w:rsid w:val="671A19D9"/>
    <w:rsid w:val="671A3D72"/>
    <w:rsid w:val="671F2D72"/>
    <w:rsid w:val="67204A56"/>
    <w:rsid w:val="67255FB2"/>
    <w:rsid w:val="67271BB3"/>
    <w:rsid w:val="672826E9"/>
    <w:rsid w:val="672A29A8"/>
    <w:rsid w:val="67321449"/>
    <w:rsid w:val="6733298D"/>
    <w:rsid w:val="6733494D"/>
    <w:rsid w:val="673522BC"/>
    <w:rsid w:val="673A79C2"/>
    <w:rsid w:val="674459AF"/>
    <w:rsid w:val="6753060D"/>
    <w:rsid w:val="675C67AF"/>
    <w:rsid w:val="67791B52"/>
    <w:rsid w:val="677A29C5"/>
    <w:rsid w:val="677E45A0"/>
    <w:rsid w:val="677F5D0D"/>
    <w:rsid w:val="6786497D"/>
    <w:rsid w:val="67872A49"/>
    <w:rsid w:val="67882A93"/>
    <w:rsid w:val="678D3CA3"/>
    <w:rsid w:val="678F38BC"/>
    <w:rsid w:val="67965B48"/>
    <w:rsid w:val="67A943E9"/>
    <w:rsid w:val="67AA4760"/>
    <w:rsid w:val="67AD6DC0"/>
    <w:rsid w:val="67AE6D72"/>
    <w:rsid w:val="67BA53CE"/>
    <w:rsid w:val="67C163DC"/>
    <w:rsid w:val="67C2591A"/>
    <w:rsid w:val="67C30CA4"/>
    <w:rsid w:val="67E13153"/>
    <w:rsid w:val="67E3779A"/>
    <w:rsid w:val="67ED58FA"/>
    <w:rsid w:val="67F507A9"/>
    <w:rsid w:val="67FA1B66"/>
    <w:rsid w:val="67FB27DB"/>
    <w:rsid w:val="680A4D64"/>
    <w:rsid w:val="680E7852"/>
    <w:rsid w:val="681165DF"/>
    <w:rsid w:val="68206AA8"/>
    <w:rsid w:val="682072E8"/>
    <w:rsid w:val="68260E76"/>
    <w:rsid w:val="682D67EB"/>
    <w:rsid w:val="682F05C2"/>
    <w:rsid w:val="683A7919"/>
    <w:rsid w:val="683E7E47"/>
    <w:rsid w:val="68440EEC"/>
    <w:rsid w:val="684A6FFD"/>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56F32"/>
    <w:rsid w:val="68A34C36"/>
    <w:rsid w:val="68A8486E"/>
    <w:rsid w:val="68A940B5"/>
    <w:rsid w:val="68C16AA1"/>
    <w:rsid w:val="68C271D0"/>
    <w:rsid w:val="68C426A5"/>
    <w:rsid w:val="68DA12D9"/>
    <w:rsid w:val="68F40B67"/>
    <w:rsid w:val="68F70E78"/>
    <w:rsid w:val="68FA3A40"/>
    <w:rsid w:val="69097D44"/>
    <w:rsid w:val="69143A90"/>
    <w:rsid w:val="69177FA7"/>
    <w:rsid w:val="69234727"/>
    <w:rsid w:val="69307509"/>
    <w:rsid w:val="694309C6"/>
    <w:rsid w:val="69457549"/>
    <w:rsid w:val="694D423C"/>
    <w:rsid w:val="694E623A"/>
    <w:rsid w:val="694F6427"/>
    <w:rsid w:val="69547C77"/>
    <w:rsid w:val="695A0E2F"/>
    <w:rsid w:val="69643C47"/>
    <w:rsid w:val="69695D38"/>
    <w:rsid w:val="69732F52"/>
    <w:rsid w:val="69741E70"/>
    <w:rsid w:val="69847201"/>
    <w:rsid w:val="69860B94"/>
    <w:rsid w:val="698E6255"/>
    <w:rsid w:val="6990295B"/>
    <w:rsid w:val="69956DD0"/>
    <w:rsid w:val="69984E80"/>
    <w:rsid w:val="699A3C99"/>
    <w:rsid w:val="69A24F0E"/>
    <w:rsid w:val="69AD2238"/>
    <w:rsid w:val="69B7411A"/>
    <w:rsid w:val="69BC243A"/>
    <w:rsid w:val="69BE53C7"/>
    <w:rsid w:val="69CA5A8F"/>
    <w:rsid w:val="69CB015D"/>
    <w:rsid w:val="69CF3BF9"/>
    <w:rsid w:val="69D00CF3"/>
    <w:rsid w:val="69DD51EA"/>
    <w:rsid w:val="69E51F20"/>
    <w:rsid w:val="69E80700"/>
    <w:rsid w:val="69E8185C"/>
    <w:rsid w:val="69F556AB"/>
    <w:rsid w:val="69FD6977"/>
    <w:rsid w:val="69FD7122"/>
    <w:rsid w:val="69FE19B4"/>
    <w:rsid w:val="6A1F30FE"/>
    <w:rsid w:val="6A235975"/>
    <w:rsid w:val="6A2971AA"/>
    <w:rsid w:val="6A2D0CE2"/>
    <w:rsid w:val="6A321D74"/>
    <w:rsid w:val="6A34587C"/>
    <w:rsid w:val="6A397855"/>
    <w:rsid w:val="6A400776"/>
    <w:rsid w:val="6A473146"/>
    <w:rsid w:val="6A4D00FD"/>
    <w:rsid w:val="6A5307D8"/>
    <w:rsid w:val="6A6642AA"/>
    <w:rsid w:val="6A6A346F"/>
    <w:rsid w:val="6A6E5CE5"/>
    <w:rsid w:val="6A721764"/>
    <w:rsid w:val="6A826FDA"/>
    <w:rsid w:val="6A857977"/>
    <w:rsid w:val="6AA45E3A"/>
    <w:rsid w:val="6AA7685F"/>
    <w:rsid w:val="6AAE7655"/>
    <w:rsid w:val="6AB077AD"/>
    <w:rsid w:val="6ABD00BE"/>
    <w:rsid w:val="6AD27C22"/>
    <w:rsid w:val="6AD30E33"/>
    <w:rsid w:val="6ADB7183"/>
    <w:rsid w:val="6AE560B0"/>
    <w:rsid w:val="6AEA28C6"/>
    <w:rsid w:val="6AF33CFE"/>
    <w:rsid w:val="6AFB49D0"/>
    <w:rsid w:val="6AFC42A9"/>
    <w:rsid w:val="6AFD7431"/>
    <w:rsid w:val="6B051DF1"/>
    <w:rsid w:val="6B12629B"/>
    <w:rsid w:val="6B15539D"/>
    <w:rsid w:val="6B1A2310"/>
    <w:rsid w:val="6B1D3DE0"/>
    <w:rsid w:val="6B246E34"/>
    <w:rsid w:val="6B28101E"/>
    <w:rsid w:val="6B2F0D68"/>
    <w:rsid w:val="6B2F162A"/>
    <w:rsid w:val="6B3F03D2"/>
    <w:rsid w:val="6B456EEE"/>
    <w:rsid w:val="6B4673DF"/>
    <w:rsid w:val="6B492CC0"/>
    <w:rsid w:val="6B500F24"/>
    <w:rsid w:val="6B510123"/>
    <w:rsid w:val="6B5A451D"/>
    <w:rsid w:val="6B6B33D1"/>
    <w:rsid w:val="6B6F155C"/>
    <w:rsid w:val="6B70322F"/>
    <w:rsid w:val="6B7F2304"/>
    <w:rsid w:val="6B8E126B"/>
    <w:rsid w:val="6B971742"/>
    <w:rsid w:val="6B991C92"/>
    <w:rsid w:val="6B9D6FDD"/>
    <w:rsid w:val="6BA02CFA"/>
    <w:rsid w:val="6BB027CC"/>
    <w:rsid w:val="6BB0499C"/>
    <w:rsid w:val="6BB8620A"/>
    <w:rsid w:val="6BBA043C"/>
    <w:rsid w:val="6BBC0552"/>
    <w:rsid w:val="6BBF61CF"/>
    <w:rsid w:val="6BC36779"/>
    <w:rsid w:val="6BC527DF"/>
    <w:rsid w:val="6BC668BD"/>
    <w:rsid w:val="6BC84E73"/>
    <w:rsid w:val="6BC94361"/>
    <w:rsid w:val="6BCB165A"/>
    <w:rsid w:val="6BCC27B1"/>
    <w:rsid w:val="6BD10DD4"/>
    <w:rsid w:val="6BE434AD"/>
    <w:rsid w:val="6BE837B9"/>
    <w:rsid w:val="6BFA4DC1"/>
    <w:rsid w:val="6C121948"/>
    <w:rsid w:val="6C144F2A"/>
    <w:rsid w:val="6C17550E"/>
    <w:rsid w:val="6C1C1335"/>
    <w:rsid w:val="6C1D51FA"/>
    <w:rsid w:val="6C1D73C1"/>
    <w:rsid w:val="6C1E79B4"/>
    <w:rsid w:val="6C351E27"/>
    <w:rsid w:val="6C3B043A"/>
    <w:rsid w:val="6C55338F"/>
    <w:rsid w:val="6C5B638C"/>
    <w:rsid w:val="6C5F0204"/>
    <w:rsid w:val="6C6241DE"/>
    <w:rsid w:val="6C6A69EB"/>
    <w:rsid w:val="6C764B91"/>
    <w:rsid w:val="6C7B3BAF"/>
    <w:rsid w:val="6C7F3CD0"/>
    <w:rsid w:val="6C835F93"/>
    <w:rsid w:val="6C8961C2"/>
    <w:rsid w:val="6C972684"/>
    <w:rsid w:val="6CA94313"/>
    <w:rsid w:val="6CB5554F"/>
    <w:rsid w:val="6CB772F1"/>
    <w:rsid w:val="6CB77D36"/>
    <w:rsid w:val="6CB87C36"/>
    <w:rsid w:val="6CC401BC"/>
    <w:rsid w:val="6CC81647"/>
    <w:rsid w:val="6CCB1C40"/>
    <w:rsid w:val="6CCC082F"/>
    <w:rsid w:val="6CE114A1"/>
    <w:rsid w:val="6CED1DB3"/>
    <w:rsid w:val="6CEE7B90"/>
    <w:rsid w:val="6CF66A19"/>
    <w:rsid w:val="6D0C2C53"/>
    <w:rsid w:val="6D14133C"/>
    <w:rsid w:val="6D176763"/>
    <w:rsid w:val="6D1A573A"/>
    <w:rsid w:val="6D1E0752"/>
    <w:rsid w:val="6D236497"/>
    <w:rsid w:val="6D293037"/>
    <w:rsid w:val="6D3B41A8"/>
    <w:rsid w:val="6D430603"/>
    <w:rsid w:val="6D43540D"/>
    <w:rsid w:val="6D4A769A"/>
    <w:rsid w:val="6D4D2999"/>
    <w:rsid w:val="6D535AF6"/>
    <w:rsid w:val="6D550BA5"/>
    <w:rsid w:val="6D5B3A36"/>
    <w:rsid w:val="6D62557E"/>
    <w:rsid w:val="6D7919D3"/>
    <w:rsid w:val="6D83148D"/>
    <w:rsid w:val="6D853FBC"/>
    <w:rsid w:val="6D9510D7"/>
    <w:rsid w:val="6D9F7FB2"/>
    <w:rsid w:val="6DA140E4"/>
    <w:rsid w:val="6DA459DA"/>
    <w:rsid w:val="6DA767C8"/>
    <w:rsid w:val="6DA94EFF"/>
    <w:rsid w:val="6DB21D88"/>
    <w:rsid w:val="6DC81284"/>
    <w:rsid w:val="6DE05A9F"/>
    <w:rsid w:val="6DE201E9"/>
    <w:rsid w:val="6DF02946"/>
    <w:rsid w:val="6DF77AEA"/>
    <w:rsid w:val="6DFC0A3C"/>
    <w:rsid w:val="6E06513A"/>
    <w:rsid w:val="6E144771"/>
    <w:rsid w:val="6E203CB8"/>
    <w:rsid w:val="6E220E46"/>
    <w:rsid w:val="6E255F8D"/>
    <w:rsid w:val="6E3709A6"/>
    <w:rsid w:val="6E3A0DA2"/>
    <w:rsid w:val="6E520F94"/>
    <w:rsid w:val="6E592F9E"/>
    <w:rsid w:val="6E5B502D"/>
    <w:rsid w:val="6E600C41"/>
    <w:rsid w:val="6E665ABD"/>
    <w:rsid w:val="6E6F0A3D"/>
    <w:rsid w:val="6E6F3964"/>
    <w:rsid w:val="6E7D2ECF"/>
    <w:rsid w:val="6E893F46"/>
    <w:rsid w:val="6E922F2C"/>
    <w:rsid w:val="6E964C2C"/>
    <w:rsid w:val="6E975B13"/>
    <w:rsid w:val="6E9A52B7"/>
    <w:rsid w:val="6EA12370"/>
    <w:rsid w:val="6EA52E09"/>
    <w:rsid w:val="6EBC18CC"/>
    <w:rsid w:val="6EC6178C"/>
    <w:rsid w:val="6ECC4ECD"/>
    <w:rsid w:val="6ED506EB"/>
    <w:rsid w:val="6ED63D08"/>
    <w:rsid w:val="6ED92756"/>
    <w:rsid w:val="6EDF783E"/>
    <w:rsid w:val="6EE234C0"/>
    <w:rsid w:val="6EE25BB6"/>
    <w:rsid w:val="6F0125BE"/>
    <w:rsid w:val="6F0C7590"/>
    <w:rsid w:val="6F224465"/>
    <w:rsid w:val="6F257CCA"/>
    <w:rsid w:val="6F2C3D0A"/>
    <w:rsid w:val="6F2E02B8"/>
    <w:rsid w:val="6F31606A"/>
    <w:rsid w:val="6F331D37"/>
    <w:rsid w:val="6F415B22"/>
    <w:rsid w:val="6F482CA1"/>
    <w:rsid w:val="6F4B198F"/>
    <w:rsid w:val="6F4B44FC"/>
    <w:rsid w:val="6F4E452C"/>
    <w:rsid w:val="6F55416B"/>
    <w:rsid w:val="6F575EF7"/>
    <w:rsid w:val="6F5C4C8E"/>
    <w:rsid w:val="6F5D7C5B"/>
    <w:rsid w:val="6F5E5CDC"/>
    <w:rsid w:val="6F6850FA"/>
    <w:rsid w:val="6F6B59B5"/>
    <w:rsid w:val="6F8155C5"/>
    <w:rsid w:val="6F8263E4"/>
    <w:rsid w:val="6F864B2A"/>
    <w:rsid w:val="6F867DB2"/>
    <w:rsid w:val="6FAD62FF"/>
    <w:rsid w:val="6FB9429E"/>
    <w:rsid w:val="6FBA0265"/>
    <w:rsid w:val="6FBA670D"/>
    <w:rsid w:val="6FBD79D4"/>
    <w:rsid w:val="6FBF2D4F"/>
    <w:rsid w:val="6FBF7414"/>
    <w:rsid w:val="6FD259FE"/>
    <w:rsid w:val="6FDC46A0"/>
    <w:rsid w:val="6FDC661D"/>
    <w:rsid w:val="6FDD2BC8"/>
    <w:rsid w:val="6FE17C4F"/>
    <w:rsid w:val="6FEF0DA0"/>
    <w:rsid w:val="6FF13AE2"/>
    <w:rsid w:val="6FF776EA"/>
    <w:rsid w:val="6FFD2AB2"/>
    <w:rsid w:val="700919A0"/>
    <w:rsid w:val="700B1AE0"/>
    <w:rsid w:val="700B6273"/>
    <w:rsid w:val="70212DD3"/>
    <w:rsid w:val="70247F45"/>
    <w:rsid w:val="7032387B"/>
    <w:rsid w:val="705F5B0A"/>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C80224"/>
    <w:rsid w:val="70C918EC"/>
    <w:rsid w:val="70CD2E7A"/>
    <w:rsid w:val="70D3117C"/>
    <w:rsid w:val="70DE0B4B"/>
    <w:rsid w:val="70DF6B8E"/>
    <w:rsid w:val="70E81623"/>
    <w:rsid w:val="70E86DC3"/>
    <w:rsid w:val="70F05911"/>
    <w:rsid w:val="70F461D1"/>
    <w:rsid w:val="70F61403"/>
    <w:rsid w:val="70F76FA1"/>
    <w:rsid w:val="71045217"/>
    <w:rsid w:val="710A2629"/>
    <w:rsid w:val="710B7772"/>
    <w:rsid w:val="710C4EEB"/>
    <w:rsid w:val="711457A4"/>
    <w:rsid w:val="71175C91"/>
    <w:rsid w:val="71177F52"/>
    <w:rsid w:val="7124733D"/>
    <w:rsid w:val="712C09D6"/>
    <w:rsid w:val="71324AC6"/>
    <w:rsid w:val="71361676"/>
    <w:rsid w:val="71401124"/>
    <w:rsid w:val="71494FD3"/>
    <w:rsid w:val="714A1050"/>
    <w:rsid w:val="715D16C2"/>
    <w:rsid w:val="717042FD"/>
    <w:rsid w:val="7171353D"/>
    <w:rsid w:val="71762C8C"/>
    <w:rsid w:val="717D392C"/>
    <w:rsid w:val="717E1B44"/>
    <w:rsid w:val="718C3F37"/>
    <w:rsid w:val="718E0997"/>
    <w:rsid w:val="71923367"/>
    <w:rsid w:val="71A36753"/>
    <w:rsid w:val="71AE0D5E"/>
    <w:rsid w:val="71B86D22"/>
    <w:rsid w:val="71CD71C6"/>
    <w:rsid w:val="71F008A9"/>
    <w:rsid w:val="71F35DEE"/>
    <w:rsid w:val="71F57D11"/>
    <w:rsid w:val="71FA2F95"/>
    <w:rsid w:val="71FE3A37"/>
    <w:rsid w:val="71FF799F"/>
    <w:rsid w:val="720B0937"/>
    <w:rsid w:val="72261CA4"/>
    <w:rsid w:val="72274F07"/>
    <w:rsid w:val="722A124C"/>
    <w:rsid w:val="72392D35"/>
    <w:rsid w:val="723949DB"/>
    <w:rsid w:val="72413A6B"/>
    <w:rsid w:val="7245415D"/>
    <w:rsid w:val="724C7958"/>
    <w:rsid w:val="725176AD"/>
    <w:rsid w:val="725B3204"/>
    <w:rsid w:val="726114CD"/>
    <w:rsid w:val="726808B1"/>
    <w:rsid w:val="726E223C"/>
    <w:rsid w:val="726F5195"/>
    <w:rsid w:val="72716CDE"/>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543E"/>
    <w:rsid w:val="72B378B8"/>
    <w:rsid w:val="72B40D47"/>
    <w:rsid w:val="72B54CCC"/>
    <w:rsid w:val="72BD17A4"/>
    <w:rsid w:val="72BE0CE6"/>
    <w:rsid w:val="72C33283"/>
    <w:rsid w:val="72C57F43"/>
    <w:rsid w:val="72C6633C"/>
    <w:rsid w:val="72CB537A"/>
    <w:rsid w:val="72CE2A28"/>
    <w:rsid w:val="72D56631"/>
    <w:rsid w:val="72DE4F1F"/>
    <w:rsid w:val="72EC5980"/>
    <w:rsid w:val="72EC6E4B"/>
    <w:rsid w:val="72F00843"/>
    <w:rsid w:val="72F115C9"/>
    <w:rsid w:val="72F70B14"/>
    <w:rsid w:val="72FA3E4C"/>
    <w:rsid w:val="72FB0D9E"/>
    <w:rsid w:val="73040B82"/>
    <w:rsid w:val="730608CD"/>
    <w:rsid w:val="730B28B2"/>
    <w:rsid w:val="731514BB"/>
    <w:rsid w:val="731B07E3"/>
    <w:rsid w:val="731C4035"/>
    <w:rsid w:val="732A4806"/>
    <w:rsid w:val="73376512"/>
    <w:rsid w:val="733D14CA"/>
    <w:rsid w:val="73406EDC"/>
    <w:rsid w:val="73473285"/>
    <w:rsid w:val="73481144"/>
    <w:rsid w:val="73540DC4"/>
    <w:rsid w:val="735839A5"/>
    <w:rsid w:val="736D2851"/>
    <w:rsid w:val="736D2A16"/>
    <w:rsid w:val="7376152A"/>
    <w:rsid w:val="73793495"/>
    <w:rsid w:val="73874146"/>
    <w:rsid w:val="738B71C1"/>
    <w:rsid w:val="739502A2"/>
    <w:rsid w:val="73954268"/>
    <w:rsid w:val="73B62154"/>
    <w:rsid w:val="73D2314C"/>
    <w:rsid w:val="73D239B1"/>
    <w:rsid w:val="73DA7F87"/>
    <w:rsid w:val="73DB6245"/>
    <w:rsid w:val="73DC4929"/>
    <w:rsid w:val="73DC7E17"/>
    <w:rsid w:val="73DD387B"/>
    <w:rsid w:val="73E871A3"/>
    <w:rsid w:val="74026476"/>
    <w:rsid w:val="74113740"/>
    <w:rsid w:val="74144CE1"/>
    <w:rsid w:val="7416763C"/>
    <w:rsid w:val="74183CC8"/>
    <w:rsid w:val="742363C8"/>
    <w:rsid w:val="742E2007"/>
    <w:rsid w:val="74300D0F"/>
    <w:rsid w:val="743D3EB9"/>
    <w:rsid w:val="744011C6"/>
    <w:rsid w:val="74475758"/>
    <w:rsid w:val="74501A80"/>
    <w:rsid w:val="74513757"/>
    <w:rsid w:val="7454028C"/>
    <w:rsid w:val="74545BB4"/>
    <w:rsid w:val="745E570F"/>
    <w:rsid w:val="74612566"/>
    <w:rsid w:val="747959BF"/>
    <w:rsid w:val="747E1A70"/>
    <w:rsid w:val="7483161A"/>
    <w:rsid w:val="74882F4D"/>
    <w:rsid w:val="748B05FD"/>
    <w:rsid w:val="74A51B18"/>
    <w:rsid w:val="74A938A5"/>
    <w:rsid w:val="74AE24F7"/>
    <w:rsid w:val="74B763D6"/>
    <w:rsid w:val="74B768C6"/>
    <w:rsid w:val="74C0442B"/>
    <w:rsid w:val="74C55B3F"/>
    <w:rsid w:val="74C7154E"/>
    <w:rsid w:val="74D813B3"/>
    <w:rsid w:val="74DF0013"/>
    <w:rsid w:val="74E249AE"/>
    <w:rsid w:val="74E62DCB"/>
    <w:rsid w:val="74EE25E0"/>
    <w:rsid w:val="74F738DE"/>
    <w:rsid w:val="750556FE"/>
    <w:rsid w:val="750F57C8"/>
    <w:rsid w:val="750F6250"/>
    <w:rsid w:val="751A009B"/>
    <w:rsid w:val="752276EA"/>
    <w:rsid w:val="75365D06"/>
    <w:rsid w:val="753C4B9E"/>
    <w:rsid w:val="75436915"/>
    <w:rsid w:val="75446D15"/>
    <w:rsid w:val="75507D71"/>
    <w:rsid w:val="75622AAC"/>
    <w:rsid w:val="756845CD"/>
    <w:rsid w:val="756A1004"/>
    <w:rsid w:val="756C3DC1"/>
    <w:rsid w:val="756E607F"/>
    <w:rsid w:val="757E63E1"/>
    <w:rsid w:val="75833381"/>
    <w:rsid w:val="758723D3"/>
    <w:rsid w:val="7588189D"/>
    <w:rsid w:val="75890EEE"/>
    <w:rsid w:val="758977A2"/>
    <w:rsid w:val="758B5C71"/>
    <w:rsid w:val="75A35A3E"/>
    <w:rsid w:val="75A4194B"/>
    <w:rsid w:val="75B71A94"/>
    <w:rsid w:val="75C1144A"/>
    <w:rsid w:val="75C12685"/>
    <w:rsid w:val="75C51C20"/>
    <w:rsid w:val="75C8076E"/>
    <w:rsid w:val="75D2544B"/>
    <w:rsid w:val="75D75691"/>
    <w:rsid w:val="75E02F4D"/>
    <w:rsid w:val="75E072E7"/>
    <w:rsid w:val="75E52D02"/>
    <w:rsid w:val="75E77356"/>
    <w:rsid w:val="75E9409A"/>
    <w:rsid w:val="75FA2E50"/>
    <w:rsid w:val="760B666C"/>
    <w:rsid w:val="760E2C16"/>
    <w:rsid w:val="76133896"/>
    <w:rsid w:val="76203741"/>
    <w:rsid w:val="762439CB"/>
    <w:rsid w:val="76282E2B"/>
    <w:rsid w:val="762859CB"/>
    <w:rsid w:val="763703BC"/>
    <w:rsid w:val="763B2448"/>
    <w:rsid w:val="764366DD"/>
    <w:rsid w:val="764E6FED"/>
    <w:rsid w:val="76500980"/>
    <w:rsid w:val="765731F0"/>
    <w:rsid w:val="765E1290"/>
    <w:rsid w:val="765F5194"/>
    <w:rsid w:val="76673987"/>
    <w:rsid w:val="76695353"/>
    <w:rsid w:val="766C20C2"/>
    <w:rsid w:val="766D79B8"/>
    <w:rsid w:val="766F5CA9"/>
    <w:rsid w:val="76735C01"/>
    <w:rsid w:val="76753696"/>
    <w:rsid w:val="767845D6"/>
    <w:rsid w:val="767E6647"/>
    <w:rsid w:val="76836646"/>
    <w:rsid w:val="76907353"/>
    <w:rsid w:val="7696076E"/>
    <w:rsid w:val="76974B9D"/>
    <w:rsid w:val="76984760"/>
    <w:rsid w:val="769A22F1"/>
    <w:rsid w:val="769A300E"/>
    <w:rsid w:val="76A51258"/>
    <w:rsid w:val="76A73C3A"/>
    <w:rsid w:val="76AB7AC3"/>
    <w:rsid w:val="76B11A70"/>
    <w:rsid w:val="76BF486A"/>
    <w:rsid w:val="76CC763E"/>
    <w:rsid w:val="76CF105C"/>
    <w:rsid w:val="76DF4924"/>
    <w:rsid w:val="76E34668"/>
    <w:rsid w:val="76F02098"/>
    <w:rsid w:val="76F35976"/>
    <w:rsid w:val="76F82AB5"/>
    <w:rsid w:val="76FB7C23"/>
    <w:rsid w:val="76FC595B"/>
    <w:rsid w:val="76FD0D45"/>
    <w:rsid w:val="7702635B"/>
    <w:rsid w:val="770539C1"/>
    <w:rsid w:val="77113C45"/>
    <w:rsid w:val="77154F40"/>
    <w:rsid w:val="7719221D"/>
    <w:rsid w:val="771D7AFA"/>
    <w:rsid w:val="772F28D5"/>
    <w:rsid w:val="773E131C"/>
    <w:rsid w:val="77514A70"/>
    <w:rsid w:val="775556B3"/>
    <w:rsid w:val="77560535"/>
    <w:rsid w:val="77583D64"/>
    <w:rsid w:val="775D310E"/>
    <w:rsid w:val="77653ACF"/>
    <w:rsid w:val="776B2934"/>
    <w:rsid w:val="776C2FF9"/>
    <w:rsid w:val="77823383"/>
    <w:rsid w:val="7783056B"/>
    <w:rsid w:val="778B2327"/>
    <w:rsid w:val="778D2A54"/>
    <w:rsid w:val="77915E48"/>
    <w:rsid w:val="7792467E"/>
    <w:rsid w:val="77A908D4"/>
    <w:rsid w:val="77AC4A81"/>
    <w:rsid w:val="77B82832"/>
    <w:rsid w:val="77C91CB8"/>
    <w:rsid w:val="77D0750B"/>
    <w:rsid w:val="77D93481"/>
    <w:rsid w:val="77DA1060"/>
    <w:rsid w:val="77DC668C"/>
    <w:rsid w:val="77DF065C"/>
    <w:rsid w:val="77E66378"/>
    <w:rsid w:val="77F273D8"/>
    <w:rsid w:val="77FB2812"/>
    <w:rsid w:val="78022FDE"/>
    <w:rsid w:val="78072EA4"/>
    <w:rsid w:val="780D421E"/>
    <w:rsid w:val="78120E1B"/>
    <w:rsid w:val="7821427B"/>
    <w:rsid w:val="783F411A"/>
    <w:rsid w:val="78576968"/>
    <w:rsid w:val="78625B50"/>
    <w:rsid w:val="78666846"/>
    <w:rsid w:val="786B48F9"/>
    <w:rsid w:val="786C5D85"/>
    <w:rsid w:val="786E4DD2"/>
    <w:rsid w:val="78704B5F"/>
    <w:rsid w:val="787410D9"/>
    <w:rsid w:val="78787F87"/>
    <w:rsid w:val="787A14BF"/>
    <w:rsid w:val="788E1BEE"/>
    <w:rsid w:val="78951396"/>
    <w:rsid w:val="789575A2"/>
    <w:rsid w:val="789772EA"/>
    <w:rsid w:val="789978D2"/>
    <w:rsid w:val="789A3FB0"/>
    <w:rsid w:val="78A6102E"/>
    <w:rsid w:val="78AB7035"/>
    <w:rsid w:val="78AC2C4D"/>
    <w:rsid w:val="78B77947"/>
    <w:rsid w:val="78C64762"/>
    <w:rsid w:val="78CF07AC"/>
    <w:rsid w:val="78DF761C"/>
    <w:rsid w:val="78E27CBF"/>
    <w:rsid w:val="78E41E10"/>
    <w:rsid w:val="78E90148"/>
    <w:rsid w:val="78E9381B"/>
    <w:rsid w:val="78F271D7"/>
    <w:rsid w:val="78F31C00"/>
    <w:rsid w:val="790009B6"/>
    <w:rsid w:val="79041A64"/>
    <w:rsid w:val="79073292"/>
    <w:rsid w:val="79083113"/>
    <w:rsid w:val="79101DE6"/>
    <w:rsid w:val="79150DEB"/>
    <w:rsid w:val="791A77A8"/>
    <w:rsid w:val="791E479F"/>
    <w:rsid w:val="791F6672"/>
    <w:rsid w:val="79215340"/>
    <w:rsid w:val="792C20EC"/>
    <w:rsid w:val="792E1E94"/>
    <w:rsid w:val="793F37B1"/>
    <w:rsid w:val="794814AA"/>
    <w:rsid w:val="79507CCE"/>
    <w:rsid w:val="79527482"/>
    <w:rsid w:val="796C3D0C"/>
    <w:rsid w:val="797875E2"/>
    <w:rsid w:val="797A6CC3"/>
    <w:rsid w:val="7988126F"/>
    <w:rsid w:val="798B7B54"/>
    <w:rsid w:val="799114EA"/>
    <w:rsid w:val="79A876C5"/>
    <w:rsid w:val="79AF3DC5"/>
    <w:rsid w:val="79C3570F"/>
    <w:rsid w:val="79C6076E"/>
    <w:rsid w:val="79CF12D7"/>
    <w:rsid w:val="79D80BE1"/>
    <w:rsid w:val="79DE0095"/>
    <w:rsid w:val="79EC0EF4"/>
    <w:rsid w:val="79ED5DA7"/>
    <w:rsid w:val="79ED7BF5"/>
    <w:rsid w:val="79F375CC"/>
    <w:rsid w:val="79F968C8"/>
    <w:rsid w:val="79FB505C"/>
    <w:rsid w:val="7A0E3DF3"/>
    <w:rsid w:val="7A165A8A"/>
    <w:rsid w:val="7A1E6D59"/>
    <w:rsid w:val="7A221A11"/>
    <w:rsid w:val="7A2D70B2"/>
    <w:rsid w:val="7A326D3D"/>
    <w:rsid w:val="7A424AD9"/>
    <w:rsid w:val="7A497DC2"/>
    <w:rsid w:val="7A612E31"/>
    <w:rsid w:val="7A626B2C"/>
    <w:rsid w:val="7A6F1486"/>
    <w:rsid w:val="7A761088"/>
    <w:rsid w:val="7A7715A2"/>
    <w:rsid w:val="7A7F60D1"/>
    <w:rsid w:val="7A8025F7"/>
    <w:rsid w:val="7A8650BD"/>
    <w:rsid w:val="7A98500E"/>
    <w:rsid w:val="7A9C4FF3"/>
    <w:rsid w:val="7A9F5728"/>
    <w:rsid w:val="7AA56864"/>
    <w:rsid w:val="7AAA217C"/>
    <w:rsid w:val="7AAE3407"/>
    <w:rsid w:val="7AB55B92"/>
    <w:rsid w:val="7AB86D75"/>
    <w:rsid w:val="7AB902F6"/>
    <w:rsid w:val="7AB93D30"/>
    <w:rsid w:val="7ABD18FF"/>
    <w:rsid w:val="7AC0670E"/>
    <w:rsid w:val="7ACE0684"/>
    <w:rsid w:val="7AD81B7E"/>
    <w:rsid w:val="7ADA6124"/>
    <w:rsid w:val="7AE45532"/>
    <w:rsid w:val="7AE82707"/>
    <w:rsid w:val="7AF226B1"/>
    <w:rsid w:val="7AF27D45"/>
    <w:rsid w:val="7AF609B5"/>
    <w:rsid w:val="7AFF4711"/>
    <w:rsid w:val="7B007416"/>
    <w:rsid w:val="7B0940E7"/>
    <w:rsid w:val="7B097470"/>
    <w:rsid w:val="7B182183"/>
    <w:rsid w:val="7B19134A"/>
    <w:rsid w:val="7B26797F"/>
    <w:rsid w:val="7B28225E"/>
    <w:rsid w:val="7B29084A"/>
    <w:rsid w:val="7B3319CF"/>
    <w:rsid w:val="7B335EFA"/>
    <w:rsid w:val="7B354382"/>
    <w:rsid w:val="7B372F65"/>
    <w:rsid w:val="7B3A6BDF"/>
    <w:rsid w:val="7B3C1F7D"/>
    <w:rsid w:val="7B47007E"/>
    <w:rsid w:val="7B544A64"/>
    <w:rsid w:val="7B68023D"/>
    <w:rsid w:val="7B691DCE"/>
    <w:rsid w:val="7B7E1F95"/>
    <w:rsid w:val="7B863477"/>
    <w:rsid w:val="7B8E47AF"/>
    <w:rsid w:val="7B9663F0"/>
    <w:rsid w:val="7B977DAA"/>
    <w:rsid w:val="7B981B14"/>
    <w:rsid w:val="7B9A151E"/>
    <w:rsid w:val="7B9B473C"/>
    <w:rsid w:val="7BA74C09"/>
    <w:rsid w:val="7BA80D18"/>
    <w:rsid w:val="7BA9632A"/>
    <w:rsid w:val="7BAD61C9"/>
    <w:rsid w:val="7BAE13D5"/>
    <w:rsid w:val="7BAE275F"/>
    <w:rsid w:val="7BB46FAC"/>
    <w:rsid w:val="7BB52976"/>
    <w:rsid w:val="7BB56A53"/>
    <w:rsid w:val="7BC021B0"/>
    <w:rsid w:val="7BC77989"/>
    <w:rsid w:val="7BCD576B"/>
    <w:rsid w:val="7BD161A0"/>
    <w:rsid w:val="7BD953C3"/>
    <w:rsid w:val="7BEF71C2"/>
    <w:rsid w:val="7BF05623"/>
    <w:rsid w:val="7BFB35B2"/>
    <w:rsid w:val="7BFF6F6F"/>
    <w:rsid w:val="7C0915AE"/>
    <w:rsid w:val="7C1065EC"/>
    <w:rsid w:val="7C1449D0"/>
    <w:rsid w:val="7C1B6C7E"/>
    <w:rsid w:val="7C1D3961"/>
    <w:rsid w:val="7C2A6DEA"/>
    <w:rsid w:val="7C2E3626"/>
    <w:rsid w:val="7C395C46"/>
    <w:rsid w:val="7C3A1137"/>
    <w:rsid w:val="7C3D4391"/>
    <w:rsid w:val="7C40528B"/>
    <w:rsid w:val="7C444CF8"/>
    <w:rsid w:val="7C4E5A56"/>
    <w:rsid w:val="7C4E6C7C"/>
    <w:rsid w:val="7C512E85"/>
    <w:rsid w:val="7C561191"/>
    <w:rsid w:val="7C6823BE"/>
    <w:rsid w:val="7C6975A9"/>
    <w:rsid w:val="7C7160C9"/>
    <w:rsid w:val="7C7F77DF"/>
    <w:rsid w:val="7C821FDC"/>
    <w:rsid w:val="7C8371B3"/>
    <w:rsid w:val="7C8426BC"/>
    <w:rsid w:val="7C8D47F5"/>
    <w:rsid w:val="7C943833"/>
    <w:rsid w:val="7C94769A"/>
    <w:rsid w:val="7C9A5D0B"/>
    <w:rsid w:val="7CAE3FDD"/>
    <w:rsid w:val="7CBA5390"/>
    <w:rsid w:val="7CBA63FB"/>
    <w:rsid w:val="7CBC6D70"/>
    <w:rsid w:val="7CBD2654"/>
    <w:rsid w:val="7CBF5429"/>
    <w:rsid w:val="7CD607F6"/>
    <w:rsid w:val="7CE84271"/>
    <w:rsid w:val="7CEC027A"/>
    <w:rsid w:val="7CEC5AA8"/>
    <w:rsid w:val="7CEC6FE9"/>
    <w:rsid w:val="7CED5325"/>
    <w:rsid w:val="7CF2748B"/>
    <w:rsid w:val="7CF35DDE"/>
    <w:rsid w:val="7CF51B63"/>
    <w:rsid w:val="7CF8049C"/>
    <w:rsid w:val="7CF84703"/>
    <w:rsid w:val="7CFE5896"/>
    <w:rsid w:val="7D0554BA"/>
    <w:rsid w:val="7D0D7D48"/>
    <w:rsid w:val="7D12671E"/>
    <w:rsid w:val="7D273622"/>
    <w:rsid w:val="7D287965"/>
    <w:rsid w:val="7D2D45B8"/>
    <w:rsid w:val="7D4251BD"/>
    <w:rsid w:val="7D431846"/>
    <w:rsid w:val="7D4448E3"/>
    <w:rsid w:val="7D451CAD"/>
    <w:rsid w:val="7D4C09B1"/>
    <w:rsid w:val="7D607ABF"/>
    <w:rsid w:val="7D673CA9"/>
    <w:rsid w:val="7D67461A"/>
    <w:rsid w:val="7D696795"/>
    <w:rsid w:val="7D762D06"/>
    <w:rsid w:val="7D766C94"/>
    <w:rsid w:val="7D8313FA"/>
    <w:rsid w:val="7D8A0046"/>
    <w:rsid w:val="7D931EC1"/>
    <w:rsid w:val="7DB56C7F"/>
    <w:rsid w:val="7DBF451B"/>
    <w:rsid w:val="7DC139B5"/>
    <w:rsid w:val="7DC518DD"/>
    <w:rsid w:val="7DC774DD"/>
    <w:rsid w:val="7DCA747B"/>
    <w:rsid w:val="7DD441EB"/>
    <w:rsid w:val="7DD71D69"/>
    <w:rsid w:val="7DE92089"/>
    <w:rsid w:val="7DEE23C1"/>
    <w:rsid w:val="7DF11250"/>
    <w:rsid w:val="7DF258AE"/>
    <w:rsid w:val="7DF93975"/>
    <w:rsid w:val="7E187C04"/>
    <w:rsid w:val="7E1C4369"/>
    <w:rsid w:val="7E434B4D"/>
    <w:rsid w:val="7E44281B"/>
    <w:rsid w:val="7E4703D6"/>
    <w:rsid w:val="7E4A7B04"/>
    <w:rsid w:val="7E592945"/>
    <w:rsid w:val="7E602E4A"/>
    <w:rsid w:val="7E61127B"/>
    <w:rsid w:val="7E620F92"/>
    <w:rsid w:val="7E641663"/>
    <w:rsid w:val="7E6A2E14"/>
    <w:rsid w:val="7E6D011C"/>
    <w:rsid w:val="7E6D055E"/>
    <w:rsid w:val="7E706E3E"/>
    <w:rsid w:val="7E722F3A"/>
    <w:rsid w:val="7E750F24"/>
    <w:rsid w:val="7E8660D0"/>
    <w:rsid w:val="7E885B32"/>
    <w:rsid w:val="7E975F10"/>
    <w:rsid w:val="7E9C140B"/>
    <w:rsid w:val="7EA03E00"/>
    <w:rsid w:val="7EA22DFC"/>
    <w:rsid w:val="7EA36D0F"/>
    <w:rsid w:val="7EA66BD6"/>
    <w:rsid w:val="7EA7120C"/>
    <w:rsid w:val="7EA87E0C"/>
    <w:rsid w:val="7EB43B0B"/>
    <w:rsid w:val="7EB72412"/>
    <w:rsid w:val="7EBE46D0"/>
    <w:rsid w:val="7EBF44B5"/>
    <w:rsid w:val="7EC05132"/>
    <w:rsid w:val="7EC81B12"/>
    <w:rsid w:val="7EC932C7"/>
    <w:rsid w:val="7ED47721"/>
    <w:rsid w:val="7ED92421"/>
    <w:rsid w:val="7EDC23EC"/>
    <w:rsid w:val="7EE31608"/>
    <w:rsid w:val="7EE73F34"/>
    <w:rsid w:val="7EED11CF"/>
    <w:rsid w:val="7EFB3D84"/>
    <w:rsid w:val="7F04112D"/>
    <w:rsid w:val="7F0D5B31"/>
    <w:rsid w:val="7F124073"/>
    <w:rsid w:val="7F15741E"/>
    <w:rsid w:val="7F1A28F4"/>
    <w:rsid w:val="7F1C6EF2"/>
    <w:rsid w:val="7F1E4274"/>
    <w:rsid w:val="7F291E09"/>
    <w:rsid w:val="7F310F6B"/>
    <w:rsid w:val="7F323B39"/>
    <w:rsid w:val="7F445491"/>
    <w:rsid w:val="7F5168FF"/>
    <w:rsid w:val="7F544A77"/>
    <w:rsid w:val="7F555F62"/>
    <w:rsid w:val="7F5851AA"/>
    <w:rsid w:val="7F6E2514"/>
    <w:rsid w:val="7F7B7F13"/>
    <w:rsid w:val="7F7E5882"/>
    <w:rsid w:val="7F8C32F3"/>
    <w:rsid w:val="7F9F7615"/>
    <w:rsid w:val="7FAA15DA"/>
    <w:rsid w:val="7FAB1120"/>
    <w:rsid w:val="7FAB6073"/>
    <w:rsid w:val="7FBE2049"/>
    <w:rsid w:val="7FBF0D15"/>
    <w:rsid w:val="7FC33949"/>
    <w:rsid w:val="7FC7322C"/>
    <w:rsid w:val="7FD15A2A"/>
    <w:rsid w:val="7FDE029F"/>
    <w:rsid w:val="7FE9691C"/>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Calibri Light" w:hAnsi="Calibri Light"/>
      <w:b/>
      <w:bCs/>
      <w:sz w:val="32"/>
      <w:szCs w:val="32"/>
    </w:rPr>
  </w:style>
  <w:style w:type="paragraph" w:styleId="5">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6">
    <w:name w:val="caption"/>
    <w:basedOn w:val="1"/>
    <w:next w:val="1"/>
    <w:unhideWhenUsed/>
    <w:qFormat/>
    <w:uiPriority w:val="0"/>
    <w:rPr>
      <w:rFonts w:ascii="Arial" w:hAnsi="Arial" w:eastAsia="黑体"/>
      <w:sz w:val="20"/>
    </w:rPr>
  </w:style>
  <w:style w:type="paragraph" w:styleId="7">
    <w:name w:val="annotation text"/>
    <w:basedOn w:val="1"/>
    <w:link w:val="32"/>
    <w:qFormat/>
    <w:uiPriority w:val="0"/>
    <w:pPr>
      <w:jc w:val="left"/>
    </w:pPr>
  </w:style>
  <w:style w:type="paragraph" w:styleId="8">
    <w:name w:val="toc 3"/>
    <w:basedOn w:val="1"/>
    <w:next w:val="1"/>
    <w:qFormat/>
    <w:uiPriority w:val="39"/>
    <w:pPr>
      <w:ind w:left="840" w:leftChars="400"/>
    </w:pPr>
  </w:style>
  <w:style w:type="paragraph" w:styleId="9">
    <w:name w:val="endnote text"/>
    <w:basedOn w:val="1"/>
    <w:link w:val="35"/>
    <w:qFormat/>
    <w:uiPriority w:val="0"/>
    <w:pPr>
      <w:snapToGrid w:val="0"/>
      <w:jc w:val="left"/>
    </w:pPr>
  </w:style>
  <w:style w:type="paragraph" w:styleId="10">
    <w:name w:val="Balloon Text"/>
    <w:basedOn w:val="1"/>
    <w:link w:val="34"/>
    <w:qFormat/>
    <w:uiPriority w:val="0"/>
    <w:rPr>
      <w:sz w:val="18"/>
      <w:szCs w:val="18"/>
    </w:rPr>
  </w:style>
  <w:style w:type="paragraph" w:styleId="11">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360"/>
      <w:jc w:val="left"/>
    </w:pPr>
    <w:rPr>
      <w:rFonts w:ascii="Cambria" w:hAnsi="Cambria" w:eastAsia="仿宋_GB2312"/>
      <w:b/>
      <w:bCs/>
      <w:caps/>
      <w:w w:val="90"/>
      <w:sz w:val="24"/>
      <w:szCs w:val="24"/>
    </w:rPr>
  </w:style>
  <w:style w:type="paragraph" w:styleId="13">
    <w:name w:val="footnote text"/>
    <w:basedOn w:val="1"/>
    <w:link w:val="27"/>
    <w:qFormat/>
    <w:uiPriority w:val="99"/>
    <w:pPr>
      <w:snapToGrid w:val="0"/>
      <w:jc w:val="left"/>
    </w:pPr>
    <w:rPr>
      <w:sz w:val="18"/>
      <w:szCs w:val="18"/>
    </w:rPr>
  </w:style>
  <w:style w:type="paragraph" w:styleId="14">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7"/>
    <w:next w:val="7"/>
    <w:link w:val="31"/>
    <w:qFormat/>
    <w:uiPriority w:val="0"/>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0">
    <w:name w:val="endnote reference"/>
    <w:basedOn w:val="19"/>
    <w:qFormat/>
    <w:uiPriority w:val="0"/>
    <w:rPr>
      <w:vertAlign w:val="superscript"/>
    </w:rPr>
  </w:style>
  <w:style w:type="character" w:styleId="21">
    <w:name w:val="Hyperlink"/>
    <w:qFormat/>
    <w:uiPriority w:val="99"/>
    <w:rPr>
      <w:rFonts w:cs="Times New Roman"/>
      <w:color w:val="0000FF"/>
      <w:u w:val="single"/>
    </w:rPr>
  </w:style>
  <w:style w:type="character" w:styleId="22">
    <w:name w:val="annotation reference"/>
    <w:basedOn w:val="19"/>
    <w:qFormat/>
    <w:uiPriority w:val="0"/>
    <w:rPr>
      <w:sz w:val="21"/>
      <w:szCs w:val="21"/>
    </w:rPr>
  </w:style>
  <w:style w:type="character" w:styleId="23">
    <w:name w:val="footnote reference"/>
    <w:basedOn w:val="19"/>
    <w:qFormat/>
    <w:uiPriority w:val="0"/>
    <w:rPr>
      <w:vertAlign w:val="superscript"/>
    </w:rPr>
  </w:style>
  <w:style w:type="paragraph" w:customStyle="1" w:styleId="24">
    <w:name w:val="Char Char Char Char"/>
    <w:basedOn w:val="1"/>
    <w:qFormat/>
    <w:uiPriority w:val="0"/>
    <w:pPr>
      <w:widowControl/>
      <w:spacing w:after="160" w:line="240" w:lineRule="exact"/>
      <w:jc w:val="left"/>
    </w:pPr>
    <w:rPr>
      <w:rFonts w:ascii="Tahoma" w:hAnsi="Tahoma" w:cs="黑体"/>
      <w:kern w:val="0"/>
      <w:sz w:val="24"/>
    </w:rPr>
  </w:style>
  <w:style w:type="paragraph" w:customStyle="1" w:styleId="25">
    <w:name w:val="列出段落1"/>
    <w:basedOn w:val="1"/>
    <w:unhideWhenUsed/>
    <w:qFormat/>
    <w:uiPriority w:val="34"/>
    <w:pPr>
      <w:ind w:firstLine="420" w:firstLineChars="200"/>
    </w:pPr>
  </w:style>
  <w:style w:type="paragraph" w:customStyle="1" w:styleId="26">
    <w:name w:val="默认段落字体 Para Char Char Char Char Char Char Char"/>
    <w:basedOn w:val="1"/>
    <w:qFormat/>
    <w:uiPriority w:val="0"/>
    <w:rPr>
      <w:rFonts w:ascii="Tahoma" w:hAnsi="Tahoma"/>
      <w:sz w:val="24"/>
      <w:szCs w:val="20"/>
    </w:rPr>
  </w:style>
  <w:style w:type="character" w:customStyle="1" w:styleId="27">
    <w:name w:val="脚注文本 Char"/>
    <w:basedOn w:val="19"/>
    <w:link w:val="13"/>
    <w:qFormat/>
    <w:uiPriority w:val="99"/>
    <w:rPr>
      <w:rFonts w:ascii="Calibri" w:hAnsi="Calibri"/>
      <w:kern w:val="2"/>
      <w:sz w:val="18"/>
      <w:szCs w:val="18"/>
    </w:rPr>
  </w:style>
  <w:style w:type="character" w:customStyle="1" w:styleId="28">
    <w:name w:val="页眉 Char"/>
    <w:basedOn w:val="19"/>
    <w:link w:val="11"/>
    <w:qFormat/>
    <w:uiPriority w:val="0"/>
    <w:rPr>
      <w:rFonts w:ascii="Calibri" w:hAnsi="Calibri"/>
      <w:kern w:val="2"/>
      <w:sz w:val="18"/>
      <w:szCs w:val="18"/>
    </w:rPr>
  </w:style>
  <w:style w:type="character" w:customStyle="1" w:styleId="29">
    <w:name w:val="标题 2 Char"/>
    <w:basedOn w:val="19"/>
    <w:link w:val="4"/>
    <w:qFormat/>
    <w:uiPriority w:val="9"/>
    <w:rPr>
      <w:rFonts w:ascii="Calibri Light" w:hAnsi="Calibri Light" w:eastAsia="宋体" w:cs="Times New Roman"/>
      <w:b/>
      <w:bCs/>
      <w:kern w:val="2"/>
      <w:sz w:val="32"/>
      <w:szCs w:val="32"/>
    </w:rPr>
  </w:style>
  <w:style w:type="character" w:customStyle="1" w:styleId="30">
    <w:name w:val="font11"/>
    <w:basedOn w:val="19"/>
    <w:qFormat/>
    <w:uiPriority w:val="0"/>
    <w:rPr>
      <w:rFonts w:hint="eastAsia" w:ascii="宋体" w:hAnsi="宋体" w:eastAsia="宋体" w:cs="宋体"/>
      <w:color w:val="000000"/>
      <w:sz w:val="20"/>
      <w:szCs w:val="20"/>
      <w:u w:val="none"/>
    </w:rPr>
  </w:style>
  <w:style w:type="character" w:customStyle="1" w:styleId="31">
    <w:name w:val="批注主题 Char"/>
    <w:basedOn w:val="32"/>
    <w:link w:val="16"/>
    <w:qFormat/>
    <w:uiPriority w:val="0"/>
    <w:rPr>
      <w:rFonts w:ascii="Calibri" w:hAnsi="Calibri"/>
      <w:b/>
      <w:bCs/>
      <w:kern w:val="2"/>
      <w:sz w:val="21"/>
      <w:szCs w:val="22"/>
    </w:rPr>
  </w:style>
  <w:style w:type="character" w:customStyle="1" w:styleId="32">
    <w:name w:val="批注文字 Char"/>
    <w:basedOn w:val="19"/>
    <w:link w:val="7"/>
    <w:qFormat/>
    <w:uiPriority w:val="0"/>
    <w:rPr>
      <w:rFonts w:ascii="Calibri" w:hAnsi="Calibri"/>
      <w:kern w:val="2"/>
      <w:sz w:val="21"/>
      <w:szCs w:val="22"/>
    </w:rPr>
  </w:style>
  <w:style w:type="character" w:customStyle="1" w:styleId="33">
    <w:name w:val="font31"/>
    <w:basedOn w:val="19"/>
    <w:qFormat/>
    <w:uiPriority w:val="0"/>
    <w:rPr>
      <w:rFonts w:hint="eastAsia" w:ascii="宋体" w:hAnsi="宋体" w:eastAsia="宋体" w:cs="宋体"/>
      <w:color w:val="000000"/>
      <w:sz w:val="20"/>
      <w:szCs w:val="20"/>
      <w:u w:val="none"/>
    </w:rPr>
  </w:style>
  <w:style w:type="character" w:customStyle="1" w:styleId="34">
    <w:name w:val="批注框文本 Char"/>
    <w:basedOn w:val="19"/>
    <w:link w:val="10"/>
    <w:qFormat/>
    <w:uiPriority w:val="0"/>
    <w:rPr>
      <w:rFonts w:ascii="Calibri" w:hAnsi="Calibri"/>
      <w:kern w:val="2"/>
      <w:sz w:val="18"/>
      <w:szCs w:val="18"/>
    </w:rPr>
  </w:style>
  <w:style w:type="character" w:customStyle="1" w:styleId="35">
    <w:name w:val="尾注文本 Char"/>
    <w:basedOn w:val="19"/>
    <w:link w:val="9"/>
    <w:qFormat/>
    <w:uiPriority w:val="0"/>
    <w:rPr>
      <w:rFonts w:ascii="Calibri" w:hAnsi="Calibri"/>
      <w:kern w:val="2"/>
      <w:sz w:val="21"/>
      <w:szCs w:val="22"/>
    </w:rPr>
  </w:style>
  <w:style w:type="character" w:customStyle="1" w:styleId="36">
    <w:name w:val="NormalCharacter"/>
    <w:qFormat/>
    <w:uiPriority w:val="0"/>
    <w:rPr>
      <w:rFonts w:ascii="Times New Roman" w:hAnsi="Times New Roman" w:eastAsia="宋体" w:cs="Times New Roman"/>
    </w:rPr>
  </w:style>
  <w:style w:type="paragraph" w:customStyle="1" w:styleId="37">
    <w:name w:val="WPSOffice手动目录 1"/>
    <w:qFormat/>
    <w:uiPriority w:val="0"/>
    <w:pPr>
      <w:ind w:leftChars="0"/>
    </w:pPr>
    <w:rPr>
      <w:rFonts w:ascii="Times New Roman" w:hAnsi="Times New Roman" w:eastAsia="宋体" w:cs="Times New Roman"/>
      <w:sz w:val="20"/>
      <w:szCs w:val="20"/>
    </w:rPr>
  </w:style>
  <w:style w:type="paragraph" w:customStyle="1" w:styleId="38">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4394</Words>
  <Characters>4624</Characters>
  <Lines>84</Lines>
  <Paragraphs>23</Paragraphs>
  <TotalTime>16</TotalTime>
  <ScaleCrop>false</ScaleCrop>
  <LinksUpToDate>false</LinksUpToDate>
  <CharactersWithSpaces>4680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2019-06-29T07:15:00Z</dcterms:created>
  <dc:creator>Administrator</dc:creator>
  <cp:lastModifiedBy>张雯昕</cp:lastModifiedBy>
  <cp:lastPrinted>2024-05-10T09:18:00Z</cp:lastPrinted>
  <dcterms:modified xsi:type="dcterms:W3CDTF">2025-08-26T06:06:55Z</dcterms:modified>
  <dc:title>2020年度北京市规划和自然资源委员会</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3C0EAD67CBB54AEE894CBABC821CFF0D_13</vt:lpwstr>
  </property>
  <property fmtid="{D5CDD505-2E9C-101B-9397-08002B2CF9AE}" pid="4" name="KSOTemplateDocerSaveRecord">
    <vt:lpwstr>eyJoZGlkIjoiNzc2Y2NiMTQ5YmQxODE3NDRhMDAzY2E1ZWZlYmRhZjUiLCJ1c2VySWQiOiIzNDI4Mzk2NTYifQ==</vt:lpwstr>
  </property>
</Properties>
</file>