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rPr>
      </w:pPr>
    </w:p>
    <w:p>
      <w:pPr>
        <w:rPr>
          <w:rFonts w:ascii="黑体"/>
        </w:rPr>
      </w:pPr>
    </w:p>
    <w:p>
      <w:pPr>
        <w:spacing w:line="241" w:lineRule="auto"/>
        <w:rPr>
          <w:rFonts w:ascii="黑体" w:eastAsia="宋体"/>
        </w:rPr>
      </w:pPr>
    </w:p>
    <w:p>
      <w:pPr>
        <w:spacing w:line="241" w:lineRule="auto"/>
        <w:rPr>
          <w:rFonts w:ascii="黑体"/>
        </w:rPr>
      </w:pPr>
    </w:p>
    <w:p>
      <w:pPr>
        <w:spacing w:line="241" w:lineRule="auto"/>
        <w:rPr>
          <w:rFonts w:ascii="黑体"/>
        </w:rPr>
      </w:pPr>
    </w:p>
    <w:p>
      <w:pPr>
        <w:spacing w:line="241" w:lineRule="auto"/>
        <w:rPr>
          <w:rFonts w:ascii="黑体"/>
        </w:rPr>
      </w:pPr>
    </w:p>
    <w:p>
      <w:pPr>
        <w:spacing w:line="241" w:lineRule="auto"/>
        <w:rPr>
          <w:rFonts w:ascii="黑体"/>
        </w:rPr>
      </w:pPr>
    </w:p>
    <w:p>
      <w:pPr>
        <w:kinsoku/>
        <w:autoSpaceDE/>
        <w:autoSpaceDN/>
        <w:adjustRightInd/>
        <w:snapToGrid/>
        <w:spacing w:line="360" w:lineRule="auto"/>
        <w:jc w:val="center"/>
        <w:textAlignment w:val="auto"/>
        <w:rPr>
          <w:rFonts w:ascii="方正小标宋_GBK" w:hAnsi="仿宋" w:eastAsia="方正小标宋_GBK" w:cs="仿宋"/>
          <w:b/>
          <w:sz w:val="44"/>
          <w:szCs w:val="44"/>
        </w:rPr>
      </w:pPr>
      <w:r>
        <w:rPr>
          <w:rFonts w:hint="eastAsia" w:ascii="方正小标宋_GBK" w:hAnsi="仿宋" w:eastAsia="方正小标宋_GBK" w:cs="仿宋"/>
          <w:b/>
          <w:sz w:val="44"/>
          <w:szCs w:val="44"/>
        </w:rPr>
        <w:t>2024年度北京知识产权法院</w:t>
      </w:r>
    </w:p>
    <w:p>
      <w:pPr>
        <w:kinsoku/>
        <w:autoSpaceDE/>
        <w:autoSpaceDN/>
        <w:adjustRightInd/>
        <w:snapToGrid/>
        <w:spacing w:line="360" w:lineRule="auto"/>
        <w:jc w:val="center"/>
        <w:textAlignment w:val="auto"/>
        <w:rPr>
          <w:rFonts w:ascii="方正小标宋_GBK" w:hAnsi="仿宋" w:eastAsia="方正小标宋_GBK" w:cs="仿宋"/>
          <w:b/>
          <w:sz w:val="44"/>
          <w:szCs w:val="44"/>
        </w:rPr>
      </w:pPr>
      <w:r>
        <w:rPr>
          <w:rFonts w:hint="eastAsia" w:ascii="方正小标宋_GBK" w:hAnsi="仿宋" w:eastAsia="方正小标宋_GBK" w:cs="仿宋"/>
          <w:b/>
          <w:sz w:val="44"/>
          <w:szCs w:val="44"/>
        </w:rPr>
        <w:t>网络运维费项目支出</w:t>
      </w:r>
      <w:r>
        <w:rPr>
          <w:rFonts w:hint="eastAsia" w:ascii="方正小标宋_GBK" w:hAnsi="仿宋" w:eastAsia="方正小标宋_GBK" w:cs="仿宋"/>
          <w:b/>
          <w:bCs/>
          <w:snapToGrid/>
          <w:sz w:val="44"/>
          <w:szCs w:val="44"/>
          <w:lang w:bidi="en-US"/>
        </w:rPr>
        <w:t>绩效评价报告</w:t>
      </w:r>
    </w:p>
    <w:p>
      <w:pPr>
        <w:spacing w:line="261" w:lineRule="auto"/>
        <w:rPr>
          <w:rFonts w:ascii="黑体"/>
        </w:rPr>
      </w:pPr>
    </w:p>
    <w:p>
      <w:pPr>
        <w:spacing w:line="261" w:lineRule="auto"/>
        <w:rPr>
          <w:rFonts w:ascii="黑体"/>
        </w:rPr>
      </w:pPr>
    </w:p>
    <w:p>
      <w:pPr>
        <w:spacing w:line="261" w:lineRule="auto"/>
        <w:rPr>
          <w:rFonts w:ascii="黑体"/>
        </w:rPr>
      </w:pPr>
    </w:p>
    <w:p>
      <w:pPr>
        <w:spacing w:line="261" w:lineRule="auto"/>
        <w:rPr>
          <w:rFonts w:ascii="黑体"/>
        </w:rPr>
      </w:pPr>
    </w:p>
    <w:p>
      <w:pPr>
        <w:spacing w:line="261" w:lineRule="auto"/>
        <w:rPr>
          <w:rFonts w:ascii="黑体"/>
        </w:rPr>
      </w:pPr>
    </w:p>
    <w:p>
      <w:pPr>
        <w:spacing w:line="261" w:lineRule="auto"/>
        <w:rPr>
          <w:rFonts w:ascii="黑体"/>
        </w:rPr>
      </w:pPr>
    </w:p>
    <w:p>
      <w:pPr>
        <w:spacing w:line="261" w:lineRule="auto"/>
        <w:rPr>
          <w:rFonts w:ascii="黑体"/>
        </w:rPr>
      </w:pPr>
    </w:p>
    <w:p>
      <w:pPr>
        <w:spacing w:line="261" w:lineRule="auto"/>
        <w:rPr>
          <w:rFonts w:ascii="黑体"/>
        </w:rPr>
      </w:pPr>
    </w:p>
    <w:p>
      <w:pPr>
        <w:spacing w:line="261" w:lineRule="auto"/>
        <w:rPr>
          <w:rFonts w:ascii="黑体"/>
        </w:rPr>
      </w:pPr>
    </w:p>
    <w:p>
      <w:pPr>
        <w:spacing w:line="262" w:lineRule="auto"/>
        <w:rPr>
          <w:rFonts w:ascii="黑体"/>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tbl>
      <w:tblPr>
        <w:tblStyle w:val="16"/>
        <w:tblpPr w:leftFromText="180" w:rightFromText="180" w:vertAnchor="text" w:horzAnchor="page" w:tblpX="2480" w:tblpY="1012"/>
        <w:tblOverlap w:val="never"/>
        <w:tblW w:w="0" w:type="auto"/>
        <w:tblInd w:w="0" w:type="dxa"/>
        <w:tblLayout w:type="fixed"/>
        <w:tblCellMar>
          <w:top w:w="0" w:type="dxa"/>
          <w:left w:w="0" w:type="dxa"/>
          <w:bottom w:w="0" w:type="dxa"/>
          <w:right w:w="0" w:type="dxa"/>
        </w:tblCellMar>
      </w:tblPr>
      <w:tblGrid>
        <w:gridCol w:w="7120"/>
      </w:tblGrid>
      <w:tr>
        <w:tblPrEx>
          <w:tblCellMar>
            <w:top w:w="0" w:type="dxa"/>
            <w:left w:w="0" w:type="dxa"/>
            <w:bottom w:w="0" w:type="dxa"/>
            <w:right w:w="0" w:type="dxa"/>
          </w:tblCellMar>
        </w:tblPrEx>
        <w:trPr>
          <w:trHeight w:val="833" w:hRule="exact"/>
        </w:trPr>
        <w:tc>
          <w:tcPr>
            <w:tcW w:w="7120" w:type="dxa"/>
            <w:tcMar>
              <w:top w:w="15" w:type="dxa"/>
              <w:left w:w="15" w:type="dxa"/>
              <w:bottom w:w="0" w:type="dxa"/>
              <w:right w:w="15" w:type="dxa"/>
            </w:tcMar>
          </w:tcPr>
          <w:p>
            <w:pPr>
              <w:jc w:val="center"/>
              <w:rPr>
                <w:rFonts w:ascii="仿宋" w:hAnsi="仿宋" w:eastAsia="仿宋" w:cs="仿宋"/>
                <w:b/>
                <w:sz w:val="44"/>
                <w:szCs w:val="44"/>
              </w:rPr>
            </w:pPr>
          </w:p>
        </w:tc>
      </w:tr>
      <w:tr>
        <w:tblPrEx>
          <w:tblCellMar>
            <w:top w:w="0" w:type="dxa"/>
            <w:left w:w="0" w:type="dxa"/>
            <w:bottom w:w="0" w:type="dxa"/>
            <w:right w:w="0" w:type="dxa"/>
          </w:tblCellMar>
        </w:tblPrEx>
        <w:trPr>
          <w:trHeight w:val="817" w:hRule="exact"/>
        </w:trPr>
        <w:tc>
          <w:tcPr>
            <w:tcW w:w="7120" w:type="dxa"/>
            <w:tcMar>
              <w:top w:w="15" w:type="dxa"/>
              <w:left w:w="15" w:type="dxa"/>
              <w:bottom w:w="0" w:type="dxa"/>
              <w:right w:w="15" w:type="dxa"/>
            </w:tcMar>
            <w:vAlign w:val="center"/>
          </w:tcPr>
          <w:p>
            <w:pPr>
              <w:jc w:val="center"/>
              <w:rPr>
                <w:rFonts w:ascii="仿宋" w:hAnsi="仿宋" w:eastAsia="仿宋" w:cs="仿宋"/>
                <w:b/>
                <w:sz w:val="36"/>
                <w:szCs w:val="36"/>
              </w:rPr>
            </w:pPr>
          </w:p>
        </w:tc>
      </w:tr>
    </w:tbl>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p>
    <w:p>
      <w:pPr>
        <w:tabs>
          <w:tab w:val="left" w:pos="7463"/>
        </w:tabs>
        <w:spacing w:line="480" w:lineRule="exact"/>
        <w:rPr>
          <w:rFonts w:ascii="方正小标宋简体" w:eastAsia="方正小标宋简体"/>
          <w:sz w:val="36"/>
          <w:szCs w:val="36"/>
        </w:rPr>
      </w:pPr>
      <w:r>
        <w:rPr>
          <w:rFonts w:hint="eastAsia" w:ascii="方正小标宋简体" w:eastAsia="方正小标宋简体"/>
          <w:sz w:val="36"/>
          <w:szCs w:val="36"/>
        </w:rPr>
        <w:tab/>
      </w:r>
    </w:p>
    <w:p>
      <w:pPr>
        <w:jc w:val="center"/>
      </w:pPr>
      <w:r>
        <w:rPr>
          <w:rFonts w:ascii="宋体" w:hAnsi="宋体" w:eastAsia="宋体"/>
          <w:b/>
          <w:bCs/>
          <w:sz w:val="36"/>
          <w:szCs w:val="36"/>
        </w:rPr>
        <w:t>目录</w:t>
      </w:r>
    </w:p>
    <w:p>
      <w:pPr>
        <w:pStyle w:val="14"/>
        <w:tabs>
          <w:tab w:val="right" w:leader="dot" w:pos="8306"/>
        </w:tabs>
        <w:rPr>
          <w:sz w:val="28"/>
          <w:szCs w:val="28"/>
        </w:rPr>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TOC \o "1-2" \h \u </w:instrText>
      </w:r>
      <w:r>
        <w:rPr>
          <w:rFonts w:hint="eastAsia" w:ascii="方正仿宋_GB2312" w:hAnsi="方正仿宋_GB2312" w:eastAsia="方正仿宋_GB2312" w:cs="方正仿宋_GB2312"/>
          <w:sz w:val="28"/>
          <w:szCs w:val="28"/>
        </w:rPr>
        <w:fldChar w:fldCharType="separate"/>
      </w:r>
      <w:r>
        <w:fldChar w:fldCharType="begin"/>
      </w:r>
      <w:r>
        <w:instrText xml:space="preserve"> HYPERLINK \l "_Toc30217" </w:instrText>
      </w:r>
      <w:r>
        <w:fldChar w:fldCharType="separate"/>
      </w:r>
      <w:r>
        <w:rPr>
          <w:rFonts w:hint="eastAsia"/>
          <w:sz w:val="28"/>
          <w:szCs w:val="28"/>
        </w:rPr>
        <w:t>一、 基本情况</w:t>
      </w:r>
      <w:r>
        <w:rPr>
          <w:sz w:val="28"/>
          <w:szCs w:val="28"/>
        </w:rPr>
        <w:tab/>
      </w:r>
      <w:r>
        <w:rPr>
          <w:sz w:val="28"/>
          <w:szCs w:val="28"/>
        </w:rPr>
        <w:fldChar w:fldCharType="begin"/>
      </w:r>
      <w:r>
        <w:rPr>
          <w:sz w:val="28"/>
          <w:szCs w:val="28"/>
        </w:rPr>
        <w:instrText xml:space="preserve"> PAGEREF _Toc30217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"_Toc16025" </w:instrText>
      </w:r>
      <w:r>
        <w:fldChar w:fldCharType="separate"/>
      </w:r>
      <w:r>
        <w:rPr>
          <w:rFonts w:hint="eastAsia" w:ascii="楷体" w:hAnsi="楷体" w:eastAsia="楷体" w:cs="楷体"/>
          <w:bCs/>
          <w:sz w:val="28"/>
          <w:szCs w:val="28"/>
        </w:rPr>
        <w:t>（一） 项目概况</w:t>
      </w:r>
      <w:r>
        <w:rPr>
          <w:sz w:val="28"/>
          <w:szCs w:val="28"/>
        </w:rPr>
        <w:tab/>
      </w:r>
      <w:r>
        <w:rPr>
          <w:sz w:val="28"/>
          <w:szCs w:val="28"/>
        </w:rPr>
        <w:fldChar w:fldCharType="begin"/>
      </w:r>
      <w:r>
        <w:rPr>
          <w:sz w:val="28"/>
          <w:szCs w:val="28"/>
        </w:rPr>
        <w:instrText xml:space="preserve"> PAGEREF _Toc16025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"_Toc30677" </w:instrText>
      </w:r>
      <w:r>
        <w:fldChar w:fldCharType="separate"/>
      </w:r>
      <w:r>
        <w:rPr>
          <w:rFonts w:hint="eastAsia" w:ascii="仿宋" w:hAnsi="仿宋" w:eastAsia="仿宋" w:cs="仿宋"/>
          <w:sz w:val="28"/>
          <w:szCs w:val="28"/>
        </w:rPr>
        <w:t xml:space="preserve">（二） </w:t>
      </w:r>
      <w:r>
        <w:rPr>
          <w:rFonts w:hint="eastAsia" w:ascii="楷体" w:hAnsi="楷体" w:eastAsia="楷体" w:cs="楷体"/>
          <w:bCs/>
          <w:sz w:val="28"/>
          <w:szCs w:val="28"/>
        </w:rPr>
        <w:t>项目绩效目标</w:t>
      </w:r>
      <w:r>
        <w:rPr>
          <w:sz w:val="28"/>
          <w:szCs w:val="28"/>
        </w:rPr>
        <w:tab/>
      </w:r>
      <w:r>
        <w:rPr>
          <w:sz w:val="28"/>
          <w:szCs w:val="28"/>
        </w:rPr>
        <w:fldChar w:fldCharType="begin"/>
      </w:r>
      <w:r>
        <w:rPr>
          <w:sz w:val="28"/>
          <w:szCs w:val="28"/>
        </w:rPr>
        <w:instrText xml:space="preserve"> PAGEREF _Toc30677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"_Toc25289" </w:instrText>
      </w:r>
      <w:r>
        <w:fldChar w:fldCharType="separate"/>
      </w:r>
      <w:r>
        <w:rPr>
          <w:rFonts w:hint="eastAsia"/>
          <w:sz w:val="28"/>
          <w:szCs w:val="28"/>
        </w:rPr>
        <w:t>二、 绩效评价工作开展情况</w:t>
      </w:r>
      <w:r>
        <w:rPr>
          <w:sz w:val="28"/>
          <w:szCs w:val="28"/>
        </w:rPr>
        <w:tab/>
      </w:r>
      <w:r>
        <w:rPr>
          <w:sz w:val="28"/>
          <w:szCs w:val="28"/>
        </w:rPr>
        <w:fldChar w:fldCharType="begin"/>
      </w:r>
      <w:r>
        <w:rPr>
          <w:sz w:val="28"/>
          <w:szCs w:val="28"/>
        </w:rPr>
        <w:instrText xml:space="preserve"> PAGEREF _Toc25289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"_Toc12196" </w:instrText>
      </w:r>
      <w:r>
        <w:fldChar w:fldCharType="separate"/>
      </w:r>
      <w:r>
        <w:rPr>
          <w:rFonts w:hint="eastAsia" w:ascii="楷体" w:hAnsi="楷体" w:eastAsia="楷体" w:cs="楷体"/>
          <w:sz w:val="28"/>
          <w:szCs w:val="28"/>
        </w:rPr>
        <w:t>（一） 绩效评价目的、对象和范围</w:t>
      </w:r>
      <w:r>
        <w:rPr>
          <w:sz w:val="28"/>
          <w:szCs w:val="28"/>
        </w:rPr>
        <w:tab/>
      </w:r>
      <w:r>
        <w:rPr>
          <w:sz w:val="28"/>
          <w:szCs w:val="28"/>
        </w:rPr>
        <w:fldChar w:fldCharType="begin"/>
      </w:r>
      <w:r>
        <w:rPr>
          <w:sz w:val="28"/>
          <w:szCs w:val="28"/>
        </w:rPr>
        <w:instrText xml:space="preserve"> PAGEREF _Toc12196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"_Toc27361" </w:instrText>
      </w:r>
      <w:r>
        <w:fldChar w:fldCharType="separate"/>
      </w:r>
      <w:r>
        <w:rPr>
          <w:rFonts w:hint="eastAsia" w:ascii="楷体" w:hAnsi="楷体" w:eastAsia="楷体" w:cs="楷体"/>
          <w:sz w:val="28"/>
          <w:szCs w:val="28"/>
        </w:rPr>
        <w:t>（二） 绩效评价原则、评价指标体系、评价方法、评价标准</w:t>
      </w:r>
      <w:r>
        <w:rPr>
          <w:sz w:val="28"/>
          <w:szCs w:val="28"/>
        </w:rPr>
        <w:tab/>
      </w:r>
      <w:r>
        <w:rPr>
          <w:sz w:val="28"/>
          <w:szCs w:val="28"/>
        </w:rPr>
        <w:fldChar w:fldCharType="begin"/>
      </w:r>
      <w:r>
        <w:rPr>
          <w:sz w:val="28"/>
          <w:szCs w:val="28"/>
        </w:rPr>
        <w:instrText xml:space="preserve"> PAGEREF _Toc27361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"_Toc13041" </w:instrText>
      </w:r>
      <w:r>
        <w:fldChar w:fldCharType="separate"/>
      </w:r>
      <w:r>
        <w:rPr>
          <w:rFonts w:hint="eastAsia" w:ascii="楷体" w:hAnsi="楷体" w:eastAsia="楷体" w:cs="楷体"/>
          <w:sz w:val="28"/>
          <w:szCs w:val="28"/>
        </w:rPr>
        <w:t>（三） 绩效评价工作过程</w:t>
      </w:r>
      <w:r>
        <w:rPr>
          <w:sz w:val="28"/>
          <w:szCs w:val="28"/>
        </w:rPr>
        <w:tab/>
      </w:r>
      <w:r>
        <w:rPr>
          <w:sz w:val="28"/>
          <w:szCs w:val="28"/>
        </w:rPr>
        <w:fldChar w:fldCharType="begin"/>
      </w:r>
      <w:r>
        <w:rPr>
          <w:sz w:val="28"/>
          <w:szCs w:val="28"/>
        </w:rPr>
        <w:instrText xml:space="preserve"> PAGEREF _Toc13041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"_Toc4063" </w:instrText>
      </w:r>
      <w:r>
        <w:fldChar w:fldCharType="separate"/>
      </w:r>
      <w:r>
        <w:rPr>
          <w:rFonts w:hint="eastAsia"/>
          <w:sz w:val="28"/>
          <w:szCs w:val="28"/>
        </w:rPr>
        <w:t>三、 综合评价情况及评价结论</w:t>
      </w:r>
      <w:r>
        <w:rPr>
          <w:sz w:val="28"/>
          <w:szCs w:val="28"/>
        </w:rPr>
        <w:tab/>
      </w:r>
      <w:r>
        <w:rPr>
          <w:sz w:val="28"/>
          <w:szCs w:val="28"/>
        </w:rPr>
        <w:fldChar w:fldCharType="begin"/>
      </w:r>
      <w:r>
        <w:rPr>
          <w:sz w:val="28"/>
          <w:szCs w:val="28"/>
        </w:rPr>
        <w:instrText xml:space="preserve"> PAGEREF _Toc4063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"_Toc12904" </w:instrText>
      </w:r>
      <w:r>
        <w:fldChar w:fldCharType="separate"/>
      </w:r>
      <w:r>
        <w:rPr>
          <w:rFonts w:hint="eastAsia"/>
          <w:sz w:val="28"/>
          <w:szCs w:val="28"/>
        </w:rPr>
        <w:t>四、 绩效评价指标分析</w:t>
      </w:r>
      <w:r>
        <w:rPr>
          <w:sz w:val="28"/>
          <w:szCs w:val="28"/>
        </w:rPr>
        <w:tab/>
      </w:r>
      <w:r>
        <w:rPr>
          <w:sz w:val="28"/>
          <w:szCs w:val="28"/>
        </w:rPr>
        <w:fldChar w:fldCharType="begin"/>
      </w:r>
      <w:r>
        <w:rPr>
          <w:sz w:val="28"/>
          <w:szCs w:val="28"/>
        </w:rPr>
        <w:instrText xml:space="preserve"> PAGEREF _Toc12904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"_Toc21694" </w:instrText>
      </w:r>
      <w:r>
        <w:fldChar w:fldCharType="separate"/>
      </w:r>
      <w:r>
        <w:rPr>
          <w:rFonts w:hint="eastAsia" w:ascii="楷体" w:hAnsi="楷体" w:eastAsia="楷体" w:cs="楷体"/>
          <w:bCs/>
          <w:sz w:val="28"/>
          <w:szCs w:val="28"/>
        </w:rPr>
        <w:t>（一） 项目决策情况</w:t>
      </w:r>
      <w:r>
        <w:rPr>
          <w:sz w:val="28"/>
          <w:szCs w:val="28"/>
        </w:rPr>
        <w:tab/>
      </w:r>
      <w:r>
        <w:rPr>
          <w:sz w:val="28"/>
          <w:szCs w:val="28"/>
        </w:rPr>
        <w:fldChar w:fldCharType="begin"/>
      </w:r>
      <w:r>
        <w:rPr>
          <w:sz w:val="28"/>
          <w:szCs w:val="28"/>
        </w:rPr>
        <w:instrText xml:space="preserve"> PAGEREF _Toc21694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"_Toc28183" </w:instrText>
      </w:r>
      <w:r>
        <w:fldChar w:fldCharType="separate"/>
      </w:r>
      <w:r>
        <w:rPr>
          <w:rFonts w:hint="eastAsia" w:ascii="楷体" w:hAnsi="楷体" w:eastAsia="楷体" w:cs="楷体"/>
          <w:bCs/>
          <w:sz w:val="28"/>
          <w:szCs w:val="28"/>
        </w:rPr>
        <w:t>（二） 项目过程情况</w:t>
      </w:r>
      <w:r>
        <w:rPr>
          <w:sz w:val="28"/>
          <w:szCs w:val="28"/>
        </w:rPr>
        <w:tab/>
      </w:r>
      <w:r>
        <w:rPr>
          <w:sz w:val="28"/>
          <w:szCs w:val="28"/>
        </w:rPr>
        <w:fldChar w:fldCharType="begin"/>
      </w:r>
      <w:r>
        <w:rPr>
          <w:sz w:val="28"/>
          <w:szCs w:val="28"/>
        </w:rPr>
        <w:instrText xml:space="preserve"> PAGEREF _Toc28183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"_Toc1644" </w:instrText>
      </w:r>
      <w:r>
        <w:fldChar w:fldCharType="separate"/>
      </w:r>
      <w:r>
        <w:rPr>
          <w:rFonts w:hint="eastAsia" w:ascii="楷体" w:hAnsi="楷体" w:eastAsia="楷体" w:cs="楷体"/>
          <w:bCs/>
          <w:sz w:val="28"/>
          <w:szCs w:val="28"/>
        </w:rPr>
        <w:t>（三） 项目产出情况</w:t>
      </w:r>
      <w:r>
        <w:rPr>
          <w:sz w:val="28"/>
          <w:szCs w:val="28"/>
        </w:rPr>
        <w:tab/>
      </w:r>
      <w:r>
        <w:rPr>
          <w:sz w:val="28"/>
          <w:szCs w:val="28"/>
        </w:rPr>
        <w:fldChar w:fldCharType="begin"/>
      </w:r>
      <w:r>
        <w:rPr>
          <w:sz w:val="28"/>
          <w:szCs w:val="28"/>
        </w:rPr>
        <w:instrText xml:space="preserve"> PAGEREF _Toc1644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"_Toc8191" </w:instrText>
      </w:r>
      <w:r>
        <w:fldChar w:fldCharType="separate"/>
      </w:r>
      <w:r>
        <w:rPr>
          <w:rFonts w:hint="eastAsia" w:ascii="楷体" w:hAnsi="楷体" w:eastAsia="楷体" w:cs="楷体"/>
          <w:bCs/>
          <w:sz w:val="28"/>
          <w:szCs w:val="28"/>
        </w:rPr>
        <w:t>（四） 项目效益情况</w:t>
      </w:r>
      <w:r>
        <w:rPr>
          <w:sz w:val="28"/>
          <w:szCs w:val="28"/>
        </w:rPr>
        <w:tab/>
      </w:r>
      <w:r>
        <w:rPr>
          <w:sz w:val="28"/>
          <w:szCs w:val="28"/>
        </w:rPr>
        <w:fldChar w:fldCharType="begin"/>
      </w:r>
      <w:r>
        <w:rPr>
          <w:sz w:val="28"/>
          <w:szCs w:val="28"/>
        </w:rPr>
        <w:instrText xml:space="preserve"> PAGEREF _Toc8191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"_Toc15494" </w:instrText>
      </w:r>
      <w:r>
        <w:fldChar w:fldCharType="separate"/>
      </w:r>
      <w:r>
        <w:rPr>
          <w:rFonts w:hint="eastAsia"/>
          <w:sz w:val="28"/>
          <w:szCs w:val="28"/>
        </w:rPr>
        <w:t>五、 存在的问题及原因分析</w:t>
      </w:r>
      <w:r>
        <w:rPr>
          <w:sz w:val="28"/>
          <w:szCs w:val="28"/>
        </w:rPr>
        <w:tab/>
      </w:r>
      <w:r>
        <w:rPr>
          <w:sz w:val="28"/>
          <w:szCs w:val="28"/>
        </w:rPr>
        <w:fldChar w:fldCharType="begin"/>
      </w:r>
      <w:r>
        <w:rPr>
          <w:sz w:val="28"/>
          <w:szCs w:val="28"/>
        </w:rPr>
        <w:instrText xml:space="preserve"> PAGEREF _Toc15494 \h </w:instrText>
      </w:r>
      <w:r>
        <w:rPr>
          <w:sz w:val="28"/>
          <w:szCs w:val="28"/>
        </w:rPr>
        <w:fldChar w:fldCharType="separate"/>
      </w:r>
      <w:r>
        <w:rPr>
          <w:sz w:val="28"/>
          <w:szCs w:val="28"/>
        </w:rPr>
        <w:t>21</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"_Toc14428" </w:instrText>
      </w:r>
      <w:r>
        <w:fldChar w:fldCharType="separate"/>
      </w:r>
      <w:r>
        <w:rPr>
          <w:rFonts w:hint="eastAsia" w:ascii="楷体" w:hAnsi="楷体" w:eastAsia="楷体" w:cs="楷体"/>
          <w:bCs/>
          <w:sz w:val="28"/>
          <w:szCs w:val="28"/>
        </w:rPr>
        <w:t>（一） 项目存在的问题</w:t>
      </w:r>
      <w:r>
        <w:rPr>
          <w:sz w:val="28"/>
          <w:szCs w:val="28"/>
        </w:rPr>
        <w:tab/>
      </w:r>
      <w:r>
        <w:rPr>
          <w:sz w:val="28"/>
          <w:szCs w:val="28"/>
        </w:rPr>
        <w:fldChar w:fldCharType="begin"/>
      </w:r>
      <w:r>
        <w:rPr>
          <w:sz w:val="28"/>
          <w:szCs w:val="28"/>
        </w:rPr>
        <w:instrText xml:space="preserve"> PAGEREF _Toc14428 \h </w:instrText>
      </w:r>
      <w:r>
        <w:rPr>
          <w:sz w:val="28"/>
          <w:szCs w:val="28"/>
        </w:rPr>
        <w:fldChar w:fldCharType="separate"/>
      </w:r>
      <w:r>
        <w:rPr>
          <w:sz w:val="28"/>
          <w:szCs w:val="28"/>
        </w:rPr>
        <w:t>21</w:t>
      </w:r>
      <w:r>
        <w:rPr>
          <w:sz w:val="28"/>
          <w:szCs w:val="28"/>
        </w:rPr>
        <w:fldChar w:fldCharType="end"/>
      </w:r>
      <w:r>
        <w:rPr>
          <w:sz w:val="28"/>
          <w:szCs w:val="28"/>
        </w:rPr>
        <w:fldChar w:fldCharType="end"/>
      </w:r>
    </w:p>
    <w:p>
      <w:pPr>
        <w:pStyle w:val="15"/>
        <w:tabs>
          <w:tab w:val="right" w:leader="dot" w:pos="8306"/>
        </w:tabs>
        <w:rPr>
          <w:sz w:val="28"/>
          <w:szCs w:val="28"/>
        </w:rPr>
      </w:pPr>
      <w:r>
        <w:fldChar w:fldCharType="begin"/>
      </w:r>
      <w:r>
        <w:instrText xml:space="preserve"> HYPERLINK \l "_Toc26889" </w:instrText>
      </w:r>
      <w:r>
        <w:fldChar w:fldCharType="separate"/>
      </w:r>
      <w:r>
        <w:rPr>
          <w:rFonts w:hint="eastAsia" w:ascii="楷体" w:hAnsi="楷体" w:eastAsia="楷体" w:cs="楷体"/>
          <w:bCs/>
          <w:sz w:val="28"/>
          <w:szCs w:val="28"/>
        </w:rPr>
        <w:t>（二） 原因分析</w:t>
      </w:r>
      <w:r>
        <w:rPr>
          <w:sz w:val="28"/>
          <w:szCs w:val="28"/>
        </w:rPr>
        <w:tab/>
      </w:r>
      <w:r>
        <w:rPr>
          <w:sz w:val="28"/>
          <w:szCs w:val="28"/>
        </w:rPr>
        <w:fldChar w:fldCharType="begin"/>
      </w:r>
      <w:r>
        <w:rPr>
          <w:sz w:val="28"/>
          <w:szCs w:val="28"/>
        </w:rPr>
        <w:instrText xml:space="preserve"> PAGEREF _Toc26889 \h </w:instrText>
      </w:r>
      <w:r>
        <w:rPr>
          <w:sz w:val="28"/>
          <w:szCs w:val="28"/>
        </w:rPr>
        <w:fldChar w:fldCharType="separate"/>
      </w:r>
      <w:r>
        <w:rPr>
          <w:sz w:val="28"/>
          <w:szCs w:val="28"/>
        </w:rPr>
        <w:t>22</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"_Toc24871" </w:instrText>
      </w:r>
      <w:r>
        <w:fldChar w:fldCharType="separate"/>
      </w:r>
      <w:r>
        <w:rPr>
          <w:rFonts w:hint="eastAsia" w:eastAsia="黑体"/>
          <w:sz w:val="28"/>
          <w:szCs w:val="28"/>
        </w:rPr>
        <w:t xml:space="preserve">六、 </w:t>
      </w:r>
      <w:r>
        <w:rPr>
          <w:sz w:val="28"/>
          <w:szCs w:val="28"/>
        </w:rPr>
        <w:t>有关建议</w:t>
      </w:r>
      <w:r>
        <w:rPr>
          <w:sz w:val="28"/>
          <w:szCs w:val="28"/>
        </w:rPr>
        <w:tab/>
      </w:r>
      <w:r>
        <w:rPr>
          <w:sz w:val="28"/>
          <w:szCs w:val="28"/>
        </w:rPr>
        <w:fldChar w:fldCharType="begin"/>
      </w:r>
      <w:r>
        <w:rPr>
          <w:sz w:val="28"/>
          <w:szCs w:val="28"/>
        </w:rPr>
        <w:instrText xml:space="preserve"> PAGEREF _Toc24871 \h </w:instrText>
      </w:r>
      <w:r>
        <w:rPr>
          <w:sz w:val="28"/>
          <w:szCs w:val="28"/>
        </w:rPr>
        <w:fldChar w:fldCharType="separate"/>
      </w:r>
      <w:r>
        <w:rPr>
          <w:sz w:val="28"/>
          <w:szCs w:val="28"/>
        </w:rPr>
        <w:t>24</w:t>
      </w:r>
      <w:r>
        <w:rPr>
          <w:sz w:val="28"/>
          <w:szCs w:val="28"/>
        </w:rPr>
        <w:fldChar w:fldCharType="end"/>
      </w:r>
      <w:r>
        <w:rPr>
          <w:sz w:val="28"/>
          <w:szCs w:val="28"/>
        </w:rPr>
        <w:fldChar w:fldCharType="end"/>
      </w:r>
    </w:p>
    <w:p>
      <w:pPr>
        <w:pStyle w:val="14"/>
        <w:tabs>
          <w:tab w:val="right" w:leader="dot" w:pos="8306"/>
        </w:tabs>
        <w:rPr>
          <w:sz w:val="28"/>
          <w:szCs w:val="28"/>
        </w:rPr>
      </w:pPr>
      <w:r>
        <w:fldChar w:fldCharType="begin"/>
      </w:r>
      <w:r>
        <w:instrText xml:space="preserve"> HYPERLINK \l "_Toc13899" </w:instrText>
      </w:r>
      <w:r>
        <w:fldChar w:fldCharType="separate"/>
      </w:r>
      <w:r>
        <w:rPr>
          <w:rFonts w:hint="eastAsia" w:eastAsia="黑体"/>
          <w:kern w:val="44"/>
          <w:sz w:val="28"/>
          <w:szCs w:val="28"/>
        </w:rPr>
        <w:t xml:space="preserve">七、 </w:t>
      </w:r>
      <w:r>
        <w:rPr>
          <w:rFonts w:hint="eastAsia" w:asciiTheme="minorEastAsia" w:hAnsiTheme="minorEastAsia" w:eastAsiaTheme="minorEastAsia" w:cstheme="minorEastAsia"/>
          <w:kern w:val="44"/>
          <w:sz w:val="28"/>
          <w:szCs w:val="28"/>
        </w:rPr>
        <w:t>其他需要说明的问题</w:t>
      </w:r>
      <w:r>
        <w:rPr>
          <w:sz w:val="28"/>
          <w:szCs w:val="28"/>
        </w:rPr>
        <w:tab/>
      </w:r>
      <w:r>
        <w:rPr>
          <w:sz w:val="28"/>
          <w:szCs w:val="28"/>
        </w:rPr>
        <w:fldChar w:fldCharType="begin"/>
      </w:r>
      <w:r>
        <w:rPr>
          <w:sz w:val="28"/>
          <w:szCs w:val="28"/>
        </w:rPr>
        <w:instrText xml:space="preserve"> PAGEREF _Toc13899 \h </w:instrText>
      </w:r>
      <w:r>
        <w:rPr>
          <w:sz w:val="28"/>
          <w:szCs w:val="28"/>
        </w:rPr>
        <w:fldChar w:fldCharType="separate"/>
      </w:r>
      <w:r>
        <w:rPr>
          <w:sz w:val="28"/>
          <w:szCs w:val="28"/>
        </w:rPr>
        <w:t>25</w:t>
      </w:r>
      <w:r>
        <w:rPr>
          <w:sz w:val="28"/>
          <w:szCs w:val="28"/>
        </w:rPr>
        <w:fldChar w:fldCharType="end"/>
      </w:r>
      <w:r>
        <w:rPr>
          <w:sz w:val="28"/>
          <w:szCs w:val="28"/>
        </w:rPr>
        <w:fldChar w:fldCharType="end"/>
      </w:r>
    </w:p>
    <w:p>
      <w:pPr>
        <w:spacing w:line="360" w:lineRule="auto"/>
        <w:rPr>
          <w:rFonts w:ascii="方正仿宋_GB2312" w:hAnsi="方正仿宋_GB2312" w:eastAsia="方正仿宋_GB2312" w:cs="方正仿宋_GB2312"/>
          <w:b/>
          <w:sz w:val="28"/>
          <w:szCs w:val="28"/>
        </w:rPr>
      </w:pPr>
      <w:r>
        <w:rPr>
          <w:rFonts w:hint="eastAsia" w:ascii="方正仿宋_GB2312" w:hAnsi="方正仿宋_GB2312" w:eastAsia="方正仿宋_GB2312" w:cs="方正仿宋_GB2312"/>
          <w:sz w:val="28"/>
          <w:szCs w:val="28"/>
        </w:rPr>
        <w:fldChar w:fldCharType="end"/>
      </w:r>
    </w:p>
    <w:p>
      <w:pPr>
        <w:rPr>
          <w:rFonts w:ascii="方正仿宋_GB2312" w:hAnsi="方正仿宋_GB2312" w:eastAsia="方正仿宋_GB2312" w:cs="方正仿宋_GB2312"/>
          <w:b/>
          <w:sz w:val="28"/>
          <w:szCs w:val="28"/>
        </w:rPr>
      </w:pPr>
    </w:p>
    <w:p>
      <w:pPr>
        <w:tabs>
          <w:tab w:val="left" w:pos="6935"/>
        </w:tabs>
        <w:spacing w:line="560" w:lineRule="exact"/>
        <w:jc w:val="both"/>
        <w:outlineLvl w:val="0"/>
        <w:rPr>
          <w:rFonts w:ascii="方正仿宋_GB2312" w:hAnsi="方正仿宋_GB2312" w:eastAsia="方正仿宋_GB2312" w:cs="方正仿宋_GB2312"/>
          <w:sz w:val="28"/>
          <w:szCs w:val="28"/>
        </w:rPr>
        <w:sectPr>
          <w:pgSz w:w="11906" w:h="16838"/>
          <w:pgMar w:top="1440" w:right="1800" w:bottom="1440" w:left="1800" w:header="851" w:footer="992" w:gutter="0"/>
          <w:pgNumType w:start="1"/>
          <w:cols w:space="425" w:num="1"/>
          <w:docGrid w:type="lines" w:linePitch="312" w:charSpace="0"/>
        </w:sectPr>
      </w:pPr>
      <w:bookmarkStart w:id="0" w:name="_Toc21971"/>
    </w:p>
    <w:p>
      <w:pPr>
        <w:spacing w:line="560" w:lineRule="exact"/>
        <w:jc w:val="center"/>
        <w:rPr>
          <w:rFonts w:ascii="方正大标宋简体" w:hAnsi="方正大标宋简体" w:eastAsia="方正大标宋简体" w:cs="方正大标宋简体"/>
          <w:sz w:val="36"/>
          <w:szCs w:val="36"/>
        </w:rPr>
      </w:pPr>
      <w:r>
        <w:rPr>
          <w:rFonts w:hint="eastAsia" w:ascii="方正大标宋简体" w:hAnsi="方正大标宋简体" w:eastAsia="方正大标宋简体" w:cs="方正大标宋简体"/>
          <w:sz w:val="36"/>
          <w:szCs w:val="36"/>
        </w:rPr>
        <w:t>北京知识产权法院</w:t>
      </w:r>
    </w:p>
    <w:p>
      <w:pPr>
        <w:spacing w:line="560" w:lineRule="exact"/>
        <w:jc w:val="center"/>
        <w:rPr>
          <w:rFonts w:ascii="方正公文仿宋" w:hAnsi="方正公文仿宋" w:eastAsia="方正公文仿宋" w:cs="方正公文仿宋"/>
          <w:sz w:val="36"/>
          <w:szCs w:val="36"/>
        </w:rPr>
      </w:pPr>
      <w:r>
        <w:rPr>
          <w:rFonts w:hint="eastAsia" w:ascii="方正大标宋简体" w:hAnsi="方正大标宋简体" w:eastAsia="方正大标宋简体" w:cs="方正大标宋简体"/>
          <w:sz w:val="36"/>
          <w:szCs w:val="36"/>
        </w:rPr>
        <w:t>网络运维费（知）项目支出</w:t>
      </w:r>
    </w:p>
    <w:p>
      <w:pPr>
        <w:spacing w:line="560" w:lineRule="exact"/>
        <w:jc w:val="center"/>
        <w:rPr>
          <w:rFonts w:ascii="方正大标宋简体" w:hAnsi="方正大标宋简体" w:eastAsia="方正大标宋简体" w:cs="方正大标宋简体"/>
          <w:sz w:val="36"/>
          <w:szCs w:val="36"/>
        </w:rPr>
      </w:pPr>
      <w:r>
        <w:rPr>
          <w:rFonts w:hint="eastAsia" w:ascii="方正大标宋简体" w:hAnsi="方正大标宋简体" w:eastAsia="方正大标宋简体" w:cs="方正大标宋简体"/>
          <w:sz w:val="36"/>
          <w:szCs w:val="36"/>
        </w:rPr>
        <w:t>绩效评价报告</w:t>
      </w:r>
      <w:bookmarkEnd w:id="0"/>
    </w:p>
    <w:p>
      <w:pPr>
        <w:spacing w:line="560" w:lineRule="exact"/>
        <w:jc w:val="center"/>
        <w:rPr>
          <w:rFonts w:ascii="方正小标宋简体" w:eastAsia="方正小标宋简体"/>
          <w:sz w:val="36"/>
          <w:szCs w:val="36"/>
        </w:rPr>
      </w:pPr>
    </w:p>
    <w:p>
      <w:pPr>
        <w:kinsoku/>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为进一步规范政府购买服务项目实施，提高财政资金使用效益，根据《北京市项目支出绩效评价管理办法》和《北京市财政局关于开展政府购买服务项目绩效评价工作的通知》以及北京市财政局《关于开</w:t>
      </w:r>
      <w:r>
        <w:rPr>
          <w:rFonts w:hint="eastAsia" w:ascii="仿宋" w:hAnsi="仿宋" w:eastAsia="仿宋" w:cs="仿宋"/>
          <w:color w:val="000000" w:themeColor="text1"/>
          <w:sz w:val="32"/>
          <w:szCs w:val="32"/>
          <w14:textFill>
            <w14:solidFill>
              <w14:schemeClr w14:val="tx1"/>
            </w14:solidFill>
          </w14:textFill>
        </w:rPr>
        <w:t>展2025年预</w:t>
      </w:r>
      <w:r>
        <w:rPr>
          <w:rFonts w:hint="eastAsia" w:ascii="仿宋" w:hAnsi="仿宋" w:eastAsia="仿宋" w:cs="仿宋"/>
          <w:sz w:val="32"/>
          <w:szCs w:val="32"/>
        </w:rPr>
        <w:t>算绩效管理相关工作的函》等文件要求，北京知识产权法院（以下简称“知产法院”）成立绩效评价工作组，于2025年4月25日至5月20日对知产法院“网络运维费（知）项目”开展了绩效评价。具体情况如下：</w:t>
      </w:r>
    </w:p>
    <w:p>
      <w:pPr>
        <w:pStyle w:val="2"/>
        <w:numPr>
          <w:ilvl w:val="0"/>
          <w:numId w:val="2"/>
        </w:numPr>
        <w:jc w:val="left"/>
      </w:pPr>
      <w:bookmarkStart w:id="1" w:name="_Toc30217"/>
      <w:bookmarkStart w:id="2" w:name="_Toc5458"/>
      <w:bookmarkStart w:id="3" w:name="_Toc16325"/>
      <w:bookmarkStart w:id="4" w:name="_Toc4528"/>
      <w:bookmarkStart w:id="5" w:name="_Toc774"/>
      <w:bookmarkStart w:id="6" w:name="_Toc29463"/>
      <w:r>
        <w:rPr>
          <w:rFonts w:hint="eastAsia"/>
        </w:rPr>
        <w:t>基本情况</w:t>
      </w:r>
      <w:bookmarkEnd w:id="1"/>
      <w:bookmarkEnd w:id="2"/>
      <w:bookmarkEnd w:id="3"/>
      <w:bookmarkEnd w:id="4"/>
      <w:bookmarkEnd w:id="5"/>
      <w:bookmarkEnd w:id="6"/>
    </w:p>
    <w:p>
      <w:pPr>
        <w:pStyle w:val="2"/>
        <w:numPr>
          <w:ilvl w:val="0"/>
          <w:numId w:val="3"/>
        </w:numPr>
        <w:spacing w:line="600" w:lineRule="exact"/>
        <w:jc w:val="left"/>
        <w:rPr>
          <w:rFonts w:ascii="楷体" w:hAnsi="楷体" w:eastAsia="楷体" w:cs="楷体"/>
          <w:b/>
          <w:bCs/>
        </w:rPr>
      </w:pPr>
      <w:bookmarkStart w:id="7" w:name="_Toc22361"/>
      <w:bookmarkStart w:id="8" w:name="_Toc18454"/>
      <w:bookmarkStart w:id="9" w:name="_Toc16725"/>
      <w:bookmarkStart w:id="10" w:name="_Toc27082"/>
      <w:bookmarkStart w:id="11" w:name="_Toc16025"/>
      <w:bookmarkStart w:id="12" w:name="_Toc9987"/>
      <w:r>
        <w:rPr>
          <w:rFonts w:hint="eastAsia" w:ascii="楷体" w:hAnsi="楷体" w:eastAsia="楷体" w:cs="楷体"/>
          <w:b/>
          <w:bCs/>
        </w:rPr>
        <w:t>项目概况</w:t>
      </w:r>
      <w:bookmarkEnd w:id="7"/>
      <w:bookmarkEnd w:id="8"/>
      <w:bookmarkEnd w:id="9"/>
      <w:bookmarkEnd w:id="10"/>
      <w:bookmarkEnd w:id="11"/>
      <w:bookmarkEnd w:id="12"/>
    </w:p>
    <w:p>
      <w:pPr>
        <w:numPr>
          <w:ilvl w:val="0"/>
          <w:numId w:val="4"/>
        </w:numPr>
        <w:spacing w:line="600" w:lineRule="exact"/>
        <w:ind w:firstLine="640" w:firstLineChars="200"/>
        <w:rPr>
          <w:rFonts w:ascii="仿宋_GB2312" w:hAnsi="宋体" w:eastAsia="仿宋_GB2312" w:cs="宋体"/>
          <w:sz w:val="32"/>
          <w:szCs w:val="32"/>
        </w:rPr>
      </w:pPr>
      <w:r>
        <w:rPr>
          <w:rFonts w:hint="eastAsia" w:ascii="楷体_GB2312" w:hAnsi="楷体_GB2312" w:eastAsia="楷体_GB2312" w:cs="楷体_GB2312"/>
          <w:sz w:val="32"/>
          <w:szCs w:val="32"/>
        </w:rPr>
        <w:t>项目背景</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知产法院位于海淀区西四环彰化路18号。2014年11月成立之初至今租用冠方大厦东侧楼1-4层作为现阶段办公地址，租用总面积约18700平方米。办公楼功能房间包括：办公室88间、立案窗口10个、信息中心1间、档案库1间、阅卷室、信访接待室6间、会谈室2间、谈话室14间、合议室8间、律师室4间、服务室3间、法庭32间（27个小法庭、2个中法庭、1个大法庭、2个互联网法庭）。大楼有7部电梯，首层有当事人大厅、立案大厅、办公大厅、信访大厅等。</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目前知产法院信息化建设由十余类系统组成，包括主机系统、审判业务及应用系统、数据管理运维、音视频系统、内部网站系统、网络系统、安全管理系统、电话系统、综合布线系统、办公终端系统、安防系统等。</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审判业务信息化应用对全面提升法院司法服务能力、提高法院工作效率、规范工作流程、保障司法活动的公正、公平、公开起着关键性的作用，是知产法院的核心业务系统。同时知产法院作为本区域的信息资源中心，汇总了本院及下辖各法院各类业务的相关数据，包括司法审判数据、司法人事数据和司法资源共享数据等，具有数据量大、数据类型多、覆盖面广等特点。通过对审判业务数据的统计、分析、挖掘，能够实时展现法院审判业务态势、评估工作长短板，为各级领导开展审判质量管理、效率控制、绩效考核等管理决策提供科学依据。</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面对如此庞大、技术含量高的信息化建设，同时其又是法院日常工作不可或缺的工作手段。为有效提高信息网络的稳定性和安全性，为法院各项工作提供高效、优质的信息技术支持与服务，需要相应的经费保障这些信息系统的正常运转。知产法院拟采用整体系统外包给有专业资质公司的模式对信息化系统进行运维。具体包括系统各部分运转日常维护、正常损耗及运行维护费用。</w:t>
      </w:r>
    </w:p>
    <w:p>
      <w:pPr>
        <w:numPr>
          <w:ilvl w:val="0"/>
          <w:numId w:val="4"/>
        </w:num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主要内容和实施情况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（1）项目主要内容</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2024年项目主要内容包括提供主机系统、审判业务及应用系统、数据管理运维、音视频系统、内部网站系统、网络系统、安全管理系统、电话系统、综合布线系统、办公终端系统、安防系统等软硬件的运行维护服务（不包括硬件的更换），保证系统安全、稳定运转。</w:t>
      </w:r>
    </w:p>
    <w:p>
      <w:pPr>
        <w:numPr>
          <w:ilvl w:val="0"/>
          <w:numId w:val="5"/>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实施情况</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2024年1-4月完成了上年合同尾款及验收</w:t>
      </w:r>
      <w:r>
        <w:rPr>
          <w:rFonts w:hint="eastAsia" w:ascii="仿宋" w:hAnsi="仿宋" w:eastAsia="仿宋" w:cs="仿宋"/>
          <w:sz w:val="32"/>
          <w:szCs w:val="32"/>
          <w:lang w:eastAsia="zh-CN"/>
        </w:rPr>
        <w:t>。</w:t>
      </w:r>
      <w:r>
        <w:rPr>
          <w:rFonts w:hint="eastAsia" w:ascii="仿宋" w:hAnsi="仿宋" w:eastAsia="仿宋" w:cs="仿宋"/>
          <w:sz w:val="32"/>
          <w:szCs w:val="32"/>
        </w:rPr>
        <w:t>签订</w:t>
      </w:r>
      <w:r>
        <w:rPr>
          <w:rFonts w:hint="eastAsia" w:ascii="仿宋" w:hAnsi="仿宋" w:eastAsia="仿宋" w:cs="仿宋"/>
          <w:sz w:val="32"/>
          <w:szCs w:val="32"/>
          <w:lang w:eastAsia="zh-CN"/>
        </w:rPr>
        <w:t>新的服务合同，</w:t>
      </w:r>
      <w:r>
        <w:rPr>
          <w:rFonts w:hint="eastAsia" w:ascii="仿宋" w:hAnsi="仿宋" w:eastAsia="仿宋" w:cs="仿宋"/>
          <w:sz w:val="32"/>
          <w:szCs w:val="32"/>
        </w:rPr>
        <w:t>合同期间为2024年5月1日至2025年4月30日;</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2024年12月</w:t>
      </w:r>
      <w:r>
        <w:rPr>
          <w:rFonts w:hint="eastAsia" w:ascii="仿宋" w:hAnsi="仿宋" w:eastAsia="仿宋" w:cs="仿宋"/>
          <w:sz w:val="32"/>
          <w:szCs w:val="32"/>
          <w:lang w:eastAsia="zh-CN"/>
        </w:rPr>
        <w:t>、</w:t>
      </w:r>
      <w:r>
        <w:rPr>
          <w:rFonts w:hint="eastAsia" w:ascii="仿宋" w:hAnsi="仿宋" w:eastAsia="仿宋" w:cs="仿宋"/>
          <w:sz w:val="32"/>
          <w:szCs w:val="32"/>
        </w:rPr>
        <w:t>2025年5月完成了</w:t>
      </w:r>
      <w:r>
        <w:rPr>
          <w:rFonts w:hint="eastAsia" w:ascii="仿宋" w:hAnsi="仿宋" w:eastAsia="仿宋" w:cs="仿宋"/>
          <w:sz w:val="32"/>
          <w:szCs w:val="32"/>
          <w:lang w:eastAsia="zh-CN"/>
        </w:rPr>
        <w:t>半年及</w:t>
      </w:r>
      <w:r>
        <w:rPr>
          <w:rFonts w:hint="eastAsia" w:ascii="仿宋" w:hAnsi="仿宋" w:eastAsia="仿宋" w:cs="仿宋"/>
          <w:sz w:val="32"/>
          <w:szCs w:val="32"/>
        </w:rPr>
        <w:t>全年验收。验收均合格。</w:t>
      </w:r>
    </w:p>
    <w:p>
      <w:pPr>
        <w:numPr>
          <w:ilvl w:val="0"/>
          <w:numId w:val="4"/>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资金投入和使用情况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（1）资金投入</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项目2024年财政批复资金371万元，实际到位资金371万元，到位率100%。</w:t>
      </w:r>
    </w:p>
    <w:p>
      <w:pPr>
        <w:numPr>
          <w:ilvl w:val="0"/>
          <w:numId w:val="5"/>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资金使用情况</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2024年实际支出资金370万元，节约资金1万元（已退回财政）。2024年根据合同约定和完成进度情况，支付2023年网络运维费合同尾款98万元，支付2024年1月12日至5月11日远程审判服务系统运维服务合同金额9.9万元，支付第一包首付款及进度款共计242.5万元，支付第二包首付款及进度款19.6万元，合计支出370万元。</w:t>
      </w:r>
    </w:p>
    <w:p>
      <w:pPr>
        <w:pStyle w:val="2"/>
        <w:numPr>
          <w:ilvl w:val="0"/>
          <w:numId w:val="3"/>
        </w:numPr>
        <w:spacing w:line="600" w:lineRule="exact"/>
        <w:jc w:val="left"/>
        <w:rPr>
          <w:rFonts w:ascii="仿宋" w:hAnsi="仿宋" w:eastAsia="仿宋" w:cs="仿宋"/>
          <w:szCs w:val="32"/>
        </w:rPr>
      </w:pPr>
      <w:bookmarkStart w:id="13" w:name="_Toc308"/>
      <w:bookmarkStart w:id="14" w:name="_Toc30677"/>
      <w:bookmarkStart w:id="15" w:name="_Toc18798"/>
      <w:bookmarkStart w:id="16" w:name="_Toc22610"/>
      <w:bookmarkStart w:id="17" w:name="_Toc25748"/>
      <w:bookmarkStart w:id="18" w:name="_Toc29994"/>
      <w:r>
        <w:rPr>
          <w:rFonts w:hint="eastAsia" w:ascii="楷体" w:hAnsi="楷体" w:eastAsia="楷体" w:cs="楷体"/>
          <w:b/>
          <w:bCs/>
        </w:rPr>
        <w:t>项目绩效目标</w:t>
      </w:r>
      <w:bookmarkEnd w:id="13"/>
      <w:bookmarkEnd w:id="14"/>
      <w:bookmarkEnd w:id="15"/>
      <w:bookmarkEnd w:id="16"/>
      <w:bookmarkEnd w:id="17"/>
      <w:bookmarkEnd w:id="18"/>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该项目绩效目标为：1.确保知产法院信息化系统全年安全稳定运行。 ２.为知产法院审判业务的开展提供支持。 ３.提高审判业务工作效率。</w:t>
      </w:r>
    </w:p>
    <w:p>
      <w:pPr>
        <w:pStyle w:val="2"/>
        <w:numPr>
          <w:ilvl w:val="0"/>
          <w:numId w:val="2"/>
        </w:numPr>
        <w:jc w:val="left"/>
      </w:pPr>
      <w:bookmarkStart w:id="19" w:name="_Toc4224"/>
      <w:bookmarkStart w:id="20" w:name="_Toc9696"/>
      <w:bookmarkStart w:id="21" w:name="_Toc9647"/>
      <w:bookmarkStart w:id="22" w:name="_Toc25289"/>
      <w:bookmarkStart w:id="23" w:name="_Toc17229"/>
      <w:bookmarkStart w:id="24" w:name="_Toc14189"/>
      <w:r>
        <w:rPr>
          <w:rFonts w:hint="eastAsia"/>
        </w:rPr>
        <w:t>绩效评价工作开展情况</w:t>
      </w:r>
      <w:bookmarkEnd w:id="19"/>
      <w:bookmarkEnd w:id="20"/>
      <w:bookmarkEnd w:id="21"/>
      <w:bookmarkEnd w:id="22"/>
      <w:bookmarkEnd w:id="23"/>
      <w:bookmarkEnd w:id="24"/>
    </w:p>
    <w:p>
      <w:pPr>
        <w:pStyle w:val="3"/>
        <w:spacing w:line="600" w:lineRule="exact"/>
        <w:ind w:firstLine="642" w:firstLineChars="200"/>
        <w:rPr>
          <w:rFonts w:ascii="楷体" w:hAnsi="楷体" w:eastAsia="楷体" w:cs="楷体"/>
        </w:rPr>
      </w:pPr>
      <w:bookmarkStart w:id="25" w:name="_Toc13976"/>
      <w:bookmarkStart w:id="26" w:name="_Toc12196"/>
      <w:bookmarkStart w:id="27" w:name="_Toc19701"/>
      <w:bookmarkStart w:id="28" w:name="_Toc3943"/>
      <w:bookmarkStart w:id="29" w:name="_Toc25559"/>
      <w:bookmarkStart w:id="30" w:name="_Toc6794"/>
      <w:r>
        <w:rPr>
          <w:rFonts w:hint="eastAsia" w:ascii="楷体" w:hAnsi="楷体" w:eastAsia="楷体" w:cs="楷体"/>
        </w:rPr>
        <w:t>绩效评价目的、对象和范围</w:t>
      </w:r>
      <w:bookmarkEnd w:id="25"/>
      <w:bookmarkEnd w:id="26"/>
      <w:bookmarkEnd w:id="27"/>
      <w:bookmarkEnd w:id="28"/>
      <w:bookmarkEnd w:id="29"/>
      <w:bookmarkEnd w:id="30"/>
    </w:p>
    <w:p>
      <w:pPr>
        <w:spacing w:line="600" w:lineRule="exact"/>
        <w:ind w:firstLine="640"/>
        <w:rPr>
          <w:rFonts w:ascii="仿宋_GB2312" w:hAnsi="宋体" w:eastAsia="仿宋_GB2312" w:cs="宋体"/>
          <w:sz w:val="32"/>
          <w:szCs w:val="32"/>
        </w:rPr>
      </w:pPr>
      <w:r>
        <w:rPr>
          <w:rFonts w:hint="eastAsia" w:ascii="仿宋_GB2312" w:hAnsi="宋体" w:eastAsia="仿宋_GB2312" w:cs="宋体"/>
          <w:sz w:val="32"/>
          <w:szCs w:val="32"/>
        </w:rPr>
        <w:t xml:space="preserve"> </w:t>
      </w:r>
      <w:r>
        <w:rPr>
          <w:rFonts w:hint="eastAsia" w:ascii="楷体_GB2312" w:hAnsi="楷体_GB2312" w:eastAsia="楷体_GB2312" w:cs="楷体_GB2312"/>
          <w:sz w:val="32"/>
          <w:szCs w:val="32"/>
        </w:rPr>
        <w:t>1.</w:t>
      </w:r>
      <w:r>
        <w:rPr>
          <w:rFonts w:hint="eastAsia" w:ascii="楷体_GB2312" w:hAnsi="楷体_GB2312" w:eastAsia="楷体_GB2312" w:cs="楷体_GB2312"/>
          <w:b/>
          <w:bCs/>
          <w:sz w:val="32"/>
          <w:szCs w:val="32"/>
        </w:rPr>
        <w:t>评价目的</w:t>
      </w:r>
    </w:p>
    <w:p>
      <w:pPr>
        <w:spacing w:line="600" w:lineRule="exact"/>
        <w:ind w:firstLine="640"/>
        <w:jc w:val="both"/>
        <w:rPr>
          <w:rFonts w:ascii="仿宋" w:hAnsi="仿宋" w:eastAsia="仿宋" w:cs="仿宋"/>
          <w:sz w:val="32"/>
          <w:szCs w:val="32"/>
        </w:rPr>
      </w:pPr>
      <w:r>
        <w:rPr>
          <w:rFonts w:hint="eastAsia" w:ascii="仿宋" w:hAnsi="仿宋" w:eastAsia="仿宋" w:cs="仿宋"/>
          <w:sz w:val="32"/>
          <w:szCs w:val="32"/>
        </w:rPr>
        <w:t>根据《北京市财政局关于开展政府购买服务项目绩效评价工作的通知》</w:t>
      </w:r>
      <w:r>
        <w:rPr>
          <w:rFonts w:hint="eastAsia" w:ascii="仿宋" w:hAnsi="仿宋" w:eastAsia="仿宋" w:cs="仿宋"/>
          <w:color w:val="000000" w:themeColor="text1"/>
          <w:sz w:val="32"/>
          <w:szCs w:val="32"/>
          <w14:textFill>
            <w14:solidFill>
              <w14:schemeClr w14:val="tx1"/>
            </w14:solidFill>
          </w14:textFill>
        </w:rPr>
        <w:t>以及北京市财政局《关于开展2025年预算绩效管理相关工作的函》</w:t>
      </w:r>
      <w:r>
        <w:rPr>
          <w:rFonts w:hint="eastAsia" w:ascii="仿宋" w:hAnsi="仿宋" w:eastAsia="仿宋" w:cs="仿宋"/>
          <w:sz w:val="32"/>
          <w:szCs w:val="32"/>
        </w:rPr>
        <w:t>，本次绩效评价，旨在进一步规范政府购买服务项目实施，实现“预算精细化、资金使用规范化”的目标，提升购买服务项目管理水平，促进预算单位提高绩效管理意识，提高财政资金使用效益。</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w:t>
      </w:r>
      <w:r>
        <w:rPr>
          <w:rFonts w:hint="eastAsia" w:ascii="楷体_GB2312" w:hAnsi="楷体_GB2312" w:eastAsia="楷体_GB2312" w:cs="楷体_GB2312"/>
          <w:b/>
          <w:bCs/>
          <w:sz w:val="32"/>
          <w:szCs w:val="32"/>
        </w:rPr>
        <w:t>评价对象</w:t>
      </w:r>
    </w:p>
    <w:p>
      <w:pPr>
        <w:spacing w:line="600" w:lineRule="exact"/>
        <w:rPr>
          <w:rFonts w:ascii="仿宋" w:hAnsi="仿宋" w:eastAsia="仿宋" w:cs="仿宋"/>
          <w:sz w:val="32"/>
          <w:szCs w:val="32"/>
        </w:rPr>
      </w:pPr>
      <w:r>
        <w:rPr>
          <w:rFonts w:hint="eastAsia" w:ascii="楷体_GB2312" w:hAnsi="楷体_GB2312" w:eastAsia="楷体_GB2312" w:cs="楷体_GB2312"/>
          <w:sz w:val="32"/>
          <w:szCs w:val="32"/>
        </w:rPr>
        <w:t xml:space="preserve">  </w:t>
      </w:r>
      <w:r>
        <w:rPr>
          <w:rFonts w:hint="eastAsia" w:ascii="仿宋_GB2312" w:hAnsi="宋体" w:eastAsia="仿宋_GB2312" w:cs="宋体"/>
          <w:sz w:val="32"/>
          <w:szCs w:val="32"/>
        </w:rPr>
        <w:t xml:space="preserve"> </w:t>
      </w:r>
      <w:r>
        <w:rPr>
          <w:rFonts w:hint="eastAsia" w:ascii="仿宋" w:hAnsi="仿宋" w:eastAsia="仿宋" w:cs="仿宋"/>
          <w:sz w:val="32"/>
          <w:szCs w:val="32"/>
        </w:rPr>
        <w:t xml:space="preserve"> 评价对象为2024年网络运维费（知）项目。</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w:t>
      </w:r>
      <w:r>
        <w:rPr>
          <w:rFonts w:hint="eastAsia" w:ascii="楷体_GB2312" w:hAnsi="楷体_GB2312" w:eastAsia="楷体_GB2312" w:cs="楷体_GB2312"/>
          <w:b/>
          <w:bCs/>
          <w:sz w:val="32"/>
          <w:szCs w:val="32"/>
        </w:rPr>
        <w:t>评价范围</w:t>
      </w:r>
    </w:p>
    <w:p>
      <w:pPr>
        <w:spacing w:line="600" w:lineRule="exact"/>
        <w:rPr>
          <w:rFonts w:ascii="仿宋_GB2312" w:hAnsi="宋体" w:eastAsia="仿宋_GB2312" w:cs="宋体"/>
          <w:sz w:val="32"/>
          <w:szCs w:val="32"/>
        </w:rPr>
      </w:pPr>
      <w:r>
        <w:rPr>
          <w:rFonts w:hint="eastAsia" w:ascii="楷体_GB2312" w:hAnsi="楷体_GB2312" w:eastAsia="楷体_GB2312" w:cs="楷体_GB2312"/>
          <w:sz w:val="32"/>
          <w:szCs w:val="32"/>
        </w:rPr>
        <w:t xml:space="preserve">  </w:t>
      </w:r>
      <w:r>
        <w:rPr>
          <w:rFonts w:hint="eastAsia" w:ascii="仿宋_GB2312" w:hAnsi="宋体" w:eastAsia="仿宋_GB2312" w:cs="宋体"/>
          <w:sz w:val="32"/>
          <w:szCs w:val="32"/>
        </w:rPr>
        <w:t xml:space="preserve">  </w:t>
      </w:r>
      <w:r>
        <w:rPr>
          <w:rFonts w:hint="eastAsia" w:ascii="仿宋" w:hAnsi="仿宋" w:eastAsia="仿宋" w:cs="仿宋"/>
          <w:sz w:val="32"/>
          <w:szCs w:val="32"/>
        </w:rPr>
        <w:t>包括项目决策、项目过程、项目产出、项目效益四个方面。具体为绩效目标的设定情况；资金投入和使用情况；为实现绩效目标制定的制度、采取的措施等；绩效目标的实现程度及效果；绩效评价的其他内容。</w:t>
      </w:r>
    </w:p>
    <w:p>
      <w:pPr>
        <w:pStyle w:val="3"/>
        <w:spacing w:line="600" w:lineRule="exact"/>
        <w:ind w:firstLine="642" w:firstLineChars="200"/>
        <w:rPr>
          <w:rFonts w:ascii="楷体" w:hAnsi="楷体" w:eastAsia="楷体" w:cs="楷体"/>
        </w:rPr>
      </w:pPr>
      <w:bookmarkStart w:id="31" w:name="_Toc18139"/>
      <w:bookmarkStart w:id="32" w:name="_Toc1605"/>
      <w:bookmarkStart w:id="33" w:name="_Toc8276"/>
      <w:bookmarkStart w:id="34" w:name="_Toc5534"/>
      <w:bookmarkStart w:id="35" w:name="_Toc4764"/>
      <w:bookmarkStart w:id="36" w:name="_Toc27361"/>
      <w:r>
        <w:rPr>
          <w:rFonts w:hint="eastAsia" w:ascii="楷体" w:hAnsi="楷体" w:eastAsia="楷体" w:cs="楷体"/>
        </w:rPr>
        <w:t>绩效评价原则、评价指标体系、评价方法、评价标准</w:t>
      </w:r>
      <w:bookmarkEnd w:id="31"/>
      <w:bookmarkEnd w:id="32"/>
      <w:bookmarkEnd w:id="33"/>
      <w:bookmarkEnd w:id="34"/>
      <w:bookmarkEnd w:id="35"/>
      <w:bookmarkEnd w:id="36"/>
    </w:p>
    <w:p>
      <w:pPr>
        <w:spacing w:line="600" w:lineRule="exact"/>
        <w:ind w:left="580"/>
        <w:rPr>
          <w:rFonts w:ascii="楷体_GB2312" w:hAnsi="楷体_GB2312" w:eastAsia="楷体_GB2312" w:cs="楷体_GB2312"/>
          <w:sz w:val="32"/>
          <w:szCs w:val="32"/>
        </w:rPr>
      </w:pPr>
      <w:r>
        <w:rPr>
          <w:rFonts w:hint="eastAsia" w:ascii="楷体_GB2312" w:hAnsi="楷体_GB2312" w:eastAsia="楷体_GB2312" w:cs="楷体_GB2312"/>
          <w:sz w:val="32"/>
          <w:szCs w:val="32"/>
        </w:rPr>
        <w:t>1.</w:t>
      </w:r>
      <w:r>
        <w:rPr>
          <w:rFonts w:hint="eastAsia" w:ascii="楷体_GB2312" w:hAnsi="楷体_GB2312" w:eastAsia="楷体_GB2312" w:cs="楷体_GB2312"/>
          <w:b/>
          <w:bCs/>
          <w:sz w:val="32"/>
          <w:szCs w:val="32"/>
        </w:rPr>
        <w:t>评价原则</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（1）科学规范原则。绩效评价应当严格按照规定的程序和科学可行的要求，采用定量与定性分析相结合的方法。</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（2）公正公开原则。绩效评价应当符合真实、客观、公正的要求，依法公开并接受监督。</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（3）绩效相关原则。绩效评价应当针对具体支出及其产出绩效进行，评价结果应当清晰反映支出和产出绩效之间的紧密对应关系。</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w:t>
      </w:r>
      <w:r>
        <w:rPr>
          <w:rFonts w:hint="eastAsia" w:ascii="楷体_GB2312" w:hAnsi="楷体_GB2312" w:eastAsia="楷体_GB2312" w:cs="楷体_GB2312"/>
          <w:b/>
          <w:bCs/>
          <w:sz w:val="32"/>
          <w:szCs w:val="32"/>
        </w:rPr>
        <w:t>.评价指标体系</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本次绩效评价指标体系包括决策、过程、产出、效益4个一级指标。在各项指标权重设定方面，我们主要依据《北京市项目支出绩效评价管理办法》以及《北京市财政局关于开展政府购买服务项目绩效评价工作的通知》文件中体现的绩效结果导向精神，更加注重产出和效益原则，产出、效益指标权重不低于60%，本项目产出、效益指标权重为60%。根据对各指标的重要性和影响力大小的理解给予相应的权重分值，并采取定性与定量分析相结合的方法分别记分。</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（1）决策指标：包括项目立项、绩效目标和资金投入3个二级指标，以及立项依据充分性、立项程序规范性、绩效目标合理性、绩效指标明确性、预算编制科学性5个三级指标。决策类指标权重共计20分。</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（2）过程指标：包括资金管理和业务管理2个二级指标，以及预算执行率、资金使用合规性、管理制度健全性、制度执行有效性4个三级指标。过程类指标权重共计20分。</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 xml:space="preserve"> （3）产出指标：包括产出数量、产出质量、产出时效、产出成本4个二级指标，以及实际完成率、质量达标率、完成及时性、成本节约率4个三级指标。产出类指标权重共计30分。</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（4）效益指标：包括实施效益和满意度2个二级指标。实施效益从社会效益、可持续性2个方面进行评价。效益类指标权重共计30分。</w:t>
      </w:r>
    </w:p>
    <w:p>
      <w:pPr>
        <w:widowControl w:val="0"/>
        <w:kinsoku/>
        <w:autoSpaceDE/>
        <w:autoSpaceDN/>
        <w:adjustRightInd/>
        <w:snapToGrid/>
        <w:ind w:firstLine="640" w:firstLineChars="200"/>
        <w:textAlignment w:val="auto"/>
        <w:rPr>
          <w:rFonts w:ascii="仿宋" w:hAnsi="仿宋" w:eastAsia="仿宋" w:cs="仿宋"/>
          <w:sz w:val="32"/>
          <w:szCs w:val="32"/>
        </w:rPr>
      </w:pPr>
      <w:r>
        <w:rPr>
          <w:rFonts w:hint="eastAsia" w:ascii="仿宋" w:hAnsi="仿宋" w:eastAsia="仿宋" w:cs="仿宋"/>
          <w:sz w:val="32"/>
          <w:szCs w:val="32"/>
        </w:rPr>
        <w:t>评价结果满分为100分，90（含）-100分为优、75（含）-90分为良、60（含）-75分为中、60分以下为差。具体评价指标如下：</w:t>
      </w:r>
    </w:p>
    <w:p>
      <w:pPr>
        <w:widowControl w:val="0"/>
        <w:kinsoku/>
        <w:autoSpaceDE/>
        <w:autoSpaceDN/>
        <w:adjustRightInd/>
        <w:snapToGrid/>
        <w:ind w:firstLine="1967" w:firstLineChars="700"/>
        <w:textAlignment w:val="auto"/>
        <w:rPr>
          <w:rFonts w:hint="eastAsia" w:ascii="仿宋" w:hAnsi="仿宋" w:eastAsia="仿宋" w:cs="仿宋"/>
          <w:b/>
          <w:bCs/>
          <w:sz w:val="28"/>
          <w:szCs w:val="28"/>
        </w:rPr>
      </w:pPr>
    </w:p>
    <w:p>
      <w:pPr>
        <w:widowControl w:val="0"/>
        <w:kinsoku/>
        <w:autoSpaceDE/>
        <w:autoSpaceDN/>
        <w:adjustRightInd/>
        <w:snapToGrid/>
        <w:ind w:firstLine="1967" w:firstLineChars="700"/>
        <w:textAlignment w:val="auto"/>
        <w:rPr>
          <w:rFonts w:hint="eastAsia" w:ascii="仿宋" w:hAnsi="仿宋" w:eastAsia="仿宋" w:cs="仿宋"/>
          <w:b/>
          <w:bCs/>
          <w:sz w:val="28"/>
          <w:szCs w:val="28"/>
        </w:rPr>
      </w:pPr>
    </w:p>
    <w:p>
      <w:pPr>
        <w:widowControl w:val="0"/>
        <w:kinsoku/>
        <w:autoSpaceDE/>
        <w:autoSpaceDN/>
        <w:adjustRightInd/>
        <w:snapToGrid/>
        <w:ind w:firstLine="1967" w:firstLineChars="700"/>
        <w:textAlignment w:val="auto"/>
        <w:rPr>
          <w:rFonts w:hint="eastAsia" w:ascii="仿宋" w:hAnsi="仿宋" w:eastAsia="仿宋" w:cs="仿宋"/>
          <w:b/>
          <w:bCs/>
          <w:sz w:val="28"/>
          <w:szCs w:val="28"/>
        </w:rPr>
      </w:pPr>
    </w:p>
    <w:p>
      <w:pPr>
        <w:widowControl w:val="0"/>
        <w:kinsoku/>
        <w:autoSpaceDE/>
        <w:autoSpaceDN/>
        <w:adjustRightInd/>
        <w:snapToGrid/>
        <w:ind w:firstLine="1967" w:firstLineChars="700"/>
        <w:textAlignment w:val="auto"/>
        <w:rPr>
          <w:rFonts w:ascii="仿宋" w:hAnsi="仿宋" w:eastAsia="仿宋" w:cs="仿宋"/>
          <w:sz w:val="32"/>
          <w:szCs w:val="32"/>
        </w:rPr>
      </w:pPr>
      <w:r>
        <w:rPr>
          <w:rFonts w:hint="eastAsia" w:ascii="仿宋" w:hAnsi="仿宋" w:eastAsia="仿宋" w:cs="仿宋"/>
          <w:b/>
          <w:bCs/>
          <w:sz w:val="28"/>
          <w:szCs w:val="28"/>
        </w:rPr>
        <w:t>网络运维费（知）项目绩效评价指标体系</w:t>
      </w:r>
      <w:r>
        <w:rPr>
          <w:rFonts w:hint="eastAsia" w:ascii="仿宋" w:hAnsi="仿宋" w:eastAsia="仿宋" w:cs="仿宋"/>
          <w:sz w:val="32"/>
          <w:szCs w:val="32"/>
        </w:rPr>
        <w:t xml:space="preserve"> </w:t>
      </w:r>
    </w:p>
    <w:tbl>
      <w:tblPr>
        <w:tblStyle w:val="16"/>
        <w:tblW w:w="8723"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838"/>
        <w:gridCol w:w="616"/>
        <w:gridCol w:w="741"/>
        <w:gridCol w:w="1121"/>
        <w:gridCol w:w="608"/>
        <w:gridCol w:w="3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838" w:type="dxa"/>
            <w:shd w:val="clear" w:color="auto" w:fill="FFFFFF"/>
            <w:noWrap/>
            <w:vAlign w:val="center"/>
          </w:tcPr>
          <w:p>
            <w:pPr>
              <w:jc w:val="center"/>
              <w:textAlignment w:val="center"/>
              <w:rPr>
                <w:rFonts w:ascii="仿宋" w:hAnsi="仿宋" w:eastAsia="仿宋" w:cs="仿宋"/>
                <w:b/>
                <w:bCs/>
                <w:sz w:val="20"/>
                <w:szCs w:val="20"/>
              </w:rPr>
            </w:pPr>
            <w:r>
              <w:rPr>
                <w:rFonts w:hint="eastAsia" w:ascii="仿宋" w:hAnsi="仿宋" w:eastAsia="仿宋" w:cs="仿宋"/>
                <w:b/>
                <w:bCs/>
                <w:sz w:val="20"/>
                <w:szCs w:val="20"/>
              </w:rPr>
              <w:t>一级指标</w:t>
            </w:r>
          </w:p>
        </w:tc>
        <w:tc>
          <w:tcPr>
            <w:tcW w:w="838" w:type="dxa"/>
            <w:shd w:val="clear" w:color="auto" w:fill="FFFFFF"/>
            <w:noWrap/>
            <w:vAlign w:val="center"/>
          </w:tcPr>
          <w:p>
            <w:pPr>
              <w:jc w:val="center"/>
              <w:textAlignment w:val="center"/>
              <w:rPr>
                <w:rFonts w:ascii="仿宋" w:hAnsi="仿宋" w:eastAsia="仿宋" w:cs="仿宋"/>
                <w:b/>
                <w:bCs/>
                <w:sz w:val="20"/>
                <w:szCs w:val="20"/>
              </w:rPr>
            </w:pPr>
            <w:r>
              <w:rPr>
                <w:rFonts w:hint="eastAsia" w:ascii="仿宋" w:hAnsi="仿宋" w:eastAsia="仿宋" w:cs="仿宋"/>
                <w:b/>
                <w:bCs/>
                <w:sz w:val="20"/>
                <w:szCs w:val="20"/>
              </w:rPr>
              <w:t>二级指标</w:t>
            </w:r>
          </w:p>
        </w:tc>
        <w:tc>
          <w:tcPr>
            <w:tcW w:w="616" w:type="dxa"/>
            <w:shd w:val="clear" w:color="auto" w:fill="FFFFFF"/>
            <w:noWrap/>
            <w:vAlign w:val="center"/>
          </w:tcPr>
          <w:p>
            <w:pPr>
              <w:jc w:val="center"/>
              <w:textAlignment w:val="center"/>
              <w:rPr>
                <w:rFonts w:ascii="仿宋" w:hAnsi="仿宋" w:eastAsia="仿宋" w:cs="仿宋"/>
                <w:b/>
                <w:bCs/>
                <w:sz w:val="20"/>
                <w:szCs w:val="20"/>
              </w:rPr>
            </w:pPr>
            <w:r>
              <w:rPr>
                <w:rFonts w:hint="eastAsia" w:ascii="仿宋" w:hAnsi="仿宋" w:eastAsia="仿宋" w:cs="仿宋"/>
                <w:b/>
                <w:bCs/>
                <w:sz w:val="20"/>
                <w:szCs w:val="20"/>
              </w:rPr>
              <w:t>分值</w:t>
            </w:r>
          </w:p>
        </w:tc>
        <w:tc>
          <w:tcPr>
            <w:tcW w:w="741" w:type="dxa"/>
            <w:shd w:val="clear" w:color="auto" w:fill="FFFFFF"/>
            <w:noWrap/>
            <w:vAlign w:val="center"/>
          </w:tcPr>
          <w:p>
            <w:pPr>
              <w:jc w:val="center"/>
              <w:textAlignment w:val="center"/>
              <w:rPr>
                <w:rFonts w:ascii="仿宋" w:hAnsi="仿宋" w:eastAsia="仿宋" w:cs="仿宋"/>
                <w:b/>
                <w:bCs/>
                <w:sz w:val="20"/>
                <w:szCs w:val="20"/>
              </w:rPr>
            </w:pPr>
            <w:r>
              <w:rPr>
                <w:rFonts w:hint="eastAsia" w:ascii="仿宋" w:hAnsi="仿宋" w:eastAsia="仿宋" w:cs="仿宋"/>
                <w:b/>
                <w:bCs/>
                <w:sz w:val="20"/>
                <w:szCs w:val="20"/>
              </w:rPr>
              <w:t>三级指标</w:t>
            </w:r>
          </w:p>
        </w:tc>
        <w:tc>
          <w:tcPr>
            <w:tcW w:w="1121" w:type="dxa"/>
            <w:shd w:val="clear" w:color="auto" w:fill="FFFFFF"/>
            <w:vAlign w:val="center"/>
          </w:tcPr>
          <w:p>
            <w:pPr>
              <w:jc w:val="center"/>
              <w:textAlignment w:val="center"/>
              <w:rPr>
                <w:rFonts w:ascii="仿宋" w:hAnsi="仿宋" w:eastAsia="仿宋" w:cs="仿宋"/>
                <w:b/>
                <w:bCs/>
                <w:sz w:val="20"/>
                <w:szCs w:val="20"/>
              </w:rPr>
            </w:pPr>
            <w:r>
              <w:rPr>
                <w:rFonts w:hint="eastAsia" w:ascii="仿宋" w:hAnsi="仿宋" w:eastAsia="仿宋" w:cs="仿宋"/>
                <w:b/>
                <w:bCs/>
                <w:sz w:val="20"/>
                <w:szCs w:val="20"/>
              </w:rPr>
              <w:t>四级</w:t>
            </w:r>
          </w:p>
        </w:tc>
        <w:tc>
          <w:tcPr>
            <w:tcW w:w="608" w:type="dxa"/>
            <w:shd w:val="clear" w:color="auto" w:fill="FFFFFF"/>
            <w:vAlign w:val="center"/>
          </w:tcPr>
          <w:p>
            <w:pPr>
              <w:jc w:val="center"/>
              <w:textAlignment w:val="center"/>
              <w:rPr>
                <w:rFonts w:ascii="仿宋" w:hAnsi="仿宋" w:eastAsia="仿宋" w:cs="仿宋"/>
                <w:b/>
                <w:bCs/>
                <w:sz w:val="20"/>
                <w:szCs w:val="20"/>
              </w:rPr>
            </w:pPr>
            <w:r>
              <w:rPr>
                <w:rFonts w:hint="eastAsia" w:ascii="仿宋" w:hAnsi="仿宋" w:eastAsia="仿宋" w:cs="仿宋"/>
                <w:b/>
                <w:bCs/>
                <w:sz w:val="20"/>
                <w:szCs w:val="20"/>
              </w:rPr>
              <w:t>分值</w:t>
            </w:r>
          </w:p>
        </w:tc>
        <w:tc>
          <w:tcPr>
            <w:tcW w:w="3961" w:type="dxa"/>
            <w:shd w:val="clear" w:color="auto" w:fill="FFFFFF"/>
            <w:vAlign w:val="center"/>
          </w:tcPr>
          <w:p>
            <w:pPr>
              <w:jc w:val="center"/>
              <w:textAlignment w:val="center"/>
              <w:rPr>
                <w:rFonts w:ascii="仿宋" w:hAnsi="仿宋" w:eastAsia="仿宋" w:cs="仿宋"/>
                <w:b/>
                <w:bCs/>
                <w:sz w:val="20"/>
                <w:szCs w:val="20"/>
              </w:rPr>
            </w:pPr>
            <w:r>
              <w:rPr>
                <w:rFonts w:hint="eastAsia" w:ascii="仿宋" w:hAnsi="仿宋" w:eastAsia="仿宋" w:cs="仿宋"/>
                <w:b/>
                <w:bCs/>
                <w:sz w:val="20"/>
                <w:szCs w:val="20"/>
              </w:rPr>
              <w:t>评价要点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决策</w:t>
            </w:r>
          </w:p>
          <w:p>
            <w:pPr>
              <w:jc w:val="center"/>
              <w:textAlignment w:val="center"/>
              <w:rPr>
                <w:rFonts w:ascii="仿宋" w:hAnsi="仿宋" w:eastAsia="仿宋" w:cs="仿宋"/>
                <w:sz w:val="20"/>
                <w:szCs w:val="20"/>
              </w:rPr>
            </w:pPr>
            <w:r>
              <w:rPr>
                <w:rFonts w:hint="eastAsia" w:ascii="仿宋" w:hAnsi="仿宋" w:eastAsia="仿宋" w:cs="仿宋"/>
                <w:sz w:val="20"/>
                <w:szCs w:val="20"/>
              </w:rPr>
              <w:t>（20）　</w:t>
            </w: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项目立项　</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8</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立项依据充分性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立项依据充分性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①项目立项是否符合国家法律法规、符合国家及北京市相关发展规划、政策;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②项目是否属于“负面清单”范围内的事项;(一票否决项，如属于“负面清单”，则整个项目评价为不及格)；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③项目立项是否与部门职责范围相符，是否属于北京市公共财政支持范围，是否符合中央、地方事权支出责任划分原则；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④项目是否与其他部门同类项目或部门内部其他项目存在重复保障。(如:该服务事项是否同时通过编外用工申报预算)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立项程序规范性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立项程序规范性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①项目需求调研、可行性研究、专家论证、风险评估及管理等资料是否齐备；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②立项申报材料中政府购买服务的内容、服务标准和技术保障是否明确，采购实施计划是否完整、合规、合理；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③立项前是否经过事前绩效评估，以及必要的集体决策程序；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④项目内容是否列入部门政府购买服务指导性目录，部门政府购买服务指导性目录是否规范。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绩效目标</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8</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绩效目标合理性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绩效目标合理性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①项目是否有绩效目标；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②项目绩效目标与政府购买服务的实际内容是否具有相关性；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③项目预期产出效益和效果是否符合正常的业绩水平；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④绩效目标及指标值是否与政府购买服务所申报的预算资金量相匹配。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绩效指标明确性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绩效指标明确性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①是否将项目绩效目标细化分解为具体的绩效指标；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②绩效指标是否全面，是否包括必要的成本指标以及满意度指标；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③指标是否通过清晰、可衡量的指标值予以体现；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④指标是否与项目目标任务数或计划数相对应。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资金投入</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预算编制科学性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预算编制科学性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①预算编制是否经过科学论证；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②预算内容与项目内容是否匹配；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③预算额度测算依据是否充分，是否按照标准编制，是否进行了成本定额</w:t>
            </w:r>
          </w:p>
          <w:p>
            <w:pPr>
              <w:jc w:val="both"/>
              <w:textAlignment w:val="center"/>
              <w:rPr>
                <w:rFonts w:ascii="仿宋" w:hAnsi="仿宋" w:eastAsia="仿宋" w:cs="仿宋"/>
                <w:sz w:val="20"/>
                <w:szCs w:val="20"/>
              </w:rPr>
            </w:pPr>
            <w:r>
              <w:rPr>
                <w:rFonts w:hint="eastAsia" w:ascii="仿宋" w:hAnsi="仿宋" w:eastAsia="仿宋" w:cs="仿宋"/>
                <w:sz w:val="20"/>
                <w:szCs w:val="20"/>
              </w:rPr>
              <w:t>测算；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④预算资金量是否与工作任务相匹配。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过程</w:t>
            </w:r>
          </w:p>
          <w:p>
            <w:pPr>
              <w:jc w:val="center"/>
              <w:textAlignment w:val="center"/>
              <w:rPr>
                <w:rFonts w:ascii="仿宋" w:hAnsi="仿宋" w:eastAsia="仿宋" w:cs="仿宋"/>
                <w:sz w:val="20"/>
                <w:szCs w:val="20"/>
              </w:rPr>
            </w:pPr>
            <w:r>
              <w:rPr>
                <w:rFonts w:hint="eastAsia" w:ascii="仿宋" w:hAnsi="仿宋" w:eastAsia="仿宋" w:cs="仿宋"/>
                <w:sz w:val="20"/>
                <w:szCs w:val="20"/>
              </w:rPr>
              <w:t>（20）</w:t>
            </w: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资金管理</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7</w:t>
            </w:r>
          </w:p>
        </w:tc>
        <w:tc>
          <w:tcPr>
            <w:tcW w:w="741"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预算执行率</w:t>
            </w:r>
          </w:p>
        </w:tc>
        <w:tc>
          <w:tcPr>
            <w:tcW w:w="1121"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预算执行率</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3</w:t>
            </w: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预算执行率=（实际支出资金/实际到位资金）×100%。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资金使用合规性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资金使用合规性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①是否符合国家财经法规和财务管理制度以及有关专项资金管理办法的规定；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②资金拨付是否有完整的程序和手续，拨付的时间节点及金额是否符合合司约定的时间及工作进度；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③是否符合项目预算批复或合同规定的用途；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业务管理</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13</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管理制度健全性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管理制度健全性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3</w:t>
            </w: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①是否有完善的财务管理、采购管理、合同管理等制度；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②对所购买服务是否有明确的业务管理制度；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③对所购买服务是否有明确的质量监控制度和验收办法。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制度执行有效性</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制度执行有效性</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10</w:t>
            </w: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①是否履行了合法合规的采购程序；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②政府购买服务承接主体是否符合政策规定，同等条件下是否优先考虑社会组织，是否执行“拨改买”政策要求；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③政府购买服务合同是否有明确的服务内容、期限、数量、质量、价格资金结算方式、各方权利义务和违约责任等内容；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④购买主体是否履行了对所购买服务实施过程的监督管理责任;是否对承接主体的工作有检查验收考核等质量监控;承接主体是否存在转包现象;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⑤项目验收报告、技术鉴定等资料是否齐全并及时归档。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产出</w:t>
            </w:r>
          </w:p>
          <w:p>
            <w:pPr>
              <w:jc w:val="center"/>
              <w:textAlignment w:val="center"/>
              <w:rPr>
                <w:rFonts w:ascii="仿宋" w:hAnsi="仿宋" w:eastAsia="仿宋" w:cs="仿宋"/>
                <w:sz w:val="20"/>
                <w:szCs w:val="20"/>
              </w:rPr>
            </w:pPr>
            <w:r>
              <w:rPr>
                <w:rFonts w:hint="eastAsia" w:ascii="仿宋" w:hAnsi="仿宋" w:eastAsia="仿宋" w:cs="仿宋"/>
                <w:sz w:val="20"/>
                <w:szCs w:val="20"/>
              </w:rPr>
              <w:t>（30）</w:t>
            </w: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产出数量</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10</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实际完成率</w:t>
            </w: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指标1：硬件维护数量≥1200套</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vMerge w:val="restart"/>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1.实际完成率=(实际产出数/计划产出数)100%。如产出为多项内容，则计算平均数</w:t>
            </w:r>
          </w:p>
          <w:p>
            <w:pPr>
              <w:textAlignment w:val="center"/>
              <w:rPr>
                <w:rFonts w:ascii="仿宋" w:hAnsi="仿宋" w:eastAsia="仿宋" w:cs="仿宋"/>
                <w:sz w:val="20"/>
                <w:szCs w:val="20"/>
              </w:rPr>
            </w:pPr>
            <w:r>
              <w:rPr>
                <w:rFonts w:hint="eastAsia" w:ascii="仿宋" w:hAnsi="仿宋" w:eastAsia="仿宋" w:cs="仿宋"/>
                <w:sz w:val="20"/>
                <w:szCs w:val="20"/>
              </w:rPr>
              <w:t>2.实际产出数：一定时期（本年度或项目期）内项目实际产出的产品或提供的服务数量。</w:t>
            </w:r>
          </w:p>
          <w:p>
            <w:pPr>
              <w:textAlignment w:val="center"/>
              <w:rPr>
                <w:rFonts w:ascii="仿宋" w:hAnsi="仿宋" w:eastAsia="仿宋" w:cs="仿宋"/>
                <w:sz w:val="20"/>
                <w:szCs w:val="20"/>
              </w:rPr>
            </w:pPr>
            <w:r>
              <w:rPr>
                <w:rFonts w:hint="eastAsia" w:ascii="仿宋" w:hAnsi="仿宋" w:eastAsia="仿宋" w:cs="仿宋"/>
                <w:sz w:val="20"/>
                <w:szCs w:val="20"/>
              </w:rPr>
              <w:t>3.计划产出数：项目绩效目标确定的在一定时期（本年度或项目期）内计划产出的产品或提供的服务数量。如产出为多项产品或服务，应分别计算后，按照资金占比或重要性加权合计。</w:t>
            </w:r>
          </w:p>
          <w:p>
            <w:pPr>
              <w:textAlignment w:val="center"/>
              <w:rPr>
                <w:rFonts w:ascii="仿宋" w:hAnsi="仿宋" w:eastAsia="仿宋" w:cs="仿宋"/>
                <w:sz w:val="20"/>
                <w:szCs w:val="20"/>
              </w:rPr>
            </w:pPr>
            <w:r>
              <w:rPr>
                <w:rFonts w:hint="eastAsia" w:ascii="仿宋" w:hAnsi="仿宋" w:eastAsia="仿宋" w:cs="仿宋"/>
                <w:sz w:val="20"/>
                <w:szCs w:val="20"/>
              </w:rPr>
              <w:t>如未设定产出数量指标或指标值不合理，则计划产出数应由工作组和专家组综合考虑项目实际情况和行业情况确定。实际产出远高于计划产出数，偏离度过大，超出 20%，应酌情扣分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指标2：软件维护数量≥23套</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vMerge w:val="continue"/>
            <w:shd w:val="clear" w:color="auto" w:fill="FFFFFF"/>
            <w:vAlign w:val="center"/>
          </w:tcPr>
          <w:p>
            <w:pPr>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9" w:hRule="atLeast"/>
        </w:trPr>
        <w:tc>
          <w:tcPr>
            <w:tcW w:w="838" w:type="dxa"/>
            <w:vMerge w:val="continue"/>
            <w:shd w:val="clear" w:color="auto" w:fill="FFFFFF"/>
            <w:vAlign w:val="center"/>
          </w:tcPr>
          <w:p>
            <w:pPr>
              <w:jc w:val="center"/>
              <w:textAlignment w:val="center"/>
            </w:pPr>
          </w:p>
        </w:tc>
        <w:tc>
          <w:tcPr>
            <w:tcW w:w="838" w:type="dxa"/>
            <w:vMerge w:val="continue"/>
            <w:shd w:val="clear" w:color="auto" w:fill="FFFFFF"/>
            <w:vAlign w:val="center"/>
          </w:tcPr>
          <w:p>
            <w:pPr>
              <w:jc w:val="center"/>
              <w:textAlignment w:val="center"/>
            </w:pPr>
          </w:p>
        </w:tc>
        <w:tc>
          <w:tcPr>
            <w:tcW w:w="616" w:type="dxa"/>
            <w:vMerge w:val="continue"/>
            <w:shd w:val="clear" w:color="auto" w:fill="FFFFFF"/>
            <w:vAlign w:val="center"/>
          </w:tcPr>
          <w:p>
            <w:pPr>
              <w:jc w:val="center"/>
              <w:textAlignment w:val="center"/>
            </w:pPr>
          </w:p>
        </w:tc>
        <w:tc>
          <w:tcPr>
            <w:tcW w:w="741" w:type="dxa"/>
            <w:vMerge w:val="continue"/>
            <w:shd w:val="clear" w:color="auto" w:fill="FFFFFF"/>
            <w:vAlign w:val="center"/>
          </w:tcPr>
          <w:p>
            <w:pPr>
              <w:jc w:val="center"/>
              <w:textAlignment w:val="center"/>
            </w:pP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指标3:16名工程师5*8小时驻场；7x24小时运维驻场</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2</w:t>
            </w:r>
          </w:p>
        </w:tc>
        <w:tc>
          <w:tcPr>
            <w:tcW w:w="3961" w:type="dxa"/>
            <w:vMerge w:val="continue"/>
            <w:shd w:val="clear" w:color="auto" w:fill="FFFFFF"/>
            <w:vAlign w:val="center"/>
          </w:tcPr>
          <w:p>
            <w:pPr>
              <w:jc w:val="center"/>
              <w:textAlignment w:val="center"/>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产出质量</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10</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质量达标率(验收合格率）</w:t>
            </w: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指标1：系统正常运行率大于99%</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vMerge w:val="restart"/>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质量达标率=（质量达标产出数/实际产出数）×100%。</w:t>
            </w:r>
          </w:p>
          <w:p>
            <w:pPr>
              <w:textAlignment w:val="center"/>
              <w:rPr>
                <w:rFonts w:ascii="仿宋" w:hAnsi="仿宋" w:eastAsia="仿宋" w:cs="仿宋"/>
                <w:sz w:val="20"/>
                <w:szCs w:val="20"/>
              </w:rPr>
            </w:pPr>
            <w:r>
              <w:rPr>
                <w:rFonts w:hint="eastAsia" w:ascii="仿宋" w:hAnsi="仿宋" w:eastAsia="仿宋" w:cs="仿宋"/>
                <w:sz w:val="20"/>
                <w:szCs w:val="20"/>
              </w:rPr>
              <w:t>质量达标产出数:一定时期(本年度或项目期)内实际达到既定质量标准的产品或服务数量。既定质量标准是指项目实施单位设立绩效目标时依据计划标准、行业标准、历史标准或其他标准而设定的产出质量指标值。若项目单位未设定质量指标或设定不合理，应采用行业公认标准或国家有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指标2：故障排除率100%</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4</w:t>
            </w:r>
          </w:p>
        </w:tc>
        <w:tc>
          <w:tcPr>
            <w:tcW w:w="3961" w:type="dxa"/>
            <w:vMerge w:val="continue"/>
            <w:shd w:val="clear" w:color="auto" w:fill="FFFFFF"/>
            <w:vAlign w:val="center"/>
          </w:tcPr>
          <w:p>
            <w:pPr>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38" w:type="dxa"/>
            <w:vMerge w:val="continue"/>
            <w:shd w:val="clear" w:color="auto" w:fill="FFFFFF"/>
            <w:vAlign w:val="center"/>
          </w:tcPr>
          <w:p>
            <w:pPr>
              <w:jc w:val="center"/>
              <w:textAlignment w:val="center"/>
            </w:pPr>
          </w:p>
        </w:tc>
        <w:tc>
          <w:tcPr>
            <w:tcW w:w="838" w:type="dxa"/>
            <w:vMerge w:val="continue"/>
            <w:shd w:val="clear" w:color="auto" w:fill="FFFFFF"/>
            <w:vAlign w:val="center"/>
          </w:tcPr>
          <w:p>
            <w:pPr>
              <w:jc w:val="center"/>
              <w:textAlignment w:val="center"/>
            </w:pPr>
          </w:p>
        </w:tc>
        <w:tc>
          <w:tcPr>
            <w:tcW w:w="616" w:type="dxa"/>
            <w:vMerge w:val="continue"/>
            <w:shd w:val="clear" w:color="auto" w:fill="FFFFFF"/>
            <w:vAlign w:val="center"/>
          </w:tcPr>
          <w:p>
            <w:pPr>
              <w:jc w:val="center"/>
              <w:textAlignment w:val="center"/>
            </w:pPr>
          </w:p>
        </w:tc>
        <w:tc>
          <w:tcPr>
            <w:tcW w:w="741" w:type="dxa"/>
            <w:vMerge w:val="continue"/>
            <w:shd w:val="clear" w:color="auto" w:fill="FFFFFF"/>
            <w:vAlign w:val="center"/>
          </w:tcPr>
          <w:p>
            <w:pPr>
              <w:jc w:val="center"/>
              <w:textAlignment w:val="center"/>
            </w:pP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人员到岗率：100%</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2</w:t>
            </w:r>
          </w:p>
        </w:tc>
        <w:tc>
          <w:tcPr>
            <w:tcW w:w="3961" w:type="dxa"/>
            <w:vMerge w:val="continue"/>
            <w:shd w:val="clear" w:color="auto" w:fill="FFFFFF"/>
            <w:vAlign w:val="center"/>
          </w:tcPr>
          <w:p>
            <w:pPr>
              <w:textAlignment w:val="center"/>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产出时效</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5</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完成及时性</w:t>
            </w: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18"/>
                <w:szCs w:val="18"/>
              </w:rPr>
              <w:t>系统故障修复响应时间≤1小时</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2</w:t>
            </w: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实际完成时间是否符合合同要求，在计划完成时间之内。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系统运行维护响应时间≤3分钟</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2</w:t>
            </w: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实际完成时间:项目实施单位完成该项目实际所耗用的时间。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838" w:type="dxa"/>
            <w:vMerge w:val="continue"/>
            <w:shd w:val="clear" w:color="auto" w:fill="FFFFFF"/>
            <w:vAlign w:val="center"/>
          </w:tcPr>
          <w:p>
            <w:pPr>
              <w:textAlignment w:val="center"/>
            </w:pPr>
          </w:p>
        </w:tc>
        <w:tc>
          <w:tcPr>
            <w:tcW w:w="838" w:type="dxa"/>
            <w:vMerge w:val="continue"/>
            <w:shd w:val="clear" w:color="auto" w:fill="FFFFFF"/>
            <w:vAlign w:val="center"/>
          </w:tcPr>
          <w:p>
            <w:pPr>
              <w:textAlignment w:val="center"/>
            </w:pPr>
          </w:p>
        </w:tc>
        <w:tc>
          <w:tcPr>
            <w:tcW w:w="616" w:type="dxa"/>
            <w:vMerge w:val="continue"/>
            <w:shd w:val="clear" w:color="auto" w:fill="FFFFFF"/>
            <w:vAlign w:val="center"/>
          </w:tcPr>
          <w:p>
            <w:pPr>
              <w:textAlignment w:val="center"/>
            </w:pPr>
          </w:p>
        </w:tc>
        <w:tc>
          <w:tcPr>
            <w:tcW w:w="741" w:type="dxa"/>
            <w:vMerge w:val="continue"/>
            <w:shd w:val="clear" w:color="auto" w:fill="FFFFFF"/>
            <w:vAlign w:val="center"/>
          </w:tcPr>
          <w:p>
            <w:pPr>
              <w:textAlignment w:val="center"/>
            </w:pPr>
          </w:p>
        </w:tc>
        <w:tc>
          <w:tcPr>
            <w:tcW w:w="1121" w:type="dxa"/>
            <w:shd w:val="clear" w:color="auto" w:fill="FFFFFF"/>
            <w:vAlign w:val="center"/>
          </w:tcPr>
          <w:p>
            <w:pPr>
              <w:textAlignment w:val="center"/>
              <w:rPr>
                <w:rFonts w:ascii="宋体" w:hAnsi="宋体" w:eastAsia="宋体" w:cs="宋体"/>
                <w:sz w:val="20"/>
                <w:szCs w:val="20"/>
              </w:rPr>
            </w:pPr>
            <w:r>
              <w:rPr>
                <w:rFonts w:hint="eastAsia" w:ascii="仿宋" w:hAnsi="仿宋" w:eastAsia="仿宋" w:cs="仿宋"/>
                <w:sz w:val="20"/>
                <w:szCs w:val="20"/>
              </w:rPr>
              <w:t>预算期间完成率100%</w:t>
            </w:r>
          </w:p>
        </w:tc>
        <w:tc>
          <w:tcPr>
            <w:tcW w:w="608" w:type="dxa"/>
            <w:shd w:val="clear" w:color="auto" w:fill="FFFFFF"/>
            <w:vAlign w:val="center"/>
          </w:tcPr>
          <w:p>
            <w:pPr>
              <w:jc w:val="center"/>
              <w:textAlignment w:val="center"/>
              <w:rPr>
                <w:rFonts w:ascii="仿宋" w:hAnsi="仿宋" w:eastAsia="仿宋" w:cs="仿宋"/>
              </w:rPr>
            </w:pPr>
            <w:r>
              <w:rPr>
                <w:rFonts w:hint="eastAsia" w:ascii="仿宋" w:hAnsi="仿宋" w:eastAsia="仿宋" w:cs="仿宋"/>
                <w:sz w:val="20"/>
                <w:szCs w:val="20"/>
              </w:rPr>
              <w:t>1</w:t>
            </w: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产出成本</w:t>
            </w:r>
          </w:p>
        </w:tc>
        <w:tc>
          <w:tcPr>
            <w:tcW w:w="616"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5</w:t>
            </w:r>
          </w:p>
        </w:tc>
        <w:tc>
          <w:tcPr>
            <w:tcW w:w="74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成本节约率</w:t>
            </w:r>
          </w:p>
        </w:tc>
        <w:tc>
          <w:tcPr>
            <w:tcW w:w="1121"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项目预算控制数≤371万元</w:t>
            </w:r>
          </w:p>
        </w:tc>
        <w:tc>
          <w:tcPr>
            <w:tcW w:w="60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5</w:t>
            </w:r>
          </w:p>
        </w:tc>
        <w:tc>
          <w:tcPr>
            <w:tcW w:w="3961" w:type="dxa"/>
            <w:vMerge w:val="restart"/>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成本节约率=[（计划成本-实际成本）/计划成本]×100%。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vMerge w:val="continue"/>
            <w:shd w:val="clear" w:color="auto" w:fill="FFFFFF"/>
            <w:vAlign w:val="center"/>
          </w:tcPr>
          <w:p>
            <w:pPr>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vMerge w:val="continue"/>
            <w:shd w:val="clear" w:color="auto" w:fill="FFFFFF"/>
            <w:vAlign w:val="center"/>
          </w:tcPr>
          <w:p>
            <w:pPr>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vMerge w:val="continue"/>
            <w:shd w:val="clear" w:color="auto" w:fill="FFFFFF"/>
            <w:vAlign w:val="center"/>
          </w:tcPr>
          <w:p>
            <w:pPr>
              <w:jc w:val="center"/>
              <w:rPr>
                <w:rFonts w:ascii="仿宋" w:hAnsi="仿宋" w:eastAsia="仿宋" w:cs="仿宋"/>
                <w:sz w:val="20"/>
                <w:szCs w:val="20"/>
              </w:rPr>
            </w:pPr>
          </w:p>
        </w:tc>
        <w:tc>
          <w:tcPr>
            <w:tcW w:w="1121" w:type="dxa"/>
            <w:vMerge w:val="continue"/>
            <w:shd w:val="clear" w:color="auto" w:fill="FFFFFF"/>
            <w:vAlign w:val="center"/>
          </w:tcPr>
          <w:p>
            <w:pPr>
              <w:jc w:val="center"/>
              <w:rPr>
                <w:rFonts w:ascii="仿宋" w:hAnsi="仿宋" w:eastAsia="仿宋" w:cs="仿宋"/>
                <w:sz w:val="20"/>
                <w:szCs w:val="20"/>
              </w:rPr>
            </w:pPr>
          </w:p>
        </w:tc>
        <w:tc>
          <w:tcPr>
            <w:tcW w:w="608" w:type="dxa"/>
            <w:vMerge w:val="continue"/>
            <w:shd w:val="clear" w:color="auto" w:fill="FFFFFF"/>
            <w:vAlign w:val="center"/>
          </w:tcPr>
          <w:p>
            <w:pPr>
              <w:jc w:val="center"/>
              <w:rPr>
                <w:rFonts w:ascii="仿宋" w:hAnsi="仿宋" w:eastAsia="仿宋" w:cs="仿宋"/>
                <w:sz w:val="20"/>
                <w:szCs w:val="20"/>
              </w:rPr>
            </w:pPr>
          </w:p>
        </w:tc>
        <w:tc>
          <w:tcPr>
            <w:tcW w:w="396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实际成本：项目实施单位如期、保质、保量完成既定工作目标实际所耗费的支出。</w:t>
            </w:r>
          </w:p>
          <w:p>
            <w:pPr>
              <w:textAlignment w:val="center"/>
              <w:rPr>
                <w:rFonts w:ascii="仿宋" w:hAnsi="仿宋" w:eastAsia="仿宋" w:cs="仿宋"/>
                <w:sz w:val="20"/>
                <w:szCs w:val="20"/>
              </w:rPr>
            </w:pPr>
            <w:r>
              <w:rPr>
                <w:rFonts w:hint="eastAsia" w:ascii="仿宋" w:hAnsi="仿宋" w:eastAsia="仿宋" w:cs="仿宋"/>
                <w:sz w:val="20"/>
                <w:szCs w:val="20"/>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效益</w:t>
            </w:r>
          </w:p>
          <w:p>
            <w:pPr>
              <w:jc w:val="center"/>
              <w:rPr>
                <w:rFonts w:ascii="仿宋" w:hAnsi="仿宋" w:eastAsia="仿宋" w:cs="仿宋"/>
                <w:sz w:val="20"/>
                <w:szCs w:val="20"/>
              </w:rPr>
            </w:pPr>
            <w:r>
              <w:rPr>
                <w:rFonts w:hint="eastAsia" w:ascii="仿宋" w:hAnsi="仿宋" w:eastAsia="仿宋" w:cs="仿宋"/>
                <w:sz w:val="20"/>
                <w:szCs w:val="20"/>
              </w:rPr>
              <w:t>（30）</w:t>
            </w:r>
          </w:p>
        </w:tc>
        <w:tc>
          <w:tcPr>
            <w:tcW w:w="838" w:type="dxa"/>
            <w:vMerge w:val="restart"/>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项目效益</w:t>
            </w:r>
          </w:p>
        </w:tc>
        <w:tc>
          <w:tcPr>
            <w:tcW w:w="616" w:type="dxa"/>
            <w:vMerge w:val="restart"/>
            <w:shd w:val="clear" w:color="auto" w:fill="FFFFFF"/>
            <w:vAlign w:val="center"/>
          </w:tcPr>
          <w:p>
            <w:pPr>
              <w:jc w:val="both"/>
              <w:textAlignment w:val="center"/>
              <w:rPr>
                <w:rFonts w:ascii="仿宋" w:hAnsi="仿宋" w:eastAsia="仿宋" w:cs="仿宋"/>
                <w:sz w:val="20"/>
                <w:szCs w:val="20"/>
              </w:rPr>
            </w:pPr>
            <w:r>
              <w:rPr>
                <w:rFonts w:hint="eastAsia" w:ascii="仿宋" w:hAnsi="仿宋" w:eastAsia="仿宋" w:cs="仿宋"/>
                <w:sz w:val="20"/>
                <w:szCs w:val="20"/>
              </w:rPr>
              <w:t>10　</w:t>
            </w:r>
          </w:p>
        </w:tc>
        <w:tc>
          <w:tcPr>
            <w:tcW w:w="741"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社会效益</w:t>
            </w: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收结案数量得到提升</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8</w:t>
            </w:r>
          </w:p>
        </w:tc>
        <w:tc>
          <w:tcPr>
            <w:tcW w:w="3961" w:type="dxa"/>
            <w:vMerge w:val="restart"/>
            <w:shd w:val="clear" w:color="auto" w:fill="FFFFFF"/>
            <w:vAlign w:val="center"/>
          </w:tcPr>
          <w:p>
            <w:pPr>
              <w:jc w:val="center"/>
              <w:rPr>
                <w:rFonts w:ascii="仿宋" w:hAnsi="仿宋" w:eastAsia="仿宋" w:cs="仿宋"/>
                <w:sz w:val="20"/>
                <w:szCs w:val="20"/>
              </w:rPr>
            </w:pPr>
            <w:r>
              <w:rPr>
                <w:rFonts w:hint="eastAsia" w:ascii="仿宋" w:hAnsi="仿宋" w:eastAsia="仿宋" w:cs="仿宋"/>
                <w:sz w:val="20"/>
                <w:szCs w:val="20"/>
              </w:rPr>
              <w:t>项目预期所产生的社会效益、经济效益、生态效益、可持续影响等的实现程度。如绩效目标中的效益指标设定不具体不量化，评价中可根据项目实际情况有选择地设置和细化。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vMerge w:val="continue"/>
            <w:shd w:val="clear" w:color="auto" w:fill="FFFFFF"/>
            <w:vAlign w:val="center"/>
          </w:tcPr>
          <w:p>
            <w:pPr>
              <w:jc w:val="center"/>
              <w:rPr>
                <w:rFonts w:ascii="仿宋" w:hAnsi="仿宋" w:eastAsia="仿宋" w:cs="仿宋"/>
                <w:sz w:val="20"/>
                <w:szCs w:val="20"/>
              </w:rPr>
            </w:pPr>
          </w:p>
        </w:tc>
        <w:tc>
          <w:tcPr>
            <w:tcW w:w="616" w:type="dxa"/>
            <w:vMerge w:val="continue"/>
            <w:shd w:val="clear" w:color="auto" w:fill="FFFFFF"/>
            <w:vAlign w:val="center"/>
          </w:tcPr>
          <w:p>
            <w:pPr>
              <w:jc w:val="center"/>
              <w:rPr>
                <w:rFonts w:ascii="仿宋" w:hAnsi="仿宋" w:eastAsia="仿宋" w:cs="仿宋"/>
                <w:sz w:val="20"/>
                <w:szCs w:val="20"/>
              </w:rPr>
            </w:pPr>
          </w:p>
        </w:tc>
        <w:tc>
          <w:tcPr>
            <w:tcW w:w="74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可持续性</w:t>
            </w:r>
          </w:p>
        </w:tc>
        <w:tc>
          <w:tcPr>
            <w:tcW w:w="1121" w:type="dxa"/>
            <w:shd w:val="clear" w:color="auto" w:fill="FFFFFF"/>
            <w:vAlign w:val="center"/>
          </w:tcPr>
          <w:p>
            <w:pPr>
              <w:textAlignment w:val="center"/>
              <w:rPr>
                <w:rFonts w:ascii="仿宋" w:hAnsi="仿宋" w:eastAsia="仿宋" w:cs="仿宋"/>
                <w:sz w:val="20"/>
                <w:szCs w:val="20"/>
              </w:rPr>
            </w:pPr>
            <w:r>
              <w:rPr>
                <w:rFonts w:hint="eastAsia" w:ascii="仿宋" w:hAnsi="仿宋" w:eastAsia="仿宋" w:cs="仿宋"/>
                <w:sz w:val="20"/>
                <w:szCs w:val="20"/>
              </w:rPr>
              <w:t>结案数量</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2</w:t>
            </w:r>
          </w:p>
        </w:tc>
        <w:tc>
          <w:tcPr>
            <w:tcW w:w="3961" w:type="dxa"/>
            <w:vMerge w:val="continue"/>
            <w:shd w:val="clear" w:color="auto" w:fill="FFFFFF"/>
            <w:vAlign w:val="center"/>
          </w:tcPr>
          <w:p>
            <w:pPr>
              <w:jc w:val="center"/>
              <w:rPr>
                <w:rFonts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trPr>
        <w:tc>
          <w:tcPr>
            <w:tcW w:w="838" w:type="dxa"/>
            <w:vMerge w:val="continue"/>
            <w:shd w:val="clear" w:color="auto" w:fill="FFFFFF"/>
            <w:vAlign w:val="center"/>
          </w:tcPr>
          <w:p>
            <w:pPr>
              <w:jc w:val="center"/>
              <w:rPr>
                <w:rFonts w:ascii="仿宋" w:hAnsi="仿宋" w:eastAsia="仿宋" w:cs="仿宋"/>
                <w:sz w:val="20"/>
                <w:szCs w:val="20"/>
              </w:rPr>
            </w:pPr>
          </w:p>
        </w:tc>
        <w:tc>
          <w:tcPr>
            <w:tcW w:w="83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满意度</w:t>
            </w:r>
          </w:p>
        </w:tc>
        <w:tc>
          <w:tcPr>
            <w:tcW w:w="616"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20　</w:t>
            </w:r>
          </w:p>
        </w:tc>
        <w:tc>
          <w:tcPr>
            <w:tcW w:w="741"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服务对象满意度</w:t>
            </w:r>
          </w:p>
        </w:tc>
        <w:tc>
          <w:tcPr>
            <w:tcW w:w="1121"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审判团队对卷宗整理满意度≥95%</w:t>
            </w:r>
          </w:p>
        </w:tc>
        <w:tc>
          <w:tcPr>
            <w:tcW w:w="608"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20</w:t>
            </w:r>
          </w:p>
        </w:tc>
        <w:tc>
          <w:tcPr>
            <w:tcW w:w="3961" w:type="dxa"/>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社会公众或服务对象是指因该项目实施而受到影响的部门(单位)、群体或个人。一般采取社会调查的方式，将服务对象的满意度与预期指标进行比较。如项目单位未进行满意度评价，或设置的预期绩效指标值过低，评价中可酌情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676" w:type="dxa"/>
            <w:gridSpan w:val="2"/>
            <w:shd w:val="clear" w:color="auto" w:fill="FFFFFF"/>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合计</w:t>
            </w:r>
          </w:p>
        </w:tc>
        <w:tc>
          <w:tcPr>
            <w:tcW w:w="616" w:type="dxa"/>
            <w:shd w:val="clear" w:color="auto" w:fill="auto"/>
            <w:vAlign w:val="center"/>
          </w:tcPr>
          <w:p>
            <w:pPr>
              <w:jc w:val="right"/>
              <w:textAlignment w:val="center"/>
              <w:rPr>
                <w:rFonts w:ascii="仿宋" w:hAnsi="仿宋" w:eastAsia="仿宋" w:cs="仿宋"/>
                <w:sz w:val="20"/>
                <w:szCs w:val="20"/>
              </w:rPr>
            </w:pPr>
            <w:r>
              <w:rPr>
                <w:rFonts w:hint="eastAsia" w:ascii="仿宋" w:hAnsi="仿宋" w:eastAsia="仿宋" w:cs="仿宋"/>
                <w:sz w:val="20"/>
                <w:szCs w:val="20"/>
              </w:rPr>
              <w:t>100</w:t>
            </w:r>
          </w:p>
        </w:tc>
        <w:tc>
          <w:tcPr>
            <w:tcW w:w="741" w:type="dxa"/>
            <w:shd w:val="clear" w:color="auto" w:fill="auto"/>
            <w:vAlign w:val="center"/>
          </w:tcPr>
          <w:p>
            <w:pPr>
              <w:rPr>
                <w:rFonts w:ascii="仿宋" w:hAnsi="仿宋" w:eastAsia="仿宋" w:cs="仿宋"/>
                <w:sz w:val="20"/>
                <w:szCs w:val="20"/>
              </w:rPr>
            </w:pPr>
          </w:p>
        </w:tc>
        <w:tc>
          <w:tcPr>
            <w:tcW w:w="1121" w:type="dxa"/>
            <w:shd w:val="clear" w:color="auto" w:fill="auto"/>
            <w:vAlign w:val="center"/>
          </w:tcPr>
          <w:p>
            <w:pPr>
              <w:rPr>
                <w:rFonts w:ascii="仿宋" w:hAnsi="仿宋" w:eastAsia="仿宋" w:cs="仿宋"/>
                <w:sz w:val="20"/>
                <w:szCs w:val="20"/>
              </w:rPr>
            </w:pPr>
          </w:p>
        </w:tc>
        <w:tc>
          <w:tcPr>
            <w:tcW w:w="608" w:type="dxa"/>
            <w:shd w:val="clear" w:color="auto" w:fill="auto"/>
            <w:vAlign w:val="center"/>
          </w:tcPr>
          <w:p>
            <w:pPr>
              <w:jc w:val="center"/>
              <w:textAlignment w:val="center"/>
              <w:rPr>
                <w:rFonts w:ascii="仿宋" w:hAnsi="仿宋" w:eastAsia="仿宋" w:cs="仿宋"/>
                <w:sz w:val="20"/>
                <w:szCs w:val="20"/>
              </w:rPr>
            </w:pPr>
            <w:r>
              <w:rPr>
                <w:rFonts w:hint="eastAsia" w:ascii="仿宋" w:hAnsi="仿宋" w:eastAsia="仿宋" w:cs="仿宋"/>
                <w:sz w:val="20"/>
                <w:szCs w:val="20"/>
              </w:rPr>
              <w:t>100</w:t>
            </w:r>
          </w:p>
        </w:tc>
        <w:tc>
          <w:tcPr>
            <w:tcW w:w="3961" w:type="dxa"/>
            <w:shd w:val="clear" w:color="auto" w:fill="auto"/>
            <w:vAlign w:val="center"/>
          </w:tcPr>
          <w:p>
            <w:pPr>
              <w:jc w:val="center"/>
              <w:rPr>
                <w:rFonts w:ascii="仿宋" w:hAnsi="仿宋" w:eastAsia="仿宋" w:cs="仿宋"/>
                <w:sz w:val="20"/>
                <w:szCs w:val="20"/>
              </w:rPr>
            </w:pPr>
          </w:p>
        </w:tc>
      </w:tr>
    </w:tbl>
    <w:p>
      <w:pPr>
        <w:widowControl w:val="0"/>
        <w:kinsoku/>
        <w:autoSpaceDE/>
        <w:autoSpaceDN/>
        <w:adjustRightInd/>
        <w:snapToGrid/>
        <w:textAlignment w:val="auto"/>
        <w:rPr>
          <w:rFonts w:ascii="仿宋_GB2312" w:hAnsi="宋体" w:eastAsia="仿宋_GB2312" w:cs="宋体"/>
          <w:sz w:val="32"/>
          <w:szCs w:val="32"/>
        </w:rPr>
      </w:pPr>
    </w:p>
    <w:p>
      <w:pPr>
        <w:spacing w:line="360" w:lineRule="auto"/>
        <w:ind w:firstLine="640" w:firstLineChars="200"/>
        <w:textAlignment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3</w:t>
      </w:r>
      <w:r>
        <w:rPr>
          <w:rFonts w:hint="eastAsia" w:ascii="楷体_GB2312" w:hAnsi="楷体_GB2312" w:eastAsia="楷体_GB2312" w:cs="楷体_GB2312"/>
          <w:b/>
          <w:bCs/>
          <w:sz w:val="32"/>
          <w:szCs w:val="32"/>
        </w:rPr>
        <w:t>.评价方法</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采取定性与定量相结合的方式，运用成本效益分析法、比较法、专家评议法等方法开展评价工作。工作组通过调研和审核评价资料的方式，了解项目资金的决策、使用和取得的效益情况。</w:t>
      </w:r>
    </w:p>
    <w:p>
      <w:pPr>
        <w:spacing w:line="360" w:lineRule="auto"/>
        <w:ind w:firstLine="640" w:firstLineChars="200"/>
        <w:textAlignment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4.评价标准</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（1）计划标准。是指以预先制定的目标、计划、预算、定额等数据作为评价的标准。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（2）行业标准。是指参照国家公布的行业指标数据制定的评价标准。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（3）历史标准。是指参照同类指标的历史数据制定的评价标准。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（4）其他经财政部门确认的标准。</w:t>
      </w:r>
    </w:p>
    <w:p>
      <w:pPr>
        <w:pStyle w:val="3"/>
        <w:spacing w:line="600" w:lineRule="exact"/>
        <w:ind w:firstLine="642" w:firstLineChars="200"/>
        <w:rPr>
          <w:rFonts w:ascii="楷体" w:hAnsi="楷体" w:eastAsia="楷体" w:cs="楷体"/>
        </w:rPr>
      </w:pPr>
      <w:bookmarkStart w:id="37" w:name="_Toc24212"/>
      <w:bookmarkStart w:id="38" w:name="_Toc25190"/>
      <w:bookmarkStart w:id="39" w:name="_Toc13041"/>
      <w:bookmarkStart w:id="40" w:name="_Toc20316"/>
      <w:bookmarkStart w:id="41" w:name="_Toc21181"/>
      <w:bookmarkStart w:id="42" w:name="_Toc7752"/>
      <w:r>
        <w:rPr>
          <w:rFonts w:hint="eastAsia" w:ascii="楷体" w:hAnsi="楷体" w:eastAsia="楷体" w:cs="楷体"/>
        </w:rPr>
        <w:t>绩效评价工作过程</w:t>
      </w:r>
      <w:bookmarkEnd w:id="37"/>
      <w:bookmarkEnd w:id="38"/>
      <w:bookmarkEnd w:id="39"/>
      <w:bookmarkEnd w:id="40"/>
      <w:bookmarkEnd w:id="41"/>
      <w:bookmarkEnd w:id="42"/>
    </w:p>
    <w:p/>
    <w:p>
      <w:pPr>
        <w:pStyle w:val="11"/>
        <w:spacing w:line="360" w:lineRule="auto"/>
        <w:ind w:firstLine="640" w:firstLineChars="200"/>
        <w:rPr>
          <w:rFonts w:ascii="仿宋" w:hAnsi="仿宋" w:eastAsia="仿宋" w:cs="仿宋"/>
          <w:sz w:val="32"/>
          <w:szCs w:val="32"/>
        </w:rPr>
      </w:pPr>
      <w:bookmarkStart w:id="43" w:name="_Toc24877"/>
      <w:bookmarkStart w:id="44" w:name="_Toc5141"/>
      <w:bookmarkStart w:id="45" w:name="_Toc27215"/>
      <w:r>
        <w:rPr>
          <w:rFonts w:hint="eastAsia" w:ascii="仿宋" w:hAnsi="仿宋" w:eastAsia="仿宋" w:cs="仿宋"/>
          <w:sz w:val="32"/>
          <w:szCs w:val="32"/>
        </w:rPr>
        <w:t>1.前期调研</w:t>
      </w:r>
      <w:bookmarkEnd w:id="43"/>
      <w:bookmarkEnd w:id="44"/>
      <w:bookmarkEnd w:id="45"/>
      <w:r>
        <w:rPr>
          <w:rFonts w:hint="eastAsia" w:ascii="仿宋" w:hAnsi="仿宋" w:eastAsia="仿宋" w:cs="仿宋"/>
          <w:sz w:val="32"/>
          <w:szCs w:val="32"/>
        </w:rPr>
        <w:t>。评价组与项目实施单位进行沟通，并搜集相关政策文件、项目资料以及相关财务收支凭证、合同、管理制度等，进行分析、评估。</w:t>
      </w:r>
      <w:bookmarkStart w:id="46" w:name="_Toc28449"/>
      <w:bookmarkStart w:id="47" w:name="_Toc10687"/>
    </w:p>
    <w:p>
      <w:pPr>
        <w:pStyle w:val="11"/>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2.方案制定</w:t>
      </w:r>
      <w:bookmarkEnd w:id="46"/>
      <w:bookmarkEnd w:id="47"/>
      <w:r>
        <w:rPr>
          <w:rFonts w:hint="eastAsia" w:ascii="仿宋" w:hAnsi="仿宋" w:eastAsia="仿宋" w:cs="仿宋"/>
          <w:sz w:val="32"/>
          <w:szCs w:val="32"/>
        </w:rPr>
        <w:t>。了解年度项目实施内容、实施流程，根据项目资金实际情况和绩效管理要求制定工作方案。</w:t>
      </w:r>
    </w:p>
    <w:p>
      <w:pPr>
        <w:pStyle w:val="11"/>
        <w:spacing w:line="360" w:lineRule="auto"/>
        <w:ind w:firstLine="567"/>
        <w:rPr>
          <w:rFonts w:ascii="仿宋" w:hAnsi="仿宋" w:eastAsia="仿宋" w:cs="仿宋"/>
          <w:sz w:val="32"/>
          <w:szCs w:val="32"/>
        </w:rPr>
      </w:pPr>
      <w:bookmarkStart w:id="48" w:name="_Toc26043"/>
      <w:bookmarkStart w:id="49" w:name="_Toc20872"/>
      <w:bookmarkStart w:id="50" w:name="_Toc16449"/>
      <w:r>
        <w:rPr>
          <w:rFonts w:hint="eastAsia" w:ascii="仿宋" w:hAnsi="仿宋" w:eastAsia="仿宋" w:cs="仿宋"/>
          <w:sz w:val="32"/>
          <w:szCs w:val="32"/>
        </w:rPr>
        <w:t>3.数据采集</w:t>
      </w:r>
      <w:bookmarkEnd w:id="48"/>
      <w:bookmarkEnd w:id="49"/>
      <w:bookmarkEnd w:id="50"/>
      <w:r>
        <w:rPr>
          <w:rFonts w:hint="eastAsia" w:ascii="仿宋" w:hAnsi="仿宋" w:eastAsia="仿宋" w:cs="仿宋"/>
          <w:sz w:val="32"/>
          <w:szCs w:val="32"/>
        </w:rPr>
        <w:t>。按照现场评价通知中的现场调研时间安排，到项目单位进行调研访谈、核查资料和分析评价。并对采集的资料逐一核实，按照指标体系内容和评价重点，对资料按照决策、管理、效果三大类进项整理，供专家审阅。</w:t>
      </w:r>
    </w:p>
    <w:p>
      <w:pPr>
        <w:pStyle w:val="11"/>
        <w:spacing w:after="0" w:line="360" w:lineRule="auto"/>
        <w:ind w:firstLine="640" w:firstLineChars="200"/>
        <w:jc w:val="both"/>
        <w:outlineLvl w:val="3"/>
        <w:rPr>
          <w:rFonts w:ascii="仿宋" w:hAnsi="仿宋" w:eastAsia="仿宋" w:cs="仿宋"/>
          <w:sz w:val="32"/>
          <w:szCs w:val="32"/>
        </w:rPr>
      </w:pPr>
      <w:bookmarkStart w:id="51" w:name="_Toc6779"/>
      <w:bookmarkStart w:id="52" w:name="_Toc24237"/>
      <w:bookmarkStart w:id="53" w:name="_Toc4349"/>
      <w:r>
        <w:rPr>
          <w:rFonts w:hint="eastAsia" w:ascii="仿宋" w:hAnsi="仿宋" w:eastAsia="仿宋" w:cs="仿宋"/>
          <w:sz w:val="32"/>
          <w:szCs w:val="32"/>
        </w:rPr>
        <w:t>4.召开专家评价会。根据项目特点，评价工作组遴选5名专家，包括2名业务专家、2名绩效管理专家和1名财务专家，按期组织召开专家评价会，项目单位汇报项目情况，并接受专家质询，专家根据评价指标体系对项目进行评分，并出专家意见。</w:t>
      </w:r>
    </w:p>
    <w:p>
      <w:pPr>
        <w:pStyle w:val="11"/>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w:t>
      </w:r>
      <w:bookmarkEnd w:id="51"/>
      <w:bookmarkEnd w:id="52"/>
      <w:bookmarkEnd w:id="53"/>
      <w:r>
        <w:rPr>
          <w:rFonts w:hint="eastAsia" w:ascii="仿宋" w:hAnsi="仿宋" w:eastAsia="仿宋" w:cs="仿宋"/>
          <w:sz w:val="32"/>
          <w:szCs w:val="32"/>
        </w:rPr>
        <w:t>评价报告。评价工作组根据专家讨论意见和评价结果，完成绩效评价报告初稿的撰写工作。报告初稿报经知产法院沟通反馈后，形成评价报告终稿。</w:t>
      </w:r>
    </w:p>
    <w:p>
      <w:pPr>
        <w:pStyle w:val="2"/>
        <w:numPr>
          <w:ilvl w:val="0"/>
          <w:numId w:val="2"/>
        </w:numPr>
        <w:jc w:val="left"/>
      </w:pPr>
      <w:bookmarkStart w:id="54" w:name="_Toc24678"/>
      <w:bookmarkStart w:id="55" w:name="_Toc964"/>
      <w:bookmarkStart w:id="56" w:name="_Toc17200"/>
      <w:bookmarkStart w:id="57" w:name="_Toc23673"/>
      <w:bookmarkStart w:id="58" w:name="_Toc21065"/>
      <w:bookmarkStart w:id="59" w:name="_Toc4063"/>
      <w:r>
        <w:rPr>
          <w:rFonts w:hint="eastAsia"/>
        </w:rPr>
        <w:t>综合评价情况及评价结论</w:t>
      </w:r>
      <w:bookmarkEnd w:id="54"/>
      <w:bookmarkEnd w:id="55"/>
      <w:bookmarkEnd w:id="56"/>
      <w:bookmarkEnd w:id="57"/>
      <w:bookmarkEnd w:id="58"/>
      <w:bookmarkEnd w:id="59"/>
    </w:p>
    <w:p>
      <w:pPr>
        <w:spacing w:line="600" w:lineRule="exact"/>
        <w:ind w:firstLine="640"/>
        <w:rPr>
          <w:rFonts w:ascii="仿宋" w:hAnsi="仿宋" w:eastAsia="仿宋" w:cs="仿宋"/>
          <w:sz w:val="32"/>
          <w:szCs w:val="32"/>
        </w:rPr>
      </w:pPr>
      <w:r>
        <w:rPr>
          <w:rFonts w:hint="eastAsia" w:ascii="仿宋" w:hAnsi="仿宋" w:eastAsia="仿宋" w:cs="仿宋"/>
          <w:sz w:val="32"/>
          <w:szCs w:val="32"/>
        </w:rPr>
        <w:t>经综合评价，本项目绩效评价得分86.70分。参考《北京市财政局关于印发&lt;北京市市级政府购买服务预算绩效管理办法&gt;的通知》（京财综〔2024〕213号）文件的评价标准，项目评分90（含）-100分为优、75（含）-90分为良、60（含）-75分为中、60分以下为差，该项目综合绩效评价级别为 “良”。本项目得分情况汇总表如下：</w:t>
      </w:r>
    </w:p>
    <w:tbl>
      <w:tblPr>
        <w:tblStyle w:val="16"/>
        <w:tblW w:w="8095" w:type="dxa"/>
        <w:tblInd w:w="93" w:type="dxa"/>
        <w:tblLayout w:type="autofit"/>
        <w:tblCellMar>
          <w:top w:w="0" w:type="dxa"/>
          <w:left w:w="108" w:type="dxa"/>
          <w:bottom w:w="0" w:type="dxa"/>
          <w:right w:w="108" w:type="dxa"/>
        </w:tblCellMar>
      </w:tblPr>
      <w:tblGrid>
        <w:gridCol w:w="3134"/>
        <w:gridCol w:w="1701"/>
        <w:gridCol w:w="1559"/>
        <w:gridCol w:w="1701"/>
      </w:tblGrid>
      <w:tr>
        <w:tblPrEx>
          <w:tblCellMar>
            <w:top w:w="0" w:type="dxa"/>
            <w:left w:w="108" w:type="dxa"/>
            <w:bottom w:w="0" w:type="dxa"/>
            <w:right w:w="108" w:type="dxa"/>
          </w:tblCellMar>
        </w:tblPrEx>
        <w:trPr>
          <w:trHeight w:val="348" w:hRule="atLeast"/>
        </w:trPr>
        <w:tc>
          <w:tcPr>
            <w:tcW w:w="3134" w:type="dxa"/>
            <w:tcBorders>
              <w:top w:val="single" w:color="auto" w:sz="12" w:space="0"/>
              <w:left w:val="nil"/>
              <w:bottom w:val="dotted" w:color="auto" w:sz="4" w:space="0"/>
              <w:right w:val="dotted" w:color="auto" w:sz="4" w:space="0"/>
            </w:tcBorders>
            <w:shd w:val="clear" w:color="auto" w:fill="auto"/>
            <w:vAlign w:val="center"/>
          </w:tcPr>
          <w:p>
            <w:pPr>
              <w:jc w:val="center"/>
              <w:rPr>
                <w:rFonts w:ascii="仿宋" w:hAnsi="仿宋" w:eastAsia="仿宋" w:cs="仿宋"/>
                <w:b/>
                <w:sz w:val="24"/>
                <w:szCs w:val="24"/>
              </w:rPr>
            </w:pPr>
            <w:r>
              <w:rPr>
                <w:rFonts w:hint="eastAsia" w:ascii="仿宋" w:hAnsi="仿宋" w:eastAsia="仿宋" w:cs="仿宋"/>
                <w:b/>
                <w:sz w:val="24"/>
                <w:szCs w:val="24"/>
              </w:rPr>
              <w:t>一级指标</w:t>
            </w:r>
          </w:p>
        </w:tc>
        <w:tc>
          <w:tcPr>
            <w:tcW w:w="1701" w:type="dxa"/>
            <w:tcBorders>
              <w:top w:val="single" w:color="auto" w:sz="12" w:space="0"/>
              <w:left w:val="dotted" w:color="auto" w:sz="4" w:space="0"/>
              <w:bottom w:val="dotted" w:color="auto" w:sz="4" w:space="0"/>
              <w:right w:val="dotted" w:color="auto" w:sz="4" w:space="0"/>
            </w:tcBorders>
            <w:shd w:val="clear" w:color="auto" w:fill="auto"/>
            <w:vAlign w:val="center"/>
          </w:tcPr>
          <w:p>
            <w:pPr>
              <w:jc w:val="center"/>
              <w:rPr>
                <w:rFonts w:ascii="仿宋" w:hAnsi="仿宋" w:eastAsia="仿宋" w:cs="仿宋"/>
                <w:b/>
                <w:sz w:val="24"/>
                <w:szCs w:val="24"/>
              </w:rPr>
            </w:pPr>
            <w:r>
              <w:rPr>
                <w:rFonts w:hint="eastAsia" w:ascii="仿宋" w:hAnsi="仿宋" w:eastAsia="仿宋" w:cs="仿宋"/>
                <w:b/>
                <w:sz w:val="24"/>
                <w:szCs w:val="24"/>
              </w:rPr>
              <w:t>分值</w:t>
            </w:r>
          </w:p>
        </w:tc>
        <w:tc>
          <w:tcPr>
            <w:tcW w:w="1559" w:type="dxa"/>
            <w:tcBorders>
              <w:top w:val="single" w:color="auto" w:sz="12" w:space="0"/>
              <w:left w:val="dotted" w:color="auto" w:sz="4" w:space="0"/>
              <w:bottom w:val="dotted" w:color="auto" w:sz="4" w:space="0"/>
              <w:right w:val="dotted" w:color="auto" w:sz="4" w:space="0"/>
            </w:tcBorders>
            <w:shd w:val="clear" w:color="auto" w:fill="auto"/>
            <w:vAlign w:val="center"/>
          </w:tcPr>
          <w:p>
            <w:pPr>
              <w:jc w:val="center"/>
              <w:rPr>
                <w:rFonts w:ascii="仿宋" w:hAnsi="仿宋" w:eastAsia="仿宋" w:cs="仿宋"/>
                <w:b/>
                <w:sz w:val="24"/>
                <w:szCs w:val="24"/>
              </w:rPr>
            </w:pPr>
            <w:r>
              <w:rPr>
                <w:rFonts w:hint="eastAsia" w:ascii="仿宋" w:hAnsi="仿宋" w:eastAsia="仿宋" w:cs="仿宋"/>
                <w:b/>
                <w:sz w:val="24"/>
                <w:szCs w:val="24"/>
              </w:rPr>
              <w:t>得分</w:t>
            </w:r>
          </w:p>
        </w:tc>
        <w:tc>
          <w:tcPr>
            <w:tcW w:w="1701" w:type="dxa"/>
            <w:tcBorders>
              <w:top w:val="single" w:color="auto" w:sz="12" w:space="0"/>
              <w:left w:val="dotted" w:color="auto" w:sz="4" w:space="0"/>
              <w:bottom w:val="dotted" w:color="auto" w:sz="4" w:space="0"/>
              <w:right w:val="nil"/>
            </w:tcBorders>
            <w:shd w:val="clear" w:color="auto" w:fill="auto"/>
            <w:vAlign w:val="center"/>
          </w:tcPr>
          <w:p>
            <w:pPr>
              <w:jc w:val="center"/>
              <w:rPr>
                <w:rFonts w:ascii="仿宋" w:hAnsi="仿宋" w:eastAsia="仿宋" w:cs="仿宋"/>
                <w:b/>
                <w:sz w:val="24"/>
                <w:szCs w:val="24"/>
              </w:rPr>
            </w:pPr>
            <w:r>
              <w:rPr>
                <w:rFonts w:hint="eastAsia" w:ascii="仿宋" w:hAnsi="仿宋" w:eastAsia="仿宋" w:cs="仿宋"/>
                <w:b/>
                <w:sz w:val="24"/>
                <w:szCs w:val="24"/>
              </w:rPr>
              <w:t>得分率</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仿宋"/>
                <w:sz w:val="24"/>
                <w:szCs w:val="24"/>
              </w:rPr>
            </w:pPr>
            <w:r>
              <w:rPr>
                <w:rFonts w:hint="eastAsia" w:ascii="仿宋" w:hAnsi="仿宋" w:eastAsia="仿宋" w:cs="仿宋"/>
                <w:sz w:val="24"/>
                <w:szCs w:val="24"/>
              </w:rPr>
              <w:t>决策（20%）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15.86</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79.30%</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仿宋"/>
                <w:sz w:val="24"/>
                <w:szCs w:val="24"/>
              </w:rPr>
            </w:pPr>
            <w:r>
              <w:rPr>
                <w:rFonts w:hint="eastAsia" w:ascii="仿宋" w:hAnsi="仿宋" w:eastAsia="仿宋" w:cs="仿宋"/>
                <w:sz w:val="24"/>
                <w:szCs w:val="24"/>
              </w:rPr>
              <w:t>过程（20%）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20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17.54</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87.70%</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仿宋"/>
                <w:sz w:val="24"/>
                <w:szCs w:val="24"/>
              </w:rPr>
            </w:pPr>
            <w:r>
              <w:rPr>
                <w:rFonts w:hint="eastAsia" w:ascii="仿宋" w:hAnsi="仿宋" w:eastAsia="仿宋" w:cs="仿宋"/>
                <w:sz w:val="24"/>
                <w:szCs w:val="24"/>
              </w:rPr>
              <w:t>产出（30%）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30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27.02</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90.07%</w:t>
            </w:r>
          </w:p>
        </w:tc>
      </w:tr>
      <w:tr>
        <w:tblPrEx>
          <w:tblCellMar>
            <w:top w:w="0" w:type="dxa"/>
            <w:left w:w="108" w:type="dxa"/>
            <w:bottom w:w="0" w:type="dxa"/>
            <w:right w:w="108" w:type="dxa"/>
          </w:tblCellMar>
        </w:tblPrEx>
        <w:trPr>
          <w:trHeight w:val="285" w:hRule="atLeast"/>
        </w:trPr>
        <w:tc>
          <w:tcPr>
            <w:tcW w:w="3134" w:type="dxa"/>
            <w:tcBorders>
              <w:top w:val="dotted" w:color="auto" w:sz="4" w:space="0"/>
              <w:left w:val="nil"/>
              <w:bottom w:val="dotted" w:color="auto" w:sz="4" w:space="0"/>
              <w:right w:val="dotted" w:color="auto" w:sz="4" w:space="0"/>
            </w:tcBorders>
            <w:shd w:val="clear" w:color="auto" w:fill="auto"/>
            <w:noWrap/>
            <w:vAlign w:val="center"/>
          </w:tcPr>
          <w:p>
            <w:pPr>
              <w:textAlignment w:val="center"/>
              <w:rPr>
                <w:rFonts w:ascii="仿宋" w:hAnsi="仿宋" w:eastAsia="仿宋" w:cs="仿宋"/>
                <w:sz w:val="24"/>
                <w:szCs w:val="24"/>
              </w:rPr>
            </w:pPr>
            <w:r>
              <w:rPr>
                <w:rFonts w:hint="eastAsia" w:ascii="仿宋" w:hAnsi="仿宋" w:eastAsia="仿宋" w:cs="仿宋"/>
                <w:sz w:val="24"/>
                <w:szCs w:val="24"/>
              </w:rPr>
              <w:t>效益（30%）</w:t>
            </w:r>
          </w:p>
        </w:tc>
        <w:tc>
          <w:tcPr>
            <w:tcW w:w="1701"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30</w:t>
            </w:r>
          </w:p>
        </w:tc>
        <w:tc>
          <w:tcPr>
            <w:tcW w:w="1559" w:type="dxa"/>
            <w:tcBorders>
              <w:top w:val="dotted" w:color="auto" w:sz="4" w:space="0"/>
              <w:left w:val="dotted" w:color="auto" w:sz="4" w:space="0"/>
              <w:bottom w:val="dotted" w:color="auto" w:sz="4" w:space="0"/>
              <w:right w:val="dotted" w:color="auto" w:sz="4" w:space="0"/>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26.28</w:t>
            </w:r>
          </w:p>
        </w:tc>
        <w:tc>
          <w:tcPr>
            <w:tcW w:w="1701" w:type="dxa"/>
            <w:tcBorders>
              <w:top w:val="dotted" w:color="auto" w:sz="4" w:space="0"/>
              <w:left w:val="dotted" w:color="auto" w:sz="4" w:space="0"/>
              <w:bottom w:val="dotted" w:color="auto" w:sz="4" w:space="0"/>
              <w:right w:val="nil"/>
            </w:tcBorders>
            <w:shd w:val="clear" w:color="auto" w:fill="auto"/>
            <w:noWrap/>
            <w:vAlign w:val="center"/>
          </w:tcPr>
          <w:p>
            <w:pPr>
              <w:jc w:val="center"/>
              <w:textAlignment w:val="center"/>
              <w:rPr>
                <w:rFonts w:ascii="仿宋" w:hAnsi="仿宋" w:eastAsia="仿宋" w:cs="仿宋"/>
                <w:sz w:val="24"/>
                <w:szCs w:val="24"/>
              </w:rPr>
            </w:pPr>
            <w:r>
              <w:rPr>
                <w:rFonts w:hint="eastAsia" w:ascii="仿宋" w:hAnsi="仿宋" w:eastAsia="仿宋" w:cs="仿宋"/>
                <w:sz w:val="24"/>
                <w:szCs w:val="24"/>
              </w:rPr>
              <w:t>87.60%</w:t>
            </w:r>
          </w:p>
        </w:tc>
      </w:tr>
      <w:tr>
        <w:tblPrEx>
          <w:tblCellMar>
            <w:top w:w="0" w:type="dxa"/>
            <w:left w:w="108" w:type="dxa"/>
            <w:bottom w:w="0" w:type="dxa"/>
            <w:right w:w="108" w:type="dxa"/>
          </w:tblCellMar>
        </w:tblPrEx>
        <w:trPr>
          <w:trHeight w:val="300" w:hRule="atLeast"/>
        </w:trPr>
        <w:tc>
          <w:tcPr>
            <w:tcW w:w="3134" w:type="dxa"/>
            <w:tcBorders>
              <w:top w:val="dotted" w:color="auto" w:sz="4" w:space="0"/>
              <w:left w:val="nil"/>
              <w:bottom w:val="single" w:color="auto" w:sz="12" w:space="0"/>
              <w:right w:val="dotted" w:color="auto" w:sz="4" w:space="0"/>
            </w:tcBorders>
            <w:shd w:val="clear" w:color="auto" w:fill="auto"/>
            <w:noWrap/>
            <w:vAlign w:val="center"/>
          </w:tcPr>
          <w:p>
            <w:pPr>
              <w:jc w:val="center"/>
              <w:textAlignment w:val="center"/>
              <w:rPr>
                <w:rFonts w:ascii="仿宋" w:hAnsi="仿宋" w:eastAsia="仿宋" w:cs="仿宋"/>
                <w:b/>
                <w:sz w:val="24"/>
                <w:szCs w:val="24"/>
              </w:rPr>
            </w:pPr>
            <w:r>
              <w:rPr>
                <w:rFonts w:hint="eastAsia" w:ascii="仿宋" w:hAnsi="仿宋" w:eastAsia="仿宋" w:cs="仿宋"/>
                <w:b/>
                <w:bCs/>
                <w:sz w:val="24"/>
                <w:szCs w:val="24"/>
              </w:rPr>
              <w:t>合  计</w:t>
            </w:r>
          </w:p>
        </w:tc>
        <w:tc>
          <w:tcPr>
            <w:tcW w:w="1701" w:type="dxa"/>
            <w:tcBorders>
              <w:top w:val="dotted" w:color="auto" w:sz="4" w:space="0"/>
              <w:left w:val="dotted" w:color="auto" w:sz="4" w:space="0"/>
              <w:bottom w:val="single" w:color="auto" w:sz="12" w:space="0"/>
              <w:right w:val="dotted" w:color="auto" w:sz="4" w:space="0"/>
            </w:tcBorders>
            <w:shd w:val="clear" w:color="auto" w:fill="auto"/>
            <w:noWrap/>
            <w:vAlign w:val="center"/>
          </w:tcPr>
          <w:p>
            <w:pPr>
              <w:jc w:val="center"/>
              <w:textAlignment w:val="center"/>
              <w:rPr>
                <w:rFonts w:ascii="仿宋" w:hAnsi="仿宋" w:eastAsia="仿宋" w:cs="仿宋"/>
                <w:b/>
                <w:sz w:val="24"/>
                <w:szCs w:val="24"/>
              </w:rPr>
            </w:pPr>
            <w:r>
              <w:rPr>
                <w:rFonts w:hint="eastAsia" w:ascii="仿宋" w:hAnsi="仿宋" w:eastAsia="仿宋" w:cs="仿宋"/>
                <w:b/>
                <w:bCs/>
                <w:sz w:val="24"/>
                <w:szCs w:val="24"/>
              </w:rPr>
              <w:t>100</w:t>
            </w:r>
          </w:p>
        </w:tc>
        <w:tc>
          <w:tcPr>
            <w:tcW w:w="1559" w:type="dxa"/>
            <w:tcBorders>
              <w:top w:val="dotted" w:color="auto" w:sz="4" w:space="0"/>
              <w:left w:val="dotted" w:color="auto" w:sz="4" w:space="0"/>
              <w:bottom w:val="single" w:color="auto" w:sz="12" w:space="0"/>
              <w:right w:val="dotted" w:color="auto" w:sz="4" w:space="0"/>
            </w:tcBorders>
            <w:shd w:val="clear" w:color="auto" w:fill="auto"/>
            <w:noWrap/>
            <w:vAlign w:val="center"/>
          </w:tcPr>
          <w:p>
            <w:pPr>
              <w:jc w:val="center"/>
              <w:textAlignment w:val="center"/>
              <w:rPr>
                <w:rFonts w:ascii="仿宋" w:hAnsi="仿宋" w:eastAsia="仿宋" w:cs="仿宋"/>
                <w:b/>
                <w:sz w:val="24"/>
                <w:szCs w:val="24"/>
              </w:rPr>
            </w:pPr>
            <w:r>
              <w:rPr>
                <w:rFonts w:hint="eastAsia" w:ascii="仿宋" w:hAnsi="仿宋" w:eastAsia="仿宋" w:cs="仿宋"/>
                <w:b/>
                <w:bCs/>
                <w:sz w:val="24"/>
                <w:szCs w:val="24"/>
              </w:rPr>
              <w:t xml:space="preserve"> 86.70 </w:t>
            </w:r>
          </w:p>
        </w:tc>
        <w:tc>
          <w:tcPr>
            <w:tcW w:w="1701" w:type="dxa"/>
            <w:tcBorders>
              <w:top w:val="dotted" w:color="auto" w:sz="4" w:space="0"/>
              <w:left w:val="dotted" w:color="auto" w:sz="4" w:space="0"/>
              <w:bottom w:val="single" w:color="auto" w:sz="12" w:space="0"/>
              <w:right w:val="nil"/>
            </w:tcBorders>
            <w:shd w:val="clear" w:color="auto" w:fill="auto"/>
            <w:noWrap/>
            <w:vAlign w:val="center"/>
          </w:tcPr>
          <w:p>
            <w:pPr>
              <w:jc w:val="center"/>
              <w:textAlignment w:val="center"/>
              <w:rPr>
                <w:rFonts w:ascii="仿宋" w:hAnsi="仿宋" w:eastAsia="仿宋" w:cs="仿宋"/>
                <w:b/>
                <w:sz w:val="24"/>
                <w:szCs w:val="24"/>
              </w:rPr>
            </w:pPr>
            <w:r>
              <w:rPr>
                <w:rFonts w:hint="eastAsia" w:ascii="仿宋" w:hAnsi="仿宋" w:eastAsia="仿宋" w:cs="仿宋"/>
                <w:b/>
                <w:bCs/>
                <w:sz w:val="24"/>
                <w:szCs w:val="24"/>
              </w:rPr>
              <w:t>86.70%</w:t>
            </w:r>
          </w:p>
        </w:tc>
      </w:tr>
    </w:tbl>
    <w:p>
      <w:pPr>
        <w:spacing w:line="600" w:lineRule="exact"/>
        <w:rPr>
          <w:rFonts w:ascii="仿宋_GB2312" w:hAnsi="宋体" w:eastAsia="仿宋_GB2312" w:cs="宋体"/>
          <w:sz w:val="32"/>
          <w:szCs w:val="32"/>
        </w:rPr>
      </w:pPr>
    </w:p>
    <w:p>
      <w:pPr>
        <w:pStyle w:val="2"/>
        <w:numPr>
          <w:ilvl w:val="0"/>
          <w:numId w:val="2"/>
        </w:numPr>
        <w:jc w:val="left"/>
      </w:pPr>
      <w:bookmarkStart w:id="60" w:name="_Toc12904"/>
      <w:bookmarkStart w:id="61" w:name="_Toc12767"/>
      <w:bookmarkStart w:id="62" w:name="_Toc3800"/>
      <w:bookmarkStart w:id="63" w:name="_Toc813"/>
      <w:bookmarkStart w:id="64" w:name="_Toc26700"/>
      <w:bookmarkStart w:id="65" w:name="_Toc7804"/>
      <w:r>
        <w:rPr>
          <w:rFonts w:hint="eastAsia"/>
        </w:rPr>
        <w:t>绩效评价指标分析</w:t>
      </w:r>
      <w:bookmarkEnd w:id="60"/>
      <w:bookmarkEnd w:id="61"/>
      <w:bookmarkEnd w:id="62"/>
      <w:bookmarkEnd w:id="63"/>
      <w:bookmarkEnd w:id="64"/>
      <w:bookmarkEnd w:id="65"/>
    </w:p>
    <w:p>
      <w:pPr>
        <w:pStyle w:val="3"/>
        <w:numPr>
          <w:ilvl w:val="0"/>
          <w:numId w:val="6"/>
        </w:numPr>
        <w:spacing w:line="600" w:lineRule="exact"/>
        <w:rPr>
          <w:rFonts w:ascii="楷体" w:hAnsi="楷体" w:eastAsia="楷体" w:cs="楷体"/>
          <w:b w:val="0"/>
          <w:bCs/>
        </w:rPr>
      </w:pPr>
      <w:bookmarkStart w:id="66" w:name="_Toc16163"/>
      <w:bookmarkStart w:id="67" w:name="_Toc8012"/>
      <w:bookmarkStart w:id="68" w:name="_Toc21694"/>
      <w:bookmarkStart w:id="69" w:name="_Toc11340"/>
      <w:bookmarkStart w:id="70" w:name="_Toc28862"/>
      <w:bookmarkStart w:id="71" w:name="_Toc10869"/>
      <w:r>
        <w:rPr>
          <w:rFonts w:hint="eastAsia" w:ascii="楷体" w:hAnsi="楷体" w:eastAsia="楷体" w:cs="楷体"/>
          <w:b w:val="0"/>
          <w:bCs/>
        </w:rPr>
        <w:t>项目决策情况</w:t>
      </w:r>
      <w:bookmarkEnd w:id="66"/>
      <w:bookmarkEnd w:id="67"/>
      <w:bookmarkEnd w:id="68"/>
      <w:bookmarkEnd w:id="69"/>
      <w:bookmarkEnd w:id="70"/>
      <w:bookmarkEnd w:id="71"/>
    </w:p>
    <w:p>
      <w:pPr>
        <w:spacing w:line="600" w:lineRule="exact"/>
        <w:ind w:firstLine="640"/>
        <w:rPr>
          <w:rFonts w:ascii="仿宋" w:hAnsi="仿宋" w:eastAsia="仿宋" w:cs="仿宋"/>
          <w:sz w:val="32"/>
          <w:szCs w:val="32"/>
        </w:rPr>
      </w:pPr>
      <w:r>
        <w:rPr>
          <w:rFonts w:hint="eastAsia" w:ascii="仿宋" w:hAnsi="仿宋" w:eastAsia="仿宋" w:cs="仿宋"/>
          <w:sz w:val="32"/>
          <w:szCs w:val="32"/>
        </w:rPr>
        <w:t>决策评价分析从项目立项、绩效目标和资金投入三个方面五个三级指标对项目决策进行考察，决策指标分值共计20分，本项目实际得分15.86分，得分率为79.30%。具体情况如下表：</w:t>
      </w:r>
    </w:p>
    <w:p>
      <w:pPr>
        <w:spacing w:line="600" w:lineRule="exact"/>
        <w:ind w:firstLine="640"/>
        <w:rPr>
          <w:rFonts w:ascii="仿宋" w:hAnsi="仿宋" w:eastAsia="仿宋" w:cs="仿宋"/>
          <w:sz w:val="32"/>
          <w:szCs w:val="32"/>
        </w:rPr>
      </w:pPr>
    </w:p>
    <w:p>
      <w:pPr>
        <w:spacing w:line="600" w:lineRule="exact"/>
        <w:ind w:firstLine="640"/>
        <w:rPr>
          <w:rFonts w:ascii="仿宋" w:hAnsi="仿宋" w:eastAsia="仿宋" w:cs="仿宋"/>
          <w:sz w:val="32"/>
          <w:szCs w:val="32"/>
        </w:rPr>
      </w:pPr>
    </w:p>
    <w:tbl>
      <w:tblPr>
        <w:tblStyle w:val="16"/>
        <w:tblW w:w="8662"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3188"/>
        <w:gridCol w:w="1080"/>
        <w:gridCol w:w="1080"/>
        <w:gridCol w:w="1080"/>
        <w:gridCol w:w="1154"/>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00" w:hRule="atLeast"/>
        </w:trPr>
        <w:tc>
          <w:tcPr>
            <w:tcW w:w="1080" w:type="dxa"/>
            <w:tcBorders>
              <w:top w:val="single" w:color="auto" w:sz="12" w:space="0"/>
              <w:bottom w:val="dotted" w:color="auto" w:sz="4" w:space="0"/>
              <w:right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序号</w:t>
            </w:r>
          </w:p>
        </w:tc>
        <w:tc>
          <w:tcPr>
            <w:tcW w:w="3188"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三级指标内容</w:t>
            </w:r>
          </w:p>
        </w:tc>
        <w:tc>
          <w:tcPr>
            <w:tcW w:w="1080"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权重</w:t>
            </w:r>
          </w:p>
        </w:tc>
        <w:tc>
          <w:tcPr>
            <w:tcW w:w="1080"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目标值</w:t>
            </w:r>
          </w:p>
        </w:tc>
        <w:tc>
          <w:tcPr>
            <w:tcW w:w="1080" w:type="dxa"/>
            <w:tcBorders>
              <w:top w:val="single" w:color="auto" w:sz="12" w:space="0"/>
              <w:left w:val="nil"/>
              <w:bottom w:val="dotted" w:color="auto" w:sz="4" w:space="0"/>
              <w:right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w:t>
            </w:r>
          </w:p>
        </w:tc>
        <w:tc>
          <w:tcPr>
            <w:tcW w:w="1154" w:type="dxa"/>
            <w:tcBorders>
              <w:top w:val="single" w:color="auto" w:sz="12" w:space="0"/>
              <w:left w:val="nil"/>
              <w:bottom w:val="dotted" w:color="auto" w:sz="4" w:space="0"/>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90"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立项依据充分性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充分</w:t>
            </w:r>
          </w:p>
        </w:tc>
        <w:tc>
          <w:tcPr>
            <w:tcW w:w="1080" w:type="dxa"/>
            <w:tcBorders>
              <w:top w:val="dotted" w:color="auto" w:sz="4" w:space="0"/>
              <w:left w:val="nil"/>
              <w:bottom w:val="dotted" w:color="auto" w:sz="4" w:space="0"/>
              <w:right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3.96</w:t>
            </w:r>
          </w:p>
        </w:tc>
        <w:tc>
          <w:tcPr>
            <w:tcW w:w="1154" w:type="dxa"/>
            <w:tcBorders>
              <w:top w:val="dotted" w:color="auto" w:sz="4" w:space="0"/>
              <w:left w:val="nil"/>
              <w:bottom w:val="dotted" w:color="auto" w:sz="4"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99.00%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91"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2</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立项程序规范性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规范</w:t>
            </w:r>
          </w:p>
        </w:tc>
        <w:tc>
          <w:tcPr>
            <w:tcW w:w="1080" w:type="dxa"/>
            <w:tcBorders>
              <w:top w:val="dotted" w:color="auto" w:sz="4" w:space="0"/>
              <w:left w:val="nil"/>
              <w:bottom w:val="dotted" w:color="auto" w:sz="4" w:space="0"/>
              <w:right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3.10</w:t>
            </w:r>
          </w:p>
        </w:tc>
        <w:tc>
          <w:tcPr>
            <w:tcW w:w="1154" w:type="dxa"/>
            <w:tcBorders>
              <w:top w:val="dotted" w:color="auto" w:sz="4" w:space="0"/>
              <w:left w:val="nil"/>
              <w:bottom w:val="dotted" w:color="auto" w:sz="4"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77.50%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3</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绩效目标合理性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合理</w:t>
            </w:r>
          </w:p>
        </w:tc>
        <w:tc>
          <w:tcPr>
            <w:tcW w:w="1080" w:type="dxa"/>
            <w:tcBorders>
              <w:top w:val="dotted" w:color="auto" w:sz="4" w:space="0"/>
              <w:left w:val="nil"/>
              <w:bottom w:val="dotted" w:color="auto" w:sz="4" w:space="0"/>
              <w:right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3.40</w:t>
            </w:r>
          </w:p>
        </w:tc>
        <w:tc>
          <w:tcPr>
            <w:tcW w:w="1154" w:type="dxa"/>
            <w:tcBorders>
              <w:top w:val="dotted" w:color="auto" w:sz="4" w:space="0"/>
              <w:left w:val="nil"/>
              <w:bottom w:val="dotted" w:color="auto" w:sz="4"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85.00%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12"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绩效指标明确性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明确</w:t>
            </w:r>
          </w:p>
        </w:tc>
        <w:tc>
          <w:tcPr>
            <w:tcW w:w="1080" w:type="dxa"/>
            <w:tcBorders>
              <w:top w:val="dotted" w:color="auto" w:sz="4" w:space="0"/>
              <w:left w:val="nil"/>
              <w:bottom w:val="dotted" w:color="auto" w:sz="4" w:space="0"/>
              <w:right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2.50</w:t>
            </w:r>
          </w:p>
        </w:tc>
        <w:tc>
          <w:tcPr>
            <w:tcW w:w="1154" w:type="dxa"/>
            <w:tcBorders>
              <w:top w:val="dotted" w:color="auto" w:sz="4" w:space="0"/>
              <w:left w:val="nil"/>
              <w:bottom w:val="dotted" w:color="auto" w:sz="4"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62.50%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dotted" w:color="auto" w:sz="4" w:space="0"/>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5</w:t>
            </w:r>
          </w:p>
        </w:tc>
        <w:tc>
          <w:tcPr>
            <w:tcW w:w="3188"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预算编制科学性</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1080" w:type="dxa"/>
            <w:tcBorders>
              <w:top w:val="dotted" w:color="auto" w:sz="4" w:space="0"/>
              <w:left w:val="nil"/>
              <w:bottom w:val="dotted" w:color="auto" w:sz="4" w:space="0"/>
              <w:right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科学</w:t>
            </w:r>
          </w:p>
        </w:tc>
        <w:tc>
          <w:tcPr>
            <w:tcW w:w="1080" w:type="dxa"/>
            <w:tcBorders>
              <w:top w:val="dotted" w:color="auto" w:sz="4" w:space="0"/>
              <w:left w:val="nil"/>
              <w:bottom w:val="dotted" w:color="auto" w:sz="4" w:space="0"/>
              <w:right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2.90</w:t>
            </w:r>
          </w:p>
        </w:tc>
        <w:tc>
          <w:tcPr>
            <w:tcW w:w="1154" w:type="dxa"/>
            <w:tcBorders>
              <w:top w:val="dotted" w:color="auto" w:sz="4" w:space="0"/>
              <w:left w:val="nil"/>
              <w:bottom w:val="dotted" w:color="auto" w:sz="4"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72.50%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tcBorders>
              <w:top w:val="dotted" w:color="auto" w:sz="4" w:space="0"/>
              <w:right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　</w:t>
            </w:r>
          </w:p>
        </w:tc>
        <w:tc>
          <w:tcPr>
            <w:tcW w:w="3188" w:type="dxa"/>
            <w:tcBorders>
              <w:top w:val="dotted" w:color="auto" w:sz="4" w:space="0"/>
              <w:left w:val="nil"/>
              <w:right w:val="nil"/>
            </w:tcBorders>
            <w:shd w:val="clear" w:color="auto" w:fill="auto"/>
            <w:vAlign w:val="center"/>
          </w:tcPr>
          <w:p>
            <w:pPr>
              <w:jc w:val="center"/>
              <w:rPr>
                <w:rFonts w:ascii="仿宋" w:hAnsi="仿宋" w:eastAsia="仿宋" w:cs="宋体"/>
                <w:b/>
                <w:bCs/>
                <w:sz w:val="24"/>
                <w:szCs w:val="24"/>
              </w:rPr>
            </w:pPr>
            <w:r>
              <w:rPr>
                <w:rFonts w:hint="eastAsia" w:ascii="仿宋" w:hAnsi="仿宋" w:eastAsia="仿宋" w:cs="宋体"/>
                <w:b/>
                <w:bCs/>
                <w:sz w:val="24"/>
                <w:szCs w:val="24"/>
              </w:rPr>
              <w:t>分值合计</w:t>
            </w:r>
          </w:p>
        </w:tc>
        <w:tc>
          <w:tcPr>
            <w:tcW w:w="1080" w:type="dxa"/>
            <w:tcBorders>
              <w:top w:val="dotted" w:color="auto" w:sz="4" w:space="0"/>
              <w:left w:val="nil"/>
              <w:right w:val="nil"/>
            </w:tcBorders>
            <w:shd w:val="clear" w:color="auto" w:fill="auto"/>
            <w:vAlign w:val="center"/>
          </w:tcPr>
          <w:p>
            <w:pPr>
              <w:jc w:val="center"/>
              <w:rPr>
                <w:rFonts w:ascii="仿宋" w:hAnsi="仿宋" w:eastAsia="仿宋" w:cs="宋体"/>
                <w:b/>
                <w:bCs/>
                <w:sz w:val="24"/>
                <w:szCs w:val="24"/>
              </w:rPr>
            </w:pPr>
            <w:r>
              <w:rPr>
                <w:rFonts w:hint="eastAsia" w:ascii="仿宋" w:hAnsi="仿宋" w:eastAsia="仿宋" w:cs="宋体"/>
                <w:b/>
                <w:bCs/>
                <w:sz w:val="24"/>
                <w:szCs w:val="24"/>
              </w:rPr>
              <w:t>20</w:t>
            </w:r>
          </w:p>
        </w:tc>
        <w:tc>
          <w:tcPr>
            <w:tcW w:w="1080" w:type="dxa"/>
            <w:tcBorders>
              <w:top w:val="dotted" w:color="auto" w:sz="4" w:space="0"/>
              <w:left w:val="nil"/>
              <w:right w:val="nil"/>
            </w:tcBorders>
            <w:shd w:val="clear" w:color="auto" w:fill="auto"/>
            <w:vAlign w:val="center"/>
          </w:tcPr>
          <w:p>
            <w:pPr>
              <w:jc w:val="center"/>
              <w:rPr>
                <w:rFonts w:ascii="仿宋" w:hAnsi="仿宋" w:eastAsia="仿宋" w:cs="宋体"/>
                <w:b/>
                <w:bCs/>
                <w:sz w:val="24"/>
                <w:szCs w:val="24"/>
              </w:rPr>
            </w:pPr>
          </w:p>
        </w:tc>
        <w:tc>
          <w:tcPr>
            <w:tcW w:w="1080" w:type="dxa"/>
            <w:tcBorders>
              <w:top w:val="dotted" w:color="auto" w:sz="4" w:space="0"/>
              <w:left w:val="nil"/>
              <w:right w:val="nil"/>
            </w:tcBorders>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15.86</w:t>
            </w:r>
          </w:p>
        </w:tc>
        <w:tc>
          <w:tcPr>
            <w:tcW w:w="1154" w:type="dxa"/>
            <w:tcBorders>
              <w:top w:val="dotted" w:color="auto" w:sz="4" w:space="0"/>
              <w:left w:val="nil"/>
            </w:tcBorders>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79.30%</w:t>
            </w:r>
          </w:p>
        </w:tc>
      </w:tr>
    </w:tbl>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1．项目立项分析</w:t>
      </w:r>
    </w:p>
    <w:p>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（1）立项依据充分性分析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依据北京市高级人民法院《关于印发&lt;北京市法院信息化建设五年发展规划(2016-2020)&gt;的通知》、北京市经济和信息化委员会《关于北京知识产权法院办公楼弱电信息化建设项目审查意见的函》、《关于北京知识产权法院远程审判服务信息化建设项目投人使用申请的复函》、《关于市高级人民法院北京知识产权法院增租审判业务用房弱电信息化建设项目投入使用审查意见的函》、《关于市高级人民法院北京知识产权法院审判实体资源管理系统建设项目投人使用申请材料备案意见的函》等相关文件要求。知产法院在现有信息化建设的基础上，利用专业公司的技术、人力等资源，通过科学规范的IT管理方法，提供各项可应用、可量化、可管理、可评估的信息应用服务，保障知产法院信息化系统全年安全稳定运行，为审判业务的开展提供支持和效率，符合国家和北京市的相关规定，与项目单位职责密切相关。但项目运维边界不够清晰。</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该项指标权重分为4分，根据评分规则评价得3.96分。</w:t>
      </w:r>
    </w:p>
    <w:p>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（2）立项程序规范性分析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项目为延续性项目，未对上年运维进行分析总结，如设备及系统故障率、人员工作饱和度、以及自动化运维工具对人工成本的影响。需求论证不充分。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该项指标权重分为4分，根据评分规则评价得3.1分。</w:t>
      </w:r>
    </w:p>
    <w:p>
      <w:pPr>
        <w:spacing w:line="600" w:lineRule="exact"/>
        <w:ind w:firstLine="640" w:firstLineChars="200"/>
        <w:rPr>
          <w:rFonts w:ascii="仿宋" w:hAnsi="仿宋" w:eastAsia="仿宋" w:cs="仿宋"/>
          <w:sz w:val="32"/>
          <w:szCs w:val="32"/>
        </w:rPr>
      </w:pPr>
      <w:bookmarkStart w:id="72" w:name="_Toc7603"/>
      <w:bookmarkStart w:id="73" w:name="_Toc77203356"/>
      <w:bookmarkStart w:id="74" w:name="_Toc32625"/>
      <w:bookmarkStart w:id="75" w:name="_Toc30046"/>
      <w:r>
        <w:rPr>
          <w:rFonts w:hint="eastAsia" w:ascii="仿宋" w:hAnsi="仿宋" w:eastAsia="仿宋" w:cs="仿宋"/>
          <w:sz w:val="32"/>
          <w:szCs w:val="32"/>
        </w:rPr>
        <w:t>2.绩效目标分析</w:t>
      </w:r>
      <w:bookmarkEnd w:id="72"/>
      <w:bookmarkEnd w:id="73"/>
      <w:bookmarkEnd w:id="74"/>
      <w:bookmarkEnd w:id="75"/>
    </w:p>
    <w:p>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（1）绩效目标合理性分析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绩效目标设定基本合理，但绩效目标三项内容表述过于简单，未突出年度特征。</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该项指标权重分为4分，根据评分规则评价得3.4分。</w:t>
      </w:r>
    </w:p>
    <w:p>
      <w:pPr>
        <w:spacing w:line="600" w:lineRule="exact"/>
        <w:ind w:firstLine="320" w:firstLineChars="100"/>
        <w:rPr>
          <w:rFonts w:ascii="仿宋" w:hAnsi="仿宋" w:eastAsia="仿宋" w:cs="仿宋"/>
          <w:sz w:val="32"/>
          <w:szCs w:val="32"/>
        </w:rPr>
      </w:pPr>
      <w:r>
        <w:rPr>
          <w:rFonts w:hint="eastAsia" w:ascii="仿宋" w:hAnsi="仿宋" w:eastAsia="仿宋" w:cs="仿宋"/>
          <w:sz w:val="32"/>
          <w:szCs w:val="32"/>
        </w:rPr>
        <w:t>（2）绩效指标明确性分析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个别绩效指标的设定不够准确和完整，如，产出数量指标，缺少具体的运维系统数量，与通用设备的维护界限不够清晰，且偏离度超出合理预期。产出时效指标预算时设定不足，与预算财年对应性欠缺，项目绩效指标明确性不足。</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该项指标权重分为4分，根据评分规则评价得2.5分。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3.资金投入分析</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预算编制内容和依据呈现不够充分，缺少测算标准、预算明细，项目成本构成不明确。</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该项指标权重分为4分，根据评分规则评价得2.9分。</w:t>
      </w:r>
    </w:p>
    <w:p>
      <w:pPr>
        <w:pStyle w:val="3"/>
        <w:numPr>
          <w:ilvl w:val="0"/>
          <w:numId w:val="6"/>
        </w:numPr>
        <w:spacing w:line="600" w:lineRule="exact"/>
        <w:rPr>
          <w:rFonts w:ascii="楷体" w:hAnsi="楷体" w:eastAsia="楷体" w:cs="楷体"/>
          <w:b w:val="0"/>
          <w:bCs/>
        </w:rPr>
      </w:pPr>
      <w:bookmarkStart w:id="76" w:name="_Toc28183"/>
      <w:bookmarkStart w:id="77" w:name="_Toc8680"/>
      <w:bookmarkStart w:id="78" w:name="_Toc29395"/>
      <w:bookmarkStart w:id="79" w:name="_Toc11461"/>
      <w:bookmarkStart w:id="80" w:name="_Toc5899"/>
      <w:bookmarkStart w:id="81" w:name="_Toc7296"/>
      <w:r>
        <w:rPr>
          <w:rFonts w:hint="eastAsia" w:ascii="楷体" w:hAnsi="楷体" w:eastAsia="楷体" w:cs="楷体"/>
          <w:b w:val="0"/>
          <w:bCs/>
        </w:rPr>
        <w:t>项目过程情况</w:t>
      </w:r>
      <w:bookmarkEnd w:id="76"/>
      <w:bookmarkEnd w:id="77"/>
      <w:bookmarkEnd w:id="78"/>
      <w:bookmarkEnd w:id="79"/>
      <w:bookmarkEnd w:id="80"/>
      <w:bookmarkEnd w:id="81"/>
    </w:p>
    <w:p>
      <w:pPr>
        <w:spacing w:line="600" w:lineRule="exact"/>
        <w:ind w:firstLine="640" w:firstLineChars="200"/>
        <w:rPr>
          <w:rFonts w:ascii="仿宋" w:hAnsi="仿宋" w:eastAsia="仿宋" w:cs="仿宋"/>
          <w:sz w:val="32"/>
          <w:szCs w:val="32"/>
        </w:rPr>
      </w:pPr>
      <w:bookmarkStart w:id="82" w:name="_Toc30255"/>
      <w:r>
        <w:rPr>
          <w:rFonts w:hint="eastAsia" w:ascii="仿宋" w:hAnsi="仿宋" w:eastAsia="仿宋" w:cs="仿宋"/>
          <w:sz w:val="32"/>
          <w:szCs w:val="32"/>
        </w:rPr>
        <w:t>过程部分从资金管理和业务管理两个方面四个三级指标对项目进行考察，过程类指标分值为20分，本项目实际得分17.54分，得分率87.70%。具体如下表：</w:t>
      </w:r>
    </w:p>
    <w:tbl>
      <w:tblPr>
        <w:tblStyle w:val="16"/>
        <w:tblW w:w="8517"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55"/>
        <w:gridCol w:w="3071"/>
        <w:gridCol w:w="1055"/>
        <w:gridCol w:w="1067"/>
        <w:gridCol w:w="1073"/>
        <w:gridCol w:w="119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1" w:hRule="atLeast"/>
        </w:trPr>
        <w:tc>
          <w:tcPr>
            <w:tcW w:w="1055"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序号</w:t>
            </w:r>
          </w:p>
        </w:tc>
        <w:tc>
          <w:tcPr>
            <w:tcW w:w="3071"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三级指标内容</w:t>
            </w:r>
          </w:p>
        </w:tc>
        <w:tc>
          <w:tcPr>
            <w:tcW w:w="1055"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权重</w:t>
            </w:r>
          </w:p>
        </w:tc>
        <w:tc>
          <w:tcPr>
            <w:tcW w:w="1067"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目标值</w:t>
            </w:r>
          </w:p>
        </w:tc>
        <w:tc>
          <w:tcPr>
            <w:tcW w:w="1073"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w:t>
            </w:r>
          </w:p>
        </w:tc>
        <w:tc>
          <w:tcPr>
            <w:tcW w:w="1196"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1" w:hRule="atLeast"/>
        </w:trPr>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w:t>
            </w:r>
          </w:p>
        </w:tc>
        <w:tc>
          <w:tcPr>
            <w:tcW w:w="3071"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预算执行率</w:t>
            </w:r>
          </w:p>
        </w:tc>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3</w:t>
            </w:r>
          </w:p>
        </w:tc>
        <w:tc>
          <w:tcPr>
            <w:tcW w:w="1067"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微软雅黑" w:hAnsi="微软雅黑" w:eastAsia="微软雅黑" w:cs="微软雅黑"/>
                <w:sz w:val="24"/>
                <w:szCs w:val="24"/>
              </w:rPr>
              <w:t>≤</w:t>
            </w:r>
            <w:r>
              <w:rPr>
                <w:rFonts w:hint="eastAsia" w:ascii="仿宋" w:hAnsi="仿宋" w:eastAsia="仿宋" w:cs="宋体"/>
                <w:sz w:val="24"/>
                <w:szCs w:val="24"/>
              </w:rPr>
              <w:t>100%</w:t>
            </w:r>
          </w:p>
        </w:tc>
        <w:tc>
          <w:tcPr>
            <w:tcW w:w="1073"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 xml:space="preserve"> 3.00 </w:t>
            </w:r>
          </w:p>
        </w:tc>
        <w:tc>
          <w:tcPr>
            <w:tcW w:w="1196"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85" w:hRule="atLeast"/>
        </w:trPr>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2</w:t>
            </w:r>
          </w:p>
        </w:tc>
        <w:tc>
          <w:tcPr>
            <w:tcW w:w="3071"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资金使用合规性</w:t>
            </w:r>
          </w:p>
        </w:tc>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1067"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规范</w:t>
            </w:r>
          </w:p>
        </w:tc>
        <w:tc>
          <w:tcPr>
            <w:tcW w:w="1073"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 xml:space="preserve"> 4.00 </w:t>
            </w:r>
          </w:p>
        </w:tc>
        <w:tc>
          <w:tcPr>
            <w:tcW w:w="1196"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55" w:hRule="atLeast"/>
        </w:trPr>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3</w:t>
            </w:r>
          </w:p>
        </w:tc>
        <w:tc>
          <w:tcPr>
            <w:tcW w:w="3071"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管理制度健全性</w:t>
            </w:r>
          </w:p>
        </w:tc>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3</w:t>
            </w:r>
          </w:p>
        </w:tc>
        <w:tc>
          <w:tcPr>
            <w:tcW w:w="1067"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健全</w:t>
            </w:r>
          </w:p>
        </w:tc>
        <w:tc>
          <w:tcPr>
            <w:tcW w:w="1073"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 xml:space="preserve"> 2.74 </w:t>
            </w:r>
          </w:p>
        </w:tc>
        <w:tc>
          <w:tcPr>
            <w:tcW w:w="1196"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91.33%</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5" w:hRule="atLeast"/>
        </w:trPr>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3071"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制度执行有效性</w:t>
            </w:r>
          </w:p>
        </w:tc>
        <w:tc>
          <w:tcPr>
            <w:tcW w:w="1055"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10</w:t>
            </w:r>
          </w:p>
        </w:tc>
        <w:tc>
          <w:tcPr>
            <w:tcW w:w="1067"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有效</w:t>
            </w:r>
          </w:p>
        </w:tc>
        <w:tc>
          <w:tcPr>
            <w:tcW w:w="1073"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 xml:space="preserve"> 7.80 </w:t>
            </w:r>
          </w:p>
        </w:tc>
        <w:tc>
          <w:tcPr>
            <w:tcW w:w="1196"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78.00%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65" w:hRule="atLeast"/>
        </w:trPr>
        <w:tc>
          <w:tcPr>
            <w:tcW w:w="1055" w:type="dxa"/>
            <w:tcBorders>
              <w:tl2br w:val="nil"/>
              <w:tr2bl w:val="nil"/>
            </w:tcBorders>
            <w:shd w:val="clear" w:color="auto" w:fill="auto"/>
            <w:vAlign w:val="center"/>
          </w:tcPr>
          <w:p>
            <w:pPr>
              <w:rPr>
                <w:rFonts w:ascii="仿宋" w:hAnsi="仿宋" w:eastAsia="仿宋" w:cs="宋体"/>
                <w:sz w:val="24"/>
                <w:szCs w:val="24"/>
              </w:rPr>
            </w:pPr>
            <w:r>
              <w:rPr>
                <w:rFonts w:hint="eastAsia" w:ascii="仿宋" w:hAnsi="仿宋" w:eastAsia="仿宋" w:cs="宋体"/>
                <w:sz w:val="24"/>
                <w:szCs w:val="24"/>
              </w:rPr>
              <w:t>　</w:t>
            </w:r>
          </w:p>
        </w:tc>
        <w:tc>
          <w:tcPr>
            <w:tcW w:w="3071"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分值合计</w:t>
            </w:r>
          </w:p>
        </w:tc>
        <w:tc>
          <w:tcPr>
            <w:tcW w:w="1055" w:type="dxa"/>
            <w:tcBorders>
              <w:tl2br w:val="nil"/>
              <w:tr2bl w:val="nil"/>
            </w:tcBorders>
            <w:shd w:val="clear" w:color="auto" w:fill="auto"/>
            <w:vAlign w:val="center"/>
          </w:tcPr>
          <w:p>
            <w:pPr>
              <w:jc w:val="center"/>
              <w:rPr>
                <w:rFonts w:ascii="仿宋" w:hAnsi="仿宋" w:eastAsia="仿宋" w:cs="宋体"/>
                <w:b/>
                <w:bCs/>
                <w:sz w:val="24"/>
                <w:szCs w:val="24"/>
              </w:rPr>
            </w:pPr>
            <w:r>
              <w:rPr>
                <w:rFonts w:hint="eastAsia" w:ascii="仿宋" w:hAnsi="仿宋" w:eastAsia="仿宋" w:cs="宋体"/>
                <w:b/>
                <w:bCs/>
                <w:sz w:val="24"/>
                <w:szCs w:val="24"/>
              </w:rPr>
              <w:t>20</w:t>
            </w:r>
          </w:p>
        </w:tc>
        <w:tc>
          <w:tcPr>
            <w:tcW w:w="1067" w:type="dxa"/>
            <w:tcBorders>
              <w:tl2br w:val="nil"/>
              <w:tr2bl w:val="nil"/>
            </w:tcBorders>
            <w:shd w:val="clear" w:color="auto" w:fill="auto"/>
            <w:vAlign w:val="center"/>
          </w:tcPr>
          <w:p>
            <w:pPr>
              <w:jc w:val="center"/>
              <w:rPr>
                <w:rFonts w:ascii="仿宋" w:hAnsi="仿宋" w:eastAsia="仿宋" w:cs="宋体"/>
                <w:b/>
                <w:bCs/>
                <w:sz w:val="24"/>
                <w:szCs w:val="24"/>
              </w:rPr>
            </w:pPr>
          </w:p>
        </w:tc>
        <w:tc>
          <w:tcPr>
            <w:tcW w:w="1073" w:type="dxa"/>
            <w:tcBorders>
              <w:tl2br w:val="nil"/>
              <w:tr2bl w:val="nil"/>
            </w:tcBorders>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17.54</w:t>
            </w:r>
          </w:p>
        </w:tc>
        <w:tc>
          <w:tcPr>
            <w:tcW w:w="1196" w:type="dxa"/>
            <w:tcBorders>
              <w:tl2br w:val="nil"/>
              <w:tr2bl w:val="nil"/>
            </w:tcBorders>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87.70%</w:t>
            </w:r>
          </w:p>
        </w:tc>
      </w:tr>
    </w:tbl>
    <w:p>
      <w:pPr>
        <w:rPr>
          <w:rFonts w:ascii="仿宋_GB2312" w:hAnsi="宋体" w:eastAsia="仿宋_GB2312" w:cs="宋体"/>
          <w:sz w:val="32"/>
          <w:szCs w:val="32"/>
        </w:rPr>
      </w:pPr>
    </w:p>
    <w:p>
      <w:pPr>
        <w:spacing w:line="600" w:lineRule="exact"/>
        <w:ind w:firstLine="640"/>
        <w:rPr>
          <w:rFonts w:ascii="仿宋" w:hAnsi="仿宋" w:eastAsia="仿宋" w:cs="仿宋"/>
          <w:sz w:val="32"/>
          <w:szCs w:val="32"/>
        </w:rPr>
      </w:pPr>
      <w:bookmarkStart w:id="83" w:name="_Toc77203359"/>
      <w:r>
        <w:rPr>
          <w:rFonts w:hint="eastAsia" w:ascii="仿宋" w:hAnsi="仿宋" w:eastAsia="仿宋" w:cs="仿宋"/>
          <w:sz w:val="32"/>
          <w:szCs w:val="32"/>
        </w:rPr>
        <w:t>1.资金管理</w:t>
      </w:r>
      <w:bookmarkEnd w:id="83"/>
    </w:p>
    <w:p>
      <w:pPr>
        <w:spacing w:line="600" w:lineRule="exact"/>
        <w:ind w:firstLine="640"/>
        <w:rPr>
          <w:rFonts w:ascii="仿宋" w:hAnsi="仿宋" w:eastAsia="仿宋" w:cs="仿宋"/>
          <w:sz w:val="32"/>
          <w:szCs w:val="32"/>
        </w:rPr>
      </w:pPr>
      <w:bookmarkStart w:id="84" w:name="_Toc19603"/>
      <w:bookmarkStart w:id="85" w:name="_Toc32425"/>
      <w:bookmarkStart w:id="86" w:name="_Toc26175"/>
      <w:r>
        <w:rPr>
          <w:rFonts w:hint="eastAsia" w:ascii="仿宋" w:hAnsi="仿宋" w:eastAsia="仿宋" w:cs="仿宋"/>
          <w:sz w:val="32"/>
          <w:szCs w:val="32"/>
        </w:rPr>
        <w:t>（1）预算执行率</w:t>
      </w:r>
      <w:bookmarkEnd w:id="84"/>
      <w:bookmarkEnd w:id="85"/>
      <w:bookmarkEnd w:id="86"/>
    </w:p>
    <w:p>
      <w:pPr>
        <w:spacing w:line="600" w:lineRule="exact"/>
        <w:ind w:firstLine="640"/>
        <w:rPr>
          <w:rFonts w:ascii="仿宋" w:hAnsi="仿宋" w:eastAsia="仿宋" w:cs="仿宋"/>
          <w:sz w:val="32"/>
          <w:szCs w:val="32"/>
        </w:rPr>
      </w:pPr>
      <w:r>
        <w:rPr>
          <w:rFonts w:hint="eastAsia" w:ascii="仿宋" w:hAnsi="仿宋" w:eastAsia="仿宋" w:cs="仿宋"/>
          <w:sz w:val="32"/>
          <w:szCs w:val="32"/>
        </w:rPr>
        <w:t>项目2024年最终获批资金预算371.00万元，截至2024年12月31日，已实际支付资金370.00万元，结余资金1.00万元，预算资金执行率为99.73%，资金节约率0.27%。</w:t>
      </w:r>
    </w:p>
    <w:p>
      <w:pPr>
        <w:spacing w:line="600" w:lineRule="exact"/>
        <w:ind w:firstLine="640"/>
        <w:rPr>
          <w:rFonts w:ascii="仿宋" w:hAnsi="仿宋" w:eastAsia="仿宋" w:cs="仿宋"/>
          <w:kern w:val="44"/>
          <w:sz w:val="28"/>
          <w:szCs w:val="28"/>
        </w:rPr>
      </w:pPr>
      <w:r>
        <w:rPr>
          <w:rFonts w:hint="eastAsia" w:ascii="仿宋" w:hAnsi="仿宋" w:eastAsia="仿宋" w:cs="仿宋"/>
          <w:sz w:val="32"/>
          <w:szCs w:val="32"/>
        </w:rPr>
        <w:t>该项指标权重分3分，根据评分规则评价得3分。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（2）资金使用合规性</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项目资金使用符合国家和本市财经法规，符合知产法院财务管理规定，凭证附件资料比较齐备，内控制度执行有效。</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该项指标权重分4分，根据评分规则评价得4分。</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2.业务管理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（1）管理制度健全性</w:t>
      </w:r>
    </w:p>
    <w:p>
      <w:pPr>
        <w:spacing w:line="600" w:lineRule="exact"/>
        <w:ind w:firstLine="640"/>
        <w:jc w:val="both"/>
        <w:rPr>
          <w:rFonts w:ascii="仿宋" w:hAnsi="仿宋" w:eastAsia="仿宋" w:cs="仿宋"/>
          <w:sz w:val="32"/>
          <w:szCs w:val="32"/>
        </w:rPr>
      </w:pPr>
      <w:r>
        <w:rPr>
          <w:rFonts w:hint="eastAsia" w:ascii="仿宋" w:hAnsi="仿宋" w:eastAsia="仿宋" w:cs="仿宋"/>
          <w:sz w:val="32"/>
          <w:szCs w:val="32"/>
        </w:rPr>
        <w:t>知产法院提供了《北京知识产权法院财务管理办法》、《采购管理办法》、《合同管理办法》、《信息化运维管理制度》、《运维工作安全红线》、《信息化运维服务绩效考核制度》等相关的内控管理制度，管理制度比较合法、合规、健全。但项目实施方案的有效性不足，未提供主责方项目实施方案。</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该项指标权重分3分，根据评分规则评价得分2.74分。</w:t>
      </w:r>
    </w:p>
    <w:p>
      <w:pPr>
        <w:spacing w:line="600" w:lineRule="exact"/>
        <w:rPr>
          <w:rFonts w:ascii="仿宋" w:hAnsi="仿宋" w:eastAsia="仿宋" w:cs="仿宋"/>
          <w:sz w:val="32"/>
          <w:szCs w:val="32"/>
        </w:rPr>
      </w:pPr>
      <w:r>
        <w:rPr>
          <w:rFonts w:hint="eastAsia" w:ascii="仿宋" w:hAnsi="仿宋" w:eastAsia="仿宋" w:cs="仿宋"/>
          <w:sz w:val="32"/>
          <w:szCs w:val="32"/>
        </w:rPr>
        <w:t xml:space="preserve">   （2）制度执行有效性</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项目根据实际需求履行了采购审批和公开招标程序。但</w:t>
      </w:r>
      <w:bookmarkEnd w:id="82"/>
      <w:r>
        <w:rPr>
          <w:rFonts w:hint="eastAsia" w:ascii="仿宋" w:hAnsi="仿宋" w:eastAsia="仿宋" w:cs="仿宋"/>
          <w:sz w:val="32"/>
          <w:szCs w:val="32"/>
        </w:rPr>
        <w:t>实际执行与采购有差距，从过程监管和总结上看，主责方监督管理信息不够充分和完整，职责边界不够明确。</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该项指标权重分10分，根据评分规则评价得分7.8分。</w:t>
      </w:r>
    </w:p>
    <w:p>
      <w:pPr>
        <w:pStyle w:val="3"/>
        <w:numPr>
          <w:ilvl w:val="0"/>
          <w:numId w:val="6"/>
        </w:numPr>
        <w:spacing w:line="600" w:lineRule="exact"/>
        <w:rPr>
          <w:rFonts w:ascii="楷体" w:hAnsi="楷体" w:eastAsia="楷体" w:cs="楷体"/>
          <w:b w:val="0"/>
          <w:bCs/>
        </w:rPr>
      </w:pPr>
      <w:bookmarkStart w:id="87" w:name="_Toc10285"/>
      <w:bookmarkStart w:id="88" w:name="_Toc1644"/>
      <w:bookmarkStart w:id="89" w:name="_Toc17226"/>
      <w:bookmarkStart w:id="90" w:name="_Toc11362"/>
      <w:bookmarkStart w:id="91" w:name="_Toc12377"/>
      <w:bookmarkStart w:id="92" w:name="_Toc14792"/>
      <w:r>
        <w:rPr>
          <w:rFonts w:hint="eastAsia" w:ascii="楷体" w:hAnsi="楷体" w:eastAsia="楷体" w:cs="楷体"/>
          <w:b w:val="0"/>
          <w:bCs/>
        </w:rPr>
        <w:t>项目产出情况</w:t>
      </w:r>
      <w:bookmarkEnd w:id="87"/>
      <w:bookmarkEnd w:id="88"/>
      <w:bookmarkEnd w:id="89"/>
      <w:bookmarkEnd w:id="90"/>
      <w:bookmarkEnd w:id="91"/>
      <w:bookmarkEnd w:id="92"/>
    </w:p>
    <w:p>
      <w:pPr>
        <w:spacing w:line="600" w:lineRule="exact"/>
        <w:ind w:firstLine="640" w:firstLineChars="200"/>
        <w:rPr>
          <w:rFonts w:ascii="仿宋" w:hAnsi="仿宋" w:eastAsia="仿宋" w:cs="仿宋"/>
          <w:sz w:val="32"/>
          <w:szCs w:val="32"/>
        </w:rPr>
      </w:pPr>
      <w:bookmarkStart w:id="93" w:name="_Toc32337"/>
      <w:r>
        <w:rPr>
          <w:rFonts w:hint="eastAsia" w:ascii="仿宋" w:hAnsi="仿宋" w:eastAsia="仿宋" w:cs="仿宋"/>
          <w:sz w:val="32"/>
          <w:szCs w:val="32"/>
        </w:rPr>
        <w:t>产出部分从产出数量、产出质量、产出时效和产出成本四个方面共四个三级指标对项目进行考察，产出类指标分值共计30分，本项目得分27.02分，得分率为90.07% ，具体得分情况如下表：</w:t>
      </w:r>
    </w:p>
    <w:p>
      <w:pPr>
        <w:spacing w:line="600" w:lineRule="exact"/>
        <w:ind w:firstLine="640" w:firstLineChars="200"/>
        <w:rPr>
          <w:rFonts w:ascii="仿宋" w:hAnsi="仿宋" w:eastAsia="仿宋" w:cs="仿宋"/>
          <w:sz w:val="32"/>
          <w:szCs w:val="32"/>
        </w:rPr>
      </w:pPr>
    </w:p>
    <w:tbl>
      <w:tblPr>
        <w:tblStyle w:val="16"/>
        <w:tblW w:w="8698"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3188"/>
        <w:gridCol w:w="1080"/>
        <w:gridCol w:w="1080"/>
        <w:gridCol w:w="1080"/>
        <w:gridCol w:w="1190"/>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1080"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序号</w:t>
            </w:r>
          </w:p>
        </w:tc>
        <w:tc>
          <w:tcPr>
            <w:tcW w:w="3188"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三级指标内容</w:t>
            </w:r>
          </w:p>
        </w:tc>
        <w:tc>
          <w:tcPr>
            <w:tcW w:w="1080"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权重</w:t>
            </w:r>
          </w:p>
        </w:tc>
        <w:tc>
          <w:tcPr>
            <w:tcW w:w="1080"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目标值</w:t>
            </w:r>
          </w:p>
        </w:tc>
        <w:tc>
          <w:tcPr>
            <w:tcW w:w="1080"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w:t>
            </w:r>
          </w:p>
        </w:tc>
        <w:tc>
          <w:tcPr>
            <w:tcW w:w="1190"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w:t>
            </w:r>
          </w:p>
        </w:tc>
        <w:tc>
          <w:tcPr>
            <w:tcW w:w="3188"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实际完成率</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10</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100%</w:t>
            </w:r>
          </w:p>
        </w:tc>
        <w:tc>
          <w:tcPr>
            <w:tcW w:w="108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8.94</w:t>
            </w:r>
          </w:p>
        </w:tc>
        <w:tc>
          <w:tcPr>
            <w:tcW w:w="119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89.40%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2</w:t>
            </w:r>
          </w:p>
        </w:tc>
        <w:tc>
          <w:tcPr>
            <w:tcW w:w="3188"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质量达标率</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10</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100%</w:t>
            </w:r>
          </w:p>
        </w:tc>
        <w:tc>
          <w:tcPr>
            <w:tcW w:w="108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9.58</w:t>
            </w:r>
          </w:p>
        </w:tc>
        <w:tc>
          <w:tcPr>
            <w:tcW w:w="119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95.80%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3</w:t>
            </w:r>
          </w:p>
        </w:tc>
        <w:tc>
          <w:tcPr>
            <w:tcW w:w="3188"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完成及时性</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5</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及时</w:t>
            </w:r>
          </w:p>
        </w:tc>
        <w:tc>
          <w:tcPr>
            <w:tcW w:w="108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5.00</w:t>
            </w:r>
          </w:p>
        </w:tc>
        <w:tc>
          <w:tcPr>
            <w:tcW w:w="119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100.00%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4</w:t>
            </w:r>
          </w:p>
        </w:tc>
        <w:tc>
          <w:tcPr>
            <w:tcW w:w="3188"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成本节约率</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5</w:t>
            </w:r>
          </w:p>
        </w:tc>
        <w:tc>
          <w:tcPr>
            <w:tcW w:w="1080" w:type="dxa"/>
            <w:tcBorders>
              <w:tl2br w:val="nil"/>
              <w:tr2bl w:val="nil"/>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达标</w:t>
            </w:r>
          </w:p>
        </w:tc>
        <w:tc>
          <w:tcPr>
            <w:tcW w:w="108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3.50</w:t>
            </w:r>
          </w:p>
        </w:tc>
        <w:tc>
          <w:tcPr>
            <w:tcW w:w="1190" w:type="dxa"/>
            <w:tcBorders>
              <w:tl2br w:val="nil"/>
              <w:tr2bl w:val="nil"/>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70.00%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　</w:t>
            </w:r>
          </w:p>
        </w:tc>
        <w:tc>
          <w:tcPr>
            <w:tcW w:w="3188" w:type="dxa"/>
            <w:tcBorders>
              <w:tl2br w:val="nil"/>
              <w:tr2bl w:val="nil"/>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分值合计</w:t>
            </w:r>
          </w:p>
        </w:tc>
        <w:tc>
          <w:tcPr>
            <w:tcW w:w="1080" w:type="dxa"/>
            <w:tcBorders>
              <w:tl2br w:val="nil"/>
              <w:tr2bl w:val="nil"/>
            </w:tcBorders>
            <w:shd w:val="clear" w:color="auto" w:fill="auto"/>
            <w:vAlign w:val="center"/>
          </w:tcPr>
          <w:p>
            <w:pPr>
              <w:jc w:val="center"/>
              <w:rPr>
                <w:rFonts w:ascii="仿宋" w:hAnsi="仿宋" w:eastAsia="仿宋" w:cs="宋体"/>
                <w:b/>
                <w:bCs/>
                <w:sz w:val="24"/>
                <w:szCs w:val="24"/>
              </w:rPr>
            </w:pPr>
            <w:r>
              <w:rPr>
                <w:rFonts w:hint="eastAsia" w:ascii="仿宋" w:hAnsi="仿宋" w:eastAsia="仿宋" w:cs="宋体"/>
                <w:b/>
                <w:bCs/>
                <w:sz w:val="24"/>
                <w:szCs w:val="24"/>
              </w:rPr>
              <w:t>30</w:t>
            </w:r>
          </w:p>
        </w:tc>
        <w:tc>
          <w:tcPr>
            <w:tcW w:w="1080" w:type="dxa"/>
            <w:tcBorders>
              <w:tl2br w:val="nil"/>
              <w:tr2bl w:val="nil"/>
            </w:tcBorders>
            <w:shd w:val="clear" w:color="auto" w:fill="auto"/>
            <w:vAlign w:val="center"/>
          </w:tcPr>
          <w:p>
            <w:pPr>
              <w:jc w:val="center"/>
              <w:rPr>
                <w:rFonts w:ascii="仿宋" w:hAnsi="仿宋" w:eastAsia="仿宋" w:cs="宋体"/>
                <w:b/>
                <w:bCs/>
                <w:sz w:val="24"/>
                <w:szCs w:val="24"/>
              </w:rPr>
            </w:pPr>
          </w:p>
        </w:tc>
        <w:tc>
          <w:tcPr>
            <w:tcW w:w="1080" w:type="dxa"/>
            <w:tcBorders>
              <w:tl2br w:val="nil"/>
              <w:tr2bl w:val="nil"/>
            </w:tcBorders>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27.02</w:t>
            </w:r>
          </w:p>
        </w:tc>
        <w:tc>
          <w:tcPr>
            <w:tcW w:w="1190" w:type="dxa"/>
            <w:tcBorders>
              <w:tl2br w:val="nil"/>
              <w:tr2bl w:val="nil"/>
            </w:tcBorders>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90.07%</w:t>
            </w:r>
          </w:p>
        </w:tc>
      </w:tr>
    </w:tbl>
    <w:p>
      <w:pPr>
        <w:spacing w:line="600" w:lineRule="exact"/>
        <w:ind w:firstLine="640" w:firstLineChars="200"/>
        <w:rPr>
          <w:rFonts w:ascii="仿宋" w:hAnsi="仿宋" w:eastAsia="仿宋" w:cs="仿宋"/>
          <w:sz w:val="32"/>
          <w:szCs w:val="32"/>
        </w:rPr>
      </w:pPr>
      <w:bookmarkStart w:id="94" w:name="_Toc5885"/>
      <w:bookmarkStart w:id="95" w:name="_Toc30363"/>
      <w:bookmarkStart w:id="96" w:name="_Toc12068"/>
      <w:bookmarkStart w:id="97" w:name="_Toc23579"/>
      <w:bookmarkStart w:id="98" w:name="_Toc371"/>
      <w:bookmarkStart w:id="99" w:name="_Toc25502"/>
      <w:bookmarkStart w:id="100" w:name="_Toc77203362"/>
      <w:r>
        <w:rPr>
          <w:rFonts w:hint="eastAsia" w:ascii="仿宋" w:hAnsi="仿宋" w:eastAsia="仿宋" w:cs="仿宋"/>
          <w:sz w:val="32"/>
          <w:szCs w:val="32"/>
        </w:rPr>
        <w:t>1.产出数量</w:t>
      </w:r>
      <w:bookmarkEnd w:id="94"/>
      <w:bookmarkEnd w:id="95"/>
      <w:bookmarkEnd w:id="96"/>
      <w:bookmarkEnd w:id="97"/>
      <w:bookmarkEnd w:id="98"/>
      <w:bookmarkEnd w:id="99"/>
      <w:bookmarkEnd w:id="100"/>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项目产出数量均完成了设定的指标值，但个别出现较大的正偏差，且与设定的指标值口径不一致。</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该项指标权重10分，根据评分规则评价得分8.94分。</w:t>
      </w:r>
    </w:p>
    <w:p>
      <w:pPr>
        <w:spacing w:line="600" w:lineRule="exact"/>
        <w:ind w:firstLine="640" w:firstLineChars="200"/>
        <w:rPr>
          <w:rFonts w:ascii="仿宋" w:hAnsi="仿宋" w:eastAsia="仿宋" w:cs="仿宋"/>
          <w:sz w:val="32"/>
          <w:szCs w:val="32"/>
        </w:rPr>
      </w:pPr>
      <w:bookmarkStart w:id="101" w:name="_Toc77203363"/>
      <w:bookmarkStart w:id="102" w:name="_Toc384"/>
      <w:bookmarkStart w:id="103" w:name="_Toc7442"/>
      <w:bookmarkStart w:id="104" w:name="_Toc27027"/>
      <w:bookmarkStart w:id="105" w:name="_Toc29327"/>
      <w:r>
        <w:rPr>
          <w:rFonts w:hint="eastAsia" w:ascii="仿宋" w:hAnsi="仿宋" w:eastAsia="仿宋" w:cs="仿宋"/>
          <w:sz w:val="32"/>
          <w:szCs w:val="32"/>
        </w:rPr>
        <w:t>2.项目效率性分析</w:t>
      </w:r>
      <w:bookmarkEnd w:id="101"/>
      <w:bookmarkEnd w:id="102"/>
      <w:bookmarkEnd w:id="103"/>
      <w:bookmarkEnd w:id="104"/>
      <w:bookmarkEnd w:id="105"/>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（1）项目完成质量</w:t>
      </w:r>
    </w:p>
    <w:p>
      <w:pPr>
        <w:kinsoku/>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项目预算年度内按照合同约定完成上年合同验收、本年合同验收和跨年合同半年验收，验收均合格。但验收完整性不足，缺少服务质量和运维人数等具体内容要求的验收，个别存在质量差异未提供说明。</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该项指标权重10分，根据评分规则评价得分9.58分。</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（2）项目的实施进度</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预算年度内，项目2024年1-4月完成了运维合同尾款98万元及合同验收，完成2024年1月12日至5月11日的远程审判系统运维服务合同9.9万元的付款和验收；2024年5月完成了第一包和第二包的公开招标工作，并签订了两份跨年合同，根据合同约定于2024年12月完成第一包和第二包合同的半年度验收。2025年5月中旬完成了第一包、第二包合同结束后验收。项目实施进度符合合同要求。</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该项指标权重5分，根据评分规则评价得分5分。</w:t>
      </w:r>
    </w:p>
    <w:p>
      <w:pPr>
        <w:spacing w:line="600" w:lineRule="exact"/>
        <w:ind w:firstLine="640" w:firstLineChars="200"/>
        <w:rPr>
          <w:rFonts w:ascii="仿宋" w:hAnsi="仿宋" w:eastAsia="仿宋" w:cs="仿宋"/>
          <w:sz w:val="32"/>
          <w:szCs w:val="32"/>
        </w:rPr>
      </w:pPr>
      <w:bookmarkStart w:id="106" w:name="_Toc1484"/>
      <w:bookmarkStart w:id="107" w:name="_Toc18244"/>
      <w:bookmarkStart w:id="108" w:name="_Toc32143"/>
      <w:bookmarkStart w:id="109" w:name="_Toc4559"/>
      <w:bookmarkStart w:id="110" w:name="_Toc25211"/>
      <w:bookmarkStart w:id="111" w:name="_Toc77203364"/>
      <w:bookmarkStart w:id="112" w:name="_Toc14040"/>
      <w:r>
        <w:rPr>
          <w:rFonts w:hint="eastAsia" w:ascii="仿宋" w:hAnsi="仿宋" w:eastAsia="仿宋" w:cs="仿宋"/>
          <w:sz w:val="32"/>
          <w:szCs w:val="32"/>
        </w:rPr>
        <w:t>3.项目产出成本</w:t>
      </w:r>
      <w:bookmarkEnd w:id="106"/>
      <w:bookmarkEnd w:id="107"/>
      <w:bookmarkEnd w:id="108"/>
      <w:bookmarkEnd w:id="109"/>
      <w:bookmarkEnd w:id="110"/>
      <w:bookmarkEnd w:id="111"/>
      <w:bookmarkEnd w:id="112"/>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 xml:space="preserve">2024年项目预算371万元，签订的第一包、第二包跨年合同合计370万元，产出成本节约1万元。远程审判系统运维服务2023年、2024年1月12至5月11日、2024年5月12日至2025年5月11日月均运维成本分别为2.48125万元、2.475万元、2.46万元，月均运维成本呈下降趋势，远程审判系统运维成本控制有效；信息化运维部分月均运维成本2023年、2024年分别为25.3125万元、28.375万元，2024年比2023年月均运维成本增加了3.0625万元，增加的原因主要是2024年新增了审判实体资源管理系统建设项目和增租审判业务用房弱电信息化建设项目的运维费，且未超过投资额10%，但未提供对应的运维费预算明细、预算评审资料，项目成本控制措施不够清晰明确。 </w:t>
      </w:r>
    </w:p>
    <w:p>
      <w:pPr>
        <w:spacing w:line="60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该项指标权重分5分，根据评分规则评价得分3.50分。</w:t>
      </w:r>
      <w:bookmarkEnd w:id="93"/>
    </w:p>
    <w:p>
      <w:pPr>
        <w:pStyle w:val="3"/>
        <w:numPr>
          <w:ilvl w:val="0"/>
          <w:numId w:val="6"/>
        </w:numPr>
        <w:spacing w:line="600" w:lineRule="exact"/>
        <w:rPr>
          <w:rFonts w:ascii="楷体" w:hAnsi="楷体" w:eastAsia="楷体" w:cs="楷体"/>
          <w:b w:val="0"/>
          <w:bCs/>
        </w:rPr>
      </w:pPr>
      <w:bookmarkStart w:id="113" w:name="_Toc24828"/>
      <w:bookmarkStart w:id="114" w:name="_Toc27838"/>
      <w:bookmarkStart w:id="115" w:name="_Toc21899"/>
      <w:bookmarkStart w:id="116" w:name="_Toc5630"/>
      <w:bookmarkStart w:id="117" w:name="_Toc8191"/>
      <w:bookmarkStart w:id="118" w:name="_Toc7232"/>
      <w:r>
        <w:rPr>
          <w:rFonts w:hint="eastAsia" w:ascii="楷体" w:hAnsi="楷体" w:eastAsia="楷体" w:cs="楷体"/>
          <w:b w:val="0"/>
          <w:bCs/>
        </w:rPr>
        <w:t>项目效益情况</w:t>
      </w:r>
      <w:bookmarkEnd w:id="113"/>
      <w:bookmarkEnd w:id="114"/>
      <w:bookmarkEnd w:id="115"/>
      <w:bookmarkEnd w:id="116"/>
      <w:bookmarkEnd w:id="117"/>
      <w:bookmarkEnd w:id="118"/>
    </w:p>
    <w:p>
      <w:pPr>
        <w:spacing w:line="600" w:lineRule="exact"/>
        <w:ind w:firstLine="640" w:firstLineChars="200"/>
        <w:jc w:val="both"/>
        <w:rPr>
          <w:rFonts w:ascii="仿宋" w:hAnsi="仿宋" w:eastAsia="仿宋" w:cs="仿宋"/>
          <w:sz w:val="32"/>
          <w:szCs w:val="32"/>
        </w:rPr>
      </w:pPr>
      <w:bookmarkStart w:id="119" w:name="_Toc12795"/>
      <w:r>
        <w:rPr>
          <w:rFonts w:hint="eastAsia" w:ascii="仿宋" w:hAnsi="仿宋" w:eastAsia="仿宋" w:cs="仿宋"/>
          <w:sz w:val="32"/>
          <w:szCs w:val="32"/>
        </w:rPr>
        <w:t>效益部分从实施效益和服务对象满意度两个方面三个三级指标对项目进行考察，其中实施效益包括社会效益和可持续影响两个指标。效益类指标共计30分，本项目实际得分26.28分，得分率87.60%。各指标的实际得分情况如下表：</w:t>
      </w:r>
    </w:p>
    <w:tbl>
      <w:tblPr>
        <w:tblStyle w:val="16"/>
        <w:tblW w:w="8379"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080"/>
        <w:gridCol w:w="2763"/>
        <w:gridCol w:w="1080"/>
        <w:gridCol w:w="1080"/>
        <w:gridCol w:w="1080"/>
        <w:gridCol w:w="129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序号</w:t>
            </w:r>
          </w:p>
        </w:tc>
        <w:tc>
          <w:tcPr>
            <w:tcW w:w="2763"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三级指标内容</w:t>
            </w:r>
          </w:p>
        </w:tc>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权重</w:t>
            </w:r>
          </w:p>
        </w:tc>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目标值</w:t>
            </w:r>
          </w:p>
        </w:tc>
        <w:tc>
          <w:tcPr>
            <w:tcW w:w="1080"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w:t>
            </w:r>
          </w:p>
        </w:tc>
        <w:tc>
          <w:tcPr>
            <w:tcW w:w="1296" w:type="dxa"/>
            <w:tcBorders>
              <w:top w:val="single" w:color="auto" w:sz="12" w:space="0"/>
              <w:bottom w:val="single" w:color="auto" w:sz="6" w:space="0"/>
            </w:tcBorders>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得分率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tcBorders>
              <w:top w:val="single" w:color="auto" w:sz="6" w:space="0"/>
            </w:tcBorders>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w:t>
            </w:r>
          </w:p>
        </w:tc>
        <w:tc>
          <w:tcPr>
            <w:tcW w:w="2763" w:type="dxa"/>
            <w:tcBorders>
              <w:top w:val="single" w:color="auto" w:sz="6"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实施效益</w:t>
            </w:r>
          </w:p>
        </w:tc>
        <w:tc>
          <w:tcPr>
            <w:tcW w:w="1080" w:type="dxa"/>
            <w:tcBorders>
              <w:top w:val="single" w:color="auto" w:sz="6"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10</w:t>
            </w:r>
          </w:p>
        </w:tc>
        <w:tc>
          <w:tcPr>
            <w:tcW w:w="1080" w:type="dxa"/>
            <w:tcBorders>
              <w:top w:val="single" w:color="auto" w:sz="6"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100%</w:t>
            </w:r>
          </w:p>
        </w:tc>
        <w:tc>
          <w:tcPr>
            <w:tcW w:w="1080" w:type="dxa"/>
            <w:tcBorders>
              <w:top w:val="single" w:color="auto" w:sz="6"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8.88</w:t>
            </w:r>
          </w:p>
        </w:tc>
        <w:tc>
          <w:tcPr>
            <w:tcW w:w="1296" w:type="dxa"/>
            <w:tcBorders>
              <w:top w:val="single" w:color="auto" w:sz="6" w:space="0"/>
            </w:tcBorders>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88.80%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70" w:hRule="atLeast"/>
        </w:trPr>
        <w:tc>
          <w:tcPr>
            <w:tcW w:w="1080" w:type="dxa"/>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2</w:t>
            </w:r>
          </w:p>
        </w:tc>
        <w:tc>
          <w:tcPr>
            <w:tcW w:w="2763" w:type="dxa"/>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满意度</w:t>
            </w:r>
          </w:p>
        </w:tc>
        <w:tc>
          <w:tcPr>
            <w:tcW w:w="1080" w:type="dxa"/>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20</w:t>
            </w:r>
          </w:p>
        </w:tc>
        <w:tc>
          <w:tcPr>
            <w:tcW w:w="1080" w:type="dxa"/>
            <w:shd w:val="clear" w:color="auto" w:fill="auto"/>
            <w:vAlign w:val="center"/>
          </w:tcPr>
          <w:p>
            <w:pPr>
              <w:jc w:val="center"/>
              <w:rPr>
                <w:rFonts w:ascii="仿宋" w:hAnsi="仿宋" w:eastAsia="仿宋" w:cs="宋体"/>
                <w:sz w:val="24"/>
                <w:szCs w:val="24"/>
              </w:rPr>
            </w:pPr>
            <w:r>
              <w:rPr>
                <w:rFonts w:hint="eastAsia" w:ascii="仿宋" w:hAnsi="仿宋" w:eastAsia="仿宋" w:cs="宋体"/>
                <w:sz w:val="24"/>
                <w:szCs w:val="24"/>
              </w:rPr>
              <w:t>100%</w:t>
            </w:r>
          </w:p>
        </w:tc>
        <w:tc>
          <w:tcPr>
            <w:tcW w:w="1080" w:type="dxa"/>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17.40</w:t>
            </w:r>
          </w:p>
        </w:tc>
        <w:tc>
          <w:tcPr>
            <w:tcW w:w="1296" w:type="dxa"/>
            <w:shd w:val="clear" w:color="auto" w:fill="auto"/>
            <w:vAlign w:val="center"/>
          </w:tcPr>
          <w:p>
            <w:pPr>
              <w:jc w:val="center"/>
              <w:textAlignment w:val="center"/>
              <w:rPr>
                <w:rFonts w:ascii="仿宋" w:hAnsi="仿宋" w:eastAsia="仿宋" w:cs="宋体"/>
                <w:sz w:val="24"/>
                <w:szCs w:val="24"/>
              </w:rPr>
            </w:pPr>
            <w:r>
              <w:rPr>
                <w:rFonts w:hint="eastAsia" w:ascii="仿宋" w:hAnsi="仿宋" w:eastAsia="仿宋" w:cs="仿宋"/>
                <w:sz w:val="24"/>
                <w:szCs w:val="24"/>
              </w:rPr>
              <w:t>87.00%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285" w:hRule="atLeast"/>
        </w:trPr>
        <w:tc>
          <w:tcPr>
            <w:tcW w:w="1080" w:type="dxa"/>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　</w:t>
            </w:r>
          </w:p>
        </w:tc>
        <w:tc>
          <w:tcPr>
            <w:tcW w:w="2763" w:type="dxa"/>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分值合计</w:t>
            </w:r>
          </w:p>
        </w:tc>
        <w:tc>
          <w:tcPr>
            <w:tcW w:w="1080" w:type="dxa"/>
            <w:shd w:val="clear" w:color="auto" w:fill="auto"/>
            <w:vAlign w:val="center"/>
          </w:tcPr>
          <w:p>
            <w:pPr>
              <w:jc w:val="center"/>
              <w:rPr>
                <w:rFonts w:ascii="仿宋" w:hAnsi="仿宋" w:eastAsia="仿宋" w:cs="宋体"/>
                <w:b/>
                <w:sz w:val="24"/>
                <w:szCs w:val="24"/>
              </w:rPr>
            </w:pPr>
            <w:r>
              <w:rPr>
                <w:rFonts w:hint="eastAsia" w:ascii="仿宋" w:hAnsi="仿宋" w:eastAsia="仿宋" w:cs="宋体"/>
                <w:b/>
                <w:sz w:val="24"/>
                <w:szCs w:val="24"/>
              </w:rPr>
              <w:t>30</w:t>
            </w:r>
          </w:p>
        </w:tc>
        <w:tc>
          <w:tcPr>
            <w:tcW w:w="1080" w:type="dxa"/>
            <w:shd w:val="clear" w:color="auto" w:fill="auto"/>
            <w:vAlign w:val="center"/>
          </w:tcPr>
          <w:p>
            <w:pPr>
              <w:rPr>
                <w:rFonts w:ascii="仿宋" w:hAnsi="仿宋" w:eastAsia="仿宋" w:cs="宋体"/>
                <w:b/>
                <w:sz w:val="24"/>
                <w:szCs w:val="24"/>
              </w:rPr>
            </w:pPr>
            <w:r>
              <w:rPr>
                <w:rFonts w:hint="eastAsia" w:ascii="仿宋" w:hAnsi="仿宋" w:eastAsia="仿宋" w:cs="宋体"/>
                <w:b/>
                <w:sz w:val="24"/>
                <w:szCs w:val="24"/>
              </w:rPr>
              <w:t>　</w:t>
            </w:r>
          </w:p>
        </w:tc>
        <w:tc>
          <w:tcPr>
            <w:tcW w:w="1080" w:type="dxa"/>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26.28</w:t>
            </w:r>
          </w:p>
        </w:tc>
        <w:tc>
          <w:tcPr>
            <w:tcW w:w="1296" w:type="dxa"/>
            <w:shd w:val="clear" w:color="auto" w:fill="auto"/>
            <w:vAlign w:val="center"/>
          </w:tcPr>
          <w:p>
            <w:pPr>
              <w:jc w:val="center"/>
              <w:textAlignment w:val="center"/>
              <w:rPr>
                <w:rFonts w:ascii="仿宋" w:hAnsi="仿宋" w:eastAsia="仿宋" w:cs="宋体"/>
                <w:b/>
                <w:bCs/>
                <w:sz w:val="24"/>
                <w:szCs w:val="24"/>
              </w:rPr>
            </w:pPr>
            <w:r>
              <w:rPr>
                <w:rFonts w:hint="eastAsia" w:ascii="仿宋" w:hAnsi="仿宋" w:eastAsia="仿宋" w:cs="仿宋"/>
                <w:b/>
                <w:bCs/>
                <w:sz w:val="24"/>
                <w:szCs w:val="24"/>
              </w:rPr>
              <w:t>87.60%</w:t>
            </w:r>
          </w:p>
        </w:tc>
      </w:tr>
    </w:tbl>
    <w:p>
      <w:pPr>
        <w:spacing w:line="600" w:lineRule="exact"/>
        <w:jc w:val="both"/>
        <w:rPr>
          <w:rFonts w:ascii="仿宋" w:hAnsi="仿宋" w:eastAsia="仿宋" w:cs="仿宋"/>
          <w:sz w:val="32"/>
          <w:szCs w:val="32"/>
        </w:rPr>
      </w:pPr>
    </w:p>
    <w:p>
      <w:pPr>
        <w:spacing w:line="600" w:lineRule="exact"/>
        <w:ind w:firstLine="640"/>
        <w:rPr>
          <w:rFonts w:ascii="仿宋" w:hAnsi="仿宋" w:eastAsia="仿宋" w:cs="仿宋"/>
          <w:sz w:val="32"/>
          <w:szCs w:val="32"/>
        </w:rPr>
      </w:pPr>
      <w:r>
        <w:rPr>
          <w:rFonts w:hint="eastAsia" w:ascii="仿宋" w:hAnsi="仿宋" w:eastAsia="仿宋" w:cs="仿宋"/>
          <w:sz w:val="32"/>
          <w:szCs w:val="32"/>
        </w:rPr>
        <w:t>1.实施效益</w:t>
      </w:r>
    </w:p>
    <w:bookmarkEnd w:id="119"/>
    <w:p>
      <w:pPr>
        <w:kinsoku/>
        <w:spacing w:line="600" w:lineRule="exact"/>
        <w:ind w:firstLine="641"/>
        <w:rPr>
          <w:rFonts w:ascii="仿宋" w:hAnsi="仿宋" w:eastAsia="仿宋" w:cs="仿宋"/>
          <w:sz w:val="32"/>
          <w:szCs w:val="32"/>
        </w:rPr>
      </w:pPr>
      <w:r>
        <w:rPr>
          <w:rFonts w:hint="eastAsia" w:ascii="仿宋" w:hAnsi="仿宋" w:eastAsia="仿宋" w:cs="仿宋"/>
          <w:sz w:val="32"/>
          <w:szCs w:val="32"/>
        </w:rPr>
        <w:t>实施效益包括社会效益和可持续性影响。</w:t>
      </w:r>
    </w:p>
    <w:p>
      <w:pPr>
        <w:kinsoku/>
        <w:spacing w:line="600" w:lineRule="exact"/>
        <w:ind w:firstLine="641"/>
        <w:rPr>
          <w:rFonts w:ascii="仿宋" w:hAnsi="仿宋" w:eastAsia="仿宋" w:cs="仿宋"/>
          <w:sz w:val="32"/>
          <w:szCs w:val="32"/>
        </w:rPr>
      </w:pPr>
      <w:r>
        <w:rPr>
          <w:rFonts w:hint="eastAsia" w:ascii="仿宋" w:hAnsi="仿宋" w:eastAsia="仿宋" w:cs="仿宋"/>
          <w:sz w:val="32"/>
          <w:szCs w:val="32"/>
        </w:rPr>
        <w:t>通过本项目的实施，利用外包团队专业化特点与人才优势，保障了知产法院远程审判、云法庭系统以及自助立案系统等各类信息化系统、各类终端全年高效、稳定、安全地运行，整体提升了信息化办公效率，保障了知产法院审判工作及各项工作的顺利进行。</w:t>
      </w:r>
    </w:p>
    <w:p>
      <w:pPr>
        <w:kinsoku/>
        <w:spacing w:line="600" w:lineRule="exact"/>
        <w:ind w:firstLine="641"/>
        <w:rPr>
          <w:rFonts w:ascii="仿宋" w:hAnsi="仿宋" w:eastAsia="仿宋" w:cs="仿宋"/>
          <w:sz w:val="32"/>
          <w:szCs w:val="32"/>
        </w:rPr>
      </w:pPr>
      <w:r>
        <w:rPr>
          <w:rFonts w:hint="eastAsia" w:ascii="仿宋" w:hAnsi="仿宋" w:eastAsia="仿宋" w:cs="仿宋"/>
          <w:sz w:val="32"/>
          <w:szCs w:val="32"/>
        </w:rPr>
        <w:t>2024年外包团队共接待处理问题 23590次；完成日常巡检 、设备间巡检共计1250余次；解决云法庭同步开庭案件、数据质量矫正、电子卷宗未汇聚案件处理、立案系统、审判系统 、电子档案、智汇云、电子卷宗、电子诉讼平台、集约送达一体化平台等应用类问题29007件次；处理各类终端问题13557台次条。配合完成法庭语音识别优化提升工作；配合进行文书自动生成调整优化工作；保障“两会”、“国际开放日”等重大活动的顺利开展。</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在信息化系统的高效、安全、稳定运行的辅助支持下，2024年知产法院审结案件32616件，同比上升7.6％；结收比达到134％，提高社会影响力。法官人均结案480件，审判质效实现历史性转变。</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通过现场维护远程办案系统及移动法庭系统，节约干警出外办案的费用，减少案件当事人的交通成本和时间成本，提高办案效率，对社会产生良好的持续性影响。</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但绩效成果展现不够充分，重“绩”轻“效”，缺少运维的统计分析。</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 xml:space="preserve">该项指标权重分10分，根据评分规则评价得分8.88分。   </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2.满意度方面</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该项目满意度样本占比情况不够清晰，样本量过少。</w:t>
      </w:r>
    </w:p>
    <w:p>
      <w:pPr>
        <w:spacing w:line="600" w:lineRule="exact"/>
        <w:ind w:firstLine="640"/>
        <w:rPr>
          <w:rFonts w:ascii="仿宋" w:hAnsi="仿宋" w:eastAsia="仿宋" w:cs="仿宋"/>
          <w:sz w:val="32"/>
          <w:szCs w:val="32"/>
        </w:rPr>
      </w:pPr>
      <w:r>
        <w:rPr>
          <w:rFonts w:hint="eastAsia" w:ascii="仿宋" w:hAnsi="仿宋" w:eastAsia="仿宋" w:cs="仿宋"/>
          <w:sz w:val="32"/>
          <w:szCs w:val="32"/>
        </w:rPr>
        <w:t>该项指标权重分20分，根据评分规则评价得分17.40分。</w:t>
      </w:r>
    </w:p>
    <w:p>
      <w:pPr>
        <w:pStyle w:val="2"/>
        <w:numPr>
          <w:ilvl w:val="0"/>
          <w:numId w:val="2"/>
        </w:numPr>
        <w:jc w:val="left"/>
      </w:pPr>
      <w:bookmarkStart w:id="120" w:name="_Toc11271"/>
      <w:bookmarkStart w:id="121" w:name="_Toc21196"/>
      <w:bookmarkStart w:id="122" w:name="_Toc15494"/>
      <w:bookmarkStart w:id="123" w:name="_Toc13789"/>
      <w:bookmarkStart w:id="124" w:name="_Toc22484"/>
      <w:bookmarkStart w:id="125" w:name="_Toc25549"/>
      <w:r>
        <w:rPr>
          <w:rFonts w:hint="eastAsia"/>
        </w:rPr>
        <w:t>存在的问题及原因分析</w:t>
      </w:r>
      <w:bookmarkEnd w:id="120"/>
      <w:bookmarkEnd w:id="121"/>
      <w:bookmarkEnd w:id="122"/>
      <w:bookmarkEnd w:id="123"/>
      <w:bookmarkEnd w:id="124"/>
      <w:bookmarkEnd w:id="125"/>
    </w:p>
    <w:p>
      <w:pPr>
        <w:numPr>
          <w:ilvl w:val="0"/>
          <w:numId w:val="7"/>
        </w:numPr>
        <w:spacing w:line="600" w:lineRule="exact"/>
        <w:outlineLvl w:val="1"/>
        <w:rPr>
          <w:rFonts w:ascii="楷体" w:hAnsi="楷体" w:eastAsia="楷体" w:cs="楷体"/>
          <w:bCs/>
          <w:kern w:val="2"/>
          <w:sz w:val="32"/>
          <w:szCs w:val="24"/>
        </w:rPr>
      </w:pPr>
      <w:bookmarkStart w:id="126" w:name="_Toc11659"/>
      <w:bookmarkStart w:id="127" w:name="_Toc14428"/>
      <w:bookmarkStart w:id="128" w:name="_Toc32167"/>
      <w:bookmarkStart w:id="129" w:name="_Toc6237"/>
      <w:bookmarkStart w:id="130" w:name="_Toc24236"/>
      <w:bookmarkStart w:id="131" w:name="_Toc28697"/>
      <w:r>
        <w:rPr>
          <w:rFonts w:hint="eastAsia" w:ascii="楷体" w:hAnsi="楷体" w:eastAsia="楷体" w:cs="楷体"/>
          <w:bCs/>
          <w:kern w:val="2"/>
          <w:sz w:val="32"/>
          <w:szCs w:val="24"/>
        </w:rPr>
        <w:t>项目存在的问题</w:t>
      </w:r>
      <w:bookmarkEnd w:id="126"/>
      <w:bookmarkEnd w:id="127"/>
      <w:bookmarkEnd w:id="128"/>
      <w:bookmarkEnd w:id="129"/>
      <w:bookmarkEnd w:id="130"/>
      <w:bookmarkEnd w:id="131"/>
    </w:p>
    <w:p>
      <w:pPr>
        <w:spacing w:line="600" w:lineRule="exact"/>
        <w:ind w:firstLine="640"/>
        <w:rPr>
          <w:rFonts w:ascii="仿宋" w:hAnsi="仿宋" w:eastAsia="仿宋" w:cs="仿宋"/>
          <w:sz w:val="32"/>
          <w:szCs w:val="32"/>
        </w:rPr>
      </w:pPr>
      <w:r>
        <w:rPr>
          <w:rFonts w:hint="eastAsia" w:ascii="仿宋" w:hAnsi="仿宋" w:eastAsia="仿宋" w:cs="仿宋"/>
          <w:sz w:val="32"/>
          <w:szCs w:val="32"/>
        </w:rPr>
        <w:t>1.决策方面</w:t>
      </w:r>
    </w:p>
    <w:p>
      <w:pPr>
        <w:kinsoku/>
        <w:spacing w:line="600" w:lineRule="exact"/>
        <w:ind w:firstLine="640"/>
        <w:rPr>
          <w:rFonts w:ascii="仿宋" w:hAnsi="仿宋" w:eastAsia="仿宋" w:cs="仿宋"/>
          <w:sz w:val="32"/>
          <w:szCs w:val="32"/>
        </w:rPr>
      </w:pPr>
      <w:r>
        <w:rPr>
          <w:rFonts w:hint="eastAsia" w:ascii="仿宋" w:hAnsi="仿宋" w:eastAsia="仿宋" w:cs="仿宋"/>
          <w:sz w:val="32"/>
          <w:szCs w:val="32"/>
        </w:rPr>
        <w:t>（1）项目未对上期运维分析总结，需求分析和工作量测算内容不够充分。</w:t>
      </w:r>
    </w:p>
    <w:p>
      <w:pPr>
        <w:kinsoku/>
        <w:spacing w:line="600" w:lineRule="exact"/>
        <w:ind w:firstLine="640"/>
        <w:rPr>
          <w:rFonts w:ascii="仿宋" w:hAnsi="仿宋" w:eastAsia="仿宋" w:cs="仿宋"/>
          <w:sz w:val="32"/>
          <w:szCs w:val="32"/>
        </w:rPr>
      </w:pPr>
      <w:r>
        <w:rPr>
          <w:rFonts w:hint="eastAsia" w:ascii="仿宋" w:hAnsi="仿宋" w:eastAsia="仿宋" w:cs="仿宋"/>
          <w:sz w:val="32"/>
          <w:szCs w:val="32"/>
        </w:rPr>
        <w:t>（2）绩效目标和指标设定不够完整、准确。如，数量指标缺少具体的运维系统数量，与通用设备的维护界限不够清晰。设定的经济效益指标：“收结案数量得到提升”，改为社会效益指标更合理。</w:t>
      </w:r>
    </w:p>
    <w:p>
      <w:pPr>
        <w:kinsoku/>
        <w:spacing w:line="600" w:lineRule="exact"/>
        <w:ind w:firstLine="640"/>
        <w:rPr>
          <w:rFonts w:ascii="仿宋" w:hAnsi="仿宋" w:eastAsia="仿宋" w:cs="仿宋"/>
          <w:sz w:val="32"/>
          <w:szCs w:val="32"/>
        </w:rPr>
      </w:pPr>
      <w:r>
        <w:rPr>
          <w:rFonts w:hint="eastAsia" w:ascii="仿宋" w:hAnsi="仿宋" w:eastAsia="仿宋" w:cs="仿宋"/>
          <w:sz w:val="32"/>
          <w:szCs w:val="32"/>
        </w:rPr>
        <w:t>（3）预算编制和依据呈现不够充分。项目预算构成不明，未见近几年的预算评审资料。如，与系统建设投资的匹配性不明确；且2024年运维费用较上年有所增加，未见预算评审。</w:t>
      </w:r>
    </w:p>
    <w:p>
      <w:pPr>
        <w:kinsoku/>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2.过程方面</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实施方案的有效性不足。以运维单位编制的实施方案代替项目单位的实施方案，缺少年度项目实施的具体内容、采购、质量和风险控制、验收要求等信息；未明确项目单位与运维方的职责界限，实施方案有效性不足。</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过程管理信息不够完整和充分。①运维服务巡检资料中“会议保障组、基础环境组”缺少内容。②实际执行与合同约定服务内容对照分析呈现的不够充分。如，投标人员和实际运维人员不一致，相关调整的确认不够明确。③对于发现问题的管控机制不够明晰。对存在的问题如何管控，具体措施需要更加明确。</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3.产出方面</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（1）产出信息呈现的不够充分，且主要指标存在较大的正偏离。</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（2）验收的完整性不足。针对跨年度项目2024年进行了半年执行情况验收，验收主要针对运维内容，缺少服务质量和运维人数等具体内容的要求，需要进一步强化验收的完整性和充分性。</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4.效益方面</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（1）绩效成果展现不够充分。重“绩”轻“效”，缺少设备运行情况、运维服务保障情况、培训、巡检运维工作开展情况等统计分析，缺少与2023年的年度运维比较分析等。</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ascii="仿宋" w:hAnsi="仿宋" w:eastAsia="仿宋" w:cs="仿宋"/>
          <w:bCs/>
          <w:kern w:val="2"/>
          <w:sz w:val="32"/>
          <w:szCs w:val="24"/>
        </w:rPr>
      </w:pPr>
      <w:r>
        <w:rPr>
          <w:rFonts w:hint="eastAsia" w:ascii="仿宋" w:hAnsi="仿宋" w:eastAsia="仿宋" w:cs="仿宋"/>
          <w:sz w:val="32"/>
          <w:szCs w:val="32"/>
        </w:rPr>
        <w:t>（2）满意度调查样本量较少。样本量占比情况不够清晰，从数量看样本量较少。</w:t>
      </w:r>
    </w:p>
    <w:p>
      <w:pPr>
        <w:keepNext w:val="0"/>
        <w:keepLines w:val="0"/>
        <w:pageBreakBefore w:val="0"/>
        <w:widowControl/>
        <w:numPr>
          <w:ilvl w:val="0"/>
          <w:numId w:val="7"/>
        </w:numPr>
        <w:kinsoku w:val="0"/>
        <w:wordWrap/>
        <w:overflowPunct/>
        <w:topLinePunct w:val="0"/>
        <w:autoSpaceDE w:val="0"/>
        <w:autoSpaceDN w:val="0"/>
        <w:bidi w:val="0"/>
        <w:adjustRightInd w:val="0"/>
        <w:snapToGrid w:val="0"/>
        <w:spacing w:line="560" w:lineRule="exact"/>
        <w:textAlignment w:val="baseline"/>
        <w:outlineLvl w:val="1"/>
        <w:rPr>
          <w:rFonts w:ascii="楷体" w:hAnsi="楷体" w:eastAsia="楷体" w:cs="楷体"/>
          <w:bCs/>
          <w:kern w:val="2"/>
          <w:sz w:val="32"/>
          <w:szCs w:val="24"/>
        </w:rPr>
      </w:pPr>
      <w:bookmarkStart w:id="132" w:name="_Toc3302"/>
      <w:bookmarkStart w:id="133" w:name="_Toc31925"/>
      <w:bookmarkStart w:id="134" w:name="_Toc26889"/>
      <w:bookmarkStart w:id="135" w:name="_Toc16079"/>
      <w:bookmarkStart w:id="136" w:name="_Toc4370"/>
      <w:bookmarkStart w:id="137" w:name="_Toc9091"/>
      <w:r>
        <w:rPr>
          <w:rFonts w:hint="eastAsia" w:ascii="楷体" w:hAnsi="楷体" w:eastAsia="楷体" w:cs="楷体"/>
          <w:bCs/>
          <w:kern w:val="2"/>
          <w:sz w:val="32"/>
          <w:szCs w:val="24"/>
        </w:rPr>
        <w:t>原因分析</w:t>
      </w:r>
      <w:bookmarkEnd w:id="132"/>
      <w:bookmarkEnd w:id="133"/>
      <w:bookmarkEnd w:id="134"/>
      <w:bookmarkEnd w:id="135"/>
      <w:bookmarkEnd w:id="136"/>
      <w:bookmarkEnd w:id="137"/>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 w:hAnsi="仿宋" w:eastAsia="仿宋" w:cs="仿宋"/>
          <w:sz w:val="32"/>
          <w:szCs w:val="32"/>
        </w:rPr>
        <w:t>1.关于预算编制和依据呈现不充分的原因分析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eastAsia" w:ascii="仿宋" w:hAnsi="仿宋" w:eastAsia="仿宋" w:cs="仿宋"/>
          <w:sz w:val="32"/>
          <w:szCs w:val="32"/>
        </w:rPr>
      </w:pPr>
      <w:r>
        <w:rPr>
          <w:rFonts w:hint="eastAsia" w:ascii="仿宋" w:hAnsi="仿宋" w:eastAsia="仿宋" w:cs="仿宋"/>
          <w:i w:val="0"/>
          <w:caps w:val="0"/>
          <w:snapToGrid w:val="0"/>
          <w:color w:val="000000"/>
          <w:spacing w:val="0"/>
          <w:kern w:val="0"/>
          <w:sz w:val="32"/>
          <w:szCs w:val="32"/>
          <w:shd w:val="clear" w:color="auto" w:fill="auto"/>
          <w:lang w:val="en-US" w:eastAsia="zh-CN" w:bidi="ar"/>
        </w:rPr>
        <w:t>知产法院建院之初至2022年每年预算一直沿用建设之初的信息化建设规模核定的运维费预算304万元。随着部分信息化升级改造项目投入使用，信息化建设规模增加，至2023年信息化运行维护费对应增加到371万元。</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2.关于满意度的原因分析</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仿宋_GB2312" w:hAnsi="宋体" w:eastAsia="仿宋_GB2312" w:cs="宋体"/>
          <w:sz w:val="32"/>
          <w:szCs w:val="32"/>
        </w:rPr>
      </w:pPr>
      <w:r>
        <w:rPr>
          <w:rFonts w:hint="eastAsia" w:ascii="仿宋" w:hAnsi="仿宋" w:eastAsia="仿宋" w:cs="仿宋"/>
          <w:sz w:val="32"/>
          <w:szCs w:val="32"/>
        </w:rPr>
        <w:t xml:space="preserve">    满意度调查样本量低、占比不清晰问题，今后要提高对满意度的重视程度，加强满意度分析，以此作为改进工</w:t>
      </w:r>
      <w:bookmarkStart w:id="143" w:name="_GoBack"/>
      <w:bookmarkEnd w:id="143"/>
      <w:r>
        <w:rPr>
          <w:rFonts w:hint="eastAsia" w:ascii="仿宋" w:hAnsi="仿宋" w:eastAsia="仿宋" w:cs="仿宋"/>
          <w:sz w:val="32"/>
          <w:szCs w:val="32"/>
        </w:rPr>
        <w:t>作的契机，更好促进网络运维外包服务工作。</w:t>
      </w:r>
      <w:r>
        <w:rPr>
          <w:rFonts w:hint="eastAsia" w:ascii="仿宋_GB2312" w:hAnsi="宋体" w:eastAsia="仿宋_GB2312" w:cs="宋体"/>
          <w:sz w:val="32"/>
          <w:szCs w:val="32"/>
        </w:rPr>
        <w:t xml:space="preserve">   </w:t>
      </w:r>
    </w:p>
    <w:p>
      <w:pPr>
        <w:pStyle w:val="2"/>
        <w:numPr>
          <w:ilvl w:val="0"/>
          <w:numId w:val="2"/>
        </w:numPr>
        <w:spacing w:line="240" w:lineRule="auto"/>
        <w:jc w:val="left"/>
      </w:pPr>
      <w:bookmarkStart w:id="138" w:name="_Toc5375"/>
      <w:bookmarkStart w:id="139" w:name="_Toc14751"/>
      <w:bookmarkStart w:id="140" w:name="_Toc7433"/>
      <w:bookmarkStart w:id="141" w:name="_Toc31912"/>
      <w:bookmarkStart w:id="142" w:name="_Toc24871"/>
      <w:r>
        <w:t>有关建议</w:t>
      </w:r>
      <w:bookmarkEnd w:id="138"/>
      <w:bookmarkEnd w:id="139"/>
      <w:bookmarkEnd w:id="140"/>
      <w:bookmarkEnd w:id="141"/>
      <w:bookmarkEnd w:id="142"/>
    </w:p>
    <w:p>
      <w:pPr>
        <w:spacing w:line="600" w:lineRule="exact"/>
        <w:ind w:firstLine="640" w:firstLineChars="200"/>
        <w:rPr>
          <w:rFonts w:ascii="仿宋" w:hAnsi="仿宋" w:eastAsia="仿宋" w:cs="仿宋"/>
          <w:snapToGrid/>
          <w:sz w:val="32"/>
          <w:szCs w:val="32"/>
        </w:rPr>
      </w:pPr>
      <w:r>
        <w:rPr>
          <w:rFonts w:hint="eastAsia" w:ascii="仿宋" w:hAnsi="仿宋" w:eastAsia="仿宋" w:cs="仿宋"/>
          <w:sz w:val="32"/>
          <w:szCs w:val="32"/>
        </w:rPr>
        <w:t>1.作为延续性项目，应关注项目的整体性和计划性；关注上年运维结果分析，为下年运维提供依据。</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2.注重绩效指标设定的准确和完整性。绩效指标设定时要注意与维护台账数量一致，避免口径不一致导致重大偏差。</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根据2024年2月《北京市市级政府购买服务预算绩效管理办法》“第十条 政府购买服务项目绩效目标应细化、量化政府购买服务数量、质量、时效、成本、效益和服务对象满意度等绩效指标内容，并在政府购买服务合同或购买公告中予以明确。其中，质量标准应由项目实施单位依据计划标准、行业标准、历史标准或其他标准设立。若项目单位未设定质量指标或设定不合理，应列示行业公认标准或国家有关标准”，未来在项目购买服务和签订服务合同时应关注本项要求。</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3.对项目预算进行成本测算，合理控制项目预算。财政预算编制要求实行“零基预算”，作为跨年度项目，应关注项目年度预算与任务期的匹配性。</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4.过程管理方面，提高实施方案的编制水平，强化项目过程管理，加大对第三方的监管，保障政府购买服务的效能。根据《北京市级部门委托外包预算管理办法》要求，政府购买服务的部门需要履行内部决策，应予以关注。</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6.重视产出信息呈现的充分性和指标的一致性，重视验收的完整性。</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7.重视效果呈现，加强设备运行情况、运维服务保障情况、培训、巡检运维工作开展情况等统计分析，注重与上年的比较分析。</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8.重视满意度调查与分析。</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其他需要说明的问题</w:t>
      </w:r>
    </w:p>
    <w:p>
      <w:pPr>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Arial Narrow">
    <w:panose1 w:val="020B0606020202030204"/>
    <w:charset w:val="00"/>
    <w:family w:val="swiss"/>
    <w:pitch w:val="default"/>
    <w:sig w:usb0="00000287" w:usb1="00000800" w:usb2="00000000" w:usb3="00000000" w:csb0="2000009F" w:csb1="DFD70000"/>
  </w:font>
  <w:font w:name="方正小标宋_GBK">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方正公文仿宋">
    <w:altName w:val="Microsoft YaHei UI"/>
    <w:panose1 w:val="00000000000000000000"/>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A0000287" w:usb1="28CF3C52" w:usb2="00000016" w:usb3="00000000" w:csb0="0004001F" w:csb1="00000000"/>
  </w:font>
  <w:font w:name="Microsoft YaHei UI">
    <w:panose1 w:val="020B0503020204020204"/>
    <w:charset w:val="86"/>
    <w:family w:val="auto"/>
    <w:pitch w:val="default"/>
    <w:sig w:usb0="A0000287" w:usb1="28CF3C52" w:usb2="00000016" w:usb3="00000000" w:csb0="0004001F" w:csb1="00000000"/>
  </w:font>
  <w:font w:name="Segoe UI">
    <w:panose1 w:val="020B0502040204020203"/>
    <w:charset w:val="00"/>
    <w:family w:val="auto"/>
    <w:pitch w:val="default"/>
    <w:sig w:usb0="E4002EFF" w:usb1="C000E47F" w:usb2="00000009" w:usb3="00000000" w:csb0="200001FF" w:csb1="00000000"/>
  </w:font>
  <w:font w:name="方正宋体S-超大字符集">
    <w:panose1 w:val="02000000000000000000"/>
    <w:charset w:val="86"/>
    <w:family w:val="auto"/>
    <w:pitch w:val="default"/>
    <w:sig w:usb0="00000001" w:usb1="08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CESI小标宋-GB2312">
    <w:panose1 w:val="02000500000000000000"/>
    <w:charset w:val="86"/>
    <w:family w:val="auto"/>
    <w:pitch w:val="default"/>
    <w:sig w:usb0="800002AF" w:usb1="084F6CF8" w:usb2="00000010" w:usb3="00000000" w:csb0="0004000F"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9ABF2F"/>
    <w:multiLevelType w:val="singleLevel"/>
    <w:tmpl w:val="BB9ABF2F"/>
    <w:lvl w:ilvl="0" w:tentative="0">
      <w:start w:val="1"/>
      <w:numFmt w:val="decimal"/>
      <w:suff w:val="nothing"/>
      <w:lvlText w:val="（%1）"/>
      <w:lvlJc w:val="left"/>
    </w:lvl>
  </w:abstractNum>
  <w:abstractNum w:abstractNumId="1">
    <w:nsid w:val="EEED6B6A"/>
    <w:multiLevelType w:val="singleLevel"/>
    <w:tmpl w:val="EEED6B6A"/>
    <w:lvl w:ilvl="0" w:tentative="0">
      <w:start w:val="1"/>
      <w:numFmt w:val="decimal"/>
      <w:suff w:val="nothing"/>
      <w:lvlText w:val="%1．"/>
      <w:lvlJc w:val="left"/>
      <w:pPr>
        <w:ind w:left="0" w:firstLine="400"/>
      </w:pPr>
      <w:rPr>
        <w:rFonts w:hint="default"/>
      </w:rPr>
    </w:lvl>
  </w:abstractNum>
  <w:abstractNum w:abstractNumId="2">
    <w:nsid w:val="2E8699AA"/>
    <w:multiLevelType w:val="singleLevel"/>
    <w:tmpl w:val="2E8699AA"/>
    <w:lvl w:ilvl="0" w:tentative="0">
      <w:start w:val="1"/>
      <w:numFmt w:val="chineseCounting"/>
      <w:suff w:val="nothing"/>
      <w:lvlText w:val="%1、"/>
      <w:lvlJc w:val="left"/>
      <w:pPr>
        <w:ind w:left="0" w:firstLine="420"/>
      </w:pPr>
      <w:rPr>
        <w:rFonts w:hint="eastAsia"/>
        <w:lang w:val="en-US"/>
      </w:rPr>
    </w:lvl>
  </w:abstractNum>
  <w:abstractNum w:abstractNumId="3">
    <w:nsid w:val="2F19A73A"/>
    <w:multiLevelType w:val="singleLevel"/>
    <w:tmpl w:val="2F19A73A"/>
    <w:lvl w:ilvl="0" w:tentative="0">
      <w:start w:val="1"/>
      <w:numFmt w:val="chineseCounting"/>
      <w:suff w:val="nothing"/>
      <w:lvlText w:val="（%1）"/>
      <w:lvlJc w:val="left"/>
      <w:pPr>
        <w:ind w:left="0" w:firstLine="420"/>
      </w:pPr>
      <w:rPr>
        <w:rFonts w:hint="eastAsia"/>
      </w:rPr>
    </w:lvl>
  </w:abstractNum>
  <w:abstractNum w:abstractNumId="4">
    <w:nsid w:val="4458BDEC"/>
    <w:multiLevelType w:val="singleLevel"/>
    <w:tmpl w:val="4458BDEC"/>
    <w:lvl w:ilvl="0" w:tentative="0">
      <w:start w:val="1"/>
      <w:numFmt w:val="chineseCounting"/>
      <w:suff w:val="nothing"/>
      <w:lvlText w:val="（%1）"/>
      <w:lvlJc w:val="left"/>
      <w:pPr>
        <w:ind w:left="0" w:firstLine="420"/>
      </w:pPr>
      <w:rPr>
        <w:rFonts w:hint="eastAsia"/>
      </w:rPr>
    </w:lvl>
  </w:abstractNum>
  <w:abstractNum w:abstractNumId="5">
    <w:nsid w:val="471806C7"/>
    <w:multiLevelType w:val="multilevel"/>
    <w:tmpl w:val="471806C7"/>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abstractNum w:abstractNumId="6">
    <w:nsid w:val="7FCA949B"/>
    <w:multiLevelType w:val="singleLevel"/>
    <w:tmpl w:val="7FCA949B"/>
    <w:lvl w:ilvl="0" w:tentative="0">
      <w:start w:val="1"/>
      <w:numFmt w:val="chineseCounting"/>
      <w:suff w:val="nothing"/>
      <w:lvlText w:val="（%1）"/>
      <w:lvlJc w:val="left"/>
      <w:pPr>
        <w:ind w:left="0" w:firstLine="420"/>
      </w:pPr>
      <w:rPr>
        <w:rFonts w:hint="eastAsia"/>
      </w:rPr>
    </w:lvl>
  </w:abstractNum>
  <w:num w:numId="1">
    <w:abstractNumId w:val="5"/>
  </w:num>
  <w:num w:numId="2">
    <w:abstractNumId w:val="2"/>
  </w:num>
  <w:num w:numId="3">
    <w:abstractNumId w:val="3"/>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lOWIxODA5ZTg3YjJiOGNhYWJiMDQwMjZlZjRjODYifQ=="/>
  </w:docVars>
  <w:rsids>
    <w:rsidRoot w:val="00FD4620"/>
    <w:rsid w:val="00022ED3"/>
    <w:rsid w:val="00032AA4"/>
    <w:rsid w:val="000568B6"/>
    <w:rsid w:val="000728CB"/>
    <w:rsid w:val="000D4097"/>
    <w:rsid w:val="00105624"/>
    <w:rsid w:val="00106AD9"/>
    <w:rsid w:val="001A2968"/>
    <w:rsid w:val="001A2ED0"/>
    <w:rsid w:val="00262198"/>
    <w:rsid w:val="00287389"/>
    <w:rsid w:val="002935CE"/>
    <w:rsid w:val="002F73B0"/>
    <w:rsid w:val="00340F40"/>
    <w:rsid w:val="00441EE0"/>
    <w:rsid w:val="00452DAC"/>
    <w:rsid w:val="005341F8"/>
    <w:rsid w:val="005E7E44"/>
    <w:rsid w:val="00666584"/>
    <w:rsid w:val="00702406"/>
    <w:rsid w:val="00705A5B"/>
    <w:rsid w:val="007251EF"/>
    <w:rsid w:val="0076131B"/>
    <w:rsid w:val="007B0A12"/>
    <w:rsid w:val="007B5C28"/>
    <w:rsid w:val="0080473E"/>
    <w:rsid w:val="00815A48"/>
    <w:rsid w:val="00850134"/>
    <w:rsid w:val="00866F13"/>
    <w:rsid w:val="00891E2A"/>
    <w:rsid w:val="00900D93"/>
    <w:rsid w:val="0090187E"/>
    <w:rsid w:val="00902B58"/>
    <w:rsid w:val="009335C2"/>
    <w:rsid w:val="00943407"/>
    <w:rsid w:val="009F092B"/>
    <w:rsid w:val="009F3D74"/>
    <w:rsid w:val="00A43468"/>
    <w:rsid w:val="00AB0DD1"/>
    <w:rsid w:val="00AE3484"/>
    <w:rsid w:val="00B027E1"/>
    <w:rsid w:val="00B47CC5"/>
    <w:rsid w:val="00B77F68"/>
    <w:rsid w:val="00C90A2F"/>
    <w:rsid w:val="00D055F3"/>
    <w:rsid w:val="00D4511B"/>
    <w:rsid w:val="00D61419"/>
    <w:rsid w:val="00D62597"/>
    <w:rsid w:val="00E15865"/>
    <w:rsid w:val="00EA73DE"/>
    <w:rsid w:val="00F439CC"/>
    <w:rsid w:val="00F907CF"/>
    <w:rsid w:val="00FA23F5"/>
    <w:rsid w:val="00FD4620"/>
    <w:rsid w:val="010540EB"/>
    <w:rsid w:val="01144597"/>
    <w:rsid w:val="0127637F"/>
    <w:rsid w:val="012D0479"/>
    <w:rsid w:val="015B4FE6"/>
    <w:rsid w:val="016519C1"/>
    <w:rsid w:val="0194674A"/>
    <w:rsid w:val="01A82395"/>
    <w:rsid w:val="01F62F61"/>
    <w:rsid w:val="022B3571"/>
    <w:rsid w:val="02840270"/>
    <w:rsid w:val="02842793"/>
    <w:rsid w:val="029B1FB9"/>
    <w:rsid w:val="02B250DA"/>
    <w:rsid w:val="02BF2B94"/>
    <w:rsid w:val="03101E00"/>
    <w:rsid w:val="03506456"/>
    <w:rsid w:val="035B751F"/>
    <w:rsid w:val="037F6180"/>
    <w:rsid w:val="03C07382"/>
    <w:rsid w:val="03CE5F43"/>
    <w:rsid w:val="03DE36BA"/>
    <w:rsid w:val="03FC2775"/>
    <w:rsid w:val="040000C7"/>
    <w:rsid w:val="041871BE"/>
    <w:rsid w:val="04335DA6"/>
    <w:rsid w:val="046D3D0D"/>
    <w:rsid w:val="047D281B"/>
    <w:rsid w:val="04893782"/>
    <w:rsid w:val="04A942BA"/>
    <w:rsid w:val="04C358B8"/>
    <w:rsid w:val="04C56D40"/>
    <w:rsid w:val="04DF5C8D"/>
    <w:rsid w:val="04EF53D6"/>
    <w:rsid w:val="050F15EC"/>
    <w:rsid w:val="052508C3"/>
    <w:rsid w:val="05265A5F"/>
    <w:rsid w:val="052838F5"/>
    <w:rsid w:val="059D5FA3"/>
    <w:rsid w:val="05D259CE"/>
    <w:rsid w:val="05E76E48"/>
    <w:rsid w:val="060D6A17"/>
    <w:rsid w:val="06170CBC"/>
    <w:rsid w:val="06173E88"/>
    <w:rsid w:val="06190FCC"/>
    <w:rsid w:val="065A1D10"/>
    <w:rsid w:val="065C46FF"/>
    <w:rsid w:val="06680294"/>
    <w:rsid w:val="0668088B"/>
    <w:rsid w:val="067F7EC9"/>
    <w:rsid w:val="06F57DB9"/>
    <w:rsid w:val="06FD08ED"/>
    <w:rsid w:val="07036F81"/>
    <w:rsid w:val="071038F9"/>
    <w:rsid w:val="073F0AA4"/>
    <w:rsid w:val="0767339E"/>
    <w:rsid w:val="0773272F"/>
    <w:rsid w:val="08411AD2"/>
    <w:rsid w:val="085E6A12"/>
    <w:rsid w:val="086E1B1D"/>
    <w:rsid w:val="089979A3"/>
    <w:rsid w:val="08AC4379"/>
    <w:rsid w:val="0912466A"/>
    <w:rsid w:val="09722ECD"/>
    <w:rsid w:val="097F1A8E"/>
    <w:rsid w:val="09890463"/>
    <w:rsid w:val="098D483B"/>
    <w:rsid w:val="09995992"/>
    <w:rsid w:val="09E05FC1"/>
    <w:rsid w:val="09F14AFC"/>
    <w:rsid w:val="0A110938"/>
    <w:rsid w:val="0A34470F"/>
    <w:rsid w:val="0A620A23"/>
    <w:rsid w:val="0AA21403"/>
    <w:rsid w:val="0AA51080"/>
    <w:rsid w:val="0B246C54"/>
    <w:rsid w:val="0B3D3995"/>
    <w:rsid w:val="0B4E7969"/>
    <w:rsid w:val="0B667159"/>
    <w:rsid w:val="0B683274"/>
    <w:rsid w:val="0BBB1579"/>
    <w:rsid w:val="0BE172E1"/>
    <w:rsid w:val="0BE34556"/>
    <w:rsid w:val="0C140B52"/>
    <w:rsid w:val="0C790716"/>
    <w:rsid w:val="0C89421E"/>
    <w:rsid w:val="0CBC64F0"/>
    <w:rsid w:val="0CF46EE0"/>
    <w:rsid w:val="0CFA4995"/>
    <w:rsid w:val="0D325F1D"/>
    <w:rsid w:val="0D350DE1"/>
    <w:rsid w:val="0D3C216F"/>
    <w:rsid w:val="0DAB30E5"/>
    <w:rsid w:val="0DDD7B8C"/>
    <w:rsid w:val="0DFF319D"/>
    <w:rsid w:val="0E2665CC"/>
    <w:rsid w:val="0E981D4C"/>
    <w:rsid w:val="0EAA5E89"/>
    <w:rsid w:val="0EC12F65"/>
    <w:rsid w:val="0ECF43E4"/>
    <w:rsid w:val="0EF72CD9"/>
    <w:rsid w:val="0F0C4CA2"/>
    <w:rsid w:val="0F766A21"/>
    <w:rsid w:val="0FB3423F"/>
    <w:rsid w:val="0FB35260"/>
    <w:rsid w:val="0FD67878"/>
    <w:rsid w:val="106C43E8"/>
    <w:rsid w:val="10806817"/>
    <w:rsid w:val="10925D9C"/>
    <w:rsid w:val="10956A37"/>
    <w:rsid w:val="10C92312"/>
    <w:rsid w:val="10D8401C"/>
    <w:rsid w:val="10DA0579"/>
    <w:rsid w:val="10FB1EF8"/>
    <w:rsid w:val="1105017B"/>
    <w:rsid w:val="11101261"/>
    <w:rsid w:val="11160F9C"/>
    <w:rsid w:val="113948A0"/>
    <w:rsid w:val="114420F0"/>
    <w:rsid w:val="11506379"/>
    <w:rsid w:val="11C2064E"/>
    <w:rsid w:val="12080872"/>
    <w:rsid w:val="127A530E"/>
    <w:rsid w:val="1286002B"/>
    <w:rsid w:val="129640D0"/>
    <w:rsid w:val="12E62705"/>
    <w:rsid w:val="13192368"/>
    <w:rsid w:val="13247688"/>
    <w:rsid w:val="138161D5"/>
    <w:rsid w:val="139B5716"/>
    <w:rsid w:val="13C65FB8"/>
    <w:rsid w:val="13D21250"/>
    <w:rsid w:val="13ED636A"/>
    <w:rsid w:val="14067545"/>
    <w:rsid w:val="1408006A"/>
    <w:rsid w:val="140D3CC9"/>
    <w:rsid w:val="142B6741"/>
    <w:rsid w:val="143234E8"/>
    <w:rsid w:val="144A3269"/>
    <w:rsid w:val="147547BA"/>
    <w:rsid w:val="14BA0618"/>
    <w:rsid w:val="14D76DE3"/>
    <w:rsid w:val="15400323"/>
    <w:rsid w:val="155E2E9F"/>
    <w:rsid w:val="1571672E"/>
    <w:rsid w:val="15786550"/>
    <w:rsid w:val="15B036FB"/>
    <w:rsid w:val="15D373E9"/>
    <w:rsid w:val="15E95310"/>
    <w:rsid w:val="15EE7D7F"/>
    <w:rsid w:val="161847D1"/>
    <w:rsid w:val="1631326B"/>
    <w:rsid w:val="16900E36"/>
    <w:rsid w:val="16907088"/>
    <w:rsid w:val="16C667B9"/>
    <w:rsid w:val="16C86822"/>
    <w:rsid w:val="16CC5925"/>
    <w:rsid w:val="16F355C9"/>
    <w:rsid w:val="173914CE"/>
    <w:rsid w:val="173D7210"/>
    <w:rsid w:val="174B375D"/>
    <w:rsid w:val="17544C14"/>
    <w:rsid w:val="17634CAE"/>
    <w:rsid w:val="17C438ED"/>
    <w:rsid w:val="17EE0DF9"/>
    <w:rsid w:val="17F62E6C"/>
    <w:rsid w:val="17FF6EC3"/>
    <w:rsid w:val="18061158"/>
    <w:rsid w:val="18095209"/>
    <w:rsid w:val="1840798C"/>
    <w:rsid w:val="185F7A24"/>
    <w:rsid w:val="189A12EB"/>
    <w:rsid w:val="18E3721C"/>
    <w:rsid w:val="18EA568C"/>
    <w:rsid w:val="190B1BEE"/>
    <w:rsid w:val="193C7053"/>
    <w:rsid w:val="19566815"/>
    <w:rsid w:val="1971169E"/>
    <w:rsid w:val="197E141A"/>
    <w:rsid w:val="198D0237"/>
    <w:rsid w:val="1A202A12"/>
    <w:rsid w:val="1A4F231D"/>
    <w:rsid w:val="1A587F53"/>
    <w:rsid w:val="1A846F04"/>
    <w:rsid w:val="1AE91AF7"/>
    <w:rsid w:val="1AFB2F3F"/>
    <w:rsid w:val="1B1A33C4"/>
    <w:rsid w:val="1B3B1C33"/>
    <w:rsid w:val="1B605CA9"/>
    <w:rsid w:val="1B8371BB"/>
    <w:rsid w:val="1BD27EE3"/>
    <w:rsid w:val="1BE45652"/>
    <w:rsid w:val="1C2F4C4D"/>
    <w:rsid w:val="1C33298F"/>
    <w:rsid w:val="1C412D36"/>
    <w:rsid w:val="1C422BD3"/>
    <w:rsid w:val="1C811FB6"/>
    <w:rsid w:val="1C9B5D51"/>
    <w:rsid w:val="1CC730D8"/>
    <w:rsid w:val="1CD032BD"/>
    <w:rsid w:val="1CD034C4"/>
    <w:rsid w:val="1CDA5DDD"/>
    <w:rsid w:val="1D036806"/>
    <w:rsid w:val="1D1E7B6A"/>
    <w:rsid w:val="1D5F0D01"/>
    <w:rsid w:val="1D681973"/>
    <w:rsid w:val="1D6F7B8D"/>
    <w:rsid w:val="1D710888"/>
    <w:rsid w:val="1DD328D7"/>
    <w:rsid w:val="1E0A5972"/>
    <w:rsid w:val="1E3356E2"/>
    <w:rsid w:val="1E3E561C"/>
    <w:rsid w:val="1E430E84"/>
    <w:rsid w:val="1E854FF8"/>
    <w:rsid w:val="1E92221F"/>
    <w:rsid w:val="1EB13C30"/>
    <w:rsid w:val="1EDD4E34"/>
    <w:rsid w:val="1EE2069D"/>
    <w:rsid w:val="1EF81C6E"/>
    <w:rsid w:val="1EFA5674"/>
    <w:rsid w:val="1F0979D8"/>
    <w:rsid w:val="1F617814"/>
    <w:rsid w:val="1F672950"/>
    <w:rsid w:val="1F875BC4"/>
    <w:rsid w:val="1FB65A09"/>
    <w:rsid w:val="1FFF1C0E"/>
    <w:rsid w:val="1FFF5D2A"/>
    <w:rsid w:val="200A7EAB"/>
    <w:rsid w:val="20254CE5"/>
    <w:rsid w:val="202655C4"/>
    <w:rsid w:val="20270A5D"/>
    <w:rsid w:val="203D04C0"/>
    <w:rsid w:val="203D067B"/>
    <w:rsid w:val="205E04E8"/>
    <w:rsid w:val="20887022"/>
    <w:rsid w:val="20AE3A57"/>
    <w:rsid w:val="20CE2C87"/>
    <w:rsid w:val="20E8395F"/>
    <w:rsid w:val="20EB1A8B"/>
    <w:rsid w:val="21076199"/>
    <w:rsid w:val="214F3105"/>
    <w:rsid w:val="21505A9C"/>
    <w:rsid w:val="21520D77"/>
    <w:rsid w:val="215C1EAB"/>
    <w:rsid w:val="21771643"/>
    <w:rsid w:val="21840AEC"/>
    <w:rsid w:val="21A64071"/>
    <w:rsid w:val="21C44FBB"/>
    <w:rsid w:val="21F462DF"/>
    <w:rsid w:val="22156F08"/>
    <w:rsid w:val="222C202B"/>
    <w:rsid w:val="22412579"/>
    <w:rsid w:val="227E692E"/>
    <w:rsid w:val="229C4156"/>
    <w:rsid w:val="22CA1B74"/>
    <w:rsid w:val="22E744D4"/>
    <w:rsid w:val="230E72DC"/>
    <w:rsid w:val="232E369E"/>
    <w:rsid w:val="23582CDC"/>
    <w:rsid w:val="235F22BC"/>
    <w:rsid w:val="236F4231"/>
    <w:rsid w:val="23746834"/>
    <w:rsid w:val="237908A9"/>
    <w:rsid w:val="23863CED"/>
    <w:rsid w:val="24140636"/>
    <w:rsid w:val="24280900"/>
    <w:rsid w:val="2451290B"/>
    <w:rsid w:val="246002EE"/>
    <w:rsid w:val="246B6B36"/>
    <w:rsid w:val="246D27B7"/>
    <w:rsid w:val="24F44C86"/>
    <w:rsid w:val="251C3103"/>
    <w:rsid w:val="254865B2"/>
    <w:rsid w:val="254A6BC8"/>
    <w:rsid w:val="25567215"/>
    <w:rsid w:val="259A582D"/>
    <w:rsid w:val="25D376E6"/>
    <w:rsid w:val="25DB5773"/>
    <w:rsid w:val="25F2519F"/>
    <w:rsid w:val="266473C0"/>
    <w:rsid w:val="26840989"/>
    <w:rsid w:val="26A450DA"/>
    <w:rsid w:val="26CB5281"/>
    <w:rsid w:val="270F224B"/>
    <w:rsid w:val="273D4164"/>
    <w:rsid w:val="27547F6A"/>
    <w:rsid w:val="27781D7E"/>
    <w:rsid w:val="2781513A"/>
    <w:rsid w:val="279974FF"/>
    <w:rsid w:val="27A504B9"/>
    <w:rsid w:val="27F751B9"/>
    <w:rsid w:val="27FF6A5E"/>
    <w:rsid w:val="2888005B"/>
    <w:rsid w:val="289E2F7F"/>
    <w:rsid w:val="28E64F76"/>
    <w:rsid w:val="29B13408"/>
    <w:rsid w:val="29B358C9"/>
    <w:rsid w:val="29DE65B1"/>
    <w:rsid w:val="29E277A3"/>
    <w:rsid w:val="29E86C2F"/>
    <w:rsid w:val="2A092F82"/>
    <w:rsid w:val="2A160B03"/>
    <w:rsid w:val="2A511AEE"/>
    <w:rsid w:val="2A6423D0"/>
    <w:rsid w:val="2A8639D0"/>
    <w:rsid w:val="2A8D655C"/>
    <w:rsid w:val="2A9E1416"/>
    <w:rsid w:val="2AAB4C62"/>
    <w:rsid w:val="2AC944BF"/>
    <w:rsid w:val="2AE01F34"/>
    <w:rsid w:val="2B0F6376"/>
    <w:rsid w:val="2B327E86"/>
    <w:rsid w:val="2B3F3CF8"/>
    <w:rsid w:val="2B471FB3"/>
    <w:rsid w:val="2B524E33"/>
    <w:rsid w:val="2B9C3591"/>
    <w:rsid w:val="2C156DC8"/>
    <w:rsid w:val="2C1B7415"/>
    <w:rsid w:val="2C1B760D"/>
    <w:rsid w:val="2C1D0093"/>
    <w:rsid w:val="2C1E3346"/>
    <w:rsid w:val="2C347DB3"/>
    <w:rsid w:val="2C474247"/>
    <w:rsid w:val="2C624BCB"/>
    <w:rsid w:val="2C731026"/>
    <w:rsid w:val="2C840054"/>
    <w:rsid w:val="2C9254B0"/>
    <w:rsid w:val="2C974875"/>
    <w:rsid w:val="2CB52E8B"/>
    <w:rsid w:val="2D4717EE"/>
    <w:rsid w:val="2D684463"/>
    <w:rsid w:val="2D7035AD"/>
    <w:rsid w:val="2DBF7206"/>
    <w:rsid w:val="2DEC0BF0"/>
    <w:rsid w:val="2E0A5087"/>
    <w:rsid w:val="2E575F17"/>
    <w:rsid w:val="2E593EBC"/>
    <w:rsid w:val="2E6375E1"/>
    <w:rsid w:val="2E6A453A"/>
    <w:rsid w:val="2E840B59"/>
    <w:rsid w:val="2E913546"/>
    <w:rsid w:val="2EA06A0C"/>
    <w:rsid w:val="2EA813B5"/>
    <w:rsid w:val="2EDF3445"/>
    <w:rsid w:val="2F204FF5"/>
    <w:rsid w:val="2F5C7FF7"/>
    <w:rsid w:val="2F6B1FE9"/>
    <w:rsid w:val="2F786719"/>
    <w:rsid w:val="2F981172"/>
    <w:rsid w:val="2FB7522E"/>
    <w:rsid w:val="2FC440ED"/>
    <w:rsid w:val="2FD01DD9"/>
    <w:rsid w:val="2FDB2C37"/>
    <w:rsid w:val="2FE37DD1"/>
    <w:rsid w:val="3005729F"/>
    <w:rsid w:val="30267762"/>
    <w:rsid w:val="30515682"/>
    <w:rsid w:val="307E341A"/>
    <w:rsid w:val="30A60F94"/>
    <w:rsid w:val="30B55449"/>
    <w:rsid w:val="30C9346B"/>
    <w:rsid w:val="30DE65B0"/>
    <w:rsid w:val="311F7463"/>
    <w:rsid w:val="31351753"/>
    <w:rsid w:val="3175201B"/>
    <w:rsid w:val="31760099"/>
    <w:rsid w:val="31973569"/>
    <w:rsid w:val="319E4F6F"/>
    <w:rsid w:val="31C47B44"/>
    <w:rsid w:val="31CD6F8B"/>
    <w:rsid w:val="31E95901"/>
    <w:rsid w:val="321F1E2E"/>
    <w:rsid w:val="32244627"/>
    <w:rsid w:val="322546D1"/>
    <w:rsid w:val="32411AAF"/>
    <w:rsid w:val="324350F5"/>
    <w:rsid w:val="325D75B7"/>
    <w:rsid w:val="328F5FEE"/>
    <w:rsid w:val="32911D66"/>
    <w:rsid w:val="32B12F47"/>
    <w:rsid w:val="32B14B65"/>
    <w:rsid w:val="32DA56F5"/>
    <w:rsid w:val="33574D5E"/>
    <w:rsid w:val="335C4612"/>
    <w:rsid w:val="33AA20E8"/>
    <w:rsid w:val="33BF38F6"/>
    <w:rsid w:val="33C7359B"/>
    <w:rsid w:val="33CF20E1"/>
    <w:rsid w:val="33F00D0E"/>
    <w:rsid w:val="34050C5E"/>
    <w:rsid w:val="342D0BA2"/>
    <w:rsid w:val="34326617"/>
    <w:rsid w:val="34370E4F"/>
    <w:rsid w:val="344A041F"/>
    <w:rsid w:val="344D7F0F"/>
    <w:rsid w:val="348D6497"/>
    <w:rsid w:val="34A145AC"/>
    <w:rsid w:val="34A5288B"/>
    <w:rsid w:val="34E26531"/>
    <w:rsid w:val="34F30AB6"/>
    <w:rsid w:val="34FF745B"/>
    <w:rsid w:val="350F7B44"/>
    <w:rsid w:val="352B64A2"/>
    <w:rsid w:val="35CF5207"/>
    <w:rsid w:val="35D06063"/>
    <w:rsid w:val="35F01AE8"/>
    <w:rsid w:val="35FC110A"/>
    <w:rsid w:val="36050AA1"/>
    <w:rsid w:val="36231561"/>
    <w:rsid w:val="36406445"/>
    <w:rsid w:val="3641719B"/>
    <w:rsid w:val="364C5DCC"/>
    <w:rsid w:val="364E5008"/>
    <w:rsid w:val="367050A6"/>
    <w:rsid w:val="367242E1"/>
    <w:rsid w:val="36A202B9"/>
    <w:rsid w:val="36A93B22"/>
    <w:rsid w:val="36BA2B7C"/>
    <w:rsid w:val="371C7A56"/>
    <w:rsid w:val="371E4853"/>
    <w:rsid w:val="373D24BC"/>
    <w:rsid w:val="379F0A81"/>
    <w:rsid w:val="37B445BF"/>
    <w:rsid w:val="37E0030E"/>
    <w:rsid w:val="382E30F3"/>
    <w:rsid w:val="3861123D"/>
    <w:rsid w:val="38701833"/>
    <w:rsid w:val="38740160"/>
    <w:rsid w:val="38894EE8"/>
    <w:rsid w:val="388C6E40"/>
    <w:rsid w:val="38A2724E"/>
    <w:rsid w:val="38A81BB8"/>
    <w:rsid w:val="39244FB7"/>
    <w:rsid w:val="39614DA4"/>
    <w:rsid w:val="39683691"/>
    <w:rsid w:val="39F8091D"/>
    <w:rsid w:val="3A4054C3"/>
    <w:rsid w:val="3A8231C3"/>
    <w:rsid w:val="3A970136"/>
    <w:rsid w:val="3AA70C32"/>
    <w:rsid w:val="3AC1463F"/>
    <w:rsid w:val="3AC45A18"/>
    <w:rsid w:val="3AD13648"/>
    <w:rsid w:val="3AD859ED"/>
    <w:rsid w:val="3AE01ADD"/>
    <w:rsid w:val="3AFC56D5"/>
    <w:rsid w:val="3B6D6769"/>
    <w:rsid w:val="3B7570F3"/>
    <w:rsid w:val="3B98549A"/>
    <w:rsid w:val="3BA9564D"/>
    <w:rsid w:val="3BCE6993"/>
    <w:rsid w:val="3C396F70"/>
    <w:rsid w:val="3C7009D7"/>
    <w:rsid w:val="3C730C61"/>
    <w:rsid w:val="3C803BB8"/>
    <w:rsid w:val="3C8C5A84"/>
    <w:rsid w:val="3CDA565B"/>
    <w:rsid w:val="3CDD29C1"/>
    <w:rsid w:val="3D3F3F7F"/>
    <w:rsid w:val="3D5719D3"/>
    <w:rsid w:val="3D5E18A5"/>
    <w:rsid w:val="3D7F5F68"/>
    <w:rsid w:val="3D9F4BE4"/>
    <w:rsid w:val="3DFE365A"/>
    <w:rsid w:val="3E130B31"/>
    <w:rsid w:val="3E2216AC"/>
    <w:rsid w:val="3E5A1BA6"/>
    <w:rsid w:val="3E75253C"/>
    <w:rsid w:val="3E827089"/>
    <w:rsid w:val="3E9230EE"/>
    <w:rsid w:val="3EAC29A7"/>
    <w:rsid w:val="3EC03128"/>
    <w:rsid w:val="3ED00DE5"/>
    <w:rsid w:val="3ED951C1"/>
    <w:rsid w:val="3EED3706"/>
    <w:rsid w:val="3EF075F6"/>
    <w:rsid w:val="3F5E664A"/>
    <w:rsid w:val="3F6962C4"/>
    <w:rsid w:val="3F95703D"/>
    <w:rsid w:val="3F9D283E"/>
    <w:rsid w:val="3FB51199"/>
    <w:rsid w:val="3FD71F83"/>
    <w:rsid w:val="4013200C"/>
    <w:rsid w:val="40280169"/>
    <w:rsid w:val="405F2098"/>
    <w:rsid w:val="407F67D3"/>
    <w:rsid w:val="409343ED"/>
    <w:rsid w:val="40E10003"/>
    <w:rsid w:val="412853A8"/>
    <w:rsid w:val="416C793F"/>
    <w:rsid w:val="41C550CA"/>
    <w:rsid w:val="41CE0D22"/>
    <w:rsid w:val="41D9226F"/>
    <w:rsid w:val="41E07722"/>
    <w:rsid w:val="42092CD9"/>
    <w:rsid w:val="425D1E08"/>
    <w:rsid w:val="42AF2A0D"/>
    <w:rsid w:val="431343C9"/>
    <w:rsid w:val="434C29EA"/>
    <w:rsid w:val="43506F55"/>
    <w:rsid w:val="438B3F62"/>
    <w:rsid w:val="438C45B0"/>
    <w:rsid w:val="43996CCD"/>
    <w:rsid w:val="439A7BEC"/>
    <w:rsid w:val="43B34232"/>
    <w:rsid w:val="43B43B06"/>
    <w:rsid w:val="43BC29BB"/>
    <w:rsid w:val="43E73EDC"/>
    <w:rsid w:val="441F6B78"/>
    <w:rsid w:val="44406040"/>
    <w:rsid w:val="44410D96"/>
    <w:rsid w:val="44990FA0"/>
    <w:rsid w:val="44995889"/>
    <w:rsid w:val="449C6632"/>
    <w:rsid w:val="44B25EF4"/>
    <w:rsid w:val="44F248E6"/>
    <w:rsid w:val="44F309A8"/>
    <w:rsid w:val="44F3240C"/>
    <w:rsid w:val="44FA4B0A"/>
    <w:rsid w:val="451231DA"/>
    <w:rsid w:val="453821B0"/>
    <w:rsid w:val="4538696C"/>
    <w:rsid w:val="455776A4"/>
    <w:rsid w:val="4558626A"/>
    <w:rsid w:val="4585575A"/>
    <w:rsid w:val="45861388"/>
    <w:rsid w:val="45C53268"/>
    <w:rsid w:val="461705D1"/>
    <w:rsid w:val="461F4CCB"/>
    <w:rsid w:val="46941456"/>
    <w:rsid w:val="46B300A5"/>
    <w:rsid w:val="46D92B01"/>
    <w:rsid w:val="46F679D0"/>
    <w:rsid w:val="46FE765B"/>
    <w:rsid w:val="47146532"/>
    <w:rsid w:val="471E338A"/>
    <w:rsid w:val="47214898"/>
    <w:rsid w:val="472C2566"/>
    <w:rsid w:val="472D6A0F"/>
    <w:rsid w:val="474E7DCE"/>
    <w:rsid w:val="476F66C2"/>
    <w:rsid w:val="47A46F27"/>
    <w:rsid w:val="47BC3568"/>
    <w:rsid w:val="47C00975"/>
    <w:rsid w:val="47EB1529"/>
    <w:rsid w:val="48064139"/>
    <w:rsid w:val="48220BFF"/>
    <w:rsid w:val="487E6ACF"/>
    <w:rsid w:val="48D03190"/>
    <w:rsid w:val="48F03833"/>
    <w:rsid w:val="48F46B3C"/>
    <w:rsid w:val="48F828DD"/>
    <w:rsid w:val="492359B6"/>
    <w:rsid w:val="49240872"/>
    <w:rsid w:val="49436A40"/>
    <w:rsid w:val="49731A9A"/>
    <w:rsid w:val="499873AB"/>
    <w:rsid w:val="49D65677"/>
    <w:rsid w:val="49DA0FF1"/>
    <w:rsid w:val="4A3414FD"/>
    <w:rsid w:val="4A851D59"/>
    <w:rsid w:val="4A8E63F2"/>
    <w:rsid w:val="4AAC19DB"/>
    <w:rsid w:val="4AAF1213"/>
    <w:rsid w:val="4AB4263E"/>
    <w:rsid w:val="4ABF1076"/>
    <w:rsid w:val="4AC62A9D"/>
    <w:rsid w:val="4AC9433B"/>
    <w:rsid w:val="4ADA6548"/>
    <w:rsid w:val="4B06733D"/>
    <w:rsid w:val="4B18204F"/>
    <w:rsid w:val="4B1A56C4"/>
    <w:rsid w:val="4B2D1C74"/>
    <w:rsid w:val="4B40445C"/>
    <w:rsid w:val="4BAE52DF"/>
    <w:rsid w:val="4BB9443B"/>
    <w:rsid w:val="4BEC729F"/>
    <w:rsid w:val="4C1C74A7"/>
    <w:rsid w:val="4C2669EE"/>
    <w:rsid w:val="4C3102C2"/>
    <w:rsid w:val="4C3E34B4"/>
    <w:rsid w:val="4C602A7D"/>
    <w:rsid w:val="4C8147A2"/>
    <w:rsid w:val="4C83676C"/>
    <w:rsid w:val="4CEF7D92"/>
    <w:rsid w:val="4CF5053B"/>
    <w:rsid w:val="4CFA4905"/>
    <w:rsid w:val="4D0141AC"/>
    <w:rsid w:val="4D575FDD"/>
    <w:rsid w:val="4D5F758C"/>
    <w:rsid w:val="4D670558"/>
    <w:rsid w:val="4D902EEE"/>
    <w:rsid w:val="4D9714B3"/>
    <w:rsid w:val="4DA04C48"/>
    <w:rsid w:val="4DC13C60"/>
    <w:rsid w:val="4DCE57D9"/>
    <w:rsid w:val="4DF23BA9"/>
    <w:rsid w:val="4DF358C2"/>
    <w:rsid w:val="4E240622"/>
    <w:rsid w:val="4E573A0C"/>
    <w:rsid w:val="4E663163"/>
    <w:rsid w:val="4E686288"/>
    <w:rsid w:val="4E823815"/>
    <w:rsid w:val="4E9308D2"/>
    <w:rsid w:val="4EA81D39"/>
    <w:rsid w:val="4EA92E89"/>
    <w:rsid w:val="4EB96BFE"/>
    <w:rsid w:val="4EBB0D6F"/>
    <w:rsid w:val="4EBF104B"/>
    <w:rsid w:val="4EF37073"/>
    <w:rsid w:val="4EFB083B"/>
    <w:rsid w:val="4EFF2322"/>
    <w:rsid w:val="4F3F4BCC"/>
    <w:rsid w:val="4F400944"/>
    <w:rsid w:val="4F9670A9"/>
    <w:rsid w:val="4FC13393"/>
    <w:rsid w:val="4FEE46BE"/>
    <w:rsid w:val="50040E37"/>
    <w:rsid w:val="50281B04"/>
    <w:rsid w:val="504011DB"/>
    <w:rsid w:val="50811214"/>
    <w:rsid w:val="510A745C"/>
    <w:rsid w:val="511F2F07"/>
    <w:rsid w:val="512C1180"/>
    <w:rsid w:val="5141620C"/>
    <w:rsid w:val="51586365"/>
    <w:rsid w:val="515B3813"/>
    <w:rsid w:val="51702654"/>
    <w:rsid w:val="51AB5AD3"/>
    <w:rsid w:val="51B51175"/>
    <w:rsid w:val="51B71039"/>
    <w:rsid w:val="51E65DE0"/>
    <w:rsid w:val="520E3552"/>
    <w:rsid w:val="52133782"/>
    <w:rsid w:val="52522E68"/>
    <w:rsid w:val="525849B8"/>
    <w:rsid w:val="52616038"/>
    <w:rsid w:val="52630BD1"/>
    <w:rsid w:val="527E1633"/>
    <w:rsid w:val="52AE05D0"/>
    <w:rsid w:val="52C06171"/>
    <w:rsid w:val="52C53D8A"/>
    <w:rsid w:val="53232755"/>
    <w:rsid w:val="533D1847"/>
    <w:rsid w:val="53471C7D"/>
    <w:rsid w:val="53507BBB"/>
    <w:rsid w:val="535350EA"/>
    <w:rsid w:val="5396048D"/>
    <w:rsid w:val="53C60EE0"/>
    <w:rsid w:val="542F633E"/>
    <w:rsid w:val="544635D9"/>
    <w:rsid w:val="54705828"/>
    <w:rsid w:val="548F7D92"/>
    <w:rsid w:val="54B94AEC"/>
    <w:rsid w:val="54E87AB4"/>
    <w:rsid w:val="54F0598E"/>
    <w:rsid w:val="54F46B9E"/>
    <w:rsid w:val="550B64CF"/>
    <w:rsid w:val="55281A3E"/>
    <w:rsid w:val="55587B3B"/>
    <w:rsid w:val="557F21C6"/>
    <w:rsid w:val="559D6B59"/>
    <w:rsid w:val="5617137E"/>
    <w:rsid w:val="56346071"/>
    <w:rsid w:val="56536834"/>
    <w:rsid w:val="56A311AE"/>
    <w:rsid w:val="56AF6ADB"/>
    <w:rsid w:val="56BA5808"/>
    <w:rsid w:val="56BD67B6"/>
    <w:rsid w:val="56F3629C"/>
    <w:rsid w:val="56F6302C"/>
    <w:rsid w:val="570E5ABC"/>
    <w:rsid w:val="5715703C"/>
    <w:rsid w:val="57160908"/>
    <w:rsid w:val="572E6A8D"/>
    <w:rsid w:val="57433F22"/>
    <w:rsid w:val="57636D0B"/>
    <w:rsid w:val="57A31AED"/>
    <w:rsid w:val="57DF0482"/>
    <w:rsid w:val="58057EF0"/>
    <w:rsid w:val="58164938"/>
    <w:rsid w:val="58847AF3"/>
    <w:rsid w:val="58913FBE"/>
    <w:rsid w:val="589F6F4C"/>
    <w:rsid w:val="58E601D8"/>
    <w:rsid w:val="58EA204C"/>
    <w:rsid w:val="58FD3402"/>
    <w:rsid w:val="59061D3A"/>
    <w:rsid w:val="590C1A18"/>
    <w:rsid w:val="593F5180"/>
    <w:rsid w:val="59537200"/>
    <w:rsid w:val="59C15707"/>
    <w:rsid w:val="59CD6956"/>
    <w:rsid w:val="59CF08FA"/>
    <w:rsid w:val="59E9398B"/>
    <w:rsid w:val="5A0231BD"/>
    <w:rsid w:val="5A0407DB"/>
    <w:rsid w:val="5A0802B0"/>
    <w:rsid w:val="5A124AF7"/>
    <w:rsid w:val="5A13112F"/>
    <w:rsid w:val="5A1F7AD4"/>
    <w:rsid w:val="5ADC1695"/>
    <w:rsid w:val="5AEF6F4B"/>
    <w:rsid w:val="5B906B75"/>
    <w:rsid w:val="5B933B9A"/>
    <w:rsid w:val="5B9D10A1"/>
    <w:rsid w:val="5BAB2C3A"/>
    <w:rsid w:val="5BD54F5E"/>
    <w:rsid w:val="5BD66A68"/>
    <w:rsid w:val="5BF005FA"/>
    <w:rsid w:val="5BF058F0"/>
    <w:rsid w:val="5C4E7563"/>
    <w:rsid w:val="5C78171D"/>
    <w:rsid w:val="5C810CDA"/>
    <w:rsid w:val="5C98591B"/>
    <w:rsid w:val="5CDA13F0"/>
    <w:rsid w:val="5D26561D"/>
    <w:rsid w:val="5D283143"/>
    <w:rsid w:val="5D57238D"/>
    <w:rsid w:val="5D5854FF"/>
    <w:rsid w:val="5D887403"/>
    <w:rsid w:val="5DA402F0"/>
    <w:rsid w:val="5DB26EB1"/>
    <w:rsid w:val="5DEF5A0F"/>
    <w:rsid w:val="5E0C6A73"/>
    <w:rsid w:val="5E37085C"/>
    <w:rsid w:val="5E371164"/>
    <w:rsid w:val="5E43177A"/>
    <w:rsid w:val="5E4F64AE"/>
    <w:rsid w:val="5E602469"/>
    <w:rsid w:val="5E6E5AF4"/>
    <w:rsid w:val="5E964DB8"/>
    <w:rsid w:val="5EA872C6"/>
    <w:rsid w:val="5EAF5F88"/>
    <w:rsid w:val="5EBA786C"/>
    <w:rsid w:val="5EC7073A"/>
    <w:rsid w:val="5EC83EE4"/>
    <w:rsid w:val="5ED115B9"/>
    <w:rsid w:val="5EED2D1F"/>
    <w:rsid w:val="5EFA466C"/>
    <w:rsid w:val="5F4723AF"/>
    <w:rsid w:val="5F4F2D45"/>
    <w:rsid w:val="5F717DB0"/>
    <w:rsid w:val="5F870159"/>
    <w:rsid w:val="5F950838"/>
    <w:rsid w:val="5FA03155"/>
    <w:rsid w:val="5FDA624B"/>
    <w:rsid w:val="5FE5356E"/>
    <w:rsid w:val="60357FFF"/>
    <w:rsid w:val="60820DBC"/>
    <w:rsid w:val="6094289E"/>
    <w:rsid w:val="61406582"/>
    <w:rsid w:val="61475B62"/>
    <w:rsid w:val="615D620D"/>
    <w:rsid w:val="6212795C"/>
    <w:rsid w:val="622B4990"/>
    <w:rsid w:val="62774225"/>
    <w:rsid w:val="627F7E87"/>
    <w:rsid w:val="62A10AED"/>
    <w:rsid w:val="62C05BCC"/>
    <w:rsid w:val="62FE4061"/>
    <w:rsid w:val="63224F28"/>
    <w:rsid w:val="63AD6150"/>
    <w:rsid w:val="63B35731"/>
    <w:rsid w:val="63BC0FCC"/>
    <w:rsid w:val="63E661CC"/>
    <w:rsid w:val="63FA5BD2"/>
    <w:rsid w:val="63FB5CE1"/>
    <w:rsid w:val="640C11F9"/>
    <w:rsid w:val="64283A29"/>
    <w:rsid w:val="64286E80"/>
    <w:rsid w:val="64664551"/>
    <w:rsid w:val="64833355"/>
    <w:rsid w:val="64D12312"/>
    <w:rsid w:val="64E17F3B"/>
    <w:rsid w:val="6522587A"/>
    <w:rsid w:val="6534348B"/>
    <w:rsid w:val="653603C7"/>
    <w:rsid w:val="65474F7E"/>
    <w:rsid w:val="65E530E5"/>
    <w:rsid w:val="65F52031"/>
    <w:rsid w:val="65FD3F88"/>
    <w:rsid w:val="660427F2"/>
    <w:rsid w:val="66263F98"/>
    <w:rsid w:val="662D69E6"/>
    <w:rsid w:val="66551B35"/>
    <w:rsid w:val="669B3FDE"/>
    <w:rsid w:val="66CF31D5"/>
    <w:rsid w:val="67165294"/>
    <w:rsid w:val="67171224"/>
    <w:rsid w:val="67447F1A"/>
    <w:rsid w:val="67550FD9"/>
    <w:rsid w:val="676C1E7F"/>
    <w:rsid w:val="678C42CF"/>
    <w:rsid w:val="679A7B2F"/>
    <w:rsid w:val="67A240C9"/>
    <w:rsid w:val="67DF6AF4"/>
    <w:rsid w:val="67FB0AC9"/>
    <w:rsid w:val="681A737A"/>
    <w:rsid w:val="68502E31"/>
    <w:rsid w:val="68581AAE"/>
    <w:rsid w:val="68894BA7"/>
    <w:rsid w:val="68AD0729"/>
    <w:rsid w:val="68FE10B1"/>
    <w:rsid w:val="691C558E"/>
    <w:rsid w:val="695266C0"/>
    <w:rsid w:val="6959083E"/>
    <w:rsid w:val="69643755"/>
    <w:rsid w:val="697A7431"/>
    <w:rsid w:val="698A2A90"/>
    <w:rsid w:val="699F3F31"/>
    <w:rsid w:val="69CE6E20"/>
    <w:rsid w:val="69D847A3"/>
    <w:rsid w:val="69E00539"/>
    <w:rsid w:val="69F1044F"/>
    <w:rsid w:val="6A034B6C"/>
    <w:rsid w:val="6A292A7E"/>
    <w:rsid w:val="6A355DD2"/>
    <w:rsid w:val="6A694D9B"/>
    <w:rsid w:val="6A730CB1"/>
    <w:rsid w:val="6A7D0DBF"/>
    <w:rsid w:val="6A7D43A3"/>
    <w:rsid w:val="6A836A1F"/>
    <w:rsid w:val="6AA162E3"/>
    <w:rsid w:val="6AA33E09"/>
    <w:rsid w:val="6AA54025"/>
    <w:rsid w:val="6AA5788F"/>
    <w:rsid w:val="6AAA7FB9"/>
    <w:rsid w:val="6AD466B8"/>
    <w:rsid w:val="6AD9782B"/>
    <w:rsid w:val="6AFD0C95"/>
    <w:rsid w:val="6B59096C"/>
    <w:rsid w:val="6B826114"/>
    <w:rsid w:val="6BBA225C"/>
    <w:rsid w:val="6BBE69EA"/>
    <w:rsid w:val="6BC20220"/>
    <w:rsid w:val="6BF560C9"/>
    <w:rsid w:val="6C027255"/>
    <w:rsid w:val="6C0C5FFA"/>
    <w:rsid w:val="6C64581A"/>
    <w:rsid w:val="6C7960EF"/>
    <w:rsid w:val="6CBD1ABA"/>
    <w:rsid w:val="6CDA4803"/>
    <w:rsid w:val="6CDE3D88"/>
    <w:rsid w:val="6CF2336C"/>
    <w:rsid w:val="6D234F5F"/>
    <w:rsid w:val="6D2A0A99"/>
    <w:rsid w:val="6D5A4730"/>
    <w:rsid w:val="6D6E2A94"/>
    <w:rsid w:val="6D7871C6"/>
    <w:rsid w:val="6D95184A"/>
    <w:rsid w:val="6D981C1F"/>
    <w:rsid w:val="6D9E040B"/>
    <w:rsid w:val="6DAB05B3"/>
    <w:rsid w:val="6DC92E6F"/>
    <w:rsid w:val="6DD938C7"/>
    <w:rsid w:val="6E201C15"/>
    <w:rsid w:val="6E47236C"/>
    <w:rsid w:val="6E4D05F9"/>
    <w:rsid w:val="6E795BCA"/>
    <w:rsid w:val="6EA24E1B"/>
    <w:rsid w:val="6EE24EE2"/>
    <w:rsid w:val="6F201566"/>
    <w:rsid w:val="6F5B6D86"/>
    <w:rsid w:val="6F616041"/>
    <w:rsid w:val="6F683B8E"/>
    <w:rsid w:val="6F877872"/>
    <w:rsid w:val="6F8A37EA"/>
    <w:rsid w:val="6F906A2A"/>
    <w:rsid w:val="6F963F3C"/>
    <w:rsid w:val="6FB70357"/>
    <w:rsid w:val="6FDB438A"/>
    <w:rsid w:val="70052F7C"/>
    <w:rsid w:val="70585696"/>
    <w:rsid w:val="70622071"/>
    <w:rsid w:val="706E76F4"/>
    <w:rsid w:val="70716758"/>
    <w:rsid w:val="70891CF3"/>
    <w:rsid w:val="708B7819"/>
    <w:rsid w:val="70922801"/>
    <w:rsid w:val="709E4F80"/>
    <w:rsid w:val="71123A97"/>
    <w:rsid w:val="714C3197"/>
    <w:rsid w:val="716472F6"/>
    <w:rsid w:val="717C3606"/>
    <w:rsid w:val="71D84668"/>
    <w:rsid w:val="71F51C4A"/>
    <w:rsid w:val="7242063E"/>
    <w:rsid w:val="7251652F"/>
    <w:rsid w:val="72620A4E"/>
    <w:rsid w:val="726C4F2B"/>
    <w:rsid w:val="727A7B45"/>
    <w:rsid w:val="72BB7AF8"/>
    <w:rsid w:val="72CA36C3"/>
    <w:rsid w:val="72DD1E82"/>
    <w:rsid w:val="73080A93"/>
    <w:rsid w:val="730E1943"/>
    <w:rsid w:val="73840550"/>
    <w:rsid w:val="73A330CC"/>
    <w:rsid w:val="73DC213A"/>
    <w:rsid w:val="742A31C4"/>
    <w:rsid w:val="742C1D86"/>
    <w:rsid w:val="743742BE"/>
    <w:rsid w:val="743C0E2B"/>
    <w:rsid w:val="7451372C"/>
    <w:rsid w:val="745368A0"/>
    <w:rsid w:val="745B3509"/>
    <w:rsid w:val="745B6B22"/>
    <w:rsid w:val="747732CB"/>
    <w:rsid w:val="74827185"/>
    <w:rsid w:val="74A247A5"/>
    <w:rsid w:val="74D62BB8"/>
    <w:rsid w:val="74EE481B"/>
    <w:rsid w:val="750951B1"/>
    <w:rsid w:val="75313B64"/>
    <w:rsid w:val="756E372B"/>
    <w:rsid w:val="75723B19"/>
    <w:rsid w:val="75A14901"/>
    <w:rsid w:val="75AD509E"/>
    <w:rsid w:val="76037E52"/>
    <w:rsid w:val="7615456C"/>
    <w:rsid w:val="76206D49"/>
    <w:rsid w:val="762E45D2"/>
    <w:rsid w:val="768852C2"/>
    <w:rsid w:val="768A0F6F"/>
    <w:rsid w:val="76A83C0A"/>
    <w:rsid w:val="76A921ED"/>
    <w:rsid w:val="76A96DF0"/>
    <w:rsid w:val="76B23C71"/>
    <w:rsid w:val="76BF0E5B"/>
    <w:rsid w:val="77185915"/>
    <w:rsid w:val="77274014"/>
    <w:rsid w:val="7732017F"/>
    <w:rsid w:val="77364257"/>
    <w:rsid w:val="775D7383"/>
    <w:rsid w:val="776A55B2"/>
    <w:rsid w:val="777F7AE7"/>
    <w:rsid w:val="778C2B37"/>
    <w:rsid w:val="77A66726"/>
    <w:rsid w:val="77A92A74"/>
    <w:rsid w:val="77B03419"/>
    <w:rsid w:val="77C21B57"/>
    <w:rsid w:val="77DF7951"/>
    <w:rsid w:val="77EBD8D6"/>
    <w:rsid w:val="78127B67"/>
    <w:rsid w:val="78213333"/>
    <w:rsid w:val="78213844"/>
    <w:rsid w:val="78827754"/>
    <w:rsid w:val="78BB00A6"/>
    <w:rsid w:val="78E864B5"/>
    <w:rsid w:val="791906D8"/>
    <w:rsid w:val="791D6B1E"/>
    <w:rsid w:val="79497EA1"/>
    <w:rsid w:val="796E1C5B"/>
    <w:rsid w:val="79882B42"/>
    <w:rsid w:val="7A067F11"/>
    <w:rsid w:val="7A351ECF"/>
    <w:rsid w:val="7A3526F3"/>
    <w:rsid w:val="7A3B22B0"/>
    <w:rsid w:val="7AD94372"/>
    <w:rsid w:val="7B067E6C"/>
    <w:rsid w:val="7B136D89"/>
    <w:rsid w:val="7B333058"/>
    <w:rsid w:val="7B6A2721"/>
    <w:rsid w:val="7B6C46EB"/>
    <w:rsid w:val="7B783508"/>
    <w:rsid w:val="7B8F17F0"/>
    <w:rsid w:val="7BA75326"/>
    <w:rsid w:val="7BC65BA9"/>
    <w:rsid w:val="7BD17D9B"/>
    <w:rsid w:val="7BE79314"/>
    <w:rsid w:val="7C036B11"/>
    <w:rsid w:val="7C5F5AAB"/>
    <w:rsid w:val="7C705B15"/>
    <w:rsid w:val="7C8E296E"/>
    <w:rsid w:val="7C95557C"/>
    <w:rsid w:val="7CA60557"/>
    <w:rsid w:val="7CE371AD"/>
    <w:rsid w:val="7D021916"/>
    <w:rsid w:val="7D1868D9"/>
    <w:rsid w:val="7D3A2F04"/>
    <w:rsid w:val="7DC0487A"/>
    <w:rsid w:val="7E3215A1"/>
    <w:rsid w:val="7E3B4D6A"/>
    <w:rsid w:val="7E402F77"/>
    <w:rsid w:val="7E981323"/>
    <w:rsid w:val="7EA838EA"/>
    <w:rsid w:val="7ECF1219"/>
    <w:rsid w:val="7F335F35"/>
    <w:rsid w:val="7F4703DD"/>
    <w:rsid w:val="7F475DAE"/>
    <w:rsid w:val="7F5B1166"/>
    <w:rsid w:val="7F7C5144"/>
    <w:rsid w:val="7F8362E6"/>
    <w:rsid w:val="7F8B5D1C"/>
    <w:rsid w:val="7FE36544"/>
    <w:rsid w:val="7FED524F"/>
    <w:rsid w:val="F33FAD42"/>
    <w:rsid w:val="FEDF5779"/>
    <w:rsid w:val="FFFC8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widowControl w:val="0"/>
      <w:numPr>
        <w:ilvl w:val="0"/>
        <w:numId w:val="1"/>
      </w:numPr>
      <w:kinsoku/>
      <w:autoSpaceDE/>
      <w:autoSpaceDN/>
      <w:adjustRightInd/>
      <w:snapToGrid/>
      <w:spacing w:line="576" w:lineRule="auto"/>
      <w:jc w:val="both"/>
      <w:textAlignment w:val="auto"/>
      <w:outlineLvl w:val="0"/>
    </w:pPr>
    <w:rPr>
      <w:rFonts w:ascii="Times New Roman" w:hAnsi="Times New Roman" w:eastAsia="黑体" w:cs="Times New Roman"/>
      <w:snapToGrid/>
      <w:kern w:val="44"/>
      <w:sz w:val="32"/>
      <w:szCs w:val="24"/>
    </w:rPr>
  </w:style>
  <w:style w:type="paragraph" w:styleId="3">
    <w:name w:val="heading 2"/>
    <w:basedOn w:val="1"/>
    <w:next w:val="1"/>
    <w:unhideWhenUsed/>
    <w:qFormat/>
    <w:uiPriority w:val="0"/>
    <w:pPr>
      <w:keepNext/>
      <w:keepLines/>
      <w:widowControl w:val="0"/>
      <w:numPr>
        <w:ilvl w:val="1"/>
        <w:numId w:val="1"/>
      </w:numPr>
      <w:kinsoku/>
      <w:autoSpaceDE/>
      <w:autoSpaceDN/>
      <w:adjustRightInd/>
      <w:snapToGrid/>
      <w:spacing w:line="413" w:lineRule="auto"/>
      <w:jc w:val="both"/>
      <w:textAlignment w:val="auto"/>
      <w:outlineLvl w:val="1"/>
    </w:pPr>
    <w:rPr>
      <w:rFonts w:eastAsia="黑体" w:cs="Times New Roman"/>
      <w:b/>
      <w:snapToGrid/>
      <w:kern w:val="2"/>
      <w:sz w:val="32"/>
      <w:szCs w:val="24"/>
    </w:rPr>
  </w:style>
  <w:style w:type="paragraph" w:styleId="4">
    <w:name w:val="heading 3"/>
    <w:basedOn w:val="1"/>
    <w:next w:val="1"/>
    <w:unhideWhenUsed/>
    <w:qFormat/>
    <w:uiPriority w:val="0"/>
    <w:pPr>
      <w:keepNext/>
      <w:keepLines/>
      <w:numPr>
        <w:ilvl w:val="2"/>
        <w:numId w:val="1"/>
      </w:numPr>
      <w:spacing w:line="413" w:lineRule="auto"/>
      <w:outlineLvl w:val="2"/>
    </w:pPr>
    <w:rPr>
      <w:b/>
      <w:sz w:val="32"/>
    </w:rPr>
  </w:style>
  <w:style w:type="paragraph" w:styleId="5">
    <w:name w:val="heading 4"/>
    <w:basedOn w:val="1"/>
    <w:next w:val="1"/>
    <w:unhideWhenUsed/>
    <w:qFormat/>
    <w:uiPriority w:val="0"/>
    <w:pPr>
      <w:keepNext/>
      <w:keepLines/>
      <w:numPr>
        <w:ilvl w:val="3"/>
        <w:numId w:val="1"/>
      </w:numPr>
      <w:spacing w:line="372" w:lineRule="auto"/>
      <w:outlineLvl w:val="3"/>
    </w:pPr>
    <w:rPr>
      <w:rFonts w:eastAsia="黑体"/>
      <w:b/>
      <w:sz w:val="28"/>
    </w:rPr>
  </w:style>
  <w:style w:type="paragraph" w:styleId="6">
    <w:name w:val="heading 5"/>
    <w:basedOn w:val="1"/>
    <w:next w:val="1"/>
    <w:unhideWhenUsed/>
    <w:qFormat/>
    <w:uiPriority w:val="0"/>
    <w:pPr>
      <w:keepNext/>
      <w:keepLines/>
      <w:numPr>
        <w:ilvl w:val="4"/>
        <w:numId w:val="1"/>
      </w:numPr>
      <w:spacing w:line="372" w:lineRule="auto"/>
      <w:outlineLvl w:val="4"/>
    </w:pPr>
    <w:rPr>
      <w:b/>
      <w:sz w:val="28"/>
    </w:rPr>
  </w:style>
  <w:style w:type="paragraph" w:styleId="7">
    <w:name w:val="heading 6"/>
    <w:basedOn w:val="1"/>
    <w:next w:val="1"/>
    <w:semiHidden/>
    <w:unhideWhenUsed/>
    <w:qFormat/>
    <w:uiPriority w:val="0"/>
    <w:pPr>
      <w:keepNext/>
      <w:keepLines/>
      <w:numPr>
        <w:ilvl w:val="5"/>
        <w:numId w:val="1"/>
      </w:numPr>
      <w:spacing w:line="317" w:lineRule="auto"/>
      <w:outlineLvl w:val="5"/>
    </w:pPr>
    <w:rPr>
      <w:rFonts w:eastAsia="黑体"/>
      <w:b/>
      <w:sz w:val="24"/>
    </w:rPr>
  </w:style>
  <w:style w:type="paragraph" w:styleId="8">
    <w:name w:val="heading 7"/>
    <w:basedOn w:val="1"/>
    <w:next w:val="1"/>
    <w:semiHidden/>
    <w:unhideWhenUsed/>
    <w:qFormat/>
    <w:uiPriority w:val="0"/>
    <w:pPr>
      <w:keepNext/>
      <w:keepLines/>
      <w:numPr>
        <w:ilvl w:val="6"/>
        <w:numId w:val="1"/>
      </w:numPr>
      <w:spacing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line="317" w:lineRule="auto"/>
      <w:outlineLvl w:val="7"/>
    </w:pPr>
    <w:rPr>
      <w:rFonts w:eastAsia="黑体"/>
      <w:sz w:val="24"/>
    </w:rPr>
  </w:style>
  <w:style w:type="paragraph" w:styleId="10">
    <w:name w:val="heading 9"/>
    <w:basedOn w:val="1"/>
    <w:next w:val="1"/>
    <w:semiHidden/>
    <w:unhideWhenUsed/>
    <w:qFormat/>
    <w:uiPriority w:val="0"/>
    <w:pPr>
      <w:keepNext/>
      <w:keepLines/>
      <w:numPr>
        <w:ilvl w:val="8"/>
        <w:numId w:val="1"/>
      </w:numPr>
      <w:spacing w:line="317" w:lineRule="auto"/>
      <w:outlineLvl w:val="8"/>
    </w:pPr>
    <w:rPr>
      <w:rFonts w:eastAsia="黑体"/>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spacing w:after="200" w:line="360" w:lineRule="atLeast"/>
      <w:ind w:firstLine="420"/>
    </w:pPr>
    <w:rPr>
      <w:rFonts w:ascii="宋体" w:eastAsia="宋体"/>
      <w:sz w:val="24"/>
    </w:rPr>
  </w:style>
  <w:style w:type="paragraph" w:styleId="12">
    <w:name w:val="footer"/>
    <w:basedOn w:val="1"/>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kern w:val="2"/>
      <w:sz w:val="18"/>
      <w:szCs w:val="20"/>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4">
    <w:name w:val="toc 1"/>
    <w:basedOn w:val="1"/>
    <w:next w:val="1"/>
    <w:qFormat/>
    <w:uiPriority w:val="0"/>
    <w:pPr>
      <w:widowControl w:val="0"/>
      <w:kinsoku/>
      <w:autoSpaceDE/>
      <w:autoSpaceDN/>
      <w:adjustRightInd/>
      <w:snapToGrid/>
      <w:jc w:val="both"/>
      <w:textAlignment w:val="auto"/>
    </w:pPr>
    <w:rPr>
      <w:rFonts w:ascii="Times New Roman" w:hAnsi="Times New Roman" w:eastAsia="宋体" w:cs="Times New Roman"/>
      <w:snapToGrid/>
      <w:kern w:val="2"/>
      <w:szCs w:val="24"/>
    </w:rPr>
  </w:style>
  <w:style w:type="paragraph" w:styleId="15">
    <w:name w:val="toc 2"/>
    <w:basedOn w:val="1"/>
    <w:next w:val="1"/>
    <w:qFormat/>
    <w:uiPriority w:val="0"/>
    <w:pPr>
      <w:widowControl w:val="0"/>
      <w:kinsoku/>
      <w:autoSpaceDE/>
      <w:autoSpaceDN/>
      <w:adjustRightInd/>
      <w:snapToGrid/>
      <w:ind w:left="420" w:leftChars="200"/>
      <w:jc w:val="both"/>
      <w:textAlignment w:val="auto"/>
    </w:pPr>
    <w:rPr>
      <w:rFonts w:ascii="Times New Roman" w:hAnsi="Times New Roman" w:eastAsia="宋体" w:cs="Times New Roman"/>
      <w:snapToGrid/>
      <w:kern w:val="2"/>
      <w:szCs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0">
    <w:name w:val="WPSOffice手动目录 1"/>
    <w:qFormat/>
    <w:uiPriority w:val="0"/>
    <w:rPr>
      <w:rFonts w:ascii="Times New Roman" w:hAnsi="Times New Roman" w:eastAsia="宋体" w:cs="Times New Roman"/>
      <w:lang w:val="en-US" w:eastAsia="zh-CN" w:bidi="ar-SA"/>
    </w:rPr>
  </w:style>
  <w:style w:type="character" w:customStyle="1" w:styleId="21">
    <w:name w:val="font51"/>
    <w:qFormat/>
    <w:uiPriority w:val="0"/>
    <w:rPr>
      <w:rFonts w:hint="default" w:ascii="Arial Narrow" w:hAnsi="Arial Narrow" w:eastAsia="Arial Narrow" w:cs="Arial Narrow"/>
      <w:b/>
      <w:bCs/>
      <w:color w:val="000000"/>
      <w:sz w:val="18"/>
      <w:szCs w:val="18"/>
      <w:u w:val="none"/>
    </w:rPr>
  </w:style>
  <w:style w:type="character" w:customStyle="1" w:styleId="22">
    <w:name w:val="font41"/>
    <w:basedOn w:val="18"/>
    <w:qFormat/>
    <w:uiPriority w:val="0"/>
    <w:rPr>
      <w:rFonts w:ascii="Arial Narrow" w:hAnsi="Arial Narrow" w:eastAsia="Arial Narrow" w:cs="Arial Narrow"/>
      <w:b/>
      <w:color w:val="000000"/>
      <w:sz w:val="18"/>
      <w:szCs w:val="18"/>
      <w:u w:val="none"/>
    </w:rPr>
  </w:style>
  <w:style w:type="character" w:customStyle="1" w:styleId="23">
    <w:name w:val="font31"/>
    <w:qFormat/>
    <w:uiPriority w:val="0"/>
    <w:rPr>
      <w:rFonts w:hint="eastAsia" w:ascii="宋体" w:hAnsi="宋体" w:eastAsia="宋体" w:cs="宋体"/>
      <w:b/>
      <w:bCs/>
      <w:color w:val="000000"/>
      <w:sz w:val="18"/>
      <w:szCs w:val="18"/>
      <w:u w:val="none"/>
    </w:rPr>
  </w:style>
  <w:style w:type="character" w:customStyle="1" w:styleId="24">
    <w:name w:val="font61"/>
    <w:qFormat/>
    <w:uiPriority w:val="0"/>
    <w:rPr>
      <w:rFonts w:hint="eastAsia" w:ascii="宋体" w:hAnsi="宋体" w:eastAsia="宋体" w:cs="宋体"/>
      <w:color w:val="000000"/>
      <w:sz w:val="18"/>
      <w:szCs w:val="18"/>
      <w:u w:val="none"/>
    </w:rPr>
  </w:style>
  <w:style w:type="character" w:customStyle="1" w:styleId="25">
    <w:name w:val="font21"/>
    <w:basedOn w:val="18"/>
    <w:qFormat/>
    <w:uiPriority w:val="0"/>
    <w:rPr>
      <w:rFonts w:hint="eastAsia" w:ascii="宋体" w:hAnsi="宋体" w:eastAsia="宋体" w:cs="宋体"/>
      <w:b/>
      <w:color w:val="000000"/>
      <w:sz w:val="18"/>
      <w:szCs w:val="18"/>
      <w:u w:val="none"/>
    </w:rPr>
  </w:style>
  <w:style w:type="character" w:customStyle="1" w:styleId="26">
    <w:name w:val="font01"/>
    <w:basedOn w:val="18"/>
    <w:qFormat/>
    <w:uiPriority w:val="0"/>
    <w:rPr>
      <w:rFonts w:hint="default" w:ascii="Arial Narrow" w:hAnsi="Arial Narrow" w:eastAsia="Arial Narrow" w:cs="Arial Narrow"/>
      <w:b/>
      <w:color w:val="000000"/>
      <w:sz w:val="18"/>
      <w:szCs w:val="18"/>
      <w:u w:val="none"/>
    </w:rPr>
  </w:style>
  <w:style w:type="paragraph" w:styleId="2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2216</Words>
  <Characters>12635</Characters>
  <Lines>105</Lines>
  <Paragraphs>29</Paragraphs>
  <TotalTime>3</TotalTime>
  <ScaleCrop>false</ScaleCrop>
  <LinksUpToDate>false</LinksUpToDate>
  <CharactersWithSpaces>14822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2025-05-21T11:13:00Z</dcterms:created>
  <dc:creator>Administrator.X02AZ1PPVZHJ4RC</dc:creator>
  <cp:lastModifiedBy>user</cp:lastModifiedBy>
  <dcterms:modified xsi:type="dcterms:W3CDTF">2025-08-27T15:20:54Z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FD774A097B7C41BB9D6DE50DD6E40C9E_13</vt:lpwstr>
  </property>
  <property fmtid="{D5CDD505-2E9C-101B-9397-08002B2CF9AE}" pid="4" name="KSOSaveFontToCloudKey">
    <vt:lpwstr>385843251_cloud</vt:lpwstr>
  </property>
  <property fmtid="{D5CDD505-2E9C-101B-9397-08002B2CF9AE}" pid="5" name="KSOTemplateDocerSaveRecord">
    <vt:lpwstr>eyJoZGlkIjoiNzdmNGQzNWMxOTMyMzM0M2ExOTFmN2U4MjA1MzllNzMiLCJ1c2VySWQiOiIzODU4NDMyNTEifQ==</vt:lpwstr>
  </property>
</Properties>
</file>