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p>
    <w:p>
      <w:pPr>
        <w:adjustRightInd w:val="0"/>
        <w:snapToGrid w:val="0"/>
        <w:spacing w:line="360" w:lineRule="auto"/>
        <w:jc w:val="center"/>
        <w:rPr>
          <w:rFonts w:eastAsia="黑体"/>
          <w:b/>
          <w:sz w:val="52"/>
          <w:szCs w:val="52"/>
          <w:lang w:val="zh-CN"/>
        </w:rPr>
      </w:pPr>
    </w:p>
    <w:p>
      <w:pPr>
        <w:adjustRightInd w:val="0"/>
        <w:snapToGrid w:val="0"/>
        <w:spacing w:line="360" w:lineRule="auto"/>
        <w:jc w:val="center"/>
        <w:rPr>
          <w:rFonts w:eastAsia="黑体"/>
          <w:b/>
          <w:sz w:val="52"/>
          <w:szCs w:val="52"/>
          <w:lang w:val="zh-CN"/>
        </w:rPr>
      </w:pPr>
    </w:p>
    <w:p>
      <w:pPr>
        <w:adjustRightInd w:val="0"/>
        <w:snapToGrid w:val="0"/>
        <w:spacing w:line="360" w:lineRule="auto"/>
        <w:jc w:val="center"/>
        <w:rPr>
          <w:rFonts w:eastAsia="黑体"/>
          <w:b/>
          <w:sz w:val="52"/>
          <w:szCs w:val="52"/>
          <w:lang w:val="zh-CN"/>
        </w:rPr>
      </w:pPr>
    </w:p>
    <w:p>
      <w:pPr>
        <w:adjustRightInd w:val="0"/>
        <w:snapToGrid w:val="0"/>
        <w:spacing w:line="360" w:lineRule="auto"/>
        <w:jc w:val="center"/>
        <w:rPr>
          <w:rFonts w:eastAsia="黑体"/>
          <w:b/>
          <w:sz w:val="52"/>
          <w:szCs w:val="52"/>
          <w:lang w:val="zh-CN"/>
        </w:rPr>
      </w:pPr>
    </w:p>
    <w:p>
      <w:pPr>
        <w:adjustRightInd w:val="0"/>
        <w:snapToGrid w:val="0"/>
        <w:spacing w:line="360" w:lineRule="auto"/>
        <w:jc w:val="center"/>
        <w:rPr>
          <w:rFonts w:eastAsia="黑体"/>
          <w:b/>
          <w:sz w:val="52"/>
          <w:szCs w:val="52"/>
          <w:lang w:val="zh-CN"/>
        </w:rPr>
      </w:pPr>
    </w:p>
    <w:p>
      <w:pPr>
        <w:adjustRightInd w:val="0"/>
        <w:snapToGrid w:val="0"/>
        <w:spacing w:line="360" w:lineRule="auto"/>
        <w:jc w:val="center"/>
        <w:rPr>
          <w:rFonts w:eastAsia="黑体"/>
          <w:b/>
          <w:sz w:val="52"/>
          <w:szCs w:val="52"/>
          <w:lang w:val="zh-CN"/>
        </w:rPr>
      </w:pPr>
      <w:r>
        <w:rPr>
          <w:rFonts w:eastAsia="黑体"/>
          <w:b/>
          <w:sz w:val="52"/>
          <w:szCs w:val="52"/>
          <w:lang w:val="zh-CN"/>
        </w:rPr>
        <w:t>202</w:t>
      </w:r>
      <w:r>
        <w:rPr>
          <w:rFonts w:hint="eastAsia" w:eastAsia="黑体"/>
          <w:b/>
          <w:sz w:val="52"/>
          <w:szCs w:val="52"/>
          <w:lang w:val="en-US" w:eastAsia="zh-CN"/>
        </w:rPr>
        <w:t>4</w:t>
      </w:r>
      <w:r>
        <w:rPr>
          <w:rFonts w:eastAsia="黑体"/>
          <w:b/>
          <w:sz w:val="52"/>
          <w:szCs w:val="52"/>
          <w:lang w:val="zh-CN"/>
        </w:rPr>
        <w:t>年度部门整体绩效</w:t>
      </w:r>
      <w:r>
        <w:rPr>
          <w:rFonts w:hint="eastAsia" w:eastAsia="黑体"/>
          <w:b/>
          <w:sz w:val="52"/>
          <w:szCs w:val="52"/>
        </w:rPr>
        <w:t>评价</w:t>
      </w:r>
      <w:r>
        <w:rPr>
          <w:rFonts w:eastAsia="黑体"/>
          <w:b/>
          <w:sz w:val="52"/>
          <w:szCs w:val="52"/>
          <w:lang w:val="zh-CN"/>
        </w:rPr>
        <w:t>报告</w:t>
      </w:r>
    </w:p>
    <w:p>
      <w:pPr>
        <w:spacing w:line="560" w:lineRule="exact"/>
        <w:jc w:val="center"/>
        <w:rPr>
          <w:rFonts w:eastAsia="黑体"/>
          <w:bCs/>
          <w:sz w:val="36"/>
          <w:szCs w:val="44"/>
        </w:rPr>
      </w:pPr>
    </w:p>
    <w:p>
      <w:pPr>
        <w:pStyle w:val="9"/>
        <w:rPr>
          <w:rFonts w:eastAsia="黑体"/>
          <w:bCs/>
          <w:sz w:val="36"/>
          <w:szCs w:val="44"/>
        </w:rPr>
      </w:pPr>
    </w:p>
    <w:p>
      <w:pPr>
        <w:pStyle w:val="9"/>
        <w:rPr>
          <w:rFonts w:eastAsia="黑体"/>
          <w:bCs/>
          <w:sz w:val="36"/>
          <w:szCs w:val="44"/>
        </w:rPr>
      </w:pPr>
    </w:p>
    <w:p>
      <w:pPr>
        <w:pStyle w:val="9"/>
        <w:rPr>
          <w:rFonts w:eastAsia="黑体"/>
          <w:bCs/>
          <w:sz w:val="36"/>
          <w:szCs w:val="44"/>
        </w:rPr>
      </w:pPr>
    </w:p>
    <w:p>
      <w:pPr>
        <w:pStyle w:val="9"/>
        <w:rPr>
          <w:rFonts w:eastAsia="黑体"/>
          <w:bCs/>
          <w:sz w:val="36"/>
          <w:szCs w:val="44"/>
        </w:rPr>
      </w:pPr>
    </w:p>
    <w:p>
      <w:pPr>
        <w:pStyle w:val="9"/>
        <w:rPr>
          <w:rFonts w:eastAsia="黑体"/>
          <w:bCs/>
          <w:sz w:val="36"/>
          <w:szCs w:val="44"/>
        </w:rPr>
      </w:pPr>
    </w:p>
    <w:p>
      <w:pPr>
        <w:pStyle w:val="9"/>
        <w:ind w:left="0" w:leftChars="0"/>
        <w:rPr>
          <w:rFonts w:eastAsia="黑体"/>
          <w:bCs/>
          <w:sz w:val="36"/>
          <w:szCs w:val="44"/>
        </w:rPr>
      </w:pPr>
    </w:p>
    <w:p>
      <w:pPr>
        <w:spacing w:line="560" w:lineRule="exact"/>
        <w:jc w:val="center"/>
        <w:rPr>
          <w:rFonts w:eastAsia="黑体"/>
          <w:bCs/>
          <w:sz w:val="36"/>
          <w:szCs w:val="44"/>
        </w:rPr>
      </w:pPr>
      <w:r>
        <w:rPr>
          <w:rFonts w:eastAsia="黑体"/>
          <w:bCs/>
          <w:sz w:val="36"/>
          <w:szCs w:val="44"/>
        </w:rPr>
        <w:t>202</w:t>
      </w:r>
      <w:r>
        <w:rPr>
          <w:rFonts w:hint="eastAsia" w:eastAsia="黑体"/>
          <w:bCs/>
          <w:sz w:val="36"/>
          <w:szCs w:val="44"/>
          <w:lang w:val="en-US" w:eastAsia="zh-CN"/>
        </w:rPr>
        <w:t>5</w:t>
      </w:r>
      <w:r>
        <w:rPr>
          <w:rFonts w:eastAsia="黑体"/>
          <w:bCs/>
          <w:sz w:val="36"/>
          <w:szCs w:val="44"/>
        </w:rPr>
        <w:t>年</w:t>
      </w:r>
      <w:r>
        <w:rPr>
          <w:rFonts w:hint="eastAsia" w:eastAsia="黑体"/>
          <w:bCs/>
          <w:sz w:val="36"/>
          <w:szCs w:val="44"/>
        </w:rPr>
        <w:t>5</w:t>
      </w:r>
      <w:r>
        <w:rPr>
          <w:rFonts w:eastAsia="黑体"/>
          <w:bCs/>
          <w:sz w:val="36"/>
          <w:szCs w:val="44"/>
        </w:rPr>
        <w:t>月</w:t>
      </w:r>
    </w:p>
    <w:p>
      <w:pPr>
        <w:spacing w:line="560" w:lineRule="exact"/>
        <w:rPr>
          <w:rFonts w:eastAsia="黑体"/>
          <w:bCs/>
          <w:sz w:val="36"/>
          <w:szCs w:val="44"/>
        </w:rPr>
      </w:pPr>
    </w:p>
    <w:p>
      <w:pPr>
        <w:jc w:val="center"/>
        <w:rPr>
          <w:rFonts w:ascii="宋体" w:hAnsi="宋体"/>
        </w:rPr>
        <w:sectPr>
          <w:footerReference r:id="rId3" w:type="default"/>
          <w:pgSz w:w="11906" w:h="16838"/>
          <w:pgMar w:top="1440" w:right="1800" w:bottom="1440" w:left="1800" w:header="851" w:footer="992" w:gutter="0"/>
          <w:pgNumType w:fmt="numberInDash"/>
          <w:cols w:space="425" w:num="1"/>
          <w:docGrid w:type="lines" w:linePitch="312" w:charSpace="0"/>
        </w:sectPr>
      </w:pPr>
    </w:p>
    <w:p>
      <w:pPr>
        <w:jc w:val="center"/>
        <w:rPr>
          <w:rFonts w:ascii="黑体" w:hAnsi="黑体" w:eastAsia="黑体" w:cs="黑体"/>
          <w:sz w:val="32"/>
          <w:szCs w:val="32"/>
        </w:rPr>
      </w:pPr>
    </w:p>
    <w:p>
      <w:pPr>
        <w:jc w:val="center"/>
        <w:rPr>
          <w:rFonts w:ascii="黑体" w:hAnsi="黑体" w:eastAsia="黑体" w:cs="黑体"/>
          <w:sz w:val="32"/>
          <w:szCs w:val="32"/>
        </w:rPr>
      </w:pPr>
      <w:r>
        <w:rPr>
          <w:rFonts w:hint="eastAsia" w:ascii="黑体" w:hAnsi="黑体" w:eastAsia="黑体" w:cs="黑体"/>
          <w:sz w:val="32"/>
          <w:szCs w:val="32"/>
        </w:rPr>
        <w:t>目  录</w:t>
      </w:r>
    </w:p>
    <w:p>
      <w:pPr>
        <w:pStyle w:val="13"/>
        <w:tabs>
          <w:tab w:val="right" w:leader="dot" w:pos="8306"/>
        </w:tabs>
        <w:ind w:left="416" w:leftChars="0" w:hanging="416" w:hangingChars="139"/>
        <w:rPr>
          <w:rFonts w:ascii="楷体_GB2312" w:hAnsi="楷体_GB2312" w:eastAsia="楷体_GB2312" w:cs="楷体_GB2312"/>
          <w:sz w:val="30"/>
          <w:szCs w:val="30"/>
        </w:rPr>
      </w:pPr>
      <w:r>
        <w:rPr>
          <w:rFonts w:hint="eastAsia" w:ascii="楷体_GB2312" w:hAnsi="楷体_GB2312" w:eastAsia="楷体_GB2312" w:cs="楷体_GB2312"/>
          <w:caps/>
          <w:sz w:val="30"/>
          <w:szCs w:val="30"/>
        </w:rPr>
        <w:fldChar w:fldCharType="begin"/>
      </w:r>
      <w:r>
        <w:rPr>
          <w:rFonts w:hint="eastAsia" w:ascii="楷体_GB2312" w:hAnsi="楷体_GB2312" w:eastAsia="楷体_GB2312" w:cs="楷体_GB2312"/>
          <w:caps/>
          <w:sz w:val="30"/>
          <w:szCs w:val="30"/>
        </w:rPr>
        <w:instrText xml:space="preserve">TOC \o "1-2" \h \u </w:instrText>
      </w:r>
      <w:r>
        <w:rPr>
          <w:rFonts w:hint="eastAsia" w:ascii="楷体_GB2312" w:hAnsi="楷体_GB2312" w:eastAsia="楷体_GB2312" w:cs="楷体_GB2312"/>
          <w:caps/>
          <w:sz w:val="30"/>
          <w:szCs w:val="30"/>
        </w:rPr>
        <w:fldChar w:fldCharType="separate"/>
      </w:r>
      <w:r>
        <w:fldChar w:fldCharType="begin"/>
      </w:r>
      <w:r>
        <w:instrText xml:space="preserve"> HYPERLINK \l "_Toc19571" </w:instrText>
      </w:r>
      <w:r>
        <w:fldChar w:fldCharType="separate"/>
      </w:r>
      <w:r>
        <w:rPr>
          <w:rFonts w:hint="eastAsia" w:ascii="楷体_GB2312" w:hAnsi="楷体_GB2312" w:eastAsia="楷体_GB2312" w:cs="楷体_GB2312"/>
          <w:sz w:val="30"/>
          <w:szCs w:val="30"/>
        </w:rPr>
        <w:t>一、部门概况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_Toc19571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"_Toc23337" </w:instrText>
      </w:r>
      <w:r>
        <w:fldChar w:fldCharType="separate"/>
      </w:r>
      <w:r>
        <w:rPr>
          <w:rFonts w:hint="eastAsia" w:ascii="楷体_GB2312" w:hAnsi="楷体_GB2312" w:eastAsia="楷体_GB2312" w:cs="楷体_GB2312"/>
          <w:sz w:val="30"/>
          <w:szCs w:val="30"/>
        </w:rPr>
        <w:t>（一）机构设置及职责工作任务情况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_Toc23337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"_Toc28088" </w:instrText>
      </w:r>
      <w:r>
        <w:fldChar w:fldCharType="separate"/>
      </w:r>
      <w:r>
        <w:rPr>
          <w:rFonts w:hint="eastAsia" w:ascii="楷体_GB2312" w:hAnsi="楷体_GB2312" w:eastAsia="楷体_GB2312" w:cs="楷体_GB2312"/>
          <w:sz w:val="30"/>
          <w:szCs w:val="30"/>
        </w:rPr>
        <w:t>（二）部门整体绩效目标设立情况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_Toc28088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2</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"_Toc7525" </w:instrText>
      </w:r>
      <w:r>
        <w:fldChar w:fldCharType="separate"/>
      </w:r>
      <w:r>
        <w:rPr>
          <w:rFonts w:hint="eastAsia" w:ascii="楷体_GB2312" w:hAnsi="楷体_GB2312" w:eastAsia="楷体_GB2312" w:cs="楷体_GB2312"/>
          <w:sz w:val="30"/>
          <w:szCs w:val="30"/>
        </w:rPr>
        <w:t>二、当年预算执行情况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_Toc7525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4</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"_Toc11777" </w:instrText>
      </w:r>
      <w:r>
        <w:fldChar w:fldCharType="separate"/>
      </w:r>
      <w:r>
        <w:rPr>
          <w:rFonts w:hint="eastAsia" w:ascii="楷体_GB2312" w:hAnsi="楷体_GB2312" w:eastAsia="楷体_GB2312" w:cs="楷体_GB2312"/>
          <w:sz w:val="30"/>
          <w:szCs w:val="30"/>
        </w:rPr>
        <w:t>三、整体绩效目标实现情况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_Toc11777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4</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"_Toc23605" </w:instrText>
      </w:r>
      <w:r>
        <w:fldChar w:fldCharType="separate"/>
      </w:r>
      <w:r>
        <w:rPr>
          <w:rFonts w:hint="eastAsia" w:ascii="楷体_GB2312" w:hAnsi="楷体_GB2312" w:eastAsia="楷体_GB2312" w:cs="楷体_GB2312"/>
          <w:sz w:val="30"/>
          <w:szCs w:val="30"/>
        </w:rPr>
        <w:t>（一）产出完成情况分析</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_Toc23605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4</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"_Toc13490" </w:instrText>
      </w:r>
      <w:r>
        <w:fldChar w:fldCharType="separate"/>
      </w:r>
      <w:r>
        <w:rPr>
          <w:rFonts w:hint="eastAsia" w:ascii="楷体_GB2312" w:hAnsi="楷体_GB2312" w:eastAsia="楷体_GB2312" w:cs="楷体_GB2312"/>
          <w:sz w:val="30"/>
          <w:szCs w:val="30"/>
        </w:rPr>
        <w:t>（二）效果实现情况分析</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_Toc13490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7</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"_Toc14429" </w:instrText>
      </w:r>
      <w:r>
        <w:fldChar w:fldCharType="separate"/>
      </w:r>
      <w:r>
        <w:rPr>
          <w:rFonts w:hint="eastAsia" w:ascii="楷体_GB2312" w:hAnsi="楷体_GB2312" w:eastAsia="楷体_GB2312" w:cs="楷体_GB2312"/>
          <w:sz w:val="30"/>
          <w:szCs w:val="30"/>
        </w:rPr>
        <w:t>四、预算管理情况分析</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_Toc14429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10</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"_Toc8877" </w:instrText>
      </w:r>
      <w:r>
        <w:fldChar w:fldCharType="separate"/>
      </w:r>
      <w:r>
        <w:rPr>
          <w:rFonts w:hint="eastAsia" w:ascii="楷体_GB2312" w:hAnsi="楷体_GB2312" w:eastAsia="楷体_GB2312" w:cs="楷体_GB2312"/>
          <w:sz w:val="30"/>
          <w:szCs w:val="30"/>
        </w:rPr>
        <w:t>（一）财务管理</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_Toc8877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10</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"_Toc28885" </w:instrText>
      </w:r>
      <w:r>
        <w:fldChar w:fldCharType="separate"/>
      </w:r>
      <w:r>
        <w:rPr>
          <w:rFonts w:hint="eastAsia" w:ascii="楷体_GB2312" w:hAnsi="楷体_GB2312" w:eastAsia="楷体_GB2312" w:cs="楷体_GB2312"/>
          <w:sz w:val="30"/>
          <w:szCs w:val="30"/>
        </w:rPr>
        <w:t>（二）资产管理</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_Toc28885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12</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"_Toc29743" </w:instrText>
      </w:r>
      <w:r>
        <w:fldChar w:fldCharType="separate"/>
      </w:r>
      <w:r>
        <w:rPr>
          <w:rFonts w:hint="eastAsia" w:ascii="楷体_GB2312" w:hAnsi="楷体_GB2312" w:eastAsia="楷体_GB2312" w:cs="楷体_GB2312"/>
          <w:sz w:val="30"/>
          <w:szCs w:val="30"/>
        </w:rPr>
        <w:t>（三）绩效管理</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_Toc29743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13</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"_Toc22463" </w:instrText>
      </w:r>
      <w:r>
        <w:fldChar w:fldCharType="separate"/>
      </w:r>
      <w:r>
        <w:rPr>
          <w:rFonts w:hint="eastAsia" w:ascii="楷体_GB2312" w:hAnsi="楷体_GB2312" w:eastAsia="楷体_GB2312" w:cs="楷体_GB2312"/>
          <w:sz w:val="30"/>
          <w:szCs w:val="30"/>
        </w:rPr>
        <w:t>（四）结转结余率</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_Toc22463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14</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"_Toc26921" </w:instrText>
      </w:r>
      <w:r>
        <w:fldChar w:fldCharType="separate"/>
      </w:r>
      <w:r>
        <w:rPr>
          <w:rFonts w:hint="eastAsia" w:ascii="楷体_GB2312" w:hAnsi="楷体_GB2312" w:eastAsia="楷体_GB2312" w:cs="楷体_GB2312"/>
          <w:sz w:val="30"/>
          <w:szCs w:val="30"/>
        </w:rPr>
        <w:t>（五）部门预决算差异率</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_Toc26921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14</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"_Toc12748" </w:instrText>
      </w:r>
      <w:r>
        <w:fldChar w:fldCharType="separate"/>
      </w:r>
      <w:r>
        <w:rPr>
          <w:rFonts w:hint="eastAsia" w:ascii="楷体_GB2312" w:hAnsi="楷体_GB2312" w:eastAsia="楷体_GB2312" w:cs="楷体_GB2312"/>
          <w:sz w:val="30"/>
          <w:szCs w:val="30"/>
        </w:rPr>
        <w:t>五、总体评价结论</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_Toc12748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"_Toc3505" </w:instrText>
      </w:r>
      <w:r>
        <w:fldChar w:fldCharType="separate"/>
      </w:r>
      <w:r>
        <w:rPr>
          <w:rFonts w:hint="eastAsia" w:ascii="楷体_GB2312" w:hAnsi="楷体_GB2312" w:eastAsia="楷体_GB2312" w:cs="楷体_GB2312"/>
          <w:sz w:val="30"/>
          <w:szCs w:val="30"/>
        </w:rPr>
        <w:t>（一）评价得分情况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_Toc3505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"_Toc4934" </w:instrText>
      </w:r>
      <w:r>
        <w:fldChar w:fldCharType="separate"/>
      </w:r>
      <w:r>
        <w:rPr>
          <w:rFonts w:hint="eastAsia" w:ascii="楷体_GB2312" w:hAnsi="楷体_GB2312" w:eastAsia="楷体_GB2312" w:cs="楷体_GB2312"/>
          <w:sz w:val="30"/>
          <w:szCs w:val="30"/>
        </w:rPr>
        <w:t>（二）存在的问题及原因分析</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_Toc4934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"_Toc18092" </w:instrText>
      </w:r>
      <w:r>
        <w:fldChar w:fldCharType="separate"/>
      </w:r>
      <w:r>
        <w:rPr>
          <w:rFonts w:hint="eastAsia" w:ascii="楷体_GB2312" w:hAnsi="楷体_GB2312" w:eastAsia="楷体_GB2312" w:cs="楷体_GB2312"/>
          <w:sz w:val="30"/>
          <w:szCs w:val="30"/>
        </w:rPr>
        <w:t>六、措施建议</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_Toc18092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16</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pStyle w:val="13"/>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"_Toc28727" </w:instrText>
      </w:r>
      <w:r>
        <w:fldChar w:fldCharType="separate"/>
      </w:r>
      <w:r>
        <w:rPr>
          <w:rFonts w:hint="eastAsia" w:ascii="楷体_GB2312" w:hAnsi="楷体_GB2312" w:eastAsia="楷体_GB2312" w:cs="楷体_GB2312"/>
          <w:sz w:val="30"/>
          <w:szCs w:val="30"/>
        </w:rPr>
        <w:t>七、附件</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_Toc28727 \h </w:instrText>
      </w:r>
      <w:r>
        <w:rPr>
          <w:rFonts w:hint="eastAsia" w:ascii="楷体_GB2312" w:hAnsi="楷体_GB2312" w:eastAsia="楷体_GB2312" w:cs="楷体_GB2312"/>
          <w:sz w:val="30"/>
          <w:szCs w:val="30"/>
        </w:rPr>
        <w:fldChar w:fldCharType="separate"/>
      </w:r>
      <w:r>
        <w:rPr>
          <w:rFonts w:hint="eastAsia" w:ascii="楷体_GB2312" w:hAnsi="楷体_GB2312" w:eastAsia="楷体_GB2312" w:cs="楷体_GB2312"/>
          <w:sz w:val="30"/>
          <w:szCs w:val="30"/>
        </w:rPr>
        <w:t>16</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pPr>
        <w:spacing w:line="560" w:lineRule="exact"/>
        <w:ind w:left="417" w:hanging="416" w:hangingChars="139"/>
        <w:jc w:val="center"/>
        <w:rPr>
          <w:rFonts w:ascii="仿宋_GB2312" w:hAnsi="仿宋_GB2312" w:eastAsia="仿宋_GB2312" w:cs="仿宋_GB2312"/>
          <w:caps/>
          <w:szCs w:val="28"/>
        </w:rPr>
      </w:pPr>
      <w:r>
        <w:rPr>
          <w:rFonts w:hint="eastAsia" w:ascii="楷体_GB2312" w:hAnsi="楷体_GB2312" w:eastAsia="楷体_GB2312" w:cs="楷体_GB2312"/>
          <w:caps/>
          <w:sz w:val="30"/>
          <w:szCs w:val="30"/>
        </w:rPr>
        <w:fldChar w:fldCharType="end"/>
      </w:r>
    </w:p>
    <w:p>
      <w:pPr>
        <w:spacing w:line="560" w:lineRule="exact"/>
        <w:jc w:val="center"/>
        <w:rPr>
          <w:rFonts w:ascii="方正小标宋简体" w:eastAsia="方正小标宋简体"/>
          <w:sz w:val="36"/>
          <w:szCs w:val="36"/>
        </w:rPr>
        <w:sectPr>
          <w:footerReference r:id="rId4" w:type="default"/>
          <w:pgSz w:w="11906" w:h="16838"/>
          <w:pgMar w:top="1440" w:right="1800" w:bottom="1440" w:left="1800" w:header="851" w:footer="992" w:gutter="0"/>
          <w:cols w:space="0" w:num="1"/>
          <w:docGrid w:type="lines" w:linePitch="312" w:charSpace="0"/>
        </w:sectPr>
      </w:pPr>
    </w:p>
    <w:p>
      <w:pPr>
        <w:spacing w:line="600" w:lineRule="exact"/>
        <w:jc w:val="center"/>
        <w:rPr>
          <w:rFonts w:ascii="方正小标宋简体" w:eastAsia="方正小标宋简体"/>
          <w:sz w:val="36"/>
          <w:szCs w:val="36"/>
        </w:rPr>
      </w:pPr>
      <w:r>
        <w:rPr>
          <w:rFonts w:hint="eastAsia" w:ascii="方正小标宋简体" w:eastAsia="方正小标宋简体"/>
          <w:sz w:val="36"/>
          <w:szCs w:val="36"/>
        </w:rPr>
        <w:t>北京一轻控股有限责任公司</w:t>
      </w:r>
    </w:p>
    <w:p>
      <w:pPr>
        <w:spacing w:line="600" w:lineRule="exact"/>
        <w:jc w:val="center"/>
        <w:rPr>
          <w:rFonts w:ascii="方正小标宋简体" w:eastAsia="方正小标宋简体"/>
          <w:sz w:val="36"/>
          <w:szCs w:val="36"/>
        </w:rPr>
      </w:pPr>
      <w:r>
        <w:rPr>
          <w:rFonts w:hint="eastAsia" w:ascii="方正小标宋简体" w:eastAsia="方正小标宋简体"/>
          <w:sz w:val="36"/>
          <w:szCs w:val="36"/>
        </w:rPr>
        <w:t>202</w:t>
      </w:r>
      <w:r>
        <w:rPr>
          <w:rFonts w:hint="eastAsia" w:ascii="方正小标宋简体" w:eastAsia="方正小标宋简体"/>
          <w:sz w:val="36"/>
          <w:szCs w:val="36"/>
          <w:lang w:val="en-US" w:eastAsia="zh-CN"/>
        </w:rPr>
        <w:t>4</w:t>
      </w:r>
      <w:r>
        <w:rPr>
          <w:rFonts w:hint="eastAsia" w:ascii="方正小标宋简体" w:eastAsia="方正小标宋简体"/>
          <w:sz w:val="36"/>
          <w:szCs w:val="36"/>
        </w:rPr>
        <w:t>年度整体绩效评价报告</w:t>
      </w:r>
    </w:p>
    <w:p>
      <w:pPr>
        <w:spacing w:line="600" w:lineRule="exact"/>
        <w:jc w:val="center"/>
        <w:rPr>
          <w:rFonts w:ascii="仿宋_GB2312"/>
          <w:szCs w:val="30"/>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pPr>
      <w:bookmarkStart w:id="0" w:name="_Toc19571"/>
      <w:r>
        <w:rPr>
          <w:rFonts w:hint="eastAsia"/>
        </w:rPr>
        <w:t>一、部门概况</w:t>
      </w:r>
      <w:bookmarkEnd w:id="0"/>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lang w:eastAsia="zh-CN"/>
        </w:rPr>
      </w:pPr>
      <w:bookmarkStart w:id="1" w:name="_Toc23337"/>
      <w:r>
        <w:rPr>
          <w:rFonts w:hint="eastAsia" w:ascii="楷体_GB2312" w:hAnsi="楷体_GB2312" w:eastAsia="楷体_GB2312" w:cs="楷体_GB2312"/>
        </w:rPr>
        <w:t>（一）</w:t>
      </w:r>
      <w:bookmarkEnd w:id="1"/>
      <w:r>
        <w:rPr>
          <w:rFonts w:hint="eastAsia" w:ascii="楷体_GB2312" w:hAnsi="楷体_GB2312" w:eastAsia="楷体_GB2312" w:cs="楷体_GB2312"/>
          <w:lang w:eastAsia="zh-CN"/>
        </w:rPr>
        <w:t>部门基本情况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北京一轻控股有限责任公司</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以下简称一轻控股</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是由北京国有资本</w:t>
      </w:r>
      <w:r>
        <w:rPr>
          <w:rFonts w:hint="eastAsia" w:ascii="仿宋_GB2312" w:eastAsia="仿宋_GB2312"/>
          <w:sz w:val="32"/>
          <w:szCs w:val="32"/>
          <w:highlight w:val="none"/>
          <w:lang w:eastAsia="zh-CN"/>
        </w:rPr>
        <w:t>运营管理有限公司</w:t>
      </w:r>
      <w:r>
        <w:rPr>
          <w:rFonts w:hint="eastAsia" w:ascii="仿宋_GB2312" w:eastAsia="仿宋_GB2312"/>
          <w:sz w:val="32"/>
          <w:szCs w:val="32"/>
          <w:highlight w:val="none"/>
        </w:rPr>
        <w:t>出资、隶属于北京市国资委的大型国有独资公司。</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一轻控股作为一级主管单位，主要职责：加强对所属事业单位预决算、资产、项目、采购、绩效等各方面的监督管理工作，根据所属事业单位具体情况，提出工作中的合理化建议，提高工作质量及效率。</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公司下属</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个部门预算单位，</w:t>
      </w:r>
      <w:r>
        <w:rPr>
          <w:rFonts w:hint="eastAsia" w:ascii="仿宋_GB2312" w:eastAsia="仿宋_GB2312"/>
          <w:sz w:val="32"/>
          <w:szCs w:val="32"/>
          <w:highlight w:val="none"/>
          <w:lang w:val="en-US" w:eastAsia="zh-CN"/>
        </w:rPr>
        <w:t>分别</w:t>
      </w:r>
      <w:r>
        <w:rPr>
          <w:rFonts w:hint="eastAsia" w:ascii="仿宋_GB2312" w:eastAsia="仿宋_GB2312"/>
          <w:sz w:val="32"/>
          <w:szCs w:val="32"/>
          <w:highlight w:val="none"/>
        </w:rPr>
        <w:t>为</w:t>
      </w:r>
      <w:r>
        <w:rPr>
          <w:rFonts w:hint="eastAsia" w:ascii="仿宋_GB2312" w:eastAsia="仿宋_GB2312"/>
          <w:sz w:val="32"/>
          <w:szCs w:val="32"/>
          <w:highlight w:val="none"/>
          <w:lang w:val="en-US" w:eastAsia="zh-CN"/>
        </w:rPr>
        <w:t>北京一轻控股有限责任公司本级、</w:t>
      </w:r>
      <w:r>
        <w:rPr>
          <w:rFonts w:hint="eastAsia" w:ascii="仿宋_GB2312" w:eastAsia="仿宋_GB2312"/>
          <w:sz w:val="32"/>
          <w:szCs w:val="32"/>
          <w:highlight w:val="none"/>
        </w:rPr>
        <w:t>北京轻工技师学院（</w:t>
      </w:r>
      <w:r>
        <w:rPr>
          <w:rFonts w:hint="eastAsia" w:ascii="仿宋_GB2312" w:eastAsia="仿宋_GB2312"/>
          <w:sz w:val="32"/>
          <w:szCs w:val="32"/>
          <w:highlight w:val="none"/>
          <w:lang w:val="en-US" w:eastAsia="zh-CN"/>
        </w:rPr>
        <w:t>北京</w:t>
      </w:r>
      <w:r>
        <w:rPr>
          <w:rFonts w:hint="eastAsia" w:ascii="仿宋_GB2312" w:eastAsia="仿宋_GB2312"/>
          <w:sz w:val="32"/>
          <w:szCs w:val="32"/>
          <w:highlight w:val="none"/>
        </w:rPr>
        <w:t>乐器研究所）</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以下简称技师学院</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其中：</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北京一轻控股有限责任公司本级承担转企以前退休人员工资发放、离休人员医保补贴等职责。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640" w:firstLineChars="200"/>
        <w:textAlignment w:val="auto"/>
        <w:rPr>
          <w:rFonts w:hint="eastAsia"/>
          <w:sz w:val="32"/>
          <w:szCs w:val="32"/>
        </w:rPr>
      </w:pPr>
      <w:r>
        <w:rPr>
          <w:rFonts w:hint="eastAsia" w:ascii="仿宋_GB2312" w:eastAsia="仿宋_GB2312"/>
          <w:sz w:val="32"/>
          <w:szCs w:val="32"/>
          <w:highlight w:val="none"/>
          <w:lang w:val="en-US" w:eastAsia="zh-CN"/>
        </w:rPr>
        <w:t>技师</w:t>
      </w:r>
      <w:r>
        <w:rPr>
          <w:rFonts w:hint="eastAsia" w:ascii="仿宋_GB2312" w:eastAsia="仿宋_GB2312"/>
          <w:sz w:val="32"/>
          <w:szCs w:val="32"/>
          <w:highlight w:val="none"/>
        </w:rPr>
        <w:t>学院坚持“立德树人、开放办学、内涵发展、特色立校”的办学理念，以国家级高技能人才培训基地建设项目、国家人社部一体化课程改革和北京市特色高水平骨干专业、技术技能大师工作室等国家级、市级项目作为发展契机，积极推行学制教育与职业培训并举、学校教育与企业培养相结合的办学模式，实现了核心竞争力和社会影响力的同步提升，现已成为集学制教育、培训鉴定、公共服务等多功能为一体的高技能人才综合培养基地。</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rPr>
      </w:pPr>
      <w:bookmarkStart w:id="2" w:name="_Toc28088"/>
      <w:r>
        <w:rPr>
          <w:rFonts w:hint="eastAsia" w:ascii="楷体_GB2312" w:hAnsi="楷体_GB2312" w:eastAsia="楷体_GB2312" w:cs="楷体_GB2312"/>
        </w:rPr>
        <w:t>（二）部门整体绩效目标设立情况</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北京一轻控股有限责任公司作为一级主管单位，要进一步加强对所属事业单位预决算、资产、项目、采购、绩效、内控等各方面的监督管理工作，2024年根据工作计划对所属事业单位进行检查，并提出合理化建议，提高工作质量及效率。其中</w:t>
      </w:r>
      <w:r>
        <w:rPr>
          <w:rFonts w:hint="eastAsia" w:ascii="仿宋_GB2312" w:hAnsi="宋体" w:eastAsia="仿宋_GB2312" w:cs="宋体"/>
          <w:color w:val="000000"/>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轻工技师学院（北京乐器研究所）以习近平新时代中国特色社会主义思想为指导，全面贯彻党的教育方针，落实立德树人根本任务，以“为党育人、为国育才”为根本目标，坚持党建引领，加强党的建设；抓好教育教学和项目竞赛工作，深化学生日常管理和德育教育工作，培训和学生技能等级认定工作，学生实习预分配和毕业推荐工作；推动精益化管理，强化制度落实，严格预算管理工作，持续推进信息化建设工作，保安全维稳定，打造高素质一体化师资队伍，推进产教融合、校企合作，实现教育教学质量再突破，办学水平再提高，办学效益再跨越，为首都经济社会发展做出更大贡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2024年，</w:t>
      </w:r>
      <w:r>
        <w:rPr>
          <w:rFonts w:hint="eastAsia" w:ascii="仿宋_GB2312" w:hAnsi="宋体" w:eastAsia="仿宋_GB2312" w:cs="宋体"/>
          <w:color w:val="000000"/>
          <w:kern w:val="0"/>
          <w:sz w:val="32"/>
          <w:szCs w:val="32"/>
        </w:rPr>
        <w:t>技师学院</w:t>
      </w:r>
      <w:r>
        <w:rPr>
          <w:rFonts w:hint="eastAsia" w:ascii="仿宋_GB2312" w:hAnsi="宋体" w:eastAsia="仿宋_GB2312" w:cs="宋体"/>
          <w:color w:val="000000"/>
          <w:kern w:val="0"/>
          <w:sz w:val="32"/>
          <w:szCs w:val="32"/>
          <w:lang w:val="en-US" w:eastAsia="zh-CN"/>
        </w:rPr>
        <w:t>按照一轻控股党委年度全面从严治党任务安排及各项工作要点等组织实施工作。抓好巡视巡察反馈意见整改落实情况、专项工作开展自查自纠情况，推进巡视巡察整改成果运用情况。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技师学院紧密围绕“四个中心”首都城市战略定位和北京城市总体规划，开展国家级高技能人才培训基地项目建设，开发了《面包制作》《焙烤食品检测》等5门工学一体化培训课程，发表了10余篇研究论文，培训1800余名高技能人才</w:t>
      </w:r>
      <w:r>
        <w:rPr>
          <w:rFonts w:hint="eastAsia" w:ascii="仿宋_GB2312" w:hAnsi="宋体" w:eastAsia="仿宋_GB2312" w:cs="宋体"/>
          <w:color w:val="000000"/>
          <w:kern w:val="0"/>
          <w:sz w:val="32"/>
          <w:szCs w:val="32"/>
          <w:lang w:eastAsia="zh-CN"/>
        </w:rPr>
        <w:t>。提升了质量管理水平，学生管理有序，教学秩序良好，食宿管理规范，无食品安全、人身安全和治安事件发生。继续做好工学一体化课程教学试点校工作，专业设置合理，丰富专业建设；学生毕业率达到98%，中、高级工技术等级合格率达到95%。作为实训基地，</w:t>
      </w:r>
      <w:r>
        <w:rPr>
          <w:rFonts w:hint="eastAsia" w:ascii="仿宋_GB2312" w:hAnsi="宋体" w:eastAsia="仿宋_GB2312" w:cs="宋体"/>
          <w:color w:val="000000"/>
          <w:kern w:val="0"/>
          <w:sz w:val="32"/>
          <w:szCs w:val="32"/>
          <w:lang w:val="en-US" w:eastAsia="zh-CN"/>
        </w:rPr>
        <w:t>继续</w:t>
      </w:r>
      <w:r>
        <w:rPr>
          <w:rFonts w:hint="eastAsia" w:ascii="仿宋_GB2312" w:hAnsi="宋体" w:eastAsia="仿宋_GB2312" w:cs="宋体"/>
          <w:color w:val="000000"/>
          <w:kern w:val="0"/>
          <w:sz w:val="32"/>
          <w:szCs w:val="32"/>
          <w:lang w:eastAsia="zh-CN"/>
        </w:rPr>
        <w:t>支持保障一轻控股下属企业职业技能等级认定培训、实操及考评工作有序开展。</w:t>
      </w:r>
      <w:r>
        <w:rPr>
          <w:rFonts w:hint="eastAsia" w:ascii="仿宋_GB2312" w:hAnsi="宋体" w:eastAsia="仿宋_GB2312" w:cs="宋体"/>
          <w:color w:val="000000"/>
          <w:kern w:val="0"/>
          <w:sz w:val="32"/>
          <w:szCs w:val="32"/>
        </w:rPr>
        <w:t>打造高素质一体化师资队伍，</w:t>
      </w:r>
      <w:r>
        <w:rPr>
          <w:rFonts w:hint="eastAsia" w:ascii="仿宋_GB2312" w:hAnsi="宋体" w:eastAsia="仿宋_GB2312" w:cs="宋体"/>
          <w:color w:val="000000"/>
          <w:kern w:val="0"/>
          <w:sz w:val="32"/>
          <w:szCs w:val="32"/>
          <w:lang w:eastAsia="zh-CN"/>
        </w:rPr>
        <w:t>教师上岗合格率100%，专业教师“双师型”占75%以上。</w:t>
      </w:r>
      <w:r>
        <w:rPr>
          <w:rFonts w:hint="eastAsia" w:ascii="仿宋_GB2312" w:hAnsi="宋体" w:eastAsia="仿宋_GB2312" w:cs="宋体"/>
          <w:color w:val="000000"/>
          <w:kern w:val="0"/>
          <w:sz w:val="32"/>
          <w:szCs w:val="32"/>
          <w:lang w:val="en-US" w:eastAsia="zh-CN"/>
        </w:rPr>
        <w:t>继续</w:t>
      </w:r>
      <w:r>
        <w:rPr>
          <w:rFonts w:hint="eastAsia" w:ascii="仿宋_GB2312" w:hAnsi="宋体" w:eastAsia="仿宋_GB2312" w:cs="宋体"/>
          <w:color w:val="000000"/>
          <w:kern w:val="0"/>
          <w:sz w:val="32"/>
          <w:szCs w:val="32"/>
        </w:rPr>
        <w:t>推进产教融合、校企合作，实现教育教学质量再突破，办学水平再提高，办学效益再跨越</w:t>
      </w:r>
      <w:r>
        <w:rPr>
          <w:rFonts w:hint="eastAsia" w:ascii="仿宋_GB2312" w:hAnsi="宋体" w:eastAsia="仿宋_GB2312" w:cs="宋体"/>
          <w:color w:val="000000"/>
          <w:kern w:val="0"/>
          <w:sz w:val="32"/>
          <w:szCs w:val="32"/>
          <w:lang w:val="en-US" w:eastAsia="zh-CN"/>
        </w:rPr>
        <w:t>等目标</w:t>
      </w:r>
      <w:r>
        <w:rPr>
          <w:rFonts w:hint="eastAsia" w:ascii="仿宋_GB2312" w:hAnsi="宋体" w:eastAsia="仿宋_GB2312" w:cs="宋体"/>
          <w:color w:val="000000"/>
          <w:kern w:val="0"/>
          <w:sz w:val="32"/>
          <w:szCs w:val="32"/>
        </w:rPr>
        <w:t>，为首都经济社会发展做出更大贡献。</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pPr>
      <w:bookmarkStart w:id="3" w:name="_Toc7525"/>
      <w:r>
        <w:rPr>
          <w:rFonts w:hint="eastAsia"/>
        </w:rPr>
        <w:t>二、当年预算执行情况</w:t>
      </w:r>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年全年预算数27638</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64万元</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含年末结转和结余</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，其中，基本支出预算数19057.69万元，项目支出预算数8323.22万元，</w:t>
      </w:r>
      <w:r>
        <w:rPr>
          <w:rFonts w:hint="eastAsia" w:ascii="仿宋_GB2312" w:hAnsi="宋体" w:eastAsia="仿宋_GB2312" w:cs="宋体"/>
          <w:color w:val="000000"/>
          <w:kern w:val="0"/>
          <w:sz w:val="32"/>
          <w:szCs w:val="32"/>
          <w:lang w:val="en-US" w:eastAsia="zh-CN"/>
        </w:rPr>
        <w:t>经营</w:t>
      </w:r>
      <w:r>
        <w:rPr>
          <w:rFonts w:hint="eastAsia" w:ascii="仿宋_GB2312" w:hAnsi="宋体" w:eastAsia="仿宋_GB2312" w:cs="宋体"/>
          <w:color w:val="000000"/>
          <w:kern w:val="0"/>
          <w:sz w:val="32"/>
          <w:szCs w:val="32"/>
        </w:rPr>
        <w:t>支出预算数257.74万元。资金总体支出24165.31万元，其中，基本支出15961.06万元，项目支出7946.51万元，经营支出257.74万元。预算执行率为87.43%。</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pPr>
      <w:bookmarkStart w:id="4" w:name="_Toc11777"/>
      <w:r>
        <w:rPr>
          <w:rFonts w:hint="eastAsia"/>
        </w:rPr>
        <w:t>三、整体绩效目标实现情况</w:t>
      </w:r>
      <w:bookmarkEnd w:id="4"/>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rPr>
      </w:pPr>
      <w:bookmarkStart w:id="5" w:name="_Toc23605"/>
      <w:r>
        <w:rPr>
          <w:rFonts w:hint="eastAsia" w:ascii="楷体_GB2312" w:hAnsi="楷体_GB2312" w:eastAsia="楷体_GB2312" w:cs="楷体_GB2312"/>
        </w:rPr>
        <w:t>（一）产出完成情况分析</w:t>
      </w:r>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1.产出数量：</w:t>
      </w:r>
      <w:r>
        <w:rPr>
          <w:rFonts w:hint="eastAsia" w:ascii="仿宋_GB2312" w:hAnsi="仿宋_GB2312" w:eastAsia="仿宋_GB2312" w:cs="仿宋_GB2312"/>
          <w:color w:val="000000"/>
          <w:kern w:val="0"/>
          <w:sz w:val="32"/>
          <w:szCs w:val="32"/>
          <w:lang w:val="en-US" w:eastAsia="zh-CN"/>
        </w:rPr>
        <w:t>2024年共完成工业机器人+智能视觉综合实训室、计算机网络应用实验室建设、理实一体化综合实训室等多个实训室、实训基地、实验室建设，以及实训设备和教学工具的新增、更新购置，受益人数达800人以上；完成了年度教学设计和教学实施培训目的，共计培训教师130人次。具体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工业机器人+智能视觉综合实训室建设项目</w:t>
      </w:r>
      <w:r>
        <w:rPr>
          <w:rFonts w:hint="eastAsia" w:ascii="仿宋_GB2312" w:hAnsi="仿宋_GB2312" w:eastAsia="仿宋_GB2312" w:cs="仿宋_GB2312"/>
          <w:color w:val="000000"/>
          <w:kern w:val="0"/>
          <w:sz w:val="32"/>
          <w:szCs w:val="32"/>
          <w:lang w:val="en-US" w:eastAsia="zh-CN"/>
        </w:rPr>
        <w:t>基于满足当前区域经济对工业机器人运用人才需求的不断发展，满足工业机器人从系统认知、编程、调试和集成系统维护等相关教学内容需求，配备了桌面机器人工作站（ABB和库卡）、智能控制系统升级模块、拆装机器人等设备，支持工业机器人系统认知、编程、调试及集成系统维护等教学内容，每年120人次受益，显著提升了学生的实践能力。教师通过实训设备提升了专业实践能力，开发了新的课程体系，实践教学模式得到优化，学生创造性思维和学习兴趣显著增强。同时为全国工业机器人技术应用技能大赛提供了硬件和软件支持，学生能力符合机电一体化、电气工程、自动化工程等方向的就业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rPr>
        <w:t>计算机网络应用实验室建设项目构建了集教学演示、实践操作于一体的现代化专业实训基地，满足角门校区学生</w:t>
      </w:r>
      <w:r>
        <w:rPr>
          <w:rFonts w:hint="eastAsia" w:ascii="仿宋_GB2312" w:hAnsi="仿宋_GB2312" w:eastAsia="仿宋_GB2312" w:cs="仿宋_GB2312"/>
          <w:color w:val="000000"/>
          <w:kern w:val="0"/>
          <w:sz w:val="32"/>
          <w:szCs w:val="32"/>
          <w:lang w:val="en-US" w:eastAsia="zh-CN"/>
        </w:rPr>
        <w:t>89%的</w:t>
      </w:r>
      <w:r>
        <w:rPr>
          <w:rFonts w:hint="eastAsia" w:ascii="仿宋_GB2312" w:hAnsi="仿宋_GB2312" w:eastAsia="仿宋_GB2312" w:cs="仿宋_GB2312"/>
          <w:color w:val="000000"/>
          <w:kern w:val="0"/>
          <w:sz w:val="32"/>
          <w:szCs w:val="32"/>
          <w:lang w:val="en-US"/>
        </w:rPr>
        <w:t>计算机网络应用实训课程需求</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lang w:val="en-US"/>
        </w:rPr>
        <w:t>硬件设施达到先进水平，满足实施《中型网络安装与调试》</w:t>
      </w:r>
      <w:r>
        <w:rPr>
          <w:rFonts w:hint="eastAsia" w:ascii="仿宋_GB2312" w:hAnsi="仿宋_GB2312" w:eastAsia="仿宋_GB2312" w:cs="仿宋_GB2312"/>
          <w:color w:val="000000"/>
          <w:kern w:val="0"/>
          <w:sz w:val="32"/>
          <w:szCs w:val="32"/>
          <w:lang w:val="en-US" w:eastAsia="zh-CN"/>
        </w:rPr>
        <w:t>等</w:t>
      </w:r>
      <w:r>
        <w:rPr>
          <w:rFonts w:hint="eastAsia" w:ascii="仿宋_GB2312" w:hAnsi="仿宋_GB2312" w:eastAsia="仿宋_GB2312" w:cs="仿宋_GB2312"/>
          <w:color w:val="000000"/>
          <w:kern w:val="0"/>
          <w:sz w:val="32"/>
          <w:szCs w:val="32"/>
          <w:lang w:val="en-US"/>
        </w:rPr>
        <w:t>计算机网络专业的工学一体化教学需求，实现“教、学、做”深度融合。实验室通过工位布局优化与设备升级，形成规模性、开放性实训空间，</w:t>
      </w:r>
      <w:r>
        <w:rPr>
          <w:rFonts w:hint="eastAsia" w:ascii="仿宋_GB2312" w:hAnsi="仿宋_GB2312" w:eastAsia="仿宋_GB2312" w:cs="仿宋_GB2312"/>
          <w:color w:val="000000"/>
          <w:kern w:val="0"/>
          <w:sz w:val="32"/>
          <w:szCs w:val="32"/>
          <w:lang w:val="en-US" w:eastAsia="zh-CN"/>
        </w:rPr>
        <w:t>为支</w:t>
      </w:r>
      <w:r>
        <w:rPr>
          <w:rFonts w:hint="eastAsia" w:ascii="仿宋_GB2312" w:hAnsi="仿宋_GB2312" w:eastAsia="仿宋_GB2312" w:cs="仿宋_GB2312"/>
          <w:color w:val="000000"/>
          <w:kern w:val="0"/>
          <w:sz w:val="32"/>
          <w:szCs w:val="32"/>
          <w:lang w:val="en-US"/>
        </w:rPr>
        <w:t>撑学生开展网络搭建、系统维护等实操训练提供保障。实训环境与企业真实工作场景接轨，有效提升师生网络技术应用能力，促进专业建设向“双师型、产教融合型”方向发展。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理实一体化综合实训室建设项目新建的实训室配备了工学一体化培训平台，主要包括低压配电设备，电气控制设备安装与调试和自动化设备电气控制安装实训平台，</w:t>
      </w:r>
      <w:r>
        <w:rPr>
          <w:rFonts w:hint="eastAsia" w:ascii="仿宋_GB2312" w:hAnsi="仿宋_GB2312" w:eastAsia="仿宋_GB2312" w:cs="仿宋_GB2312"/>
          <w:color w:val="000000"/>
          <w:kern w:val="0"/>
          <w:sz w:val="32"/>
          <w:szCs w:val="32"/>
          <w:lang w:val="en-US" w:eastAsia="zh-CN"/>
        </w:rPr>
        <w:t>以及</w:t>
      </w:r>
      <w:r>
        <w:rPr>
          <w:rFonts w:hint="eastAsia" w:ascii="仿宋_GB2312" w:hAnsi="仿宋_GB2312" w:eastAsia="仿宋_GB2312" w:cs="仿宋_GB2312"/>
          <w:color w:val="000000"/>
          <w:kern w:val="0"/>
          <w:sz w:val="32"/>
          <w:szCs w:val="32"/>
        </w:rPr>
        <w:t>混合液体搅拌模块、机械手操作单元模块等教学</w:t>
      </w:r>
      <w:r>
        <w:rPr>
          <w:rFonts w:hint="eastAsia" w:ascii="仿宋_GB2312" w:hAnsi="仿宋_GB2312" w:eastAsia="仿宋_GB2312" w:cs="仿宋_GB2312"/>
          <w:color w:val="000000"/>
          <w:kern w:val="0"/>
          <w:sz w:val="32"/>
          <w:szCs w:val="32"/>
          <w:lang w:eastAsia="zh-CN"/>
        </w:rPr>
        <w:t>设备</w:t>
      </w:r>
      <w:r>
        <w:rPr>
          <w:rFonts w:hint="eastAsia" w:ascii="仿宋_GB2312" w:hAnsi="仿宋_GB2312" w:eastAsia="仿宋_GB2312" w:cs="仿宋_GB2312"/>
          <w:color w:val="000000"/>
          <w:kern w:val="0"/>
          <w:sz w:val="32"/>
          <w:szCs w:val="32"/>
        </w:rPr>
        <w:t>，显著提升了学生的实践能力。</w:t>
      </w:r>
      <w:r>
        <w:rPr>
          <w:rFonts w:hint="eastAsia" w:ascii="仿宋_GB2312" w:hAnsi="仿宋_GB2312" w:eastAsia="仿宋_GB2312" w:cs="仿宋_GB2312"/>
          <w:color w:val="000000"/>
          <w:kern w:val="0"/>
          <w:sz w:val="32"/>
          <w:szCs w:val="32"/>
          <w:lang w:val="en-US" w:eastAsia="zh-CN"/>
        </w:rPr>
        <w:t>年受益学生人数达120人次。</w:t>
      </w:r>
      <w:r>
        <w:rPr>
          <w:rFonts w:hint="eastAsia" w:ascii="仿宋_GB2312" w:hAnsi="仿宋_GB2312" w:eastAsia="仿宋_GB2312" w:cs="仿宋_GB2312"/>
          <w:color w:val="000000"/>
          <w:kern w:val="0"/>
          <w:sz w:val="32"/>
          <w:szCs w:val="32"/>
        </w:rPr>
        <w:t>同时，教师通过</w:t>
      </w:r>
      <w:r>
        <w:rPr>
          <w:rFonts w:hint="eastAsia" w:ascii="仿宋_GB2312" w:hAnsi="仿宋_GB2312" w:eastAsia="仿宋_GB2312" w:cs="仿宋_GB2312"/>
          <w:color w:val="000000"/>
          <w:kern w:val="0"/>
          <w:sz w:val="32"/>
          <w:szCs w:val="32"/>
          <w:lang w:val="en-US" w:eastAsia="zh-CN"/>
        </w:rPr>
        <w:t>以上</w:t>
      </w:r>
      <w:r>
        <w:rPr>
          <w:rFonts w:hint="eastAsia" w:ascii="仿宋_GB2312" w:hAnsi="仿宋_GB2312" w:eastAsia="仿宋_GB2312" w:cs="仿宋_GB2312"/>
          <w:color w:val="000000"/>
          <w:kern w:val="0"/>
          <w:sz w:val="32"/>
          <w:szCs w:val="32"/>
        </w:rPr>
        <w:t>实训设备提升了专业实践能力，丰富了教学模块内容，开发了新的课程体系，实践教学模式得到优化，学生创造性思维和学习兴趣显著增强，专业一体化教学水平得到显著提升。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教师教学设计及教学实施能力提升项目按计划保质保量</w:t>
      </w:r>
      <w:r>
        <w:rPr>
          <w:rFonts w:hint="eastAsia" w:ascii="仿宋_GB2312" w:hAnsi="仿宋_GB2312" w:eastAsia="仿宋_GB2312" w:cs="仿宋_GB2312"/>
          <w:color w:val="000000"/>
          <w:kern w:val="0"/>
          <w:sz w:val="32"/>
          <w:szCs w:val="32"/>
          <w:lang w:eastAsia="zh-CN"/>
        </w:rPr>
        <w:t>地</w:t>
      </w:r>
      <w:r>
        <w:rPr>
          <w:rFonts w:hint="eastAsia" w:ascii="仿宋_GB2312" w:hAnsi="仿宋_GB2312" w:eastAsia="仿宋_GB2312" w:cs="仿宋_GB2312"/>
          <w:color w:val="000000"/>
          <w:kern w:val="0"/>
          <w:sz w:val="32"/>
          <w:szCs w:val="32"/>
        </w:rPr>
        <w:t>完成，</w:t>
      </w:r>
      <w:r>
        <w:rPr>
          <w:rFonts w:hint="eastAsia" w:ascii="仿宋_GB2312" w:hAnsi="仿宋_GB2312" w:eastAsia="仿宋_GB2312" w:cs="仿宋_GB2312"/>
          <w:color w:val="000000"/>
          <w:kern w:val="0"/>
          <w:sz w:val="32"/>
          <w:szCs w:val="32"/>
          <w:lang w:val="en-US" w:eastAsia="zh-CN"/>
        </w:rPr>
        <w:t>举办</w:t>
      </w:r>
      <w:r>
        <w:rPr>
          <w:rFonts w:hint="eastAsia" w:ascii="仿宋_GB2312" w:hAnsi="仿宋_GB2312" w:eastAsia="仿宋_GB2312" w:cs="仿宋_GB2312"/>
          <w:color w:val="000000"/>
          <w:kern w:val="0"/>
          <w:sz w:val="32"/>
          <w:szCs w:val="32"/>
        </w:rPr>
        <w:t>4次教学设计和教学实施培训，培训人数</w:t>
      </w:r>
      <w:r>
        <w:rPr>
          <w:rFonts w:hint="eastAsia" w:ascii="仿宋_GB2312" w:hAnsi="仿宋_GB2312" w:eastAsia="仿宋_GB2312" w:cs="仿宋_GB2312"/>
          <w:color w:val="000000"/>
          <w:kern w:val="0"/>
          <w:sz w:val="32"/>
          <w:szCs w:val="32"/>
          <w:lang w:val="en-US" w:eastAsia="zh-CN"/>
        </w:rPr>
        <w:t>130</w:t>
      </w:r>
      <w:r>
        <w:rPr>
          <w:rFonts w:hint="eastAsia" w:ascii="仿宋_GB2312" w:hAnsi="仿宋_GB2312" w:eastAsia="仿宋_GB2312" w:cs="仿宋_GB2312"/>
          <w:color w:val="000000"/>
          <w:kern w:val="0"/>
          <w:sz w:val="32"/>
          <w:szCs w:val="32"/>
        </w:rPr>
        <w:t>人次，培训合格率</w:t>
      </w:r>
      <w:r>
        <w:rPr>
          <w:rFonts w:hint="eastAsia" w:ascii="仿宋_GB2312" w:hAnsi="仿宋_GB2312" w:eastAsia="仿宋_GB2312" w:cs="仿宋_GB2312"/>
          <w:color w:val="000000"/>
          <w:kern w:val="0"/>
          <w:sz w:val="32"/>
          <w:szCs w:val="32"/>
          <w:lang w:val="en-US" w:eastAsia="zh-CN"/>
        </w:rPr>
        <w:t>达</w:t>
      </w:r>
      <w:r>
        <w:rPr>
          <w:rFonts w:hint="eastAsia" w:ascii="仿宋_GB2312" w:hAnsi="仿宋_GB2312" w:eastAsia="仿宋_GB2312" w:cs="仿宋_GB2312"/>
          <w:color w:val="000000"/>
          <w:kern w:val="0"/>
          <w:sz w:val="32"/>
          <w:szCs w:val="32"/>
        </w:rPr>
        <w:t>100%。促进了教师的教学素养和教育质量的提高，夯实了教师专业教学基本能力，提升了学校整体的教育教学水平。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2.</w:t>
      </w:r>
      <w:r>
        <w:rPr>
          <w:rFonts w:hint="eastAsia" w:ascii="仿宋_GB2312" w:hAnsi="仿宋_GB2312" w:eastAsia="仿宋_GB2312" w:cs="仿宋_GB2312"/>
          <w:color w:val="000000"/>
          <w:kern w:val="0"/>
          <w:sz w:val="32"/>
          <w:szCs w:val="32"/>
        </w:rPr>
        <w:t>产出质量：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技师学院</w:t>
      </w:r>
      <w:r>
        <w:rPr>
          <w:rFonts w:hint="eastAsia" w:ascii="仿宋_GB2312" w:hAnsi="仿宋_GB2312" w:eastAsia="仿宋_GB2312" w:cs="仿宋_GB2312"/>
          <w:color w:val="000000"/>
          <w:kern w:val="0"/>
          <w:sz w:val="32"/>
          <w:szCs w:val="32"/>
          <w:lang w:val="en-US" w:eastAsia="zh-CN"/>
        </w:rPr>
        <w:t>2024年实施了食品专业智慧教室建设项目、校园录播教学设备购置项目、计算机网络应用实验室建设项目、天桥校区实训室多媒体改造建设项目等</w:t>
      </w:r>
      <w:r>
        <w:rPr>
          <w:rFonts w:hint="eastAsia" w:ascii="仿宋_GB2312" w:hAnsi="仿宋_GB2312" w:eastAsia="仿宋_GB2312" w:cs="仿宋_GB2312"/>
          <w:color w:val="000000"/>
          <w:kern w:val="0"/>
          <w:sz w:val="32"/>
          <w:szCs w:val="32"/>
        </w:rPr>
        <w:t>所购置设备符合《教学仪器设备产品一般质量要求》</w:t>
      </w:r>
      <w:r>
        <w:rPr>
          <w:rFonts w:hint="eastAsia" w:ascii="仿宋_GB2312" w:hAnsi="仿宋_GB2312" w:eastAsia="仿宋_GB2312" w:cs="仿宋_GB2312"/>
          <w:color w:val="000000"/>
          <w:kern w:val="0"/>
          <w:sz w:val="32"/>
          <w:szCs w:val="32"/>
          <w:lang w:eastAsia="zh-CN"/>
        </w:rPr>
        <w:t>；在教学研究、教学管理、教师管理、教学评价等方面持续投入，大力推进工学一体化课程教学改革试点，指导教师参加各类教学研究培训，总结提炼研究成果，专业设置合理，丰富专业建设，</w:t>
      </w:r>
      <w:r>
        <w:rPr>
          <w:rFonts w:hint="eastAsia" w:ascii="仿宋_GB2312" w:hAnsi="仿宋_GB2312" w:eastAsia="仿宋_GB2312" w:cs="仿宋_GB2312"/>
          <w:color w:val="auto"/>
          <w:sz w:val="32"/>
          <w:szCs w:val="32"/>
          <w:highlight w:val="none"/>
        </w:rPr>
        <w:t>学生毕业率</w:t>
      </w:r>
      <w:r>
        <w:rPr>
          <w:rFonts w:hint="eastAsia" w:ascii="仿宋_GB2312" w:hAnsi="仿宋_GB2312" w:eastAsia="仿宋_GB2312" w:cs="仿宋_GB2312"/>
          <w:color w:val="auto"/>
          <w:sz w:val="32"/>
          <w:szCs w:val="32"/>
          <w:highlight w:val="none"/>
          <w:lang w:val="en-US" w:eastAsia="zh-CN"/>
        </w:rPr>
        <w:t>达到</w:t>
      </w:r>
      <w:r>
        <w:rPr>
          <w:rFonts w:hint="eastAsia" w:ascii="仿宋_GB2312" w:hAnsi="仿宋_GB2312" w:eastAsia="仿宋_GB2312" w:cs="仿宋_GB2312"/>
          <w:color w:val="auto"/>
          <w:sz w:val="32"/>
          <w:szCs w:val="32"/>
          <w:highlight w:val="none"/>
        </w:rPr>
        <w:t>98%，中级工技术等级合格率99.1%，高级工技术等级合格率99.8%，技师技术等级合格率98.1%</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年，北京一轻控股有限责任公司及所属事业单位</w:t>
      </w:r>
      <w:r>
        <w:rPr>
          <w:rFonts w:hint="eastAsia" w:ascii="仿宋_GB2312" w:hAnsi="仿宋_GB2312" w:eastAsia="仿宋_GB2312" w:cs="仿宋_GB2312"/>
          <w:sz w:val="32"/>
          <w:szCs w:val="32"/>
        </w:rPr>
        <w:t>在年初立项的基础上，经</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财政局批复预算项目数量为</w:t>
      </w: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rPr>
        <w:t>个。主要为</w:t>
      </w:r>
      <w:r>
        <w:rPr>
          <w:rFonts w:hint="eastAsia" w:ascii="仿宋_GB2312" w:hAnsi="仿宋_GB2312" w:eastAsia="仿宋_GB2312" w:cs="仿宋_GB2312"/>
          <w:sz w:val="32"/>
          <w:szCs w:val="32"/>
          <w:lang w:val="en-US" w:eastAsia="zh-CN"/>
        </w:rPr>
        <w:t>国高基地项目</w:t>
      </w:r>
      <w:r>
        <w:rPr>
          <w:rFonts w:hint="eastAsia" w:ascii="仿宋_GB2312" w:hAnsi="仿宋_GB2312" w:eastAsia="仿宋_GB2312" w:cs="仿宋_GB2312"/>
          <w:sz w:val="32"/>
          <w:szCs w:val="32"/>
        </w:rPr>
        <w:t>、学生资助、改善办学条件、机构运行经费等，截至202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年底基本完成项目逐项验收。</w:t>
      </w:r>
      <w:r>
        <w:rPr>
          <w:rFonts w:hint="eastAsia" w:ascii="仿宋_GB2312" w:hAnsi="仿宋_GB2312" w:eastAsia="仿宋_GB2312" w:cs="仿宋_GB2312"/>
          <w:sz w:val="32"/>
          <w:szCs w:val="32"/>
          <w:lang w:val="en-US" w:eastAsia="zh-CN"/>
        </w:rPr>
        <w:t>技师</w:t>
      </w:r>
      <w:r>
        <w:rPr>
          <w:rFonts w:hint="eastAsia" w:ascii="仿宋_GB2312" w:hAnsi="仿宋_GB2312" w:eastAsia="仿宋_GB2312" w:cs="仿宋_GB2312"/>
          <w:color w:val="000000"/>
          <w:kern w:val="0"/>
          <w:sz w:val="32"/>
          <w:szCs w:val="32"/>
        </w:rPr>
        <w:t>学院按照北京市政府采购等相关规定执行，同施工或采购单位及时签订合同，并在完工结算时验收双方签订《项目验收单》，出具《项目验收报告》等。涉及建筑更新改造的，验收标准达到相关要求，如满足《建筑设计防火规范》要求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3.产出进度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截至</w:t>
      </w: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年末，</w:t>
      </w:r>
      <w:r>
        <w:rPr>
          <w:rFonts w:hint="eastAsia" w:ascii="仿宋_GB2312" w:hAnsi="仿宋_GB2312" w:eastAsia="仿宋_GB2312" w:cs="仿宋_GB2312"/>
          <w:color w:val="000000"/>
          <w:kern w:val="0"/>
          <w:sz w:val="32"/>
          <w:szCs w:val="32"/>
          <w:highlight w:val="none"/>
        </w:rPr>
        <w:t>202</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年度财政支出绩效目标已按照预期进度完成。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4.产出成本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年支出</w:t>
      </w:r>
      <w:r>
        <w:rPr>
          <w:rFonts w:hint="eastAsia" w:ascii="仿宋_GB2312" w:hAnsi="仿宋_GB2312" w:eastAsia="仿宋_GB2312" w:cs="仿宋_GB2312"/>
          <w:color w:val="000000"/>
          <w:kern w:val="0"/>
          <w:sz w:val="32"/>
          <w:szCs w:val="32"/>
          <w:lang w:val="en-US" w:eastAsia="zh-CN"/>
        </w:rPr>
        <w:t>金额</w:t>
      </w:r>
      <w:r>
        <w:rPr>
          <w:rFonts w:hint="eastAsia" w:ascii="仿宋_GB2312" w:hAnsi="仿宋_GB2312" w:eastAsia="仿宋_GB2312" w:cs="仿宋_GB2312"/>
          <w:color w:val="000000"/>
          <w:kern w:val="0"/>
          <w:sz w:val="32"/>
          <w:szCs w:val="32"/>
        </w:rPr>
        <w:t>24165.31万元，比202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年21683.8</w:t>
      </w:r>
      <w:r>
        <w:rPr>
          <w:rFonts w:hint="eastAsia" w:ascii="仿宋_GB2312" w:hAnsi="仿宋_GB2312" w:eastAsia="仿宋_GB2312" w:cs="仿宋_GB2312"/>
          <w:color w:val="000000"/>
          <w:kern w:val="0"/>
          <w:sz w:val="32"/>
          <w:szCs w:val="32"/>
          <w:lang w:val="en-US" w:eastAsia="zh-CN"/>
        </w:rPr>
        <w:t>6</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val="en-US" w:eastAsia="zh-CN"/>
        </w:rPr>
        <w:t>增加2481.45</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val="en-US" w:eastAsia="zh-CN"/>
        </w:rPr>
        <w:t>增加11.44</w:t>
      </w:r>
      <w:r>
        <w:rPr>
          <w:rFonts w:hint="eastAsia" w:ascii="仿宋_GB2312" w:hAnsi="仿宋_GB2312" w:eastAsia="仿宋_GB2312" w:cs="仿宋_GB2312"/>
          <w:color w:val="000000"/>
          <w:kern w:val="0"/>
          <w:sz w:val="32"/>
          <w:szCs w:val="32"/>
        </w:rPr>
        <w:t>%。基本支出</w:t>
      </w:r>
      <w:r>
        <w:rPr>
          <w:rFonts w:hint="eastAsia" w:ascii="仿宋_GB2312" w:hAnsi="仿宋_GB2312" w:eastAsia="仿宋_GB2312" w:cs="仿宋_GB2312"/>
          <w:color w:val="000000"/>
          <w:kern w:val="0"/>
          <w:sz w:val="32"/>
          <w:szCs w:val="32"/>
          <w:lang w:val="en-US" w:eastAsia="zh-CN"/>
        </w:rPr>
        <w:t>金额</w:t>
      </w:r>
      <w:r>
        <w:rPr>
          <w:rFonts w:hint="eastAsia" w:ascii="仿宋_GB2312" w:hAnsi="仿宋_GB2312" w:eastAsia="仿宋_GB2312" w:cs="仿宋_GB2312"/>
          <w:color w:val="000000"/>
          <w:kern w:val="0"/>
          <w:sz w:val="32"/>
          <w:szCs w:val="32"/>
        </w:rPr>
        <w:t>15961.06万元，比202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highlight w:val="none"/>
        </w:rPr>
        <w:t>15518.2</w:t>
      </w:r>
      <w:r>
        <w:rPr>
          <w:rFonts w:hint="eastAsia" w:ascii="仿宋_GB2312" w:hAnsi="仿宋_GB2312" w:eastAsia="仿宋_GB2312" w:cs="仿宋_GB2312"/>
          <w:color w:val="000000"/>
          <w:kern w:val="0"/>
          <w:sz w:val="32"/>
          <w:szCs w:val="32"/>
          <w:highlight w:val="none"/>
          <w:lang w:val="en-US" w:eastAsia="zh-CN"/>
        </w:rPr>
        <w:t>8</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val="en-US" w:eastAsia="zh-CN"/>
        </w:rPr>
        <w:t>增加442.78</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val="en-US" w:eastAsia="zh-CN"/>
        </w:rPr>
        <w:t>增加2.85</w:t>
      </w:r>
      <w:r>
        <w:rPr>
          <w:rFonts w:hint="eastAsia" w:ascii="仿宋_GB2312" w:hAnsi="仿宋_GB2312" w:eastAsia="仿宋_GB2312" w:cs="仿宋_GB2312"/>
          <w:color w:val="000000"/>
          <w:kern w:val="0"/>
          <w:sz w:val="32"/>
          <w:szCs w:val="32"/>
        </w:rPr>
        <w:t>%。项目支出</w:t>
      </w:r>
      <w:r>
        <w:rPr>
          <w:rFonts w:hint="eastAsia" w:ascii="仿宋_GB2312" w:hAnsi="仿宋_GB2312" w:eastAsia="仿宋_GB2312" w:cs="仿宋_GB2312"/>
          <w:color w:val="000000"/>
          <w:kern w:val="0"/>
          <w:sz w:val="32"/>
          <w:szCs w:val="32"/>
          <w:lang w:val="en-US" w:eastAsia="zh-CN"/>
        </w:rPr>
        <w:t>金额</w:t>
      </w:r>
      <w:r>
        <w:rPr>
          <w:rFonts w:hint="eastAsia" w:ascii="仿宋_GB2312" w:hAnsi="仿宋_GB2312" w:eastAsia="仿宋_GB2312" w:cs="仿宋_GB2312"/>
          <w:color w:val="000000"/>
          <w:kern w:val="0"/>
          <w:sz w:val="32"/>
          <w:szCs w:val="32"/>
        </w:rPr>
        <w:t>7946.51万元，比202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年5938.1</w:t>
      </w:r>
      <w:r>
        <w:rPr>
          <w:rFonts w:hint="eastAsia" w:ascii="仿宋_GB2312" w:hAnsi="仿宋_GB2312" w:eastAsia="仿宋_GB2312" w:cs="仿宋_GB2312"/>
          <w:color w:val="000000"/>
          <w:kern w:val="0"/>
          <w:sz w:val="32"/>
          <w:szCs w:val="32"/>
          <w:lang w:val="en-US" w:eastAsia="zh-CN"/>
        </w:rPr>
        <w:t>9</w:t>
      </w:r>
      <w:r>
        <w:rPr>
          <w:rFonts w:hint="eastAsia" w:ascii="仿宋_GB2312" w:hAnsi="仿宋_GB2312" w:eastAsia="仿宋_GB2312" w:cs="仿宋_GB2312"/>
          <w:color w:val="000000"/>
          <w:kern w:val="0"/>
          <w:sz w:val="32"/>
          <w:szCs w:val="32"/>
        </w:rPr>
        <w:t>万元增加</w:t>
      </w:r>
      <w:r>
        <w:rPr>
          <w:rFonts w:hint="eastAsia" w:ascii="仿宋_GB2312" w:hAnsi="仿宋_GB2312" w:eastAsia="仿宋_GB2312" w:cs="仿宋_GB2312"/>
          <w:color w:val="000000"/>
          <w:kern w:val="0"/>
          <w:sz w:val="32"/>
          <w:szCs w:val="32"/>
          <w:lang w:val="en-US" w:eastAsia="zh-CN"/>
        </w:rPr>
        <w:t>2008.32</w:t>
      </w:r>
      <w:r>
        <w:rPr>
          <w:rFonts w:hint="eastAsia" w:ascii="仿宋_GB2312" w:hAnsi="仿宋_GB2312" w:eastAsia="仿宋_GB2312" w:cs="仿宋_GB2312"/>
          <w:color w:val="000000"/>
          <w:kern w:val="0"/>
          <w:sz w:val="32"/>
          <w:szCs w:val="32"/>
        </w:rPr>
        <w:t>万元，增长</w:t>
      </w:r>
      <w:r>
        <w:rPr>
          <w:rFonts w:hint="eastAsia" w:ascii="仿宋_GB2312" w:hAnsi="仿宋_GB2312" w:eastAsia="仿宋_GB2312" w:cs="仿宋_GB2312"/>
          <w:color w:val="000000"/>
          <w:kern w:val="0"/>
          <w:sz w:val="32"/>
          <w:szCs w:val="32"/>
          <w:lang w:val="en-US" w:eastAsia="zh-CN"/>
        </w:rPr>
        <w:t>25.27</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经营支出金额</w:t>
      </w:r>
      <w:r>
        <w:rPr>
          <w:rFonts w:hint="eastAsia" w:ascii="仿宋_GB2312" w:hAnsi="仿宋_GB2312" w:eastAsia="仿宋_GB2312" w:cs="仿宋_GB2312"/>
          <w:color w:val="000000"/>
          <w:kern w:val="0"/>
          <w:sz w:val="32"/>
          <w:szCs w:val="32"/>
        </w:rPr>
        <w:t>257.74</w:t>
      </w:r>
      <w:r>
        <w:rPr>
          <w:rFonts w:hint="eastAsia" w:ascii="仿宋_GB2312" w:hAnsi="仿宋_GB2312" w:eastAsia="仿宋_GB2312" w:cs="仿宋_GB2312"/>
          <w:color w:val="000000"/>
          <w:kern w:val="0"/>
          <w:sz w:val="32"/>
          <w:szCs w:val="32"/>
          <w:lang w:val="en-US" w:eastAsia="zh-CN"/>
        </w:rPr>
        <w:t>万元，比2023年227.39万元增加30.35万元，增长13.35%。</w:t>
      </w:r>
      <w:r>
        <w:rPr>
          <w:rFonts w:hint="eastAsia" w:ascii="仿宋_GB2312" w:hAnsi="仿宋_GB2312" w:eastAsia="仿宋_GB2312" w:cs="仿宋_GB2312"/>
          <w:color w:val="000000"/>
          <w:kern w:val="0"/>
          <w:sz w:val="32"/>
          <w:szCs w:val="32"/>
        </w:rPr>
        <w:t>主要原因为</w:t>
      </w:r>
      <w:r>
        <w:rPr>
          <w:rFonts w:hint="eastAsia" w:ascii="仿宋_GB2312" w:hAnsi="仿宋_GB2312" w:eastAsia="仿宋_GB2312" w:cs="仿宋_GB2312"/>
          <w:color w:val="auto"/>
          <w:sz w:val="32"/>
          <w:szCs w:val="32"/>
          <w:highlight w:val="none"/>
          <w:lang w:val="en-US" w:eastAsia="zh-CN"/>
        </w:rPr>
        <w:t>按照事业单位改革相关要求，新增所属事业单位转企过渡期经费支出</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年北京一轻控股有限责任公司部门政府采购总额3384.16万元，其中：政府采购货物</w:t>
      </w:r>
      <w:r>
        <w:rPr>
          <w:rFonts w:hint="eastAsia" w:ascii="仿宋_GB2312" w:hAnsi="仿宋_GB2312" w:eastAsia="仿宋_GB2312" w:cs="仿宋_GB2312"/>
          <w:color w:val="000000"/>
          <w:kern w:val="0"/>
          <w:sz w:val="32"/>
          <w:szCs w:val="32"/>
          <w:lang w:val="en-US" w:eastAsia="zh-CN"/>
        </w:rPr>
        <w:t>支出</w:t>
      </w:r>
      <w:r>
        <w:rPr>
          <w:rFonts w:hint="eastAsia" w:ascii="仿宋_GB2312" w:hAnsi="仿宋_GB2312" w:eastAsia="仿宋_GB2312" w:cs="仿宋_GB2312"/>
          <w:color w:val="000000"/>
          <w:kern w:val="0"/>
          <w:sz w:val="32"/>
          <w:szCs w:val="32"/>
        </w:rPr>
        <w:t>2393.24万元，政府采购工程</w:t>
      </w:r>
      <w:r>
        <w:rPr>
          <w:rFonts w:hint="eastAsia" w:ascii="仿宋_GB2312" w:hAnsi="仿宋_GB2312" w:eastAsia="仿宋_GB2312" w:cs="仿宋_GB2312"/>
          <w:color w:val="000000"/>
          <w:kern w:val="0"/>
          <w:sz w:val="32"/>
          <w:szCs w:val="32"/>
          <w:lang w:val="en-US" w:eastAsia="zh-CN"/>
        </w:rPr>
        <w:t>支出</w:t>
      </w:r>
      <w:r>
        <w:rPr>
          <w:rFonts w:hint="eastAsia" w:ascii="仿宋_GB2312" w:hAnsi="仿宋_GB2312" w:eastAsia="仿宋_GB2312" w:cs="仿宋_GB2312"/>
          <w:color w:val="000000"/>
          <w:kern w:val="0"/>
          <w:sz w:val="32"/>
          <w:szCs w:val="32"/>
        </w:rPr>
        <w:t>469.68万元，政府采购服务</w:t>
      </w:r>
      <w:r>
        <w:rPr>
          <w:rFonts w:hint="eastAsia" w:ascii="仿宋_GB2312" w:hAnsi="仿宋_GB2312" w:eastAsia="仿宋_GB2312" w:cs="仿宋_GB2312"/>
          <w:color w:val="000000"/>
          <w:kern w:val="0"/>
          <w:sz w:val="32"/>
          <w:szCs w:val="32"/>
          <w:lang w:val="en-US" w:eastAsia="zh-CN"/>
        </w:rPr>
        <w:t>支出</w:t>
      </w:r>
      <w:r>
        <w:rPr>
          <w:rFonts w:hint="eastAsia" w:ascii="仿宋_GB2312" w:hAnsi="仿宋_GB2312" w:eastAsia="仿宋_GB2312" w:cs="仿宋_GB2312"/>
          <w:color w:val="000000"/>
          <w:kern w:val="0"/>
          <w:sz w:val="32"/>
          <w:szCs w:val="32"/>
        </w:rPr>
        <w:t>521.23万元。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仿宋_GB2312" w:eastAsia="仿宋_GB2312" w:cs="仿宋_GB2312"/>
          <w:color w:val="000000"/>
          <w:kern w:val="0"/>
          <w:sz w:val="32"/>
          <w:szCs w:val="32"/>
        </w:rPr>
        <w:t>在资金的使用和管控方面，各项费用依据市财政局批复资金使用范围，严格按照有关财务规章制度规定的开支范围及开支标准执行。履行了相关手续和报批流程，执行逐级审批、分级把关的原则，基本做到项目资金独立核算、专款专用，不存在截留、挤占、挪用项目资金情况。财务人员对其所管理的资金使用合法性、合理性和有效性实行全面监督。</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rPr>
      </w:pPr>
      <w:bookmarkStart w:id="6" w:name="_Toc13490"/>
      <w:r>
        <w:rPr>
          <w:rFonts w:hint="eastAsia" w:ascii="楷体_GB2312" w:hAnsi="楷体_GB2312" w:eastAsia="楷体_GB2312" w:cs="楷体_GB2312"/>
        </w:rPr>
        <w:t>（二）效果实现情况分析</w:t>
      </w:r>
      <w:bookmarkEnd w:id="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1.社会效益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val="en-US" w:eastAsia="zh-CN"/>
        </w:rPr>
        <w:t>技师学院</w:t>
      </w:r>
      <w:r>
        <w:rPr>
          <w:rFonts w:hint="eastAsia" w:ascii="仿宋_GB2312" w:hAnsi="仿宋_GB2312" w:eastAsia="仿宋_GB2312" w:cs="仿宋_GB2312"/>
          <w:color w:val="000000"/>
          <w:kern w:val="0"/>
          <w:sz w:val="32"/>
          <w:szCs w:val="32"/>
        </w:rPr>
        <w:t>结合学生实际开展了开学第一课、国旗下讲话等系列主题教育，不断提升教育的针对性和感染力，引导学生树立正确的世界观、人生观、价值观，提高社会责任感和担当精神</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技师学院</w:t>
      </w:r>
      <w:r>
        <w:rPr>
          <w:rFonts w:hint="eastAsia" w:ascii="仿宋_GB2312" w:hAnsi="仿宋_GB2312" w:eastAsia="仿宋_GB2312" w:cs="仿宋_GB2312"/>
          <w:color w:val="000000"/>
          <w:kern w:val="0"/>
          <w:sz w:val="32"/>
          <w:szCs w:val="32"/>
        </w:rPr>
        <w:t>积极发挥全国技工院校工学一体化教师培训基地功能，于今年1月和6月分别组织了工业综合类和电工电子类两期两个班的工学一体化师资培训，共计培训二级一体化教师21人，三级工学一体化教师30人，合格率100%，满意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技师</w:t>
      </w:r>
      <w:r>
        <w:rPr>
          <w:rFonts w:hint="eastAsia" w:ascii="仿宋_GB2312" w:hAnsi="仿宋_GB2312" w:eastAsia="仿宋_GB2312" w:cs="仿宋_GB2312"/>
          <w:color w:val="000000"/>
          <w:kern w:val="0"/>
          <w:sz w:val="32"/>
          <w:szCs w:val="32"/>
        </w:rPr>
        <w:t>学院以大赛为抓手，有效推动技能人才培养质量不断提升，为促进就业、服务经济社会发展和首都高技能人才队伍建设做出了积极贡献。</w:t>
      </w:r>
      <w:r>
        <w:rPr>
          <w:rFonts w:hint="eastAsia" w:ascii="仿宋_GB2312" w:hAnsi="仿宋_GB2312" w:eastAsia="仿宋_GB2312" w:cs="仿宋_GB2312"/>
          <w:color w:val="000000"/>
          <w:kern w:val="0"/>
          <w:sz w:val="32"/>
          <w:szCs w:val="32"/>
          <w:lang w:val="en-US" w:eastAsia="zh-CN"/>
        </w:rPr>
        <w:t>2024年度，在</w:t>
      </w:r>
      <w:r>
        <w:rPr>
          <w:rFonts w:hint="eastAsia" w:ascii="仿宋_GB2312" w:hAnsi="仿宋_GB2312" w:eastAsia="仿宋_GB2312" w:cs="仿宋_GB2312"/>
          <w:color w:val="000000"/>
          <w:kern w:val="0"/>
          <w:sz w:val="32"/>
          <w:szCs w:val="32"/>
        </w:rPr>
        <w:t>第47届世界技能大赛上，学院国家集训基地培养的两个选手均获得了金牌，为祖国赢得了荣誉</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在第二十五届全国焙烤职业技能竞赛中，</w:t>
      </w:r>
      <w:r>
        <w:rPr>
          <w:rFonts w:hint="eastAsia" w:ascii="仿宋_GB2312" w:hAnsi="仿宋_GB2312" w:eastAsia="仿宋_GB2312" w:cs="仿宋_GB2312"/>
          <w:color w:val="000000"/>
          <w:kern w:val="0"/>
          <w:sz w:val="32"/>
          <w:szCs w:val="32"/>
          <w:lang w:val="en-US" w:eastAsia="zh-CN"/>
        </w:rPr>
        <w:t>斩获</w:t>
      </w:r>
      <w:r>
        <w:rPr>
          <w:rFonts w:hint="eastAsia" w:ascii="仿宋_GB2312" w:hAnsi="仿宋_GB2312" w:eastAsia="仿宋_GB2312" w:cs="仿宋_GB2312"/>
          <w:color w:val="000000"/>
          <w:kern w:val="0"/>
          <w:sz w:val="32"/>
          <w:szCs w:val="32"/>
        </w:rPr>
        <w:t>获得1金奖、1银奖、1铜奖、2优胜奖</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在第四届“燕京八绝”红星杯评选活动中，共获得金奖15项、银奖9项、铜奖22项</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在中国工艺美术博览会第二届百名大师进校园成果展中，学院教师荣获1个金奖</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在2024年“工美杯”北京传统工艺美术大赛中，学院教师荣获2个金奖、2个银奖、3个铜奖。在2024年北京市技工院校“砥砺奋斗 勇攀高峰”主题系列活动中，学院共获得电工、计算机网页</w:t>
      </w:r>
      <w:bookmarkStart w:id="25" w:name="_GoBack"/>
      <w:bookmarkEnd w:id="25"/>
      <w:r>
        <w:rPr>
          <w:rFonts w:hint="eastAsia" w:ascii="仿宋_GB2312" w:hAnsi="仿宋_GB2312" w:eastAsia="仿宋_GB2312" w:cs="仿宋_GB2312"/>
          <w:color w:val="000000"/>
          <w:kern w:val="0"/>
          <w:sz w:val="32"/>
          <w:szCs w:val="32"/>
        </w:rPr>
        <w:t>制作等技能竞赛项目个人一等奖8项、二等奖16项、三等奖30项</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技师</w:t>
      </w:r>
      <w:r>
        <w:rPr>
          <w:rFonts w:hint="eastAsia" w:ascii="仿宋_GB2312" w:hAnsi="仿宋_GB2312" w:eastAsia="仿宋_GB2312" w:cs="仿宋_GB2312"/>
          <w:color w:val="000000"/>
          <w:kern w:val="0"/>
          <w:sz w:val="32"/>
          <w:szCs w:val="32"/>
        </w:rPr>
        <w:t>学院充分发挥作为职业技能评价机构优势</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加大复合型、知识型、创新型高技能人才培养力度，提高技术革新、技能攻关能力，</w:t>
      </w:r>
      <w:r>
        <w:rPr>
          <w:rFonts w:hint="eastAsia" w:ascii="仿宋_GB2312" w:hAnsi="仿宋_GB2312" w:eastAsia="仿宋_GB2312" w:cs="仿宋_GB2312"/>
          <w:color w:val="000000"/>
          <w:kern w:val="0"/>
          <w:sz w:val="32"/>
          <w:szCs w:val="32"/>
          <w:lang w:eastAsia="zh-CN"/>
        </w:rPr>
        <w:t>更好地服务</w:t>
      </w:r>
      <w:r>
        <w:rPr>
          <w:rFonts w:hint="eastAsia" w:ascii="仿宋_GB2312" w:hAnsi="仿宋_GB2312" w:eastAsia="仿宋_GB2312" w:cs="仿宋_GB2312"/>
          <w:color w:val="000000"/>
          <w:kern w:val="0"/>
          <w:sz w:val="32"/>
          <w:szCs w:val="32"/>
        </w:rPr>
        <w:t>经济社会高质量发展，学院为北京红星股份有限公司开展智能制造高技能人才研修30人</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协助北京义利面包食品有限公司开展西式面点师初级职业技能等级认定32人，开展北京北冰洋食品有限公司饮料制作工初级、中级职业技能等级认定61人。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2.环境效益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北京一轻控股有限责任公司通过202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年度各项目实施，有效促进和谐校区、平安校区建设，提高各项工作和办学效益，满足学生学习实训需求，改善教学装备水平，设备符合环境质量标准要求。</w:t>
      </w:r>
      <w:r>
        <w:rPr>
          <w:rFonts w:hint="eastAsia" w:ascii="仿宋_GB2312" w:hAnsi="仿宋_GB2312" w:eastAsia="仿宋_GB2312" w:cs="仿宋_GB2312"/>
          <w:color w:val="000000"/>
          <w:kern w:val="0"/>
          <w:sz w:val="32"/>
          <w:szCs w:val="32"/>
          <w:lang w:val="en-US" w:eastAsia="zh-CN"/>
        </w:rPr>
        <w:t>空调设备、机房设备、高压增容、强弱电改造项目完成后，大幅改善教学环境，保障师生员工的生命安全和学院的财产安全，</w:t>
      </w:r>
      <w:r>
        <w:rPr>
          <w:rFonts w:hint="eastAsia" w:ascii="仿宋_GB2312" w:hAnsi="仿宋_GB2312" w:eastAsia="仿宋_GB2312" w:cs="仿宋_GB2312"/>
          <w:color w:val="auto"/>
          <w:sz w:val="32"/>
          <w:szCs w:val="32"/>
          <w:highlight w:val="none"/>
        </w:rPr>
        <w:t>本年度无重大信息安全事故</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无食品安全、人身安全和治安事件发生。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3.可持续性影响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学院通过</w:t>
      </w:r>
      <w:r>
        <w:rPr>
          <w:rFonts w:hint="eastAsia" w:ascii="仿宋_GB2312" w:hAnsi="仿宋_GB2312" w:eastAsia="仿宋_GB2312" w:cs="仿宋_GB2312"/>
          <w:color w:val="000000"/>
          <w:kern w:val="0"/>
          <w:sz w:val="32"/>
          <w:szCs w:val="32"/>
          <w:lang w:val="en-US" w:eastAsia="zh-CN"/>
        </w:rPr>
        <w:t>一系列实训基地、实验室</w:t>
      </w:r>
      <w:r>
        <w:rPr>
          <w:rFonts w:hint="eastAsia" w:ascii="仿宋_GB2312" w:hAnsi="仿宋_GB2312" w:eastAsia="仿宋_GB2312" w:cs="仿宋_GB2312"/>
          <w:color w:val="000000"/>
          <w:kern w:val="0"/>
          <w:sz w:val="32"/>
          <w:szCs w:val="32"/>
        </w:rPr>
        <w:t>建设，持续提升学生教学质量、满足社会培训需求，为北京市区域经济和社会发展服务。</w:t>
      </w:r>
      <w:r>
        <w:rPr>
          <w:rFonts w:hint="eastAsia" w:ascii="仿宋_GB2312" w:hAnsi="仿宋_GB2312" w:eastAsia="仿宋_GB2312" w:cs="仿宋_GB2312"/>
          <w:color w:val="000000"/>
          <w:kern w:val="0"/>
          <w:sz w:val="32"/>
          <w:szCs w:val="32"/>
          <w:lang w:val="en-US" w:eastAsia="zh-CN"/>
        </w:rPr>
        <w:t>多媒体设备、教学工具、实训设备更新完成后，可持续</w:t>
      </w:r>
      <w:r>
        <w:rPr>
          <w:rFonts w:hint="eastAsia" w:ascii="仿宋_GB2312" w:hAnsi="仿宋_GB2312" w:eastAsia="仿宋_GB2312" w:cs="仿宋_GB2312"/>
          <w:color w:val="000000"/>
          <w:kern w:val="0"/>
          <w:sz w:val="32"/>
          <w:szCs w:val="32"/>
        </w:rPr>
        <w:t>提升教师教学质量，学生实践能力、满足就业需求，为北京市区域经济和社会发展服务。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乐器研究所2024年开展了乐器行业国家标准的梳理、体系优化工作；完成2次标准集中复审工作；提出3项国家标准（修订）、5项行业标准（制定2项、修订3项）的立项申请；开展3项国家（修订）标准、7项行业标准（制定2项、修订5项）的起草工作。完成广州国际乐器展、上海国际乐器展展示工作，成功主办“名师带您逛展会”活动，拓展乐器交流渠道，提高产业影响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4.服务对象满意度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技师</w:t>
      </w:r>
      <w:r>
        <w:rPr>
          <w:rFonts w:hint="eastAsia" w:ascii="仿宋_GB2312" w:hAnsi="仿宋_GB2312" w:eastAsia="仿宋_GB2312" w:cs="仿宋_GB2312"/>
          <w:color w:val="auto"/>
          <w:sz w:val="32"/>
          <w:szCs w:val="32"/>
          <w:highlight w:val="none"/>
        </w:rPr>
        <w:t>学院紧密围绕“四个中心”首都城市战略定位和北京城市总体规划，</w:t>
      </w:r>
      <w:r>
        <w:rPr>
          <w:rFonts w:hint="eastAsia" w:ascii="仿宋_GB2312" w:hAnsi="仿宋_GB2312" w:eastAsia="仿宋_GB2312" w:cs="仿宋_GB2312"/>
          <w:color w:val="auto"/>
          <w:sz w:val="32"/>
          <w:szCs w:val="32"/>
          <w:highlight w:val="none"/>
          <w:lang w:val="en-US" w:eastAsia="zh-CN"/>
        </w:rPr>
        <w:t>通过</w:t>
      </w:r>
      <w:r>
        <w:rPr>
          <w:rFonts w:hint="eastAsia" w:ascii="仿宋_GB2312" w:hAnsi="仿宋_GB2312" w:eastAsia="仿宋_GB2312" w:cs="仿宋_GB2312"/>
          <w:color w:val="auto"/>
          <w:sz w:val="32"/>
          <w:szCs w:val="32"/>
          <w:highlight w:val="none"/>
        </w:rPr>
        <w:t>国家级高技能人才培训基地项目建设，按照“工学一体、产训结合、引领示范、高质量发展”的原则，落实“立德树人”根本任务、健全“产训结合”培训体系、创新“工学一体”培养模式、推进“数字技能”人才培养、建设“专业领军”师资团队、构建“综合能力”评价机制、研究“岗课赛证”育人规律、示范引领“线上线下”混合式人才培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培养的学生获得食品烘焙、中式面点、电气装置、糖艺西点等多个赛项国家级、市级金牌。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highlight w:val="none"/>
          <w:lang w:val="en-US" w:eastAsia="zh-CN"/>
        </w:rPr>
        <w:t>通过改善办学条件、学生资助等一系列项目实施，提高了技师学院社会影响力，</w:t>
      </w:r>
      <w:r>
        <w:rPr>
          <w:rFonts w:hint="eastAsia" w:ascii="仿宋_GB2312" w:hAnsi="仿宋_GB2312" w:eastAsia="仿宋_GB2312" w:cs="仿宋_GB2312"/>
          <w:color w:val="000000"/>
          <w:kern w:val="0"/>
          <w:sz w:val="32"/>
          <w:szCs w:val="32"/>
          <w:highlight w:val="none"/>
        </w:rPr>
        <w:t>申报项目的服务对象满意度指标基本达95%以上。</w:t>
      </w:r>
      <w:r>
        <w:rPr>
          <w:rFonts w:hint="eastAsia" w:ascii="仿宋_GB2312" w:hAnsi="仿宋_GB2312" w:eastAsia="仿宋_GB2312" w:cs="仿宋_GB2312"/>
          <w:color w:val="auto"/>
          <w:sz w:val="32"/>
          <w:szCs w:val="32"/>
          <w:highlight w:val="none"/>
        </w:rPr>
        <w:t>2024年，学院中考招生631人；高级工招生359人；预备技师、学制技师招生279人；工艺美术系外埠招生19人；共计1288人。学生毕业率98%，中级工技术等级合格率99.1%，高级工技术等级合格率99.8%，技师技术等级合格率98.1%。</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pPr>
      <w:bookmarkStart w:id="7" w:name="_Toc14429"/>
      <w:r>
        <w:rPr>
          <w:rFonts w:hint="eastAsia"/>
        </w:rPr>
        <w:t>四、预算管理情况分析</w:t>
      </w:r>
      <w:bookmarkEnd w:id="7"/>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rPr>
      </w:pPr>
      <w:bookmarkStart w:id="8" w:name="_Toc8877"/>
      <w:r>
        <w:rPr>
          <w:rFonts w:hint="eastAsia" w:ascii="楷体_GB2312" w:hAnsi="楷体_GB2312" w:eastAsia="楷体_GB2312" w:cs="楷体_GB2312"/>
        </w:rPr>
        <w:t>（一）财务管理</w:t>
      </w:r>
      <w:bookmarkEnd w:id="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一轻控股为加强财务管理，提高资金使用效益，</w:t>
      </w:r>
      <w:r>
        <w:rPr>
          <w:rFonts w:hint="eastAsia" w:ascii="仿宋_GB2312" w:hAnsi="宋体" w:eastAsia="仿宋_GB2312" w:cs="宋体"/>
          <w:color w:val="000000"/>
          <w:kern w:val="0"/>
          <w:sz w:val="32"/>
          <w:szCs w:val="32"/>
          <w:highlight w:val="none"/>
        </w:rPr>
        <w:t>参照《北京市市级项目支出预算管理办法》（京财预〔2012〕2278号）</w:t>
      </w:r>
      <w:r>
        <w:rPr>
          <w:rFonts w:hint="eastAsia" w:ascii="仿宋_GB2312" w:hAnsi="宋体" w:eastAsia="仿宋_GB2312" w:cs="宋体"/>
          <w:color w:val="000000"/>
          <w:kern w:val="0"/>
          <w:sz w:val="32"/>
          <w:szCs w:val="32"/>
        </w:rPr>
        <w:t>等相关文件要求进行资金支出与管理。同时，依据本单位制定的《北京一轻控股有限责任公司</w:t>
      </w:r>
      <w:r>
        <w:rPr>
          <w:rFonts w:hint="eastAsia" w:ascii="仿宋_GB2312" w:hAnsi="宋体" w:eastAsia="仿宋_GB2312" w:cs="宋体"/>
          <w:color w:val="000000"/>
          <w:kern w:val="0"/>
          <w:sz w:val="32"/>
          <w:szCs w:val="32"/>
          <w:lang w:eastAsia="zh-CN"/>
        </w:rPr>
        <w:t>内控合规管理一体化手册</w:t>
      </w:r>
      <w:r>
        <w:rPr>
          <w:rFonts w:hint="eastAsia" w:ascii="仿宋_GB2312" w:hAnsi="宋体" w:eastAsia="仿宋_GB2312" w:cs="宋体"/>
          <w:color w:val="000000"/>
          <w:kern w:val="0"/>
          <w:sz w:val="32"/>
          <w:szCs w:val="32"/>
        </w:rPr>
        <w:t>》《“三重一大”决策制度实施办法</w:t>
      </w:r>
      <w:r>
        <w:rPr>
          <w:rFonts w:hint="eastAsia" w:ascii="仿宋_GB2312" w:hAnsi="宋体" w:eastAsia="仿宋_GB2312" w:cs="宋体"/>
          <w:color w:val="000000"/>
          <w:kern w:val="0"/>
          <w:sz w:val="32"/>
          <w:szCs w:val="32"/>
          <w:lang w:eastAsia="zh-CN"/>
        </w:rPr>
        <w:t>（修订版）</w:t>
      </w:r>
      <w:r>
        <w:rPr>
          <w:rFonts w:hint="eastAsia" w:ascii="仿宋_GB2312" w:hAnsi="宋体" w:eastAsia="仿宋_GB2312" w:cs="宋体"/>
          <w:color w:val="000000"/>
          <w:kern w:val="0"/>
          <w:sz w:val="32"/>
          <w:szCs w:val="32"/>
        </w:rPr>
        <w:t>》及《财务管理</w:t>
      </w:r>
      <w:r>
        <w:rPr>
          <w:rFonts w:hint="eastAsia" w:ascii="仿宋_GB2312" w:hAnsi="宋体" w:eastAsia="仿宋_GB2312" w:cs="宋体"/>
          <w:color w:val="000000"/>
          <w:kern w:val="0"/>
          <w:sz w:val="32"/>
          <w:szCs w:val="32"/>
          <w:lang w:eastAsia="zh-CN"/>
        </w:rPr>
        <w:t>办法</w:t>
      </w:r>
      <w:r>
        <w:rPr>
          <w:rFonts w:hint="eastAsia" w:ascii="仿宋_GB2312" w:hAnsi="宋体" w:eastAsia="仿宋_GB2312" w:cs="宋体"/>
          <w:color w:val="000000"/>
          <w:kern w:val="0"/>
          <w:sz w:val="32"/>
          <w:szCs w:val="32"/>
        </w:rPr>
        <w:t>》等相关财务制度执行。</w:t>
      </w:r>
    </w:p>
    <w:p>
      <w:pPr>
        <w:spacing w:line="56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技师学院作为202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年度绩效目标主要实施单位，在制度完备性方面，技师学院现行的财务管理制度包括财务预算核算制度、货币资金管理制度、内部控制管理制度等多个方面，已建立了完整的制度体系。各项制度之间相互衔接、协调一致，能够覆盖部门各项财务活动。同时，制度内容详细、具体，具有可操作性和实用性，为财务管理提供了有力的制度保障。</w:t>
      </w:r>
    </w:p>
    <w:p>
      <w:pPr>
        <w:spacing w:line="56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制度执行有效方面，技师学院各项财务管理制度得到了有效执行。在会计核算方面，技师学院严格按照制度要求进行账务处理，确保会计信息的真实、准确和完整；在预算管理方面，合理编制预算，加强预算执行过程中的监控和调整，提高资金使用效率；在资金管理方面，严格遵守资金管理制度，规范资金收支流程，确保资金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highlight w:val="none"/>
        </w:rPr>
        <w:t>风险控制方面，技师学院重视对财务风险进行识别、评估、监控和应对。通过加强内部控制、建立风险预警机制、定期开展风险评估等措施，有效降低了财务风险的发生概率和影响程度。同时，还加强了对重大财务风险的防范和应对，确保财务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2.资金使用合规性和安全性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轻控股集团财务预算支出执行逐级审批、分级把关的原则，专款专用，各项费用依据市财政局批复资金使用范围，以及有关财务规章制度规定的开支范围及开支标准执行，不存在截留、挤占、挪用项目资金情况。每笔开支都严格按照项目预算内容中明确的项目使用，在资金使用过程中履行了相关手续和报批流程。按照财务管理制度要求，财务人员对其所管理资金使用的合法性、合理性和有效性实行全面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3.会计基础信息完善性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仿宋_GB2312"/>
          <w:kern w:val="0"/>
          <w:sz w:val="32"/>
          <w:szCs w:val="32"/>
        </w:rPr>
      </w:pPr>
      <w:r>
        <w:rPr>
          <w:rFonts w:hint="eastAsia" w:ascii="仿宋_GB2312" w:hAnsi="宋体" w:eastAsia="仿宋_GB2312" w:cs="宋体"/>
          <w:color w:val="000000"/>
          <w:kern w:val="0"/>
          <w:sz w:val="32"/>
          <w:szCs w:val="32"/>
        </w:rPr>
        <w:t>一轻控股集团</w:t>
      </w:r>
      <w:r>
        <w:rPr>
          <w:rFonts w:hint="eastAsia" w:ascii="仿宋_GB2312" w:hAnsi="仿宋" w:eastAsia="仿宋_GB2312"/>
          <w:kern w:val="0"/>
          <w:sz w:val="32"/>
          <w:szCs w:val="32"/>
        </w:rPr>
        <w:t>部门基础信息管理</w:t>
      </w:r>
      <w:r>
        <w:rPr>
          <w:rFonts w:hint="eastAsia" w:ascii="仿宋_GB2312" w:eastAsia="仿宋_GB2312" w:cs="仿宋_GB2312"/>
          <w:kern w:val="0"/>
          <w:sz w:val="32"/>
          <w:szCs w:val="32"/>
        </w:rPr>
        <w:t>比较完善</w:t>
      </w:r>
      <w:r>
        <w:rPr>
          <w:rFonts w:hint="eastAsia" w:ascii="仿宋_GB2312" w:hAnsi="仿宋" w:eastAsia="仿宋_GB2312"/>
          <w:kern w:val="0"/>
          <w:sz w:val="32"/>
          <w:szCs w:val="32"/>
        </w:rPr>
        <w:t>，预算管理在制度建设上比较健全，预算资金使用合规，</w:t>
      </w:r>
      <w:r>
        <w:rPr>
          <w:rFonts w:hint="eastAsia" w:ascii="仿宋_GB2312" w:eastAsia="仿宋_GB2312" w:cs="仿宋_GB2312"/>
          <w:kern w:val="0"/>
          <w:sz w:val="32"/>
          <w:szCs w:val="32"/>
        </w:rPr>
        <w:t>部门经费控制情况基本符合财政部门预算要求和相关管理制度要求。</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rPr>
      </w:pPr>
      <w:bookmarkStart w:id="9" w:name="_Toc28885"/>
      <w:r>
        <w:rPr>
          <w:rFonts w:hint="eastAsia" w:ascii="楷体_GB2312" w:hAnsi="楷体_GB2312" w:eastAsia="楷体_GB2312" w:cs="楷体_GB2312"/>
        </w:rPr>
        <w:t>（二）资产管理</w:t>
      </w:r>
      <w:bookmarkEnd w:id="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截至202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年12月31日，货币资金2750</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8</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万元，固定资产净值12053</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94万元。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项目预算通过前期市场调研并考虑项目实际需求后确定实施内容，其中设备购置类单价参考政府采购网</w:t>
      </w:r>
      <w:r>
        <w:rPr>
          <w:rFonts w:hint="eastAsia" w:ascii="仿宋_GB2312" w:hAnsi="宋体" w:eastAsia="仿宋_GB2312" w:cs="宋体"/>
          <w:color w:val="000000"/>
          <w:kern w:val="0"/>
          <w:sz w:val="32"/>
          <w:szCs w:val="32"/>
          <w:lang w:eastAsia="zh-CN"/>
        </w:rPr>
        <w:t>及第</w:t>
      </w:r>
      <w:r>
        <w:rPr>
          <w:rFonts w:hint="eastAsia" w:ascii="仿宋_GB2312" w:hAnsi="宋体" w:eastAsia="仿宋_GB2312" w:cs="宋体"/>
          <w:color w:val="000000"/>
          <w:kern w:val="0"/>
          <w:sz w:val="32"/>
          <w:szCs w:val="32"/>
        </w:rPr>
        <w:t>三方市场询价，工程施工类委托第三方专业造价咨询机构出具工程预算明细及图纸，在通过专家论证确定后执行了财政预算评审程序。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为加强各类资产的管理与控制，保护资产安全、完整，提高资产使用效率，防范资产损失或舞弊行为。</w:t>
      </w:r>
      <w:r>
        <w:rPr>
          <w:rFonts w:hint="eastAsia" w:ascii="仿宋_GB2312" w:hAnsi="宋体" w:eastAsia="仿宋_GB2312" w:cs="宋体"/>
          <w:color w:val="000000"/>
          <w:kern w:val="0"/>
          <w:sz w:val="32"/>
          <w:szCs w:val="32"/>
          <w:lang w:val="en-US" w:eastAsia="zh-CN"/>
        </w:rPr>
        <w:t>一轻控股</w:t>
      </w:r>
      <w:r>
        <w:rPr>
          <w:rFonts w:hint="eastAsia" w:ascii="仿宋_GB2312" w:hAnsi="宋体" w:eastAsia="仿宋_GB2312" w:cs="宋体"/>
          <w:color w:val="000000"/>
          <w:kern w:val="0"/>
          <w:sz w:val="32"/>
          <w:szCs w:val="32"/>
        </w:rPr>
        <w:t>及各下属单位依据</w:t>
      </w:r>
      <w:r>
        <w:rPr>
          <w:rFonts w:hint="eastAsia" w:ascii="仿宋_GB2312" w:hAnsi="仿宋" w:eastAsia="仿宋_GB2312"/>
          <w:kern w:val="0"/>
          <w:sz w:val="32"/>
          <w:szCs w:val="32"/>
          <w:highlight w:val="none"/>
        </w:rPr>
        <w:t>根据市财政资产管理规定及单位实际情况不断完善资产管理制度，并严格遵照执行。依据《北京一轻控股有限责任公司实物资产管理办法》，由一轻控股资产管理部牵头，所属事业单位资产管理部门具体负责管理和使用固定资产。</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rPr>
      </w:pPr>
      <w:bookmarkStart w:id="10" w:name="_Toc29743"/>
      <w:r>
        <w:rPr>
          <w:rFonts w:hint="eastAsia" w:ascii="楷体_GB2312" w:hAnsi="楷体_GB2312" w:eastAsia="楷体_GB2312" w:cs="楷体_GB2312"/>
        </w:rPr>
        <w:t>（三）绩效管理</w:t>
      </w:r>
      <w:bookmarkEnd w:id="1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一轻控股根据工作计划对所属事业单位进行检查，提出合理化建议，提高工作质量及效率。对下属单位整体支出绩效目标实行绩效目标管理，根据</w:t>
      </w:r>
      <w:r>
        <w:rPr>
          <w:rFonts w:hint="eastAsia" w:ascii="仿宋_GB2312" w:hAnsi="宋体" w:eastAsia="仿宋_GB2312" w:cs="宋体"/>
          <w:color w:val="000000"/>
          <w:kern w:val="0"/>
          <w:sz w:val="32"/>
          <w:szCs w:val="32"/>
          <w:lang w:val="en-US" w:eastAsia="zh-CN"/>
        </w:rPr>
        <w:t>文件</w:t>
      </w:r>
      <w:r>
        <w:rPr>
          <w:rFonts w:hint="eastAsia" w:ascii="仿宋_GB2312" w:hAnsi="宋体" w:eastAsia="仿宋_GB2312" w:cs="宋体"/>
          <w:color w:val="000000"/>
          <w:kern w:val="0"/>
          <w:sz w:val="32"/>
          <w:szCs w:val="32"/>
        </w:rPr>
        <w:t>要求，按时完成了对项目支出绩效目标执行运行监控工作，填报完成上半年《市级项目支出绩效目标执行监控汇总表》，形成《项目支出绩效目标执行监控报告》，及时总结项目执行中的问题，保障项目如期顺利实施。修订</w:t>
      </w:r>
      <w:r>
        <w:rPr>
          <w:rFonts w:hint="eastAsia" w:ascii="仿宋_GB2312" w:hAnsi="宋体" w:eastAsia="仿宋_GB2312" w:cs="宋体"/>
          <w:color w:val="000000"/>
          <w:kern w:val="0"/>
          <w:sz w:val="32"/>
          <w:szCs w:val="32"/>
          <w:lang w:val="en-US" w:eastAsia="zh-CN"/>
        </w:rPr>
        <w:t>内部</w:t>
      </w:r>
      <w:r>
        <w:rPr>
          <w:rFonts w:hint="eastAsia" w:ascii="仿宋_GB2312" w:hAnsi="宋体" w:eastAsia="仿宋_GB2312" w:cs="宋体"/>
          <w:color w:val="000000"/>
          <w:kern w:val="0"/>
          <w:sz w:val="32"/>
          <w:szCs w:val="32"/>
        </w:rPr>
        <w:t>管理制度，实施全面预算管理，多维度开展财务分析，准确把握全系统财务指标及经营情况。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根据《北京市财政局关于202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推进全面实施预算绩效管理工作的预通知》文件指示，为规范和加强预算绩效管理，提升财政资金使用效率和管理水平，学院成立项目绩效考评领导小组，由食品工程系、机电工程系、基础部、工艺美术系、资产管理处等部门协同工作，对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度财政项目支出的绩效情况实施绩效评价，形成绩效报告。通过绩效评价，衡量和考核项目使用财政资金的绩效，了解、分析、检验资金使用是否达到预期目标，资金管理是否规范，资金使用是否有效。通过分析问题，总结经验，采取</w:t>
      </w:r>
      <w:r>
        <w:rPr>
          <w:rFonts w:hint="eastAsia" w:ascii="仿宋_GB2312" w:hAnsi="宋体" w:eastAsia="仿宋_GB2312" w:cs="宋体"/>
          <w:color w:val="000000"/>
          <w:kern w:val="0"/>
          <w:sz w:val="32"/>
          <w:szCs w:val="32"/>
          <w:lang w:eastAsia="zh-CN"/>
        </w:rPr>
        <w:t>切实</w:t>
      </w:r>
      <w:r>
        <w:rPr>
          <w:rFonts w:hint="eastAsia" w:ascii="仿宋_GB2312" w:hAnsi="宋体" w:eastAsia="仿宋_GB2312" w:cs="宋体"/>
          <w:color w:val="000000"/>
          <w:kern w:val="0"/>
          <w:sz w:val="32"/>
          <w:szCs w:val="32"/>
        </w:rPr>
        <w:t>措施进一步改进和加强财政支出项目管理，提高财政资金使用效益。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根据北京市财政局文件《北京市财政局关于批复北京市一轻控股有限责任公司202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年预算的函》（京财教育指</w:t>
      </w:r>
      <w:r>
        <w:rPr>
          <w:rFonts w:hint="eastAsia" w:ascii="仿宋_GB2312" w:hAnsi="宋体" w:eastAsia="仿宋_GB2312" w:cs="宋体"/>
          <w:color w:val="000000"/>
          <w:kern w:val="0"/>
          <w:sz w:val="32"/>
          <w:szCs w:val="32"/>
          <w:lang w:eastAsia="zh-CN"/>
        </w:rPr>
        <w:t>〔2024〕253号</w:t>
      </w:r>
      <w:r>
        <w:rPr>
          <w:rFonts w:hint="eastAsia" w:ascii="仿宋_GB2312" w:hAnsi="宋体" w:eastAsia="仿宋_GB2312" w:cs="宋体"/>
          <w:color w:val="000000"/>
          <w:kern w:val="0"/>
          <w:sz w:val="32"/>
          <w:szCs w:val="32"/>
        </w:rPr>
        <w:t>）文件批示202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US" w:eastAsia="zh-CN"/>
        </w:rPr>
        <w:t>项目</w:t>
      </w:r>
      <w:r>
        <w:rPr>
          <w:rFonts w:hint="eastAsia" w:ascii="仿宋_GB2312" w:hAnsi="宋体" w:eastAsia="仿宋_GB2312" w:cs="宋体"/>
          <w:color w:val="000000"/>
          <w:kern w:val="0"/>
          <w:sz w:val="32"/>
          <w:szCs w:val="32"/>
        </w:rPr>
        <w:t>支出预算</w:t>
      </w:r>
      <w:r>
        <w:rPr>
          <w:rFonts w:hint="eastAsia" w:ascii="仿宋_GB2312" w:hAnsi="宋体" w:eastAsia="仿宋_GB2312" w:cs="宋体"/>
          <w:color w:val="000000"/>
          <w:kern w:val="0"/>
          <w:sz w:val="32"/>
          <w:szCs w:val="32"/>
          <w:lang w:val="en-US" w:eastAsia="zh-CN"/>
        </w:rPr>
        <w:t>9160.76</w:t>
      </w:r>
      <w:r>
        <w:rPr>
          <w:rFonts w:hint="eastAsia" w:ascii="仿宋_GB2312" w:hAnsi="宋体" w:eastAsia="仿宋_GB2312" w:cs="宋体"/>
          <w:color w:val="000000"/>
          <w:kern w:val="0"/>
          <w:sz w:val="32"/>
          <w:szCs w:val="32"/>
        </w:rPr>
        <w:t>万元，主要包含“计算机网络应用实验室建设项目”“2022年国家级高技能人才培训基地建设项目”</w:t>
      </w:r>
      <w:r>
        <w:rPr>
          <w:rFonts w:ascii="仿宋_GB2312" w:hAnsi="宋体" w:eastAsia="仿宋_GB2312" w:cs="宋体"/>
          <w:color w:val="000000"/>
          <w:kern w:val="0"/>
          <w:sz w:val="32"/>
          <w:szCs w:val="32"/>
        </w:rPr>
        <w:t>等</w:t>
      </w:r>
      <w:r>
        <w:rPr>
          <w:rFonts w:hint="eastAsia" w:ascii="仿宋_GB2312" w:hAnsi="宋体" w:eastAsia="仿宋_GB2312" w:cs="宋体"/>
          <w:color w:val="000000"/>
          <w:kern w:val="0"/>
          <w:sz w:val="32"/>
          <w:szCs w:val="32"/>
          <w:lang w:val="en-US" w:eastAsia="zh-CN"/>
        </w:rPr>
        <w:t>37</w:t>
      </w:r>
      <w:r>
        <w:rPr>
          <w:rFonts w:hint="eastAsia" w:ascii="仿宋_GB2312" w:hAnsi="宋体" w:eastAsia="仿宋_GB2312" w:cs="宋体"/>
          <w:color w:val="000000"/>
          <w:kern w:val="0"/>
          <w:sz w:val="32"/>
          <w:szCs w:val="32"/>
        </w:rPr>
        <w:t>个</w:t>
      </w:r>
      <w:r>
        <w:rPr>
          <w:rFonts w:hint="eastAsia" w:ascii="仿宋_GB2312" w:hAnsi="宋体" w:eastAsia="仿宋_GB2312" w:cs="宋体"/>
          <w:color w:val="000000"/>
          <w:kern w:val="0"/>
          <w:sz w:val="32"/>
          <w:szCs w:val="32"/>
          <w:lang w:val="en-US" w:eastAsia="zh-CN"/>
        </w:rPr>
        <w:t>部门</w:t>
      </w:r>
      <w:r>
        <w:rPr>
          <w:rFonts w:hint="eastAsia" w:ascii="仿宋_GB2312" w:hAnsi="宋体" w:eastAsia="仿宋_GB2312" w:cs="宋体"/>
          <w:color w:val="000000"/>
          <w:kern w:val="0"/>
          <w:sz w:val="32"/>
          <w:szCs w:val="32"/>
        </w:rPr>
        <w:t>项目</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2个其他运转类项目</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其中尾款项目15个。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年共计评价项目</w:t>
      </w:r>
      <w:r>
        <w:rPr>
          <w:rFonts w:hint="eastAsia" w:ascii="仿宋_GB2312" w:hAnsi="宋体" w:eastAsia="仿宋_GB2312" w:cs="宋体"/>
          <w:color w:val="000000"/>
          <w:kern w:val="0"/>
          <w:sz w:val="32"/>
          <w:szCs w:val="32"/>
          <w:highlight w:val="none"/>
          <w:lang w:val="en-US" w:eastAsia="zh-CN"/>
        </w:rPr>
        <w:t>39</w:t>
      </w:r>
      <w:r>
        <w:rPr>
          <w:rFonts w:hint="eastAsia" w:ascii="仿宋_GB2312" w:hAnsi="宋体" w:eastAsia="仿宋_GB2312" w:cs="宋体"/>
          <w:color w:val="000000"/>
          <w:kern w:val="0"/>
          <w:sz w:val="32"/>
          <w:szCs w:val="32"/>
          <w:highlight w:val="none"/>
        </w:rPr>
        <w:t>个，</w:t>
      </w:r>
      <w:r>
        <w:rPr>
          <w:rFonts w:hint="eastAsia" w:ascii="仿宋_GB2312" w:hAnsi="宋体" w:eastAsia="仿宋_GB2312" w:cs="宋体"/>
          <w:color w:val="000000"/>
          <w:kern w:val="0"/>
          <w:sz w:val="32"/>
          <w:szCs w:val="32"/>
          <w:highlight w:val="none"/>
          <w:lang w:val="en-US" w:eastAsia="zh-CN"/>
        </w:rPr>
        <w:t>财政支出</w:t>
      </w:r>
      <w:r>
        <w:rPr>
          <w:rFonts w:hint="eastAsia" w:ascii="仿宋_GB2312" w:hAnsi="宋体" w:eastAsia="仿宋_GB2312" w:cs="宋体"/>
          <w:color w:val="000000"/>
          <w:kern w:val="0"/>
          <w:sz w:val="32"/>
          <w:szCs w:val="32"/>
          <w:highlight w:val="none"/>
        </w:rPr>
        <w:t>项目绩效评价覆盖率为100</w:t>
      </w:r>
      <w:r>
        <w:rPr>
          <w:rFonts w:ascii="仿宋_GB2312" w:hAnsi="宋体" w:eastAsia="仿宋_GB2312" w:cs="宋体"/>
          <w:color w:val="000000"/>
          <w:kern w:val="0"/>
          <w:sz w:val="32"/>
          <w:szCs w:val="32"/>
          <w:highlight w:val="none"/>
        </w:rPr>
        <w:t>%，涉及</w:t>
      </w:r>
      <w:r>
        <w:rPr>
          <w:rFonts w:hint="eastAsia" w:ascii="仿宋_GB2312" w:hAnsi="宋体" w:eastAsia="仿宋_GB2312" w:cs="宋体"/>
          <w:color w:val="000000"/>
          <w:kern w:val="0"/>
          <w:sz w:val="32"/>
          <w:szCs w:val="32"/>
          <w:highlight w:val="none"/>
        </w:rPr>
        <w:t>金额</w:t>
      </w:r>
      <w:r>
        <w:rPr>
          <w:rFonts w:hint="eastAsia" w:ascii="仿宋_GB2312" w:hAnsi="宋体" w:eastAsia="仿宋_GB2312" w:cs="宋体"/>
          <w:color w:val="000000"/>
          <w:kern w:val="0"/>
          <w:sz w:val="32"/>
          <w:szCs w:val="32"/>
          <w:highlight w:val="none"/>
          <w:lang w:val="en-US" w:eastAsia="zh-CN"/>
        </w:rPr>
        <w:t>9083.9</w:t>
      </w:r>
      <w:r>
        <w:rPr>
          <w:rFonts w:hint="eastAsia" w:ascii="仿宋_GB2312" w:hAnsi="宋体" w:eastAsia="仿宋_GB2312" w:cs="宋体"/>
          <w:color w:val="000000"/>
          <w:kern w:val="0"/>
          <w:sz w:val="32"/>
          <w:szCs w:val="32"/>
          <w:highlight w:val="none"/>
        </w:rPr>
        <w:t>万元。其中：自评项目</w:t>
      </w:r>
      <w:r>
        <w:rPr>
          <w:rFonts w:hint="eastAsia" w:ascii="仿宋_GB2312" w:hAnsi="宋体" w:eastAsia="仿宋_GB2312" w:cs="宋体"/>
          <w:color w:val="000000"/>
          <w:kern w:val="0"/>
          <w:sz w:val="32"/>
          <w:szCs w:val="32"/>
          <w:highlight w:val="none"/>
          <w:lang w:val="en-US" w:eastAsia="zh-CN"/>
        </w:rPr>
        <w:t>38</w:t>
      </w:r>
      <w:r>
        <w:rPr>
          <w:rFonts w:hint="eastAsia" w:ascii="仿宋_GB2312" w:hAnsi="宋体" w:eastAsia="仿宋_GB2312" w:cs="宋体"/>
          <w:color w:val="000000"/>
          <w:kern w:val="0"/>
          <w:sz w:val="32"/>
          <w:szCs w:val="32"/>
          <w:highlight w:val="none"/>
        </w:rPr>
        <w:t>个，涉及金额</w:t>
      </w:r>
      <w:r>
        <w:rPr>
          <w:rFonts w:hint="eastAsia" w:ascii="仿宋_GB2312" w:hAnsi="宋体" w:eastAsia="仿宋_GB2312" w:cs="宋体"/>
          <w:color w:val="000000"/>
          <w:kern w:val="0"/>
          <w:sz w:val="32"/>
          <w:szCs w:val="32"/>
          <w:highlight w:val="none"/>
          <w:lang w:val="en-US" w:eastAsia="zh-CN"/>
        </w:rPr>
        <w:t>8862.75</w:t>
      </w:r>
      <w:r>
        <w:rPr>
          <w:rFonts w:hint="eastAsia" w:ascii="仿宋_GB2312" w:hAnsi="宋体" w:eastAsia="仿宋_GB2312" w:cs="宋体"/>
          <w:color w:val="000000"/>
          <w:kern w:val="0"/>
          <w:sz w:val="32"/>
          <w:szCs w:val="32"/>
          <w:highlight w:val="none"/>
        </w:rPr>
        <w:t>万元。评价得分在90分（含90分）以上</w:t>
      </w:r>
      <w:r>
        <w:rPr>
          <w:rFonts w:hint="eastAsia" w:ascii="仿宋_GB2312" w:hAnsi="宋体" w:eastAsia="仿宋_GB2312" w:cs="宋体"/>
          <w:color w:val="000000"/>
          <w:kern w:val="0"/>
          <w:sz w:val="32"/>
          <w:szCs w:val="32"/>
          <w:highlight w:val="none"/>
          <w:lang w:val="en-US" w:eastAsia="zh-CN"/>
        </w:rPr>
        <w:t>38</w:t>
      </w:r>
      <w:r>
        <w:rPr>
          <w:rFonts w:hint="eastAsia" w:ascii="仿宋_GB2312" w:hAnsi="宋体" w:eastAsia="仿宋_GB2312" w:cs="宋体"/>
          <w:color w:val="000000"/>
          <w:kern w:val="0"/>
          <w:sz w:val="32"/>
          <w:szCs w:val="32"/>
          <w:highlight w:val="none"/>
        </w:rPr>
        <w:t>个；重点评价项目1个，涉及金额221.15万元，评价得分86.06分。</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rPr>
      </w:pPr>
      <w:bookmarkStart w:id="11" w:name="_Toc22463"/>
      <w:r>
        <w:rPr>
          <w:rFonts w:hint="eastAsia" w:ascii="楷体_GB2312" w:hAnsi="楷体_GB2312" w:eastAsia="楷体_GB2312" w:cs="楷体_GB2312"/>
        </w:rPr>
        <w:t>（四）结转结余率</w:t>
      </w:r>
      <w:bookmarkEnd w:id="1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本年度结余结转金额3473.34万元，全年支出总额24165.31万元，结转结余率为14.37%。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highlight w:val="none"/>
          <w:lang w:val="en-US" w:eastAsia="zh-CN"/>
        </w:rPr>
        <w:t>上</w:t>
      </w:r>
      <w:r>
        <w:rPr>
          <w:rFonts w:hint="eastAsia" w:ascii="仿宋_GB2312" w:hAnsi="宋体" w:eastAsia="仿宋_GB2312" w:cs="宋体"/>
          <w:color w:val="000000"/>
          <w:kern w:val="0"/>
          <w:sz w:val="32"/>
          <w:szCs w:val="32"/>
          <w:highlight w:val="none"/>
        </w:rPr>
        <w:t>年度结余结转金额4190.88万元，全年支出总额25874.74万元，结转结余率为16.20%</w:t>
      </w:r>
      <w:r>
        <w:rPr>
          <w:rFonts w:hint="eastAsia" w:ascii="仿宋_GB2312" w:hAnsi="宋体" w:eastAsia="仿宋_GB2312" w:cs="宋体"/>
          <w:color w:val="000000"/>
          <w:kern w:val="0"/>
          <w:sz w:val="32"/>
          <w:szCs w:val="32"/>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rPr>
      </w:pPr>
      <w:bookmarkStart w:id="12" w:name="_Toc26921"/>
      <w:r>
        <w:rPr>
          <w:rFonts w:hint="eastAsia" w:ascii="楷体_GB2312" w:hAnsi="楷体_GB2312" w:eastAsia="楷体_GB2312" w:cs="楷体_GB2312"/>
        </w:rPr>
        <w:t>（五）部门预决算差异率</w:t>
      </w:r>
      <w:bookmarkEnd w:id="1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年全年</w:t>
      </w:r>
      <w:r>
        <w:rPr>
          <w:rFonts w:hint="eastAsia" w:ascii="仿宋_GB2312" w:hAnsi="宋体" w:eastAsia="仿宋_GB2312" w:cs="宋体"/>
          <w:color w:val="000000"/>
          <w:kern w:val="0"/>
          <w:sz w:val="32"/>
          <w:szCs w:val="32"/>
          <w:lang w:val="en-US" w:eastAsia="zh-CN"/>
        </w:rPr>
        <w:t>预算</w:t>
      </w:r>
      <w:r>
        <w:rPr>
          <w:rFonts w:hint="eastAsia" w:ascii="仿宋_GB2312" w:hAnsi="宋体" w:eastAsia="仿宋_GB2312" w:cs="宋体"/>
          <w:color w:val="000000"/>
          <w:kern w:val="0"/>
          <w:sz w:val="32"/>
          <w:szCs w:val="32"/>
        </w:rPr>
        <w:t>数27638.64万元，总体支出24165.31万元，预算与决算的差异率</w:t>
      </w:r>
      <w:r>
        <w:rPr>
          <w:rFonts w:hint="eastAsia" w:ascii="仿宋_GB2312" w:hAnsi="宋体" w:eastAsia="仿宋_GB2312" w:cs="宋体"/>
          <w:color w:val="000000"/>
          <w:kern w:val="0"/>
          <w:sz w:val="32"/>
          <w:szCs w:val="32"/>
          <w:lang w:val="en-US" w:eastAsia="zh-CN"/>
        </w:rPr>
        <w:t>12.57</w:t>
      </w:r>
      <w:r>
        <w:rPr>
          <w:rFonts w:hint="eastAsia" w:ascii="仿宋_GB2312" w:hAnsi="宋体" w:eastAsia="仿宋_GB2312" w:cs="宋体"/>
          <w:color w:val="000000"/>
          <w:kern w:val="0"/>
          <w:sz w:val="32"/>
          <w:szCs w:val="32"/>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pPr>
      <w:bookmarkStart w:id="13" w:name="_Toc12748"/>
      <w:r>
        <w:rPr>
          <w:rFonts w:hint="eastAsia"/>
        </w:rPr>
        <w:t>五、总体评价结论</w:t>
      </w:r>
      <w:bookmarkEnd w:id="13"/>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rPr>
      </w:pPr>
      <w:bookmarkStart w:id="14" w:name="_Toc3505"/>
      <w:r>
        <w:rPr>
          <w:rFonts w:hint="eastAsia" w:ascii="楷体_GB2312" w:hAnsi="楷体_GB2312" w:eastAsia="楷体_GB2312" w:cs="楷体_GB2312"/>
        </w:rPr>
        <w:t>（一）评价得分情况</w:t>
      </w:r>
      <w:bookmarkEnd w:id="1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rPr>
        <w:t>根据对各指标进行分析，202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年部门整体支出综合评价得分93.</w:t>
      </w:r>
      <w:r>
        <w:rPr>
          <w:rFonts w:hint="eastAsia" w:ascii="仿宋_GB2312" w:hAnsi="宋体" w:eastAsia="仿宋_GB2312" w:cs="宋体"/>
          <w:color w:val="000000"/>
          <w:kern w:val="0"/>
          <w:sz w:val="32"/>
          <w:szCs w:val="32"/>
          <w:lang w:val="en-US" w:eastAsia="zh-CN"/>
        </w:rPr>
        <w:t>88</w:t>
      </w:r>
      <w:r>
        <w:rPr>
          <w:rFonts w:hint="eastAsia" w:ascii="仿宋_GB2312" w:hAnsi="宋体" w:eastAsia="仿宋_GB2312" w:cs="宋体"/>
          <w:color w:val="000000"/>
          <w:kern w:val="0"/>
          <w:sz w:val="32"/>
          <w:szCs w:val="32"/>
        </w:rPr>
        <w:t>分，其中：当年预算执行情况</w:t>
      </w:r>
      <w:r>
        <w:rPr>
          <w:rFonts w:hint="eastAsia" w:ascii="仿宋_GB2312" w:hAnsi="宋体" w:eastAsia="仿宋_GB2312" w:cs="宋体"/>
          <w:color w:val="000000"/>
          <w:kern w:val="0"/>
          <w:sz w:val="32"/>
          <w:szCs w:val="32"/>
          <w:lang w:val="en-US" w:eastAsia="zh-CN"/>
        </w:rPr>
        <w:t>17.49</w:t>
      </w:r>
      <w:r>
        <w:rPr>
          <w:rFonts w:hint="eastAsia" w:ascii="仿宋_GB2312" w:hAnsi="宋体" w:eastAsia="仿宋_GB2312" w:cs="宋体"/>
          <w:color w:val="000000"/>
          <w:kern w:val="0"/>
          <w:sz w:val="32"/>
          <w:szCs w:val="32"/>
        </w:rPr>
        <w:t>分，整体绩效目标实现情况5</w:t>
      </w:r>
      <w:r>
        <w:rPr>
          <w:rFonts w:hint="eastAsia" w:ascii="仿宋_GB2312" w:hAnsi="宋体" w:eastAsia="仿宋_GB2312" w:cs="宋体"/>
          <w:color w:val="000000"/>
          <w:kern w:val="0"/>
          <w:sz w:val="32"/>
          <w:szCs w:val="32"/>
          <w:lang w:val="en-US" w:eastAsia="zh-CN"/>
        </w:rPr>
        <w:t>6.39</w:t>
      </w:r>
      <w:r>
        <w:rPr>
          <w:rFonts w:hint="eastAsia" w:ascii="仿宋_GB2312" w:hAnsi="宋体" w:eastAsia="仿宋_GB2312" w:cs="宋体"/>
          <w:color w:val="000000"/>
          <w:kern w:val="0"/>
          <w:sz w:val="32"/>
          <w:szCs w:val="32"/>
        </w:rPr>
        <w:t>分，预算管理情况</w:t>
      </w:r>
      <w:r>
        <w:rPr>
          <w:rFonts w:hint="eastAsia" w:ascii="仿宋_GB2312" w:hAnsi="宋体" w:eastAsia="仿宋_GB2312" w:cs="宋体"/>
          <w:color w:val="000000"/>
          <w:kern w:val="0"/>
          <w:sz w:val="32"/>
          <w:szCs w:val="32"/>
          <w:lang w:val="en-US" w:eastAsia="zh-CN"/>
        </w:rPr>
        <w:t>20</w:t>
      </w:r>
      <w:r>
        <w:rPr>
          <w:rFonts w:hint="eastAsia" w:ascii="仿宋_GB2312" w:hAnsi="宋体" w:eastAsia="仿宋_GB2312" w:cs="宋体"/>
          <w:color w:val="000000"/>
          <w:kern w:val="0"/>
          <w:sz w:val="32"/>
          <w:szCs w:val="32"/>
        </w:rPr>
        <w:t>.00分，综合绩效评定</w:t>
      </w:r>
      <w:r>
        <w:rPr>
          <w:rFonts w:hint="eastAsia" w:ascii="仿宋_GB2312" w:hAnsi="宋体" w:eastAsia="仿宋_GB2312" w:cs="宋体"/>
          <w:color w:val="000000"/>
          <w:kern w:val="0"/>
          <w:sz w:val="32"/>
          <w:szCs w:val="32"/>
          <w:highlight w:val="none"/>
        </w:rPr>
        <w:t>结论为“优”。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highlight w:val="none"/>
        </w:rPr>
      </w:pPr>
      <w:bookmarkStart w:id="15" w:name="_Toc4934"/>
      <w:r>
        <w:rPr>
          <w:rFonts w:hint="eastAsia" w:ascii="楷体_GB2312" w:hAnsi="楷体_GB2312" w:eastAsia="楷体_GB2312" w:cs="楷体_GB2312"/>
          <w:highlight w:val="none"/>
        </w:rPr>
        <w:t>（二）存在的问题及原因分析</w:t>
      </w:r>
      <w:bookmarkEnd w:id="1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highlight w:val="none"/>
        </w:rPr>
        <w:t>1.部门整体绩效目标</w:t>
      </w:r>
      <w:r>
        <w:rPr>
          <w:rFonts w:hint="eastAsia" w:ascii="仿宋_GB2312" w:hAnsi="宋体" w:eastAsia="仿宋_GB2312" w:cs="宋体"/>
          <w:color w:val="000000"/>
          <w:kern w:val="0"/>
          <w:sz w:val="32"/>
          <w:szCs w:val="32"/>
          <w:highlight w:val="none"/>
          <w:lang w:val="en-US" w:eastAsia="zh-CN"/>
        </w:rPr>
        <w:t>不够</w:t>
      </w:r>
      <w:r>
        <w:rPr>
          <w:rFonts w:hint="eastAsia" w:ascii="仿宋_GB2312" w:hAnsi="宋体" w:eastAsia="仿宋_GB2312" w:cs="宋体"/>
          <w:color w:val="000000"/>
          <w:kern w:val="0"/>
          <w:sz w:val="32"/>
          <w:szCs w:val="32"/>
          <w:highlight w:val="none"/>
        </w:rPr>
        <w:t>完整，个别项</w:t>
      </w:r>
      <w:r>
        <w:rPr>
          <w:rFonts w:hint="eastAsia" w:ascii="仿宋_GB2312" w:hAnsi="宋体" w:eastAsia="仿宋_GB2312" w:cs="宋体"/>
          <w:color w:val="000000"/>
          <w:kern w:val="0"/>
          <w:sz w:val="32"/>
          <w:szCs w:val="32"/>
        </w:rPr>
        <w:t>目</w:t>
      </w:r>
      <w:r>
        <w:rPr>
          <w:rFonts w:hint="eastAsia" w:ascii="仿宋_GB2312" w:hAnsi="Cambria" w:eastAsia="仿宋_GB2312"/>
          <w:bCs/>
          <w:color w:val="000000"/>
          <w:sz w:val="32"/>
          <w:szCs w:val="32"/>
        </w:rPr>
        <w:t>绩效申报表填写不完善，年度目标不明确。绩效指标设置不完整</w:t>
      </w:r>
      <w:r>
        <w:rPr>
          <w:rFonts w:hint="eastAsia" w:ascii="仿宋_GB2312" w:hAnsi="仿宋" w:eastAsia="仿宋_GB2312" w:cs="Times New Roman"/>
          <w:sz w:val="32"/>
          <w:szCs w:val="32"/>
        </w:rPr>
        <w:t>，部分指标细化量化不足，考量标准不够清晰</w:t>
      </w:r>
      <w:r>
        <w:rPr>
          <w:rFonts w:hint="eastAsia" w:ascii="仿宋_GB2312" w:hAnsi="Cambria" w:eastAsia="仿宋_GB2312"/>
          <w:bCs/>
          <w:color w:val="000000"/>
          <w:sz w:val="32"/>
          <w:szCs w:val="32"/>
        </w:rPr>
        <w:t>。</w:t>
      </w:r>
    </w:p>
    <w:p>
      <w:pPr>
        <w:widowControl/>
        <w:spacing w:line="360" w:lineRule="auto"/>
        <w:ind w:firstLine="640" w:firstLineChars="200"/>
        <w:rPr>
          <w:rFonts w:hint="eastAsia" w:ascii="仿宋_GB2312" w:eastAsia="仿宋_GB2312"/>
          <w:sz w:val="32"/>
          <w:szCs w:val="32"/>
        </w:rPr>
      </w:pP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.部分项目整体</w:t>
      </w:r>
      <w:r>
        <w:rPr>
          <w:rFonts w:hint="eastAsia" w:ascii="仿宋_GB2312" w:hAnsi="仿宋" w:eastAsia="仿宋_GB2312" w:cs="Times New Roman"/>
          <w:sz w:val="32"/>
          <w:szCs w:val="32"/>
        </w:rPr>
        <w:t>实施方案内容不够完善，可操作性不足，不能全面指导项目的实施与管理</w:t>
      </w:r>
      <w:r>
        <w:rPr>
          <w:rFonts w:hint="eastAsia" w:ascii="仿宋_GB2312" w:hAnsi="仿宋_GB2312" w:eastAsia="仿宋_GB2312" w:cs="仿宋_GB2312"/>
          <w:sz w:val="32"/>
          <w:szCs w:val="32"/>
        </w:rPr>
        <w:t>。项目未进行单独核算，无法全面反映项目收支余情况。</w:t>
      </w:r>
      <w:r>
        <w:rPr>
          <w:rFonts w:hint="eastAsia" w:ascii="仿宋_GB2312" w:hAnsi="仿宋" w:eastAsia="仿宋_GB2312" w:cs="Times New Roman"/>
          <w:sz w:val="32"/>
          <w:szCs w:val="32"/>
        </w:rPr>
        <w:t>项目过程管理需加强，</w:t>
      </w:r>
      <w:r>
        <w:rPr>
          <w:rFonts w:hint="eastAsia" w:ascii="仿宋_GB2312" w:hAnsi="宋体" w:eastAsia="仿宋_GB2312"/>
          <w:kern w:val="0"/>
          <w:sz w:val="32"/>
          <w:szCs w:val="32"/>
        </w:rPr>
        <w:t>项目管理留痕资料不够完整</w:t>
      </w:r>
      <w:r>
        <w:rPr>
          <w:rFonts w:hint="eastAsia" w:ascii="仿宋_GB2312" w:eastAsia="仿宋_GB2312"/>
          <w:sz w:val="32"/>
          <w:szCs w:val="32"/>
        </w:rPr>
        <w:t>，</w:t>
      </w:r>
      <w:r>
        <w:rPr>
          <w:rFonts w:hint="eastAsia" w:ascii="仿宋_GB2312" w:hAnsi="仿宋" w:eastAsia="仿宋_GB2312" w:cs="Times New Roman"/>
          <w:sz w:val="32"/>
          <w:szCs w:val="32"/>
        </w:rPr>
        <w:t>实施</w:t>
      </w:r>
      <w:r>
        <w:rPr>
          <w:rFonts w:hint="eastAsia" w:ascii="仿宋_GB2312" w:hAnsi="Cambria" w:eastAsia="仿宋_GB2312"/>
          <w:bCs/>
          <w:color w:val="000000"/>
          <w:sz w:val="32"/>
          <w:szCs w:val="32"/>
        </w:rPr>
        <w:t>内容存在调整，未提供调整后项目实施内容等相关决策支撑资料</w:t>
      </w:r>
      <w:r>
        <w:rPr>
          <w:rFonts w:hint="eastAsia" w:ascii="仿宋_GB2312" w:hAnsi="仿宋" w:eastAsia="仿宋_GB2312" w:cs="Times New Roman"/>
          <w:sz w:val="32"/>
          <w:szCs w:val="32"/>
        </w:rPr>
        <w:t>，预算与项目实施内容是否一致不清晰</w:t>
      </w:r>
      <w:r>
        <w:rPr>
          <w:rFonts w:hint="eastAsia" w:ascii="仿宋_GB2312" w:hAnsi="Cambria" w:eastAsia="仿宋_GB2312"/>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3.部门整体相关绩效成果资料收集及汇总</w:t>
      </w:r>
      <w:r>
        <w:rPr>
          <w:rFonts w:hint="eastAsia" w:ascii="仿宋_GB2312" w:hAnsi="宋体" w:eastAsia="仿宋_GB2312" w:cs="宋体"/>
          <w:color w:val="000000"/>
          <w:kern w:val="0"/>
          <w:sz w:val="32"/>
          <w:szCs w:val="32"/>
          <w:lang w:val="en-US" w:eastAsia="zh-CN"/>
        </w:rPr>
        <w:t>不够完整</w:t>
      </w:r>
      <w:r>
        <w:rPr>
          <w:rFonts w:hint="eastAsia" w:ascii="仿宋_GB2312" w:eastAsia="仿宋_GB2312"/>
          <w:sz w:val="32"/>
          <w:szCs w:val="32"/>
          <w:lang w:eastAsia="zh-CN"/>
        </w:rPr>
        <w:t>。</w:t>
      </w:r>
      <w:r>
        <w:rPr>
          <w:rFonts w:hint="eastAsia" w:ascii="仿宋_GB2312" w:eastAsia="仿宋_GB2312"/>
          <w:sz w:val="32"/>
          <w:szCs w:val="32"/>
        </w:rPr>
        <w:t>项目相关验收资料的完整详实度需提高</w:t>
      </w:r>
      <w:r>
        <w:rPr>
          <w:rFonts w:hint="eastAsia" w:ascii="仿宋_GB2312" w:hAnsi="宋体" w:eastAsia="仿宋_GB2312" w:cs="宋体"/>
          <w:color w:val="000000"/>
          <w:kern w:val="0"/>
          <w:sz w:val="32"/>
          <w:szCs w:val="32"/>
        </w:rPr>
        <w:t>，</w:t>
      </w:r>
      <w:r>
        <w:rPr>
          <w:rFonts w:hint="eastAsia" w:ascii="仿宋_GB2312" w:hAnsi="仿宋" w:eastAsia="仿宋_GB2312" w:cs="Times New Roman"/>
          <w:sz w:val="32"/>
          <w:szCs w:val="32"/>
        </w:rPr>
        <w:t>对于本项目实施后的阶段效果对比体现的充分性应加强，项目效果指标实现的有效性需充分证明，项目建设突出成绩和亮点展示不够清晰</w:t>
      </w:r>
      <w:r>
        <w:rPr>
          <w:rFonts w:hint="eastAsia" w:ascii="仿宋_GB2312" w:hAnsi="仿宋" w:eastAsia="仿宋_GB2312"/>
          <w:bCs/>
          <w:kern w:val="0"/>
          <w:sz w:val="32"/>
          <w:szCs w:val="32"/>
        </w:rPr>
        <w:t>，对于服务对象满意度调查工作存在欠缺</w:t>
      </w:r>
      <w:r>
        <w:rPr>
          <w:rFonts w:hint="eastAsia" w:ascii="仿宋_GB2312" w:hAnsi="宋体" w:eastAsia="仿宋_GB2312" w:cs="宋体"/>
          <w:color w:val="000000"/>
          <w:kern w:val="0"/>
          <w:sz w:val="32"/>
          <w:szCs w:val="32"/>
        </w:rPr>
        <w:t>，</w:t>
      </w:r>
      <w:r>
        <w:rPr>
          <w:rFonts w:hint="eastAsia" w:ascii="仿宋_GB2312" w:hAnsi="仿宋" w:eastAsia="仿宋_GB2312"/>
          <w:bCs/>
          <w:kern w:val="0"/>
          <w:sz w:val="32"/>
          <w:szCs w:val="32"/>
        </w:rPr>
        <w:t>影响部门绩效成果的充分显现</w:t>
      </w:r>
      <w:r>
        <w:rPr>
          <w:rFonts w:hint="eastAsia" w:ascii="仿宋_GB2312" w:hAnsi="宋体" w:eastAsia="仿宋_GB2312" w:cs="宋体"/>
          <w:color w:val="000000"/>
          <w:kern w:val="0"/>
          <w:sz w:val="32"/>
          <w:szCs w:val="32"/>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pPr>
      <w:bookmarkStart w:id="16" w:name="_Toc18092"/>
      <w:r>
        <w:rPr>
          <w:rFonts w:hint="eastAsia"/>
        </w:rPr>
        <w:t>六、措施建议</w:t>
      </w:r>
      <w:bookmarkEnd w:id="16"/>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宋体" w:eastAsia="仿宋_GB2312" w:cs="宋体"/>
          <w:b/>
          <w:bCs/>
          <w:color w:val="000000"/>
          <w:kern w:val="0"/>
          <w:sz w:val="32"/>
          <w:szCs w:val="32"/>
        </w:rPr>
      </w:pPr>
      <w:bookmarkStart w:id="17" w:name="_Toc5888"/>
      <w:bookmarkStart w:id="18" w:name="_Toc2165"/>
      <w:r>
        <w:rPr>
          <w:rFonts w:hint="eastAsia" w:ascii="楷体_GB2312" w:hAnsi="楷体_GB2312" w:eastAsia="楷体_GB2312" w:cs="楷体_GB2312"/>
          <w:b/>
          <w:sz w:val="32"/>
        </w:rPr>
        <w:t>（一）</w:t>
      </w:r>
      <w:bookmarkEnd w:id="17"/>
      <w:bookmarkEnd w:id="18"/>
      <w:r>
        <w:rPr>
          <w:rFonts w:hint="eastAsia" w:ascii="楷体_GB2312" w:hAnsi="楷体_GB2312" w:eastAsia="楷体_GB2312" w:cs="楷体_GB2312"/>
          <w:b/>
          <w:sz w:val="32"/>
        </w:rPr>
        <w:t>逐步加强部门整体支出绩效目标管理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Cs/>
          <w:kern w:val="0"/>
          <w:sz w:val="32"/>
          <w:szCs w:val="32"/>
        </w:rPr>
      </w:pPr>
      <w:r>
        <w:rPr>
          <w:rFonts w:hint="eastAsia" w:ascii="仿宋_GB2312" w:hAnsi="仿宋" w:eastAsia="仿宋_GB2312" w:cs="Times New Roman"/>
          <w:bCs/>
          <w:kern w:val="0"/>
          <w:sz w:val="32"/>
          <w:szCs w:val="32"/>
        </w:rPr>
        <w:t>科学合理地制定阶段性目标、部门整体目标</w:t>
      </w:r>
      <w:r>
        <w:rPr>
          <w:rFonts w:hint="eastAsia" w:ascii="仿宋_GB2312" w:hAnsi="仿宋" w:eastAsia="仿宋_GB2312" w:cs="Times New Roman"/>
          <w:bCs/>
          <w:kern w:val="0"/>
          <w:sz w:val="32"/>
          <w:szCs w:val="32"/>
          <w:lang w:eastAsia="zh-CN"/>
        </w:rPr>
        <w:t>。</w:t>
      </w:r>
      <w:r>
        <w:rPr>
          <w:rFonts w:hint="eastAsia" w:ascii="仿宋_GB2312" w:hAnsi="仿宋" w:eastAsia="仿宋_GB2312" w:cs="Times New Roman"/>
          <w:bCs/>
          <w:kern w:val="0"/>
          <w:sz w:val="32"/>
          <w:szCs w:val="32"/>
        </w:rPr>
        <w:t>产出数量指标、质量指标、效益指标、进度指标内容要完整，指标值要细化、量化、具体可衡量，需根据部门的整体工作安排，为开展部门绩效目标管理夯实基础。明确绩效目标及年度绩效预期，细化量化绩效指标，重视绩效指标的指导、约束作用，充分发挥绩效目标导向作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_GB2312" w:hAnsi="楷体_GB2312" w:eastAsia="楷体_GB2312" w:cs="楷体_GB2312"/>
          <w:b/>
          <w:sz w:val="32"/>
        </w:rPr>
      </w:pPr>
      <w:bookmarkStart w:id="19" w:name="_Toc10455"/>
      <w:bookmarkStart w:id="20" w:name="_Toc6520"/>
      <w:r>
        <w:rPr>
          <w:rFonts w:hint="eastAsia" w:ascii="楷体_GB2312" w:hAnsi="楷体_GB2312" w:eastAsia="楷体_GB2312" w:cs="楷体_GB2312"/>
          <w:b/>
          <w:sz w:val="32"/>
        </w:rPr>
        <w:t>（二）进一步</w:t>
      </w:r>
      <w:bookmarkEnd w:id="19"/>
      <w:bookmarkEnd w:id="20"/>
      <w:r>
        <w:rPr>
          <w:rFonts w:hint="eastAsia" w:ascii="楷体_GB2312" w:hAnsi="楷体_GB2312" w:eastAsia="楷体_GB2312" w:cs="楷体_GB2312"/>
          <w:b/>
          <w:sz w:val="32"/>
        </w:rPr>
        <w:t>强化项目过程管理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仿宋" w:eastAsia="仿宋_GB2312" w:cs="Times New Roman"/>
          <w:sz w:val="32"/>
          <w:szCs w:val="32"/>
        </w:rPr>
        <w:t>完善项目实施方案，细化责任分工。</w:t>
      </w:r>
      <w:r>
        <w:rPr>
          <w:rFonts w:hint="eastAsia" w:ascii="仿宋_GB2312" w:hAnsi="仿宋_GB2312" w:eastAsia="仿宋_GB2312"/>
          <w:color w:val="000000"/>
          <w:sz w:val="32"/>
          <w:szCs w:val="32"/>
        </w:rPr>
        <w:t>完善项目决策流程，注重项目变更决策资料的完整性。</w:t>
      </w:r>
      <w:r>
        <w:rPr>
          <w:rFonts w:hint="eastAsia" w:ascii="仿宋_GB2312" w:hAnsi="仿宋" w:eastAsia="仿宋_GB2312" w:cs="Times New Roman"/>
          <w:sz w:val="32"/>
          <w:szCs w:val="32"/>
        </w:rPr>
        <w:t>重视项目过程管控，完善合同签订、管控及执行机制，明确项目验收、质保期等质量要求，做好后续设备的运行维护方案以及项目形成固定资产管理工作。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宋体" w:eastAsia="仿宋_GB2312" w:cs="宋体"/>
          <w:color w:val="000000"/>
          <w:kern w:val="0"/>
          <w:sz w:val="32"/>
          <w:szCs w:val="32"/>
        </w:rPr>
      </w:pPr>
      <w:bookmarkStart w:id="21" w:name="_Toc27758"/>
      <w:bookmarkStart w:id="22" w:name="_Toc12561"/>
      <w:r>
        <w:rPr>
          <w:rFonts w:hint="eastAsia" w:ascii="楷体_GB2312" w:hAnsi="楷体_GB2312" w:eastAsia="楷体_GB2312" w:cs="楷体_GB2312"/>
          <w:b/>
          <w:sz w:val="32"/>
        </w:rPr>
        <w:t>（三）</w:t>
      </w:r>
      <w:bookmarkEnd w:id="21"/>
      <w:bookmarkEnd w:id="22"/>
      <w:r>
        <w:rPr>
          <w:rFonts w:hint="eastAsia" w:ascii="楷体_GB2312" w:hAnsi="楷体_GB2312" w:eastAsia="楷体_GB2312" w:cs="楷体_GB2312"/>
          <w:b/>
          <w:sz w:val="32"/>
          <w:lang w:val="en-US" w:eastAsia="zh-CN"/>
        </w:rPr>
        <w:t>注意绩效资料的收集与积累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加强项目绩效跟踪管理，</w:t>
      </w:r>
      <w:r>
        <w:rPr>
          <w:rFonts w:hint="eastAsia" w:ascii="仿宋_GB2312" w:hAnsi="仿宋_GB2312" w:eastAsia="仿宋_GB2312" w:cs="仿宋_GB2312"/>
          <w:color w:val="000000"/>
          <w:kern w:val="0"/>
          <w:sz w:val="32"/>
          <w:szCs w:val="32"/>
        </w:rPr>
        <w:t>重视项目绩效成果呈现</w:t>
      </w:r>
      <w:r>
        <w:rPr>
          <w:rFonts w:hint="eastAsia" w:ascii="仿宋_GB2312" w:hAnsi="仿宋_GB2312" w:eastAsia="仿宋_GB2312" w:cs="仿宋_GB2312"/>
          <w:bCs/>
          <w:sz w:val="32"/>
          <w:szCs w:val="32"/>
        </w:rPr>
        <w:t>，</w:t>
      </w:r>
      <w:r>
        <w:rPr>
          <w:rFonts w:hint="eastAsia" w:ascii="仿宋_GB2312" w:hAnsi="仿宋_GB2312" w:eastAsia="仿宋_GB2312" w:cs="仿宋_GB2312"/>
          <w:color w:val="000000"/>
          <w:kern w:val="0"/>
          <w:sz w:val="32"/>
          <w:szCs w:val="32"/>
        </w:rPr>
        <w:t>项目执行过程中的资料需进一步留痕和存档整理</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bCs/>
          <w:color w:val="auto"/>
          <w:sz w:val="32"/>
          <w:szCs w:val="32"/>
          <w:highlight w:val="none"/>
        </w:rPr>
        <w:t>注重项目实施过程管理资料的档案管理，加强绩效信息的收集与整理，重视对绩效成果的统计与分析，充分体现部门整体效益。完善服务对象满意度评估制度及资</w:t>
      </w:r>
      <w:r>
        <w:rPr>
          <w:rFonts w:hint="eastAsia" w:ascii="仿宋_GB2312" w:hAnsi="仿宋_GB2312" w:eastAsia="仿宋_GB2312" w:cs="仿宋_GB2312"/>
          <w:color w:val="auto"/>
          <w:sz w:val="32"/>
          <w:szCs w:val="32"/>
          <w:highlight w:val="none"/>
        </w:rPr>
        <w:t>料的收集，为进一步提升工作效率提供指导和借鉴。</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pPr>
      <w:bookmarkStart w:id="23" w:name="_Toc103006301"/>
      <w:bookmarkStart w:id="24" w:name="_Toc28727"/>
      <w:r>
        <w:rPr>
          <w:rFonts w:hint="eastAsia"/>
        </w:rPr>
        <w:t>七、附件</w:t>
      </w:r>
      <w:bookmarkEnd w:id="23"/>
      <w:bookmarkEnd w:id="2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方正小标宋简体" w:eastAsia="仿宋_GB2312"/>
          <w:sz w:val="36"/>
          <w:szCs w:val="36"/>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年部门</w:t>
      </w:r>
      <w:r>
        <w:rPr>
          <w:rFonts w:hint="eastAsia" w:ascii="仿宋_GB2312" w:hAnsi="宋体" w:eastAsia="仿宋_GB2312" w:cs="宋体"/>
          <w:color w:val="000000"/>
          <w:kern w:val="0"/>
          <w:sz w:val="32"/>
          <w:szCs w:val="32"/>
        </w:rPr>
        <w:t>整体</w:t>
      </w:r>
      <w:r>
        <w:rPr>
          <w:rFonts w:hint="eastAsia" w:ascii="仿宋_GB2312" w:hAnsi="仿宋_GB2312" w:eastAsia="仿宋_GB2312" w:cs="仿宋_GB2312"/>
          <w:sz w:val="32"/>
          <w:szCs w:val="32"/>
        </w:rPr>
        <w:t>绩效评价目标体系评分表</w:t>
      </w:r>
    </w:p>
    <w:p>
      <w:pPr>
        <w:pStyle w:val="2"/>
      </w:pP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ascii="方正小标宋简体" w:eastAsia="仿宋_GB2312"/>
          <w:sz w:val="36"/>
          <w:szCs w:val="36"/>
        </w:rPr>
      </w:pPr>
    </w:p>
    <w:sectPr>
      <w:footerReference r:id="rId5" w:type="default"/>
      <w:pgSz w:w="11906" w:h="16838"/>
      <w:pgMar w:top="1440" w:right="1800" w:bottom="1440" w:left="1800"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宋体" w:hAnsi="宋体"/>
        <w:sz w:val="28"/>
        <w:szCs w:val="28"/>
      </w:rPr>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4YzRhNjM2YmI5NTMzNzdlZTk4MTAyNWRlM2U3MWQifQ=="/>
  </w:docVars>
  <w:rsids>
    <w:rsidRoot w:val="F77F09F4"/>
    <w:rsid w:val="002C1691"/>
    <w:rsid w:val="00326BED"/>
    <w:rsid w:val="00604E79"/>
    <w:rsid w:val="00A03583"/>
    <w:rsid w:val="00BE21D6"/>
    <w:rsid w:val="00E15721"/>
    <w:rsid w:val="00EB4827"/>
    <w:rsid w:val="00FA5C66"/>
    <w:rsid w:val="01301E4F"/>
    <w:rsid w:val="02CF31F4"/>
    <w:rsid w:val="02FC6355"/>
    <w:rsid w:val="057B7A05"/>
    <w:rsid w:val="067F3540"/>
    <w:rsid w:val="0AB4252C"/>
    <w:rsid w:val="0AC32AA8"/>
    <w:rsid w:val="0B13244E"/>
    <w:rsid w:val="0B5D195B"/>
    <w:rsid w:val="0CB00D05"/>
    <w:rsid w:val="0CF50D8E"/>
    <w:rsid w:val="0DCA1726"/>
    <w:rsid w:val="0E2855A5"/>
    <w:rsid w:val="10035202"/>
    <w:rsid w:val="10D27CCB"/>
    <w:rsid w:val="13113E4E"/>
    <w:rsid w:val="1424395D"/>
    <w:rsid w:val="14447B5C"/>
    <w:rsid w:val="144B1679"/>
    <w:rsid w:val="14E407AE"/>
    <w:rsid w:val="174043B2"/>
    <w:rsid w:val="175F53D8"/>
    <w:rsid w:val="17BC11B3"/>
    <w:rsid w:val="17FC3D10"/>
    <w:rsid w:val="18B6780B"/>
    <w:rsid w:val="19E75211"/>
    <w:rsid w:val="19E9549C"/>
    <w:rsid w:val="1A5342E4"/>
    <w:rsid w:val="1A537863"/>
    <w:rsid w:val="1A837948"/>
    <w:rsid w:val="1ACE017F"/>
    <w:rsid w:val="1B4B17D0"/>
    <w:rsid w:val="1CBB2E8C"/>
    <w:rsid w:val="1E37101E"/>
    <w:rsid w:val="1E422EC7"/>
    <w:rsid w:val="21A460DD"/>
    <w:rsid w:val="22750328"/>
    <w:rsid w:val="23E06A45"/>
    <w:rsid w:val="23F41E93"/>
    <w:rsid w:val="26AF4526"/>
    <w:rsid w:val="27591221"/>
    <w:rsid w:val="296B2953"/>
    <w:rsid w:val="2A566E5D"/>
    <w:rsid w:val="2A9D365C"/>
    <w:rsid w:val="2D05070F"/>
    <w:rsid w:val="2E0F086A"/>
    <w:rsid w:val="2E254102"/>
    <w:rsid w:val="2EE45D6B"/>
    <w:rsid w:val="2F2C1714"/>
    <w:rsid w:val="2F676369"/>
    <w:rsid w:val="33F15174"/>
    <w:rsid w:val="350D680D"/>
    <w:rsid w:val="364D4405"/>
    <w:rsid w:val="37173543"/>
    <w:rsid w:val="3A774AEE"/>
    <w:rsid w:val="3BA654E9"/>
    <w:rsid w:val="3C0E2BD1"/>
    <w:rsid w:val="3CC73696"/>
    <w:rsid w:val="3CF62D74"/>
    <w:rsid w:val="3D3A3D8D"/>
    <w:rsid w:val="3DDC3542"/>
    <w:rsid w:val="3FDBA076"/>
    <w:rsid w:val="3FDFB3F0"/>
    <w:rsid w:val="3FDFC9A6"/>
    <w:rsid w:val="3FE54FE4"/>
    <w:rsid w:val="3FF76880"/>
    <w:rsid w:val="3FFC30F5"/>
    <w:rsid w:val="41937AF7"/>
    <w:rsid w:val="42017A0F"/>
    <w:rsid w:val="437250BA"/>
    <w:rsid w:val="44892DD0"/>
    <w:rsid w:val="45117DFA"/>
    <w:rsid w:val="47E334AF"/>
    <w:rsid w:val="48C51E36"/>
    <w:rsid w:val="48C70498"/>
    <w:rsid w:val="49066D53"/>
    <w:rsid w:val="4B340410"/>
    <w:rsid w:val="4C487710"/>
    <w:rsid w:val="4D1F540D"/>
    <w:rsid w:val="50B82AC4"/>
    <w:rsid w:val="50EA2342"/>
    <w:rsid w:val="53446EF8"/>
    <w:rsid w:val="54A30737"/>
    <w:rsid w:val="54F75F06"/>
    <w:rsid w:val="551E0814"/>
    <w:rsid w:val="573D784F"/>
    <w:rsid w:val="57CC546B"/>
    <w:rsid w:val="5899341F"/>
    <w:rsid w:val="58F65D19"/>
    <w:rsid w:val="5BDE1F44"/>
    <w:rsid w:val="5BFD4AC2"/>
    <w:rsid w:val="5C0D7E00"/>
    <w:rsid w:val="5CAE3B0C"/>
    <w:rsid w:val="5DD2159C"/>
    <w:rsid w:val="5DD555D1"/>
    <w:rsid w:val="5EAE0D47"/>
    <w:rsid w:val="62FB4E56"/>
    <w:rsid w:val="63F57AF7"/>
    <w:rsid w:val="64196973"/>
    <w:rsid w:val="64646C55"/>
    <w:rsid w:val="64742E44"/>
    <w:rsid w:val="6540750B"/>
    <w:rsid w:val="65752C9E"/>
    <w:rsid w:val="66F13E04"/>
    <w:rsid w:val="67759716"/>
    <w:rsid w:val="678064FF"/>
    <w:rsid w:val="69630002"/>
    <w:rsid w:val="6A0665BA"/>
    <w:rsid w:val="6C472EBA"/>
    <w:rsid w:val="6DE33C25"/>
    <w:rsid w:val="6DF616DA"/>
    <w:rsid w:val="6E257BA0"/>
    <w:rsid w:val="6E3D44F1"/>
    <w:rsid w:val="6F7ED27B"/>
    <w:rsid w:val="70425E72"/>
    <w:rsid w:val="720418EA"/>
    <w:rsid w:val="72286181"/>
    <w:rsid w:val="725B3D51"/>
    <w:rsid w:val="733A054B"/>
    <w:rsid w:val="735C1DDA"/>
    <w:rsid w:val="738457B7"/>
    <w:rsid w:val="73CC79E0"/>
    <w:rsid w:val="73D64ECE"/>
    <w:rsid w:val="749F1AE5"/>
    <w:rsid w:val="74D177C5"/>
    <w:rsid w:val="754643C6"/>
    <w:rsid w:val="75B17A7C"/>
    <w:rsid w:val="7678465D"/>
    <w:rsid w:val="774424D0"/>
    <w:rsid w:val="79556F0E"/>
    <w:rsid w:val="7AB7FF50"/>
    <w:rsid w:val="7AEAF641"/>
    <w:rsid w:val="7BAD2729"/>
    <w:rsid w:val="7BFEB0DB"/>
    <w:rsid w:val="7C4F3DF1"/>
    <w:rsid w:val="7DA74661"/>
    <w:rsid w:val="7DD50326"/>
    <w:rsid w:val="7DD935F2"/>
    <w:rsid w:val="7EA85A3A"/>
    <w:rsid w:val="7FC56178"/>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9"/>
    <w:pPr>
      <w:spacing w:line="600" w:lineRule="exact"/>
      <w:ind w:firstLine="640"/>
      <w:outlineLvl w:val="0"/>
    </w:pPr>
    <w:rPr>
      <w:rFonts w:ascii="黑体" w:hAnsi="黑体" w:eastAsia="黑体" w:cs="宋体"/>
      <w:color w:val="000000"/>
      <w:kern w:val="0"/>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autoRedefine/>
    <w:unhideWhenUsed/>
    <w:qFormat/>
    <w:uiPriority w:val="0"/>
    <w:pPr>
      <w:keepNext/>
      <w:keepLines/>
      <w:spacing w:before="260" w:after="260" w:line="413" w:lineRule="auto"/>
      <w:outlineLvl w:val="2"/>
    </w:pPr>
    <w:rPr>
      <w:b/>
      <w:sz w:val="32"/>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ind w:firstLine="200" w:firstLineChars="200"/>
    </w:pPr>
  </w:style>
  <w:style w:type="paragraph" w:styleId="6">
    <w:name w:val="caption"/>
    <w:basedOn w:val="1"/>
    <w:next w:val="1"/>
    <w:autoRedefine/>
    <w:qFormat/>
    <w:uiPriority w:val="0"/>
    <w:rPr>
      <w:rFonts w:ascii="Arial" w:hAnsi="Arial" w:eastAsia="黑体" w:cs="Arial"/>
      <w:sz w:val="20"/>
    </w:rPr>
  </w:style>
  <w:style w:type="paragraph" w:styleId="7">
    <w:name w:val="annotation text"/>
    <w:basedOn w:val="1"/>
    <w:autoRedefine/>
    <w:qFormat/>
    <w:uiPriority w:val="0"/>
    <w:pPr>
      <w:jc w:val="left"/>
    </w:pPr>
  </w:style>
  <w:style w:type="paragraph" w:styleId="8">
    <w:name w:val="Body Text"/>
    <w:basedOn w:val="1"/>
    <w:next w:val="1"/>
    <w:autoRedefine/>
    <w:qFormat/>
    <w:uiPriority w:val="99"/>
    <w:rPr>
      <w:rFonts w:eastAsia="仿宋_GB2312"/>
      <w:kern w:val="0"/>
      <w:sz w:val="20"/>
      <w:szCs w:val="20"/>
    </w:rPr>
  </w:style>
  <w:style w:type="paragraph" w:styleId="9">
    <w:name w:val="Body Text Indent 2"/>
    <w:basedOn w:val="1"/>
    <w:autoRedefine/>
    <w:unhideWhenUsed/>
    <w:qFormat/>
    <w:uiPriority w:val="99"/>
    <w:pPr>
      <w:spacing w:after="120" w:line="480" w:lineRule="auto"/>
      <w:ind w:left="420" w:leftChars="200"/>
    </w:pPr>
  </w:style>
  <w:style w:type="paragraph" w:styleId="10">
    <w:name w:val="footer"/>
    <w:basedOn w:val="1"/>
    <w:autoRedefine/>
    <w:qFormat/>
    <w:uiPriority w:val="99"/>
    <w:pPr>
      <w:tabs>
        <w:tab w:val="center" w:pos="4153"/>
        <w:tab w:val="right" w:pos="8306"/>
      </w:tabs>
      <w:snapToGrid w:val="0"/>
      <w:jc w:val="left"/>
    </w:pPr>
    <w:rPr>
      <w:sz w:val="18"/>
      <w:szCs w:val="20"/>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autoRedefine/>
    <w:unhideWhenUsed/>
    <w:qFormat/>
    <w:uiPriority w:val="39"/>
  </w:style>
  <w:style w:type="paragraph" w:styleId="13">
    <w:name w:val="toc 2"/>
    <w:basedOn w:val="1"/>
    <w:next w:val="1"/>
    <w:autoRedefine/>
    <w:unhideWhenUsed/>
    <w:qFormat/>
    <w:uiPriority w:val="39"/>
    <w:pPr>
      <w:ind w:left="420" w:leftChars="200"/>
    </w:pPr>
  </w:style>
  <w:style w:type="paragraph" w:customStyle="1" w:styleId="16">
    <w:name w:val="列出段落1"/>
    <w:basedOn w:val="1"/>
    <w:autoRedefine/>
    <w:qFormat/>
    <w:uiPriority w:val="34"/>
    <w:pPr>
      <w:ind w:firstLine="420" w:firstLineChars="200"/>
    </w:pPr>
    <w:rPr>
      <w:rFonts w:ascii="Calibri" w:hAnsi="Calibri" w:cs="黑体"/>
      <w:szCs w:val="22"/>
    </w:rPr>
  </w:style>
  <w:style w:type="character" w:customStyle="1" w:styleId="17">
    <w:name w:val="NormalCharacter"/>
    <w:autoRedefine/>
    <w:qFormat/>
    <w:uiPriority w:val="0"/>
  </w:style>
  <w:style w:type="paragraph" w:styleId="18">
    <w:name w:val="List Paragraph"/>
    <w:basedOn w:val="1"/>
    <w:autoRedefine/>
    <w:qFormat/>
    <w:uiPriority w:val="34"/>
    <w:pPr>
      <w:ind w:firstLine="420" w:firstLineChars="200"/>
    </w:pPr>
  </w:style>
  <w:style w:type="character" w:customStyle="1" w:styleId="19">
    <w:name w:val="UserStyle_3"/>
    <w:autoRedefine/>
    <w:qFormat/>
    <w:uiPriority w:val="0"/>
    <w:rPr>
      <w:kern w:val="2"/>
      <w:sz w:val="21"/>
      <w:szCs w:val="24"/>
      <w:lang w:val="en-US" w:eastAsia="zh-CN"/>
    </w:rPr>
  </w:style>
  <w:style w:type="paragraph" w:customStyle="1" w:styleId="20">
    <w:name w:val="无间隔1"/>
    <w:autoRedefine/>
    <w:qFormat/>
    <w:uiPriority w:val="99"/>
    <w:pPr>
      <w:widowControl w:val="0"/>
      <w:jc w:val="both"/>
    </w:pPr>
    <w:rPr>
      <w:rFonts w:ascii="等线" w:hAnsi="等线" w:eastAsia="等线" w:cs="等线"/>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4926</Words>
  <Characters>5251</Characters>
  <Lines>69</Lines>
  <Paragraphs>19</Paragraphs>
  <TotalTime>6</TotalTime>
  <ScaleCrop>false</ScaleCrop>
  <LinksUpToDate>false</LinksUpToDate>
  <CharactersWithSpaces>5272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2023-05-24T03:15:00Z</dcterms:created>
  <dc:creator>user</dc:creator>
  <cp:lastModifiedBy>周硕</cp:lastModifiedBy>
  <cp:lastPrinted>2025-05-19T09:36:00Z</cp:lastPrinted>
  <dcterms:modified xsi:type="dcterms:W3CDTF">2025-08-27T09:17:06Z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CA7E7CF9608441D79015029F13F48C07_13</vt:lpwstr>
  </property>
  <property fmtid="{D5CDD505-2E9C-101B-9397-08002B2CF9AE}" pid="4" name="KSOTemplateDocerSaveRecord">
    <vt:lpwstr>eyJoZGlkIjoiODE4MGViZjZkNWJkYzAzNGQ1Mjg4Y2JlODJmYzBhYmMiLCJ1c2VySWQiOiIzNjkzNTk1OTkifQ==</vt:lpwstr>
  </property>
</Properties>
</file>