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3336F">
      <w:pPr>
        <w:spacing w:line="480" w:lineRule="exact"/>
        <w:rPr>
          <w:rFonts w:hint="eastAsia" w:ascii="方正小标宋简体" w:eastAsia="黑体"/>
          <w:sz w:val="36"/>
          <w:szCs w:val="36"/>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4</w:t>
      </w:r>
      <w:r>
        <w:rPr>
          <w:rFonts w:hint="eastAsia" w:ascii="黑体" w:hAnsi="黑体" w:eastAsia="黑体"/>
          <w:sz w:val="32"/>
          <w:szCs w:val="32"/>
        </w:rPr>
        <w:t>-</w:t>
      </w:r>
      <w:r>
        <w:rPr>
          <w:rFonts w:hint="eastAsia" w:ascii="黑体" w:hAnsi="黑体" w:eastAsia="黑体"/>
          <w:sz w:val="32"/>
          <w:szCs w:val="32"/>
          <w:lang w:val="en-US" w:eastAsia="zh-CN"/>
        </w:rPr>
        <w:t>1</w:t>
      </w:r>
    </w:p>
    <w:p w14:paraId="62BB8ECF">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14:paraId="7ECDA242">
      <w:pPr>
        <w:jc w:val="center"/>
        <w:rPr>
          <w:rFonts w:ascii="仿宋_GB2312"/>
          <w:szCs w:val="30"/>
        </w:rPr>
      </w:pPr>
    </w:p>
    <w:p w14:paraId="1EFE1C21">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一、单位概况</w:t>
      </w:r>
    </w:p>
    <w:p w14:paraId="503040D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（一）机构设置及职责工作任务情况</w:t>
      </w:r>
    </w:p>
    <w:p w14:paraId="5E142F6C">
      <w:pPr>
        <w:spacing w:line="360" w:lineRule="auto"/>
        <w:ind w:firstLine="640" w:firstLineChars="200"/>
        <w:outlineLvl w:val="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兴东方实业有限责任公司前身是1959年成立的北京市农业机械局，1984年改为北京市农业机械总公司（行政性总公司），1995年10月经北京市政府授权成为国有资产经营公司，成立北京兴东方实业有限责任公司。2000年7月正式实行政企分开，原有农机化管理行政职能划归北京市农业局。2008年12月，北京市国有资产监督管理委员会对兴东方实业公司和北京汽车工业控股有限责任公司（以下简称北汽控股公司）实施重组，将兴东方实业公司划转给北汽控股公司，由北汽控股公司对兴东方公司行使出资人职责，兴东方实业公司保留独立法人地位并改制为一人有限责任公司。兴东方实业有限责任公司注册资本14000万元，企业类型为有限责任公司（法人独资），法定代表人解新创。</w:t>
      </w:r>
    </w:p>
    <w:p w14:paraId="49FC0315">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北京兴东方实业有限责任公司</w:t>
      </w:r>
      <w:r>
        <w:rPr>
          <w:rFonts w:hint="eastAsia" w:ascii="仿宋_GB2312" w:hAnsi="宋体" w:eastAsia="仿宋_GB2312" w:cs="宋体"/>
          <w:color w:val="000000"/>
          <w:kern w:val="0"/>
          <w:sz w:val="32"/>
          <w:szCs w:val="32"/>
          <w:lang w:eastAsia="zh-CN"/>
        </w:rPr>
        <w:t>目前</w:t>
      </w:r>
      <w:r>
        <w:rPr>
          <w:rFonts w:hint="eastAsia" w:ascii="仿宋_GB2312" w:hAnsi="宋体" w:eastAsia="仿宋_GB2312" w:cs="宋体"/>
          <w:color w:val="000000"/>
          <w:kern w:val="0"/>
          <w:sz w:val="32"/>
          <w:szCs w:val="32"/>
        </w:rPr>
        <w:t>下属</w:t>
      </w:r>
      <w:r>
        <w:rPr>
          <w:rFonts w:hint="eastAsia" w:ascii="仿宋_GB2312" w:hAnsi="宋体" w:eastAsia="仿宋_GB2312" w:cs="宋体"/>
          <w:color w:val="000000"/>
          <w:kern w:val="0"/>
          <w:sz w:val="32"/>
          <w:szCs w:val="32"/>
          <w:lang w:eastAsia="zh-CN"/>
        </w:rPr>
        <w:t>一</w:t>
      </w:r>
      <w:r>
        <w:rPr>
          <w:rFonts w:hint="eastAsia" w:ascii="仿宋_GB2312" w:hAnsi="宋体" w:eastAsia="仿宋_GB2312" w:cs="宋体"/>
          <w:color w:val="000000"/>
          <w:kern w:val="0"/>
          <w:sz w:val="32"/>
          <w:szCs w:val="32"/>
        </w:rPr>
        <w:t>家全额拨款事业单位，北京汽车集团有限公司离退休干部管理服务中心（以下简称离退休中心）。离退休中心主要负责管理和服务离退休干部，为离休及退休干部进行日常管理与服务，为离退休干部提供保障服务，协调各种</w:t>
      </w:r>
      <w:r>
        <w:rPr>
          <w:rFonts w:hint="eastAsia" w:ascii="仿宋_GB2312" w:hAnsi="宋体" w:eastAsia="仿宋_GB2312" w:cs="宋体"/>
          <w:color w:val="000000"/>
          <w:kern w:val="0"/>
          <w:sz w:val="32"/>
          <w:szCs w:val="32"/>
          <w:lang w:eastAsia="zh-CN"/>
        </w:rPr>
        <w:t>事务</w:t>
      </w:r>
      <w:r>
        <w:rPr>
          <w:rFonts w:hint="eastAsia" w:ascii="仿宋_GB2312" w:hAnsi="宋体" w:eastAsia="仿宋_GB2312" w:cs="宋体"/>
          <w:color w:val="000000"/>
          <w:kern w:val="0"/>
          <w:sz w:val="32"/>
          <w:szCs w:val="32"/>
        </w:rPr>
        <w:t>等。</w:t>
      </w:r>
    </w:p>
    <w:p w14:paraId="307F1A4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（二）部门整体绩效目标设立情况</w:t>
      </w:r>
    </w:p>
    <w:p w14:paraId="2854D276">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离退休中心围绕管理与服务离退休老干部开展工作。</w:t>
      </w:r>
    </w:p>
    <w:p w14:paraId="6ECECCB9">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目标与职责任务匹配、目标合理。</w:t>
      </w:r>
    </w:p>
    <w:p w14:paraId="549CDD8B">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14:paraId="4839E03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仿宋" w:eastAsia="仿宋_GB2312"/>
          <w:sz w:val="32"/>
          <w:szCs w:val="32"/>
          <w:lang w:val="en-US" w:eastAsia="zh-CN"/>
        </w:rPr>
        <w:t>991.67</w:t>
      </w:r>
      <w:r>
        <w:rPr>
          <w:rFonts w:hint="eastAsia" w:ascii="仿宋_GB2312" w:hAnsi="仿宋" w:eastAsia="仿宋_GB2312"/>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630.14</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宋体" w:eastAsia="仿宋_GB2312" w:cs="宋体"/>
          <w:color w:val="000000"/>
          <w:kern w:val="0"/>
          <w:sz w:val="32"/>
          <w:szCs w:val="32"/>
          <w:lang w:val="en-US" w:eastAsia="zh-CN"/>
        </w:rPr>
        <w:t>361.53</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仿宋" w:eastAsia="仿宋_GB2312"/>
          <w:sz w:val="32"/>
          <w:szCs w:val="32"/>
          <w:lang w:val="en-US" w:eastAsia="zh-CN"/>
        </w:rPr>
        <w:t>717.75</w:t>
      </w:r>
      <w:r>
        <w:rPr>
          <w:rFonts w:hint="eastAsia" w:ascii="仿宋_GB2312" w:hAnsi="仿宋" w:eastAsia="仿宋_GB2312"/>
          <w:sz w:val="32"/>
          <w:szCs w:val="32"/>
        </w:rPr>
        <w:t>万元</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511.57</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177.18</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72</w:t>
      </w:r>
      <w:r>
        <w:rPr>
          <w:rFonts w:hint="eastAsia" w:ascii="仿宋_GB2312" w:hAnsi="宋体" w:eastAsia="仿宋_GB2312" w:cs="宋体"/>
          <w:color w:val="000000"/>
          <w:kern w:val="0"/>
          <w:sz w:val="32"/>
          <w:szCs w:val="32"/>
        </w:rPr>
        <w:t>%。</w:t>
      </w:r>
    </w:p>
    <w:p w14:paraId="5C654A51">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4C9E2BD0">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（一）产出完成情况分析</w:t>
      </w:r>
    </w:p>
    <w:p w14:paraId="0FE5DDED">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14:paraId="0B9FAF24">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房租租用面积</w:t>
      </w:r>
      <w:r>
        <w:rPr>
          <w:rFonts w:hint="eastAsia" w:ascii="仿宋_GB2312" w:hAnsi="宋体" w:eastAsia="仿宋_GB2312" w:cs="宋体"/>
          <w:color w:val="000000"/>
          <w:kern w:val="0"/>
          <w:sz w:val="32"/>
          <w:szCs w:val="32"/>
          <w:lang w:val="en-US" w:eastAsia="zh-CN"/>
        </w:rPr>
        <w:t>295.98</w:t>
      </w:r>
      <w:r>
        <w:rPr>
          <w:rFonts w:hint="eastAsia" w:ascii="仿宋_GB2312" w:hAnsi="宋体" w:eastAsia="仿宋_GB2312" w:cs="宋体"/>
          <w:color w:val="000000"/>
          <w:kern w:val="0"/>
          <w:sz w:val="32"/>
          <w:szCs w:val="32"/>
        </w:rPr>
        <w:t>平米</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支付抚恤金</w:t>
      </w:r>
      <w:r>
        <w:rPr>
          <w:rFonts w:hint="eastAsia" w:ascii="仿宋_GB2312" w:hAnsi="宋体" w:eastAsia="仿宋_GB2312" w:cs="宋体"/>
          <w:color w:val="000000"/>
          <w:kern w:val="0"/>
          <w:sz w:val="32"/>
          <w:szCs w:val="32"/>
          <w:lang w:val="en-US" w:eastAsia="zh-CN"/>
        </w:rPr>
        <w:t>115.65万元不突破发放总额</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互联网接入费项目在产出指标的数量指标上满足10条以内网线畅通的要求，在年度标准值范围内，软件运维费实现了2个站点的服务。</w:t>
      </w:r>
    </w:p>
    <w:p w14:paraId="6573157B">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14:paraId="24BB5595">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保证租用房屋的整洁，宜于办公，</w:t>
      </w:r>
      <w:r>
        <w:rPr>
          <w:rFonts w:hint="eastAsia" w:ascii="仿宋_GB2312" w:hAnsi="宋体" w:eastAsia="仿宋_GB2312" w:cs="宋体"/>
          <w:color w:val="000000"/>
          <w:kern w:val="0"/>
          <w:sz w:val="32"/>
          <w:szCs w:val="32"/>
          <w:lang w:eastAsia="zh-CN"/>
        </w:rPr>
        <w:t>抚恤金</w:t>
      </w:r>
      <w:r>
        <w:rPr>
          <w:rFonts w:hint="eastAsia" w:ascii="仿宋_GB2312" w:hAnsi="宋体" w:eastAsia="仿宋_GB2312" w:cs="宋体"/>
          <w:color w:val="000000"/>
          <w:kern w:val="0"/>
          <w:sz w:val="32"/>
          <w:szCs w:val="32"/>
        </w:rPr>
        <w:t>项目按照国家有关规定及时发放，</w:t>
      </w:r>
      <w:r>
        <w:rPr>
          <w:rFonts w:hint="eastAsia" w:ascii="仿宋_GB2312" w:hAnsi="宋体" w:eastAsia="仿宋_GB2312" w:cs="宋体"/>
          <w:color w:val="000000"/>
          <w:kern w:val="0"/>
          <w:sz w:val="32"/>
          <w:szCs w:val="32"/>
          <w:lang w:eastAsia="zh-CN"/>
        </w:rPr>
        <w:t>维护社会稳定，互联网环境安全，</w:t>
      </w:r>
      <w:r>
        <w:rPr>
          <w:rFonts w:hint="eastAsia" w:ascii="仿宋_GB2312" w:hAnsi="宋体" w:eastAsia="仿宋_GB2312" w:cs="宋体"/>
          <w:color w:val="000000"/>
          <w:kern w:val="0"/>
          <w:sz w:val="32"/>
          <w:szCs w:val="32"/>
        </w:rPr>
        <w:t>保证正常</w:t>
      </w:r>
      <w:r>
        <w:rPr>
          <w:rFonts w:hint="eastAsia" w:ascii="仿宋_GB2312" w:hAnsi="宋体" w:eastAsia="仿宋_GB2312" w:cs="宋体"/>
          <w:color w:val="000000"/>
          <w:kern w:val="0"/>
          <w:sz w:val="32"/>
          <w:szCs w:val="32"/>
          <w:lang w:eastAsia="zh-CN"/>
        </w:rPr>
        <w:t>办公</w:t>
      </w:r>
      <w:r>
        <w:rPr>
          <w:rFonts w:hint="eastAsia" w:ascii="仿宋_GB2312" w:hAnsi="宋体" w:eastAsia="仿宋_GB2312" w:cs="宋体"/>
          <w:color w:val="000000"/>
          <w:kern w:val="0"/>
          <w:sz w:val="32"/>
          <w:szCs w:val="32"/>
        </w:rPr>
        <w:t>运行。</w:t>
      </w:r>
    </w:p>
    <w:p w14:paraId="6FDC436C">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14:paraId="783CAAD2">
      <w:pPr>
        <w:spacing w:line="600" w:lineRule="exact"/>
        <w:ind w:left="105" w:leftChars="50" w:firstLine="480" w:firstLineChars="15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整体</w:t>
      </w:r>
      <w:r>
        <w:rPr>
          <w:rFonts w:hint="eastAsia" w:ascii="仿宋_GB2312" w:hAnsi="宋体" w:eastAsia="仿宋_GB2312" w:cs="宋体"/>
          <w:color w:val="000000"/>
          <w:kern w:val="0"/>
          <w:sz w:val="32"/>
          <w:szCs w:val="32"/>
        </w:rPr>
        <w:t>项目支付在</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年12月31日前执行率</w:t>
      </w:r>
      <w:r>
        <w:rPr>
          <w:rFonts w:hint="eastAsia" w:ascii="仿宋_GB2312" w:hAnsi="宋体" w:eastAsia="仿宋_GB2312" w:cs="宋体"/>
          <w:color w:val="000000"/>
          <w:kern w:val="0"/>
          <w:sz w:val="32"/>
          <w:szCs w:val="32"/>
          <w:lang w:val="en-US" w:eastAsia="zh-CN"/>
        </w:rPr>
        <w:t>49</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，支付进度慢的项目是机动经费抚恤金项目，</w:t>
      </w:r>
      <w:r>
        <w:rPr>
          <w:rFonts w:hint="eastAsia" w:ascii="仿宋_GB2312" w:hAnsi="宋体" w:eastAsia="仿宋_GB2312" w:cs="宋体"/>
          <w:color w:val="000000"/>
          <w:kern w:val="0"/>
          <w:sz w:val="32"/>
          <w:szCs w:val="32"/>
          <w:lang w:val="en-US" w:eastAsia="zh-CN"/>
        </w:rPr>
        <w:t>除机动经费外</w:t>
      </w:r>
      <w:r>
        <w:rPr>
          <w:rFonts w:hint="eastAsia" w:ascii="仿宋_GB2312" w:hAnsi="宋体" w:eastAsia="仿宋_GB2312" w:cs="宋体"/>
          <w:color w:val="000000"/>
          <w:kern w:val="0"/>
          <w:sz w:val="32"/>
          <w:szCs w:val="32"/>
          <w:lang w:eastAsia="zh-CN"/>
        </w:rPr>
        <w:t>其他项目全部</w:t>
      </w:r>
      <w:r>
        <w:rPr>
          <w:rFonts w:hint="eastAsia" w:ascii="仿宋_GB2312" w:hAnsi="宋体" w:eastAsia="仿宋_GB2312" w:cs="宋体"/>
          <w:color w:val="000000"/>
          <w:kern w:val="0"/>
          <w:sz w:val="32"/>
          <w:szCs w:val="32"/>
          <w:lang w:val="en-US" w:eastAsia="zh-CN"/>
        </w:rPr>
        <w:t>100%执行。原因是2024年当年发生的离退休人员去世情况较预期低。</w:t>
      </w:r>
    </w:p>
    <w:p w14:paraId="304DD5A4">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14:paraId="58B721AA">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房租实际支付金额</w:t>
      </w:r>
      <w:r>
        <w:rPr>
          <w:rFonts w:hint="eastAsia" w:ascii="仿宋_GB2312" w:hAnsi="宋体" w:eastAsia="仿宋_GB2312" w:cs="宋体"/>
          <w:color w:val="000000"/>
          <w:kern w:val="0"/>
          <w:sz w:val="32"/>
          <w:szCs w:val="32"/>
          <w:lang w:val="en-US" w:eastAsia="zh-CN"/>
        </w:rPr>
        <w:t>58.23</w:t>
      </w:r>
      <w:r>
        <w:rPr>
          <w:rFonts w:hint="eastAsia" w:ascii="仿宋_GB2312" w:hAnsi="宋体" w:eastAsia="仿宋_GB2312" w:cs="宋体"/>
          <w:color w:val="000000"/>
          <w:kern w:val="0"/>
          <w:sz w:val="32"/>
          <w:szCs w:val="32"/>
        </w:rPr>
        <w:t>万元，机动经费支付金额</w:t>
      </w:r>
      <w:r>
        <w:rPr>
          <w:rFonts w:hint="eastAsia" w:ascii="仿宋_GB2312" w:hAnsi="宋体" w:eastAsia="仿宋_GB2312" w:cs="宋体"/>
          <w:color w:val="000000"/>
          <w:kern w:val="0"/>
          <w:sz w:val="32"/>
          <w:szCs w:val="32"/>
          <w:lang w:val="en-US" w:eastAsia="zh-CN"/>
        </w:rPr>
        <w:t>115.65</w:t>
      </w:r>
      <w:r>
        <w:rPr>
          <w:rFonts w:hint="eastAsia" w:ascii="仿宋_GB2312" w:hAnsi="宋体" w:eastAsia="仿宋_GB2312" w:cs="宋体"/>
          <w:color w:val="000000"/>
          <w:kern w:val="0"/>
          <w:sz w:val="32"/>
          <w:szCs w:val="32"/>
        </w:rPr>
        <w:t>万元，其他支出3.</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 xml:space="preserve">万元。                                </w:t>
      </w:r>
    </w:p>
    <w:p w14:paraId="3C40F56E">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（二）效果</w:t>
      </w:r>
      <w:r>
        <w:rPr>
          <w:rFonts w:ascii="仿宋_GB2312" w:hAnsi="宋体" w:eastAsia="仿宋_GB2312" w:cs="宋体"/>
          <w:color w:val="000000"/>
          <w:kern w:val="0"/>
          <w:sz w:val="32"/>
          <w:szCs w:val="32"/>
        </w:rPr>
        <w:t>实现情况分析</w:t>
      </w:r>
    </w:p>
    <w:p w14:paraId="456B0B1D">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14:paraId="7F157D99">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房租项目保障了</w:t>
      </w:r>
      <w:r>
        <w:rPr>
          <w:rFonts w:hint="eastAsia" w:ascii="仿宋_GB2312" w:hAnsi="宋体" w:eastAsia="仿宋_GB2312" w:cs="宋体"/>
          <w:color w:val="000000"/>
          <w:kern w:val="0"/>
          <w:sz w:val="32"/>
          <w:szCs w:val="32"/>
          <w:lang w:val="en-US" w:eastAsia="zh-CN"/>
        </w:rPr>
        <w:t>日常运营和</w:t>
      </w:r>
      <w:r>
        <w:rPr>
          <w:rFonts w:hint="eastAsia" w:ascii="仿宋_GB2312" w:hAnsi="宋体" w:eastAsia="仿宋_GB2312" w:cs="宋体"/>
          <w:color w:val="000000"/>
          <w:kern w:val="0"/>
          <w:sz w:val="32"/>
          <w:szCs w:val="32"/>
        </w:rPr>
        <w:t>老干部的管理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服务。</w:t>
      </w:r>
    </w:p>
    <w:p w14:paraId="4D06E993">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机动经费项目保障支付离退休去世人员抚恤金。</w:t>
      </w:r>
    </w:p>
    <w:p w14:paraId="5BAFE7D8">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其他项目保障单位的支出运行。</w:t>
      </w:r>
    </w:p>
    <w:p w14:paraId="7670CDC8">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14:paraId="3FE1A086">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保障了对离退休人员的服务，抚恤金按时足额发放，维护了社会的稳定团结。</w:t>
      </w:r>
    </w:p>
    <w:p w14:paraId="58C84A10">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14:paraId="19B69586">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w:t>
      </w:r>
    </w:p>
    <w:p w14:paraId="5F0133FD">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14:paraId="4CECECA5">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无</w:t>
      </w:r>
    </w:p>
    <w:p w14:paraId="77808ACC">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14:paraId="6851FCF6">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保证在职人员、离退休人员及家属满意度100%。</w:t>
      </w:r>
    </w:p>
    <w:p w14:paraId="52CB0562">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097CBCED">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14:paraId="15F89A5A">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w:t>
      </w:r>
      <w:r>
        <w:rPr>
          <w:rFonts w:hint="eastAsia" w:ascii="仿宋_GB2312" w:hAnsi="宋体" w:eastAsia="仿宋_GB2312" w:cs="宋体"/>
          <w:color w:val="000000"/>
          <w:kern w:val="0"/>
          <w:sz w:val="32"/>
          <w:szCs w:val="32"/>
        </w:rPr>
        <w:t>，现行制度满足工作需求。</w:t>
      </w:r>
    </w:p>
    <w:p w14:paraId="5CBAF7F3">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2.资金主要为财政拨款资金，严格按照国库等相关要求进行管理，日常使用合规，资金的</w:t>
      </w:r>
      <w:r>
        <w:rPr>
          <w:rFonts w:ascii="仿宋_GB2312" w:hAnsi="宋体" w:eastAsia="仿宋_GB2312" w:cs="宋体"/>
          <w:color w:val="000000"/>
          <w:kern w:val="0"/>
          <w:sz w:val="32"/>
          <w:szCs w:val="32"/>
        </w:rPr>
        <w:t>安全性</w:t>
      </w:r>
      <w:r>
        <w:rPr>
          <w:rFonts w:hint="eastAsia" w:ascii="仿宋_GB2312" w:hAnsi="宋体" w:eastAsia="仿宋_GB2312" w:cs="宋体"/>
          <w:color w:val="000000"/>
          <w:kern w:val="0"/>
          <w:sz w:val="32"/>
          <w:szCs w:val="32"/>
        </w:rPr>
        <w:t>有保障。</w:t>
      </w:r>
      <w:r>
        <w:rPr>
          <w:rFonts w:hint="eastAsia" w:ascii="仿宋_GB2312" w:hAnsi="宋体" w:eastAsia="仿宋_GB2312" w:cs="宋体"/>
          <w:color w:val="000000"/>
          <w:kern w:val="0"/>
          <w:sz w:val="32"/>
          <w:szCs w:val="32"/>
          <w:lang w:eastAsia="zh-CN"/>
        </w:rPr>
        <w:t>代管国合中心和成套局中心的离退休经费，严格按照有关文件精神执行落实相关经费。</w:t>
      </w:r>
    </w:p>
    <w:p w14:paraId="746DB7CA">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w:t>
      </w:r>
      <w:r>
        <w:rPr>
          <w:rFonts w:hint="eastAsia" w:ascii="仿宋_GB2312" w:hAnsi="宋体" w:eastAsia="仿宋_GB2312" w:cs="宋体"/>
          <w:color w:val="000000"/>
          <w:kern w:val="0"/>
          <w:sz w:val="32"/>
          <w:szCs w:val="32"/>
        </w:rPr>
        <w:t>，全部经济业务应入账尽入账。</w:t>
      </w:r>
    </w:p>
    <w:p w14:paraId="22E6B5E2">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14:paraId="256D4231">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现行资产管理制度可以满足日常管理需求，固定资产台帐完整，按时计提折旧，根据要求及时准确完成相关报表的填报。</w:t>
      </w:r>
    </w:p>
    <w:p w14:paraId="2F1E6E89">
      <w:pPr>
        <w:numPr>
          <w:ilvl w:val="0"/>
          <w:numId w:val="1"/>
        </w:numPr>
        <w:spacing w:line="600" w:lineRule="exact"/>
        <w:ind w:firstLine="640" w:firstLineChars="200"/>
        <w:rPr>
          <w:rFonts w:ascii="楷体_GB2312" w:eastAsia="楷体_GB2312"/>
          <w:sz w:val="32"/>
          <w:szCs w:val="32"/>
        </w:rPr>
      </w:pPr>
      <w:r>
        <w:rPr>
          <w:rFonts w:hint="eastAsia" w:ascii="楷体_GB2312" w:eastAsia="楷体_GB2312"/>
          <w:sz w:val="32"/>
          <w:szCs w:val="32"/>
        </w:rPr>
        <w:t>绩效</w:t>
      </w:r>
      <w:r>
        <w:rPr>
          <w:rFonts w:ascii="楷体_GB2312" w:eastAsia="楷体_GB2312"/>
          <w:sz w:val="32"/>
          <w:szCs w:val="32"/>
        </w:rPr>
        <w:t>管理</w:t>
      </w:r>
      <w:r>
        <w:rPr>
          <w:rFonts w:hint="eastAsia" w:ascii="楷体_GB2312" w:eastAsia="楷体_GB2312"/>
          <w:sz w:val="32"/>
          <w:szCs w:val="32"/>
        </w:rPr>
        <w:t xml:space="preserve"> </w:t>
      </w:r>
    </w:p>
    <w:p w14:paraId="7BFDB455">
      <w:pPr>
        <w:spacing w:line="600" w:lineRule="exact"/>
        <w:ind w:left="420" w:leftChars="200"/>
        <w:rPr>
          <w:rFonts w:ascii="楷体_GB2312" w:eastAsia="楷体_GB2312"/>
          <w:sz w:val="32"/>
          <w:szCs w:val="32"/>
        </w:rPr>
      </w:pPr>
      <w:r>
        <w:rPr>
          <w:rFonts w:hint="eastAsia" w:ascii="楷体_GB2312" w:eastAsia="楷体_GB2312"/>
          <w:sz w:val="32"/>
          <w:szCs w:val="32"/>
        </w:rPr>
        <w:t xml:space="preserve">  </w:t>
      </w:r>
      <w:r>
        <w:rPr>
          <w:rFonts w:hint="eastAsia" w:ascii="仿宋_GB2312" w:hAnsi="宋体" w:eastAsia="仿宋_GB2312" w:cs="宋体"/>
          <w:color w:val="000000"/>
          <w:kern w:val="0"/>
          <w:sz w:val="32"/>
          <w:szCs w:val="32"/>
        </w:rPr>
        <w:t>绩效管理按照相关要求执行，满足目前管理需求。</w:t>
      </w:r>
    </w:p>
    <w:p w14:paraId="25BDB6EE">
      <w:pPr>
        <w:numPr>
          <w:ilvl w:val="0"/>
          <w:numId w:val="1"/>
        </w:numPr>
        <w:spacing w:line="600" w:lineRule="exact"/>
        <w:ind w:firstLine="640" w:firstLineChars="200"/>
        <w:rPr>
          <w:rFonts w:ascii="楷体_GB2312" w:eastAsia="楷体_GB2312"/>
          <w:sz w:val="32"/>
          <w:szCs w:val="32"/>
        </w:rPr>
      </w:pPr>
      <w:r>
        <w:rPr>
          <w:rFonts w:hint="eastAsia" w:ascii="楷体_GB2312" w:eastAsia="楷体_GB2312"/>
          <w:sz w:val="32"/>
          <w:szCs w:val="32"/>
        </w:rPr>
        <w:t>结转结余率</w:t>
      </w:r>
    </w:p>
    <w:p w14:paraId="68D23F0B">
      <w:pPr>
        <w:spacing w:line="600" w:lineRule="exact"/>
        <w:ind w:left="420" w:leftChars="200"/>
        <w:rPr>
          <w:rFonts w:ascii="楷体_GB2312" w:eastAsia="楷体_GB2312"/>
          <w:sz w:val="32"/>
          <w:szCs w:val="32"/>
        </w:rPr>
      </w:pPr>
      <w:r>
        <w:rPr>
          <w:rFonts w:hint="eastAsia" w:ascii="楷体_GB2312" w:eastAsia="楷体_GB2312"/>
          <w:sz w:val="32"/>
          <w:szCs w:val="32"/>
        </w:rPr>
        <w:t xml:space="preserve"> </w:t>
      </w:r>
      <w:r>
        <w:rPr>
          <w:rFonts w:hint="eastAsia" w:ascii="仿宋_GB2312" w:hAnsi="宋体" w:eastAsia="仿宋_GB2312" w:cs="宋体"/>
          <w:color w:val="000000"/>
          <w:kern w:val="0"/>
          <w:sz w:val="32"/>
          <w:szCs w:val="32"/>
        </w:rPr>
        <w:t xml:space="preserve"> 在</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年未使用结转结余资金。</w:t>
      </w:r>
    </w:p>
    <w:p w14:paraId="6C679045">
      <w:pPr>
        <w:numPr>
          <w:ilvl w:val="0"/>
          <w:numId w:val="1"/>
        </w:numPr>
        <w:spacing w:line="600" w:lineRule="exact"/>
        <w:ind w:firstLine="640" w:firstLineChars="200"/>
        <w:rPr>
          <w:rFonts w:ascii="楷体_GB2312" w:eastAsia="楷体_GB2312"/>
          <w:sz w:val="32"/>
          <w:szCs w:val="32"/>
        </w:rPr>
      </w:pPr>
      <w:r>
        <w:rPr>
          <w:rFonts w:hint="eastAsia" w:ascii="楷体_GB2312" w:eastAsia="楷体_GB2312"/>
          <w:sz w:val="32"/>
          <w:szCs w:val="32"/>
        </w:rPr>
        <w:t>单位</w:t>
      </w:r>
      <w:r>
        <w:rPr>
          <w:rFonts w:ascii="楷体_GB2312" w:eastAsia="楷体_GB2312"/>
          <w:sz w:val="32"/>
          <w:szCs w:val="32"/>
        </w:rPr>
        <w:t>预决算差异率</w:t>
      </w:r>
    </w:p>
    <w:p w14:paraId="6B0C06CF">
      <w:pPr>
        <w:spacing w:line="600" w:lineRule="exact"/>
        <w:ind w:firstLine="640" w:firstLineChars="200"/>
        <w:rPr>
          <w:rFonts w:hint="eastAsia" w:ascii="仿宋_GB2312" w:hAnsi="宋体" w:eastAsia="仿宋_GB2312" w:cs="宋体"/>
          <w:color w:val="000000"/>
          <w:kern w:val="0"/>
          <w:sz w:val="32"/>
          <w:szCs w:val="32"/>
        </w:rPr>
      </w:pPr>
      <w:r>
        <w:rPr>
          <w:rFonts w:hint="eastAsia" w:ascii="楷体_GB2312" w:eastAsia="楷体_GB2312"/>
          <w:sz w:val="32"/>
          <w:szCs w:val="32"/>
        </w:rPr>
        <w:t xml:space="preserve">  </w:t>
      </w:r>
      <w:r>
        <w:rPr>
          <w:rFonts w:hint="eastAsia" w:ascii="仿宋_GB2312" w:hAnsi="宋体" w:eastAsia="仿宋_GB2312" w:cs="宋体"/>
          <w:color w:val="000000"/>
          <w:kern w:val="0"/>
          <w:sz w:val="32"/>
          <w:szCs w:val="32"/>
          <w:lang w:eastAsia="zh-CN"/>
        </w:rPr>
        <w:t>2024</w:t>
      </w:r>
      <w:r>
        <w:rPr>
          <w:rFonts w:hint="eastAsia" w:ascii="仿宋_GB2312" w:hAnsi="宋体" w:eastAsia="仿宋_GB2312" w:cs="宋体"/>
          <w:color w:val="000000"/>
          <w:kern w:val="0"/>
          <w:sz w:val="32"/>
          <w:szCs w:val="32"/>
        </w:rPr>
        <w:t>年预决算差异率为</w:t>
      </w:r>
      <w:r>
        <w:rPr>
          <w:rFonts w:hint="eastAsia" w:ascii="仿宋_GB2312" w:hAnsi="宋体" w:eastAsia="仿宋_GB2312" w:cs="宋体"/>
          <w:color w:val="000000"/>
          <w:kern w:val="0"/>
          <w:sz w:val="32"/>
          <w:szCs w:val="32"/>
          <w:lang w:val="en-US" w:eastAsia="zh-CN"/>
        </w:rPr>
        <w:t>28</w:t>
      </w:r>
      <w:r>
        <w:rPr>
          <w:rFonts w:hint="eastAsia" w:ascii="仿宋_GB2312" w:hAnsi="宋体" w:eastAsia="仿宋_GB2312" w:cs="宋体"/>
          <w:color w:val="000000"/>
          <w:kern w:val="0"/>
          <w:sz w:val="32"/>
          <w:szCs w:val="32"/>
        </w:rPr>
        <w:t>%。</w:t>
      </w:r>
    </w:p>
    <w:p w14:paraId="25917E19">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1BB4FC0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（一）评价</w:t>
      </w:r>
      <w:r>
        <w:rPr>
          <w:rFonts w:ascii="仿宋_GB2312" w:hAnsi="宋体" w:eastAsia="仿宋_GB2312" w:cs="宋体"/>
          <w:color w:val="000000"/>
          <w:kern w:val="0"/>
          <w:sz w:val="32"/>
          <w:szCs w:val="32"/>
        </w:rPr>
        <w:t>得分</w:t>
      </w:r>
      <w:r>
        <w:rPr>
          <w:rFonts w:hint="eastAsia" w:ascii="仿宋_GB2312" w:hAnsi="宋体" w:eastAsia="仿宋_GB2312" w:cs="宋体"/>
          <w:color w:val="000000"/>
          <w:kern w:val="0"/>
          <w:sz w:val="32"/>
          <w:szCs w:val="32"/>
        </w:rPr>
        <w:t>情况</w:t>
      </w:r>
    </w:p>
    <w:p w14:paraId="5E62B123">
      <w:pPr>
        <w:ind w:firstLine="640" w:firstLineChars="200"/>
        <w:rPr>
          <w:rFonts w:hint="eastAsia" w:ascii="仿宋_GB2312" w:eastAsia="仿宋_GB2312"/>
          <w:sz w:val="32"/>
          <w:szCs w:val="32"/>
        </w:rPr>
      </w:pPr>
      <w:r>
        <w:rPr>
          <w:rFonts w:hint="eastAsia" w:ascii="仿宋_GB2312" w:eastAsia="仿宋_GB2312"/>
          <w:sz w:val="32"/>
          <w:szCs w:val="32"/>
        </w:rPr>
        <w:t>兴东方公司对</w:t>
      </w:r>
      <w:r>
        <w:rPr>
          <w:rFonts w:hint="eastAsia" w:ascii="仿宋_GB2312" w:eastAsia="仿宋_GB2312"/>
          <w:sz w:val="32"/>
          <w:szCs w:val="32"/>
          <w:lang w:eastAsia="zh-CN"/>
        </w:rPr>
        <w:t>2024</w:t>
      </w:r>
      <w:r>
        <w:rPr>
          <w:rFonts w:hint="eastAsia" w:ascii="仿宋_GB2312" w:eastAsia="仿宋_GB2312"/>
          <w:sz w:val="32"/>
          <w:szCs w:val="32"/>
        </w:rPr>
        <w:t>年度部门项目支出实施了绩效评价，评价项目</w:t>
      </w:r>
      <w:r>
        <w:rPr>
          <w:rFonts w:hint="eastAsia" w:ascii="仿宋_GB2312" w:eastAsia="仿宋_GB2312"/>
          <w:sz w:val="32"/>
          <w:szCs w:val="32"/>
          <w:lang w:val="en-US" w:eastAsia="zh-CN"/>
        </w:rPr>
        <w:t>3</w:t>
      </w:r>
      <w:r>
        <w:rPr>
          <w:rFonts w:hint="eastAsia" w:ascii="仿宋_GB2312" w:eastAsia="仿宋_GB2312"/>
          <w:sz w:val="32"/>
          <w:szCs w:val="32"/>
        </w:rPr>
        <w:t>个，占部门项目总数的</w:t>
      </w:r>
      <w:r>
        <w:rPr>
          <w:rFonts w:hint="eastAsia" w:ascii="仿宋_GB2312" w:eastAsia="仿宋_GB2312"/>
          <w:sz w:val="32"/>
          <w:szCs w:val="32"/>
          <w:lang w:val="en-US" w:eastAsia="zh-CN"/>
        </w:rPr>
        <w:t>100</w:t>
      </w:r>
      <w:r>
        <w:rPr>
          <w:rFonts w:hint="eastAsia" w:ascii="仿宋_GB2312" w:eastAsia="仿宋_GB2312"/>
          <w:sz w:val="32"/>
          <w:szCs w:val="32"/>
        </w:rPr>
        <w:t>%，涉及金额1</w:t>
      </w:r>
      <w:r>
        <w:rPr>
          <w:rFonts w:hint="eastAsia" w:ascii="仿宋_GB2312" w:eastAsia="仿宋_GB2312"/>
          <w:sz w:val="32"/>
          <w:szCs w:val="32"/>
          <w:lang w:val="en-US" w:eastAsia="zh-CN"/>
        </w:rPr>
        <w:t>17.18</w:t>
      </w:r>
      <w:r>
        <w:rPr>
          <w:rFonts w:hint="eastAsia" w:ascii="仿宋_GB2312" w:eastAsia="仿宋_GB2312"/>
          <w:sz w:val="32"/>
          <w:szCs w:val="32"/>
        </w:rPr>
        <w:t>万元。其中，部门评价项目</w:t>
      </w:r>
      <w:r>
        <w:rPr>
          <w:rFonts w:hint="eastAsia" w:ascii="仿宋_GB2312" w:eastAsia="仿宋_GB2312"/>
          <w:sz w:val="32"/>
          <w:szCs w:val="32"/>
          <w:lang w:val="en-US" w:eastAsia="zh-CN"/>
        </w:rPr>
        <w:t>3</w:t>
      </w:r>
      <w:r>
        <w:rPr>
          <w:rFonts w:hint="eastAsia" w:ascii="仿宋_GB2312" w:eastAsia="仿宋_GB2312"/>
          <w:sz w:val="32"/>
          <w:szCs w:val="32"/>
        </w:rPr>
        <w:t>个，涉及金额1</w:t>
      </w:r>
      <w:r>
        <w:rPr>
          <w:rFonts w:hint="eastAsia" w:ascii="仿宋_GB2312" w:eastAsia="仿宋_GB2312"/>
          <w:sz w:val="32"/>
          <w:szCs w:val="32"/>
          <w:lang w:val="en-US" w:eastAsia="zh-CN"/>
        </w:rPr>
        <w:t>17.18</w:t>
      </w:r>
      <w:r>
        <w:rPr>
          <w:rFonts w:hint="eastAsia" w:ascii="仿宋_GB2312" w:eastAsia="仿宋_GB2312"/>
          <w:sz w:val="32"/>
          <w:szCs w:val="32"/>
        </w:rPr>
        <w:t>万元，评价得分在90（含）-100分的</w:t>
      </w:r>
      <w:r>
        <w:rPr>
          <w:rFonts w:hint="eastAsia" w:ascii="仿宋_GB2312" w:eastAsia="仿宋_GB2312"/>
          <w:sz w:val="32"/>
          <w:szCs w:val="32"/>
          <w:lang w:val="en-US" w:eastAsia="zh-CN"/>
        </w:rPr>
        <w:t>3</w:t>
      </w:r>
      <w:r>
        <w:rPr>
          <w:rFonts w:hint="eastAsia" w:ascii="仿宋_GB2312" w:eastAsia="仿宋_GB2312"/>
          <w:sz w:val="32"/>
          <w:szCs w:val="32"/>
        </w:rPr>
        <w:t>个、</w:t>
      </w:r>
      <w:r>
        <w:rPr>
          <w:rFonts w:ascii="仿宋_GB2312" w:eastAsia="仿宋_GB2312"/>
          <w:sz w:val="32"/>
          <w:szCs w:val="32"/>
        </w:rPr>
        <w:t>评价得分在80（含）-90分的</w:t>
      </w:r>
      <w:r>
        <w:rPr>
          <w:rFonts w:hint="eastAsia" w:ascii="仿宋_GB2312" w:eastAsia="仿宋_GB2312"/>
          <w:sz w:val="32"/>
          <w:szCs w:val="32"/>
        </w:rPr>
        <w:t>0个、</w:t>
      </w:r>
      <w:r>
        <w:rPr>
          <w:rFonts w:ascii="仿宋_GB2312" w:eastAsia="仿宋_GB2312"/>
          <w:sz w:val="32"/>
          <w:szCs w:val="32"/>
        </w:rPr>
        <w:t>评价得分在60（含）-80分的</w:t>
      </w:r>
      <w:r>
        <w:rPr>
          <w:rFonts w:hint="eastAsia" w:ascii="仿宋_GB2312" w:eastAsia="仿宋_GB2312"/>
          <w:sz w:val="32"/>
          <w:szCs w:val="32"/>
        </w:rPr>
        <w:t>0个、</w:t>
      </w:r>
      <w:r>
        <w:rPr>
          <w:rFonts w:ascii="仿宋_GB2312" w:eastAsia="仿宋_GB2312"/>
          <w:sz w:val="32"/>
          <w:szCs w:val="32"/>
        </w:rPr>
        <w:t>评价得分在60分以下的</w:t>
      </w:r>
      <w:r>
        <w:rPr>
          <w:rFonts w:hint="eastAsia" w:ascii="仿宋_GB2312" w:eastAsia="仿宋_GB2312"/>
          <w:sz w:val="32"/>
          <w:szCs w:val="32"/>
        </w:rPr>
        <w:t>0个。单位自评项目</w:t>
      </w:r>
      <w:r>
        <w:rPr>
          <w:rFonts w:hint="eastAsia" w:ascii="仿宋_GB2312" w:eastAsia="仿宋_GB2312"/>
          <w:sz w:val="32"/>
          <w:szCs w:val="32"/>
          <w:lang w:val="en-US" w:eastAsia="zh-CN"/>
        </w:rPr>
        <w:t>3</w:t>
      </w:r>
      <w:r>
        <w:rPr>
          <w:rFonts w:hint="eastAsia" w:ascii="仿宋_GB2312" w:eastAsia="仿宋_GB2312"/>
          <w:sz w:val="32"/>
          <w:szCs w:val="32"/>
        </w:rPr>
        <w:t>个，涉及金额1</w:t>
      </w:r>
      <w:r>
        <w:rPr>
          <w:rFonts w:hint="eastAsia" w:ascii="仿宋_GB2312" w:eastAsia="仿宋_GB2312"/>
          <w:sz w:val="32"/>
          <w:szCs w:val="32"/>
          <w:lang w:val="en-US" w:eastAsia="zh-CN"/>
        </w:rPr>
        <w:t>17.18</w:t>
      </w:r>
      <w:r>
        <w:rPr>
          <w:rFonts w:hint="eastAsia" w:ascii="仿宋_GB2312" w:eastAsia="仿宋_GB2312"/>
          <w:sz w:val="32"/>
          <w:szCs w:val="32"/>
        </w:rPr>
        <w:t>万元，评价得分在90（含）-100分的</w:t>
      </w:r>
      <w:r>
        <w:rPr>
          <w:rFonts w:hint="eastAsia" w:ascii="仿宋_GB2312" w:eastAsia="仿宋_GB2312"/>
          <w:sz w:val="32"/>
          <w:szCs w:val="32"/>
          <w:lang w:val="en-US" w:eastAsia="zh-CN"/>
        </w:rPr>
        <w:t>3个</w:t>
      </w:r>
      <w:r>
        <w:rPr>
          <w:rFonts w:hint="eastAsia" w:ascii="仿宋_GB2312" w:eastAsia="仿宋_GB2312"/>
          <w:sz w:val="32"/>
          <w:szCs w:val="32"/>
        </w:rPr>
        <w:t>、</w:t>
      </w:r>
      <w:r>
        <w:rPr>
          <w:rFonts w:ascii="仿宋_GB2312" w:eastAsia="仿宋_GB2312"/>
          <w:sz w:val="32"/>
          <w:szCs w:val="32"/>
        </w:rPr>
        <w:t>评价得分在80（含）-90分的</w:t>
      </w:r>
      <w:r>
        <w:rPr>
          <w:rFonts w:hint="eastAsia" w:ascii="仿宋_GB2312" w:eastAsia="仿宋_GB2312"/>
          <w:sz w:val="32"/>
          <w:szCs w:val="32"/>
        </w:rPr>
        <w:t>0个、</w:t>
      </w:r>
      <w:r>
        <w:rPr>
          <w:rFonts w:ascii="仿宋_GB2312" w:eastAsia="仿宋_GB2312"/>
          <w:sz w:val="32"/>
          <w:szCs w:val="32"/>
        </w:rPr>
        <w:t>评价得分在60（含）-80分的</w:t>
      </w:r>
      <w:r>
        <w:rPr>
          <w:rFonts w:hint="eastAsia" w:ascii="仿宋_GB2312" w:eastAsia="仿宋_GB2312"/>
          <w:sz w:val="32"/>
          <w:szCs w:val="32"/>
        </w:rPr>
        <w:t>0个、</w:t>
      </w:r>
      <w:r>
        <w:rPr>
          <w:rFonts w:ascii="仿宋_GB2312" w:eastAsia="仿宋_GB2312"/>
          <w:sz w:val="32"/>
          <w:szCs w:val="32"/>
        </w:rPr>
        <w:t>评价得分在60分以下的</w:t>
      </w:r>
      <w:r>
        <w:rPr>
          <w:rFonts w:hint="eastAsia" w:ascii="仿宋_GB2312" w:eastAsia="仿宋_GB2312"/>
          <w:sz w:val="32"/>
          <w:szCs w:val="32"/>
        </w:rPr>
        <w:t xml:space="preserve">0个。 </w:t>
      </w:r>
    </w:p>
    <w:p w14:paraId="477970E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（二）存在的问题及原因分析</w:t>
      </w:r>
    </w:p>
    <w:p w14:paraId="36ACA969">
      <w:pPr>
        <w:spacing w:line="360" w:lineRule="auto"/>
        <w:ind w:firstLine="640" w:firstLineChars="200"/>
        <w:outlineLvl w:val="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我部门的项目主要是保障单位日常运行，无其他项目支出，在项目实施方案中，项目较为单一，目标内容制定范围</w:t>
      </w:r>
      <w:r>
        <w:rPr>
          <w:rFonts w:hint="eastAsia" w:ascii="仿宋_GB2312" w:hAnsi="宋体" w:eastAsia="仿宋_GB2312" w:cs="宋体"/>
          <w:color w:val="000000"/>
          <w:kern w:val="0"/>
          <w:sz w:val="32"/>
          <w:szCs w:val="32"/>
          <w:lang w:eastAsia="zh-CN"/>
        </w:rPr>
        <w:t>有限</w:t>
      </w:r>
      <w:r>
        <w:rPr>
          <w:rFonts w:hint="eastAsia" w:ascii="仿宋_GB2312" w:hAnsi="宋体" w:eastAsia="仿宋_GB2312" w:cs="宋体"/>
          <w:color w:val="000000"/>
          <w:kern w:val="0"/>
          <w:sz w:val="32"/>
          <w:szCs w:val="32"/>
        </w:rPr>
        <w:t>，对项目具体实施指导性不强。</w:t>
      </w:r>
    </w:p>
    <w:p w14:paraId="0B16ECB8">
      <w:pPr>
        <w:spacing w:line="60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14:paraId="4639D629">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我单位将在今后的工作中</w:t>
      </w:r>
      <w:r>
        <w:rPr>
          <w:rFonts w:hint="eastAsia" w:ascii="仿宋_GB2312" w:hAnsi="宋体" w:eastAsia="仿宋_GB2312" w:cs="宋体"/>
          <w:color w:val="000000"/>
          <w:kern w:val="0"/>
          <w:sz w:val="32"/>
          <w:szCs w:val="32"/>
          <w:lang w:eastAsia="zh-CN"/>
        </w:rPr>
        <w:t>继续</w:t>
      </w:r>
      <w:r>
        <w:rPr>
          <w:rFonts w:hint="eastAsia" w:ascii="仿宋_GB2312" w:hAnsi="宋体" w:eastAsia="仿宋_GB2312" w:cs="宋体"/>
          <w:color w:val="000000"/>
          <w:kern w:val="0"/>
          <w:sz w:val="32"/>
          <w:szCs w:val="32"/>
        </w:rPr>
        <w:t>加强项目自评工作，在今后的预算工作中</w:t>
      </w:r>
      <w:r>
        <w:rPr>
          <w:rFonts w:hint="eastAsia" w:ascii="仿宋_GB2312" w:hAnsi="宋体" w:eastAsia="仿宋_GB2312" w:cs="宋体"/>
          <w:color w:val="000000"/>
          <w:kern w:val="0"/>
          <w:sz w:val="32"/>
          <w:szCs w:val="32"/>
          <w:lang w:eastAsia="zh-CN"/>
        </w:rPr>
        <w:t>进一步</w:t>
      </w:r>
      <w:r>
        <w:rPr>
          <w:rFonts w:hint="eastAsia" w:ascii="仿宋_GB2312" w:hAnsi="宋体" w:eastAsia="仿宋_GB2312" w:cs="宋体"/>
          <w:color w:val="000000"/>
          <w:kern w:val="0"/>
          <w:sz w:val="32"/>
          <w:szCs w:val="32"/>
        </w:rPr>
        <w:t>规范项目填报，重点体现政策目标，突出强调支出效果。在实施过程中建立健全项目管理制度，完善细化实施方案；全面认识项目执行过程中存在的风险，加强管控措施及预期风险的应对措施。严格项目执行管理，加强和改进项目支出预算管理。</w:t>
      </w:r>
    </w:p>
    <w:p w14:paraId="6B955686">
      <w:pPr>
        <w:spacing w:line="600" w:lineRule="exact"/>
        <w:ind w:firstLine="640" w:firstLineChars="200"/>
        <w:rPr>
          <w:rFonts w:ascii="仿宋_GB2312" w:hAnsi="宋体" w:eastAsia="仿宋_GB2312" w:cs="宋体"/>
          <w:color w:val="000000"/>
          <w:kern w:val="0"/>
          <w:sz w:val="32"/>
          <w:szCs w:val="32"/>
        </w:rPr>
      </w:pPr>
    </w:p>
    <w:p w14:paraId="69901A4A">
      <w:pPr>
        <w:spacing w:line="600" w:lineRule="exact"/>
        <w:ind w:firstLine="640" w:firstLineChars="200"/>
        <w:rPr>
          <w:rFonts w:ascii="仿宋_GB2312" w:hAnsi="宋体" w:eastAsia="仿宋_GB2312" w:cs="宋体"/>
          <w:color w:val="000000"/>
          <w:kern w:val="0"/>
          <w:sz w:val="32"/>
          <w:szCs w:val="32"/>
        </w:rPr>
      </w:pPr>
    </w:p>
    <w:p w14:paraId="0EA8939D">
      <w:pPr>
        <w:widowControl/>
        <w:jc w:val="center"/>
        <w:rPr>
          <w:rFonts w:ascii="方正小标宋简体" w:hAnsi="黑体" w:eastAsia="方正小标宋简体" w:cs="宋体"/>
          <w:color w:val="000000"/>
          <w:kern w:val="0"/>
          <w:sz w:val="44"/>
          <w:szCs w:val="44"/>
        </w:rPr>
        <w:sectPr>
          <w:footerReference r:id="rId3" w:type="default"/>
          <w:pgSz w:w="11906" w:h="16838"/>
          <w:pgMar w:top="1440" w:right="1800" w:bottom="1440" w:left="1800" w:header="851" w:footer="992" w:gutter="0"/>
          <w:pgNumType w:fmt="numberInDash"/>
          <w:cols w:space="425" w:num="1"/>
          <w:docGrid w:type="lines" w:linePitch="312" w:charSpace="0"/>
        </w:sectPr>
      </w:pPr>
    </w:p>
    <w:p w14:paraId="7241BD35">
      <w:pPr>
        <w:rPr>
          <w:u w:val="single"/>
        </w:rPr>
      </w:pPr>
    </w:p>
    <w:tbl>
      <w:tblPr>
        <w:tblStyle w:val="5"/>
        <w:tblW w:w="4824" w:type="pct"/>
        <w:tblInd w:w="0" w:type="dxa"/>
        <w:tblLayout w:type="fixed"/>
        <w:tblCellMar>
          <w:top w:w="0" w:type="dxa"/>
          <w:left w:w="108" w:type="dxa"/>
          <w:bottom w:w="0" w:type="dxa"/>
          <w:right w:w="108" w:type="dxa"/>
        </w:tblCellMar>
      </w:tblPr>
      <w:tblGrid>
        <w:gridCol w:w="2765"/>
        <w:gridCol w:w="2548"/>
        <w:gridCol w:w="1989"/>
        <w:gridCol w:w="1434"/>
        <w:gridCol w:w="1652"/>
        <w:gridCol w:w="665"/>
        <w:gridCol w:w="1312"/>
      </w:tblGrid>
      <w:tr w14:paraId="5F40E898">
        <w:tblPrEx>
          <w:tblCellMar>
            <w:top w:w="0" w:type="dxa"/>
            <w:left w:w="108" w:type="dxa"/>
            <w:bottom w:w="0" w:type="dxa"/>
            <w:right w:w="108" w:type="dxa"/>
          </w:tblCellMar>
        </w:tblPrEx>
        <w:trPr>
          <w:wAfter w:w="0" w:type="auto"/>
          <w:trHeight w:val="499" w:hRule="atLeast"/>
        </w:trPr>
        <w:tc>
          <w:tcPr>
            <w:tcW w:w="5000" w:type="pct"/>
            <w:gridSpan w:val="7"/>
            <w:tcBorders>
              <w:top w:val="nil"/>
              <w:left w:val="nil"/>
              <w:bottom w:val="single" w:color="auto" w:sz="4" w:space="0"/>
              <w:right w:val="nil"/>
            </w:tcBorders>
            <w:noWrap/>
            <w:vAlign w:val="bottom"/>
          </w:tcPr>
          <w:p w14:paraId="2C362ACE">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4</w:t>
            </w:r>
            <w:r>
              <w:rPr>
                <w:rFonts w:hint="eastAsia" w:ascii="方正小标宋简体" w:hAnsi="黑体" w:eastAsia="方正小标宋简体" w:cs="宋体"/>
                <w:color w:val="000000"/>
                <w:kern w:val="0"/>
                <w:sz w:val="44"/>
                <w:szCs w:val="44"/>
              </w:rPr>
              <w:t>年</w:t>
            </w:r>
            <w:r>
              <w:rPr>
                <w:rFonts w:hint="eastAsia" w:ascii="方正小标宋简体" w:hAnsi="黑体" w:eastAsia="方正小标宋简体" w:cs="宋体"/>
                <w:color w:val="000000"/>
                <w:kern w:val="0"/>
                <w:sz w:val="44"/>
                <w:szCs w:val="44"/>
                <w:lang w:val="en-US" w:eastAsia="zh-CN"/>
              </w:rPr>
              <w:t>部门</w:t>
            </w:r>
            <w:r>
              <w:rPr>
                <w:rFonts w:hint="eastAsia" w:ascii="方正小标宋简体" w:hAnsi="黑体" w:eastAsia="方正小标宋简体" w:cs="宋体"/>
                <w:color w:val="000000"/>
                <w:kern w:val="0"/>
                <w:sz w:val="44"/>
                <w:szCs w:val="44"/>
              </w:rPr>
              <w:t>整体绩效评价指标体系评分表</w:t>
            </w:r>
          </w:p>
        </w:tc>
      </w:tr>
      <w:tr w14:paraId="6282041C">
        <w:tblPrEx>
          <w:tblCellMar>
            <w:top w:w="0" w:type="dxa"/>
            <w:left w:w="108" w:type="dxa"/>
            <w:bottom w:w="0" w:type="dxa"/>
            <w:right w:w="108" w:type="dxa"/>
          </w:tblCellMar>
        </w:tblPrEx>
        <w:trPr>
          <w:wAfter w:w="0" w:type="auto"/>
          <w:trHeight w:val="470" w:hRule="atLeast"/>
        </w:trPr>
        <w:tc>
          <w:tcPr>
            <w:tcW w:w="5000" w:type="pct"/>
            <w:gridSpan w:val="7"/>
            <w:tcBorders>
              <w:top w:val="single" w:color="auto" w:sz="4" w:space="0"/>
              <w:left w:val="single" w:color="auto" w:sz="4" w:space="0"/>
              <w:bottom w:val="single" w:color="000000" w:sz="4" w:space="0"/>
              <w:right w:val="single" w:color="auto" w:sz="4" w:space="0"/>
            </w:tcBorders>
            <w:noWrap w:val="0"/>
            <w:vAlign w:val="center"/>
          </w:tcPr>
          <w:p w14:paraId="140268C3">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28DB553E">
        <w:tblPrEx>
          <w:tblCellMar>
            <w:top w:w="0" w:type="dxa"/>
            <w:left w:w="108" w:type="dxa"/>
            <w:bottom w:w="0" w:type="dxa"/>
            <w:right w:w="108" w:type="dxa"/>
          </w:tblCellMar>
        </w:tblPrEx>
        <w:trPr>
          <w:wAfter w:w="0" w:type="auto"/>
          <w:trHeight w:val="660" w:hRule="atLeast"/>
        </w:trPr>
        <w:tc>
          <w:tcPr>
            <w:tcW w:w="1118" w:type="pct"/>
            <w:tcBorders>
              <w:top w:val="single" w:color="auto" w:sz="4" w:space="0"/>
              <w:left w:val="single" w:color="auto" w:sz="4" w:space="0"/>
              <w:bottom w:val="single" w:color="auto" w:sz="4" w:space="0"/>
              <w:right w:val="single" w:color="auto" w:sz="4" w:space="0"/>
            </w:tcBorders>
            <w:noWrap w:val="0"/>
            <w:vAlign w:val="center"/>
          </w:tcPr>
          <w:p w14:paraId="072F64CA">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30" w:type="pct"/>
            <w:tcBorders>
              <w:top w:val="single" w:color="auto" w:sz="4" w:space="0"/>
              <w:left w:val="single" w:color="auto" w:sz="4" w:space="0"/>
              <w:bottom w:val="single" w:color="auto" w:sz="4" w:space="0"/>
              <w:right w:val="single" w:color="auto" w:sz="4" w:space="0"/>
            </w:tcBorders>
            <w:noWrap w:val="0"/>
            <w:vAlign w:val="center"/>
          </w:tcPr>
          <w:p w14:paraId="31A9839E">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04" w:type="pct"/>
            <w:tcBorders>
              <w:top w:val="single" w:color="auto" w:sz="4" w:space="0"/>
              <w:left w:val="single" w:color="auto" w:sz="4" w:space="0"/>
              <w:bottom w:val="single" w:color="auto" w:sz="4" w:space="0"/>
              <w:right w:val="single" w:color="auto" w:sz="4" w:space="0"/>
            </w:tcBorders>
            <w:noWrap w:val="0"/>
            <w:vAlign w:val="center"/>
          </w:tcPr>
          <w:p w14:paraId="76E8E76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579" w:type="pct"/>
            <w:tcBorders>
              <w:top w:val="single" w:color="auto" w:sz="4" w:space="0"/>
              <w:left w:val="single" w:color="auto" w:sz="4" w:space="0"/>
              <w:bottom w:val="single" w:color="auto" w:sz="4" w:space="0"/>
              <w:right w:val="single" w:color="auto" w:sz="4" w:space="0"/>
            </w:tcBorders>
            <w:noWrap w:val="0"/>
            <w:vAlign w:val="center"/>
          </w:tcPr>
          <w:p w14:paraId="223E057A">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668" w:type="pct"/>
            <w:tcBorders>
              <w:top w:val="single" w:color="auto" w:sz="4" w:space="0"/>
              <w:left w:val="single" w:color="auto" w:sz="4" w:space="0"/>
              <w:bottom w:val="single" w:color="auto" w:sz="4" w:space="0"/>
              <w:right w:val="single" w:color="auto" w:sz="4" w:space="0"/>
            </w:tcBorders>
            <w:noWrap w:val="0"/>
            <w:vAlign w:val="center"/>
          </w:tcPr>
          <w:p w14:paraId="30D5EF4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4056AC1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530" w:type="pct"/>
            <w:tcBorders>
              <w:top w:val="single" w:color="auto" w:sz="4" w:space="0"/>
              <w:left w:val="single" w:color="auto" w:sz="4" w:space="0"/>
              <w:bottom w:val="single" w:color="auto" w:sz="4" w:space="0"/>
              <w:right w:val="single" w:color="auto" w:sz="4" w:space="0"/>
            </w:tcBorders>
            <w:noWrap w:val="0"/>
            <w:vAlign w:val="center"/>
          </w:tcPr>
          <w:p w14:paraId="10EC852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77D88D2">
        <w:tblPrEx>
          <w:tblCellMar>
            <w:top w:w="0" w:type="dxa"/>
            <w:left w:w="108" w:type="dxa"/>
            <w:bottom w:w="0" w:type="dxa"/>
            <w:right w:w="108" w:type="dxa"/>
          </w:tblCellMar>
        </w:tblPrEx>
        <w:trPr>
          <w:wAfter w:w="0" w:type="auto"/>
          <w:trHeight w:val="630" w:hRule="atLeast"/>
        </w:trPr>
        <w:tc>
          <w:tcPr>
            <w:tcW w:w="1118" w:type="pct"/>
            <w:vMerge w:val="restart"/>
            <w:tcBorders>
              <w:top w:val="nil"/>
              <w:left w:val="single" w:color="auto" w:sz="4" w:space="0"/>
              <w:bottom w:val="single" w:color="000000" w:sz="4" w:space="0"/>
              <w:right w:val="single" w:color="auto" w:sz="4" w:space="0"/>
            </w:tcBorders>
            <w:noWrap w:val="0"/>
            <w:vAlign w:val="center"/>
          </w:tcPr>
          <w:p w14:paraId="28BA3034">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030" w:type="pct"/>
            <w:tcBorders>
              <w:top w:val="single" w:color="auto" w:sz="4" w:space="0"/>
              <w:left w:val="single" w:color="auto" w:sz="4" w:space="0"/>
              <w:bottom w:val="single" w:color="auto" w:sz="4" w:space="0"/>
              <w:right w:val="single" w:color="auto" w:sz="4" w:space="0"/>
            </w:tcBorders>
            <w:noWrap w:val="0"/>
            <w:vAlign w:val="center"/>
          </w:tcPr>
          <w:p w14:paraId="20480ACD">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804" w:type="pct"/>
            <w:tcBorders>
              <w:top w:val="single" w:color="auto" w:sz="4" w:space="0"/>
              <w:left w:val="single" w:color="auto" w:sz="4" w:space="0"/>
              <w:bottom w:val="single" w:color="auto" w:sz="4" w:space="0"/>
              <w:right w:val="single" w:color="auto" w:sz="4" w:space="0"/>
            </w:tcBorders>
            <w:noWrap w:val="0"/>
            <w:vAlign w:val="center"/>
          </w:tcPr>
          <w:p w14:paraId="412B80CF">
            <w:pPr>
              <w:widowControl/>
              <w:jc w:val="center"/>
              <w:rPr>
                <w:rFonts w:ascii="宋体" w:hAnsi="宋体" w:cs="宋体"/>
                <w:color w:val="000000"/>
                <w:kern w:val="0"/>
                <w:sz w:val="20"/>
                <w:szCs w:val="20"/>
              </w:rPr>
            </w:pPr>
            <w:r>
              <w:rPr>
                <w:rFonts w:hint="eastAsia" w:ascii="宋体" w:hAnsi="宋体" w:cs="宋体"/>
                <w:color w:val="000000"/>
                <w:kern w:val="0"/>
                <w:sz w:val="20"/>
                <w:szCs w:val="20"/>
              </w:rPr>
              <w:t>991.67　</w:t>
            </w:r>
          </w:p>
        </w:tc>
        <w:tc>
          <w:tcPr>
            <w:tcW w:w="579" w:type="pct"/>
            <w:tcBorders>
              <w:top w:val="single" w:color="auto" w:sz="4" w:space="0"/>
              <w:left w:val="single" w:color="auto" w:sz="4" w:space="0"/>
              <w:bottom w:val="single" w:color="auto" w:sz="4" w:space="0"/>
              <w:right w:val="single" w:color="auto" w:sz="4" w:space="0"/>
            </w:tcBorders>
            <w:noWrap w:val="0"/>
            <w:vAlign w:val="center"/>
          </w:tcPr>
          <w:p w14:paraId="6CCA1CED">
            <w:pPr>
              <w:widowControl/>
              <w:jc w:val="center"/>
              <w:rPr>
                <w:rFonts w:ascii="宋体" w:hAnsi="宋体" w:cs="宋体"/>
                <w:color w:val="000000"/>
                <w:kern w:val="0"/>
                <w:sz w:val="20"/>
                <w:szCs w:val="20"/>
              </w:rPr>
            </w:pPr>
            <w:r>
              <w:rPr>
                <w:rFonts w:hint="eastAsia" w:ascii="宋体" w:hAnsi="宋体" w:cs="宋体"/>
                <w:color w:val="000000"/>
                <w:kern w:val="0"/>
                <w:sz w:val="20"/>
                <w:szCs w:val="20"/>
              </w:rPr>
              <w:t>717.75　</w:t>
            </w:r>
          </w:p>
        </w:tc>
        <w:tc>
          <w:tcPr>
            <w:tcW w:w="668" w:type="pct"/>
            <w:tcBorders>
              <w:top w:val="single" w:color="auto" w:sz="4" w:space="0"/>
              <w:left w:val="single" w:color="auto" w:sz="4" w:space="0"/>
              <w:bottom w:val="single" w:color="auto" w:sz="4" w:space="0"/>
              <w:right w:val="single" w:color="auto" w:sz="4" w:space="0"/>
            </w:tcBorders>
            <w:noWrap w:val="0"/>
            <w:vAlign w:val="center"/>
          </w:tcPr>
          <w:p w14:paraId="00F86AC9">
            <w:pPr>
              <w:widowControl/>
              <w:jc w:val="center"/>
              <w:rPr>
                <w:rFonts w:ascii="宋体" w:hAnsi="宋体" w:cs="宋体"/>
                <w:color w:val="000000"/>
                <w:kern w:val="0"/>
                <w:sz w:val="20"/>
                <w:szCs w:val="20"/>
              </w:rPr>
            </w:pPr>
            <w:r>
              <w:rPr>
                <w:rFonts w:hint="eastAsia" w:ascii="宋体" w:hAnsi="宋体" w:cs="宋体"/>
                <w:color w:val="000000"/>
                <w:kern w:val="0"/>
                <w:sz w:val="20"/>
                <w:szCs w:val="20"/>
              </w:rPr>
              <w:t>72%　</w:t>
            </w:r>
          </w:p>
        </w:tc>
        <w:tc>
          <w:tcPr>
            <w:tcW w:w="268" w:type="pct"/>
            <w:vMerge w:val="restart"/>
            <w:tcBorders>
              <w:top w:val="single" w:color="auto" w:sz="4" w:space="0"/>
              <w:left w:val="single" w:color="auto" w:sz="4" w:space="0"/>
              <w:bottom w:val="single" w:color="auto" w:sz="4" w:space="0"/>
              <w:right w:val="single" w:color="auto" w:sz="4" w:space="0"/>
            </w:tcBorders>
            <w:noWrap/>
            <w:vAlign w:val="center"/>
          </w:tcPr>
          <w:p w14:paraId="35D14D40">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530" w:type="pct"/>
            <w:vMerge w:val="restart"/>
            <w:tcBorders>
              <w:top w:val="single" w:color="auto" w:sz="4" w:space="0"/>
              <w:left w:val="single" w:color="auto" w:sz="4" w:space="0"/>
              <w:bottom w:val="single" w:color="auto" w:sz="4" w:space="0"/>
              <w:right w:val="single" w:color="auto" w:sz="4" w:space="0"/>
            </w:tcBorders>
            <w:noWrap/>
            <w:vAlign w:val="center"/>
          </w:tcPr>
          <w:p w14:paraId="5215FAF8">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hint="eastAsia" w:ascii="宋体" w:hAnsi="宋体" w:cs="宋体"/>
                <w:color w:val="000000"/>
                <w:kern w:val="0"/>
                <w:sz w:val="20"/>
                <w:szCs w:val="20"/>
                <w:lang w:val="en-US" w:eastAsia="zh-CN"/>
              </w:rPr>
              <w:t>4.4</w:t>
            </w:r>
            <w:r>
              <w:rPr>
                <w:rFonts w:hint="eastAsia" w:ascii="宋体" w:hAnsi="宋体" w:cs="宋体"/>
                <w:color w:val="000000"/>
                <w:kern w:val="0"/>
                <w:sz w:val="20"/>
                <w:szCs w:val="20"/>
              </w:rPr>
              <w:t>　</w:t>
            </w:r>
          </w:p>
        </w:tc>
      </w:tr>
      <w:tr w14:paraId="404E73C3">
        <w:tblPrEx>
          <w:tblCellMar>
            <w:top w:w="0" w:type="dxa"/>
            <w:left w:w="108" w:type="dxa"/>
            <w:bottom w:w="0" w:type="dxa"/>
            <w:right w:w="108" w:type="dxa"/>
          </w:tblCellMar>
        </w:tblPrEx>
        <w:trPr>
          <w:wAfter w:w="0" w:type="auto"/>
          <w:trHeight w:val="600"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05C11137">
            <w:pPr>
              <w:widowControl/>
              <w:jc w:val="left"/>
              <w:rPr>
                <w:rFonts w:ascii="宋体" w:hAnsi="宋体" w:cs="宋体"/>
                <w:color w:val="000000"/>
                <w:kern w:val="0"/>
                <w:sz w:val="20"/>
                <w:szCs w:val="20"/>
              </w:rPr>
            </w:pPr>
          </w:p>
        </w:tc>
        <w:tc>
          <w:tcPr>
            <w:tcW w:w="1030" w:type="pct"/>
            <w:tcBorders>
              <w:top w:val="single" w:color="auto" w:sz="4" w:space="0"/>
              <w:left w:val="single" w:color="auto" w:sz="4" w:space="0"/>
              <w:bottom w:val="single" w:color="auto" w:sz="4" w:space="0"/>
              <w:right w:val="nil"/>
            </w:tcBorders>
            <w:noWrap w:val="0"/>
            <w:vAlign w:val="center"/>
          </w:tcPr>
          <w:p w14:paraId="5BD73C2E">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804" w:type="pct"/>
            <w:tcBorders>
              <w:top w:val="single" w:color="auto" w:sz="4" w:space="0"/>
              <w:left w:val="single" w:color="auto" w:sz="4" w:space="0"/>
              <w:bottom w:val="single" w:color="auto" w:sz="4" w:space="0"/>
              <w:right w:val="single" w:color="auto" w:sz="4" w:space="0"/>
            </w:tcBorders>
            <w:noWrap w:val="0"/>
            <w:vAlign w:val="center"/>
          </w:tcPr>
          <w:p w14:paraId="64A1BF07">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630.14</w:t>
            </w:r>
            <w:r>
              <w:rPr>
                <w:rFonts w:hint="eastAsia" w:ascii="宋体" w:hAnsi="宋体" w:cs="宋体"/>
                <w:color w:val="000000"/>
                <w:kern w:val="0"/>
                <w:sz w:val="20"/>
                <w:szCs w:val="20"/>
              </w:rPr>
              <w:t>　　</w:t>
            </w:r>
          </w:p>
        </w:tc>
        <w:tc>
          <w:tcPr>
            <w:tcW w:w="579" w:type="pct"/>
            <w:tcBorders>
              <w:top w:val="single" w:color="auto" w:sz="4" w:space="0"/>
              <w:left w:val="nil"/>
              <w:bottom w:val="single" w:color="auto" w:sz="4" w:space="0"/>
              <w:right w:val="single" w:color="auto" w:sz="4" w:space="0"/>
            </w:tcBorders>
            <w:noWrap w:val="0"/>
            <w:vAlign w:val="center"/>
          </w:tcPr>
          <w:p w14:paraId="1325E2D4">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511.57</w:t>
            </w:r>
            <w:r>
              <w:rPr>
                <w:rFonts w:hint="eastAsia" w:ascii="宋体" w:hAnsi="宋体" w:cs="宋体"/>
                <w:color w:val="000000"/>
                <w:kern w:val="0"/>
                <w:sz w:val="20"/>
                <w:szCs w:val="20"/>
              </w:rPr>
              <w:t>　</w:t>
            </w:r>
          </w:p>
        </w:tc>
        <w:tc>
          <w:tcPr>
            <w:tcW w:w="668" w:type="pct"/>
            <w:vMerge w:val="restart"/>
            <w:tcBorders>
              <w:top w:val="single" w:color="auto" w:sz="4" w:space="0"/>
              <w:left w:val="single" w:color="auto" w:sz="4" w:space="0"/>
              <w:bottom w:val="single" w:color="auto" w:sz="4" w:space="0"/>
              <w:right w:val="single" w:color="auto" w:sz="4" w:space="0"/>
            </w:tcBorders>
            <w:noWrap w:val="0"/>
            <w:vAlign w:val="center"/>
          </w:tcPr>
          <w:p w14:paraId="260599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68" w:type="pct"/>
            <w:vMerge w:val="continue"/>
            <w:tcBorders>
              <w:top w:val="single" w:color="auto" w:sz="4" w:space="0"/>
              <w:left w:val="single" w:color="auto" w:sz="4" w:space="0"/>
              <w:bottom w:val="single" w:color="auto" w:sz="4" w:space="0"/>
              <w:right w:val="single" w:color="auto" w:sz="4" w:space="0"/>
            </w:tcBorders>
            <w:noWrap w:val="0"/>
            <w:vAlign w:val="center"/>
          </w:tcPr>
          <w:p w14:paraId="796E570F">
            <w:pPr>
              <w:widowControl/>
              <w:jc w:val="left"/>
              <w:rPr>
                <w:rFonts w:ascii="宋体" w:hAnsi="宋体" w:cs="宋体"/>
                <w:color w:val="000000"/>
                <w:kern w:val="0"/>
                <w:sz w:val="20"/>
                <w:szCs w:val="20"/>
              </w:rPr>
            </w:pPr>
          </w:p>
        </w:tc>
        <w:tc>
          <w:tcPr>
            <w:tcW w:w="530" w:type="pct"/>
            <w:vMerge w:val="continue"/>
            <w:tcBorders>
              <w:top w:val="single" w:color="auto" w:sz="4" w:space="0"/>
              <w:left w:val="nil"/>
              <w:bottom w:val="single" w:color="auto" w:sz="4" w:space="0"/>
              <w:right w:val="single" w:color="auto" w:sz="4" w:space="0"/>
            </w:tcBorders>
            <w:noWrap w:val="0"/>
            <w:vAlign w:val="center"/>
          </w:tcPr>
          <w:p w14:paraId="497E5719">
            <w:pPr>
              <w:widowControl/>
              <w:jc w:val="left"/>
              <w:rPr>
                <w:rFonts w:ascii="宋体" w:hAnsi="宋体" w:cs="宋体"/>
                <w:color w:val="000000"/>
                <w:kern w:val="0"/>
                <w:sz w:val="20"/>
                <w:szCs w:val="20"/>
              </w:rPr>
            </w:pPr>
          </w:p>
        </w:tc>
      </w:tr>
      <w:tr w14:paraId="3B1500BA">
        <w:tblPrEx>
          <w:tblCellMar>
            <w:top w:w="0" w:type="dxa"/>
            <w:left w:w="108" w:type="dxa"/>
            <w:bottom w:w="0" w:type="dxa"/>
            <w:right w:w="108" w:type="dxa"/>
          </w:tblCellMar>
        </w:tblPrEx>
        <w:trPr>
          <w:wAfter w:w="0" w:type="auto"/>
          <w:trHeight w:val="615"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458D57F4">
            <w:pPr>
              <w:widowControl/>
              <w:jc w:val="left"/>
              <w:rPr>
                <w:rFonts w:ascii="宋体" w:hAnsi="宋体" w:cs="宋体"/>
                <w:color w:val="000000"/>
                <w:kern w:val="0"/>
                <w:sz w:val="20"/>
                <w:szCs w:val="20"/>
              </w:rPr>
            </w:pPr>
          </w:p>
        </w:tc>
        <w:tc>
          <w:tcPr>
            <w:tcW w:w="1030" w:type="pct"/>
            <w:tcBorders>
              <w:top w:val="single" w:color="auto" w:sz="4" w:space="0"/>
              <w:left w:val="single" w:color="auto" w:sz="4" w:space="0"/>
              <w:bottom w:val="single" w:color="auto" w:sz="4" w:space="0"/>
              <w:right w:val="nil"/>
            </w:tcBorders>
            <w:noWrap w:val="0"/>
            <w:vAlign w:val="center"/>
          </w:tcPr>
          <w:p w14:paraId="4D99570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804" w:type="pct"/>
            <w:tcBorders>
              <w:top w:val="single" w:color="auto" w:sz="4" w:space="0"/>
              <w:left w:val="single" w:color="auto" w:sz="4" w:space="0"/>
              <w:bottom w:val="single" w:color="auto" w:sz="4" w:space="0"/>
              <w:right w:val="single" w:color="auto" w:sz="4" w:space="0"/>
            </w:tcBorders>
            <w:noWrap w:val="0"/>
            <w:vAlign w:val="center"/>
          </w:tcPr>
          <w:p w14:paraId="2130850E">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361.53</w:t>
            </w:r>
          </w:p>
        </w:tc>
        <w:tc>
          <w:tcPr>
            <w:tcW w:w="579" w:type="pct"/>
            <w:tcBorders>
              <w:top w:val="single" w:color="auto" w:sz="4" w:space="0"/>
              <w:left w:val="nil"/>
              <w:bottom w:val="single" w:color="auto" w:sz="4" w:space="0"/>
              <w:right w:val="single" w:color="auto" w:sz="4" w:space="0"/>
            </w:tcBorders>
            <w:noWrap w:val="0"/>
            <w:vAlign w:val="center"/>
          </w:tcPr>
          <w:p w14:paraId="1F391364">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177.18</w:t>
            </w:r>
            <w:r>
              <w:rPr>
                <w:rFonts w:hint="eastAsia" w:ascii="宋体" w:hAnsi="宋体" w:cs="宋体"/>
                <w:color w:val="000000"/>
                <w:kern w:val="0"/>
                <w:sz w:val="20"/>
                <w:szCs w:val="20"/>
              </w:rPr>
              <w:t>　　</w:t>
            </w:r>
          </w:p>
        </w:tc>
        <w:tc>
          <w:tcPr>
            <w:tcW w:w="668" w:type="pct"/>
            <w:vMerge w:val="continue"/>
            <w:tcBorders>
              <w:top w:val="single" w:color="auto" w:sz="4" w:space="0"/>
              <w:left w:val="single" w:color="auto" w:sz="4" w:space="0"/>
              <w:bottom w:val="single" w:color="auto" w:sz="4" w:space="0"/>
              <w:right w:val="single" w:color="auto" w:sz="4" w:space="0"/>
            </w:tcBorders>
            <w:noWrap w:val="0"/>
            <w:vAlign w:val="center"/>
          </w:tcPr>
          <w:p w14:paraId="46A20848">
            <w:pPr>
              <w:widowControl/>
              <w:jc w:val="left"/>
              <w:rPr>
                <w:rFonts w:ascii="宋体" w:hAnsi="宋体" w:cs="宋体"/>
                <w:color w:val="000000"/>
                <w:kern w:val="0"/>
                <w:sz w:val="20"/>
                <w:szCs w:val="20"/>
              </w:rPr>
            </w:pPr>
          </w:p>
        </w:tc>
        <w:tc>
          <w:tcPr>
            <w:tcW w:w="268" w:type="pct"/>
            <w:vMerge w:val="continue"/>
            <w:tcBorders>
              <w:top w:val="single" w:color="auto" w:sz="4" w:space="0"/>
              <w:left w:val="single" w:color="auto" w:sz="4" w:space="0"/>
              <w:bottom w:val="single" w:color="auto" w:sz="4" w:space="0"/>
              <w:right w:val="single" w:color="auto" w:sz="4" w:space="0"/>
            </w:tcBorders>
            <w:noWrap w:val="0"/>
            <w:vAlign w:val="center"/>
          </w:tcPr>
          <w:p w14:paraId="2E867DC6">
            <w:pPr>
              <w:widowControl/>
              <w:jc w:val="left"/>
              <w:rPr>
                <w:rFonts w:ascii="宋体" w:hAnsi="宋体" w:cs="宋体"/>
                <w:color w:val="000000"/>
                <w:kern w:val="0"/>
                <w:sz w:val="20"/>
                <w:szCs w:val="20"/>
              </w:rPr>
            </w:pPr>
          </w:p>
        </w:tc>
        <w:tc>
          <w:tcPr>
            <w:tcW w:w="530" w:type="pct"/>
            <w:vMerge w:val="continue"/>
            <w:tcBorders>
              <w:top w:val="single" w:color="auto" w:sz="4" w:space="0"/>
              <w:left w:val="nil"/>
              <w:bottom w:val="single" w:color="auto" w:sz="4" w:space="0"/>
              <w:right w:val="single" w:color="auto" w:sz="4" w:space="0"/>
            </w:tcBorders>
            <w:noWrap w:val="0"/>
            <w:vAlign w:val="center"/>
          </w:tcPr>
          <w:p w14:paraId="75A3E333">
            <w:pPr>
              <w:widowControl/>
              <w:jc w:val="left"/>
              <w:rPr>
                <w:rFonts w:ascii="宋体" w:hAnsi="宋体" w:cs="宋体"/>
                <w:color w:val="000000"/>
                <w:kern w:val="0"/>
                <w:sz w:val="20"/>
                <w:szCs w:val="20"/>
              </w:rPr>
            </w:pPr>
          </w:p>
        </w:tc>
      </w:tr>
      <w:tr w14:paraId="551428B6">
        <w:tblPrEx>
          <w:tblCellMar>
            <w:top w:w="0" w:type="dxa"/>
            <w:left w:w="108" w:type="dxa"/>
            <w:bottom w:w="0" w:type="dxa"/>
            <w:right w:w="108" w:type="dxa"/>
          </w:tblCellMar>
        </w:tblPrEx>
        <w:trPr>
          <w:wAfter w:w="0" w:type="auto"/>
          <w:trHeight w:val="417"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74B2A74C">
            <w:pPr>
              <w:widowControl/>
              <w:jc w:val="left"/>
              <w:rPr>
                <w:rFonts w:ascii="宋体" w:hAnsi="宋体" w:cs="宋体"/>
                <w:color w:val="000000"/>
                <w:kern w:val="0"/>
                <w:sz w:val="20"/>
                <w:szCs w:val="20"/>
              </w:rPr>
            </w:pPr>
          </w:p>
        </w:tc>
        <w:tc>
          <w:tcPr>
            <w:tcW w:w="1030" w:type="pct"/>
            <w:tcBorders>
              <w:top w:val="single" w:color="auto" w:sz="4" w:space="0"/>
              <w:left w:val="single" w:color="auto" w:sz="4" w:space="0"/>
              <w:bottom w:val="single" w:color="auto" w:sz="4" w:space="0"/>
              <w:right w:val="single" w:color="auto" w:sz="4" w:space="0"/>
            </w:tcBorders>
            <w:noWrap w:val="0"/>
            <w:vAlign w:val="center"/>
          </w:tcPr>
          <w:p w14:paraId="7A78CE1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804" w:type="pct"/>
            <w:tcBorders>
              <w:top w:val="single" w:color="auto" w:sz="4" w:space="0"/>
              <w:left w:val="nil"/>
              <w:bottom w:val="single" w:color="auto" w:sz="4" w:space="0"/>
              <w:right w:val="single" w:color="auto" w:sz="4" w:space="0"/>
            </w:tcBorders>
            <w:noWrap w:val="0"/>
            <w:vAlign w:val="center"/>
          </w:tcPr>
          <w:p w14:paraId="38C5AC1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579" w:type="pct"/>
            <w:tcBorders>
              <w:top w:val="single" w:color="auto" w:sz="4" w:space="0"/>
              <w:left w:val="nil"/>
              <w:bottom w:val="single" w:color="auto" w:sz="4" w:space="0"/>
              <w:right w:val="single" w:color="auto" w:sz="4" w:space="0"/>
            </w:tcBorders>
            <w:noWrap w:val="0"/>
            <w:vAlign w:val="center"/>
          </w:tcPr>
          <w:p w14:paraId="0A31CAB3">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668" w:type="pct"/>
            <w:vMerge w:val="continue"/>
            <w:tcBorders>
              <w:top w:val="single" w:color="auto" w:sz="4" w:space="0"/>
              <w:left w:val="single" w:color="auto" w:sz="4" w:space="0"/>
              <w:bottom w:val="single" w:color="auto" w:sz="4" w:space="0"/>
              <w:right w:val="single" w:color="auto" w:sz="4" w:space="0"/>
            </w:tcBorders>
            <w:noWrap w:val="0"/>
            <w:vAlign w:val="center"/>
          </w:tcPr>
          <w:p w14:paraId="05E9004E">
            <w:pPr>
              <w:widowControl/>
              <w:jc w:val="left"/>
              <w:rPr>
                <w:rFonts w:ascii="宋体" w:hAnsi="宋体" w:cs="宋体"/>
                <w:color w:val="000000"/>
                <w:kern w:val="0"/>
                <w:sz w:val="20"/>
                <w:szCs w:val="20"/>
              </w:rPr>
            </w:pPr>
          </w:p>
        </w:tc>
        <w:tc>
          <w:tcPr>
            <w:tcW w:w="268" w:type="pct"/>
            <w:vMerge w:val="continue"/>
            <w:tcBorders>
              <w:top w:val="single" w:color="auto" w:sz="4" w:space="0"/>
              <w:left w:val="single" w:color="auto" w:sz="4" w:space="0"/>
              <w:bottom w:val="single" w:color="auto" w:sz="4" w:space="0"/>
              <w:right w:val="single" w:color="auto" w:sz="4" w:space="0"/>
            </w:tcBorders>
            <w:noWrap w:val="0"/>
            <w:vAlign w:val="center"/>
          </w:tcPr>
          <w:p w14:paraId="3FF4A43C">
            <w:pPr>
              <w:widowControl/>
              <w:jc w:val="left"/>
              <w:rPr>
                <w:rFonts w:ascii="宋体" w:hAnsi="宋体" w:cs="宋体"/>
                <w:color w:val="000000"/>
                <w:kern w:val="0"/>
                <w:sz w:val="20"/>
                <w:szCs w:val="20"/>
              </w:rPr>
            </w:pPr>
          </w:p>
        </w:tc>
        <w:tc>
          <w:tcPr>
            <w:tcW w:w="530" w:type="pct"/>
            <w:vMerge w:val="continue"/>
            <w:tcBorders>
              <w:top w:val="single" w:color="auto" w:sz="4" w:space="0"/>
              <w:left w:val="nil"/>
              <w:bottom w:val="single" w:color="auto" w:sz="4" w:space="0"/>
              <w:right w:val="single" w:color="auto" w:sz="4" w:space="0"/>
            </w:tcBorders>
            <w:noWrap w:val="0"/>
            <w:vAlign w:val="center"/>
          </w:tcPr>
          <w:p w14:paraId="77E7F19E">
            <w:pPr>
              <w:widowControl/>
              <w:jc w:val="left"/>
              <w:rPr>
                <w:rFonts w:ascii="宋体" w:hAnsi="宋体" w:cs="宋体"/>
                <w:color w:val="000000"/>
                <w:kern w:val="0"/>
                <w:sz w:val="20"/>
                <w:szCs w:val="20"/>
              </w:rPr>
            </w:pPr>
          </w:p>
        </w:tc>
      </w:tr>
      <w:tr w14:paraId="62F2C1A5">
        <w:tblPrEx>
          <w:tblCellMar>
            <w:top w:w="0" w:type="dxa"/>
            <w:left w:w="108" w:type="dxa"/>
            <w:bottom w:w="0" w:type="dxa"/>
            <w:right w:w="108" w:type="dxa"/>
          </w:tblCellMar>
        </w:tblPrEx>
        <w:trPr>
          <w:wAfter w:w="0" w:type="auto"/>
          <w:trHeight w:val="569" w:hRule="atLeast"/>
        </w:trPr>
        <w:tc>
          <w:tcPr>
            <w:tcW w:w="5000" w:type="pct"/>
            <w:gridSpan w:val="7"/>
            <w:tcBorders>
              <w:top w:val="nil"/>
              <w:left w:val="single" w:color="auto" w:sz="4" w:space="0"/>
              <w:bottom w:val="single" w:color="auto" w:sz="4" w:space="0"/>
              <w:right w:val="single" w:color="auto" w:sz="4" w:space="0"/>
            </w:tcBorders>
            <w:noWrap w:val="0"/>
            <w:vAlign w:val="center"/>
          </w:tcPr>
          <w:p w14:paraId="74CEA19A">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3DFE0299">
        <w:tblPrEx>
          <w:tblCellMar>
            <w:top w:w="0" w:type="dxa"/>
            <w:left w:w="108" w:type="dxa"/>
            <w:bottom w:w="0" w:type="dxa"/>
            <w:right w:w="108" w:type="dxa"/>
          </w:tblCellMar>
        </w:tblPrEx>
        <w:trPr>
          <w:wAfter w:w="0" w:type="auto"/>
          <w:trHeight w:val="499" w:hRule="atLeast"/>
        </w:trPr>
        <w:tc>
          <w:tcPr>
            <w:tcW w:w="1118" w:type="pct"/>
            <w:tcBorders>
              <w:top w:val="single" w:color="auto" w:sz="4" w:space="0"/>
              <w:left w:val="single" w:color="auto" w:sz="4" w:space="0"/>
              <w:bottom w:val="single" w:color="auto" w:sz="4" w:space="0"/>
              <w:right w:val="single" w:color="auto" w:sz="4" w:space="0"/>
            </w:tcBorders>
            <w:noWrap w:val="0"/>
            <w:vAlign w:val="center"/>
          </w:tcPr>
          <w:p w14:paraId="679E440E">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30" w:type="pct"/>
            <w:tcBorders>
              <w:top w:val="single" w:color="auto" w:sz="4" w:space="0"/>
              <w:left w:val="nil"/>
              <w:bottom w:val="single" w:color="auto" w:sz="4" w:space="0"/>
              <w:right w:val="single" w:color="auto" w:sz="4" w:space="0"/>
            </w:tcBorders>
            <w:noWrap w:val="0"/>
            <w:vAlign w:val="center"/>
          </w:tcPr>
          <w:p w14:paraId="747C4048">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04" w:type="pct"/>
            <w:tcBorders>
              <w:top w:val="single" w:color="auto" w:sz="4" w:space="0"/>
              <w:left w:val="nil"/>
              <w:bottom w:val="single" w:color="auto" w:sz="4" w:space="0"/>
              <w:right w:val="single" w:color="auto" w:sz="4" w:space="0"/>
            </w:tcBorders>
            <w:noWrap w:val="0"/>
            <w:vAlign w:val="center"/>
          </w:tcPr>
          <w:p w14:paraId="5273F5EC">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579" w:type="pct"/>
            <w:tcBorders>
              <w:top w:val="single" w:color="auto" w:sz="4" w:space="0"/>
              <w:left w:val="nil"/>
              <w:bottom w:val="single" w:color="auto" w:sz="4" w:space="0"/>
              <w:right w:val="single" w:color="auto" w:sz="4" w:space="0"/>
            </w:tcBorders>
            <w:noWrap w:val="0"/>
            <w:vAlign w:val="center"/>
          </w:tcPr>
          <w:p w14:paraId="4D14281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668" w:type="pct"/>
            <w:tcBorders>
              <w:top w:val="single" w:color="auto" w:sz="4" w:space="0"/>
              <w:left w:val="nil"/>
              <w:bottom w:val="single" w:color="auto" w:sz="4" w:space="0"/>
              <w:right w:val="single" w:color="auto" w:sz="4" w:space="0"/>
            </w:tcBorders>
            <w:noWrap w:val="0"/>
            <w:vAlign w:val="center"/>
          </w:tcPr>
          <w:p w14:paraId="14D9411E">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68" w:type="pct"/>
            <w:tcBorders>
              <w:top w:val="single" w:color="auto" w:sz="4" w:space="0"/>
              <w:left w:val="nil"/>
              <w:bottom w:val="single" w:color="auto" w:sz="4" w:space="0"/>
              <w:right w:val="single" w:color="auto" w:sz="4" w:space="0"/>
            </w:tcBorders>
            <w:noWrap w:val="0"/>
            <w:vAlign w:val="center"/>
          </w:tcPr>
          <w:p w14:paraId="3FC8138A">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530" w:type="pct"/>
            <w:tcBorders>
              <w:top w:val="single" w:color="auto" w:sz="4" w:space="0"/>
              <w:left w:val="nil"/>
              <w:bottom w:val="single" w:color="auto" w:sz="4" w:space="0"/>
              <w:right w:val="single" w:color="auto" w:sz="4" w:space="0"/>
            </w:tcBorders>
            <w:noWrap w:val="0"/>
            <w:vAlign w:val="center"/>
          </w:tcPr>
          <w:p w14:paraId="312CE114">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0875A02">
        <w:tblPrEx>
          <w:tblCellMar>
            <w:top w:w="0" w:type="dxa"/>
            <w:left w:w="108" w:type="dxa"/>
            <w:bottom w:w="0" w:type="dxa"/>
            <w:right w:w="108" w:type="dxa"/>
          </w:tblCellMar>
        </w:tblPrEx>
        <w:trPr>
          <w:wAfter w:w="0" w:type="auto"/>
          <w:trHeight w:val="1196" w:hRule="atLeast"/>
        </w:trPr>
        <w:tc>
          <w:tcPr>
            <w:tcW w:w="1118" w:type="pct"/>
            <w:vMerge w:val="restart"/>
            <w:tcBorders>
              <w:top w:val="single" w:color="auto" w:sz="4" w:space="0"/>
              <w:left w:val="single" w:color="auto" w:sz="4" w:space="0"/>
              <w:bottom w:val="single" w:color="auto" w:sz="4" w:space="0"/>
              <w:right w:val="single" w:color="auto" w:sz="4" w:space="0"/>
            </w:tcBorders>
            <w:noWrap w:val="0"/>
            <w:vAlign w:val="center"/>
          </w:tcPr>
          <w:p w14:paraId="0408A855">
            <w:pPr>
              <w:widowControl/>
              <w:jc w:val="center"/>
              <w:rPr>
                <w:rFonts w:ascii="宋体" w:hAnsi="宋体" w:cs="宋体"/>
                <w:color w:val="000000"/>
                <w:kern w:val="0"/>
                <w:sz w:val="20"/>
                <w:szCs w:val="20"/>
              </w:rPr>
            </w:pPr>
            <w:bookmarkStart w:id="0" w:name="_GoBack" w:colFirst="3" w:colLast="6"/>
            <w:r>
              <w:rPr>
                <w:rFonts w:hint="eastAsia" w:ascii="宋体" w:hAnsi="宋体" w:cs="宋体"/>
                <w:color w:val="000000"/>
                <w:kern w:val="0"/>
                <w:sz w:val="20"/>
                <w:szCs w:val="20"/>
              </w:rPr>
              <w:t>整体绩效目标实现情况（60）</w:t>
            </w:r>
          </w:p>
        </w:tc>
        <w:tc>
          <w:tcPr>
            <w:tcW w:w="1030" w:type="pct"/>
            <w:vMerge w:val="restart"/>
            <w:tcBorders>
              <w:top w:val="single" w:color="auto" w:sz="4" w:space="0"/>
              <w:left w:val="nil"/>
              <w:right w:val="single" w:color="auto" w:sz="4" w:space="0"/>
            </w:tcBorders>
            <w:noWrap w:val="0"/>
            <w:vAlign w:val="center"/>
          </w:tcPr>
          <w:p w14:paraId="642639EF">
            <w:pPr>
              <w:widowControl/>
              <w:jc w:val="center"/>
              <w:rPr>
                <w:rFonts w:ascii="宋体" w:hAnsi="宋体" w:cs="宋体"/>
                <w:color w:val="000000"/>
                <w:kern w:val="0"/>
                <w:sz w:val="20"/>
                <w:szCs w:val="20"/>
              </w:rPr>
            </w:pPr>
          </w:p>
          <w:p w14:paraId="7A1F659F">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804" w:type="pct"/>
            <w:tcBorders>
              <w:top w:val="single" w:color="auto" w:sz="4" w:space="0"/>
              <w:left w:val="nil"/>
              <w:bottom w:val="single" w:color="auto" w:sz="4" w:space="0"/>
              <w:right w:val="single" w:color="auto" w:sz="4" w:space="0"/>
            </w:tcBorders>
            <w:noWrap w:val="0"/>
            <w:vAlign w:val="center"/>
          </w:tcPr>
          <w:p w14:paraId="2A98529A">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房屋面积</w:t>
            </w:r>
          </w:p>
        </w:tc>
        <w:tc>
          <w:tcPr>
            <w:tcW w:w="579" w:type="pct"/>
            <w:tcBorders>
              <w:top w:val="single" w:color="auto" w:sz="4" w:space="0"/>
              <w:left w:val="nil"/>
              <w:bottom w:val="single" w:color="auto" w:sz="4" w:space="0"/>
              <w:right w:val="single" w:color="auto" w:sz="4" w:space="0"/>
            </w:tcBorders>
            <w:noWrap w:val="0"/>
            <w:vAlign w:val="top"/>
          </w:tcPr>
          <w:p w14:paraId="09E3D54E">
            <w:pPr>
              <w:jc w:val="center"/>
              <w:rPr>
                <w:rFonts w:ascii="仿宋_GB2312" w:hAnsi="宋体" w:eastAsia="仿宋_GB2312" w:cs="宋体"/>
                <w:kern w:val="0"/>
                <w:szCs w:val="21"/>
              </w:rPr>
            </w:pPr>
            <w:r>
              <w:rPr>
                <w:rFonts w:hint="eastAsia" w:ascii="仿宋_GB2312" w:hAnsi="宋体" w:eastAsia="仿宋_GB2312" w:cs="宋体"/>
                <w:kern w:val="0"/>
                <w:szCs w:val="21"/>
              </w:rPr>
              <w:t>不超标　</w:t>
            </w:r>
          </w:p>
        </w:tc>
        <w:tc>
          <w:tcPr>
            <w:tcW w:w="668" w:type="pct"/>
            <w:tcBorders>
              <w:top w:val="single" w:color="auto" w:sz="4" w:space="0"/>
              <w:left w:val="nil"/>
              <w:bottom w:val="single" w:color="auto" w:sz="4" w:space="0"/>
              <w:right w:val="single" w:color="auto" w:sz="4" w:space="0"/>
            </w:tcBorders>
            <w:noWrap w:val="0"/>
            <w:vAlign w:val="top"/>
          </w:tcPr>
          <w:p w14:paraId="4BCD90C6">
            <w:pPr>
              <w:jc w:val="center"/>
              <w:rPr>
                <w:rFonts w:ascii="仿宋_GB2312" w:hAnsi="宋体" w:eastAsia="仿宋_GB2312" w:cs="宋体"/>
                <w:kern w:val="0"/>
                <w:szCs w:val="21"/>
              </w:rPr>
            </w:pPr>
            <w:r>
              <w:rPr>
                <w:rFonts w:hint="eastAsia" w:ascii="仿宋_GB2312" w:hAnsi="宋体" w:eastAsia="仿宋_GB2312" w:cs="宋体"/>
                <w:kern w:val="0"/>
                <w:szCs w:val="21"/>
              </w:rPr>
              <w:t>不超标　</w:t>
            </w:r>
          </w:p>
        </w:tc>
        <w:tc>
          <w:tcPr>
            <w:tcW w:w="268" w:type="pct"/>
            <w:vMerge w:val="restart"/>
            <w:tcBorders>
              <w:top w:val="single" w:color="auto" w:sz="4" w:space="0"/>
              <w:left w:val="nil"/>
              <w:bottom w:val="single" w:color="auto" w:sz="4" w:space="0"/>
              <w:right w:val="single" w:color="auto" w:sz="4" w:space="0"/>
            </w:tcBorders>
            <w:noWrap w:val="0"/>
            <w:vAlign w:val="center"/>
          </w:tcPr>
          <w:p w14:paraId="784AB325">
            <w:pPr>
              <w:widowControl/>
              <w:jc w:val="center"/>
              <w:rPr>
                <w:rFonts w:ascii="宋体" w:hAnsi="宋体" w:cs="宋体"/>
                <w:color w:val="000000"/>
                <w:kern w:val="0"/>
                <w:sz w:val="20"/>
                <w:szCs w:val="20"/>
              </w:rPr>
            </w:pPr>
          </w:p>
          <w:p w14:paraId="7535F305">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530" w:type="pct"/>
            <w:tcBorders>
              <w:top w:val="single" w:color="auto" w:sz="4" w:space="0"/>
              <w:left w:val="nil"/>
              <w:bottom w:val="single" w:color="auto" w:sz="4" w:space="0"/>
              <w:right w:val="single" w:color="auto" w:sz="4" w:space="0"/>
            </w:tcBorders>
            <w:noWrap w:val="0"/>
            <w:vAlign w:val="center"/>
          </w:tcPr>
          <w:p w14:paraId="748FF030">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7.5</w:t>
            </w:r>
          </w:p>
          <w:p w14:paraId="67020247">
            <w:pPr>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4EA7322C">
        <w:tblPrEx>
          <w:tblCellMar>
            <w:top w:w="0" w:type="dxa"/>
            <w:left w:w="108" w:type="dxa"/>
            <w:bottom w:w="0" w:type="dxa"/>
            <w:right w:w="108" w:type="dxa"/>
          </w:tblCellMar>
        </w:tblPrEx>
        <w:trPr>
          <w:wAfter w:w="0" w:type="auto"/>
          <w:trHeight w:val="1130"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1884AF6B">
            <w:pPr>
              <w:widowControl/>
              <w:jc w:val="left"/>
              <w:rPr>
                <w:rFonts w:ascii="宋体" w:hAnsi="宋体" w:cs="宋体"/>
                <w:color w:val="000000"/>
                <w:kern w:val="0"/>
                <w:sz w:val="20"/>
                <w:szCs w:val="20"/>
              </w:rPr>
            </w:pPr>
          </w:p>
        </w:tc>
        <w:tc>
          <w:tcPr>
            <w:tcW w:w="1030" w:type="pct"/>
            <w:vMerge w:val="continue"/>
            <w:tcBorders>
              <w:left w:val="single" w:color="auto" w:sz="4" w:space="0"/>
              <w:bottom w:val="single" w:color="auto" w:sz="4" w:space="0"/>
              <w:right w:val="single" w:color="auto" w:sz="4" w:space="0"/>
            </w:tcBorders>
            <w:noWrap w:val="0"/>
            <w:vAlign w:val="center"/>
          </w:tcPr>
          <w:p w14:paraId="4E65606C">
            <w:pPr>
              <w:widowControl/>
              <w:jc w:val="left"/>
              <w:rPr>
                <w:rFonts w:ascii="宋体" w:hAnsi="宋体" w:cs="宋体"/>
                <w:color w:val="000000"/>
                <w:kern w:val="0"/>
                <w:sz w:val="20"/>
                <w:szCs w:val="20"/>
              </w:rPr>
            </w:pPr>
          </w:p>
        </w:tc>
        <w:tc>
          <w:tcPr>
            <w:tcW w:w="804" w:type="pct"/>
            <w:tcBorders>
              <w:top w:val="single" w:color="auto" w:sz="4" w:space="0"/>
              <w:left w:val="nil"/>
              <w:bottom w:val="single" w:color="auto" w:sz="4" w:space="0"/>
              <w:right w:val="single" w:color="auto" w:sz="4" w:space="0"/>
            </w:tcBorders>
            <w:noWrap w:val="0"/>
            <w:vAlign w:val="center"/>
          </w:tcPr>
          <w:p w14:paraId="6AC45204">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保证整洁</w:t>
            </w:r>
          </w:p>
        </w:tc>
        <w:tc>
          <w:tcPr>
            <w:tcW w:w="579" w:type="pct"/>
            <w:tcBorders>
              <w:top w:val="single" w:color="auto" w:sz="4" w:space="0"/>
              <w:left w:val="nil"/>
              <w:bottom w:val="single" w:color="auto" w:sz="4" w:space="0"/>
              <w:right w:val="single" w:color="auto" w:sz="4" w:space="0"/>
            </w:tcBorders>
            <w:noWrap w:val="0"/>
            <w:vAlign w:val="top"/>
          </w:tcPr>
          <w:p w14:paraId="7C50A3D0">
            <w:pPr>
              <w:jc w:val="center"/>
              <w:rPr>
                <w:rFonts w:ascii="仿宋_GB2312" w:hAnsi="宋体" w:eastAsia="仿宋_GB2312" w:cs="宋体"/>
                <w:kern w:val="0"/>
                <w:szCs w:val="21"/>
              </w:rPr>
            </w:pPr>
            <w:r>
              <w:rPr>
                <w:rFonts w:hint="eastAsia" w:ascii="仿宋_GB2312" w:hAnsi="宋体" w:eastAsia="仿宋_GB2312" w:cs="宋体"/>
                <w:kern w:val="0"/>
                <w:szCs w:val="21"/>
              </w:rPr>
              <w:t>降低费用</w:t>
            </w:r>
          </w:p>
        </w:tc>
        <w:tc>
          <w:tcPr>
            <w:tcW w:w="668" w:type="pct"/>
            <w:tcBorders>
              <w:top w:val="single" w:color="auto" w:sz="4" w:space="0"/>
              <w:left w:val="nil"/>
              <w:bottom w:val="single" w:color="auto" w:sz="4" w:space="0"/>
              <w:right w:val="single" w:color="auto" w:sz="4" w:space="0"/>
            </w:tcBorders>
            <w:noWrap w:val="0"/>
            <w:vAlign w:val="top"/>
          </w:tcPr>
          <w:p w14:paraId="1E9CB7EF">
            <w:pPr>
              <w:jc w:val="center"/>
              <w:rPr>
                <w:rFonts w:ascii="仿宋_GB2312" w:hAnsi="宋体" w:eastAsia="仿宋_GB2312" w:cs="宋体"/>
                <w:kern w:val="0"/>
                <w:szCs w:val="21"/>
              </w:rPr>
            </w:pPr>
            <w:r>
              <w:rPr>
                <w:rFonts w:hint="eastAsia" w:ascii="仿宋_GB2312" w:hAnsi="宋体" w:eastAsia="仿宋_GB2312" w:cs="宋体"/>
                <w:kern w:val="0"/>
                <w:szCs w:val="21"/>
              </w:rPr>
              <w:t>降低费用</w:t>
            </w:r>
          </w:p>
        </w:tc>
        <w:tc>
          <w:tcPr>
            <w:tcW w:w="268" w:type="pct"/>
            <w:vMerge w:val="continue"/>
            <w:tcBorders>
              <w:top w:val="single" w:color="auto" w:sz="4" w:space="0"/>
              <w:left w:val="single" w:color="auto" w:sz="4" w:space="0"/>
              <w:bottom w:val="single" w:color="auto" w:sz="4" w:space="0"/>
              <w:right w:val="single" w:color="auto" w:sz="4" w:space="0"/>
            </w:tcBorders>
            <w:noWrap w:val="0"/>
            <w:vAlign w:val="center"/>
          </w:tcPr>
          <w:p w14:paraId="2EE81F26">
            <w:pPr>
              <w:widowControl/>
              <w:jc w:val="left"/>
              <w:rPr>
                <w:rFonts w:ascii="宋体" w:hAnsi="宋体" w:cs="宋体"/>
                <w:color w:val="000000"/>
                <w:kern w:val="0"/>
                <w:sz w:val="20"/>
                <w:szCs w:val="20"/>
              </w:rPr>
            </w:pPr>
          </w:p>
        </w:tc>
        <w:tc>
          <w:tcPr>
            <w:tcW w:w="530" w:type="pct"/>
            <w:tcBorders>
              <w:top w:val="single" w:color="auto" w:sz="4" w:space="0"/>
              <w:left w:val="nil"/>
              <w:bottom w:val="single" w:color="auto" w:sz="4" w:space="0"/>
              <w:right w:val="single" w:color="auto" w:sz="4" w:space="0"/>
            </w:tcBorders>
            <w:noWrap/>
            <w:vAlign w:val="center"/>
          </w:tcPr>
          <w:p w14:paraId="5A5C438B">
            <w:pPr>
              <w:widowControl/>
              <w:jc w:val="center"/>
              <w:rPr>
                <w:rFonts w:ascii="宋体" w:hAnsi="宋体" w:cs="宋体"/>
                <w:color w:val="000000"/>
                <w:kern w:val="0"/>
                <w:sz w:val="20"/>
                <w:szCs w:val="20"/>
              </w:rPr>
            </w:pPr>
            <w:r>
              <w:rPr>
                <w:rFonts w:hint="eastAsia" w:ascii="宋体" w:hAnsi="宋体" w:cs="宋体"/>
                <w:color w:val="000000"/>
                <w:kern w:val="0"/>
                <w:sz w:val="20"/>
                <w:szCs w:val="20"/>
              </w:rPr>
              <w:t>　7.5</w:t>
            </w:r>
          </w:p>
        </w:tc>
      </w:tr>
      <w:bookmarkEnd w:id="0"/>
      <w:tr w14:paraId="142CCD7D">
        <w:tblPrEx>
          <w:tblCellMar>
            <w:top w:w="0" w:type="dxa"/>
            <w:left w:w="108" w:type="dxa"/>
            <w:bottom w:w="0" w:type="dxa"/>
            <w:right w:w="108" w:type="dxa"/>
          </w:tblCellMar>
        </w:tblPrEx>
        <w:trPr>
          <w:wAfter w:w="0" w:type="auto"/>
          <w:trHeight w:val="1258"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706AB335">
            <w:pPr>
              <w:widowControl/>
              <w:jc w:val="left"/>
              <w:rPr>
                <w:rFonts w:ascii="宋体" w:hAnsi="宋体" w:cs="宋体"/>
                <w:color w:val="000000"/>
                <w:kern w:val="0"/>
                <w:sz w:val="20"/>
                <w:szCs w:val="20"/>
              </w:rPr>
            </w:pPr>
          </w:p>
        </w:tc>
        <w:tc>
          <w:tcPr>
            <w:tcW w:w="1030" w:type="pct"/>
            <w:vMerge w:val="continue"/>
            <w:tcBorders>
              <w:top w:val="single" w:color="auto" w:sz="4" w:space="0"/>
              <w:left w:val="single" w:color="auto" w:sz="4" w:space="0"/>
              <w:right w:val="single" w:color="auto" w:sz="4" w:space="0"/>
            </w:tcBorders>
            <w:noWrap w:val="0"/>
            <w:vAlign w:val="center"/>
          </w:tcPr>
          <w:p w14:paraId="5C09766D">
            <w:pPr>
              <w:widowControl/>
              <w:jc w:val="left"/>
              <w:rPr>
                <w:rFonts w:ascii="宋体" w:hAnsi="宋体" w:cs="宋体"/>
                <w:color w:val="000000"/>
                <w:kern w:val="0"/>
                <w:sz w:val="20"/>
                <w:szCs w:val="20"/>
              </w:rPr>
            </w:pPr>
          </w:p>
        </w:tc>
        <w:tc>
          <w:tcPr>
            <w:tcW w:w="804" w:type="pct"/>
            <w:tcBorders>
              <w:top w:val="single" w:color="auto" w:sz="4" w:space="0"/>
              <w:left w:val="nil"/>
              <w:bottom w:val="single" w:color="auto" w:sz="4" w:space="0"/>
              <w:right w:val="single" w:color="auto" w:sz="4" w:space="0"/>
            </w:tcBorders>
            <w:noWrap w:val="0"/>
            <w:vAlign w:val="center"/>
          </w:tcPr>
          <w:p w14:paraId="3A1BE2BC">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支付房租时间</w:t>
            </w:r>
          </w:p>
        </w:tc>
        <w:tc>
          <w:tcPr>
            <w:tcW w:w="579" w:type="pct"/>
            <w:tcBorders>
              <w:top w:val="single" w:color="auto" w:sz="4" w:space="0"/>
              <w:left w:val="nil"/>
              <w:bottom w:val="single" w:color="auto" w:sz="4" w:space="0"/>
              <w:right w:val="single" w:color="auto" w:sz="4" w:space="0"/>
            </w:tcBorders>
            <w:noWrap w:val="0"/>
            <w:vAlign w:val="top"/>
          </w:tcPr>
          <w:p w14:paraId="3F540E2F">
            <w:pPr>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202</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月</w:t>
            </w:r>
            <w:r>
              <w:rPr>
                <w:rFonts w:hint="eastAsia" w:ascii="仿宋_GB2312" w:hAnsi="宋体" w:eastAsia="仿宋_GB2312" w:cs="宋体"/>
                <w:kern w:val="0"/>
                <w:szCs w:val="21"/>
                <w:lang w:val="en-US" w:eastAsia="zh-CN"/>
              </w:rPr>
              <w:t>31日前</w:t>
            </w:r>
          </w:p>
        </w:tc>
        <w:tc>
          <w:tcPr>
            <w:tcW w:w="668" w:type="pct"/>
            <w:tcBorders>
              <w:top w:val="single" w:color="auto" w:sz="4" w:space="0"/>
              <w:left w:val="nil"/>
              <w:bottom w:val="single" w:color="auto" w:sz="4" w:space="0"/>
              <w:right w:val="single" w:color="auto" w:sz="4" w:space="0"/>
            </w:tcBorders>
            <w:noWrap w:val="0"/>
            <w:vAlign w:val="top"/>
          </w:tcPr>
          <w:p w14:paraId="3C01A5A1">
            <w:pPr>
              <w:jc w:val="center"/>
              <w:rPr>
                <w:rFonts w:ascii="仿宋_GB2312" w:hAnsi="宋体" w:eastAsia="仿宋_GB2312" w:cs="宋体"/>
                <w:kern w:val="0"/>
                <w:szCs w:val="21"/>
              </w:rPr>
            </w:pPr>
            <w:r>
              <w:rPr>
                <w:rFonts w:hint="eastAsia" w:ascii="仿宋_GB2312" w:hAnsi="宋体" w:eastAsia="仿宋_GB2312" w:cs="宋体"/>
                <w:kern w:val="0"/>
                <w:szCs w:val="21"/>
              </w:rPr>
              <w:t>202</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月</w:t>
            </w:r>
          </w:p>
        </w:tc>
        <w:tc>
          <w:tcPr>
            <w:tcW w:w="268" w:type="pct"/>
            <w:vMerge w:val="continue"/>
            <w:tcBorders>
              <w:top w:val="single" w:color="auto" w:sz="4" w:space="0"/>
              <w:left w:val="single" w:color="auto" w:sz="4" w:space="0"/>
              <w:right w:val="single" w:color="auto" w:sz="4" w:space="0"/>
            </w:tcBorders>
            <w:noWrap w:val="0"/>
            <w:vAlign w:val="center"/>
          </w:tcPr>
          <w:p w14:paraId="2CC33C75">
            <w:pPr>
              <w:widowControl/>
              <w:jc w:val="left"/>
              <w:rPr>
                <w:rFonts w:ascii="宋体" w:hAnsi="宋体" w:cs="宋体"/>
                <w:color w:val="000000"/>
                <w:kern w:val="0"/>
                <w:sz w:val="20"/>
                <w:szCs w:val="20"/>
              </w:rPr>
            </w:pPr>
          </w:p>
        </w:tc>
        <w:tc>
          <w:tcPr>
            <w:tcW w:w="530" w:type="pct"/>
            <w:tcBorders>
              <w:top w:val="single" w:color="auto" w:sz="4" w:space="0"/>
              <w:left w:val="nil"/>
              <w:bottom w:val="single" w:color="auto" w:sz="4" w:space="0"/>
              <w:right w:val="single" w:color="auto" w:sz="4" w:space="0"/>
            </w:tcBorders>
            <w:noWrap/>
            <w:vAlign w:val="center"/>
          </w:tcPr>
          <w:p w14:paraId="12B25DCC">
            <w:pPr>
              <w:widowControl/>
              <w:jc w:val="center"/>
              <w:rPr>
                <w:rFonts w:ascii="宋体" w:hAnsi="宋体" w:cs="宋体"/>
                <w:color w:val="000000"/>
                <w:kern w:val="0"/>
                <w:sz w:val="20"/>
                <w:szCs w:val="20"/>
              </w:rPr>
            </w:pPr>
            <w:r>
              <w:rPr>
                <w:rFonts w:hint="eastAsia" w:ascii="宋体" w:hAnsi="宋体" w:cs="宋体"/>
                <w:color w:val="000000"/>
                <w:kern w:val="0"/>
                <w:sz w:val="20"/>
                <w:szCs w:val="20"/>
              </w:rPr>
              <w:t>　7.5</w:t>
            </w:r>
          </w:p>
        </w:tc>
      </w:tr>
      <w:tr w14:paraId="36EC0BE4">
        <w:tblPrEx>
          <w:tblCellMar>
            <w:top w:w="0" w:type="dxa"/>
            <w:left w:w="108" w:type="dxa"/>
            <w:bottom w:w="0" w:type="dxa"/>
            <w:right w:w="108" w:type="dxa"/>
          </w:tblCellMar>
        </w:tblPrEx>
        <w:trPr>
          <w:wAfter w:w="0" w:type="auto"/>
          <w:trHeight w:val="975"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565755E0">
            <w:pPr>
              <w:widowControl/>
              <w:jc w:val="left"/>
              <w:rPr>
                <w:rFonts w:ascii="宋体" w:hAnsi="宋体" w:cs="宋体"/>
                <w:color w:val="000000"/>
                <w:kern w:val="0"/>
                <w:sz w:val="20"/>
                <w:szCs w:val="20"/>
              </w:rPr>
            </w:pPr>
          </w:p>
        </w:tc>
        <w:tc>
          <w:tcPr>
            <w:tcW w:w="1030" w:type="pct"/>
            <w:vMerge w:val="continue"/>
            <w:tcBorders>
              <w:left w:val="single" w:color="auto" w:sz="4" w:space="0"/>
              <w:bottom w:val="single" w:color="auto" w:sz="4" w:space="0"/>
              <w:right w:val="single" w:color="auto" w:sz="4" w:space="0"/>
            </w:tcBorders>
            <w:noWrap w:val="0"/>
            <w:vAlign w:val="center"/>
          </w:tcPr>
          <w:p w14:paraId="62C3C2BE">
            <w:pPr>
              <w:widowControl/>
              <w:jc w:val="left"/>
              <w:rPr>
                <w:rFonts w:ascii="宋体" w:hAnsi="宋体" w:cs="宋体"/>
                <w:color w:val="000000"/>
                <w:kern w:val="0"/>
                <w:sz w:val="20"/>
                <w:szCs w:val="20"/>
              </w:rPr>
            </w:pPr>
          </w:p>
        </w:tc>
        <w:tc>
          <w:tcPr>
            <w:tcW w:w="804" w:type="pct"/>
            <w:tcBorders>
              <w:top w:val="nil"/>
              <w:left w:val="nil"/>
              <w:bottom w:val="single" w:color="auto" w:sz="4" w:space="0"/>
              <w:right w:val="single" w:color="auto" w:sz="4" w:space="0"/>
            </w:tcBorders>
            <w:noWrap w:val="0"/>
            <w:vAlign w:val="center"/>
          </w:tcPr>
          <w:p w14:paraId="6FDF0F89">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房租金额</w:t>
            </w:r>
          </w:p>
        </w:tc>
        <w:tc>
          <w:tcPr>
            <w:tcW w:w="579" w:type="pct"/>
            <w:tcBorders>
              <w:top w:val="nil"/>
              <w:left w:val="nil"/>
              <w:bottom w:val="single" w:color="auto" w:sz="4" w:space="0"/>
              <w:right w:val="single" w:color="auto" w:sz="4" w:space="0"/>
            </w:tcBorders>
            <w:noWrap w:val="0"/>
            <w:vAlign w:val="top"/>
          </w:tcPr>
          <w:p w14:paraId="1F835D7C">
            <w:pPr>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58.23万元</w:t>
            </w:r>
          </w:p>
        </w:tc>
        <w:tc>
          <w:tcPr>
            <w:tcW w:w="668" w:type="pct"/>
            <w:tcBorders>
              <w:top w:val="nil"/>
              <w:left w:val="nil"/>
              <w:bottom w:val="single" w:color="auto" w:sz="4" w:space="0"/>
              <w:right w:val="single" w:color="auto" w:sz="4" w:space="0"/>
            </w:tcBorders>
            <w:noWrap w:val="0"/>
            <w:vAlign w:val="top"/>
          </w:tcPr>
          <w:p w14:paraId="6824716A">
            <w:pPr>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58.23万元</w:t>
            </w:r>
          </w:p>
        </w:tc>
        <w:tc>
          <w:tcPr>
            <w:tcW w:w="268" w:type="pct"/>
            <w:vMerge w:val="continue"/>
            <w:tcBorders>
              <w:left w:val="single" w:color="auto" w:sz="4" w:space="0"/>
              <w:bottom w:val="single" w:color="auto" w:sz="4" w:space="0"/>
              <w:right w:val="single" w:color="auto" w:sz="4" w:space="0"/>
            </w:tcBorders>
            <w:noWrap w:val="0"/>
            <w:vAlign w:val="center"/>
          </w:tcPr>
          <w:p w14:paraId="24F4A019">
            <w:pPr>
              <w:widowControl/>
              <w:jc w:val="left"/>
              <w:rPr>
                <w:rFonts w:ascii="宋体" w:hAnsi="宋体" w:cs="宋体"/>
                <w:color w:val="000000"/>
                <w:kern w:val="0"/>
                <w:sz w:val="20"/>
                <w:szCs w:val="20"/>
              </w:rPr>
            </w:pPr>
          </w:p>
        </w:tc>
        <w:tc>
          <w:tcPr>
            <w:tcW w:w="530" w:type="pct"/>
            <w:tcBorders>
              <w:top w:val="nil"/>
              <w:left w:val="nil"/>
              <w:bottom w:val="single" w:color="auto" w:sz="4" w:space="0"/>
              <w:right w:val="single" w:color="auto" w:sz="4" w:space="0"/>
            </w:tcBorders>
            <w:noWrap/>
            <w:vAlign w:val="center"/>
          </w:tcPr>
          <w:p w14:paraId="309AD036">
            <w:pPr>
              <w:widowControl/>
              <w:jc w:val="center"/>
              <w:rPr>
                <w:rFonts w:ascii="宋体" w:hAnsi="宋体" w:cs="宋体"/>
                <w:color w:val="000000"/>
                <w:kern w:val="0"/>
                <w:sz w:val="20"/>
                <w:szCs w:val="20"/>
              </w:rPr>
            </w:pPr>
            <w:r>
              <w:rPr>
                <w:rFonts w:hint="eastAsia" w:ascii="宋体" w:hAnsi="宋体" w:cs="宋体"/>
                <w:color w:val="000000"/>
                <w:kern w:val="0"/>
                <w:sz w:val="20"/>
                <w:szCs w:val="20"/>
              </w:rPr>
              <w:t>　7.5</w:t>
            </w:r>
          </w:p>
        </w:tc>
      </w:tr>
      <w:tr w14:paraId="1CD5D5D1">
        <w:tblPrEx>
          <w:tblCellMar>
            <w:top w:w="0" w:type="dxa"/>
            <w:left w:w="108" w:type="dxa"/>
            <w:bottom w:w="0" w:type="dxa"/>
            <w:right w:w="108" w:type="dxa"/>
          </w:tblCellMar>
        </w:tblPrEx>
        <w:trPr>
          <w:wAfter w:w="0" w:type="auto"/>
          <w:trHeight w:val="675"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159BCF12">
            <w:pPr>
              <w:widowControl/>
              <w:jc w:val="left"/>
              <w:rPr>
                <w:rFonts w:ascii="宋体" w:hAnsi="宋体" w:cs="宋体"/>
                <w:color w:val="000000"/>
                <w:kern w:val="0"/>
                <w:sz w:val="20"/>
                <w:szCs w:val="20"/>
              </w:rPr>
            </w:pPr>
          </w:p>
        </w:tc>
        <w:tc>
          <w:tcPr>
            <w:tcW w:w="1030" w:type="pct"/>
            <w:vMerge w:val="restart"/>
            <w:tcBorders>
              <w:top w:val="nil"/>
              <w:left w:val="single" w:color="auto" w:sz="4" w:space="0"/>
              <w:bottom w:val="single" w:color="auto" w:sz="4" w:space="0"/>
              <w:right w:val="single" w:color="auto" w:sz="4" w:space="0"/>
            </w:tcBorders>
            <w:noWrap w:val="0"/>
            <w:vAlign w:val="center"/>
          </w:tcPr>
          <w:p w14:paraId="301698E7">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804" w:type="pct"/>
            <w:tcBorders>
              <w:top w:val="nil"/>
              <w:left w:val="nil"/>
              <w:bottom w:val="single" w:color="auto" w:sz="4" w:space="0"/>
              <w:right w:val="single" w:color="auto" w:sz="4" w:space="0"/>
            </w:tcBorders>
            <w:noWrap w:val="0"/>
            <w:vAlign w:val="center"/>
          </w:tcPr>
          <w:p w14:paraId="3F667865">
            <w:pPr>
              <w:widowControl/>
              <w:jc w:val="center"/>
              <w:rPr>
                <w:rFonts w:ascii="宋体" w:hAnsi="宋体" w:cs="宋体"/>
                <w:color w:val="000000"/>
                <w:kern w:val="0"/>
                <w:sz w:val="20"/>
                <w:szCs w:val="20"/>
              </w:rPr>
            </w:pPr>
            <w:r>
              <w:rPr>
                <w:rFonts w:hint="eastAsia" w:ascii="宋体" w:hAnsi="宋体" w:cs="宋体"/>
                <w:color w:val="000000"/>
                <w:kern w:val="0"/>
                <w:sz w:val="20"/>
                <w:szCs w:val="20"/>
              </w:rPr>
              <w:t>租金</w:t>
            </w:r>
          </w:p>
        </w:tc>
        <w:tc>
          <w:tcPr>
            <w:tcW w:w="579" w:type="pct"/>
            <w:tcBorders>
              <w:top w:val="nil"/>
              <w:left w:val="nil"/>
              <w:bottom w:val="single" w:color="auto" w:sz="4" w:space="0"/>
              <w:right w:val="single" w:color="auto" w:sz="4" w:space="0"/>
            </w:tcBorders>
            <w:noWrap w:val="0"/>
            <w:vAlign w:val="top"/>
          </w:tcPr>
          <w:p w14:paraId="7EB1A1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按市场比价</w:t>
            </w:r>
          </w:p>
        </w:tc>
        <w:tc>
          <w:tcPr>
            <w:tcW w:w="668" w:type="pct"/>
            <w:tcBorders>
              <w:top w:val="nil"/>
              <w:left w:val="nil"/>
              <w:bottom w:val="single" w:color="auto" w:sz="4" w:space="0"/>
              <w:right w:val="single" w:color="auto" w:sz="4" w:space="0"/>
            </w:tcBorders>
            <w:noWrap w:val="0"/>
            <w:vAlign w:val="top"/>
          </w:tcPr>
          <w:p w14:paraId="26AAA8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按市场比价</w:t>
            </w:r>
          </w:p>
        </w:tc>
        <w:tc>
          <w:tcPr>
            <w:tcW w:w="268" w:type="pct"/>
            <w:vMerge w:val="restart"/>
            <w:tcBorders>
              <w:top w:val="nil"/>
              <w:left w:val="single" w:color="auto" w:sz="4" w:space="0"/>
              <w:bottom w:val="single" w:color="auto" w:sz="4" w:space="0"/>
              <w:right w:val="single" w:color="auto" w:sz="4" w:space="0"/>
            </w:tcBorders>
            <w:noWrap/>
            <w:vAlign w:val="center"/>
          </w:tcPr>
          <w:p w14:paraId="5EB9DCFC">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530" w:type="pct"/>
            <w:tcBorders>
              <w:top w:val="nil"/>
              <w:left w:val="nil"/>
              <w:bottom w:val="single" w:color="auto" w:sz="4" w:space="0"/>
              <w:right w:val="single" w:color="auto" w:sz="4" w:space="0"/>
            </w:tcBorders>
            <w:noWrap/>
            <w:vAlign w:val="center"/>
          </w:tcPr>
          <w:p w14:paraId="3B40C193">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15　</w:t>
            </w:r>
          </w:p>
        </w:tc>
      </w:tr>
      <w:tr w14:paraId="41309D20">
        <w:tblPrEx>
          <w:tblCellMar>
            <w:top w:w="0" w:type="dxa"/>
            <w:left w:w="108" w:type="dxa"/>
            <w:bottom w:w="0" w:type="dxa"/>
            <w:right w:w="108" w:type="dxa"/>
          </w:tblCellMar>
        </w:tblPrEx>
        <w:trPr>
          <w:wAfter w:w="0" w:type="auto"/>
          <w:trHeight w:val="630"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574F0BDE">
            <w:pPr>
              <w:widowControl/>
              <w:jc w:val="left"/>
              <w:rPr>
                <w:rFonts w:ascii="宋体" w:hAnsi="宋体" w:cs="宋体"/>
                <w:color w:val="000000"/>
                <w:kern w:val="0"/>
                <w:sz w:val="20"/>
                <w:szCs w:val="20"/>
              </w:rPr>
            </w:pPr>
          </w:p>
        </w:tc>
        <w:tc>
          <w:tcPr>
            <w:tcW w:w="1030" w:type="pct"/>
            <w:vMerge w:val="continue"/>
            <w:tcBorders>
              <w:top w:val="nil"/>
              <w:left w:val="single" w:color="auto" w:sz="4" w:space="0"/>
              <w:bottom w:val="single" w:color="auto" w:sz="4" w:space="0"/>
              <w:right w:val="single" w:color="auto" w:sz="4" w:space="0"/>
            </w:tcBorders>
            <w:noWrap w:val="0"/>
            <w:vAlign w:val="center"/>
          </w:tcPr>
          <w:p w14:paraId="53EE3F11">
            <w:pPr>
              <w:widowControl/>
              <w:jc w:val="left"/>
              <w:rPr>
                <w:rFonts w:ascii="宋体" w:hAnsi="宋体" w:cs="宋体"/>
                <w:color w:val="000000"/>
                <w:kern w:val="0"/>
                <w:sz w:val="20"/>
                <w:szCs w:val="20"/>
              </w:rPr>
            </w:pPr>
          </w:p>
        </w:tc>
        <w:tc>
          <w:tcPr>
            <w:tcW w:w="804" w:type="pct"/>
            <w:tcBorders>
              <w:top w:val="nil"/>
              <w:left w:val="nil"/>
              <w:bottom w:val="single" w:color="auto" w:sz="4" w:space="0"/>
              <w:right w:val="single" w:color="auto" w:sz="4" w:space="0"/>
            </w:tcBorders>
            <w:noWrap w:val="0"/>
            <w:vAlign w:val="center"/>
          </w:tcPr>
          <w:p w14:paraId="27171CA4">
            <w:pPr>
              <w:widowControl/>
              <w:jc w:val="center"/>
              <w:rPr>
                <w:rFonts w:ascii="宋体" w:hAnsi="宋体" w:cs="宋体"/>
                <w:color w:val="000000"/>
                <w:kern w:val="0"/>
                <w:sz w:val="20"/>
                <w:szCs w:val="20"/>
              </w:rPr>
            </w:pPr>
            <w:r>
              <w:rPr>
                <w:rFonts w:hint="eastAsia" w:ascii="宋体" w:hAnsi="宋体" w:cs="宋体"/>
                <w:color w:val="000000"/>
                <w:kern w:val="0"/>
                <w:sz w:val="20"/>
                <w:szCs w:val="20"/>
              </w:rPr>
              <w:t>保障社会和谐稳定发展</w:t>
            </w:r>
          </w:p>
        </w:tc>
        <w:tc>
          <w:tcPr>
            <w:tcW w:w="579" w:type="pct"/>
            <w:tcBorders>
              <w:top w:val="nil"/>
              <w:left w:val="nil"/>
              <w:bottom w:val="single" w:color="auto" w:sz="4" w:space="0"/>
              <w:right w:val="single" w:color="auto" w:sz="4" w:space="0"/>
            </w:tcBorders>
            <w:noWrap w:val="0"/>
            <w:vAlign w:val="center"/>
          </w:tcPr>
          <w:p w14:paraId="5DA6CD99">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满意度100</w:t>
            </w:r>
            <w:r>
              <w:rPr>
                <w:rFonts w:hint="eastAsia" w:ascii="宋体" w:hAnsi="宋体" w:cs="宋体"/>
                <w:color w:val="000000"/>
                <w:kern w:val="0"/>
                <w:sz w:val="20"/>
                <w:szCs w:val="20"/>
                <w:lang w:val="en-US" w:eastAsia="zh-CN"/>
              </w:rPr>
              <w:t>%</w:t>
            </w:r>
          </w:p>
        </w:tc>
        <w:tc>
          <w:tcPr>
            <w:tcW w:w="668" w:type="pct"/>
            <w:tcBorders>
              <w:top w:val="nil"/>
              <w:left w:val="nil"/>
              <w:bottom w:val="single" w:color="auto" w:sz="4" w:space="0"/>
              <w:right w:val="single" w:color="auto" w:sz="4" w:space="0"/>
            </w:tcBorders>
            <w:noWrap w:val="0"/>
            <w:vAlign w:val="center"/>
          </w:tcPr>
          <w:p w14:paraId="19959999">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满意度100</w:t>
            </w:r>
            <w:r>
              <w:rPr>
                <w:rFonts w:hint="eastAsia" w:ascii="宋体" w:hAnsi="宋体" w:cs="宋体"/>
                <w:color w:val="000000"/>
                <w:kern w:val="0"/>
                <w:sz w:val="20"/>
                <w:szCs w:val="20"/>
                <w:lang w:val="en-US" w:eastAsia="zh-CN"/>
              </w:rPr>
              <w:t>%</w:t>
            </w:r>
          </w:p>
        </w:tc>
        <w:tc>
          <w:tcPr>
            <w:tcW w:w="268" w:type="pct"/>
            <w:vMerge w:val="continue"/>
            <w:tcBorders>
              <w:top w:val="nil"/>
              <w:left w:val="single" w:color="auto" w:sz="4" w:space="0"/>
              <w:bottom w:val="single" w:color="auto" w:sz="4" w:space="0"/>
              <w:right w:val="single" w:color="auto" w:sz="4" w:space="0"/>
            </w:tcBorders>
            <w:noWrap w:val="0"/>
            <w:vAlign w:val="center"/>
          </w:tcPr>
          <w:p w14:paraId="2641FC2B">
            <w:pPr>
              <w:widowControl/>
              <w:jc w:val="left"/>
              <w:rPr>
                <w:rFonts w:ascii="宋体" w:hAnsi="宋体" w:cs="宋体"/>
                <w:color w:val="000000"/>
                <w:kern w:val="0"/>
                <w:sz w:val="20"/>
                <w:szCs w:val="20"/>
              </w:rPr>
            </w:pPr>
          </w:p>
        </w:tc>
        <w:tc>
          <w:tcPr>
            <w:tcW w:w="530" w:type="pct"/>
            <w:tcBorders>
              <w:top w:val="nil"/>
              <w:left w:val="nil"/>
              <w:bottom w:val="single" w:color="auto" w:sz="4" w:space="0"/>
              <w:right w:val="single" w:color="auto" w:sz="4" w:space="0"/>
            </w:tcBorders>
            <w:noWrap/>
            <w:vAlign w:val="center"/>
          </w:tcPr>
          <w:p w14:paraId="6ABD8736">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15　</w:t>
            </w:r>
          </w:p>
        </w:tc>
      </w:tr>
      <w:tr w14:paraId="2EB2B388">
        <w:tblPrEx>
          <w:tblCellMar>
            <w:top w:w="0" w:type="dxa"/>
            <w:left w:w="108" w:type="dxa"/>
            <w:bottom w:w="0" w:type="dxa"/>
            <w:right w:w="108" w:type="dxa"/>
          </w:tblCellMar>
        </w:tblPrEx>
        <w:trPr>
          <w:wAfter w:w="0" w:type="auto"/>
          <w:trHeight w:val="690"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68CDDD44">
            <w:pPr>
              <w:widowControl/>
              <w:jc w:val="left"/>
              <w:rPr>
                <w:rFonts w:ascii="宋体" w:hAnsi="宋体" w:cs="宋体"/>
                <w:color w:val="000000"/>
                <w:kern w:val="0"/>
                <w:sz w:val="20"/>
                <w:szCs w:val="20"/>
              </w:rPr>
            </w:pPr>
          </w:p>
        </w:tc>
        <w:tc>
          <w:tcPr>
            <w:tcW w:w="1030" w:type="pct"/>
            <w:vMerge w:val="continue"/>
            <w:tcBorders>
              <w:top w:val="nil"/>
              <w:left w:val="single" w:color="auto" w:sz="4" w:space="0"/>
              <w:bottom w:val="single" w:color="auto" w:sz="4" w:space="0"/>
              <w:right w:val="single" w:color="auto" w:sz="4" w:space="0"/>
            </w:tcBorders>
            <w:noWrap w:val="0"/>
            <w:vAlign w:val="center"/>
          </w:tcPr>
          <w:p w14:paraId="0D8EFD8B">
            <w:pPr>
              <w:widowControl/>
              <w:jc w:val="left"/>
              <w:rPr>
                <w:rFonts w:ascii="宋体" w:hAnsi="宋体" w:cs="宋体"/>
                <w:color w:val="000000"/>
                <w:kern w:val="0"/>
                <w:sz w:val="20"/>
                <w:szCs w:val="20"/>
              </w:rPr>
            </w:pPr>
          </w:p>
        </w:tc>
        <w:tc>
          <w:tcPr>
            <w:tcW w:w="804" w:type="pct"/>
            <w:tcBorders>
              <w:top w:val="nil"/>
              <w:left w:val="nil"/>
              <w:bottom w:val="single" w:color="auto" w:sz="4" w:space="0"/>
              <w:right w:val="single" w:color="auto" w:sz="4" w:space="0"/>
            </w:tcBorders>
            <w:noWrap w:val="0"/>
            <w:vAlign w:val="center"/>
          </w:tcPr>
          <w:p w14:paraId="1FA8F10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579" w:type="pct"/>
            <w:tcBorders>
              <w:top w:val="nil"/>
              <w:left w:val="nil"/>
              <w:bottom w:val="single" w:color="auto" w:sz="4" w:space="0"/>
              <w:right w:val="single" w:color="auto" w:sz="4" w:space="0"/>
            </w:tcBorders>
            <w:noWrap w:val="0"/>
            <w:vAlign w:val="center"/>
          </w:tcPr>
          <w:p w14:paraId="34DCD622">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668" w:type="pct"/>
            <w:tcBorders>
              <w:top w:val="nil"/>
              <w:left w:val="nil"/>
              <w:bottom w:val="single" w:color="auto" w:sz="4" w:space="0"/>
              <w:right w:val="single" w:color="auto" w:sz="4" w:space="0"/>
            </w:tcBorders>
            <w:noWrap w:val="0"/>
            <w:vAlign w:val="center"/>
          </w:tcPr>
          <w:p w14:paraId="25C18A2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68" w:type="pct"/>
            <w:vMerge w:val="continue"/>
            <w:tcBorders>
              <w:top w:val="nil"/>
              <w:left w:val="single" w:color="auto" w:sz="4" w:space="0"/>
              <w:bottom w:val="single" w:color="auto" w:sz="4" w:space="0"/>
              <w:right w:val="single" w:color="auto" w:sz="4" w:space="0"/>
            </w:tcBorders>
            <w:noWrap w:val="0"/>
            <w:vAlign w:val="center"/>
          </w:tcPr>
          <w:p w14:paraId="51248682">
            <w:pPr>
              <w:widowControl/>
              <w:jc w:val="left"/>
              <w:rPr>
                <w:rFonts w:ascii="宋体" w:hAnsi="宋体" w:cs="宋体"/>
                <w:color w:val="000000"/>
                <w:kern w:val="0"/>
                <w:sz w:val="20"/>
                <w:szCs w:val="20"/>
              </w:rPr>
            </w:pPr>
          </w:p>
        </w:tc>
        <w:tc>
          <w:tcPr>
            <w:tcW w:w="530" w:type="pct"/>
            <w:tcBorders>
              <w:top w:val="nil"/>
              <w:left w:val="nil"/>
              <w:bottom w:val="single" w:color="auto" w:sz="4" w:space="0"/>
              <w:right w:val="single" w:color="auto" w:sz="4" w:space="0"/>
            </w:tcBorders>
            <w:noWrap/>
            <w:vAlign w:val="center"/>
          </w:tcPr>
          <w:p w14:paraId="05DF217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r w14:paraId="27E518E0">
        <w:tblPrEx>
          <w:tblCellMar>
            <w:top w:w="0" w:type="dxa"/>
            <w:left w:w="108" w:type="dxa"/>
            <w:bottom w:w="0" w:type="dxa"/>
            <w:right w:w="108" w:type="dxa"/>
          </w:tblCellMar>
        </w:tblPrEx>
        <w:trPr>
          <w:wAfter w:w="0" w:type="auto"/>
          <w:trHeight w:val="699"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14:paraId="53CD46E7">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0C51E4BE">
        <w:tblPrEx>
          <w:tblCellMar>
            <w:top w:w="0" w:type="dxa"/>
            <w:left w:w="108" w:type="dxa"/>
            <w:bottom w:w="0" w:type="dxa"/>
            <w:right w:w="108" w:type="dxa"/>
          </w:tblCellMar>
        </w:tblPrEx>
        <w:trPr>
          <w:wAfter w:w="0" w:type="auto"/>
          <w:trHeight w:val="702" w:hRule="atLeast"/>
        </w:trPr>
        <w:tc>
          <w:tcPr>
            <w:tcW w:w="1118" w:type="pct"/>
            <w:tcBorders>
              <w:top w:val="single" w:color="auto" w:sz="4" w:space="0"/>
              <w:left w:val="single" w:color="auto" w:sz="4" w:space="0"/>
              <w:bottom w:val="single" w:color="auto" w:sz="4" w:space="0"/>
              <w:right w:val="single" w:color="auto" w:sz="4" w:space="0"/>
            </w:tcBorders>
            <w:noWrap w:val="0"/>
            <w:vAlign w:val="center"/>
          </w:tcPr>
          <w:p w14:paraId="49DD454B">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30" w:type="pct"/>
            <w:tcBorders>
              <w:top w:val="single" w:color="auto" w:sz="4" w:space="0"/>
              <w:left w:val="single" w:color="auto" w:sz="4" w:space="0"/>
              <w:bottom w:val="single" w:color="auto" w:sz="4" w:space="0"/>
              <w:right w:val="single" w:color="auto" w:sz="4" w:space="0"/>
            </w:tcBorders>
            <w:noWrap w:val="0"/>
            <w:vAlign w:val="center"/>
          </w:tcPr>
          <w:p w14:paraId="73123D3F">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804" w:type="pct"/>
            <w:tcBorders>
              <w:top w:val="single" w:color="auto" w:sz="4" w:space="0"/>
              <w:left w:val="nil"/>
              <w:bottom w:val="single" w:color="auto" w:sz="4" w:space="0"/>
              <w:right w:val="single" w:color="auto" w:sz="4" w:space="0"/>
            </w:tcBorders>
            <w:noWrap w:val="0"/>
            <w:vAlign w:val="center"/>
          </w:tcPr>
          <w:p w14:paraId="3C3D5767">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579" w:type="pct"/>
            <w:tcBorders>
              <w:top w:val="single" w:color="auto" w:sz="4" w:space="0"/>
              <w:left w:val="nil"/>
              <w:bottom w:val="single" w:color="auto" w:sz="4" w:space="0"/>
              <w:right w:val="single" w:color="auto" w:sz="4" w:space="0"/>
            </w:tcBorders>
            <w:noWrap w:val="0"/>
            <w:vAlign w:val="center"/>
          </w:tcPr>
          <w:p w14:paraId="092A617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668" w:type="pct"/>
            <w:tcBorders>
              <w:top w:val="single" w:color="auto" w:sz="4" w:space="0"/>
              <w:left w:val="nil"/>
              <w:bottom w:val="single" w:color="auto" w:sz="4" w:space="0"/>
              <w:right w:val="single" w:color="auto" w:sz="4" w:space="0"/>
            </w:tcBorders>
            <w:noWrap w:val="0"/>
            <w:vAlign w:val="center"/>
          </w:tcPr>
          <w:p w14:paraId="399014D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68" w:type="pct"/>
            <w:tcBorders>
              <w:top w:val="single" w:color="auto" w:sz="4" w:space="0"/>
              <w:left w:val="nil"/>
              <w:bottom w:val="single" w:color="auto" w:sz="4" w:space="0"/>
              <w:right w:val="single" w:color="auto" w:sz="4" w:space="0"/>
            </w:tcBorders>
            <w:noWrap/>
            <w:vAlign w:val="center"/>
          </w:tcPr>
          <w:p w14:paraId="113CFA38">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530" w:type="pct"/>
            <w:tcBorders>
              <w:top w:val="single" w:color="auto" w:sz="4" w:space="0"/>
              <w:left w:val="nil"/>
              <w:bottom w:val="single" w:color="auto" w:sz="4" w:space="0"/>
              <w:right w:val="single" w:color="auto" w:sz="4" w:space="0"/>
            </w:tcBorders>
            <w:noWrap/>
            <w:vAlign w:val="center"/>
          </w:tcPr>
          <w:p w14:paraId="7A1C87CD">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14:paraId="0232873F">
        <w:tblPrEx>
          <w:tblCellMar>
            <w:top w:w="0" w:type="dxa"/>
            <w:left w:w="108" w:type="dxa"/>
            <w:bottom w:w="0" w:type="dxa"/>
            <w:right w:w="108" w:type="dxa"/>
          </w:tblCellMar>
        </w:tblPrEx>
        <w:trPr>
          <w:wAfter w:w="0" w:type="auto"/>
          <w:trHeight w:val="90" w:hRule="atLeast"/>
        </w:trPr>
        <w:tc>
          <w:tcPr>
            <w:tcW w:w="1118" w:type="pct"/>
            <w:vMerge w:val="restart"/>
            <w:tcBorders>
              <w:top w:val="single" w:color="auto" w:sz="4" w:space="0"/>
              <w:left w:val="single" w:color="auto" w:sz="4" w:space="0"/>
              <w:bottom w:val="single" w:color="auto" w:sz="4" w:space="0"/>
              <w:right w:val="single" w:color="auto" w:sz="4" w:space="0"/>
            </w:tcBorders>
            <w:noWrap w:val="0"/>
            <w:vAlign w:val="center"/>
          </w:tcPr>
          <w:p w14:paraId="576605B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1030" w:type="pct"/>
            <w:vMerge w:val="restart"/>
            <w:tcBorders>
              <w:top w:val="single" w:color="auto" w:sz="4" w:space="0"/>
              <w:left w:val="single" w:color="auto" w:sz="4" w:space="0"/>
              <w:bottom w:val="single" w:color="auto" w:sz="4" w:space="0"/>
              <w:right w:val="single" w:color="auto" w:sz="4" w:space="0"/>
            </w:tcBorders>
            <w:noWrap w:val="0"/>
            <w:vAlign w:val="center"/>
          </w:tcPr>
          <w:p w14:paraId="45456011">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804" w:type="pct"/>
            <w:tcBorders>
              <w:top w:val="single" w:color="auto" w:sz="4" w:space="0"/>
              <w:left w:val="nil"/>
              <w:bottom w:val="single" w:color="auto" w:sz="4" w:space="0"/>
              <w:right w:val="single" w:color="auto" w:sz="4" w:space="0"/>
            </w:tcBorders>
            <w:noWrap w:val="0"/>
            <w:vAlign w:val="center"/>
          </w:tcPr>
          <w:p w14:paraId="234865F4">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579" w:type="pct"/>
            <w:tcBorders>
              <w:top w:val="single" w:color="auto" w:sz="4" w:space="0"/>
              <w:left w:val="nil"/>
              <w:bottom w:val="single" w:color="auto" w:sz="4" w:space="0"/>
              <w:right w:val="single" w:color="auto" w:sz="4" w:space="0"/>
            </w:tcBorders>
            <w:noWrap w:val="0"/>
            <w:vAlign w:val="center"/>
          </w:tcPr>
          <w:p w14:paraId="16097533">
            <w:pPr>
              <w:widowControl/>
              <w:jc w:val="both"/>
              <w:rPr>
                <w:rFonts w:ascii="宋体" w:hAnsi="宋体" w:cs="宋体"/>
                <w:color w:val="000000"/>
                <w:kern w:val="0"/>
                <w:sz w:val="20"/>
                <w:szCs w:val="20"/>
              </w:rPr>
            </w:pPr>
            <w:r>
              <w:rPr>
                <w:rFonts w:hint="eastAsia" w:ascii="宋体" w:hAnsi="宋体" w:cs="宋体"/>
                <w:color w:val="000000"/>
                <w:kern w:val="0"/>
                <w:sz w:val="20"/>
                <w:szCs w:val="20"/>
                <w:lang w:val="en-US" w:eastAsia="zh-CN"/>
              </w:rPr>
              <w:t>建立相关财务管理制度，且完整合规</w:t>
            </w:r>
            <w:r>
              <w:rPr>
                <w:rFonts w:hint="eastAsia" w:ascii="宋体" w:hAnsi="宋体" w:cs="宋体"/>
                <w:color w:val="000000"/>
                <w:kern w:val="0"/>
                <w:sz w:val="20"/>
                <w:szCs w:val="20"/>
              </w:rPr>
              <w:t>　</w:t>
            </w:r>
          </w:p>
        </w:tc>
        <w:tc>
          <w:tcPr>
            <w:tcW w:w="668" w:type="pct"/>
            <w:tcBorders>
              <w:top w:val="single" w:color="auto" w:sz="4" w:space="0"/>
              <w:left w:val="nil"/>
              <w:bottom w:val="single" w:color="auto" w:sz="4" w:space="0"/>
              <w:right w:val="single" w:color="auto" w:sz="4" w:space="0"/>
            </w:tcBorders>
            <w:noWrap w:val="0"/>
            <w:vAlign w:val="center"/>
          </w:tcPr>
          <w:p w14:paraId="35319FB4">
            <w:pPr>
              <w:widowControl/>
              <w:jc w:val="both"/>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相关财务管理制度完整规范</w:t>
            </w:r>
          </w:p>
        </w:tc>
        <w:tc>
          <w:tcPr>
            <w:tcW w:w="268" w:type="pct"/>
            <w:tcBorders>
              <w:top w:val="single" w:color="auto" w:sz="4" w:space="0"/>
              <w:left w:val="nil"/>
              <w:bottom w:val="single" w:color="auto" w:sz="4" w:space="0"/>
              <w:right w:val="single" w:color="auto" w:sz="4" w:space="0"/>
            </w:tcBorders>
            <w:noWrap/>
            <w:vAlign w:val="center"/>
          </w:tcPr>
          <w:p w14:paraId="76090136">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530" w:type="pct"/>
            <w:tcBorders>
              <w:top w:val="single" w:color="auto" w:sz="4" w:space="0"/>
              <w:left w:val="nil"/>
              <w:bottom w:val="single" w:color="auto" w:sz="4" w:space="0"/>
              <w:right w:val="single" w:color="auto" w:sz="4" w:space="0"/>
            </w:tcBorders>
            <w:noWrap/>
            <w:vAlign w:val="center"/>
          </w:tcPr>
          <w:p w14:paraId="6BD24AD9">
            <w:pPr>
              <w:widowControl/>
              <w:jc w:val="center"/>
              <w:rPr>
                <w:rFonts w:ascii="宋体" w:hAnsi="宋体" w:cs="宋体"/>
                <w:color w:val="000000"/>
                <w:kern w:val="0"/>
                <w:sz w:val="20"/>
                <w:szCs w:val="20"/>
              </w:rPr>
            </w:pPr>
            <w:r>
              <w:rPr>
                <w:rFonts w:hint="eastAsia" w:ascii="宋体" w:hAnsi="宋体" w:cs="宋体"/>
                <w:color w:val="000000"/>
                <w:kern w:val="0"/>
                <w:sz w:val="20"/>
                <w:szCs w:val="20"/>
              </w:rPr>
              <w:t>　1</w:t>
            </w:r>
          </w:p>
        </w:tc>
      </w:tr>
      <w:tr w14:paraId="30E6B6FC">
        <w:tblPrEx>
          <w:tblCellMar>
            <w:top w:w="0" w:type="dxa"/>
            <w:left w:w="108" w:type="dxa"/>
            <w:bottom w:w="0" w:type="dxa"/>
            <w:right w:w="108" w:type="dxa"/>
          </w:tblCellMar>
        </w:tblPrEx>
        <w:trPr>
          <w:wAfter w:w="0" w:type="auto"/>
          <w:trHeight w:val="1122" w:hRule="atLeast"/>
        </w:trPr>
        <w:tc>
          <w:tcPr>
            <w:tcW w:w="1118" w:type="pct"/>
            <w:vMerge w:val="continue"/>
            <w:tcBorders>
              <w:top w:val="single" w:color="auto" w:sz="4" w:space="0"/>
              <w:left w:val="single" w:color="auto" w:sz="4" w:space="0"/>
              <w:bottom w:val="single" w:color="000000" w:sz="4" w:space="0"/>
              <w:right w:val="single" w:color="auto" w:sz="4" w:space="0"/>
            </w:tcBorders>
            <w:noWrap w:val="0"/>
            <w:vAlign w:val="center"/>
          </w:tcPr>
          <w:p w14:paraId="0BD2D025">
            <w:pPr>
              <w:widowControl/>
              <w:jc w:val="left"/>
              <w:rPr>
                <w:rFonts w:ascii="宋体" w:hAnsi="宋体" w:cs="宋体"/>
                <w:color w:val="000000"/>
                <w:kern w:val="0"/>
                <w:sz w:val="20"/>
                <w:szCs w:val="20"/>
              </w:rPr>
            </w:pPr>
          </w:p>
        </w:tc>
        <w:tc>
          <w:tcPr>
            <w:tcW w:w="1030" w:type="pct"/>
            <w:vMerge w:val="continue"/>
            <w:tcBorders>
              <w:top w:val="single" w:color="auto" w:sz="4" w:space="0"/>
              <w:left w:val="single" w:color="auto" w:sz="4" w:space="0"/>
              <w:bottom w:val="single" w:color="auto" w:sz="4" w:space="0"/>
              <w:right w:val="single" w:color="auto" w:sz="4" w:space="0"/>
            </w:tcBorders>
            <w:noWrap w:val="0"/>
            <w:vAlign w:val="center"/>
          </w:tcPr>
          <w:p w14:paraId="3E04CEF1">
            <w:pPr>
              <w:widowControl/>
              <w:jc w:val="left"/>
              <w:rPr>
                <w:rFonts w:ascii="宋体" w:hAnsi="宋体" w:cs="宋体"/>
                <w:color w:val="000000"/>
                <w:kern w:val="0"/>
                <w:sz w:val="20"/>
                <w:szCs w:val="20"/>
              </w:rPr>
            </w:pPr>
          </w:p>
        </w:tc>
        <w:tc>
          <w:tcPr>
            <w:tcW w:w="804" w:type="pct"/>
            <w:tcBorders>
              <w:top w:val="single" w:color="auto" w:sz="4" w:space="0"/>
              <w:left w:val="nil"/>
              <w:bottom w:val="single" w:color="auto" w:sz="4" w:space="0"/>
              <w:right w:val="single" w:color="auto" w:sz="4" w:space="0"/>
            </w:tcBorders>
            <w:noWrap w:val="0"/>
            <w:vAlign w:val="center"/>
          </w:tcPr>
          <w:p w14:paraId="353F3DA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579" w:type="pct"/>
            <w:tcBorders>
              <w:top w:val="single" w:color="auto" w:sz="4" w:space="0"/>
              <w:left w:val="nil"/>
              <w:bottom w:val="single" w:color="auto" w:sz="4" w:space="0"/>
              <w:right w:val="single" w:color="auto" w:sz="4" w:space="0"/>
            </w:tcBorders>
            <w:noWrap w:val="0"/>
            <w:vAlign w:val="center"/>
          </w:tcPr>
          <w:p w14:paraId="4D3DFC22">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资金使用符合相关管理要求，使用合规，安全</w:t>
            </w:r>
            <w:r>
              <w:rPr>
                <w:rFonts w:hint="eastAsia" w:ascii="宋体" w:hAnsi="宋体" w:cs="宋体"/>
                <w:color w:val="000000"/>
                <w:kern w:val="0"/>
                <w:sz w:val="20"/>
                <w:szCs w:val="20"/>
              </w:rPr>
              <w:t>　</w:t>
            </w:r>
          </w:p>
        </w:tc>
        <w:tc>
          <w:tcPr>
            <w:tcW w:w="668" w:type="pct"/>
            <w:tcBorders>
              <w:top w:val="single" w:color="auto" w:sz="4" w:space="0"/>
              <w:left w:val="nil"/>
              <w:bottom w:val="single" w:color="auto" w:sz="4" w:space="0"/>
              <w:right w:val="single" w:color="auto" w:sz="4" w:space="0"/>
            </w:tcBorders>
            <w:noWrap w:val="0"/>
            <w:vAlign w:val="center"/>
          </w:tcPr>
          <w:p w14:paraId="57C88311">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资金使用基本合规，安全</w:t>
            </w:r>
            <w:r>
              <w:rPr>
                <w:rFonts w:hint="eastAsia" w:ascii="宋体" w:hAnsi="宋体" w:cs="宋体"/>
                <w:color w:val="000000"/>
                <w:kern w:val="0"/>
                <w:sz w:val="20"/>
                <w:szCs w:val="20"/>
              </w:rPr>
              <w:t>　</w:t>
            </w:r>
          </w:p>
        </w:tc>
        <w:tc>
          <w:tcPr>
            <w:tcW w:w="268" w:type="pct"/>
            <w:tcBorders>
              <w:top w:val="single" w:color="auto" w:sz="4" w:space="0"/>
              <w:left w:val="nil"/>
              <w:bottom w:val="single" w:color="auto" w:sz="4" w:space="0"/>
              <w:right w:val="single" w:color="auto" w:sz="4" w:space="0"/>
            </w:tcBorders>
            <w:noWrap/>
            <w:vAlign w:val="center"/>
          </w:tcPr>
          <w:p w14:paraId="22F643EF">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530" w:type="pct"/>
            <w:tcBorders>
              <w:top w:val="single" w:color="auto" w:sz="4" w:space="0"/>
              <w:left w:val="nil"/>
              <w:bottom w:val="single" w:color="auto" w:sz="4" w:space="0"/>
              <w:right w:val="single" w:color="auto" w:sz="4" w:space="0"/>
            </w:tcBorders>
            <w:noWrap/>
            <w:vAlign w:val="center"/>
          </w:tcPr>
          <w:p w14:paraId="7736F5F3">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r>
      <w:tr w14:paraId="7CB92C3C">
        <w:tblPrEx>
          <w:tblCellMar>
            <w:top w:w="0" w:type="dxa"/>
            <w:left w:w="108" w:type="dxa"/>
            <w:bottom w:w="0" w:type="dxa"/>
            <w:right w:w="108" w:type="dxa"/>
          </w:tblCellMar>
        </w:tblPrEx>
        <w:trPr>
          <w:wAfter w:w="0" w:type="auto"/>
          <w:trHeight w:val="1035"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48A9AC87">
            <w:pPr>
              <w:widowControl/>
              <w:jc w:val="left"/>
              <w:rPr>
                <w:rFonts w:ascii="宋体" w:hAnsi="宋体" w:cs="宋体"/>
                <w:color w:val="000000"/>
                <w:kern w:val="0"/>
                <w:sz w:val="20"/>
                <w:szCs w:val="20"/>
              </w:rPr>
            </w:pPr>
          </w:p>
        </w:tc>
        <w:tc>
          <w:tcPr>
            <w:tcW w:w="1030" w:type="pct"/>
            <w:vMerge w:val="continue"/>
            <w:tcBorders>
              <w:top w:val="nil"/>
              <w:left w:val="single" w:color="auto" w:sz="4" w:space="0"/>
              <w:bottom w:val="single" w:color="auto" w:sz="4" w:space="0"/>
              <w:right w:val="single" w:color="auto" w:sz="4" w:space="0"/>
            </w:tcBorders>
            <w:noWrap w:val="0"/>
            <w:vAlign w:val="center"/>
          </w:tcPr>
          <w:p w14:paraId="2E5341B6">
            <w:pPr>
              <w:widowControl/>
              <w:jc w:val="left"/>
              <w:rPr>
                <w:rFonts w:ascii="宋体" w:hAnsi="宋体" w:cs="宋体"/>
                <w:color w:val="000000"/>
                <w:kern w:val="0"/>
                <w:sz w:val="20"/>
                <w:szCs w:val="20"/>
              </w:rPr>
            </w:pPr>
          </w:p>
        </w:tc>
        <w:tc>
          <w:tcPr>
            <w:tcW w:w="804" w:type="pct"/>
            <w:tcBorders>
              <w:top w:val="nil"/>
              <w:left w:val="nil"/>
              <w:bottom w:val="single" w:color="auto" w:sz="4" w:space="0"/>
              <w:right w:val="single" w:color="auto" w:sz="4" w:space="0"/>
            </w:tcBorders>
            <w:noWrap w:val="0"/>
            <w:vAlign w:val="center"/>
          </w:tcPr>
          <w:p w14:paraId="3982F406">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579" w:type="pct"/>
            <w:tcBorders>
              <w:top w:val="nil"/>
              <w:left w:val="nil"/>
              <w:bottom w:val="single" w:color="auto" w:sz="4" w:space="0"/>
              <w:right w:val="single" w:color="auto" w:sz="4" w:space="0"/>
            </w:tcBorders>
            <w:noWrap w:val="0"/>
            <w:vAlign w:val="center"/>
          </w:tcPr>
          <w:p w14:paraId="22C63DEE">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基础数据信息和会计信息资料完整，准确</w:t>
            </w:r>
          </w:p>
        </w:tc>
        <w:tc>
          <w:tcPr>
            <w:tcW w:w="668" w:type="pct"/>
            <w:tcBorders>
              <w:top w:val="nil"/>
              <w:left w:val="nil"/>
              <w:bottom w:val="single" w:color="auto" w:sz="4" w:space="0"/>
              <w:right w:val="single" w:color="auto" w:sz="4" w:space="0"/>
            </w:tcBorders>
            <w:noWrap w:val="0"/>
            <w:vAlign w:val="center"/>
          </w:tcPr>
          <w:p w14:paraId="2A2DD6DD">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单位基础数据信息和会计信息资料完整，准确</w:t>
            </w:r>
            <w:r>
              <w:rPr>
                <w:rFonts w:hint="eastAsia" w:ascii="宋体" w:hAnsi="宋体" w:cs="宋体"/>
                <w:color w:val="000000"/>
                <w:kern w:val="0"/>
                <w:sz w:val="20"/>
                <w:szCs w:val="20"/>
              </w:rPr>
              <w:t>　</w:t>
            </w:r>
          </w:p>
        </w:tc>
        <w:tc>
          <w:tcPr>
            <w:tcW w:w="268" w:type="pct"/>
            <w:tcBorders>
              <w:top w:val="nil"/>
              <w:left w:val="nil"/>
              <w:bottom w:val="single" w:color="auto" w:sz="4" w:space="0"/>
              <w:right w:val="single" w:color="auto" w:sz="4" w:space="0"/>
            </w:tcBorders>
            <w:noWrap/>
            <w:vAlign w:val="center"/>
          </w:tcPr>
          <w:p w14:paraId="68D23290">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530" w:type="pct"/>
            <w:tcBorders>
              <w:top w:val="nil"/>
              <w:left w:val="nil"/>
              <w:bottom w:val="single" w:color="auto" w:sz="4" w:space="0"/>
              <w:right w:val="single" w:color="auto" w:sz="4" w:space="0"/>
            </w:tcBorders>
            <w:noWrap/>
            <w:vAlign w:val="center"/>
          </w:tcPr>
          <w:p w14:paraId="0707C3E2">
            <w:pPr>
              <w:widowControl/>
              <w:jc w:val="center"/>
              <w:rPr>
                <w:rFonts w:ascii="宋体" w:hAnsi="宋体" w:cs="宋体"/>
                <w:color w:val="000000"/>
                <w:kern w:val="0"/>
                <w:sz w:val="20"/>
                <w:szCs w:val="20"/>
              </w:rPr>
            </w:pPr>
            <w:r>
              <w:rPr>
                <w:rFonts w:hint="eastAsia" w:ascii="宋体" w:hAnsi="宋体" w:cs="宋体"/>
                <w:color w:val="000000"/>
                <w:kern w:val="0"/>
                <w:sz w:val="20"/>
                <w:szCs w:val="20"/>
              </w:rPr>
              <w:t>1　</w:t>
            </w:r>
          </w:p>
        </w:tc>
      </w:tr>
      <w:tr w14:paraId="1D89EC06">
        <w:tblPrEx>
          <w:tblCellMar>
            <w:top w:w="0" w:type="dxa"/>
            <w:left w:w="108" w:type="dxa"/>
            <w:bottom w:w="0" w:type="dxa"/>
            <w:right w:w="108" w:type="dxa"/>
          </w:tblCellMar>
        </w:tblPrEx>
        <w:trPr>
          <w:wAfter w:w="0" w:type="auto"/>
          <w:trHeight w:val="937"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78F2505E">
            <w:pPr>
              <w:widowControl/>
              <w:jc w:val="left"/>
              <w:rPr>
                <w:rFonts w:ascii="宋体" w:hAnsi="宋体" w:cs="宋体"/>
                <w:color w:val="000000"/>
                <w:kern w:val="0"/>
                <w:sz w:val="20"/>
                <w:szCs w:val="20"/>
              </w:rPr>
            </w:pPr>
          </w:p>
        </w:tc>
        <w:tc>
          <w:tcPr>
            <w:tcW w:w="1030" w:type="pct"/>
            <w:tcBorders>
              <w:top w:val="single" w:color="auto" w:sz="4" w:space="0"/>
              <w:left w:val="single" w:color="auto" w:sz="4" w:space="0"/>
              <w:bottom w:val="single" w:color="auto" w:sz="4" w:space="0"/>
              <w:right w:val="single" w:color="auto" w:sz="4" w:space="0"/>
            </w:tcBorders>
            <w:noWrap w:val="0"/>
            <w:vAlign w:val="center"/>
          </w:tcPr>
          <w:p w14:paraId="1C973641">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804" w:type="pct"/>
            <w:tcBorders>
              <w:top w:val="single" w:color="auto" w:sz="4" w:space="0"/>
              <w:left w:val="single" w:color="auto" w:sz="4" w:space="0"/>
              <w:bottom w:val="single" w:color="auto" w:sz="4" w:space="0"/>
              <w:right w:val="single" w:color="auto" w:sz="4" w:space="0"/>
            </w:tcBorders>
            <w:noWrap w:val="0"/>
            <w:vAlign w:val="center"/>
          </w:tcPr>
          <w:p w14:paraId="5206CD14">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579" w:type="pct"/>
            <w:tcBorders>
              <w:top w:val="single" w:color="auto" w:sz="4" w:space="0"/>
              <w:left w:val="single" w:color="auto" w:sz="4" w:space="0"/>
              <w:bottom w:val="single" w:color="auto" w:sz="4" w:space="0"/>
              <w:right w:val="single" w:color="auto" w:sz="4" w:space="0"/>
            </w:tcBorders>
            <w:noWrap w:val="0"/>
            <w:vAlign w:val="center"/>
          </w:tcPr>
          <w:p w14:paraId="3383632D">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资产管理制度健全，执行规范</w:t>
            </w:r>
          </w:p>
        </w:tc>
        <w:tc>
          <w:tcPr>
            <w:tcW w:w="668" w:type="pct"/>
            <w:tcBorders>
              <w:top w:val="single" w:color="auto" w:sz="4" w:space="0"/>
              <w:left w:val="single" w:color="auto" w:sz="4" w:space="0"/>
              <w:bottom w:val="single" w:color="auto" w:sz="4" w:space="0"/>
              <w:right w:val="single" w:color="auto" w:sz="4" w:space="0"/>
            </w:tcBorders>
            <w:noWrap w:val="0"/>
            <w:vAlign w:val="center"/>
          </w:tcPr>
          <w:p w14:paraId="08412C5C">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资产管理制度健全，执行规范</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2147627A">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530" w:type="pct"/>
            <w:tcBorders>
              <w:top w:val="single" w:color="auto" w:sz="4" w:space="0"/>
              <w:left w:val="single" w:color="auto" w:sz="4" w:space="0"/>
              <w:bottom w:val="single" w:color="auto" w:sz="4" w:space="0"/>
              <w:right w:val="single" w:color="auto" w:sz="4" w:space="0"/>
            </w:tcBorders>
            <w:noWrap w:val="0"/>
            <w:vAlign w:val="center"/>
          </w:tcPr>
          <w:p w14:paraId="543C65C7">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r>
      <w:tr w14:paraId="61D7E2D5">
        <w:tblPrEx>
          <w:tblCellMar>
            <w:top w:w="0" w:type="dxa"/>
            <w:left w:w="108" w:type="dxa"/>
            <w:bottom w:w="0" w:type="dxa"/>
            <w:right w:w="108" w:type="dxa"/>
          </w:tblCellMar>
        </w:tblPrEx>
        <w:trPr>
          <w:wAfter w:w="0" w:type="auto"/>
          <w:trHeight w:val="1586"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10103627">
            <w:pPr>
              <w:widowControl/>
              <w:jc w:val="left"/>
              <w:rPr>
                <w:rFonts w:ascii="宋体" w:hAnsi="宋体" w:cs="宋体"/>
                <w:color w:val="000000"/>
                <w:kern w:val="0"/>
                <w:sz w:val="20"/>
                <w:szCs w:val="20"/>
              </w:rPr>
            </w:pPr>
          </w:p>
        </w:tc>
        <w:tc>
          <w:tcPr>
            <w:tcW w:w="1030" w:type="pct"/>
            <w:tcBorders>
              <w:top w:val="single" w:color="auto" w:sz="4" w:space="0"/>
              <w:left w:val="nil"/>
              <w:bottom w:val="single" w:color="auto" w:sz="4" w:space="0"/>
              <w:right w:val="single" w:color="auto" w:sz="4" w:space="0"/>
            </w:tcBorders>
            <w:noWrap w:val="0"/>
            <w:vAlign w:val="center"/>
          </w:tcPr>
          <w:p w14:paraId="497A6E8B">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804" w:type="pct"/>
            <w:tcBorders>
              <w:top w:val="single" w:color="auto" w:sz="4" w:space="0"/>
              <w:left w:val="nil"/>
              <w:bottom w:val="single" w:color="auto" w:sz="4" w:space="0"/>
              <w:right w:val="single" w:color="auto" w:sz="4" w:space="0"/>
            </w:tcBorders>
            <w:noWrap w:val="0"/>
            <w:vAlign w:val="center"/>
          </w:tcPr>
          <w:p w14:paraId="33256BCF">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579" w:type="pct"/>
            <w:tcBorders>
              <w:top w:val="single" w:color="auto" w:sz="4" w:space="0"/>
              <w:left w:val="nil"/>
              <w:bottom w:val="single" w:color="auto" w:sz="4" w:space="0"/>
              <w:right w:val="single" w:color="auto" w:sz="4" w:space="0"/>
            </w:tcBorders>
            <w:noWrap w:val="0"/>
            <w:vAlign w:val="center"/>
          </w:tcPr>
          <w:p w14:paraId="33BC0F84">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对绩效信息进行汇总分析整理，对绩效目标偏差情况及时进行纠正</w:t>
            </w:r>
          </w:p>
        </w:tc>
        <w:tc>
          <w:tcPr>
            <w:tcW w:w="668" w:type="pct"/>
            <w:tcBorders>
              <w:top w:val="single" w:color="auto" w:sz="4" w:space="0"/>
              <w:left w:val="nil"/>
              <w:bottom w:val="single" w:color="auto" w:sz="4" w:space="0"/>
              <w:right w:val="single" w:color="auto" w:sz="4" w:space="0"/>
            </w:tcBorders>
            <w:noWrap w:val="0"/>
            <w:vAlign w:val="center"/>
          </w:tcPr>
          <w:p w14:paraId="09402CBE">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及时对绩效信息进行汇总分析整理，对绩效目标偏离情况及时进行纠正</w:t>
            </w:r>
          </w:p>
        </w:tc>
        <w:tc>
          <w:tcPr>
            <w:tcW w:w="268" w:type="pct"/>
            <w:tcBorders>
              <w:top w:val="single" w:color="auto" w:sz="4" w:space="0"/>
              <w:left w:val="nil"/>
              <w:bottom w:val="single" w:color="auto" w:sz="4" w:space="0"/>
              <w:right w:val="single" w:color="auto" w:sz="4" w:space="0"/>
            </w:tcBorders>
            <w:noWrap w:val="0"/>
            <w:vAlign w:val="center"/>
          </w:tcPr>
          <w:p w14:paraId="763FC19F">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530" w:type="pct"/>
            <w:tcBorders>
              <w:top w:val="single" w:color="auto" w:sz="4" w:space="0"/>
              <w:left w:val="nil"/>
              <w:bottom w:val="single" w:color="auto" w:sz="4" w:space="0"/>
              <w:right w:val="single" w:color="auto" w:sz="4" w:space="0"/>
            </w:tcBorders>
            <w:noWrap w:val="0"/>
            <w:vAlign w:val="center"/>
          </w:tcPr>
          <w:p w14:paraId="62550A51">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r>
      <w:tr w14:paraId="46DA018E">
        <w:tblPrEx>
          <w:tblCellMar>
            <w:top w:w="0" w:type="dxa"/>
            <w:left w:w="108" w:type="dxa"/>
            <w:bottom w:w="0" w:type="dxa"/>
            <w:right w:w="108" w:type="dxa"/>
          </w:tblCellMar>
        </w:tblPrEx>
        <w:trPr>
          <w:wAfter w:w="0" w:type="auto"/>
          <w:trHeight w:val="394"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67C0E855">
            <w:pPr>
              <w:widowControl/>
              <w:jc w:val="left"/>
              <w:rPr>
                <w:rFonts w:ascii="宋体" w:hAnsi="宋体" w:cs="宋体"/>
                <w:color w:val="000000"/>
                <w:kern w:val="0"/>
                <w:sz w:val="20"/>
                <w:szCs w:val="20"/>
              </w:rPr>
            </w:pPr>
          </w:p>
        </w:tc>
        <w:tc>
          <w:tcPr>
            <w:tcW w:w="1030" w:type="pct"/>
            <w:tcBorders>
              <w:top w:val="single" w:color="auto" w:sz="4" w:space="0"/>
              <w:left w:val="nil"/>
              <w:bottom w:val="single" w:color="auto" w:sz="4" w:space="0"/>
              <w:right w:val="single" w:color="auto" w:sz="4" w:space="0"/>
            </w:tcBorders>
            <w:noWrap w:val="0"/>
            <w:vAlign w:val="center"/>
          </w:tcPr>
          <w:p w14:paraId="634AE2C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804" w:type="pct"/>
            <w:tcBorders>
              <w:top w:val="single" w:color="auto" w:sz="4" w:space="0"/>
              <w:left w:val="nil"/>
              <w:bottom w:val="single" w:color="auto" w:sz="4" w:space="0"/>
              <w:right w:val="single" w:color="000000" w:sz="4" w:space="0"/>
            </w:tcBorders>
            <w:noWrap w:val="0"/>
            <w:vAlign w:val="center"/>
          </w:tcPr>
          <w:p w14:paraId="2B88593E">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年</w:t>
            </w:r>
          </w:p>
        </w:tc>
        <w:tc>
          <w:tcPr>
            <w:tcW w:w="1247" w:type="pct"/>
            <w:gridSpan w:val="2"/>
            <w:tcBorders>
              <w:top w:val="single" w:color="auto" w:sz="4" w:space="0"/>
              <w:left w:val="nil"/>
              <w:bottom w:val="single" w:color="auto" w:sz="4" w:space="0"/>
              <w:right w:val="single" w:color="auto" w:sz="4" w:space="0"/>
            </w:tcBorders>
            <w:noWrap w:val="0"/>
            <w:vAlign w:val="center"/>
          </w:tcPr>
          <w:p w14:paraId="6162153A">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268" w:type="pct"/>
            <w:tcBorders>
              <w:top w:val="single" w:color="auto" w:sz="4" w:space="0"/>
              <w:left w:val="nil"/>
              <w:bottom w:val="single" w:color="auto" w:sz="4" w:space="0"/>
              <w:right w:val="single" w:color="auto" w:sz="4" w:space="0"/>
            </w:tcBorders>
            <w:noWrap w:val="0"/>
            <w:vAlign w:val="center"/>
          </w:tcPr>
          <w:p w14:paraId="6ECE1A3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530" w:type="pct"/>
            <w:tcBorders>
              <w:top w:val="single" w:color="auto" w:sz="4" w:space="0"/>
              <w:left w:val="nil"/>
              <w:bottom w:val="single" w:color="auto" w:sz="4" w:space="0"/>
              <w:right w:val="single" w:color="auto" w:sz="4" w:space="0"/>
            </w:tcBorders>
            <w:noWrap w:val="0"/>
            <w:vAlign w:val="center"/>
          </w:tcPr>
          <w:p w14:paraId="5C53886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F8892CF">
        <w:tblPrEx>
          <w:tblCellMar>
            <w:top w:w="0" w:type="dxa"/>
            <w:left w:w="108" w:type="dxa"/>
            <w:bottom w:w="0" w:type="dxa"/>
            <w:right w:w="108" w:type="dxa"/>
          </w:tblCellMar>
        </w:tblPrEx>
        <w:trPr>
          <w:wAfter w:w="0" w:type="auto"/>
          <w:trHeight w:val="438"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6A30C532">
            <w:pPr>
              <w:widowControl/>
              <w:jc w:val="left"/>
              <w:rPr>
                <w:rFonts w:ascii="宋体" w:hAnsi="宋体" w:cs="宋体"/>
                <w:color w:val="000000"/>
                <w:kern w:val="0"/>
                <w:sz w:val="20"/>
                <w:szCs w:val="20"/>
              </w:rPr>
            </w:pPr>
          </w:p>
        </w:tc>
        <w:tc>
          <w:tcPr>
            <w:tcW w:w="1030" w:type="pct"/>
            <w:tcBorders>
              <w:top w:val="nil"/>
              <w:left w:val="nil"/>
              <w:bottom w:val="single" w:color="auto" w:sz="4" w:space="0"/>
              <w:right w:val="single" w:color="auto" w:sz="4" w:space="0"/>
            </w:tcBorders>
            <w:noWrap w:val="0"/>
            <w:vAlign w:val="center"/>
          </w:tcPr>
          <w:p w14:paraId="69BE4A1C">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804" w:type="pct"/>
            <w:tcBorders>
              <w:top w:val="single" w:color="auto" w:sz="4" w:space="0"/>
              <w:left w:val="nil"/>
              <w:bottom w:val="single" w:color="auto" w:sz="4" w:space="0"/>
              <w:right w:val="single" w:color="000000" w:sz="4" w:space="0"/>
            </w:tcBorders>
            <w:noWrap w:val="0"/>
            <w:vAlign w:val="center"/>
          </w:tcPr>
          <w:p w14:paraId="359B3F59">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3%</w:t>
            </w:r>
          </w:p>
        </w:tc>
        <w:tc>
          <w:tcPr>
            <w:tcW w:w="1247" w:type="pct"/>
            <w:gridSpan w:val="2"/>
            <w:tcBorders>
              <w:top w:val="nil"/>
              <w:left w:val="nil"/>
              <w:bottom w:val="single" w:color="auto" w:sz="4" w:space="0"/>
              <w:right w:val="single" w:color="auto" w:sz="4" w:space="0"/>
            </w:tcBorders>
            <w:noWrap w:val="0"/>
            <w:vAlign w:val="center"/>
          </w:tcPr>
          <w:p w14:paraId="5C301EDB">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268" w:type="pct"/>
            <w:tcBorders>
              <w:top w:val="nil"/>
              <w:left w:val="nil"/>
              <w:bottom w:val="single" w:color="auto" w:sz="4" w:space="0"/>
              <w:right w:val="single" w:color="auto" w:sz="4" w:space="0"/>
            </w:tcBorders>
            <w:noWrap w:val="0"/>
            <w:vAlign w:val="center"/>
          </w:tcPr>
          <w:p w14:paraId="25A564D0">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530" w:type="pct"/>
            <w:tcBorders>
              <w:top w:val="nil"/>
              <w:left w:val="nil"/>
              <w:bottom w:val="single" w:color="auto" w:sz="4" w:space="0"/>
              <w:right w:val="single" w:color="auto" w:sz="4" w:space="0"/>
            </w:tcBorders>
            <w:noWrap w:val="0"/>
            <w:vAlign w:val="center"/>
          </w:tcPr>
          <w:p w14:paraId="5E170C2A">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r>
      <w:tr w14:paraId="25381FF6">
        <w:tblPrEx>
          <w:tblCellMar>
            <w:top w:w="0" w:type="dxa"/>
            <w:left w:w="108" w:type="dxa"/>
            <w:bottom w:w="0" w:type="dxa"/>
            <w:right w:w="108" w:type="dxa"/>
          </w:tblCellMar>
        </w:tblPrEx>
        <w:trPr>
          <w:wAfter w:w="0" w:type="auto"/>
          <w:trHeight w:val="489" w:hRule="atLeast"/>
        </w:trPr>
        <w:tc>
          <w:tcPr>
            <w:tcW w:w="1118" w:type="pct"/>
            <w:vMerge w:val="continue"/>
            <w:tcBorders>
              <w:top w:val="nil"/>
              <w:left w:val="single" w:color="auto" w:sz="4" w:space="0"/>
              <w:bottom w:val="single" w:color="000000" w:sz="4" w:space="0"/>
              <w:right w:val="single" w:color="auto" w:sz="4" w:space="0"/>
            </w:tcBorders>
            <w:noWrap w:val="0"/>
            <w:vAlign w:val="center"/>
          </w:tcPr>
          <w:p w14:paraId="66E086B5">
            <w:pPr>
              <w:widowControl/>
              <w:jc w:val="left"/>
              <w:rPr>
                <w:rFonts w:ascii="宋体" w:hAnsi="宋体" w:cs="宋体"/>
                <w:color w:val="000000"/>
                <w:kern w:val="0"/>
                <w:sz w:val="20"/>
                <w:szCs w:val="20"/>
              </w:rPr>
            </w:pPr>
          </w:p>
        </w:tc>
        <w:tc>
          <w:tcPr>
            <w:tcW w:w="1030" w:type="pct"/>
            <w:tcBorders>
              <w:top w:val="nil"/>
              <w:left w:val="nil"/>
              <w:bottom w:val="single" w:color="auto" w:sz="4" w:space="0"/>
              <w:right w:val="single" w:color="auto" w:sz="4" w:space="0"/>
            </w:tcBorders>
            <w:noWrap w:val="0"/>
            <w:vAlign w:val="center"/>
          </w:tcPr>
          <w:p w14:paraId="7C82CA32">
            <w:pPr>
              <w:widowControl/>
              <w:rPr>
                <w:rFonts w:ascii="宋体" w:hAnsi="宋体" w:cs="宋体"/>
                <w:color w:val="000000"/>
                <w:kern w:val="0"/>
                <w:sz w:val="20"/>
                <w:szCs w:val="20"/>
              </w:rPr>
            </w:pPr>
            <w:r>
              <w:rPr>
                <w:rFonts w:hint="eastAsia" w:ascii="宋体" w:hAnsi="宋体" w:cs="宋体"/>
                <w:color w:val="000000"/>
                <w:kern w:val="0"/>
                <w:sz w:val="20"/>
                <w:szCs w:val="20"/>
              </w:rPr>
              <w:t>单位预决算差异率（4）</w:t>
            </w:r>
          </w:p>
        </w:tc>
        <w:tc>
          <w:tcPr>
            <w:tcW w:w="804" w:type="pct"/>
            <w:tcBorders>
              <w:top w:val="single" w:color="auto" w:sz="4" w:space="0"/>
              <w:left w:val="nil"/>
              <w:bottom w:val="single" w:color="auto" w:sz="4" w:space="0"/>
              <w:right w:val="nil"/>
            </w:tcBorders>
            <w:noWrap w:val="0"/>
            <w:vAlign w:val="center"/>
          </w:tcPr>
          <w:p w14:paraId="3D31F3DE">
            <w:pPr>
              <w:widowControl/>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247" w:type="pct"/>
            <w:gridSpan w:val="2"/>
            <w:tcBorders>
              <w:top w:val="nil"/>
              <w:left w:val="single" w:color="auto" w:sz="4" w:space="0"/>
              <w:bottom w:val="single" w:color="auto" w:sz="4" w:space="0"/>
              <w:right w:val="single" w:color="auto" w:sz="4" w:space="0"/>
            </w:tcBorders>
            <w:noWrap w:val="0"/>
            <w:vAlign w:val="center"/>
          </w:tcPr>
          <w:p w14:paraId="44DC6120">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13%</w:t>
            </w:r>
          </w:p>
        </w:tc>
        <w:tc>
          <w:tcPr>
            <w:tcW w:w="268" w:type="pct"/>
            <w:tcBorders>
              <w:top w:val="nil"/>
              <w:left w:val="nil"/>
              <w:bottom w:val="single" w:color="auto" w:sz="4" w:space="0"/>
              <w:right w:val="single" w:color="auto" w:sz="4" w:space="0"/>
            </w:tcBorders>
            <w:noWrap w:val="0"/>
            <w:vAlign w:val="center"/>
          </w:tcPr>
          <w:p w14:paraId="108BBBD3">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530" w:type="pct"/>
            <w:tcBorders>
              <w:top w:val="nil"/>
              <w:left w:val="nil"/>
              <w:bottom w:val="single" w:color="auto" w:sz="4" w:space="0"/>
              <w:right w:val="single" w:color="auto" w:sz="4" w:space="0"/>
            </w:tcBorders>
            <w:noWrap w:val="0"/>
            <w:vAlign w:val="center"/>
          </w:tcPr>
          <w:p w14:paraId="3BD79B17">
            <w:pPr>
              <w:widowControl/>
              <w:jc w:val="center"/>
              <w:rPr>
                <w:rFonts w:ascii="宋体" w:hAnsi="宋体" w:cs="宋体"/>
                <w:color w:val="000000"/>
                <w:kern w:val="0"/>
                <w:sz w:val="20"/>
                <w:szCs w:val="20"/>
              </w:rPr>
            </w:pPr>
            <w:r>
              <w:rPr>
                <w:rFonts w:hint="eastAsia" w:ascii="宋体" w:hAnsi="宋体" w:cs="宋体"/>
                <w:color w:val="000000"/>
                <w:kern w:val="0"/>
                <w:sz w:val="20"/>
                <w:szCs w:val="20"/>
              </w:rPr>
              <w:t>　4</w:t>
            </w:r>
          </w:p>
        </w:tc>
      </w:tr>
      <w:tr w14:paraId="4D4623A0">
        <w:tblPrEx>
          <w:tblCellMar>
            <w:top w:w="0" w:type="dxa"/>
            <w:left w:w="108" w:type="dxa"/>
            <w:bottom w:w="0" w:type="dxa"/>
            <w:right w:w="108" w:type="dxa"/>
          </w:tblCellMar>
        </w:tblPrEx>
        <w:trPr>
          <w:wAfter w:w="0" w:type="auto"/>
          <w:trHeight w:val="404" w:hRule="atLeast"/>
        </w:trPr>
        <w:tc>
          <w:tcPr>
            <w:tcW w:w="1118" w:type="pct"/>
            <w:tcBorders>
              <w:top w:val="single" w:color="auto" w:sz="4" w:space="0"/>
              <w:left w:val="single" w:color="auto" w:sz="4" w:space="0"/>
              <w:bottom w:val="single" w:color="auto" w:sz="4" w:space="0"/>
              <w:right w:val="single" w:color="auto" w:sz="4" w:space="0"/>
            </w:tcBorders>
            <w:noWrap w:val="0"/>
            <w:vAlign w:val="center"/>
          </w:tcPr>
          <w:p w14:paraId="0C16DF87">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3082" w:type="pct"/>
            <w:gridSpan w:val="4"/>
            <w:tcBorders>
              <w:top w:val="nil"/>
              <w:left w:val="nil"/>
              <w:bottom w:val="single" w:color="auto" w:sz="4" w:space="0"/>
              <w:right w:val="single" w:color="auto" w:sz="4" w:space="0"/>
            </w:tcBorders>
            <w:noWrap w:val="0"/>
            <w:vAlign w:val="center"/>
          </w:tcPr>
          <w:p w14:paraId="3D8C4869">
            <w:pPr>
              <w:widowControl/>
              <w:jc w:val="center"/>
              <w:rPr>
                <w:rFonts w:ascii="宋体" w:hAnsi="宋体" w:cs="宋体"/>
                <w:color w:val="000000"/>
                <w:kern w:val="0"/>
                <w:sz w:val="20"/>
                <w:szCs w:val="20"/>
              </w:rPr>
            </w:pPr>
          </w:p>
        </w:tc>
        <w:tc>
          <w:tcPr>
            <w:tcW w:w="268" w:type="pct"/>
            <w:tcBorders>
              <w:top w:val="nil"/>
              <w:left w:val="nil"/>
              <w:bottom w:val="single" w:color="auto" w:sz="4" w:space="0"/>
              <w:right w:val="nil"/>
            </w:tcBorders>
            <w:noWrap w:val="0"/>
            <w:vAlign w:val="center"/>
          </w:tcPr>
          <w:p w14:paraId="2EFFBE7C">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530" w:type="pct"/>
            <w:tcBorders>
              <w:top w:val="single" w:color="auto" w:sz="4" w:space="0"/>
              <w:left w:val="single" w:color="auto" w:sz="4" w:space="0"/>
              <w:bottom w:val="single" w:color="auto" w:sz="4" w:space="0"/>
              <w:right w:val="single" w:color="auto" w:sz="4" w:space="0"/>
            </w:tcBorders>
            <w:noWrap w:val="0"/>
            <w:vAlign w:val="center"/>
          </w:tcPr>
          <w:p w14:paraId="65B4A4BA">
            <w:pPr>
              <w:widowControl/>
              <w:jc w:val="center"/>
              <w:rPr>
                <w:rFonts w:ascii="宋体" w:hAnsi="宋体" w:cs="宋体"/>
                <w:color w:val="000000"/>
                <w:kern w:val="0"/>
                <w:sz w:val="18"/>
                <w:szCs w:val="18"/>
              </w:rPr>
            </w:pPr>
            <w:r>
              <w:rPr>
                <w:rFonts w:hint="eastAsia" w:ascii="宋体" w:hAnsi="宋体" w:cs="宋体"/>
                <w:color w:val="000000"/>
                <w:kern w:val="0"/>
                <w:sz w:val="20"/>
                <w:szCs w:val="20"/>
                <w:lang w:val="en-US" w:eastAsia="zh-CN"/>
              </w:rPr>
              <w:t>94.4</w:t>
            </w:r>
            <w:r>
              <w:rPr>
                <w:rFonts w:hint="eastAsia" w:ascii="宋体" w:hAnsi="宋体" w:cs="宋体"/>
                <w:color w:val="000000"/>
                <w:kern w:val="0"/>
                <w:sz w:val="18"/>
                <w:szCs w:val="18"/>
              </w:rPr>
              <w:t>　</w:t>
            </w:r>
          </w:p>
        </w:tc>
      </w:tr>
    </w:tbl>
    <w:p w14:paraId="464A7B6C"/>
    <w:p w14:paraId="513A985C"/>
    <w:p w14:paraId="49BB40D8"/>
    <w:sectPr>
      <w:pgSz w:w="16838" w:h="11906" w:orient="landscape"/>
      <w:pgMar w:top="1800" w:right="2798"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06F6F">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016D03">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D016D03">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5EB78E0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7A98D1"/>
    <w:multiLevelType w:val="singleLevel"/>
    <w:tmpl w:val="3C7A98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4MGQxZWU2YzEyZTBjNmQxMzE5Zjc4ZTZkNTBjYjcifQ=="/>
  </w:docVars>
  <w:rsids>
    <w:rsidRoot w:val="F77F09F4"/>
    <w:rsid w:val="001756C5"/>
    <w:rsid w:val="00277A0D"/>
    <w:rsid w:val="003055CF"/>
    <w:rsid w:val="00354279"/>
    <w:rsid w:val="00370A25"/>
    <w:rsid w:val="00421B63"/>
    <w:rsid w:val="00462844"/>
    <w:rsid w:val="00786D11"/>
    <w:rsid w:val="007B236B"/>
    <w:rsid w:val="007B5F3F"/>
    <w:rsid w:val="007B79A7"/>
    <w:rsid w:val="007C75E7"/>
    <w:rsid w:val="00846033"/>
    <w:rsid w:val="00850A30"/>
    <w:rsid w:val="008C030E"/>
    <w:rsid w:val="00B12B20"/>
    <w:rsid w:val="00BC63EA"/>
    <w:rsid w:val="00C42928"/>
    <w:rsid w:val="00C743FB"/>
    <w:rsid w:val="00D42B17"/>
    <w:rsid w:val="00D84652"/>
    <w:rsid w:val="00D871BF"/>
    <w:rsid w:val="00EA2E0C"/>
    <w:rsid w:val="00F74FA5"/>
    <w:rsid w:val="07C733D5"/>
    <w:rsid w:val="08CD58EF"/>
    <w:rsid w:val="096E162E"/>
    <w:rsid w:val="0BC8771C"/>
    <w:rsid w:val="0D674D12"/>
    <w:rsid w:val="0E927B6D"/>
    <w:rsid w:val="0ECF9C51"/>
    <w:rsid w:val="113F2D53"/>
    <w:rsid w:val="1BAA77B9"/>
    <w:rsid w:val="1C142509"/>
    <w:rsid w:val="1D5A03F0"/>
    <w:rsid w:val="24AB32DF"/>
    <w:rsid w:val="286411A0"/>
    <w:rsid w:val="2C0F23A5"/>
    <w:rsid w:val="31E05861"/>
    <w:rsid w:val="334D3CD7"/>
    <w:rsid w:val="36F948DF"/>
    <w:rsid w:val="37173543"/>
    <w:rsid w:val="3D395516"/>
    <w:rsid w:val="3E3143FD"/>
    <w:rsid w:val="3F875848"/>
    <w:rsid w:val="3FDF3D66"/>
    <w:rsid w:val="3FF76880"/>
    <w:rsid w:val="432B7377"/>
    <w:rsid w:val="45772A5A"/>
    <w:rsid w:val="4E127DA7"/>
    <w:rsid w:val="50F6750C"/>
    <w:rsid w:val="52962F3D"/>
    <w:rsid w:val="54D71B77"/>
    <w:rsid w:val="55052414"/>
    <w:rsid w:val="56C01344"/>
    <w:rsid w:val="5A2020F4"/>
    <w:rsid w:val="5A851901"/>
    <w:rsid w:val="5C043425"/>
    <w:rsid w:val="5EF86B45"/>
    <w:rsid w:val="60194FC5"/>
    <w:rsid w:val="612260FC"/>
    <w:rsid w:val="62B337E3"/>
    <w:rsid w:val="66AF0431"/>
    <w:rsid w:val="6F2E481F"/>
    <w:rsid w:val="700E33A6"/>
    <w:rsid w:val="725039DB"/>
    <w:rsid w:val="74082F2F"/>
    <w:rsid w:val="753C7334"/>
    <w:rsid w:val="754B5348"/>
    <w:rsid w:val="78E73A5B"/>
    <w:rsid w:val="7AB7FF50"/>
    <w:rsid w:val="7BFEB0DB"/>
    <w:rsid w:val="7EEA390B"/>
    <w:rsid w:val="7F370B6C"/>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2360</Words>
  <Characters>2616</Characters>
  <Lines>35</Lines>
  <Paragraphs>9</Paragraphs>
  <TotalTime>10</TotalTime>
  <ScaleCrop>false</ScaleCrop>
  <LinksUpToDate>false</LinksUpToDate>
  <CharactersWithSpaces>2717</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yp</cp:lastModifiedBy>
  <cp:lastPrinted>2025-08-22T06:27:00Z</cp:lastPrinted>
  <dcterms:modified xsi:type="dcterms:W3CDTF">2025-08-26T09:21:27Z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65517151298B4E60BE0EE7F26F213D83_13</vt:lpwstr>
  </property>
  <property fmtid="{D5CDD505-2E9C-101B-9397-08002B2CF9AE}" pid="4" name="KSOTemplateDocerSaveRecord">
    <vt:lpwstr>eyJoZGlkIjoiZmY4MGQxZWU2YzEyZTBjNmQxMzE5Zjc4ZTZkNTBjYjciLCJ1c2VySWQiOiIyNDU0NzI1OTIifQ==</vt:lpwstr>
  </property>
</Properties>
</file>