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11D" w:rsidRDefault="0000711D">
      <w:pPr>
        <w:adjustRightInd w:val="0"/>
        <w:snapToGrid w:val="0"/>
        <w:spacing w:line="360" w:lineRule="auto"/>
        <w:jc w:val="center"/>
        <w:rPr>
          <w:rFonts w:ascii="楷体" w:eastAsia="楷体" w:hAnsi="楷体"/>
          <w:b/>
          <w:sz w:val="36"/>
          <w:szCs w:val="36"/>
          <w:lang w:val="zh-CN"/>
        </w:rPr>
      </w:pPr>
    </w:p>
    <w:p w:rsidR="0000711D" w:rsidRDefault="00A938D4">
      <w:pPr>
        <w:adjustRightInd w:val="0"/>
        <w:snapToGrid w:val="0"/>
        <w:spacing w:line="360" w:lineRule="auto"/>
        <w:jc w:val="center"/>
        <w:rPr>
          <w:rFonts w:ascii="楷体" w:eastAsia="楷体" w:hAnsi="楷体"/>
          <w:b/>
          <w:sz w:val="34"/>
          <w:szCs w:val="34"/>
        </w:rPr>
      </w:pPr>
      <w:bookmarkStart w:id="0" w:name="_Hlk136357841"/>
      <w:r>
        <w:rPr>
          <w:rFonts w:ascii="楷体" w:eastAsia="楷体" w:hAnsi="楷体" w:hint="eastAsia"/>
          <w:b/>
          <w:sz w:val="34"/>
          <w:szCs w:val="34"/>
        </w:rPr>
        <w:t>2</w:t>
      </w:r>
      <w:bookmarkEnd w:id="0"/>
      <w:r>
        <w:rPr>
          <w:rFonts w:ascii="楷体" w:eastAsia="楷体" w:hAnsi="楷体" w:hint="eastAsia"/>
          <w:b/>
          <w:sz w:val="34"/>
          <w:szCs w:val="34"/>
        </w:rPr>
        <w:t>022-2024年度北京市行政复议与应诉工作平台建设项目</w:t>
      </w:r>
    </w:p>
    <w:p w:rsidR="0000711D" w:rsidRDefault="00A938D4">
      <w:pPr>
        <w:adjustRightInd w:val="0"/>
        <w:snapToGrid w:val="0"/>
        <w:spacing w:line="360" w:lineRule="auto"/>
        <w:jc w:val="center"/>
        <w:rPr>
          <w:rFonts w:ascii="黑体" w:eastAsia="黑体" w:hAnsi="黑体"/>
          <w:b/>
          <w:sz w:val="72"/>
          <w:szCs w:val="72"/>
          <w:lang w:val="zh-CN"/>
        </w:rPr>
      </w:pPr>
      <w:r>
        <w:rPr>
          <w:rFonts w:ascii="黑体" w:eastAsia="黑体" w:hAnsi="黑体" w:hint="eastAsia"/>
          <w:b/>
          <w:sz w:val="72"/>
          <w:szCs w:val="72"/>
          <w:lang w:val="zh-CN"/>
        </w:rPr>
        <w:t>绩 效 评 价 报 告</w:t>
      </w:r>
    </w:p>
    <w:p w:rsidR="0000711D" w:rsidRDefault="0000711D">
      <w:pPr>
        <w:adjustRightInd w:val="0"/>
        <w:snapToGrid w:val="0"/>
        <w:spacing w:line="360" w:lineRule="auto"/>
        <w:jc w:val="left"/>
        <w:rPr>
          <w:rFonts w:ascii="仿宋_GB2312" w:hAnsi="黑体"/>
          <w:i/>
          <w:iCs/>
          <w:sz w:val="32"/>
          <w:szCs w:val="32"/>
          <w:lang w:val="zh-CN"/>
        </w:rPr>
      </w:pPr>
    </w:p>
    <w:p w:rsidR="0000711D" w:rsidRDefault="0000711D">
      <w:pPr>
        <w:adjustRightInd w:val="0"/>
        <w:snapToGrid w:val="0"/>
        <w:spacing w:line="360" w:lineRule="auto"/>
        <w:jc w:val="left"/>
        <w:rPr>
          <w:rFonts w:ascii="仿宋_GB2312" w:hAnsi="黑体"/>
          <w:i/>
          <w:iCs/>
          <w:sz w:val="32"/>
          <w:szCs w:val="32"/>
          <w:lang w:val="zh-CN"/>
        </w:rPr>
      </w:pPr>
    </w:p>
    <w:p w:rsidR="0000711D" w:rsidRDefault="0000711D">
      <w:pPr>
        <w:adjustRightInd w:val="0"/>
        <w:snapToGrid w:val="0"/>
        <w:spacing w:line="360" w:lineRule="auto"/>
        <w:jc w:val="left"/>
        <w:rPr>
          <w:rFonts w:ascii="仿宋_GB2312" w:hAnsi="黑体"/>
          <w:i/>
          <w:iCs/>
          <w:sz w:val="32"/>
          <w:szCs w:val="32"/>
          <w:lang w:val="zh-CN"/>
        </w:rPr>
      </w:pPr>
    </w:p>
    <w:p w:rsidR="0000711D" w:rsidRDefault="0000711D">
      <w:pPr>
        <w:adjustRightInd w:val="0"/>
        <w:snapToGrid w:val="0"/>
        <w:spacing w:line="360" w:lineRule="auto"/>
        <w:jc w:val="left"/>
        <w:rPr>
          <w:rFonts w:ascii="仿宋_GB2312" w:hAnsi="黑体"/>
          <w:i/>
          <w:iCs/>
          <w:sz w:val="32"/>
          <w:szCs w:val="32"/>
          <w:lang w:val="zh-CN"/>
        </w:rPr>
      </w:pPr>
    </w:p>
    <w:p w:rsidR="0000711D" w:rsidRDefault="0000711D">
      <w:pPr>
        <w:adjustRightInd w:val="0"/>
        <w:snapToGrid w:val="0"/>
        <w:spacing w:line="360" w:lineRule="auto"/>
        <w:jc w:val="left"/>
        <w:rPr>
          <w:rFonts w:ascii="仿宋_GB2312" w:hAnsi="黑体"/>
          <w:i/>
          <w:iCs/>
          <w:sz w:val="32"/>
          <w:szCs w:val="32"/>
          <w:lang w:val="zh-CN"/>
        </w:rPr>
      </w:pPr>
    </w:p>
    <w:p w:rsidR="0000711D" w:rsidRDefault="0000711D">
      <w:pPr>
        <w:adjustRightInd w:val="0"/>
        <w:snapToGrid w:val="0"/>
        <w:spacing w:line="360" w:lineRule="auto"/>
        <w:jc w:val="left"/>
        <w:rPr>
          <w:rFonts w:ascii="黑体" w:eastAsia="黑体" w:hAnsi="黑体"/>
          <w:sz w:val="32"/>
          <w:szCs w:val="32"/>
          <w:lang w:val="zh-CN"/>
        </w:rPr>
      </w:pPr>
    </w:p>
    <w:p w:rsidR="0000711D" w:rsidRDefault="0000711D">
      <w:pPr>
        <w:adjustRightInd w:val="0"/>
        <w:snapToGrid w:val="0"/>
        <w:spacing w:line="360" w:lineRule="auto"/>
        <w:jc w:val="left"/>
        <w:rPr>
          <w:rFonts w:ascii="黑体" w:eastAsia="黑体" w:hAnsi="黑体"/>
          <w:sz w:val="32"/>
          <w:szCs w:val="32"/>
          <w:lang w:val="zh-CN"/>
        </w:rPr>
      </w:pPr>
    </w:p>
    <w:p w:rsidR="0000711D" w:rsidRDefault="0000711D">
      <w:pPr>
        <w:adjustRightInd w:val="0"/>
        <w:snapToGrid w:val="0"/>
        <w:spacing w:line="360" w:lineRule="auto"/>
        <w:jc w:val="left"/>
        <w:rPr>
          <w:rFonts w:ascii="黑体" w:eastAsia="黑体" w:hAnsi="黑体"/>
          <w:sz w:val="32"/>
          <w:szCs w:val="32"/>
          <w:lang w:val="zh-CN"/>
        </w:rPr>
      </w:pPr>
    </w:p>
    <w:p w:rsidR="0000711D" w:rsidRDefault="0000711D">
      <w:pPr>
        <w:adjustRightInd w:val="0"/>
        <w:snapToGrid w:val="0"/>
        <w:spacing w:line="360" w:lineRule="auto"/>
        <w:jc w:val="left"/>
        <w:rPr>
          <w:rFonts w:ascii="黑体" w:eastAsia="黑体" w:hAnsi="黑体"/>
          <w:sz w:val="32"/>
          <w:szCs w:val="32"/>
          <w:lang w:val="zh-CN"/>
        </w:rPr>
      </w:pPr>
    </w:p>
    <w:p w:rsidR="0000711D" w:rsidRDefault="0000711D">
      <w:pPr>
        <w:adjustRightInd w:val="0"/>
        <w:snapToGrid w:val="0"/>
        <w:spacing w:line="360" w:lineRule="auto"/>
        <w:jc w:val="left"/>
        <w:rPr>
          <w:rFonts w:ascii="黑体" w:eastAsia="黑体" w:hAnsi="黑体"/>
          <w:sz w:val="32"/>
          <w:szCs w:val="32"/>
          <w:lang w:val="zh-CN"/>
        </w:rPr>
      </w:pPr>
    </w:p>
    <w:p w:rsidR="0000711D" w:rsidRDefault="00A938D4">
      <w:pPr>
        <w:adjustRightInd w:val="0"/>
        <w:snapToGrid w:val="0"/>
        <w:spacing w:line="360" w:lineRule="auto"/>
        <w:jc w:val="center"/>
        <w:rPr>
          <w:rFonts w:ascii="楷体" w:eastAsia="楷体" w:hAnsi="楷体"/>
          <w:b/>
          <w:sz w:val="44"/>
          <w:szCs w:val="44"/>
          <w:lang w:val="zh-CN"/>
        </w:rPr>
      </w:pPr>
      <w:r>
        <w:rPr>
          <w:rFonts w:ascii="楷体" w:eastAsia="楷体" w:hAnsi="楷体" w:hint="eastAsia"/>
          <w:b/>
          <w:sz w:val="44"/>
          <w:szCs w:val="44"/>
        </w:rPr>
        <w:t>北京市司法局</w:t>
      </w:r>
    </w:p>
    <w:p w:rsidR="0000711D" w:rsidRDefault="0000711D">
      <w:pPr>
        <w:adjustRightInd w:val="0"/>
        <w:snapToGrid w:val="0"/>
        <w:spacing w:line="360" w:lineRule="auto"/>
        <w:jc w:val="center"/>
        <w:rPr>
          <w:rFonts w:ascii="仿宋_GB2312" w:hAnsi="仿宋"/>
          <w:b/>
          <w:i/>
          <w:sz w:val="32"/>
          <w:szCs w:val="32"/>
          <w:lang w:val="zh-CN"/>
        </w:rPr>
      </w:pPr>
    </w:p>
    <w:p w:rsidR="0000711D" w:rsidRDefault="00A938D4">
      <w:pPr>
        <w:adjustRightInd w:val="0"/>
        <w:snapToGrid w:val="0"/>
        <w:spacing w:line="360" w:lineRule="auto"/>
        <w:jc w:val="center"/>
        <w:rPr>
          <w:rFonts w:ascii="仿宋_GB2312" w:hAnsi="仿宋"/>
          <w:b/>
          <w:sz w:val="32"/>
          <w:szCs w:val="32"/>
          <w:lang w:val="zh-CN"/>
        </w:rPr>
        <w:sectPr w:rsidR="0000711D" w:rsidSect="00A938D4">
          <w:footerReference w:type="default" r:id="rId9"/>
          <w:pgSz w:w="11906" w:h="16838"/>
          <w:pgMar w:top="2098" w:right="1531" w:bottom="1985" w:left="1531" w:header="851" w:footer="992" w:gutter="0"/>
          <w:cols w:space="425"/>
          <w:docGrid w:linePitch="312"/>
        </w:sectPr>
      </w:pPr>
      <w:r>
        <w:rPr>
          <w:rFonts w:ascii="仿宋_GB2312" w:hAnsi="仿宋" w:hint="eastAsia"/>
          <w:b/>
          <w:sz w:val="32"/>
          <w:szCs w:val="32"/>
          <w:lang w:val="zh-CN"/>
        </w:rPr>
        <w:t>20</w:t>
      </w:r>
      <w:r>
        <w:rPr>
          <w:rFonts w:ascii="仿宋_GB2312" w:hAnsi="仿宋"/>
          <w:b/>
          <w:sz w:val="32"/>
          <w:szCs w:val="32"/>
          <w:lang w:val="zh-CN"/>
        </w:rPr>
        <w:t>2</w:t>
      </w:r>
      <w:r>
        <w:rPr>
          <w:rFonts w:ascii="仿宋_GB2312" w:hAnsi="仿宋" w:hint="eastAsia"/>
          <w:b/>
          <w:sz w:val="32"/>
          <w:szCs w:val="32"/>
          <w:lang w:val="zh-CN"/>
        </w:rPr>
        <w:t>5年</w:t>
      </w:r>
      <w:r>
        <w:rPr>
          <w:rFonts w:ascii="仿宋_GB2312" w:hAnsi="仿宋"/>
          <w:b/>
          <w:sz w:val="32"/>
          <w:szCs w:val="32"/>
        </w:rPr>
        <w:t>5</w:t>
      </w:r>
      <w:r>
        <w:rPr>
          <w:rFonts w:ascii="仿宋_GB2312" w:hAnsi="仿宋" w:hint="eastAsia"/>
          <w:b/>
          <w:sz w:val="32"/>
          <w:szCs w:val="32"/>
          <w:lang w:val="zh-CN"/>
        </w:rPr>
        <w:t>月</w:t>
      </w:r>
    </w:p>
    <w:p w:rsidR="0000711D" w:rsidRDefault="00A938D4">
      <w:pPr>
        <w:adjustRightInd w:val="0"/>
        <w:snapToGrid w:val="0"/>
        <w:spacing w:line="600" w:lineRule="exact"/>
        <w:jc w:val="center"/>
        <w:rPr>
          <w:rFonts w:ascii="黑体" w:eastAsia="黑体" w:hAnsi="华文中宋"/>
          <w:bCs/>
          <w:sz w:val="32"/>
          <w:szCs w:val="32"/>
        </w:rPr>
      </w:pPr>
      <w:r>
        <w:rPr>
          <w:rFonts w:ascii="黑体" w:eastAsia="黑体" w:hAnsi="华文中宋" w:hint="eastAsia"/>
          <w:bCs/>
          <w:sz w:val="32"/>
          <w:szCs w:val="32"/>
        </w:rPr>
        <w:lastRenderedPageBreak/>
        <w:t xml:space="preserve">目 </w:t>
      </w:r>
      <w:r>
        <w:rPr>
          <w:rFonts w:ascii="黑体" w:eastAsia="黑体" w:hAnsi="华文中宋"/>
          <w:bCs/>
          <w:sz w:val="32"/>
          <w:szCs w:val="32"/>
        </w:rPr>
        <w:t xml:space="preserve"> </w:t>
      </w:r>
      <w:r>
        <w:rPr>
          <w:rFonts w:ascii="黑体" w:eastAsia="黑体" w:hAnsi="华文中宋" w:hint="eastAsia"/>
          <w:bCs/>
          <w:sz w:val="32"/>
          <w:szCs w:val="32"/>
        </w:rPr>
        <w:t>录</w:t>
      </w:r>
    </w:p>
    <w:p w:rsidR="0000711D" w:rsidRDefault="00A938D4">
      <w:pPr>
        <w:pStyle w:val="10"/>
        <w:tabs>
          <w:tab w:val="right" w:leader="dot" w:pos="8834"/>
        </w:tabs>
        <w:adjustRightInd w:val="0"/>
        <w:snapToGrid w:val="0"/>
        <w:spacing w:line="560" w:lineRule="exact"/>
        <w:rPr>
          <w:rFonts w:ascii="仿宋_GB2312" w:hAnsiTheme="minorHAnsi" w:cstheme="minorBidi"/>
          <w:sz w:val="32"/>
          <w:szCs w:val="32"/>
          <w14:ligatures w14:val="standardContextual"/>
        </w:rPr>
      </w:pPr>
      <w:r>
        <w:rPr>
          <w:rFonts w:ascii="仿宋_GB2312" w:hAnsi="黑体" w:cs="Calibri" w:hint="eastAsia"/>
          <w:b/>
          <w:caps/>
          <w:sz w:val="32"/>
          <w:szCs w:val="32"/>
        </w:rPr>
        <w:fldChar w:fldCharType="begin"/>
      </w:r>
      <w:r>
        <w:rPr>
          <w:rFonts w:ascii="仿宋_GB2312" w:hAnsi="黑体" w:hint="eastAsia"/>
          <w:sz w:val="32"/>
          <w:szCs w:val="32"/>
        </w:rPr>
        <w:instrText xml:space="preserve"> TOC \o "1-2" \h \z \u </w:instrText>
      </w:r>
      <w:r>
        <w:rPr>
          <w:rFonts w:ascii="仿宋_GB2312" w:hAnsi="黑体" w:cs="Calibri" w:hint="eastAsia"/>
          <w:b/>
          <w:caps/>
          <w:sz w:val="32"/>
          <w:szCs w:val="32"/>
        </w:rPr>
        <w:fldChar w:fldCharType="separate"/>
      </w:r>
      <w:hyperlink w:anchor="_Toc198040020" w:history="1">
        <w:r>
          <w:rPr>
            <w:rStyle w:val="af"/>
            <w:rFonts w:ascii="仿宋_GB2312" w:hint="eastAsia"/>
            <w:sz w:val="32"/>
            <w:szCs w:val="32"/>
          </w:rPr>
          <w:t>一、基本情况</w:t>
        </w:r>
        <w:r>
          <w:rPr>
            <w:rFonts w:ascii="仿宋_GB2312" w:hint="eastAsia"/>
            <w:sz w:val="32"/>
            <w:szCs w:val="32"/>
          </w:rPr>
          <w:tab/>
        </w:r>
        <w:r>
          <w:rPr>
            <w:rFonts w:ascii="仿宋_GB2312" w:hint="eastAsia"/>
            <w:sz w:val="32"/>
            <w:szCs w:val="32"/>
          </w:rPr>
          <w:fldChar w:fldCharType="begin"/>
        </w:r>
        <w:r>
          <w:rPr>
            <w:rFonts w:ascii="仿宋_GB2312" w:hint="eastAsia"/>
            <w:sz w:val="32"/>
            <w:szCs w:val="32"/>
          </w:rPr>
          <w:instrText xml:space="preserve"> PAGEREF _Toc198040020 \h </w:instrText>
        </w:r>
        <w:r>
          <w:rPr>
            <w:rFonts w:ascii="仿宋_GB2312" w:hint="eastAsia"/>
            <w:sz w:val="32"/>
            <w:szCs w:val="32"/>
          </w:rPr>
        </w:r>
        <w:r>
          <w:rPr>
            <w:rFonts w:ascii="仿宋_GB2312" w:hint="eastAsia"/>
            <w:sz w:val="32"/>
            <w:szCs w:val="32"/>
          </w:rPr>
          <w:fldChar w:fldCharType="separate"/>
        </w:r>
        <w:r>
          <w:rPr>
            <w:rFonts w:ascii="仿宋_GB2312" w:hint="eastAsia"/>
            <w:sz w:val="32"/>
            <w:szCs w:val="32"/>
          </w:rPr>
          <w:t>1</w:t>
        </w:r>
        <w:r>
          <w:rPr>
            <w:rFonts w:ascii="仿宋_GB2312" w:hint="eastAsia"/>
            <w:sz w:val="32"/>
            <w:szCs w:val="32"/>
          </w:rPr>
          <w:fldChar w:fldCharType="end"/>
        </w:r>
      </w:hyperlink>
    </w:p>
    <w:p w:rsidR="0000711D" w:rsidRDefault="00A938D4">
      <w:pPr>
        <w:pStyle w:val="21"/>
        <w:tabs>
          <w:tab w:val="right" w:leader="dot" w:pos="8834"/>
        </w:tabs>
        <w:adjustRightInd w:val="0"/>
        <w:snapToGrid w:val="0"/>
        <w:spacing w:line="560" w:lineRule="exact"/>
        <w:ind w:leftChars="0" w:left="0"/>
        <w:rPr>
          <w:rFonts w:ascii="仿宋_GB2312" w:hAnsiTheme="minorHAnsi" w:cstheme="minorBidi"/>
          <w:sz w:val="32"/>
          <w:szCs w:val="32"/>
          <w14:ligatures w14:val="standardContextual"/>
        </w:rPr>
      </w:pPr>
      <w:hyperlink w:anchor="_Toc198040021" w:history="1">
        <w:r>
          <w:rPr>
            <w:rStyle w:val="af"/>
            <w:rFonts w:ascii="仿宋_GB2312" w:hint="eastAsia"/>
            <w:sz w:val="32"/>
            <w:szCs w:val="32"/>
          </w:rPr>
          <w:t>（一）项目概况</w:t>
        </w:r>
        <w:r>
          <w:rPr>
            <w:rFonts w:ascii="仿宋_GB2312" w:hint="eastAsia"/>
            <w:sz w:val="32"/>
            <w:szCs w:val="32"/>
          </w:rPr>
          <w:tab/>
        </w:r>
        <w:r>
          <w:rPr>
            <w:rFonts w:ascii="仿宋_GB2312" w:hint="eastAsia"/>
            <w:sz w:val="32"/>
            <w:szCs w:val="32"/>
          </w:rPr>
          <w:fldChar w:fldCharType="begin"/>
        </w:r>
        <w:r>
          <w:rPr>
            <w:rFonts w:ascii="仿宋_GB2312" w:hint="eastAsia"/>
            <w:sz w:val="32"/>
            <w:szCs w:val="32"/>
          </w:rPr>
          <w:instrText xml:space="preserve"> PAGEREF _Toc198040021 \h </w:instrText>
        </w:r>
        <w:r>
          <w:rPr>
            <w:rFonts w:ascii="仿宋_GB2312" w:hint="eastAsia"/>
            <w:sz w:val="32"/>
            <w:szCs w:val="32"/>
          </w:rPr>
        </w:r>
        <w:r>
          <w:rPr>
            <w:rFonts w:ascii="仿宋_GB2312" w:hint="eastAsia"/>
            <w:sz w:val="32"/>
            <w:szCs w:val="32"/>
          </w:rPr>
          <w:fldChar w:fldCharType="separate"/>
        </w:r>
        <w:r>
          <w:rPr>
            <w:rFonts w:ascii="仿宋_GB2312" w:hint="eastAsia"/>
            <w:sz w:val="32"/>
            <w:szCs w:val="32"/>
          </w:rPr>
          <w:t>1</w:t>
        </w:r>
        <w:r>
          <w:rPr>
            <w:rFonts w:ascii="仿宋_GB2312" w:hint="eastAsia"/>
            <w:sz w:val="32"/>
            <w:szCs w:val="32"/>
          </w:rPr>
          <w:fldChar w:fldCharType="end"/>
        </w:r>
      </w:hyperlink>
    </w:p>
    <w:p w:rsidR="0000711D" w:rsidRDefault="00A938D4">
      <w:pPr>
        <w:pStyle w:val="21"/>
        <w:tabs>
          <w:tab w:val="right" w:leader="dot" w:pos="8834"/>
        </w:tabs>
        <w:adjustRightInd w:val="0"/>
        <w:snapToGrid w:val="0"/>
        <w:spacing w:line="560" w:lineRule="exact"/>
        <w:ind w:leftChars="0" w:left="0"/>
        <w:rPr>
          <w:rFonts w:ascii="仿宋_GB2312" w:hAnsiTheme="minorHAnsi" w:cstheme="minorBidi"/>
          <w:sz w:val="32"/>
          <w:szCs w:val="32"/>
          <w14:ligatures w14:val="standardContextual"/>
        </w:rPr>
      </w:pPr>
      <w:hyperlink w:anchor="_Toc198040022" w:history="1">
        <w:r>
          <w:rPr>
            <w:rStyle w:val="af"/>
            <w:rFonts w:ascii="仿宋_GB2312" w:hint="eastAsia"/>
            <w:sz w:val="32"/>
            <w:szCs w:val="32"/>
          </w:rPr>
          <w:t>（二）项目绩效目标</w:t>
        </w:r>
        <w:r>
          <w:rPr>
            <w:rFonts w:ascii="仿宋_GB2312" w:hint="eastAsia"/>
            <w:sz w:val="32"/>
            <w:szCs w:val="32"/>
          </w:rPr>
          <w:tab/>
        </w:r>
        <w:r>
          <w:rPr>
            <w:rFonts w:ascii="仿宋_GB2312" w:hint="eastAsia"/>
            <w:sz w:val="32"/>
            <w:szCs w:val="32"/>
          </w:rPr>
          <w:fldChar w:fldCharType="begin"/>
        </w:r>
        <w:r>
          <w:rPr>
            <w:rFonts w:ascii="仿宋_GB2312" w:hint="eastAsia"/>
            <w:sz w:val="32"/>
            <w:szCs w:val="32"/>
          </w:rPr>
          <w:instrText xml:space="preserve"> PAGEREF _Toc198040022 \h </w:instrText>
        </w:r>
        <w:r>
          <w:rPr>
            <w:rFonts w:ascii="仿宋_GB2312" w:hint="eastAsia"/>
            <w:sz w:val="32"/>
            <w:szCs w:val="32"/>
          </w:rPr>
        </w:r>
        <w:r>
          <w:rPr>
            <w:rFonts w:ascii="仿宋_GB2312" w:hint="eastAsia"/>
            <w:sz w:val="32"/>
            <w:szCs w:val="32"/>
          </w:rPr>
          <w:fldChar w:fldCharType="separate"/>
        </w:r>
        <w:r>
          <w:rPr>
            <w:rFonts w:ascii="仿宋_GB2312" w:hint="eastAsia"/>
            <w:sz w:val="32"/>
            <w:szCs w:val="32"/>
          </w:rPr>
          <w:t>3</w:t>
        </w:r>
        <w:r>
          <w:rPr>
            <w:rFonts w:ascii="仿宋_GB2312" w:hint="eastAsia"/>
            <w:sz w:val="32"/>
            <w:szCs w:val="32"/>
          </w:rPr>
          <w:fldChar w:fldCharType="end"/>
        </w:r>
      </w:hyperlink>
    </w:p>
    <w:p w:rsidR="0000711D" w:rsidRDefault="00A938D4">
      <w:pPr>
        <w:pStyle w:val="10"/>
        <w:tabs>
          <w:tab w:val="right" w:leader="dot" w:pos="8834"/>
        </w:tabs>
        <w:adjustRightInd w:val="0"/>
        <w:snapToGrid w:val="0"/>
        <w:spacing w:line="560" w:lineRule="exact"/>
        <w:rPr>
          <w:rFonts w:ascii="仿宋_GB2312" w:hAnsiTheme="minorHAnsi" w:cstheme="minorBidi"/>
          <w:sz w:val="32"/>
          <w:szCs w:val="32"/>
          <w14:ligatures w14:val="standardContextual"/>
        </w:rPr>
      </w:pPr>
      <w:hyperlink w:anchor="_Toc198040023" w:history="1">
        <w:r>
          <w:rPr>
            <w:rStyle w:val="af"/>
            <w:rFonts w:ascii="仿宋_GB2312" w:hint="eastAsia"/>
            <w:sz w:val="32"/>
            <w:szCs w:val="32"/>
          </w:rPr>
          <w:t>二、绩效评价工作开展情况</w:t>
        </w:r>
        <w:r>
          <w:rPr>
            <w:rFonts w:ascii="仿宋_GB2312" w:hint="eastAsia"/>
            <w:sz w:val="32"/>
            <w:szCs w:val="32"/>
          </w:rPr>
          <w:tab/>
        </w:r>
        <w:r>
          <w:rPr>
            <w:rFonts w:ascii="仿宋_GB2312" w:hint="eastAsia"/>
            <w:sz w:val="32"/>
            <w:szCs w:val="32"/>
          </w:rPr>
          <w:fldChar w:fldCharType="begin"/>
        </w:r>
        <w:r>
          <w:rPr>
            <w:rFonts w:ascii="仿宋_GB2312" w:hint="eastAsia"/>
            <w:sz w:val="32"/>
            <w:szCs w:val="32"/>
          </w:rPr>
          <w:instrText xml:space="preserve"> PAGEREF _Toc198040023 \h </w:instrText>
        </w:r>
        <w:r>
          <w:rPr>
            <w:rFonts w:ascii="仿宋_GB2312" w:hint="eastAsia"/>
            <w:sz w:val="32"/>
            <w:szCs w:val="32"/>
          </w:rPr>
        </w:r>
        <w:r>
          <w:rPr>
            <w:rFonts w:ascii="仿宋_GB2312" w:hint="eastAsia"/>
            <w:sz w:val="32"/>
            <w:szCs w:val="32"/>
          </w:rPr>
          <w:fldChar w:fldCharType="separate"/>
        </w:r>
        <w:r>
          <w:rPr>
            <w:rFonts w:ascii="仿宋_GB2312" w:hint="eastAsia"/>
            <w:sz w:val="32"/>
            <w:szCs w:val="32"/>
          </w:rPr>
          <w:t>4</w:t>
        </w:r>
        <w:r>
          <w:rPr>
            <w:rFonts w:ascii="仿宋_GB2312" w:hint="eastAsia"/>
            <w:sz w:val="32"/>
            <w:szCs w:val="32"/>
          </w:rPr>
          <w:fldChar w:fldCharType="end"/>
        </w:r>
      </w:hyperlink>
    </w:p>
    <w:p w:rsidR="0000711D" w:rsidRDefault="00A938D4">
      <w:pPr>
        <w:pStyle w:val="21"/>
        <w:tabs>
          <w:tab w:val="right" w:leader="dot" w:pos="8834"/>
        </w:tabs>
        <w:adjustRightInd w:val="0"/>
        <w:snapToGrid w:val="0"/>
        <w:spacing w:line="560" w:lineRule="exact"/>
        <w:ind w:leftChars="0" w:left="0"/>
        <w:rPr>
          <w:rFonts w:ascii="仿宋_GB2312" w:hAnsiTheme="minorHAnsi" w:cstheme="minorBidi"/>
          <w:sz w:val="32"/>
          <w:szCs w:val="32"/>
          <w14:ligatures w14:val="standardContextual"/>
        </w:rPr>
      </w:pPr>
      <w:hyperlink w:anchor="_Toc198040024" w:history="1">
        <w:r>
          <w:rPr>
            <w:rStyle w:val="af"/>
            <w:rFonts w:ascii="仿宋_GB2312" w:hint="eastAsia"/>
            <w:sz w:val="32"/>
            <w:szCs w:val="32"/>
          </w:rPr>
          <w:t>（一）绩效评价目的、对象及范围</w:t>
        </w:r>
        <w:r>
          <w:rPr>
            <w:rFonts w:ascii="仿宋_GB2312" w:hint="eastAsia"/>
            <w:sz w:val="32"/>
            <w:szCs w:val="32"/>
          </w:rPr>
          <w:tab/>
        </w:r>
        <w:r>
          <w:rPr>
            <w:rFonts w:ascii="仿宋_GB2312" w:hint="eastAsia"/>
            <w:sz w:val="32"/>
            <w:szCs w:val="32"/>
          </w:rPr>
          <w:fldChar w:fldCharType="begin"/>
        </w:r>
        <w:r>
          <w:rPr>
            <w:rFonts w:ascii="仿宋_GB2312" w:hint="eastAsia"/>
            <w:sz w:val="32"/>
            <w:szCs w:val="32"/>
          </w:rPr>
          <w:instrText xml:space="preserve"> PAGEREF _Toc198040024 \h </w:instrText>
        </w:r>
        <w:r>
          <w:rPr>
            <w:rFonts w:ascii="仿宋_GB2312" w:hint="eastAsia"/>
            <w:sz w:val="32"/>
            <w:szCs w:val="32"/>
          </w:rPr>
        </w:r>
        <w:r>
          <w:rPr>
            <w:rFonts w:ascii="仿宋_GB2312" w:hint="eastAsia"/>
            <w:sz w:val="32"/>
            <w:szCs w:val="32"/>
          </w:rPr>
          <w:fldChar w:fldCharType="separate"/>
        </w:r>
        <w:r>
          <w:rPr>
            <w:rFonts w:ascii="仿宋_GB2312" w:hint="eastAsia"/>
            <w:sz w:val="32"/>
            <w:szCs w:val="32"/>
          </w:rPr>
          <w:t>4</w:t>
        </w:r>
        <w:r>
          <w:rPr>
            <w:rFonts w:ascii="仿宋_GB2312" w:hint="eastAsia"/>
            <w:sz w:val="32"/>
            <w:szCs w:val="32"/>
          </w:rPr>
          <w:fldChar w:fldCharType="end"/>
        </w:r>
      </w:hyperlink>
    </w:p>
    <w:p w:rsidR="0000711D" w:rsidRDefault="00A938D4">
      <w:pPr>
        <w:pStyle w:val="21"/>
        <w:tabs>
          <w:tab w:val="right" w:leader="dot" w:pos="8834"/>
        </w:tabs>
        <w:adjustRightInd w:val="0"/>
        <w:snapToGrid w:val="0"/>
        <w:spacing w:line="560" w:lineRule="exact"/>
        <w:ind w:leftChars="0" w:left="0"/>
        <w:rPr>
          <w:rFonts w:ascii="仿宋_GB2312" w:hAnsiTheme="minorHAnsi" w:cstheme="minorBidi"/>
          <w:sz w:val="32"/>
          <w:szCs w:val="32"/>
          <w14:ligatures w14:val="standardContextual"/>
        </w:rPr>
      </w:pPr>
      <w:hyperlink w:anchor="_Toc198040025" w:history="1">
        <w:r>
          <w:rPr>
            <w:rStyle w:val="af"/>
            <w:rFonts w:ascii="仿宋_GB2312" w:hint="eastAsia"/>
            <w:sz w:val="32"/>
            <w:szCs w:val="32"/>
          </w:rPr>
          <w:t>（二）绩效评价原则、方法及指标体系</w:t>
        </w:r>
        <w:r>
          <w:rPr>
            <w:rFonts w:ascii="仿宋_GB2312" w:hint="eastAsia"/>
            <w:sz w:val="32"/>
            <w:szCs w:val="32"/>
          </w:rPr>
          <w:tab/>
        </w:r>
        <w:r>
          <w:rPr>
            <w:rFonts w:ascii="仿宋_GB2312" w:hint="eastAsia"/>
            <w:sz w:val="32"/>
            <w:szCs w:val="32"/>
          </w:rPr>
          <w:fldChar w:fldCharType="begin"/>
        </w:r>
        <w:r>
          <w:rPr>
            <w:rFonts w:ascii="仿宋_GB2312" w:hint="eastAsia"/>
            <w:sz w:val="32"/>
            <w:szCs w:val="32"/>
          </w:rPr>
          <w:instrText xml:space="preserve"> PAGEREF _Toc198040025 \h </w:instrText>
        </w:r>
        <w:r>
          <w:rPr>
            <w:rFonts w:ascii="仿宋_GB2312" w:hint="eastAsia"/>
            <w:sz w:val="32"/>
            <w:szCs w:val="32"/>
          </w:rPr>
        </w:r>
        <w:r>
          <w:rPr>
            <w:rFonts w:ascii="仿宋_GB2312" w:hint="eastAsia"/>
            <w:sz w:val="32"/>
            <w:szCs w:val="32"/>
          </w:rPr>
          <w:fldChar w:fldCharType="separate"/>
        </w:r>
        <w:r>
          <w:rPr>
            <w:rFonts w:ascii="仿宋_GB2312" w:hint="eastAsia"/>
            <w:sz w:val="32"/>
            <w:szCs w:val="32"/>
          </w:rPr>
          <w:t>5</w:t>
        </w:r>
        <w:r>
          <w:rPr>
            <w:rFonts w:ascii="仿宋_GB2312" w:hint="eastAsia"/>
            <w:sz w:val="32"/>
            <w:szCs w:val="32"/>
          </w:rPr>
          <w:fldChar w:fldCharType="end"/>
        </w:r>
      </w:hyperlink>
    </w:p>
    <w:p w:rsidR="0000711D" w:rsidRDefault="00A938D4">
      <w:pPr>
        <w:pStyle w:val="21"/>
        <w:tabs>
          <w:tab w:val="right" w:leader="dot" w:pos="8834"/>
        </w:tabs>
        <w:adjustRightInd w:val="0"/>
        <w:snapToGrid w:val="0"/>
        <w:spacing w:line="560" w:lineRule="exact"/>
        <w:ind w:leftChars="0" w:left="0"/>
        <w:rPr>
          <w:rFonts w:ascii="仿宋_GB2312" w:hAnsiTheme="minorHAnsi" w:cstheme="minorBidi"/>
          <w:sz w:val="32"/>
          <w:szCs w:val="32"/>
          <w14:ligatures w14:val="standardContextual"/>
        </w:rPr>
      </w:pPr>
      <w:hyperlink w:anchor="_Toc198040026" w:history="1">
        <w:r>
          <w:rPr>
            <w:rStyle w:val="af"/>
            <w:rFonts w:ascii="仿宋_GB2312" w:hint="eastAsia"/>
            <w:sz w:val="32"/>
            <w:szCs w:val="32"/>
          </w:rPr>
          <w:t>（三）绩效评价工作过程</w:t>
        </w:r>
        <w:r>
          <w:rPr>
            <w:rFonts w:ascii="仿宋_GB2312" w:hint="eastAsia"/>
            <w:sz w:val="32"/>
            <w:szCs w:val="32"/>
          </w:rPr>
          <w:tab/>
        </w:r>
        <w:r>
          <w:rPr>
            <w:rFonts w:ascii="仿宋_GB2312" w:hint="eastAsia"/>
            <w:sz w:val="32"/>
            <w:szCs w:val="32"/>
          </w:rPr>
          <w:fldChar w:fldCharType="begin"/>
        </w:r>
        <w:r>
          <w:rPr>
            <w:rFonts w:ascii="仿宋_GB2312" w:hint="eastAsia"/>
            <w:sz w:val="32"/>
            <w:szCs w:val="32"/>
          </w:rPr>
          <w:instrText xml:space="preserve"> PAGEREF _Toc198040026 \h </w:instrText>
        </w:r>
        <w:r>
          <w:rPr>
            <w:rFonts w:ascii="仿宋_GB2312" w:hint="eastAsia"/>
            <w:sz w:val="32"/>
            <w:szCs w:val="32"/>
          </w:rPr>
        </w:r>
        <w:r>
          <w:rPr>
            <w:rFonts w:ascii="仿宋_GB2312" w:hint="eastAsia"/>
            <w:sz w:val="32"/>
            <w:szCs w:val="32"/>
          </w:rPr>
          <w:fldChar w:fldCharType="separate"/>
        </w:r>
        <w:r>
          <w:rPr>
            <w:rFonts w:ascii="仿宋_GB2312" w:hint="eastAsia"/>
            <w:sz w:val="32"/>
            <w:szCs w:val="32"/>
          </w:rPr>
          <w:t>6</w:t>
        </w:r>
        <w:r>
          <w:rPr>
            <w:rFonts w:ascii="仿宋_GB2312" w:hint="eastAsia"/>
            <w:sz w:val="32"/>
            <w:szCs w:val="32"/>
          </w:rPr>
          <w:fldChar w:fldCharType="end"/>
        </w:r>
      </w:hyperlink>
    </w:p>
    <w:p w:rsidR="0000711D" w:rsidRDefault="00A938D4">
      <w:pPr>
        <w:pStyle w:val="10"/>
        <w:tabs>
          <w:tab w:val="right" w:leader="dot" w:pos="8834"/>
        </w:tabs>
        <w:adjustRightInd w:val="0"/>
        <w:snapToGrid w:val="0"/>
        <w:spacing w:line="560" w:lineRule="exact"/>
        <w:rPr>
          <w:rFonts w:ascii="仿宋_GB2312" w:hAnsiTheme="minorHAnsi" w:cstheme="minorBidi"/>
          <w:sz w:val="32"/>
          <w:szCs w:val="32"/>
          <w14:ligatures w14:val="standardContextual"/>
        </w:rPr>
      </w:pPr>
      <w:hyperlink w:anchor="_Toc198040027" w:history="1">
        <w:r>
          <w:rPr>
            <w:rStyle w:val="af"/>
            <w:rFonts w:ascii="仿宋_GB2312" w:hint="eastAsia"/>
            <w:sz w:val="32"/>
            <w:szCs w:val="32"/>
          </w:rPr>
          <w:t>三、综合评价情况及评价结论</w:t>
        </w:r>
        <w:r>
          <w:rPr>
            <w:rFonts w:ascii="仿宋_GB2312" w:hint="eastAsia"/>
            <w:sz w:val="32"/>
            <w:szCs w:val="32"/>
          </w:rPr>
          <w:tab/>
        </w:r>
        <w:r>
          <w:rPr>
            <w:rFonts w:ascii="仿宋_GB2312" w:hint="eastAsia"/>
            <w:sz w:val="32"/>
            <w:szCs w:val="32"/>
          </w:rPr>
          <w:fldChar w:fldCharType="begin"/>
        </w:r>
        <w:r>
          <w:rPr>
            <w:rFonts w:ascii="仿宋_GB2312" w:hint="eastAsia"/>
            <w:sz w:val="32"/>
            <w:szCs w:val="32"/>
          </w:rPr>
          <w:instrText xml:space="preserve"> PAGEREF _Toc198040027 \h </w:instrText>
        </w:r>
        <w:r>
          <w:rPr>
            <w:rFonts w:ascii="仿宋_GB2312" w:hint="eastAsia"/>
            <w:sz w:val="32"/>
            <w:szCs w:val="32"/>
          </w:rPr>
        </w:r>
        <w:r>
          <w:rPr>
            <w:rFonts w:ascii="仿宋_GB2312" w:hint="eastAsia"/>
            <w:sz w:val="32"/>
            <w:szCs w:val="32"/>
          </w:rPr>
          <w:fldChar w:fldCharType="separate"/>
        </w:r>
        <w:r>
          <w:rPr>
            <w:rFonts w:ascii="仿宋_GB2312" w:hint="eastAsia"/>
            <w:sz w:val="32"/>
            <w:szCs w:val="32"/>
          </w:rPr>
          <w:t>7</w:t>
        </w:r>
        <w:r>
          <w:rPr>
            <w:rFonts w:ascii="仿宋_GB2312" w:hint="eastAsia"/>
            <w:sz w:val="32"/>
            <w:szCs w:val="32"/>
          </w:rPr>
          <w:fldChar w:fldCharType="end"/>
        </w:r>
      </w:hyperlink>
    </w:p>
    <w:p w:rsidR="0000711D" w:rsidRDefault="00A938D4">
      <w:pPr>
        <w:pStyle w:val="10"/>
        <w:tabs>
          <w:tab w:val="right" w:leader="dot" w:pos="8834"/>
        </w:tabs>
        <w:adjustRightInd w:val="0"/>
        <w:snapToGrid w:val="0"/>
        <w:spacing w:line="560" w:lineRule="exact"/>
        <w:rPr>
          <w:rFonts w:ascii="仿宋_GB2312" w:hAnsiTheme="minorHAnsi" w:cstheme="minorBidi"/>
          <w:sz w:val="32"/>
          <w:szCs w:val="32"/>
          <w14:ligatures w14:val="standardContextual"/>
        </w:rPr>
      </w:pPr>
      <w:hyperlink w:anchor="_Toc198040028" w:history="1">
        <w:r>
          <w:rPr>
            <w:rStyle w:val="af"/>
            <w:rFonts w:ascii="仿宋_GB2312" w:hint="eastAsia"/>
            <w:sz w:val="32"/>
            <w:szCs w:val="32"/>
          </w:rPr>
          <w:t>四、绩效评价指标分析</w:t>
        </w:r>
        <w:r>
          <w:rPr>
            <w:rFonts w:ascii="仿宋_GB2312" w:hint="eastAsia"/>
            <w:sz w:val="32"/>
            <w:szCs w:val="32"/>
          </w:rPr>
          <w:tab/>
        </w:r>
        <w:r>
          <w:rPr>
            <w:rFonts w:ascii="仿宋_GB2312" w:hint="eastAsia"/>
            <w:sz w:val="32"/>
            <w:szCs w:val="32"/>
          </w:rPr>
          <w:fldChar w:fldCharType="begin"/>
        </w:r>
        <w:r>
          <w:rPr>
            <w:rFonts w:ascii="仿宋_GB2312" w:hint="eastAsia"/>
            <w:sz w:val="32"/>
            <w:szCs w:val="32"/>
          </w:rPr>
          <w:instrText xml:space="preserve"> PAGEREF _Toc198040028 \h </w:instrText>
        </w:r>
        <w:r>
          <w:rPr>
            <w:rFonts w:ascii="仿宋_GB2312" w:hint="eastAsia"/>
            <w:sz w:val="32"/>
            <w:szCs w:val="32"/>
          </w:rPr>
        </w:r>
        <w:r>
          <w:rPr>
            <w:rFonts w:ascii="仿宋_GB2312" w:hint="eastAsia"/>
            <w:sz w:val="32"/>
            <w:szCs w:val="32"/>
          </w:rPr>
          <w:fldChar w:fldCharType="separate"/>
        </w:r>
        <w:r>
          <w:rPr>
            <w:rFonts w:ascii="仿宋_GB2312" w:hint="eastAsia"/>
            <w:sz w:val="32"/>
            <w:szCs w:val="32"/>
          </w:rPr>
          <w:t>8</w:t>
        </w:r>
        <w:r>
          <w:rPr>
            <w:rFonts w:ascii="仿宋_GB2312" w:hint="eastAsia"/>
            <w:sz w:val="32"/>
            <w:szCs w:val="32"/>
          </w:rPr>
          <w:fldChar w:fldCharType="end"/>
        </w:r>
      </w:hyperlink>
    </w:p>
    <w:p w:rsidR="0000711D" w:rsidRDefault="00A938D4">
      <w:pPr>
        <w:pStyle w:val="21"/>
        <w:tabs>
          <w:tab w:val="right" w:leader="dot" w:pos="8834"/>
        </w:tabs>
        <w:adjustRightInd w:val="0"/>
        <w:snapToGrid w:val="0"/>
        <w:spacing w:line="560" w:lineRule="exact"/>
        <w:ind w:leftChars="0" w:left="0"/>
        <w:rPr>
          <w:rFonts w:ascii="仿宋_GB2312" w:hAnsiTheme="minorHAnsi" w:cstheme="minorBidi"/>
          <w:sz w:val="32"/>
          <w:szCs w:val="32"/>
          <w14:ligatures w14:val="standardContextual"/>
        </w:rPr>
      </w:pPr>
      <w:hyperlink w:anchor="_Toc198040029" w:history="1">
        <w:r>
          <w:rPr>
            <w:rStyle w:val="af"/>
            <w:rFonts w:ascii="仿宋_GB2312" w:hint="eastAsia"/>
            <w:sz w:val="32"/>
            <w:szCs w:val="32"/>
          </w:rPr>
          <w:t>（一）项目决策情况</w:t>
        </w:r>
        <w:r>
          <w:rPr>
            <w:rFonts w:ascii="仿宋_GB2312" w:hint="eastAsia"/>
            <w:sz w:val="32"/>
            <w:szCs w:val="32"/>
          </w:rPr>
          <w:tab/>
        </w:r>
        <w:r>
          <w:rPr>
            <w:rFonts w:ascii="仿宋_GB2312" w:hint="eastAsia"/>
            <w:sz w:val="32"/>
            <w:szCs w:val="32"/>
          </w:rPr>
          <w:fldChar w:fldCharType="begin"/>
        </w:r>
        <w:r>
          <w:rPr>
            <w:rFonts w:ascii="仿宋_GB2312" w:hint="eastAsia"/>
            <w:sz w:val="32"/>
            <w:szCs w:val="32"/>
          </w:rPr>
          <w:instrText xml:space="preserve"> PAGEREF _Toc198040029 \h </w:instrText>
        </w:r>
        <w:r>
          <w:rPr>
            <w:rFonts w:ascii="仿宋_GB2312" w:hint="eastAsia"/>
            <w:sz w:val="32"/>
            <w:szCs w:val="32"/>
          </w:rPr>
        </w:r>
        <w:r>
          <w:rPr>
            <w:rFonts w:ascii="仿宋_GB2312" w:hint="eastAsia"/>
            <w:sz w:val="32"/>
            <w:szCs w:val="32"/>
          </w:rPr>
          <w:fldChar w:fldCharType="separate"/>
        </w:r>
        <w:r>
          <w:rPr>
            <w:rFonts w:ascii="仿宋_GB2312" w:hint="eastAsia"/>
            <w:sz w:val="32"/>
            <w:szCs w:val="32"/>
          </w:rPr>
          <w:t>8</w:t>
        </w:r>
        <w:r>
          <w:rPr>
            <w:rFonts w:ascii="仿宋_GB2312" w:hint="eastAsia"/>
            <w:sz w:val="32"/>
            <w:szCs w:val="32"/>
          </w:rPr>
          <w:fldChar w:fldCharType="end"/>
        </w:r>
      </w:hyperlink>
    </w:p>
    <w:p w:rsidR="0000711D" w:rsidRDefault="00A938D4">
      <w:pPr>
        <w:pStyle w:val="21"/>
        <w:tabs>
          <w:tab w:val="right" w:leader="dot" w:pos="8834"/>
        </w:tabs>
        <w:adjustRightInd w:val="0"/>
        <w:snapToGrid w:val="0"/>
        <w:spacing w:line="560" w:lineRule="exact"/>
        <w:ind w:leftChars="0" w:left="0"/>
        <w:rPr>
          <w:rFonts w:ascii="仿宋_GB2312" w:hAnsiTheme="minorHAnsi" w:cstheme="minorBidi"/>
          <w:sz w:val="32"/>
          <w:szCs w:val="32"/>
          <w14:ligatures w14:val="standardContextual"/>
        </w:rPr>
      </w:pPr>
      <w:hyperlink w:anchor="_Toc198040030" w:history="1">
        <w:r>
          <w:rPr>
            <w:rStyle w:val="af"/>
            <w:rFonts w:ascii="仿宋_GB2312" w:hint="eastAsia"/>
            <w:sz w:val="32"/>
            <w:szCs w:val="32"/>
          </w:rPr>
          <w:t>（二）项目过程情况</w:t>
        </w:r>
        <w:r>
          <w:rPr>
            <w:rFonts w:ascii="仿宋_GB2312" w:hint="eastAsia"/>
            <w:sz w:val="32"/>
            <w:szCs w:val="32"/>
          </w:rPr>
          <w:tab/>
        </w:r>
        <w:r>
          <w:rPr>
            <w:rFonts w:ascii="仿宋_GB2312" w:hint="eastAsia"/>
            <w:sz w:val="32"/>
            <w:szCs w:val="32"/>
          </w:rPr>
          <w:fldChar w:fldCharType="begin"/>
        </w:r>
        <w:r>
          <w:rPr>
            <w:rFonts w:ascii="仿宋_GB2312" w:hint="eastAsia"/>
            <w:sz w:val="32"/>
            <w:szCs w:val="32"/>
          </w:rPr>
          <w:instrText xml:space="preserve"> PAGEREF _Toc198040030 \h </w:instrText>
        </w:r>
        <w:r>
          <w:rPr>
            <w:rFonts w:ascii="仿宋_GB2312" w:hint="eastAsia"/>
            <w:sz w:val="32"/>
            <w:szCs w:val="32"/>
          </w:rPr>
        </w:r>
        <w:r>
          <w:rPr>
            <w:rFonts w:ascii="仿宋_GB2312" w:hint="eastAsia"/>
            <w:sz w:val="32"/>
            <w:szCs w:val="32"/>
          </w:rPr>
          <w:fldChar w:fldCharType="separate"/>
        </w:r>
        <w:r>
          <w:rPr>
            <w:rFonts w:ascii="仿宋_GB2312" w:hint="eastAsia"/>
            <w:sz w:val="32"/>
            <w:szCs w:val="32"/>
          </w:rPr>
          <w:t>11</w:t>
        </w:r>
        <w:r>
          <w:rPr>
            <w:rFonts w:ascii="仿宋_GB2312" w:hint="eastAsia"/>
            <w:sz w:val="32"/>
            <w:szCs w:val="32"/>
          </w:rPr>
          <w:fldChar w:fldCharType="end"/>
        </w:r>
      </w:hyperlink>
    </w:p>
    <w:p w:rsidR="0000711D" w:rsidRDefault="00A938D4">
      <w:pPr>
        <w:pStyle w:val="21"/>
        <w:tabs>
          <w:tab w:val="right" w:leader="dot" w:pos="8834"/>
        </w:tabs>
        <w:adjustRightInd w:val="0"/>
        <w:snapToGrid w:val="0"/>
        <w:spacing w:line="560" w:lineRule="exact"/>
        <w:ind w:leftChars="0" w:left="0"/>
        <w:rPr>
          <w:rFonts w:ascii="仿宋_GB2312" w:hAnsiTheme="minorHAnsi" w:cstheme="minorBidi"/>
          <w:sz w:val="32"/>
          <w:szCs w:val="32"/>
          <w14:ligatures w14:val="standardContextual"/>
        </w:rPr>
      </w:pPr>
      <w:hyperlink w:anchor="_Toc198040031" w:history="1">
        <w:r>
          <w:rPr>
            <w:rStyle w:val="af"/>
            <w:rFonts w:ascii="仿宋_GB2312" w:hint="eastAsia"/>
            <w:sz w:val="32"/>
            <w:szCs w:val="32"/>
          </w:rPr>
          <w:t>（三）项目产出情况</w:t>
        </w:r>
        <w:r>
          <w:rPr>
            <w:rFonts w:ascii="仿宋_GB2312" w:hint="eastAsia"/>
            <w:sz w:val="32"/>
            <w:szCs w:val="32"/>
          </w:rPr>
          <w:tab/>
        </w:r>
        <w:r>
          <w:rPr>
            <w:rFonts w:ascii="仿宋_GB2312" w:hint="eastAsia"/>
            <w:sz w:val="32"/>
            <w:szCs w:val="32"/>
          </w:rPr>
          <w:fldChar w:fldCharType="begin"/>
        </w:r>
        <w:r>
          <w:rPr>
            <w:rFonts w:ascii="仿宋_GB2312" w:hint="eastAsia"/>
            <w:sz w:val="32"/>
            <w:szCs w:val="32"/>
          </w:rPr>
          <w:instrText xml:space="preserve"> PAGEREF _Toc198040031 \h </w:instrText>
        </w:r>
        <w:r>
          <w:rPr>
            <w:rFonts w:ascii="仿宋_GB2312" w:hint="eastAsia"/>
            <w:sz w:val="32"/>
            <w:szCs w:val="32"/>
          </w:rPr>
        </w:r>
        <w:r>
          <w:rPr>
            <w:rFonts w:ascii="仿宋_GB2312" w:hint="eastAsia"/>
            <w:sz w:val="32"/>
            <w:szCs w:val="32"/>
          </w:rPr>
          <w:fldChar w:fldCharType="separate"/>
        </w:r>
        <w:r>
          <w:rPr>
            <w:rFonts w:ascii="仿宋_GB2312" w:hint="eastAsia"/>
            <w:sz w:val="32"/>
            <w:szCs w:val="32"/>
          </w:rPr>
          <w:t>13</w:t>
        </w:r>
        <w:r>
          <w:rPr>
            <w:rFonts w:ascii="仿宋_GB2312" w:hint="eastAsia"/>
            <w:sz w:val="32"/>
            <w:szCs w:val="32"/>
          </w:rPr>
          <w:fldChar w:fldCharType="end"/>
        </w:r>
      </w:hyperlink>
    </w:p>
    <w:p w:rsidR="0000711D" w:rsidRDefault="00A938D4">
      <w:pPr>
        <w:pStyle w:val="21"/>
        <w:tabs>
          <w:tab w:val="right" w:leader="dot" w:pos="8834"/>
        </w:tabs>
        <w:adjustRightInd w:val="0"/>
        <w:snapToGrid w:val="0"/>
        <w:spacing w:line="560" w:lineRule="exact"/>
        <w:ind w:leftChars="0" w:left="0"/>
        <w:rPr>
          <w:rFonts w:ascii="仿宋_GB2312" w:hAnsiTheme="minorHAnsi" w:cstheme="minorBidi"/>
          <w:sz w:val="32"/>
          <w:szCs w:val="32"/>
          <w14:ligatures w14:val="standardContextual"/>
        </w:rPr>
      </w:pPr>
      <w:hyperlink w:anchor="_Toc198040032" w:history="1">
        <w:r>
          <w:rPr>
            <w:rStyle w:val="af"/>
            <w:rFonts w:ascii="仿宋_GB2312" w:hint="eastAsia"/>
            <w:sz w:val="32"/>
            <w:szCs w:val="32"/>
          </w:rPr>
          <w:t>（四）项目效益情况</w:t>
        </w:r>
        <w:r>
          <w:rPr>
            <w:rFonts w:ascii="仿宋_GB2312" w:hint="eastAsia"/>
            <w:sz w:val="32"/>
            <w:szCs w:val="32"/>
          </w:rPr>
          <w:tab/>
        </w:r>
        <w:r>
          <w:rPr>
            <w:rFonts w:ascii="仿宋_GB2312" w:hint="eastAsia"/>
            <w:sz w:val="32"/>
            <w:szCs w:val="32"/>
          </w:rPr>
          <w:fldChar w:fldCharType="begin"/>
        </w:r>
        <w:r>
          <w:rPr>
            <w:rFonts w:ascii="仿宋_GB2312" w:hint="eastAsia"/>
            <w:sz w:val="32"/>
            <w:szCs w:val="32"/>
          </w:rPr>
          <w:instrText xml:space="preserve"> PAGEREF _Toc198040032 \h </w:instrText>
        </w:r>
        <w:r>
          <w:rPr>
            <w:rFonts w:ascii="仿宋_GB2312" w:hint="eastAsia"/>
            <w:sz w:val="32"/>
            <w:szCs w:val="32"/>
          </w:rPr>
        </w:r>
        <w:r>
          <w:rPr>
            <w:rFonts w:ascii="仿宋_GB2312" w:hint="eastAsia"/>
            <w:sz w:val="32"/>
            <w:szCs w:val="32"/>
          </w:rPr>
          <w:fldChar w:fldCharType="separate"/>
        </w:r>
        <w:r>
          <w:rPr>
            <w:rFonts w:ascii="仿宋_GB2312" w:hint="eastAsia"/>
            <w:sz w:val="32"/>
            <w:szCs w:val="32"/>
          </w:rPr>
          <w:t>16</w:t>
        </w:r>
        <w:r>
          <w:rPr>
            <w:rFonts w:ascii="仿宋_GB2312" w:hint="eastAsia"/>
            <w:sz w:val="32"/>
            <w:szCs w:val="32"/>
          </w:rPr>
          <w:fldChar w:fldCharType="end"/>
        </w:r>
      </w:hyperlink>
    </w:p>
    <w:p w:rsidR="0000711D" w:rsidRDefault="00A938D4">
      <w:pPr>
        <w:pStyle w:val="10"/>
        <w:tabs>
          <w:tab w:val="right" w:leader="dot" w:pos="8834"/>
        </w:tabs>
        <w:adjustRightInd w:val="0"/>
        <w:snapToGrid w:val="0"/>
        <w:spacing w:line="560" w:lineRule="exact"/>
        <w:rPr>
          <w:rFonts w:ascii="仿宋_GB2312" w:hAnsiTheme="minorHAnsi" w:cstheme="minorBidi"/>
          <w:sz w:val="32"/>
          <w:szCs w:val="32"/>
          <w14:ligatures w14:val="standardContextual"/>
        </w:rPr>
      </w:pPr>
      <w:hyperlink w:anchor="_Toc198040033" w:history="1">
        <w:r>
          <w:rPr>
            <w:rStyle w:val="af"/>
            <w:rFonts w:ascii="仿宋_GB2312" w:hint="eastAsia"/>
            <w:sz w:val="32"/>
            <w:szCs w:val="32"/>
          </w:rPr>
          <w:t>五、主要经验及做法、存在的问题及原因分析</w:t>
        </w:r>
        <w:r>
          <w:rPr>
            <w:rFonts w:ascii="仿宋_GB2312" w:hint="eastAsia"/>
            <w:sz w:val="32"/>
            <w:szCs w:val="32"/>
          </w:rPr>
          <w:tab/>
        </w:r>
        <w:r>
          <w:rPr>
            <w:rFonts w:ascii="仿宋_GB2312" w:hint="eastAsia"/>
            <w:sz w:val="32"/>
            <w:szCs w:val="32"/>
          </w:rPr>
          <w:fldChar w:fldCharType="begin"/>
        </w:r>
        <w:r>
          <w:rPr>
            <w:rFonts w:ascii="仿宋_GB2312" w:hint="eastAsia"/>
            <w:sz w:val="32"/>
            <w:szCs w:val="32"/>
          </w:rPr>
          <w:instrText xml:space="preserve"> PAGEREF _Toc198040033 \h </w:instrText>
        </w:r>
        <w:r>
          <w:rPr>
            <w:rFonts w:ascii="仿宋_GB2312" w:hint="eastAsia"/>
            <w:sz w:val="32"/>
            <w:szCs w:val="32"/>
          </w:rPr>
        </w:r>
        <w:r>
          <w:rPr>
            <w:rFonts w:ascii="仿宋_GB2312" w:hint="eastAsia"/>
            <w:sz w:val="32"/>
            <w:szCs w:val="32"/>
          </w:rPr>
          <w:fldChar w:fldCharType="separate"/>
        </w:r>
        <w:r>
          <w:rPr>
            <w:rFonts w:ascii="仿宋_GB2312" w:hint="eastAsia"/>
            <w:sz w:val="32"/>
            <w:szCs w:val="32"/>
          </w:rPr>
          <w:t>17</w:t>
        </w:r>
        <w:r>
          <w:rPr>
            <w:rFonts w:ascii="仿宋_GB2312" w:hint="eastAsia"/>
            <w:sz w:val="32"/>
            <w:szCs w:val="32"/>
          </w:rPr>
          <w:fldChar w:fldCharType="end"/>
        </w:r>
      </w:hyperlink>
    </w:p>
    <w:p w:rsidR="0000711D" w:rsidRDefault="00A938D4">
      <w:pPr>
        <w:pStyle w:val="21"/>
        <w:tabs>
          <w:tab w:val="right" w:leader="dot" w:pos="8834"/>
        </w:tabs>
        <w:adjustRightInd w:val="0"/>
        <w:snapToGrid w:val="0"/>
        <w:spacing w:line="560" w:lineRule="exact"/>
        <w:ind w:leftChars="0" w:left="0"/>
        <w:rPr>
          <w:rFonts w:ascii="仿宋_GB2312" w:hAnsiTheme="minorHAnsi" w:cstheme="minorBidi"/>
          <w:sz w:val="32"/>
          <w:szCs w:val="32"/>
          <w14:ligatures w14:val="standardContextual"/>
        </w:rPr>
      </w:pPr>
      <w:hyperlink w:anchor="_Toc198040034" w:history="1">
        <w:r>
          <w:rPr>
            <w:rStyle w:val="af"/>
            <w:rFonts w:ascii="仿宋_GB2312" w:hint="eastAsia"/>
            <w:sz w:val="32"/>
            <w:szCs w:val="32"/>
          </w:rPr>
          <w:t>（一）主要经验及做法</w:t>
        </w:r>
        <w:r>
          <w:rPr>
            <w:rFonts w:ascii="仿宋_GB2312" w:hint="eastAsia"/>
            <w:sz w:val="32"/>
            <w:szCs w:val="32"/>
          </w:rPr>
          <w:tab/>
        </w:r>
        <w:r>
          <w:rPr>
            <w:rFonts w:ascii="仿宋_GB2312" w:hint="eastAsia"/>
            <w:sz w:val="32"/>
            <w:szCs w:val="32"/>
          </w:rPr>
          <w:fldChar w:fldCharType="begin"/>
        </w:r>
        <w:r>
          <w:rPr>
            <w:rFonts w:ascii="仿宋_GB2312" w:hint="eastAsia"/>
            <w:sz w:val="32"/>
            <w:szCs w:val="32"/>
          </w:rPr>
          <w:instrText xml:space="preserve"> PAGEREF _Toc198040034 \h </w:instrText>
        </w:r>
        <w:r>
          <w:rPr>
            <w:rFonts w:ascii="仿宋_GB2312" w:hint="eastAsia"/>
            <w:sz w:val="32"/>
            <w:szCs w:val="32"/>
          </w:rPr>
        </w:r>
        <w:r>
          <w:rPr>
            <w:rFonts w:ascii="仿宋_GB2312" w:hint="eastAsia"/>
            <w:sz w:val="32"/>
            <w:szCs w:val="32"/>
          </w:rPr>
          <w:fldChar w:fldCharType="separate"/>
        </w:r>
        <w:r>
          <w:rPr>
            <w:rFonts w:ascii="仿宋_GB2312" w:hint="eastAsia"/>
            <w:sz w:val="32"/>
            <w:szCs w:val="32"/>
          </w:rPr>
          <w:t>17</w:t>
        </w:r>
        <w:r>
          <w:rPr>
            <w:rFonts w:ascii="仿宋_GB2312" w:hint="eastAsia"/>
            <w:sz w:val="32"/>
            <w:szCs w:val="32"/>
          </w:rPr>
          <w:fldChar w:fldCharType="end"/>
        </w:r>
      </w:hyperlink>
    </w:p>
    <w:p w:rsidR="0000711D" w:rsidRDefault="00A938D4">
      <w:pPr>
        <w:pStyle w:val="21"/>
        <w:tabs>
          <w:tab w:val="right" w:leader="dot" w:pos="8834"/>
        </w:tabs>
        <w:adjustRightInd w:val="0"/>
        <w:snapToGrid w:val="0"/>
        <w:spacing w:line="560" w:lineRule="exact"/>
        <w:ind w:leftChars="0" w:left="0"/>
        <w:rPr>
          <w:rFonts w:ascii="仿宋_GB2312" w:hAnsiTheme="minorHAnsi" w:cstheme="minorBidi"/>
          <w:sz w:val="32"/>
          <w:szCs w:val="32"/>
          <w14:ligatures w14:val="standardContextual"/>
        </w:rPr>
      </w:pPr>
      <w:hyperlink w:anchor="_Toc198040035" w:history="1">
        <w:r>
          <w:rPr>
            <w:rStyle w:val="af"/>
            <w:rFonts w:ascii="仿宋_GB2312" w:hint="eastAsia"/>
            <w:sz w:val="32"/>
            <w:szCs w:val="32"/>
          </w:rPr>
          <w:t>（二）存在的主要问题及原因分析</w:t>
        </w:r>
        <w:r>
          <w:rPr>
            <w:rFonts w:ascii="仿宋_GB2312" w:hint="eastAsia"/>
            <w:sz w:val="32"/>
            <w:szCs w:val="32"/>
          </w:rPr>
          <w:tab/>
        </w:r>
        <w:r>
          <w:rPr>
            <w:rFonts w:ascii="仿宋_GB2312" w:hint="eastAsia"/>
            <w:sz w:val="32"/>
            <w:szCs w:val="32"/>
          </w:rPr>
          <w:fldChar w:fldCharType="begin"/>
        </w:r>
        <w:r>
          <w:rPr>
            <w:rFonts w:ascii="仿宋_GB2312" w:hint="eastAsia"/>
            <w:sz w:val="32"/>
            <w:szCs w:val="32"/>
          </w:rPr>
          <w:instrText xml:space="preserve"> PAGEREF _Toc198040035 \h </w:instrText>
        </w:r>
        <w:r>
          <w:rPr>
            <w:rFonts w:ascii="仿宋_GB2312" w:hint="eastAsia"/>
            <w:sz w:val="32"/>
            <w:szCs w:val="32"/>
          </w:rPr>
        </w:r>
        <w:r>
          <w:rPr>
            <w:rFonts w:ascii="仿宋_GB2312" w:hint="eastAsia"/>
            <w:sz w:val="32"/>
            <w:szCs w:val="32"/>
          </w:rPr>
          <w:fldChar w:fldCharType="separate"/>
        </w:r>
        <w:r>
          <w:rPr>
            <w:rFonts w:ascii="仿宋_GB2312" w:hint="eastAsia"/>
            <w:sz w:val="32"/>
            <w:szCs w:val="32"/>
          </w:rPr>
          <w:t>18</w:t>
        </w:r>
        <w:r>
          <w:rPr>
            <w:rFonts w:ascii="仿宋_GB2312" w:hint="eastAsia"/>
            <w:sz w:val="32"/>
            <w:szCs w:val="32"/>
          </w:rPr>
          <w:fldChar w:fldCharType="end"/>
        </w:r>
      </w:hyperlink>
    </w:p>
    <w:p w:rsidR="0000711D" w:rsidRDefault="00A938D4">
      <w:pPr>
        <w:pStyle w:val="10"/>
        <w:tabs>
          <w:tab w:val="right" w:leader="dot" w:pos="8834"/>
        </w:tabs>
        <w:adjustRightInd w:val="0"/>
        <w:snapToGrid w:val="0"/>
        <w:spacing w:line="560" w:lineRule="exact"/>
        <w:rPr>
          <w:rFonts w:ascii="仿宋_GB2312" w:hAnsiTheme="minorHAnsi" w:cstheme="minorBidi"/>
          <w:sz w:val="32"/>
          <w:szCs w:val="32"/>
          <w14:ligatures w14:val="standardContextual"/>
        </w:rPr>
      </w:pPr>
      <w:hyperlink w:anchor="_Toc198040036" w:history="1">
        <w:r>
          <w:rPr>
            <w:rStyle w:val="af"/>
            <w:rFonts w:ascii="仿宋_GB2312" w:hint="eastAsia"/>
            <w:sz w:val="32"/>
            <w:szCs w:val="32"/>
          </w:rPr>
          <w:t>六、有关建议</w:t>
        </w:r>
        <w:r>
          <w:rPr>
            <w:rFonts w:ascii="仿宋_GB2312" w:hint="eastAsia"/>
            <w:sz w:val="32"/>
            <w:szCs w:val="32"/>
          </w:rPr>
          <w:tab/>
        </w:r>
        <w:r>
          <w:rPr>
            <w:rFonts w:ascii="仿宋_GB2312" w:hint="eastAsia"/>
            <w:sz w:val="32"/>
            <w:szCs w:val="32"/>
          </w:rPr>
          <w:fldChar w:fldCharType="begin"/>
        </w:r>
        <w:r>
          <w:rPr>
            <w:rFonts w:ascii="仿宋_GB2312" w:hint="eastAsia"/>
            <w:sz w:val="32"/>
            <w:szCs w:val="32"/>
          </w:rPr>
          <w:instrText xml:space="preserve"> PAGEREF _Toc198040036 \h </w:instrText>
        </w:r>
        <w:r>
          <w:rPr>
            <w:rFonts w:ascii="仿宋_GB2312" w:hint="eastAsia"/>
            <w:sz w:val="32"/>
            <w:szCs w:val="32"/>
          </w:rPr>
        </w:r>
        <w:r>
          <w:rPr>
            <w:rFonts w:ascii="仿宋_GB2312" w:hint="eastAsia"/>
            <w:sz w:val="32"/>
            <w:szCs w:val="32"/>
          </w:rPr>
          <w:fldChar w:fldCharType="separate"/>
        </w:r>
        <w:r>
          <w:rPr>
            <w:rFonts w:ascii="仿宋_GB2312" w:hint="eastAsia"/>
            <w:sz w:val="32"/>
            <w:szCs w:val="32"/>
          </w:rPr>
          <w:t>19</w:t>
        </w:r>
        <w:r>
          <w:rPr>
            <w:rFonts w:ascii="仿宋_GB2312" w:hint="eastAsia"/>
            <w:sz w:val="32"/>
            <w:szCs w:val="32"/>
          </w:rPr>
          <w:fldChar w:fldCharType="end"/>
        </w:r>
      </w:hyperlink>
    </w:p>
    <w:p w:rsidR="0000711D" w:rsidRDefault="00A938D4">
      <w:pPr>
        <w:pStyle w:val="21"/>
        <w:tabs>
          <w:tab w:val="right" w:leader="dot" w:pos="8834"/>
        </w:tabs>
        <w:adjustRightInd w:val="0"/>
        <w:snapToGrid w:val="0"/>
        <w:spacing w:line="560" w:lineRule="exact"/>
        <w:ind w:leftChars="0" w:left="0"/>
        <w:rPr>
          <w:rFonts w:ascii="仿宋_GB2312" w:hAnsiTheme="minorHAnsi" w:cstheme="minorBidi"/>
          <w:sz w:val="32"/>
          <w:szCs w:val="32"/>
          <w14:ligatures w14:val="standardContextual"/>
        </w:rPr>
      </w:pPr>
      <w:hyperlink w:anchor="_Toc198040037" w:history="1">
        <w:r>
          <w:rPr>
            <w:rStyle w:val="af"/>
            <w:rFonts w:ascii="仿宋_GB2312" w:hint="eastAsia"/>
            <w:sz w:val="32"/>
            <w:szCs w:val="32"/>
          </w:rPr>
          <w:t>（一）规范绩效指标设置，提高绩效指标约束作用</w:t>
        </w:r>
        <w:r>
          <w:rPr>
            <w:rFonts w:ascii="仿宋_GB2312" w:hint="eastAsia"/>
            <w:sz w:val="32"/>
            <w:szCs w:val="32"/>
          </w:rPr>
          <w:tab/>
        </w:r>
        <w:r>
          <w:rPr>
            <w:rFonts w:ascii="仿宋_GB2312" w:hint="eastAsia"/>
            <w:sz w:val="32"/>
            <w:szCs w:val="32"/>
          </w:rPr>
          <w:fldChar w:fldCharType="begin"/>
        </w:r>
        <w:r>
          <w:rPr>
            <w:rFonts w:ascii="仿宋_GB2312" w:hint="eastAsia"/>
            <w:sz w:val="32"/>
            <w:szCs w:val="32"/>
          </w:rPr>
          <w:instrText xml:space="preserve"> PAGEREF _Toc198040037 \h </w:instrText>
        </w:r>
        <w:r>
          <w:rPr>
            <w:rFonts w:ascii="仿宋_GB2312" w:hint="eastAsia"/>
            <w:sz w:val="32"/>
            <w:szCs w:val="32"/>
          </w:rPr>
        </w:r>
        <w:r>
          <w:rPr>
            <w:rFonts w:ascii="仿宋_GB2312" w:hint="eastAsia"/>
            <w:sz w:val="32"/>
            <w:szCs w:val="32"/>
          </w:rPr>
          <w:fldChar w:fldCharType="separate"/>
        </w:r>
        <w:r>
          <w:rPr>
            <w:rFonts w:ascii="仿宋_GB2312" w:hint="eastAsia"/>
            <w:sz w:val="32"/>
            <w:szCs w:val="32"/>
          </w:rPr>
          <w:t>19</w:t>
        </w:r>
        <w:r>
          <w:rPr>
            <w:rFonts w:ascii="仿宋_GB2312" w:hint="eastAsia"/>
            <w:sz w:val="32"/>
            <w:szCs w:val="32"/>
          </w:rPr>
          <w:fldChar w:fldCharType="end"/>
        </w:r>
      </w:hyperlink>
    </w:p>
    <w:p w:rsidR="0000711D" w:rsidRDefault="00A938D4">
      <w:pPr>
        <w:pStyle w:val="21"/>
        <w:tabs>
          <w:tab w:val="right" w:leader="dot" w:pos="8834"/>
        </w:tabs>
        <w:adjustRightInd w:val="0"/>
        <w:snapToGrid w:val="0"/>
        <w:spacing w:line="560" w:lineRule="exact"/>
        <w:ind w:leftChars="0" w:left="0"/>
        <w:rPr>
          <w:rFonts w:ascii="仿宋_GB2312" w:hAnsiTheme="minorHAnsi" w:cstheme="minorBidi"/>
          <w:sz w:val="32"/>
          <w:szCs w:val="32"/>
          <w14:ligatures w14:val="standardContextual"/>
        </w:rPr>
      </w:pPr>
      <w:hyperlink w:anchor="_Toc198040039" w:history="1">
        <w:r>
          <w:rPr>
            <w:rStyle w:val="af"/>
            <w:rFonts w:ascii="仿宋_GB2312" w:hint="eastAsia"/>
            <w:sz w:val="32"/>
            <w:szCs w:val="32"/>
          </w:rPr>
          <w:t>（二）加快系统验收备案，强化产出质量审核</w:t>
        </w:r>
        <w:r>
          <w:rPr>
            <w:rFonts w:ascii="仿宋_GB2312" w:hint="eastAsia"/>
            <w:sz w:val="32"/>
            <w:szCs w:val="32"/>
          </w:rPr>
          <w:tab/>
        </w:r>
        <w:r>
          <w:rPr>
            <w:rFonts w:ascii="仿宋_GB2312" w:hint="eastAsia"/>
            <w:sz w:val="32"/>
            <w:szCs w:val="32"/>
          </w:rPr>
          <w:fldChar w:fldCharType="begin"/>
        </w:r>
        <w:r>
          <w:rPr>
            <w:rFonts w:ascii="仿宋_GB2312" w:hint="eastAsia"/>
            <w:sz w:val="32"/>
            <w:szCs w:val="32"/>
          </w:rPr>
          <w:instrText xml:space="preserve"> PAGEREF _Toc198040039 \h </w:instrText>
        </w:r>
        <w:r>
          <w:rPr>
            <w:rFonts w:ascii="仿宋_GB2312" w:hint="eastAsia"/>
            <w:sz w:val="32"/>
            <w:szCs w:val="32"/>
          </w:rPr>
        </w:r>
        <w:r>
          <w:rPr>
            <w:rFonts w:ascii="仿宋_GB2312" w:hint="eastAsia"/>
            <w:sz w:val="32"/>
            <w:szCs w:val="32"/>
          </w:rPr>
          <w:fldChar w:fldCharType="separate"/>
        </w:r>
        <w:r>
          <w:rPr>
            <w:rFonts w:ascii="仿宋_GB2312" w:hint="eastAsia"/>
            <w:sz w:val="32"/>
            <w:szCs w:val="32"/>
          </w:rPr>
          <w:t>19</w:t>
        </w:r>
        <w:r>
          <w:rPr>
            <w:rFonts w:ascii="仿宋_GB2312" w:hint="eastAsia"/>
            <w:sz w:val="32"/>
            <w:szCs w:val="32"/>
          </w:rPr>
          <w:fldChar w:fldCharType="end"/>
        </w:r>
      </w:hyperlink>
    </w:p>
    <w:p w:rsidR="0000711D" w:rsidRDefault="00A938D4">
      <w:pPr>
        <w:tabs>
          <w:tab w:val="right" w:pos="8820"/>
        </w:tabs>
        <w:adjustRightInd w:val="0"/>
        <w:snapToGrid w:val="0"/>
        <w:spacing w:line="560" w:lineRule="exact"/>
        <w:rPr>
          <w:rFonts w:ascii="黑体" w:eastAsia="黑体" w:hAnsi="黑体"/>
          <w:sz w:val="28"/>
        </w:rPr>
        <w:sectPr w:rsidR="0000711D" w:rsidSect="00A938D4">
          <w:pgSz w:w="11906" w:h="16838"/>
          <w:pgMar w:top="2098" w:right="1531" w:bottom="1985" w:left="1531" w:header="851" w:footer="992" w:gutter="0"/>
          <w:cols w:space="425"/>
          <w:docGrid w:linePitch="312"/>
        </w:sectPr>
      </w:pPr>
      <w:r>
        <w:rPr>
          <w:rFonts w:ascii="仿宋_GB2312" w:hAnsi="黑体" w:hint="eastAsia"/>
          <w:bCs/>
          <w:sz w:val="32"/>
          <w:szCs w:val="32"/>
        </w:rPr>
        <w:fldChar w:fldCharType="end"/>
      </w:r>
    </w:p>
    <w:p w:rsidR="0000711D" w:rsidRDefault="00A938D4">
      <w:pPr>
        <w:adjustRightInd w:val="0"/>
        <w:snapToGrid w:val="0"/>
        <w:spacing w:line="560" w:lineRule="exact"/>
        <w:jc w:val="center"/>
        <w:rPr>
          <w:rFonts w:ascii="方正小标宋简体" w:eastAsia="方正小标宋简体" w:hAnsi="方正小标宋简体"/>
          <w:bCs/>
          <w:sz w:val="44"/>
          <w:szCs w:val="44"/>
        </w:rPr>
      </w:pPr>
      <w:r>
        <w:rPr>
          <w:rFonts w:ascii="方正小标宋简体" w:eastAsia="方正小标宋简体" w:hAnsi="方正小标宋简体" w:hint="eastAsia"/>
          <w:bCs/>
          <w:sz w:val="44"/>
          <w:szCs w:val="44"/>
        </w:rPr>
        <w:lastRenderedPageBreak/>
        <w:t>2022-2024年度北京市行政复议与应诉工作</w:t>
      </w:r>
    </w:p>
    <w:p w:rsidR="0000711D" w:rsidRDefault="00A938D4">
      <w:pPr>
        <w:adjustRightInd w:val="0"/>
        <w:snapToGrid w:val="0"/>
        <w:spacing w:line="560" w:lineRule="exact"/>
        <w:jc w:val="center"/>
        <w:rPr>
          <w:rFonts w:ascii="方正小标宋简体" w:eastAsia="方正小标宋简体" w:hAnsi="方正小标宋简体"/>
          <w:sz w:val="44"/>
          <w:szCs w:val="44"/>
        </w:rPr>
      </w:pPr>
      <w:r>
        <w:rPr>
          <w:rFonts w:ascii="方正小标宋简体" w:eastAsia="方正小标宋简体" w:hAnsi="方正小标宋简体" w:hint="eastAsia"/>
          <w:bCs/>
          <w:sz w:val="44"/>
          <w:szCs w:val="44"/>
        </w:rPr>
        <w:t>平台建设项目绩效评价报告</w:t>
      </w:r>
    </w:p>
    <w:p w:rsidR="0000711D" w:rsidRDefault="0000711D">
      <w:pPr>
        <w:adjustRightInd w:val="0"/>
        <w:snapToGrid w:val="0"/>
        <w:spacing w:line="560" w:lineRule="exact"/>
        <w:ind w:firstLineChars="200" w:firstLine="600"/>
        <w:jc w:val="center"/>
        <w:rPr>
          <w:rFonts w:ascii="仿宋_GB2312"/>
          <w:szCs w:val="32"/>
        </w:rPr>
      </w:pPr>
    </w:p>
    <w:p w:rsidR="0000711D" w:rsidRDefault="00A938D4">
      <w:pPr>
        <w:adjustRightInd w:val="0"/>
        <w:snapToGrid w:val="0"/>
        <w:spacing w:line="560" w:lineRule="exact"/>
        <w:ind w:firstLineChars="200" w:firstLine="640"/>
        <w:outlineLvl w:val="0"/>
        <w:rPr>
          <w:rFonts w:ascii="黑体" w:eastAsia="黑体"/>
          <w:sz w:val="32"/>
          <w:szCs w:val="32"/>
        </w:rPr>
      </w:pPr>
      <w:bookmarkStart w:id="1" w:name="_Toc35588393"/>
      <w:bookmarkStart w:id="2" w:name="_Toc198040020"/>
      <w:r>
        <w:rPr>
          <w:rFonts w:ascii="黑体" w:eastAsia="黑体" w:hint="eastAsia"/>
          <w:sz w:val="32"/>
          <w:szCs w:val="32"/>
        </w:rPr>
        <w:t>一、基本情况</w:t>
      </w:r>
      <w:bookmarkEnd w:id="1"/>
      <w:bookmarkEnd w:id="2"/>
    </w:p>
    <w:p w:rsidR="0000711D" w:rsidRDefault="00A938D4">
      <w:pPr>
        <w:adjustRightInd w:val="0"/>
        <w:snapToGrid w:val="0"/>
        <w:spacing w:line="560" w:lineRule="exact"/>
        <w:ind w:firstLineChars="200" w:firstLine="640"/>
        <w:outlineLvl w:val="1"/>
        <w:rPr>
          <w:rFonts w:ascii="楷体" w:eastAsia="楷体" w:hAnsi="楷体"/>
          <w:sz w:val="32"/>
          <w:szCs w:val="32"/>
        </w:rPr>
      </w:pPr>
      <w:bookmarkStart w:id="3" w:name="_Toc198040021"/>
      <w:bookmarkStart w:id="4" w:name="_Toc35588394"/>
      <w:r>
        <w:rPr>
          <w:rFonts w:ascii="楷体" w:eastAsia="楷体" w:hAnsi="楷体" w:hint="eastAsia"/>
          <w:sz w:val="32"/>
          <w:szCs w:val="32"/>
        </w:rPr>
        <w:t>（一）项目概况</w:t>
      </w:r>
      <w:bookmarkEnd w:id="3"/>
      <w:bookmarkEnd w:id="4"/>
    </w:p>
    <w:p w:rsidR="0000711D" w:rsidRDefault="00A938D4">
      <w:pPr>
        <w:adjustRightInd w:val="0"/>
        <w:snapToGrid w:val="0"/>
        <w:spacing w:line="560" w:lineRule="exact"/>
        <w:ind w:firstLineChars="200" w:firstLine="640"/>
        <w:outlineLvl w:val="2"/>
        <w:rPr>
          <w:rFonts w:ascii="仿宋_GB2312" w:hAnsi="宋体" w:cs="宋体"/>
          <w:kern w:val="0"/>
          <w:sz w:val="32"/>
          <w:szCs w:val="32"/>
        </w:rPr>
      </w:pPr>
      <w:bookmarkStart w:id="5" w:name="_Toc35588395"/>
      <w:r>
        <w:rPr>
          <w:rFonts w:ascii="仿宋_GB2312" w:hAnsi="宋体" w:cs="宋体" w:hint="eastAsia"/>
          <w:kern w:val="0"/>
          <w:sz w:val="32"/>
          <w:szCs w:val="32"/>
        </w:rPr>
        <w:t>1.项目背景</w:t>
      </w:r>
      <w:bookmarkEnd w:id="5"/>
    </w:p>
    <w:p w:rsidR="0000711D" w:rsidRDefault="00A938D4">
      <w:pPr>
        <w:shd w:val="clear" w:color="auto" w:fill="FFFFFF"/>
        <w:adjustRightInd w:val="0"/>
        <w:snapToGrid w:val="0"/>
        <w:spacing w:line="560" w:lineRule="exact"/>
        <w:ind w:firstLineChars="200" w:firstLine="640"/>
        <w:rPr>
          <w:rFonts w:ascii="仿宋_GB2312" w:hAnsi="仿宋" w:cs="仿宋"/>
          <w:iCs/>
          <w:sz w:val="32"/>
          <w:szCs w:val="32"/>
        </w:rPr>
      </w:pPr>
      <w:r>
        <w:rPr>
          <w:rFonts w:ascii="仿宋_GB2312" w:hAnsi="仿宋" w:cs="仿宋" w:hint="eastAsia"/>
          <w:iCs/>
          <w:sz w:val="32"/>
          <w:szCs w:val="32"/>
        </w:rPr>
        <w:t>行政复议是行政相对人认为行政机关的行政行为侵犯其合法权益，向行政复议机关提出行政复议申请，行政复议机关依照法定程序对行政行为进行合法、适当性审查，并</w:t>
      </w:r>
      <w:proofErr w:type="gramStart"/>
      <w:r>
        <w:rPr>
          <w:rFonts w:ascii="仿宋_GB2312" w:hAnsi="仿宋" w:cs="仿宋" w:hint="eastAsia"/>
          <w:iCs/>
          <w:sz w:val="32"/>
          <w:szCs w:val="32"/>
        </w:rPr>
        <w:t>作出</w:t>
      </w:r>
      <w:proofErr w:type="gramEnd"/>
      <w:r>
        <w:rPr>
          <w:rFonts w:ascii="仿宋_GB2312" w:hAnsi="仿宋" w:cs="仿宋" w:hint="eastAsia"/>
          <w:iCs/>
          <w:sz w:val="32"/>
          <w:szCs w:val="32"/>
        </w:rPr>
        <w:t>行政复议决定的法律制度，是系统政府自我纠错的监督制度和解决“民告官”行政争议的救济制度，是推进法治政府建设的重要抓手，也是维护公民、法人和其他组织合法权益的重要渠道。</w:t>
      </w:r>
    </w:p>
    <w:p w:rsidR="0000711D" w:rsidRDefault="00A938D4">
      <w:pPr>
        <w:shd w:val="clear" w:color="auto" w:fill="FFFFFF"/>
        <w:adjustRightInd w:val="0"/>
        <w:snapToGrid w:val="0"/>
        <w:spacing w:line="560" w:lineRule="exact"/>
        <w:ind w:firstLineChars="200" w:firstLine="640"/>
        <w:rPr>
          <w:rFonts w:ascii="仿宋_GB2312" w:hAnsi="仿宋" w:cs="仿宋"/>
          <w:iCs/>
          <w:sz w:val="32"/>
          <w:szCs w:val="32"/>
        </w:rPr>
      </w:pPr>
      <w:r>
        <w:rPr>
          <w:rFonts w:ascii="仿宋_GB2312" w:hAnsi="仿宋" w:cs="仿宋" w:hint="eastAsia"/>
          <w:iCs/>
          <w:sz w:val="32"/>
          <w:szCs w:val="32"/>
        </w:rPr>
        <w:t xml:space="preserve">中共北京市委全面依法治市委员会要求“加强行政复议工作信息化建设”“市司法局要加强全市统一的行政复议与应诉工作平台建设，加强数据整合分析，运用平台资源和数据成果提高办案质量和效率；要进一步深化网络信息化技术在全市行政复议工作中的应用，实现行政复议在线申请、在线办理、在线听证、在线审批和实时数据统计分析，方便公民、法人和其他组织参加行政复议活动，增强行政复议规范性和时效性”。基于此，结合司法部“数字法治 智慧司法”信息化体系建设的整体部署，市司法局于2021年申请设立“北京市行政复议与应诉工作平台建设项目”，计划利用2022-2024年三年时间，建设可覆盖市、区两级的北京市行政复议与应诉工作平台（以下简称“行政复议与应诉工作平台”或“平台”）。 </w:t>
      </w:r>
    </w:p>
    <w:p w:rsidR="0000711D" w:rsidRDefault="00A938D4">
      <w:pPr>
        <w:adjustRightInd w:val="0"/>
        <w:snapToGrid w:val="0"/>
        <w:spacing w:line="560" w:lineRule="exact"/>
        <w:ind w:firstLineChars="200" w:firstLine="640"/>
        <w:outlineLvl w:val="2"/>
        <w:rPr>
          <w:rFonts w:ascii="仿宋_GB2312" w:hAnsi="宋体" w:cs="宋体"/>
          <w:kern w:val="0"/>
          <w:sz w:val="32"/>
          <w:szCs w:val="32"/>
        </w:rPr>
      </w:pPr>
      <w:bookmarkStart w:id="6" w:name="_Toc35588396"/>
      <w:r>
        <w:rPr>
          <w:rFonts w:ascii="仿宋_GB2312" w:hAnsi="宋体" w:cs="宋体" w:hint="eastAsia"/>
          <w:kern w:val="0"/>
          <w:sz w:val="32"/>
          <w:szCs w:val="32"/>
        </w:rPr>
        <w:t>2.项目主要内容</w:t>
      </w:r>
      <w:bookmarkEnd w:id="6"/>
      <w:r>
        <w:rPr>
          <w:rFonts w:ascii="仿宋_GB2312" w:hAnsi="宋体" w:cs="宋体" w:hint="eastAsia"/>
          <w:kern w:val="0"/>
          <w:sz w:val="32"/>
          <w:szCs w:val="32"/>
        </w:rPr>
        <w:t>及实施情况</w:t>
      </w:r>
    </w:p>
    <w:p w:rsidR="0000711D" w:rsidRDefault="00A938D4">
      <w:pPr>
        <w:adjustRightInd w:val="0"/>
        <w:snapToGrid w:val="0"/>
        <w:spacing w:line="560" w:lineRule="exact"/>
        <w:ind w:firstLineChars="200" w:firstLine="640"/>
        <w:rPr>
          <w:rFonts w:ascii="仿宋_GB2312"/>
          <w:color w:val="000000"/>
          <w:sz w:val="32"/>
          <w:szCs w:val="32"/>
        </w:rPr>
      </w:pPr>
      <w:r>
        <w:rPr>
          <w:rFonts w:ascii="仿宋_GB2312" w:hint="eastAsia"/>
          <w:color w:val="000000"/>
          <w:sz w:val="32"/>
          <w:szCs w:val="32"/>
        </w:rPr>
        <w:t>项目主要内容包括以下5方面：</w:t>
      </w:r>
    </w:p>
    <w:p w:rsidR="0000711D" w:rsidRDefault="00A938D4">
      <w:pPr>
        <w:adjustRightInd w:val="0"/>
        <w:snapToGrid w:val="0"/>
        <w:spacing w:line="560" w:lineRule="exact"/>
        <w:ind w:firstLineChars="200" w:firstLine="640"/>
        <w:rPr>
          <w:rFonts w:ascii="仿宋_GB2312"/>
          <w:color w:val="000000"/>
          <w:sz w:val="32"/>
          <w:szCs w:val="32"/>
        </w:rPr>
      </w:pPr>
      <w:bookmarkStart w:id="7" w:name="_Hlk198036328"/>
      <w:r>
        <w:rPr>
          <w:rFonts w:ascii="仿宋_GB2312" w:hint="eastAsia"/>
          <w:color w:val="000000"/>
          <w:sz w:val="32"/>
          <w:szCs w:val="32"/>
        </w:rPr>
        <w:t>（1）应用软件开发：主要包括行政复议与应诉工作门户、行政复议案件办理系统、网上听证系统、移动办案系统、典型案例管理系统、行政复议与应诉数据管理系统、综合监测调度系统、行政复议数据分析</w:t>
      </w:r>
      <w:proofErr w:type="gramStart"/>
      <w:r>
        <w:rPr>
          <w:rFonts w:ascii="仿宋_GB2312" w:hint="eastAsia"/>
          <w:color w:val="000000"/>
          <w:sz w:val="32"/>
          <w:szCs w:val="32"/>
        </w:rPr>
        <w:t>研</w:t>
      </w:r>
      <w:proofErr w:type="gramEnd"/>
      <w:r>
        <w:rPr>
          <w:rFonts w:ascii="仿宋_GB2312" w:hint="eastAsia"/>
          <w:color w:val="000000"/>
          <w:sz w:val="32"/>
          <w:szCs w:val="32"/>
        </w:rPr>
        <w:t>判系统、行政复议智能支撑系统等11个业务系统，以及相关的9个接口服务。</w:t>
      </w:r>
    </w:p>
    <w:p w:rsidR="0000711D" w:rsidRDefault="00A938D4">
      <w:pPr>
        <w:adjustRightInd w:val="0"/>
        <w:snapToGrid w:val="0"/>
        <w:spacing w:line="560" w:lineRule="exact"/>
        <w:ind w:firstLineChars="200" w:firstLine="640"/>
        <w:rPr>
          <w:rFonts w:ascii="仿宋_GB2312"/>
          <w:color w:val="000000"/>
          <w:sz w:val="32"/>
          <w:szCs w:val="32"/>
        </w:rPr>
      </w:pPr>
      <w:r>
        <w:rPr>
          <w:rFonts w:ascii="仿宋_GB2312" w:hint="eastAsia"/>
          <w:color w:val="000000"/>
          <w:sz w:val="32"/>
          <w:szCs w:val="32"/>
        </w:rPr>
        <w:t>（2）市政府行政复议接待室建设：主要包括接待大厅、网上听证室、听证室、案审室、会商室等功能空间的相关信息化软硬件配套工程。</w:t>
      </w:r>
    </w:p>
    <w:p w:rsidR="0000711D" w:rsidRDefault="00A938D4">
      <w:pPr>
        <w:adjustRightInd w:val="0"/>
        <w:snapToGrid w:val="0"/>
        <w:spacing w:line="560" w:lineRule="exact"/>
        <w:ind w:firstLineChars="200" w:firstLine="640"/>
        <w:rPr>
          <w:rFonts w:ascii="仿宋_GB2312"/>
          <w:color w:val="000000"/>
          <w:sz w:val="32"/>
          <w:szCs w:val="32"/>
        </w:rPr>
      </w:pPr>
      <w:r>
        <w:rPr>
          <w:rFonts w:ascii="仿宋_GB2312" w:hint="eastAsia"/>
          <w:color w:val="000000"/>
          <w:sz w:val="32"/>
          <w:szCs w:val="32"/>
        </w:rPr>
        <w:t>（3）购买相关工具软件及服务产品：购买商用数据库、报表工具、语音转写服务、短信服务等。</w:t>
      </w:r>
    </w:p>
    <w:p w:rsidR="0000711D" w:rsidRDefault="00A938D4">
      <w:pPr>
        <w:adjustRightInd w:val="0"/>
        <w:snapToGrid w:val="0"/>
        <w:spacing w:line="560" w:lineRule="exact"/>
        <w:ind w:firstLineChars="200" w:firstLine="640"/>
        <w:rPr>
          <w:rFonts w:ascii="仿宋_GB2312"/>
          <w:color w:val="000000"/>
          <w:sz w:val="32"/>
          <w:szCs w:val="32"/>
        </w:rPr>
      </w:pPr>
      <w:r>
        <w:rPr>
          <w:rFonts w:ascii="仿宋_GB2312" w:hint="eastAsia"/>
          <w:color w:val="000000"/>
          <w:sz w:val="32"/>
          <w:szCs w:val="32"/>
        </w:rPr>
        <w:t>（4）云服务租赁：租赁计算服务、存储服务、网络服务、基础软件支撑服务等市级政务</w:t>
      </w:r>
      <w:proofErr w:type="gramStart"/>
      <w:r>
        <w:rPr>
          <w:rFonts w:ascii="仿宋_GB2312" w:hint="eastAsia"/>
          <w:color w:val="000000"/>
          <w:sz w:val="32"/>
          <w:szCs w:val="32"/>
        </w:rPr>
        <w:t>云基础</w:t>
      </w:r>
      <w:proofErr w:type="gramEnd"/>
      <w:r>
        <w:rPr>
          <w:rFonts w:ascii="仿宋_GB2312" w:hint="eastAsia"/>
          <w:color w:val="000000"/>
          <w:sz w:val="32"/>
          <w:szCs w:val="32"/>
        </w:rPr>
        <w:t>服务以及应用安全服务、本地备份服务</w:t>
      </w:r>
      <w:proofErr w:type="gramStart"/>
      <w:r>
        <w:rPr>
          <w:rFonts w:ascii="仿宋_GB2312" w:hint="eastAsia"/>
          <w:color w:val="000000"/>
          <w:sz w:val="32"/>
          <w:szCs w:val="32"/>
        </w:rPr>
        <w:t>等云服务商其他</w:t>
      </w:r>
      <w:proofErr w:type="gramEnd"/>
      <w:r>
        <w:rPr>
          <w:rFonts w:ascii="仿宋_GB2312" w:hint="eastAsia"/>
          <w:color w:val="000000"/>
          <w:sz w:val="32"/>
          <w:szCs w:val="32"/>
        </w:rPr>
        <w:t>服务。</w:t>
      </w:r>
    </w:p>
    <w:p w:rsidR="0000711D" w:rsidRDefault="00A938D4">
      <w:pPr>
        <w:adjustRightInd w:val="0"/>
        <w:snapToGrid w:val="0"/>
        <w:spacing w:line="560" w:lineRule="exact"/>
        <w:ind w:firstLineChars="200" w:firstLine="640"/>
        <w:rPr>
          <w:rFonts w:ascii="仿宋_GB2312"/>
          <w:color w:val="000000"/>
          <w:sz w:val="32"/>
          <w:szCs w:val="32"/>
        </w:rPr>
      </w:pPr>
      <w:r>
        <w:rPr>
          <w:rFonts w:ascii="仿宋_GB2312" w:hint="eastAsia"/>
          <w:color w:val="000000"/>
          <w:sz w:val="32"/>
          <w:szCs w:val="32"/>
        </w:rPr>
        <w:t>（5）其他工作：开展软件测评、安全测评、密码测评、系统建设监理等相关工作。</w:t>
      </w:r>
    </w:p>
    <w:bookmarkEnd w:id="7"/>
    <w:p w:rsidR="0000711D" w:rsidRDefault="00A938D4">
      <w:pPr>
        <w:adjustRightInd w:val="0"/>
        <w:snapToGrid w:val="0"/>
        <w:spacing w:line="560" w:lineRule="exact"/>
        <w:ind w:firstLineChars="200" w:firstLine="640"/>
        <w:rPr>
          <w:rFonts w:ascii="仿宋_GB2312" w:hAnsi="仿宋" w:cs="仿宋"/>
          <w:iCs/>
          <w:sz w:val="32"/>
          <w:szCs w:val="32"/>
        </w:rPr>
      </w:pPr>
      <w:r>
        <w:rPr>
          <w:rFonts w:ascii="仿宋_GB2312" w:hAnsi="仿宋" w:cs="仿宋" w:hint="eastAsia"/>
          <w:iCs/>
          <w:sz w:val="32"/>
          <w:szCs w:val="32"/>
        </w:rPr>
        <w:t>行政复议与应诉工作平台于2024年9月27日通过竣工验收，通过了第三方软件测评、</w:t>
      </w:r>
      <w:proofErr w:type="gramStart"/>
      <w:r>
        <w:rPr>
          <w:rFonts w:ascii="仿宋_GB2312" w:hAnsi="仿宋" w:cs="仿宋" w:hint="eastAsia"/>
          <w:iCs/>
          <w:sz w:val="32"/>
          <w:szCs w:val="32"/>
        </w:rPr>
        <w:t>等保测评</w:t>
      </w:r>
      <w:proofErr w:type="gramEnd"/>
      <w:r>
        <w:rPr>
          <w:rFonts w:ascii="仿宋_GB2312" w:hAnsi="仿宋" w:cs="仿宋" w:hint="eastAsia"/>
          <w:iCs/>
          <w:sz w:val="32"/>
          <w:szCs w:val="32"/>
        </w:rPr>
        <w:t>，达成了系统建设目标，实现了预期功能设计，已正式上线运行。</w:t>
      </w:r>
    </w:p>
    <w:p w:rsidR="0000711D" w:rsidRDefault="00A938D4">
      <w:pPr>
        <w:adjustRightInd w:val="0"/>
        <w:snapToGrid w:val="0"/>
        <w:spacing w:line="560" w:lineRule="exact"/>
        <w:ind w:firstLineChars="200" w:firstLine="640"/>
        <w:outlineLvl w:val="2"/>
        <w:rPr>
          <w:rFonts w:ascii="仿宋_GB2312" w:hAnsi="宋体" w:cs="宋体"/>
          <w:kern w:val="0"/>
          <w:sz w:val="32"/>
          <w:szCs w:val="32"/>
        </w:rPr>
      </w:pPr>
      <w:bookmarkStart w:id="8" w:name="_Toc35588397"/>
      <w:r>
        <w:rPr>
          <w:rFonts w:ascii="仿宋_GB2312" w:hAnsi="宋体" w:cs="宋体" w:hint="eastAsia"/>
          <w:kern w:val="0"/>
          <w:sz w:val="32"/>
          <w:szCs w:val="32"/>
        </w:rPr>
        <w:t>3.项目资金投入</w:t>
      </w:r>
      <w:bookmarkEnd w:id="8"/>
      <w:r>
        <w:rPr>
          <w:rFonts w:ascii="仿宋_GB2312" w:hAnsi="宋体" w:cs="宋体" w:hint="eastAsia"/>
          <w:kern w:val="0"/>
          <w:sz w:val="32"/>
          <w:szCs w:val="32"/>
        </w:rPr>
        <w:t>和使用情况</w:t>
      </w:r>
    </w:p>
    <w:p w:rsidR="0000711D" w:rsidRDefault="00A938D4">
      <w:pPr>
        <w:adjustRightInd w:val="0"/>
        <w:snapToGrid w:val="0"/>
        <w:spacing w:line="560" w:lineRule="exact"/>
        <w:ind w:firstLine="640"/>
        <w:rPr>
          <w:rFonts w:ascii="仿宋_GB2312" w:hAnsi="仿宋_GB2312" w:cs="仿宋_GB2312"/>
          <w:color w:val="000000"/>
          <w:sz w:val="32"/>
          <w:szCs w:val="32"/>
        </w:rPr>
      </w:pPr>
      <w:r>
        <w:rPr>
          <w:rFonts w:ascii="仿宋_GB2312" w:hint="eastAsia"/>
          <w:color w:val="000000"/>
          <w:sz w:val="32"/>
          <w:szCs w:val="32"/>
        </w:rPr>
        <w:t>项目总预算</w:t>
      </w:r>
      <w:r>
        <w:rPr>
          <w:rFonts w:ascii="仿宋_GB2312"/>
          <w:color w:val="000000"/>
          <w:sz w:val="32"/>
          <w:szCs w:val="32"/>
        </w:rPr>
        <w:t>864.51</w:t>
      </w:r>
      <w:r>
        <w:rPr>
          <w:rFonts w:ascii="仿宋_GB2312" w:hint="eastAsia"/>
          <w:color w:val="000000"/>
          <w:sz w:val="32"/>
          <w:szCs w:val="32"/>
        </w:rPr>
        <w:t>万元，其中：2</w:t>
      </w:r>
      <w:r>
        <w:rPr>
          <w:rFonts w:ascii="仿宋_GB2312"/>
          <w:color w:val="000000"/>
          <w:sz w:val="32"/>
          <w:szCs w:val="32"/>
        </w:rPr>
        <w:t>02</w:t>
      </w:r>
      <w:r>
        <w:rPr>
          <w:rFonts w:ascii="仿宋_GB2312" w:hint="eastAsia"/>
          <w:color w:val="000000"/>
          <w:sz w:val="32"/>
          <w:szCs w:val="32"/>
        </w:rPr>
        <w:t>2年项目预算337.74万元，2</w:t>
      </w:r>
      <w:r>
        <w:rPr>
          <w:rFonts w:ascii="仿宋_GB2312"/>
          <w:color w:val="000000"/>
          <w:sz w:val="32"/>
          <w:szCs w:val="32"/>
        </w:rPr>
        <w:t>02</w:t>
      </w:r>
      <w:r>
        <w:rPr>
          <w:rFonts w:ascii="仿宋_GB2312" w:hint="eastAsia"/>
          <w:color w:val="000000"/>
          <w:sz w:val="32"/>
          <w:szCs w:val="32"/>
        </w:rPr>
        <w:t>3年项目预算446.26万元，2</w:t>
      </w:r>
      <w:r>
        <w:rPr>
          <w:rFonts w:ascii="仿宋_GB2312"/>
          <w:color w:val="000000"/>
          <w:sz w:val="32"/>
          <w:szCs w:val="32"/>
        </w:rPr>
        <w:t>02</w:t>
      </w:r>
      <w:r>
        <w:rPr>
          <w:rFonts w:ascii="仿宋_GB2312" w:hint="eastAsia"/>
          <w:color w:val="000000"/>
          <w:sz w:val="32"/>
          <w:szCs w:val="32"/>
        </w:rPr>
        <w:t>4年项目预算80.51万元。截至2</w:t>
      </w:r>
      <w:r>
        <w:rPr>
          <w:rFonts w:ascii="仿宋_GB2312"/>
          <w:color w:val="000000"/>
          <w:sz w:val="32"/>
          <w:szCs w:val="32"/>
        </w:rPr>
        <w:t>02</w:t>
      </w:r>
      <w:r>
        <w:rPr>
          <w:rFonts w:ascii="仿宋_GB2312" w:hint="eastAsia"/>
          <w:color w:val="000000"/>
          <w:sz w:val="32"/>
          <w:szCs w:val="32"/>
        </w:rPr>
        <w:t>4年1</w:t>
      </w:r>
      <w:r>
        <w:rPr>
          <w:rFonts w:ascii="仿宋_GB2312"/>
          <w:color w:val="000000"/>
          <w:sz w:val="32"/>
          <w:szCs w:val="32"/>
        </w:rPr>
        <w:t>2</w:t>
      </w:r>
      <w:r>
        <w:rPr>
          <w:rFonts w:ascii="仿宋_GB2312" w:hint="eastAsia"/>
          <w:color w:val="000000"/>
          <w:sz w:val="32"/>
          <w:szCs w:val="32"/>
        </w:rPr>
        <w:t>月3</w:t>
      </w:r>
      <w:r>
        <w:rPr>
          <w:rFonts w:ascii="仿宋_GB2312"/>
          <w:color w:val="000000"/>
          <w:sz w:val="32"/>
          <w:szCs w:val="32"/>
        </w:rPr>
        <w:t>1</w:t>
      </w:r>
      <w:r>
        <w:rPr>
          <w:rFonts w:ascii="仿宋_GB2312" w:hint="eastAsia"/>
          <w:color w:val="000000"/>
          <w:sz w:val="32"/>
          <w:szCs w:val="32"/>
        </w:rPr>
        <w:t>日，项目实际支出资金</w:t>
      </w:r>
      <w:r>
        <w:rPr>
          <w:rFonts w:ascii="仿宋_GB2312" w:hAnsi="仿宋_GB2312" w:cs="仿宋_GB2312"/>
          <w:color w:val="000000"/>
          <w:sz w:val="32"/>
          <w:szCs w:val="32"/>
        </w:rPr>
        <w:t>855.80</w:t>
      </w:r>
      <w:r>
        <w:rPr>
          <w:rFonts w:ascii="仿宋_GB2312" w:hAnsi="仿宋_GB2312" w:cs="仿宋_GB2312" w:hint="eastAsia"/>
          <w:color w:val="000000"/>
          <w:sz w:val="32"/>
          <w:szCs w:val="32"/>
        </w:rPr>
        <w:t>万元，预算执行率98.99%。各年度预算执行情况见表1。</w:t>
      </w:r>
    </w:p>
    <w:p w:rsidR="0000711D" w:rsidRDefault="00A938D4">
      <w:pPr>
        <w:adjustRightInd w:val="0"/>
        <w:snapToGrid w:val="0"/>
        <w:spacing w:line="560" w:lineRule="exact"/>
        <w:jc w:val="center"/>
        <w:rPr>
          <w:rFonts w:ascii="黑体" w:eastAsia="黑体" w:hAnsi="黑体"/>
          <w:color w:val="000000"/>
        </w:rPr>
      </w:pPr>
      <w:r>
        <w:rPr>
          <w:rFonts w:ascii="黑体" w:eastAsia="黑体" w:hAnsi="黑体" w:hint="eastAsia"/>
          <w:color w:val="000000"/>
        </w:rPr>
        <w:t>表1：项目分年度预算执行情况表</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4"/>
        <w:gridCol w:w="1701"/>
        <w:gridCol w:w="1843"/>
        <w:gridCol w:w="1703"/>
        <w:gridCol w:w="1699"/>
      </w:tblGrid>
      <w:tr w:rsidR="0000711D">
        <w:trPr>
          <w:trHeight w:val="454"/>
          <w:tblHeader/>
          <w:jc w:val="center"/>
        </w:trPr>
        <w:tc>
          <w:tcPr>
            <w:tcW w:w="1884" w:type="dxa"/>
            <w:vMerge w:val="restart"/>
            <w:vAlign w:val="center"/>
          </w:tcPr>
          <w:p w:rsidR="0000711D" w:rsidRDefault="00A938D4">
            <w:pPr>
              <w:adjustRightInd w:val="0"/>
              <w:snapToGrid w:val="0"/>
              <w:jc w:val="center"/>
              <w:rPr>
                <w:rFonts w:ascii="宋体" w:eastAsia="宋体" w:hAnsi="宋体" w:cs="仿宋_GB2312"/>
                <w:b/>
                <w:bCs/>
                <w:kern w:val="0"/>
                <w:sz w:val="20"/>
                <w:szCs w:val="20"/>
              </w:rPr>
            </w:pPr>
            <w:r>
              <w:rPr>
                <w:rFonts w:ascii="宋体" w:eastAsia="宋体" w:hAnsi="宋体" w:cs="仿宋_GB2312" w:hint="eastAsia"/>
                <w:b/>
                <w:bCs/>
                <w:kern w:val="0"/>
                <w:sz w:val="20"/>
                <w:szCs w:val="20"/>
              </w:rPr>
              <w:t>预算年度</w:t>
            </w:r>
          </w:p>
        </w:tc>
        <w:tc>
          <w:tcPr>
            <w:tcW w:w="5247" w:type="dxa"/>
            <w:gridSpan w:val="3"/>
            <w:vAlign w:val="center"/>
          </w:tcPr>
          <w:p w:rsidR="0000711D" w:rsidRDefault="00A938D4">
            <w:pPr>
              <w:widowControl/>
              <w:adjustRightInd w:val="0"/>
              <w:snapToGrid w:val="0"/>
              <w:jc w:val="center"/>
              <w:rPr>
                <w:rFonts w:ascii="宋体" w:eastAsia="宋体" w:hAnsi="宋体" w:cs="仿宋_GB2312"/>
                <w:b/>
                <w:bCs/>
                <w:kern w:val="0"/>
                <w:sz w:val="20"/>
                <w:szCs w:val="20"/>
              </w:rPr>
            </w:pPr>
            <w:r>
              <w:rPr>
                <w:rFonts w:ascii="宋体" w:eastAsia="宋体" w:hAnsi="宋体" w:cs="仿宋_GB2312" w:hint="eastAsia"/>
                <w:b/>
                <w:bCs/>
                <w:kern w:val="0"/>
                <w:sz w:val="20"/>
                <w:szCs w:val="20"/>
              </w:rPr>
              <w:t>金额（万元）</w:t>
            </w:r>
          </w:p>
        </w:tc>
        <w:tc>
          <w:tcPr>
            <w:tcW w:w="1699" w:type="dxa"/>
            <w:vMerge w:val="restart"/>
            <w:vAlign w:val="center"/>
          </w:tcPr>
          <w:p w:rsidR="0000711D" w:rsidRDefault="00A938D4">
            <w:pPr>
              <w:widowControl/>
              <w:adjustRightInd w:val="0"/>
              <w:snapToGrid w:val="0"/>
              <w:jc w:val="center"/>
              <w:rPr>
                <w:rFonts w:ascii="宋体" w:eastAsia="宋体" w:hAnsi="宋体" w:cs="仿宋_GB2312"/>
                <w:b/>
                <w:bCs/>
                <w:kern w:val="0"/>
                <w:sz w:val="20"/>
                <w:szCs w:val="20"/>
              </w:rPr>
            </w:pPr>
            <w:r>
              <w:rPr>
                <w:rFonts w:ascii="宋体" w:eastAsia="宋体" w:hAnsi="宋体" w:cs="仿宋_GB2312" w:hint="eastAsia"/>
                <w:b/>
                <w:bCs/>
                <w:kern w:val="0"/>
                <w:sz w:val="20"/>
                <w:szCs w:val="20"/>
              </w:rPr>
              <w:t>预算执行率</w:t>
            </w:r>
          </w:p>
        </w:tc>
      </w:tr>
      <w:tr w:rsidR="0000711D">
        <w:trPr>
          <w:trHeight w:val="454"/>
          <w:tblHeader/>
          <w:jc w:val="center"/>
        </w:trPr>
        <w:tc>
          <w:tcPr>
            <w:tcW w:w="1884" w:type="dxa"/>
            <w:vMerge/>
            <w:vAlign w:val="center"/>
          </w:tcPr>
          <w:p w:rsidR="0000711D" w:rsidRDefault="0000711D">
            <w:pPr>
              <w:widowControl/>
              <w:adjustRightInd w:val="0"/>
              <w:snapToGrid w:val="0"/>
              <w:jc w:val="center"/>
              <w:rPr>
                <w:rFonts w:ascii="宋体" w:eastAsia="宋体" w:hAnsi="宋体" w:cs="仿宋_GB2312"/>
                <w:b/>
                <w:bCs/>
                <w:kern w:val="0"/>
                <w:sz w:val="20"/>
                <w:szCs w:val="20"/>
              </w:rPr>
            </w:pPr>
          </w:p>
        </w:tc>
        <w:tc>
          <w:tcPr>
            <w:tcW w:w="1701" w:type="dxa"/>
            <w:vAlign w:val="center"/>
          </w:tcPr>
          <w:p w:rsidR="0000711D" w:rsidRDefault="00A938D4">
            <w:pPr>
              <w:widowControl/>
              <w:adjustRightInd w:val="0"/>
              <w:snapToGrid w:val="0"/>
              <w:jc w:val="center"/>
              <w:rPr>
                <w:rFonts w:ascii="宋体" w:eastAsia="宋体" w:hAnsi="宋体" w:cs="仿宋_GB2312"/>
                <w:b/>
                <w:bCs/>
                <w:kern w:val="0"/>
                <w:sz w:val="20"/>
                <w:szCs w:val="20"/>
              </w:rPr>
            </w:pPr>
            <w:r>
              <w:rPr>
                <w:rFonts w:ascii="宋体" w:eastAsia="宋体" w:hAnsi="宋体" w:cs="仿宋_GB2312" w:hint="eastAsia"/>
                <w:b/>
                <w:bCs/>
                <w:kern w:val="0"/>
                <w:sz w:val="20"/>
                <w:szCs w:val="20"/>
              </w:rPr>
              <w:t>预算批复数</w:t>
            </w:r>
          </w:p>
        </w:tc>
        <w:tc>
          <w:tcPr>
            <w:tcW w:w="1843" w:type="dxa"/>
            <w:vAlign w:val="center"/>
          </w:tcPr>
          <w:p w:rsidR="0000711D" w:rsidRDefault="00A938D4">
            <w:pPr>
              <w:widowControl/>
              <w:adjustRightInd w:val="0"/>
              <w:snapToGrid w:val="0"/>
              <w:jc w:val="center"/>
              <w:rPr>
                <w:rFonts w:ascii="宋体" w:eastAsia="宋体" w:hAnsi="宋体" w:cs="仿宋_GB2312"/>
                <w:b/>
                <w:bCs/>
                <w:kern w:val="0"/>
                <w:sz w:val="20"/>
                <w:szCs w:val="20"/>
              </w:rPr>
            </w:pPr>
            <w:r>
              <w:rPr>
                <w:rFonts w:ascii="宋体" w:eastAsia="宋体" w:hAnsi="宋体" w:cs="仿宋_GB2312" w:hint="eastAsia"/>
                <w:b/>
                <w:bCs/>
                <w:kern w:val="0"/>
                <w:sz w:val="20"/>
                <w:szCs w:val="20"/>
              </w:rPr>
              <w:t>实际支出数</w:t>
            </w:r>
          </w:p>
        </w:tc>
        <w:tc>
          <w:tcPr>
            <w:tcW w:w="1703" w:type="dxa"/>
            <w:vAlign w:val="center"/>
          </w:tcPr>
          <w:p w:rsidR="0000711D" w:rsidRDefault="00A938D4">
            <w:pPr>
              <w:widowControl/>
              <w:adjustRightInd w:val="0"/>
              <w:snapToGrid w:val="0"/>
              <w:jc w:val="center"/>
              <w:rPr>
                <w:rFonts w:ascii="宋体" w:eastAsia="宋体" w:hAnsi="宋体" w:cs="仿宋_GB2312"/>
                <w:b/>
                <w:bCs/>
                <w:kern w:val="0"/>
                <w:sz w:val="20"/>
                <w:szCs w:val="20"/>
              </w:rPr>
            </w:pPr>
            <w:r>
              <w:rPr>
                <w:rFonts w:ascii="宋体" w:eastAsia="宋体" w:hAnsi="宋体" w:cs="仿宋_GB2312" w:hint="eastAsia"/>
                <w:b/>
                <w:bCs/>
                <w:kern w:val="0"/>
                <w:sz w:val="20"/>
                <w:szCs w:val="20"/>
              </w:rPr>
              <w:t>差异</w:t>
            </w:r>
          </w:p>
          <w:p w:rsidR="0000711D" w:rsidRDefault="00A938D4">
            <w:pPr>
              <w:widowControl/>
              <w:adjustRightInd w:val="0"/>
              <w:snapToGrid w:val="0"/>
              <w:jc w:val="center"/>
              <w:rPr>
                <w:rFonts w:ascii="宋体" w:eastAsia="宋体" w:hAnsi="宋体" w:cs="仿宋_GB2312"/>
                <w:b/>
                <w:bCs/>
                <w:kern w:val="0"/>
                <w:sz w:val="20"/>
                <w:szCs w:val="20"/>
              </w:rPr>
            </w:pPr>
            <w:r>
              <w:rPr>
                <w:rFonts w:ascii="宋体" w:eastAsia="宋体" w:hAnsi="宋体" w:cs="仿宋_GB2312" w:hint="eastAsia"/>
                <w:b/>
                <w:bCs/>
                <w:kern w:val="0"/>
                <w:sz w:val="20"/>
                <w:szCs w:val="20"/>
              </w:rPr>
              <w:t>（预算-支出）</w:t>
            </w:r>
          </w:p>
        </w:tc>
        <w:tc>
          <w:tcPr>
            <w:tcW w:w="1699" w:type="dxa"/>
            <w:vMerge/>
            <w:vAlign w:val="center"/>
          </w:tcPr>
          <w:p w:rsidR="0000711D" w:rsidRDefault="0000711D">
            <w:pPr>
              <w:widowControl/>
              <w:adjustRightInd w:val="0"/>
              <w:snapToGrid w:val="0"/>
              <w:jc w:val="center"/>
              <w:rPr>
                <w:rFonts w:ascii="宋体" w:eastAsia="宋体" w:hAnsi="宋体" w:cs="仿宋_GB2312"/>
                <w:b/>
                <w:bCs/>
                <w:kern w:val="0"/>
                <w:sz w:val="20"/>
                <w:szCs w:val="20"/>
              </w:rPr>
            </w:pPr>
          </w:p>
        </w:tc>
      </w:tr>
      <w:tr w:rsidR="0000711D">
        <w:trPr>
          <w:trHeight w:val="454"/>
          <w:jc w:val="center"/>
        </w:trPr>
        <w:tc>
          <w:tcPr>
            <w:tcW w:w="1884" w:type="dxa"/>
            <w:vAlign w:val="center"/>
          </w:tcPr>
          <w:p w:rsidR="0000711D" w:rsidRDefault="00A938D4">
            <w:pPr>
              <w:widowControl/>
              <w:adjustRightInd w:val="0"/>
              <w:snapToGrid w:val="0"/>
              <w:jc w:val="center"/>
              <w:rPr>
                <w:rFonts w:ascii="宋体" w:eastAsia="宋体" w:hAnsi="宋体" w:cs="仿宋_GB2312"/>
                <w:kern w:val="0"/>
                <w:sz w:val="20"/>
                <w:szCs w:val="20"/>
              </w:rPr>
            </w:pPr>
            <w:r>
              <w:rPr>
                <w:rFonts w:ascii="宋体" w:eastAsia="宋体" w:hAnsi="宋体" w:hint="eastAsia"/>
                <w:color w:val="000000"/>
                <w:sz w:val="20"/>
                <w:szCs w:val="20"/>
              </w:rPr>
              <w:t>2022年</w:t>
            </w:r>
          </w:p>
        </w:tc>
        <w:tc>
          <w:tcPr>
            <w:tcW w:w="1701" w:type="dxa"/>
            <w:vAlign w:val="center"/>
          </w:tcPr>
          <w:p w:rsidR="0000711D" w:rsidRDefault="00A938D4">
            <w:pPr>
              <w:widowControl/>
              <w:jc w:val="right"/>
              <w:rPr>
                <w:rFonts w:ascii="宋体" w:eastAsia="宋体" w:hAnsi="宋体"/>
                <w:color w:val="000000"/>
                <w:kern w:val="0"/>
                <w:sz w:val="20"/>
                <w:szCs w:val="20"/>
              </w:rPr>
            </w:pPr>
            <w:r>
              <w:rPr>
                <w:rFonts w:ascii="宋体" w:eastAsia="宋体" w:hAnsi="宋体" w:hint="eastAsia"/>
                <w:color w:val="000000"/>
                <w:sz w:val="20"/>
                <w:szCs w:val="20"/>
              </w:rPr>
              <w:t>337.74</w:t>
            </w:r>
          </w:p>
        </w:tc>
        <w:tc>
          <w:tcPr>
            <w:tcW w:w="1843" w:type="dxa"/>
            <w:vAlign w:val="center"/>
          </w:tcPr>
          <w:p w:rsidR="0000711D" w:rsidRDefault="00A938D4">
            <w:pPr>
              <w:jc w:val="right"/>
              <w:rPr>
                <w:rFonts w:ascii="宋体" w:eastAsia="宋体" w:hAnsi="宋体"/>
                <w:color w:val="000000"/>
                <w:sz w:val="20"/>
                <w:szCs w:val="20"/>
              </w:rPr>
            </w:pPr>
            <w:r>
              <w:rPr>
                <w:rFonts w:ascii="宋体" w:eastAsia="宋体" w:hAnsi="宋体" w:hint="eastAsia"/>
                <w:color w:val="000000"/>
                <w:sz w:val="20"/>
                <w:szCs w:val="20"/>
              </w:rPr>
              <w:t>331.40</w:t>
            </w:r>
          </w:p>
        </w:tc>
        <w:tc>
          <w:tcPr>
            <w:tcW w:w="1703" w:type="dxa"/>
            <w:vAlign w:val="center"/>
          </w:tcPr>
          <w:p w:rsidR="0000711D" w:rsidRDefault="00A938D4">
            <w:pPr>
              <w:jc w:val="right"/>
              <w:rPr>
                <w:rFonts w:ascii="宋体" w:eastAsia="宋体" w:hAnsi="宋体"/>
                <w:color w:val="000000"/>
                <w:sz w:val="20"/>
                <w:szCs w:val="20"/>
              </w:rPr>
            </w:pPr>
            <w:r>
              <w:rPr>
                <w:rFonts w:ascii="宋体" w:eastAsia="宋体" w:hAnsi="宋体" w:hint="eastAsia"/>
                <w:color w:val="000000"/>
                <w:sz w:val="20"/>
                <w:szCs w:val="20"/>
              </w:rPr>
              <w:t xml:space="preserve">6.34 </w:t>
            </w:r>
          </w:p>
        </w:tc>
        <w:tc>
          <w:tcPr>
            <w:tcW w:w="1699" w:type="dxa"/>
            <w:vAlign w:val="center"/>
          </w:tcPr>
          <w:p w:rsidR="0000711D" w:rsidRDefault="00A938D4">
            <w:pPr>
              <w:jc w:val="center"/>
              <w:rPr>
                <w:rFonts w:ascii="宋体" w:eastAsia="宋体" w:hAnsi="宋体"/>
                <w:color w:val="000000"/>
                <w:sz w:val="20"/>
                <w:szCs w:val="20"/>
              </w:rPr>
            </w:pPr>
            <w:r>
              <w:rPr>
                <w:rFonts w:ascii="宋体" w:eastAsia="宋体" w:hAnsi="宋体" w:hint="eastAsia"/>
                <w:color w:val="000000"/>
                <w:sz w:val="20"/>
                <w:szCs w:val="20"/>
              </w:rPr>
              <w:t>98.12%</w:t>
            </w:r>
          </w:p>
        </w:tc>
      </w:tr>
      <w:tr w:rsidR="0000711D">
        <w:trPr>
          <w:trHeight w:val="454"/>
          <w:jc w:val="center"/>
        </w:trPr>
        <w:tc>
          <w:tcPr>
            <w:tcW w:w="1884" w:type="dxa"/>
            <w:vAlign w:val="center"/>
          </w:tcPr>
          <w:p w:rsidR="0000711D" w:rsidRDefault="00A938D4">
            <w:pPr>
              <w:widowControl/>
              <w:adjustRightInd w:val="0"/>
              <w:snapToGrid w:val="0"/>
              <w:jc w:val="center"/>
              <w:rPr>
                <w:rFonts w:ascii="宋体" w:eastAsia="宋体" w:hAnsi="宋体" w:cs="仿宋_GB2312"/>
                <w:kern w:val="0"/>
                <w:sz w:val="20"/>
                <w:szCs w:val="20"/>
              </w:rPr>
            </w:pPr>
            <w:r>
              <w:rPr>
                <w:rFonts w:ascii="宋体" w:eastAsia="宋体" w:hAnsi="宋体" w:hint="eastAsia"/>
                <w:color w:val="000000"/>
                <w:sz w:val="20"/>
                <w:szCs w:val="20"/>
              </w:rPr>
              <w:t>2023年</w:t>
            </w:r>
          </w:p>
        </w:tc>
        <w:tc>
          <w:tcPr>
            <w:tcW w:w="1701" w:type="dxa"/>
            <w:vAlign w:val="center"/>
          </w:tcPr>
          <w:p w:rsidR="0000711D" w:rsidRDefault="00A938D4">
            <w:pPr>
              <w:jc w:val="right"/>
              <w:rPr>
                <w:rFonts w:ascii="宋体" w:eastAsia="宋体" w:hAnsi="宋体"/>
                <w:color w:val="000000"/>
                <w:sz w:val="20"/>
                <w:szCs w:val="20"/>
              </w:rPr>
            </w:pPr>
            <w:r>
              <w:rPr>
                <w:rFonts w:ascii="宋体" w:eastAsia="宋体" w:hAnsi="宋体" w:hint="eastAsia"/>
                <w:color w:val="000000"/>
                <w:sz w:val="20"/>
                <w:szCs w:val="20"/>
              </w:rPr>
              <w:t>446.26</w:t>
            </w:r>
          </w:p>
        </w:tc>
        <w:tc>
          <w:tcPr>
            <w:tcW w:w="1843" w:type="dxa"/>
            <w:vAlign w:val="center"/>
          </w:tcPr>
          <w:p w:rsidR="0000711D" w:rsidRDefault="00A938D4">
            <w:pPr>
              <w:jc w:val="right"/>
              <w:rPr>
                <w:rFonts w:ascii="宋体" w:eastAsia="宋体" w:hAnsi="宋体"/>
                <w:color w:val="000000"/>
                <w:sz w:val="20"/>
                <w:szCs w:val="20"/>
              </w:rPr>
            </w:pPr>
            <w:r>
              <w:rPr>
                <w:rFonts w:ascii="宋体" w:eastAsia="宋体" w:hAnsi="宋体" w:hint="eastAsia"/>
                <w:color w:val="000000"/>
                <w:sz w:val="20"/>
                <w:szCs w:val="20"/>
              </w:rPr>
              <w:t>443.89</w:t>
            </w:r>
          </w:p>
        </w:tc>
        <w:tc>
          <w:tcPr>
            <w:tcW w:w="1703" w:type="dxa"/>
            <w:vAlign w:val="center"/>
          </w:tcPr>
          <w:p w:rsidR="0000711D" w:rsidRDefault="00A938D4">
            <w:pPr>
              <w:jc w:val="right"/>
              <w:rPr>
                <w:rFonts w:ascii="宋体" w:eastAsia="宋体" w:hAnsi="宋体"/>
                <w:color w:val="000000"/>
                <w:sz w:val="20"/>
                <w:szCs w:val="20"/>
              </w:rPr>
            </w:pPr>
            <w:r>
              <w:rPr>
                <w:rFonts w:ascii="宋体" w:eastAsia="宋体" w:hAnsi="宋体" w:hint="eastAsia"/>
                <w:color w:val="000000"/>
                <w:sz w:val="20"/>
                <w:szCs w:val="20"/>
              </w:rPr>
              <w:t xml:space="preserve">2.37 </w:t>
            </w:r>
          </w:p>
        </w:tc>
        <w:tc>
          <w:tcPr>
            <w:tcW w:w="1699" w:type="dxa"/>
            <w:vAlign w:val="center"/>
          </w:tcPr>
          <w:p w:rsidR="0000711D" w:rsidRDefault="00A938D4">
            <w:pPr>
              <w:jc w:val="center"/>
              <w:rPr>
                <w:rFonts w:ascii="宋体" w:eastAsia="宋体" w:hAnsi="宋体"/>
                <w:color w:val="000000"/>
                <w:sz w:val="20"/>
                <w:szCs w:val="20"/>
              </w:rPr>
            </w:pPr>
            <w:r>
              <w:rPr>
                <w:rFonts w:ascii="宋体" w:eastAsia="宋体" w:hAnsi="宋体" w:hint="eastAsia"/>
                <w:color w:val="000000"/>
                <w:sz w:val="20"/>
                <w:szCs w:val="20"/>
              </w:rPr>
              <w:t>99.47%</w:t>
            </w:r>
          </w:p>
        </w:tc>
      </w:tr>
      <w:tr w:rsidR="0000711D">
        <w:trPr>
          <w:trHeight w:val="454"/>
          <w:jc w:val="center"/>
        </w:trPr>
        <w:tc>
          <w:tcPr>
            <w:tcW w:w="1884" w:type="dxa"/>
            <w:vAlign w:val="center"/>
          </w:tcPr>
          <w:p w:rsidR="0000711D" w:rsidRDefault="00A938D4">
            <w:pPr>
              <w:widowControl/>
              <w:adjustRightInd w:val="0"/>
              <w:snapToGrid w:val="0"/>
              <w:jc w:val="center"/>
              <w:rPr>
                <w:rFonts w:ascii="宋体" w:eastAsia="宋体" w:hAnsi="宋体" w:cs="仿宋_GB2312"/>
                <w:kern w:val="0"/>
                <w:sz w:val="20"/>
                <w:szCs w:val="20"/>
              </w:rPr>
            </w:pPr>
            <w:r>
              <w:rPr>
                <w:rFonts w:ascii="宋体" w:eastAsia="宋体" w:hAnsi="宋体" w:hint="eastAsia"/>
                <w:color w:val="000000"/>
                <w:sz w:val="20"/>
                <w:szCs w:val="20"/>
              </w:rPr>
              <w:t>2024年</w:t>
            </w:r>
          </w:p>
        </w:tc>
        <w:tc>
          <w:tcPr>
            <w:tcW w:w="1701" w:type="dxa"/>
            <w:vAlign w:val="center"/>
          </w:tcPr>
          <w:p w:rsidR="0000711D" w:rsidRDefault="00A938D4">
            <w:pPr>
              <w:jc w:val="right"/>
              <w:rPr>
                <w:rFonts w:ascii="宋体" w:eastAsia="宋体" w:hAnsi="宋体"/>
                <w:color w:val="000000"/>
                <w:sz w:val="20"/>
                <w:szCs w:val="20"/>
              </w:rPr>
            </w:pPr>
            <w:r>
              <w:rPr>
                <w:rFonts w:ascii="宋体" w:eastAsia="宋体" w:hAnsi="宋体" w:hint="eastAsia"/>
                <w:color w:val="000000"/>
                <w:sz w:val="20"/>
                <w:szCs w:val="20"/>
              </w:rPr>
              <w:t>80.51</w:t>
            </w:r>
          </w:p>
        </w:tc>
        <w:tc>
          <w:tcPr>
            <w:tcW w:w="1843" w:type="dxa"/>
            <w:vAlign w:val="center"/>
          </w:tcPr>
          <w:p w:rsidR="0000711D" w:rsidRDefault="00A938D4">
            <w:pPr>
              <w:jc w:val="right"/>
              <w:rPr>
                <w:rFonts w:ascii="宋体" w:eastAsia="宋体" w:hAnsi="宋体"/>
                <w:color w:val="000000"/>
                <w:sz w:val="20"/>
                <w:szCs w:val="20"/>
              </w:rPr>
            </w:pPr>
            <w:r>
              <w:rPr>
                <w:rFonts w:ascii="宋体" w:eastAsia="宋体" w:hAnsi="宋体" w:hint="eastAsia"/>
                <w:color w:val="000000"/>
                <w:sz w:val="20"/>
                <w:szCs w:val="20"/>
              </w:rPr>
              <w:t>80.51</w:t>
            </w:r>
          </w:p>
        </w:tc>
        <w:tc>
          <w:tcPr>
            <w:tcW w:w="1703" w:type="dxa"/>
            <w:vAlign w:val="center"/>
          </w:tcPr>
          <w:p w:rsidR="0000711D" w:rsidRDefault="00A938D4">
            <w:pPr>
              <w:jc w:val="right"/>
              <w:rPr>
                <w:rFonts w:ascii="宋体" w:eastAsia="宋体" w:hAnsi="宋体"/>
                <w:color w:val="000000"/>
                <w:sz w:val="20"/>
                <w:szCs w:val="20"/>
              </w:rPr>
            </w:pPr>
            <w:r>
              <w:rPr>
                <w:rFonts w:ascii="宋体" w:eastAsia="宋体" w:hAnsi="宋体" w:hint="eastAsia"/>
                <w:color w:val="000000"/>
                <w:sz w:val="20"/>
                <w:szCs w:val="20"/>
              </w:rPr>
              <w:t xml:space="preserve">0.00 </w:t>
            </w:r>
          </w:p>
        </w:tc>
        <w:tc>
          <w:tcPr>
            <w:tcW w:w="1699" w:type="dxa"/>
            <w:vAlign w:val="center"/>
          </w:tcPr>
          <w:p w:rsidR="0000711D" w:rsidRDefault="00A938D4">
            <w:pPr>
              <w:jc w:val="center"/>
              <w:rPr>
                <w:rFonts w:ascii="宋体" w:eastAsia="宋体" w:hAnsi="宋体"/>
                <w:color w:val="000000"/>
                <w:sz w:val="20"/>
                <w:szCs w:val="20"/>
              </w:rPr>
            </w:pPr>
            <w:r>
              <w:rPr>
                <w:rFonts w:ascii="宋体" w:eastAsia="宋体" w:hAnsi="宋体" w:hint="eastAsia"/>
                <w:color w:val="000000"/>
                <w:sz w:val="20"/>
                <w:szCs w:val="20"/>
              </w:rPr>
              <w:t>100.00%</w:t>
            </w:r>
          </w:p>
        </w:tc>
      </w:tr>
      <w:tr w:rsidR="0000711D">
        <w:trPr>
          <w:trHeight w:val="454"/>
          <w:jc w:val="center"/>
        </w:trPr>
        <w:tc>
          <w:tcPr>
            <w:tcW w:w="1884" w:type="dxa"/>
            <w:vAlign w:val="center"/>
          </w:tcPr>
          <w:p w:rsidR="0000711D" w:rsidRDefault="00A938D4">
            <w:pPr>
              <w:widowControl/>
              <w:adjustRightInd w:val="0"/>
              <w:snapToGrid w:val="0"/>
              <w:jc w:val="center"/>
              <w:rPr>
                <w:rFonts w:ascii="宋体" w:eastAsia="宋体" w:hAnsi="宋体" w:cs="仿宋_GB2312"/>
                <w:b/>
                <w:bCs/>
                <w:kern w:val="0"/>
                <w:sz w:val="20"/>
                <w:szCs w:val="20"/>
              </w:rPr>
            </w:pPr>
            <w:r>
              <w:rPr>
                <w:rFonts w:ascii="宋体" w:eastAsia="宋体" w:hAnsi="宋体" w:hint="eastAsia"/>
                <w:color w:val="000000"/>
                <w:sz w:val="20"/>
                <w:szCs w:val="20"/>
              </w:rPr>
              <w:t>合计</w:t>
            </w:r>
          </w:p>
        </w:tc>
        <w:tc>
          <w:tcPr>
            <w:tcW w:w="1701" w:type="dxa"/>
            <w:vAlign w:val="center"/>
          </w:tcPr>
          <w:p w:rsidR="0000711D" w:rsidRDefault="00A938D4">
            <w:pPr>
              <w:jc w:val="right"/>
              <w:rPr>
                <w:rFonts w:ascii="宋体" w:eastAsia="宋体" w:hAnsi="宋体"/>
                <w:b/>
                <w:bCs/>
                <w:color w:val="000000"/>
                <w:sz w:val="20"/>
                <w:szCs w:val="20"/>
              </w:rPr>
            </w:pPr>
            <w:r>
              <w:rPr>
                <w:rFonts w:ascii="宋体" w:eastAsia="宋体" w:hAnsi="宋体" w:hint="eastAsia"/>
                <w:color w:val="000000"/>
                <w:sz w:val="20"/>
                <w:szCs w:val="20"/>
              </w:rPr>
              <w:t>864.51</w:t>
            </w:r>
          </w:p>
        </w:tc>
        <w:tc>
          <w:tcPr>
            <w:tcW w:w="1843" w:type="dxa"/>
            <w:vAlign w:val="center"/>
          </w:tcPr>
          <w:p w:rsidR="0000711D" w:rsidRDefault="00A938D4">
            <w:pPr>
              <w:jc w:val="right"/>
              <w:rPr>
                <w:rFonts w:ascii="宋体" w:eastAsia="宋体" w:hAnsi="宋体"/>
                <w:b/>
                <w:bCs/>
                <w:color w:val="000000"/>
                <w:sz w:val="20"/>
                <w:szCs w:val="20"/>
              </w:rPr>
            </w:pPr>
            <w:r>
              <w:rPr>
                <w:rFonts w:ascii="宋体" w:eastAsia="宋体" w:hAnsi="宋体" w:hint="eastAsia"/>
                <w:color w:val="000000"/>
                <w:sz w:val="20"/>
                <w:szCs w:val="20"/>
              </w:rPr>
              <w:t>855.80</w:t>
            </w:r>
          </w:p>
        </w:tc>
        <w:tc>
          <w:tcPr>
            <w:tcW w:w="1703" w:type="dxa"/>
            <w:vAlign w:val="center"/>
          </w:tcPr>
          <w:p w:rsidR="0000711D" w:rsidRDefault="00A938D4">
            <w:pPr>
              <w:jc w:val="right"/>
              <w:rPr>
                <w:rFonts w:ascii="宋体" w:eastAsia="宋体" w:hAnsi="宋体"/>
                <w:b/>
                <w:bCs/>
                <w:color w:val="000000"/>
                <w:sz w:val="20"/>
                <w:szCs w:val="20"/>
              </w:rPr>
            </w:pPr>
            <w:r>
              <w:rPr>
                <w:rFonts w:ascii="宋体" w:eastAsia="宋体" w:hAnsi="宋体" w:hint="eastAsia"/>
                <w:color w:val="000000"/>
                <w:sz w:val="20"/>
                <w:szCs w:val="20"/>
              </w:rPr>
              <w:t xml:space="preserve">8.71 </w:t>
            </w:r>
          </w:p>
        </w:tc>
        <w:tc>
          <w:tcPr>
            <w:tcW w:w="1699" w:type="dxa"/>
            <w:vAlign w:val="center"/>
          </w:tcPr>
          <w:p w:rsidR="0000711D" w:rsidRDefault="00A938D4">
            <w:pPr>
              <w:jc w:val="center"/>
              <w:rPr>
                <w:rFonts w:ascii="宋体" w:eastAsia="宋体" w:hAnsi="宋体"/>
                <w:b/>
                <w:bCs/>
                <w:color w:val="000000"/>
                <w:sz w:val="20"/>
                <w:szCs w:val="20"/>
              </w:rPr>
            </w:pPr>
            <w:r>
              <w:rPr>
                <w:rFonts w:ascii="宋体" w:eastAsia="宋体" w:hAnsi="宋体" w:hint="eastAsia"/>
                <w:color w:val="000000"/>
                <w:sz w:val="20"/>
                <w:szCs w:val="20"/>
              </w:rPr>
              <w:t>98.99%</w:t>
            </w:r>
          </w:p>
        </w:tc>
      </w:tr>
    </w:tbl>
    <w:p w:rsidR="0000711D" w:rsidRDefault="00A938D4">
      <w:pPr>
        <w:adjustRightInd w:val="0"/>
        <w:snapToGrid w:val="0"/>
        <w:spacing w:line="600" w:lineRule="exact"/>
        <w:ind w:firstLineChars="200" w:firstLine="640"/>
        <w:outlineLvl w:val="1"/>
        <w:rPr>
          <w:rFonts w:ascii="楷体_GB2312" w:eastAsia="楷体_GB2312"/>
          <w:sz w:val="32"/>
          <w:szCs w:val="32"/>
        </w:rPr>
      </w:pPr>
      <w:bookmarkStart w:id="9" w:name="_Toc198040022"/>
      <w:bookmarkStart w:id="10" w:name="_Toc35588398"/>
      <w:r>
        <w:rPr>
          <w:rFonts w:ascii="楷体_GB2312" w:eastAsia="楷体_GB2312" w:hint="eastAsia"/>
          <w:sz w:val="32"/>
          <w:szCs w:val="32"/>
        </w:rPr>
        <w:t>（二）项目绩效目标</w:t>
      </w:r>
      <w:bookmarkEnd w:id="9"/>
      <w:bookmarkEnd w:id="10"/>
    </w:p>
    <w:p w:rsidR="0000711D" w:rsidRDefault="00A938D4">
      <w:pPr>
        <w:adjustRightInd w:val="0"/>
        <w:snapToGrid w:val="0"/>
        <w:spacing w:line="600" w:lineRule="exact"/>
        <w:ind w:firstLineChars="200" w:firstLine="640"/>
        <w:outlineLvl w:val="2"/>
        <w:rPr>
          <w:rFonts w:ascii="仿宋_GB2312"/>
          <w:color w:val="000000"/>
          <w:sz w:val="32"/>
          <w:szCs w:val="32"/>
          <w:lang w:val="zh-CN"/>
        </w:rPr>
      </w:pPr>
      <w:r>
        <w:rPr>
          <w:rFonts w:ascii="仿宋_GB2312" w:hint="eastAsia"/>
          <w:color w:val="000000"/>
          <w:sz w:val="32"/>
          <w:szCs w:val="32"/>
          <w:lang w:val="zh-CN"/>
        </w:rPr>
        <w:t>1.预期总目标</w:t>
      </w:r>
    </w:p>
    <w:p w:rsidR="0000711D" w:rsidRDefault="00A938D4">
      <w:pPr>
        <w:adjustRightInd w:val="0"/>
        <w:snapToGrid w:val="0"/>
        <w:spacing w:line="600" w:lineRule="exact"/>
        <w:ind w:firstLineChars="200" w:firstLine="640"/>
        <w:rPr>
          <w:rFonts w:ascii="仿宋_GB2312"/>
          <w:color w:val="000000"/>
          <w:sz w:val="32"/>
          <w:szCs w:val="32"/>
        </w:rPr>
      </w:pPr>
      <w:r>
        <w:rPr>
          <w:rFonts w:ascii="仿宋_GB2312" w:hint="eastAsia"/>
          <w:color w:val="000000"/>
          <w:sz w:val="32"/>
          <w:szCs w:val="32"/>
        </w:rPr>
        <w:t>为支撑行政复议与应诉业务，建设行政复议与应诉工作平台，通过平台的建设：一是为社会公众提供多形态、一站式的便捷</w:t>
      </w:r>
      <w:proofErr w:type="gramStart"/>
      <w:r>
        <w:rPr>
          <w:rFonts w:ascii="仿宋_GB2312" w:hint="eastAsia"/>
          <w:color w:val="000000"/>
          <w:sz w:val="32"/>
          <w:szCs w:val="32"/>
        </w:rPr>
        <w:t>化行政</w:t>
      </w:r>
      <w:proofErr w:type="gramEnd"/>
      <w:r>
        <w:rPr>
          <w:rFonts w:ascii="仿宋_GB2312" w:hint="eastAsia"/>
          <w:color w:val="000000"/>
          <w:sz w:val="32"/>
          <w:szCs w:val="32"/>
        </w:rPr>
        <w:t>复议服务体验；二是针对复议与应诉机关办案人员提供全流程、智能化、精准化的在线移动办案体验；三是针对监督人员和领导，通过数据分析实现领导决策可视化。</w:t>
      </w:r>
    </w:p>
    <w:p w:rsidR="0000711D" w:rsidRDefault="00A938D4">
      <w:pPr>
        <w:adjustRightInd w:val="0"/>
        <w:snapToGrid w:val="0"/>
        <w:spacing w:line="600" w:lineRule="exact"/>
        <w:ind w:firstLineChars="200" w:firstLine="640"/>
        <w:outlineLvl w:val="2"/>
        <w:rPr>
          <w:rFonts w:ascii="仿宋_GB2312"/>
          <w:color w:val="000000"/>
          <w:sz w:val="32"/>
          <w:szCs w:val="32"/>
          <w:lang w:val="zh-CN"/>
        </w:rPr>
      </w:pPr>
      <w:r>
        <w:rPr>
          <w:rFonts w:ascii="仿宋_GB2312" w:hint="eastAsia"/>
          <w:color w:val="000000"/>
          <w:sz w:val="32"/>
          <w:szCs w:val="32"/>
          <w:lang w:val="zh-CN"/>
        </w:rPr>
        <w:t>2.阶段性目标</w:t>
      </w:r>
    </w:p>
    <w:p w:rsidR="0000711D" w:rsidRDefault="00A938D4">
      <w:pPr>
        <w:adjustRightInd w:val="0"/>
        <w:snapToGrid w:val="0"/>
        <w:spacing w:line="600" w:lineRule="exact"/>
        <w:ind w:firstLineChars="200" w:firstLine="640"/>
        <w:rPr>
          <w:rFonts w:ascii="仿宋_GB2312"/>
          <w:color w:val="000000"/>
          <w:sz w:val="32"/>
          <w:szCs w:val="32"/>
          <w:lang w:val="zh-CN"/>
        </w:rPr>
      </w:pPr>
      <w:r>
        <w:rPr>
          <w:rFonts w:ascii="仿宋_GB2312" w:hint="eastAsia"/>
          <w:color w:val="000000"/>
          <w:sz w:val="32"/>
          <w:szCs w:val="32"/>
          <w:lang w:val="zh-CN"/>
        </w:rPr>
        <w:t>项目2022年度目标为：完成项目招投标及合同签订，启动项目建设；完成部分市政府行政复议接待室硬件设备到货验收；完成业务需求分析、系统设计；完成相关支撑应用支撑工具采购和信息资源建设。</w:t>
      </w:r>
    </w:p>
    <w:p w:rsidR="0000711D" w:rsidRDefault="00A938D4">
      <w:pPr>
        <w:adjustRightInd w:val="0"/>
        <w:snapToGrid w:val="0"/>
        <w:spacing w:line="600" w:lineRule="exact"/>
        <w:ind w:firstLineChars="200" w:firstLine="640"/>
        <w:rPr>
          <w:rFonts w:ascii="仿宋_GB2312"/>
          <w:color w:val="000000"/>
          <w:sz w:val="32"/>
          <w:szCs w:val="32"/>
          <w:lang w:val="zh-CN"/>
        </w:rPr>
      </w:pPr>
      <w:r>
        <w:rPr>
          <w:rFonts w:ascii="仿宋_GB2312" w:hint="eastAsia"/>
          <w:color w:val="000000"/>
          <w:sz w:val="32"/>
          <w:szCs w:val="32"/>
          <w:lang w:val="zh-CN"/>
        </w:rPr>
        <w:t>项目2023年度目标为：完成所有软件功能模块开发；完成市政府行政复议接待室硬件设备到货验收；对2022年建设成果进行软件测评、安全测评、密码测评工作等；完成系统上线试运行，待系统稳定后完成项目初验。</w:t>
      </w:r>
    </w:p>
    <w:p w:rsidR="0000711D" w:rsidRDefault="00A938D4">
      <w:pPr>
        <w:adjustRightInd w:val="0"/>
        <w:snapToGrid w:val="0"/>
        <w:spacing w:line="600" w:lineRule="exact"/>
        <w:ind w:firstLineChars="200" w:firstLine="640"/>
        <w:rPr>
          <w:rFonts w:ascii="仿宋_GB2312"/>
          <w:color w:val="000000"/>
          <w:sz w:val="32"/>
          <w:szCs w:val="32"/>
          <w:lang w:val="zh-CN"/>
        </w:rPr>
      </w:pPr>
      <w:r>
        <w:rPr>
          <w:rFonts w:ascii="仿宋_GB2312" w:hint="eastAsia"/>
          <w:color w:val="000000"/>
          <w:sz w:val="32"/>
          <w:szCs w:val="32"/>
          <w:lang w:val="zh-CN"/>
        </w:rPr>
        <w:t>项目2024年度目标为：项目决算，完成系统终验，系统运行支持服务。实现项目所有建设内容及目标，保障行政复议与应诉业务在平台稳定、安全运行。</w:t>
      </w:r>
    </w:p>
    <w:p w:rsidR="0000711D" w:rsidRDefault="00A938D4">
      <w:pPr>
        <w:adjustRightInd w:val="0"/>
        <w:snapToGrid w:val="0"/>
        <w:spacing w:line="600" w:lineRule="exact"/>
        <w:ind w:firstLineChars="200" w:firstLine="640"/>
        <w:outlineLvl w:val="0"/>
        <w:rPr>
          <w:rFonts w:ascii="黑体" w:eastAsia="黑体"/>
          <w:color w:val="000000"/>
          <w:sz w:val="32"/>
          <w:szCs w:val="32"/>
        </w:rPr>
      </w:pPr>
      <w:bookmarkStart w:id="11" w:name="_Toc35588401"/>
      <w:bookmarkStart w:id="12" w:name="_Toc198040023"/>
      <w:r>
        <w:rPr>
          <w:rFonts w:ascii="黑体" w:eastAsia="黑体" w:hint="eastAsia"/>
          <w:color w:val="000000"/>
          <w:sz w:val="32"/>
          <w:szCs w:val="32"/>
        </w:rPr>
        <w:t>二、绩效评价工作开展情况</w:t>
      </w:r>
      <w:bookmarkEnd w:id="11"/>
      <w:bookmarkEnd w:id="12"/>
    </w:p>
    <w:p w:rsidR="0000711D" w:rsidRDefault="00A938D4">
      <w:pPr>
        <w:adjustRightInd w:val="0"/>
        <w:snapToGrid w:val="0"/>
        <w:spacing w:line="600" w:lineRule="exact"/>
        <w:ind w:firstLineChars="200" w:firstLine="640"/>
        <w:outlineLvl w:val="1"/>
        <w:rPr>
          <w:rFonts w:ascii="楷体_GB2312" w:eastAsia="楷体_GB2312"/>
          <w:color w:val="000000"/>
          <w:sz w:val="32"/>
          <w:szCs w:val="32"/>
        </w:rPr>
      </w:pPr>
      <w:bookmarkStart w:id="13" w:name="_Toc313007027"/>
      <w:bookmarkStart w:id="14" w:name="_Toc35588402"/>
      <w:bookmarkStart w:id="15" w:name="_Toc198040024"/>
      <w:r>
        <w:rPr>
          <w:rFonts w:ascii="楷体_GB2312" w:eastAsia="楷体_GB2312" w:hint="eastAsia"/>
          <w:color w:val="000000"/>
          <w:sz w:val="32"/>
          <w:szCs w:val="32"/>
        </w:rPr>
        <w:t>（一）</w:t>
      </w:r>
      <w:bookmarkEnd w:id="13"/>
      <w:r>
        <w:rPr>
          <w:rFonts w:ascii="楷体_GB2312" w:eastAsia="楷体_GB2312" w:hint="eastAsia"/>
          <w:color w:val="000000"/>
          <w:sz w:val="32"/>
          <w:szCs w:val="32"/>
        </w:rPr>
        <w:t>绩效评价目的、对象及范围</w:t>
      </w:r>
      <w:bookmarkEnd w:id="14"/>
      <w:bookmarkEnd w:id="15"/>
    </w:p>
    <w:p w:rsidR="0000711D" w:rsidRDefault="00A938D4">
      <w:pPr>
        <w:adjustRightInd w:val="0"/>
        <w:snapToGrid w:val="0"/>
        <w:spacing w:line="600" w:lineRule="exact"/>
        <w:ind w:firstLineChars="200" w:firstLine="640"/>
        <w:rPr>
          <w:rFonts w:ascii="仿宋_GB2312" w:hAnsi="仿宋"/>
          <w:sz w:val="32"/>
          <w:szCs w:val="32"/>
        </w:rPr>
      </w:pPr>
      <w:bookmarkStart w:id="16" w:name="_Toc313007028"/>
      <w:bookmarkStart w:id="17" w:name="_Toc35588403"/>
      <w:r>
        <w:rPr>
          <w:rFonts w:ascii="仿宋_GB2312" w:hAnsi="仿宋"/>
          <w:sz w:val="32"/>
          <w:szCs w:val="32"/>
        </w:rPr>
        <w:t>为深入贯彻落实</w:t>
      </w:r>
      <w:r>
        <w:rPr>
          <w:rFonts w:ascii="仿宋_GB2312" w:hAnsi="仿宋" w:hint="eastAsia"/>
          <w:sz w:val="32"/>
          <w:szCs w:val="32"/>
        </w:rPr>
        <w:t>全面实施预算绩效管理</w:t>
      </w:r>
      <w:r>
        <w:rPr>
          <w:rFonts w:ascii="仿宋_GB2312" w:hAnsi="仿宋"/>
          <w:sz w:val="32"/>
          <w:szCs w:val="32"/>
        </w:rPr>
        <w:t>要求，聚焦</w:t>
      </w:r>
      <w:r>
        <w:rPr>
          <w:rFonts w:ascii="仿宋_GB2312" w:hAnsi="仿宋" w:hint="eastAsia"/>
          <w:sz w:val="32"/>
          <w:szCs w:val="32"/>
        </w:rPr>
        <w:t>2022-2024年度北京市行政复议与应诉工作平台建设项目</w:t>
      </w:r>
      <w:r>
        <w:rPr>
          <w:rFonts w:ascii="仿宋_GB2312" w:hAnsi="仿宋"/>
          <w:sz w:val="32"/>
          <w:szCs w:val="32"/>
        </w:rPr>
        <w:t>资金，围绕决策、过程、产出及效益情况开展评价，总结经验，发现问题，剖析原因，提出改进建议，为部门科学决策、规范管理提供参考，进一步优化</w:t>
      </w:r>
      <w:r>
        <w:rPr>
          <w:rFonts w:ascii="仿宋_GB2312" w:hAnsi="仿宋" w:hint="eastAsia"/>
          <w:sz w:val="32"/>
          <w:szCs w:val="32"/>
        </w:rPr>
        <w:t>行政审批及信息化建设</w:t>
      </w:r>
      <w:r>
        <w:rPr>
          <w:rFonts w:ascii="仿宋_GB2312" w:hAnsi="仿宋"/>
          <w:sz w:val="32"/>
          <w:szCs w:val="32"/>
        </w:rPr>
        <w:t>工作，提高财政资金配置效率和使用效益。</w:t>
      </w:r>
    </w:p>
    <w:p w:rsidR="0000711D" w:rsidRDefault="00A938D4">
      <w:pPr>
        <w:adjustRightInd w:val="0"/>
        <w:snapToGrid w:val="0"/>
        <w:spacing w:line="600" w:lineRule="exact"/>
        <w:ind w:firstLineChars="200" w:firstLine="640"/>
        <w:outlineLvl w:val="1"/>
        <w:rPr>
          <w:rFonts w:ascii="楷体_GB2312" w:eastAsia="楷体_GB2312"/>
          <w:color w:val="000000"/>
          <w:sz w:val="32"/>
          <w:szCs w:val="32"/>
        </w:rPr>
      </w:pPr>
      <w:bookmarkStart w:id="18" w:name="_Toc198040025"/>
      <w:r>
        <w:rPr>
          <w:rFonts w:ascii="楷体_GB2312" w:eastAsia="楷体_GB2312" w:hint="eastAsia"/>
          <w:color w:val="000000"/>
          <w:sz w:val="32"/>
          <w:szCs w:val="32"/>
        </w:rPr>
        <w:t>（二）绩效评价原则、</w:t>
      </w:r>
      <w:bookmarkEnd w:id="16"/>
      <w:r>
        <w:rPr>
          <w:rFonts w:ascii="楷体_GB2312" w:eastAsia="楷体_GB2312" w:hint="eastAsia"/>
          <w:color w:val="000000"/>
          <w:sz w:val="32"/>
          <w:szCs w:val="32"/>
        </w:rPr>
        <w:t>方法及指标体系</w:t>
      </w:r>
      <w:bookmarkEnd w:id="17"/>
      <w:bookmarkEnd w:id="18"/>
    </w:p>
    <w:p w:rsidR="0000711D" w:rsidRDefault="00A938D4">
      <w:pPr>
        <w:adjustRightInd w:val="0"/>
        <w:snapToGrid w:val="0"/>
        <w:spacing w:line="600" w:lineRule="exact"/>
        <w:ind w:firstLineChars="200" w:firstLine="640"/>
        <w:outlineLvl w:val="2"/>
        <w:rPr>
          <w:rFonts w:ascii="仿宋_GB2312" w:hAnsi="宋体"/>
          <w:bCs/>
          <w:color w:val="000000"/>
          <w:sz w:val="32"/>
          <w:szCs w:val="32"/>
        </w:rPr>
      </w:pPr>
      <w:bookmarkStart w:id="19" w:name="_Toc313007030"/>
      <w:r>
        <w:rPr>
          <w:rFonts w:ascii="仿宋_GB2312" w:hAnsi="宋体" w:hint="eastAsia"/>
          <w:bCs/>
          <w:color w:val="000000"/>
          <w:sz w:val="32"/>
          <w:szCs w:val="32"/>
        </w:rPr>
        <w:t>1.评价原则和方法</w:t>
      </w:r>
    </w:p>
    <w:p w:rsidR="0000711D" w:rsidRDefault="00A938D4">
      <w:pPr>
        <w:adjustRightInd w:val="0"/>
        <w:snapToGrid w:val="0"/>
        <w:spacing w:line="600" w:lineRule="exact"/>
        <w:ind w:firstLineChars="200" w:firstLine="640"/>
        <w:rPr>
          <w:rFonts w:ascii="仿宋_GB2312" w:hAnsi="仿宋"/>
          <w:sz w:val="32"/>
          <w:szCs w:val="32"/>
        </w:rPr>
      </w:pPr>
      <w:r>
        <w:rPr>
          <w:rFonts w:ascii="仿宋_GB2312" w:hAnsi="仿宋" w:hint="eastAsia"/>
          <w:sz w:val="32"/>
          <w:szCs w:val="32"/>
        </w:rPr>
        <w:t>本次评价</w:t>
      </w:r>
      <w:proofErr w:type="gramStart"/>
      <w:r>
        <w:rPr>
          <w:rFonts w:ascii="仿宋_GB2312" w:hAnsi="仿宋" w:hint="eastAsia"/>
          <w:sz w:val="32"/>
          <w:szCs w:val="32"/>
        </w:rPr>
        <w:t>本着问题</w:t>
      </w:r>
      <w:proofErr w:type="gramEnd"/>
      <w:r>
        <w:rPr>
          <w:rFonts w:ascii="仿宋_GB2312" w:hAnsi="仿宋" w:hint="eastAsia"/>
          <w:sz w:val="32"/>
          <w:szCs w:val="32"/>
        </w:rPr>
        <w:t>导向、系统评价、科学客观、讲求绩效的原则，采用全面评价和重点评价相结合、现场评价和非现场评价相结合、定性分析与定量分析相结合的方式，运用案卷研究、专家咨询、座谈访谈等方法，对项目决策、过程、产出、效益四方面进行综合评价。评价工作由市司法局负责组织实施。</w:t>
      </w:r>
    </w:p>
    <w:p w:rsidR="0000711D" w:rsidRDefault="00A938D4">
      <w:pPr>
        <w:adjustRightInd w:val="0"/>
        <w:snapToGrid w:val="0"/>
        <w:spacing w:line="600" w:lineRule="exact"/>
        <w:ind w:firstLineChars="200" w:firstLine="640"/>
        <w:outlineLvl w:val="2"/>
        <w:rPr>
          <w:rFonts w:ascii="仿宋_GB2312" w:hAnsi="宋体"/>
          <w:bCs/>
          <w:color w:val="000000"/>
          <w:sz w:val="32"/>
          <w:szCs w:val="32"/>
        </w:rPr>
      </w:pPr>
      <w:r>
        <w:rPr>
          <w:rFonts w:ascii="仿宋_GB2312" w:hAnsi="宋体" w:hint="eastAsia"/>
          <w:bCs/>
          <w:color w:val="000000"/>
          <w:sz w:val="32"/>
          <w:szCs w:val="32"/>
        </w:rPr>
        <w:t>2.评价指标体系</w:t>
      </w:r>
      <w:bookmarkEnd w:id="19"/>
    </w:p>
    <w:p w:rsidR="0000711D" w:rsidRDefault="00A938D4">
      <w:pPr>
        <w:adjustRightInd w:val="0"/>
        <w:snapToGrid w:val="0"/>
        <w:spacing w:line="600" w:lineRule="exact"/>
        <w:ind w:firstLineChars="200" w:firstLine="640"/>
        <w:rPr>
          <w:rFonts w:ascii="仿宋_GB2312" w:hAnsi="仿宋"/>
          <w:sz w:val="32"/>
          <w:szCs w:val="32"/>
        </w:rPr>
      </w:pPr>
      <w:bookmarkStart w:id="20" w:name="_Toc313007032"/>
      <w:bookmarkStart w:id="21" w:name="_Toc35588404"/>
      <w:r>
        <w:rPr>
          <w:rFonts w:ascii="仿宋_GB2312" w:hAnsi="仿宋" w:hint="eastAsia"/>
          <w:sz w:val="32"/>
          <w:szCs w:val="32"/>
        </w:rPr>
        <w:t>结合项目特点，在与专家组、相关处室充分协商的基础上，细化了项目绩效评价指标体系。评价指标体系总分值100分，其中项目决策</w:t>
      </w:r>
      <w:r>
        <w:rPr>
          <w:rFonts w:ascii="仿宋_GB2312" w:hAnsi="仿宋"/>
          <w:sz w:val="32"/>
          <w:szCs w:val="32"/>
        </w:rPr>
        <w:t>10</w:t>
      </w:r>
      <w:r>
        <w:rPr>
          <w:rFonts w:ascii="仿宋_GB2312" w:hAnsi="仿宋" w:hint="eastAsia"/>
          <w:sz w:val="32"/>
          <w:szCs w:val="32"/>
        </w:rPr>
        <w:t>分，项目过程</w:t>
      </w:r>
      <w:r>
        <w:rPr>
          <w:rFonts w:ascii="仿宋_GB2312" w:hAnsi="仿宋"/>
          <w:sz w:val="32"/>
          <w:szCs w:val="32"/>
        </w:rPr>
        <w:t>20</w:t>
      </w:r>
      <w:r>
        <w:rPr>
          <w:rFonts w:ascii="仿宋_GB2312" w:hAnsi="仿宋" w:hint="eastAsia"/>
          <w:sz w:val="32"/>
          <w:szCs w:val="32"/>
        </w:rPr>
        <w:t>分，项目产出</w:t>
      </w:r>
      <w:r>
        <w:rPr>
          <w:rFonts w:ascii="仿宋_GB2312" w:hAnsi="仿宋"/>
          <w:sz w:val="32"/>
          <w:szCs w:val="32"/>
        </w:rPr>
        <w:t>40</w:t>
      </w:r>
      <w:r>
        <w:rPr>
          <w:rFonts w:ascii="仿宋_GB2312" w:hAnsi="仿宋" w:hint="eastAsia"/>
          <w:sz w:val="32"/>
          <w:szCs w:val="32"/>
        </w:rPr>
        <w:t>分，项目效益3</w:t>
      </w:r>
      <w:r>
        <w:rPr>
          <w:rFonts w:ascii="仿宋_GB2312" w:hAnsi="仿宋"/>
          <w:sz w:val="32"/>
          <w:szCs w:val="32"/>
        </w:rPr>
        <w:t>0</w:t>
      </w:r>
      <w:r>
        <w:rPr>
          <w:rFonts w:ascii="仿宋_GB2312" w:hAnsi="仿宋" w:hint="eastAsia"/>
          <w:sz w:val="32"/>
          <w:szCs w:val="32"/>
        </w:rPr>
        <w:t>分。绩效评价综合绩效级别分为4个等级：</w:t>
      </w:r>
    </w:p>
    <w:p w:rsidR="0000711D" w:rsidRDefault="00A938D4">
      <w:pPr>
        <w:adjustRightInd w:val="0"/>
        <w:snapToGrid w:val="0"/>
        <w:spacing w:line="600" w:lineRule="exact"/>
        <w:ind w:firstLineChars="200" w:firstLine="640"/>
        <w:rPr>
          <w:rFonts w:ascii="仿宋_GB2312" w:hAnsi="仿宋"/>
          <w:sz w:val="32"/>
          <w:szCs w:val="32"/>
        </w:rPr>
      </w:pPr>
      <w:r>
        <w:rPr>
          <w:rFonts w:ascii="仿宋_GB2312" w:hAnsi="仿宋" w:hint="eastAsia"/>
          <w:sz w:val="32"/>
          <w:szCs w:val="32"/>
        </w:rPr>
        <w:t>综合得分在90（含）-100分为优；</w:t>
      </w:r>
    </w:p>
    <w:p w:rsidR="0000711D" w:rsidRDefault="00A938D4">
      <w:pPr>
        <w:adjustRightInd w:val="0"/>
        <w:snapToGrid w:val="0"/>
        <w:spacing w:line="600" w:lineRule="exact"/>
        <w:ind w:firstLineChars="200" w:firstLine="640"/>
        <w:rPr>
          <w:rFonts w:ascii="仿宋_GB2312" w:hAnsi="仿宋"/>
          <w:sz w:val="32"/>
          <w:szCs w:val="32"/>
        </w:rPr>
      </w:pPr>
      <w:r>
        <w:rPr>
          <w:rFonts w:ascii="仿宋_GB2312" w:hAnsi="仿宋" w:hint="eastAsia"/>
          <w:sz w:val="32"/>
          <w:szCs w:val="32"/>
        </w:rPr>
        <w:t>综合得分在</w:t>
      </w:r>
      <w:r>
        <w:rPr>
          <w:rFonts w:ascii="仿宋_GB2312" w:hAnsi="仿宋"/>
          <w:sz w:val="32"/>
          <w:szCs w:val="32"/>
        </w:rPr>
        <w:t>80</w:t>
      </w:r>
      <w:r>
        <w:rPr>
          <w:rFonts w:ascii="仿宋_GB2312" w:hAnsi="仿宋" w:hint="eastAsia"/>
          <w:sz w:val="32"/>
          <w:szCs w:val="32"/>
        </w:rPr>
        <w:t>（含）-90分为良；</w:t>
      </w:r>
    </w:p>
    <w:p w:rsidR="0000711D" w:rsidRDefault="00A938D4">
      <w:pPr>
        <w:adjustRightInd w:val="0"/>
        <w:snapToGrid w:val="0"/>
        <w:spacing w:line="600" w:lineRule="exact"/>
        <w:ind w:firstLineChars="200" w:firstLine="640"/>
        <w:rPr>
          <w:rFonts w:ascii="仿宋_GB2312" w:hAnsi="仿宋"/>
          <w:sz w:val="32"/>
          <w:szCs w:val="32"/>
        </w:rPr>
      </w:pPr>
      <w:r>
        <w:rPr>
          <w:rFonts w:ascii="仿宋_GB2312" w:hAnsi="仿宋" w:hint="eastAsia"/>
          <w:sz w:val="32"/>
          <w:szCs w:val="32"/>
        </w:rPr>
        <w:t>综合得分在60（含）-</w:t>
      </w:r>
      <w:r>
        <w:rPr>
          <w:rFonts w:ascii="仿宋_GB2312" w:hAnsi="仿宋"/>
          <w:sz w:val="32"/>
          <w:szCs w:val="32"/>
        </w:rPr>
        <w:t>80</w:t>
      </w:r>
      <w:r>
        <w:rPr>
          <w:rFonts w:ascii="仿宋_GB2312" w:hAnsi="仿宋" w:hint="eastAsia"/>
          <w:sz w:val="32"/>
          <w:szCs w:val="32"/>
        </w:rPr>
        <w:t>分为中；</w:t>
      </w:r>
    </w:p>
    <w:p w:rsidR="0000711D" w:rsidRDefault="00A938D4">
      <w:pPr>
        <w:adjustRightInd w:val="0"/>
        <w:snapToGrid w:val="0"/>
        <w:spacing w:line="600" w:lineRule="exact"/>
        <w:ind w:firstLineChars="200" w:firstLine="640"/>
        <w:rPr>
          <w:rFonts w:ascii="仿宋_GB2312" w:hAnsi="仿宋"/>
          <w:sz w:val="32"/>
          <w:szCs w:val="32"/>
        </w:rPr>
      </w:pPr>
      <w:r>
        <w:rPr>
          <w:rFonts w:ascii="仿宋_GB2312" w:hAnsi="仿宋" w:hint="eastAsia"/>
          <w:sz w:val="32"/>
          <w:szCs w:val="32"/>
        </w:rPr>
        <w:t>综合得分在60分以下为较差。</w:t>
      </w:r>
    </w:p>
    <w:p w:rsidR="0000711D" w:rsidRDefault="00A938D4">
      <w:pPr>
        <w:adjustRightInd w:val="0"/>
        <w:snapToGrid w:val="0"/>
        <w:spacing w:line="600" w:lineRule="exact"/>
        <w:ind w:firstLineChars="200" w:firstLine="640"/>
        <w:outlineLvl w:val="1"/>
        <w:rPr>
          <w:rFonts w:ascii="楷体_GB2312" w:eastAsia="楷体_GB2312"/>
          <w:color w:val="000000"/>
          <w:sz w:val="32"/>
          <w:szCs w:val="32"/>
        </w:rPr>
      </w:pPr>
      <w:bookmarkStart w:id="22" w:name="_Toc198040026"/>
      <w:r>
        <w:rPr>
          <w:rFonts w:ascii="楷体_GB2312" w:eastAsia="楷体_GB2312" w:hint="eastAsia"/>
          <w:color w:val="000000"/>
          <w:sz w:val="32"/>
          <w:szCs w:val="32"/>
        </w:rPr>
        <w:t>（三）绩效评价工作过程</w:t>
      </w:r>
      <w:bookmarkEnd w:id="20"/>
      <w:bookmarkEnd w:id="21"/>
      <w:bookmarkEnd w:id="22"/>
    </w:p>
    <w:p w:rsidR="0000711D" w:rsidRDefault="00A938D4">
      <w:pPr>
        <w:adjustRightInd w:val="0"/>
        <w:snapToGrid w:val="0"/>
        <w:spacing w:line="600" w:lineRule="exact"/>
        <w:ind w:firstLineChars="200" w:firstLine="640"/>
        <w:outlineLvl w:val="2"/>
        <w:rPr>
          <w:rFonts w:ascii="仿宋_GB2312" w:hAnsi="宋体"/>
          <w:bCs/>
          <w:color w:val="000000"/>
          <w:sz w:val="32"/>
          <w:szCs w:val="32"/>
        </w:rPr>
      </w:pPr>
      <w:bookmarkStart w:id="23" w:name="_Toc35588408"/>
      <w:r>
        <w:rPr>
          <w:rFonts w:ascii="仿宋_GB2312" w:hAnsi="宋体" w:hint="eastAsia"/>
          <w:bCs/>
          <w:color w:val="000000"/>
          <w:sz w:val="32"/>
          <w:szCs w:val="32"/>
        </w:rPr>
        <w:t>1.准备阶段（2025年4月上旬-中旬）</w:t>
      </w:r>
    </w:p>
    <w:p w:rsidR="0000711D" w:rsidRDefault="00A938D4">
      <w:pPr>
        <w:pStyle w:val="af5"/>
        <w:rPr>
          <w:rFonts w:hAnsi="宋体"/>
        </w:rPr>
      </w:pPr>
      <w:r>
        <w:rPr>
          <w:rFonts w:hAnsi="宋体" w:hint="eastAsia"/>
        </w:rPr>
        <w:t>组建评价工作组，指导相关处室撰写绩效报告、准备资料;对项目资料进行整理和分析；遴选评价专家，组建绩效评价专家组（共5名：2名业务专家、2名绩效管理专家、1名财政财务专家）；邀请1名市人大代表参与项目绩效评价工作并进行监督。</w:t>
      </w:r>
    </w:p>
    <w:p w:rsidR="0000711D" w:rsidRDefault="00A938D4">
      <w:pPr>
        <w:adjustRightInd w:val="0"/>
        <w:snapToGrid w:val="0"/>
        <w:spacing w:line="600" w:lineRule="exact"/>
        <w:ind w:firstLineChars="200" w:firstLine="640"/>
        <w:outlineLvl w:val="2"/>
        <w:rPr>
          <w:rFonts w:ascii="仿宋_GB2312" w:hAnsi="宋体"/>
          <w:bCs/>
          <w:color w:val="000000"/>
          <w:sz w:val="32"/>
          <w:szCs w:val="32"/>
        </w:rPr>
      </w:pPr>
      <w:r>
        <w:rPr>
          <w:rFonts w:ascii="仿宋_GB2312" w:hAnsi="宋体" w:hint="eastAsia"/>
          <w:bCs/>
          <w:color w:val="000000"/>
          <w:sz w:val="32"/>
          <w:szCs w:val="32"/>
        </w:rPr>
        <w:t>2.实施阶段（2025年4月下旬）</w:t>
      </w:r>
    </w:p>
    <w:p w:rsidR="0000711D" w:rsidRDefault="00A938D4">
      <w:pPr>
        <w:widowControl/>
        <w:adjustRightInd w:val="0"/>
        <w:snapToGrid w:val="0"/>
        <w:spacing w:line="560" w:lineRule="exact"/>
        <w:ind w:firstLineChars="200" w:firstLine="640"/>
        <w:rPr>
          <w:rFonts w:ascii="仿宋_GB2312" w:hAnsi="宋体"/>
          <w:sz w:val="32"/>
          <w:szCs w:val="32"/>
        </w:rPr>
      </w:pPr>
      <w:r>
        <w:rPr>
          <w:rFonts w:ascii="仿宋_GB2312" w:hAnsi="宋体" w:hint="eastAsia"/>
          <w:sz w:val="32"/>
          <w:szCs w:val="32"/>
        </w:rPr>
        <w:t>评价工作组在综合分析项目资料基础上，通过邮件及电话沟通的形式，与专家组就项目情况、评价方式方法、评价指标体系等进行了充分的前期沟通。2025年4月23日，组织召开了</w:t>
      </w:r>
      <w:proofErr w:type="gramStart"/>
      <w:r>
        <w:rPr>
          <w:rFonts w:ascii="仿宋_GB2312" w:hAnsi="宋体" w:hint="eastAsia"/>
          <w:sz w:val="32"/>
          <w:szCs w:val="32"/>
        </w:rPr>
        <w:t>由评价</w:t>
      </w:r>
      <w:proofErr w:type="gramEnd"/>
      <w:r>
        <w:rPr>
          <w:rFonts w:ascii="仿宋_GB2312" w:hAnsi="宋体" w:hint="eastAsia"/>
          <w:sz w:val="32"/>
          <w:szCs w:val="32"/>
        </w:rPr>
        <w:t>专家组、市人大代表、市司法局等多方参与的绩效评价会议。专家组及市人大代表通过听取汇报、质询、查阅资料等方式，了解项目的执行情况，与市司法局进行了充分沟通。会后评价专家通过讨论形成统一的专家组意见，各评价专家、市人大代表分别出具个人意见。</w:t>
      </w:r>
    </w:p>
    <w:p w:rsidR="0000711D" w:rsidRDefault="00A938D4">
      <w:pPr>
        <w:adjustRightInd w:val="0"/>
        <w:snapToGrid w:val="0"/>
        <w:spacing w:line="560" w:lineRule="exact"/>
        <w:ind w:firstLineChars="200" w:firstLine="640"/>
        <w:outlineLvl w:val="2"/>
        <w:rPr>
          <w:rFonts w:ascii="仿宋_GB2312" w:hAnsi="宋体"/>
          <w:bCs/>
          <w:color w:val="000000"/>
          <w:sz w:val="32"/>
          <w:szCs w:val="32"/>
        </w:rPr>
      </w:pPr>
      <w:r>
        <w:rPr>
          <w:rFonts w:ascii="仿宋_GB2312" w:hAnsi="宋体" w:hint="eastAsia"/>
          <w:bCs/>
          <w:color w:val="000000"/>
          <w:sz w:val="32"/>
          <w:szCs w:val="32"/>
        </w:rPr>
        <w:t>3.评价分析阶段（2025年5月上旬）</w:t>
      </w:r>
    </w:p>
    <w:p w:rsidR="0000711D" w:rsidRDefault="00A938D4">
      <w:pPr>
        <w:widowControl/>
        <w:adjustRightInd w:val="0"/>
        <w:snapToGrid w:val="0"/>
        <w:spacing w:line="560" w:lineRule="exact"/>
        <w:ind w:firstLineChars="200" w:firstLine="640"/>
        <w:rPr>
          <w:rFonts w:ascii="仿宋_GB2312" w:hAnsi="宋体"/>
          <w:sz w:val="32"/>
          <w:szCs w:val="32"/>
        </w:rPr>
      </w:pPr>
      <w:r>
        <w:rPr>
          <w:rFonts w:ascii="仿宋_GB2312" w:hAnsi="宋体" w:hint="eastAsia"/>
          <w:sz w:val="32"/>
          <w:szCs w:val="32"/>
        </w:rPr>
        <w:t>根据收集到的项目资料、专家组及市人大代表意见，对项目决策、过程、产出及效益情况进行综合分析，按照规定的文本格式和内容撰写绩效评价报告，征求市司法</w:t>
      </w:r>
      <w:proofErr w:type="gramStart"/>
      <w:r>
        <w:rPr>
          <w:rFonts w:ascii="仿宋_GB2312" w:hAnsi="宋体" w:hint="eastAsia"/>
          <w:sz w:val="32"/>
          <w:szCs w:val="32"/>
        </w:rPr>
        <w:t>局相关</w:t>
      </w:r>
      <w:proofErr w:type="gramEnd"/>
      <w:r>
        <w:rPr>
          <w:rFonts w:ascii="仿宋_GB2312" w:hAnsi="宋体" w:hint="eastAsia"/>
          <w:sz w:val="32"/>
          <w:szCs w:val="32"/>
        </w:rPr>
        <w:t>处室意见后，正式向市财政局报送绩效评价报告。</w:t>
      </w:r>
    </w:p>
    <w:p w:rsidR="0000711D" w:rsidRDefault="00A938D4">
      <w:pPr>
        <w:adjustRightInd w:val="0"/>
        <w:snapToGrid w:val="0"/>
        <w:spacing w:line="560" w:lineRule="exact"/>
        <w:ind w:firstLineChars="200" w:firstLine="640"/>
        <w:outlineLvl w:val="0"/>
        <w:rPr>
          <w:rFonts w:ascii="黑体" w:eastAsia="黑体"/>
          <w:color w:val="000000"/>
          <w:sz w:val="32"/>
          <w:szCs w:val="32"/>
        </w:rPr>
      </w:pPr>
      <w:bookmarkStart w:id="24" w:name="_Toc198040027"/>
      <w:r>
        <w:rPr>
          <w:rFonts w:ascii="黑体" w:eastAsia="黑体" w:hint="eastAsia"/>
          <w:color w:val="000000"/>
          <w:sz w:val="32"/>
          <w:szCs w:val="32"/>
        </w:rPr>
        <w:t>三、综合评价情况及评价结论</w:t>
      </w:r>
      <w:bookmarkEnd w:id="23"/>
      <w:bookmarkEnd w:id="24"/>
    </w:p>
    <w:p w:rsidR="0000711D" w:rsidRDefault="00A938D4">
      <w:pPr>
        <w:widowControl/>
        <w:adjustRightInd w:val="0"/>
        <w:snapToGrid w:val="0"/>
        <w:spacing w:line="560" w:lineRule="exact"/>
        <w:ind w:firstLineChars="200" w:firstLine="640"/>
        <w:rPr>
          <w:rFonts w:ascii="仿宋_GB2312" w:hAnsi="宋体"/>
          <w:sz w:val="32"/>
          <w:szCs w:val="32"/>
        </w:rPr>
      </w:pPr>
      <w:r>
        <w:rPr>
          <w:rFonts w:ascii="仿宋_GB2312" w:hAnsi="宋体" w:hint="eastAsia"/>
          <w:sz w:val="32"/>
          <w:szCs w:val="32"/>
        </w:rPr>
        <w:t>该项目贯彻落实了中央、北京市关于推进行政复议改革，加强行政复议规范化、专业化、信息化建设的相关要求，缩短了办案周期，提高了行政复议工作效率与工作质量，提升了阳光复议、便民复议服务能力。项目立项依据充分，决策程序规范，预算编制科学、合理，管理制度健全，过程管理有效，较好地完成了行政复议与应诉平台建设任务，对于降低群众行政复议成本、提高行政复议工作效率起到了良好的促进作用。同时项目也存在年度绩效指标设置不够完善，验收备案执行不够及时，绩效资料归集有待完善等问题。</w:t>
      </w:r>
    </w:p>
    <w:p w:rsidR="0000711D" w:rsidRDefault="00A938D4">
      <w:pPr>
        <w:widowControl/>
        <w:adjustRightInd w:val="0"/>
        <w:snapToGrid w:val="0"/>
        <w:spacing w:line="560" w:lineRule="exact"/>
        <w:ind w:firstLineChars="200" w:firstLine="640"/>
        <w:rPr>
          <w:rFonts w:ascii="仿宋_GB2312" w:hAnsi="宋体"/>
          <w:sz w:val="32"/>
          <w:szCs w:val="32"/>
        </w:rPr>
      </w:pPr>
      <w:r>
        <w:rPr>
          <w:rFonts w:ascii="仿宋_GB2312" w:hAnsi="宋体" w:hint="eastAsia"/>
          <w:sz w:val="32"/>
          <w:szCs w:val="32"/>
        </w:rPr>
        <w:t>项目综合评价得分90.66分，评价等级为“优”，具体得分情况见表2。</w:t>
      </w:r>
    </w:p>
    <w:p w:rsidR="0000711D" w:rsidRDefault="00A938D4">
      <w:pPr>
        <w:snapToGrid w:val="0"/>
        <w:spacing w:line="600" w:lineRule="exact"/>
        <w:jc w:val="center"/>
        <w:rPr>
          <w:rFonts w:ascii="黑体" w:eastAsia="黑体" w:hAnsi="黑体"/>
          <w:sz w:val="24"/>
          <w:szCs w:val="32"/>
        </w:rPr>
      </w:pPr>
      <w:r>
        <w:rPr>
          <w:rFonts w:ascii="黑体" w:eastAsia="黑体" w:hAnsi="黑体" w:hint="eastAsia"/>
          <w:sz w:val="28"/>
          <w:szCs w:val="28"/>
        </w:rPr>
        <w:t>表2：综合评价得分情况表</w:t>
      </w:r>
    </w:p>
    <w:tbl>
      <w:tblPr>
        <w:tblW w:w="8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9"/>
        <w:gridCol w:w="2127"/>
        <w:gridCol w:w="2069"/>
        <w:gridCol w:w="2239"/>
      </w:tblGrid>
      <w:tr w:rsidR="0000711D">
        <w:trPr>
          <w:cantSplit/>
          <w:trHeight w:val="454"/>
          <w:tblHeader/>
          <w:jc w:val="center"/>
        </w:trPr>
        <w:tc>
          <w:tcPr>
            <w:tcW w:w="2069" w:type="dxa"/>
            <w:vAlign w:val="center"/>
          </w:tcPr>
          <w:p w:rsidR="0000711D" w:rsidRDefault="00A938D4">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一级指标</w:t>
            </w:r>
          </w:p>
        </w:tc>
        <w:tc>
          <w:tcPr>
            <w:tcW w:w="2127" w:type="dxa"/>
            <w:vAlign w:val="center"/>
          </w:tcPr>
          <w:p w:rsidR="0000711D" w:rsidRDefault="00A938D4">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分值</w:t>
            </w:r>
          </w:p>
        </w:tc>
        <w:tc>
          <w:tcPr>
            <w:tcW w:w="2069" w:type="dxa"/>
            <w:vAlign w:val="center"/>
          </w:tcPr>
          <w:p w:rsidR="0000711D" w:rsidRDefault="00A938D4">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得分</w:t>
            </w:r>
          </w:p>
        </w:tc>
        <w:tc>
          <w:tcPr>
            <w:tcW w:w="2239" w:type="dxa"/>
            <w:vAlign w:val="center"/>
          </w:tcPr>
          <w:p w:rsidR="0000711D" w:rsidRDefault="00A938D4">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得分率</w:t>
            </w:r>
          </w:p>
        </w:tc>
      </w:tr>
      <w:tr w:rsidR="0000711D">
        <w:trPr>
          <w:cantSplit/>
          <w:trHeight w:val="454"/>
          <w:jc w:val="center"/>
        </w:trPr>
        <w:tc>
          <w:tcPr>
            <w:tcW w:w="2069" w:type="dxa"/>
            <w:vAlign w:val="center"/>
          </w:tcPr>
          <w:p w:rsidR="0000711D" w:rsidRDefault="00A938D4">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决策</w:t>
            </w:r>
          </w:p>
        </w:tc>
        <w:tc>
          <w:tcPr>
            <w:tcW w:w="2127" w:type="dxa"/>
            <w:vAlign w:val="center"/>
          </w:tcPr>
          <w:p w:rsidR="0000711D" w:rsidRDefault="00A938D4">
            <w:pPr>
              <w:widowControl/>
              <w:adjustRightInd w:val="0"/>
              <w:snapToGrid w:val="0"/>
              <w:jc w:val="center"/>
              <w:rPr>
                <w:rFonts w:ascii="宋体" w:eastAsia="宋体" w:hAnsi="宋体" w:cs="宋体"/>
                <w:kern w:val="0"/>
                <w:sz w:val="20"/>
                <w:szCs w:val="20"/>
              </w:rPr>
            </w:pPr>
            <w:r>
              <w:rPr>
                <w:rFonts w:ascii="宋体" w:eastAsia="宋体" w:hAnsi="宋体" w:cs="宋体"/>
                <w:kern w:val="0"/>
                <w:sz w:val="20"/>
                <w:szCs w:val="20"/>
              </w:rPr>
              <w:t>10</w:t>
            </w:r>
          </w:p>
        </w:tc>
        <w:tc>
          <w:tcPr>
            <w:tcW w:w="2069" w:type="dxa"/>
            <w:vAlign w:val="center"/>
          </w:tcPr>
          <w:p w:rsidR="0000711D" w:rsidRDefault="00A938D4">
            <w:pPr>
              <w:widowControl/>
              <w:jc w:val="center"/>
              <w:rPr>
                <w:rFonts w:ascii="宋体" w:eastAsia="宋体" w:hAnsi="宋体" w:cs="宋体"/>
                <w:kern w:val="0"/>
                <w:sz w:val="20"/>
                <w:szCs w:val="20"/>
              </w:rPr>
            </w:pPr>
            <w:r>
              <w:rPr>
                <w:rFonts w:ascii="宋体" w:eastAsia="宋体" w:hAnsi="宋体" w:cs="仿宋_GB2312" w:hint="eastAsia"/>
                <w:sz w:val="20"/>
                <w:szCs w:val="20"/>
              </w:rPr>
              <w:t>9</w:t>
            </w:r>
          </w:p>
        </w:tc>
        <w:tc>
          <w:tcPr>
            <w:tcW w:w="2239" w:type="dxa"/>
            <w:vAlign w:val="center"/>
          </w:tcPr>
          <w:p w:rsidR="0000711D" w:rsidRDefault="00A938D4">
            <w:pPr>
              <w:jc w:val="center"/>
              <w:rPr>
                <w:rFonts w:ascii="宋体" w:eastAsia="宋体" w:hAnsi="宋体" w:cs="宋体"/>
                <w:kern w:val="0"/>
                <w:sz w:val="20"/>
                <w:szCs w:val="20"/>
              </w:rPr>
            </w:pPr>
            <w:r>
              <w:rPr>
                <w:rFonts w:ascii="宋体" w:eastAsia="宋体" w:hAnsi="宋体" w:hint="eastAsia"/>
                <w:color w:val="000000"/>
                <w:sz w:val="20"/>
                <w:szCs w:val="20"/>
              </w:rPr>
              <w:t>90%</w:t>
            </w:r>
          </w:p>
        </w:tc>
      </w:tr>
      <w:tr w:rsidR="0000711D">
        <w:trPr>
          <w:cantSplit/>
          <w:trHeight w:val="454"/>
          <w:jc w:val="center"/>
        </w:trPr>
        <w:tc>
          <w:tcPr>
            <w:tcW w:w="2069" w:type="dxa"/>
            <w:vAlign w:val="center"/>
          </w:tcPr>
          <w:p w:rsidR="0000711D" w:rsidRDefault="00A938D4">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过程</w:t>
            </w:r>
          </w:p>
        </w:tc>
        <w:tc>
          <w:tcPr>
            <w:tcW w:w="2127" w:type="dxa"/>
            <w:vAlign w:val="center"/>
          </w:tcPr>
          <w:p w:rsidR="0000711D" w:rsidRDefault="00A938D4">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20</w:t>
            </w:r>
          </w:p>
        </w:tc>
        <w:tc>
          <w:tcPr>
            <w:tcW w:w="2069" w:type="dxa"/>
            <w:vAlign w:val="center"/>
          </w:tcPr>
          <w:p w:rsidR="0000711D" w:rsidRDefault="00A938D4">
            <w:pPr>
              <w:jc w:val="center"/>
              <w:rPr>
                <w:rFonts w:ascii="宋体" w:eastAsia="宋体" w:hAnsi="宋体" w:cs="宋体"/>
                <w:kern w:val="0"/>
                <w:sz w:val="20"/>
                <w:szCs w:val="20"/>
              </w:rPr>
            </w:pPr>
            <w:r>
              <w:rPr>
                <w:rFonts w:ascii="宋体" w:eastAsia="宋体" w:hAnsi="宋体" w:cs="仿宋_GB2312" w:hint="eastAsia"/>
                <w:sz w:val="20"/>
                <w:szCs w:val="20"/>
              </w:rPr>
              <w:t>18.16</w:t>
            </w:r>
          </w:p>
        </w:tc>
        <w:tc>
          <w:tcPr>
            <w:tcW w:w="2239" w:type="dxa"/>
            <w:vAlign w:val="center"/>
          </w:tcPr>
          <w:p w:rsidR="0000711D" w:rsidRDefault="00A938D4">
            <w:pPr>
              <w:jc w:val="center"/>
              <w:rPr>
                <w:rFonts w:ascii="宋体" w:eastAsia="宋体" w:hAnsi="宋体" w:cs="宋体"/>
                <w:kern w:val="0"/>
                <w:sz w:val="20"/>
                <w:szCs w:val="20"/>
              </w:rPr>
            </w:pPr>
            <w:r>
              <w:rPr>
                <w:rFonts w:ascii="宋体" w:eastAsia="宋体" w:hAnsi="宋体" w:hint="eastAsia"/>
                <w:color w:val="000000"/>
                <w:sz w:val="20"/>
                <w:szCs w:val="20"/>
              </w:rPr>
              <w:t>90.8%</w:t>
            </w:r>
          </w:p>
        </w:tc>
      </w:tr>
      <w:tr w:rsidR="0000711D">
        <w:trPr>
          <w:cantSplit/>
          <w:trHeight w:val="454"/>
          <w:jc w:val="center"/>
        </w:trPr>
        <w:tc>
          <w:tcPr>
            <w:tcW w:w="2069" w:type="dxa"/>
            <w:vAlign w:val="center"/>
          </w:tcPr>
          <w:p w:rsidR="0000711D" w:rsidRDefault="00A938D4">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产出</w:t>
            </w:r>
          </w:p>
        </w:tc>
        <w:tc>
          <w:tcPr>
            <w:tcW w:w="2127" w:type="dxa"/>
            <w:vAlign w:val="center"/>
          </w:tcPr>
          <w:p w:rsidR="0000711D" w:rsidRDefault="00A938D4">
            <w:pPr>
              <w:widowControl/>
              <w:adjustRightInd w:val="0"/>
              <w:snapToGrid w:val="0"/>
              <w:jc w:val="center"/>
              <w:rPr>
                <w:rFonts w:ascii="宋体" w:eastAsia="宋体" w:hAnsi="宋体" w:cs="宋体"/>
                <w:kern w:val="0"/>
                <w:sz w:val="20"/>
                <w:szCs w:val="20"/>
              </w:rPr>
            </w:pPr>
            <w:r>
              <w:rPr>
                <w:rFonts w:ascii="宋体" w:eastAsia="宋体" w:hAnsi="宋体" w:cs="宋体"/>
                <w:kern w:val="0"/>
                <w:sz w:val="20"/>
                <w:szCs w:val="20"/>
              </w:rPr>
              <w:t>40</w:t>
            </w:r>
          </w:p>
        </w:tc>
        <w:tc>
          <w:tcPr>
            <w:tcW w:w="2069" w:type="dxa"/>
            <w:vAlign w:val="center"/>
          </w:tcPr>
          <w:p w:rsidR="0000711D" w:rsidRDefault="00A938D4">
            <w:pPr>
              <w:jc w:val="center"/>
              <w:rPr>
                <w:rFonts w:ascii="宋体" w:eastAsia="宋体" w:hAnsi="宋体" w:cs="宋体"/>
                <w:kern w:val="0"/>
                <w:sz w:val="20"/>
                <w:szCs w:val="20"/>
              </w:rPr>
            </w:pPr>
            <w:r>
              <w:rPr>
                <w:rFonts w:ascii="宋体" w:eastAsia="宋体" w:hAnsi="宋体" w:cs="仿宋_GB2312" w:hint="eastAsia"/>
                <w:sz w:val="20"/>
                <w:szCs w:val="20"/>
              </w:rPr>
              <w:t>35.5</w:t>
            </w:r>
          </w:p>
        </w:tc>
        <w:tc>
          <w:tcPr>
            <w:tcW w:w="2239" w:type="dxa"/>
            <w:vAlign w:val="center"/>
          </w:tcPr>
          <w:p w:rsidR="0000711D" w:rsidRDefault="00A938D4">
            <w:pPr>
              <w:jc w:val="center"/>
              <w:rPr>
                <w:rFonts w:ascii="宋体" w:eastAsia="宋体" w:hAnsi="宋体" w:cs="宋体"/>
                <w:kern w:val="0"/>
                <w:sz w:val="20"/>
                <w:szCs w:val="20"/>
              </w:rPr>
            </w:pPr>
            <w:r>
              <w:rPr>
                <w:rFonts w:ascii="宋体" w:eastAsia="宋体" w:hAnsi="宋体" w:hint="eastAsia"/>
                <w:color w:val="000000"/>
                <w:sz w:val="20"/>
                <w:szCs w:val="20"/>
              </w:rPr>
              <w:t>88.75%</w:t>
            </w:r>
          </w:p>
        </w:tc>
      </w:tr>
      <w:tr w:rsidR="0000711D">
        <w:trPr>
          <w:cantSplit/>
          <w:trHeight w:val="454"/>
          <w:jc w:val="center"/>
        </w:trPr>
        <w:tc>
          <w:tcPr>
            <w:tcW w:w="2069" w:type="dxa"/>
            <w:vAlign w:val="center"/>
          </w:tcPr>
          <w:p w:rsidR="0000711D" w:rsidRDefault="00A938D4">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效益</w:t>
            </w:r>
          </w:p>
        </w:tc>
        <w:tc>
          <w:tcPr>
            <w:tcW w:w="2127" w:type="dxa"/>
            <w:vAlign w:val="center"/>
          </w:tcPr>
          <w:p w:rsidR="0000711D" w:rsidRDefault="00A938D4">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30</w:t>
            </w:r>
          </w:p>
        </w:tc>
        <w:tc>
          <w:tcPr>
            <w:tcW w:w="2069" w:type="dxa"/>
            <w:vAlign w:val="center"/>
          </w:tcPr>
          <w:p w:rsidR="0000711D" w:rsidRDefault="00A938D4">
            <w:pPr>
              <w:jc w:val="center"/>
              <w:rPr>
                <w:rFonts w:ascii="宋体" w:eastAsia="宋体" w:hAnsi="宋体" w:cs="宋体"/>
                <w:kern w:val="0"/>
                <w:sz w:val="20"/>
                <w:szCs w:val="20"/>
              </w:rPr>
            </w:pPr>
            <w:r>
              <w:rPr>
                <w:rFonts w:ascii="宋体" w:eastAsia="宋体" w:hAnsi="宋体" w:cs="仿宋_GB2312" w:hint="eastAsia"/>
                <w:sz w:val="20"/>
                <w:szCs w:val="20"/>
              </w:rPr>
              <w:t>28</w:t>
            </w:r>
          </w:p>
        </w:tc>
        <w:tc>
          <w:tcPr>
            <w:tcW w:w="2239" w:type="dxa"/>
            <w:vAlign w:val="center"/>
          </w:tcPr>
          <w:p w:rsidR="0000711D" w:rsidRDefault="00A938D4">
            <w:pPr>
              <w:jc w:val="center"/>
              <w:rPr>
                <w:rFonts w:ascii="宋体" w:eastAsia="宋体" w:hAnsi="宋体" w:cs="宋体"/>
                <w:kern w:val="0"/>
                <w:sz w:val="20"/>
                <w:szCs w:val="20"/>
              </w:rPr>
            </w:pPr>
            <w:r>
              <w:rPr>
                <w:rFonts w:ascii="宋体" w:eastAsia="宋体" w:hAnsi="宋体" w:hint="eastAsia"/>
                <w:color w:val="000000"/>
                <w:sz w:val="20"/>
                <w:szCs w:val="20"/>
              </w:rPr>
              <w:t>93.33%</w:t>
            </w:r>
          </w:p>
        </w:tc>
      </w:tr>
      <w:tr w:rsidR="0000711D">
        <w:trPr>
          <w:cantSplit/>
          <w:trHeight w:val="454"/>
          <w:jc w:val="center"/>
        </w:trPr>
        <w:tc>
          <w:tcPr>
            <w:tcW w:w="2069" w:type="dxa"/>
            <w:vAlign w:val="center"/>
          </w:tcPr>
          <w:p w:rsidR="0000711D" w:rsidRDefault="00A938D4">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合　计</w:t>
            </w:r>
          </w:p>
        </w:tc>
        <w:tc>
          <w:tcPr>
            <w:tcW w:w="2127" w:type="dxa"/>
            <w:vAlign w:val="center"/>
          </w:tcPr>
          <w:p w:rsidR="0000711D" w:rsidRDefault="00A938D4">
            <w:pPr>
              <w:widowControl/>
              <w:adjustRightInd w:val="0"/>
              <w:snapToGrid w:val="0"/>
              <w:jc w:val="center"/>
              <w:rPr>
                <w:rFonts w:ascii="宋体" w:eastAsia="宋体" w:hAnsi="宋体" w:cs="宋体"/>
                <w:b/>
                <w:bCs/>
                <w:kern w:val="0"/>
                <w:sz w:val="20"/>
                <w:szCs w:val="20"/>
              </w:rPr>
            </w:pPr>
            <w:r>
              <w:rPr>
                <w:rFonts w:ascii="宋体" w:eastAsia="宋体" w:hAnsi="宋体" w:cs="宋体"/>
                <w:b/>
                <w:bCs/>
                <w:kern w:val="0"/>
                <w:sz w:val="20"/>
                <w:szCs w:val="20"/>
              </w:rPr>
              <w:t>100</w:t>
            </w:r>
          </w:p>
        </w:tc>
        <w:tc>
          <w:tcPr>
            <w:tcW w:w="2069" w:type="dxa"/>
            <w:vAlign w:val="center"/>
          </w:tcPr>
          <w:p w:rsidR="0000711D" w:rsidRDefault="00A938D4">
            <w:pPr>
              <w:jc w:val="center"/>
              <w:rPr>
                <w:rFonts w:ascii="宋体" w:eastAsia="宋体" w:hAnsi="宋体" w:cs="宋体"/>
                <w:b/>
                <w:bCs/>
                <w:kern w:val="0"/>
                <w:sz w:val="20"/>
                <w:szCs w:val="20"/>
              </w:rPr>
            </w:pPr>
            <w:r>
              <w:rPr>
                <w:rFonts w:ascii="宋体" w:eastAsia="宋体" w:hAnsi="宋体" w:cs="仿宋_GB2312" w:hint="eastAsia"/>
                <w:b/>
                <w:bCs/>
                <w:sz w:val="20"/>
                <w:szCs w:val="20"/>
              </w:rPr>
              <w:t>90.66</w:t>
            </w:r>
          </w:p>
        </w:tc>
        <w:tc>
          <w:tcPr>
            <w:tcW w:w="2239" w:type="dxa"/>
            <w:vAlign w:val="center"/>
          </w:tcPr>
          <w:p w:rsidR="0000711D" w:rsidRDefault="00A938D4">
            <w:pPr>
              <w:jc w:val="center"/>
              <w:rPr>
                <w:rFonts w:ascii="宋体" w:eastAsia="宋体" w:hAnsi="宋体" w:cs="宋体"/>
                <w:b/>
                <w:bCs/>
                <w:kern w:val="0"/>
                <w:sz w:val="20"/>
                <w:szCs w:val="20"/>
              </w:rPr>
            </w:pPr>
            <w:r>
              <w:rPr>
                <w:rFonts w:ascii="宋体" w:eastAsia="宋体" w:hAnsi="宋体" w:hint="eastAsia"/>
                <w:b/>
                <w:bCs/>
                <w:color w:val="000000"/>
                <w:sz w:val="20"/>
                <w:szCs w:val="20"/>
              </w:rPr>
              <w:t>90.66%</w:t>
            </w:r>
          </w:p>
        </w:tc>
      </w:tr>
    </w:tbl>
    <w:p w:rsidR="0000711D" w:rsidRDefault="00A938D4">
      <w:pPr>
        <w:adjustRightInd w:val="0"/>
        <w:snapToGrid w:val="0"/>
        <w:spacing w:line="560" w:lineRule="exact"/>
        <w:ind w:firstLineChars="200" w:firstLine="640"/>
        <w:outlineLvl w:val="0"/>
        <w:rPr>
          <w:rFonts w:ascii="黑体" w:eastAsia="黑体"/>
          <w:sz w:val="32"/>
          <w:szCs w:val="32"/>
        </w:rPr>
      </w:pPr>
      <w:bookmarkStart w:id="25" w:name="_Toc35588409"/>
      <w:bookmarkStart w:id="26" w:name="_Toc198040028"/>
      <w:r>
        <w:rPr>
          <w:rFonts w:ascii="黑体" w:eastAsia="黑体" w:hint="eastAsia"/>
          <w:sz w:val="32"/>
          <w:szCs w:val="32"/>
        </w:rPr>
        <w:t>四、绩效评价指标分析</w:t>
      </w:r>
      <w:bookmarkEnd w:id="25"/>
      <w:bookmarkEnd w:id="26"/>
    </w:p>
    <w:p w:rsidR="0000711D" w:rsidRDefault="00A938D4">
      <w:pPr>
        <w:adjustRightInd w:val="0"/>
        <w:snapToGrid w:val="0"/>
        <w:spacing w:line="560" w:lineRule="exact"/>
        <w:ind w:firstLineChars="200" w:firstLine="640"/>
        <w:outlineLvl w:val="1"/>
        <w:rPr>
          <w:rFonts w:ascii="楷体_GB2312" w:eastAsia="楷体_GB2312"/>
          <w:color w:val="000000"/>
          <w:sz w:val="32"/>
          <w:szCs w:val="32"/>
        </w:rPr>
      </w:pPr>
      <w:bookmarkStart w:id="27" w:name="_Toc198040029"/>
      <w:bookmarkStart w:id="28" w:name="_Toc35588410"/>
      <w:r>
        <w:rPr>
          <w:rFonts w:ascii="楷体_GB2312" w:eastAsia="楷体_GB2312" w:hint="eastAsia"/>
          <w:color w:val="000000"/>
          <w:sz w:val="32"/>
          <w:szCs w:val="32"/>
        </w:rPr>
        <w:t>（一）项目决策情况</w:t>
      </w:r>
      <w:bookmarkEnd w:id="27"/>
      <w:bookmarkEnd w:id="28"/>
    </w:p>
    <w:p w:rsidR="0000711D" w:rsidRDefault="00A938D4">
      <w:pPr>
        <w:adjustRightInd w:val="0"/>
        <w:snapToGrid w:val="0"/>
        <w:spacing w:line="560" w:lineRule="exact"/>
        <w:ind w:firstLineChars="200" w:firstLine="640"/>
        <w:outlineLvl w:val="2"/>
        <w:rPr>
          <w:rFonts w:ascii="仿宋_GB2312" w:hAnsi="宋体"/>
          <w:bCs/>
          <w:color w:val="000000"/>
          <w:sz w:val="32"/>
          <w:szCs w:val="32"/>
        </w:rPr>
      </w:pPr>
      <w:bookmarkStart w:id="29" w:name="_Toc35588411"/>
      <w:r>
        <w:rPr>
          <w:rFonts w:ascii="仿宋_GB2312" w:hAnsi="宋体" w:hint="eastAsia"/>
          <w:bCs/>
          <w:color w:val="000000"/>
          <w:sz w:val="32"/>
          <w:szCs w:val="32"/>
        </w:rPr>
        <w:t>1.项目立项</w:t>
      </w:r>
      <w:bookmarkEnd w:id="29"/>
    </w:p>
    <w:p w:rsidR="0000711D" w:rsidRDefault="00A938D4">
      <w:pPr>
        <w:adjustRightInd w:val="0"/>
        <w:snapToGrid w:val="0"/>
        <w:spacing w:line="560" w:lineRule="exact"/>
        <w:ind w:firstLineChars="200" w:firstLine="640"/>
        <w:rPr>
          <w:rFonts w:ascii="仿宋_GB2312"/>
          <w:sz w:val="32"/>
          <w:szCs w:val="32"/>
        </w:rPr>
      </w:pPr>
      <w:r>
        <w:rPr>
          <w:rFonts w:ascii="仿宋_GB2312" w:hint="eastAsia"/>
          <w:sz w:val="32"/>
          <w:szCs w:val="32"/>
        </w:rPr>
        <w:t>（1）立项依据充分性</w:t>
      </w:r>
    </w:p>
    <w:p w:rsidR="0000711D" w:rsidRDefault="00A938D4">
      <w:pPr>
        <w:adjustRightInd w:val="0"/>
        <w:snapToGrid w:val="0"/>
        <w:spacing w:line="560" w:lineRule="exact"/>
        <w:ind w:firstLineChars="200" w:firstLine="640"/>
        <w:rPr>
          <w:rFonts w:ascii="仿宋_GB2312"/>
          <w:iCs/>
          <w:sz w:val="32"/>
          <w:szCs w:val="32"/>
        </w:rPr>
      </w:pPr>
      <w:r>
        <w:rPr>
          <w:rFonts w:ascii="仿宋_GB2312" w:hint="eastAsia"/>
          <w:iCs/>
          <w:sz w:val="32"/>
          <w:szCs w:val="32"/>
        </w:rPr>
        <w:t>项目设立与“加强行政复议工作信息化建设”“加强和改进行政复议工作，强化行政复议监督功能，加大对违法和不当行政行为的纠错力度。推进行政复议体制改革，整合行政复议职责，畅通行政复议渠道”等发展目标相符，与“</w:t>
      </w:r>
      <w:r>
        <w:rPr>
          <w:rFonts w:ascii="仿宋_GB2312" w:hint="eastAsia"/>
          <w:sz w:val="32"/>
          <w:szCs w:val="32"/>
        </w:rPr>
        <w:t>市司法局要加强全市统一的行政复议与应诉工作平台建设</w:t>
      </w:r>
      <w:r>
        <w:rPr>
          <w:rFonts w:ascii="仿宋_GB2312" w:hint="eastAsia"/>
          <w:iCs/>
          <w:sz w:val="32"/>
          <w:szCs w:val="32"/>
        </w:rPr>
        <w:t>”等改革措施相契合，与市司法局行政复议应诉综合处“负责指导、监督全市行政复议和行政应诉工作，承担行政复议、行政应诉工作的综合研究、制度建设和信息统计分析工作”的职责相匹配，立项依据充分。</w:t>
      </w:r>
    </w:p>
    <w:p w:rsidR="0000711D" w:rsidRDefault="00A938D4">
      <w:pPr>
        <w:adjustRightInd w:val="0"/>
        <w:snapToGrid w:val="0"/>
        <w:spacing w:line="560" w:lineRule="exact"/>
        <w:ind w:firstLineChars="200" w:firstLine="640"/>
        <w:rPr>
          <w:rFonts w:ascii="仿宋_GB2312"/>
          <w:sz w:val="32"/>
          <w:szCs w:val="32"/>
        </w:rPr>
      </w:pPr>
      <w:r>
        <w:rPr>
          <w:rFonts w:ascii="仿宋_GB2312" w:hint="eastAsia"/>
          <w:sz w:val="32"/>
          <w:szCs w:val="32"/>
        </w:rPr>
        <w:t>（2）立项程序规范性</w:t>
      </w:r>
    </w:p>
    <w:p w:rsidR="0000711D" w:rsidRDefault="00A938D4">
      <w:pPr>
        <w:adjustRightInd w:val="0"/>
        <w:snapToGrid w:val="0"/>
        <w:spacing w:line="560" w:lineRule="exact"/>
        <w:ind w:firstLineChars="200" w:firstLine="640"/>
        <w:rPr>
          <w:rFonts w:ascii="仿宋_GB2312" w:hAnsi="仿宋" w:cs="仿宋_GB2312"/>
          <w:sz w:val="32"/>
          <w:szCs w:val="32"/>
        </w:rPr>
      </w:pPr>
      <w:r>
        <w:rPr>
          <w:rFonts w:ascii="仿宋_GB2312" w:hAnsi="仿宋" w:cs="仿宋_GB2312" w:hint="eastAsia"/>
          <w:sz w:val="32"/>
          <w:szCs w:val="32"/>
        </w:rPr>
        <w:t>项目申报前期，编制了项目可行性研究报告、系统建设实施方案、项目申报书、预算明细表等申报材料，召开专家评审会确定了行政复议与应诉工作平台网络安全保护等级为二级，组织专家对项目申报书进行了评审。项目建设方案经党委会审议通过，后向主管部门申报项目立项，于2021年12月通过评审，同意项目实施。2022年初，由市财政局组织开展了事前绩效评估，评估结论为“予以支持”。各年度项目预算均纳入部门年度年初预算安排。申请年度资金时，均按照预算申报要求填报了项目申报书、绩效目标申报表等申报资料。项目立项经过了必要的决策程序，立项程序较为规范，审批流程符合相关要求。</w:t>
      </w:r>
    </w:p>
    <w:p w:rsidR="0000711D" w:rsidRDefault="00A938D4">
      <w:pPr>
        <w:adjustRightInd w:val="0"/>
        <w:snapToGrid w:val="0"/>
        <w:spacing w:line="560" w:lineRule="exact"/>
        <w:ind w:firstLineChars="200" w:firstLine="640"/>
        <w:outlineLvl w:val="2"/>
        <w:rPr>
          <w:rFonts w:ascii="仿宋_GB2312" w:hAnsi="宋体"/>
          <w:bCs/>
          <w:color w:val="000000"/>
          <w:sz w:val="32"/>
          <w:szCs w:val="32"/>
        </w:rPr>
      </w:pPr>
      <w:bookmarkStart w:id="30" w:name="_Toc35588412"/>
      <w:r>
        <w:rPr>
          <w:rFonts w:ascii="仿宋_GB2312" w:hAnsi="宋体" w:hint="eastAsia"/>
          <w:bCs/>
          <w:color w:val="000000"/>
          <w:sz w:val="32"/>
          <w:szCs w:val="32"/>
        </w:rPr>
        <w:t>2.绩效目标</w:t>
      </w:r>
      <w:bookmarkEnd w:id="30"/>
    </w:p>
    <w:p w:rsidR="0000711D" w:rsidRDefault="00A938D4">
      <w:pPr>
        <w:adjustRightInd w:val="0"/>
        <w:snapToGrid w:val="0"/>
        <w:spacing w:line="560" w:lineRule="exact"/>
        <w:ind w:firstLineChars="200" w:firstLine="640"/>
        <w:rPr>
          <w:rFonts w:ascii="仿宋_GB2312" w:hAnsi="仿宋" w:cs="仿宋_GB2312"/>
          <w:sz w:val="32"/>
          <w:szCs w:val="32"/>
        </w:rPr>
      </w:pPr>
      <w:r>
        <w:rPr>
          <w:rFonts w:ascii="仿宋_GB2312" w:hAnsi="仿宋" w:cs="仿宋_GB2312" w:hint="eastAsia"/>
          <w:sz w:val="32"/>
          <w:szCs w:val="32"/>
        </w:rPr>
        <w:t>（1）绩效目标合理性</w:t>
      </w:r>
    </w:p>
    <w:p w:rsidR="0000711D" w:rsidRDefault="00A938D4">
      <w:pPr>
        <w:adjustRightInd w:val="0"/>
        <w:snapToGrid w:val="0"/>
        <w:spacing w:line="560" w:lineRule="exact"/>
        <w:ind w:firstLineChars="200" w:firstLine="640"/>
        <w:rPr>
          <w:rFonts w:ascii="仿宋_GB2312" w:hAnsi="仿宋" w:cs="仿宋_GB2312"/>
          <w:sz w:val="32"/>
          <w:szCs w:val="32"/>
        </w:rPr>
      </w:pPr>
      <w:r>
        <w:rPr>
          <w:rFonts w:ascii="仿宋_GB2312" w:hAnsi="仿宋" w:cs="仿宋_GB2312" w:hint="eastAsia"/>
          <w:sz w:val="32"/>
          <w:szCs w:val="32"/>
        </w:rPr>
        <w:t>项目旨在通过建设行政复议与应诉工作平台，充分发挥行政复议公正高效、便民为民的制度优势和化解行政争议的主渠道作用，提高工作效率，降低群众行政复议成本，强化数据归集与决策数据支撑。项目预期总目标明确了拟开展工作措施及预期效果，年度绩效目标突出了各年度工作重点，绩效目标设定较为合理。</w:t>
      </w:r>
    </w:p>
    <w:p w:rsidR="0000711D" w:rsidRDefault="00A938D4">
      <w:pPr>
        <w:adjustRightInd w:val="0"/>
        <w:snapToGrid w:val="0"/>
        <w:spacing w:line="560" w:lineRule="exact"/>
        <w:ind w:firstLineChars="200" w:firstLine="640"/>
        <w:rPr>
          <w:rFonts w:ascii="仿宋_GB2312"/>
          <w:sz w:val="32"/>
          <w:szCs w:val="32"/>
        </w:rPr>
      </w:pPr>
      <w:r>
        <w:rPr>
          <w:rFonts w:ascii="仿宋_GB2312" w:hint="eastAsia"/>
          <w:sz w:val="32"/>
          <w:szCs w:val="32"/>
        </w:rPr>
        <w:t>（2）绩效指标明确性</w:t>
      </w:r>
    </w:p>
    <w:p w:rsidR="0000711D" w:rsidRDefault="00A938D4">
      <w:pPr>
        <w:adjustRightInd w:val="0"/>
        <w:snapToGrid w:val="0"/>
        <w:spacing w:line="560" w:lineRule="exact"/>
        <w:ind w:firstLineChars="200" w:firstLine="640"/>
        <w:rPr>
          <w:rFonts w:ascii="仿宋_GB2312"/>
          <w:iCs/>
          <w:sz w:val="32"/>
          <w:szCs w:val="32"/>
        </w:rPr>
      </w:pPr>
      <w:r>
        <w:rPr>
          <w:rFonts w:ascii="仿宋_GB2312" w:hint="eastAsia"/>
          <w:iCs/>
          <w:sz w:val="32"/>
          <w:szCs w:val="32"/>
        </w:rPr>
        <w:t>围绕项目预期总目标，项目设置了相应的成本、产出、效益及满意度指标。成本指标按照硬件类、软件类、其他类三类费用明确了预算控制数。产出指标中，数量指标明确了拟建设的平台子系统、专项设备采购数量、软件工具及其他服务采购数量；质量指标明确了软硬件可用率、各类响应时间、统计分析时间、验收合格率等性能目标；时效指标针对系统建设中各个关键环节提出了完成时限要求。效益指标中，社会效益指标从线上业务办理率提升情况、网络渠道和实体大厅申请复议占有率提升情况、行政复议申请时间缩短情况、数据分析支撑能力等方面设定；经济效益指标聚焦降低群众行政复议成本、建设成本、管理成本三方面；可持续影响指标重点关注平台建设与中长期规划的相符性。服务对象满意度指标明确了市、区司法局系统使用人员满意度要求。项目同时在每年预算申报阶段，设置了分年度绩效指标，但2</w:t>
      </w:r>
      <w:r>
        <w:rPr>
          <w:rFonts w:ascii="仿宋_GB2312"/>
          <w:iCs/>
          <w:sz w:val="32"/>
          <w:szCs w:val="32"/>
        </w:rPr>
        <w:t>02</w:t>
      </w:r>
      <w:r>
        <w:rPr>
          <w:rFonts w:ascii="仿宋_GB2312" w:hint="eastAsia"/>
          <w:iCs/>
          <w:sz w:val="32"/>
          <w:szCs w:val="32"/>
        </w:rPr>
        <w:t>2年度项目绩效指标设置不够完整，仅设置成本指标及效益指标，未设置产出指标。</w:t>
      </w:r>
    </w:p>
    <w:p w:rsidR="0000711D" w:rsidRDefault="00A938D4">
      <w:pPr>
        <w:adjustRightInd w:val="0"/>
        <w:snapToGrid w:val="0"/>
        <w:spacing w:line="560" w:lineRule="exact"/>
        <w:ind w:firstLineChars="200" w:firstLine="640"/>
        <w:outlineLvl w:val="2"/>
        <w:rPr>
          <w:rFonts w:ascii="仿宋_GB2312" w:hAnsi="宋体"/>
          <w:bCs/>
          <w:color w:val="000000"/>
          <w:sz w:val="32"/>
          <w:szCs w:val="32"/>
        </w:rPr>
      </w:pPr>
      <w:bookmarkStart w:id="31" w:name="_Toc35588413"/>
      <w:r>
        <w:rPr>
          <w:rFonts w:ascii="仿宋_GB2312" w:hAnsi="宋体" w:hint="eastAsia"/>
          <w:bCs/>
          <w:color w:val="000000"/>
          <w:sz w:val="32"/>
          <w:szCs w:val="32"/>
        </w:rPr>
        <w:t>3.资金投入</w:t>
      </w:r>
      <w:bookmarkEnd w:id="31"/>
    </w:p>
    <w:p w:rsidR="0000711D" w:rsidRDefault="00A938D4">
      <w:pPr>
        <w:adjustRightInd w:val="0"/>
        <w:snapToGrid w:val="0"/>
        <w:spacing w:line="560" w:lineRule="exact"/>
        <w:ind w:firstLineChars="200" w:firstLine="640"/>
        <w:rPr>
          <w:rFonts w:ascii="仿宋_GB2312"/>
          <w:iCs/>
          <w:sz w:val="32"/>
          <w:szCs w:val="32"/>
        </w:rPr>
      </w:pPr>
      <w:r>
        <w:rPr>
          <w:rFonts w:ascii="仿宋_GB2312" w:hint="eastAsia"/>
          <w:iCs/>
          <w:sz w:val="32"/>
          <w:szCs w:val="32"/>
        </w:rPr>
        <w:t>根据项目建设需求确定项目预计采购的专项硬件设备数量、基础软件数量、</w:t>
      </w:r>
      <w:proofErr w:type="gramStart"/>
      <w:r>
        <w:rPr>
          <w:rFonts w:ascii="仿宋_GB2312" w:hint="eastAsia"/>
          <w:iCs/>
          <w:sz w:val="32"/>
          <w:szCs w:val="32"/>
        </w:rPr>
        <w:t>云服务</w:t>
      </w:r>
      <w:proofErr w:type="gramEnd"/>
      <w:r>
        <w:rPr>
          <w:rFonts w:ascii="仿宋_GB2312" w:hint="eastAsia"/>
          <w:iCs/>
          <w:sz w:val="32"/>
          <w:szCs w:val="32"/>
        </w:rPr>
        <w:t>资源数量等，参照市场报价信息确定预算金额；按照拟开发子系统功能需求预估系统开发</w:t>
      </w:r>
      <w:r>
        <w:rPr>
          <w:rFonts w:hint="eastAsia"/>
          <w:sz w:val="32"/>
          <w:szCs w:val="32"/>
        </w:rPr>
        <w:t>所需人月数并结合市场人工</w:t>
      </w:r>
      <w:proofErr w:type="gramStart"/>
      <w:r>
        <w:rPr>
          <w:rFonts w:hint="eastAsia"/>
          <w:sz w:val="32"/>
          <w:szCs w:val="32"/>
        </w:rPr>
        <w:t>费水平</w:t>
      </w:r>
      <w:proofErr w:type="gramEnd"/>
      <w:r>
        <w:rPr>
          <w:rFonts w:hint="eastAsia"/>
          <w:sz w:val="32"/>
          <w:szCs w:val="32"/>
        </w:rPr>
        <w:t>测算预算金额</w:t>
      </w:r>
      <w:r>
        <w:rPr>
          <w:rFonts w:ascii="仿宋_GB2312" w:hint="eastAsia"/>
          <w:iCs/>
          <w:sz w:val="32"/>
          <w:szCs w:val="32"/>
        </w:rPr>
        <w:t>；测评费、监理费均按比例计提。同时，聘请第三方机构对项目进行了预算评审，</w:t>
      </w:r>
      <w:proofErr w:type="gramStart"/>
      <w:r>
        <w:rPr>
          <w:rFonts w:ascii="仿宋_GB2312" w:hint="eastAsia"/>
          <w:iCs/>
          <w:sz w:val="32"/>
          <w:szCs w:val="32"/>
        </w:rPr>
        <w:t>最终项目</w:t>
      </w:r>
      <w:proofErr w:type="gramEnd"/>
      <w:r>
        <w:rPr>
          <w:rFonts w:ascii="仿宋_GB2312" w:hint="eastAsia"/>
          <w:iCs/>
          <w:sz w:val="32"/>
          <w:szCs w:val="32"/>
        </w:rPr>
        <w:t>预算结合预算评审意见编制。预算编制依据较为充分。</w:t>
      </w:r>
    </w:p>
    <w:p w:rsidR="0000711D" w:rsidRDefault="00A938D4">
      <w:pPr>
        <w:adjustRightInd w:val="0"/>
        <w:snapToGrid w:val="0"/>
        <w:spacing w:line="560" w:lineRule="exact"/>
        <w:ind w:firstLineChars="200" w:firstLine="640"/>
        <w:outlineLvl w:val="1"/>
        <w:rPr>
          <w:rFonts w:ascii="楷体_GB2312" w:eastAsia="楷体_GB2312"/>
          <w:color w:val="000000"/>
          <w:sz w:val="32"/>
          <w:szCs w:val="32"/>
        </w:rPr>
      </w:pPr>
      <w:bookmarkStart w:id="32" w:name="_Toc35588414"/>
      <w:bookmarkStart w:id="33" w:name="_Toc198040030"/>
      <w:r>
        <w:rPr>
          <w:rFonts w:ascii="楷体_GB2312" w:eastAsia="楷体_GB2312" w:hint="eastAsia"/>
          <w:color w:val="000000"/>
          <w:sz w:val="32"/>
          <w:szCs w:val="32"/>
        </w:rPr>
        <w:t>（二）项目过程情况</w:t>
      </w:r>
      <w:bookmarkEnd w:id="32"/>
      <w:bookmarkEnd w:id="33"/>
    </w:p>
    <w:p w:rsidR="0000711D" w:rsidRDefault="00A938D4">
      <w:pPr>
        <w:adjustRightInd w:val="0"/>
        <w:snapToGrid w:val="0"/>
        <w:spacing w:line="560" w:lineRule="exact"/>
        <w:ind w:firstLineChars="200" w:firstLine="640"/>
        <w:outlineLvl w:val="2"/>
        <w:rPr>
          <w:rFonts w:ascii="仿宋_GB2312" w:hAnsi="宋体"/>
          <w:bCs/>
          <w:color w:val="000000"/>
          <w:sz w:val="32"/>
          <w:szCs w:val="32"/>
        </w:rPr>
      </w:pPr>
      <w:bookmarkStart w:id="34" w:name="_Toc35588415"/>
      <w:r>
        <w:rPr>
          <w:rFonts w:ascii="仿宋_GB2312" w:hAnsi="宋体" w:hint="eastAsia"/>
          <w:bCs/>
          <w:color w:val="000000"/>
          <w:sz w:val="32"/>
          <w:szCs w:val="32"/>
        </w:rPr>
        <w:t>1.资金管理</w:t>
      </w:r>
      <w:bookmarkEnd w:id="34"/>
    </w:p>
    <w:p w:rsidR="0000711D" w:rsidRDefault="00A938D4">
      <w:pPr>
        <w:adjustRightInd w:val="0"/>
        <w:snapToGrid w:val="0"/>
        <w:spacing w:line="560" w:lineRule="exact"/>
        <w:ind w:firstLineChars="200" w:firstLine="640"/>
        <w:rPr>
          <w:rFonts w:ascii="仿宋_GB2312"/>
          <w:iCs/>
          <w:sz w:val="32"/>
          <w:szCs w:val="32"/>
        </w:rPr>
      </w:pPr>
      <w:r>
        <w:rPr>
          <w:rFonts w:ascii="仿宋_GB2312" w:hint="eastAsia"/>
          <w:iCs/>
          <w:sz w:val="32"/>
          <w:szCs w:val="32"/>
        </w:rPr>
        <w:t>（1）资金到位率、预算执行率</w:t>
      </w:r>
    </w:p>
    <w:p w:rsidR="0000711D" w:rsidRDefault="00A938D4">
      <w:pPr>
        <w:adjustRightInd w:val="0"/>
        <w:snapToGrid w:val="0"/>
        <w:spacing w:line="560" w:lineRule="exact"/>
        <w:ind w:firstLineChars="200" w:firstLine="640"/>
        <w:rPr>
          <w:rFonts w:ascii="仿宋_GB2312" w:hAnsi="仿宋_GB2312" w:cs="仿宋_GB2312"/>
          <w:color w:val="000000"/>
          <w:sz w:val="32"/>
          <w:szCs w:val="32"/>
        </w:rPr>
      </w:pPr>
      <w:r>
        <w:rPr>
          <w:rFonts w:ascii="仿宋_GB2312" w:hAnsi="仿宋" w:cs="仿宋_GB2312" w:hint="eastAsia"/>
          <w:sz w:val="32"/>
          <w:szCs w:val="32"/>
        </w:rPr>
        <w:t>项目三年总预算</w:t>
      </w:r>
      <w:r>
        <w:rPr>
          <w:rFonts w:ascii="仿宋_GB2312" w:hAnsi="仿宋" w:cs="仿宋_GB2312"/>
          <w:sz w:val="32"/>
          <w:szCs w:val="32"/>
        </w:rPr>
        <w:t>864.51</w:t>
      </w:r>
      <w:r>
        <w:rPr>
          <w:rFonts w:ascii="仿宋_GB2312" w:hAnsi="仿宋" w:cs="仿宋_GB2312" w:hint="eastAsia"/>
          <w:sz w:val="32"/>
          <w:szCs w:val="32"/>
        </w:rPr>
        <w:t>万元，每年项目预算随部门预算批复，资金及时、足额到位。按项目实施进度支出资金，截至2</w:t>
      </w:r>
      <w:r>
        <w:rPr>
          <w:rFonts w:ascii="仿宋_GB2312" w:hAnsi="仿宋" w:cs="仿宋_GB2312"/>
          <w:sz w:val="32"/>
          <w:szCs w:val="32"/>
        </w:rPr>
        <w:t>02</w:t>
      </w:r>
      <w:r>
        <w:rPr>
          <w:rFonts w:ascii="仿宋_GB2312" w:hAnsi="仿宋" w:cs="仿宋_GB2312" w:hint="eastAsia"/>
          <w:sz w:val="32"/>
          <w:szCs w:val="32"/>
        </w:rPr>
        <w:t>4年1</w:t>
      </w:r>
      <w:r>
        <w:rPr>
          <w:rFonts w:ascii="仿宋_GB2312" w:hAnsi="仿宋" w:cs="仿宋_GB2312"/>
          <w:sz w:val="32"/>
          <w:szCs w:val="32"/>
        </w:rPr>
        <w:t>2</w:t>
      </w:r>
      <w:r>
        <w:rPr>
          <w:rFonts w:ascii="仿宋_GB2312" w:hAnsi="仿宋" w:cs="仿宋_GB2312" w:hint="eastAsia"/>
          <w:sz w:val="32"/>
          <w:szCs w:val="32"/>
        </w:rPr>
        <w:t>月</w:t>
      </w:r>
      <w:r>
        <w:rPr>
          <w:rFonts w:ascii="仿宋_GB2312" w:hAnsi="仿宋" w:cs="仿宋_GB2312"/>
          <w:sz w:val="32"/>
          <w:szCs w:val="32"/>
        </w:rPr>
        <w:t>31</w:t>
      </w:r>
      <w:r>
        <w:rPr>
          <w:rFonts w:ascii="仿宋_GB2312" w:hAnsi="仿宋" w:cs="仿宋_GB2312" w:hint="eastAsia"/>
          <w:sz w:val="32"/>
          <w:szCs w:val="32"/>
        </w:rPr>
        <w:t>日，实际支出资金</w:t>
      </w:r>
      <w:r>
        <w:rPr>
          <w:rFonts w:ascii="仿宋_GB2312" w:hAnsi="仿宋" w:cs="仿宋_GB2312"/>
          <w:sz w:val="32"/>
          <w:szCs w:val="32"/>
        </w:rPr>
        <w:t>855.80</w:t>
      </w:r>
      <w:r>
        <w:rPr>
          <w:rFonts w:ascii="仿宋_GB2312" w:hAnsi="仿宋_GB2312" w:cs="仿宋_GB2312" w:hint="eastAsia"/>
          <w:color w:val="000000"/>
          <w:sz w:val="32"/>
          <w:szCs w:val="32"/>
        </w:rPr>
        <w:t>万元，预算执行率98.99%，预算未全部执行的主要原因为实际采购金额与预算间存在差额。各支出方向预算执行情况详见表3。</w:t>
      </w:r>
    </w:p>
    <w:p w:rsidR="0000711D" w:rsidRDefault="00A938D4">
      <w:pPr>
        <w:adjustRightInd w:val="0"/>
        <w:snapToGrid w:val="0"/>
        <w:spacing w:line="600" w:lineRule="exact"/>
        <w:jc w:val="center"/>
        <w:rPr>
          <w:rFonts w:ascii="黑体" w:eastAsia="黑体" w:hAnsi="黑体" w:cs="宋体"/>
          <w:kern w:val="0"/>
          <w:sz w:val="28"/>
          <w:szCs w:val="28"/>
        </w:rPr>
      </w:pPr>
      <w:r>
        <w:rPr>
          <w:rFonts w:ascii="黑体" w:eastAsia="黑体" w:hAnsi="黑体" w:cs="宋体" w:hint="eastAsia"/>
          <w:kern w:val="0"/>
          <w:sz w:val="28"/>
          <w:szCs w:val="28"/>
        </w:rPr>
        <w:t>表3：项目各支出方向预算及执行情况</w:t>
      </w:r>
    </w:p>
    <w:tbl>
      <w:tblPr>
        <w:tblW w:w="8828" w:type="dxa"/>
        <w:tblInd w:w="113" w:type="dxa"/>
        <w:tblLook w:val="04A0" w:firstRow="1" w:lastRow="0" w:firstColumn="1" w:lastColumn="0" w:noHBand="0" w:noVBand="1"/>
      </w:tblPr>
      <w:tblGrid>
        <w:gridCol w:w="2545"/>
        <w:gridCol w:w="2542"/>
        <w:gridCol w:w="1387"/>
        <w:gridCol w:w="1276"/>
        <w:gridCol w:w="1060"/>
        <w:gridCol w:w="18"/>
      </w:tblGrid>
      <w:tr w:rsidR="0000711D">
        <w:trPr>
          <w:cantSplit/>
          <w:trHeight w:val="454"/>
          <w:tblHeader/>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支出方向</w:t>
            </w:r>
          </w:p>
        </w:tc>
        <w:tc>
          <w:tcPr>
            <w:tcW w:w="25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具体内容</w:t>
            </w:r>
          </w:p>
        </w:tc>
        <w:tc>
          <w:tcPr>
            <w:tcW w:w="3741" w:type="dxa"/>
            <w:gridSpan w:val="4"/>
            <w:tcBorders>
              <w:top w:val="single" w:sz="4" w:space="0" w:color="auto"/>
              <w:left w:val="nil"/>
              <w:bottom w:val="single" w:sz="4" w:space="0" w:color="auto"/>
              <w:right w:val="single" w:sz="4" w:space="0" w:color="auto"/>
            </w:tcBorders>
            <w:shd w:val="clear" w:color="auto" w:fill="auto"/>
            <w:noWrap/>
            <w:vAlign w:val="center"/>
          </w:tcPr>
          <w:p w:rsidR="0000711D" w:rsidRDefault="00A938D4">
            <w:pPr>
              <w:widowControl/>
              <w:adjustRightInd w:val="0"/>
              <w:snapToGrid w:val="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金额（万元）</w:t>
            </w:r>
          </w:p>
        </w:tc>
      </w:tr>
      <w:tr w:rsidR="0000711D">
        <w:trPr>
          <w:gridAfter w:val="1"/>
          <w:wAfter w:w="18" w:type="dxa"/>
          <w:cantSplit/>
          <w:trHeight w:val="454"/>
          <w:tblHeader/>
        </w:trPr>
        <w:tc>
          <w:tcPr>
            <w:tcW w:w="2547" w:type="dxa"/>
            <w:vMerge/>
            <w:tcBorders>
              <w:top w:val="single" w:sz="4" w:space="0" w:color="auto"/>
              <w:left w:val="single" w:sz="4" w:space="0" w:color="auto"/>
              <w:bottom w:val="single" w:sz="4" w:space="0" w:color="auto"/>
              <w:right w:val="single" w:sz="4" w:space="0" w:color="auto"/>
            </w:tcBorders>
            <w:vAlign w:val="center"/>
          </w:tcPr>
          <w:p w:rsidR="0000711D" w:rsidRDefault="0000711D">
            <w:pPr>
              <w:widowControl/>
              <w:adjustRightInd w:val="0"/>
              <w:snapToGrid w:val="0"/>
              <w:jc w:val="left"/>
              <w:rPr>
                <w:rFonts w:ascii="宋体" w:eastAsia="宋体" w:hAnsi="宋体" w:cs="宋体"/>
                <w:b/>
                <w:bCs/>
                <w:color w:val="000000"/>
                <w:kern w:val="0"/>
                <w:sz w:val="20"/>
                <w:szCs w:val="20"/>
              </w:rPr>
            </w:pPr>
          </w:p>
        </w:tc>
        <w:tc>
          <w:tcPr>
            <w:tcW w:w="2540" w:type="dxa"/>
            <w:vMerge/>
            <w:tcBorders>
              <w:top w:val="single" w:sz="4" w:space="0" w:color="auto"/>
              <w:left w:val="single" w:sz="4" w:space="0" w:color="auto"/>
              <w:bottom w:val="single" w:sz="4" w:space="0" w:color="auto"/>
              <w:right w:val="single" w:sz="4" w:space="0" w:color="auto"/>
            </w:tcBorders>
            <w:vAlign w:val="center"/>
          </w:tcPr>
          <w:p w:rsidR="0000711D" w:rsidRDefault="0000711D">
            <w:pPr>
              <w:widowControl/>
              <w:adjustRightInd w:val="0"/>
              <w:snapToGrid w:val="0"/>
              <w:jc w:val="left"/>
              <w:rPr>
                <w:rFonts w:ascii="宋体" w:eastAsia="宋体" w:hAnsi="宋体" w:cs="宋体"/>
                <w:b/>
                <w:bCs/>
                <w:color w:val="000000"/>
                <w:kern w:val="0"/>
                <w:sz w:val="20"/>
                <w:szCs w:val="20"/>
              </w:rPr>
            </w:pPr>
          </w:p>
        </w:tc>
        <w:tc>
          <w:tcPr>
            <w:tcW w:w="1387" w:type="dxa"/>
            <w:tcBorders>
              <w:top w:val="nil"/>
              <w:left w:val="nil"/>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支出预算数</w:t>
            </w:r>
          </w:p>
        </w:tc>
        <w:tc>
          <w:tcPr>
            <w:tcW w:w="1276" w:type="dxa"/>
            <w:tcBorders>
              <w:top w:val="nil"/>
              <w:left w:val="nil"/>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实际支出数</w:t>
            </w:r>
          </w:p>
        </w:tc>
        <w:tc>
          <w:tcPr>
            <w:tcW w:w="1060" w:type="dxa"/>
            <w:tcBorders>
              <w:top w:val="nil"/>
              <w:left w:val="nil"/>
              <w:bottom w:val="single" w:sz="4" w:space="0" w:color="auto"/>
              <w:right w:val="single" w:sz="4" w:space="0" w:color="auto"/>
            </w:tcBorders>
            <w:shd w:val="clear" w:color="auto" w:fill="auto"/>
            <w:noWrap/>
            <w:vAlign w:val="center"/>
          </w:tcPr>
          <w:p w:rsidR="0000711D" w:rsidRDefault="00A938D4">
            <w:pPr>
              <w:widowControl/>
              <w:adjustRightInd w:val="0"/>
              <w:snapToGrid w:val="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差额</w:t>
            </w:r>
          </w:p>
        </w:tc>
      </w:tr>
      <w:tr w:rsidR="0000711D">
        <w:trPr>
          <w:gridAfter w:val="1"/>
          <w:wAfter w:w="18" w:type="dxa"/>
          <w:trHeight w:val="454"/>
        </w:trPr>
        <w:tc>
          <w:tcPr>
            <w:tcW w:w="2547" w:type="dxa"/>
            <w:vMerge w:val="restart"/>
            <w:tcBorders>
              <w:top w:val="nil"/>
              <w:left w:val="single" w:sz="4" w:space="0" w:color="auto"/>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专项设备购置、系统建设、系统集成</w:t>
            </w:r>
          </w:p>
        </w:tc>
        <w:tc>
          <w:tcPr>
            <w:tcW w:w="2540" w:type="dxa"/>
            <w:tcBorders>
              <w:top w:val="nil"/>
              <w:left w:val="nil"/>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专项设备采购</w:t>
            </w:r>
          </w:p>
        </w:tc>
        <w:tc>
          <w:tcPr>
            <w:tcW w:w="1387" w:type="dxa"/>
            <w:vMerge w:val="restart"/>
            <w:tcBorders>
              <w:top w:val="nil"/>
              <w:left w:val="single" w:sz="4" w:space="0" w:color="auto"/>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782.78</w:t>
            </w:r>
          </w:p>
        </w:tc>
        <w:tc>
          <w:tcPr>
            <w:tcW w:w="1276" w:type="dxa"/>
            <w:tcBorders>
              <w:top w:val="nil"/>
              <w:left w:val="nil"/>
              <w:bottom w:val="single" w:sz="4" w:space="0" w:color="auto"/>
              <w:right w:val="single" w:sz="4" w:space="0" w:color="auto"/>
            </w:tcBorders>
            <w:shd w:val="clear" w:color="auto" w:fill="auto"/>
            <w:noWrap/>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85.34</w:t>
            </w:r>
          </w:p>
        </w:tc>
        <w:tc>
          <w:tcPr>
            <w:tcW w:w="1060" w:type="dxa"/>
            <w:vMerge w:val="restart"/>
            <w:tcBorders>
              <w:top w:val="nil"/>
              <w:left w:val="single" w:sz="4" w:space="0" w:color="auto"/>
              <w:bottom w:val="single" w:sz="4" w:space="0" w:color="auto"/>
              <w:right w:val="single" w:sz="4" w:space="0" w:color="auto"/>
            </w:tcBorders>
            <w:shd w:val="clear" w:color="auto" w:fill="auto"/>
            <w:noWrap/>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3.94 </w:t>
            </w:r>
          </w:p>
        </w:tc>
      </w:tr>
      <w:tr w:rsidR="0000711D">
        <w:trPr>
          <w:gridAfter w:val="1"/>
          <w:wAfter w:w="18" w:type="dxa"/>
          <w:trHeight w:val="454"/>
        </w:trPr>
        <w:tc>
          <w:tcPr>
            <w:tcW w:w="2547" w:type="dxa"/>
            <w:vMerge/>
            <w:tcBorders>
              <w:top w:val="nil"/>
              <w:left w:val="single" w:sz="4" w:space="0" w:color="auto"/>
              <w:bottom w:val="single" w:sz="4" w:space="0" w:color="auto"/>
              <w:right w:val="single" w:sz="4" w:space="0" w:color="auto"/>
            </w:tcBorders>
            <w:vAlign w:val="center"/>
          </w:tcPr>
          <w:p w:rsidR="0000711D" w:rsidRDefault="0000711D">
            <w:pPr>
              <w:widowControl/>
              <w:adjustRightInd w:val="0"/>
              <w:snapToGrid w:val="0"/>
              <w:jc w:val="left"/>
              <w:rPr>
                <w:rFonts w:ascii="宋体" w:eastAsia="宋体" w:hAnsi="宋体" w:cs="宋体"/>
                <w:color w:val="000000"/>
                <w:kern w:val="0"/>
                <w:sz w:val="20"/>
                <w:szCs w:val="20"/>
              </w:rPr>
            </w:pPr>
          </w:p>
        </w:tc>
        <w:tc>
          <w:tcPr>
            <w:tcW w:w="2540" w:type="dxa"/>
            <w:tcBorders>
              <w:top w:val="nil"/>
              <w:left w:val="nil"/>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系统建设与集成</w:t>
            </w:r>
          </w:p>
        </w:tc>
        <w:tc>
          <w:tcPr>
            <w:tcW w:w="1387" w:type="dxa"/>
            <w:vMerge/>
            <w:tcBorders>
              <w:top w:val="nil"/>
              <w:left w:val="single" w:sz="4" w:space="0" w:color="auto"/>
              <w:bottom w:val="single" w:sz="4" w:space="0" w:color="auto"/>
              <w:right w:val="single" w:sz="4" w:space="0" w:color="auto"/>
            </w:tcBorders>
            <w:vAlign w:val="center"/>
          </w:tcPr>
          <w:p w:rsidR="0000711D" w:rsidRDefault="0000711D">
            <w:pPr>
              <w:widowControl/>
              <w:adjustRightInd w:val="0"/>
              <w:snapToGrid w:val="0"/>
              <w:jc w:val="left"/>
              <w:rPr>
                <w:rFonts w:ascii="宋体" w:eastAsia="宋体" w:hAnsi="宋体" w:cs="宋体"/>
                <w:color w:val="000000"/>
                <w:kern w:val="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693.50</w:t>
            </w:r>
          </w:p>
        </w:tc>
        <w:tc>
          <w:tcPr>
            <w:tcW w:w="1060" w:type="dxa"/>
            <w:vMerge/>
            <w:tcBorders>
              <w:top w:val="nil"/>
              <w:left w:val="single" w:sz="4" w:space="0" w:color="auto"/>
              <w:bottom w:val="single" w:sz="4" w:space="0" w:color="auto"/>
              <w:right w:val="single" w:sz="4" w:space="0" w:color="auto"/>
            </w:tcBorders>
            <w:vAlign w:val="center"/>
          </w:tcPr>
          <w:p w:rsidR="0000711D" w:rsidRDefault="0000711D">
            <w:pPr>
              <w:widowControl/>
              <w:adjustRightInd w:val="0"/>
              <w:snapToGrid w:val="0"/>
              <w:jc w:val="left"/>
              <w:rPr>
                <w:rFonts w:ascii="宋体" w:eastAsia="宋体" w:hAnsi="宋体" w:cs="宋体"/>
                <w:color w:val="000000"/>
                <w:kern w:val="0"/>
                <w:sz w:val="20"/>
                <w:szCs w:val="20"/>
              </w:rPr>
            </w:pPr>
          </w:p>
        </w:tc>
      </w:tr>
      <w:tr w:rsidR="0000711D">
        <w:trPr>
          <w:gridAfter w:val="1"/>
          <w:wAfter w:w="18" w:type="dxa"/>
          <w:trHeight w:val="454"/>
        </w:trPr>
        <w:tc>
          <w:tcPr>
            <w:tcW w:w="2547" w:type="dxa"/>
            <w:tcBorders>
              <w:top w:val="nil"/>
              <w:left w:val="single" w:sz="4" w:space="0" w:color="auto"/>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系统测评</w:t>
            </w:r>
          </w:p>
        </w:tc>
        <w:tc>
          <w:tcPr>
            <w:tcW w:w="2540" w:type="dxa"/>
            <w:tcBorders>
              <w:top w:val="nil"/>
              <w:left w:val="nil"/>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软件测评、安全测评、国产密码测评</w:t>
            </w:r>
          </w:p>
        </w:tc>
        <w:tc>
          <w:tcPr>
            <w:tcW w:w="1387" w:type="dxa"/>
            <w:tcBorders>
              <w:top w:val="nil"/>
              <w:left w:val="nil"/>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26.76</w:t>
            </w:r>
          </w:p>
        </w:tc>
        <w:tc>
          <w:tcPr>
            <w:tcW w:w="1276" w:type="dxa"/>
            <w:tcBorders>
              <w:top w:val="nil"/>
              <w:left w:val="nil"/>
              <w:bottom w:val="single" w:sz="4" w:space="0" w:color="auto"/>
              <w:right w:val="single" w:sz="4" w:space="0" w:color="auto"/>
            </w:tcBorders>
            <w:shd w:val="clear" w:color="auto" w:fill="auto"/>
            <w:noWrap/>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25.80</w:t>
            </w:r>
          </w:p>
        </w:tc>
        <w:tc>
          <w:tcPr>
            <w:tcW w:w="1060" w:type="dxa"/>
            <w:tcBorders>
              <w:top w:val="nil"/>
              <w:left w:val="nil"/>
              <w:bottom w:val="single" w:sz="4" w:space="0" w:color="auto"/>
              <w:right w:val="single" w:sz="4" w:space="0" w:color="auto"/>
            </w:tcBorders>
            <w:shd w:val="clear" w:color="auto" w:fill="auto"/>
            <w:noWrap/>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0.96 </w:t>
            </w:r>
          </w:p>
        </w:tc>
      </w:tr>
      <w:tr w:rsidR="0000711D">
        <w:trPr>
          <w:gridAfter w:val="1"/>
          <w:wAfter w:w="18" w:type="dxa"/>
          <w:trHeight w:val="454"/>
        </w:trPr>
        <w:tc>
          <w:tcPr>
            <w:tcW w:w="2547" w:type="dxa"/>
            <w:tcBorders>
              <w:top w:val="nil"/>
              <w:left w:val="single" w:sz="4" w:space="0" w:color="auto"/>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系统建设监理</w:t>
            </w:r>
          </w:p>
        </w:tc>
        <w:tc>
          <w:tcPr>
            <w:tcW w:w="2540" w:type="dxa"/>
            <w:tcBorders>
              <w:top w:val="nil"/>
              <w:left w:val="nil"/>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系统建设监理</w:t>
            </w:r>
          </w:p>
        </w:tc>
        <w:tc>
          <w:tcPr>
            <w:tcW w:w="1387" w:type="dxa"/>
            <w:tcBorders>
              <w:top w:val="nil"/>
              <w:left w:val="nil"/>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16.00</w:t>
            </w:r>
          </w:p>
        </w:tc>
        <w:tc>
          <w:tcPr>
            <w:tcW w:w="1276" w:type="dxa"/>
            <w:tcBorders>
              <w:top w:val="nil"/>
              <w:left w:val="nil"/>
              <w:bottom w:val="single" w:sz="4" w:space="0" w:color="auto"/>
              <w:right w:val="single" w:sz="4" w:space="0" w:color="auto"/>
            </w:tcBorders>
            <w:shd w:val="clear" w:color="auto" w:fill="auto"/>
            <w:noWrap/>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13.60</w:t>
            </w:r>
          </w:p>
        </w:tc>
        <w:tc>
          <w:tcPr>
            <w:tcW w:w="1060" w:type="dxa"/>
            <w:tcBorders>
              <w:top w:val="nil"/>
              <w:left w:val="nil"/>
              <w:bottom w:val="single" w:sz="4" w:space="0" w:color="auto"/>
              <w:right w:val="single" w:sz="4" w:space="0" w:color="auto"/>
            </w:tcBorders>
            <w:shd w:val="clear" w:color="auto" w:fill="auto"/>
            <w:noWrap/>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2.40 </w:t>
            </w:r>
          </w:p>
        </w:tc>
      </w:tr>
      <w:tr w:rsidR="0000711D">
        <w:trPr>
          <w:gridAfter w:val="1"/>
          <w:wAfter w:w="18" w:type="dxa"/>
          <w:trHeight w:val="454"/>
        </w:trPr>
        <w:tc>
          <w:tcPr>
            <w:tcW w:w="2547" w:type="dxa"/>
            <w:tcBorders>
              <w:top w:val="nil"/>
              <w:left w:val="single" w:sz="4" w:space="0" w:color="auto"/>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短信服务</w:t>
            </w:r>
          </w:p>
        </w:tc>
        <w:tc>
          <w:tcPr>
            <w:tcW w:w="2540" w:type="dxa"/>
            <w:tcBorders>
              <w:top w:val="nil"/>
              <w:left w:val="nil"/>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短信服务</w:t>
            </w:r>
          </w:p>
        </w:tc>
        <w:tc>
          <w:tcPr>
            <w:tcW w:w="1387" w:type="dxa"/>
            <w:tcBorders>
              <w:top w:val="nil"/>
              <w:left w:val="nil"/>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0.20</w:t>
            </w:r>
          </w:p>
        </w:tc>
        <w:tc>
          <w:tcPr>
            <w:tcW w:w="1276" w:type="dxa"/>
            <w:tcBorders>
              <w:top w:val="nil"/>
              <w:left w:val="nil"/>
              <w:bottom w:val="single" w:sz="4" w:space="0" w:color="auto"/>
              <w:right w:val="single" w:sz="4" w:space="0" w:color="auto"/>
            </w:tcBorders>
            <w:shd w:val="clear" w:color="auto" w:fill="auto"/>
            <w:noWrap/>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0.20</w:t>
            </w:r>
          </w:p>
        </w:tc>
        <w:tc>
          <w:tcPr>
            <w:tcW w:w="1060" w:type="dxa"/>
            <w:tcBorders>
              <w:top w:val="nil"/>
              <w:left w:val="nil"/>
              <w:bottom w:val="single" w:sz="4" w:space="0" w:color="auto"/>
              <w:right w:val="single" w:sz="4" w:space="0" w:color="auto"/>
            </w:tcBorders>
            <w:shd w:val="clear" w:color="auto" w:fill="auto"/>
            <w:noWrap/>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0.00 </w:t>
            </w:r>
          </w:p>
        </w:tc>
      </w:tr>
      <w:tr w:rsidR="0000711D">
        <w:trPr>
          <w:gridAfter w:val="1"/>
          <w:wAfter w:w="18" w:type="dxa"/>
          <w:trHeight w:val="454"/>
        </w:trPr>
        <w:tc>
          <w:tcPr>
            <w:tcW w:w="2547" w:type="dxa"/>
            <w:tcBorders>
              <w:top w:val="nil"/>
              <w:left w:val="single" w:sz="4" w:space="0" w:color="auto"/>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咨询服务费</w:t>
            </w:r>
          </w:p>
        </w:tc>
        <w:tc>
          <w:tcPr>
            <w:tcW w:w="2540" w:type="dxa"/>
            <w:tcBorders>
              <w:top w:val="nil"/>
              <w:left w:val="nil"/>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项目申报书编制费</w:t>
            </w:r>
          </w:p>
        </w:tc>
        <w:tc>
          <w:tcPr>
            <w:tcW w:w="1387" w:type="dxa"/>
            <w:tcBorders>
              <w:top w:val="nil"/>
              <w:left w:val="nil"/>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9.80</w:t>
            </w:r>
          </w:p>
        </w:tc>
        <w:tc>
          <w:tcPr>
            <w:tcW w:w="1276" w:type="dxa"/>
            <w:tcBorders>
              <w:top w:val="nil"/>
              <w:left w:val="nil"/>
              <w:bottom w:val="single" w:sz="4" w:space="0" w:color="auto"/>
              <w:right w:val="single" w:sz="4" w:space="0" w:color="auto"/>
            </w:tcBorders>
            <w:shd w:val="clear" w:color="auto" w:fill="auto"/>
            <w:noWrap/>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9.80</w:t>
            </w:r>
          </w:p>
        </w:tc>
        <w:tc>
          <w:tcPr>
            <w:tcW w:w="1060" w:type="dxa"/>
            <w:tcBorders>
              <w:top w:val="nil"/>
              <w:left w:val="nil"/>
              <w:bottom w:val="single" w:sz="4" w:space="0" w:color="auto"/>
              <w:right w:val="single" w:sz="4" w:space="0" w:color="auto"/>
            </w:tcBorders>
            <w:shd w:val="clear" w:color="auto" w:fill="auto"/>
            <w:noWrap/>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0.00 </w:t>
            </w:r>
          </w:p>
        </w:tc>
      </w:tr>
      <w:tr w:rsidR="0000711D">
        <w:trPr>
          <w:gridAfter w:val="1"/>
          <w:wAfter w:w="18" w:type="dxa"/>
          <w:trHeight w:val="454"/>
        </w:trPr>
        <w:tc>
          <w:tcPr>
            <w:tcW w:w="2547" w:type="dxa"/>
            <w:tcBorders>
              <w:top w:val="nil"/>
              <w:left w:val="single" w:sz="4" w:space="0" w:color="auto"/>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语音转写服务</w:t>
            </w:r>
          </w:p>
        </w:tc>
        <w:tc>
          <w:tcPr>
            <w:tcW w:w="2540" w:type="dxa"/>
            <w:tcBorders>
              <w:top w:val="nil"/>
              <w:left w:val="nil"/>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语音转写服务</w:t>
            </w:r>
          </w:p>
        </w:tc>
        <w:tc>
          <w:tcPr>
            <w:tcW w:w="1387" w:type="dxa"/>
            <w:tcBorders>
              <w:top w:val="nil"/>
              <w:left w:val="nil"/>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11.00</w:t>
            </w:r>
          </w:p>
        </w:tc>
        <w:tc>
          <w:tcPr>
            <w:tcW w:w="1276" w:type="dxa"/>
            <w:tcBorders>
              <w:top w:val="nil"/>
              <w:left w:val="nil"/>
              <w:bottom w:val="single" w:sz="4" w:space="0" w:color="auto"/>
              <w:right w:val="single" w:sz="4" w:space="0" w:color="auto"/>
            </w:tcBorders>
            <w:shd w:val="clear" w:color="auto" w:fill="auto"/>
            <w:noWrap/>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9.60</w:t>
            </w:r>
          </w:p>
        </w:tc>
        <w:tc>
          <w:tcPr>
            <w:tcW w:w="1060" w:type="dxa"/>
            <w:tcBorders>
              <w:top w:val="nil"/>
              <w:left w:val="nil"/>
              <w:bottom w:val="single" w:sz="4" w:space="0" w:color="auto"/>
              <w:right w:val="single" w:sz="4" w:space="0" w:color="auto"/>
            </w:tcBorders>
            <w:shd w:val="clear" w:color="auto" w:fill="auto"/>
            <w:noWrap/>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1.40 </w:t>
            </w:r>
          </w:p>
        </w:tc>
      </w:tr>
      <w:tr w:rsidR="0000711D">
        <w:trPr>
          <w:gridAfter w:val="1"/>
          <w:wAfter w:w="18" w:type="dxa"/>
          <w:trHeight w:val="454"/>
        </w:trPr>
        <w:tc>
          <w:tcPr>
            <w:tcW w:w="2547" w:type="dxa"/>
            <w:vMerge w:val="restart"/>
            <w:tcBorders>
              <w:top w:val="nil"/>
              <w:left w:val="single" w:sz="4" w:space="0" w:color="auto"/>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云服务租赁</w:t>
            </w:r>
          </w:p>
        </w:tc>
        <w:tc>
          <w:tcPr>
            <w:tcW w:w="2540" w:type="dxa"/>
            <w:tcBorders>
              <w:top w:val="nil"/>
              <w:left w:val="nil"/>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政务云租赁服务（基础部分）</w:t>
            </w:r>
          </w:p>
        </w:tc>
        <w:tc>
          <w:tcPr>
            <w:tcW w:w="1387" w:type="dxa"/>
            <w:vMerge w:val="restart"/>
            <w:tcBorders>
              <w:top w:val="nil"/>
              <w:left w:val="single" w:sz="4" w:space="0" w:color="auto"/>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17.97</w:t>
            </w:r>
          </w:p>
        </w:tc>
        <w:tc>
          <w:tcPr>
            <w:tcW w:w="1276" w:type="dxa"/>
            <w:tcBorders>
              <w:top w:val="nil"/>
              <w:left w:val="nil"/>
              <w:bottom w:val="single" w:sz="4" w:space="0" w:color="auto"/>
              <w:right w:val="single" w:sz="4" w:space="0" w:color="auto"/>
            </w:tcBorders>
            <w:shd w:val="clear" w:color="auto" w:fill="auto"/>
            <w:noWrap/>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11.22</w:t>
            </w:r>
          </w:p>
        </w:tc>
        <w:tc>
          <w:tcPr>
            <w:tcW w:w="1060" w:type="dxa"/>
            <w:vMerge w:val="restart"/>
            <w:tcBorders>
              <w:top w:val="nil"/>
              <w:left w:val="single" w:sz="4" w:space="0" w:color="auto"/>
              <w:bottom w:val="single" w:sz="4" w:space="0" w:color="auto"/>
              <w:right w:val="single" w:sz="4" w:space="0" w:color="auto"/>
            </w:tcBorders>
            <w:shd w:val="clear" w:color="auto" w:fill="auto"/>
            <w:noWrap/>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0.01 </w:t>
            </w:r>
          </w:p>
        </w:tc>
      </w:tr>
      <w:tr w:rsidR="0000711D">
        <w:trPr>
          <w:gridAfter w:val="1"/>
          <w:wAfter w:w="18" w:type="dxa"/>
          <w:trHeight w:val="454"/>
        </w:trPr>
        <w:tc>
          <w:tcPr>
            <w:tcW w:w="2547" w:type="dxa"/>
            <w:vMerge/>
            <w:tcBorders>
              <w:top w:val="nil"/>
              <w:left w:val="single" w:sz="4" w:space="0" w:color="auto"/>
              <w:bottom w:val="single" w:sz="4" w:space="0" w:color="auto"/>
              <w:right w:val="single" w:sz="4" w:space="0" w:color="auto"/>
            </w:tcBorders>
            <w:vAlign w:val="center"/>
          </w:tcPr>
          <w:p w:rsidR="0000711D" w:rsidRDefault="0000711D">
            <w:pPr>
              <w:widowControl/>
              <w:adjustRightInd w:val="0"/>
              <w:snapToGrid w:val="0"/>
              <w:jc w:val="left"/>
              <w:rPr>
                <w:rFonts w:ascii="宋体" w:eastAsia="宋体" w:hAnsi="宋体" w:cs="宋体"/>
                <w:color w:val="000000"/>
                <w:kern w:val="0"/>
                <w:sz w:val="20"/>
                <w:szCs w:val="20"/>
              </w:rPr>
            </w:pPr>
          </w:p>
        </w:tc>
        <w:tc>
          <w:tcPr>
            <w:tcW w:w="2540" w:type="dxa"/>
            <w:tcBorders>
              <w:top w:val="nil"/>
              <w:left w:val="nil"/>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政务云租赁服务（扩展部分）</w:t>
            </w:r>
          </w:p>
        </w:tc>
        <w:tc>
          <w:tcPr>
            <w:tcW w:w="1387" w:type="dxa"/>
            <w:vMerge/>
            <w:tcBorders>
              <w:top w:val="nil"/>
              <w:left w:val="single" w:sz="4" w:space="0" w:color="auto"/>
              <w:bottom w:val="single" w:sz="4" w:space="0" w:color="auto"/>
              <w:right w:val="single" w:sz="4" w:space="0" w:color="auto"/>
            </w:tcBorders>
            <w:vAlign w:val="center"/>
          </w:tcPr>
          <w:p w:rsidR="0000711D" w:rsidRDefault="0000711D">
            <w:pPr>
              <w:widowControl/>
              <w:adjustRightInd w:val="0"/>
              <w:snapToGrid w:val="0"/>
              <w:jc w:val="left"/>
              <w:rPr>
                <w:rFonts w:ascii="宋体" w:eastAsia="宋体" w:hAnsi="宋体" w:cs="宋体"/>
                <w:color w:val="000000"/>
                <w:kern w:val="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00711D" w:rsidRDefault="00A938D4">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6.74</w:t>
            </w:r>
          </w:p>
        </w:tc>
        <w:tc>
          <w:tcPr>
            <w:tcW w:w="1060" w:type="dxa"/>
            <w:vMerge/>
            <w:tcBorders>
              <w:top w:val="nil"/>
              <w:left w:val="single" w:sz="4" w:space="0" w:color="auto"/>
              <w:bottom w:val="single" w:sz="4" w:space="0" w:color="auto"/>
              <w:right w:val="single" w:sz="4" w:space="0" w:color="auto"/>
            </w:tcBorders>
            <w:vAlign w:val="center"/>
          </w:tcPr>
          <w:p w:rsidR="0000711D" w:rsidRDefault="0000711D">
            <w:pPr>
              <w:widowControl/>
              <w:adjustRightInd w:val="0"/>
              <w:snapToGrid w:val="0"/>
              <w:jc w:val="left"/>
              <w:rPr>
                <w:rFonts w:ascii="宋体" w:eastAsia="宋体" w:hAnsi="宋体" w:cs="宋体"/>
                <w:color w:val="000000"/>
                <w:kern w:val="0"/>
                <w:sz w:val="20"/>
                <w:szCs w:val="20"/>
              </w:rPr>
            </w:pPr>
          </w:p>
        </w:tc>
      </w:tr>
      <w:tr w:rsidR="0000711D">
        <w:trPr>
          <w:gridAfter w:val="1"/>
          <w:wAfter w:w="15" w:type="dxa"/>
          <w:trHeight w:val="454"/>
        </w:trPr>
        <w:tc>
          <w:tcPr>
            <w:tcW w:w="50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11D" w:rsidRDefault="00A938D4">
            <w:pPr>
              <w:widowControl/>
              <w:adjustRightInd w:val="0"/>
              <w:snapToGrid w:val="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合计</w:t>
            </w:r>
          </w:p>
        </w:tc>
        <w:tc>
          <w:tcPr>
            <w:tcW w:w="1387" w:type="dxa"/>
            <w:tcBorders>
              <w:top w:val="nil"/>
              <w:left w:val="nil"/>
              <w:bottom w:val="single" w:sz="4" w:space="0" w:color="auto"/>
              <w:right w:val="single" w:sz="4" w:space="0" w:color="auto"/>
            </w:tcBorders>
            <w:shd w:val="clear" w:color="auto" w:fill="auto"/>
            <w:noWrap/>
            <w:vAlign w:val="center"/>
          </w:tcPr>
          <w:p w:rsidR="0000711D" w:rsidRDefault="00A938D4">
            <w:pPr>
              <w:widowControl/>
              <w:adjustRightInd w:val="0"/>
              <w:snapToGrid w:val="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864.51</w:t>
            </w:r>
          </w:p>
        </w:tc>
        <w:tc>
          <w:tcPr>
            <w:tcW w:w="1276" w:type="dxa"/>
            <w:tcBorders>
              <w:top w:val="nil"/>
              <w:left w:val="nil"/>
              <w:bottom w:val="single" w:sz="4" w:space="0" w:color="auto"/>
              <w:right w:val="single" w:sz="4" w:space="0" w:color="auto"/>
            </w:tcBorders>
            <w:shd w:val="clear" w:color="auto" w:fill="auto"/>
            <w:noWrap/>
            <w:vAlign w:val="center"/>
          </w:tcPr>
          <w:p w:rsidR="0000711D" w:rsidRDefault="00A938D4">
            <w:pPr>
              <w:widowControl/>
              <w:adjustRightInd w:val="0"/>
              <w:snapToGrid w:val="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855.80</w:t>
            </w:r>
          </w:p>
        </w:tc>
        <w:tc>
          <w:tcPr>
            <w:tcW w:w="1060" w:type="dxa"/>
            <w:tcBorders>
              <w:top w:val="nil"/>
              <w:left w:val="nil"/>
              <w:bottom w:val="single" w:sz="4" w:space="0" w:color="auto"/>
              <w:right w:val="single" w:sz="4" w:space="0" w:color="auto"/>
            </w:tcBorders>
            <w:shd w:val="clear" w:color="auto" w:fill="auto"/>
            <w:noWrap/>
            <w:vAlign w:val="center"/>
          </w:tcPr>
          <w:p w:rsidR="0000711D" w:rsidRDefault="00A938D4">
            <w:pPr>
              <w:widowControl/>
              <w:adjustRightInd w:val="0"/>
              <w:snapToGrid w:val="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8.71</w:t>
            </w:r>
          </w:p>
        </w:tc>
      </w:tr>
    </w:tbl>
    <w:p w:rsidR="0000711D" w:rsidRDefault="00A938D4">
      <w:pPr>
        <w:adjustRightInd w:val="0"/>
        <w:snapToGrid w:val="0"/>
        <w:spacing w:line="600" w:lineRule="exact"/>
        <w:ind w:firstLineChars="200" w:firstLine="640"/>
        <w:rPr>
          <w:rFonts w:ascii="仿宋_GB2312"/>
          <w:iCs/>
          <w:sz w:val="32"/>
          <w:szCs w:val="32"/>
        </w:rPr>
      </w:pPr>
      <w:r>
        <w:rPr>
          <w:rFonts w:ascii="仿宋_GB2312" w:hint="eastAsia"/>
          <w:iCs/>
          <w:sz w:val="32"/>
          <w:szCs w:val="32"/>
        </w:rPr>
        <w:t>（2）资金使用合</w:t>
      </w:r>
      <w:proofErr w:type="gramStart"/>
      <w:r>
        <w:rPr>
          <w:rFonts w:ascii="仿宋_GB2312" w:hint="eastAsia"/>
          <w:iCs/>
          <w:sz w:val="32"/>
          <w:szCs w:val="32"/>
        </w:rPr>
        <w:t>规</w:t>
      </w:r>
      <w:proofErr w:type="gramEnd"/>
      <w:r>
        <w:rPr>
          <w:rFonts w:ascii="仿宋_GB2312" w:hint="eastAsia"/>
          <w:iCs/>
          <w:sz w:val="32"/>
          <w:szCs w:val="32"/>
        </w:rPr>
        <w:t>性</w:t>
      </w:r>
    </w:p>
    <w:p w:rsidR="0000711D" w:rsidRDefault="00A938D4">
      <w:pPr>
        <w:adjustRightInd w:val="0"/>
        <w:snapToGrid w:val="0"/>
        <w:spacing w:line="600" w:lineRule="exact"/>
        <w:ind w:firstLineChars="200" w:firstLine="640"/>
        <w:rPr>
          <w:rFonts w:ascii="仿宋_GB2312"/>
          <w:color w:val="000000"/>
          <w:sz w:val="32"/>
          <w:szCs w:val="32"/>
        </w:rPr>
      </w:pPr>
      <w:r>
        <w:rPr>
          <w:rFonts w:ascii="仿宋_GB2312" w:hint="eastAsia"/>
          <w:color w:val="000000"/>
          <w:sz w:val="32"/>
          <w:szCs w:val="32"/>
        </w:rPr>
        <w:t>项目资金使用和财务管理依据财务管理制度执行。支出内容方面，项目资金全部用于行政复议与应诉工作平台的系统建设、软硬件购置、云服务租赁、系统测试、项目监理等支出，实际支出方向与项目预算批复用途相符。支出程序方面，资金支出时，由业务经办人提出资金支出申请，提交相应票据，经多级审批通过后支出，资金拨付审批程序完整、手续完备。会计核算方面，分年度对项目进行了单独核算，确保了专款专用。项目完工后，开展了竣工财务决算审核，并及时将在建工程科目费用转入固定资产和无形资产进行管理。项目资金使用整体较为规范。</w:t>
      </w:r>
    </w:p>
    <w:p w:rsidR="0000711D" w:rsidRDefault="00A938D4">
      <w:pPr>
        <w:adjustRightInd w:val="0"/>
        <w:snapToGrid w:val="0"/>
        <w:spacing w:line="600" w:lineRule="exact"/>
        <w:ind w:firstLineChars="200" w:firstLine="640"/>
        <w:outlineLvl w:val="2"/>
        <w:rPr>
          <w:rFonts w:ascii="仿宋_GB2312" w:hAnsi="宋体"/>
          <w:bCs/>
          <w:color w:val="000000"/>
          <w:sz w:val="32"/>
          <w:szCs w:val="32"/>
        </w:rPr>
      </w:pPr>
      <w:r>
        <w:rPr>
          <w:rFonts w:ascii="仿宋_GB2312" w:hAnsi="宋体"/>
          <w:bCs/>
          <w:color w:val="000000"/>
          <w:sz w:val="32"/>
          <w:szCs w:val="32"/>
        </w:rPr>
        <w:t>2.</w:t>
      </w:r>
      <w:r>
        <w:rPr>
          <w:rFonts w:ascii="仿宋_GB2312" w:hAnsi="宋体" w:hint="eastAsia"/>
          <w:bCs/>
          <w:color w:val="000000"/>
          <w:sz w:val="32"/>
          <w:szCs w:val="32"/>
        </w:rPr>
        <w:t>组织实施</w:t>
      </w:r>
    </w:p>
    <w:p w:rsidR="0000711D" w:rsidRDefault="00A938D4">
      <w:pPr>
        <w:adjustRightInd w:val="0"/>
        <w:snapToGrid w:val="0"/>
        <w:spacing w:line="600" w:lineRule="exact"/>
        <w:ind w:firstLineChars="200" w:firstLine="640"/>
        <w:rPr>
          <w:rFonts w:ascii="仿宋_GB2312"/>
          <w:iCs/>
          <w:sz w:val="32"/>
          <w:szCs w:val="32"/>
        </w:rPr>
      </w:pPr>
      <w:r>
        <w:rPr>
          <w:rFonts w:ascii="仿宋_GB2312" w:hint="eastAsia"/>
          <w:iCs/>
          <w:sz w:val="32"/>
          <w:szCs w:val="32"/>
        </w:rPr>
        <w:t>（1）管理制度健全性</w:t>
      </w:r>
    </w:p>
    <w:p w:rsidR="0000711D" w:rsidRDefault="00A938D4">
      <w:pPr>
        <w:adjustRightInd w:val="0"/>
        <w:snapToGrid w:val="0"/>
        <w:spacing w:line="600" w:lineRule="exact"/>
        <w:ind w:firstLineChars="200" w:firstLine="640"/>
        <w:rPr>
          <w:rFonts w:ascii="仿宋_GB2312"/>
          <w:color w:val="000000"/>
          <w:sz w:val="32"/>
          <w:szCs w:val="32"/>
        </w:rPr>
      </w:pPr>
      <w:r>
        <w:rPr>
          <w:rFonts w:ascii="仿宋_GB2312" w:hint="eastAsia"/>
          <w:color w:val="000000"/>
          <w:sz w:val="32"/>
          <w:szCs w:val="32"/>
        </w:rPr>
        <w:t>财务管理制度方面，制定了预算管理办法、支出管理办法、采购管理办法、固定资产管理办法、合同管理办法等，对预算编制与执行、资金支出与使用、采购方式及程序、固定资产维护与管理、合同签订与审批等方面提出了明确的要求。</w:t>
      </w:r>
    </w:p>
    <w:p w:rsidR="0000711D" w:rsidRDefault="00A938D4">
      <w:pPr>
        <w:adjustRightInd w:val="0"/>
        <w:snapToGrid w:val="0"/>
        <w:spacing w:line="600" w:lineRule="exact"/>
        <w:ind w:firstLineChars="200" w:firstLine="640"/>
        <w:rPr>
          <w:rFonts w:ascii="仿宋_GB2312"/>
          <w:color w:val="000000"/>
          <w:sz w:val="32"/>
          <w:szCs w:val="32"/>
        </w:rPr>
      </w:pPr>
      <w:r>
        <w:rPr>
          <w:rFonts w:ascii="仿宋_GB2312" w:hint="eastAsia"/>
          <w:color w:val="000000"/>
          <w:sz w:val="32"/>
          <w:szCs w:val="32"/>
        </w:rPr>
        <w:t>业务管理制度方面，制定了信息化项目全流程管理办法、数据信息安全管理规定、网络与信息安全事件总体应急预案等一系列信息化项目管理办法，从项目计划、立项、建设、验收、运维、突发事件处理等全流程明确了管理要求。</w:t>
      </w:r>
    </w:p>
    <w:p w:rsidR="0000711D" w:rsidRDefault="00A938D4">
      <w:pPr>
        <w:adjustRightInd w:val="0"/>
        <w:snapToGrid w:val="0"/>
        <w:spacing w:line="600" w:lineRule="exact"/>
        <w:ind w:firstLineChars="200" w:firstLine="640"/>
        <w:rPr>
          <w:rFonts w:ascii="仿宋_GB2312"/>
          <w:color w:val="000000"/>
          <w:sz w:val="32"/>
          <w:szCs w:val="32"/>
        </w:rPr>
      </w:pPr>
      <w:r>
        <w:rPr>
          <w:rFonts w:ascii="仿宋_GB2312" w:hint="eastAsia"/>
          <w:color w:val="000000"/>
          <w:sz w:val="32"/>
          <w:szCs w:val="32"/>
        </w:rPr>
        <w:t>总体上，项目管理制度较为完备，能够为项目实施提供制度约束保障</w:t>
      </w:r>
      <w:r>
        <w:rPr>
          <w:rFonts w:ascii="仿宋_GB2312" w:hint="eastAsia"/>
          <w:sz w:val="32"/>
          <w:szCs w:val="32"/>
        </w:rPr>
        <w:t>。</w:t>
      </w:r>
    </w:p>
    <w:p w:rsidR="0000711D" w:rsidRDefault="00A938D4">
      <w:pPr>
        <w:adjustRightInd w:val="0"/>
        <w:snapToGrid w:val="0"/>
        <w:spacing w:line="600" w:lineRule="exact"/>
        <w:ind w:firstLineChars="200" w:firstLine="640"/>
        <w:rPr>
          <w:rFonts w:ascii="仿宋_GB2312"/>
          <w:iCs/>
          <w:sz w:val="32"/>
          <w:szCs w:val="32"/>
        </w:rPr>
      </w:pPr>
      <w:r>
        <w:rPr>
          <w:rFonts w:ascii="仿宋_GB2312" w:hint="eastAsia"/>
          <w:iCs/>
          <w:sz w:val="32"/>
          <w:szCs w:val="32"/>
        </w:rPr>
        <w:t>（2）制度执行有效性</w:t>
      </w:r>
    </w:p>
    <w:p w:rsidR="0000711D" w:rsidRDefault="00A938D4">
      <w:pPr>
        <w:adjustRightInd w:val="0"/>
        <w:snapToGrid w:val="0"/>
        <w:spacing w:line="600" w:lineRule="exact"/>
        <w:ind w:firstLineChars="200" w:firstLine="640"/>
        <w:rPr>
          <w:rFonts w:ascii="仿宋_GB2312" w:hAnsi="宋体" w:cs="宋体"/>
          <w:kern w:val="0"/>
          <w:sz w:val="32"/>
          <w:szCs w:val="32"/>
        </w:rPr>
      </w:pPr>
      <w:r>
        <w:rPr>
          <w:rFonts w:ascii="仿宋_GB2312" w:hAnsi="宋体" w:cs="宋体" w:hint="eastAsia"/>
          <w:kern w:val="0"/>
          <w:sz w:val="32"/>
          <w:szCs w:val="32"/>
        </w:rPr>
        <w:t>服务商遴选方面，按照政府采购相关管理办法规定，根据采购类别及采购金额，分别采用公开招标、竞争性磋商、集中采购等方式选定供应商。</w:t>
      </w:r>
    </w:p>
    <w:p w:rsidR="0000711D" w:rsidRDefault="00A938D4">
      <w:pPr>
        <w:adjustRightInd w:val="0"/>
        <w:snapToGrid w:val="0"/>
        <w:spacing w:line="600" w:lineRule="exact"/>
        <w:ind w:firstLineChars="200" w:firstLine="640"/>
        <w:rPr>
          <w:rFonts w:ascii="仿宋_GB2312" w:hAnsi="宋体" w:cs="宋体"/>
          <w:kern w:val="0"/>
          <w:sz w:val="32"/>
          <w:szCs w:val="32"/>
        </w:rPr>
      </w:pPr>
      <w:r>
        <w:rPr>
          <w:rFonts w:ascii="仿宋_GB2312" w:hAnsi="宋体" w:cs="宋体" w:hint="eastAsia"/>
          <w:kern w:val="0"/>
          <w:sz w:val="32"/>
          <w:szCs w:val="32"/>
        </w:rPr>
        <w:t>过程管理方面，项目执行了项目监理制，监理单位依据合同约定，对项目质量、进度、投资、安全等方面实施了全过程监理，形成了监理规划、开工手续文件、工程款支付手续文件、监理月报、工程变更单、系统功能检查表、监理意见、监理工作总结报告等成果文件。实施过程中，通过合同约束与权责明确、资质审核、例会制度、支付控制、变更与风险协同管理、文档过程监督等方式，对项目实施进行了过程管理。</w:t>
      </w:r>
    </w:p>
    <w:p w:rsidR="0000711D" w:rsidRDefault="00A938D4">
      <w:pPr>
        <w:adjustRightInd w:val="0"/>
        <w:snapToGrid w:val="0"/>
        <w:spacing w:line="600" w:lineRule="exact"/>
        <w:ind w:firstLineChars="200" w:firstLine="640"/>
        <w:rPr>
          <w:rFonts w:ascii="仿宋_GB2312"/>
          <w:color w:val="000000"/>
          <w:sz w:val="32"/>
          <w:szCs w:val="32"/>
        </w:rPr>
      </w:pPr>
      <w:r>
        <w:rPr>
          <w:rFonts w:ascii="仿宋_GB2312" w:hint="eastAsia"/>
          <w:color w:val="000000"/>
          <w:sz w:val="32"/>
          <w:szCs w:val="32"/>
        </w:rPr>
        <w:t>验收方面，项目采取召开汇报会的方式分别组织了专家组、市司法局、监理单位、承建单位、测评单位共同参与的项目初步验收、竣工验收。</w:t>
      </w:r>
    </w:p>
    <w:p w:rsidR="0000711D" w:rsidRDefault="00A938D4">
      <w:pPr>
        <w:adjustRightInd w:val="0"/>
        <w:snapToGrid w:val="0"/>
        <w:spacing w:line="600" w:lineRule="exact"/>
        <w:ind w:firstLineChars="200" w:firstLine="640"/>
        <w:rPr>
          <w:rFonts w:ascii="仿宋_GB2312" w:hAnsi="宋体" w:cs="宋体"/>
          <w:kern w:val="0"/>
          <w:sz w:val="32"/>
          <w:szCs w:val="32"/>
        </w:rPr>
      </w:pPr>
      <w:r>
        <w:rPr>
          <w:rFonts w:ascii="仿宋_GB2312" w:hint="eastAsia"/>
          <w:color w:val="000000"/>
          <w:sz w:val="32"/>
          <w:szCs w:val="32"/>
        </w:rPr>
        <w:t>总体上，项目组织分工合理，供应商遴选方式和程序较为规范，执行过程监管较为到位</w:t>
      </w:r>
      <w:r>
        <w:rPr>
          <w:rFonts w:ascii="仿宋_GB2312" w:hAnsi="宋体" w:cs="宋体" w:hint="eastAsia"/>
          <w:kern w:val="0"/>
          <w:sz w:val="32"/>
          <w:szCs w:val="32"/>
        </w:rPr>
        <w:t xml:space="preserve">，业务制度履行情况较好。 </w:t>
      </w:r>
    </w:p>
    <w:p w:rsidR="0000711D" w:rsidRDefault="00A938D4">
      <w:pPr>
        <w:adjustRightInd w:val="0"/>
        <w:snapToGrid w:val="0"/>
        <w:spacing w:line="600" w:lineRule="exact"/>
        <w:ind w:firstLineChars="200" w:firstLine="640"/>
        <w:outlineLvl w:val="1"/>
        <w:rPr>
          <w:rFonts w:ascii="楷体_GB2312" w:eastAsia="楷体_GB2312"/>
          <w:color w:val="000000"/>
          <w:sz w:val="32"/>
          <w:szCs w:val="32"/>
        </w:rPr>
      </w:pPr>
      <w:bookmarkStart w:id="35" w:name="_Toc198040031"/>
      <w:bookmarkStart w:id="36" w:name="_Toc35588417"/>
      <w:r>
        <w:rPr>
          <w:rFonts w:ascii="楷体_GB2312" w:eastAsia="楷体_GB2312" w:hint="eastAsia"/>
          <w:color w:val="000000"/>
          <w:sz w:val="32"/>
          <w:szCs w:val="32"/>
        </w:rPr>
        <w:t>（三）项目产出情况</w:t>
      </w:r>
      <w:bookmarkEnd w:id="35"/>
      <w:bookmarkEnd w:id="36"/>
    </w:p>
    <w:p w:rsidR="0000711D" w:rsidRDefault="00A938D4">
      <w:pPr>
        <w:adjustRightInd w:val="0"/>
        <w:snapToGrid w:val="0"/>
        <w:spacing w:line="600" w:lineRule="exact"/>
        <w:ind w:firstLineChars="200" w:firstLine="640"/>
        <w:outlineLvl w:val="2"/>
        <w:rPr>
          <w:rFonts w:ascii="仿宋_GB2312" w:hAnsi="宋体"/>
          <w:bCs/>
          <w:color w:val="000000"/>
          <w:sz w:val="32"/>
          <w:szCs w:val="32"/>
        </w:rPr>
      </w:pPr>
      <w:bookmarkStart w:id="37" w:name="_Toc35588418"/>
      <w:r>
        <w:rPr>
          <w:rFonts w:ascii="仿宋_GB2312" w:hAnsi="宋体" w:hint="eastAsia"/>
          <w:bCs/>
          <w:color w:val="000000"/>
          <w:sz w:val="32"/>
          <w:szCs w:val="32"/>
        </w:rPr>
        <w:t>1.产出数量</w:t>
      </w:r>
      <w:bookmarkEnd w:id="37"/>
    </w:p>
    <w:p w:rsidR="0000711D" w:rsidRDefault="00A938D4">
      <w:pPr>
        <w:adjustRightInd w:val="0"/>
        <w:snapToGrid w:val="0"/>
        <w:spacing w:line="600" w:lineRule="exact"/>
        <w:ind w:firstLineChars="200" w:firstLine="640"/>
        <w:rPr>
          <w:rFonts w:ascii="仿宋_GB2312"/>
          <w:color w:val="000000"/>
          <w:sz w:val="32"/>
          <w:szCs w:val="32"/>
        </w:rPr>
      </w:pPr>
      <w:r>
        <w:rPr>
          <w:rFonts w:ascii="仿宋_GB2312" w:hint="eastAsia"/>
          <w:color w:val="000000"/>
          <w:sz w:val="32"/>
          <w:szCs w:val="32"/>
        </w:rPr>
        <w:t>系统建设方面，实现了实体复议接待大厅系统、行政复议与应诉工作门户、行政复议案件办理系统、移动办案系统、网上听证系统、典型案例管理系统、综合监测调度系统、行政复议与应诉数据管理系统、行政复议数据分析</w:t>
      </w:r>
      <w:proofErr w:type="gramStart"/>
      <w:r>
        <w:rPr>
          <w:rFonts w:ascii="仿宋_GB2312" w:hint="eastAsia"/>
          <w:color w:val="000000"/>
          <w:sz w:val="32"/>
          <w:szCs w:val="32"/>
        </w:rPr>
        <w:t>研</w:t>
      </w:r>
      <w:proofErr w:type="gramEnd"/>
      <w:r>
        <w:rPr>
          <w:rFonts w:ascii="仿宋_GB2312" w:hint="eastAsia"/>
          <w:color w:val="000000"/>
          <w:sz w:val="32"/>
          <w:szCs w:val="32"/>
        </w:rPr>
        <w:t xml:space="preserve">判系统、行政复议智能支撑系统、平台管理系统共11个子系统及系统接口软件功能的开发。 </w:t>
      </w:r>
    </w:p>
    <w:p w:rsidR="0000711D" w:rsidRDefault="00A938D4">
      <w:pPr>
        <w:adjustRightInd w:val="0"/>
        <w:snapToGrid w:val="0"/>
        <w:spacing w:line="600" w:lineRule="exact"/>
        <w:ind w:firstLineChars="200" w:firstLine="640"/>
        <w:rPr>
          <w:rFonts w:ascii="仿宋_GB2312"/>
          <w:color w:val="000000"/>
          <w:sz w:val="32"/>
          <w:szCs w:val="32"/>
        </w:rPr>
      </w:pPr>
      <w:r>
        <w:rPr>
          <w:rFonts w:ascii="仿宋_GB2312" w:hint="eastAsia"/>
          <w:color w:val="000000"/>
          <w:sz w:val="32"/>
          <w:szCs w:val="32"/>
        </w:rPr>
        <w:t>市政府行政复议接待室建设方面，采购了行政复议接待大厅、网上听证室、</w:t>
      </w:r>
      <w:proofErr w:type="gramStart"/>
      <w:r>
        <w:rPr>
          <w:rFonts w:ascii="仿宋_GB2312" w:hint="eastAsia"/>
          <w:color w:val="000000"/>
          <w:sz w:val="32"/>
          <w:szCs w:val="32"/>
        </w:rPr>
        <w:t>案审室的</w:t>
      </w:r>
      <w:proofErr w:type="gramEnd"/>
      <w:r>
        <w:rPr>
          <w:rFonts w:ascii="仿宋_GB2312" w:hint="eastAsia"/>
          <w:color w:val="000000"/>
          <w:sz w:val="32"/>
          <w:szCs w:val="32"/>
        </w:rPr>
        <w:t>硬件设备以及视频处理器、高清显示屏、显示终端、</w:t>
      </w:r>
      <w:proofErr w:type="gramStart"/>
      <w:r>
        <w:rPr>
          <w:rFonts w:ascii="仿宋_GB2312" w:hint="eastAsia"/>
          <w:color w:val="000000"/>
          <w:sz w:val="32"/>
          <w:szCs w:val="32"/>
        </w:rPr>
        <w:t>高拍仪</w:t>
      </w:r>
      <w:proofErr w:type="gramEnd"/>
      <w:r>
        <w:rPr>
          <w:rFonts w:ascii="仿宋_GB2312" w:hint="eastAsia"/>
          <w:color w:val="000000"/>
          <w:sz w:val="32"/>
          <w:szCs w:val="32"/>
        </w:rPr>
        <w:t>等硬件。</w:t>
      </w:r>
    </w:p>
    <w:p w:rsidR="0000711D" w:rsidRDefault="00A938D4">
      <w:pPr>
        <w:adjustRightInd w:val="0"/>
        <w:snapToGrid w:val="0"/>
        <w:spacing w:line="600" w:lineRule="exact"/>
        <w:ind w:firstLineChars="200" w:firstLine="640"/>
        <w:rPr>
          <w:rFonts w:ascii="仿宋_GB2312"/>
          <w:color w:val="000000"/>
          <w:sz w:val="32"/>
          <w:szCs w:val="32"/>
        </w:rPr>
      </w:pPr>
      <w:r>
        <w:rPr>
          <w:rFonts w:ascii="仿宋_GB2312" w:hint="eastAsia"/>
          <w:color w:val="000000"/>
          <w:sz w:val="32"/>
          <w:szCs w:val="32"/>
        </w:rPr>
        <w:t>工具软件及服务产品方面，采购了定制数据库、CMS、报表工具、校对软件等基础软件，以及短信服务、语音撰写服务。</w:t>
      </w:r>
    </w:p>
    <w:p w:rsidR="0000711D" w:rsidRDefault="00A938D4">
      <w:pPr>
        <w:adjustRightInd w:val="0"/>
        <w:snapToGrid w:val="0"/>
        <w:spacing w:line="600" w:lineRule="exact"/>
        <w:ind w:firstLineChars="200" w:firstLine="640"/>
        <w:rPr>
          <w:rFonts w:ascii="仿宋_GB2312"/>
          <w:color w:val="000000"/>
          <w:sz w:val="32"/>
          <w:szCs w:val="32"/>
        </w:rPr>
      </w:pPr>
      <w:r>
        <w:rPr>
          <w:rFonts w:ascii="仿宋_GB2312" w:hint="eastAsia"/>
          <w:color w:val="000000"/>
          <w:sz w:val="32"/>
          <w:szCs w:val="32"/>
        </w:rPr>
        <w:t>云服务租赁方面，租赁了政务</w:t>
      </w:r>
      <w:proofErr w:type="gramStart"/>
      <w:r>
        <w:rPr>
          <w:rFonts w:ascii="仿宋_GB2312" w:hint="eastAsia"/>
          <w:color w:val="000000"/>
          <w:sz w:val="32"/>
          <w:szCs w:val="32"/>
        </w:rPr>
        <w:t>云资源</w:t>
      </w:r>
      <w:proofErr w:type="gramEnd"/>
      <w:r>
        <w:rPr>
          <w:rFonts w:ascii="仿宋_GB2312" w:hint="eastAsia"/>
          <w:color w:val="000000"/>
          <w:sz w:val="32"/>
          <w:szCs w:val="32"/>
        </w:rPr>
        <w:t>以及商用操作系统、中间件、安全服务等其他支撑服务。</w:t>
      </w:r>
    </w:p>
    <w:p w:rsidR="0000711D" w:rsidRDefault="00A938D4">
      <w:pPr>
        <w:adjustRightInd w:val="0"/>
        <w:snapToGrid w:val="0"/>
        <w:spacing w:line="600" w:lineRule="exact"/>
        <w:ind w:firstLineChars="200" w:firstLine="640"/>
        <w:rPr>
          <w:rFonts w:ascii="仿宋_GB2312"/>
          <w:color w:val="000000"/>
          <w:sz w:val="32"/>
          <w:szCs w:val="32"/>
        </w:rPr>
      </w:pPr>
      <w:r>
        <w:rPr>
          <w:rFonts w:ascii="仿宋_GB2312" w:hint="eastAsia"/>
          <w:color w:val="000000"/>
          <w:sz w:val="32"/>
          <w:szCs w:val="32"/>
        </w:rPr>
        <w:t>其他工作方面，完成了系统立项申报的咨询服务，软件测评、</w:t>
      </w:r>
      <w:proofErr w:type="gramStart"/>
      <w:r>
        <w:rPr>
          <w:rFonts w:ascii="仿宋_GB2312" w:hint="eastAsia"/>
          <w:color w:val="000000"/>
          <w:sz w:val="32"/>
          <w:szCs w:val="32"/>
        </w:rPr>
        <w:t>等保测评</w:t>
      </w:r>
      <w:proofErr w:type="gramEnd"/>
      <w:r>
        <w:rPr>
          <w:rFonts w:ascii="仿宋_GB2312" w:hint="eastAsia"/>
          <w:color w:val="000000"/>
          <w:sz w:val="32"/>
          <w:szCs w:val="32"/>
        </w:rPr>
        <w:t>、商用密码评估服务，系统建设监理工作。</w:t>
      </w:r>
    </w:p>
    <w:p w:rsidR="0000711D" w:rsidRDefault="00A938D4">
      <w:pPr>
        <w:adjustRightInd w:val="0"/>
        <w:snapToGrid w:val="0"/>
        <w:spacing w:line="600" w:lineRule="exact"/>
        <w:ind w:firstLineChars="200" w:firstLine="640"/>
        <w:outlineLvl w:val="2"/>
        <w:rPr>
          <w:rFonts w:ascii="仿宋_GB2312" w:hAnsi="宋体"/>
          <w:bCs/>
          <w:color w:val="000000"/>
          <w:sz w:val="32"/>
          <w:szCs w:val="32"/>
        </w:rPr>
      </w:pPr>
      <w:bookmarkStart w:id="38" w:name="_Toc35588419"/>
      <w:r>
        <w:rPr>
          <w:rFonts w:ascii="仿宋_GB2312" w:hAnsi="宋体" w:hint="eastAsia"/>
          <w:bCs/>
          <w:color w:val="000000"/>
          <w:sz w:val="32"/>
          <w:szCs w:val="32"/>
        </w:rPr>
        <w:t>2.产出质量</w:t>
      </w:r>
      <w:bookmarkEnd w:id="38"/>
    </w:p>
    <w:p w:rsidR="0000711D" w:rsidRDefault="00A938D4">
      <w:pPr>
        <w:adjustRightInd w:val="0"/>
        <w:snapToGrid w:val="0"/>
        <w:spacing w:line="600" w:lineRule="exact"/>
        <w:ind w:firstLineChars="200" w:firstLine="640"/>
        <w:rPr>
          <w:rFonts w:ascii="仿宋_GB2312"/>
          <w:color w:val="000000"/>
          <w:sz w:val="32"/>
          <w:szCs w:val="32"/>
        </w:rPr>
      </w:pPr>
      <w:r>
        <w:rPr>
          <w:rFonts w:ascii="仿宋_GB2312" w:hint="eastAsia"/>
          <w:color w:val="000000"/>
          <w:sz w:val="32"/>
          <w:szCs w:val="32"/>
        </w:rPr>
        <w:t>2023年11月30日，市司法局组织召开了项目初步验收专家评审会。与会专家听取了建设单位项目背景介绍、承建单位项目建设情况汇报、监理单位、测评单位及用户意见等，观看了系统演示，查看了现场设备安装情况，审阅了项目文档，经过质询和讨论，专家组同意项目通过初步验收。</w:t>
      </w:r>
    </w:p>
    <w:p w:rsidR="0000711D" w:rsidRDefault="00A938D4">
      <w:pPr>
        <w:adjustRightInd w:val="0"/>
        <w:snapToGrid w:val="0"/>
        <w:spacing w:line="600" w:lineRule="exact"/>
        <w:ind w:firstLineChars="200" w:firstLine="640"/>
        <w:rPr>
          <w:rFonts w:ascii="仿宋_GB2312"/>
          <w:color w:val="000000"/>
          <w:sz w:val="32"/>
          <w:szCs w:val="32"/>
        </w:rPr>
      </w:pPr>
      <w:r>
        <w:rPr>
          <w:rFonts w:ascii="仿宋_GB2312" w:hint="eastAsia"/>
          <w:color w:val="000000"/>
          <w:sz w:val="32"/>
          <w:szCs w:val="32"/>
        </w:rPr>
        <w:t>经过试运行，市司法局于2024年9月27日组织召开了项目竣工验收专家评审会。与会专家听取了建设单位项目背景及资金使用情况汇报、承建单位项目建设情况汇报及系统演示、监理单位监理工作汇报及监理意见、测试单位测评结果、用户意见等，审阅了项目文档，经过质询和讨论，专家组同意项目通过竣工验收。</w:t>
      </w:r>
    </w:p>
    <w:p w:rsidR="0000711D" w:rsidRDefault="00A938D4">
      <w:pPr>
        <w:adjustRightInd w:val="0"/>
        <w:snapToGrid w:val="0"/>
        <w:spacing w:line="600" w:lineRule="exact"/>
        <w:ind w:firstLineChars="200" w:firstLine="640"/>
        <w:rPr>
          <w:rFonts w:ascii="仿宋_GB2312"/>
          <w:color w:val="000000"/>
          <w:sz w:val="32"/>
          <w:szCs w:val="32"/>
        </w:rPr>
      </w:pPr>
      <w:r>
        <w:rPr>
          <w:rFonts w:ascii="仿宋_GB2312" w:hint="eastAsia"/>
          <w:color w:val="000000"/>
          <w:sz w:val="32"/>
          <w:szCs w:val="32"/>
        </w:rPr>
        <w:t>目前，行政复议与应诉工作平台已通过验收并正式投入使用，系统运行情况良好，但产出质量方面仍存在以下问题：一是项目质量指标及招标采购文件中明确的系统可用率、系统响应时间、统计分析时间等性能指标达成情况尚不明确；二是系统承建方提交的项目建设文档中存在更新不够及时、内容不够全面等问题。</w:t>
      </w:r>
    </w:p>
    <w:p w:rsidR="0000711D" w:rsidRDefault="00A938D4">
      <w:pPr>
        <w:adjustRightInd w:val="0"/>
        <w:snapToGrid w:val="0"/>
        <w:spacing w:line="600" w:lineRule="exact"/>
        <w:ind w:firstLineChars="200" w:firstLine="640"/>
        <w:outlineLvl w:val="2"/>
        <w:rPr>
          <w:rFonts w:ascii="仿宋_GB2312" w:hAnsi="宋体"/>
          <w:bCs/>
          <w:color w:val="000000"/>
          <w:sz w:val="32"/>
          <w:szCs w:val="32"/>
        </w:rPr>
      </w:pPr>
      <w:bookmarkStart w:id="39" w:name="_Toc35588420"/>
      <w:r>
        <w:rPr>
          <w:rFonts w:ascii="仿宋_GB2312" w:hAnsi="宋体" w:hint="eastAsia"/>
          <w:bCs/>
          <w:color w:val="000000"/>
          <w:sz w:val="32"/>
          <w:szCs w:val="32"/>
        </w:rPr>
        <w:t>3.产出时效</w:t>
      </w:r>
      <w:bookmarkEnd w:id="39"/>
    </w:p>
    <w:p w:rsidR="0000711D" w:rsidRDefault="00A938D4">
      <w:pPr>
        <w:adjustRightInd w:val="0"/>
        <w:snapToGrid w:val="0"/>
        <w:spacing w:line="600" w:lineRule="exact"/>
        <w:ind w:firstLineChars="200" w:firstLine="640"/>
        <w:rPr>
          <w:rFonts w:ascii="仿宋_GB2312"/>
          <w:color w:val="000000"/>
          <w:sz w:val="32"/>
          <w:szCs w:val="32"/>
        </w:rPr>
      </w:pPr>
      <w:r>
        <w:rPr>
          <w:rFonts w:ascii="仿宋_GB2312" w:hint="eastAsia"/>
          <w:color w:val="000000"/>
          <w:sz w:val="32"/>
          <w:szCs w:val="32"/>
        </w:rPr>
        <w:t>项目原计划建设周期为18个月，即2024年3月29日完成竣工验收。由于2023年9月《中华人民共和国行政复议法》进行了修订，系统功能需求发生调整，同时需适应司法部数据对接接口调整，承建单位于2024年3月15日申请将竣工验收时间延期6个月，变为2024年9月29日。工程延期申请通过监理单位及建设单位批准同意。系统实际通过竣工验收时间为2024年9月27日，竣工时间未超过预期计划。但根据主管部门要求，应在项目终验后向其报备验收结果、</w:t>
      </w:r>
      <w:r>
        <w:rPr>
          <w:rFonts w:ascii="仿宋_GB2312" w:hint="eastAsia"/>
          <w:sz w:val="32"/>
          <w:szCs w:val="32"/>
        </w:rPr>
        <w:t>提出正式投入使用申请，截至</w:t>
      </w:r>
      <w:proofErr w:type="gramStart"/>
      <w:r>
        <w:rPr>
          <w:rFonts w:ascii="仿宋_GB2312" w:hint="eastAsia"/>
          <w:sz w:val="32"/>
          <w:szCs w:val="32"/>
        </w:rPr>
        <w:t>评价日验收</w:t>
      </w:r>
      <w:proofErr w:type="gramEnd"/>
      <w:r>
        <w:rPr>
          <w:rFonts w:ascii="仿宋_GB2312" w:hint="eastAsia"/>
          <w:sz w:val="32"/>
          <w:szCs w:val="32"/>
        </w:rPr>
        <w:t>报备工作尚未完成，验收备案工作执行不够及时。</w:t>
      </w:r>
    </w:p>
    <w:p w:rsidR="0000711D" w:rsidRDefault="00A938D4">
      <w:pPr>
        <w:adjustRightInd w:val="0"/>
        <w:snapToGrid w:val="0"/>
        <w:spacing w:line="600" w:lineRule="exact"/>
        <w:ind w:firstLineChars="200" w:firstLine="640"/>
        <w:outlineLvl w:val="2"/>
        <w:rPr>
          <w:rFonts w:ascii="仿宋_GB2312"/>
          <w:sz w:val="32"/>
          <w:szCs w:val="32"/>
        </w:rPr>
      </w:pPr>
      <w:bookmarkStart w:id="40" w:name="_Toc35588421"/>
      <w:r>
        <w:rPr>
          <w:rFonts w:ascii="仿宋_GB2312" w:hint="eastAsia"/>
          <w:sz w:val="32"/>
          <w:szCs w:val="32"/>
        </w:rPr>
        <w:t>4.产出成本</w:t>
      </w:r>
      <w:bookmarkEnd w:id="40"/>
    </w:p>
    <w:p w:rsidR="0000711D" w:rsidRDefault="00A938D4">
      <w:pPr>
        <w:autoSpaceDE w:val="0"/>
        <w:autoSpaceDN w:val="0"/>
        <w:adjustRightInd w:val="0"/>
        <w:snapToGrid w:val="0"/>
        <w:spacing w:line="600" w:lineRule="exact"/>
        <w:ind w:firstLineChars="200" w:firstLine="640"/>
        <w:rPr>
          <w:rFonts w:ascii="仿宋_GB2312" w:hAnsi="宋体" w:cs="宋体"/>
          <w:color w:val="000000"/>
          <w:kern w:val="0"/>
          <w:sz w:val="32"/>
          <w:szCs w:val="32"/>
        </w:rPr>
      </w:pPr>
      <w:r>
        <w:rPr>
          <w:rFonts w:ascii="仿宋_GB2312" w:hAnsi="宋体" w:cs="宋体" w:hint="eastAsia"/>
          <w:color w:val="000000"/>
          <w:kern w:val="0"/>
          <w:sz w:val="32"/>
          <w:szCs w:val="32"/>
        </w:rPr>
        <w:t>项目预算经过预算评审，支出单价水平整体较为合理。实施过程中，通过公开招标、竞争性磋商等方式进行采购，一定程度上控制了项目实施成本。</w:t>
      </w:r>
    </w:p>
    <w:p w:rsidR="0000711D" w:rsidRDefault="00A938D4">
      <w:pPr>
        <w:adjustRightInd w:val="0"/>
        <w:snapToGrid w:val="0"/>
        <w:spacing w:line="600" w:lineRule="exact"/>
        <w:ind w:firstLineChars="200" w:firstLine="640"/>
        <w:outlineLvl w:val="1"/>
        <w:rPr>
          <w:rFonts w:ascii="楷体_GB2312" w:eastAsia="楷体_GB2312"/>
          <w:color w:val="000000"/>
          <w:sz w:val="32"/>
          <w:szCs w:val="32"/>
        </w:rPr>
      </w:pPr>
      <w:bookmarkStart w:id="41" w:name="_Toc35588422"/>
      <w:bookmarkStart w:id="42" w:name="_Toc198040032"/>
      <w:r>
        <w:rPr>
          <w:rFonts w:ascii="楷体_GB2312" w:eastAsia="楷体_GB2312" w:hint="eastAsia"/>
          <w:color w:val="000000"/>
          <w:sz w:val="32"/>
          <w:szCs w:val="32"/>
        </w:rPr>
        <w:t>（四）项目效益情况</w:t>
      </w:r>
      <w:bookmarkEnd w:id="41"/>
      <w:bookmarkEnd w:id="42"/>
    </w:p>
    <w:p w:rsidR="0000711D" w:rsidRDefault="00A938D4">
      <w:pPr>
        <w:adjustRightInd w:val="0"/>
        <w:snapToGrid w:val="0"/>
        <w:spacing w:line="600" w:lineRule="exact"/>
        <w:ind w:firstLineChars="200" w:firstLine="640"/>
        <w:outlineLvl w:val="2"/>
        <w:rPr>
          <w:rFonts w:ascii="仿宋_GB2312"/>
          <w:sz w:val="32"/>
          <w:szCs w:val="32"/>
        </w:rPr>
      </w:pPr>
      <w:bookmarkStart w:id="43" w:name="_Toc35588423"/>
      <w:r>
        <w:rPr>
          <w:rFonts w:ascii="仿宋_GB2312" w:hint="eastAsia"/>
          <w:sz w:val="32"/>
          <w:szCs w:val="32"/>
        </w:rPr>
        <w:t>1.实施效益</w:t>
      </w:r>
      <w:bookmarkEnd w:id="43"/>
    </w:p>
    <w:p w:rsidR="0000711D" w:rsidRDefault="00A938D4">
      <w:pPr>
        <w:autoSpaceDE w:val="0"/>
        <w:autoSpaceDN w:val="0"/>
        <w:adjustRightInd w:val="0"/>
        <w:snapToGrid w:val="0"/>
        <w:spacing w:line="600" w:lineRule="exact"/>
        <w:ind w:firstLineChars="200" w:firstLine="640"/>
        <w:rPr>
          <w:rFonts w:ascii="仿宋_GB2312" w:hAnsi="宋体" w:cs="宋体"/>
          <w:color w:val="000000"/>
          <w:kern w:val="0"/>
          <w:sz w:val="32"/>
          <w:szCs w:val="32"/>
        </w:rPr>
      </w:pPr>
      <w:proofErr w:type="gramStart"/>
      <w:r>
        <w:rPr>
          <w:rFonts w:ascii="仿宋_GB2312" w:hAnsi="宋体" w:cs="宋体" w:hint="eastAsia"/>
          <w:color w:val="000000"/>
          <w:kern w:val="0"/>
          <w:sz w:val="32"/>
          <w:szCs w:val="32"/>
        </w:rPr>
        <w:t>自系统</w:t>
      </w:r>
      <w:proofErr w:type="gramEnd"/>
      <w:r>
        <w:rPr>
          <w:rFonts w:ascii="仿宋_GB2312" w:hAnsi="宋体" w:cs="宋体" w:hint="eastAsia"/>
          <w:color w:val="000000"/>
          <w:kern w:val="0"/>
          <w:sz w:val="32"/>
          <w:szCs w:val="32"/>
        </w:rPr>
        <w:t>投入使用以来，截至2025年4月30日，共计新收行政复议案件13万余件，全部案件均在行政复议与应诉工作平台上登记办理，支撑现有业务占比达到100%。网络渠道和实体大厅当面申请行政复议案件7.2万余件，占比达到53%。行政复议与应诉工作平台建成并与实体大厅完成集成后，工作人员将电话咨询、当场来访的申请人引导到全国复议平台的线上申请，通过菜单式规范申请，有效解决了申请书不规范、证明材料欠缺等问题，节省了因申请不规范需补正的时间，使立案审查的平均用时减少7个工作日（含补正）；办案平均用时减少28个自然日（含延期）。平台的建设为群众提供线上及线下双在线的行政复议受理渠道，利用线上申请不受工作时间、地域限制的特点，降低了申请人行政复议申请成本。</w:t>
      </w:r>
    </w:p>
    <w:p w:rsidR="0000711D" w:rsidRDefault="00A938D4">
      <w:pPr>
        <w:spacing w:line="360" w:lineRule="auto"/>
        <w:ind w:firstLine="640"/>
        <w:rPr>
          <w:rFonts w:ascii="仿宋_GB2312" w:hAnsi="仿宋" w:cs="仿宋_GB2312"/>
          <w:sz w:val="32"/>
          <w:szCs w:val="32"/>
        </w:rPr>
      </w:pPr>
      <w:r>
        <w:rPr>
          <w:rFonts w:ascii="仿宋_GB2312" w:hAnsi="宋体" w:cs="宋体" w:hint="eastAsia"/>
          <w:color w:val="000000"/>
          <w:kern w:val="0"/>
          <w:sz w:val="32"/>
          <w:szCs w:val="32"/>
        </w:rPr>
        <w:t>项目的实施</w:t>
      </w:r>
      <w:r>
        <w:rPr>
          <w:rFonts w:ascii="仿宋_GB2312" w:hAnsi="仿宋" w:cs="仿宋_GB2312" w:hint="eastAsia"/>
          <w:sz w:val="32"/>
          <w:szCs w:val="32"/>
        </w:rPr>
        <w:t>规范了标准化办案流程，对立案、受理、审理各环节标准均予以明确，解决了办案流程标准不统一的问题，促进了行政复议办案的规范化水平的提升。平台的自动判重、智能归并、</w:t>
      </w:r>
      <w:proofErr w:type="gramStart"/>
      <w:r>
        <w:rPr>
          <w:rFonts w:ascii="仿宋_GB2312" w:hAnsi="仿宋" w:cs="仿宋_GB2312" w:hint="eastAsia"/>
          <w:sz w:val="32"/>
          <w:szCs w:val="32"/>
        </w:rPr>
        <w:t>类案推荐</w:t>
      </w:r>
      <w:proofErr w:type="gramEnd"/>
      <w:r>
        <w:rPr>
          <w:rFonts w:ascii="仿宋_GB2312" w:hAnsi="仿宋" w:cs="仿宋_GB2312" w:hint="eastAsia"/>
          <w:sz w:val="32"/>
          <w:szCs w:val="32"/>
        </w:rPr>
        <w:t>等功能，可根据案件各项要素信息，自动生成行政复议法律文书，减轻办案人员压力，缓解“案多人少”矛盾，进一步提升了办案质量和效率。</w:t>
      </w:r>
    </w:p>
    <w:p w:rsidR="0000711D" w:rsidRDefault="00A938D4">
      <w:pPr>
        <w:adjustRightInd w:val="0"/>
        <w:snapToGrid w:val="0"/>
        <w:spacing w:line="600" w:lineRule="exact"/>
        <w:ind w:firstLineChars="200" w:firstLine="640"/>
        <w:outlineLvl w:val="2"/>
        <w:rPr>
          <w:rFonts w:ascii="仿宋_GB2312"/>
          <w:sz w:val="32"/>
          <w:szCs w:val="32"/>
        </w:rPr>
      </w:pPr>
      <w:r>
        <w:rPr>
          <w:rFonts w:ascii="仿宋_GB2312" w:hint="eastAsia"/>
          <w:sz w:val="32"/>
          <w:szCs w:val="32"/>
        </w:rPr>
        <w:t>2.满意度</w:t>
      </w:r>
    </w:p>
    <w:p w:rsidR="0000711D" w:rsidRDefault="00A938D4">
      <w:pPr>
        <w:autoSpaceDE w:val="0"/>
        <w:autoSpaceDN w:val="0"/>
        <w:adjustRightInd w:val="0"/>
        <w:snapToGrid w:val="0"/>
        <w:spacing w:line="600" w:lineRule="exact"/>
        <w:ind w:firstLineChars="200" w:firstLine="640"/>
        <w:rPr>
          <w:rFonts w:ascii="仿宋_GB2312" w:hAnsi="宋体" w:cs="宋体"/>
          <w:color w:val="000000"/>
          <w:kern w:val="0"/>
          <w:sz w:val="32"/>
          <w:szCs w:val="32"/>
        </w:rPr>
      </w:pPr>
      <w:r>
        <w:rPr>
          <w:rFonts w:ascii="仿宋_GB2312" w:hAnsi="宋体" w:cs="宋体" w:hint="eastAsia"/>
          <w:color w:val="000000"/>
          <w:kern w:val="0"/>
          <w:sz w:val="32"/>
          <w:szCs w:val="32"/>
        </w:rPr>
        <w:t>针对市区局使用行政复议与应诉工作平台的工作人员开展了满意度调查，调查内容包括平台功能是否满足业务需求、页面设计是否美观大方、平台交互是否符合使用需要、系统运行是否稳定、运维服务支持是否及时准确等方面，调查结果用户满意度为97%，用户满意度情况较好。</w:t>
      </w:r>
    </w:p>
    <w:p w:rsidR="0000711D" w:rsidRDefault="00A938D4">
      <w:pPr>
        <w:adjustRightInd w:val="0"/>
        <w:snapToGrid w:val="0"/>
        <w:spacing w:line="600" w:lineRule="exact"/>
        <w:ind w:firstLineChars="200" w:firstLine="640"/>
        <w:outlineLvl w:val="0"/>
        <w:rPr>
          <w:rFonts w:ascii="黑体" w:eastAsia="黑体"/>
          <w:sz w:val="32"/>
          <w:szCs w:val="32"/>
        </w:rPr>
      </w:pPr>
      <w:bookmarkStart w:id="44" w:name="_Toc198040033"/>
      <w:bookmarkStart w:id="45" w:name="_Toc35588424"/>
      <w:r>
        <w:rPr>
          <w:rFonts w:ascii="黑体" w:eastAsia="黑体" w:hint="eastAsia"/>
          <w:sz w:val="32"/>
          <w:szCs w:val="32"/>
        </w:rPr>
        <w:t>五、主要经验及做法、存在的问题及原因分析</w:t>
      </w:r>
      <w:bookmarkEnd w:id="44"/>
      <w:bookmarkEnd w:id="45"/>
    </w:p>
    <w:p w:rsidR="0000711D" w:rsidRDefault="00A938D4">
      <w:pPr>
        <w:adjustRightInd w:val="0"/>
        <w:snapToGrid w:val="0"/>
        <w:spacing w:line="600" w:lineRule="exact"/>
        <w:ind w:firstLineChars="200" w:firstLine="640"/>
        <w:outlineLvl w:val="1"/>
        <w:rPr>
          <w:rFonts w:ascii="楷体_GB2312" w:eastAsia="楷体_GB2312"/>
          <w:color w:val="000000"/>
          <w:sz w:val="32"/>
          <w:szCs w:val="32"/>
        </w:rPr>
      </w:pPr>
      <w:bookmarkStart w:id="46" w:name="_Toc35588425"/>
      <w:bookmarkStart w:id="47" w:name="_Toc198040034"/>
      <w:r>
        <w:rPr>
          <w:rFonts w:ascii="楷体_GB2312" w:eastAsia="楷体_GB2312" w:hint="eastAsia"/>
          <w:color w:val="000000"/>
          <w:sz w:val="32"/>
          <w:szCs w:val="32"/>
        </w:rPr>
        <w:t>（一）主要经验及做法</w:t>
      </w:r>
      <w:bookmarkEnd w:id="46"/>
      <w:bookmarkEnd w:id="47"/>
    </w:p>
    <w:p w:rsidR="0000711D" w:rsidRDefault="00A938D4">
      <w:pPr>
        <w:autoSpaceDE w:val="0"/>
        <w:autoSpaceDN w:val="0"/>
        <w:adjustRightInd w:val="0"/>
        <w:snapToGrid w:val="0"/>
        <w:spacing w:line="600" w:lineRule="exact"/>
        <w:ind w:firstLineChars="200" w:firstLine="640"/>
        <w:rPr>
          <w:rFonts w:ascii="仿宋_GB2312" w:hAnsi="仿宋_GB2312" w:cs="仿宋_GB2312"/>
          <w:sz w:val="32"/>
          <w:szCs w:val="32"/>
        </w:rPr>
      </w:pPr>
      <w:r>
        <w:rPr>
          <w:rFonts w:ascii="仿宋_GB2312" w:hAnsi="仿宋_GB2312" w:cs="仿宋_GB2312" w:hint="eastAsia"/>
          <w:sz w:val="32"/>
          <w:szCs w:val="32"/>
        </w:rPr>
        <w:t>行政复议既是倒</w:t>
      </w:r>
      <w:proofErr w:type="gramStart"/>
      <w:r>
        <w:rPr>
          <w:rFonts w:ascii="仿宋_GB2312" w:hAnsi="仿宋_GB2312" w:cs="仿宋_GB2312" w:hint="eastAsia"/>
          <w:sz w:val="32"/>
          <w:szCs w:val="32"/>
        </w:rPr>
        <w:t>逼依法</w:t>
      </w:r>
      <w:proofErr w:type="gramEnd"/>
      <w:r>
        <w:rPr>
          <w:rFonts w:ascii="仿宋_GB2312" w:hAnsi="仿宋_GB2312" w:cs="仿宋_GB2312" w:hint="eastAsia"/>
          <w:sz w:val="32"/>
          <w:szCs w:val="32"/>
        </w:rPr>
        <w:t>行政的“助推器”，也是反映法治政府建设质量的“晴雨表”。通过对行政复议办案结果的大数据分析，可以发现行政执法的薄弱领域、地域、层级、环节和突出问题，找准“堵点”“痛点”和“难点”，推动行政执法水平的提升。利用行政复议与应诉工作平台，通过对行政复议申请人“关注点”“维度”“频次”等更广阔视角的大数据分析，形成从大数据到知识、从知识到决策的能力，进一步提升了行政管理领域复杂问题</w:t>
      </w:r>
      <w:proofErr w:type="gramStart"/>
      <w:r>
        <w:rPr>
          <w:rFonts w:ascii="仿宋_GB2312" w:hAnsi="仿宋_GB2312" w:cs="仿宋_GB2312" w:hint="eastAsia"/>
          <w:sz w:val="32"/>
          <w:szCs w:val="32"/>
        </w:rPr>
        <w:t>研</w:t>
      </w:r>
      <w:proofErr w:type="gramEnd"/>
      <w:r>
        <w:rPr>
          <w:rFonts w:ascii="仿宋_GB2312" w:hAnsi="仿宋_GB2312" w:cs="仿宋_GB2312" w:hint="eastAsia"/>
          <w:sz w:val="32"/>
          <w:szCs w:val="32"/>
        </w:rPr>
        <w:t>判、法律政策评估、风险预警、应急处置等工作水平，促进了行政复议制度功能得到充分有效延展。</w:t>
      </w:r>
    </w:p>
    <w:p w:rsidR="0000711D" w:rsidRDefault="00A938D4">
      <w:pPr>
        <w:adjustRightInd w:val="0"/>
        <w:snapToGrid w:val="0"/>
        <w:spacing w:line="600" w:lineRule="exact"/>
        <w:ind w:firstLineChars="200" w:firstLine="640"/>
        <w:outlineLvl w:val="1"/>
        <w:rPr>
          <w:rFonts w:ascii="楷体_GB2312" w:eastAsia="楷体_GB2312"/>
          <w:color w:val="000000"/>
          <w:sz w:val="32"/>
          <w:szCs w:val="32"/>
        </w:rPr>
      </w:pPr>
      <w:bookmarkStart w:id="48" w:name="_Toc35588426"/>
      <w:bookmarkStart w:id="49" w:name="_Toc198040035"/>
      <w:r>
        <w:rPr>
          <w:rFonts w:ascii="楷体_GB2312" w:eastAsia="楷体_GB2312" w:hint="eastAsia"/>
          <w:color w:val="000000"/>
          <w:sz w:val="32"/>
          <w:szCs w:val="32"/>
        </w:rPr>
        <w:t>（二）存在的主要问题及原因分析</w:t>
      </w:r>
      <w:bookmarkEnd w:id="48"/>
      <w:bookmarkEnd w:id="49"/>
    </w:p>
    <w:p w:rsidR="0000711D" w:rsidRDefault="00A938D4">
      <w:pPr>
        <w:adjustRightInd w:val="0"/>
        <w:snapToGrid w:val="0"/>
        <w:spacing w:line="560" w:lineRule="exact"/>
        <w:ind w:firstLineChars="200" w:firstLine="640"/>
        <w:outlineLvl w:val="2"/>
        <w:rPr>
          <w:rFonts w:ascii="仿宋_GB2312"/>
          <w:sz w:val="32"/>
          <w:szCs w:val="32"/>
        </w:rPr>
      </w:pPr>
      <w:r>
        <w:rPr>
          <w:rFonts w:ascii="仿宋_GB2312" w:hint="eastAsia"/>
          <w:sz w:val="32"/>
          <w:szCs w:val="32"/>
        </w:rPr>
        <w:t>1.年度绩效指标不够完善，指标设置全面性有待提升</w:t>
      </w:r>
    </w:p>
    <w:p w:rsidR="0000711D" w:rsidRDefault="00A938D4">
      <w:pPr>
        <w:adjustRightInd w:val="0"/>
        <w:snapToGrid w:val="0"/>
        <w:spacing w:line="560" w:lineRule="exact"/>
        <w:ind w:firstLineChars="200" w:firstLine="640"/>
        <w:rPr>
          <w:rFonts w:ascii="仿宋_GB2312"/>
          <w:sz w:val="32"/>
          <w:szCs w:val="32"/>
        </w:rPr>
      </w:pPr>
      <w:r>
        <w:rPr>
          <w:rFonts w:ascii="仿宋_GB2312" w:hint="eastAsia"/>
          <w:sz w:val="32"/>
          <w:szCs w:val="32"/>
        </w:rPr>
        <w:t>2022年度项目绩效指标仅设置了成本指标及社会效益指标，未设置反映采购设备数量、设备验收合格率、设备采购及时性等产出数量、质量、时效指标，指标设置不够完整、全面。</w:t>
      </w:r>
    </w:p>
    <w:p w:rsidR="0000711D" w:rsidRDefault="00A938D4">
      <w:pPr>
        <w:adjustRightInd w:val="0"/>
        <w:snapToGrid w:val="0"/>
        <w:spacing w:line="560" w:lineRule="exact"/>
        <w:ind w:firstLineChars="200" w:firstLine="640"/>
        <w:outlineLvl w:val="2"/>
        <w:rPr>
          <w:rFonts w:ascii="仿宋_GB2312"/>
          <w:sz w:val="32"/>
          <w:szCs w:val="32"/>
        </w:rPr>
      </w:pPr>
      <w:r>
        <w:rPr>
          <w:rFonts w:ascii="仿宋_GB2312" w:hint="eastAsia"/>
          <w:sz w:val="32"/>
          <w:szCs w:val="32"/>
        </w:rPr>
        <w:t>2.验收备案及时性不足，绩效资料归集不够完整</w:t>
      </w:r>
    </w:p>
    <w:p w:rsidR="0000711D" w:rsidRDefault="00A938D4">
      <w:pPr>
        <w:adjustRightInd w:val="0"/>
        <w:snapToGrid w:val="0"/>
        <w:spacing w:line="600" w:lineRule="exact"/>
        <w:ind w:firstLineChars="200" w:firstLine="640"/>
        <w:rPr>
          <w:rFonts w:ascii="仿宋_GB2312"/>
          <w:sz w:val="32"/>
          <w:szCs w:val="32"/>
        </w:rPr>
      </w:pPr>
      <w:r>
        <w:rPr>
          <w:rFonts w:ascii="仿宋_GB2312" w:hint="eastAsia"/>
          <w:sz w:val="32"/>
          <w:szCs w:val="32"/>
        </w:rPr>
        <w:t>一是验收备案工作执行不够及时。主管部门要求项目完成时自行组织项目初验、试运行、</w:t>
      </w:r>
      <w:proofErr w:type="gramStart"/>
      <w:r>
        <w:rPr>
          <w:rFonts w:ascii="仿宋_GB2312" w:hint="eastAsia"/>
          <w:sz w:val="32"/>
          <w:szCs w:val="32"/>
        </w:rPr>
        <w:t>终验并报备</w:t>
      </w:r>
      <w:proofErr w:type="gramEnd"/>
      <w:r>
        <w:rPr>
          <w:rFonts w:ascii="仿宋_GB2312" w:hint="eastAsia"/>
          <w:sz w:val="32"/>
          <w:szCs w:val="32"/>
        </w:rPr>
        <w:t>验收结果、提出正式投入使用申请。项目于2024年9月27日通过竣工验收，但截至评价日，业务部门尚未完成验收报备工作。</w:t>
      </w:r>
    </w:p>
    <w:p w:rsidR="0000711D" w:rsidRDefault="00A938D4">
      <w:pPr>
        <w:adjustRightInd w:val="0"/>
        <w:snapToGrid w:val="0"/>
        <w:spacing w:line="600" w:lineRule="exact"/>
        <w:ind w:firstLineChars="200" w:firstLine="640"/>
        <w:rPr>
          <w:rFonts w:ascii="仿宋_GB2312"/>
          <w:sz w:val="32"/>
          <w:szCs w:val="32"/>
        </w:rPr>
      </w:pPr>
      <w:r>
        <w:rPr>
          <w:rFonts w:ascii="仿宋_GB2312" w:hint="eastAsia"/>
          <w:sz w:val="32"/>
          <w:szCs w:val="32"/>
        </w:rPr>
        <w:t>二是性能目标达成情况有待明确。项目质量指标中明确了系统可用率、系统响应时间、统计分析时间等质量要求，系统建设工作的招标文件中亦明确了相关性能目标，但实际指标达成情况尚不明确，缺少相应佐证材料。</w:t>
      </w:r>
    </w:p>
    <w:p w:rsidR="0000711D" w:rsidRDefault="00A938D4">
      <w:pPr>
        <w:adjustRightInd w:val="0"/>
        <w:snapToGrid w:val="0"/>
        <w:spacing w:line="600" w:lineRule="exact"/>
        <w:ind w:firstLineChars="200" w:firstLine="640"/>
        <w:rPr>
          <w:rFonts w:ascii="仿宋_GB2312"/>
          <w:iCs/>
          <w:sz w:val="32"/>
          <w:szCs w:val="32"/>
        </w:rPr>
      </w:pPr>
      <w:r>
        <w:rPr>
          <w:rFonts w:ascii="仿宋_GB2312" w:hint="eastAsia"/>
          <w:sz w:val="32"/>
          <w:szCs w:val="32"/>
        </w:rPr>
        <w:t>三是系统建设文档仍有优化空间。复议法修订后系统需求发生了变更，但系统承建方提交的项目建设文档中，需求规格说明书、详细设计说明书未同步调整更新，且上述说明书与系统功能检查记录未能一一对应，不利于核实系统功能实现情况。项目详细设计中仅体现了界面，未体现整个IPO逻辑，有待进一步优化完善。</w:t>
      </w:r>
    </w:p>
    <w:p w:rsidR="0000711D" w:rsidRDefault="00A938D4">
      <w:pPr>
        <w:adjustRightInd w:val="0"/>
        <w:snapToGrid w:val="0"/>
        <w:spacing w:line="600" w:lineRule="exact"/>
        <w:ind w:firstLineChars="200" w:firstLine="640"/>
        <w:outlineLvl w:val="0"/>
        <w:rPr>
          <w:rFonts w:ascii="黑体" w:eastAsia="黑体"/>
          <w:sz w:val="32"/>
          <w:szCs w:val="32"/>
        </w:rPr>
      </w:pPr>
      <w:bookmarkStart w:id="50" w:name="_Toc198040036"/>
      <w:bookmarkStart w:id="51" w:name="_Toc35588427"/>
      <w:r>
        <w:rPr>
          <w:rFonts w:ascii="黑体" w:eastAsia="黑体" w:hint="eastAsia"/>
          <w:sz w:val="32"/>
          <w:szCs w:val="32"/>
        </w:rPr>
        <w:t>六、有关建议</w:t>
      </w:r>
      <w:bookmarkEnd w:id="50"/>
      <w:bookmarkEnd w:id="51"/>
    </w:p>
    <w:p w:rsidR="0000711D" w:rsidRDefault="00A938D4">
      <w:pPr>
        <w:adjustRightInd w:val="0"/>
        <w:snapToGrid w:val="0"/>
        <w:spacing w:line="600" w:lineRule="exact"/>
        <w:ind w:firstLineChars="200" w:firstLine="640"/>
        <w:outlineLvl w:val="1"/>
        <w:rPr>
          <w:rFonts w:ascii="仿宋_GB2312"/>
          <w:iCs/>
          <w:sz w:val="32"/>
          <w:szCs w:val="32"/>
        </w:rPr>
      </w:pPr>
      <w:bookmarkStart w:id="52" w:name="_Toc198040037"/>
      <w:r>
        <w:rPr>
          <w:rFonts w:ascii="楷体_GB2312" w:eastAsia="楷体_GB2312" w:hint="eastAsia"/>
          <w:color w:val="000000"/>
          <w:sz w:val="32"/>
          <w:szCs w:val="32"/>
        </w:rPr>
        <w:t>（一）规范绩效指标设置，提高绩效指标约束作用</w:t>
      </w:r>
      <w:bookmarkEnd w:id="52"/>
    </w:p>
    <w:p w:rsidR="0000711D" w:rsidRDefault="00A938D4">
      <w:pPr>
        <w:adjustRightInd w:val="0"/>
        <w:snapToGrid w:val="0"/>
        <w:spacing w:line="600" w:lineRule="exact"/>
        <w:ind w:firstLineChars="200" w:firstLine="640"/>
        <w:rPr>
          <w:rFonts w:ascii="仿宋_GB2312"/>
          <w:iCs/>
          <w:sz w:val="32"/>
          <w:szCs w:val="32"/>
        </w:rPr>
      </w:pPr>
      <w:r>
        <w:rPr>
          <w:rFonts w:ascii="仿宋_GB2312" w:hint="eastAsia"/>
          <w:iCs/>
          <w:sz w:val="32"/>
          <w:szCs w:val="32"/>
        </w:rPr>
        <w:t>对照年度绩效目标及分年度工作任务，设置与其相匹配的绩效指标，提高绩效指标设置全面性，明确项目产出数量要求、产出质量标准、关键环节实施进度安排，切实发挥绩效指标对项目组织实施的指导和约束作用。</w:t>
      </w:r>
    </w:p>
    <w:p w:rsidR="0000711D" w:rsidRDefault="00A938D4">
      <w:pPr>
        <w:adjustRightInd w:val="0"/>
        <w:snapToGrid w:val="0"/>
        <w:spacing w:line="600" w:lineRule="exact"/>
        <w:ind w:firstLineChars="200" w:firstLine="640"/>
        <w:outlineLvl w:val="1"/>
        <w:rPr>
          <w:rFonts w:ascii="楷体_GB2312" w:eastAsia="楷体_GB2312"/>
          <w:color w:val="000000"/>
          <w:sz w:val="32"/>
          <w:szCs w:val="32"/>
        </w:rPr>
      </w:pPr>
      <w:bookmarkStart w:id="53" w:name="_Toc101462454"/>
      <w:bookmarkStart w:id="54" w:name="_Toc198040039"/>
      <w:r>
        <w:rPr>
          <w:rFonts w:ascii="楷体_GB2312" w:eastAsia="楷体_GB2312" w:hint="eastAsia"/>
          <w:color w:val="000000"/>
          <w:sz w:val="32"/>
          <w:szCs w:val="32"/>
        </w:rPr>
        <w:t>（二）</w:t>
      </w:r>
      <w:bookmarkEnd w:id="53"/>
      <w:r>
        <w:rPr>
          <w:rFonts w:ascii="楷体_GB2312" w:eastAsia="楷体_GB2312" w:hint="eastAsia"/>
          <w:color w:val="000000"/>
          <w:sz w:val="32"/>
          <w:szCs w:val="32"/>
        </w:rPr>
        <w:t>加快系统验收备案，强化产出质量审核</w:t>
      </w:r>
      <w:bookmarkEnd w:id="54"/>
    </w:p>
    <w:p w:rsidR="0000711D" w:rsidRDefault="00A938D4">
      <w:pPr>
        <w:adjustRightInd w:val="0"/>
        <w:snapToGrid w:val="0"/>
        <w:spacing w:line="600" w:lineRule="exact"/>
        <w:ind w:firstLineChars="200" w:firstLine="640"/>
        <w:rPr>
          <w:rFonts w:ascii="仿宋_GB2312" w:hAnsi="仿宋" w:cs="仿宋_GB2312"/>
          <w:sz w:val="32"/>
          <w:szCs w:val="32"/>
        </w:rPr>
      </w:pPr>
      <w:r>
        <w:rPr>
          <w:rFonts w:ascii="仿宋_GB2312" w:hAnsi="仿宋" w:cs="仿宋_GB2312" w:hint="eastAsia"/>
          <w:sz w:val="32"/>
          <w:szCs w:val="32"/>
        </w:rPr>
        <w:t>一是加快验收备案工作执行效率，探索实行“验收即备案”机制，落实主管部门关于信息化系统应在竣工验收后及时完成验收备案的具体要求。二是强化项目绩效数据的收集与分析，尽快开展系统性能指标达成情况测试，收集有关系统响应时间、统计分析时间等性能指标实现情况，为后续系统优化与升级改进提供有效的数据支撑。三是加强对系统承建方提交文档成果的质量审核，充分发挥验收环节对业务工作质量的保障作用，提高需求说明书、设计说明书对后续系统升级改造阶段的指导作用。</w:t>
      </w:r>
    </w:p>
    <w:p w:rsidR="0000711D" w:rsidRDefault="0000711D" w:rsidP="00A938D4">
      <w:pPr>
        <w:adjustRightInd w:val="0"/>
        <w:snapToGrid w:val="0"/>
        <w:spacing w:line="600" w:lineRule="exact"/>
        <w:ind w:firstLineChars="200" w:firstLine="643"/>
        <w:rPr>
          <w:rFonts w:ascii="仿宋_GB2312" w:hAnsi="仿宋" w:cs="仿宋_GB2312"/>
          <w:b/>
          <w:bCs/>
          <w:sz w:val="32"/>
          <w:szCs w:val="32"/>
        </w:rPr>
      </w:pPr>
    </w:p>
    <w:p w:rsidR="00A938D4" w:rsidRDefault="00A938D4">
      <w:pPr>
        <w:widowControl/>
        <w:jc w:val="left"/>
        <w:rPr>
          <w:rFonts w:ascii="仿宋_GB2312"/>
          <w:color w:val="000000"/>
          <w:sz w:val="32"/>
          <w:szCs w:val="32"/>
        </w:rPr>
      </w:pPr>
      <w:r>
        <w:rPr>
          <w:rFonts w:ascii="仿宋_GB2312"/>
          <w:color w:val="000000"/>
          <w:sz w:val="32"/>
          <w:szCs w:val="32"/>
        </w:rPr>
        <w:br w:type="page"/>
      </w:r>
    </w:p>
    <w:p w:rsidR="00A938D4" w:rsidRDefault="00A938D4">
      <w:pPr>
        <w:adjustRightInd w:val="0"/>
        <w:snapToGrid w:val="0"/>
        <w:spacing w:line="600" w:lineRule="exact"/>
        <w:ind w:leftChars="300" w:left="900" w:firstLineChars="200" w:firstLine="640"/>
        <w:rPr>
          <w:rFonts w:ascii="仿宋_GB2312"/>
          <w:color w:val="000000"/>
          <w:sz w:val="32"/>
          <w:szCs w:val="32"/>
        </w:rPr>
        <w:sectPr w:rsidR="00A938D4" w:rsidSect="00A938D4">
          <w:headerReference w:type="default" r:id="rId10"/>
          <w:footerReference w:type="default" r:id="rId11"/>
          <w:pgSz w:w="11906" w:h="16838"/>
          <w:pgMar w:top="2098" w:right="1531" w:bottom="1985" w:left="1531" w:header="851" w:footer="992" w:gutter="0"/>
          <w:pgNumType w:start="1"/>
          <w:cols w:space="425"/>
          <w:docGrid w:linePitch="312"/>
        </w:sectPr>
      </w:pPr>
    </w:p>
    <w:tbl>
      <w:tblPr>
        <w:tblW w:w="9620" w:type="dxa"/>
        <w:jc w:val="center"/>
        <w:tblLook w:val="04A0" w:firstRow="1" w:lastRow="0" w:firstColumn="1" w:lastColumn="0" w:noHBand="0" w:noVBand="1"/>
      </w:tblPr>
      <w:tblGrid>
        <w:gridCol w:w="772"/>
        <w:gridCol w:w="527"/>
        <w:gridCol w:w="642"/>
        <w:gridCol w:w="527"/>
        <w:gridCol w:w="685"/>
        <w:gridCol w:w="512"/>
        <w:gridCol w:w="3714"/>
        <w:gridCol w:w="764"/>
        <w:gridCol w:w="1477"/>
      </w:tblGrid>
      <w:tr w:rsidR="00A938D4" w:rsidRPr="00A938D4" w:rsidTr="001F77EC">
        <w:trPr>
          <w:trHeight w:val="683"/>
          <w:jc w:val="center"/>
        </w:trPr>
        <w:tc>
          <w:tcPr>
            <w:tcW w:w="9620" w:type="dxa"/>
            <w:gridSpan w:val="9"/>
            <w:tcBorders>
              <w:top w:val="nil"/>
              <w:left w:val="nil"/>
              <w:bottom w:val="nil"/>
              <w:right w:val="nil"/>
            </w:tcBorders>
            <w:shd w:val="clear" w:color="auto" w:fill="auto"/>
            <w:noWrap/>
            <w:vAlign w:val="center"/>
            <w:hideMark/>
          </w:tcPr>
          <w:p w:rsidR="00A938D4" w:rsidRPr="00A938D4" w:rsidRDefault="00A938D4" w:rsidP="004B7171">
            <w:pPr>
              <w:widowControl/>
              <w:jc w:val="center"/>
              <w:rPr>
                <w:rFonts w:ascii="华文中宋" w:eastAsia="华文中宋" w:hAnsi="华文中宋" w:cs="宋体"/>
                <w:kern w:val="0"/>
                <w:sz w:val="32"/>
                <w:szCs w:val="32"/>
              </w:rPr>
            </w:pPr>
            <w:bookmarkStart w:id="55" w:name="RANGE!A1:I20"/>
            <w:r w:rsidRPr="00A938D4">
              <w:rPr>
                <w:rFonts w:ascii="华文中宋" w:eastAsia="华文中宋" w:hAnsi="华文中宋" w:cs="宋体" w:hint="eastAsia"/>
                <w:kern w:val="0"/>
                <w:sz w:val="32"/>
                <w:szCs w:val="32"/>
              </w:rPr>
              <w:t>2022-2024</w:t>
            </w:r>
            <w:r w:rsidR="004B7171">
              <w:rPr>
                <w:rFonts w:ascii="华文中宋" w:eastAsia="华文中宋" w:hAnsi="华文中宋" w:cs="宋体" w:hint="eastAsia"/>
                <w:kern w:val="0"/>
                <w:sz w:val="32"/>
                <w:szCs w:val="32"/>
              </w:rPr>
              <w:t>年北京市行政复议与应诉工作平台建设</w:t>
            </w:r>
            <w:r w:rsidRPr="00A938D4">
              <w:rPr>
                <w:rFonts w:ascii="华文中宋" w:eastAsia="华文中宋" w:hAnsi="华文中宋" w:cs="宋体" w:hint="eastAsia"/>
                <w:kern w:val="0"/>
                <w:sz w:val="32"/>
                <w:szCs w:val="32"/>
              </w:rPr>
              <w:t>评分表</w:t>
            </w:r>
            <w:bookmarkEnd w:id="55"/>
          </w:p>
        </w:tc>
      </w:tr>
      <w:tr w:rsidR="00A938D4" w:rsidRPr="00A938D4" w:rsidTr="001F77EC">
        <w:trPr>
          <w:trHeight w:val="758"/>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b/>
                <w:bCs/>
                <w:kern w:val="0"/>
                <w:sz w:val="22"/>
                <w:szCs w:val="22"/>
              </w:rPr>
            </w:pPr>
            <w:r w:rsidRPr="00A938D4">
              <w:rPr>
                <w:rFonts w:ascii="宋体" w:eastAsia="宋体" w:hAnsi="宋体" w:cs="宋体" w:hint="eastAsia"/>
                <w:b/>
                <w:bCs/>
                <w:kern w:val="0"/>
                <w:sz w:val="22"/>
                <w:szCs w:val="22"/>
              </w:rPr>
              <w:t>一级指标</w:t>
            </w:r>
          </w:p>
        </w:tc>
        <w:tc>
          <w:tcPr>
            <w:tcW w:w="527" w:type="dxa"/>
            <w:tcBorders>
              <w:top w:val="single" w:sz="4" w:space="0" w:color="auto"/>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b/>
                <w:bCs/>
                <w:kern w:val="0"/>
                <w:sz w:val="22"/>
                <w:szCs w:val="22"/>
              </w:rPr>
            </w:pPr>
            <w:r w:rsidRPr="00A938D4">
              <w:rPr>
                <w:rFonts w:ascii="宋体" w:eastAsia="宋体" w:hAnsi="宋体" w:cs="宋体" w:hint="eastAsia"/>
                <w:b/>
                <w:bCs/>
                <w:kern w:val="0"/>
                <w:sz w:val="22"/>
                <w:szCs w:val="22"/>
              </w:rPr>
              <w:t>分值</w:t>
            </w:r>
          </w:p>
        </w:tc>
        <w:tc>
          <w:tcPr>
            <w:tcW w:w="642" w:type="dxa"/>
            <w:tcBorders>
              <w:top w:val="single" w:sz="4" w:space="0" w:color="auto"/>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b/>
                <w:bCs/>
                <w:kern w:val="0"/>
                <w:sz w:val="22"/>
                <w:szCs w:val="22"/>
              </w:rPr>
            </w:pPr>
            <w:r w:rsidRPr="00A938D4">
              <w:rPr>
                <w:rFonts w:ascii="宋体" w:eastAsia="宋体" w:hAnsi="宋体" w:cs="宋体" w:hint="eastAsia"/>
                <w:b/>
                <w:bCs/>
                <w:kern w:val="0"/>
                <w:sz w:val="22"/>
                <w:szCs w:val="22"/>
              </w:rPr>
              <w:t>二级指标</w:t>
            </w:r>
          </w:p>
        </w:tc>
        <w:tc>
          <w:tcPr>
            <w:tcW w:w="527" w:type="dxa"/>
            <w:tcBorders>
              <w:top w:val="single" w:sz="4" w:space="0" w:color="auto"/>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b/>
                <w:bCs/>
                <w:kern w:val="0"/>
                <w:sz w:val="22"/>
                <w:szCs w:val="22"/>
              </w:rPr>
            </w:pPr>
            <w:r w:rsidRPr="00A938D4">
              <w:rPr>
                <w:rFonts w:ascii="宋体" w:eastAsia="宋体" w:hAnsi="宋体" w:cs="宋体" w:hint="eastAsia"/>
                <w:b/>
                <w:bCs/>
                <w:kern w:val="0"/>
                <w:sz w:val="22"/>
                <w:szCs w:val="22"/>
              </w:rPr>
              <w:t>分值</w:t>
            </w:r>
          </w:p>
        </w:tc>
        <w:tc>
          <w:tcPr>
            <w:tcW w:w="685" w:type="dxa"/>
            <w:tcBorders>
              <w:top w:val="single" w:sz="4" w:space="0" w:color="auto"/>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b/>
                <w:bCs/>
                <w:kern w:val="0"/>
                <w:sz w:val="22"/>
                <w:szCs w:val="22"/>
              </w:rPr>
            </w:pPr>
            <w:r w:rsidRPr="00A938D4">
              <w:rPr>
                <w:rFonts w:ascii="宋体" w:eastAsia="宋体" w:hAnsi="宋体" w:cs="宋体" w:hint="eastAsia"/>
                <w:b/>
                <w:bCs/>
                <w:kern w:val="0"/>
                <w:sz w:val="22"/>
                <w:szCs w:val="22"/>
              </w:rPr>
              <w:t>三级指标</w:t>
            </w:r>
          </w:p>
        </w:tc>
        <w:tc>
          <w:tcPr>
            <w:tcW w:w="512" w:type="dxa"/>
            <w:tcBorders>
              <w:top w:val="single" w:sz="4" w:space="0" w:color="auto"/>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b/>
                <w:bCs/>
                <w:kern w:val="0"/>
                <w:sz w:val="20"/>
                <w:szCs w:val="20"/>
              </w:rPr>
            </w:pPr>
            <w:r w:rsidRPr="00A938D4">
              <w:rPr>
                <w:rFonts w:ascii="宋体" w:eastAsia="宋体" w:hAnsi="宋体" w:cs="宋体" w:hint="eastAsia"/>
                <w:b/>
                <w:bCs/>
                <w:kern w:val="0"/>
                <w:sz w:val="20"/>
                <w:szCs w:val="20"/>
              </w:rPr>
              <w:t>分值</w:t>
            </w:r>
          </w:p>
        </w:tc>
        <w:tc>
          <w:tcPr>
            <w:tcW w:w="3714" w:type="dxa"/>
            <w:tcBorders>
              <w:top w:val="single" w:sz="4" w:space="0" w:color="auto"/>
              <w:left w:val="nil"/>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b/>
                <w:bCs/>
                <w:kern w:val="0"/>
                <w:sz w:val="22"/>
                <w:szCs w:val="22"/>
              </w:rPr>
            </w:pPr>
            <w:r w:rsidRPr="00A938D4">
              <w:rPr>
                <w:rFonts w:ascii="宋体" w:eastAsia="宋体" w:hAnsi="宋体" w:cs="宋体" w:hint="eastAsia"/>
                <w:b/>
                <w:bCs/>
                <w:kern w:val="0"/>
                <w:sz w:val="22"/>
                <w:szCs w:val="22"/>
              </w:rPr>
              <w:t>评价要点</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b/>
                <w:bCs/>
                <w:kern w:val="0"/>
                <w:sz w:val="22"/>
                <w:szCs w:val="22"/>
              </w:rPr>
            </w:pPr>
            <w:r w:rsidRPr="00A938D4">
              <w:rPr>
                <w:rFonts w:ascii="宋体" w:eastAsia="宋体" w:hAnsi="宋体" w:cs="宋体" w:hint="eastAsia"/>
                <w:b/>
                <w:bCs/>
                <w:kern w:val="0"/>
                <w:sz w:val="22"/>
                <w:szCs w:val="22"/>
              </w:rPr>
              <w:t>得分</w:t>
            </w:r>
          </w:p>
        </w:tc>
        <w:tc>
          <w:tcPr>
            <w:tcW w:w="1477" w:type="dxa"/>
            <w:tcBorders>
              <w:top w:val="single" w:sz="4" w:space="0" w:color="auto"/>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b/>
                <w:bCs/>
                <w:kern w:val="0"/>
                <w:sz w:val="22"/>
                <w:szCs w:val="22"/>
              </w:rPr>
            </w:pPr>
            <w:r w:rsidRPr="00A938D4">
              <w:rPr>
                <w:rFonts w:ascii="宋体" w:eastAsia="宋体" w:hAnsi="宋体" w:cs="宋体" w:hint="eastAsia"/>
                <w:b/>
                <w:bCs/>
                <w:kern w:val="0"/>
                <w:sz w:val="22"/>
                <w:szCs w:val="22"/>
              </w:rPr>
              <w:t>扣分理由</w:t>
            </w:r>
          </w:p>
        </w:tc>
      </w:tr>
      <w:tr w:rsidR="00A938D4" w:rsidRPr="00A938D4" w:rsidTr="001F77EC">
        <w:trPr>
          <w:trHeight w:val="2858"/>
          <w:jc w:val="center"/>
        </w:trPr>
        <w:tc>
          <w:tcPr>
            <w:tcW w:w="772" w:type="dxa"/>
            <w:vMerge w:val="restart"/>
            <w:tcBorders>
              <w:top w:val="nil"/>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决策</w:t>
            </w:r>
          </w:p>
        </w:tc>
        <w:tc>
          <w:tcPr>
            <w:tcW w:w="527" w:type="dxa"/>
            <w:vMerge w:val="restart"/>
            <w:tcBorders>
              <w:top w:val="nil"/>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10</w:t>
            </w:r>
          </w:p>
        </w:tc>
        <w:tc>
          <w:tcPr>
            <w:tcW w:w="642" w:type="dxa"/>
            <w:vMerge w:val="restart"/>
            <w:tcBorders>
              <w:top w:val="nil"/>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项目立项</w:t>
            </w:r>
          </w:p>
        </w:tc>
        <w:tc>
          <w:tcPr>
            <w:tcW w:w="527" w:type="dxa"/>
            <w:vMerge w:val="restart"/>
            <w:tcBorders>
              <w:top w:val="nil"/>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3</w:t>
            </w:r>
          </w:p>
        </w:tc>
        <w:tc>
          <w:tcPr>
            <w:tcW w:w="685"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立项依据充分性</w:t>
            </w:r>
          </w:p>
        </w:tc>
        <w:tc>
          <w:tcPr>
            <w:tcW w:w="512"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r w:rsidRPr="00A938D4">
              <w:rPr>
                <w:rFonts w:ascii="宋体" w:eastAsia="宋体" w:hAnsi="宋体" w:cs="宋体" w:hint="eastAsia"/>
                <w:kern w:val="0"/>
                <w:sz w:val="20"/>
                <w:szCs w:val="20"/>
              </w:rPr>
              <w:t>①项目立项是否符合国家及北京市法律法规、国民经济发展规划和相关政策；</w:t>
            </w:r>
            <w:r w:rsidRPr="00A938D4">
              <w:rPr>
                <w:rFonts w:ascii="宋体" w:eastAsia="宋体" w:hAnsi="宋体" w:cs="宋体" w:hint="eastAsia"/>
                <w:kern w:val="0"/>
                <w:sz w:val="20"/>
                <w:szCs w:val="20"/>
              </w:rPr>
              <w:br/>
              <w:t>②项目立项是否符合行业发展规划和政策要求；</w:t>
            </w:r>
            <w:r w:rsidRPr="00A938D4">
              <w:rPr>
                <w:rFonts w:ascii="宋体" w:eastAsia="宋体" w:hAnsi="宋体" w:cs="宋体" w:hint="eastAsia"/>
                <w:kern w:val="0"/>
                <w:sz w:val="20"/>
                <w:szCs w:val="20"/>
              </w:rPr>
              <w:br/>
              <w:t>③项目立项是否与部门职责范围相符，属于部门履职所需；</w:t>
            </w:r>
            <w:r w:rsidRPr="00A938D4">
              <w:rPr>
                <w:rFonts w:ascii="宋体" w:eastAsia="宋体" w:hAnsi="宋体" w:cs="宋体" w:hint="eastAsia"/>
                <w:kern w:val="0"/>
                <w:sz w:val="20"/>
                <w:szCs w:val="20"/>
              </w:rPr>
              <w:br/>
              <w:t>④项目是否属于公共财政支持范围，是否符合中央、地方事权支出责任划分原则；</w:t>
            </w:r>
            <w:r w:rsidRPr="00A938D4">
              <w:rPr>
                <w:rFonts w:ascii="宋体" w:eastAsia="宋体" w:hAnsi="宋体" w:cs="宋体" w:hint="eastAsia"/>
                <w:kern w:val="0"/>
                <w:sz w:val="20"/>
                <w:szCs w:val="20"/>
              </w:rPr>
              <w:br/>
              <w:t>⑤项目是否与相关部门同类项目或部门内部相关项目重复。</w:t>
            </w:r>
          </w:p>
        </w:tc>
        <w:tc>
          <w:tcPr>
            <w:tcW w:w="764" w:type="dxa"/>
            <w:tcBorders>
              <w:top w:val="nil"/>
              <w:left w:val="nil"/>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2</w:t>
            </w:r>
          </w:p>
        </w:tc>
        <w:tc>
          <w:tcPr>
            <w:tcW w:w="1477"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p>
        </w:tc>
      </w:tr>
      <w:tr w:rsidR="00A938D4" w:rsidRPr="00A938D4" w:rsidTr="00813D68">
        <w:trPr>
          <w:trHeight w:val="1530"/>
          <w:jc w:val="center"/>
        </w:trPr>
        <w:tc>
          <w:tcPr>
            <w:tcW w:w="772"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527"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642"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527"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685"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立项程序规范性</w:t>
            </w:r>
          </w:p>
        </w:tc>
        <w:tc>
          <w:tcPr>
            <w:tcW w:w="512"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r w:rsidRPr="00A938D4">
              <w:rPr>
                <w:rFonts w:ascii="宋体" w:eastAsia="宋体" w:hAnsi="宋体" w:cs="宋体" w:hint="eastAsia"/>
                <w:kern w:val="0"/>
                <w:sz w:val="20"/>
                <w:szCs w:val="20"/>
              </w:rPr>
              <w:t>①项目是否按照规定的程序申请设立；</w:t>
            </w:r>
            <w:r w:rsidRPr="00A938D4">
              <w:rPr>
                <w:rFonts w:ascii="宋体" w:eastAsia="宋体" w:hAnsi="宋体" w:cs="宋体" w:hint="eastAsia"/>
                <w:kern w:val="0"/>
                <w:sz w:val="20"/>
                <w:szCs w:val="20"/>
              </w:rPr>
              <w:br/>
              <w:t>②审批文件、材料是否符合相关要求；</w:t>
            </w:r>
            <w:r w:rsidRPr="00A938D4">
              <w:rPr>
                <w:rFonts w:ascii="宋体" w:eastAsia="宋体" w:hAnsi="宋体" w:cs="宋体" w:hint="eastAsia"/>
                <w:kern w:val="0"/>
                <w:sz w:val="20"/>
                <w:szCs w:val="20"/>
              </w:rPr>
              <w:br/>
              <w:t>③事前是否已经过必要的可行性研究、专家论证、风险评估、绩效评估、集体决策。</w:t>
            </w:r>
          </w:p>
        </w:tc>
        <w:tc>
          <w:tcPr>
            <w:tcW w:w="764" w:type="dxa"/>
            <w:tcBorders>
              <w:top w:val="nil"/>
              <w:left w:val="nil"/>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1</w:t>
            </w:r>
          </w:p>
        </w:tc>
        <w:tc>
          <w:tcPr>
            <w:tcW w:w="1477"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p>
        </w:tc>
      </w:tr>
      <w:tr w:rsidR="00A938D4" w:rsidRPr="00A938D4" w:rsidTr="00813D68">
        <w:trPr>
          <w:trHeight w:val="2077"/>
          <w:jc w:val="center"/>
        </w:trPr>
        <w:tc>
          <w:tcPr>
            <w:tcW w:w="772"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527"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642" w:type="dxa"/>
            <w:vMerge w:val="restart"/>
            <w:tcBorders>
              <w:top w:val="nil"/>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绩效目标</w:t>
            </w:r>
          </w:p>
        </w:tc>
        <w:tc>
          <w:tcPr>
            <w:tcW w:w="527" w:type="dxa"/>
            <w:vMerge w:val="restart"/>
            <w:tcBorders>
              <w:top w:val="nil"/>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4</w:t>
            </w:r>
          </w:p>
        </w:tc>
        <w:tc>
          <w:tcPr>
            <w:tcW w:w="685"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绩效目标合理性</w:t>
            </w:r>
          </w:p>
        </w:tc>
        <w:tc>
          <w:tcPr>
            <w:tcW w:w="512"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r w:rsidRPr="00A938D4">
              <w:rPr>
                <w:rFonts w:ascii="宋体" w:eastAsia="宋体" w:hAnsi="宋体" w:cs="宋体" w:hint="eastAsia"/>
                <w:kern w:val="0"/>
                <w:sz w:val="20"/>
                <w:szCs w:val="20"/>
              </w:rPr>
              <w:t>①项目是否有绩效目标；</w:t>
            </w:r>
            <w:r w:rsidRPr="00A938D4">
              <w:rPr>
                <w:rFonts w:ascii="宋体" w:eastAsia="宋体" w:hAnsi="宋体" w:cs="宋体" w:hint="eastAsia"/>
                <w:kern w:val="0"/>
                <w:sz w:val="20"/>
                <w:szCs w:val="20"/>
              </w:rPr>
              <w:br/>
              <w:t>②项目绩效目标与实际工作内容是否具有相关性；</w:t>
            </w:r>
            <w:r w:rsidRPr="00A938D4">
              <w:rPr>
                <w:rFonts w:ascii="宋体" w:eastAsia="宋体" w:hAnsi="宋体" w:cs="宋体" w:hint="eastAsia"/>
                <w:kern w:val="0"/>
                <w:sz w:val="20"/>
                <w:szCs w:val="20"/>
              </w:rPr>
              <w:br/>
              <w:t>③项目预期产出效益和效果是否符合正常的业绩水平；</w:t>
            </w:r>
            <w:r w:rsidRPr="00A938D4">
              <w:rPr>
                <w:rFonts w:ascii="宋体" w:eastAsia="宋体" w:hAnsi="宋体" w:cs="宋体" w:hint="eastAsia"/>
                <w:kern w:val="0"/>
                <w:sz w:val="20"/>
                <w:szCs w:val="20"/>
              </w:rPr>
              <w:br/>
              <w:t>④是否与预算确定的项目投资额或资金量相匹配。</w:t>
            </w:r>
          </w:p>
        </w:tc>
        <w:tc>
          <w:tcPr>
            <w:tcW w:w="764" w:type="dxa"/>
            <w:tcBorders>
              <w:top w:val="nil"/>
              <w:left w:val="nil"/>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2</w:t>
            </w:r>
          </w:p>
        </w:tc>
        <w:tc>
          <w:tcPr>
            <w:tcW w:w="1477"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p>
        </w:tc>
      </w:tr>
      <w:tr w:rsidR="00A938D4" w:rsidRPr="00A938D4" w:rsidTr="00813D68">
        <w:trPr>
          <w:trHeight w:val="1683"/>
          <w:jc w:val="center"/>
        </w:trPr>
        <w:tc>
          <w:tcPr>
            <w:tcW w:w="772"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527"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642"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527"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685"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绩效指标明确性</w:t>
            </w:r>
          </w:p>
        </w:tc>
        <w:tc>
          <w:tcPr>
            <w:tcW w:w="512"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r w:rsidRPr="00A938D4">
              <w:rPr>
                <w:rFonts w:ascii="宋体" w:eastAsia="宋体" w:hAnsi="宋体" w:cs="宋体" w:hint="eastAsia"/>
                <w:kern w:val="0"/>
                <w:sz w:val="20"/>
                <w:szCs w:val="20"/>
              </w:rPr>
              <w:t>①是否将项目绩效目标细化分解为具体的绩效指标；</w:t>
            </w:r>
            <w:r w:rsidRPr="00A938D4">
              <w:rPr>
                <w:rFonts w:ascii="宋体" w:eastAsia="宋体" w:hAnsi="宋体" w:cs="宋体" w:hint="eastAsia"/>
                <w:kern w:val="0"/>
                <w:sz w:val="20"/>
                <w:szCs w:val="20"/>
              </w:rPr>
              <w:br/>
              <w:t>②是否通过清晰、可衡量的指标</w:t>
            </w:r>
            <w:proofErr w:type="gramStart"/>
            <w:r w:rsidRPr="00A938D4">
              <w:rPr>
                <w:rFonts w:ascii="宋体" w:eastAsia="宋体" w:hAnsi="宋体" w:cs="宋体" w:hint="eastAsia"/>
                <w:kern w:val="0"/>
                <w:sz w:val="20"/>
                <w:szCs w:val="20"/>
              </w:rPr>
              <w:t>值予以</w:t>
            </w:r>
            <w:proofErr w:type="gramEnd"/>
            <w:r w:rsidRPr="00A938D4">
              <w:rPr>
                <w:rFonts w:ascii="宋体" w:eastAsia="宋体" w:hAnsi="宋体" w:cs="宋体" w:hint="eastAsia"/>
                <w:kern w:val="0"/>
                <w:sz w:val="20"/>
                <w:szCs w:val="20"/>
              </w:rPr>
              <w:t>体现；</w:t>
            </w:r>
            <w:r w:rsidRPr="00A938D4">
              <w:rPr>
                <w:rFonts w:ascii="宋体" w:eastAsia="宋体" w:hAnsi="宋体" w:cs="宋体" w:hint="eastAsia"/>
                <w:kern w:val="0"/>
                <w:sz w:val="20"/>
                <w:szCs w:val="20"/>
              </w:rPr>
              <w:br/>
              <w:t>③是否与项目目标任务数或计划数相对应。</w:t>
            </w:r>
          </w:p>
        </w:tc>
        <w:tc>
          <w:tcPr>
            <w:tcW w:w="764" w:type="dxa"/>
            <w:tcBorders>
              <w:top w:val="nil"/>
              <w:left w:val="nil"/>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1</w:t>
            </w:r>
          </w:p>
        </w:tc>
        <w:tc>
          <w:tcPr>
            <w:tcW w:w="1477"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r w:rsidRPr="00A938D4">
              <w:rPr>
                <w:rFonts w:ascii="宋体" w:eastAsia="宋体" w:hAnsi="宋体" w:cs="宋体" w:hint="eastAsia"/>
                <w:kern w:val="0"/>
                <w:sz w:val="20"/>
                <w:szCs w:val="20"/>
              </w:rPr>
              <w:t>2022年度项目绩效指标仅设置不够全面、完整。</w:t>
            </w:r>
          </w:p>
        </w:tc>
      </w:tr>
      <w:tr w:rsidR="00A938D4" w:rsidRPr="00A938D4" w:rsidTr="001F77EC">
        <w:trPr>
          <w:trHeight w:val="1286"/>
          <w:jc w:val="center"/>
        </w:trPr>
        <w:tc>
          <w:tcPr>
            <w:tcW w:w="772" w:type="dxa"/>
            <w:vMerge w:val="restart"/>
            <w:tcBorders>
              <w:top w:val="nil"/>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续上页</w:t>
            </w:r>
          </w:p>
        </w:tc>
        <w:tc>
          <w:tcPr>
            <w:tcW w:w="527" w:type="dxa"/>
            <w:vMerge w:val="restart"/>
            <w:tcBorders>
              <w:top w:val="nil"/>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续上页</w:t>
            </w:r>
          </w:p>
        </w:tc>
        <w:tc>
          <w:tcPr>
            <w:tcW w:w="642" w:type="dxa"/>
            <w:vMerge w:val="restart"/>
            <w:tcBorders>
              <w:top w:val="nil"/>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资金</w:t>
            </w:r>
            <w:r w:rsidRPr="00A938D4">
              <w:rPr>
                <w:rFonts w:ascii="宋体" w:eastAsia="宋体" w:hAnsi="宋体" w:cs="宋体" w:hint="eastAsia"/>
                <w:kern w:val="0"/>
                <w:sz w:val="20"/>
                <w:szCs w:val="20"/>
              </w:rPr>
              <w:br/>
              <w:t>投入</w:t>
            </w:r>
          </w:p>
        </w:tc>
        <w:tc>
          <w:tcPr>
            <w:tcW w:w="527" w:type="dxa"/>
            <w:vMerge w:val="restart"/>
            <w:tcBorders>
              <w:top w:val="nil"/>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3</w:t>
            </w:r>
          </w:p>
        </w:tc>
        <w:tc>
          <w:tcPr>
            <w:tcW w:w="685"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预算编制科学性</w:t>
            </w:r>
          </w:p>
        </w:tc>
        <w:tc>
          <w:tcPr>
            <w:tcW w:w="512"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r w:rsidRPr="00A938D4">
              <w:rPr>
                <w:rFonts w:ascii="宋体" w:eastAsia="宋体" w:hAnsi="宋体" w:cs="宋体" w:hint="eastAsia"/>
                <w:kern w:val="0"/>
                <w:sz w:val="20"/>
                <w:szCs w:val="20"/>
              </w:rPr>
              <w:t>①预算编制是否经过科学论证；</w:t>
            </w:r>
            <w:r w:rsidRPr="00A938D4">
              <w:rPr>
                <w:rFonts w:ascii="宋体" w:eastAsia="宋体" w:hAnsi="宋体" w:cs="宋体" w:hint="eastAsia"/>
                <w:kern w:val="0"/>
                <w:sz w:val="20"/>
                <w:szCs w:val="20"/>
              </w:rPr>
              <w:br/>
              <w:t>②预算内容与项目内容是否匹配；</w:t>
            </w:r>
            <w:r w:rsidRPr="00A938D4">
              <w:rPr>
                <w:rFonts w:ascii="宋体" w:eastAsia="宋体" w:hAnsi="宋体" w:cs="宋体" w:hint="eastAsia"/>
                <w:kern w:val="0"/>
                <w:sz w:val="20"/>
                <w:szCs w:val="20"/>
              </w:rPr>
              <w:br/>
              <w:t>③预算测算依据是否充分，是否按照标准编制。</w:t>
            </w:r>
          </w:p>
        </w:tc>
        <w:tc>
          <w:tcPr>
            <w:tcW w:w="764" w:type="dxa"/>
            <w:tcBorders>
              <w:top w:val="nil"/>
              <w:left w:val="nil"/>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2</w:t>
            </w:r>
          </w:p>
        </w:tc>
        <w:tc>
          <w:tcPr>
            <w:tcW w:w="1477"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p>
        </w:tc>
      </w:tr>
      <w:tr w:rsidR="00A938D4" w:rsidRPr="00A938D4" w:rsidTr="00813D68">
        <w:trPr>
          <w:trHeight w:val="1015"/>
          <w:jc w:val="center"/>
        </w:trPr>
        <w:tc>
          <w:tcPr>
            <w:tcW w:w="772"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527"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642"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527"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685"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资金分配合理性</w:t>
            </w:r>
          </w:p>
        </w:tc>
        <w:tc>
          <w:tcPr>
            <w:tcW w:w="512"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r w:rsidRPr="00A938D4">
              <w:rPr>
                <w:rFonts w:ascii="宋体" w:eastAsia="宋体" w:hAnsi="宋体" w:cs="宋体" w:hint="eastAsia"/>
                <w:kern w:val="0"/>
                <w:sz w:val="20"/>
                <w:szCs w:val="20"/>
              </w:rPr>
              <w:t>①预算资金分配依据是否充分；</w:t>
            </w:r>
            <w:r w:rsidRPr="00A938D4">
              <w:rPr>
                <w:rFonts w:ascii="宋体" w:eastAsia="宋体" w:hAnsi="宋体" w:cs="宋体" w:hint="eastAsia"/>
                <w:kern w:val="0"/>
                <w:sz w:val="20"/>
                <w:szCs w:val="20"/>
              </w:rPr>
              <w:br/>
              <w:t>②各项任务的资金分配额度是否合理，与其任务量、重要性等是否相适应。</w:t>
            </w:r>
          </w:p>
        </w:tc>
        <w:tc>
          <w:tcPr>
            <w:tcW w:w="764" w:type="dxa"/>
            <w:tcBorders>
              <w:top w:val="nil"/>
              <w:left w:val="nil"/>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1</w:t>
            </w:r>
          </w:p>
        </w:tc>
        <w:tc>
          <w:tcPr>
            <w:tcW w:w="1477"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p>
        </w:tc>
      </w:tr>
      <w:tr w:rsidR="00A938D4" w:rsidRPr="00A938D4" w:rsidTr="001F77EC">
        <w:trPr>
          <w:trHeight w:val="1692"/>
          <w:jc w:val="center"/>
        </w:trPr>
        <w:tc>
          <w:tcPr>
            <w:tcW w:w="772" w:type="dxa"/>
            <w:vMerge w:val="restart"/>
            <w:tcBorders>
              <w:top w:val="nil"/>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过程</w:t>
            </w:r>
          </w:p>
        </w:tc>
        <w:tc>
          <w:tcPr>
            <w:tcW w:w="527" w:type="dxa"/>
            <w:vMerge w:val="restart"/>
            <w:tcBorders>
              <w:top w:val="nil"/>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20</w:t>
            </w:r>
          </w:p>
        </w:tc>
        <w:tc>
          <w:tcPr>
            <w:tcW w:w="642" w:type="dxa"/>
            <w:vMerge w:val="restart"/>
            <w:tcBorders>
              <w:top w:val="nil"/>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资金管理</w:t>
            </w:r>
          </w:p>
        </w:tc>
        <w:tc>
          <w:tcPr>
            <w:tcW w:w="527" w:type="dxa"/>
            <w:vMerge w:val="restart"/>
            <w:tcBorders>
              <w:top w:val="nil"/>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10</w:t>
            </w:r>
          </w:p>
        </w:tc>
        <w:tc>
          <w:tcPr>
            <w:tcW w:w="685"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资金到位率</w:t>
            </w:r>
          </w:p>
        </w:tc>
        <w:tc>
          <w:tcPr>
            <w:tcW w:w="512"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r w:rsidRPr="00A938D4">
              <w:rPr>
                <w:rFonts w:ascii="宋体" w:eastAsia="宋体" w:hAnsi="宋体" w:cs="宋体" w:hint="eastAsia"/>
                <w:kern w:val="0"/>
                <w:sz w:val="20"/>
                <w:szCs w:val="20"/>
              </w:rPr>
              <w:t>资金到位率=（实际到位资金/预算资金）×100%。</w:t>
            </w:r>
            <w:r w:rsidRPr="00A938D4">
              <w:rPr>
                <w:rFonts w:ascii="宋体" w:eastAsia="宋体" w:hAnsi="宋体" w:cs="宋体" w:hint="eastAsia"/>
                <w:kern w:val="0"/>
                <w:sz w:val="20"/>
                <w:szCs w:val="20"/>
              </w:rPr>
              <w:br/>
              <w:t>实际到位资金：一定时期（本年度或项目期）内落实到具体项目的资金。</w:t>
            </w:r>
            <w:r w:rsidRPr="00A938D4">
              <w:rPr>
                <w:rFonts w:ascii="宋体" w:eastAsia="宋体" w:hAnsi="宋体" w:cs="宋体" w:hint="eastAsia"/>
                <w:kern w:val="0"/>
                <w:sz w:val="20"/>
                <w:szCs w:val="20"/>
              </w:rPr>
              <w:br/>
              <w:t>预算资金：一定时期（本年度或项目期）</w:t>
            </w:r>
            <w:proofErr w:type="gramStart"/>
            <w:r w:rsidRPr="00A938D4">
              <w:rPr>
                <w:rFonts w:ascii="宋体" w:eastAsia="宋体" w:hAnsi="宋体" w:cs="宋体" w:hint="eastAsia"/>
                <w:kern w:val="0"/>
                <w:sz w:val="20"/>
                <w:szCs w:val="20"/>
              </w:rPr>
              <w:t>内预算</w:t>
            </w:r>
            <w:proofErr w:type="gramEnd"/>
            <w:r w:rsidRPr="00A938D4">
              <w:rPr>
                <w:rFonts w:ascii="宋体" w:eastAsia="宋体" w:hAnsi="宋体" w:cs="宋体" w:hint="eastAsia"/>
                <w:kern w:val="0"/>
                <w:sz w:val="20"/>
                <w:szCs w:val="20"/>
              </w:rPr>
              <w:t>安排到具体项目的资金。</w:t>
            </w:r>
          </w:p>
        </w:tc>
        <w:tc>
          <w:tcPr>
            <w:tcW w:w="764" w:type="dxa"/>
            <w:tcBorders>
              <w:top w:val="nil"/>
              <w:left w:val="nil"/>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2</w:t>
            </w:r>
          </w:p>
        </w:tc>
        <w:tc>
          <w:tcPr>
            <w:tcW w:w="1477"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p>
        </w:tc>
      </w:tr>
      <w:tr w:rsidR="00A938D4" w:rsidRPr="00A938D4" w:rsidTr="001F77EC">
        <w:trPr>
          <w:trHeight w:val="1276"/>
          <w:jc w:val="center"/>
        </w:trPr>
        <w:tc>
          <w:tcPr>
            <w:tcW w:w="772"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527"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642"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527"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685"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预算执行率</w:t>
            </w:r>
          </w:p>
        </w:tc>
        <w:tc>
          <w:tcPr>
            <w:tcW w:w="512"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r w:rsidRPr="00A938D4">
              <w:rPr>
                <w:rFonts w:ascii="宋体" w:eastAsia="宋体" w:hAnsi="宋体" w:cs="宋体" w:hint="eastAsia"/>
                <w:kern w:val="0"/>
                <w:sz w:val="20"/>
                <w:szCs w:val="20"/>
              </w:rPr>
              <w:t>预算执行率=（实际支出资金/实际到位资金）×100%。</w:t>
            </w:r>
            <w:r w:rsidRPr="00A938D4">
              <w:rPr>
                <w:rFonts w:ascii="宋体" w:eastAsia="宋体" w:hAnsi="宋体" w:cs="宋体" w:hint="eastAsia"/>
                <w:kern w:val="0"/>
                <w:sz w:val="20"/>
                <w:szCs w:val="20"/>
              </w:rPr>
              <w:br/>
              <w:t>实际支出资金：一定时期（本年度或项目期）内项目实际拨付的资金。</w:t>
            </w:r>
          </w:p>
        </w:tc>
        <w:tc>
          <w:tcPr>
            <w:tcW w:w="764" w:type="dxa"/>
            <w:tcBorders>
              <w:top w:val="nil"/>
              <w:left w:val="nil"/>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3.96</w:t>
            </w:r>
          </w:p>
        </w:tc>
        <w:tc>
          <w:tcPr>
            <w:tcW w:w="1477"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r w:rsidRPr="00A938D4">
              <w:rPr>
                <w:rFonts w:ascii="宋体" w:eastAsia="宋体" w:hAnsi="宋体" w:cs="宋体" w:hint="eastAsia"/>
                <w:kern w:val="0"/>
                <w:sz w:val="20"/>
                <w:szCs w:val="20"/>
              </w:rPr>
              <w:t>预算执行率98.99%。</w:t>
            </w:r>
          </w:p>
        </w:tc>
      </w:tr>
      <w:tr w:rsidR="00A938D4" w:rsidRPr="00A938D4" w:rsidTr="001F77EC">
        <w:trPr>
          <w:trHeight w:val="2723"/>
          <w:jc w:val="center"/>
        </w:trPr>
        <w:tc>
          <w:tcPr>
            <w:tcW w:w="772"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527"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642"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527"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685"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资金使用合</w:t>
            </w:r>
            <w:proofErr w:type="gramStart"/>
            <w:r w:rsidRPr="00A938D4">
              <w:rPr>
                <w:rFonts w:ascii="宋体" w:eastAsia="宋体" w:hAnsi="宋体" w:cs="宋体" w:hint="eastAsia"/>
                <w:kern w:val="0"/>
                <w:sz w:val="20"/>
                <w:szCs w:val="20"/>
              </w:rPr>
              <w:t>规</w:t>
            </w:r>
            <w:proofErr w:type="gramEnd"/>
            <w:r w:rsidRPr="00A938D4">
              <w:rPr>
                <w:rFonts w:ascii="宋体" w:eastAsia="宋体" w:hAnsi="宋体" w:cs="宋体" w:hint="eastAsia"/>
                <w:kern w:val="0"/>
                <w:sz w:val="20"/>
                <w:szCs w:val="20"/>
              </w:rPr>
              <w:t>性</w:t>
            </w:r>
          </w:p>
        </w:tc>
        <w:tc>
          <w:tcPr>
            <w:tcW w:w="512"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r w:rsidRPr="00A938D4">
              <w:rPr>
                <w:rFonts w:ascii="宋体" w:eastAsia="宋体" w:hAnsi="宋体" w:cs="宋体" w:hint="eastAsia"/>
                <w:kern w:val="0"/>
                <w:sz w:val="20"/>
                <w:szCs w:val="20"/>
              </w:rPr>
              <w:t>①资金的拨付是否有完整的审批程序和手续；</w:t>
            </w:r>
            <w:r w:rsidRPr="00A938D4">
              <w:rPr>
                <w:rFonts w:ascii="宋体" w:eastAsia="宋体" w:hAnsi="宋体" w:cs="宋体" w:hint="eastAsia"/>
                <w:kern w:val="0"/>
                <w:sz w:val="20"/>
                <w:szCs w:val="20"/>
              </w:rPr>
              <w:br/>
              <w:t>②资金支出是否符合项目预算批复或合同规定的用途；</w:t>
            </w:r>
            <w:r w:rsidRPr="00A938D4">
              <w:rPr>
                <w:rFonts w:ascii="宋体" w:eastAsia="宋体" w:hAnsi="宋体" w:cs="宋体" w:hint="eastAsia"/>
                <w:kern w:val="0"/>
                <w:sz w:val="20"/>
                <w:szCs w:val="20"/>
              </w:rPr>
              <w:br/>
              <w:t>③项目是否存在截留、挤占、挪用、虚列支出等情况；</w:t>
            </w:r>
            <w:r w:rsidRPr="00A938D4">
              <w:rPr>
                <w:rFonts w:ascii="宋体" w:eastAsia="宋体" w:hAnsi="宋体" w:cs="宋体" w:hint="eastAsia"/>
                <w:kern w:val="0"/>
                <w:sz w:val="20"/>
                <w:szCs w:val="20"/>
              </w:rPr>
              <w:br/>
              <w:t>④项目资金是否独立核算；</w:t>
            </w:r>
            <w:r w:rsidRPr="00A938D4">
              <w:rPr>
                <w:rFonts w:ascii="宋体" w:eastAsia="宋体" w:hAnsi="宋体" w:cs="宋体" w:hint="eastAsia"/>
                <w:kern w:val="0"/>
                <w:sz w:val="20"/>
                <w:szCs w:val="20"/>
              </w:rPr>
              <w:br/>
              <w:t>⑤是否存在违反国家财经法规、财务管理制度以及有关专项资金管理办法规定的其他情况。</w:t>
            </w:r>
          </w:p>
        </w:tc>
        <w:tc>
          <w:tcPr>
            <w:tcW w:w="764" w:type="dxa"/>
            <w:tcBorders>
              <w:top w:val="nil"/>
              <w:left w:val="nil"/>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4</w:t>
            </w:r>
          </w:p>
        </w:tc>
        <w:tc>
          <w:tcPr>
            <w:tcW w:w="1477"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p>
        </w:tc>
      </w:tr>
      <w:tr w:rsidR="00A938D4" w:rsidRPr="00A938D4" w:rsidTr="001F77EC">
        <w:trPr>
          <w:trHeight w:val="1234"/>
          <w:jc w:val="center"/>
        </w:trPr>
        <w:tc>
          <w:tcPr>
            <w:tcW w:w="772" w:type="dxa"/>
            <w:vMerge w:val="restart"/>
            <w:tcBorders>
              <w:top w:val="nil"/>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续上页</w:t>
            </w:r>
          </w:p>
        </w:tc>
        <w:tc>
          <w:tcPr>
            <w:tcW w:w="527" w:type="dxa"/>
            <w:vMerge w:val="restart"/>
            <w:tcBorders>
              <w:top w:val="nil"/>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续上页</w:t>
            </w:r>
          </w:p>
        </w:tc>
        <w:tc>
          <w:tcPr>
            <w:tcW w:w="642" w:type="dxa"/>
            <w:vMerge w:val="restart"/>
            <w:tcBorders>
              <w:top w:val="nil"/>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组织实施</w:t>
            </w:r>
          </w:p>
        </w:tc>
        <w:tc>
          <w:tcPr>
            <w:tcW w:w="527" w:type="dxa"/>
            <w:vMerge w:val="restart"/>
            <w:tcBorders>
              <w:top w:val="nil"/>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10</w:t>
            </w:r>
          </w:p>
        </w:tc>
        <w:tc>
          <w:tcPr>
            <w:tcW w:w="685"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管理制度健全性</w:t>
            </w:r>
          </w:p>
        </w:tc>
        <w:tc>
          <w:tcPr>
            <w:tcW w:w="512"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5</w:t>
            </w:r>
          </w:p>
        </w:tc>
        <w:tc>
          <w:tcPr>
            <w:tcW w:w="3714"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r w:rsidRPr="00A938D4">
              <w:rPr>
                <w:rFonts w:ascii="宋体" w:eastAsia="宋体" w:hAnsi="宋体" w:cs="宋体" w:hint="eastAsia"/>
                <w:kern w:val="0"/>
                <w:sz w:val="20"/>
                <w:szCs w:val="20"/>
              </w:rPr>
              <w:t>①是否已制定或具有相应的财务和业务管理制度；</w:t>
            </w:r>
            <w:r w:rsidRPr="00A938D4">
              <w:rPr>
                <w:rFonts w:ascii="宋体" w:eastAsia="宋体" w:hAnsi="宋体" w:cs="宋体" w:hint="eastAsia"/>
                <w:kern w:val="0"/>
                <w:sz w:val="20"/>
                <w:szCs w:val="20"/>
              </w:rPr>
              <w:br/>
              <w:t>②财务和业务管理制度是否合法、合</w:t>
            </w:r>
            <w:proofErr w:type="gramStart"/>
            <w:r w:rsidRPr="00A938D4">
              <w:rPr>
                <w:rFonts w:ascii="宋体" w:eastAsia="宋体" w:hAnsi="宋体" w:cs="宋体" w:hint="eastAsia"/>
                <w:kern w:val="0"/>
                <w:sz w:val="20"/>
                <w:szCs w:val="20"/>
              </w:rPr>
              <w:t>规</w:t>
            </w:r>
            <w:proofErr w:type="gramEnd"/>
            <w:r w:rsidRPr="00A938D4">
              <w:rPr>
                <w:rFonts w:ascii="宋体" w:eastAsia="宋体" w:hAnsi="宋体" w:cs="宋体" w:hint="eastAsia"/>
                <w:kern w:val="0"/>
                <w:sz w:val="20"/>
                <w:szCs w:val="20"/>
              </w:rPr>
              <w:t>、完整。</w:t>
            </w:r>
          </w:p>
        </w:tc>
        <w:tc>
          <w:tcPr>
            <w:tcW w:w="764" w:type="dxa"/>
            <w:tcBorders>
              <w:top w:val="nil"/>
              <w:left w:val="nil"/>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4.2</w:t>
            </w:r>
          </w:p>
        </w:tc>
        <w:tc>
          <w:tcPr>
            <w:tcW w:w="1477"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p>
        </w:tc>
      </w:tr>
      <w:tr w:rsidR="00A938D4" w:rsidRPr="00A938D4" w:rsidTr="001F77EC">
        <w:trPr>
          <w:trHeight w:val="2498"/>
          <w:jc w:val="center"/>
        </w:trPr>
        <w:tc>
          <w:tcPr>
            <w:tcW w:w="772"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527"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642"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527"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685"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制度执行有效性</w:t>
            </w:r>
          </w:p>
        </w:tc>
        <w:tc>
          <w:tcPr>
            <w:tcW w:w="512"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5</w:t>
            </w:r>
          </w:p>
        </w:tc>
        <w:tc>
          <w:tcPr>
            <w:tcW w:w="3714"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r w:rsidRPr="00A938D4">
              <w:rPr>
                <w:rFonts w:ascii="宋体" w:eastAsia="宋体" w:hAnsi="宋体" w:cs="宋体" w:hint="eastAsia"/>
                <w:kern w:val="0"/>
                <w:sz w:val="20"/>
                <w:szCs w:val="20"/>
              </w:rPr>
              <w:t>①项目采购、合同签订、</w:t>
            </w:r>
            <w:proofErr w:type="gramStart"/>
            <w:r w:rsidRPr="00A938D4">
              <w:rPr>
                <w:rFonts w:ascii="宋体" w:eastAsia="宋体" w:hAnsi="宋体" w:cs="宋体" w:hint="eastAsia"/>
                <w:kern w:val="0"/>
                <w:sz w:val="20"/>
                <w:szCs w:val="20"/>
              </w:rPr>
              <w:t>结项验收</w:t>
            </w:r>
            <w:proofErr w:type="gramEnd"/>
            <w:r w:rsidRPr="00A938D4">
              <w:rPr>
                <w:rFonts w:ascii="宋体" w:eastAsia="宋体" w:hAnsi="宋体" w:cs="宋体" w:hint="eastAsia"/>
                <w:kern w:val="0"/>
                <w:sz w:val="20"/>
                <w:szCs w:val="20"/>
              </w:rPr>
              <w:t>等组织实施是否符合相关法律法规和相关管理规定；</w:t>
            </w:r>
            <w:r w:rsidRPr="00A938D4">
              <w:rPr>
                <w:rFonts w:ascii="宋体" w:eastAsia="宋体" w:hAnsi="宋体" w:cs="宋体" w:hint="eastAsia"/>
                <w:kern w:val="0"/>
                <w:sz w:val="20"/>
                <w:szCs w:val="20"/>
              </w:rPr>
              <w:br/>
              <w:t>②项目调整或支出调整手续是否完备；</w:t>
            </w:r>
            <w:r w:rsidRPr="00A938D4">
              <w:rPr>
                <w:rFonts w:ascii="宋体" w:eastAsia="宋体" w:hAnsi="宋体" w:cs="宋体" w:hint="eastAsia"/>
                <w:kern w:val="0"/>
                <w:sz w:val="20"/>
                <w:szCs w:val="20"/>
              </w:rPr>
              <w:br/>
              <w:t>③项目采购、合同书、验收报告、技术鉴定等资料是否齐全并及时归档；</w:t>
            </w:r>
            <w:r w:rsidRPr="00A938D4">
              <w:rPr>
                <w:rFonts w:ascii="宋体" w:eastAsia="宋体" w:hAnsi="宋体" w:cs="宋体" w:hint="eastAsia"/>
                <w:kern w:val="0"/>
                <w:sz w:val="20"/>
                <w:szCs w:val="20"/>
              </w:rPr>
              <w:br/>
              <w:t>④项目实施的人员条件、场地设备、信息支撑等是否落实到位；</w:t>
            </w:r>
            <w:r w:rsidRPr="00A938D4">
              <w:rPr>
                <w:rFonts w:ascii="宋体" w:eastAsia="宋体" w:hAnsi="宋体" w:cs="宋体" w:hint="eastAsia"/>
                <w:kern w:val="0"/>
                <w:sz w:val="20"/>
                <w:szCs w:val="20"/>
              </w:rPr>
              <w:br/>
              <w:t>⑤项目过程管控措施是否落实到位。</w:t>
            </w:r>
          </w:p>
        </w:tc>
        <w:tc>
          <w:tcPr>
            <w:tcW w:w="764" w:type="dxa"/>
            <w:tcBorders>
              <w:top w:val="nil"/>
              <w:left w:val="nil"/>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4</w:t>
            </w:r>
          </w:p>
        </w:tc>
        <w:tc>
          <w:tcPr>
            <w:tcW w:w="1477"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r w:rsidRPr="00A938D4">
              <w:rPr>
                <w:rFonts w:ascii="宋体" w:eastAsia="宋体" w:hAnsi="宋体" w:cs="宋体" w:hint="eastAsia"/>
                <w:kern w:val="0"/>
                <w:sz w:val="20"/>
                <w:szCs w:val="20"/>
              </w:rPr>
              <w:t xml:space="preserve">　</w:t>
            </w:r>
          </w:p>
        </w:tc>
      </w:tr>
      <w:tr w:rsidR="00A938D4" w:rsidRPr="00A938D4" w:rsidTr="001F77EC">
        <w:trPr>
          <w:trHeight w:val="2683"/>
          <w:jc w:val="center"/>
        </w:trPr>
        <w:tc>
          <w:tcPr>
            <w:tcW w:w="77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产出</w:t>
            </w:r>
          </w:p>
        </w:tc>
        <w:tc>
          <w:tcPr>
            <w:tcW w:w="52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40</w:t>
            </w:r>
          </w:p>
        </w:tc>
        <w:tc>
          <w:tcPr>
            <w:tcW w:w="642"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产出数量</w:t>
            </w:r>
          </w:p>
        </w:tc>
        <w:tc>
          <w:tcPr>
            <w:tcW w:w="527" w:type="dxa"/>
            <w:tcBorders>
              <w:top w:val="nil"/>
              <w:left w:val="nil"/>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10</w:t>
            </w:r>
          </w:p>
        </w:tc>
        <w:tc>
          <w:tcPr>
            <w:tcW w:w="685"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实际完成率</w:t>
            </w:r>
          </w:p>
        </w:tc>
        <w:tc>
          <w:tcPr>
            <w:tcW w:w="512"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10</w:t>
            </w:r>
          </w:p>
        </w:tc>
        <w:tc>
          <w:tcPr>
            <w:tcW w:w="3714"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r w:rsidRPr="00A938D4">
              <w:rPr>
                <w:rFonts w:ascii="宋体" w:eastAsia="宋体" w:hAnsi="宋体" w:cs="宋体" w:hint="eastAsia"/>
                <w:kern w:val="0"/>
                <w:sz w:val="20"/>
                <w:szCs w:val="20"/>
              </w:rPr>
              <w:t>①实现系统功能模块数量；②硬件与工具软件采购数量；③政务云租赁数量；系统测试及其他相关工作完成情况。</w:t>
            </w:r>
            <w:r w:rsidRPr="00A938D4">
              <w:rPr>
                <w:rFonts w:ascii="宋体" w:eastAsia="宋体" w:hAnsi="宋体" w:cs="宋体" w:hint="eastAsia"/>
                <w:kern w:val="0"/>
                <w:sz w:val="20"/>
                <w:szCs w:val="20"/>
              </w:rPr>
              <w:br/>
              <w:t>实际完成率=（实际产出数/计划产出数）×100%。</w:t>
            </w:r>
            <w:r w:rsidRPr="00A938D4">
              <w:rPr>
                <w:rFonts w:ascii="宋体" w:eastAsia="宋体" w:hAnsi="宋体" w:cs="宋体" w:hint="eastAsia"/>
                <w:kern w:val="0"/>
                <w:sz w:val="20"/>
                <w:szCs w:val="20"/>
              </w:rPr>
              <w:br/>
              <w:t>实际产出数：截至评价时点，项目实际产出的产品或提供的服务数量。</w:t>
            </w:r>
            <w:r w:rsidRPr="00A938D4">
              <w:rPr>
                <w:rFonts w:ascii="宋体" w:eastAsia="宋体" w:hAnsi="宋体" w:cs="宋体" w:hint="eastAsia"/>
                <w:kern w:val="0"/>
                <w:sz w:val="20"/>
                <w:szCs w:val="20"/>
              </w:rPr>
              <w:br/>
              <w:t>计划产出数：项目绩效目标确定的在一定时期（本年度或项目期）内计划产出的产品或提供的服务数量。</w:t>
            </w:r>
          </w:p>
        </w:tc>
        <w:tc>
          <w:tcPr>
            <w:tcW w:w="764" w:type="dxa"/>
            <w:tcBorders>
              <w:top w:val="nil"/>
              <w:left w:val="nil"/>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10</w:t>
            </w:r>
          </w:p>
        </w:tc>
        <w:tc>
          <w:tcPr>
            <w:tcW w:w="1477"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p>
        </w:tc>
      </w:tr>
      <w:tr w:rsidR="00A938D4" w:rsidRPr="00A938D4" w:rsidTr="001F77EC">
        <w:trPr>
          <w:trHeight w:val="2640"/>
          <w:jc w:val="center"/>
        </w:trPr>
        <w:tc>
          <w:tcPr>
            <w:tcW w:w="772"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527"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642"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产出质量</w:t>
            </w:r>
          </w:p>
        </w:tc>
        <w:tc>
          <w:tcPr>
            <w:tcW w:w="527" w:type="dxa"/>
            <w:tcBorders>
              <w:top w:val="nil"/>
              <w:left w:val="nil"/>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10</w:t>
            </w:r>
          </w:p>
        </w:tc>
        <w:tc>
          <w:tcPr>
            <w:tcW w:w="685"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质量达标情况</w:t>
            </w:r>
          </w:p>
        </w:tc>
        <w:tc>
          <w:tcPr>
            <w:tcW w:w="512"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10</w:t>
            </w:r>
          </w:p>
        </w:tc>
        <w:tc>
          <w:tcPr>
            <w:tcW w:w="3714"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r w:rsidRPr="00A938D4">
              <w:rPr>
                <w:rFonts w:ascii="宋体" w:eastAsia="宋体" w:hAnsi="宋体" w:cs="宋体" w:hint="eastAsia"/>
                <w:kern w:val="0"/>
                <w:sz w:val="20"/>
                <w:szCs w:val="20"/>
              </w:rPr>
              <w:t>①系统验收合格率及系统建设完成质量情况。</w:t>
            </w:r>
            <w:r w:rsidRPr="00A938D4">
              <w:rPr>
                <w:rFonts w:ascii="宋体" w:eastAsia="宋体" w:hAnsi="宋体" w:cs="宋体" w:hint="eastAsia"/>
                <w:kern w:val="0"/>
                <w:sz w:val="20"/>
                <w:szCs w:val="20"/>
              </w:rPr>
              <w:br/>
              <w:t>质量达标率=（质量达标产出数/实际产出数）×100%。</w:t>
            </w:r>
            <w:r w:rsidRPr="00A938D4">
              <w:rPr>
                <w:rFonts w:ascii="宋体" w:eastAsia="宋体" w:hAnsi="宋体" w:cs="宋体" w:hint="eastAsia"/>
                <w:kern w:val="0"/>
                <w:sz w:val="20"/>
                <w:szCs w:val="20"/>
              </w:rPr>
              <w:b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64" w:type="dxa"/>
            <w:tcBorders>
              <w:top w:val="nil"/>
              <w:left w:val="nil"/>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7.9</w:t>
            </w:r>
          </w:p>
        </w:tc>
        <w:tc>
          <w:tcPr>
            <w:tcW w:w="1477"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r w:rsidRPr="00A938D4">
              <w:rPr>
                <w:rFonts w:ascii="宋体" w:eastAsia="宋体" w:hAnsi="宋体" w:cs="宋体" w:hint="eastAsia"/>
                <w:kern w:val="0"/>
                <w:sz w:val="20"/>
                <w:szCs w:val="20"/>
              </w:rPr>
              <w:t>性能目标达成情况尚不明确。系统建设文档仍有优化空间。</w:t>
            </w:r>
          </w:p>
        </w:tc>
      </w:tr>
      <w:tr w:rsidR="00A938D4" w:rsidRPr="00A938D4" w:rsidTr="001F77EC">
        <w:trPr>
          <w:trHeight w:val="1258"/>
          <w:jc w:val="center"/>
        </w:trPr>
        <w:tc>
          <w:tcPr>
            <w:tcW w:w="772" w:type="dxa"/>
            <w:vMerge w:val="restart"/>
            <w:tcBorders>
              <w:top w:val="nil"/>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续上页</w:t>
            </w:r>
          </w:p>
        </w:tc>
        <w:tc>
          <w:tcPr>
            <w:tcW w:w="527" w:type="dxa"/>
            <w:vMerge w:val="restart"/>
            <w:tcBorders>
              <w:top w:val="nil"/>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续上页</w:t>
            </w:r>
          </w:p>
        </w:tc>
        <w:tc>
          <w:tcPr>
            <w:tcW w:w="642"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产出时效</w:t>
            </w:r>
          </w:p>
        </w:tc>
        <w:tc>
          <w:tcPr>
            <w:tcW w:w="527"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right"/>
              <w:rPr>
                <w:rFonts w:ascii="宋体" w:eastAsia="宋体" w:hAnsi="宋体" w:cs="宋体"/>
                <w:kern w:val="0"/>
                <w:sz w:val="20"/>
                <w:szCs w:val="20"/>
              </w:rPr>
            </w:pPr>
            <w:r w:rsidRPr="00A938D4">
              <w:rPr>
                <w:rFonts w:ascii="宋体" w:eastAsia="宋体" w:hAnsi="宋体" w:cs="宋体" w:hint="eastAsia"/>
                <w:kern w:val="0"/>
                <w:sz w:val="20"/>
                <w:szCs w:val="20"/>
              </w:rPr>
              <w:t>10</w:t>
            </w:r>
          </w:p>
        </w:tc>
        <w:tc>
          <w:tcPr>
            <w:tcW w:w="685"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完成及时性</w:t>
            </w:r>
          </w:p>
        </w:tc>
        <w:tc>
          <w:tcPr>
            <w:tcW w:w="512" w:type="dxa"/>
            <w:tcBorders>
              <w:top w:val="nil"/>
              <w:left w:val="nil"/>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10</w:t>
            </w:r>
          </w:p>
        </w:tc>
        <w:tc>
          <w:tcPr>
            <w:tcW w:w="3714"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r w:rsidRPr="00A938D4">
              <w:rPr>
                <w:rFonts w:ascii="宋体" w:eastAsia="宋体" w:hAnsi="宋体" w:cs="宋体" w:hint="eastAsia"/>
                <w:kern w:val="0"/>
                <w:sz w:val="20"/>
                <w:szCs w:val="20"/>
              </w:rPr>
              <w:t>实际完成时间：项目实施单位完成该项目实际所耗用的时间。</w:t>
            </w:r>
            <w:r w:rsidRPr="00A938D4">
              <w:rPr>
                <w:rFonts w:ascii="宋体" w:eastAsia="宋体" w:hAnsi="宋体" w:cs="宋体" w:hint="eastAsia"/>
                <w:kern w:val="0"/>
                <w:sz w:val="20"/>
                <w:szCs w:val="20"/>
              </w:rPr>
              <w:br/>
              <w:t>计划完成时间：按照项目实施计划或相关规定完成该项目所需的时间。</w:t>
            </w:r>
          </w:p>
        </w:tc>
        <w:tc>
          <w:tcPr>
            <w:tcW w:w="764" w:type="dxa"/>
            <w:tcBorders>
              <w:top w:val="nil"/>
              <w:left w:val="nil"/>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7.6</w:t>
            </w:r>
          </w:p>
        </w:tc>
        <w:tc>
          <w:tcPr>
            <w:tcW w:w="1477"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r w:rsidRPr="00A938D4">
              <w:rPr>
                <w:rFonts w:ascii="宋体" w:eastAsia="宋体" w:hAnsi="宋体" w:cs="宋体" w:hint="eastAsia"/>
                <w:kern w:val="0"/>
                <w:sz w:val="20"/>
                <w:szCs w:val="20"/>
              </w:rPr>
              <w:t>验收备案工作执行不够及时。</w:t>
            </w:r>
          </w:p>
        </w:tc>
      </w:tr>
      <w:tr w:rsidR="00A938D4" w:rsidRPr="00A938D4" w:rsidTr="001F77EC">
        <w:trPr>
          <w:trHeight w:val="1843"/>
          <w:jc w:val="center"/>
        </w:trPr>
        <w:tc>
          <w:tcPr>
            <w:tcW w:w="772"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527"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642"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产出成本</w:t>
            </w:r>
          </w:p>
        </w:tc>
        <w:tc>
          <w:tcPr>
            <w:tcW w:w="527"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right"/>
              <w:rPr>
                <w:rFonts w:ascii="宋体" w:eastAsia="宋体" w:hAnsi="宋体" w:cs="宋体"/>
                <w:kern w:val="0"/>
                <w:sz w:val="20"/>
                <w:szCs w:val="20"/>
              </w:rPr>
            </w:pPr>
            <w:r w:rsidRPr="00A938D4">
              <w:rPr>
                <w:rFonts w:ascii="宋体" w:eastAsia="宋体" w:hAnsi="宋体" w:cs="宋体" w:hint="eastAsia"/>
                <w:kern w:val="0"/>
                <w:sz w:val="20"/>
                <w:szCs w:val="20"/>
              </w:rPr>
              <w:t>10</w:t>
            </w:r>
          </w:p>
        </w:tc>
        <w:tc>
          <w:tcPr>
            <w:tcW w:w="685"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成本节约情况</w:t>
            </w:r>
          </w:p>
        </w:tc>
        <w:tc>
          <w:tcPr>
            <w:tcW w:w="512" w:type="dxa"/>
            <w:tcBorders>
              <w:top w:val="nil"/>
              <w:left w:val="nil"/>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10</w:t>
            </w:r>
          </w:p>
        </w:tc>
        <w:tc>
          <w:tcPr>
            <w:tcW w:w="3714"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r w:rsidRPr="00A938D4">
              <w:rPr>
                <w:rFonts w:ascii="宋体" w:eastAsia="宋体" w:hAnsi="宋体" w:cs="宋体" w:hint="eastAsia"/>
                <w:kern w:val="0"/>
                <w:sz w:val="20"/>
                <w:szCs w:val="20"/>
              </w:rPr>
              <w:t>①项目前期及实施过程所采取的成本控制措施是否健全、合理；</w:t>
            </w:r>
            <w:r w:rsidRPr="00A938D4">
              <w:rPr>
                <w:rFonts w:ascii="宋体" w:eastAsia="宋体" w:hAnsi="宋体" w:cs="宋体" w:hint="eastAsia"/>
                <w:kern w:val="0"/>
                <w:sz w:val="20"/>
                <w:szCs w:val="20"/>
              </w:rPr>
              <w:br/>
              <w:t>②项目是否存在单项支出明显高于预算，差异原因是否合理；</w:t>
            </w:r>
            <w:r w:rsidRPr="00A938D4">
              <w:rPr>
                <w:rFonts w:ascii="宋体" w:eastAsia="宋体" w:hAnsi="宋体" w:cs="宋体" w:hint="eastAsia"/>
                <w:kern w:val="0"/>
                <w:sz w:val="20"/>
                <w:szCs w:val="20"/>
              </w:rPr>
              <w:br/>
              <w:t>③项目支出单价是否符合政府定额、行业标准或市场平均水平。</w:t>
            </w:r>
          </w:p>
        </w:tc>
        <w:tc>
          <w:tcPr>
            <w:tcW w:w="764" w:type="dxa"/>
            <w:tcBorders>
              <w:top w:val="nil"/>
              <w:left w:val="nil"/>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10</w:t>
            </w:r>
          </w:p>
        </w:tc>
        <w:tc>
          <w:tcPr>
            <w:tcW w:w="1477"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p>
        </w:tc>
      </w:tr>
      <w:tr w:rsidR="00A938D4" w:rsidRPr="00A938D4" w:rsidTr="001F77EC">
        <w:trPr>
          <w:trHeight w:val="1973"/>
          <w:jc w:val="center"/>
        </w:trPr>
        <w:tc>
          <w:tcPr>
            <w:tcW w:w="772" w:type="dxa"/>
            <w:vMerge w:val="restart"/>
            <w:tcBorders>
              <w:top w:val="nil"/>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效益</w:t>
            </w:r>
          </w:p>
        </w:tc>
        <w:tc>
          <w:tcPr>
            <w:tcW w:w="527" w:type="dxa"/>
            <w:vMerge w:val="restart"/>
            <w:tcBorders>
              <w:top w:val="nil"/>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30</w:t>
            </w:r>
          </w:p>
        </w:tc>
        <w:tc>
          <w:tcPr>
            <w:tcW w:w="642" w:type="dxa"/>
            <w:vMerge w:val="restart"/>
            <w:tcBorders>
              <w:top w:val="nil"/>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项目</w:t>
            </w:r>
            <w:r w:rsidRPr="00A938D4">
              <w:rPr>
                <w:rFonts w:ascii="宋体" w:eastAsia="宋体" w:hAnsi="宋体" w:cs="宋体" w:hint="eastAsia"/>
                <w:kern w:val="0"/>
                <w:sz w:val="20"/>
                <w:szCs w:val="20"/>
              </w:rPr>
              <w:br/>
              <w:t>效益</w:t>
            </w:r>
          </w:p>
        </w:tc>
        <w:tc>
          <w:tcPr>
            <w:tcW w:w="527" w:type="dxa"/>
            <w:vMerge w:val="restart"/>
            <w:tcBorders>
              <w:top w:val="nil"/>
              <w:left w:val="single" w:sz="4" w:space="0" w:color="auto"/>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30</w:t>
            </w:r>
          </w:p>
        </w:tc>
        <w:tc>
          <w:tcPr>
            <w:tcW w:w="685"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实施效益</w:t>
            </w:r>
          </w:p>
        </w:tc>
        <w:tc>
          <w:tcPr>
            <w:tcW w:w="512"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20</w:t>
            </w:r>
          </w:p>
        </w:tc>
        <w:tc>
          <w:tcPr>
            <w:tcW w:w="3714"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r w:rsidRPr="00A938D4">
              <w:rPr>
                <w:rFonts w:ascii="宋体" w:eastAsia="宋体" w:hAnsi="宋体" w:cs="宋体" w:hint="eastAsia"/>
                <w:kern w:val="0"/>
                <w:sz w:val="20"/>
                <w:szCs w:val="20"/>
              </w:rPr>
              <w:t>项目实施所产生的社会效益。</w:t>
            </w:r>
            <w:r w:rsidRPr="00A938D4">
              <w:rPr>
                <w:rFonts w:ascii="宋体" w:eastAsia="宋体" w:hAnsi="宋体" w:cs="宋体" w:hint="eastAsia"/>
                <w:kern w:val="0"/>
                <w:sz w:val="20"/>
                <w:szCs w:val="20"/>
              </w:rPr>
              <w:br/>
              <w:t>①项目实施对提高办案质量和效率，增强行政复议规范性和时效性的提升作用。</w:t>
            </w:r>
            <w:r w:rsidRPr="00A938D4">
              <w:rPr>
                <w:rFonts w:ascii="宋体" w:eastAsia="宋体" w:hAnsi="宋体" w:cs="宋体" w:hint="eastAsia"/>
                <w:kern w:val="0"/>
                <w:sz w:val="20"/>
                <w:szCs w:val="20"/>
              </w:rPr>
              <w:br/>
              <w:t>②项目实施对扩展行政复议渠道，降低群众行政复议成本、降低系统建设成本与管理成本的作用。</w:t>
            </w:r>
          </w:p>
        </w:tc>
        <w:tc>
          <w:tcPr>
            <w:tcW w:w="764" w:type="dxa"/>
            <w:tcBorders>
              <w:top w:val="nil"/>
              <w:left w:val="nil"/>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18</w:t>
            </w:r>
          </w:p>
        </w:tc>
        <w:tc>
          <w:tcPr>
            <w:tcW w:w="1477"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p>
        </w:tc>
      </w:tr>
      <w:tr w:rsidR="00A938D4" w:rsidRPr="00A938D4" w:rsidTr="001F77EC">
        <w:trPr>
          <w:trHeight w:val="1030"/>
          <w:jc w:val="center"/>
        </w:trPr>
        <w:tc>
          <w:tcPr>
            <w:tcW w:w="772"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527"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642"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527" w:type="dxa"/>
            <w:vMerge/>
            <w:tcBorders>
              <w:top w:val="nil"/>
              <w:left w:val="single" w:sz="4" w:space="0" w:color="auto"/>
              <w:bottom w:val="single" w:sz="4" w:space="0" w:color="auto"/>
              <w:right w:val="single" w:sz="4" w:space="0" w:color="auto"/>
            </w:tcBorders>
            <w:vAlign w:val="center"/>
            <w:hideMark/>
          </w:tcPr>
          <w:p w:rsidR="00A938D4" w:rsidRPr="00A938D4" w:rsidRDefault="00A938D4" w:rsidP="00A938D4">
            <w:pPr>
              <w:widowControl/>
              <w:jc w:val="left"/>
              <w:rPr>
                <w:rFonts w:ascii="宋体" w:eastAsia="宋体" w:hAnsi="宋体" w:cs="宋体"/>
                <w:kern w:val="0"/>
                <w:sz w:val="20"/>
                <w:szCs w:val="20"/>
              </w:rPr>
            </w:pPr>
          </w:p>
        </w:tc>
        <w:tc>
          <w:tcPr>
            <w:tcW w:w="685"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满意度</w:t>
            </w:r>
          </w:p>
        </w:tc>
        <w:tc>
          <w:tcPr>
            <w:tcW w:w="512"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10</w:t>
            </w:r>
          </w:p>
        </w:tc>
        <w:tc>
          <w:tcPr>
            <w:tcW w:w="3714"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r w:rsidRPr="00A938D4">
              <w:rPr>
                <w:rFonts w:ascii="宋体" w:eastAsia="宋体" w:hAnsi="宋体" w:cs="宋体" w:hint="eastAsia"/>
                <w:kern w:val="0"/>
                <w:sz w:val="20"/>
                <w:szCs w:val="20"/>
              </w:rPr>
              <w:t>①满意度调查工作是否科学合理；</w:t>
            </w:r>
            <w:r w:rsidRPr="00A938D4">
              <w:rPr>
                <w:rFonts w:ascii="宋体" w:eastAsia="宋体" w:hAnsi="宋体" w:cs="宋体" w:hint="eastAsia"/>
                <w:kern w:val="0"/>
                <w:sz w:val="20"/>
                <w:szCs w:val="20"/>
              </w:rPr>
              <w:br/>
              <w:t>②系统使用人员（市、区司法局使用系统人员）对项目实施的满意程度。</w:t>
            </w:r>
          </w:p>
        </w:tc>
        <w:tc>
          <w:tcPr>
            <w:tcW w:w="764" w:type="dxa"/>
            <w:tcBorders>
              <w:top w:val="nil"/>
              <w:left w:val="nil"/>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10</w:t>
            </w:r>
          </w:p>
        </w:tc>
        <w:tc>
          <w:tcPr>
            <w:tcW w:w="1477"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p>
        </w:tc>
      </w:tr>
      <w:tr w:rsidR="00A938D4" w:rsidRPr="00A938D4" w:rsidTr="001F77EC">
        <w:trPr>
          <w:trHeight w:val="480"/>
          <w:jc w:val="center"/>
        </w:trPr>
        <w:tc>
          <w:tcPr>
            <w:tcW w:w="7379"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等线 Light" w:eastAsia="等线 Light" w:hAnsi="宋体" w:cs="宋体"/>
                <w:b/>
                <w:bCs/>
                <w:kern w:val="0"/>
                <w:sz w:val="24"/>
              </w:rPr>
            </w:pPr>
            <w:r w:rsidRPr="00A938D4">
              <w:rPr>
                <w:rFonts w:ascii="等线 Light" w:eastAsia="等线 Light" w:hAnsi="宋体" w:cs="宋体" w:hint="eastAsia"/>
                <w:b/>
                <w:bCs/>
                <w:kern w:val="0"/>
                <w:sz w:val="24"/>
              </w:rPr>
              <w:t>合计</w:t>
            </w:r>
          </w:p>
        </w:tc>
        <w:tc>
          <w:tcPr>
            <w:tcW w:w="764" w:type="dxa"/>
            <w:tcBorders>
              <w:top w:val="nil"/>
              <w:left w:val="nil"/>
              <w:bottom w:val="single" w:sz="4" w:space="0" w:color="auto"/>
              <w:right w:val="single" w:sz="4" w:space="0" w:color="auto"/>
            </w:tcBorders>
            <w:shd w:val="clear" w:color="auto" w:fill="auto"/>
            <w:noWrap/>
            <w:vAlign w:val="center"/>
            <w:hideMark/>
          </w:tcPr>
          <w:p w:rsidR="00A938D4" w:rsidRPr="00A938D4" w:rsidRDefault="00A938D4" w:rsidP="00A938D4">
            <w:pPr>
              <w:widowControl/>
              <w:jc w:val="center"/>
              <w:rPr>
                <w:rFonts w:ascii="宋体" w:eastAsia="宋体" w:hAnsi="宋体" w:cs="宋体"/>
                <w:kern w:val="0"/>
                <w:sz w:val="20"/>
                <w:szCs w:val="20"/>
              </w:rPr>
            </w:pPr>
            <w:r w:rsidRPr="00A938D4">
              <w:rPr>
                <w:rFonts w:ascii="宋体" w:eastAsia="宋体" w:hAnsi="宋体" w:cs="宋体" w:hint="eastAsia"/>
                <w:kern w:val="0"/>
                <w:sz w:val="20"/>
                <w:szCs w:val="20"/>
              </w:rPr>
              <w:t>90.66</w:t>
            </w:r>
          </w:p>
        </w:tc>
        <w:tc>
          <w:tcPr>
            <w:tcW w:w="1477" w:type="dxa"/>
            <w:tcBorders>
              <w:top w:val="nil"/>
              <w:left w:val="nil"/>
              <w:bottom w:val="single" w:sz="4" w:space="0" w:color="auto"/>
              <w:right w:val="single" w:sz="4" w:space="0" w:color="auto"/>
            </w:tcBorders>
            <w:shd w:val="clear" w:color="auto" w:fill="auto"/>
            <w:vAlign w:val="center"/>
            <w:hideMark/>
          </w:tcPr>
          <w:p w:rsidR="00A938D4" w:rsidRPr="00A938D4" w:rsidRDefault="00A938D4" w:rsidP="00A938D4">
            <w:pPr>
              <w:widowControl/>
              <w:jc w:val="left"/>
              <w:rPr>
                <w:rFonts w:ascii="宋体" w:eastAsia="宋体" w:hAnsi="宋体" w:cs="宋体"/>
                <w:kern w:val="0"/>
                <w:sz w:val="20"/>
                <w:szCs w:val="20"/>
              </w:rPr>
            </w:pPr>
          </w:p>
        </w:tc>
      </w:tr>
    </w:tbl>
    <w:p w:rsidR="0000711D" w:rsidRDefault="0000711D" w:rsidP="001F77EC">
      <w:pPr>
        <w:adjustRightInd w:val="0"/>
        <w:snapToGrid w:val="0"/>
        <w:spacing w:line="600" w:lineRule="exact"/>
        <w:ind w:leftChars="300" w:left="900" w:firstLineChars="200" w:firstLine="640"/>
        <w:rPr>
          <w:rFonts w:ascii="仿宋_GB2312"/>
          <w:color w:val="000000"/>
          <w:sz w:val="32"/>
          <w:szCs w:val="32"/>
        </w:rPr>
      </w:pPr>
      <w:bookmarkStart w:id="56" w:name="_GoBack"/>
      <w:bookmarkEnd w:id="56"/>
    </w:p>
    <w:sectPr w:rsidR="0000711D" w:rsidSect="00A938D4">
      <w:pgSz w:w="11906" w:h="16838"/>
      <w:pgMar w:top="2098" w:right="1531" w:bottom="1985" w:left="1531" w:header="851" w:footer="992" w:gutter="0"/>
      <w:pgNumType w:start="1"/>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7EC" w:rsidRDefault="001F77EC">
      <w:r>
        <w:separator/>
      </w:r>
    </w:p>
  </w:endnote>
  <w:endnote w:type="continuationSeparator" w:id="0">
    <w:p w:rsidR="001F77EC" w:rsidRDefault="001F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6"/>
    <w:family w:val="swiss"/>
    <w:pitch w:val="variable"/>
    <w:sig w:usb0="F7FFAFFF" w:usb1="E9DFFFFF" w:usb2="0000003F" w:usb3="00000000" w:csb0="003F01FF" w:csb1="00000000"/>
  </w:font>
  <w:font w:name="Verdana">
    <w:altName w:val="DejaVu Sans"/>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ahoma">
    <w:altName w:val="DejaVu Sans"/>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楷体">
    <w:altName w:val="方正楷体_GBK"/>
    <w:panose1 w:val="02010609060101010101"/>
    <w:charset w:val="86"/>
    <w:family w:val="modern"/>
    <w:pitch w:val="fixed"/>
    <w:sig w:usb0="800002BF" w:usb1="38CF7CFA" w:usb2="00000016" w:usb3="00000000" w:csb0="00040001" w:csb1="00000000"/>
  </w:font>
  <w:font w:name="仿宋">
    <w:altName w:val="方正仿宋_GBK"/>
    <w:panose1 w:val="02010609060101010101"/>
    <w:charset w:val="86"/>
    <w:family w:val="modern"/>
    <w:pitch w:val="fixed"/>
    <w:sig w:usb0="800002BF" w:usb1="38CF7CFA" w:usb2="00000016" w:usb3="00000000" w:csb0="00040001" w:csb1="00000000"/>
  </w:font>
  <w:font w:name="华文中宋">
    <w:altName w:val="汉仪中宋简"/>
    <w:panose1 w:val="02010600040101010101"/>
    <w:charset w:val="86"/>
    <w:family w:val="auto"/>
    <w:pitch w:val="variable"/>
    <w:sig w:usb0="00000287" w:usb1="080F0000" w:usb2="00000010" w:usb3="00000000" w:csb0="0004009F" w:csb1="00000000"/>
  </w:font>
  <w:font w:name="等线">
    <w:altName w:val="汉仪中宋简"/>
    <w:charset w:val="86"/>
    <w:family w:val="auto"/>
    <w:pitch w:val="default"/>
    <w:sig w:usb0="00000000" w:usb1="00000000" w:usb2="00000016" w:usb3="00000000" w:csb0="0004000F" w:csb1="00000000"/>
  </w:font>
  <w:font w:name="方正小标宋简体">
    <w:panose1 w:val="02000000000000000000"/>
    <w:charset w:val="86"/>
    <w:family w:val="auto"/>
    <w:pitch w:val="variable"/>
    <w:sig w:usb0="A00002BF" w:usb1="184F6CFA" w:usb2="00000012" w:usb3="00000000" w:csb0="00040001" w:csb1="00000000"/>
  </w:font>
  <w:font w:name="楷体_GB2312">
    <w:altName w:val="楷体"/>
    <w:charset w:val="86"/>
    <w:family w:val="auto"/>
    <w:pitch w:val="default"/>
    <w:sig w:usb0="00000000" w:usb1="00000000" w:usb2="00000000" w:usb3="00000000" w:csb0="00040000"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7EC" w:rsidRDefault="001F77EC">
    <w:pPr>
      <w:pStyle w:val="a9"/>
      <w:jc w:val="center"/>
      <w:rPr>
        <w:rFonts w:ascii="宋体" w:hAnsi="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7EC" w:rsidRDefault="001F77EC">
    <w:pPr>
      <w:pStyle w:val="a9"/>
      <w:ind w:firstLine="480"/>
      <w:jc w:val="center"/>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813D68">
      <w:rPr>
        <w:rFonts w:ascii="宋体" w:hAnsi="宋体"/>
        <w:noProof/>
        <w:sz w:val="28"/>
        <w:szCs w:val="28"/>
      </w:rPr>
      <w:t>1</w:t>
    </w:r>
    <w:r>
      <w:rPr>
        <w:rFonts w:ascii="宋体" w:hAnsi="宋体"/>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7EC" w:rsidRDefault="001F77EC">
      <w:r>
        <w:separator/>
      </w:r>
    </w:p>
  </w:footnote>
  <w:footnote w:type="continuationSeparator" w:id="0">
    <w:p w:rsidR="001F77EC" w:rsidRDefault="001F7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7EC" w:rsidRDefault="001F77EC">
    <w:pPr>
      <w:pStyle w:val="aa"/>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C5567"/>
    <w:multiLevelType w:val="multilevel"/>
    <w:tmpl w:val="260C5567"/>
    <w:lvl w:ilvl="0">
      <w:start w:val="1"/>
      <w:numFmt w:val="decimal"/>
      <w:pStyle w:val="CharCharCharChar"/>
      <w:lvlText w:val="（%1）"/>
      <w:lvlJc w:val="left"/>
      <w:pPr>
        <w:tabs>
          <w:tab w:val="left" w:pos="3750"/>
        </w:tabs>
        <w:ind w:left="3750" w:hanging="2250"/>
      </w:pPr>
      <w:rPr>
        <w:rFonts w:hint="eastAsia"/>
      </w:rPr>
    </w:lvl>
    <w:lvl w:ilvl="1">
      <w:start w:val="1"/>
      <w:numFmt w:val="lowerLetter"/>
      <w:lvlText w:val="%2)"/>
      <w:lvlJc w:val="left"/>
      <w:pPr>
        <w:tabs>
          <w:tab w:val="left" w:pos="2340"/>
        </w:tabs>
        <w:ind w:left="2340" w:hanging="420"/>
      </w:pPr>
    </w:lvl>
    <w:lvl w:ilvl="2">
      <w:start w:val="1"/>
      <w:numFmt w:val="lowerRoman"/>
      <w:lvlText w:val="%3."/>
      <w:lvlJc w:val="right"/>
      <w:pPr>
        <w:tabs>
          <w:tab w:val="left" w:pos="2760"/>
        </w:tabs>
        <w:ind w:left="2760" w:hanging="420"/>
      </w:pPr>
    </w:lvl>
    <w:lvl w:ilvl="3">
      <w:start w:val="1"/>
      <w:numFmt w:val="decimal"/>
      <w:lvlText w:val="%4."/>
      <w:lvlJc w:val="left"/>
      <w:pPr>
        <w:tabs>
          <w:tab w:val="left" w:pos="3180"/>
        </w:tabs>
        <w:ind w:left="3180" w:hanging="420"/>
      </w:pPr>
    </w:lvl>
    <w:lvl w:ilvl="4">
      <w:start w:val="1"/>
      <w:numFmt w:val="lowerLetter"/>
      <w:lvlText w:val="%5)"/>
      <w:lvlJc w:val="left"/>
      <w:pPr>
        <w:tabs>
          <w:tab w:val="left" w:pos="3600"/>
        </w:tabs>
        <w:ind w:left="3600" w:hanging="420"/>
      </w:pPr>
    </w:lvl>
    <w:lvl w:ilvl="5">
      <w:start w:val="1"/>
      <w:numFmt w:val="lowerRoman"/>
      <w:lvlText w:val="%6."/>
      <w:lvlJc w:val="right"/>
      <w:pPr>
        <w:tabs>
          <w:tab w:val="left" w:pos="4020"/>
        </w:tabs>
        <w:ind w:left="4020" w:hanging="420"/>
      </w:pPr>
    </w:lvl>
    <w:lvl w:ilvl="6">
      <w:start w:val="1"/>
      <w:numFmt w:val="decimal"/>
      <w:lvlText w:val="%7."/>
      <w:lvlJc w:val="left"/>
      <w:pPr>
        <w:tabs>
          <w:tab w:val="left" w:pos="4440"/>
        </w:tabs>
        <w:ind w:left="4440" w:hanging="420"/>
      </w:pPr>
    </w:lvl>
    <w:lvl w:ilvl="7">
      <w:start w:val="1"/>
      <w:numFmt w:val="lowerLetter"/>
      <w:lvlText w:val="%8)"/>
      <w:lvlJc w:val="left"/>
      <w:pPr>
        <w:tabs>
          <w:tab w:val="left" w:pos="4860"/>
        </w:tabs>
        <w:ind w:left="4860" w:hanging="420"/>
      </w:pPr>
    </w:lvl>
    <w:lvl w:ilvl="8">
      <w:start w:val="1"/>
      <w:numFmt w:val="lowerRoman"/>
      <w:lvlText w:val="%9."/>
      <w:lvlJc w:val="right"/>
      <w:pPr>
        <w:tabs>
          <w:tab w:val="left" w:pos="5280"/>
        </w:tabs>
        <w:ind w:left="5280" w:hanging="420"/>
      </w:pPr>
    </w:lvl>
  </w:abstractNum>
  <w:abstractNum w:abstractNumId="1">
    <w:nsid w:val="5A7E4ED1"/>
    <w:multiLevelType w:val="multilevel"/>
    <w:tmpl w:val="5A7E4ED1"/>
    <w:lvl w:ilvl="0">
      <w:start w:val="1"/>
      <w:numFmt w:val="bullet"/>
      <w:pStyle w:val="a"/>
      <w:lvlText w:val=""/>
      <w:lvlJc w:val="left"/>
      <w:pPr>
        <w:ind w:left="980" w:hanging="420"/>
      </w:pPr>
      <w:rPr>
        <w:rFonts w:ascii="Wingdings" w:hAnsi="Wingding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50"/>
  <w:drawingGridVerticalSpacing w:val="20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F82"/>
    <w:rsid w:val="0000081C"/>
    <w:rsid w:val="0000098C"/>
    <w:rsid w:val="00001685"/>
    <w:rsid w:val="00001D0F"/>
    <w:rsid w:val="00002C5A"/>
    <w:rsid w:val="00002CC0"/>
    <w:rsid w:val="00003574"/>
    <w:rsid w:val="00005B90"/>
    <w:rsid w:val="00006622"/>
    <w:rsid w:val="00006FEC"/>
    <w:rsid w:val="0000711D"/>
    <w:rsid w:val="000072FC"/>
    <w:rsid w:val="000101E1"/>
    <w:rsid w:val="00011E6D"/>
    <w:rsid w:val="00013124"/>
    <w:rsid w:val="0001370A"/>
    <w:rsid w:val="00013F58"/>
    <w:rsid w:val="0001492F"/>
    <w:rsid w:val="00016D27"/>
    <w:rsid w:val="00021ED0"/>
    <w:rsid w:val="000235C9"/>
    <w:rsid w:val="00023F0A"/>
    <w:rsid w:val="000242B0"/>
    <w:rsid w:val="00024F81"/>
    <w:rsid w:val="0002730A"/>
    <w:rsid w:val="00027C84"/>
    <w:rsid w:val="00030FB0"/>
    <w:rsid w:val="00035EDA"/>
    <w:rsid w:val="00037010"/>
    <w:rsid w:val="00042B8E"/>
    <w:rsid w:val="000517CE"/>
    <w:rsid w:val="000519CA"/>
    <w:rsid w:val="00056A8B"/>
    <w:rsid w:val="00057C7D"/>
    <w:rsid w:val="00062E1B"/>
    <w:rsid w:val="00064B02"/>
    <w:rsid w:val="00065850"/>
    <w:rsid w:val="0007065B"/>
    <w:rsid w:val="000723DA"/>
    <w:rsid w:val="00073156"/>
    <w:rsid w:val="0007527B"/>
    <w:rsid w:val="000808E8"/>
    <w:rsid w:val="000821DD"/>
    <w:rsid w:val="000822D8"/>
    <w:rsid w:val="00082839"/>
    <w:rsid w:val="000852F0"/>
    <w:rsid w:val="00085EDC"/>
    <w:rsid w:val="00086A59"/>
    <w:rsid w:val="0008763A"/>
    <w:rsid w:val="000905C5"/>
    <w:rsid w:val="0009145A"/>
    <w:rsid w:val="000918E8"/>
    <w:rsid w:val="00091D75"/>
    <w:rsid w:val="00092357"/>
    <w:rsid w:val="00093B13"/>
    <w:rsid w:val="00093CCE"/>
    <w:rsid w:val="000971A3"/>
    <w:rsid w:val="00097B95"/>
    <w:rsid w:val="000A1138"/>
    <w:rsid w:val="000A19CD"/>
    <w:rsid w:val="000A1EFB"/>
    <w:rsid w:val="000A53A1"/>
    <w:rsid w:val="000A6177"/>
    <w:rsid w:val="000B0673"/>
    <w:rsid w:val="000B1179"/>
    <w:rsid w:val="000B1B2D"/>
    <w:rsid w:val="000B1D16"/>
    <w:rsid w:val="000B1E3F"/>
    <w:rsid w:val="000B1E65"/>
    <w:rsid w:val="000B2E20"/>
    <w:rsid w:val="000B3751"/>
    <w:rsid w:val="000B424C"/>
    <w:rsid w:val="000B45D0"/>
    <w:rsid w:val="000B7F12"/>
    <w:rsid w:val="000C1A70"/>
    <w:rsid w:val="000C21BD"/>
    <w:rsid w:val="000C276F"/>
    <w:rsid w:val="000C2824"/>
    <w:rsid w:val="000C2882"/>
    <w:rsid w:val="000C3C52"/>
    <w:rsid w:val="000C6102"/>
    <w:rsid w:val="000C7F6C"/>
    <w:rsid w:val="000D05ED"/>
    <w:rsid w:val="000D0AFB"/>
    <w:rsid w:val="000D0F03"/>
    <w:rsid w:val="000D24DE"/>
    <w:rsid w:val="000D54C0"/>
    <w:rsid w:val="000E0CCC"/>
    <w:rsid w:val="000E0D61"/>
    <w:rsid w:val="000E2098"/>
    <w:rsid w:val="000E210A"/>
    <w:rsid w:val="000E2FED"/>
    <w:rsid w:val="000E4787"/>
    <w:rsid w:val="000E638C"/>
    <w:rsid w:val="000F12F8"/>
    <w:rsid w:val="000F1CFA"/>
    <w:rsid w:val="000F1EE7"/>
    <w:rsid w:val="000F289D"/>
    <w:rsid w:val="000F585B"/>
    <w:rsid w:val="000F6975"/>
    <w:rsid w:val="001002B5"/>
    <w:rsid w:val="00100349"/>
    <w:rsid w:val="001003B7"/>
    <w:rsid w:val="00100979"/>
    <w:rsid w:val="00102429"/>
    <w:rsid w:val="0010259D"/>
    <w:rsid w:val="00102A23"/>
    <w:rsid w:val="00102CAC"/>
    <w:rsid w:val="00104634"/>
    <w:rsid w:val="001047E0"/>
    <w:rsid w:val="00111C5D"/>
    <w:rsid w:val="001122C9"/>
    <w:rsid w:val="00113A3E"/>
    <w:rsid w:val="00115148"/>
    <w:rsid w:val="00115220"/>
    <w:rsid w:val="00115CF4"/>
    <w:rsid w:val="0011618B"/>
    <w:rsid w:val="0011748C"/>
    <w:rsid w:val="001201FE"/>
    <w:rsid w:val="00120FE9"/>
    <w:rsid w:val="001236DB"/>
    <w:rsid w:val="00123E26"/>
    <w:rsid w:val="00124090"/>
    <w:rsid w:val="00125CAF"/>
    <w:rsid w:val="00126129"/>
    <w:rsid w:val="00131A76"/>
    <w:rsid w:val="001354FF"/>
    <w:rsid w:val="00136136"/>
    <w:rsid w:val="001361AF"/>
    <w:rsid w:val="001363F1"/>
    <w:rsid w:val="00136778"/>
    <w:rsid w:val="00141726"/>
    <w:rsid w:val="0014283E"/>
    <w:rsid w:val="00144411"/>
    <w:rsid w:val="00145FDE"/>
    <w:rsid w:val="0014617D"/>
    <w:rsid w:val="0014692E"/>
    <w:rsid w:val="00147809"/>
    <w:rsid w:val="00151066"/>
    <w:rsid w:val="001527C4"/>
    <w:rsid w:val="0015345B"/>
    <w:rsid w:val="00153C2F"/>
    <w:rsid w:val="001541EC"/>
    <w:rsid w:val="00154F8C"/>
    <w:rsid w:val="0015642C"/>
    <w:rsid w:val="00160B5D"/>
    <w:rsid w:val="00160E57"/>
    <w:rsid w:val="00161EEA"/>
    <w:rsid w:val="00162694"/>
    <w:rsid w:val="00164992"/>
    <w:rsid w:val="00165A62"/>
    <w:rsid w:val="001667CE"/>
    <w:rsid w:val="00171C50"/>
    <w:rsid w:val="00172BBC"/>
    <w:rsid w:val="0017377A"/>
    <w:rsid w:val="0017500A"/>
    <w:rsid w:val="0017546F"/>
    <w:rsid w:val="00176617"/>
    <w:rsid w:val="00176961"/>
    <w:rsid w:val="00182A2C"/>
    <w:rsid w:val="00182DE9"/>
    <w:rsid w:val="0018352F"/>
    <w:rsid w:val="00185007"/>
    <w:rsid w:val="001878CD"/>
    <w:rsid w:val="00187A36"/>
    <w:rsid w:val="00191052"/>
    <w:rsid w:val="00191F48"/>
    <w:rsid w:val="00192276"/>
    <w:rsid w:val="0019254C"/>
    <w:rsid w:val="00194BD7"/>
    <w:rsid w:val="00194D64"/>
    <w:rsid w:val="00196157"/>
    <w:rsid w:val="001966BB"/>
    <w:rsid w:val="00196AD7"/>
    <w:rsid w:val="001A0223"/>
    <w:rsid w:val="001A22A0"/>
    <w:rsid w:val="001A26E7"/>
    <w:rsid w:val="001A42EB"/>
    <w:rsid w:val="001A7752"/>
    <w:rsid w:val="001B555C"/>
    <w:rsid w:val="001B5E52"/>
    <w:rsid w:val="001B74A9"/>
    <w:rsid w:val="001C0B2C"/>
    <w:rsid w:val="001C2862"/>
    <w:rsid w:val="001C68F8"/>
    <w:rsid w:val="001C6F92"/>
    <w:rsid w:val="001C71C5"/>
    <w:rsid w:val="001D068A"/>
    <w:rsid w:val="001D103F"/>
    <w:rsid w:val="001D10A7"/>
    <w:rsid w:val="001D4FED"/>
    <w:rsid w:val="001D601D"/>
    <w:rsid w:val="001E37AB"/>
    <w:rsid w:val="001E4396"/>
    <w:rsid w:val="001E5E51"/>
    <w:rsid w:val="001E67D3"/>
    <w:rsid w:val="001E7C50"/>
    <w:rsid w:val="001F1A35"/>
    <w:rsid w:val="001F356B"/>
    <w:rsid w:val="001F77EC"/>
    <w:rsid w:val="002007D8"/>
    <w:rsid w:val="00202702"/>
    <w:rsid w:val="0020286F"/>
    <w:rsid w:val="0020739A"/>
    <w:rsid w:val="0021003B"/>
    <w:rsid w:val="00210055"/>
    <w:rsid w:val="00210A15"/>
    <w:rsid w:val="002124C1"/>
    <w:rsid w:val="00212636"/>
    <w:rsid w:val="00212E9C"/>
    <w:rsid w:val="00213B08"/>
    <w:rsid w:val="00215532"/>
    <w:rsid w:val="00223625"/>
    <w:rsid w:val="0022412D"/>
    <w:rsid w:val="002278FD"/>
    <w:rsid w:val="002300D0"/>
    <w:rsid w:val="00230FA6"/>
    <w:rsid w:val="002323CE"/>
    <w:rsid w:val="002328B0"/>
    <w:rsid w:val="00233995"/>
    <w:rsid w:val="00233E4B"/>
    <w:rsid w:val="0023522F"/>
    <w:rsid w:val="002366F0"/>
    <w:rsid w:val="002405A2"/>
    <w:rsid w:val="00245143"/>
    <w:rsid w:val="00247B0F"/>
    <w:rsid w:val="0025066C"/>
    <w:rsid w:val="0025226A"/>
    <w:rsid w:val="00252D25"/>
    <w:rsid w:val="0025370D"/>
    <w:rsid w:val="00254270"/>
    <w:rsid w:val="00254E45"/>
    <w:rsid w:val="00256E14"/>
    <w:rsid w:val="0026014C"/>
    <w:rsid w:val="00260C7B"/>
    <w:rsid w:val="00262D13"/>
    <w:rsid w:val="002700B9"/>
    <w:rsid w:val="00270A0A"/>
    <w:rsid w:val="00273432"/>
    <w:rsid w:val="002756A8"/>
    <w:rsid w:val="00275B67"/>
    <w:rsid w:val="0027670C"/>
    <w:rsid w:val="00276E28"/>
    <w:rsid w:val="00280015"/>
    <w:rsid w:val="002805AE"/>
    <w:rsid w:val="00280A74"/>
    <w:rsid w:val="00281550"/>
    <w:rsid w:val="00282E8F"/>
    <w:rsid w:val="0028307D"/>
    <w:rsid w:val="00285A07"/>
    <w:rsid w:val="0029035B"/>
    <w:rsid w:val="00293139"/>
    <w:rsid w:val="002951BE"/>
    <w:rsid w:val="00297718"/>
    <w:rsid w:val="0029796B"/>
    <w:rsid w:val="00297F00"/>
    <w:rsid w:val="002A0B7A"/>
    <w:rsid w:val="002A2328"/>
    <w:rsid w:val="002A3048"/>
    <w:rsid w:val="002A4B77"/>
    <w:rsid w:val="002A6240"/>
    <w:rsid w:val="002B68C4"/>
    <w:rsid w:val="002B7DB2"/>
    <w:rsid w:val="002C0D11"/>
    <w:rsid w:val="002C6220"/>
    <w:rsid w:val="002C687E"/>
    <w:rsid w:val="002C7186"/>
    <w:rsid w:val="002D2500"/>
    <w:rsid w:val="002D26C2"/>
    <w:rsid w:val="002D7FDF"/>
    <w:rsid w:val="002E2E8D"/>
    <w:rsid w:val="002E36DD"/>
    <w:rsid w:val="002E7EAF"/>
    <w:rsid w:val="002F179F"/>
    <w:rsid w:val="002F43ED"/>
    <w:rsid w:val="002F440A"/>
    <w:rsid w:val="002F5374"/>
    <w:rsid w:val="002F6464"/>
    <w:rsid w:val="00300F8D"/>
    <w:rsid w:val="00301F4D"/>
    <w:rsid w:val="00302DA8"/>
    <w:rsid w:val="003032D4"/>
    <w:rsid w:val="00305057"/>
    <w:rsid w:val="00305808"/>
    <w:rsid w:val="00307AF9"/>
    <w:rsid w:val="00312391"/>
    <w:rsid w:val="00312C8A"/>
    <w:rsid w:val="003141F6"/>
    <w:rsid w:val="00314833"/>
    <w:rsid w:val="00314FE6"/>
    <w:rsid w:val="00315443"/>
    <w:rsid w:val="003161FC"/>
    <w:rsid w:val="00322514"/>
    <w:rsid w:val="0032389D"/>
    <w:rsid w:val="003240C7"/>
    <w:rsid w:val="003248EE"/>
    <w:rsid w:val="00325F64"/>
    <w:rsid w:val="00326463"/>
    <w:rsid w:val="0032654F"/>
    <w:rsid w:val="00326FEC"/>
    <w:rsid w:val="003314A2"/>
    <w:rsid w:val="003320C3"/>
    <w:rsid w:val="00332D8F"/>
    <w:rsid w:val="003361F4"/>
    <w:rsid w:val="00336A93"/>
    <w:rsid w:val="003413E0"/>
    <w:rsid w:val="00342D15"/>
    <w:rsid w:val="00346EAC"/>
    <w:rsid w:val="0035321B"/>
    <w:rsid w:val="00354130"/>
    <w:rsid w:val="003619FE"/>
    <w:rsid w:val="00362308"/>
    <w:rsid w:val="00364983"/>
    <w:rsid w:val="00367DD2"/>
    <w:rsid w:val="00370CDD"/>
    <w:rsid w:val="00376DF5"/>
    <w:rsid w:val="003779D1"/>
    <w:rsid w:val="00381E7B"/>
    <w:rsid w:val="003822EB"/>
    <w:rsid w:val="00386FCA"/>
    <w:rsid w:val="0039185B"/>
    <w:rsid w:val="0039321A"/>
    <w:rsid w:val="0039368D"/>
    <w:rsid w:val="00393BAB"/>
    <w:rsid w:val="003942A7"/>
    <w:rsid w:val="0039518E"/>
    <w:rsid w:val="0039551F"/>
    <w:rsid w:val="0039560B"/>
    <w:rsid w:val="00395807"/>
    <w:rsid w:val="00395C83"/>
    <w:rsid w:val="003A319C"/>
    <w:rsid w:val="003A4942"/>
    <w:rsid w:val="003A5778"/>
    <w:rsid w:val="003A5AE0"/>
    <w:rsid w:val="003A5D89"/>
    <w:rsid w:val="003A7540"/>
    <w:rsid w:val="003A7B16"/>
    <w:rsid w:val="003B18BF"/>
    <w:rsid w:val="003B2E3C"/>
    <w:rsid w:val="003B3270"/>
    <w:rsid w:val="003B32BD"/>
    <w:rsid w:val="003B3A56"/>
    <w:rsid w:val="003B467D"/>
    <w:rsid w:val="003C154B"/>
    <w:rsid w:val="003C1A4F"/>
    <w:rsid w:val="003C2410"/>
    <w:rsid w:val="003C24C6"/>
    <w:rsid w:val="003C284C"/>
    <w:rsid w:val="003C2A79"/>
    <w:rsid w:val="003C38CE"/>
    <w:rsid w:val="003C38DA"/>
    <w:rsid w:val="003D0203"/>
    <w:rsid w:val="003D0B3A"/>
    <w:rsid w:val="003D0EA5"/>
    <w:rsid w:val="003D1A2C"/>
    <w:rsid w:val="003D485B"/>
    <w:rsid w:val="003E0464"/>
    <w:rsid w:val="003E1822"/>
    <w:rsid w:val="003E1963"/>
    <w:rsid w:val="003E27F1"/>
    <w:rsid w:val="003E4CCA"/>
    <w:rsid w:val="003E7DFD"/>
    <w:rsid w:val="003F1877"/>
    <w:rsid w:val="003F2D95"/>
    <w:rsid w:val="003F3565"/>
    <w:rsid w:val="003F6358"/>
    <w:rsid w:val="004025E6"/>
    <w:rsid w:val="00403345"/>
    <w:rsid w:val="0040412B"/>
    <w:rsid w:val="004050E0"/>
    <w:rsid w:val="0041097F"/>
    <w:rsid w:val="004115F0"/>
    <w:rsid w:val="00411F09"/>
    <w:rsid w:val="004147ED"/>
    <w:rsid w:val="004153C9"/>
    <w:rsid w:val="0041789F"/>
    <w:rsid w:val="00417FC8"/>
    <w:rsid w:val="0042020B"/>
    <w:rsid w:val="00423EE3"/>
    <w:rsid w:val="004250E6"/>
    <w:rsid w:val="004275D7"/>
    <w:rsid w:val="004327A7"/>
    <w:rsid w:val="00433D3A"/>
    <w:rsid w:val="00433FB4"/>
    <w:rsid w:val="00435AA5"/>
    <w:rsid w:val="0043745A"/>
    <w:rsid w:val="00442274"/>
    <w:rsid w:val="0044321D"/>
    <w:rsid w:val="00445ACC"/>
    <w:rsid w:val="004461AC"/>
    <w:rsid w:val="0044692D"/>
    <w:rsid w:val="00446AE3"/>
    <w:rsid w:val="00454812"/>
    <w:rsid w:val="00457BD5"/>
    <w:rsid w:val="00462F4C"/>
    <w:rsid w:val="004637D3"/>
    <w:rsid w:val="00467DE7"/>
    <w:rsid w:val="00471ECD"/>
    <w:rsid w:val="00473BB1"/>
    <w:rsid w:val="0047681C"/>
    <w:rsid w:val="00476E87"/>
    <w:rsid w:val="004814E9"/>
    <w:rsid w:val="00483D18"/>
    <w:rsid w:val="004847F4"/>
    <w:rsid w:val="00485D6D"/>
    <w:rsid w:val="004879FC"/>
    <w:rsid w:val="0049201C"/>
    <w:rsid w:val="00494FBD"/>
    <w:rsid w:val="004A0F37"/>
    <w:rsid w:val="004A1ABC"/>
    <w:rsid w:val="004A45B0"/>
    <w:rsid w:val="004A4DFD"/>
    <w:rsid w:val="004A5F12"/>
    <w:rsid w:val="004B1586"/>
    <w:rsid w:val="004B25B7"/>
    <w:rsid w:val="004B2A84"/>
    <w:rsid w:val="004B2EE9"/>
    <w:rsid w:val="004B4FBA"/>
    <w:rsid w:val="004B6E95"/>
    <w:rsid w:val="004B7171"/>
    <w:rsid w:val="004B71E6"/>
    <w:rsid w:val="004C0072"/>
    <w:rsid w:val="004C0A81"/>
    <w:rsid w:val="004C115E"/>
    <w:rsid w:val="004C1242"/>
    <w:rsid w:val="004C340D"/>
    <w:rsid w:val="004C3790"/>
    <w:rsid w:val="004C6980"/>
    <w:rsid w:val="004C6CD6"/>
    <w:rsid w:val="004D0648"/>
    <w:rsid w:val="004D231A"/>
    <w:rsid w:val="004D36F9"/>
    <w:rsid w:val="004D3D46"/>
    <w:rsid w:val="004D3E4A"/>
    <w:rsid w:val="004D6784"/>
    <w:rsid w:val="004D6801"/>
    <w:rsid w:val="004D7D2B"/>
    <w:rsid w:val="004E17B8"/>
    <w:rsid w:val="004E30BD"/>
    <w:rsid w:val="004E420C"/>
    <w:rsid w:val="004E4935"/>
    <w:rsid w:val="004F1770"/>
    <w:rsid w:val="004F3E80"/>
    <w:rsid w:val="004F460B"/>
    <w:rsid w:val="004F7940"/>
    <w:rsid w:val="00500623"/>
    <w:rsid w:val="00501CB8"/>
    <w:rsid w:val="00507649"/>
    <w:rsid w:val="00511412"/>
    <w:rsid w:val="00517A6A"/>
    <w:rsid w:val="00527039"/>
    <w:rsid w:val="005316E7"/>
    <w:rsid w:val="005325B6"/>
    <w:rsid w:val="00532AE6"/>
    <w:rsid w:val="00532C1C"/>
    <w:rsid w:val="00534AE6"/>
    <w:rsid w:val="00535039"/>
    <w:rsid w:val="0053541C"/>
    <w:rsid w:val="00535D21"/>
    <w:rsid w:val="00536628"/>
    <w:rsid w:val="005413C8"/>
    <w:rsid w:val="00541490"/>
    <w:rsid w:val="005442F0"/>
    <w:rsid w:val="00545D99"/>
    <w:rsid w:val="00546EA5"/>
    <w:rsid w:val="005473ED"/>
    <w:rsid w:val="00547A85"/>
    <w:rsid w:val="00547E73"/>
    <w:rsid w:val="00547EFF"/>
    <w:rsid w:val="005517BF"/>
    <w:rsid w:val="005524D3"/>
    <w:rsid w:val="0055339F"/>
    <w:rsid w:val="005535AE"/>
    <w:rsid w:val="005536DD"/>
    <w:rsid w:val="005556E5"/>
    <w:rsid w:val="0055688C"/>
    <w:rsid w:val="00556A91"/>
    <w:rsid w:val="00560219"/>
    <w:rsid w:val="005618A2"/>
    <w:rsid w:val="005621C9"/>
    <w:rsid w:val="005625B6"/>
    <w:rsid w:val="0056339F"/>
    <w:rsid w:val="00566905"/>
    <w:rsid w:val="005670F4"/>
    <w:rsid w:val="005676C6"/>
    <w:rsid w:val="00567D36"/>
    <w:rsid w:val="00570FE6"/>
    <w:rsid w:val="005710FF"/>
    <w:rsid w:val="005737E2"/>
    <w:rsid w:val="00573BC3"/>
    <w:rsid w:val="005744DE"/>
    <w:rsid w:val="00575DD8"/>
    <w:rsid w:val="005824FB"/>
    <w:rsid w:val="005858E9"/>
    <w:rsid w:val="00591A62"/>
    <w:rsid w:val="0059257A"/>
    <w:rsid w:val="00593906"/>
    <w:rsid w:val="00594021"/>
    <w:rsid w:val="005950D4"/>
    <w:rsid w:val="005958BB"/>
    <w:rsid w:val="005967CB"/>
    <w:rsid w:val="0059795A"/>
    <w:rsid w:val="005A14BC"/>
    <w:rsid w:val="005A1C2D"/>
    <w:rsid w:val="005A44E1"/>
    <w:rsid w:val="005A4AA0"/>
    <w:rsid w:val="005A51D8"/>
    <w:rsid w:val="005A63E0"/>
    <w:rsid w:val="005B2C1A"/>
    <w:rsid w:val="005B3574"/>
    <w:rsid w:val="005B4180"/>
    <w:rsid w:val="005B44FC"/>
    <w:rsid w:val="005B4DEA"/>
    <w:rsid w:val="005B4DF7"/>
    <w:rsid w:val="005B573B"/>
    <w:rsid w:val="005B5A88"/>
    <w:rsid w:val="005B5D86"/>
    <w:rsid w:val="005B5F22"/>
    <w:rsid w:val="005C0543"/>
    <w:rsid w:val="005C2489"/>
    <w:rsid w:val="005C2622"/>
    <w:rsid w:val="005C2EA1"/>
    <w:rsid w:val="005C3A40"/>
    <w:rsid w:val="005C3D79"/>
    <w:rsid w:val="005C51EC"/>
    <w:rsid w:val="005C5256"/>
    <w:rsid w:val="005C7381"/>
    <w:rsid w:val="005C7D97"/>
    <w:rsid w:val="005D03EC"/>
    <w:rsid w:val="005D0419"/>
    <w:rsid w:val="005D160B"/>
    <w:rsid w:val="005D4537"/>
    <w:rsid w:val="005D45BF"/>
    <w:rsid w:val="005D59D7"/>
    <w:rsid w:val="005D5F3D"/>
    <w:rsid w:val="005E33C2"/>
    <w:rsid w:val="005E5D5F"/>
    <w:rsid w:val="005E6A17"/>
    <w:rsid w:val="005E7717"/>
    <w:rsid w:val="005F6F5F"/>
    <w:rsid w:val="005F6F8F"/>
    <w:rsid w:val="00604BA7"/>
    <w:rsid w:val="00605316"/>
    <w:rsid w:val="0060577D"/>
    <w:rsid w:val="00605B89"/>
    <w:rsid w:val="00605DCC"/>
    <w:rsid w:val="00607DD9"/>
    <w:rsid w:val="006100BE"/>
    <w:rsid w:val="006134C2"/>
    <w:rsid w:val="00615411"/>
    <w:rsid w:val="0062019F"/>
    <w:rsid w:val="00621059"/>
    <w:rsid w:val="00621BBB"/>
    <w:rsid w:val="00621BF0"/>
    <w:rsid w:val="006239E4"/>
    <w:rsid w:val="00625C47"/>
    <w:rsid w:val="00625EC0"/>
    <w:rsid w:val="00626374"/>
    <w:rsid w:val="00627298"/>
    <w:rsid w:val="00627B91"/>
    <w:rsid w:val="00627FD5"/>
    <w:rsid w:val="006314DF"/>
    <w:rsid w:val="00632F49"/>
    <w:rsid w:val="00633BD1"/>
    <w:rsid w:val="00634EE1"/>
    <w:rsid w:val="00635CCC"/>
    <w:rsid w:val="00636509"/>
    <w:rsid w:val="006376BC"/>
    <w:rsid w:val="00640656"/>
    <w:rsid w:val="00644B1E"/>
    <w:rsid w:val="006475F8"/>
    <w:rsid w:val="00651918"/>
    <w:rsid w:val="00651B70"/>
    <w:rsid w:val="006523B1"/>
    <w:rsid w:val="00656564"/>
    <w:rsid w:val="00660A41"/>
    <w:rsid w:val="006623DA"/>
    <w:rsid w:val="0066273E"/>
    <w:rsid w:val="0066312F"/>
    <w:rsid w:val="00664B3A"/>
    <w:rsid w:val="00664D90"/>
    <w:rsid w:val="006650DF"/>
    <w:rsid w:val="00670FF5"/>
    <w:rsid w:val="00671A6B"/>
    <w:rsid w:val="00677019"/>
    <w:rsid w:val="00680237"/>
    <w:rsid w:val="00680AF8"/>
    <w:rsid w:val="0068146D"/>
    <w:rsid w:val="00683413"/>
    <w:rsid w:val="00684249"/>
    <w:rsid w:val="00684C08"/>
    <w:rsid w:val="00690478"/>
    <w:rsid w:val="00690C66"/>
    <w:rsid w:val="006924E2"/>
    <w:rsid w:val="00692AB1"/>
    <w:rsid w:val="00694834"/>
    <w:rsid w:val="00696B1E"/>
    <w:rsid w:val="006A0B24"/>
    <w:rsid w:val="006A4DE4"/>
    <w:rsid w:val="006B0D29"/>
    <w:rsid w:val="006B214E"/>
    <w:rsid w:val="006B3600"/>
    <w:rsid w:val="006C05AD"/>
    <w:rsid w:val="006C2CB1"/>
    <w:rsid w:val="006C2E3B"/>
    <w:rsid w:val="006C321B"/>
    <w:rsid w:val="006C4475"/>
    <w:rsid w:val="006C65AA"/>
    <w:rsid w:val="006C6D73"/>
    <w:rsid w:val="006C73CC"/>
    <w:rsid w:val="006C7D5A"/>
    <w:rsid w:val="006D16FF"/>
    <w:rsid w:val="006D22D8"/>
    <w:rsid w:val="006D2B5B"/>
    <w:rsid w:val="006D3206"/>
    <w:rsid w:val="006D469A"/>
    <w:rsid w:val="006D5222"/>
    <w:rsid w:val="006E25A7"/>
    <w:rsid w:val="006E43BA"/>
    <w:rsid w:val="006E44DA"/>
    <w:rsid w:val="006E5685"/>
    <w:rsid w:val="006F3721"/>
    <w:rsid w:val="006F5DF1"/>
    <w:rsid w:val="006F5EFC"/>
    <w:rsid w:val="00700A5B"/>
    <w:rsid w:val="00700EAB"/>
    <w:rsid w:val="00701EAD"/>
    <w:rsid w:val="0070330B"/>
    <w:rsid w:val="00703B43"/>
    <w:rsid w:val="00711ECE"/>
    <w:rsid w:val="007123C7"/>
    <w:rsid w:val="007156AA"/>
    <w:rsid w:val="0071634B"/>
    <w:rsid w:val="007168A8"/>
    <w:rsid w:val="00716E2D"/>
    <w:rsid w:val="00717752"/>
    <w:rsid w:val="007203D9"/>
    <w:rsid w:val="00720FC3"/>
    <w:rsid w:val="00721B7A"/>
    <w:rsid w:val="00721F8D"/>
    <w:rsid w:val="00722793"/>
    <w:rsid w:val="00722980"/>
    <w:rsid w:val="00725787"/>
    <w:rsid w:val="007278B2"/>
    <w:rsid w:val="00731A1A"/>
    <w:rsid w:val="00731B5F"/>
    <w:rsid w:val="00734752"/>
    <w:rsid w:val="00734830"/>
    <w:rsid w:val="00735CC7"/>
    <w:rsid w:val="007365AB"/>
    <w:rsid w:val="00740E50"/>
    <w:rsid w:val="007418B2"/>
    <w:rsid w:val="00742A08"/>
    <w:rsid w:val="007466A2"/>
    <w:rsid w:val="00746BAC"/>
    <w:rsid w:val="00747188"/>
    <w:rsid w:val="00747E0D"/>
    <w:rsid w:val="00750E6B"/>
    <w:rsid w:val="00750F88"/>
    <w:rsid w:val="00751C2B"/>
    <w:rsid w:val="00752161"/>
    <w:rsid w:val="007521B2"/>
    <w:rsid w:val="007533A0"/>
    <w:rsid w:val="007546A6"/>
    <w:rsid w:val="00756773"/>
    <w:rsid w:val="0075785E"/>
    <w:rsid w:val="00760047"/>
    <w:rsid w:val="007629AC"/>
    <w:rsid w:val="00762B5C"/>
    <w:rsid w:val="00763647"/>
    <w:rsid w:val="007640B8"/>
    <w:rsid w:val="00765813"/>
    <w:rsid w:val="00765CBC"/>
    <w:rsid w:val="007664DE"/>
    <w:rsid w:val="00766845"/>
    <w:rsid w:val="007734F7"/>
    <w:rsid w:val="00773EFF"/>
    <w:rsid w:val="007748F5"/>
    <w:rsid w:val="00775EFA"/>
    <w:rsid w:val="007768A2"/>
    <w:rsid w:val="007800F6"/>
    <w:rsid w:val="00780577"/>
    <w:rsid w:val="0078166B"/>
    <w:rsid w:val="0078335F"/>
    <w:rsid w:val="0078337B"/>
    <w:rsid w:val="007860FC"/>
    <w:rsid w:val="00786763"/>
    <w:rsid w:val="00786D0B"/>
    <w:rsid w:val="00791BFD"/>
    <w:rsid w:val="00791DD3"/>
    <w:rsid w:val="0079471C"/>
    <w:rsid w:val="00796E05"/>
    <w:rsid w:val="00797252"/>
    <w:rsid w:val="007A0348"/>
    <w:rsid w:val="007A166E"/>
    <w:rsid w:val="007A24B8"/>
    <w:rsid w:val="007A4A8C"/>
    <w:rsid w:val="007A4ED2"/>
    <w:rsid w:val="007A612B"/>
    <w:rsid w:val="007A7887"/>
    <w:rsid w:val="007B0684"/>
    <w:rsid w:val="007B1AC0"/>
    <w:rsid w:val="007B3EF5"/>
    <w:rsid w:val="007B4FE5"/>
    <w:rsid w:val="007B7195"/>
    <w:rsid w:val="007B7DEA"/>
    <w:rsid w:val="007C0C50"/>
    <w:rsid w:val="007C168D"/>
    <w:rsid w:val="007C31F9"/>
    <w:rsid w:val="007C350A"/>
    <w:rsid w:val="007C5198"/>
    <w:rsid w:val="007C6AED"/>
    <w:rsid w:val="007C75D3"/>
    <w:rsid w:val="007D20A7"/>
    <w:rsid w:val="007D45DB"/>
    <w:rsid w:val="007D476F"/>
    <w:rsid w:val="007E2661"/>
    <w:rsid w:val="007E2A8F"/>
    <w:rsid w:val="007E2DEC"/>
    <w:rsid w:val="007E33DE"/>
    <w:rsid w:val="007E50B7"/>
    <w:rsid w:val="007E7745"/>
    <w:rsid w:val="007F04D1"/>
    <w:rsid w:val="007F17FE"/>
    <w:rsid w:val="007F30F2"/>
    <w:rsid w:val="007F5244"/>
    <w:rsid w:val="007F6C3F"/>
    <w:rsid w:val="007F7CB9"/>
    <w:rsid w:val="0080022A"/>
    <w:rsid w:val="008003B5"/>
    <w:rsid w:val="00801D50"/>
    <w:rsid w:val="00801E6F"/>
    <w:rsid w:val="00802AE7"/>
    <w:rsid w:val="0080393B"/>
    <w:rsid w:val="00803F3B"/>
    <w:rsid w:val="00804347"/>
    <w:rsid w:val="00804AF7"/>
    <w:rsid w:val="0080563C"/>
    <w:rsid w:val="00806234"/>
    <w:rsid w:val="00806298"/>
    <w:rsid w:val="00806644"/>
    <w:rsid w:val="00807BC2"/>
    <w:rsid w:val="00807DAE"/>
    <w:rsid w:val="00812A36"/>
    <w:rsid w:val="00813D68"/>
    <w:rsid w:val="00813DBE"/>
    <w:rsid w:val="008140CD"/>
    <w:rsid w:val="0081433C"/>
    <w:rsid w:val="008150DD"/>
    <w:rsid w:val="008171BC"/>
    <w:rsid w:val="008271F9"/>
    <w:rsid w:val="00827F7D"/>
    <w:rsid w:val="00833291"/>
    <w:rsid w:val="00834076"/>
    <w:rsid w:val="008358AD"/>
    <w:rsid w:val="00836BE2"/>
    <w:rsid w:val="00837017"/>
    <w:rsid w:val="00837FBB"/>
    <w:rsid w:val="00840374"/>
    <w:rsid w:val="00840DA8"/>
    <w:rsid w:val="008410DE"/>
    <w:rsid w:val="00842AC4"/>
    <w:rsid w:val="00844315"/>
    <w:rsid w:val="00850040"/>
    <w:rsid w:val="0085028A"/>
    <w:rsid w:val="00850E2F"/>
    <w:rsid w:val="00850F6E"/>
    <w:rsid w:val="0085156B"/>
    <w:rsid w:val="008516F3"/>
    <w:rsid w:val="00853D69"/>
    <w:rsid w:val="00854533"/>
    <w:rsid w:val="00855A93"/>
    <w:rsid w:val="00856055"/>
    <w:rsid w:val="00860B57"/>
    <w:rsid w:val="00860B7F"/>
    <w:rsid w:val="00863FCE"/>
    <w:rsid w:val="00865826"/>
    <w:rsid w:val="00865A8D"/>
    <w:rsid w:val="008660D7"/>
    <w:rsid w:val="0086717C"/>
    <w:rsid w:val="00867AC2"/>
    <w:rsid w:val="00871460"/>
    <w:rsid w:val="008728BD"/>
    <w:rsid w:val="00872D72"/>
    <w:rsid w:val="0087336C"/>
    <w:rsid w:val="008735FE"/>
    <w:rsid w:val="00873BDC"/>
    <w:rsid w:val="00873DB7"/>
    <w:rsid w:val="00875750"/>
    <w:rsid w:val="00876ED3"/>
    <w:rsid w:val="008771E9"/>
    <w:rsid w:val="008772CC"/>
    <w:rsid w:val="00883316"/>
    <w:rsid w:val="00884F3C"/>
    <w:rsid w:val="0088525F"/>
    <w:rsid w:val="00887215"/>
    <w:rsid w:val="008872B2"/>
    <w:rsid w:val="0088751F"/>
    <w:rsid w:val="00894361"/>
    <w:rsid w:val="00896E35"/>
    <w:rsid w:val="008976C9"/>
    <w:rsid w:val="00897836"/>
    <w:rsid w:val="008A13E4"/>
    <w:rsid w:val="008A3D55"/>
    <w:rsid w:val="008A48AF"/>
    <w:rsid w:val="008A53A7"/>
    <w:rsid w:val="008A5C0A"/>
    <w:rsid w:val="008A6924"/>
    <w:rsid w:val="008A7421"/>
    <w:rsid w:val="008A7656"/>
    <w:rsid w:val="008B37DB"/>
    <w:rsid w:val="008B3970"/>
    <w:rsid w:val="008B3F78"/>
    <w:rsid w:val="008B43D6"/>
    <w:rsid w:val="008B4D74"/>
    <w:rsid w:val="008B55FF"/>
    <w:rsid w:val="008B7721"/>
    <w:rsid w:val="008B7CF5"/>
    <w:rsid w:val="008C2447"/>
    <w:rsid w:val="008C2F7E"/>
    <w:rsid w:val="008C449C"/>
    <w:rsid w:val="008C5329"/>
    <w:rsid w:val="008C7D29"/>
    <w:rsid w:val="008D10D4"/>
    <w:rsid w:val="008D21EE"/>
    <w:rsid w:val="008D243A"/>
    <w:rsid w:val="008D30C6"/>
    <w:rsid w:val="008D3ADE"/>
    <w:rsid w:val="008D5BA9"/>
    <w:rsid w:val="008D6546"/>
    <w:rsid w:val="008D7832"/>
    <w:rsid w:val="008E2D07"/>
    <w:rsid w:val="008E766C"/>
    <w:rsid w:val="008E76DA"/>
    <w:rsid w:val="008F0796"/>
    <w:rsid w:val="008F3EBF"/>
    <w:rsid w:val="008F4EBF"/>
    <w:rsid w:val="008F50B8"/>
    <w:rsid w:val="008F60C2"/>
    <w:rsid w:val="008F66F7"/>
    <w:rsid w:val="00901D6B"/>
    <w:rsid w:val="0090451C"/>
    <w:rsid w:val="0090528E"/>
    <w:rsid w:val="009071C8"/>
    <w:rsid w:val="00907806"/>
    <w:rsid w:val="0091153F"/>
    <w:rsid w:val="00911783"/>
    <w:rsid w:val="00911B54"/>
    <w:rsid w:val="00912341"/>
    <w:rsid w:val="0091333F"/>
    <w:rsid w:val="0091335B"/>
    <w:rsid w:val="00926350"/>
    <w:rsid w:val="009267BF"/>
    <w:rsid w:val="009304DB"/>
    <w:rsid w:val="00932767"/>
    <w:rsid w:val="00935626"/>
    <w:rsid w:val="0094175A"/>
    <w:rsid w:val="00941D01"/>
    <w:rsid w:val="00943FC4"/>
    <w:rsid w:val="00944345"/>
    <w:rsid w:val="009443F1"/>
    <w:rsid w:val="009461C8"/>
    <w:rsid w:val="009464FD"/>
    <w:rsid w:val="00946EED"/>
    <w:rsid w:val="00947681"/>
    <w:rsid w:val="009528C8"/>
    <w:rsid w:val="0095344E"/>
    <w:rsid w:val="0095527E"/>
    <w:rsid w:val="009608D9"/>
    <w:rsid w:val="00960AA1"/>
    <w:rsid w:val="009616C6"/>
    <w:rsid w:val="0096288B"/>
    <w:rsid w:val="00963002"/>
    <w:rsid w:val="009631CA"/>
    <w:rsid w:val="0096327C"/>
    <w:rsid w:val="0096366C"/>
    <w:rsid w:val="009657F4"/>
    <w:rsid w:val="00965823"/>
    <w:rsid w:val="00967679"/>
    <w:rsid w:val="00967872"/>
    <w:rsid w:val="00967C8E"/>
    <w:rsid w:val="00970B92"/>
    <w:rsid w:val="00971997"/>
    <w:rsid w:val="009725DD"/>
    <w:rsid w:val="00974550"/>
    <w:rsid w:val="00974DBA"/>
    <w:rsid w:val="00977A10"/>
    <w:rsid w:val="009810B5"/>
    <w:rsid w:val="00981AED"/>
    <w:rsid w:val="009831DC"/>
    <w:rsid w:val="00984BFA"/>
    <w:rsid w:val="00985B4C"/>
    <w:rsid w:val="00990A5D"/>
    <w:rsid w:val="0099369F"/>
    <w:rsid w:val="009951DC"/>
    <w:rsid w:val="0099635A"/>
    <w:rsid w:val="00996450"/>
    <w:rsid w:val="009A1FCE"/>
    <w:rsid w:val="009A209A"/>
    <w:rsid w:val="009A25E6"/>
    <w:rsid w:val="009A4287"/>
    <w:rsid w:val="009A43A4"/>
    <w:rsid w:val="009A5158"/>
    <w:rsid w:val="009A56FF"/>
    <w:rsid w:val="009A6C7E"/>
    <w:rsid w:val="009B0498"/>
    <w:rsid w:val="009B0921"/>
    <w:rsid w:val="009B0D77"/>
    <w:rsid w:val="009B16FB"/>
    <w:rsid w:val="009B1A12"/>
    <w:rsid w:val="009B1A14"/>
    <w:rsid w:val="009B5D4E"/>
    <w:rsid w:val="009B75CB"/>
    <w:rsid w:val="009C00D0"/>
    <w:rsid w:val="009C214A"/>
    <w:rsid w:val="009C254A"/>
    <w:rsid w:val="009C456E"/>
    <w:rsid w:val="009C47EF"/>
    <w:rsid w:val="009C4811"/>
    <w:rsid w:val="009C5C37"/>
    <w:rsid w:val="009C620B"/>
    <w:rsid w:val="009D00F8"/>
    <w:rsid w:val="009D1DDC"/>
    <w:rsid w:val="009D1F27"/>
    <w:rsid w:val="009D37F7"/>
    <w:rsid w:val="009D38E7"/>
    <w:rsid w:val="009D66E9"/>
    <w:rsid w:val="009D68EF"/>
    <w:rsid w:val="009D71F4"/>
    <w:rsid w:val="009D75A4"/>
    <w:rsid w:val="009E157E"/>
    <w:rsid w:val="009E201E"/>
    <w:rsid w:val="009E24A3"/>
    <w:rsid w:val="009E29BD"/>
    <w:rsid w:val="009E3BB0"/>
    <w:rsid w:val="009E4C37"/>
    <w:rsid w:val="009E5EA9"/>
    <w:rsid w:val="009E6D81"/>
    <w:rsid w:val="009F0F96"/>
    <w:rsid w:val="009F16D1"/>
    <w:rsid w:val="009F26DF"/>
    <w:rsid w:val="009F3B5F"/>
    <w:rsid w:val="009F3E90"/>
    <w:rsid w:val="009F49C1"/>
    <w:rsid w:val="009F558C"/>
    <w:rsid w:val="00A00D2B"/>
    <w:rsid w:val="00A01DA8"/>
    <w:rsid w:val="00A03355"/>
    <w:rsid w:val="00A03DBA"/>
    <w:rsid w:val="00A04C9B"/>
    <w:rsid w:val="00A14418"/>
    <w:rsid w:val="00A14FE3"/>
    <w:rsid w:val="00A2065B"/>
    <w:rsid w:val="00A2122F"/>
    <w:rsid w:val="00A217F6"/>
    <w:rsid w:val="00A219FE"/>
    <w:rsid w:val="00A21F4C"/>
    <w:rsid w:val="00A231E8"/>
    <w:rsid w:val="00A2415E"/>
    <w:rsid w:val="00A24E81"/>
    <w:rsid w:val="00A24EB8"/>
    <w:rsid w:val="00A3125E"/>
    <w:rsid w:val="00A337B8"/>
    <w:rsid w:val="00A37052"/>
    <w:rsid w:val="00A37C49"/>
    <w:rsid w:val="00A416BD"/>
    <w:rsid w:val="00A42A19"/>
    <w:rsid w:val="00A42C5E"/>
    <w:rsid w:val="00A467CE"/>
    <w:rsid w:val="00A46D20"/>
    <w:rsid w:val="00A54F81"/>
    <w:rsid w:val="00A5600B"/>
    <w:rsid w:val="00A56A6A"/>
    <w:rsid w:val="00A60CC7"/>
    <w:rsid w:val="00A62156"/>
    <w:rsid w:val="00A62B7D"/>
    <w:rsid w:val="00A63053"/>
    <w:rsid w:val="00A63E38"/>
    <w:rsid w:val="00A6466C"/>
    <w:rsid w:val="00A64BC4"/>
    <w:rsid w:val="00A664D0"/>
    <w:rsid w:val="00A676A4"/>
    <w:rsid w:val="00A67BDF"/>
    <w:rsid w:val="00A67EB0"/>
    <w:rsid w:val="00A73504"/>
    <w:rsid w:val="00A7380C"/>
    <w:rsid w:val="00A74118"/>
    <w:rsid w:val="00A74AC4"/>
    <w:rsid w:val="00A74B34"/>
    <w:rsid w:val="00A77F99"/>
    <w:rsid w:val="00A84478"/>
    <w:rsid w:val="00A845AE"/>
    <w:rsid w:val="00A846ED"/>
    <w:rsid w:val="00A87505"/>
    <w:rsid w:val="00A87ACC"/>
    <w:rsid w:val="00A90898"/>
    <w:rsid w:val="00A9158D"/>
    <w:rsid w:val="00A93097"/>
    <w:rsid w:val="00A938D4"/>
    <w:rsid w:val="00A93C4D"/>
    <w:rsid w:val="00A96D2A"/>
    <w:rsid w:val="00AA1527"/>
    <w:rsid w:val="00AA3DB8"/>
    <w:rsid w:val="00AB1050"/>
    <w:rsid w:val="00AB2828"/>
    <w:rsid w:val="00AB2B04"/>
    <w:rsid w:val="00AB474A"/>
    <w:rsid w:val="00AB5E55"/>
    <w:rsid w:val="00AB607B"/>
    <w:rsid w:val="00AB65F2"/>
    <w:rsid w:val="00AB742C"/>
    <w:rsid w:val="00AC2D01"/>
    <w:rsid w:val="00AC2EBF"/>
    <w:rsid w:val="00AC45D7"/>
    <w:rsid w:val="00AC4EA5"/>
    <w:rsid w:val="00AC56CF"/>
    <w:rsid w:val="00AC67CC"/>
    <w:rsid w:val="00AC6E9B"/>
    <w:rsid w:val="00AC7625"/>
    <w:rsid w:val="00AD2438"/>
    <w:rsid w:val="00AD2657"/>
    <w:rsid w:val="00AD48FC"/>
    <w:rsid w:val="00AD5347"/>
    <w:rsid w:val="00AD68BA"/>
    <w:rsid w:val="00AD6C39"/>
    <w:rsid w:val="00AD6F73"/>
    <w:rsid w:val="00AD7F34"/>
    <w:rsid w:val="00AE004C"/>
    <w:rsid w:val="00AE0272"/>
    <w:rsid w:val="00AE14CF"/>
    <w:rsid w:val="00AE2371"/>
    <w:rsid w:val="00AE23E1"/>
    <w:rsid w:val="00AE312C"/>
    <w:rsid w:val="00AE316F"/>
    <w:rsid w:val="00AE4992"/>
    <w:rsid w:val="00AE68D8"/>
    <w:rsid w:val="00AE6A5B"/>
    <w:rsid w:val="00AE7B1C"/>
    <w:rsid w:val="00AE7F59"/>
    <w:rsid w:val="00AF0B56"/>
    <w:rsid w:val="00AF1038"/>
    <w:rsid w:val="00AF1B9E"/>
    <w:rsid w:val="00AF4E9D"/>
    <w:rsid w:val="00AF60C2"/>
    <w:rsid w:val="00AF79B1"/>
    <w:rsid w:val="00B00331"/>
    <w:rsid w:val="00B013F0"/>
    <w:rsid w:val="00B02052"/>
    <w:rsid w:val="00B0499B"/>
    <w:rsid w:val="00B0542E"/>
    <w:rsid w:val="00B12185"/>
    <w:rsid w:val="00B1221B"/>
    <w:rsid w:val="00B14800"/>
    <w:rsid w:val="00B20896"/>
    <w:rsid w:val="00B22616"/>
    <w:rsid w:val="00B25D54"/>
    <w:rsid w:val="00B302F8"/>
    <w:rsid w:val="00B30C4D"/>
    <w:rsid w:val="00B33A6E"/>
    <w:rsid w:val="00B34B2B"/>
    <w:rsid w:val="00B35773"/>
    <w:rsid w:val="00B35A27"/>
    <w:rsid w:val="00B369B5"/>
    <w:rsid w:val="00B36FF6"/>
    <w:rsid w:val="00B375CD"/>
    <w:rsid w:val="00B4073B"/>
    <w:rsid w:val="00B40BB9"/>
    <w:rsid w:val="00B43B1B"/>
    <w:rsid w:val="00B43F13"/>
    <w:rsid w:val="00B441CC"/>
    <w:rsid w:val="00B456FA"/>
    <w:rsid w:val="00B473E6"/>
    <w:rsid w:val="00B52E08"/>
    <w:rsid w:val="00B558BA"/>
    <w:rsid w:val="00B6125C"/>
    <w:rsid w:val="00B6378E"/>
    <w:rsid w:val="00B64598"/>
    <w:rsid w:val="00B645CA"/>
    <w:rsid w:val="00B657BC"/>
    <w:rsid w:val="00B65BB0"/>
    <w:rsid w:val="00B735A1"/>
    <w:rsid w:val="00B760C4"/>
    <w:rsid w:val="00B76C47"/>
    <w:rsid w:val="00B8144B"/>
    <w:rsid w:val="00B815A2"/>
    <w:rsid w:val="00B8194B"/>
    <w:rsid w:val="00B83395"/>
    <w:rsid w:val="00B84902"/>
    <w:rsid w:val="00B867C5"/>
    <w:rsid w:val="00B86E02"/>
    <w:rsid w:val="00B9098A"/>
    <w:rsid w:val="00B90AA1"/>
    <w:rsid w:val="00B914F1"/>
    <w:rsid w:val="00B922F4"/>
    <w:rsid w:val="00B92A6D"/>
    <w:rsid w:val="00B92EB4"/>
    <w:rsid w:val="00B954E1"/>
    <w:rsid w:val="00B95971"/>
    <w:rsid w:val="00B973F0"/>
    <w:rsid w:val="00B97422"/>
    <w:rsid w:val="00B97695"/>
    <w:rsid w:val="00BA0F98"/>
    <w:rsid w:val="00BA106C"/>
    <w:rsid w:val="00BA2CF5"/>
    <w:rsid w:val="00BA2EBE"/>
    <w:rsid w:val="00BA4822"/>
    <w:rsid w:val="00BA5683"/>
    <w:rsid w:val="00BA5CD9"/>
    <w:rsid w:val="00BA7A96"/>
    <w:rsid w:val="00BB1896"/>
    <w:rsid w:val="00BB3E31"/>
    <w:rsid w:val="00BB5257"/>
    <w:rsid w:val="00BB6B3D"/>
    <w:rsid w:val="00BC1AE7"/>
    <w:rsid w:val="00BC1FC1"/>
    <w:rsid w:val="00BC51FA"/>
    <w:rsid w:val="00BC5FC3"/>
    <w:rsid w:val="00BC72B9"/>
    <w:rsid w:val="00BC737B"/>
    <w:rsid w:val="00BD3617"/>
    <w:rsid w:val="00BD3D40"/>
    <w:rsid w:val="00BD5373"/>
    <w:rsid w:val="00BD6288"/>
    <w:rsid w:val="00BD7D1E"/>
    <w:rsid w:val="00BE3944"/>
    <w:rsid w:val="00BE4FAF"/>
    <w:rsid w:val="00BE6DD3"/>
    <w:rsid w:val="00BE7239"/>
    <w:rsid w:val="00BF1772"/>
    <w:rsid w:val="00BF18FE"/>
    <w:rsid w:val="00BF1F25"/>
    <w:rsid w:val="00BF2F57"/>
    <w:rsid w:val="00BF3917"/>
    <w:rsid w:val="00BF477D"/>
    <w:rsid w:val="00BF5BCB"/>
    <w:rsid w:val="00BF76ED"/>
    <w:rsid w:val="00C0138D"/>
    <w:rsid w:val="00C043D0"/>
    <w:rsid w:val="00C0441D"/>
    <w:rsid w:val="00C051C1"/>
    <w:rsid w:val="00C07D89"/>
    <w:rsid w:val="00C1189D"/>
    <w:rsid w:val="00C11EFD"/>
    <w:rsid w:val="00C127F1"/>
    <w:rsid w:val="00C153B9"/>
    <w:rsid w:val="00C15601"/>
    <w:rsid w:val="00C159E1"/>
    <w:rsid w:val="00C236CA"/>
    <w:rsid w:val="00C23ED2"/>
    <w:rsid w:val="00C30336"/>
    <w:rsid w:val="00C31A2F"/>
    <w:rsid w:val="00C31D51"/>
    <w:rsid w:val="00C340D2"/>
    <w:rsid w:val="00C3573B"/>
    <w:rsid w:val="00C3604E"/>
    <w:rsid w:val="00C404F4"/>
    <w:rsid w:val="00C41AF7"/>
    <w:rsid w:val="00C41B3F"/>
    <w:rsid w:val="00C43D2A"/>
    <w:rsid w:val="00C44462"/>
    <w:rsid w:val="00C44C23"/>
    <w:rsid w:val="00C46997"/>
    <w:rsid w:val="00C47C3D"/>
    <w:rsid w:val="00C5171D"/>
    <w:rsid w:val="00C5255E"/>
    <w:rsid w:val="00C52C6C"/>
    <w:rsid w:val="00C53050"/>
    <w:rsid w:val="00C545A8"/>
    <w:rsid w:val="00C55E8F"/>
    <w:rsid w:val="00C56390"/>
    <w:rsid w:val="00C61447"/>
    <w:rsid w:val="00C617B1"/>
    <w:rsid w:val="00C67832"/>
    <w:rsid w:val="00C70EF6"/>
    <w:rsid w:val="00C713AE"/>
    <w:rsid w:val="00C71F91"/>
    <w:rsid w:val="00C75661"/>
    <w:rsid w:val="00C75D8B"/>
    <w:rsid w:val="00C80628"/>
    <w:rsid w:val="00C83971"/>
    <w:rsid w:val="00C849FF"/>
    <w:rsid w:val="00C8521A"/>
    <w:rsid w:val="00C85253"/>
    <w:rsid w:val="00C90507"/>
    <w:rsid w:val="00C90D6B"/>
    <w:rsid w:val="00C95606"/>
    <w:rsid w:val="00C97764"/>
    <w:rsid w:val="00CA0543"/>
    <w:rsid w:val="00CA6825"/>
    <w:rsid w:val="00CA6B39"/>
    <w:rsid w:val="00CA77C7"/>
    <w:rsid w:val="00CB2448"/>
    <w:rsid w:val="00CB396F"/>
    <w:rsid w:val="00CB75D2"/>
    <w:rsid w:val="00CC1062"/>
    <w:rsid w:val="00CC2106"/>
    <w:rsid w:val="00CC32DB"/>
    <w:rsid w:val="00CC548A"/>
    <w:rsid w:val="00CC6644"/>
    <w:rsid w:val="00CC7DEE"/>
    <w:rsid w:val="00CD5785"/>
    <w:rsid w:val="00CD7263"/>
    <w:rsid w:val="00CD7571"/>
    <w:rsid w:val="00CE16D3"/>
    <w:rsid w:val="00CE179B"/>
    <w:rsid w:val="00CE20F5"/>
    <w:rsid w:val="00CE417B"/>
    <w:rsid w:val="00CE4AA3"/>
    <w:rsid w:val="00CE4C52"/>
    <w:rsid w:val="00CE5FF4"/>
    <w:rsid w:val="00CE6289"/>
    <w:rsid w:val="00CF10B1"/>
    <w:rsid w:val="00CF3B59"/>
    <w:rsid w:val="00CF3C6E"/>
    <w:rsid w:val="00CF4331"/>
    <w:rsid w:val="00CF78B6"/>
    <w:rsid w:val="00D00E91"/>
    <w:rsid w:val="00D01239"/>
    <w:rsid w:val="00D01302"/>
    <w:rsid w:val="00D014A1"/>
    <w:rsid w:val="00D015A6"/>
    <w:rsid w:val="00D01F7E"/>
    <w:rsid w:val="00D03730"/>
    <w:rsid w:val="00D04379"/>
    <w:rsid w:val="00D0501A"/>
    <w:rsid w:val="00D06B00"/>
    <w:rsid w:val="00D07414"/>
    <w:rsid w:val="00D10330"/>
    <w:rsid w:val="00D107BD"/>
    <w:rsid w:val="00D11267"/>
    <w:rsid w:val="00D12059"/>
    <w:rsid w:val="00D1225B"/>
    <w:rsid w:val="00D15045"/>
    <w:rsid w:val="00D208C0"/>
    <w:rsid w:val="00D21445"/>
    <w:rsid w:val="00D21E6B"/>
    <w:rsid w:val="00D22C1A"/>
    <w:rsid w:val="00D235AE"/>
    <w:rsid w:val="00D23C76"/>
    <w:rsid w:val="00D253E4"/>
    <w:rsid w:val="00D25D50"/>
    <w:rsid w:val="00D26490"/>
    <w:rsid w:val="00D31C00"/>
    <w:rsid w:val="00D3270D"/>
    <w:rsid w:val="00D32CD4"/>
    <w:rsid w:val="00D33EFC"/>
    <w:rsid w:val="00D34C35"/>
    <w:rsid w:val="00D34C91"/>
    <w:rsid w:val="00D3583E"/>
    <w:rsid w:val="00D36E61"/>
    <w:rsid w:val="00D3785F"/>
    <w:rsid w:val="00D3799E"/>
    <w:rsid w:val="00D40553"/>
    <w:rsid w:val="00D4268C"/>
    <w:rsid w:val="00D428A2"/>
    <w:rsid w:val="00D42943"/>
    <w:rsid w:val="00D443DC"/>
    <w:rsid w:val="00D45BEF"/>
    <w:rsid w:val="00D47A42"/>
    <w:rsid w:val="00D50282"/>
    <w:rsid w:val="00D52083"/>
    <w:rsid w:val="00D52784"/>
    <w:rsid w:val="00D52AE4"/>
    <w:rsid w:val="00D553E7"/>
    <w:rsid w:val="00D615A8"/>
    <w:rsid w:val="00D622A4"/>
    <w:rsid w:val="00D63524"/>
    <w:rsid w:val="00D64628"/>
    <w:rsid w:val="00D66AA5"/>
    <w:rsid w:val="00D673E7"/>
    <w:rsid w:val="00D71919"/>
    <w:rsid w:val="00D74058"/>
    <w:rsid w:val="00D805B0"/>
    <w:rsid w:val="00D832DF"/>
    <w:rsid w:val="00D83621"/>
    <w:rsid w:val="00D84CBD"/>
    <w:rsid w:val="00D85A65"/>
    <w:rsid w:val="00D85D3C"/>
    <w:rsid w:val="00D87FC4"/>
    <w:rsid w:val="00D91E34"/>
    <w:rsid w:val="00D9347E"/>
    <w:rsid w:val="00D93B1D"/>
    <w:rsid w:val="00D94D2F"/>
    <w:rsid w:val="00D9595F"/>
    <w:rsid w:val="00D96AB6"/>
    <w:rsid w:val="00D96D97"/>
    <w:rsid w:val="00D9764F"/>
    <w:rsid w:val="00D97892"/>
    <w:rsid w:val="00D979AE"/>
    <w:rsid w:val="00D97A4C"/>
    <w:rsid w:val="00DA0C69"/>
    <w:rsid w:val="00DA3E45"/>
    <w:rsid w:val="00DA7DF1"/>
    <w:rsid w:val="00DB13AF"/>
    <w:rsid w:val="00DB3B6A"/>
    <w:rsid w:val="00DB5032"/>
    <w:rsid w:val="00DB5754"/>
    <w:rsid w:val="00DB59A6"/>
    <w:rsid w:val="00DB5FA8"/>
    <w:rsid w:val="00DB631D"/>
    <w:rsid w:val="00DB6523"/>
    <w:rsid w:val="00DC1005"/>
    <w:rsid w:val="00DC267D"/>
    <w:rsid w:val="00DC31FE"/>
    <w:rsid w:val="00DC33C5"/>
    <w:rsid w:val="00DC55EB"/>
    <w:rsid w:val="00DC5C08"/>
    <w:rsid w:val="00DC62E1"/>
    <w:rsid w:val="00DC66E5"/>
    <w:rsid w:val="00DC6C19"/>
    <w:rsid w:val="00DD1777"/>
    <w:rsid w:val="00DD21C1"/>
    <w:rsid w:val="00DD4683"/>
    <w:rsid w:val="00DD46E4"/>
    <w:rsid w:val="00DD71AD"/>
    <w:rsid w:val="00DD753C"/>
    <w:rsid w:val="00DD7D05"/>
    <w:rsid w:val="00DE3B72"/>
    <w:rsid w:val="00DE3CAB"/>
    <w:rsid w:val="00DE47AD"/>
    <w:rsid w:val="00DE4A6D"/>
    <w:rsid w:val="00DE4BE4"/>
    <w:rsid w:val="00DE5CC7"/>
    <w:rsid w:val="00DE7878"/>
    <w:rsid w:val="00DF0C16"/>
    <w:rsid w:val="00DF2A21"/>
    <w:rsid w:val="00DF4ACA"/>
    <w:rsid w:val="00DF4B0C"/>
    <w:rsid w:val="00DF5799"/>
    <w:rsid w:val="00DF723F"/>
    <w:rsid w:val="00DF7285"/>
    <w:rsid w:val="00E00607"/>
    <w:rsid w:val="00E02BD6"/>
    <w:rsid w:val="00E0345C"/>
    <w:rsid w:val="00E0401A"/>
    <w:rsid w:val="00E04575"/>
    <w:rsid w:val="00E04B70"/>
    <w:rsid w:val="00E04D51"/>
    <w:rsid w:val="00E103C6"/>
    <w:rsid w:val="00E10ACF"/>
    <w:rsid w:val="00E1245E"/>
    <w:rsid w:val="00E12920"/>
    <w:rsid w:val="00E17518"/>
    <w:rsid w:val="00E1763D"/>
    <w:rsid w:val="00E20887"/>
    <w:rsid w:val="00E21C71"/>
    <w:rsid w:val="00E22AB0"/>
    <w:rsid w:val="00E27710"/>
    <w:rsid w:val="00E30398"/>
    <w:rsid w:val="00E31AB6"/>
    <w:rsid w:val="00E32375"/>
    <w:rsid w:val="00E32B8B"/>
    <w:rsid w:val="00E421BE"/>
    <w:rsid w:val="00E42F3B"/>
    <w:rsid w:val="00E4375A"/>
    <w:rsid w:val="00E43CC7"/>
    <w:rsid w:val="00E466A2"/>
    <w:rsid w:val="00E5451F"/>
    <w:rsid w:val="00E571D9"/>
    <w:rsid w:val="00E62157"/>
    <w:rsid w:val="00E66338"/>
    <w:rsid w:val="00E66377"/>
    <w:rsid w:val="00E710F6"/>
    <w:rsid w:val="00E71BA7"/>
    <w:rsid w:val="00E72F93"/>
    <w:rsid w:val="00E77775"/>
    <w:rsid w:val="00E80164"/>
    <w:rsid w:val="00E83023"/>
    <w:rsid w:val="00E85953"/>
    <w:rsid w:val="00E85BA9"/>
    <w:rsid w:val="00E86C9B"/>
    <w:rsid w:val="00E87185"/>
    <w:rsid w:val="00E9139E"/>
    <w:rsid w:val="00E914D3"/>
    <w:rsid w:val="00E9218E"/>
    <w:rsid w:val="00E93265"/>
    <w:rsid w:val="00EA0586"/>
    <w:rsid w:val="00EA09AD"/>
    <w:rsid w:val="00EA1277"/>
    <w:rsid w:val="00EA3136"/>
    <w:rsid w:val="00EA35D6"/>
    <w:rsid w:val="00EA66E2"/>
    <w:rsid w:val="00EA6F5D"/>
    <w:rsid w:val="00EA715E"/>
    <w:rsid w:val="00EB03E2"/>
    <w:rsid w:val="00EB0E2F"/>
    <w:rsid w:val="00EB113E"/>
    <w:rsid w:val="00EB197A"/>
    <w:rsid w:val="00EB2FB1"/>
    <w:rsid w:val="00EB4154"/>
    <w:rsid w:val="00EB4762"/>
    <w:rsid w:val="00EB5565"/>
    <w:rsid w:val="00EB6612"/>
    <w:rsid w:val="00EB6D0C"/>
    <w:rsid w:val="00EC3F93"/>
    <w:rsid w:val="00EC426B"/>
    <w:rsid w:val="00EC4948"/>
    <w:rsid w:val="00EC4ED3"/>
    <w:rsid w:val="00EC5771"/>
    <w:rsid w:val="00ED0789"/>
    <w:rsid w:val="00ED42B6"/>
    <w:rsid w:val="00ED4E49"/>
    <w:rsid w:val="00ED633E"/>
    <w:rsid w:val="00ED7A99"/>
    <w:rsid w:val="00EE1BD0"/>
    <w:rsid w:val="00EE43FE"/>
    <w:rsid w:val="00EE4688"/>
    <w:rsid w:val="00EE47D3"/>
    <w:rsid w:val="00EE5AED"/>
    <w:rsid w:val="00EE7586"/>
    <w:rsid w:val="00EF0DBD"/>
    <w:rsid w:val="00EF0E64"/>
    <w:rsid w:val="00EF1359"/>
    <w:rsid w:val="00EF4274"/>
    <w:rsid w:val="00EF48CE"/>
    <w:rsid w:val="00EF651B"/>
    <w:rsid w:val="00F01109"/>
    <w:rsid w:val="00F018AA"/>
    <w:rsid w:val="00F023E0"/>
    <w:rsid w:val="00F02BF5"/>
    <w:rsid w:val="00F05A8C"/>
    <w:rsid w:val="00F0717B"/>
    <w:rsid w:val="00F11FA8"/>
    <w:rsid w:val="00F16842"/>
    <w:rsid w:val="00F22C4E"/>
    <w:rsid w:val="00F25D4F"/>
    <w:rsid w:val="00F25EEE"/>
    <w:rsid w:val="00F26045"/>
    <w:rsid w:val="00F26454"/>
    <w:rsid w:val="00F27329"/>
    <w:rsid w:val="00F276BE"/>
    <w:rsid w:val="00F30B6F"/>
    <w:rsid w:val="00F33716"/>
    <w:rsid w:val="00F36520"/>
    <w:rsid w:val="00F42267"/>
    <w:rsid w:val="00F422CC"/>
    <w:rsid w:val="00F50488"/>
    <w:rsid w:val="00F54118"/>
    <w:rsid w:val="00F542C8"/>
    <w:rsid w:val="00F5512A"/>
    <w:rsid w:val="00F55425"/>
    <w:rsid w:val="00F566AC"/>
    <w:rsid w:val="00F56C13"/>
    <w:rsid w:val="00F57F82"/>
    <w:rsid w:val="00F60E2F"/>
    <w:rsid w:val="00F60F9B"/>
    <w:rsid w:val="00F6130D"/>
    <w:rsid w:val="00F614AF"/>
    <w:rsid w:val="00F65BC4"/>
    <w:rsid w:val="00F66AAB"/>
    <w:rsid w:val="00F7011F"/>
    <w:rsid w:val="00F70494"/>
    <w:rsid w:val="00F71655"/>
    <w:rsid w:val="00F71E43"/>
    <w:rsid w:val="00F75FD1"/>
    <w:rsid w:val="00F76535"/>
    <w:rsid w:val="00F8045D"/>
    <w:rsid w:val="00F804A0"/>
    <w:rsid w:val="00F819FE"/>
    <w:rsid w:val="00F8255F"/>
    <w:rsid w:val="00F82A79"/>
    <w:rsid w:val="00F82DF7"/>
    <w:rsid w:val="00F87014"/>
    <w:rsid w:val="00F93CD7"/>
    <w:rsid w:val="00F969BF"/>
    <w:rsid w:val="00F972C6"/>
    <w:rsid w:val="00FA11D5"/>
    <w:rsid w:val="00FA3343"/>
    <w:rsid w:val="00FA3B2C"/>
    <w:rsid w:val="00FA5CDA"/>
    <w:rsid w:val="00FA7487"/>
    <w:rsid w:val="00FA749E"/>
    <w:rsid w:val="00FA78E0"/>
    <w:rsid w:val="00FA7D05"/>
    <w:rsid w:val="00FB0350"/>
    <w:rsid w:val="00FB0550"/>
    <w:rsid w:val="00FB0962"/>
    <w:rsid w:val="00FB0B75"/>
    <w:rsid w:val="00FB0BE8"/>
    <w:rsid w:val="00FB16AC"/>
    <w:rsid w:val="00FB2035"/>
    <w:rsid w:val="00FB3D4E"/>
    <w:rsid w:val="00FB43BF"/>
    <w:rsid w:val="00FB4FF2"/>
    <w:rsid w:val="00FB5CBC"/>
    <w:rsid w:val="00FB78E3"/>
    <w:rsid w:val="00FB7A03"/>
    <w:rsid w:val="00FB7DA5"/>
    <w:rsid w:val="00FC0315"/>
    <w:rsid w:val="00FC2D40"/>
    <w:rsid w:val="00FC312B"/>
    <w:rsid w:val="00FD0A7A"/>
    <w:rsid w:val="00FD0ED7"/>
    <w:rsid w:val="00FD1591"/>
    <w:rsid w:val="00FD67D6"/>
    <w:rsid w:val="00FE05A0"/>
    <w:rsid w:val="00FE1267"/>
    <w:rsid w:val="00FE430C"/>
    <w:rsid w:val="00FE45DC"/>
    <w:rsid w:val="00FE5B05"/>
    <w:rsid w:val="00FE619A"/>
    <w:rsid w:val="00FE7953"/>
    <w:rsid w:val="00FF0480"/>
    <w:rsid w:val="00FF0576"/>
    <w:rsid w:val="00FF1B18"/>
    <w:rsid w:val="00FF2898"/>
    <w:rsid w:val="00FF29D2"/>
    <w:rsid w:val="00FF2C10"/>
    <w:rsid w:val="00FF3B6C"/>
    <w:rsid w:val="00FF40AB"/>
    <w:rsid w:val="00FF5CD1"/>
    <w:rsid w:val="00FF6E1D"/>
    <w:rsid w:val="00FF73F3"/>
    <w:rsid w:val="00FF7964"/>
    <w:rsid w:val="00FF7D1F"/>
    <w:rsid w:val="2CFFFF2D"/>
    <w:rsid w:val="3E6A3651"/>
    <w:rsid w:val="675B80B7"/>
    <w:rsid w:val="7AFFD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qFormat="1"/>
    <w:lsdException w:name="annotation text" w:qFormat="1"/>
    <w:lsdException w:name="header" w:uiPriority="99" w:qFormat="1"/>
    <w:lsdException w:name="footer"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uiPriority="99" w:qFormat="1"/>
    <w:lsdException w:name="FollowedHyperlink" w:semiHidden="1" w:unhideWhenUsed="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pPr>
      <w:widowControl w:val="0"/>
      <w:jc w:val="both"/>
    </w:pPr>
    <w:rPr>
      <w:rFonts w:eastAsia="仿宋_GB2312"/>
      <w:kern w:val="2"/>
      <w:sz w:val="30"/>
      <w:szCs w:val="24"/>
    </w:rPr>
  </w:style>
  <w:style w:type="paragraph" w:styleId="1">
    <w:name w:val="heading 1"/>
    <w:basedOn w:val="a0"/>
    <w:next w:val="a0"/>
    <w:link w:val="1Char"/>
    <w:qFormat/>
    <w:pPr>
      <w:keepNext/>
      <w:keepLines/>
      <w:spacing w:before="340" w:after="330" w:line="578" w:lineRule="auto"/>
      <w:outlineLvl w:val="0"/>
    </w:pPr>
    <w:rPr>
      <w:b/>
      <w:bCs/>
      <w:kern w:val="44"/>
      <w:sz w:val="44"/>
      <w:szCs w:val="44"/>
    </w:rPr>
  </w:style>
  <w:style w:type="paragraph" w:styleId="2">
    <w:name w:val="heading 2"/>
    <w:basedOn w:val="a0"/>
    <w:next w:val="a0"/>
    <w:qFormat/>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qFormat/>
    <w:pPr>
      <w:keepNext/>
      <w:keepLines/>
      <w:spacing w:before="260" w:after="260" w:line="416" w:lineRule="auto"/>
      <w:outlineLvl w:val="2"/>
    </w:pPr>
    <w:rPr>
      <w:b/>
      <w:bCs/>
      <w:sz w:val="32"/>
      <w:szCs w:val="32"/>
    </w:rPr>
  </w:style>
  <w:style w:type="paragraph" w:styleId="4">
    <w:name w:val="heading 4"/>
    <w:basedOn w:val="a0"/>
    <w:next w:val="a0"/>
    <w:qFormat/>
    <w:pPr>
      <w:keepNext/>
      <w:keepLines/>
      <w:spacing w:before="280" w:after="290" w:line="376" w:lineRule="auto"/>
      <w:outlineLvl w:val="3"/>
    </w:pPr>
    <w:rPr>
      <w:rFonts w:ascii="Arial" w:eastAsia="黑体" w:hAnsi="Arial"/>
      <w:b/>
      <w:bCs/>
      <w:sz w:val="28"/>
      <w:szCs w:val="28"/>
    </w:rPr>
  </w:style>
  <w:style w:type="paragraph" w:styleId="5">
    <w:name w:val="heading 5"/>
    <w:basedOn w:val="a0"/>
    <w:next w:val="a0"/>
    <w:qFormat/>
    <w:pPr>
      <w:keepNext/>
      <w:keepLines/>
      <w:spacing w:before="280" w:after="290" w:line="376" w:lineRule="auto"/>
      <w:outlineLvl w:val="4"/>
    </w:pPr>
    <w:rPr>
      <w:rFonts w:eastAsia="宋体"/>
      <w:b/>
      <w:bCs/>
      <w:sz w:val="28"/>
      <w:szCs w:val="28"/>
    </w:rPr>
  </w:style>
  <w:style w:type="paragraph" w:styleId="6">
    <w:name w:val="heading 6"/>
    <w:basedOn w:val="a0"/>
    <w:next w:val="a0"/>
    <w:qFormat/>
    <w:pPr>
      <w:keepNext/>
      <w:keepLines/>
      <w:spacing w:before="240" w:after="64" w:line="320" w:lineRule="auto"/>
      <w:outlineLvl w:val="5"/>
    </w:pPr>
    <w:rPr>
      <w:rFonts w:ascii="Arial" w:eastAsia="黑体" w:hAnsi="Arial"/>
      <w:b/>
      <w:bCs/>
      <w:sz w:val="24"/>
    </w:rPr>
  </w:style>
  <w:style w:type="paragraph" w:styleId="7">
    <w:name w:val="heading 7"/>
    <w:basedOn w:val="a0"/>
    <w:next w:val="a0"/>
    <w:qFormat/>
    <w:pPr>
      <w:keepNext/>
      <w:keepLines/>
      <w:spacing w:before="240" w:after="64" w:line="320" w:lineRule="auto"/>
      <w:outlineLvl w:val="6"/>
    </w:pPr>
    <w:rPr>
      <w:rFonts w:eastAsia="宋体"/>
      <w:b/>
      <w:bCs/>
      <w:sz w:val="24"/>
    </w:rPr>
  </w:style>
  <w:style w:type="paragraph" w:styleId="8">
    <w:name w:val="heading 8"/>
    <w:basedOn w:val="a0"/>
    <w:next w:val="a0"/>
    <w:qFormat/>
    <w:pPr>
      <w:keepNext/>
      <w:keepLines/>
      <w:spacing w:before="240" w:after="64" w:line="320" w:lineRule="auto"/>
      <w:outlineLvl w:val="7"/>
    </w:pPr>
    <w:rPr>
      <w:rFonts w:ascii="Arial" w:eastAsia="黑体" w:hAnsi="Arial"/>
      <w:sz w:val="24"/>
    </w:rPr>
  </w:style>
  <w:style w:type="paragraph" w:styleId="9">
    <w:name w:val="heading 9"/>
    <w:basedOn w:val="a0"/>
    <w:next w:val="a0"/>
    <w:qFormat/>
    <w:pPr>
      <w:keepNext/>
      <w:keepLines/>
      <w:spacing w:before="240" w:after="64" w:line="320" w:lineRule="auto"/>
      <w:outlineLvl w:val="8"/>
    </w:pPr>
    <w:rPr>
      <w:rFonts w:ascii="Arial" w:eastAsia="黑体" w:hAnsi="Arial"/>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Indent"/>
    <w:basedOn w:val="a0"/>
    <w:qFormat/>
    <w:pPr>
      <w:ind w:firstLine="420"/>
    </w:pPr>
    <w:rPr>
      <w:rFonts w:eastAsia="宋体"/>
      <w:sz w:val="21"/>
      <w:szCs w:val="20"/>
    </w:rPr>
  </w:style>
  <w:style w:type="paragraph" w:styleId="a5">
    <w:name w:val="Document Map"/>
    <w:basedOn w:val="a0"/>
    <w:semiHidden/>
    <w:qFormat/>
    <w:pPr>
      <w:shd w:val="clear" w:color="auto" w:fill="000080"/>
    </w:pPr>
  </w:style>
  <w:style w:type="paragraph" w:styleId="a6">
    <w:name w:val="annotation text"/>
    <w:basedOn w:val="a0"/>
    <w:link w:val="Char"/>
    <w:qFormat/>
    <w:pPr>
      <w:jc w:val="left"/>
    </w:pPr>
    <w:rPr>
      <w:lang w:val="zh-CN"/>
    </w:rPr>
  </w:style>
  <w:style w:type="paragraph" w:styleId="a">
    <w:name w:val="Body Text"/>
    <w:basedOn w:val="a0"/>
    <w:qFormat/>
    <w:pPr>
      <w:numPr>
        <w:numId w:val="1"/>
      </w:numPr>
      <w:spacing w:after="120"/>
    </w:pPr>
    <w:rPr>
      <w:rFonts w:ascii="Calibri" w:eastAsia="宋体" w:hAnsi="Calibri"/>
      <w:sz w:val="21"/>
      <w:szCs w:val="22"/>
    </w:rPr>
  </w:style>
  <w:style w:type="paragraph" w:styleId="a7">
    <w:name w:val="Body Text Indent"/>
    <w:basedOn w:val="a0"/>
    <w:qFormat/>
    <w:pPr>
      <w:spacing w:after="120"/>
      <w:ind w:leftChars="200" w:left="420"/>
    </w:pPr>
  </w:style>
  <w:style w:type="paragraph" w:styleId="20">
    <w:name w:val="Body Text Indent 2"/>
    <w:basedOn w:val="a0"/>
    <w:link w:val="2Char"/>
    <w:qFormat/>
    <w:pPr>
      <w:spacing w:after="120" w:line="480" w:lineRule="auto"/>
      <w:ind w:leftChars="200" w:left="420"/>
    </w:pPr>
    <w:rPr>
      <w:rFonts w:eastAsia="宋体"/>
      <w:sz w:val="21"/>
    </w:rPr>
  </w:style>
  <w:style w:type="paragraph" w:styleId="a8">
    <w:name w:val="Balloon Text"/>
    <w:basedOn w:val="a0"/>
    <w:semiHidden/>
    <w:qFormat/>
    <w:rPr>
      <w:sz w:val="18"/>
      <w:szCs w:val="18"/>
    </w:rPr>
  </w:style>
  <w:style w:type="paragraph" w:styleId="a9">
    <w:name w:val="footer"/>
    <w:basedOn w:val="a0"/>
    <w:link w:val="Char0"/>
    <w:uiPriority w:val="99"/>
    <w:unhideWhenUsed/>
    <w:qFormat/>
    <w:pPr>
      <w:tabs>
        <w:tab w:val="center" w:pos="4153"/>
        <w:tab w:val="right" w:pos="8306"/>
      </w:tabs>
      <w:snapToGrid w:val="0"/>
      <w:jc w:val="left"/>
    </w:pPr>
    <w:rPr>
      <w:rFonts w:eastAsia="宋体"/>
      <w:kern w:val="0"/>
      <w:sz w:val="18"/>
      <w:szCs w:val="18"/>
      <w:lang w:val="zh-CN"/>
    </w:rPr>
  </w:style>
  <w:style w:type="paragraph" w:styleId="aa">
    <w:name w:val="header"/>
    <w:basedOn w:val="a0"/>
    <w:link w:val="Char1"/>
    <w:uiPriority w:val="99"/>
    <w:qFormat/>
    <w:pPr>
      <w:pBdr>
        <w:bottom w:val="single" w:sz="6" w:space="1" w:color="auto"/>
      </w:pBdr>
      <w:tabs>
        <w:tab w:val="center" w:pos="4153"/>
        <w:tab w:val="right" w:pos="8306"/>
      </w:tabs>
      <w:snapToGrid w:val="0"/>
      <w:jc w:val="center"/>
    </w:pPr>
    <w:rPr>
      <w:sz w:val="18"/>
      <w:szCs w:val="18"/>
      <w:lang w:val="zh-CN"/>
    </w:rPr>
  </w:style>
  <w:style w:type="paragraph" w:styleId="10">
    <w:name w:val="toc 1"/>
    <w:basedOn w:val="a0"/>
    <w:next w:val="a0"/>
    <w:uiPriority w:val="39"/>
    <w:qFormat/>
  </w:style>
  <w:style w:type="paragraph" w:styleId="ab">
    <w:name w:val="footnote text"/>
    <w:basedOn w:val="a0"/>
    <w:link w:val="Char2"/>
    <w:qFormat/>
    <w:pPr>
      <w:snapToGrid w:val="0"/>
      <w:jc w:val="left"/>
    </w:pPr>
    <w:rPr>
      <w:rFonts w:ascii="Calibri" w:eastAsia="宋体" w:hAnsi="Calibri"/>
      <w:kern w:val="0"/>
      <w:sz w:val="18"/>
      <w:szCs w:val="20"/>
    </w:rPr>
  </w:style>
  <w:style w:type="paragraph" w:styleId="30">
    <w:name w:val="Body Text Indent 3"/>
    <w:basedOn w:val="a0"/>
    <w:qFormat/>
    <w:pPr>
      <w:spacing w:after="120"/>
      <w:ind w:leftChars="200" w:left="420"/>
    </w:pPr>
    <w:rPr>
      <w:sz w:val="16"/>
      <w:szCs w:val="16"/>
    </w:rPr>
  </w:style>
  <w:style w:type="paragraph" w:styleId="21">
    <w:name w:val="toc 2"/>
    <w:basedOn w:val="a0"/>
    <w:next w:val="a0"/>
    <w:uiPriority w:val="39"/>
    <w:qFormat/>
    <w:pPr>
      <w:ind w:leftChars="200" w:left="420"/>
    </w:pPr>
  </w:style>
  <w:style w:type="paragraph" w:styleId="ac">
    <w:name w:val="Normal (Web)"/>
    <w:basedOn w:val="a0"/>
    <w:qFormat/>
    <w:pPr>
      <w:widowControl/>
      <w:spacing w:before="100" w:beforeAutospacing="1" w:after="100" w:afterAutospacing="1"/>
      <w:jc w:val="left"/>
    </w:pPr>
    <w:rPr>
      <w:rFonts w:ascii="Arial Unicode MS" w:eastAsia="Arial Unicode MS" w:hAnsi="Arial Unicode MS" w:cs="Arial Unicode MS" w:hint="eastAsia"/>
      <w:color w:val="000000"/>
      <w:kern w:val="0"/>
      <w:sz w:val="24"/>
    </w:rPr>
  </w:style>
  <w:style w:type="paragraph" w:styleId="ad">
    <w:name w:val="annotation subject"/>
    <w:basedOn w:val="a6"/>
    <w:next w:val="a6"/>
    <w:semiHidden/>
    <w:qFormat/>
    <w:rPr>
      <w:b/>
      <w:bCs/>
    </w:rPr>
  </w:style>
  <w:style w:type="table" w:styleId="ae">
    <w:name w:val="Table Grid"/>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qFormat/>
    <w:rPr>
      <w:color w:val="0000FF"/>
      <w:u w:val="single"/>
    </w:rPr>
  </w:style>
  <w:style w:type="character" w:styleId="af0">
    <w:name w:val="annotation reference"/>
    <w:qFormat/>
    <w:rPr>
      <w:sz w:val="21"/>
      <w:szCs w:val="21"/>
    </w:rPr>
  </w:style>
  <w:style w:type="character" w:styleId="af1">
    <w:name w:val="footnote reference"/>
    <w:qFormat/>
    <w:rPr>
      <w:rFonts w:cs="Times New Roman"/>
      <w:vertAlign w:val="superscript"/>
    </w:rPr>
  </w:style>
  <w:style w:type="paragraph" w:customStyle="1" w:styleId="Char20">
    <w:name w:val="Char2"/>
    <w:basedOn w:val="a0"/>
    <w:qFormat/>
    <w:pPr>
      <w:widowControl/>
      <w:spacing w:after="160" w:line="240" w:lineRule="exact"/>
      <w:jc w:val="left"/>
    </w:pPr>
    <w:rPr>
      <w:rFonts w:ascii="Verdana" w:hAnsi="Verdana"/>
      <w:kern w:val="0"/>
      <w:sz w:val="24"/>
      <w:szCs w:val="20"/>
      <w:lang w:eastAsia="en-US"/>
    </w:rPr>
  </w:style>
  <w:style w:type="paragraph" w:customStyle="1" w:styleId="Char1CharCharChar">
    <w:name w:val="Char1 Char Char Char"/>
    <w:basedOn w:val="a0"/>
    <w:qFormat/>
    <w:pPr>
      <w:widowControl/>
      <w:spacing w:after="160" w:line="240" w:lineRule="exact"/>
      <w:jc w:val="left"/>
    </w:pPr>
    <w:rPr>
      <w:rFonts w:ascii="Verdana" w:hAnsi="Verdana"/>
      <w:kern w:val="0"/>
      <w:szCs w:val="30"/>
      <w:lang w:eastAsia="en-US"/>
    </w:rPr>
  </w:style>
  <w:style w:type="paragraph" w:customStyle="1" w:styleId="CharCharCharChar">
    <w:name w:val="Char Char Char Char"/>
    <w:basedOn w:val="a0"/>
    <w:qFormat/>
    <w:pPr>
      <w:numPr>
        <w:numId w:val="2"/>
      </w:numPr>
    </w:pPr>
    <w:rPr>
      <w:rFonts w:eastAsia="宋体"/>
      <w:sz w:val="24"/>
    </w:rPr>
  </w:style>
  <w:style w:type="character" w:customStyle="1" w:styleId="2Char">
    <w:name w:val="正文文本缩进 2 Char"/>
    <w:link w:val="20"/>
    <w:qFormat/>
    <w:rPr>
      <w:rFonts w:eastAsia="宋体"/>
      <w:kern w:val="2"/>
      <w:sz w:val="21"/>
      <w:szCs w:val="24"/>
      <w:lang w:val="en-US" w:eastAsia="zh-CN" w:bidi="ar-SA"/>
    </w:rPr>
  </w:style>
  <w:style w:type="paragraph" w:customStyle="1" w:styleId="Char10">
    <w:name w:val="Char1"/>
    <w:basedOn w:val="a0"/>
    <w:qFormat/>
    <w:rPr>
      <w:rFonts w:ascii="宋体" w:eastAsia="宋体" w:hAnsi="宋体" w:cs="Courier New"/>
      <w:sz w:val="32"/>
      <w:szCs w:val="32"/>
    </w:rPr>
  </w:style>
  <w:style w:type="paragraph" w:customStyle="1" w:styleId="210">
    <w:name w:val="目录 21"/>
    <w:basedOn w:val="a0"/>
    <w:next w:val="a0"/>
    <w:uiPriority w:val="39"/>
    <w:qFormat/>
    <w:pPr>
      <w:ind w:left="300"/>
      <w:jc w:val="left"/>
    </w:pPr>
    <w:rPr>
      <w:rFonts w:ascii="Calibri" w:hAnsi="Calibri" w:cs="Calibri"/>
      <w:smallCaps/>
      <w:sz w:val="20"/>
      <w:szCs w:val="20"/>
    </w:rPr>
  </w:style>
  <w:style w:type="paragraph" w:customStyle="1" w:styleId="CharCharCharCharCharCharCharCharCharCharCharChar">
    <w:name w:val="Char Char Char Char Char Char Char Char Char Char Char Char"/>
    <w:basedOn w:val="a0"/>
    <w:qFormat/>
    <w:rPr>
      <w:rFonts w:ascii="宋体" w:eastAsia="宋体" w:hAnsi="宋体" w:cs="Courier New"/>
      <w:sz w:val="32"/>
      <w:szCs w:val="32"/>
    </w:rPr>
  </w:style>
  <w:style w:type="character" w:customStyle="1" w:styleId="Char0">
    <w:name w:val="页脚 Char"/>
    <w:link w:val="a9"/>
    <w:uiPriority w:val="99"/>
    <w:qFormat/>
    <w:rPr>
      <w:rFonts w:eastAsia="宋体"/>
      <w:sz w:val="18"/>
      <w:szCs w:val="18"/>
      <w:lang w:val="zh-CN" w:eastAsia="zh-CN" w:bidi="ar-SA"/>
    </w:rPr>
  </w:style>
  <w:style w:type="paragraph" w:customStyle="1" w:styleId="CharCharChar1CharCharCharChar">
    <w:name w:val="Char Char Char1 Char Char Char Char"/>
    <w:basedOn w:val="a0"/>
    <w:qFormat/>
    <w:rPr>
      <w:rFonts w:ascii="Tahoma" w:eastAsia="宋体" w:hAnsi="Tahoma"/>
      <w:sz w:val="24"/>
      <w:szCs w:val="20"/>
    </w:rPr>
  </w:style>
  <w:style w:type="paragraph" w:customStyle="1" w:styleId="Char1CharChar">
    <w:name w:val="Char1 Char Char"/>
    <w:basedOn w:val="a0"/>
    <w:qFormat/>
    <w:pPr>
      <w:widowControl/>
      <w:spacing w:after="160" w:line="240" w:lineRule="exact"/>
      <w:jc w:val="left"/>
    </w:pPr>
    <w:rPr>
      <w:rFonts w:ascii="Verdana" w:hAnsi="Verdana"/>
      <w:kern w:val="0"/>
      <w:sz w:val="24"/>
      <w:szCs w:val="20"/>
      <w:lang w:eastAsia="en-US"/>
    </w:rPr>
  </w:style>
  <w:style w:type="character" w:customStyle="1" w:styleId="Char1">
    <w:name w:val="页眉 Char"/>
    <w:link w:val="aa"/>
    <w:uiPriority w:val="99"/>
    <w:qFormat/>
    <w:rPr>
      <w:rFonts w:eastAsia="仿宋_GB2312"/>
      <w:kern w:val="2"/>
      <w:sz w:val="18"/>
      <w:szCs w:val="18"/>
    </w:rPr>
  </w:style>
  <w:style w:type="paragraph" w:customStyle="1" w:styleId="11">
    <w:name w:val="列出段落1"/>
    <w:basedOn w:val="a0"/>
    <w:uiPriority w:val="34"/>
    <w:qFormat/>
    <w:pPr>
      <w:ind w:firstLineChars="200" w:firstLine="420"/>
    </w:pPr>
  </w:style>
  <w:style w:type="character" w:customStyle="1" w:styleId="Char">
    <w:name w:val="批注文字 Char"/>
    <w:link w:val="a6"/>
    <w:qFormat/>
    <w:rPr>
      <w:rFonts w:eastAsia="仿宋_GB2312"/>
      <w:kern w:val="2"/>
      <w:sz w:val="30"/>
      <w:szCs w:val="24"/>
    </w:rPr>
  </w:style>
  <w:style w:type="paragraph" w:customStyle="1" w:styleId="12">
    <w:name w:val="修订1"/>
    <w:hidden/>
    <w:uiPriority w:val="99"/>
    <w:semiHidden/>
    <w:qFormat/>
    <w:rPr>
      <w:rFonts w:eastAsia="仿宋_GB2312"/>
      <w:kern w:val="2"/>
      <w:sz w:val="30"/>
      <w:szCs w:val="24"/>
    </w:rPr>
  </w:style>
  <w:style w:type="character" w:customStyle="1" w:styleId="1Char0">
    <w:name w:val="正文1 Char"/>
    <w:link w:val="13"/>
    <w:qFormat/>
    <w:locked/>
    <w:rPr>
      <w:rFonts w:ascii="宋体" w:eastAsia="仿宋_GB2312" w:hAnsi="宋体"/>
      <w:spacing w:val="6"/>
      <w:sz w:val="24"/>
    </w:rPr>
  </w:style>
  <w:style w:type="paragraph" w:customStyle="1" w:styleId="13">
    <w:name w:val="正文1"/>
    <w:basedOn w:val="a0"/>
    <w:link w:val="1Char0"/>
    <w:qFormat/>
    <w:pPr>
      <w:autoSpaceDE w:val="0"/>
      <w:autoSpaceDN w:val="0"/>
      <w:adjustRightInd w:val="0"/>
      <w:snapToGrid w:val="0"/>
      <w:spacing w:line="600" w:lineRule="exact"/>
      <w:ind w:firstLineChars="200" w:firstLine="624"/>
    </w:pPr>
    <w:rPr>
      <w:rFonts w:ascii="宋体" w:hAnsi="宋体"/>
      <w:spacing w:val="6"/>
      <w:kern w:val="0"/>
      <w:sz w:val="24"/>
      <w:szCs w:val="20"/>
    </w:rPr>
  </w:style>
  <w:style w:type="character" w:customStyle="1" w:styleId="Char2">
    <w:name w:val="脚注文本 Char"/>
    <w:link w:val="ab"/>
    <w:qFormat/>
    <w:rPr>
      <w:rFonts w:ascii="Calibri" w:hAnsi="Calibri"/>
      <w:sz w:val="18"/>
    </w:rPr>
  </w:style>
  <w:style w:type="character" w:customStyle="1" w:styleId="1Char">
    <w:name w:val="标题 1 Char"/>
    <w:link w:val="1"/>
    <w:qFormat/>
    <w:rPr>
      <w:rFonts w:eastAsia="仿宋_GB2312"/>
      <w:b/>
      <w:bCs/>
      <w:kern w:val="44"/>
      <w:sz w:val="44"/>
      <w:szCs w:val="44"/>
    </w:rPr>
  </w:style>
  <w:style w:type="paragraph" w:customStyle="1" w:styleId="TOC1">
    <w:name w:val="TOC 标题1"/>
    <w:basedOn w:val="1"/>
    <w:next w:val="a0"/>
    <w:uiPriority w:val="39"/>
    <w:semiHidden/>
    <w:unhideWhenUsed/>
    <w:qFormat/>
    <w:pPr>
      <w:widowControl/>
      <w:spacing w:before="480" w:after="0" w:line="276" w:lineRule="auto"/>
      <w:jc w:val="left"/>
      <w:outlineLvl w:val="9"/>
    </w:pPr>
    <w:rPr>
      <w:rFonts w:ascii="Cambria" w:eastAsia="宋体" w:hAnsi="Cambria"/>
      <w:color w:val="365F91"/>
      <w:kern w:val="0"/>
      <w:sz w:val="28"/>
      <w:szCs w:val="28"/>
    </w:rPr>
  </w:style>
  <w:style w:type="paragraph" w:customStyle="1" w:styleId="110">
    <w:name w:val="目录 11"/>
    <w:basedOn w:val="a0"/>
    <w:next w:val="a0"/>
    <w:uiPriority w:val="39"/>
    <w:unhideWhenUsed/>
    <w:qFormat/>
    <w:pPr>
      <w:spacing w:before="120" w:after="120"/>
      <w:jc w:val="left"/>
    </w:pPr>
    <w:rPr>
      <w:rFonts w:ascii="Calibri" w:hAnsi="Calibri" w:cs="Calibri"/>
      <w:b/>
      <w:bCs/>
      <w:caps/>
      <w:sz w:val="20"/>
      <w:szCs w:val="20"/>
    </w:rPr>
  </w:style>
  <w:style w:type="paragraph" w:customStyle="1" w:styleId="31">
    <w:name w:val="目录 31"/>
    <w:basedOn w:val="a0"/>
    <w:next w:val="a0"/>
    <w:uiPriority w:val="39"/>
    <w:unhideWhenUsed/>
    <w:qFormat/>
    <w:pPr>
      <w:ind w:left="600"/>
      <w:jc w:val="left"/>
    </w:pPr>
    <w:rPr>
      <w:rFonts w:ascii="Calibri" w:hAnsi="Calibri" w:cs="Calibri"/>
      <w:i/>
      <w:iCs/>
      <w:sz w:val="20"/>
      <w:szCs w:val="20"/>
    </w:rPr>
  </w:style>
  <w:style w:type="paragraph" w:customStyle="1" w:styleId="41">
    <w:name w:val="目录 41"/>
    <w:basedOn w:val="a0"/>
    <w:next w:val="a0"/>
    <w:qFormat/>
    <w:pPr>
      <w:ind w:left="900"/>
      <w:jc w:val="left"/>
    </w:pPr>
    <w:rPr>
      <w:rFonts w:ascii="Calibri" w:hAnsi="Calibri" w:cs="Calibri"/>
      <w:sz w:val="18"/>
      <w:szCs w:val="18"/>
    </w:rPr>
  </w:style>
  <w:style w:type="paragraph" w:customStyle="1" w:styleId="51">
    <w:name w:val="目录 51"/>
    <w:basedOn w:val="a0"/>
    <w:next w:val="a0"/>
    <w:qFormat/>
    <w:pPr>
      <w:ind w:left="1200"/>
      <w:jc w:val="left"/>
    </w:pPr>
    <w:rPr>
      <w:rFonts w:ascii="Calibri" w:hAnsi="Calibri" w:cs="Calibri"/>
      <w:sz w:val="18"/>
      <w:szCs w:val="18"/>
    </w:rPr>
  </w:style>
  <w:style w:type="paragraph" w:customStyle="1" w:styleId="61">
    <w:name w:val="目录 61"/>
    <w:basedOn w:val="a0"/>
    <w:next w:val="a0"/>
    <w:qFormat/>
    <w:pPr>
      <w:ind w:left="1500"/>
      <w:jc w:val="left"/>
    </w:pPr>
    <w:rPr>
      <w:rFonts w:ascii="Calibri" w:hAnsi="Calibri" w:cs="Calibri"/>
      <w:sz w:val="18"/>
      <w:szCs w:val="18"/>
    </w:rPr>
  </w:style>
  <w:style w:type="paragraph" w:customStyle="1" w:styleId="71">
    <w:name w:val="目录 71"/>
    <w:basedOn w:val="a0"/>
    <w:next w:val="a0"/>
    <w:qFormat/>
    <w:pPr>
      <w:ind w:left="1800"/>
      <w:jc w:val="left"/>
    </w:pPr>
    <w:rPr>
      <w:rFonts w:ascii="Calibri" w:hAnsi="Calibri" w:cs="Calibri"/>
      <w:sz w:val="18"/>
      <w:szCs w:val="18"/>
    </w:rPr>
  </w:style>
  <w:style w:type="paragraph" w:customStyle="1" w:styleId="81">
    <w:name w:val="目录 81"/>
    <w:basedOn w:val="a0"/>
    <w:next w:val="a0"/>
    <w:qFormat/>
    <w:pPr>
      <w:ind w:left="2100"/>
      <w:jc w:val="left"/>
    </w:pPr>
    <w:rPr>
      <w:rFonts w:ascii="Calibri" w:hAnsi="Calibri" w:cs="Calibri"/>
      <w:sz w:val="18"/>
      <w:szCs w:val="18"/>
    </w:rPr>
  </w:style>
  <w:style w:type="paragraph" w:customStyle="1" w:styleId="91">
    <w:name w:val="目录 91"/>
    <w:basedOn w:val="a0"/>
    <w:next w:val="a0"/>
    <w:qFormat/>
    <w:pPr>
      <w:ind w:left="2400"/>
      <w:jc w:val="left"/>
    </w:pPr>
    <w:rPr>
      <w:rFonts w:ascii="Calibri" w:hAnsi="Calibri" w:cs="Calibri"/>
      <w:sz w:val="18"/>
      <w:szCs w:val="18"/>
    </w:rPr>
  </w:style>
  <w:style w:type="character" w:customStyle="1" w:styleId="211">
    <w:name w:val="正文文本缩进 2 字符1"/>
    <w:qFormat/>
    <w:rPr>
      <w:kern w:val="2"/>
      <w:sz w:val="21"/>
      <w:szCs w:val="24"/>
    </w:rPr>
  </w:style>
  <w:style w:type="character" w:customStyle="1" w:styleId="af2">
    <w:name w:val="批注文字 字符"/>
    <w:basedOn w:val="a1"/>
    <w:qFormat/>
  </w:style>
  <w:style w:type="character" w:customStyle="1" w:styleId="af3">
    <w:name w:val="页脚 字符"/>
    <w:basedOn w:val="a1"/>
    <w:uiPriority w:val="99"/>
    <w:qFormat/>
  </w:style>
  <w:style w:type="paragraph" w:styleId="af4">
    <w:name w:val="List Paragraph"/>
    <w:basedOn w:val="a0"/>
    <w:uiPriority w:val="34"/>
    <w:qFormat/>
    <w:pPr>
      <w:ind w:firstLineChars="200" w:firstLine="420"/>
    </w:pPr>
  </w:style>
  <w:style w:type="paragraph" w:customStyle="1" w:styleId="af5">
    <w:name w:val="北京市正文"/>
    <w:basedOn w:val="a0"/>
    <w:qFormat/>
    <w:pPr>
      <w:shd w:val="clear" w:color="auto" w:fill="FFFFFF"/>
      <w:adjustRightInd w:val="0"/>
      <w:snapToGrid w:val="0"/>
      <w:spacing w:line="560" w:lineRule="exact"/>
      <w:ind w:firstLineChars="200" w:firstLine="640"/>
    </w:pPr>
    <w:rPr>
      <w:rFonts w:ascii="仿宋_GB2312"/>
      <w:sz w:val="32"/>
      <w:szCs w:val="32"/>
      <w:shd w:val="clear" w:color="auto" w:fill="FFFFFF"/>
    </w:rPr>
  </w:style>
  <w:style w:type="paragraph" w:customStyle="1" w:styleId="af6">
    <w:name w:val="北京市图标"/>
    <w:basedOn w:val="a0"/>
    <w:qFormat/>
    <w:pPr>
      <w:adjustRightInd w:val="0"/>
      <w:snapToGrid w:val="0"/>
      <w:spacing w:line="560" w:lineRule="exact"/>
      <w:jc w:val="center"/>
    </w:pPr>
    <w:rPr>
      <w:rFonts w:ascii="黑体" w:eastAsia="黑体" w:hAnsi="黑体"/>
      <w:sz w:val="28"/>
      <w:szCs w:val="28"/>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qFormat="1"/>
    <w:lsdException w:name="annotation text" w:qFormat="1"/>
    <w:lsdException w:name="header" w:uiPriority="99" w:qFormat="1"/>
    <w:lsdException w:name="footer"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uiPriority="99" w:qFormat="1"/>
    <w:lsdException w:name="FollowedHyperlink" w:semiHidden="1" w:unhideWhenUsed="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pPr>
      <w:widowControl w:val="0"/>
      <w:jc w:val="both"/>
    </w:pPr>
    <w:rPr>
      <w:rFonts w:eastAsia="仿宋_GB2312"/>
      <w:kern w:val="2"/>
      <w:sz w:val="30"/>
      <w:szCs w:val="24"/>
    </w:rPr>
  </w:style>
  <w:style w:type="paragraph" w:styleId="1">
    <w:name w:val="heading 1"/>
    <w:basedOn w:val="a0"/>
    <w:next w:val="a0"/>
    <w:link w:val="1Char"/>
    <w:qFormat/>
    <w:pPr>
      <w:keepNext/>
      <w:keepLines/>
      <w:spacing w:before="340" w:after="330" w:line="578" w:lineRule="auto"/>
      <w:outlineLvl w:val="0"/>
    </w:pPr>
    <w:rPr>
      <w:b/>
      <w:bCs/>
      <w:kern w:val="44"/>
      <w:sz w:val="44"/>
      <w:szCs w:val="44"/>
    </w:rPr>
  </w:style>
  <w:style w:type="paragraph" w:styleId="2">
    <w:name w:val="heading 2"/>
    <w:basedOn w:val="a0"/>
    <w:next w:val="a0"/>
    <w:qFormat/>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qFormat/>
    <w:pPr>
      <w:keepNext/>
      <w:keepLines/>
      <w:spacing w:before="260" w:after="260" w:line="416" w:lineRule="auto"/>
      <w:outlineLvl w:val="2"/>
    </w:pPr>
    <w:rPr>
      <w:b/>
      <w:bCs/>
      <w:sz w:val="32"/>
      <w:szCs w:val="32"/>
    </w:rPr>
  </w:style>
  <w:style w:type="paragraph" w:styleId="4">
    <w:name w:val="heading 4"/>
    <w:basedOn w:val="a0"/>
    <w:next w:val="a0"/>
    <w:qFormat/>
    <w:pPr>
      <w:keepNext/>
      <w:keepLines/>
      <w:spacing w:before="280" w:after="290" w:line="376" w:lineRule="auto"/>
      <w:outlineLvl w:val="3"/>
    </w:pPr>
    <w:rPr>
      <w:rFonts w:ascii="Arial" w:eastAsia="黑体" w:hAnsi="Arial"/>
      <w:b/>
      <w:bCs/>
      <w:sz w:val="28"/>
      <w:szCs w:val="28"/>
    </w:rPr>
  </w:style>
  <w:style w:type="paragraph" w:styleId="5">
    <w:name w:val="heading 5"/>
    <w:basedOn w:val="a0"/>
    <w:next w:val="a0"/>
    <w:qFormat/>
    <w:pPr>
      <w:keepNext/>
      <w:keepLines/>
      <w:spacing w:before="280" w:after="290" w:line="376" w:lineRule="auto"/>
      <w:outlineLvl w:val="4"/>
    </w:pPr>
    <w:rPr>
      <w:rFonts w:eastAsia="宋体"/>
      <w:b/>
      <w:bCs/>
      <w:sz w:val="28"/>
      <w:szCs w:val="28"/>
    </w:rPr>
  </w:style>
  <w:style w:type="paragraph" w:styleId="6">
    <w:name w:val="heading 6"/>
    <w:basedOn w:val="a0"/>
    <w:next w:val="a0"/>
    <w:qFormat/>
    <w:pPr>
      <w:keepNext/>
      <w:keepLines/>
      <w:spacing w:before="240" w:after="64" w:line="320" w:lineRule="auto"/>
      <w:outlineLvl w:val="5"/>
    </w:pPr>
    <w:rPr>
      <w:rFonts w:ascii="Arial" w:eastAsia="黑体" w:hAnsi="Arial"/>
      <w:b/>
      <w:bCs/>
      <w:sz w:val="24"/>
    </w:rPr>
  </w:style>
  <w:style w:type="paragraph" w:styleId="7">
    <w:name w:val="heading 7"/>
    <w:basedOn w:val="a0"/>
    <w:next w:val="a0"/>
    <w:qFormat/>
    <w:pPr>
      <w:keepNext/>
      <w:keepLines/>
      <w:spacing w:before="240" w:after="64" w:line="320" w:lineRule="auto"/>
      <w:outlineLvl w:val="6"/>
    </w:pPr>
    <w:rPr>
      <w:rFonts w:eastAsia="宋体"/>
      <w:b/>
      <w:bCs/>
      <w:sz w:val="24"/>
    </w:rPr>
  </w:style>
  <w:style w:type="paragraph" w:styleId="8">
    <w:name w:val="heading 8"/>
    <w:basedOn w:val="a0"/>
    <w:next w:val="a0"/>
    <w:qFormat/>
    <w:pPr>
      <w:keepNext/>
      <w:keepLines/>
      <w:spacing w:before="240" w:after="64" w:line="320" w:lineRule="auto"/>
      <w:outlineLvl w:val="7"/>
    </w:pPr>
    <w:rPr>
      <w:rFonts w:ascii="Arial" w:eastAsia="黑体" w:hAnsi="Arial"/>
      <w:sz w:val="24"/>
    </w:rPr>
  </w:style>
  <w:style w:type="paragraph" w:styleId="9">
    <w:name w:val="heading 9"/>
    <w:basedOn w:val="a0"/>
    <w:next w:val="a0"/>
    <w:qFormat/>
    <w:pPr>
      <w:keepNext/>
      <w:keepLines/>
      <w:spacing w:before="240" w:after="64" w:line="320" w:lineRule="auto"/>
      <w:outlineLvl w:val="8"/>
    </w:pPr>
    <w:rPr>
      <w:rFonts w:ascii="Arial" w:eastAsia="黑体" w:hAnsi="Arial"/>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Indent"/>
    <w:basedOn w:val="a0"/>
    <w:qFormat/>
    <w:pPr>
      <w:ind w:firstLine="420"/>
    </w:pPr>
    <w:rPr>
      <w:rFonts w:eastAsia="宋体"/>
      <w:sz w:val="21"/>
      <w:szCs w:val="20"/>
    </w:rPr>
  </w:style>
  <w:style w:type="paragraph" w:styleId="a5">
    <w:name w:val="Document Map"/>
    <w:basedOn w:val="a0"/>
    <w:semiHidden/>
    <w:qFormat/>
    <w:pPr>
      <w:shd w:val="clear" w:color="auto" w:fill="000080"/>
    </w:pPr>
  </w:style>
  <w:style w:type="paragraph" w:styleId="a6">
    <w:name w:val="annotation text"/>
    <w:basedOn w:val="a0"/>
    <w:link w:val="Char"/>
    <w:qFormat/>
    <w:pPr>
      <w:jc w:val="left"/>
    </w:pPr>
    <w:rPr>
      <w:lang w:val="zh-CN"/>
    </w:rPr>
  </w:style>
  <w:style w:type="paragraph" w:styleId="a">
    <w:name w:val="Body Text"/>
    <w:basedOn w:val="a0"/>
    <w:qFormat/>
    <w:pPr>
      <w:numPr>
        <w:numId w:val="1"/>
      </w:numPr>
      <w:spacing w:after="120"/>
    </w:pPr>
    <w:rPr>
      <w:rFonts w:ascii="Calibri" w:eastAsia="宋体" w:hAnsi="Calibri"/>
      <w:sz w:val="21"/>
      <w:szCs w:val="22"/>
    </w:rPr>
  </w:style>
  <w:style w:type="paragraph" w:styleId="a7">
    <w:name w:val="Body Text Indent"/>
    <w:basedOn w:val="a0"/>
    <w:qFormat/>
    <w:pPr>
      <w:spacing w:after="120"/>
      <w:ind w:leftChars="200" w:left="420"/>
    </w:pPr>
  </w:style>
  <w:style w:type="paragraph" w:styleId="20">
    <w:name w:val="Body Text Indent 2"/>
    <w:basedOn w:val="a0"/>
    <w:link w:val="2Char"/>
    <w:qFormat/>
    <w:pPr>
      <w:spacing w:after="120" w:line="480" w:lineRule="auto"/>
      <w:ind w:leftChars="200" w:left="420"/>
    </w:pPr>
    <w:rPr>
      <w:rFonts w:eastAsia="宋体"/>
      <w:sz w:val="21"/>
    </w:rPr>
  </w:style>
  <w:style w:type="paragraph" w:styleId="a8">
    <w:name w:val="Balloon Text"/>
    <w:basedOn w:val="a0"/>
    <w:semiHidden/>
    <w:qFormat/>
    <w:rPr>
      <w:sz w:val="18"/>
      <w:szCs w:val="18"/>
    </w:rPr>
  </w:style>
  <w:style w:type="paragraph" w:styleId="a9">
    <w:name w:val="footer"/>
    <w:basedOn w:val="a0"/>
    <w:link w:val="Char0"/>
    <w:uiPriority w:val="99"/>
    <w:unhideWhenUsed/>
    <w:qFormat/>
    <w:pPr>
      <w:tabs>
        <w:tab w:val="center" w:pos="4153"/>
        <w:tab w:val="right" w:pos="8306"/>
      </w:tabs>
      <w:snapToGrid w:val="0"/>
      <w:jc w:val="left"/>
    </w:pPr>
    <w:rPr>
      <w:rFonts w:eastAsia="宋体"/>
      <w:kern w:val="0"/>
      <w:sz w:val="18"/>
      <w:szCs w:val="18"/>
      <w:lang w:val="zh-CN"/>
    </w:rPr>
  </w:style>
  <w:style w:type="paragraph" w:styleId="aa">
    <w:name w:val="header"/>
    <w:basedOn w:val="a0"/>
    <w:link w:val="Char1"/>
    <w:uiPriority w:val="99"/>
    <w:qFormat/>
    <w:pPr>
      <w:pBdr>
        <w:bottom w:val="single" w:sz="6" w:space="1" w:color="auto"/>
      </w:pBdr>
      <w:tabs>
        <w:tab w:val="center" w:pos="4153"/>
        <w:tab w:val="right" w:pos="8306"/>
      </w:tabs>
      <w:snapToGrid w:val="0"/>
      <w:jc w:val="center"/>
    </w:pPr>
    <w:rPr>
      <w:sz w:val="18"/>
      <w:szCs w:val="18"/>
      <w:lang w:val="zh-CN"/>
    </w:rPr>
  </w:style>
  <w:style w:type="paragraph" w:styleId="10">
    <w:name w:val="toc 1"/>
    <w:basedOn w:val="a0"/>
    <w:next w:val="a0"/>
    <w:uiPriority w:val="39"/>
    <w:qFormat/>
  </w:style>
  <w:style w:type="paragraph" w:styleId="ab">
    <w:name w:val="footnote text"/>
    <w:basedOn w:val="a0"/>
    <w:link w:val="Char2"/>
    <w:qFormat/>
    <w:pPr>
      <w:snapToGrid w:val="0"/>
      <w:jc w:val="left"/>
    </w:pPr>
    <w:rPr>
      <w:rFonts w:ascii="Calibri" w:eastAsia="宋体" w:hAnsi="Calibri"/>
      <w:kern w:val="0"/>
      <w:sz w:val="18"/>
      <w:szCs w:val="20"/>
    </w:rPr>
  </w:style>
  <w:style w:type="paragraph" w:styleId="30">
    <w:name w:val="Body Text Indent 3"/>
    <w:basedOn w:val="a0"/>
    <w:qFormat/>
    <w:pPr>
      <w:spacing w:after="120"/>
      <w:ind w:leftChars="200" w:left="420"/>
    </w:pPr>
    <w:rPr>
      <w:sz w:val="16"/>
      <w:szCs w:val="16"/>
    </w:rPr>
  </w:style>
  <w:style w:type="paragraph" w:styleId="21">
    <w:name w:val="toc 2"/>
    <w:basedOn w:val="a0"/>
    <w:next w:val="a0"/>
    <w:uiPriority w:val="39"/>
    <w:qFormat/>
    <w:pPr>
      <w:ind w:leftChars="200" w:left="420"/>
    </w:pPr>
  </w:style>
  <w:style w:type="paragraph" w:styleId="ac">
    <w:name w:val="Normal (Web)"/>
    <w:basedOn w:val="a0"/>
    <w:qFormat/>
    <w:pPr>
      <w:widowControl/>
      <w:spacing w:before="100" w:beforeAutospacing="1" w:after="100" w:afterAutospacing="1"/>
      <w:jc w:val="left"/>
    </w:pPr>
    <w:rPr>
      <w:rFonts w:ascii="Arial Unicode MS" w:eastAsia="Arial Unicode MS" w:hAnsi="Arial Unicode MS" w:cs="Arial Unicode MS" w:hint="eastAsia"/>
      <w:color w:val="000000"/>
      <w:kern w:val="0"/>
      <w:sz w:val="24"/>
    </w:rPr>
  </w:style>
  <w:style w:type="paragraph" w:styleId="ad">
    <w:name w:val="annotation subject"/>
    <w:basedOn w:val="a6"/>
    <w:next w:val="a6"/>
    <w:semiHidden/>
    <w:qFormat/>
    <w:rPr>
      <w:b/>
      <w:bCs/>
    </w:rPr>
  </w:style>
  <w:style w:type="table" w:styleId="ae">
    <w:name w:val="Table Grid"/>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qFormat/>
    <w:rPr>
      <w:color w:val="0000FF"/>
      <w:u w:val="single"/>
    </w:rPr>
  </w:style>
  <w:style w:type="character" w:styleId="af0">
    <w:name w:val="annotation reference"/>
    <w:qFormat/>
    <w:rPr>
      <w:sz w:val="21"/>
      <w:szCs w:val="21"/>
    </w:rPr>
  </w:style>
  <w:style w:type="character" w:styleId="af1">
    <w:name w:val="footnote reference"/>
    <w:qFormat/>
    <w:rPr>
      <w:rFonts w:cs="Times New Roman"/>
      <w:vertAlign w:val="superscript"/>
    </w:rPr>
  </w:style>
  <w:style w:type="paragraph" w:customStyle="1" w:styleId="Char20">
    <w:name w:val="Char2"/>
    <w:basedOn w:val="a0"/>
    <w:qFormat/>
    <w:pPr>
      <w:widowControl/>
      <w:spacing w:after="160" w:line="240" w:lineRule="exact"/>
      <w:jc w:val="left"/>
    </w:pPr>
    <w:rPr>
      <w:rFonts w:ascii="Verdana" w:hAnsi="Verdana"/>
      <w:kern w:val="0"/>
      <w:sz w:val="24"/>
      <w:szCs w:val="20"/>
      <w:lang w:eastAsia="en-US"/>
    </w:rPr>
  </w:style>
  <w:style w:type="paragraph" w:customStyle="1" w:styleId="Char1CharCharChar">
    <w:name w:val="Char1 Char Char Char"/>
    <w:basedOn w:val="a0"/>
    <w:qFormat/>
    <w:pPr>
      <w:widowControl/>
      <w:spacing w:after="160" w:line="240" w:lineRule="exact"/>
      <w:jc w:val="left"/>
    </w:pPr>
    <w:rPr>
      <w:rFonts w:ascii="Verdana" w:hAnsi="Verdana"/>
      <w:kern w:val="0"/>
      <w:szCs w:val="30"/>
      <w:lang w:eastAsia="en-US"/>
    </w:rPr>
  </w:style>
  <w:style w:type="paragraph" w:customStyle="1" w:styleId="CharCharCharChar">
    <w:name w:val="Char Char Char Char"/>
    <w:basedOn w:val="a0"/>
    <w:qFormat/>
    <w:pPr>
      <w:numPr>
        <w:numId w:val="2"/>
      </w:numPr>
    </w:pPr>
    <w:rPr>
      <w:rFonts w:eastAsia="宋体"/>
      <w:sz w:val="24"/>
    </w:rPr>
  </w:style>
  <w:style w:type="character" w:customStyle="1" w:styleId="2Char">
    <w:name w:val="正文文本缩进 2 Char"/>
    <w:link w:val="20"/>
    <w:qFormat/>
    <w:rPr>
      <w:rFonts w:eastAsia="宋体"/>
      <w:kern w:val="2"/>
      <w:sz w:val="21"/>
      <w:szCs w:val="24"/>
      <w:lang w:val="en-US" w:eastAsia="zh-CN" w:bidi="ar-SA"/>
    </w:rPr>
  </w:style>
  <w:style w:type="paragraph" w:customStyle="1" w:styleId="Char10">
    <w:name w:val="Char1"/>
    <w:basedOn w:val="a0"/>
    <w:qFormat/>
    <w:rPr>
      <w:rFonts w:ascii="宋体" w:eastAsia="宋体" w:hAnsi="宋体" w:cs="Courier New"/>
      <w:sz w:val="32"/>
      <w:szCs w:val="32"/>
    </w:rPr>
  </w:style>
  <w:style w:type="paragraph" w:customStyle="1" w:styleId="210">
    <w:name w:val="目录 21"/>
    <w:basedOn w:val="a0"/>
    <w:next w:val="a0"/>
    <w:uiPriority w:val="39"/>
    <w:qFormat/>
    <w:pPr>
      <w:ind w:left="300"/>
      <w:jc w:val="left"/>
    </w:pPr>
    <w:rPr>
      <w:rFonts w:ascii="Calibri" w:hAnsi="Calibri" w:cs="Calibri"/>
      <w:smallCaps/>
      <w:sz w:val="20"/>
      <w:szCs w:val="20"/>
    </w:rPr>
  </w:style>
  <w:style w:type="paragraph" w:customStyle="1" w:styleId="CharCharCharCharCharCharCharCharCharCharCharChar">
    <w:name w:val="Char Char Char Char Char Char Char Char Char Char Char Char"/>
    <w:basedOn w:val="a0"/>
    <w:qFormat/>
    <w:rPr>
      <w:rFonts w:ascii="宋体" w:eastAsia="宋体" w:hAnsi="宋体" w:cs="Courier New"/>
      <w:sz w:val="32"/>
      <w:szCs w:val="32"/>
    </w:rPr>
  </w:style>
  <w:style w:type="character" w:customStyle="1" w:styleId="Char0">
    <w:name w:val="页脚 Char"/>
    <w:link w:val="a9"/>
    <w:uiPriority w:val="99"/>
    <w:qFormat/>
    <w:rPr>
      <w:rFonts w:eastAsia="宋体"/>
      <w:sz w:val="18"/>
      <w:szCs w:val="18"/>
      <w:lang w:val="zh-CN" w:eastAsia="zh-CN" w:bidi="ar-SA"/>
    </w:rPr>
  </w:style>
  <w:style w:type="paragraph" w:customStyle="1" w:styleId="CharCharChar1CharCharCharChar">
    <w:name w:val="Char Char Char1 Char Char Char Char"/>
    <w:basedOn w:val="a0"/>
    <w:qFormat/>
    <w:rPr>
      <w:rFonts w:ascii="Tahoma" w:eastAsia="宋体" w:hAnsi="Tahoma"/>
      <w:sz w:val="24"/>
      <w:szCs w:val="20"/>
    </w:rPr>
  </w:style>
  <w:style w:type="paragraph" w:customStyle="1" w:styleId="Char1CharChar">
    <w:name w:val="Char1 Char Char"/>
    <w:basedOn w:val="a0"/>
    <w:qFormat/>
    <w:pPr>
      <w:widowControl/>
      <w:spacing w:after="160" w:line="240" w:lineRule="exact"/>
      <w:jc w:val="left"/>
    </w:pPr>
    <w:rPr>
      <w:rFonts w:ascii="Verdana" w:hAnsi="Verdana"/>
      <w:kern w:val="0"/>
      <w:sz w:val="24"/>
      <w:szCs w:val="20"/>
      <w:lang w:eastAsia="en-US"/>
    </w:rPr>
  </w:style>
  <w:style w:type="character" w:customStyle="1" w:styleId="Char1">
    <w:name w:val="页眉 Char"/>
    <w:link w:val="aa"/>
    <w:uiPriority w:val="99"/>
    <w:qFormat/>
    <w:rPr>
      <w:rFonts w:eastAsia="仿宋_GB2312"/>
      <w:kern w:val="2"/>
      <w:sz w:val="18"/>
      <w:szCs w:val="18"/>
    </w:rPr>
  </w:style>
  <w:style w:type="paragraph" w:customStyle="1" w:styleId="11">
    <w:name w:val="列出段落1"/>
    <w:basedOn w:val="a0"/>
    <w:uiPriority w:val="34"/>
    <w:qFormat/>
    <w:pPr>
      <w:ind w:firstLineChars="200" w:firstLine="420"/>
    </w:pPr>
  </w:style>
  <w:style w:type="character" w:customStyle="1" w:styleId="Char">
    <w:name w:val="批注文字 Char"/>
    <w:link w:val="a6"/>
    <w:qFormat/>
    <w:rPr>
      <w:rFonts w:eastAsia="仿宋_GB2312"/>
      <w:kern w:val="2"/>
      <w:sz w:val="30"/>
      <w:szCs w:val="24"/>
    </w:rPr>
  </w:style>
  <w:style w:type="paragraph" w:customStyle="1" w:styleId="12">
    <w:name w:val="修订1"/>
    <w:hidden/>
    <w:uiPriority w:val="99"/>
    <w:semiHidden/>
    <w:qFormat/>
    <w:rPr>
      <w:rFonts w:eastAsia="仿宋_GB2312"/>
      <w:kern w:val="2"/>
      <w:sz w:val="30"/>
      <w:szCs w:val="24"/>
    </w:rPr>
  </w:style>
  <w:style w:type="character" w:customStyle="1" w:styleId="1Char0">
    <w:name w:val="正文1 Char"/>
    <w:link w:val="13"/>
    <w:qFormat/>
    <w:locked/>
    <w:rPr>
      <w:rFonts w:ascii="宋体" w:eastAsia="仿宋_GB2312" w:hAnsi="宋体"/>
      <w:spacing w:val="6"/>
      <w:sz w:val="24"/>
    </w:rPr>
  </w:style>
  <w:style w:type="paragraph" w:customStyle="1" w:styleId="13">
    <w:name w:val="正文1"/>
    <w:basedOn w:val="a0"/>
    <w:link w:val="1Char0"/>
    <w:qFormat/>
    <w:pPr>
      <w:autoSpaceDE w:val="0"/>
      <w:autoSpaceDN w:val="0"/>
      <w:adjustRightInd w:val="0"/>
      <w:snapToGrid w:val="0"/>
      <w:spacing w:line="600" w:lineRule="exact"/>
      <w:ind w:firstLineChars="200" w:firstLine="624"/>
    </w:pPr>
    <w:rPr>
      <w:rFonts w:ascii="宋体" w:hAnsi="宋体"/>
      <w:spacing w:val="6"/>
      <w:kern w:val="0"/>
      <w:sz w:val="24"/>
      <w:szCs w:val="20"/>
    </w:rPr>
  </w:style>
  <w:style w:type="character" w:customStyle="1" w:styleId="Char2">
    <w:name w:val="脚注文本 Char"/>
    <w:link w:val="ab"/>
    <w:qFormat/>
    <w:rPr>
      <w:rFonts w:ascii="Calibri" w:hAnsi="Calibri"/>
      <w:sz w:val="18"/>
    </w:rPr>
  </w:style>
  <w:style w:type="character" w:customStyle="1" w:styleId="1Char">
    <w:name w:val="标题 1 Char"/>
    <w:link w:val="1"/>
    <w:qFormat/>
    <w:rPr>
      <w:rFonts w:eastAsia="仿宋_GB2312"/>
      <w:b/>
      <w:bCs/>
      <w:kern w:val="44"/>
      <w:sz w:val="44"/>
      <w:szCs w:val="44"/>
    </w:rPr>
  </w:style>
  <w:style w:type="paragraph" w:customStyle="1" w:styleId="TOC1">
    <w:name w:val="TOC 标题1"/>
    <w:basedOn w:val="1"/>
    <w:next w:val="a0"/>
    <w:uiPriority w:val="39"/>
    <w:semiHidden/>
    <w:unhideWhenUsed/>
    <w:qFormat/>
    <w:pPr>
      <w:widowControl/>
      <w:spacing w:before="480" w:after="0" w:line="276" w:lineRule="auto"/>
      <w:jc w:val="left"/>
      <w:outlineLvl w:val="9"/>
    </w:pPr>
    <w:rPr>
      <w:rFonts w:ascii="Cambria" w:eastAsia="宋体" w:hAnsi="Cambria"/>
      <w:color w:val="365F91"/>
      <w:kern w:val="0"/>
      <w:sz w:val="28"/>
      <w:szCs w:val="28"/>
    </w:rPr>
  </w:style>
  <w:style w:type="paragraph" w:customStyle="1" w:styleId="110">
    <w:name w:val="目录 11"/>
    <w:basedOn w:val="a0"/>
    <w:next w:val="a0"/>
    <w:uiPriority w:val="39"/>
    <w:unhideWhenUsed/>
    <w:qFormat/>
    <w:pPr>
      <w:spacing w:before="120" w:after="120"/>
      <w:jc w:val="left"/>
    </w:pPr>
    <w:rPr>
      <w:rFonts w:ascii="Calibri" w:hAnsi="Calibri" w:cs="Calibri"/>
      <w:b/>
      <w:bCs/>
      <w:caps/>
      <w:sz w:val="20"/>
      <w:szCs w:val="20"/>
    </w:rPr>
  </w:style>
  <w:style w:type="paragraph" w:customStyle="1" w:styleId="31">
    <w:name w:val="目录 31"/>
    <w:basedOn w:val="a0"/>
    <w:next w:val="a0"/>
    <w:uiPriority w:val="39"/>
    <w:unhideWhenUsed/>
    <w:qFormat/>
    <w:pPr>
      <w:ind w:left="600"/>
      <w:jc w:val="left"/>
    </w:pPr>
    <w:rPr>
      <w:rFonts w:ascii="Calibri" w:hAnsi="Calibri" w:cs="Calibri"/>
      <w:i/>
      <w:iCs/>
      <w:sz w:val="20"/>
      <w:szCs w:val="20"/>
    </w:rPr>
  </w:style>
  <w:style w:type="paragraph" w:customStyle="1" w:styleId="41">
    <w:name w:val="目录 41"/>
    <w:basedOn w:val="a0"/>
    <w:next w:val="a0"/>
    <w:qFormat/>
    <w:pPr>
      <w:ind w:left="900"/>
      <w:jc w:val="left"/>
    </w:pPr>
    <w:rPr>
      <w:rFonts w:ascii="Calibri" w:hAnsi="Calibri" w:cs="Calibri"/>
      <w:sz w:val="18"/>
      <w:szCs w:val="18"/>
    </w:rPr>
  </w:style>
  <w:style w:type="paragraph" w:customStyle="1" w:styleId="51">
    <w:name w:val="目录 51"/>
    <w:basedOn w:val="a0"/>
    <w:next w:val="a0"/>
    <w:qFormat/>
    <w:pPr>
      <w:ind w:left="1200"/>
      <w:jc w:val="left"/>
    </w:pPr>
    <w:rPr>
      <w:rFonts w:ascii="Calibri" w:hAnsi="Calibri" w:cs="Calibri"/>
      <w:sz w:val="18"/>
      <w:szCs w:val="18"/>
    </w:rPr>
  </w:style>
  <w:style w:type="paragraph" w:customStyle="1" w:styleId="61">
    <w:name w:val="目录 61"/>
    <w:basedOn w:val="a0"/>
    <w:next w:val="a0"/>
    <w:qFormat/>
    <w:pPr>
      <w:ind w:left="1500"/>
      <w:jc w:val="left"/>
    </w:pPr>
    <w:rPr>
      <w:rFonts w:ascii="Calibri" w:hAnsi="Calibri" w:cs="Calibri"/>
      <w:sz w:val="18"/>
      <w:szCs w:val="18"/>
    </w:rPr>
  </w:style>
  <w:style w:type="paragraph" w:customStyle="1" w:styleId="71">
    <w:name w:val="目录 71"/>
    <w:basedOn w:val="a0"/>
    <w:next w:val="a0"/>
    <w:qFormat/>
    <w:pPr>
      <w:ind w:left="1800"/>
      <w:jc w:val="left"/>
    </w:pPr>
    <w:rPr>
      <w:rFonts w:ascii="Calibri" w:hAnsi="Calibri" w:cs="Calibri"/>
      <w:sz w:val="18"/>
      <w:szCs w:val="18"/>
    </w:rPr>
  </w:style>
  <w:style w:type="paragraph" w:customStyle="1" w:styleId="81">
    <w:name w:val="目录 81"/>
    <w:basedOn w:val="a0"/>
    <w:next w:val="a0"/>
    <w:qFormat/>
    <w:pPr>
      <w:ind w:left="2100"/>
      <w:jc w:val="left"/>
    </w:pPr>
    <w:rPr>
      <w:rFonts w:ascii="Calibri" w:hAnsi="Calibri" w:cs="Calibri"/>
      <w:sz w:val="18"/>
      <w:szCs w:val="18"/>
    </w:rPr>
  </w:style>
  <w:style w:type="paragraph" w:customStyle="1" w:styleId="91">
    <w:name w:val="目录 91"/>
    <w:basedOn w:val="a0"/>
    <w:next w:val="a0"/>
    <w:qFormat/>
    <w:pPr>
      <w:ind w:left="2400"/>
      <w:jc w:val="left"/>
    </w:pPr>
    <w:rPr>
      <w:rFonts w:ascii="Calibri" w:hAnsi="Calibri" w:cs="Calibri"/>
      <w:sz w:val="18"/>
      <w:szCs w:val="18"/>
    </w:rPr>
  </w:style>
  <w:style w:type="character" w:customStyle="1" w:styleId="211">
    <w:name w:val="正文文本缩进 2 字符1"/>
    <w:qFormat/>
    <w:rPr>
      <w:kern w:val="2"/>
      <w:sz w:val="21"/>
      <w:szCs w:val="24"/>
    </w:rPr>
  </w:style>
  <w:style w:type="character" w:customStyle="1" w:styleId="af2">
    <w:name w:val="批注文字 字符"/>
    <w:basedOn w:val="a1"/>
    <w:qFormat/>
  </w:style>
  <w:style w:type="character" w:customStyle="1" w:styleId="af3">
    <w:name w:val="页脚 字符"/>
    <w:basedOn w:val="a1"/>
    <w:uiPriority w:val="99"/>
    <w:qFormat/>
  </w:style>
  <w:style w:type="paragraph" w:styleId="af4">
    <w:name w:val="List Paragraph"/>
    <w:basedOn w:val="a0"/>
    <w:uiPriority w:val="34"/>
    <w:qFormat/>
    <w:pPr>
      <w:ind w:firstLineChars="200" w:firstLine="420"/>
    </w:pPr>
  </w:style>
  <w:style w:type="paragraph" w:customStyle="1" w:styleId="af5">
    <w:name w:val="北京市正文"/>
    <w:basedOn w:val="a0"/>
    <w:qFormat/>
    <w:pPr>
      <w:shd w:val="clear" w:color="auto" w:fill="FFFFFF"/>
      <w:adjustRightInd w:val="0"/>
      <w:snapToGrid w:val="0"/>
      <w:spacing w:line="560" w:lineRule="exact"/>
      <w:ind w:firstLineChars="200" w:firstLine="640"/>
    </w:pPr>
    <w:rPr>
      <w:rFonts w:ascii="仿宋_GB2312"/>
      <w:sz w:val="32"/>
      <w:szCs w:val="32"/>
      <w:shd w:val="clear" w:color="auto" w:fill="FFFFFF"/>
    </w:rPr>
  </w:style>
  <w:style w:type="paragraph" w:customStyle="1" w:styleId="af6">
    <w:name w:val="北京市图标"/>
    <w:basedOn w:val="a0"/>
    <w:qFormat/>
    <w:pPr>
      <w:adjustRightInd w:val="0"/>
      <w:snapToGrid w:val="0"/>
      <w:spacing w:line="560" w:lineRule="exact"/>
      <w:jc w:val="center"/>
    </w:pPr>
    <w:rPr>
      <w:rFonts w:ascii="黑体" w:eastAsia="黑体" w:hAnsi="黑体"/>
      <w:sz w:val="28"/>
      <w:szCs w:val="2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1834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23</Pages>
  <Words>10123</Words>
  <Characters>2308</Characters>
  <Application>Microsoft Office Word</Application>
  <DocSecurity>0</DocSecurity>
  <Lines>19</Lines>
  <Paragraphs>24</Paragraphs>
  <ScaleCrop>false</ScaleCrop>
  <Company>Microsoft</Company>
  <LinksUpToDate>false</LinksUpToDate>
  <CharactersWithSpaces>12407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creator>lhn</dc:creator>
  <cp:lastModifiedBy>AutoBVT</cp:lastModifiedBy>
  <cp:revision>4</cp:revision>
  <cp:lastPrinted>2022-05-18T07:30:00Z</cp:lastPrinted>
  <dcterms:created xsi:type="dcterms:W3CDTF">2025-06-13T02:25:00Z</dcterms:created>
  <dcterms:modified xsi:type="dcterms:W3CDTF">2025-08-26T13:54:00Z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eyJoZGlkIjoiMzEwNTM5NzYwMDRjMzkwZTVkZjY2ODkwMGIxNGU0OTUiLCJ1c2VySWQiOiI2NDEzODcyMzgifQ==</vt:lpwstr>
  </property>
  <property fmtid="{D5CDD505-2E9C-101B-9397-08002B2CF9AE}" pid="3" name="KSOProductBuildVer">
    <vt:lpwstr>2052-11.8.2.10337</vt:lpwstr>
  </property>
  <property fmtid="{D5CDD505-2E9C-101B-9397-08002B2CF9AE}" pid="4" name="ICV">
    <vt:lpwstr>57001088A9F24B608CF7009BE2F74A79_12</vt:lpwstr>
  </property>
</Properties>
</file>