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C66638">
      <w:pPr>
        <w:adjustRightInd w:val="0"/>
        <w:snapToGrid w:val="0"/>
        <w:spacing w:line="360" w:lineRule="auto"/>
        <w:jc w:val="center"/>
        <w:rPr>
          <w:rFonts w:ascii="黑体" w:eastAsia="黑体" w:hAnsi="黑体"/>
          <w:b/>
          <w:sz w:val="56"/>
          <w:szCs w:val="56"/>
          <w:lang w:val="zh-CN"/>
        </w:rPr>
      </w:pPr>
      <w:r>
        <w:rPr>
          <w:rFonts w:ascii="黑体" w:eastAsia="黑体" w:hAnsi="黑体" w:hint="eastAsia"/>
          <w:b/>
          <w:sz w:val="56"/>
          <w:szCs w:val="56"/>
          <w:lang w:val="zh-CN"/>
        </w:rPr>
        <w:t>北京市司法局</w:t>
      </w:r>
      <w:r>
        <w:rPr>
          <w:rFonts w:ascii="黑体" w:eastAsia="黑体" w:hAnsi="黑体" w:hint="eastAsia"/>
          <w:b/>
          <w:sz w:val="56"/>
          <w:szCs w:val="56"/>
          <w:lang w:val="zh-CN"/>
        </w:rPr>
        <w:t>2</w:t>
      </w:r>
      <w:r>
        <w:rPr>
          <w:rFonts w:ascii="黑体" w:eastAsia="黑体" w:hAnsi="黑体"/>
          <w:b/>
          <w:sz w:val="56"/>
          <w:szCs w:val="56"/>
          <w:lang w:val="zh-CN"/>
        </w:rPr>
        <w:t>02</w:t>
      </w:r>
      <w:r>
        <w:rPr>
          <w:rFonts w:ascii="黑体" w:eastAsia="黑体" w:hAnsi="黑体" w:hint="eastAsia"/>
          <w:b/>
          <w:sz w:val="56"/>
          <w:szCs w:val="56"/>
          <w:lang w:val="zh-CN"/>
        </w:rPr>
        <w:t>4</w:t>
      </w:r>
      <w:r>
        <w:rPr>
          <w:rFonts w:ascii="黑体" w:eastAsia="黑体" w:hAnsi="黑体" w:hint="eastAsia"/>
          <w:b/>
          <w:sz w:val="56"/>
          <w:szCs w:val="56"/>
          <w:lang w:val="zh-CN"/>
        </w:rPr>
        <w:t>年度部门整体</w:t>
      </w:r>
    </w:p>
    <w:p w:rsidR="003A264B" w:rsidRDefault="00C66638">
      <w:pPr>
        <w:adjustRightInd w:val="0"/>
        <w:snapToGrid w:val="0"/>
        <w:spacing w:line="360" w:lineRule="auto"/>
        <w:jc w:val="center"/>
        <w:rPr>
          <w:rFonts w:ascii="黑体" w:eastAsia="黑体" w:hAnsi="黑体"/>
          <w:b/>
          <w:sz w:val="56"/>
          <w:szCs w:val="56"/>
          <w:lang w:val="zh-CN"/>
        </w:rPr>
      </w:pPr>
      <w:r>
        <w:rPr>
          <w:rFonts w:ascii="黑体" w:eastAsia="黑体" w:hAnsi="黑体" w:hint="eastAsia"/>
          <w:b/>
          <w:sz w:val="56"/>
          <w:szCs w:val="56"/>
          <w:lang w:val="zh-CN"/>
        </w:rPr>
        <w:t>绩</w:t>
      </w:r>
      <w:r>
        <w:rPr>
          <w:rFonts w:ascii="黑体" w:eastAsia="黑体" w:hAnsi="黑体" w:hint="eastAsia"/>
          <w:b/>
          <w:sz w:val="56"/>
          <w:szCs w:val="56"/>
          <w:lang w:val="zh-CN"/>
        </w:rPr>
        <w:t xml:space="preserve"> </w:t>
      </w:r>
      <w:r>
        <w:rPr>
          <w:rFonts w:ascii="黑体" w:eastAsia="黑体" w:hAnsi="黑体" w:hint="eastAsia"/>
          <w:b/>
          <w:sz w:val="56"/>
          <w:szCs w:val="56"/>
          <w:lang w:val="zh-CN"/>
        </w:rPr>
        <w:t>效</w:t>
      </w:r>
      <w:r>
        <w:rPr>
          <w:rFonts w:ascii="黑体" w:eastAsia="黑体" w:hAnsi="黑体" w:hint="eastAsia"/>
          <w:b/>
          <w:sz w:val="56"/>
          <w:szCs w:val="56"/>
          <w:lang w:val="zh-CN"/>
        </w:rPr>
        <w:t xml:space="preserve"> </w:t>
      </w:r>
      <w:r>
        <w:rPr>
          <w:rFonts w:ascii="黑体" w:eastAsia="黑体" w:hAnsi="黑体" w:hint="eastAsia"/>
          <w:b/>
          <w:sz w:val="56"/>
          <w:szCs w:val="56"/>
          <w:lang w:val="zh-CN"/>
        </w:rPr>
        <w:t>评</w:t>
      </w:r>
      <w:r>
        <w:rPr>
          <w:rFonts w:ascii="黑体" w:eastAsia="黑体" w:hAnsi="黑体" w:hint="eastAsia"/>
          <w:b/>
          <w:sz w:val="56"/>
          <w:szCs w:val="56"/>
          <w:lang w:val="zh-CN"/>
        </w:rPr>
        <w:t xml:space="preserve"> </w:t>
      </w:r>
      <w:r>
        <w:rPr>
          <w:rFonts w:ascii="黑体" w:eastAsia="黑体" w:hAnsi="黑体" w:hint="eastAsia"/>
          <w:b/>
          <w:sz w:val="56"/>
          <w:szCs w:val="56"/>
          <w:lang w:val="zh-CN"/>
        </w:rPr>
        <w:t>价</w:t>
      </w:r>
      <w:r>
        <w:rPr>
          <w:rFonts w:ascii="黑体" w:eastAsia="黑体" w:hAnsi="黑体" w:hint="eastAsia"/>
          <w:b/>
          <w:sz w:val="56"/>
          <w:szCs w:val="56"/>
          <w:lang w:val="zh-CN"/>
        </w:rPr>
        <w:t xml:space="preserve"> </w:t>
      </w:r>
      <w:r>
        <w:rPr>
          <w:rFonts w:ascii="黑体" w:eastAsia="黑体" w:hAnsi="黑体" w:hint="eastAsia"/>
          <w:b/>
          <w:sz w:val="56"/>
          <w:szCs w:val="56"/>
          <w:lang w:val="zh-CN"/>
        </w:rPr>
        <w:t>报</w:t>
      </w:r>
      <w:r>
        <w:rPr>
          <w:rFonts w:ascii="黑体" w:eastAsia="黑体" w:hAnsi="黑体" w:hint="eastAsia"/>
          <w:b/>
          <w:sz w:val="56"/>
          <w:szCs w:val="56"/>
          <w:lang w:val="zh-CN"/>
        </w:rPr>
        <w:t xml:space="preserve"> </w:t>
      </w:r>
      <w:r>
        <w:rPr>
          <w:rFonts w:ascii="黑体" w:eastAsia="黑体" w:hAnsi="黑体" w:hint="eastAsia"/>
          <w:b/>
          <w:sz w:val="56"/>
          <w:szCs w:val="56"/>
          <w:lang w:val="zh-CN"/>
        </w:rPr>
        <w:t>告</w:t>
      </w: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ind w:leftChars="600" w:left="1260"/>
        <w:jc w:val="center"/>
        <w:rPr>
          <w:rFonts w:ascii="方正小标宋简体" w:eastAsia="方正小标宋简体"/>
          <w:sz w:val="36"/>
          <w:szCs w:val="36"/>
        </w:rPr>
      </w:pPr>
    </w:p>
    <w:p w:rsidR="003A264B" w:rsidRDefault="00C66638">
      <w:pPr>
        <w:spacing w:line="560" w:lineRule="exact"/>
        <w:jc w:val="center"/>
        <w:rPr>
          <w:rFonts w:ascii="仿宋_GB2312" w:eastAsia="仿宋_GB2312"/>
          <w:b/>
          <w:bCs/>
          <w:sz w:val="32"/>
          <w:szCs w:val="32"/>
        </w:rPr>
      </w:pPr>
      <w:r>
        <w:rPr>
          <w:rFonts w:ascii="仿宋_GB2312" w:eastAsia="仿宋_GB2312" w:hint="eastAsia"/>
          <w:b/>
          <w:bCs/>
          <w:sz w:val="32"/>
          <w:szCs w:val="32"/>
        </w:rPr>
        <w:t>填报时间：</w:t>
      </w:r>
      <w:r>
        <w:rPr>
          <w:rFonts w:ascii="仿宋_GB2312" w:eastAsia="仿宋_GB2312" w:hint="eastAsia"/>
          <w:b/>
          <w:bCs/>
          <w:sz w:val="32"/>
          <w:szCs w:val="32"/>
        </w:rPr>
        <w:t>2025</w:t>
      </w:r>
      <w:r>
        <w:rPr>
          <w:rFonts w:ascii="仿宋_GB2312" w:eastAsia="仿宋_GB2312" w:hint="eastAsia"/>
          <w:b/>
          <w:bCs/>
          <w:sz w:val="32"/>
          <w:szCs w:val="32"/>
        </w:rPr>
        <w:t>年</w:t>
      </w:r>
      <w:r>
        <w:rPr>
          <w:rFonts w:ascii="仿宋_GB2312" w:eastAsia="仿宋_GB2312" w:hint="eastAsia"/>
          <w:b/>
          <w:bCs/>
          <w:sz w:val="32"/>
          <w:szCs w:val="32"/>
        </w:rPr>
        <w:t>5</w:t>
      </w:r>
      <w:r>
        <w:rPr>
          <w:rFonts w:ascii="仿宋_GB2312" w:eastAsia="仿宋_GB2312" w:hint="eastAsia"/>
          <w:b/>
          <w:bCs/>
          <w:sz w:val="32"/>
          <w:szCs w:val="32"/>
        </w:rPr>
        <w:t>月</w:t>
      </w:r>
    </w:p>
    <w:p w:rsidR="003A264B" w:rsidRDefault="003A264B">
      <w:pPr>
        <w:spacing w:line="560" w:lineRule="exact"/>
        <w:jc w:val="center"/>
        <w:rPr>
          <w:rFonts w:ascii="方正小标宋简体" w:eastAsia="方正小标宋简体"/>
          <w:sz w:val="36"/>
          <w:szCs w:val="36"/>
        </w:rPr>
      </w:pPr>
    </w:p>
    <w:p w:rsidR="003A264B" w:rsidRDefault="003A264B">
      <w:pPr>
        <w:spacing w:line="560" w:lineRule="exact"/>
        <w:jc w:val="center"/>
        <w:rPr>
          <w:rFonts w:ascii="方正小标宋简体" w:eastAsia="方正小标宋简体"/>
          <w:sz w:val="36"/>
          <w:szCs w:val="36"/>
        </w:rPr>
        <w:sectPr w:rsidR="003A264B">
          <w:footerReference w:type="default" r:id="rId8"/>
          <w:pgSz w:w="11906" w:h="16838"/>
          <w:pgMar w:top="1440" w:right="1800" w:bottom="1440" w:left="1800" w:header="851" w:footer="964" w:gutter="0"/>
          <w:pgNumType w:start="1"/>
          <w:cols w:space="425"/>
          <w:docGrid w:type="lines" w:linePitch="435"/>
        </w:sectPr>
      </w:pPr>
    </w:p>
    <w:p w:rsidR="003A264B" w:rsidRDefault="00C66638">
      <w:pPr>
        <w:adjustRightInd w:val="0"/>
        <w:snapToGrid w:val="0"/>
        <w:spacing w:line="560" w:lineRule="exact"/>
        <w:jc w:val="center"/>
        <w:rPr>
          <w:rFonts w:ascii="方正小标宋简体" w:eastAsia="方正小标宋简体"/>
          <w:sz w:val="44"/>
          <w:szCs w:val="44"/>
        </w:rPr>
      </w:pPr>
      <w:r>
        <w:rPr>
          <w:rFonts w:ascii="方正小标宋简体" w:eastAsia="方正小标宋简体" w:hint="eastAsia"/>
          <w:sz w:val="44"/>
          <w:szCs w:val="44"/>
        </w:rPr>
        <w:lastRenderedPageBreak/>
        <w:t>北京市司法局</w:t>
      </w:r>
      <w:r>
        <w:rPr>
          <w:rFonts w:ascii="方正小标宋简体" w:eastAsia="方正小标宋简体" w:hint="eastAsia"/>
          <w:sz w:val="44"/>
          <w:szCs w:val="44"/>
        </w:rPr>
        <w:t>2</w:t>
      </w:r>
      <w:r>
        <w:rPr>
          <w:rFonts w:ascii="方正小标宋简体" w:eastAsia="方正小标宋简体"/>
          <w:sz w:val="44"/>
          <w:szCs w:val="44"/>
        </w:rPr>
        <w:t>02</w:t>
      </w:r>
      <w:r>
        <w:rPr>
          <w:rFonts w:ascii="方正小标宋简体" w:eastAsia="方正小标宋简体" w:hint="eastAsia"/>
          <w:sz w:val="44"/>
          <w:szCs w:val="44"/>
        </w:rPr>
        <w:t>4</w:t>
      </w:r>
      <w:r>
        <w:rPr>
          <w:rFonts w:ascii="方正小标宋简体" w:eastAsia="方正小标宋简体" w:hint="eastAsia"/>
          <w:sz w:val="44"/>
          <w:szCs w:val="44"/>
        </w:rPr>
        <w:t>年度部门整体绩效报告</w:t>
      </w:r>
    </w:p>
    <w:p w:rsidR="003A264B" w:rsidRDefault="003A264B">
      <w:pPr>
        <w:jc w:val="center"/>
        <w:rPr>
          <w:rFonts w:ascii="仿宋_GB2312"/>
          <w:szCs w:val="30"/>
        </w:rPr>
      </w:pPr>
    </w:p>
    <w:p w:rsidR="003A264B" w:rsidRDefault="00C66638">
      <w:pPr>
        <w:pStyle w:val="ab"/>
      </w:pPr>
      <w:r>
        <w:rPr>
          <w:rFonts w:hint="eastAsia"/>
        </w:rPr>
        <w:t>一、部门概况</w:t>
      </w:r>
    </w:p>
    <w:p w:rsidR="003A264B" w:rsidRDefault="00C66638">
      <w:pPr>
        <w:pStyle w:val="ac"/>
      </w:pPr>
      <w:r>
        <w:rPr>
          <w:rFonts w:hint="eastAsia"/>
        </w:rPr>
        <w:t>（</w:t>
      </w:r>
      <w:r>
        <w:rPr>
          <w:rFonts w:hint="eastAsia"/>
        </w:rPr>
        <w:t>一</w:t>
      </w:r>
      <w:r>
        <w:rPr>
          <w:rFonts w:hint="eastAsia"/>
        </w:rPr>
        <w:t>）部门</w:t>
      </w:r>
      <w:r>
        <w:rPr>
          <w:rFonts w:hint="eastAsia"/>
        </w:rPr>
        <w:t>职责</w:t>
      </w:r>
    </w:p>
    <w:p w:rsidR="003A264B" w:rsidRDefault="00C66638">
      <w:pPr>
        <w:pStyle w:val="ae"/>
      </w:pPr>
      <w:r>
        <w:rPr>
          <w:rFonts w:hint="eastAsia"/>
        </w:rPr>
        <w:t>北京市司法局（以下简称“市司法局”或“我局”）是负责本市司法行政工作的市政府组成部门，为正局级单位。主要职责包括：</w:t>
      </w:r>
    </w:p>
    <w:p w:rsidR="003A264B" w:rsidRDefault="00C66638">
      <w:pPr>
        <w:pStyle w:val="ae"/>
      </w:pPr>
      <w:r>
        <w:rPr>
          <w:rFonts w:hint="eastAsia"/>
        </w:rPr>
        <w:t>（</w:t>
      </w:r>
      <w:r>
        <w:rPr>
          <w:rFonts w:hint="eastAsia"/>
        </w:rPr>
        <w:t>1</w:t>
      </w:r>
      <w:r>
        <w:rPr>
          <w:rFonts w:hint="eastAsia"/>
        </w:rPr>
        <w:t>）承担全面依法治市重大问题的政策研究，协调有关方面提出全面依法治市中长期规划建议，负责有关重大决策部署督察工作。</w:t>
      </w:r>
    </w:p>
    <w:p w:rsidR="003A264B" w:rsidRDefault="00C66638">
      <w:pPr>
        <w:pStyle w:val="ae"/>
      </w:pPr>
      <w:r>
        <w:rPr>
          <w:rFonts w:hint="eastAsia"/>
        </w:rPr>
        <w:t>（</w:t>
      </w:r>
      <w:r>
        <w:rPr>
          <w:rFonts w:hint="eastAsia"/>
        </w:rPr>
        <w:t>2</w:t>
      </w:r>
      <w:r>
        <w:rPr>
          <w:rFonts w:hint="eastAsia"/>
        </w:rPr>
        <w:t>）承担统筹规划本市立法工作的责任。协调有关方面提出立法规划和年度立法工作计划的建议，负责跟踪了解各部门对立法工作计划的落实情况，加强组织协调和督促指导，研究提出立法与改革决策相衔接的意见、措施。负责面向社会征集政府规章制定项目建议。</w:t>
      </w:r>
    </w:p>
    <w:p w:rsidR="003A264B" w:rsidRDefault="00C66638">
      <w:pPr>
        <w:pStyle w:val="ae"/>
      </w:pPr>
      <w:r>
        <w:rPr>
          <w:rFonts w:hint="eastAsia"/>
        </w:rPr>
        <w:t>（</w:t>
      </w:r>
      <w:r>
        <w:rPr>
          <w:rFonts w:hint="eastAsia"/>
        </w:rPr>
        <w:t>3</w:t>
      </w:r>
      <w:r>
        <w:rPr>
          <w:rFonts w:hint="eastAsia"/>
        </w:rPr>
        <w:t>）负责起草或者组织起草本市有关地方性法规、政府规章草案。承办各部门报送市政府的地方性法规、政府规章草案的审查工作。负责立法协调。承办市政府规章的解释、立</w:t>
      </w:r>
      <w:r>
        <w:rPr>
          <w:rFonts w:hint="eastAsia"/>
        </w:rPr>
        <w:t>法后评估工作。负责协调各区各部门实施地方性法规、政府规章中的有关争议和问题。承办政府规章清理、编纂工作，组织翻译、审定政府规章的外文正式译本。</w:t>
      </w:r>
    </w:p>
    <w:p w:rsidR="003A264B" w:rsidRDefault="00C66638">
      <w:pPr>
        <w:pStyle w:val="ae"/>
      </w:pPr>
      <w:r>
        <w:rPr>
          <w:rFonts w:hint="eastAsia"/>
        </w:rPr>
        <w:t>（</w:t>
      </w:r>
      <w:r>
        <w:rPr>
          <w:rFonts w:hint="eastAsia"/>
        </w:rPr>
        <w:t>4</w:t>
      </w:r>
      <w:r>
        <w:rPr>
          <w:rFonts w:hint="eastAsia"/>
        </w:rPr>
        <w:t>）承办以市政府或者市政府办公厅名义制发的规范性文件、报请市政府会议审议和市政府审批的涉及法律问题的有关文件或者事项的合法性审核工作。承担区政府和市政府工作部门制定的规范性文件的备案审查工作。</w:t>
      </w:r>
    </w:p>
    <w:p w:rsidR="003A264B" w:rsidRDefault="00C66638">
      <w:pPr>
        <w:pStyle w:val="ae"/>
      </w:pPr>
      <w:r>
        <w:rPr>
          <w:rFonts w:hint="eastAsia"/>
        </w:rPr>
        <w:lastRenderedPageBreak/>
        <w:t>（</w:t>
      </w:r>
      <w:r>
        <w:rPr>
          <w:rFonts w:hint="eastAsia"/>
        </w:rPr>
        <w:t>5</w:t>
      </w:r>
      <w:r>
        <w:rPr>
          <w:rFonts w:hint="eastAsia"/>
        </w:rPr>
        <w:t>）承担统筹推进本市法治政府建设的责任。指导、监督市政府各部门和区、乡镇政府依法行政工作。负责综合协调行政执法，承担推进行政执法体制改革有关工作，推进严格规范公正文明执法</w:t>
      </w:r>
      <w:r>
        <w:rPr>
          <w:rFonts w:hint="eastAsia"/>
        </w:rPr>
        <w:t>。指导、监督全市行政复议和行政应诉工作，负责行政复议、行政赔偿案件办理工作。承办市政府行政诉讼的应诉代理工作。承办由国务院裁决的市政府行政复议案件的有关工作。</w:t>
      </w:r>
    </w:p>
    <w:p w:rsidR="003A264B" w:rsidRDefault="00C66638">
      <w:pPr>
        <w:pStyle w:val="ae"/>
      </w:pPr>
      <w:r>
        <w:rPr>
          <w:rFonts w:hint="eastAsia"/>
        </w:rPr>
        <w:t>（</w:t>
      </w:r>
      <w:r>
        <w:rPr>
          <w:rFonts w:hint="eastAsia"/>
        </w:rPr>
        <w:t>6</w:t>
      </w:r>
      <w:r>
        <w:rPr>
          <w:rFonts w:hint="eastAsia"/>
        </w:rPr>
        <w:t>）承担统筹规划本市法治社会建设的责任。负责拟订法治宣传教育规划，组织实施普法宣传工作。推动人民参与和促进法治建设。指导依法治理和法治创建工作。指导调解工作和人民陪审员、人民监督员选任管理工作</w:t>
      </w:r>
      <w:r>
        <w:rPr>
          <w:rFonts w:hint="eastAsia"/>
        </w:rPr>
        <w:t>,</w:t>
      </w:r>
      <w:r>
        <w:rPr>
          <w:rFonts w:hint="eastAsia"/>
        </w:rPr>
        <w:t>推进司法所建设。</w:t>
      </w:r>
    </w:p>
    <w:p w:rsidR="003A264B" w:rsidRDefault="00C66638">
      <w:pPr>
        <w:pStyle w:val="ae"/>
      </w:pPr>
      <w:r>
        <w:rPr>
          <w:rFonts w:hint="eastAsia"/>
        </w:rPr>
        <w:t>（</w:t>
      </w:r>
      <w:r>
        <w:rPr>
          <w:rFonts w:hint="eastAsia"/>
        </w:rPr>
        <w:t>7</w:t>
      </w:r>
      <w:r>
        <w:rPr>
          <w:rFonts w:hint="eastAsia"/>
        </w:rPr>
        <w:t>）指导、监督本市社区矫正工作和刑满释放人员安置帮教工作。</w:t>
      </w:r>
    </w:p>
    <w:p w:rsidR="003A264B" w:rsidRDefault="00C66638">
      <w:pPr>
        <w:pStyle w:val="ae"/>
      </w:pPr>
      <w:r>
        <w:rPr>
          <w:rFonts w:hint="eastAsia"/>
        </w:rPr>
        <w:t>（</w:t>
      </w:r>
      <w:r>
        <w:rPr>
          <w:rFonts w:hint="eastAsia"/>
        </w:rPr>
        <w:t>8</w:t>
      </w:r>
      <w:r>
        <w:rPr>
          <w:rFonts w:hint="eastAsia"/>
        </w:rPr>
        <w:t>）负责拟订本市公共法律服务体系建设规划并组织实施，统筹和布局城乡、区域法律服务资源。指导、监督律师、法律援助、司法鉴定、公证、仲裁和基层法律服务管理工作。</w:t>
      </w:r>
    </w:p>
    <w:p w:rsidR="003A264B" w:rsidRDefault="00C66638">
      <w:pPr>
        <w:pStyle w:val="ae"/>
      </w:pPr>
      <w:r>
        <w:rPr>
          <w:rFonts w:hint="eastAsia"/>
        </w:rPr>
        <w:t>（</w:t>
      </w:r>
      <w:r>
        <w:rPr>
          <w:rFonts w:hint="eastAsia"/>
        </w:rPr>
        <w:t>9</w:t>
      </w:r>
      <w:r>
        <w:rPr>
          <w:rFonts w:hint="eastAsia"/>
        </w:rPr>
        <w:t>）负责组织本市国家统一法律职业资格考试的考</w:t>
      </w:r>
      <w:proofErr w:type="gramStart"/>
      <w:r>
        <w:rPr>
          <w:rFonts w:hint="eastAsia"/>
        </w:rPr>
        <w:t>务</w:t>
      </w:r>
      <w:proofErr w:type="gramEnd"/>
      <w:r>
        <w:rPr>
          <w:rFonts w:hint="eastAsia"/>
        </w:rPr>
        <w:t>等工作。</w:t>
      </w:r>
    </w:p>
    <w:p w:rsidR="003A264B" w:rsidRDefault="00C66638">
      <w:pPr>
        <w:pStyle w:val="ae"/>
      </w:pPr>
      <w:r>
        <w:rPr>
          <w:rFonts w:hint="eastAsia"/>
        </w:rPr>
        <w:t>（</w:t>
      </w:r>
      <w:r>
        <w:rPr>
          <w:rFonts w:hint="eastAsia"/>
        </w:rPr>
        <w:t>10</w:t>
      </w:r>
      <w:r>
        <w:rPr>
          <w:rFonts w:hint="eastAsia"/>
        </w:rPr>
        <w:t>）负责指导本系统枪支、弹药、服装、警车等管理工作。</w:t>
      </w:r>
    </w:p>
    <w:p w:rsidR="003A264B" w:rsidRDefault="00C66638">
      <w:pPr>
        <w:pStyle w:val="ae"/>
      </w:pPr>
      <w:r>
        <w:rPr>
          <w:rFonts w:hint="eastAsia"/>
        </w:rPr>
        <w:t>（</w:t>
      </w:r>
      <w:r>
        <w:rPr>
          <w:rFonts w:hint="eastAsia"/>
        </w:rPr>
        <w:t>11</w:t>
      </w:r>
      <w:r>
        <w:rPr>
          <w:rFonts w:hint="eastAsia"/>
        </w:rPr>
        <w:t>）规划、协调、指导本市法治人才队伍建设相关工作，指导、监督本系统队伍建设。负责本系统警务管理工作。</w:t>
      </w:r>
    </w:p>
    <w:p w:rsidR="003A264B" w:rsidRDefault="00C66638">
      <w:pPr>
        <w:pStyle w:val="ae"/>
      </w:pPr>
      <w:r>
        <w:rPr>
          <w:rFonts w:hint="eastAsia"/>
        </w:rPr>
        <w:lastRenderedPageBreak/>
        <w:t>（</w:t>
      </w:r>
      <w:r>
        <w:rPr>
          <w:rFonts w:hint="eastAsia"/>
        </w:rPr>
        <w:t>12</w:t>
      </w:r>
      <w:r>
        <w:rPr>
          <w:rFonts w:hint="eastAsia"/>
        </w:rPr>
        <w:t>）管理北京市监狱管理局（北京市戒毒管理局）。</w:t>
      </w:r>
    </w:p>
    <w:p w:rsidR="003A264B" w:rsidRDefault="00C66638">
      <w:pPr>
        <w:pStyle w:val="ae"/>
      </w:pPr>
      <w:r>
        <w:rPr>
          <w:rFonts w:hint="eastAsia"/>
        </w:rPr>
        <w:t>（</w:t>
      </w:r>
      <w:r>
        <w:rPr>
          <w:rFonts w:hint="eastAsia"/>
        </w:rPr>
        <w:t>13</w:t>
      </w:r>
      <w:r>
        <w:rPr>
          <w:rFonts w:hint="eastAsia"/>
        </w:rPr>
        <w:t>）完成市委、市政府交办的其他任务。</w:t>
      </w:r>
    </w:p>
    <w:p w:rsidR="003A264B" w:rsidRDefault="00C66638">
      <w:pPr>
        <w:pStyle w:val="ae"/>
      </w:pPr>
      <w:r>
        <w:rPr>
          <w:rFonts w:hint="eastAsia"/>
        </w:rPr>
        <w:t>北京市司法局下属</w:t>
      </w:r>
      <w:r>
        <w:rPr>
          <w:rFonts w:hint="eastAsia"/>
        </w:rPr>
        <w:t>5</w:t>
      </w:r>
      <w:r>
        <w:rPr>
          <w:rFonts w:hint="eastAsia"/>
        </w:rPr>
        <w:t>个二级预算单位，分</w:t>
      </w:r>
      <w:r>
        <w:rPr>
          <w:rFonts w:hint="eastAsia"/>
        </w:rPr>
        <w:t>别是：北京市司法局本级，属全额拨款行政单位；北京市法律援助中心，属全额拨款事业单位；北京市司法局政府法治研究中心，属全额拨款事业单位；北京市法律职业资格考试中心，属全额拨款事业单位；北京市律师协会秘书处，属全额拨款事业单位。</w:t>
      </w:r>
    </w:p>
    <w:p w:rsidR="003A264B" w:rsidRDefault="00C66638">
      <w:pPr>
        <w:pStyle w:val="ac"/>
      </w:pPr>
      <w:r>
        <w:rPr>
          <w:rFonts w:hint="eastAsia"/>
        </w:rPr>
        <w:t>（二）部门整体绩效目标设立情况</w:t>
      </w:r>
    </w:p>
    <w:p w:rsidR="003A264B" w:rsidRDefault="00C66638">
      <w:pPr>
        <w:pStyle w:val="ae"/>
      </w:pPr>
      <w:r>
        <w:rPr>
          <w:rFonts w:hint="eastAsia"/>
        </w:rPr>
        <w:t>2024</w:t>
      </w:r>
      <w:r>
        <w:rPr>
          <w:rFonts w:hint="eastAsia"/>
        </w:rPr>
        <w:t>年是全面贯彻党的二十大和二十届三中全会精神的关键之年，也是“十四五”规划实施的攻坚之年。绩效目标设立上，我局从依法治市、行政立法、行政执法、法治政府建设、公共法律服务、涉外法治建设等部门履职出发，设立了</w:t>
      </w:r>
      <w:r>
        <w:rPr>
          <w:rFonts w:hint="eastAsia"/>
        </w:rPr>
        <w:t>2</w:t>
      </w:r>
      <w:r>
        <w:t>02</w:t>
      </w:r>
      <w:r>
        <w:rPr>
          <w:rFonts w:hint="eastAsia"/>
        </w:rPr>
        <w:t>4</w:t>
      </w:r>
      <w:r>
        <w:rPr>
          <w:rFonts w:hint="eastAsia"/>
        </w:rPr>
        <w:t>年部门整体绩效目标。目标提出了坚持政</w:t>
      </w:r>
      <w:r>
        <w:rPr>
          <w:rFonts w:hint="eastAsia"/>
        </w:rPr>
        <w:t>治统领、坚持高位推动、坚持法治引领、坚持系统观念、坚持人民至上、坚持首善标准、坚持守正创新、坚持固本强基的工作着力点，明确了全面加强司法行政系统党的建设、强化全面依法治市工作统筹、有力支撑和服务首都高质量发展、助力更高水平平安北京建设、深化现代公共法律服务体系建设、推动涉外法治工作高质量发展、纵深推进司法行政工作改革、筑牢司法行政事业发展基础等预期工作效果。</w:t>
      </w:r>
    </w:p>
    <w:p w:rsidR="003A264B" w:rsidRDefault="00C66638">
      <w:pPr>
        <w:pStyle w:val="ae"/>
      </w:pPr>
      <w:r>
        <w:rPr>
          <w:rFonts w:hint="eastAsia"/>
        </w:rPr>
        <w:t>绩效指标设立上，我局依据部门职能及年度重点工作任务，从法律职业资格考试、法治建设、公共法律服务、后勤保障、基层司法业务、律师公证管理、普法宣传、社区矫正、</w:t>
      </w:r>
      <w:r>
        <w:rPr>
          <w:rFonts w:hint="eastAsia"/>
        </w:rPr>
        <w:lastRenderedPageBreak/>
        <w:t>司法综合事务、信息化建设</w:t>
      </w:r>
      <w:r>
        <w:rPr>
          <w:rFonts w:hint="eastAsia"/>
        </w:rPr>
        <w:t>1</w:t>
      </w:r>
      <w:r>
        <w:t>0</w:t>
      </w:r>
      <w:r>
        <w:rPr>
          <w:rFonts w:hint="eastAsia"/>
        </w:rPr>
        <w:t>个方面对绩效目标进行了分解与细化，设置了相应的产出指标、效益指标及满意度指标。</w:t>
      </w:r>
    </w:p>
    <w:p w:rsidR="003A264B" w:rsidRDefault="00C66638">
      <w:pPr>
        <w:pStyle w:val="ae"/>
      </w:pPr>
      <w:r>
        <w:rPr>
          <w:rFonts w:hint="eastAsia"/>
        </w:rPr>
        <w:t>总体上，部门绩效目标内容较为全面、合理，分解后的绩效指标与我局部门职责、年度重点工作任务匹配性较好。</w:t>
      </w:r>
    </w:p>
    <w:p w:rsidR="003A264B" w:rsidRDefault="00C66638">
      <w:pPr>
        <w:pStyle w:val="ab"/>
      </w:pPr>
      <w:r>
        <w:rPr>
          <w:rFonts w:hint="eastAsia"/>
        </w:rPr>
        <w:t>二</w:t>
      </w:r>
      <w:r>
        <w:t>、</w:t>
      </w:r>
      <w:r>
        <w:rPr>
          <w:rFonts w:hint="eastAsia"/>
        </w:rPr>
        <w:t>当年</w:t>
      </w:r>
      <w:r>
        <w:t>预算执行情况</w:t>
      </w:r>
    </w:p>
    <w:p w:rsidR="003A264B" w:rsidRDefault="00C66638">
      <w:pPr>
        <w:pStyle w:val="ae"/>
      </w:pPr>
      <w:bookmarkStart w:id="0" w:name="_Hlk167112746"/>
      <w:r>
        <w:rPr>
          <w:rFonts w:hint="eastAsia"/>
        </w:rPr>
        <w:t>2024</w:t>
      </w:r>
      <w:r>
        <w:rPr>
          <w:rFonts w:hint="eastAsia"/>
        </w:rPr>
        <w:t>年全年预算数</w:t>
      </w:r>
      <w:r>
        <w:t>29121.16</w:t>
      </w:r>
      <w:r>
        <w:rPr>
          <w:rFonts w:hint="eastAsia"/>
        </w:rPr>
        <w:t>万元，其中，基本支出预算数</w:t>
      </w:r>
      <w:r>
        <w:t>19304.13</w:t>
      </w:r>
      <w:r>
        <w:rPr>
          <w:rFonts w:hint="eastAsia"/>
        </w:rPr>
        <w:t>万元，项目支出预算数</w:t>
      </w:r>
      <w:r>
        <w:t>9817.02</w:t>
      </w:r>
      <w:r>
        <w:rPr>
          <w:rFonts w:hint="eastAsia"/>
        </w:rPr>
        <w:t>万元。全年支出</w:t>
      </w:r>
      <w:r>
        <w:t>28232.63</w:t>
      </w:r>
      <w:r>
        <w:rPr>
          <w:rFonts w:hint="eastAsia"/>
        </w:rPr>
        <w:t>万元</w:t>
      </w:r>
      <w:r>
        <w:rPr>
          <w:rStyle w:val="aa"/>
          <w:rFonts w:hint="eastAsia"/>
        </w:rPr>
        <w:footnoteReference w:id="1"/>
      </w:r>
      <w:r>
        <w:rPr>
          <w:rFonts w:hint="eastAsia"/>
        </w:rPr>
        <w:t>，其中，基本支出</w:t>
      </w:r>
      <w:r>
        <w:t>18833.12</w:t>
      </w:r>
      <w:r>
        <w:rPr>
          <w:rFonts w:hint="eastAsia"/>
        </w:rPr>
        <w:t>万元，项目支出</w:t>
      </w:r>
      <w:r>
        <w:t>9399.51</w:t>
      </w:r>
      <w:r>
        <w:rPr>
          <w:rFonts w:hint="eastAsia"/>
        </w:rPr>
        <w:t>万元。预算执行率为</w:t>
      </w:r>
      <w:r>
        <w:rPr>
          <w:rFonts w:hint="eastAsia"/>
        </w:rPr>
        <w:t>96.95%</w:t>
      </w:r>
      <w:r>
        <w:rPr>
          <w:rFonts w:hint="eastAsia"/>
        </w:rPr>
        <w:t>。</w:t>
      </w:r>
    </w:p>
    <w:bookmarkEnd w:id="0"/>
    <w:p w:rsidR="003A264B" w:rsidRDefault="00C66638">
      <w:pPr>
        <w:pStyle w:val="ab"/>
      </w:pPr>
      <w:r>
        <w:rPr>
          <w:rFonts w:hint="eastAsia"/>
        </w:rPr>
        <w:t>三</w:t>
      </w:r>
      <w:r>
        <w:t>、整体绩效目标实现情况</w:t>
      </w:r>
    </w:p>
    <w:p w:rsidR="003A264B" w:rsidRDefault="00C66638">
      <w:pPr>
        <w:pStyle w:val="ac"/>
      </w:pPr>
      <w:r>
        <w:rPr>
          <w:rFonts w:hint="eastAsia"/>
        </w:rPr>
        <w:t>（一）产出完成情况分析</w:t>
      </w:r>
    </w:p>
    <w:p w:rsidR="003A264B" w:rsidRDefault="00C66638">
      <w:pPr>
        <w:pStyle w:val="ad"/>
      </w:pPr>
      <w:r>
        <w:rPr>
          <w:rFonts w:hint="eastAsia"/>
        </w:rPr>
        <w:t>1.</w:t>
      </w:r>
      <w:r>
        <w:rPr>
          <w:rFonts w:hint="eastAsia"/>
        </w:rPr>
        <w:t>产出数量</w:t>
      </w:r>
    </w:p>
    <w:p w:rsidR="003A264B" w:rsidRDefault="00C66638">
      <w:pPr>
        <w:pStyle w:val="ae"/>
      </w:pPr>
      <w:r>
        <w:rPr>
          <w:rFonts w:hint="eastAsia"/>
        </w:rPr>
        <w:t>2024</w:t>
      </w:r>
      <w:r>
        <w:rPr>
          <w:rFonts w:hint="eastAsia"/>
        </w:rPr>
        <w:t>年，我局坚持以习近平新时代中国特色社会主义思想为指导，全面贯彻落实党的二十大和二十届二中、三中全会精神，深入学习贯彻习近平法治思想，有效履行各项职能，顺利完成法治建设、法律职业资格考试、公共法律服务、基层司法业务、律师公证管理、普法宣传、社区矫正、司法综合事务、信息化建设、后勤保障等年度工作任务目标，扎实推进全面依法治市和</w:t>
      </w:r>
      <w:r>
        <w:rPr>
          <w:rFonts w:hint="eastAsia"/>
        </w:rPr>
        <w:t>司法行政各项工作高质量发展，为首都现代化建设提供有力法治保障。</w:t>
      </w:r>
    </w:p>
    <w:p w:rsidR="003A264B" w:rsidRDefault="00C66638">
      <w:pPr>
        <w:pStyle w:val="ae"/>
      </w:pPr>
      <w:r>
        <w:rPr>
          <w:rFonts w:hint="eastAsia"/>
        </w:rPr>
        <w:t>（</w:t>
      </w:r>
      <w:r>
        <w:rPr>
          <w:rFonts w:hint="eastAsia"/>
        </w:rPr>
        <w:t>1</w:t>
      </w:r>
      <w:r>
        <w:rPr>
          <w:rFonts w:hint="eastAsia"/>
        </w:rPr>
        <w:t>）</w:t>
      </w:r>
      <w:proofErr w:type="gramStart"/>
      <w:r>
        <w:rPr>
          <w:rFonts w:hint="eastAsia"/>
        </w:rPr>
        <w:t>党建队建实现</w:t>
      </w:r>
      <w:proofErr w:type="gramEnd"/>
      <w:r>
        <w:rPr>
          <w:rFonts w:hint="eastAsia"/>
        </w:rPr>
        <w:t>新加强</w:t>
      </w:r>
    </w:p>
    <w:p w:rsidR="003A264B" w:rsidRDefault="00C66638">
      <w:pPr>
        <w:pStyle w:val="ae"/>
      </w:pPr>
      <w:r>
        <w:rPr>
          <w:rFonts w:hint="eastAsia"/>
        </w:rPr>
        <w:t>坚决贯彻党中央和市委工作部署，成立了学习教育专班，制定了具体措施及任务清单。举办了京津</w:t>
      </w:r>
      <w:proofErr w:type="gramStart"/>
      <w:r>
        <w:rPr>
          <w:rFonts w:hint="eastAsia"/>
        </w:rPr>
        <w:t>冀司法</w:t>
      </w:r>
      <w:proofErr w:type="gramEnd"/>
      <w:r>
        <w:rPr>
          <w:rFonts w:hint="eastAsia"/>
        </w:rPr>
        <w:t>行政系统基层党组负责人和全系统学习贯彻党的二十届三中全会</w:t>
      </w:r>
      <w:r>
        <w:rPr>
          <w:rFonts w:hint="eastAsia"/>
        </w:rPr>
        <w:lastRenderedPageBreak/>
        <w:t>精神政治培训班。建立了全面从严治党季度例会制度、检查考核反馈和约谈机制，实施“</w:t>
      </w:r>
      <w:r>
        <w:rPr>
          <w:rFonts w:hint="eastAsia"/>
        </w:rPr>
        <w:t>5+N</w:t>
      </w:r>
      <w:r>
        <w:rPr>
          <w:rFonts w:hint="eastAsia"/>
        </w:rPr>
        <w:t>”通报机制、全面从严治党主体责任落实情况“月提醒”制度。举办了“京司大讲堂”等业务培训，完成首届北京市司法行政“三型人才”评选，联合北大法学院举办了第二期北京市百名高端涉外法治人才培训班。</w:t>
      </w:r>
    </w:p>
    <w:p w:rsidR="003A264B" w:rsidRDefault="00C66638">
      <w:pPr>
        <w:pStyle w:val="ae"/>
      </w:pPr>
      <w:r>
        <w:rPr>
          <w:rFonts w:hint="eastAsia"/>
        </w:rPr>
        <w:t>（</w:t>
      </w:r>
      <w:r>
        <w:rPr>
          <w:rFonts w:hint="eastAsia"/>
        </w:rPr>
        <w:t>2</w:t>
      </w:r>
      <w:r>
        <w:rPr>
          <w:rFonts w:hint="eastAsia"/>
        </w:rPr>
        <w:t>）法治保障大局取得新成效</w:t>
      </w:r>
    </w:p>
    <w:p w:rsidR="003A264B" w:rsidRDefault="00C66638">
      <w:pPr>
        <w:pStyle w:val="ae"/>
      </w:pPr>
      <w:r>
        <w:rPr>
          <w:rFonts w:hint="eastAsia"/>
        </w:rPr>
        <w:t>完成了重大行政决策、规范性文件、协议的合法性审核，对备案规范性文件的实质性审查。首次举办中关村论坛年会“科技与法治”平行论坛，完成市政府立法工作法律专家委员会换届。开展了长城保护条例等法规规章的立项论证，完成自动驾驶汽车条例等法规规章草案的法律审查，全年办理人大代表建议、政协委员提案</w:t>
      </w:r>
      <w:r>
        <w:rPr>
          <w:rFonts w:hint="eastAsia"/>
        </w:rPr>
        <w:t>45</w:t>
      </w:r>
      <w:r>
        <w:rPr>
          <w:rFonts w:hint="eastAsia"/>
        </w:rPr>
        <w:t>件，完成对</w:t>
      </w:r>
      <w:r>
        <w:rPr>
          <w:rFonts w:hint="eastAsia"/>
        </w:rPr>
        <w:t>153</w:t>
      </w:r>
      <w:r>
        <w:rPr>
          <w:rFonts w:hint="eastAsia"/>
        </w:rPr>
        <w:t>部政府规章后评估。进一步推动了一体化综合监督、轻微免罚、</w:t>
      </w:r>
      <w:proofErr w:type="gramStart"/>
      <w:r>
        <w:rPr>
          <w:rFonts w:hint="eastAsia"/>
        </w:rPr>
        <w:t>初违慎罚</w:t>
      </w:r>
      <w:proofErr w:type="gramEnd"/>
      <w:r>
        <w:rPr>
          <w:rFonts w:hint="eastAsia"/>
        </w:rPr>
        <w:t>等改革措施落实，非现场</w:t>
      </w:r>
      <w:proofErr w:type="gramStart"/>
      <w:r>
        <w:rPr>
          <w:rFonts w:hint="eastAsia"/>
        </w:rPr>
        <w:t>检查占</w:t>
      </w:r>
      <w:proofErr w:type="gramEnd"/>
      <w:r>
        <w:rPr>
          <w:rFonts w:hint="eastAsia"/>
        </w:rPr>
        <w:t>比提升显著。</w:t>
      </w:r>
    </w:p>
    <w:p w:rsidR="003A264B" w:rsidRDefault="00C66638">
      <w:pPr>
        <w:pStyle w:val="ae"/>
      </w:pPr>
      <w:r>
        <w:rPr>
          <w:rFonts w:hint="eastAsia"/>
        </w:rPr>
        <w:t>（</w:t>
      </w:r>
      <w:r>
        <w:rPr>
          <w:rFonts w:hint="eastAsia"/>
        </w:rPr>
        <w:t>3</w:t>
      </w:r>
      <w:r>
        <w:rPr>
          <w:rFonts w:hint="eastAsia"/>
        </w:rPr>
        <w:t>）法治统筹能力实现新提升</w:t>
      </w:r>
    </w:p>
    <w:p w:rsidR="003A264B" w:rsidRDefault="00C66638">
      <w:pPr>
        <w:pStyle w:val="ae"/>
      </w:pPr>
      <w:r>
        <w:rPr>
          <w:rFonts w:hint="eastAsia"/>
        </w:rPr>
        <w:t>开展了首次全市法治工作先进典型评选，表彰先</w:t>
      </w:r>
      <w:r>
        <w:rPr>
          <w:rFonts w:hint="eastAsia"/>
        </w:rPr>
        <w:t>进集体</w:t>
      </w:r>
      <w:r>
        <w:rPr>
          <w:rFonts w:hint="eastAsia"/>
        </w:rPr>
        <w:t>20</w:t>
      </w:r>
      <w:r>
        <w:rPr>
          <w:rFonts w:hint="eastAsia"/>
        </w:rPr>
        <w:t>个、先进个人</w:t>
      </w:r>
      <w:r>
        <w:rPr>
          <w:rFonts w:hint="eastAsia"/>
        </w:rPr>
        <w:t>60</w:t>
      </w:r>
      <w:r>
        <w:rPr>
          <w:rFonts w:hint="eastAsia"/>
        </w:rPr>
        <w:t>名。充分发挥</w:t>
      </w:r>
      <w:r>
        <w:rPr>
          <w:rFonts w:hint="eastAsia"/>
        </w:rPr>
        <w:t>5</w:t>
      </w:r>
      <w:r>
        <w:rPr>
          <w:rFonts w:hint="eastAsia"/>
        </w:rPr>
        <w:t>个实践研究基地作用，召开“习近平法治思想北京实践”研讨会，进一步推进成果转化。组织了法治政府建设年度报告执行情况核查，举办首届北京涉外法律服务宣传推介活动，发布《北京市涉外法律服务手册》，全年办理涉港澳台和涉外公证事项</w:t>
      </w:r>
      <w:r>
        <w:rPr>
          <w:rFonts w:hint="eastAsia"/>
        </w:rPr>
        <w:t>27</w:t>
      </w:r>
      <w:r>
        <w:rPr>
          <w:rFonts w:hint="eastAsia"/>
        </w:rPr>
        <w:t>万余件。组织开展“我（们）的法治故事”征集评选活动，评选优秀作品</w:t>
      </w:r>
      <w:r>
        <w:rPr>
          <w:rFonts w:hint="eastAsia"/>
        </w:rPr>
        <w:t>45</w:t>
      </w:r>
      <w:r>
        <w:rPr>
          <w:rFonts w:hint="eastAsia"/>
        </w:rPr>
        <w:t>部并组织开展集中展示活动。举办了全市基层依法</w:t>
      </w:r>
      <w:r>
        <w:rPr>
          <w:rFonts w:hint="eastAsia"/>
        </w:rPr>
        <w:lastRenderedPageBreak/>
        <w:t>治理暨“法律明白人”示范培训班，通报表扬“法律明白人”</w:t>
      </w:r>
      <w:r>
        <w:rPr>
          <w:rFonts w:hint="eastAsia"/>
        </w:rPr>
        <w:t>126</w:t>
      </w:r>
      <w:r>
        <w:rPr>
          <w:rFonts w:hint="eastAsia"/>
        </w:rPr>
        <w:t>名。依托北京城市图书馆新建北京市宪法宣传教育基地，完成北京市宪法宣传教育公共法</w:t>
      </w:r>
      <w:r>
        <w:rPr>
          <w:rFonts w:hint="eastAsia"/>
        </w:rPr>
        <w:t>律服务中心馆升级改造，打造了望京法治广场、大运河“法治号”游船项目等品牌，组织开展了“宪法宣传周”、民法典系列宣传活动。</w:t>
      </w:r>
    </w:p>
    <w:p w:rsidR="003A264B" w:rsidRDefault="00C66638">
      <w:pPr>
        <w:pStyle w:val="ae"/>
      </w:pPr>
      <w:r>
        <w:rPr>
          <w:rFonts w:hint="eastAsia"/>
        </w:rPr>
        <w:t>（</w:t>
      </w:r>
      <w:r>
        <w:rPr>
          <w:rFonts w:hint="eastAsia"/>
        </w:rPr>
        <w:t>4</w:t>
      </w:r>
      <w:r>
        <w:rPr>
          <w:rFonts w:hint="eastAsia"/>
        </w:rPr>
        <w:t>）助力平安北京建设彰显新担当</w:t>
      </w:r>
    </w:p>
    <w:p w:rsidR="003A264B" w:rsidRDefault="00C66638">
      <w:pPr>
        <w:pStyle w:val="ae"/>
      </w:pPr>
      <w:r>
        <w:rPr>
          <w:rFonts w:hint="eastAsia"/>
        </w:rPr>
        <w:t>圆满完成了重要节点安</w:t>
      </w:r>
      <w:proofErr w:type="gramStart"/>
      <w:r>
        <w:rPr>
          <w:rFonts w:hint="eastAsia"/>
        </w:rPr>
        <w:t>保维稳任务</w:t>
      </w:r>
      <w:proofErr w:type="gramEnd"/>
      <w:r>
        <w:rPr>
          <w:rFonts w:hint="eastAsia"/>
        </w:rPr>
        <w:t>，持续加强网络意识形态安全。开展了监狱系统集中整治、“春雷”</w:t>
      </w:r>
      <w:r>
        <w:rPr>
          <w:rFonts w:hint="eastAsia"/>
        </w:rPr>
        <w:t>2024</w:t>
      </w:r>
      <w:r>
        <w:rPr>
          <w:rFonts w:hint="eastAsia"/>
        </w:rPr>
        <w:t>行动等工作，进一步强化重点人员教育管控。全年各级人民调解组织排查纠纷</w:t>
      </w:r>
      <w:r>
        <w:rPr>
          <w:rFonts w:hint="eastAsia"/>
        </w:rPr>
        <w:t>38.4</w:t>
      </w:r>
      <w:r>
        <w:rPr>
          <w:rFonts w:hint="eastAsia"/>
        </w:rPr>
        <w:t>万余次，预防纠纷</w:t>
      </w:r>
      <w:r>
        <w:rPr>
          <w:rFonts w:hint="eastAsia"/>
        </w:rPr>
        <w:t>4409</w:t>
      </w:r>
      <w:r>
        <w:rPr>
          <w:rFonts w:hint="eastAsia"/>
        </w:rPr>
        <w:t>件，调解民间纠纷</w:t>
      </w:r>
      <w:r>
        <w:rPr>
          <w:rFonts w:hint="eastAsia"/>
        </w:rPr>
        <w:t>43.4</w:t>
      </w:r>
      <w:r>
        <w:rPr>
          <w:rFonts w:hint="eastAsia"/>
        </w:rPr>
        <w:t>万余件。在全国率先启动了行政复议法学习月及复议开放日活动，全市全年共收到复议申请</w:t>
      </w:r>
      <w:r>
        <w:rPr>
          <w:rFonts w:hint="eastAsia"/>
        </w:rPr>
        <w:t>8.4</w:t>
      </w:r>
      <w:r>
        <w:rPr>
          <w:rFonts w:hint="eastAsia"/>
        </w:rPr>
        <w:t>万余件，同比增长</w:t>
      </w:r>
      <w:r>
        <w:rPr>
          <w:rFonts w:hint="eastAsia"/>
        </w:rPr>
        <w:t>3.4</w:t>
      </w:r>
      <w:r>
        <w:rPr>
          <w:rFonts w:hint="eastAsia"/>
        </w:rPr>
        <w:t>倍，复议诉讼比创造历史新高</w:t>
      </w:r>
      <w:r>
        <w:rPr>
          <w:rFonts w:hint="eastAsia"/>
        </w:rPr>
        <w:t>。</w:t>
      </w:r>
    </w:p>
    <w:p w:rsidR="003A264B" w:rsidRDefault="00C66638">
      <w:pPr>
        <w:pStyle w:val="ae"/>
      </w:pPr>
      <w:r>
        <w:rPr>
          <w:rFonts w:hint="eastAsia"/>
        </w:rPr>
        <w:t>（</w:t>
      </w:r>
      <w:r>
        <w:rPr>
          <w:rFonts w:hint="eastAsia"/>
        </w:rPr>
        <w:t>5</w:t>
      </w:r>
      <w:r>
        <w:rPr>
          <w:rFonts w:hint="eastAsia"/>
        </w:rPr>
        <w:t>）公共法律服务获得新成效</w:t>
      </w:r>
    </w:p>
    <w:p w:rsidR="003A264B" w:rsidRDefault="00C66638">
      <w:pPr>
        <w:pStyle w:val="ae"/>
      </w:pPr>
      <w:r>
        <w:rPr>
          <w:rFonts w:hint="eastAsia"/>
        </w:rPr>
        <w:t>开展了“</w:t>
      </w:r>
      <w:bookmarkStart w:id="1" w:name="OLE_LINK39"/>
      <w:r>
        <w:rPr>
          <w:rFonts w:hint="eastAsia"/>
        </w:rPr>
        <w:t>法润京华</w:t>
      </w:r>
      <w:bookmarkEnd w:id="1"/>
      <w:r>
        <w:rPr>
          <w:rFonts w:hint="eastAsia"/>
        </w:rPr>
        <w:t>”公共法律服务专项行动月活动，组织普法宣讲等活动</w:t>
      </w:r>
      <w:r>
        <w:rPr>
          <w:rFonts w:hint="eastAsia"/>
        </w:rPr>
        <w:t>190</w:t>
      </w:r>
      <w:r>
        <w:rPr>
          <w:rFonts w:hint="eastAsia"/>
        </w:rPr>
        <w:t>余场次，创建公共法律服务品牌</w:t>
      </w:r>
      <w:r>
        <w:rPr>
          <w:rFonts w:hint="eastAsia"/>
        </w:rPr>
        <w:t>30</w:t>
      </w:r>
      <w:r>
        <w:rPr>
          <w:rFonts w:hint="eastAsia"/>
        </w:rPr>
        <w:t>余个。三大平台提供法律咨询服务</w:t>
      </w:r>
      <w:r>
        <w:rPr>
          <w:rFonts w:hint="eastAsia"/>
        </w:rPr>
        <w:t>351.1</w:t>
      </w:r>
      <w:r>
        <w:rPr>
          <w:rFonts w:hint="eastAsia"/>
        </w:rPr>
        <w:t>万余次，同比增长</w:t>
      </w:r>
      <w:r>
        <w:rPr>
          <w:rFonts w:hint="eastAsia"/>
        </w:rPr>
        <w:t>14.6%</w:t>
      </w:r>
      <w:r>
        <w:rPr>
          <w:rFonts w:hint="eastAsia"/>
        </w:rPr>
        <w:t>。完成</w:t>
      </w:r>
      <w:r>
        <w:rPr>
          <w:rFonts w:hint="eastAsia"/>
        </w:rPr>
        <w:t>4720</w:t>
      </w:r>
      <w:r>
        <w:rPr>
          <w:rFonts w:hint="eastAsia"/>
        </w:rPr>
        <w:t>名人民陪审员的选任工作，人民监督员参与检察院办案活动</w:t>
      </w:r>
      <w:r>
        <w:rPr>
          <w:rFonts w:hint="eastAsia"/>
        </w:rPr>
        <w:t>650</w:t>
      </w:r>
      <w:r>
        <w:rPr>
          <w:rFonts w:hint="eastAsia"/>
        </w:rPr>
        <w:t>余人次。完成全市法律职业资格考试工作，全市</w:t>
      </w:r>
      <w:proofErr w:type="gramStart"/>
      <w:r>
        <w:rPr>
          <w:rFonts w:hint="eastAsia"/>
        </w:rPr>
        <w:t>参加法考</w:t>
      </w:r>
      <w:bookmarkStart w:id="2" w:name="OLE_LINK4"/>
      <w:r>
        <w:rPr>
          <w:rFonts w:hint="eastAsia"/>
        </w:rPr>
        <w:t>64280</w:t>
      </w:r>
      <w:r>
        <w:rPr>
          <w:rFonts w:hint="eastAsia"/>
        </w:rPr>
        <w:t>人次</w:t>
      </w:r>
      <w:bookmarkEnd w:id="2"/>
      <w:proofErr w:type="gramEnd"/>
      <w:r>
        <w:rPr>
          <w:rFonts w:hint="eastAsia"/>
        </w:rPr>
        <w:t>。全市全年受理法律援助案件</w:t>
      </w:r>
      <w:r>
        <w:rPr>
          <w:rFonts w:hint="eastAsia"/>
        </w:rPr>
        <w:t>3.7</w:t>
      </w:r>
      <w:r>
        <w:rPr>
          <w:rFonts w:hint="eastAsia"/>
        </w:rPr>
        <w:t>万余件。组织开展了全市法律援助案件质量评估，评估案件总体优良率有所提高。</w:t>
      </w:r>
      <w:r>
        <w:rPr>
          <w:rFonts w:hint="eastAsia"/>
        </w:rPr>
        <w:t>2024</w:t>
      </w:r>
      <w:r>
        <w:rPr>
          <w:rFonts w:hint="eastAsia"/>
        </w:rPr>
        <w:t>年</w:t>
      </w:r>
      <w:r>
        <w:rPr>
          <w:rFonts w:hint="eastAsia"/>
        </w:rPr>
        <w:t>1</w:t>
      </w:r>
      <w:r>
        <w:rPr>
          <w:rFonts w:hint="eastAsia"/>
        </w:rPr>
        <w:t>月组织召开了全市第十二次律师代表大会，选举产生新一届律师行</w:t>
      </w:r>
      <w:r>
        <w:rPr>
          <w:rFonts w:hint="eastAsia"/>
        </w:rPr>
        <w:t>业协会，完成</w:t>
      </w:r>
      <w:r>
        <w:rPr>
          <w:rFonts w:hint="eastAsia"/>
        </w:rPr>
        <w:t>19</w:t>
      </w:r>
      <w:r>
        <w:rPr>
          <w:rFonts w:hint="eastAsia"/>
        </w:rPr>
        <w:t>个专门委员会和</w:t>
      </w:r>
      <w:r>
        <w:rPr>
          <w:rFonts w:hint="eastAsia"/>
        </w:rPr>
        <w:t>46</w:t>
      </w:r>
      <w:r>
        <w:rPr>
          <w:rFonts w:hint="eastAsia"/>
        </w:rPr>
        <w:t>个专业委员会换届，吸纳</w:t>
      </w:r>
      <w:r>
        <w:rPr>
          <w:rFonts w:hint="eastAsia"/>
        </w:rPr>
        <w:t>5000</w:t>
      </w:r>
      <w:r>
        <w:rPr>
          <w:rFonts w:hint="eastAsia"/>
        </w:rPr>
        <w:t>余名律</w:t>
      </w:r>
      <w:r>
        <w:rPr>
          <w:rFonts w:hint="eastAsia"/>
        </w:rPr>
        <w:lastRenderedPageBreak/>
        <w:t>师</w:t>
      </w:r>
      <w:proofErr w:type="gramStart"/>
      <w:r>
        <w:rPr>
          <w:rFonts w:hint="eastAsia"/>
        </w:rPr>
        <w:t>参与两专委</w:t>
      </w:r>
      <w:proofErr w:type="gramEnd"/>
      <w:r>
        <w:rPr>
          <w:rFonts w:hint="eastAsia"/>
        </w:rPr>
        <w:t>工作。制定了公证领域行政检查事项清单</w:t>
      </w:r>
      <w:r>
        <w:rPr>
          <w:rFonts w:hint="eastAsia"/>
        </w:rPr>
        <w:t>11</w:t>
      </w:r>
      <w:r>
        <w:rPr>
          <w:rFonts w:hint="eastAsia"/>
        </w:rPr>
        <w:t>项、“高效办成一件事”公证事项</w:t>
      </w:r>
      <w:r>
        <w:rPr>
          <w:rFonts w:hint="eastAsia"/>
        </w:rPr>
        <w:t>106</w:t>
      </w:r>
      <w:r>
        <w:rPr>
          <w:rFonts w:hint="eastAsia"/>
        </w:rPr>
        <w:t>项，对</w:t>
      </w:r>
      <w:r>
        <w:rPr>
          <w:rFonts w:hint="eastAsia"/>
        </w:rPr>
        <w:t>158</w:t>
      </w:r>
      <w:r>
        <w:rPr>
          <w:rFonts w:hint="eastAsia"/>
        </w:rPr>
        <w:t>项公证事项进行了提速办理。牵头组织了京津</w:t>
      </w:r>
      <w:proofErr w:type="gramStart"/>
      <w:r>
        <w:rPr>
          <w:rFonts w:hint="eastAsia"/>
        </w:rPr>
        <w:t>冀申请</w:t>
      </w:r>
      <w:proofErr w:type="gramEnd"/>
      <w:r>
        <w:rPr>
          <w:rFonts w:hint="eastAsia"/>
        </w:rPr>
        <w:t>司法鉴定执业人员能力评估联考，全市司法鉴定机构共受理鉴定申请</w:t>
      </w:r>
      <w:r>
        <w:rPr>
          <w:rFonts w:hint="eastAsia"/>
        </w:rPr>
        <w:t>13.3</w:t>
      </w:r>
      <w:r>
        <w:rPr>
          <w:rFonts w:hint="eastAsia"/>
        </w:rPr>
        <w:t>万余件。</w:t>
      </w:r>
    </w:p>
    <w:p w:rsidR="003A264B" w:rsidRDefault="00C66638">
      <w:pPr>
        <w:pStyle w:val="ad"/>
      </w:pPr>
      <w:bookmarkStart w:id="3" w:name="_Hlk167093795"/>
      <w:r>
        <w:rPr>
          <w:rFonts w:hint="eastAsia"/>
        </w:rPr>
        <w:t>2.</w:t>
      </w:r>
      <w:r>
        <w:rPr>
          <w:rFonts w:hint="eastAsia"/>
        </w:rPr>
        <w:t>产出</w:t>
      </w:r>
      <w:r>
        <w:t>质量</w:t>
      </w:r>
    </w:p>
    <w:p w:rsidR="003A264B" w:rsidRDefault="00C66638">
      <w:pPr>
        <w:pStyle w:val="ae"/>
      </w:pPr>
      <w:r>
        <w:rPr>
          <w:rFonts w:hint="eastAsia"/>
        </w:rPr>
        <w:t>我局</w:t>
      </w:r>
      <w:r>
        <w:rPr>
          <w:rFonts w:hint="eastAsia"/>
        </w:rPr>
        <w:t>2</w:t>
      </w:r>
      <w:r>
        <w:t>0</w:t>
      </w:r>
      <w:r>
        <w:rPr>
          <w:rFonts w:hint="eastAsia"/>
        </w:rPr>
        <w:t>24</w:t>
      </w:r>
      <w:r>
        <w:rPr>
          <w:rFonts w:hint="eastAsia"/>
        </w:rPr>
        <w:t>年部门工作完成质量较好。法律职业资格申请、立法及规范性文件做到应</w:t>
      </w:r>
      <w:proofErr w:type="gramStart"/>
      <w:r>
        <w:rPr>
          <w:rFonts w:hint="eastAsia"/>
        </w:rPr>
        <w:t>审尽审</w:t>
      </w:r>
      <w:proofErr w:type="gramEnd"/>
      <w:r>
        <w:rPr>
          <w:rFonts w:hint="eastAsia"/>
        </w:rPr>
        <w:t>，行政诉讼案件办理与工作要求相符，法律援助相关办案补贴发放工作符合相关办法要求，公共法律服务相关平台保障工作、信访投诉与行</w:t>
      </w:r>
      <w:r>
        <w:rPr>
          <w:rFonts w:hint="eastAsia"/>
        </w:rPr>
        <w:t>政处罚执法办案、审计评审评估评价等司法相关事务均实现应保尽保，后勤综合服务保障率、全市人民监督员选任管理工作保障率、律师培训参与度</w:t>
      </w:r>
      <w:r>
        <w:rPr>
          <w:rFonts w:hint="eastAsia"/>
        </w:rPr>
        <w:t>等</w:t>
      </w:r>
      <w:r>
        <w:rPr>
          <w:rFonts w:hint="eastAsia"/>
        </w:rPr>
        <w:t>均达到</w:t>
      </w:r>
      <w:r>
        <w:rPr>
          <w:rFonts w:hint="eastAsia"/>
        </w:rPr>
        <w:t>1</w:t>
      </w:r>
      <w:r>
        <w:t>00</w:t>
      </w:r>
      <w:r>
        <w:rPr>
          <w:rFonts w:hint="eastAsia"/>
        </w:rPr>
        <w:t>%</w:t>
      </w:r>
      <w:r>
        <w:rPr>
          <w:rFonts w:hint="eastAsia"/>
        </w:rPr>
        <w:t>，各类宣传工作实际覆盖面、宣传信息发布频次与计划相符率、系统内各类网络联通及正常运行率、信息化故障响应及排除率均达到</w:t>
      </w:r>
      <w:r>
        <w:rPr>
          <w:rFonts w:hint="eastAsia"/>
        </w:rPr>
        <w:t>99%</w:t>
      </w:r>
      <w:r>
        <w:rPr>
          <w:rFonts w:hint="eastAsia"/>
        </w:rPr>
        <w:t>以上，</w:t>
      </w:r>
      <w:r>
        <w:rPr>
          <w:rFonts w:hint="eastAsia"/>
        </w:rPr>
        <w:t>4</w:t>
      </w:r>
      <w:r>
        <w:t>008</w:t>
      </w:r>
      <w:r>
        <w:rPr>
          <w:rFonts w:hint="eastAsia"/>
        </w:rPr>
        <w:t>咨询电话接通率达到</w:t>
      </w:r>
      <w:r>
        <w:t>9</w:t>
      </w:r>
      <w:r>
        <w:rPr>
          <w:rFonts w:hint="eastAsia"/>
        </w:rPr>
        <w:t>5%</w:t>
      </w:r>
      <w:r>
        <w:rPr>
          <w:rFonts w:hint="eastAsia"/>
        </w:rPr>
        <w:t>，各项工作质量指标完成情况整体较好，但有个别工作完成质量仍有提升空间。</w:t>
      </w:r>
    </w:p>
    <w:bookmarkEnd w:id="3"/>
    <w:p w:rsidR="003A264B" w:rsidRDefault="00C66638">
      <w:pPr>
        <w:pStyle w:val="ad"/>
      </w:pPr>
      <w:r>
        <w:rPr>
          <w:rFonts w:hint="eastAsia"/>
        </w:rPr>
        <w:t>3.</w:t>
      </w:r>
      <w:r>
        <w:rPr>
          <w:rFonts w:hint="eastAsia"/>
        </w:rPr>
        <w:t>产出</w:t>
      </w:r>
      <w:r>
        <w:t>进度</w:t>
      </w:r>
    </w:p>
    <w:p w:rsidR="003A264B" w:rsidRDefault="00C66638">
      <w:pPr>
        <w:pStyle w:val="ae"/>
      </w:pPr>
      <w:r>
        <w:rPr>
          <w:rFonts w:hint="eastAsia"/>
        </w:rPr>
        <w:t>我局</w:t>
      </w:r>
      <w:r>
        <w:rPr>
          <w:rFonts w:hint="eastAsia"/>
        </w:rPr>
        <w:t>2024</w:t>
      </w:r>
      <w:r>
        <w:rPr>
          <w:rFonts w:hint="eastAsia"/>
        </w:rPr>
        <w:t>年部门工作任务总体符合计划进度要求，在年中绩效监控阶段发现进度滞后的工作，及时采取了相应改进措施，但仍有个别工作受工作计划调整等因素影响，未能于年度内完成。</w:t>
      </w:r>
    </w:p>
    <w:p w:rsidR="003A264B" w:rsidRDefault="00C66638">
      <w:pPr>
        <w:pStyle w:val="ad"/>
      </w:pPr>
      <w:r>
        <w:t>4.</w:t>
      </w:r>
      <w:r>
        <w:rPr>
          <w:rFonts w:hint="eastAsia"/>
        </w:rPr>
        <w:t>产出</w:t>
      </w:r>
      <w:r>
        <w:t>成本</w:t>
      </w:r>
    </w:p>
    <w:p w:rsidR="003A264B" w:rsidRDefault="00C66638">
      <w:pPr>
        <w:pStyle w:val="ad"/>
        <w:outlineLvl w:val="9"/>
      </w:pPr>
      <w:r>
        <w:rPr>
          <w:rFonts w:hAnsi="仿宋_GB2312" w:cs="仿宋_GB2312" w:hint="eastAsia"/>
        </w:rPr>
        <w:t>总体上，我局基本支出及各项目支出均控制在年度预算</w:t>
      </w:r>
      <w:r>
        <w:rPr>
          <w:rFonts w:hAnsi="仿宋_GB2312" w:cs="仿宋_GB2312" w:hint="eastAsia"/>
        </w:rPr>
        <w:lastRenderedPageBreak/>
        <w:t>范围内，部门整体运行成本为</w:t>
      </w:r>
      <w:r>
        <w:t>28232.63</w:t>
      </w:r>
      <w:r>
        <w:t>万元</w:t>
      </w:r>
      <w:r>
        <w:rPr>
          <w:rFonts w:hint="eastAsia"/>
        </w:rPr>
        <w:t>，</w:t>
      </w:r>
      <w:r>
        <w:t>其中</w:t>
      </w:r>
      <w:r>
        <w:rPr>
          <w:rFonts w:hint="eastAsia"/>
        </w:rPr>
        <w:t>：</w:t>
      </w:r>
      <w:r>
        <w:t>基本支出</w:t>
      </w:r>
      <w:r>
        <w:t>18833.12</w:t>
      </w:r>
      <w:r>
        <w:t>万元</w:t>
      </w:r>
      <w:r>
        <w:rPr>
          <w:rFonts w:hint="eastAsia"/>
        </w:rPr>
        <w:t>，占支出合计的</w:t>
      </w:r>
      <w:r>
        <w:t>66.71%</w:t>
      </w:r>
      <w:r>
        <w:rPr>
          <w:rFonts w:hint="eastAsia"/>
        </w:rPr>
        <w:t>；</w:t>
      </w:r>
      <w:r>
        <w:t>项目</w:t>
      </w:r>
      <w:r>
        <w:rPr>
          <w:rFonts w:hint="eastAsia"/>
        </w:rPr>
        <w:t>支出</w:t>
      </w:r>
      <w:r>
        <w:t>9399.51</w:t>
      </w:r>
      <w:r>
        <w:t>万元，</w:t>
      </w:r>
      <w:r>
        <w:rPr>
          <w:rFonts w:hint="eastAsia"/>
        </w:rPr>
        <w:t>占支出合计的</w:t>
      </w:r>
      <w:r>
        <w:t>33.29%</w:t>
      </w:r>
      <w:r>
        <w:rPr>
          <w:rFonts w:hint="eastAsia"/>
        </w:rPr>
        <w:t>。</w:t>
      </w:r>
    </w:p>
    <w:p w:rsidR="003A264B" w:rsidRDefault="00C66638">
      <w:pPr>
        <w:pStyle w:val="ad"/>
        <w:outlineLvl w:val="9"/>
        <w:rPr>
          <w:rFonts w:hAnsi="仿宋_GB2312" w:cs="仿宋_GB2312"/>
        </w:rPr>
      </w:pPr>
      <w:r>
        <w:rPr>
          <w:rFonts w:hAnsi="仿宋_GB2312" w:cs="仿宋_GB2312" w:hint="eastAsia"/>
        </w:rPr>
        <w:t>年度预算执行中，我局继续根据</w:t>
      </w:r>
      <w:r>
        <w:rPr>
          <w:rFonts w:hAnsi="仿宋_GB2312" w:cs="仿宋_GB2312"/>
        </w:rPr>
        <w:t>“</w:t>
      </w:r>
      <w:r>
        <w:rPr>
          <w:rFonts w:hAnsi="仿宋_GB2312" w:cs="仿宋_GB2312"/>
        </w:rPr>
        <w:t>厉行节约</w:t>
      </w:r>
      <w:r>
        <w:rPr>
          <w:rFonts w:hAnsi="仿宋_GB2312" w:cs="仿宋_GB2312"/>
        </w:rPr>
        <w:t>,</w:t>
      </w:r>
      <w:r>
        <w:rPr>
          <w:rFonts w:hAnsi="仿宋_GB2312" w:cs="仿宋_GB2312"/>
        </w:rPr>
        <w:t>反对浪费</w:t>
      </w:r>
      <w:r>
        <w:rPr>
          <w:rFonts w:hAnsi="仿宋_GB2312" w:cs="仿宋_GB2312"/>
        </w:rPr>
        <w:t>”</w:t>
      </w:r>
      <w:r>
        <w:rPr>
          <w:rFonts w:hAnsi="仿宋_GB2312" w:cs="仿宋_GB2312" w:hint="eastAsia"/>
        </w:rPr>
        <w:t>的原则，严格按照相关制度要求控制运行成本，以无纸化办公、物品循环</w:t>
      </w:r>
      <w:r>
        <w:rPr>
          <w:rFonts w:hAnsi="仿宋_GB2312" w:cs="仿宋_GB2312" w:hint="eastAsia"/>
        </w:rPr>
        <w:t>再利用等方式降低成本支出，以公开招标、竞争性磋商、三方比选等竞争性采购方式节约财政资金，未出现单项成本明显高于市场价格的情况。</w:t>
      </w:r>
    </w:p>
    <w:p w:rsidR="003A264B" w:rsidRDefault="00C66638">
      <w:pPr>
        <w:pStyle w:val="ad"/>
        <w:outlineLvl w:val="9"/>
        <w:rPr>
          <w:rFonts w:hAnsi="仿宋_GB2312" w:cs="仿宋_GB2312"/>
        </w:rPr>
      </w:pPr>
      <w:r>
        <w:rPr>
          <w:rFonts w:hAnsi="仿宋_GB2312" w:cs="仿宋_GB2312" w:hint="eastAsia"/>
        </w:rPr>
        <w:t>公用经费方面，我局全年公用经费预算</w:t>
      </w:r>
      <w:r>
        <w:rPr>
          <w:rFonts w:hAnsi="仿宋_GB2312" w:cs="仿宋_GB2312"/>
        </w:rPr>
        <w:t>1728.87</w:t>
      </w:r>
      <w:r>
        <w:rPr>
          <w:rFonts w:hAnsi="仿宋_GB2312" w:cs="仿宋_GB2312" w:hint="eastAsia"/>
        </w:rPr>
        <w:t>万元，实际支出公用经费</w:t>
      </w:r>
      <w:r>
        <w:rPr>
          <w:rFonts w:hAnsi="仿宋_GB2312" w:cs="仿宋_GB2312"/>
        </w:rPr>
        <w:t>1494.17</w:t>
      </w:r>
      <w:r>
        <w:rPr>
          <w:rFonts w:hAnsi="仿宋_GB2312" w:cs="仿宋_GB2312" w:hint="eastAsia"/>
        </w:rPr>
        <w:t>万元，占年初申报金额的</w:t>
      </w:r>
      <w:r>
        <w:rPr>
          <w:rFonts w:hAnsi="仿宋_GB2312" w:cs="仿宋_GB2312"/>
        </w:rPr>
        <w:t>86.42%</w:t>
      </w:r>
      <w:r>
        <w:rPr>
          <w:rFonts w:hAnsi="仿宋_GB2312" w:cs="仿宋_GB2312" w:hint="eastAsia"/>
        </w:rPr>
        <w:t>。在执行中牢固树立过紧日子的思想，强化“三公”经费的管理，大力压减非必须、非刚性支出，从严从紧控制“三公”经费支出，</w:t>
      </w:r>
      <w:r>
        <w:rPr>
          <w:rFonts w:hAnsi="仿宋_GB2312" w:cs="仿宋_GB2312" w:hint="eastAsia"/>
        </w:rPr>
        <w:t>2</w:t>
      </w:r>
      <w:r>
        <w:rPr>
          <w:rFonts w:hAnsi="仿宋_GB2312" w:cs="仿宋_GB2312"/>
        </w:rPr>
        <w:t>02</w:t>
      </w:r>
      <w:r>
        <w:rPr>
          <w:rFonts w:hAnsi="仿宋_GB2312" w:cs="仿宋_GB2312" w:hint="eastAsia"/>
        </w:rPr>
        <w:t>4</w:t>
      </w:r>
      <w:r>
        <w:rPr>
          <w:rFonts w:hAnsi="仿宋_GB2312" w:cs="仿宋_GB2312" w:hint="eastAsia"/>
        </w:rPr>
        <w:t>年实际发生“三公”经费</w:t>
      </w:r>
      <w:r>
        <w:rPr>
          <w:rFonts w:hAnsi="仿宋_GB2312" w:cs="仿宋_GB2312"/>
        </w:rPr>
        <w:t>70</w:t>
      </w:r>
      <w:r>
        <w:rPr>
          <w:rFonts w:hAnsi="仿宋_GB2312" w:cs="仿宋_GB2312" w:hint="eastAsia"/>
        </w:rPr>
        <w:t>.</w:t>
      </w:r>
      <w:r>
        <w:rPr>
          <w:rFonts w:hAnsi="仿宋_GB2312" w:cs="仿宋_GB2312"/>
        </w:rPr>
        <w:t>3</w:t>
      </w:r>
      <w:r>
        <w:rPr>
          <w:rFonts w:hAnsi="仿宋_GB2312" w:cs="仿宋_GB2312" w:hint="eastAsia"/>
        </w:rPr>
        <w:t>6</w:t>
      </w:r>
      <w:r>
        <w:rPr>
          <w:rFonts w:hAnsi="仿宋_GB2312" w:cs="仿宋_GB2312" w:hint="eastAsia"/>
        </w:rPr>
        <w:t>万元。</w:t>
      </w:r>
    </w:p>
    <w:p w:rsidR="003A264B" w:rsidRDefault="00C66638">
      <w:pPr>
        <w:pStyle w:val="ac"/>
      </w:pPr>
      <w:r>
        <w:rPr>
          <w:rFonts w:hint="eastAsia"/>
        </w:rPr>
        <w:t>（二）效果</w:t>
      </w:r>
      <w:r>
        <w:t>实现情况分析</w:t>
      </w:r>
    </w:p>
    <w:p w:rsidR="003A264B" w:rsidRDefault="00C66638">
      <w:pPr>
        <w:pStyle w:val="ad"/>
      </w:pPr>
      <w:r>
        <w:rPr>
          <w:rFonts w:hint="eastAsia"/>
        </w:rPr>
        <w:t>1.</w:t>
      </w:r>
      <w:r>
        <w:rPr>
          <w:rFonts w:hint="eastAsia"/>
        </w:rPr>
        <w:t>经济</w:t>
      </w:r>
      <w:r>
        <w:t>效益</w:t>
      </w:r>
    </w:p>
    <w:p w:rsidR="003A264B" w:rsidRDefault="00C66638">
      <w:pPr>
        <w:pStyle w:val="ae"/>
      </w:pPr>
      <w:r>
        <w:rPr>
          <w:rFonts w:hint="eastAsia"/>
        </w:rPr>
        <w:t>我局作为负责北京市司法行政工作的政府部门，年度工作开展不直接对经济发展产生影响。但我局向市民提供法律援助等公共法律服务，能够在一定程度上保障弱势群体权益，为受援人挽回经济损失。据统计，我局</w:t>
      </w:r>
      <w:r>
        <w:rPr>
          <w:rFonts w:hint="eastAsia"/>
        </w:rPr>
        <w:t>2</w:t>
      </w:r>
      <w:r>
        <w:t>02</w:t>
      </w:r>
      <w:r>
        <w:rPr>
          <w:rFonts w:hint="eastAsia"/>
        </w:rPr>
        <w:t>4</w:t>
      </w:r>
      <w:r>
        <w:rPr>
          <w:rFonts w:hint="eastAsia"/>
        </w:rPr>
        <w:t>年共计为受援人挽回经济损失</w:t>
      </w:r>
      <w:r>
        <w:t>4568.10</w:t>
      </w:r>
      <w:r>
        <w:rPr>
          <w:rFonts w:hint="eastAsia"/>
        </w:rPr>
        <w:t>万元。</w:t>
      </w:r>
    </w:p>
    <w:p w:rsidR="003A264B" w:rsidRDefault="00C66638">
      <w:pPr>
        <w:pStyle w:val="ad"/>
      </w:pPr>
      <w:r>
        <w:rPr>
          <w:rFonts w:hint="eastAsia"/>
        </w:rPr>
        <w:t>2.</w:t>
      </w:r>
      <w:r>
        <w:rPr>
          <w:rFonts w:hint="eastAsia"/>
        </w:rPr>
        <w:t>社会效益</w:t>
      </w:r>
    </w:p>
    <w:p w:rsidR="003A264B" w:rsidRDefault="00C66638">
      <w:pPr>
        <w:pStyle w:val="ae"/>
      </w:pPr>
      <w:r>
        <w:rPr>
          <w:rFonts w:hint="eastAsia"/>
        </w:rPr>
        <w:t>（</w:t>
      </w:r>
      <w:r>
        <w:rPr>
          <w:rFonts w:hint="eastAsia"/>
        </w:rPr>
        <w:t>1</w:t>
      </w:r>
      <w:r>
        <w:rPr>
          <w:rFonts w:hint="eastAsia"/>
        </w:rPr>
        <w:t>）推进首都法治建设，维护首都安全稳定</w:t>
      </w:r>
    </w:p>
    <w:p w:rsidR="003A264B" w:rsidRDefault="00C66638">
      <w:pPr>
        <w:pStyle w:val="ae"/>
      </w:pPr>
      <w:r>
        <w:rPr>
          <w:rFonts w:hint="eastAsia"/>
        </w:rPr>
        <w:t>通过整体推进教育改造、社区矫正和安置帮教等工作，全市监狱戒毒场所安全稳定，全市社区矫正对象未发生重大</w:t>
      </w:r>
      <w:r>
        <w:rPr>
          <w:rFonts w:hint="eastAsia"/>
        </w:rPr>
        <w:lastRenderedPageBreak/>
        <w:t>安全案（事）件，全市安置帮教对象重新犯罪率下降比率显著，充分发挥了司法行政工作对维护首都安全稳定的先导性预防作用</w:t>
      </w:r>
      <w:r>
        <w:rPr>
          <w:rFonts w:hint="eastAsia"/>
        </w:rPr>
        <w:t>，全面筑牢安全责任意识和安全防线。</w:t>
      </w:r>
    </w:p>
    <w:p w:rsidR="003A264B" w:rsidRDefault="00C66638">
      <w:pPr>
        <w:pStyle w:val="ae"/>
      </w:pPr>
      <w:r>
        <w:rPr>
          <w:rFonts w:hint="eastAsia"/>
        </w:rPr>
        <w:t>（</w:t>
      </w:r>
      <w:r>
        <w:rPr>
          <w:rFonts w:hint="eastAsia"/>
        </w:rPr>
        <w:t>2</w:t>
      </w:r>
      <w:r>
        <w:rPr>
          <w:rFonts w:hint="eastAsia"/>
        </w:rPr>
        <w:t>）增强市民法治意识，提高地区法治化水平</w:t>
      </w:r>
    </w:p>
    <w:p w:rsidR="003A264B" w:rsidRDefault="00C66638">
      <w:pPr>
        <w:pStyle w:val="ae"/>
      </w:pPr>
      <w:r>
        <w:rPr>
          <w:rFonts w:hint="eastAsia"/>
        </w:rPr>
        <w:t>通过组织各类公共法律服务活动，线上线下惠及</w:t>
      </w:r>
      <w:r>
        <w:rPr>
          <w:rFonts w:hint="eastAsia"/>
        </w:rPr>
        <w:t>30</w:t>
      </w:r>
      <w:r>
        <w:rPr>
          <w:rFonts w:hint="eastAsia"/>
        </w:rPr>
        <w:t>余万人次，社会反响良好。通过不断深入统筹推进法治政府建设，我市法治政府建设水平不断提升，在</w:t>
      </w:r>
      <w:r>
        <w:rPr>
          <w:rFonts w:hint="eastAsia"/>
        </w:rPr>
        <w:t>2024</w:t>
      </w:r>
      <w:r>
        <w:rPr>
          <w:rFonts w:hint="eastAsia"/>
        </w:rPr>
        <w:t>年度全国法治政府建设创新案例征集活动中，我市荣获“十大创新案例”</w:t>
      </w:r>
      <w:r>
        <w:rPr>
          <w:rFonts w:hint="eastAsia"/>
        </w:rPr>
        <w:t>。</w:t>
      </w:r>
    </w:p>
    <w:p w:rsidR="003A264B" w:rsidRDefault="00C66638">
      <w:pPr>
        <w:pStyle w:val="ae"/>
      </w:pPr>
      <w:r>
        <w:rPr>
          <w:rFonts w:hint="eastAsia"/>
        </w:rPr>
        <w:t>（</w:t>
      </w:r>
      <w:r>
        <w:rPr>
          <w:rFonts w:hint="eastAsia"/>
        </w:rPr>
        <w:t>3</w:t>
      </w:r>
      <w:r>
        <w:rPr>
          <w:rFonts w:hint="eastAsia"/>
        </w:rPr>
        <w:t>）完善便民法律服务，维护群众利益诉求</w:t>
      </w:r>
    </w:p>
    <w:p w:rsidR="003A264B" w:rsidRDefault="00C66638">
      <w:pPr>
        <w:pStyle w:val="ae"/>
      </w:pPr>
      <w:r>
        <w:rPr>
          <w:rFonts w:hint="eastAsia"/>
        </w:rPr>
        <w:t>通过优化“繁简分流”办案机制，充分发挥复议委员会外脑作用。全市</w:t>
      </w:r>
      <w:r>
        <w:rPr>
          <w:rFonts w:hint="eastAsia"/>
        </w:rPr>
        <w:t>2024</w:t>
      </w:r>
      <w:r>
        <w:rPr>
          <w:rFonts w:hint="eastAsia"/>
        </w:rPr>
        <w:t>年通过调解和解方式实质性化解矛盾纠纷达四成，行政复议主渠道作用进一步凸显。通过办理法律援助案件监管事项，进一</w:t>
      </w:r>
      <w:r>
        <w:rPr>
          <w:rFonts w:hint="eastAsia"/>
        </w:rPr>
        <w:t>步加强法律援助案件质量管理，贯通事前、事中、事后全链条监管。通过推动“一证一次办”等服务落地，建立公证行业“风险</w:t>
      </w:r>
      <w:r>
        <w:rPr>
          <w:rFonts w:hint="eastAsia"/>
        </w:rPr>
        <w:t>+</w:t>
      </w:r>
      <w:r>
        <w:rPr>
          <w:rFonts w:hint="eastAsia"/>
        </w:rPr>
        <w:t>信用”评估及监管机制，公证服务质效进一步提升，全市公证行业在</w:t>
      </w:r>
      <w:r>
        <w:rPr>
          <w:rFonts w:hint="eastAsia"/>
        </w:rPr>
        <w:t>5</w:t>
      </w:r>
      <w:r>
        <w:rPr>
          <w:rFonts w:hint="eastAsia"/>
        </w:rPr>
        <w:t>个工作日内出证事项占比</w:t>
      </w:r>
      <w:r>
        <w:rPr>
          <w:rFonts w:hint="eastAsia"/>
        </w:rPr>
        <w:t>70.8%</w:t>
      </w:r>
      <w:r>
        <w:rPr>
          <w:rFonts w:hint="eastAsia"/>
        </w:rPr>
        <w:t>，实行“容缺受理”事项占比</w:t>
      </w:r>
      <w:r>
        <w:rPr>
          <w:rFonts w:hint="eastAsia"/>
        </w:rPr>
        <w:t>16.2%</w:t>
      </w:r>
      <w:r>
        <w:rPr>
          <w:rFonts w:hint="eastAsia"/>
        </w:rPr>
        <w:t>，有效提升了企业群众获得感。</w:t>
      </w:r>
    </w:p>
    <w:p w:rsidR="003A264B" w:rsidRDefault="00C66638">
      <w:pPr>
        <w:pStyle w:val="ad"/>
      </w:pPr>
      <w:r>
        <w:rPr>
          <w:rFonts w:hint="eastAsia"/>
        </w:rPr>
        <w:t>3.</w:t>
      </w:r>
      <w:r>
        <w:rPr>
          <w:rFonts w:hint="eastAsia"/>
        </w:rPr>
        <w:t>可持续</w:t>
      </w:r>
      <w:r>
        <w:t>性影响</w:t>
      </w:r>
    </w:p>
    <w:p w:rsidR="003A264B" w:rsidRDefault="00C66638">
      <w:pPr>
        <w:pStyle w:val="ae"/>
      </w:pPr>
      <w:r>
        <w:rPr>
          <w:rFonts w:hint="eastAsia"/>
        </w:rPr>
        <w:t>司法行政领域</w:t>
      </w:r>
      <w:bookmarkStart w:id="4" w:name="OLE_LINK5"/>
      <w:r>
        <w:rPr>
          <w:rFonts w:hint="eastAsia"/>
        </w:rPr>
        <w:t>深化改革</w:t>
      </w:r>
      <w:bookmarkEnd w:id="4"/>
      <w:r>
        <w:rPr>
          <w:rFonts w:hint="eastAsia"/>
        </w:rPr>
        <w:t>方面，</w:t>
      </w:r>
      <w:r>
        <w:rPr>
          <w:rFonts w:hint="eastAsia"/>
        </w:rPr>
        <w:t>2024</w:t>
      </w:r>
      <w:r>
        <w:rPr>
          <w:rFonts w:hint="eastAsia"/>
        </w:rPr>
        <w:t>年制定了全面深化法治领域改革重要任务分工方案，推动了</w:t>
      </w:r>
      <w:r>
        <w:rPr>
          <w:rFonts w:hint="eastAsia"/>
        </w:rPr>
        <w:t>14</w:t>
      </w:r>
      <w:r>
        <w:rPr>
          <w:rFonts w:hint="eastAsia"/>
        </w:rPr>
        <w:t>项改革任务、</w:t>
      </w:r>
      <w:r>
        <w:rPr>
          <w:rFonts w:hint="eastAsia"/>
        </w:rPr>
        <w:t>73</w:t>
      </w:r>
      <w:r>
        <w:rPr>
          <w:rFonts w:hint="eastAsia"/>
        </w:rPr>
        <w:t>条具体措施落地落实，深入推进了司法行政系统改革。</w:t>
      </w:r>
    </w:p>
    <w:p w:rsidR="003A264B" w:rsidRDefault="00C66638">
      <w:pPr>
        <w:pStyle w:val="ae"/>
      </w:pPr>
      <w:r>
        <w:rPr>
          <w:rFonts w:hint="eastAsia"/>
        </w:rPr>
        <w:t>信息化体系建设方面，我局抓实“智慧法治”建设。推</w:t>
      </w:r>
      <w:r>
        <w:rPr>
          <w:rFonts w:hint="eastAsia"/>
        </w:rPr>
        <w:lastRenderedPageBreak/>
        <w:t>动依法治市和公共</w:t>
      </w:r>
      <w:r>
        <w:rPr>
          <w:rFonts w:hint="eastAsia"/>
        </w:rPr>
        <w:t>法律服务网络平台升级改造项目立项，推进行政复议、行政执法垂直大模型建设，启动了信息系统商用密码应用改造与评估项目建设，信息化建设水平不断提升，京</w:t>
      </w:r>
      <w:proofErr w:type="gramStart"/>
      <w:r>
        <w:rPr>
          <w:rFonts w:hint="eastAsia"/>
        </w:rPr>
        <w:t>办日活率</w:t>
      </w:r>
      <w:proofErr w:type="gramEnd"/>
      <w:r>
        <w:rPr>
          <w:rFonts w:hint="eastAsia"/>
        </w:rPr>
        <w:t>、应用点击率、总分始终保持全市前列。</w:t>
      </w:r>
    </w:p>
    <w:p w:rsidR="003A264B" w:rsidRDefault="00C66638">
      <w:pPr>
        <w:pStyle w:val="ad"/>
      </w:pPr>
      <w:r>
        <w:rPr>
          <w:rFonts w:hint="eastAsia"/>
        </w:rPr>
        <w:t>4.</w:t>
      </w:r>
      <w:r>
        <w:rPr>
          <w:rFonts w:hint="eastAsia"/>
        </w:rPr>
        <w:t>服务对象</w:t>
      </w:r>
      <w:r>
        <w:t>满意度</w:t>
      </w:r>
    </w:p>
    <w:p w:rsidR="003A264B" w:rsidRDefault="00C66638">
      <w:pPr>
        <w:pStyle w:val="ae"/>
      </w:pPr>
      <w:r>
        <w:rPr>
          <w:rFonts w:hint="eastAsia"/>
        </w:rPr>
        <w:t>2024</w:t>
      </w:r>
      <w:r>
        <w:rPr>
          <w:rFonts w:hint="eastAsia"/>
        </w:rPr>
        <w:t>年，公证质量检查及公证员评审工作未发生投诉情况，社会公众对普法宣传工作的满意度达到</w:t>
      </w:r>
      <w:r>
        <w:rPr>
          <w:rFonts w:hint="eastAsia"/>
        </w:rPr>
        <w:t>95%</w:t>
      </w:r>
      <w:r>
        <w:rPr>
          <w:rFonts w:hint="eastAsia"/>
        </w:rPr>
        <w:t>，服务对象满意度达到预期计划目标，满意度情况较好。</w:t>
      </w:r>
    </w:p>
    <w:p w:rsidR="003A264B" w:rsidRDefault="00C66638">
      <w:pPr>
        <w:pStyle w:val="ab"/>
      </w:pPr>
      <w:r>
        <w:rPr>
          <w:rFonts w:hint="eastAsia"/>
        </w:rPr>
        <w:t>四</w:t>
      </w:r>
      <w:r>
        <w:t>、预算管理</w:t>
      </w:r>
      <w:r>
        <w:rPr>
          <w:rFonts w:hint="eastAsia"/>
        </w:rPr>
        <w:t>情况分</w:t>
      </w:r>
      <w:r>
        <w:t>析</w:t>
      </w:r>
    </w:p>
    <w:p w:rsidR="003A264B" w:rsidRDefault="00C66638">
      <w:pPr>
        <w:pStyle w:val="ac"/>
      </w:pPr>
      <w:r>
        <w:rPr>
          <w:rFonts w:hint="eastAsia"/>
        </w:rPr>
        <w:t>（一）财务管理</w:t>
      </w:r>
    </w:p>
    <w:p w:rsidR="003A264B" w:rsidRDefault="00C66638">
      <w:pPr>
        <w:pStyle w:val="ad"/>
      </w:pPr>
      <w:r>
        <w:rPr>
          <w:rFonts w:hint="eastAsia"/>
        </w:rPr>
        <w:t>1.</w:t>
      </w:r>
      <w:r>
        <w:rPr>
          <w:rFonts w:hint="eastAsia"/>
        </w:rPr>
        <w:t>财务</w:t>
      </w:r>
      <w:r>
        <w:t>管理制度健全性</w:t>
      </w:r>
    </w:p>
    <w:p w:rsidR="003A264B" w:rsidRDefault="00C66638">
      <w:pPr>
        <w:pStyle w:val="ae"/>
      </w:pPr>
      <w:r>
        <w:rPr>
          <w:rFonts w:hint="eastAsia"/>
        </w:rPr>
        <w:t>根据财政</w:t>
      </w:r>
      <w:r>
        <w:rPr>
          <w:rFonts w:hint="eastAsia"/>
        </w:rPr>
        <w:t>部</w:t>
      </w:r>
      <w:proofErr w:type="gramStart"/>
      <w:r>
        <w:rPr>
          <w:rFonts w:hint="eastAsia"/>
        </w:rPr>
        <w:t>门</w:t>
      </w:r>
      <w:r>
        <w:rPr>
          <w:rFonts w:hint="eastAsia"/>
        </w:rPr>
        <w:t>相关</w:t>
      </w:r>
      <w:proofErr w:type="gramEnd"/>
      <w:r>
        <w:rPr>
          <w:rFonts w:hint="eastAsia"/>
        </w:rPr>
        <w:t>规范要求，我局结合单位实际情况，全面梳理单位经济活动，制定了单位预算管理、支出管理、采购管理、合同管理、资产管理等管理制度，明确了预算资金管理、绩效跟踪管理、资产管理、内部财务管理、会计核算管理等管理要求。</w:t>
      </w:r>
    </w:p>
    <w:p w:rsidR="003A264B" w:rsidRDefault="00C66638">
      <w:pPr>
        <w:pStyle w:val="ae"/>
      </w:pPr>
      <w:r>
        <w:rPr>
          <w:rFonts w:hint="eastAsia"/>
        </w:rPr>
        <w:t>预算资金管理方面，一是明确了涵盖预算编报、批复下达、执行、追加调整、决算、绩效评价等程序的工作流程和风险控制矩阵；二是制定了预算管理办法，并指导各直属事业单位分别制定了本单位预算管理办法，对预算管理职责、预算编制、预算分配与执行、调整与追加、绩效管理、决算、预算督导与检查等提出了具体要求。</w:t>
      </w:r>
    </w:p>
    <w:p w:rsidR="003A264B" w:rsidRDefault="00C66638">
      <w:pPr>
        <w:pStyle w:val="ae"/>
      </w:pPr>
      <w:r>
        <w:rPr>
          <w:rFonts w:hint="eastAsia"/>
        </w:rPr>
        <w:t>绩效跟踪</w:t>
      </w:r>
      <w:r>
        <w:rPr>
          <w:rFonts w:hint="eastAsia"/>
        </w:rPr>
        <w:t>管理方面，主要是根据预算资金管理工作流程、风险控制矩阵及预算管理办法中关于绩效评价、绩效管</w:t>
      </w:r>
      <w:r>
        <w:rPr>
          <w:rFonts w:hint="eastAsia"/>
        </w:rPr>
        <w:lastRenderedPageBreak/>
        <w:t>理等方面的管理要求，按照</w:t>
      </w:r>
      <w:r>
        <w:rPr>
          <w:rFonts w:hint="eastAsia"/>
        </w:rPr>
        <w:t>财政部</w:t>
      </w:r>
      <w:proofErr w:type="gramStart"/>
      <w:r>
        <w:rPr>
          <w:rFonts w:hint="eastAsia"/>
        </w:rPr>
        <w:t>门</w:t>
      </w:r>
      <w:r>
        <w:rPr>
          <w:rFonts w:hint="eastAsia"/>
        </w:rPr>
        <w:t>制度</w:t>
      </w:r>
      <w:proofErr w:type="gramEnd"/>
      <w:r>
        <w:rPr>
          <w:rFonts w:hint="eastAsia"/>
        </w:rPr>
        <w:t>文件执行。</w:t>
      </w:r>
    </w:p>
    <w:p w:rsidR="003A264B" w:rsidRDefault="00C66638">
      <w:pPr>
        <w:pStyle w:val="ae"/>
      </w:pPr>
      <w:r>
        <w:rPr>
          <w:rFonts w:hint="eastAsia"/>
        </w:rPr>
        <w:t>资产管理方面，一是明确了库存现金、固定（无形）资产管理及清查流程和资产管理程序风险控制矩阵；二是制定了固定资产管理办法，并指导各直属事业单位分别制定了固定资产管理办法</w:t>
      </w:r>
      <w:r>
        <w:rPr>
          <w:rFonts w:hint="eastAsia"/>
        </w:rPr>
        <w:t>/</w:t>
      </w:r>
      <w:r>
        <w:rPr>
          <w:rFonts w:hint="eastAsia"/>
        </w:rPr>
        <w:t>规定，对固定资产的范围、分类、计量、配置、日常管理、维护和处置、清查等提出了具体要求。</w:t>
      </w:r>
    </w:p>
    <w:p w:rsidR="003A264B" w:rsidRDefault="00C66638">
      <w:pPr>
        <w:pStyle w:val="ae"/>
      </w:pPr>
      <w:r>
        <w:rPr>
          <w:rFonts w:hint="eastAsia"/>
        </w:rPr>
        <w:t>内部财务管理方面，一是明确了采购管理、合同管理、收支管理的工作流程和风险控制矩阵；二是制定了支出管理办法</w:t>
      </w:r>
      <w:r>
        <w:rPr>
          <w:rFonts w:hint="eastAsia"/>
        </w:rPr>
        <w:t>、</w:t>
      </w:r>
      <w:r>
        <w:rPr>
          <w:rFonts w:hint="eastAsia"/>
        </w:rPr>
        <w:t>公务卡使用管</w:t>
      </w:r>
      <w:r>
        <w:rPr>
          <w:rFonts w:hint="eastAsia"/>
        </w:rPr>
        <w:t>理规定</w:t>
      </w:r>
      <w:r>
        <w:rPr>
          <w:rFonts w:hint="eastAsia"/>
        </w:rPr>
        <w:t>、</w:t>
      </w:r>
      <w:r>
        <w:rPr>
          <w:rFonts w:hint="eastAsia"/>
        </w:rPr>
        <w:t>差旅费管理办法</w:t>
      </w:r>
      <w:r>
        <w:rPr>
          <w:rFonts w:hint="eastAsia"/>
        </w:rPr>
        <w:t>、</w:t>
      </w:r>
      <w:r>
        <w:rPr>
          <w:rFonts w:hint="eastAsia"/>
        </w:rPr>
        <w:t>政府采购管理办法</w:t>
      </w:r>
      <w:r>
        <w:rPr>
          <w:rFonts w:hint="eastAsia"/>
        </w:rPr>
        <w:t>、</w:t>
      </w:r>
      <w:r>
        <w:rPr>
          <w:rFonts w:hint="eastAsia"/>
        </w:rPr>
        <w:t>合同管理办法等管理制度，并指导各直属事业单位分别制定了相应财务管理制度。</w:t>
      </w:r>
    </w:p>
    <w:p w:rsidR="003A264B" w:rsidRDefault="00C66638">
      <w:pPr>
        <w:pStyle w:val="ae"/>
      </w:pPr>
      <w:r>
        <w:rPr>
          <w:rFonts w:hint="eastAsia"/>
        </w:rPr>
        <w:t>会计核算方面，主要根据内部控制关键岗位职责、各项收支管理规定中关于会计核算的要求执行。</w:t>
      </w:r>
    </w:p>
    <w:p w:rsidR="003A264B" w:rsidRDefault="00C66638">
      <w:pPr>
        <w:pStyle w:val="ad"/>
      </w:pPr>
      <w:r>
        <w:rPr>
          <w:rFonts w:hint="eastAsia"/>
        </w:rPr>
        <w:t>2.</w:t>
      </w:r>
      <w:r>
        <w:rPr>
          <w:rFonts w:hint="eastAsia"/>
        </w:rPr>
        <w:t>资金使用合</w:t>
      </w:r>
      <w:proofErr w:type="gramStart"/>
      <w:r>
        <w:rPr>
          <w:rFonts w:hint="eastAsia"/>
        </w:rPr>
        <w:t>规</w:t>
      </w:r>
      <w:proofErr w:type="gramEnd"/>
      <w:r>
        <w:rPr>
          <w:rFonts w:hint="eastAsia"/>
        </w:rPr>
        <w:t>性</w:t>
      </w:r>
      <w:r>
        <w:t>和安全性</w:t>
      </w:r>
    </w:p>
    <w:p w:rsidR="003A264B" w:rsidRDefault="00C66638">
      <w:pPr>
        <w:pStyle w:val="ae"/>
      </w:pPr>
      <w:r>
        <w:rPr>
          <w:rFonts w:hint="eastAsia"/>
        </w:rPr>
        <w:t>我局严格按照财政部、市财政局及本单位相关财务管理制度规定使用和支出资金</w:t>
      </w:r>
      <w:r>
        <w:rPr>
          <w:rFonts w:hint="eastAsia"/>
        </w:rPr>
        <w:t>，</w:t>
      </w:r>
      <w:r>
        <w:rPr>
          <w:rFonts w:hint="eastAsia"/>
        </w:rPr>
        <w:t>重大事项、大额资金按照“三重一大”制度经局党委会研究通过后履行支出程序。我局</w:t>
      </w:r>
      <w:r>
        <w:rPr>
          <w:rFonts w:hint="eastAsia"/>
        </w:rPr>
        <w:t>2</w:t>
      </w:r>
      <w:r>
        <w:t>02</w:t>
      </w:r>
      <w:r>
        <w:rPr>
          <w:rFonts w:hint="eastAsia"/>
        </w:rPr>
        <w:t>4</w:t>
      </w:r>
      <w:r>
        <w:rPr>
          <w:rFonts w:hint="eastAsia"/>
        </w:rPr>
        <w:t>年度资金拨付</w:t>
      </w:r>
      <w:proofErr w:type="gramStart"/>
      <w:r>
        <w:rPr>
          <w:rFonts w:hint="eastAsia"/>
        </w:rPr>
        <w:t>均履行</w:t>
      </w:r>
      <w:proofErr w:type="gramEnd"/>
      <w:r>
        <w:rPr>
          <w:rFonts w:hint="eastAsia"/>
        </w:rPr>
        <w:t>了完整的审批程序和手续，资金支出方向与部门预算批复用途基本一致，不存在截留、挤占、挪用的情况，符合公务卡结</w:t>
      </w:r>
      <w:r>
        <w:rPr>
          <w:rFonts w:hint="eastAsia"/>
        </w:rPr>
        <w:t>算相关制度和规定。</w:t>
      </w:r>
    </w:p>
    <w:p w:rsidR="003A264B" w:rsidRDefault="00C66638">
      <w:pPr>
        <w:pStyle w:val="ad"/>
      </w:pPr>
      <w:r>
        <w:t>3.</w:t>
      </w:r>
      <w:r>
        <w:rPr>
          <w:rFonts w:hint="eastAsia"/>
        </w:rPr>
        <w:t>会计</w:t>
      </w:r>
      <w:r>
        <w:t>基础信息完善性</w:t>
      </w:r>
    </w:p>
    <w:p w:rsidR="003A264B" w:rsidRDefault="00C66638">
      <w:pPr>
        <w:pStyle w:val="ae"/>
      </w:pPr>
      <w:r>
        <w:rPr>
          <w:rFonts w:hint="eastAsia"/>
        </w:rPr>
        <w:t>我局注重会计基础信息和会计信息资料的真实性、准确性、完整性管理，发生资金收入、支出后及时登记入账，会计凭证及其附件资料已按时装订成册并由专人保管。</w:t>
      </w:r>
    </w:p>
    <w:p w:rsidR="003A264B" w:rsidRDefault="00C66638">
      <w:pPr>
        <w:pStyle w:val="ac"/>
      </w:pPr>
      <w:r>
        <w:rPr>
          <w:rFonts w:hint="eastAsia"/>
        </w:rPr>
        <w:lastRenderedPageBreak/>
        <w:t>（二）资产管理</w:t>
      </w:r>
    </w:p>
    <w:p w:rsidR="003A264B" w:rsidRDefault="00C66638">
      <w:pPr>
        <w:pStyle w:val="ae"/>
      </w:pPr>
      <w:r>
        <w:rPr>
          <w:rFonts w:hint="eastAsia"/>
        </w:rPr>
        <w:t>我局严格按照固定资产管理办法等制度要求进行资产管理，将使用年限在</w:t>
      </w:r>
      <w:r>
        <w:rPr>
          <w:rFonts w:hint="eastAsia"/>
        </w:rPr>
        <w:t>1</w:t>
      </w:r>
      <w:r>
        <w:rPr>
          <w:rFonts w:hint="eastAsia"/>
        </w:rPr>
        <w:t>年（不含）以上，单价在</w:t>
      </w:r>
      <w:r>
        <w:rPr>
          <w:rFonts w:hint="eastAsia"/>
        </w:rPr>
        <w:t>1</w:t>
      </w:r>
      <w:r>
        <w:t>000</w:t>
      </w:r>
      <w:r>
        <w:rPr>
          <w:rFonts w:hint="eastAsia"/>
        </w:rPr>
        <w:t>元以上的一般设备，单价在</w:t>
      </w:r>
      <w:r>
        <w:rPr>
          <w:rFonts w:hint="eastAsia"/>
        </w:rPr>
        <w:t>1</w:t>
      </w:r>
      <w:r>
        <w:t>500</w:t>
      </w:r>
      <w:r>
        <w:rPr>
          <w:rFonts w:hint="eastAsia"/>
        </w:rPr>
        <w:t>元以上的专用设备，且在使用过程中基本保存实物形态的资产列入固定资产管理。各入库资产由资产使用人和保管人负责日常维护和保养，网络终端设备及系统软件等出现故障时，由信息技术处负责检</w:t>
      </w:r>
      <w:r>
        <w:rPr>
          <w:rFonts w:hint="eastAsia"/>
        </w:rPr>
        <w:t>修；公务用车及办公家具由办公室负责协调维修；办公设备硬件损坏及无法排除故障的，报装备财务保障处联系专业维修人员上门维修。截至</w:t>
      </w:r>
      <w:r>
        <w:rPr>
          <w:rFonts w:hint="eastAsia"/>
        </w:rPr>
        <w:t>2024</w:t>
      </w:r>
      <w:r>
        <w:rPr>
          <w:rFonts w:hint="eastAsia"/>
        </w:rPr>
        <w:t>年底，我局机关现有固定资产原值</w:t>
      </w:r>
      <w:r>
        <w:t>21580</w:t>
      </w:r>
      <w:r>
        <w:rPr>
          <w:rFonts w:hint="eastAsia"/>
        </w:rPr>
        <w:t>.</w:t>
      </w:r>
      <w:r>
        <w:t>0</w:t>
      </w:r>
      <w:r>
        <w:rPr>
          <w:rFonts w:hint="eastAsia"/>
        </w:rPr>
        <w:t>9</w:t>
      </w:r>
      <w:r>
        <w:rPr>
          <w:rFonts w:hint="eastAsia"/>
        </w:rPr>
        <w:t>万元，其中：房屋和构筑物原值</w:t>
      </w:r>
      <w:r>
        <w:rPr>
          <w:rFonts w:hint="eastAsia"/>
        </w:rPr>
        <w:t>16450.56</w:t>
      </w:r>
      <w:r>
        <w:rPr>
          <w:rFonts w:hint="eastAsia"/>
        </w:rPr>
        <w:t>万元；设备原值</w:t>
      </w:r>
      <w:r>
        <w:rPr>
          <w:rFonts w:hint="eastAsia"/>
        </w:rPr>
        <w:t>4875.77</w:t>
      </w:r>
      <w:r>
        <w:rPr>
          <w:rFonts w:hint="eastAsia"/>
        </w:rPr>
        <w:t>万元；家具和用具原值</w:t>
      </w:r>
      <w:r>
        <w:rPr>
          <w:rFonts w:hint="eastAsia"/>
        </w:rPr>
        <w:t>253.76</w:t>
      </w:r>
      <w:r>
        <w:rPr>
          <w:rFonts w:hint="eastAsia"/>
        </w:rPr>
        <w:t>万元。无形资产原值</w:t>
      </w:r>
      <w:r>
        <w:rPr>
          <w:rFonts w:hint="eastAsia"/>
        </w:rPr>
        <w:t>5524.79</w:t>
      </w:r>
      <w:r>
        <w:rPr>
          <w:rFonts w:hint="eastAsia"/>
        </w:rPr>
        <w:t>万元。全年共处置固定资产</w:t>
      </w:r>
      <w:r>
        <w:rPr>
          <w:rFonts w:hint="eastAsia"/>
        </w:rPr>
        <w:t>63</w:t>
      </w:r>
      <w:r>
        <w:rPr>
          <w:rFonts w:hint="eastAsia"/>
        </w:rPr>
        <w:t>件，资产原值</w:t>
      </w:r>
      <w:r>
        <w:rPr>
          <w:rFonts w:hint="eastAsia"/>
        </w:rPr>
        <w:t>116.80</w:t>
      </w:r>
      <w:r>
        <w:rPr>
          <w:rFonts w:hint="eastAsia"/>
        </w:rPr>
        <w:t>万元。</w:t>
      </w:r>
    </w:p>
    <w:p w:rsidR="003A264B" w:rsidRDefault="00C66638">
      <w:pPr>
        <w:pStyle w:val="ae"/>
      </w:pPr>
      <w:r>
        <w:rPr>
          <w:rFonts w:hint="eastAsia"/>
        </w:rPr>
        <w:t>2</w:t>
      </w:r>
      <w:r>
        <w:t>02</w:t>
      </w:r>
      <w:r>
        <w:rPr>
          <w:rFonts w:hint="eastAsia"/>
        </w:rPr>
        <w:t>4</w:t>
      </w:r>
      <w:r>
        <w:rPr>
          <w:rFonts w:hint="eastAsia"/>
        </w:rPr>
        <w:t>年我局资产使用规范，资产账实一致，无盘盈盘亏问题。不存在超标准配置资产，不存在未经批准擅自出租、出借资产行为，不存在不按要求进行报批或资产不公开处置行为，不存在对外投资行为，未因管理不当发生严重资产损失和丢失情况。</w:t>
      </w:r>
    </w:p>
    <w:p w:rsidR="003A264B" w:rsidRDefault="00C66638">
      <w:pPr>
        <w:pStyle w:val="ac"/>
      </w:pPr>
      <w:r>
        <w:rPr>
          <w:rFonts w:hint="eastAsia"/>
        </w:rPr>
        <w:t>（三）绩效</w:t>
      </w:r>
      <w:r>
        <w:t>管理</w:t>
      </w:r>
    </w:p>
    <w:p w:rsidR="003A264B" w:rsidRDefault="00C66638">
      <w:pPr>
        <w:pStyle w:val="ae"/>
      </w:pPr>
      <w:r>
        <w:rPr>
          <w:rFonts w:hint="eastAsia"/>
        </w:rPr>
        <w:t>2</w:t>
      </w:r>
      <w:r>
        <w:t>02</w:t>
      </w:r>
      <w:r>
        <w:rPr>
          <w:rFonts w:hint="eastAsia"/>
        </w:rPr>
        <w:t>4</w:t>
      </w:r>
      <w:r>
        <w:rPr>
          <w:rFonts w:hint="eastAsia"/>
        </w:rPr>
        <w:t>年，我局严格按照全面预算绩效管理的相关要求开展部门绩效管理，及时进行绩效信息汇总分析、绩效目标纠偏工作。</w:t>
      </w:r>
      <w:r>
        <w:rPr>
          <w:rFonts w:hint="eastAsia"/>
        </w:rPr>
        <w:t>3</w:t>
      </w:r>
      <w:r>
        <w:rPr>
          <w:rFonts w:hint="eastAsia"/>
        </w:rPr>
        <w:t>月，组织了</w:t>
      </w:r>
      <w:r>
        <w:rPr>
          <w:rFonts w:hint="eastAsia"/>
        </w:rPr>
        <w:t>16</w:t>
      </w:r>
      <w:r>
        <w:rPr>
          <w:rFonts w:hint="eastAsia"/>
        </w:rPr>
        <w:t>个区司法局对</w:t>
      </w:r>
      <w:r>
        <w:rPr>
          <w:rFonts w:hint="eastAsia"/>
        </w:rPr>
        <w:t>2023</w:t>
      </w:r>
      <w:r>
        <w:rPr>
          <w:rFonts w:hint="eastAsia"/>
        </w:rPr>
        <w:t>年度北京市司法行政系统中央政法纪检监察转移支付资金开展绩效自评；</w:t>
      </w:r>
      <w:r>
        <w:rPr>
          <w:rFonts w:hint="eastAsia"/>
        </w:rPr>
        <w:lastRenderedPageBreak/>
        <w:t>编制了</w:t>
      </w:r>
      <w:r>
        <w:rPr>
          <w:rFonts w:hint="eastAsia"/>
        </w:rPr>
        <w:t>2024</w:t>
      </w:r>
      <w:r>
        <w:rPr>
          <w:rFonts w:hint="eastAsia"/>
        </w:rPr>
        <w:t>年度北京市司法行政系统中央政法纪检监察转移支付资金目</w:t>
      </w:r>
      <w:r>
        <w:rPr>
          <w:rFonts w:hint="eastAsia"/>
        </w:rPr>
        <w:t>标表。</w:t>
      </w:r>
      <w:r>
        <w:rPr>
          <w:rFonts w:hint="eastAsia"/>
        </w:rPr>
        <w:t>4</w:t>
      </w:r>
      <w:r>
        <w:rPr>
          <w:rFonts w:hint="eastAsia"/>
        </w:rPr>
        <w:t>月</w:t>
      </w:r>
      <w:r>
        <w:rPr>
          <w:rFonts w:hint="eastAsia"/>
        </w:rPr>
        <w:t>-5</w:t>
      </w:r>
      <w:r>
        <w:rPr>
          <w:rFonts w:hint="eastAsia"/>
        </w:rPr>
        <w:t>月，对我局</w:t>
      </w:r>
      <w:r>
        <w:rPr>
          <w:rFonts w:hint="eastAsia"/>
        </w:rPr>
        <w:t>2023</w:t>
      </w:r>
      <w:r>
        <w:rPr>
          <w:rFonts w:hint="eastAsia"/>
        </w:rPr>
        <w:t>年度设定绩效目标的项目全部开展了绩效自评，对法律援助值班补贴政策开展政策绩效评价，同步开展了部门整体绩效评价。</w:t>
      </w:r>
      <w:r>
        <w:rPr>
          <w:rFonts w:hint="eastAsia"/>
        </w:rPr>
        <w:t>6</w:t>
      </w:r>
      <w:r>
        <w:rPr>
          <w:rFonts w:hint="eastAsia"/>
        </w:rPr>
        <w:t>月</w:t>
      </w:r>
      <w:r>
        <w:rPr>
          <w:rFonts w:hint="eastAsia"/>
        </w:rPr>
        <w:t>-7</w:t>
      </w:r>
      <w:r>
        <w:rPr>
          <w:rFonts w:hint="eastAsia"/>
        </w:rPr>
        <w:t>月，选择政务云租赁服务项目开展了</w:t>
      </w:r>
      <w:r>
        <w:t>成本预算绩效分析</w:t>
      </w:r>
      <w:r>
        <w:rPr>
          <w:rFonts w:hint="eastAsia"/>
        </w:rPr>
        <w:t>。</w:t>
      </w:r>
      <w:r>
        <w:rPr>
          <w:rFonts w:hint="eastAsia"/>
        </w:rPr>
        <w:t>8</w:t>
      </w:r>
      <w:r>
        <w:rPr>
          <w:rFonts w:hint="eastAsia"/>
        </w:rPr>
        <w:t>月，对</w:t>
      </w:r>
      <w:r>
        <w:rPr>
          <w:rFonts w:hint="eastAsia"/>
        </w:rPr>
        <w:t>2</w:t>
      </w:r>
      <w:r>
        <w:t>02</w:t>
      </w:r>
      <w:r>
        <w:rPr>
          <w:rFonts w:hint="eastAsia"/>
        </w:rPr>
        <w:t>4</w:t>
      </w:r>
      <w:r>
        <w:rPr>
          <w:rFonts w:hint="eastAsia"/>
        </w:rPr>
        <w:t>年部门预算涉及的项目</w:t>
      </w:r>
      <w:r>
        <w:rPr>
          <w:rFonts w:hint="eastAsia"/>
        </w:rPr>
        <w:t>1-6</w:t>
      </w:r>
      <w:r>
        <w:rPr>
          <w:rFonts w:hint="eastAsia"/>
        </w:rPr>
        <w:t>月份的预算执行和绩效目标实现程度开展绩效监控分析。</w:t>
      </w:r>
      <w:r>
        <w:rPr>
          <w:rFonts w:hint="eastAsia"/>
        </w:rPr>
        <w:t>1</w:t>
      </w:r>
      <w:r>
        <w:t>0</w:t>
      </w:r>
      <w:r>
        <w:rPr>
          <w:rFonts w:hint="eastAsia"/>
        </w:rPr>
        <w:t>月</w:t>
      </w:r>
      <w:r>
        <w:rPr>
          <w:rFonts w:hint="eastAsia"/>
        </w:rPr>
        <w:t>-</w:t>
      </w:r>
      <w:r>
        <w:t>11</w:t>
      </w:r>
      <w:r>
        <w:rPr>
          <w:rFonts w:hint="eastAsia"/>
        </w:rPr>
        <w:t>月，梳理我局拟申报的</w:t>
      </w:r>
      <w:r>
        <w:rPr>
          <w:rFonts w:hint="eastAsia"/>
        </w:rPr>
        <w:t>2</w:t>
      </w:r>
      <w:r>
        <w:t>02</w:t>
      </w:r>
      <w:r>
        <w:rPr>
          <w:rFonts w:hint="eastAsia"/>
        </w:rPr>
        <w:t>5</w:t>
      </w:r>
      <w:r>
        <w:rPr>
          <w:rFonts w:hint="eastAsia"/>
        </w:rPr>
        <w:t>年度部门预算项目，编制了项目申报书、绩效目标申报表等资料，并对新增项目</w:t>
      </w:r>
      <w:r>
        <w:rPr>
          <w:rFonts w:hint="eastAsia"/>
        </w:rPr>
        <w:t>2025</w:t>
      </w:r>
      <w:r>
        <w:rPr>
          <w:rFonts w:hint="eastAsia"/>
        </w:rPr>
        <w:t>年度司法行政网络安全体系建设项目开展了事前绩效评估。</w:t>
      </w:r>
    </w:p>
    <w:p w:rsidR="003A264B" w:rsidRDefault="00C66638">
      <w:pPr>
        <w:pStyle w:val="ac"/>
      </w:pPr>
      <w:bookmarkStart w:id="5" w:name="_Hlk167113654"/>
      <w:r>
        <w:rPr>
          <w:rFonts w:hint="eastAsia"/>
        </w:rPr>
        <w:t>（四）结转结余率</w:t>
      </w:r>
    </w:p>
    <w:p w:rsidR="003A264B" w:rsidRDefault="00C66638">
      <w:pPr>
        <w:pStyle w:val="ad"/>
        <w:outlineLvl w:val="9"/>
      </w:pPr>
      <w:r>
        <w:rPr>
          <w:rFonts w:hint="eastAsia"/>
        </w:rPr>
        <w:t>截至</w:t>
      </w:r>
      <w:r>
        <w:rPr>
          <w:rFonts w:hint="eastAsia"/>
        </w:rPr>
        <w:t>2</w:t>
      </w:r>
      <w:r>
        <w:t>02</w:t>
      </w:r>
      <w:r>
        <w:rPr>
          <w:rFonts w:hint="eastAsia"/>
        </w:rPr>
        <w:t>4</w:t>
      </w:r>
      <w:r>
        <w:rPr>
          <w:rFonts w:hint="eastAsia"/>
        </w:rPr>
        <w:t>年底，我局支出预算</w:t>
      </w:r>
      <w:r>
        <w:rPr>
          <w:rFonts w:hint="eastAsia"/>
        </w:rPr>
        <w:t>数</w:t>
      </w:r>
      <w:r>
        <w:t>29121.16</w:t>
      </w:r>
      <w:r>
        <w:rPr>
          <w:rFonts w:hint="eastAsia"/>
        </w:rPr>
        <w:t>万元，结转结余总额</w:t>
      </w:r>
      <w:r>
        <w:t>1116.14</w:t>
      </w:r>
      <w:r>
        <w:rPr>
          <w:rFonts w:hint="eastAsia"/>
        </w:rPr>
        <w:t>万元（含非财政拨款结余），</w:t>
      </w:r>
      <w:r>
        <w:rPr>
          <w:rFonts w:hint="eastAsia"/>
        </w:rPr>
        <w:t>2</w:t>
      </w:r>
      <w:r>
        <w:t>02</w:t>
      </w:r>
      <w:r>
        <w:rPr>
          <w:rFonts w:hint="eastAsia"/>
        </w:rPr>
        <w:t>4</w:t>
      </w:r>
      <w:r>
        <w:rPr>
          <w:rFonts w:hint="eastAsia"/>
        </w:rPr>
        <w:t>年结转结余率</w:t>
      </w:r>
      <w:r>
        <w:rPr>
          <w:rFonts w:hint="eastAsia"/>
        </w:rPr>
        <w:t>3.83%</w:t>
      </w:r>
      <w:r>
        <w:rPr>
          <w:rFonts w:hint="eastAsia"/>
        </w:rPr>
        <w:t>，其中财政拨款结转结余</w:t>
      </w:r>
      <w:r>
        <w:t>698.97</w:t>
      </w:r>
      <w:r>
        <w:rPr>
          <w:rFonts w:hint="eastAsia"/>
        </w:rPr>
        <w:t>万元，</w:t>
      </w:r>
      <w:r>
        <w:rPr>
          <w:rFonts w:hint="eastAsia"/>
        </w:rPr>
        <w:t>2024</w:t>
      </w:r>
      <w:r>
        <w:rPr>
          <w:rFonts w:hint="eastAsia"/>
        </w:rPr>
        <w:t>年财政拨款结转结余率</w:t>
      </w:r>
      <w:r>
        <w:t>2.40%</w:t>
      </w:r>
      <w:r>
        <w:rPr>
          <w:rFonts w:hint="eastAsia"/>
        </w:rPr>
        <w:t>。</w:t>
      </w:r>
      <w:r>
        <w:rPr>
          <w:rFonts w:hint="eastAsia"/>
        </w:rPr>
        <w:t>2</w:t>
      </w:r>
      <w:r>
        <w:t>02</w:t>
      </w:r>
      <w:r>
        <w:rPr>
          <w:rFonts w:hint="eastAsia"/>
        </w:rPr>
        <w:t>4</w:t>
      </w:r>
      <w:r>
        <w:rPr>
          <w:rFonts w:hint="eastAsia"/>
        </w:rPr>
        <w:t>年相较</w:t>
      </w:r>
      <w:r>
        <w:rPr>
          <w:rFonts w:hint="eastAsia"/>
        </w:rPr>
        <w:t>2</w:t>
      </w:r>
      <w:r>
        <w:t>02</w:t>
      </w:r>
      <w:r>
        <w:rPr>
          <w:rFonts w:hint="eastAsia"/>
        </w:rPr>
        <w:t>3</w:t>
      </w:r>
      <w:r>
        <w:rPr>
          <w:rFonts w:hint="eastAsia"/>
        </w:rPr>
        <w:t>年部门结转结余率及财政拨款结转结余率均有所下降。</w:t>
      </w:r>
    </w:p>
    <w:p w:rsidR="003A264B" w:rsidRDefault="00C66638">
      <w:pPr>
        <w:pStyle w:val="ac"/>
      </w:pPr>
      <w:r>
        <w:rPr>
          <w:rFonts w:hint="eastAsia"/>
        </w:rPr>
        <w:t>（五）部门</w:t>
      </w:r>
      <w:r>
        <w:t>预决算差异率</w:t>
      </w:r>
    </w:p>
    <w:p w:rsidR="003A264B" w:rsidRDefault="00C66638">
      <w:pPr>
        <w:pStyle w:val="ae"/>
      </w:pPr>
      <w:r>
        <w:rPr>
          <w:rFonts w:hint="eastAsia"/>
        </w:rPr>
        <w:t>2</w:t>
      </w:r>
      <w:r>
        <w:t>02</w:t>
      </w:r>
      <w:r>
        <w:rPr>
          <w:rFonts w:hint="eastAsia"/>
        </w:rPr>
        <w:t>4</w:t>
      </w:r>
      <w:r>
        <w:rPr>
          <w:rFonts w:hint="eastAsia"/>
        </w:rPr>
        <w:t>年，我局年初收入预算总数为</w:t>
      </w:r>
      <w:r>
        <w:t>28017.34</w:t>
      </w:r>
      <w:r>
        <w:rPr>
          <w:rFonts w:hint="eastAsia"/>
        </w:rPr>
        <w:t>万元，收入决算总数为</w:t>
      </w:r>
      <w:r>
        <w:t>28318.51</w:t>
      </w:r>
      <w:r>
        <w:rPr>
          <w:rFonts w:hint="eastAsia"/>
        </w:rPr>
        <w:t>万元，收入的预决算差异率为</w:t>
      </w:r>
      <w:r>
        <w:t>1.07%</w:t>
      </w:r>
      <w:r>
        <w:rPr>
          <w:rFonts w:hint="eastAsia"/>
        </w:rPr>
        <w:t>；年初支出预算总数为</w:t>
      </w:r>
      <w:r>
        <w:t>28823.53</w:t>
      </w:r>
      <w:r>
        <w:rPr>
          <w:rFonts w:hint="eastAsia"/>
        </w:rPr>
        <w:t>万元，实际支出</w:t>
      </w:r>
      <w:r>
        <w:t>28232.63</w:t>
      </w:r>
      <w:r>
        <w:rPr>
          <w:rFonts w:hint="eastAsia"/>
        </w:rPr>
        <w:t>万元，支出的预决算差异率为</w:t>
      </w:r>
      <w:r>
        <w:t>2.05%</w:t>
      </w:r>
      <w:r>
        <w:rPr>
          <w:rFonts w:hint="eastAsia"/>
        </w:rPr>
        <w:t>。</w:t>
      </w:r>
      <w:r>
        <w:tab/>
      </w:r>
    </w:p>
    <w:bookmarkEnd w:id="5"/>
    <w:p w:rsidR="003A264B" w:rsidRDefault="00C66638">
      <w:pPr>
        <w:pStyle w:val="ab"/>
      </w:pPr>
      <w:r>
        <w:rPr>
          <w:rFonts w:hint="eastAsia"/>
        </w:rPr>
        <w:t>五、总体</w:t>
      </w:r>
      <w:r>
        <w:t>评价结论</w:t>
      </w:r>
    </w:p>
    <w:p w:rsidR="003A264B" w:rsidRDefault="00C66638">
      <w:pPr>
        <w:pStyle w:val="ac"/>
      </w:pPr>
      <w:r>
        <w:rPr>
          <w:rFonts w:hint="eastAsia"/>
        </w:rPr>
        <w:t>（一）评价</w:t>
      </w:r>
      <w:r>
        <w:t>得分</w:t>
      </w:r>
      <w:r>
        <w:rPr>
          <w:rFonts w:hint="eastAsia"/>
        </w:rPr>
        <w:t>情况</w:t>
      </w:r>
    </w:p>
    <w:p w:rsidR="003A264B" w:rsidRDefault="00C66638">
      <w:pPr>
        <w:pStyle w:val="ae"/>
      </w:pPr>
      <w:r>
        <w:rPr>
          <w:rFonts w:hint="eastAsia"/>
        </w:rPr>
        <w:t>2024</w:t>
      </w:r>
      <w:r>
        <w:rPr>
          <w:rFonts w:hint="eastAsia"/>
        </w:rPr>
        <w:t>年，在市委、市政府和司法部的坚强领导下</w:t>
      </w:r>
      <w:r>
        <w:rPr>
          <w:rFonts w:hint="eastAsia"/>
        </w:rPr>
        <w:t>,</w:t>
      </w:r>
      <w:r>
        <w:rPr>
          <w:rFonts w:hint="eastAsia"/>
        </w:rPr>
        <w:t>我局</w:t>
      </w:r>
      <w:r>
        <w:rPr>
          <w:rFonts w:hint="eastAsia"/>
        </w:rPr>
        <w:lastRenderedPageBreak/>
        <w:t>坚持以习近平新时代中国特色社会主义思想为指导，全面贯彻落实党的二十大和二十届二中、三中全会精神，深入学习贯彻习近平法治思想，围绕“巩固深化年”主题，立足“一个统抓、五大职能”工作布局，树牢首都意识，坚持首善标准，扎实推进全面依法治市和司法行政各项工作高质量发展，为首都现代化建设提供了有力法治保障。部门整体综合评价得分</w:t>
      </w:r>
      <w:r>
        <w:t>9</w:t>
      </w:r>
      <w:r>
        <w:rPr>
          <w:rFonts w:hint="eastAsia"/>
        </w:rPr>
        <w:t>3</w:t>
      </w:r>
      <w:r>
        <w:t>.</w:t>
      </w:r>
      <w:r>
        <w:rPr>
          <w:rFonts w:hint="eastAsia"/>
        </w:rPr>
        <w:t>09</w:t>
      </w:r>
      <w:r>
        <w:rPr>
          <w:rFonts w:hint="eastAsia"/>
        </w:rPr>
        <w:t>分，</w:t>
      </w:r>
      <w:r>
        <w:t>具体得分情况见</w:t>
      </w:r>
      <w:r>
        <w:rPr>
          <w:rFonts w:hint="eastAsia"/>
        </w:rPr>
        <w:t>表</w:t>
      </w:r>
      <w:r>
        <w:rPr>
          <w:rFonts w:hint="eastAsia"/>
        </w:rPr>
        <w:t>2</w:t>
      </w:r>
      <w:r>
        <w:t>。</w:t>
      </w:r>
    </w:p>
    <w:p w:rsidR="003A264B" w:rsidRDefault="00C66638">
      <w:pPr>
        <w:adjustRightInd w:val="0"/>
        <w:snapToGrid w:val="0"/>
        <w:spacing w:line="560" w:lineRule="exact"/>
        <w:jc w:val="center"/>
        <w:rPr>
          <w:rFonts w:ascii="黑体" w:eastAsia="黑体" w:hAnsi="黑体"/>
          <w:sz w:val="28"/>
          <w:szCs w:val="28"/>
        </w:rPr>
      </w:pPr>
      <w:r>
        <w:rPr>
          <w:rFonts w:ascii="黑体" w:eastAsia="黑体" w:hAnsi="黑体" w:hint="eastAsia"/>
          <w:sz w:val="28"/>
          <w:szCs w:val="28"/>
        </w:rPr>
        <w:t>表</w:t>
      </w:r>
      <w:r>
        <w:rPr>
          <w:rFonts w:ascii="黑体" w:eastAsia="黑体" w:hAnsi="黑体" w:hint="eastAsia"/>
          <w:sz w:val="28"/>
          <w:szCs w:val="28"/>
        </w:rPr>
        <w:t>2</w:t>
      </w:r>
      <w:r>
        <w:rPr>
          <w:rFonts w:ascii="黑体" w:eastAsia="黑体" w:hAnsi="黑体" w:hint="eastAsia"/>
          <w:sz w:val="28"/>
          <w:szCs w:val="28"/>
        </w:rPr>
        <w:t>：综合评价得分情况表</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126"/>
        <w:gridCol w:w="1559"/>
        <w:gridCol w:w="1701"/>
      </w:tblGrid>
      <w:tr w:rsidR="003A264B">
        <w:trPr>
          <w:trHeight w:val="454"/>
          <w:tblHeader/>
          <w:jc w:val="center"/>
        </w:trPr>
        <w:tc>
          <w:tcPr>
            <w:tcW w:w="2689" w:type="dxa"/>
            <w:shd w:val="clear" w:color="auto" w:fill="auto"/>
            <w:vAlign w:val="center"/>
          </w:tcPr>
          <w:p w:rsidR="003A264B" w:rsidRDefault="00C66638">
            <w:pPr>
              <w:widowControl/>
              <w:adjustRightInd w:val="0"/>
              <w:snapToGrid w:val="0"/>
              <w:jc w:val="center"/>
              <w:rPr>
                <w:rFonts w:asciiTheme="majorEastAsia" w:eastAsiaTheme="majorEastAsia" w:hAnsiTheme="majorEastAsia" w:cs="宋体"/>
                <w:b/>
                <w:bCs/>
                <w:color w:val="000000"/>
                <w:kern w:val="0"/>
                <w:sz w:val="20"/>
                <w:szCs w:val="20"/>
              </w:rPr>
            </w:pPr>
            <w:r>
              <w:rPr>
                <w:rFonts w:asciiTheme="majorEastAsia" w:eastAsiaTheme="majorEastAsia" w:hAnsiTheme="majorEastAsia" w:cs="宋体" w:hint="eastAsia"/>
                <w:b/>
                <w:bCs/>
                <w:color w:val="000000"/>
                <w:kern w:val="0"/>
                <w:sz w:val="20"/>
                <w:szCs w:val="20"/>
              </w:rPr>
              <w:t>一级指标</w:t>
            </w:r>
          </w:p>
        </w:tc>
        <w:tc>
          <w:tcPr>
            <w:tcW w:w="2126" w:type="dxa"/>
            <w:shd w:val="clear" w:color="auto" w:fill="auto"/>
            <w:vAlign w:val="center"/>
          </w:tcPr>
          <w:p w:rsidR="003A264B" w:rsidRDefault="00C66638">
            <w:pPr>
              <w:widowControl/>
              <w:adjustRightInd w:val="0"/>
              <w:snapToGrid w:val="0"/>
              <w:jc w:val="center"/>
              <w:rPr>
                <w:rFonts w:asciiTheme="majorEastAsia" w:eastAsiaTheme="majorEastAsia" w:hAnsiTheme="majorEastAsia" w:cs="宋体"/>
                <w:b/>
                <w:bCs/>
                <w:color w:val="000000"/>
                <w:kern w:val="0"/>
                <w:sz w:val="20"/>
                <w:szCs w:val="20"/>
              </w:rPr>
            </w:pPr>
            <w:r>
              <w:rPr>
                <w:rFonts w:asciiTheme="majorEastAsia" w:eastAsiaTheme="majorEastAsia" w:hAnsiTheme="majorEastAsia" w:cs="宋体" w:hint="eastAsia"/>
                <w:b/>
                <w:bCs/>
                <w:color w:val="000000"/>
                <w:kern w:val="0"/>
                <w:sz w:val="20"/>
                <w:szCs w:val="20"/>
              </w:rPr>
              <w:t>二级指标</w:t>
            </w:r>
          </w:p>
        </w:tc>
        <w:tc>
          <w:tcPr>
            <w:tcW w:w="1559" w:type="dxa"/>
            <w:shd w:val="clear" w:color="auto" w:fill="auto"/>
            <w:vAlign w:val="center"/>
          </w:tcPr>
          <w:p w:rsidR="003A264B" w:rsidRDefault="00C66638">
            <w:pPr>
              <w:widowControl/>
              <w:adjustRightInd w:val="0"/>
              <w:snapToGrid w:val="0"/>
              <w:jc w:val="center"/>
              <w:rPr>
                <w:rFonts w:asciiTheme="majorEastAsia" w:eastAsiaTheme="majorEastAsia" w:hAnsiTheme="majorEastAsia" w:cs="宋体"/>
                <w:b/>
                <w:bCs/>
                <w:color w:val="000000"/>
                <w:kern w:val="0"/>
                <w:sz w:val="20"/>
                <w:szCs w:val="20"/>
              </w:rPr>
            </w:pPr>
            <w:r>
              <w:rPr>
                <w:rFonts w:asciiTheme="majorEastAsia" w:eastAsiaTheme="majorEastAsia" w:hAnsiTheme="majorEastAsia" w:cs="宋体" w:hint="eastAsia"/>
                <w:b/>
                <w:bCs/>
                <w:color w:val="000000"/>
                <w:kern w:val="0"/>
                <w:sz w:val="20"/>
                <w:szCs w:val="20"/>
              </w:rPr>
              <w:t>分值</w:t>
            </w:r>
          </w:p>
        </w:tc>
        <w:tc>
          <w:tcPr>
            <w:tcW w:w="1701" w:type="dxa"/>
            <w:vAlign w:val="center"/>
          </w:tcPr>
          <w:p w:rsidR="003A264B" w:rsidRDefault="00C66638">
            <w:pPr>
              <w:widowControl/>
              <w:adjustRightInd w:val="0"/>
              <w:snapToGrid w:val="0"/>
              <w:jc w:val="center"/>
              <w:rPr>
                <w:rFonts w:asciiTheme="majorEastAsia" w:eastAsiaTheme="majorEastAsia" w:hAnsiTheme="majorEastAsia" w:cs="宋体"/>
                <w:b/>
                <w:bCs/>
                <w:color w:val="000000"/>
                <w:kern w:val="0"/>
                <w:sz w:val="20"/>
                <w:szCs w:val="20"/>
              </w:rPr>
            </w:pPr>
            <w:r>
              <w:rPr>
                <w:rFonts w:asciiTheme="majorEastAsia" w:eastAsiaTheme="majorEastAsia" w:hAnsiTheme="majorEastAsia" w:cs="宋体" w:hint="eastAsia"/>
                <w:b/>
                <w:bCs/>
                <w:color w:val="000000"/>
                <w:kern w:val="0"/>
                <w:sz w:val="20"/>
                <w:szCs w:val="20"/>
              </w:rPr>
              <w:t>得分</w:t>
            </w:r>
          </w:p>
        </w:tc>
      </w:tr>
      <w:tr w:rsidR="003A264B">
        <w:trPr>
          <w:trHeight w:val="454"/>
          <w:jc w:val="center"/>
        </w:trPr>
        <w:tc>
          <w:tcPr>
            <w:tcW w:w="2689" w:type="dxa"/>
            <w:shd w:val="clear" w:color="auto" w:fill="auto"/>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当年预算执行情况</w:t>
            </w:r>
          </w:p>
        </w:tc>
        <w:tc>
          <w:tcPr>
            <w:tcW w:w="2126" w:type="dxa"/>
            <w:shd w:val="clear" w:color="auto" w:fill="auto"/>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20</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color w:val="000000"/>
                <w:sz w:val="20"/>
                <w:szCs w:val="20"/>
              </w:rPr>
              <w:t>19.39</w:t>
            </w:r>
          </w:p>
        </w:tc>
      </w:tr>
      <w:tr w:rsidR="003A264B">
        <w:trPr>
          <w:trHeight w:val="454"/>
          <w:jc w:val="center"/>
        </w:trPr>
        <w:tc>
          <w:tcPr>
            <w:tcW w:w="2689" w:type="dxa"/>
            <w:vMerge w:val="restart"/>
            <w:shd w:val="clear" w:color="auto" w:fill="auto"/>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整体绩效目标实现情况</w:t>
            </w:r>
          </w:p>
        </w:tc>
        <w:tc>
          <w:tcPr>
            <w:tcW w:w="2126" w:type="dxa"/>
            <w:shd w:val="clear" w:color="auto" w:fill="auto"/>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小计</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60</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color w:val="000000"/>
                <w:sz w:val="20"/>
                <w:szCs w:val="20"/>
              </w:rPr>
              <w:t>5</w:t>
            </w:r>
            <w:r>
              <w:rPr>
                <w:rFonts w:asciiTheme="majorEastAsia" w:eastAsiaTheme="majorEastAsia" w:hAnsiTheme="majorEastAsia" w:hint="eastAsia"/>
                <w:color w:val="000000"/>
                <w:sz w:val="20"/>
                <w:szCs w:val="20"/>
              </w:rPr>
              <w:t>3.7</w:t>
            </w:r>
          </w:p>
        </w:tc>
      </w:tr>
      <w:tr w:rsidR="003A264B">
        <w:trPr>
          <w:trHeight w:val="454"/>
          <w:jc w:val="center"/>
        </w:trPr>
        <w:tc>
          <w:tcPr>
            <w:tcW w:w="2689" w:type="dxa"/>
            <w:vMerge/>
            <w:vAlign w:val="center"/>
          </w:tcPr>
          <w:p w:rsidR="003A264B" w:rsidRDefault="003A264B">
            <w:pPr>
              <w:widowControl/>
              <w:adjustRightInd w:val="0"/>
              <w:snapToGrid w:val="0"/>
              <w:jc w:val="center"/>
              <w:rPr>
                <w:rFonts w:asciiTheme="majorEastAsia" w:eastAsiaTheme="majorEastAsia" w:hAnsiTheme="majorEastAsia" w:cs="宋体"/>
                <w:color w:val="000000"/>
                <w:kern w:val="0"/>
                <w:sz w:val="20"/>
                <w:szCs w:val="20"/>
              </w:rPr>
            </w:pPr>
          </w:p>
        </w:tc>
        <w:tc>
          <w:tcPr>
            <w:tcW w:w="2126"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产出</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30</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color w:val="000000"/>
                <w:sz w:val="20"/>
                <w:szCs w:val="20"/>
              </w:rPr>
              <w:t>27.7</w:t>
            </w:r>
          </w:p>
        </w:tc>
      </w:tr>
      <w:tr w:rsidR="003A264B">
        <w:trPr>
          <w:trHeight w:val="454"/>
          <w:jc w:val="center"/>
        </w:trPr>
        <w:tc>
          <w:tcPr>
            <w:tcW w:w="2689" w:type="dxa"/>
            <w:vMerge/>
            <w:vAlign w:val="center"/>
          </w:tcPr>
          <w:p w:rsidR="003A264B" w:rsidRDefault="003A264B">
            <w:pPr>
              <w:widowControl/>
              <w:adjustRightInd w:val="0"/>
              <w:snapToGrid w:val="0"/>
              <w:jc w:val="center"/>
              <w:rPr>
                <w:rFonts w:asciiTheme="majorEastAsia" w:eastAsiaTheme="majorEastAsia" w:hAnsiTheme="majorEastAsia" w:cs="宋体"/>
                <w:color w:val="000000"/>
                <w:kern w:val="0"/>
                <w:sz w:val="20"/>
                <w:szCs w:val="20"/>
              </w:rPr>
            </w:pPr>
          </w:p>
        </w:tc>
        <w:tc>
          <w:tcPr>
            <w:tcW w:w="2126"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效果</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30</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26</w:t>
            </w:r>
          </w:p>
        </w:tc>
      </w:tr>
      <w:tr w:rsidR="003A264B">
        <w:trPr>
          <w:trHeight w:val="454"/>
          <w:jc w:val="center"/>
        </w:trPr>
        <w:tc>
          <w:tcPr>
            <w:tcW w:w="2689" w:type="dxa"/>
            <w:vMerge w:val="restart"/>
            <w:shd w:val="clear" w:color="auto" w:fill="auto"/>
            <w:noWrap/>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预算管理情况</w:t>
            </w:r>
          </w:p>
        </w:tc>
        <w:tc>
          <w:tcPr>
            <w:tcW w:w="2126" w:type="dxa"/>
            <w:shd w:val="clear" w:color="auto" w:fill="auto"/>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小计</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20</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20</w:t>
            </w:r>
          </w:p>
        </w:tc>
      </w:tr>
      <w:tr w:rsidR="003A264B">
        <w:trPr>
          <w:trHeight w:val="454"/>
          <w:jc w:val="center"/>
        </w:trPr>
        <w:tc>
          <w:tcPr>
            <w:tcW w:w="2689" w:type="dxa"/>
            <w:vMerge/>
            <w:vAlign w:val="center"/>
          </w:tcPr>
          <w:p w:rsidR="003A264B" w:rsidRDefault="003A264B">
            <w:pPr>
              <w:widowControl/>
              <w:adjustRightInd w:val="0"/>
              <w:snapToGrid w:val="0"/>
              <w:jc w:val="center"/>
              <w:rPr>
                <w:rFonts w:asciiTheme="majorEastAsia" w:eastAsiaTheme="majorEastAsia" w:hAnsiTheme="majorEastAsia" w:cs="宋体"/>
                <w:color w:val="000000"/>
                <w:kern w:val="0"/>
                <w:sz w:val="20"/>
                <w:szCs w:val="20"/>
              </w:rPr>
            </w:pPr>
          </w:p>
        </w:tc>
        <w:tc>
          <w:tcPr>
            <w:tcW w:w="2126"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财务管理</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r>
      <w:tr w:rsidR="003A264B">
        <w:trPr>
          <w:trHeight w:val="454"/>
          <w:jc w:val="center"/>
        </w:trPr>
        <w:tc>
          <w:tcPr>
            <w:tcW w:w="2689" w:type="dxa"/>
            <w:vMerge/>
            <w:vAlign w:val="center"/>
          </w:tcPr>
          <w:p w:rsidR="003A264B" w:rsidRDefault="003A264B">
            <w:pPr>
              <w:widowControl/>
              <w:adjustRightInd w:val="0"/>
              <w:snapToGrid w:val="0"/>
              <w:jc w:val="center"/>
              <w:rPr>
                <w:rFonts w:asciiTheme="majorEastAsia" w:eastAsiaTheme="majorEastAsia" w:hAnsiTheme="majorEastAsia" w:cs="宋体"/>
                <w:color w:val="000000"/>
                <w:kern w:val="0"/>
                <w:sz w:val="20"/>
                <w:szCs w:val="20"/>
              </w:rPr>
            </w:pPr>
          </w:p>
        </w:tc>
        <w:tc>
          <w:tcPr>
            <w:tcW w:w="2126"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资产管理</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r>
      <w:tr w:rsidR="003A264B">
        <w:trPr>
          <w:trHeight w:val="454"/>
          <w:jc w:val="center"/>
        </w:trPr>
        <w:tc>
          <w:tcPr>
            <w:tcW w:w="2689" w:type="dxa"/>
            <w:vMerge/>
            <w:vAlign w:val="center"/>
          </w:tcPr>
          <w:p w:rsidR="003A264B" w:rsidRDefault="003A264B">
            <w:pPr>
              <w:widowControl/>
              <w:adjustRightInd w:val="0"/>
              <w:snapToGrid w:val="0"/>
              <w:jc w:val="center"/>
              <w:rPr>
                <w:rFonts w:asciiTheme="majorEastAsia" w:eastAsiaTheme="majorEastAsia" w:hAnsiTheme="majorEastAsia" w:cs="宋体"/>
                <w:color w:val="000000"/>
                <w:kern w:val="0"/>
                <w:sz w:val="20"/>
                <w:szCs w:val="20"/>
              </w:rPr>
            </w:pPr>
          </w:p>
        </w:tc>
        <w:tc>
          <w:tcPr>
            <w:tcW w:w="2126"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绩效管理</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r>
      <w:tr w:rsidR="003A264B">
        <w:trPr>
          <w:trHeight w:val="454"/>
          <w:jc w:val="center"/>
        </w:trPr>
        <w:tc>
          <w:tcPr>
            <w:tcW w:w="2689" w:type="dxa"/>
            <w:vMerge/>
            <w:vAlign w:val="center"/>
          </w:tcPr>
          <w:p w:rsidR="003A264B" w:rsidRDefault="003A264B">
            <w:pPr>
              <w:widowControl/>
              <w:adjustRightInd w:val="0"/>
              <w:snapToGrid w:val="0"/>
              <w:jc w:val="center"/>
              <w:rPr>
                <w:rFonts w:asciiTheme="majorEastAsia" w:eastAsiaTheme="majorEastAsia" w:hAnsiTheme="majorEastAsia" w:cs="宋体"/>
                <w:color w:val="000000"/>
                <w:kern w:val="0"/>
                <w:sz w:val="20"/>
                <w:szCs w:val="20"/>
              </w:rPr>
            </w:pPr>
          </w:p>
        </w:tc>
        <w:tc>
          <w:tcPr>
            <w:tcW w:w="2126"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结转结余率</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r>
      <w:tr w:rsidR="003A264B">
        <w:trPr>
          <w:trHeight w:val="454"/>
          <w:jc w:val="center"/>
        </w:trPr>
        <w:tc>
          <w:tcPr>
            <w:tcW w:w="2689" w:type="dxa"/>
            <w:vMerge/>
            <w:vAlign w:val="center"/>
          </w:tcPr>
          <w:p w:rsidR="003A264B" w:rsidRDefault="003A264B">
            <w:pPr>
              <w:widowControl/>
              <w:adjustRightInd w:val="0"/>
              <w:snapToGrid w:val="0"/>
              <w:jc w:val="center"/>
              <w:rPr>
                <w:rFonts w:asciiTheme="majorEastAsia" w:eastAsiaTheme="majorEastAsia" w:hAnsiTheme="majorEastAsia" w:cs="宋体"/>
                <w:color w:val="000000"/>
                <w:kern w:val="0"/>
                <w:sz w:val="20"/>
                <w:szCs w:val="20"/>
              </w:rPr>
            </w:pPr>
          </w:p>
        </w:tc>
        <w:tc>
          <w:tcPr>
            <w:tcW w:w="2126"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s="宋体"/>
                <w:color w:val="000000"/>
                <w:kern w:val="0"/>
                <w:sz w:val="20"/>
                <w:szCs w:val="20"/>
              </w:rPr>
            </w:pPr>
            <w:r>
              <w:rPr>
                <w:rFonts w:asciiTheme="majorEastAsia" w:eastAsiaTheme="majorEastAsia" w:hAnsiTheme="majorEastAsia" w:cs="宋体" w:hint="eastAsia"/>
                <w:color w:val="000000"/>
                <w:kern w:val="0"/>
                <w:sz w:val="20"/>
                <w:szCs w:val="20"/>
              </w:rPr>
              <w:t>部门预决算差异率</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c>
          <w:tcPr>
            <w:tcW w:w="1701" w:type="dxa"/>
            <w:vAlign w:val="center"/>
          </w:tcPr>
          <w:p w:rsidR="003A264B" w:rsidRDefault="00C66638">
            <w:pPr>
              <w:widowControl/>
              <w:adjustRightInd w:val="0"/>
              <w:snapToGrid w:val="0"/>
              <w:jc w:val="center"/>
              <w:rPr>
                <w:rFonts w:asciiTheme="majorEastAsia" w:eastAsiaTheme="majorEastAsia" w:hAnsiTheme="majorEastAsia"/>
                <w:color w:val="000000"/>
                <w:sz w:val="20"/>
                <w:szCs w:val="20"/>
              </w:rPr>
            </w:pPr>
            <w:r>
              <w:rPr>
                <w:rFonts w:asciiTheme="majorEastAsia" w:eastAsiaTheme="majorEastAsia" w:hAnsiTheme="majorEastAsia" w:hint="eastAsia"/>
                <w:color w:val="000000"/>
                <w:sz w:val="20"/>
                <w:szCs w:val="20"/>
              </w:rPr>
              <w:t>4</w:t>
            </w:r>
          </w:p>
        </w:tc>
      </w:tr>
      <w:tr w:rsidR="003A264B">
        <w:trPr>
          <w:trHeight w:val="454"/>
          <w:jc w:val="center"/>
        </w:trPr>
        <w:tc>
          <w:tcPr>
            <w:tcW w:w="4815" w:type="dxa"/>
            <w:gridSpan w:val="2"/>
            <w:shd w:val="clear" w:color="auto" w:fill="auto"/>
            <w:noWrap/>
            <w:vAlign w:val="center"/>
          </w:tcPr>
          <w:p w:rsidR="003A264B" w:rsidRDefault="00C66638">
            <w:pPr>
              <w:widowControl/>
              <w:adjustRightInd w:val="0"/>
              <w:snapToGrid w:val="0"/>
              <w:jc w:val="center"/>
              <w:rPr>
                <w:rFonts w:asciiTheme="majorEastAsia" w:eastAsiaTheme="majorEastAsia" w:hAnsiTheme="majorEastAsia" w:cs="宋体"/>
                <w:b/>
                <w:bCs/>
                <w:color w:val="000000"/>
                <w:kern w:val="0"/>
                <w:sz w:val="20"/>
                <w:szCs w:val="20"/>
              </w:rPr>
            </w:pPr>
            <w:r>
              <w:rPr>
                <w:rFonts w:asciiTheme="majorEastAsia" w:eastAsiaTheme="majorEastAsia" w:hAnsiTheme="majorEastAsia" w:cs="宋体" w:hint="eastAsia"/>
                <w:b/>
                <w:bCs/>
                <w:color w:val="000000"/>
                <w:kern w:val="0"/>
                <w:sz w:val="20"/>
                <w:szCs w:val="20"/>
              </w:rPr>
              <w:t>合计</w:t>
            </w:r>
          </w:p>
        </w:tc>
        <w:tc>
          <w:tcPr>
            <w:tcW w:w="1559" w:type="dxa"/>
            <w:shd w:val="clear" w:color="auto" w:fill="auto"/>
            <w:noWrap/>
            <w:vAlign w:val="center"/>
          </w:tcPr>
          <w:p w:rsidR="003A264B" w:rsidRDefault="00C66638">
            <w:pPr>
              <w:widowControl/>
              <w:adjustRightInd w:val="0"/>
              <w:snapToGrid w:val="0"/>
              <w:jc w:val="center"/>
              <w:rPr>
                <w:rFonts w:asciiTheme="majorEastAsia" w:eastAsiaTheme="majorEastAsia" w:hAnsiTheme="majorEastAsia"/>
                <w:b/>
                <w:bCs/>
                <w:color w:val="000000"/>
                <w:sz w:val="20"/>
                <w:szCs w:val="20"/>
              </w:rPr>
            </w:pPr>
            <w:r>
              <w:rPr>
                <w:rFonts w:asciiTheme="majorEastAsia" w:eastAsiaTheme="majorEastAsia" w:hAnsiTheme="majorEastAsia" w:hint="eastAsia"/>
                <w:b/>
                <w:bCs/>
                <w:color w:val="000000"/>
                <w:sz w:val="20"/>
                <w:szCs w:val="20"/>
              </w:rPr>
              <w:t>100</w:t>
            </w:r>
          </w:p>
        </w:tc>
        <w:tc>
          <w:tcPr>
            <w:tcW w:w="1701" w:type="dxa"/>
            <w:vAlign w:val="center"/>
          </w:tcPr>
          <w:p w:rsidR="003A264B" w:rsidRDefault="00C66638">
            <w:pPr>
              <w:widowControl/>
              <w:adjustRightInd w:val="0"/>
              <w:snapToGrid w:val="0"/>
              <w:jc w:val="center"/>
              <w:rPr>
                <w:rFonts w:asciiTheme="majorEastAsia" w:eastAsiaTheme="majorEastAsia" w:hAnsiTheme="majorEastAsia"/>
                <w:b/>
                <w:bCs/>
                <w:color w:val="000000"/>
                <w:sz w:val="20"/>
                <w:szCs w:val="20"/>
              </w:rPr>
            </w:pPr>
            <w:r>
              <w:rPr>
                <w:rFonts w:asciiTheme="majorEastAsia" w:eastAsiaTheme="majorEastAsia" w:hAnsiTheme="majorEastAsia" w:hint="eastAsia"/>
                <w:b/>
                <w:bCs/>
                <w:color w:val="000000"/>
                <w:sz w:val="20"/>
                <w:szCs w:val="20"/>
              </w:rPr>
              <w:t>93.09</w:t>
            </w:r>
          </w:p>
        </w:tc>
      </w:tr>
    </w:tbl>
    <w:p w:rsidR="003A264B" w:rsidRDefault="00C66638">
      <w:pPr>
        <w:pStyle w:val="ac"/>
      </w:pPr>
      <w:r>
        <w:rPr>
          <w:rFonts w:hint="eastAsia"/>
        </w:rPr>
        <w:t>（二）存在的问题及原因分析</w:t>
      </w:r>
    </w:p>
    <w:p w:rsidR="003A264B" w:rsidRDefault="00C66638">
      <w:pPr>
        <w:pStyle w:val="ad"/>
      </w:pPr>
      <w:r>
        <w:rPr>
          <w:rFonts w:hint="eastAsia"/>
        </w:rPr>
        <w:t>1.</w:t>
      </w:r>
      <w:r>
        <w:rPr>
          <w:rFonts w:hint="eastAsia"/>
        </w:rPr>
        <w:t>预算编制精准性有待提升，绩效指标合理性尚有不足</w:t>
      </w:r>
    </w:p>
    <w:p w:rsidR="003A264B" w:rsidRDefault="00C66638">
      <w:pPr>
        <w:pStyle w:val="ae"/>
      </w:pPr>
      <w:r>
        <w:rPr>
          <w:rFonts w:hint="eastAsia"/>
        </w:rPr>
        <w:t>一是部分项目预算编制精准程度有待提升。如，“行政复议工作”项目年初计划印制各类宣传资料数量</w:t>
      </w:r>
      <w:r>
        <w:rPr>
          <w:rFonts w:hint="eastAsia"/>
        </w:rPr>
        <w:t>3000</w:t>
      </w:r>
      <w:r>
        <w:rPr>
          <w:rFonts w:hint="eastAsia"/>
        </w:rPr>
        <w:t>份，根据需求实际印制</w:t>
      </w:r>
      <w:r>
        <w:rPr>
          <w:rFonts w:hint="eastAsia"/>
        </w:rPr>
        <w:t>1807</w:t>
      </w:r>
      <w:r>
        <w:rPr>
          <w:rFonts w:hint="eastAsia"/>
        </w:rPr>
        <w:t>份；“执法协调监督工作”项目年初计划制作全市行政执法证件</w:t>
      </w:r>
      <w:r>
        <w:rPr>
          <w:rFonts w:hint="eastAsia"/>
        </w:rPr>
        <w:t>5000</w:t>
      </w:r>
      <w:r>
        <w:rPr>
          <w:rFonts w:hint="eastAsia"/>
        </w:rPr>
        <w:t>套，根据需求实际制作</w:t>
      </w:r>
      <w:r>
        <w:rPr>
          <w:rFonts w:hint="eastAsia"/>
        </w:rPr>
        <w:lastRenderedPageBreak/>
        <w:t>4481</w:t>
      </w:r>
      <w:r>
        <w:rPr>
          <w:rFonts w:hint="eastAsia"/>
        </w:rPr>
        <w:t>套；“公共法律服务管理工作”指标设置与实际工作计划不匹配，应于</w:t>
      </w:r>
      <w:r>
        <w:rPr>
          <w:rFonts w:hint="eastAsia"/>
        </w:rPr>
        <w:t>2025</w:t>
      </w:r>
      <w:r>
        <w:rPr>
          <w:rFonts w:hint="eastAsia"/>
        </w:rPr>
        <w:t>年完成评估报告撰写，指标设置为</w:t>
      </w:r>
      <w:r>
        <w:rPr>
          <w:rFonts w:hint="eastAsia"/>
        </w:rPr>
        <w:t>2024</w:t>
      </w:r>
      <w:r>
        <w:rPr>
          <w:rFonts w:hint="eastAsia"/>
        </w:rPr>
        <w:t>年完成，反映出指标设置精准性有所不足。二是部分项目年初绩效指标设置合理性不足，如：“信息化安全保障”“公服平台综合保障”项目服务对象满意度指标三级指标内容均设置为“达成预期目标”，未明确</w:t>
      </w:r>
      <w:r>
        <w:rPr>
          <w:rFonts w:hint="eastAsia"/>
        </w:rPr>
        <w:t>考核满意度的具体服务对象，指标值亦未量化设置。</w:t>
      </w:r>
    </w:p>
    <w:p w:rsidR="003A264B" w:rsidRDefault="00C66638">
      <w:pPr>
        <w:pStyle w:val="ad"/>
      </w:pPr>
      <w:r>
        <w:rPr>
          <w:rFonts w:hint="eastAsia"/>
        </w:rPr>
        <w:t>2.</w:t>
      </w:r>
      <w:r>
        <w:rPr>
          <w:rFonts w:hint="eastAsia"/>
        </w:rPr>
        <w:t>个别工作完成情况未及预期，完成质量有待提升</w:t>
      </w:r>
    </w:p>
    <w:p w:rsidR="003A264B" w:rsidRDefault="00C66638">
      <w:pPr>
        <w:pStyle w:val="ae"/>
      </w:pPr>
      <w:r>
        <w:rPr>
          <w:rFonts w:hint="eastAsia"/>
        </w:rPr>
        <w:t>一是由于年度工作调整、实际需求变化等因素影响，部分项目工作完成情况未达预期。如：“北京市行政复议与应诉工作平台建设”项目未在系统竣工验收后及时完成验收备案工作。二是部分工作完成质量有待提升。如：“北京市行政复议与应诉工作平台建设”项目中系统可用率、系统响应时间、统计分析时间等质量指标达成情况尚不明确，系统承建方提交的建设文档中存在需求规格说明书及详细设计说明书未同步调整更新、详细设计未体现整个</w:t>
      </w:r>
      <w:r>
        <w:rPr>
          <w:rFonts w:hint="eastAsia"/>
        </w:rPr>
        <w:t>IPO</w:t>
      </w:r>
      <w:r>
        <w:rPr>
          <w:rFonts w:hint="eastAsia"/>
        </w:rPr>
        <w:t>逻辑等问题。</w:t>
      </w:r>
    </w:p>
    <w:p w:rsidR="003A264B" w:rsidRDefault="00C66638">
      <w:pPr>
        <w:pStyle w:val="ab"/>
        <w:rPr>
          <w:rFonts w:ascii="仿宋_GB2312" w:eastAsia="仿宋_GB2312" w:hAnsi="宋体"/>
        </w:rPr>
      </w:pPr>
      <w:r>
        <w:rPr>
          <w:rFonts w:hint="eastAsia"/>
        </w:rPr>
        <w:t>六、措施建议</w:t>
      </w:r>
    </w:p>
    <w:p w:rsidR="003A264B" w:rsidRDefault="00C66638">
      <w:pPr>
        <w:pStyle w:val="ac"/>
      </w:pPr>
      <w:r>
        <w:rPr>
          <w:rFonts w:hint="eastAsia"/>
        </w:rPr>
        <w:t>（一）完善预算编制管理机制，合理设定项目绩效指标</w:t>
      </w:r>
    </w:p>
    <w:p w:rsidR="003A264B" w:rsidRDefault="00C66638">
      <w:pPr>
        <w:pStyle w:val="ae"/>
      </w:pPr>
      <w:r>
        <w:rPr>
          <w:rFonts w:hint="eastAsia"/>
        </w:rPr>
        <w:t>预算申报前期，系统梳理历年项目绩效自评反映的突出问题，紧密结合预算管理政策导向，明确本年度项目预算编报要求及方式方法；预算编制过程中，科学运用零基预算方法，综合</w:t>
      </w:r>
      <w:proofErr w:type="gramStart"/>
      <w:r>
        <w:rPr>
          <w:rFonts w:hint="eastAsia"/>
        </w:rPr>
        <w:t>考量</w:t>
      </w:r>
      <w:proofErr w:type="gramEnd"/>
      <w:r>
        <w:rPr>
          <w:rFonts w:hint="eastAsia"/>
        </w:rPr>
        <w:t>行业发展规划、年度核心任务，破除基数依赖和固化分配模式，精准测算项目资金需求；基于预算方向合理设置绩效指标内容及指标值，细化量化反映预期产出数</w:t>
      </w:r>
      <w:r>
        <w:rPr>
          <w:rFonts w:hint="eastAsia"/>
        </w:rPr>
        <w:lastRenderedPageBreak/>
        <w:t>量、质量控制标准、工作阶段时效、受益群体满意度标准等考核指标。预算审核环节，健全多层级审核责任制，明确处室主要负责人在预算编制质量管控中的主体责任，建立“业务处室初审</w:t>
      </w:r>
      <w:r>
        <w:rPr>
          <w:rFonts w:hint="eastAsia"/>
        </w:rPr>
        <w:t>-</w:t>
      </w:r>
      <w:r>
        <w:rPr>
          <w:rFonts w:hint="eastAsia"/>
        </w:rPr>
        <w:t>财务部门终审”的审核体系，提高预算绩效</w:t>
      </w:r>
      <w:r>
        <w:rPr>
          <w:rFonts w:hint="eastAsia"/>
        </w:rPr>
        <w:t>指标编制精准性。</w:t>
      </w:r>
    </w:p>
    <w:p w:rsidR="003A264B" w:rsidRDefault="00C66638">
      <w:pPr>
        <w:pStyle w:val="ac"/>
      </w:pPr>
      <w:r>
        <w:rPr>
          <w:rFonts w:hint="eastAsia"/>
        </w:rPr>
        <w:t>（二）加强项目执行进度监控，强化验收质量管控</w:t>
      </w:r>
    </w:p>
    <w:p w:rsidR="003A264B" w:rsidRDefault="00C66638">
      <w:pPr>
        <w:pStyle w:val="ae"/>
      </w:pPr>
      <w:r>
        <w:rPr>
          <w:rFonts w:hint="eastAsia"/>
        </w:rPr>
        <w:t>一是加强对各项目预期计划的合理性论证，执行过程中针对计划完成情况进行紧密监控。注重绩效运行监控工作质量，强化监控成果应用，针对执行进度滞后的工作，业务处室应制定相应应对措施并提高项目实施效率；针对工作内容变更、实际需求调整等情况应及时调整工作计划，并相应调整项目预算，以确保财政资金执行效率与投入效益。二是强化验收质量管控，充分发挥验收环节对于业务工作质量的保障作用，针对已发现的产出质量问题，尽快要求相应服务商完成整改、完善。</w:t>
      </w:r>
    </w:p>
    <w:p w:rsidR="003A264B" w:rsidRDefault="00C66638">
      <w:pPr>
        <w:pStyle w:val="1"/>
        <w:snapToGrid w:val="0"/>
        <w:spacing w:line="560" w:lineRule="exact"/>
        <w:rPr>
          <w:sz w:val="32"/>
          <w:szCs w:val="32"/>
        </w:rPr>
      </w:pPr>
      <w:bookmarkStart w:id="6" w:name="_Toc103006301"/>
      <w:r>
        <w:rPr>
          <w:rFonts w:hint="eastAsia"/>
          <w:sz w:val="32"/>
          <w:szCs w:val="32"/>
        </w:rPr>
        <w:t>七、附件</w:t>
      </w:r>
      <w:bookmarkEnd w:id="6"/>
    </w:p>
    <w:p w:rsidR="003A264B" w:rsidRDefault="00C66638">
      <w:pPr>
        <w:snapToGrid w:val="0"/>
        <w:spacing w:line="560" w:lineRule="exact"/>
        <w:ind w:firstLine="641"/>
        <w:rPr>
          <w:rFonts w:ascii="仿宋_GB2312" w:eastAsia="仿宋_GB2312" w:hAnsi="仿宋_GB2312" w:cs="仿宋_GB2312"/>
          <w:sz w:val="32"/>
          <w:szCs w:val="32"/>
        </w:rPr>
        <w:sectPr w:rsidR="003A264B">
          <w:footerReference w:type="default" r:id="rId9"/>
          <w:pgSz w:w="11906" w:h="16838"/>
          <w:pgMar w:top="1440" w:right="1800" w:bottom="1440" w:left="1800" w:header="851" w:footer="964" w:gutter="0"/>
          <w:pgNumType w:start="1"/>
          <w:cols w:space="425"/>
          <w:docGrid w:type="lines" w:linePitch="435"/>
        </w:sectPr>
      </w:pP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年部门整体绩效评价指标体系评分表</w:t>
      </w:r>
    </w:p>
    <w:p w:rsidR="003A264B" w:rsidRDefault="00C66638">
      <w:pPr>
        <w:spacing w:line="560" w:lineRule="exact"/>
        <w:jc w:val="left"/>
        <w:rPr>
          <w:rFonts w:ascii="方正黑体_GBK" w:eastAsia="方正黑体_GBK" w:hAnsi="方正黑体_GBK" w:cs="方正黑体_GBK"/>
          <w:sz w:val="32"/>
        </w:rPr>
      </w:pPr>
      <w:r>
        <w:rPr>
          <w:rFonts w:ascii="方正黑体_GBK" w:eastAsia="方正黑体_GBK" w:hAnsi="方正黑体_GBK" w:cs="方正黑体_GBK" w:hint="eastAsia"/>
          <w:sz w:val="32"/>
        </w:rPr>
        <w:lastRenderedPageBreak/>
        <w:t>附件</w:t>
      </w:r>
    </w:p>
    <w:tbl>
      <w:tblPr>
        <w:tblW w:w="12795" w:type="dxa"/>
        <w:jc w:val="center"/>
        <w:tblLook w:val="04A0" w:firstRow="1" w:lastRow="0" w:firstColumn="1" w:lastColumn="0" w:noHBand="0" w:noVBand="1"/>
      </w:tblPr>
      <w:tblGrid>
        <w:gridCol w:w="1080"/>
        <w:gridCol w:w="1080"/>
        <w:gridCol w:w="5040"/>
        <w:gridCol w:w="1755"/>
        <w:gridCol w:w="1680"/>
        <w:gridCol w:w="1080"/>
        <w:gridCol w:w="1080"/>
      </w:tblGrid>
      <w:tr w:rsidR="003A264B">
        <w:trPr>
          <w:trHeight w:val="615"/>
          <w:jc w:val="center"/>
        </w:trPr>
        <w:tc>
          <w:tcPr>
            <w:tcW w:w="12795" w:type="dxa"/>
            <w:gridSpan w:val="7"/>
            <w:tcBorders>
              <w:top w:val="single" w:sz="8" w:space="0" w:color="000000"/>
              <w:left w:val="single" w:sz="8" w:space="0" w:color="000000"/>
              <w:bottom w:val="single" w:sz="8" w:space="0" w:color="000000"/>
              <w:right w:val="single" w:sz="8" w:space="0" w:color="000000"/>
            </w:tcBorders>
            <w:shd w:val="clear" w:color="auto" w:fill="auto"/>
            <w:noWrap/>
            <w:vAlign w:val="bottom"/>
          </w:tcPr>
          <w:p w:rsidR="003A264B" w:rsidRDefault="00C66638">
            <w:pPr>
              <w:widowControl/>
              <w:jc w:val="center"/>
              <w:textAlignment w:val="bottom"/>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kern w:val="0"/>
                <w:sz w:val="36"/>
                <w:szCs w:val="36"/>
                <w:lang w:bidi="ar"/>
              </w:rPr>
              <w:t>2024</w:t>
            </w:r>
            <w:r>
              <w:rPr>
                <w:rFonts w:ascii="方正小标宋简体" w:eastAsia="方正小标宋简体" w:hAnsi="方正小标宋简体" w:cs="方正小标宋简体" w:hint="eastAsia"/>
                <w:color w:val="000000"/>
                <w:kern w:val="0"/>
                <w:sz w:val="36"/>
                <w:szCs w:val="36"/>
                <w:lang w:bidi="ar"/>
              </w:rPr>
              <w:t>年部门整体绩效评价指标体系评分表</w:t>
            </w:r>
          </w:p>
        </w:tc>
      </w:tr>
      <w:tr w:rsidR="003A264B">
        <w:trPr>
          <w:trHeight w:val="330"/>
          <w:jc w:val="center"/>
        </w:trPr>
        <w:tc>
          <w:tcPr>
            <w:tcW w:w="12795" w:type="dxa"/>
            <w:gridSpan w:val="7"/>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一、当年预算执行情况（</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分）</w:t>
            </w:r>
          </w:p>
        </w:tc>
      </w:tr>
      <w:tr w:rsidR="003A264B">
        <w:trPr>
          <w:trHeight w:val="330"/>
          <w:jc w:val="center"/>
        </w:trPr>
        <w:tc>
          <w:tcPr>
            <w:tcW w:w="1080" w:type="dxa"/>
            <w:vMerge w:val="restart"/>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一级指标　</w:t>
            </w:r>
          </w:p>
        </w:tc>
        <w:tc>
          <w:tcPr>
            <w:tcW w:w="1080" w:type="dxa"/>
            <w:vMerge w:val="restart"/>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二级指标　</w:t>
            </w:r>
          </w:p>
        </w:tc>
        <w:tc>
          <w:tcPr>
            <w:tcW w:w="5040" w:type="dxa"/>
            <w:vMerge w:val="restart"/>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预算数（万元）</w:t>
            </w:r>
          </w:p>
        </w:tc>
        <w:tc>
          <w:tcPr>
            <w:tcW w:w="1755" w:type="dxa"/>
            <w:tcBorders>
              <w:top w:val="single" w:sz="8" w:space="0" w:color="000000"/>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执行数</w:t>
            </w:r>
          </w:p>
        </w:tc>
        <w:tc>
          <w:tcPr>
            <w:tcW w:w="1680" w:type="dxa"/>
            <w:tcBorders>
              <w:top w:val="single" w:sz="8" w:space="0" w:color="000000"/>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w:t>
            </w:r>
          </w:p>
        </w:tc>
        <w:tc>
          <w:tcPr>
            <w:tcW w:w="1080" w:type="dxa"/>
            <w:vMerge w:val="restart"/>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080" w:type="dxa"/>
            <w:vMerge w:val="restart"/>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single" w:sz="8" w:space="0" w:color="000000"/>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vMerge/>
            <w:tcBorders>
              <w:top w:val="single" w:sz="8" w:space="0" w:color="000000"/>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（万元）</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080" w:type="dxa"/>
            <w:vMerge/>
            <w:tcBorders>
              <w:top w:val="single" w:sz="8" w:space="0" w:color="000000"/>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single" w:sz="8" w:space="0" w:color="000000"/>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val="restart"/>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当年预算执行情况（</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资金总体</w:t>
            </w: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29,121.16</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28,232.63</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96.95%</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19.39</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基本支出</w:t>
            </w: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19,304.13</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18,833.12</w:t>
            </w:r>
          </w:p>
        </w:tc>
        <w:tc>
          <w:tcPr>
            <w:tcW w:w="16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项目支出</w:t>
            </w: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9,817.02</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9,399.51</w:t>
            </w: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w:t>
            </w: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2795" w:type="dxa"/>
            <w:gridSpan w:val="7"/>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二、整体绩效目标实现情况（</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分）</w:t>
            </w:r>
          </w:p>
        </w:tc>
      </w:tr>
      <w:tr w:rsidR="003A264B">
        <w:trPr>
          <w:trHeight w:val="330"/>
          <w:jc w:val="center"/>
        </w:trPr>
        <w:tc>
          <w:tcPr>
            <w:tcW w:w="1080" w:type="dxa"/>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二级指标　</w:t>
            </w:r>
          </w:p>
        </w:tc>
        <w:tc>
          <w:tcPr>
            <w:tcW w:w="5040"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三级指标　</w:t>
            </w:r>
          </w:p>
        </w:tc>
        <w:tc>
          <w:tcPr>
            <w:tcW w:w="1755"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c>
          <w:tcPr>
            <w:tcW w:w="1680"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完成值</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3A264B">
        <w:trPr>
          <w:trHeight w:val="555"/>
          <w:jc w:val="center"/>
        </w:trPr>
        <w:tc>
          <w:tcPr>
            <w:tcW w:w="1080" w:type="dxa"/>
            <w:vMerge w:val="restart"/>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整体绩效目标实现情况（</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w:t>
            </w:r>
            <w:r>
              <w:rPr>
                <w:rFonts w:ascii="宋体" w:hAnsi="宋体" w:cs="宋体" w:hint="eastAsia"/>
                <w:color w:val="000000"/>
                <w:kern w:val="0"/>
                <w:sz w:val="20"/>
                <w:szCs w:val="20"/>
                <w:lang w:bidi="ar"/>
              </w:rPr>
              <w:t>30</w:t>
            </w:r>
            <w:r>
              <w:rPr>
                <w:rFonts w:ascii="宋体" w:hAnsi="宋体" w:cs="宋体" w:hint="eastAsia"/>
                <w:color w:val="000000"/>
                <w:kern w:val="0"/>
                <w:sz w:val="20"/>
                <w:szCs w:val="20"/>
                <w:lang w:bidi="ar"/>
              </w:rPr>
              <w:t>）</w:t>
            </w: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法律职业资格考试：</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62000</w:t>
            </w:r>
            <w:r>
              <w:rPr>
                <w:rFonts w:ascii="宋体" w:hAnsi="宋体" w:cs="宋体" w:hint="eastAsia"/>
                <w:color w:val="000000"/>
                <w:kern w:val="0"/>
                <w:sz w:val="20"/>
                <w:szCs w:val="20"/>
                <w:lang w:bidi="ar"/>
              </w:rPr>
              <w:t>人次；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64280</w:t>
            </w:r>
            <w:r>
              <w:rPr>
                <w:rFonts w:ascii="宋体" w:hAnsi="宋体" w:cs="宋体" w:hint="eastAsia"/>
                <w:color w:val="000000"/>
                <w:kern w:val="0"/>
                <w:sz w:val="20"/>
                <w:szCs w:val="20"/>
                <w:lang w:bidi="ar"/>
              </w:rPr>
              <w:t>人次；</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配备计算机机位数量（含客观题、主观题）；</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r>
              <w:rPr>
                <w:rFonts w:ascii="宋体" w:hAnsi="宋体" w:cs="宋体" w:hint="eastAsia"/>
                <w:color w:val="000000"/>
                <w:kern w:val="0"/>
                <w:sz w:val="20"/>
                <w:szCs w:val="20"/>
                <w:lang w:bidi="ar"/>
              </w:rPr>
              <w:t>；</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4008</w:t>
            </w:r>
            <w:r>
              <w:rPr>
                <w:rFonts w:ascii="宋体" w:hAnsi="宋体" w:cs="宋体" w:hint="eastAsia"/>
                <w:color w:val="000000"/>
                <w:kern w:val="0"/>
                <w:sz w:val="20"/>
                <w:szCs w:val="20"/>
                <w:lang w:bidi="ar"/>
              </w:rPr>
              <w:t>咨询电话接通率；</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法律职业资格申请应</w:t>
            </w:r>
            <w:proofErr w:type="gramStart"/>
            <w:r>
              <w:rPr>
                <w:rFonts w:ascii="宋体" w:hAnsi="宋体" w:cs="宋体" w:hint="eastAsia"/>
                <w:color w:val="000000"/>
                <w:kern w:val="0"/>
                <w:sz w:val="20"/>
                <w:szCs w:val="20"/>
                <w:lang w:bidi="ar"/>
              </w:rPr>
              <w:t>审尽审</w:t>
            </w:r>
            <w:proofErr w:type="gramEnd"/>
            <w:r>
              <w:rPr>
                <w:rFonts w:ascii="宋体" w:hAnsi="宋体" w:cs="宋体" w:hint="eastAsia"/>
                <w:color w:val="000000"/>
                <w:kern w:val="0"/>
                <w:sz w:val="20"/>
                <w:szCs w:val="20"/>
                <w:lang w:bidi="ar"/>
              </w:rPr>
              <w:t>率</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法治建设：</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5000</w:t>
            </w:r>
            <w:r>
              <w:rPr>
                <w:rFonts w:ascii="宋体" w:hAnsi="宋体" w:cs="宋体" w:hint="eastAsia"/>
                <w:color w:val="000000"/>
                <w:kern w:val="0"/>
                <w:sz w:val="20"/>
                <w:szCs w:val="20"/>
                <w:lang w:bidi="ar"/>
              </w:rPr>
              <w:t>人次；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2620</w:t>
            </w:r>
            <w:r>
              <w:rPr>
                <w:rFonts w:ascii="宋体" w:hAnsi="宋体" w:cs="宋体" w:hint="eastAsia"/>
                <w:color w:val="000000"/>
                <w:kern w:val="0"/>
                <w:sz w:val="20"/>
                <w:szCs w:val="20"/>
                <w:lang w:bidi="ar"/>
              </w:rPr>
              <w:t>人次；</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北京市行政执法资格考试人数；</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项；</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项；</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开展法治建设业务课题研究数量；</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场次；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组织北京市区政府依法行政社会公众评价调查；</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立法及规范性文件应</w:t>
            </w:r>
            <w:proofErr w:type="gramStart"/>
            <w:r>
              <w:rPr>
                <w:rFonts w:ascii="宋体" w:hAnsi="宋体" w:cs="宋体" w:hint="eastAsia"/>
                <w:color w:val="000000"/>
                <w:kern w:val="0"/>
                <w:sz w:val="20"/>
                <w:szCs w:val="20"/>
                <w:lang w:bidi="ar"/>
              </w:rPr>
              <w:t>审尽审</w:t>
            </w:r>
            <w:proofErr w:type="gramEnd"/>
            <w:r>
              <w:rPr>
                <w:rFonts w:ascii="宋体" w:hAnsi="宋体" w:cs="宋体" w:hint="eastAsia"/>
                <w:color w:val="000000"/>
                <w:kern w:val="0"/>
                <w:sz w:val="20"/>
                <w:szCs w:val="20"/>
                <w:lang w:bidi="ar"/>
              </w:rPr>
              <w:t>率；</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行政诉讼案件办理与工作要求相符性</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公共法律服务：</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3.7</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法律援助优秀案例评选；</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司法鉴定宣传材料（彩色折页、小册子等）保障率；</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次；</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组织全市法律援助案件质量评估；</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优良；</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达成年度指标；</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法律援助相关补贴发放工作符合相关办法要求；</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公共法律服务相关平台保障工作应保尽保率</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续上页</w:t>
            </w: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基层司法业务：</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场；</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场；</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bookmarkStart w:id="7" w:name="_GoBack"/>
            <w:bookmarkEnd w:id="7"/>
            <w:r>
              <w:rPr>
                <w:rFonts w:ascii="宋体" w:hAnsi="宋体" w:cs="宋体" w:hint="eastAsia"/>
                <w:color w:val="000000"/>
                <w:kern w:val="0"/>
                <w:sz w:val="20"/>
                <w:szCs w:val="20"/>
                <w:lang w:bidi="ar"/>
              </w:rPr>
              <w:t>2</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举办市司法行政开放日主会场活动；</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期；</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期；</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82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征订《人民调解》杂志；</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（人民陪审员选任）</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全市人民监督员选任管理工作保障率</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律师公证管理：</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开展公证员系列专业技术职称评审工作；</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组织全市公证质量检测活动；</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律师培训参与度；</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信访投诉、行政处罚执法办案应保尽保率</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普法宣传：</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份；</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份；</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公民法制素养评估调查报告；</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场次；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国家机关普法责任制履职报告评议；</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r>
              <w:rPr>
                <w:rFonts w:ascii="宋体" w:hAnsi="宋体" w:cs="宋体" w:hint="eastAsia"/>
                <w:color w:val="000000"/>
                <w:kern w:val="0"/>
                <w:sz w:val="20"/>
                <w:szCs w:val="20"/>
                <w:lang w:bidi="ar"/>
              </w:rPr>
              <w:t>；</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各类宣传工作实际覆盖面、宣传信息发布频次与计划相符率；</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舆情应对和处置的信息基础保障率</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续上页</w:t>
            </w: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社区矫正：</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效果较好；</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达成年度目标；</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推进社区矫正综合管理平台升级改造；</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场</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场</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举办社区矫正主题宣传</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司法综合事务：</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聘请法律顾问团队数；</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w:t>
            </w:r>
            <w:r>
              <w:rPr>
                <w:rFonts w:ascii="宋体" w:hAnsi="宋体" w:cs="宋体" w:hint="eastAsia"/>
                <w:color w:val="000000"/>
                <w:kern w:val="0"/>
                <w:sz w:val="20"/>
                <w:szCs w:val="20"/>
                <w:lang w:bidi="ar"/>
              </w:rPr>
              <w:t>批次；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r>
              <w:rPr>
                <w:rFonts w:ascii="宋体" w:hAnsi="宋体" w:cs="宋体" w:hint="eastAsia"/>
                <w:color w:val="000000"/>
                <w:kern w:val="0"/>
                <w:sz w:val="20"/>
                <w:szCs w:val="20"/>
                <w:lang w:bidi="ar"/>
              </w:rPr>
              <w:t>批次；</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围绕司法行政业务组织系统</w:t>
            </w:r>
            <w:proofErr w:type="gramStart"/>
            <w:r>
              <w:rPr>
                <w:rFonts w:ascii="宋体" w:hAnsi="宋体" w:cs="宋体" w:hint="eastAsia"/>
                <w:color w:val="000000"/>
                <w:kern w:val="0"/>
                <w:sz w:val="20"/>
                <w:szCs w:val="20"/>
                <w:lang w:bidi="ar"/>
              </w:rPr>
              <w:t>内专业</w:t>
            </w:r>
            <w:proofErr w:type="gramEnd"/>
            <w:r>
              <w:rPr>
                <w:rFonts w:ascii="宋体" w:hAnsi="宋体" w:cs="宋体" w:hint="eastAsia"/>
                <w:color w:val="000000"/>
                <w:kern w:val="0"/>
                <w:sz w:val="20"/>
                <w:szCs w:val="20"/>
                <w:lang w:bidi="ar"/>
              </w:rPr>
              <w:t>队伍技能培训；</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批次；</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业务装备设备更新购置批次；</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次；</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次；</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组织开展基层党委巡察；</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审计评审评估评价等司法相关事务应保尽保率</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信息化建设：</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系统故障响应及时率；</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套；</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套；</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保障系统内信息化系统数量；</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99.10%</w:t>
            </w:r>
            <w:r>
              <w:rPr>
                <w:rFonts w:ascii="宋体" w:hAnsi="宋体" w:cs="宋体" w:hint="eastAsia"/>
                <w:color w:val="000000"/>
                <w:kern w:val="0"/>
                <w:sz w:val="20"/>
                <w:szCs w:val="20"/>
                <w:lang w:bidi="ar"/>
              </w:rPr>
              <w:t>；</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故障响应及排除率；</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系统内各类网络联通及正常运行率</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各项工作完成及时性</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按时完成</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整体按时完成</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部门运行成本：</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增长率不超过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增长率</w:t>
            </w:r>
            <w:r>
              <w:rPr>
                <w:rFonts w:ascii="宋体" w:hAnsi="宋体" w:cs="宋体" w:hint="eastAsia"/>
                <w:color w:val="000000"/>
                <w:kern w:val="0"/>
                <w:sz w:val="20"/>
                <w:szCs w:val="20"/>
                <w:lang w:bidi="ar"/>
              </w:rPr>
              <w:t>2.03%</w:t>
            </w:r>
            <w:r>
              <w:rPr>
                <w:rFonts w:ascii="宋体" w:hAnsi="宋体" w:cs="宋体" w:hint="eastAsia"/>
                <w:color w:val="000000"/>
                <w:kern w:val="0"/>
                <w:sz w:val="20"/>
                <w:szCs w:val="20"/>
                <w:lang w:bidi="ar"/>
              </w:rPr>
              <w:t>；</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部门整体运行成本较上年度增加量；</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单项成本不高于市场价格的比例；</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公用经费超支率</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效果（</w:t>
            </w:r>
            <w:r>
              <w:rPr>
                <w:rFonts w:ascii="宋体" w:hAnsi="宋体" w:cs="宋体" w:hint="eastAsia"/>
                <w:color w:val="000000"/>
                <w:kern w:val="0"/>
                <w:sz w:val="20"/>
                <w:szCs w:val="20"/>
                <w:lang w:bidi="ar"/>
              </w:rPr>
              <w:t>30</w:t>
            </w:r>
            <w:r>
              <w:rPr>
                <w:rFonts w:ascii="宋体" w:hAnsi="宋体" w:cs="宋体" w:hint="eastAsia"/>
                <w:color w:val="000000"/>
                <w:kern w:val="0"/>
                <w:sz w:val="20"/>
                <w:szCs w:val="20"/>
                <w:lang w:bidi="ar"/>
              </w:rPr>
              <w:t>）</w:t>
            </w: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经济效益：</w:t>
            </w:r>
          </w:p>
        </w:tc>
        <w:tc>
          <w:tcPr>
            <w:tcW w:w="1755"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超过</w:t>
            </w:r>
            <w:r>
              <w:rPr>
                <w:rFonts w:ascii="宋体" w:hAnsi="宋体" w:cs="宋体" w:hint="eastAsia"/>
                <w:color w:val="000000"/>
                <w:kern w:val="0"/>
                <w:sz w:val="20"/>
                <w:szCs w:val="20"/>
                <w:lang w:bidi="ar"/>
              </w:rPr>
              <w:t>2500</w:t>
            </w:r>
            <w:r>
              <w:rPr>
                <w:rFonts w:ascii="宋体" w:hAnsi="宋体" w:cs="宋体" w:hint="eastAsia"/>
                <w:color w:val="000000"/>
                <w:kern w:val="0"/>
                <w:sz w:val="20"/>
                <w:szCs w:val="20"/>
                <w:lang w:bidi="ar"/>
              </w:rPr>
              <w:t xml:space="preserve">万元　</w:t>
            </w:r>
          </w:p>
        </w:tc>
        <w:tc>
          <w:tcPr>
            <w:tcW w:w="16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4568.10</w:t>
            </w:r>
            <w:r>
              <w:rPr>
                <w:rFonts w:ascii="宋体" w:hAnsi="宋体" w:cs="宋体" w:hint="eastAsia"/>
                <w:color w:val="000000"/>
                <w:kern w:val="0"/>
                <w:sz w:val="20"/>
                <w:szCs w:val="20"/>
                <w:lang w:bidi="ar"/>
              </w:rPr>
              <w:t>万元</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为受援人挽回大量经济损失</w:t>
            </w:r>
          </w:p>
        </w:tc>
        <w:tc>
          <w:tcPr>
            <w:tcW w:w="1755"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w:t>
            </w:r>
          </w:p>
        </w:tc>
        <w:tc>
          <w:tcPr>
            <w:tcW w:w="1755"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效果显著</w:t>
            </w:r>
          </w:p>
        </w:tc>
        <w:tc>
          <w:tcPr>
            <w:tcW w:w="16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效果较为显著</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推进首都法治建设，维护首都安全稳定；</w:t>
            </w:r>
          </w:p>
        </w:tc>
        <w:tc>
          <w:tcPr>
            <w:tcW w:w="1755"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增强市民法治意识，提高地区法治化水平；</w:t>
            </w:r>
          </w:p>
        </w:tc>
        <w:tc>
          <w:tcPr>
            <w:tcW w:w="1755"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完善便民法律服务，维护群众利益诉求；</w:t>
            </w:r>
          </w:p>
        </w:tc>
        <w:tc>
          <w:tcPr>
            <w:tcW w:w="1755"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促进行政机关依法行政，提高执法人员工作水平</w:t>
            </w:r>
          </w:p>
        </w:tc>
        <w:tc>
          <w:tcPr>
            <w:tcW w:w="1755"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w:t>
            </w:r>
          </w:p>
        </w:tc>
        <w:tc>
          <w:tcPr>
            <w:tcW w:w="1755"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效果显著</w:t>
            </w:r>
          </w:p>
        </w:tc>
        <w:tc>
          <w:tcPr>
            <w:tcW w:w="16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效果较为显著</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持续深化司法行政领域改革，推进重点改革任务落实落地；</w:t>
            </w:r>
          </w:p>
        </w:tc>
        <w:tc>
          <w:tcPr>
            <w:tcW w:w="1755"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持续推进信息化体系建设，信息化建设水平不断提升</w:t>
            </w:r>
          </w:p>
        </w:tc>
        <w:tc>
          <w:tcPr>
            <w:tcW w:w="1755"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不超过</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r>
              <w:rPr>
                <w:rFonts w:ascii="宋体" w:hAnsi="宋体" w:cs="宋体" w:hint="eastAsia"/>
                <w:color w:val="000000"/>
                <w:kern w:val="0"/>
                <w:sz w:val="20"/>
                <w:szCs w:val="20"/>
                <w:lang w:bidi="ar"/>
              </w:rPr>
              <w:t>；</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nil"/>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公证质量检查及公证员评审工作被投诉率；</w:t>
            </w:r>
          </w:p>
        </w:tc>
        <w:tc>
          <w:tcPr>
            <w:tcW w:w="1755"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大于</w:t>
            </w:r>
            <w:r>
              <w:rPr>
                <w:rFonts w:ascii="宋体" w:hAnsi="宋体" w:cs="宋体" w:hint="eastAsia"/>
                <w:color w:val="000000"/>
                <w:kern w:val="0"/>
                <w:sz w:val="20"/>
                <w:szCs w:val="20"/>
                <w:lang w:bidi="ar"/>
              </w:rPr>
              <w:t>90%</w:t>
            </w:r>
          </w:p>
        </w:tc>
        <w:tc>
          <w:tcPr>
            <w:tcW w:w="1680" w:type="dxa"/>
            <w:tcBorders>
              <w:top w:val="nil"/>
              <w:left w:val="nil"/>
              <w:bottom w:val="nil"/>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社会公众对普法宣传工作的满意度</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0" w:type="auto"/>
            <w:tcBorders>
              <w:top w:val="nil"/>
              <w:left w:val="nil"/>
              <w:bottom w:val="single" w:sz="8" w:space="0" w:color="000000"/>
              <w:right w:val="single" w:sz="8" w:space="0" w:color="000000"/>
            </w:tcBorders>
            <w:shd w:val="clear" w:color="auto" w:fill="auto"/>
            <w:noWrap/>
            <w:vAlign w:val="center"/>
          </w:tcPr>
          <w:p w:rsidR="003A264B" w:rsidRDefault="003A264B">
            <w:pPr>
              <w:rPr>
                <w:rFonts w:ascii="宋体" w:hAnsi="宋体" w:cs="宋体"/>
                <w:color w:val="000000"/>
                <w:sz w:val="24"/>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3A264B" w:rsidRDefault="003A264B">
            <w:pPr>
              <w:jc w:val="center"/>
              <w:rPr>
                <w:rFonts w:ascii="宋体" w:hAnsi="宋体" w:cs="宋体"/>
                <w:color w:val="000000"/>
                <w:sz w:val="20"/>
                <w:szCs w:val="20"/>
              </w:rPr>
            </w:pPr>
          </w:p>
        </w:tc>
      </w:tr>
      <w:tr w:rsidR="003A264B">
        <w:trPr>
          <w:trHeight w:val="330"/>
          <w:jc w:val="center"/>
        </w:trPr>
        <w:tc>
          <w:tcPr>
            <w:tcW w:w="12795" w:type="dxa"/>
            <w:gridSpan w:val="7"/>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三、预算管理情况（</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分）</w:t>
            </w:r>
          </w:p>
        </w:tc>
      </w:tr>
      <w:tr w:rsidR="003A264B">
        <w:trPr>
          <w:trHeight w:val="330"/>
          <w:jc w:val="center"/>
        </w:trPr>
        <w:tc>
          <w:tcPr>
            <w:tcW w:w="1080" w:type="dxa"/>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5040"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755"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c>
          <w:tcPr>
            <w:tcW w:w="1680" w:type="dxa"/>
            <w:tcBorders>
              <w:top w:val="single" w:sz="8" w:space="0" w:color="000000"/>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完成值</w:t>
            </w:r>
          </w:p>
        </w:tc>
        <w:tc>
          <w:tcPr>
            <w:tcW w:w="0" w:type="auto"/>
            <w:tcBorders>
              <w:top w:val="single" w:sz="8" w:space="0" w:color="000000"/>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0" w:type="auto"/>
            <w:tcBorders>
              <w:top w:val="single" w:sz="8" w:space="0" w:color="000000"/>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3A264B">
        <w:trPr>
          <w:trHeight w:val="330"/>
          <w:jc w:val="center"/>
        </w:trPr>
        <w:tc>
          <w:tcPr>
            <w:tcW w:w="1080" w:type="dxa"/>
            <w:vMerge w:val="restart"/>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预算管理情况（</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财务管理（</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w:t>
            </w: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财务管理制度健全性</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健全</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健全</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性和安全性</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符合相关要求</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符合相关要求</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会计基础信息完善性</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真实、完整、准确</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真实、完整、准确</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0" w:type="auto"/>
            <w:tcBorders>
              <w:top w:val="nil"/>
              <w:left w:val="nil"/>
              <w:bottom w:val="single" w:sz="8" w:space="0" w:color="000000"/>
              <w:right w:val="single" w:sz="8" w:space="0" w:color="000000"/>
            </w:tcBorders>
            <w:shd w:val="clear" w:color="auto" w:fill="auto"/>
            <w:noWrap/>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资产管理（</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w:t>
            </w: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资产管理规范性</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规范</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规范</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3A264B">
        <w:trPr>
          <w:trHeight w:val="55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绩效管理（</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w:t>
            </w:r>
          </w:p>
        </w:tc>
        <w:tc>
          <w:tcPr>
            <w:tcW w:w="504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绩效管理情况</w:t>
            </w:r>
          </w:p>
        </w:tc>
        <w:tc>
          <w:tcPr>
            <w:tcW w:w="1755"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符合相关要求</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符合相关要求</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指标　</w:t>
            </w:r>
          </w:p>
        </w:tc>
        <w:tc>
          <w:tcPr>
            <w:tcW w:w="6795" w:type="dxa"/>
            <w:gridSpan w:val="2"/>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w:t>
            </w:r>
            <w:r>
              <w:rPr>
                <w:rFonts w:ascii="宋体" w:hAnsi="宋体" w:cs="宋体" w:hint="eastAsia"/>
                <w:color w:val="000000"/>
                <w:kern w:val="0"/>
                <w:sz w:val="20"/>
                <w:szCs w:val="20"/>
                <w:lang w:bidi="ar"/>
              </w:rPr>
              <w:t>年</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结转结余率（</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w:t>
            </w:r>
          </w:p>
        </w:tc>
        <w:tc>
          <w:tcPr>
            <w:tcW w:w="6795" w:type="dxa"/>
            <w:gridSpan w:val="2"/>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部门结转结余率</w:t>
            </w:r>
            <w:r>
              <w:rPr>
                <w:rFonts w:ascii="宋体" w:hAnsi="宋体" w:cs="宋体" w:hint="eastAsia"/>
                <w:color w:val="000000"/>
                <w:kern w:val="0"/>
                <w:sz w:val="20"/>
                <w:szCs w:val="20"/>
                <w:lang w:bidi="ar"/>
              </w:rPr>
              <w:t>5.98%</w:t>
            </w:r>
            <w:r>
              <w:rPr>
                <w:rFonts w:ascii="宋体" w:hAnsi="宋体" w:cs="宋体" w:hint="eastAsia"/>
                <w:color w:val="000000"/>
                <w:kern w:val="0"/>
                <w:sz w:val="20"/>
                <w:szCs w:val="20"/>
                <w:lang w:bidi="ar"/>
              </w:rPr>
              <w:t>，财政拨款结转结余率</w:t>
            </w:r>
            <w:r>
              <w:rPr>
                <w:rFonts w:ascii="宋体" w:hAnsi="宋体" w:cs="宋体" w:hint="eastAsia"/>
                <w:color w:val="000000"/>
                <w:kern w:val="0"/>
                <w:sz w:val="20"/>
                <w:szCs w:val="20"/>
                <w:lang w:bidi="ar"/>
              </w:rPr>
              <w:t>3.86%</w:t>
            </w:r>
          </w:p>
        </w:tc>
        <w:tc>
          <w:tcPr>
            <w:tcW w:w="16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部门结转结余率</w:t>
            </w:r>
            <w:r>
              <w:rPr>
                <w:rFonts w:ascii="宋体" w:hAnsi="宋体" w:cs="宋体" w:hint="eastAsia"/>
                <w:color w:val="000000"/>
                <w:kern w:val="0"/>
                <w:sz w:val="20"/>
                <w:szCs w:val="20"/>
                <w:lang w:bidi="ar"/>
              </w:rPr>
              <w:t>3.83%</w:t>
            </w:r>
            <w:r>
              <w:rPr>
                <w:rFonts w:ascii="宋体" w:hAnsi="宋体" w:cs="宋体" w:hint="eastAsia"/>
                <w:color w:val="000000"/>
                <w:kern w:val="0"/>
                <w:sz w:val="20"/>
                <w:szCs w:val="20"/>
                <w:lang w:bidi="ar"/>
              </w:rPr>
              <w:t>，财政拨款结转结余率</w:t>
            </w:r>
            <w:r>
              <w:rPr>
                <w:rFonts w:ascii="宋体" w:hAnsi="宋体" w:cs="宋体" w:hint="eastAsia"/>
                <w:color w:val="000000"/>
                <w:kern w:val="0"/>
                <w:sz w:val="20"/>
                <w:szCs w:val="20"/>
                <w:lang w:bidi="ar"/>
              </w:rPr>
              <w:t>2.40%</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080" w:type="dxa"/>
            <w:vMerge w:val="restart"/>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3A264B">
        <w:trPr>
          <w:trHeight w:val="330"/>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rPr>
                <w:rFonts w:ascii="宋体" w:hAnsi="宋体" w:cs="宋体"/>
                <w:color w:val="000000"/>
                <w:sz w:val="20"/>
                <w:szCs w:val="20"/>
              </w:rPr>
            </w:pPr>
          </w:p>
        </w:tc>
        <w:tc>
          <w:tcPr>
            <w:tcW w:w="6795" w:type="dxa"/>
            <w:gridSpan w:val="2"/>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6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vMerge/>
            <w:tcBorders>
              <w:top w:val="nil"/>
              <w:left w:val="nil"/>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r>
      <w:tr w:rsidR="003A264B">
        <w:trPr>
          <w:trHeight w:val="1365"/>
          <w:jc w:val="center"/>
        </w:trPr>
        <w:tc>
          <w:tcPr>
            <w:tcW w:w="1080" w:type="dxa"/>
            <w:vMerge/>
            <w:tcBorders>
              <w:top w:val="nil"/>
              <w:left w:val="single" w:sz="8" w:space="0" w:color="000000"/>
              <w:bottom w:val="single" w:sz="8" w:space="0" w:color="000000"/>
              <w:right w:val="single" w:sz="8" w:space="0" w:color="000000"/>
            </w:tcBorders>
            <w:shd w:val="clear" w:color="auto" w:fill="auto"/>
            <w:vAlign w:val="center"/>
          </w:tcPr>
          <w:p w:rsidR="003A264B" w:rsidRDefault="003A264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部门预决算差异率（</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w:t>
            </w:r>
          </w:p>
        </w:tc>
        <w:tc>
          <w:tcPr>
            <w:tcW w:w="6795" w:type="dxa"/>
            <w:gridSpan w:val="2"/>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6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收入预决算差异率</w:t>
            </w:r>
            <w:r>
              <w:rPr>
                <w:rFonts w:ascii="宋体" w:hAnsi="宋体" w:cs="宋体" w:hint="eastAsia"/>
                <w:color w:val="000000"/>
                <w:kern w:val="0"/>
                <w:sz w:val="20"/>
                <w:szCs w:val="20"/>
                <w:lang w:bidi="ar"/>
              </w:rPr>
              <w:t>1.07%</w:t>
            </w:r>
            <w:r>
              <w:rPr>
                <w:rFonts w:ascii="宋体" w:hAnsi="宋体" w:cs="宋体" w:hint="eastAsia"/>
                <w:color w:val="000000"/>
                <w:kern w:val="0"/>
                <w:sz w:val="20"/>
                <w:szCs w:val="20"/>
                <w:lang w:bidi="ar"/>
              </w:rPr>
              <w:t>，支出预决算差异率</w:t>
            </w:r>
            <w:r>
              <w:rPr>
                <w:rFonts w:ascii="宋体" w:hAnsi="宋体" w:cs="宋体" w:hint="eastAsia"/>
                <w:color w:val="000000"/>
                <w:kern w:val="0"/>
                <w:sz w:val="20"/>
                <w:szCs w:val="20"/>
                <w:lang w:bidi="ar"/>
              </w:rPr>
              <w:t>2.05%</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3A264B">
        <w:trPr>
          <w:trHeight w:val="330"/>
          <w:jc w:val="center"/>
        </w:trPr>
        <w:tc>
          <w:tcPr>
            <w:tcW w:w="10635" w:type="dxa"/>
            <w:gridSpan w:val="5"/>
            <w:tcBorders>
              <w:top w:val="nil"/>
              <w:left w:val="single" w:sz="8" w:space="0" w:color="000000"/>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80" w:type="dxa"/>
            <w:tcBorders>
              <w:top w:val="nil"/>
              <w:left w:val="nil"/>
              <w:bottom w:val="single" w:sz="8" w:space="0" w:color="000000"/>
              <w:right w:val="single" w:sz="8" w:space="0" w:color="000000"/>
            </w:tcBorders>
            <w:shd w:val="clear" w:color="auto" w:fill="auto"/>
            <w:vAlign w:val="center"/>
          </w:tcPr>
          <w:p w:rsidR="003A264B" w:rsidRDefault="00C6663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93.09</w:t>
            </w:r>
          </w:p>
        </w:tc>
      </w:tr>
    </w:tbl>
    <w:p w:rsidR="003A264B" w:rsidRDefault="003A264B">
      <w:pPr>
        <w:spacing w:line="560" w:lineRule="exact"/>
        <w:jc w:val="left"/>
        <w:rPr>
          <w:rFonts w:ascii="方正黑体_GBK" w:eastAsia="方正黑体_GBK" w:hAnsi="方正黑体_GBK" w:cs="方正黑体_GBK"/>
          <w:sz w:val="32"/>
        </w:rPr>
      </w:pPr>
    </w:p>
    <w:p w:rsidR="003A264B" w:rsidRDefault="003A264B">
      <w:pPr>
        <w:spacing w:line="20" w:lineRule="exact"/>
        <w:rPr>
          <w:rFonts w:ascii="方正小标宋简体" w:eastAsia="方正小标宋简体"/>
          <w:sz w:val="36"/>
          <w:szCs w:val="36"/>
        </w:rPr>
      </w:pPr>
    </w:p>
    <w:sectPr w:rsidR="003A264B">
      <w:footerReference w:type="default" r:id="rId1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66638">
      <w:r>
        <w:separator/>
      </w:r>
    </w:p>
  </w:endnote>
  <w:endnote w:type="continuationSeparator" w:id="0">
    <w:p w:rsidR="00000000" w:rsidRDefault="00C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楷体">
    <w:altName w:val="方正楷体_GBK"/>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方正黑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64B" w:rsidRDefault="003A264B">
    <w:pPr>
      <w:pStyle w:val="a4"/>
      <w:ind w:firstLine="36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64B" w:rsidRDefault="00C66638">
    <w:pPr>
      <w:pStyle w:val="a4"/>
      <w:ind w:firstLine="360"/>
      <w:jc w:val="center"/>
      <w:rPr>
        <w:sz w:val="21"/>
        <w:szCs w:val="21"/>
      </w:rP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7515761" name="文本框 4375157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A264B" w:rsidRDefault="00C66638">
                          <w:pPr>
                            <w:pStyle w:val="a4"/>
                          </w:pPr>
                          <w:r>
                            <w:fldChar w:fldCharType="begin"/>
                          </w:r>
                          <w:r>
                            <w:instrText xml:space="preserve"> PAGE  \* MERGEFORMAT </w:instrText>
                          </w:r>
                          <w:r>
                            <w:fldChar w:fldCharType="separate"/>
                          </w:r>
                          <w:r>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37515761"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rCIagIAABoFAAAOAAAAZHJzL2Uyb0RvYy54bWysVM1uEzEQviPxDpbvZJOWtFHUTRVSBSFV&#10;tKIgzo7Xblb4T7ab3fAA8AacuHDnufIcfPZmE1S4FHHxznrmm59vZnxx2WpFNsKH2pqSjgZDSoTh&#10;tqrNfUk/vF++mFASIjMVU9aIkm5FoJez588uGjcVJ3ZtVSU8gRMTpo0r6TpGNy2KwNdCszCwThgo&#10;pfWaRfz6+6LyrIF3rYqT4fCsaKyvnLdchIDbq05JZ9m/lILHGymDiESVFLnFfPp8rtJZzC7Y9N4z&#10;t675Pg32D1loVhsEPbi6YpGRB1//4UrX3NtgZRxwqwsrZc1FrgHVjIaPqrlbMydyLSAnuANN4f+5&#10;5W83t57UVUlfnp6PR+PzsxElhmm0avft6+77z92PL+SoAl2NC1Og7hxwsX1lW7Q90ZjuAy4TC630&#10;On1RH4EexG8PZIs2Ep5Ak5PJZAgVh67/gZ/iCHc+xNfCapKEknp0M5PMNtchdqa9SYpm7LJWCvds&#10;qgxpSnp2Oh5mwEED58ogxjHZLMWtEh3snZBgI+ecLvIcioXyZMMwQYxzYWIuN3uCdbKSCPsU4N4+&#10;QUWe0aeAD4gc2Zp4AOvaWJ/rfZR29alPWXb2PQNd3YmC2K7afRNXttqit952yxIcX9bg/5qFeMs8&#10;tgM9w8bHGxxSWfBs9xIla+s//+0+2WNooaWkwbaV1OA5oES9MRjmtJi94Hth1QvmQS8syMdgIpcs&#10;AuCj6kXprf6IZ2CeYkDFDEekksZeXMRu4/GMcDGfZyOsn2Px2tw5nlznZrv5Q8QM5dFKpHRM7MnC&#10;Aubh3D8WacN//89Wxydt9gsAAP//AwBQSwMEFAAGAAgAAAAhAHGq0bnXAAAABQEAAA8AAABkcnMv&#10;ZG93bnJldi54bWxMj0FPwzAMhe+T9h8iI3HbUgZCVWk6sYlyRGLlwDFrTFtInCrJuvLvMQgJLpaf&#10;nvX8vXI7OysmDHHwpOBqnYFAar0ZqFPw0tSrHERMmoy2nlDBJ0bYVstFqQvjz/SM0yF1gkMoFlpB&#10;n9JYSBnbHp2Oaz8isffmg9OJZeikCfrM4c7KTZbdSqcH4g+9HnHfY/txODkF+7ppwoQx2Fd8rK/f&#10;n3Y3+DArdXkx39+BSDinv2P4xmd0qJjp6E9korAKuEj6mext8pzl8XeRVSn/01dfAAAA//8DAFBL&#10;AQItABQABgAIAAAAIQC2gziS/gAAAOEBAAATAAAAAAAAAAAAAAAAAAAAAABbQ29udGVudF9UeXBl&#10;c10ueG1sUEsBAi0AFAAGAAgAAAAhADj9If/WAAAAlAEAAAsAAAAAAAAAAAAAAAAALwEAAF9yZWxz&#10;Ly5yZWxzUEsBAi0AFAAGAAgAAAAhAAkGsIhqAgAAGgUAAA4AAAAAAAAAAAAAAAAALgIAAGRycy9l&#10;Mm9Eb2MueG1sUEsBAi0AFAAGAAgAAAAhAHGq0bnXAAAABQEAAA8AAAAAAAAAAAAAAAAAxAQAAGRy&#10;cy9kb3ducmV2LnhtbFBLBQYAAAAABAAEAPMAAADIBQAAAAA=&#10;" filled="f" stroked="f" strokeweight=".5pt">
              <v:textbox style="mso-fit-shape-to-text:t" inset="0,0,0,0">
                <w:txbxContent>
                  <w:p w:rsidR="003A264B" w:rsidRDefault="00C66638">
                    <w:pPr>
                      <w:pStyle w:val="a4"/>
                    </w:pPr>
                    <w:r>
                      <w:fldChar w:fldCharType="begin"/>
                    </w:r>
                    <w:r>
                      <w:instrText xml:space="preserve"> PAGE  \* MERGEFORMAT </w:instrText>
                    </w:r>
                    <w:r>
                      <w:fldChar w:fldCharType="separate"/>
                    </w:r>
                    <w:r>
                      <w:rPr>
                        <w:noProof/>
                      </w:rPr>
                      <w:t>1</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64B" w:rsidRDefault="00C66638">
    <w:pPr>
      <w:pStyle w:val="a4"/>
      <w:jc w:val="right"/>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A264B" w:rsidRDefault="00C66638">
                          <w:pPr>
                            <w:pStyle w:val="a4"/>
                          </w:pPr>
                          <w:r>
                            <w:fldChar w:fldCharType="begin"/>
                          </w:r>
                          <w:r>
                            <w:instrText xml:space="preserve"> PAGE  \* MERGEFORMAT </w:instrText>
                          </w:r>
                          <w:r>
                            <w:fldChar w:fldCharType="separate"/>
                          </w:r>
                          <w:r>
                            <w:rPr>
                              <w:noProof/>
                            </w:rP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3A264B" w:rsidRDefault="00C66638">
                    <w:pPr>
                      <w:pStyle w:val="a4"/>
                    </w:pPr>
                    <w:r>
                      <w:fldChar w:fldCharType="begin"/>
                    </w:r>
                    <w:r>
                      <w:instrText xml:space="preserve"> PAGE  \* MERGEFORMAT </w:instrText>
                    </w:r>
                    <w:r>
                      <w:fldChar w:fldCharType="separate"/>
                    </w:r>
                    <w:r>
                      <w:rPr>
                        <w:noProof/>
                      </w:rPr>
                      <w:t>17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64B" w:rsidRDefault="00C66638">
      <w:r>
        <w:separator/>
      </w:r>
    </w:p>
  </w:footnote>
  <w:footnote w:type="continuationSeparator" w:id="0">
    <w:p w:rsidR="003A264B" w:rsidRDefault="00C66638">
      <w:r>
        <w:continuationSeparator/>
      </w:r>
    </w:p>
  </w:footnote>
  <w:footnote w:id="1">
    <w:p w:rsidR="003A264B" w:rsidRDefault="00C66638">
      <w:pPr>
        <w:pStyle w:val="a6"/>
      </w:pPr>
      <w:r>
        <w:rPr>
          <w:rStyle w:val="aa"/>
        </w:rPr>
        <w:footnoteRef/>
      </w:r>
      <w:r>
        <w:t xml:space="preserve"> </w:t>
      </w:r>
      <w:r>
        <w:rPr>
          <w:rFonts w:hint="eastAsia"/>
        </w:rPr>
        <w:t>因四舍五入保留两位小数，本报告数据间存在尾差。</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8716660E"/>
    <w:rsid w:val="A3AA735E"/>
    <w:rsid w:val="A75D4892"/>
    <w:rsid w:val="AFFFCE02"/>
    <w:rsid w:val="CEFD3F3D"/>
    <w:rsid w:val="D6B22E60"/>
    <w:rsid w:val="EA3F77F2"/>
    <w:rsid w:val="EBFF45D5"/>
    <w:rsid w:val="EEFE5989"/>
    <w:rsid w:val="EFCF3EAE"/>
    <w:rsid w:val="F4FDEB06"/>
    <w:rsid w:val="F5B764A2"/>
    <w:rsid w:val="F77F09F4"/>
    <w:rsid w:val="FBFF6E65"/>
    <w:rsid w:val="FEEF6AA0"/>
    <w:rsid w:val="FFB792B8"/>
    <w:rsid w:val="FFD7BFFC"/>
    <w:rsid w:val="FFFA6B0F"/>
    <w:rsid w:val="FFFFB6E6"/>
    <w:rsid w:val="00031A6D"/>
    <w:rsid w:val="000321C0"/>
    <w:rsid w:val="00042297"/>
    <w:rsid w:val="000525CC"/>
    <w:rsid w:val="00090AA3"/>
    <w:rsid w:val="000A167A"/>
    <w:rsid w:val="000A62C4"/>
    <w:rsid w:val="000B47BE"/>
    <w:rsid w:val="000B5BAC"/>
    <w:rsid w:val="000B7987"/>
    <w:rsid w:val="00110B45"/>
    <w:rsid w:val="00110CE0"/>
    <w:rsid w:val="00111F92"/>
    <w:rsid w:val="001135E5"/>
    <w:rsid w:val="0013093B"/>
    <w:rsid w:val="00146030"/>
    <w:rsid w:val="00187D6C"/>
    <w:rsid w:val="00191C5C"/>
    <w:rsid w:val="001A4F07"/>
    <w:rsid w:val="001B7BC2"/>
    <w:rsid w:val="001C601C"/>
    <w:rsid w:val="001D1DAC"/>
    <w:rsid w:val="001D2E4D"/>
    <w:rsid w:val="001F3B5E"/>
    <w:rsid w:val="001F3F70"/>
    <w:rsid w:val="00206CA4"/>
    <w:rsid w:val="002103AE"/>
    <w:rsid w:val="0021182B"/>
    <w:rsid w:val="0024698E"/>
    <w:rsid w:val="00246B41"/>
    <w:rsid w:val="00247724"/>
    <w:rsid w:val="00252E7F"/>
    <w:rsid w:val="002620CD"/>
    <w:rsid w:val="00285030"/>
    <w:rsid w:val="00285486"/>
    <w:rsid w:val="0029737F"/>
    <w:rsid w:val="002A72A8"/>
    <w:rsid w:val="002B3DCC"/>
    <w:rsid w:val="002C1FEC"/>
    <w:rsid w:val="002E1AA6"/>
    <w:rsid w:val="002E4FE1"/>
    <w:rsid w:val="002E6F24"/>
    <w:rsid w:val="003027FE"/>
    <w:rsid w:val="003043C3"/>
    <w:rsid w:val="00311FA6"/>
    <w:rsid w:val="00315770"/>
    <w:rsid w:val="0032146A"/>
    <w:rsid w:val="00326B69"/>
    <w:rsid w:val="00337FF4"/>
    <w:rsid w:val="003407C4"/>
    <w:rsid w:val="00356B12"/>
    <w:rsid w:val="00366342"/>
    <w:rsid w:val="0039330E"/>
    <w:rsid w:val="003A264B"/>
    <w:rsid w:val="003A7260"/>
    <w:rsid w:val="003B07E0"/>
    <w:rsid w:val="003B29DC"/>
    <w:rsid w:val="003B30A2"/>
    <w:rsid w:val="003C6CC6"/>
    <w:rsid w:val="003D631F"/>
    <w:rsid w:val="003E5BD5"/>
    <w:rsid w:val="003E5C6F"/>
    <w:rsid w:val="003F2BA0"/>
    <w:rsid w:val="00401ED5"/>
    <w:rsid w:val="00434531"/>
    <w:rsid w:val="00477BD5"/>
    <w:rsid w:val="004E00E2"/>
    <w:rsid w:val="004E5ED9"/>
    <w:rsid w:val="004F0227"/>
    <w:rsid w:val="004F1969"/>
    <w:rsid w:val="00513F3A"/>
    <w:rsid w:val="00554E2B"/>
    <w:rsid w:val="005608EA"/>
    <w:rsid w:val="0057315A"/>
    <w:rsid w:val="00574E24"/>
    <w:rsid w:val="0058078F"/>
    <w:rsid w:val="005A7360"/>
    <w:rsid w:val="005C0543"/>
    <w:rsid w:val="006066D8"/>
    <w:rsid w:val="0061604D"/>
    <w:rsid w:val="00675AB2"/>
    <w:rsid w:val="00676F6C"/>
    <w:rsid w:val="00690D37"/>
    <w:rsid w:val="006A73B1"/>
    <w:rsid w:val="006B2F4B"/>
    <w:rsid w:val="006C5F75"/>
    <w:rsid w:val="00723B3A"/>
    <w:rsid w:val="00730D1E"/>
    <w:rsid w:val="0075278C"/>
    <w:rsid w:val="00757E53"/>
    <w:rsid w:val="00767218"/>
    <w:rsid w:val="007954B0"/>
    <w:rsid w:val="007A4657"/>
    <w:rsid w:val="007A7F53"/>
    <w:rsid w:val="007E2502"/>
    <w:rsid w:val="007F6DA0"/>
    <w:rsid w:val="00823431"/>
    <w:rsid w:val="00832D5C"/>
    <w:rsid w:val="00841C46"/>
    <w:rsid w:val="00865B59"/>
    <w:rsid w:val="00894C32"/>
    <w:rsid w:val="0089618B"/>
    <w:rsid w:val="008A308E"/>
    <w:rsid w:val="008A7818"/>
    <w:rsid w:val="008C32AA"/>
    <w:rsid w:val="008D2770"/>
    <w:rsid w:val="008D3D98"/>
    <w:rsid w:val="0096771E"/>
    <w:rsid w:val="00980CF5"/>
    <w:rsid w:val="009853DE"/>
    <w:rsid w:val="009B3115"/>
    <w:rsid w:val="009B6D76"/>
    <w:rsid w:val="009C04FB"/>
    <w:rsid w:val="009C4764"/>
    <w:rsid w:val="009D2208"/>
    <w:rsid w:val="009D576D"/>
    <w:rsid w:val="009F79B0"/>
    <w:rsid w:val="00A147F6"/>
    <w:rsid w:val="00A258E2"/>
    <w:rsid w:val="00A32C17"/>
    <w:rsid w:val="00A441AB"/>
    <w:rsid w:val="00A46FDE"/>
    <w:rsid w:val="00A525BB"/>
    <w:rsid w:val="00A6025C"/>
    <w:rsid w:val="00A936DF"/>
    <w:rsid w:val="00AB58F1"/>
    <w:rsid w:val="00AB6CE8"/>
    <w:rsid w:val="00AC12D6"/>
    <w:rsid w:val="00AC605B"/>
    <w:rsid w:val="00AC7F88"/>
    <w:rsid w:val="00AD1A8B"/>
    <w:rsid w:val="00B04933"/>
    <w:rsid w:val="00B6657B"/>
    <w:rsid w:val="00B66B0A"/>
    <w:rsid w:val="00B66FCA"/>
    <w:rsid w:val="00B712A8"/>
    <w:rsid w:val="00B724A1"/>
    <w:rsid w:val="00B80FAB"/>
    <w:rsid w:val="00BA233D"/>
    <w:rsid w:val="00BA4463"/>
    <w:rsid w:val="00BB525A"/>
    <w:rsid w:val="00C3471D"/>
    <w:rsid w:val="00C3673C"/>
    <w:rsid w:val="00C50340"/>
    <w:rsid w:val="00C5039C"/>
    <w:rsid w:val="00C559BB"/>
    <w:rsid w:val="00C61B12"/>
    <w:rsid w:val="00C66638"/>
    <w:rsid w:val="00C900D9"/>
    <w:rsid w:val="00CA5FFB"/>
    <w:rsid w:val="00CA6B39"/>
    <w:rsid w:val="00CB6147"/>
    <w:rsid w:val="00CC19EE"/>
    <w:rsid w:val="00CD094F"/>
    <w:rsid w:val="00CF442F"/>
    <w:rsid w:val="00D20015"/>
    <w:rsid w:val="00D2150A"/>
    <w:rsid w:val="00D32915"/>
    <w:rsid w:val="00D3382E"/>
    <w:rsid w:val="00D43416"/>
    <w:rsid w:val="00D61B34"/>
    <w:rsid w:val="00D62B68"/>
    <w:rsid w:val="00D80BAB"/>
    <w:rsid w:val="00D82FE7"/>
    <w:rsid w:val="00D935CA"/>
    <w:rsid w:val="00DA1C72"/>
    <w:rsid w:val="00DD40B5"/>
    <w:rsid w:val="00DD6959"/>
    <w:rsid w:val="00DE038A"/>
    <w:rsid w:val="00DE244F"/>
    <w:rsid w:val="00DE2A70"/>
    <w:rsid w:val="00DF0AB3"/>
    <w:rsid w:val="00DF40BD"/>
    <w:rsid w:val="00E16C97"/>
    <w:rsid w:val="00E34110"/>
    <w:rsid w:val="00E34DBC"/>
    <w:rsid w:val="00E371FF"/>
    <w:rsid w:val="00E40521"/>
    <w:rsid w:val="00E47E6F"/>
    <w:rsid w:val="00E57CA5"/>
    <w:rsid w:val="00E8650B"/>
    <w:rsid w:val="00E9490B"/>
    <w:rsid w:val="00EA0343"/>
    <w:rsid w:val="00EB057D"/>
    <w:rsid w:val="00EE0458"/>
    <w:rsid w:val="00EE20E4"/>
    <w:rsid w:val="00EE2339"/>
    <w:rsid w:val="00EF6B13"/>
    <w:rsid w:val="00F0341B"/>
    <w:rsid w:val="00F1619F"/>
    <w:rsid w:val="00F25706"/>
    <w:rsid w:val="00F27581"/>
    <w:rsid w:val="00F33729"/>
    <w:rsid w:val="00F537BD"/>
    <w:rsid w:val="00F72A31"/>
    <w:rsid w:val="00F83F86"/>
    <w:rsid w:val="00F9033A"/>
    <w:rsid w:val="00F920C6"/>
    <w:rsid w:val="00F92890"/>
    <w:rsid w:val="00FA2684"/>
    <w:rsid w:val="00FA53D0"/>
    <w:rsid w:val="00FD5336"/>
    <w:rsid w:val="00FD5DE3"/>
    <w:rsid w:val="12D923EF"/>
    <w:rsid w:val="175F53D8"/>
    <w:rsid w:val="37173543"/>
    <w:rsid w:val="3FDBA076"/>
    <w:rsid w:val="3FDFB3F0"/>
    <w:rsid w:val="3FDFC9A6"/>
    <w:rsid w:val="3FF76880"/>
    <w:rsid w:val="50277DDC"/>
    <w:rsid w:val="5BFD4AC2"/>
    <w:rsid w:val="67759716"/>
    <w:rsid w:val="6F7ED27B"/>
    <w:rsid w:val="72610DD0"/>
    <w:rsid w:val="73FFD6D8"/>
    <w:rsid w:val="75B17A7C"/>
    <w:rsid w:val="76FF9660"/>
    <w:rsid w:val="7AB7FF50"/>
    <w:rsid w:val="7AEAF641"/>
    <w:rsid w:val="7BAD2729"/>
    <w:rsid w:val="7BFEB0DB"/>
    <w:rsid w:val="7FB8FCB7"/>
    <w:rsid w:val="7FFF4E81"/>
    <w:rsid w:val="7FFFD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1">
    <w:name w:val="heading 1"/>
    <w:basedOn w:val="a"/>
    <w:next w:val="a"/>
    <w:uiPriority w:val="9"/>
    <w:qFormat/>
    <w:pPr>
      <w:spacing w:line="600" w:lineRule="exact"/>
      <w:ind w:firstLine="640"/>
      <w:outlineLvl w:val="0"/>
    </w:pPr>
    <w:rPr>
      <w:rFonts w:ascii="黑体" w:eastAsia="黑体" w:hAnsi="黑体" w:cs="宋体"/>
      <w:color w:val="000000"/>
      <w:kern w:val="0"/>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footer"/>
    <w:basedOn w:val="a"/>
    <w:uiPriority w:val="99"/>
    <w:qFormat/>
    <w:pPr>
      <w:tabs>
        <w:tab w:val="center" w:pos="4153"/>
        <w:tab w:val="right" w:pos="8306"/>
      </w:tabs>
      <w:snapToGrid w:val="0"/>
      <w:jc w:val="left"/>
    </w:pPr>
    <w:rPr>
      <w:sz w:val="18"/>
      <w:szCs w:val="20"/>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footnote text"/>
    <w:basedOn w:val="a"/>
    <w:link w:val="Char0"/>
    <w:qFormat/>
    <w:pPr>
      <w:snapToGrid w:val="0"/>
      <w:jc w:val="left"/>
    </w:pPr>
    <w:rPr>
      <w:sz w:val="18"/>
      <w:szCs w:val="18"/>
    </w:rPr>
  </w:style>
  <w:style w:type="paragraph" w:styleId="a7">
    <w:name w:val="annotation subject"/>
    <w:basedOn w:val="a3"/>
    <w:next w:val="a3"/>
    <w:link w:val="Char1"/>
    <w:qFormat/>
    <w:rPr>
      <w:b/>
      <w:bCs/>
    </w:rPr>
  </w:style>
  <w:style w:type="character" w:styleId="a8">
    <w:name w:val="Hyperlink"/>
    <w:basedOn w:val="a0"/>
    <w:qFormat/>
    <w:rPr>
      <w:color w:val="0563C1" w:themeColor="hyperlink"/>
      <w:u w:val="single"/>
    </w:rPr>
  </w:style>
  <w:style w:type="character" w:styleId="a9">
    <w:name w:val="annotation reference"/>
    <w:basedOn w:val="a0"/>
    <w:qFormat/>
    <w:rPr>
      <w:sz w:val="21"/>
      <w:szCs w:val="21"/>
    </w:rPr>
  </w:style>
  <w:style w:type="character" w:styleId="aa">
    <w:name w:val="footnote reference"/>
    <w:basedOn w:val="a0"/>
    <w:qFormat/>
    <w:rPr>
      <w:vertAlign w:val="superscript"/>
    </w:rPr>
  </w:style>
  <w:style w:type="paragraph" w:customStyle="1" w:styleId="10">
    <w:name w:val="列出段落1"/>
    <w:basedOn w:val="a"/>
    <w:uiPriority w:val="34"/>
    <w:qFormat/>
    <w:pPr>
      <w:ind w:firstLineChars="200" w:firstLine="420"/>
    </w:pPr>
    <w:rPr>
      <w:rFonts w:ascii="Calibri" w:hAnsi="Calibri" w:cs="黑体"/>
      <w:szCs w:val="22"/>
    </w:rPr>
  </w:style>
  <w:style w:type="character" w:customStyle="1" w:styleId="Char">
    <w:name w:val="批注文字 Char"/>
    <w:basedOn w:val="a0"/>
    <w:link w:val="a3"/>
    <w:qFormat/>
    <w:rPr>
      <w:rFonts w:ascii="Times New Roman" w:eastAsia="宋体" w:hAnsi="Times New Roman" w:cs="Times New Roman"/>
      <w:kern w:val="2"/>
      <w:sz w:val="21"/>
      <w:szCs w:val="24"/>
    </w:rPr>
  </w:style>
  <w:style w:type="character" w:customStyle="1" w:styleId="Char1">
    <w:name w:val="批注主题 Char"/>
    <w:basedOn w:val="Char"/>
    <w:link w:val="a7"/>
    <w:qFormat/>
    <w:rPr>
      <w:rFonts w:ascii="Times New Roman" w:eastAsia="宋体" w:hAnsi="Times New Roman" w:cs="Times New Roman"/>
      <w:b/>
      <w:bCs/>
      <w:kern w:val="2"/>
      <w:sz w:val="21"/>
      <w:szCs w:val="24"/>
    </w:rPr>
  </w:style>
  <w:style w:type="character" w:customStyle="1" w:styleId="Char0">
    <w:name w:val="脚注文本 Char"/>
    <w:basedOn w:val="a0"/>
    <w:link w:val="a6"/>
    <w:qFormat/>
    <w:rPr>
      <w:rFonts w:ascii="Times New Roman" w:eastAsia="宋体" w:hAnsi="Times New Roman" w:cs="Times New Roman"/>
      <w:kern w:val="2"/>
      <w:sz w:val="18"/>
      <w:szCs w:val="18"/>
    </w:rPr>
  </w:style>
  <w:style w:type="paragraph" w:customStyle="1" w:styleId="ab">
    <w:name w:val="一级标题"/>
    <w:basedOn w:val="a"/>
    <w:qFormat/>
    <w:pPr>
      <w:adjustRightInd w:val="0"/>
      <w:snapToGrid w:val="0"/>
      <w:spacing w:line="560" w:lineRule="exact"/>
      <w:ind w:firstLineChars="200" w:firstLine="640"/>
      <w:outlineLvl w:val="0"/>
    </w:pPr>
    <w:rPr>
      <w:rFonts w:ascii="黑体" w:eastAsia="黑体" w:hAnsi="黑体" w:cs="宋体"/>
      <w:color w:val="000000"/>
      <w:kern w:val="0"/>
      <w:sz w:val="32"/>
      <w:szCs w:val="32"/>
    </w:rPr>
  </w:style>
  <w:style w:type="paragraph" w:customStyle="1" w:styleId="ac">
    <w:name w:val="二级标题"/>
    <w:basedOn w:val="a"/>
    <w:qFormat/>
    <w:pPr>
      <w:adjustRightInd w:val="0"/>
      <w:snapToGrid w:val="0"/>
      <w:spacing w:line="560" w:lineRule="exact"/>
      <w:ind w:firstLineChars="200" w:firstLine="640"/>
      <w:outlineLvl w:val="1"/>
    </w:pPr>
    <w:rPr>
      <w:rFonts w:ascii="楷体" w:eastAsia="楷体" w:hAnsi="楷体"/>
      <w:sz w:val="32"/>
      <w:szCs w:val="32"/>
    </w:rPr>
  </w:style>
  <w:style w:type="paragraph" w:customStyle="1" w:styleId="ad">
    <w:name w:val="三级标题"/>
    <w:basedOn w:val="a"/>
    <w:qFormat/>
    <w:pPr>
      <w:adjustRightInd w:val="0"/>
      <w:snapToGrid w:val="0"/>
      <w:spacing w:line="560" w:lineRule="exact"/>
      <w:ind w:firstLineChars="200" w:firstLine="640"/>
      <w:outlineLvl w:val="2"/>
    </w:pPr>
    <w:rPr>
      <w:rFonts w:ascii="仿宋_GB2312" w:eastAsia="仿宋_GB2312" w:hAnsi="宋体" w:cs="宋体"/>
      <w:color w:val="000000"/>
      <w:kern w:val="0"/>
      <w:sz w:val="32"/>
      <w:szCs w:val="32"/>
    </w:rPr>
  </w:style>
  <w:style w:type="paragraph" w:customStyle="1" w:styleId="ae">
    <w:name w:val="报告正文"/>
    <w:basedOn w:val="a"/>
    <w:qFormat/>
    <w:pPr>
      <w:adjustRightInd w:val="0"/>
      <w:snapToGrid w:val="0"/>
      <w:spacing w:line="560" w:lineRule="exact"/>
      <w:ind w:firstLineChars="200" w:firstLine="640"/>
    </w:pPr>
    <w:rPr>
      <w:rFonts w:ascii="仿宋_GB2312" w:eastAsia="仿宋_GB2312" w:hAnsi="宋体" w:cs="宋体"/>
      <w:color w:val="000000"/>
      <w:kern w:val="0"/>
      <w:sz w:val="32"/>
      <w:szCs w:val="32"/>
    </w:rPr>
  </w:style>
  <w:style w:type="paragraph" w:customStyle="1" w:styleId="11">
    <w:name w:val="修订1"/>
    <w:hidden/>
    <w:uiPriority w:val="99"/>
    <w:unhideWhenUsed/>
    <w:qFormat/>
    <w:rPr>
      <w:kern w:val="2"/>
      <w:sz w:val="21"/>
      <w:szCs w:val="24"/>
    </w:rPr>
  </w:style>
  <w:style w:type="character" w:customStyle="1" w:styleId="font21">
    <w:name w:val="font21"/>
    <w:basedOn w:val="a0"/>
    <w:rPr>
      <w:rFonts w:ascii="宋体" w:eastAsia="宋体" w:hAnsi="宋体" w:cs="宋体" w:hint="eastAsia"/>
      <w:color w:val="000000"/>
      <w:sz w:val="20"/>
      <w:szCs w:val="20"/>
      <w:u w:val="none"/>
    </w:rPr>
  </w:style>
  <w:style w:type="character" w:customStyle="1" w:styleId="font01">
    <w:name w:val="font01"/>
    <w:basedOn w:val="a0"/>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1">
    <w:name w:val="heading 1"/>
    <w:basedOn w:val="a"/>
    <w:next w:val="a"/>
    <w:uiPriority w:val="9"/>
    <w:qFormat/>
    <w:pPr>
      <w:spacing w:line="600" w:lineRule="exact"/>
      <w:ind w:firstLine="640"/>
      <w:outlineLvl w:val="0"/>
    </w:pPr>
    <w:rPr>
      <w:rFonts w:ascii="黑体" w:eastAsia="黑体" w:hAnsi="黑体" w:cs="宋体"/>
      <w:color w:val="000000"/>
      <w:kern w:val="0"/>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footer"/>
    <w:basedOn w:val="a"/>
    <w:uiPriority w:val="99"/>
    <w:qFormat/>
    <w:pPr>
      <w:tabs>
        <w:tab w:val="center" w:pos="4153"/>
        <w:tab w:val="right" w:pos="8306"/>
      </w:tabs>
      <w:snapToGrid w:val="0"/>
      <w:jc w:val="left"/>
    </w:pPr>
    <w:rPr>
      <w:sz w:val="18"/>
      <w:szCs w:val="20"/>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footnote text"/>
    <w:basedOn w:val="a"/>
    <w:link w:val="Char0"/>
    <w:qFormat/>
    <w:pPr>
      <w:snapToGrid w:val="0"/>
      <w:jc w:val="left"/>
    </w:pPr>
    <w:rPr>
      <w:sz w:val="18"/>
      <w:szCs w:val="18"/>
    </w:rPr>
  </w:style>
  <w:style w:type="paragraph" w:styleId="a7">
    <w:name w:val="annotation subject"/>
    <w:basedOn w:val="a3"/>
    <w:next w:val="a3"/>
    <w:link w:val="Char1"/>
    <w:qFormat/>
    <w:rPr>
      <w:b/>
      <w:bCs/>
    </w:rPr>
  </w:style>
  <w:style w:type="character" w:styleId="a8">
    <w:name w:val="Hyperlink"/>
    <w:basedOn w:val="a0"/>
    <w:qFormat/>
    <w:rPr>
      <w:color w:val="0563C1" w:themeColor="hyperlink"/>
      <w:u w:val="single"/>
    </w:rPr>
  </w:style>
  <w:style w:type="character" w:styleId="a9">
    <w:name w:val="annotation reference"/>
    <w:basedOn w:val="a0"/>
    <w:qFormat/>
    <w:rPr>
      <w:sz w:val="21"/>
      <w:szCs w:val="21"/>
    </w:rPr>
  </w:style>
  <w:style w:type="character" w:styleId="aa">
    <w:name w:val="footnote reference"/>
    <w:basedOn w:val="a0"/>
    <w:qFormat/>
    <w:rPr>
      <w:vertAlign w:val="superscript"/>
    </w:rPr>
  </w:style>
  <w:style w:type="paragraph" w:customStyle="1" w:styleId="10">
    <w:name w:val="列出段落1"/>
    <w:basedOn w:val="a"/>
    <w:uiPriority w:val="34"/>
    <w:qFormat/>
    <w:pPr>
      <w:ind w:firstLineChars="200" w:firstLine="420"/>
    </w:pPr>
    <w:rPr>
      <w:rFonts w:ascii="Calibri" w:hAnsi="Calibri" w:cs="黑体"/>
      <w:szCs w:val="22"/>
    </w:rPr>
  </w:style>
  <w:style w:type="character" w:customStyle="1" w:styleId="Char">
    <w:name w:val="批注文字 Char"/>
    <w:basedOn w:val="a0"/>
    <w:link w:val="a3"/>
    <w:qFormat/>
    <w:rPr>
      <w:rFonts w:ascii="Times New Roman" w:eastAsia="宋体" w:hAnsi="Times New Roman" w:cs="Times New Roman"/>
      <w:kern w:val="2"/>
      <w:sz w:val="21"/>
      <w:szCs w:val="24"/>
    </w:rPr>
  </w:style>
  <w:style w:type="character" w:customStyle="1" w:styleId="Char1">
    <w:name w:val="批注主题 Char"/>
    <w:basedOn w:val="Char"/>
    <w:link w:val="a7"/>
    <w:qFormat/>
    <w:rPr>
      <w:rFonts w:ascii="Times New Roman" w:eastAsia="宋体" w:hAnsi="Times New Roman" w:cs="Times New Roman"/>
      <w:b/>
      <w:bCs/>
      <w:kern w:val="2"/>
      <w:sz w:val="21"/>
      <w:szCs w:val="24"/>
    </w:rPr>
  </w:style>
  <w:style w:type="character" w:customStyle="1" w:styleId="Char0">
    <w:name w:val="脚注文本 Char"/>
    <w:basedOn w:val="a0"/>
    <w:link w:val="a6"/>
    <w:qFormat/>
    <w:rPr>
      <w:rFonts w:ascii="Times New Roman" w:eastAsia="宋体" w:hAnsi="Times New Roman" w:cs="Times New Roman"/>
      <w:kern w:val="2"/>
      <w:sz w:val="18"/>
      <w:szCs w:val="18"/>
    </w:rPr>
  </w:style>
  <w:style w:type="paragraph" w:customStyle="1" w:styleId="ab">
    <w:name w:val="一级标题"/>
    <w:basedOn w:val="a"/>
    <w:qFormat/>
    <w:pPr>
      <w:adjustRightInd w:val="0"/>
      <w:snapToGrid w:val="0"/>
      <w:spacing w:line="560" w:lineRule="exact"/>
      <w:ind w:firstLineChars="200" w:firstLine="640"/>
      <w:outlineLvl w:val="0"/>
    </w:pPr>
    <w:rPr>
      <w:rFonts w:ascii="黑体" w:eastAsia="黑体" w:hAnsi="黑体" w:cs="宋体"/>
      <w:color w:val="000000"/>
      <w:kern w:val="0"/>
      <w:sz w:val="32"/>
      <w:szCs w:val="32"/>
    </w:rPr>
  </w:style>
  <w:style w:type="paragraph" w:customStyle="1" w:styleId="ac">
    <w:name w:val="二级标题"/>
    <w:basedOn w:val="a"/>
    <w:qFormat/>
    <w:pPr>
      <w:adjustRightInd w:val="0"/>
      <w:snapToGrid w:val="0"/>
      <w:spacing w:line="560" w:lineRule="exact"/>
      <w:ind w:firstLineChars="200" w:firstLine="640"/>
      <w:outlineLvl w:val="1"/>
    </w:pPr>
    <w:rPr>
      <w:rFonts w:ascii="楷体" w:eastAsia="楷体" w:hAnsi="楷体"/>
      <w:sz w:val="32"/>
      <w:szCs w:val="32"/>
    </w:rPr>
  </w:style>
  <w:style w:type="paragraph" w:customStyle="1" w:styleId="ad">
    <w:name w:val="三级标题"/>
    <w:basedOn w:val="a"/>
    <w:qFormat/>
    <w:pPr>
      <w:adjustRightInd w:val="0"/>
      <w:snapToGrid w:val="0"/>
      <w:spacing w:line="560" w:lineRule="exact"/>
      <w:ind w:firstLineChars="200" w:firstLine="640"/>
      <w:outlineLvl w:val="2"/>
    </w:pPr>
    <w:rPr>
      <w:rFonts w:ascii="仿宋_GB2312" w:eastAsia="仿宋_GB2312" w:hAnsi="宋体" w:cs="宋体"/>
      <w:color w:val="000000"/>
      <w:kern w:val="0"/>
      <w:sz w:val="32"/>
      <w:szCs w:val="32"/>
    </w:rPr>
  </w:style>
  <w:style w:type="paragraph" w:customStyle="1" w:styleId="ae">
    <w:name w:val="报告正文"/>
    <w:basedOn w:val="a"/>
    <w:qFormat/>
    <w:pPr>
      <w:adjustRightInd w:val="0"/>
      <w:snapToGrid w:val="0"/>
      <w:spacing w:line="560" w:lineRule="exact"/>
      <w:ind w:firstLineChars="200" w:firstLine="640"/>
    </w:pPr>
    <w:rPr>
      <w:rFonts w:ascii="仿宋_GB2312" w:eastAsia="仿宋_GB2312" w:hAnsi="宋体" w:cs="宋体"/>
      <w:color w:val="000000"/>
      <w:kern w:val="0"/>
      <w:sz w:val="32"/>
      <w:szCs w:val="32"/>
    </w:rPr>
  </w:style>
  <w:style w:type="paragraph" w:customStyle="1" w:styleId="11">
    <w:name w:val="修订1"/>
    <w:hidden/>
    <w:uiPriority w:val="99"/>
    <w:unhideWhenUsed/>
    <w:qFormat/>
    <w:rPr>
      <w:kern w:val="2"/>
      <w:sz w:val="21"/>
      <w:szCs w:val="24"/>
    </w:rPr>
  </w:style>
  <w:style w:type="character" w:customStyle="1" w:styleId="font21">
    <w:name w:val="font21"/>
    <w:basedOn w:val="a0"/>
    <w:rPr>
      <w:rFonts w:ascii="宋体" w:eastAsia="宋体" w:hAnsi="宋体" w:cs="宋体" w:hint="eastAsia"/>
      <w:color w:val="000000"/>
      <w:sz w:val="20"/>
      <w:szCs w:val="20"/>
      <w:u w:val="none"/>
    </w:rPr>
  </w:style>
  <w:style w:type="character" w:customStyle="1" w:styleId="font01">
    <w:name w:val="font01"/>
    <w:basedOn w:val="a0"/>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9687</Words>
  <Characters>1554</Characters>
  <Application>Microsoft Office Word</Application>
  <DocSecurity>0</DocSecurity>
  <Lines>12</Lines>
  <Paragraphs>22</Paragraphs>
  <ScaleCrop>false</ScaleCrop>
  <Company>china</Company>
  <LinksUpToDate>false</LinksUpToDate>
  <CharactersWithSpaces>11219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AutoBVT</cp:lastModifiedBy>
  <cp:revision>3</cp:revision>
  <cp:lastPrinted>2023-03-06T17:31:00Z</cp:lastPrinted>
  <dcterms:created xsi:type="dcterms:W3CDTF">2025-06-12T19:01:00Z</dcterms:created>
  <dcterms:modified xsi:type="dcterms:W3CDTF">2025-08-26T06:48:00Z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KSOTemplateDocerSaveRecord">
    <vt:lpwstr>eyJoZGlkIjoiMzEwNTM5NzYwMDRjMzkwZTVkZjY2ODkwMGIxNGU0OTUiLCJ1c2VySWQiOiI2NDEzODcyMzgifQ==</vt:lpwstr>
  </property>
  <property fmtid="{D5CDD505-2E9C-101B-9397-08002B2CF9AE}" pid="4" name="ICV">
    <vt:lpwstr>1697E628202942A8A9E9B2E71D20055E_12</vt:lpwstr>
  </property>
</Properties>
</file>