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76E73">
      <w:pPr>
        <w:spacing w:line="560" w:lineRule="exact"/>
        <w:jc w:val="center"/>
        <w:rPr>
          <w:rFonts w:hint="eastAsia" w:ascii="方正小标宋简体" w:hAnsi="方正小标宋简体" w:eastAsia="方正小标宋简体" w:cs="方正小标宋简体"/>
          <w:b w:val="0"/>
          <w:bCs/>
          <w:sz w:val="44"/>
          <w:szCs w:val="44"/>
          <w:highlight w:val="none"/>
          <w:lang w:val="en-US" w:eastAsia="zh-CN"/>
        </w:rPr>
      </w:pPr>
      <w:r>
        <w:rPr>
          <w:rFonts w:hint="eastAsia" w:ascii="方正小标宋简体" w:hAnsi="方正小标宋简体" w:eastAsia="方正小标宋简体" w:cs="方正小标宋简体"/>
          <w:b w:val="0"/>
          <w:bCs/>
          <w:sz w:val="44"/>
          <w:szCs w:val="44"/>
          <w:highlight w:val="none"/>
          <w:lang w:val="en-US" w:eastAsia="zh-CN"/>
        </w:rPr>
        <w:t>北京市中央财政困难群众救助补助资金（支持困难失能老年人基本养老服务救助方向）</w:t>
      </w:r>
    </w:p>
    <w:p w14:paraId="41497FF6">
      <w:pPr>
        <w:spacing w:line="560" w:lineRule="exact"/>
        <w:jc w:val="center"/>
        <w:rPr>
          <w:rFonts w:ascii="方正小标宋简体" w:hAnsi="方正小标宋简体" w:eastAsia="方正小标宋简体" w:cs="方正小标宋简体"/>
          <w:b w:val="0"/>
          <w:bCs/>
          <w:sz w:val="44"/>
          <w:szCs w:val="44"/>
          <w:highlight w:val="none"/>
        </w:rPr>
      </w:pPr>
      <w:r>
        <w:rPr>
          <w:rFonts w:hint="eastAsia" w:ascii="方正小标宋简体" w:hAnsi="方正小标宋简体" w:eastAsia="方正小标宋简体" w:cs="方正小标宋简体"/>
          <w:b w:val="0"/>
          <w:bCs/>
          <w:sz w:val="44"/>
          <w:szCs w:val="44"/>
          <w:highlight w:val="none"/>
          <w:lang w:eastAsia="zh-CN"/>
        </w:rPr>
        <w:t>202</w:t>
      </w:r>
      <w:r>
        <w:rPr>
          <w:rFonts w:hint="eastAsia" w:ascii="方正小标宋简体" w:hAnsi="方正小标宋简体" w:eastAsia="方正小标宋简体" w:cs="方正小标宋简体"/>
          <w:b w:val="0"/>
          <w:bCs/>
          <w:sz w:val="44"/>
          <w:szCs w:val="44"/>
          <w:highlight w:val="none"/>
          <w:lang w:val="en-US" w:eastAsia="zh-CN"/>
        </w:rPr>
        <w:t>4</w:t>
      </w:r>
      <w:r>
        <w:rPr>
          <w:rFonts w:hint="eastAsia" w:ascii="方正小标宋简体" w:hAnsi="方正小标宋简体" w:eastAsia="方正小标宋简体" w:cs="方正小标宋简体"/>
          <w:b w:val="0"/>
          <w:bCs/>
          <w:sz w:val="44"/>
          <w:szCs w:val="44"/>
          <w:highlight w:val="none"/>
        </w:rPr>
        <w:t>年度绩效自评报告</w:t>
      </w:r>
    </w:p>
    <w:p w14:paraId="3716397C">
      <w:pPr>
        <w:spacing w:line="560" w:lineRule="exact"/>
        <w:jc w:val="center"/>
        <w:rPr>
          <w:rFonts w:hint="eastAsia" w:ascii="楷体_GB2312" w:hAnsi="楷体_GB2312" w:eastAsia="楷体_GB2312" w:cs="楷体_GB2312"/>
          <w:bCs/>
          <w:sz w:val="32"/>
          <w:szCs w:val="32"/>
          <w:highlight w:val="none"/>
        </w:rPr>
      </w:pPr>
    </w:p>
    <w:p w14:paraId="67FA2A0B">
      <w:pPr>
        <w:numPr>
          <w:ilvl w:val="0"/>
          <w:numId w:val="1"/>
        </w:numPr>
        <w:spacing w:before="0" w:beforeLines="0" w:line="560" w:lineRule="exact"/>
        <w:ind w:firstLine="640" w:firstLineChars="200"/>
        <w:rPr>
          <w:rFonts w:hint="eastAsia" w:eastAsia="黑体"/>
          <w:sz w:val="32"/>
          <w:szCs w:val="32"/>
          <w:highlight w:val="none"/>
          <w:lang w:eastAsia="zh-CN"/>
        </w:rPr>
      </w:pPr>
      <w:r>
        <w:rPr>
          <w:rFonts w:hint="eastAsia" w:eastAsia="黑体"/>
          <w:sz w:val="32"/>
          <w:szCs w:val="32"/>
          <w:highlight w:val="none"/>
          <w:lang w:eastAsia="zh-CN"/>
        </w:rPr>
        <w:t>转移支付基本情况</w:t>
      </w:r>
    </w:p>
    <w:p w14:paraId="7089108D">
      <w:pPr>
        <w:spacing w:line="560" w:lineRule="exact"/>
        <w:ind w:firstLine="643" w:firstLineChars="200"/>
        <w:outlineLvl w:val="9"/>
        <w:rPr>
          <w:rFonts w:hint="eastAsia" w:ascii="楷体_GB2312" w:hAnsi="楷体_GB2312" w:eastAsia="楷体_GB2312" w:cs="楷体_GB2312"/>
          <w:b/>
          <w:bCs/>
          <w:sz w:val="32"/>
          <w:szCs w:val="32"/>
          <w:highlight w:val="none"/>
          <w:lang w:eastAsia="zh-CN"/>
        </w:rPr>
      </w:pPr>
      <w:r>
        <w:rPr>
          <w:rFonts w:hint="eastAsia" w:ascii="楷体_GB2312" w:hAnsi="楷体_GB2312" w:eastAsia="楷体_GB2312" w:cs="楷体_GB2312"/>
          <w:b/>
          <w:bCs/>
          <w:sz w:val="32"/>
          <w:szCs w:val="32"/>
          <w:highlight w:val="none"/>
        </w:rPr>
        <w:t>（一）</w:t>
      </w:r>
      <w:r>
        <w:rPr>
          <w:rFonts w:hint="eastAsia" w:ascii="楷体_GB2312" w:hAnsi="楷体_GB2312" w:eastAsia="楷体_GB2312" w:cs="楷体_GB2312"/>
          <w:b/>
          <w:bCs/>
          <w:sz w:val="32"/>
          <w:szCs w:val="32"/>
          <w:highlight w:val="none"/>
          <w:lang w:val="en-US" w:eastAsia="zh-CN"/>
        </w:rPr>
        <w:t>中央财政困难群众救助补助资金（支持困难失能老年人基本养老服务救助方向）概</w:t>
      </w:r>
      <w:r>
        <w:rPr>
          <w:rFonts w:hint="eastAsia" w:ascii="楷体_GB2312" w:hAnsi="楷体_GB2312" w:eastAsia="楷体_GB2312" w:cs="楷体_GB2312"/>
          <w:b/>
          <w:bCs/>
          <w:sz w:val="32"/>
          <w:szCs w:val="32"/>
          <w:highlight w:val="none"/>
        </w:rPr>
        <w:t>况</w:t>
      </w:r>
    </w:p>
    <w:p w14:paraId="77C5C57E">
      <w:pPr>
        <w:widowControl/>
        <w:wordWrap/>
        <w:adjustRightInd/>
        <w:snapToGrid/>
        <w:spacing w:line="560" w:lineRule="exact"/>
        <w:ind w:right="0" w:firstLine="640" w:firstLineChars="200"/>
        <w:jc w:val="both"/>
        <w:textAlignment w:val="auto"/>
        <w:rPr>
          <w:rFonts w:hint="eastAsia" w:ascii="仿宋_GB2312" w:hAnsi="华文宋体" w:eastAsia="仿宋_GB2312" w:cs="Times New Roman"/>
          <w:kern w:val="0"/>
          <w:sz w:val="32"/>
          <w:szCs w:val="32"/>
          <w:highlight w:val="none"/>
          <w:lang w:val="en-US" w:eastAsia="zh-CN" w:bidi="ar-SA"/>
        </w:rPr>
      </w:pPr>
      <w:r>
        <w:rPr>
          <w:rFonts w:hint="eastAsia" w:ascii="仿宋_GB2312" w:hAnsi="华文宋体" w:eastAsia="仿宋_GB2312" w:cs="Times New Roman"/>
          <w:kern w:val="0"/>
          <w:sz w:val="32"/>
          <w:szCs w:val="32"/>
          <w:highlight w:val="none"/>
          <w:lang w:val="en-US" w:eastAsia="zh-CN" w:bidi="ar-SA"/>
        </w:rPr>
        <w:t>202</w:t>
      </w:r>
      <w:r>
        <w:rPr>
          <w:rFonts w:hint="eastAsia" w:ascii="仿宋_GB2312" w:hAnsi="华文宋体" w:cs="Times New Roman"/>
          <w:kern w:val="0"/>
          <w:sz w:val="32"/>
          <w:szCs w:val="32"/>
          <w:highlight w:val="none"/>
          <w:lang w:val="en-US" w:eastAsia="zh-CN" w:bidi="ar-SA"/>
        </w:rPr>
        <w:t>4</w:t>
      </w:r>
      <w:r>
        <w:rPr>
          <w:rFonts w:hint="eastAsia" w:ascii="仿宋_GB2312" w:hAnsi="华文宋体" w:eastAsia="仿宋_GB2312" w:cs="Times New Roman"/>
          <w:kern w:val="0"/>
          <w:sz w:val="32"/>
          <w:szCs w:val="32"/>
          <w:highlight w:val="none"/>
          <w:lang w:val="en-US" w:eastAsia="zh-CN" w:bidi="ar-SA"/>
        </w:rPr>
        <w:t>年</w:t>
      </w:r>
      <w:r>
        <w:rPr>
          <w:rFonts w:hint="eastAsia" w:ascii="仿宋_GB2312" w:hAnsi="华文宋体" w:cs="Times New Roman"/>
          <w:kern w:val="0"/>
          <w:sz w:val="32"/>
          <w:szCs w:val="32"/>
          <w:highlight w:val="none"/>
          <w:lang w:val="en-US" w:eastAsia="zh-CN" w:bidi="ar-SA"/>
        </w:rPr>
        <w:t>12</w:t>
      </w:r>
      <w:r>
        <w:rPr>
          <w:rFonts w:hint="eastAsia" w:ascii="仿宋_GB2312" w:hAnsi="华文宋体" w:eastAsia="仿宋_GB2312" w:cs="Times New Roman"/>
          <w:kern w:val="0"/>
          <w:sz w:val="32"/>
          <w:szCs w:val="32"/>
          <w:highlight w:val="none"/>
          <w:lang w:val="en-US" w:eastAsia="zh-CN" w:bidi="ar-SA"/>
        </w:rPr>
        <w:t>月</w:t>
      </w:r>
      <w:r>
        <w:rPr>
          <w:rFonts w:hint="eastAsia" w:ascii="仿宋_GB2312" w:hAnsi="华文宋体" w:cs="Times New Roman"/>
          <w:kern w:val="0"/>
          <w:sz w:val="32"/>
          <w:szCs w:val="32"/>
          <w:highlight w:val="none"/>
          <w:lang w:val="en-US" w:eastAsia="zh-CN" w:bidi="ar-SA"/>
        </w:rPr>
        <w:t>27</w:t>
      </w:r>
      <w:r>
        <w:rPr>
          <w:rFonts w:hint="eastAsia" w:ascii="仿宋_GB2312" w:hAnsi="华文宋体" w:eastAsia="仿宋_GB2312" w:cs="Times New Roman"/>
          <w:kern w:val="0"/>
          <w:sz w:val="32"/>
          <w:szCs w:val="32"/>
          <w:highlight w:val="none"/>
          <w:lang w:val="en-US" w:eastAsia="zh-CN" w:bidi="ar-SA"/>
        </w:rPr>
        <w:t>日，</w:t>
      </w:r>
      <w:r>
        <w:rPr>
          <w:rFonts w:hint="eastAsia" w:ascii="仿宋_GB2312" w:hAnsi="华文宋体" w:cs="Times New Roman"/>
          <w:kern w:val="0"/>
          <w:sz w:val="32"/>
          <w:szCs w:val="32"/>
          <w:highlight w:val="none"/>
          <w:lang w:val="en-US" w:eastAsia="zh-CN" w:bidi="ar-SA"/>
        </w:rPr>
        <w:t>根据</w:t>
      </w:r>
      <w:r>
        <w:rPr>
          <w:rFonts w:hint="eastAsia" w:ascii="仿宋_GB2312" w:hAnsi="华文宋体" w:eastAsia="仿宋_GB2312" w:cs="Times New Roman"/>
          <w:kern w:val="0"/>
          <w:sz w:val="32"/>
          <w:szCs w:val="32"/>
          <w:highlight w:val="none"/>
          <w:lang w:val="en-US" w:eastAsia="zh-CN" w:bidi="ar-SA"/>
        </w:rPr>
        <w:t>财政部</w:t>
      </w:r>
      <w:r>
        <w:rPr>
          <w:rFonts w:hint="eastAsia" w:ascii="仿宋_GB2312" w:eastAsia="仿宋_GB2312" w:cs="Times New Roman"/>
          <w:kern w:val="0"/>
          <w:sz w:val="32"/>
          <w:szCs w:val="32"/>
          <w:highlight w:val="none"/>
          <w:lang w:val="en-US" w:eastAsia="zh-CN" w:bidi="ar-SA"/>
        </w:rPr>
        <w:t>、</w:t>
      </w:r>
      <w:r>
        <w:rPr>
          <w:rFonts w:hint="eastAsia" w:ascii="仿宋_GB2312" w:hAnsi="华文宋体" w:eastAsia="仿宋_GB2312" w:cs="Times New Roman"/>
          <w:kern w:val="0"/>
          <w:sz w:val="32"/>
          <w:szCs w:val="32"/>
          <w:highlight w:val="none"/>
          <w:lang w:val="en-US" w:eastAsia="zh-CN" w:bidi="ar-SA"/>
        </w:rPr>
        <w:t>民政部</w:t>
      </w:r>
      <w:r>
        <w:rPr>
          <w:rFonts w:hint="eastAsia" w:ascii="仿宋_GB2312" w:hAnsi="华文宋体" w:cs="Times New Roman"/>
          <w:kern w:val="0"/>
          <w:sz w:val="32"/>
          <w:szCs w:val="32"/>
          <w:highlight w:val="none"/>
          <w:lang w:val="en-US" w:eastAsia="zh-CN" w:bidi="ar-SA"/>
        </w:rPr>
        <w:t>通知要求</w:t>
      </w:r>
      <w:r>
        <w:rPr>
          <w:rFonts w:hint="eastAsia" w:ascii="仿宋_GB2312" w:hAnsi="华文宋体" w:eastAsia="仿宋_GB2312" w:cs="Times New Roman"/>
          <w:kern w:val="0"/>
          <w:sz w:val="32"/>
          <w:szCs w:val="32"/>
          <w:highlight w:val="none"/>
          <w:lang w:val="en-US" w:eastAsia="zh-CN" w:bidi="ar-SA"/>
        </w:rPr>
        <w:t>，</w:t>
      </w:r>
      <w:r>
        <w:rPr>
          <w:rFonts w:hint="eastAsia" w:ascii="仿宋_GB2312" w:eastAsia="仿宋_GB2312" w:cs="Times New Roman"/>
          <w:kern w:val="0"/>
          <w:sz w:val="32"/>
          <w:szCs w:val="32"/>
          <w:highlight w:val="none"/>
          <w:lang w:val="en-US" w:eastAsia="zh-CN" w:bidi="ar-SA"/>
        </w:rPr>
        <w:t>明确</w:t>
      </w:r>
      <w:r>
        <w:rPr>
          <w:rFonts w:hint="eastAsia" w:ascii="仿宋_GB2312" w:cs="Times New Roman"/>
          <w:kern w:val="0"/>
          <w:sz w:val="32"/>
          <w:szCs w:val="32"/>
          <w:highlight w:val="none"/>
          <w:lang w:val="en-US" w:eastAsia="zh-CN" w:bidi="ar-SA"/>
        </w:rPr>
        <w:t>2024年度下达我市中央财政困难群众救助补助资金134万元，</w:t>
      </w:r>
      <w:r>
        <w:rPr>
          <w:sz w:val="32"/>
          <w:szCs w:val="32"/>
          <w:highlight w:val="none"/>
        </w:rPr>
        <w:t>整体绩效目标随预算一并下达</w:t>
      </w:r>
      <w:r>
        <w:rPr>
          <w:rFonts w:hint="eastAsia"/>
          <w:sz w:val="32"/>
          <w:szCs w:val="32"/>
          <w:highlight w:val="none"/>
          <w:lang w:eastAsia="zh-CN"/>
        </w:rPr>
        <w:t>。</w:t>
      </w:r>
      <w:r>
        <w:rPr>
          <w:rFonts w:hint="eastAsia"/>
          <w:sz w:val="32"/>
          <w:szCs w:val="32"/>
          <w:highlight w:val="none"/>
          <w:lang w:val="en-US" w:eastAsia="zh-CN"/>
        </w:rPr>
        <w:t>资金</w:t>
      </w:r>
      <w:r>
        <w:rPr>
          <w:rFonts w:hint="eastAsia" w:ascii="仿宋_GB2312" w:cs="Times New Roman"/>
          <w:kern w:val="0"/>
          <w:sz w:val="32"/>
          <w:szCs w:val="32"/>
          <w:highlight w:val="none"/>
          <w:lang w:val="en-US" w:eastAsia="zh-CN" w:bidi="ar-SA"/>
        </w:rPr>
        <w:t>主要用于</w:t>
      </w:r>
      <w:r>
        <w:rPr>
          <w:rFonts w:hint="eastAsia" w:ascii="仿宋_GB2312" w:hAnsi="华文宋体" w:eastAsia="仿宋_GB2312" w:cs="Times New Roman"/>
          <w:kern w:val="0"/>
          <w:sz w:val="32"/>
          <w:szCs w:val="32"/>
          <w:highlight w:val="none"/>
          <w:lang w:val="en-US" w:eastAsia="zh-CN" w:bidi="ar-SA"/>
        </w:rPr>
        <w:t>支持各地对困难失能老年人</w:t>
      </w:r>
      <w:r>
        <w:rPr>
          <w:rFonts w:hint="eastAsia" w:ascii="仿宋_GB2312" w:hAnsi="华文宋体" w:cs="Times New Roman"/>
          <w:kern w:val="0"/>
          <w:sz w:val="32"/>
          <w:szCs w:val="32"/>
          <w:highlight w:val="none"/>
          <w:lang w:val="en-US" w:eastAsia="zh-CN" w:bidi="ar-SA"/>
        </w:rPr>
        <w:t>等群体</w:t>
      </w:r>
      <w:r>
        <w:rPr>
          <w:rFonts w:hint="eastAsia" w:ascii="仿宋_GB2312" w:hAnsi="华文宋体" w:eastAsia="仿宋_GB2312" w:cs="Times New Roman"/>
          <w:kern w:val="0"/>
          <w:sz w:val="32"/>
          <w:szCs w:val="32"/>
          <w:highlight w:val="none"/>
          <w:lang w:val="en-US" w:eastAsia="zh-CN" w:bidi="ar-SA"/>
        </w:rPr>
        <w:t>入住养老机构接受集中照护进行兜底保障</w:t>
      </w:r>
      <w:r>
        <w:rPr>
          <w:rFonts w:hint="eastAsia" w:ascii="仿宋_GB2312" w:eastAsia="仿宋_GB2312" w:cs="Times New Roman"/>
          <w:kern w:val="0"/>
          <w:sz w:val="32"/>
          <w:szCs w:val="32"/>
          <w:highlight w:val="none"/>
          <w:lang w:val="en-US" w:eastAsia="zh-CN" w:bidi="ar-SA"/>
        </w:rPr>
        <w:t>；</w:t>
      </w:r>
      <w:r>
        <w:rPr>
          <w:rFonts w:hint="eastAsia" w:ascii="仿宋_GB2312" w:hAnsi="华文宋体" w:eastAsia="仿宋_GB2312" w:cs="Times New Roman"/>
          <w:kern w:val="0"/>
          <w:sz w:val="32"/>
          <w:szCs w:val="32"/>
          <w:highlight w:val="none"/>
          <w:lang w:val="en-US" w:eastAsia="zh-CN" w:bidi="ar-SA"/>
        </w:rPr>
        <w:t>具体用于资助经济困难失能老年人</w:t>
      </w:r>
      <w:r>
        <w:rPr>
          <w:rFonts w:hint="eastAsia" w:ascii="仿宋_GB2312" w:hAnsi="华文宋体" w:cs="Times New Roman"/>
          <w:kern w:val="0"/>
          <w:sz w:val="32"/>
          <w:szCs w:val="32"/>
          <w:highlight w:val="none"/>
          <w:lang w:val="en-US" w:eastAsia="zh-CN" w:bidi="ar-SA"/>
        </w:rPr>
        <w:t>等群体</w:t>
      </w:r>
      <w:r>
        <w:rPr>
          <w:rFonts w:hint="eastAsia" w:ascii="仿宋_GB2312" w:hAnsi="华文宋体" w:eastAsia="仿宋_GB2312" w:cs="Times New Roman"/>
          <w:kern w:val="0"/>
          <w:sz w:val="32"/>
          <w:szCs w:val="32"/>
          <w:highlight w:val="none"/>
          <w:lang w:val="en-US" w:eastAsia="zh-CN" w:bidi="ar-SA"/>
        </w:rPr>
        <w:t>入住养老机构，对其因收入水平较低而无法负担集中照护支出的差额部分给予补助。</w:t>
      </w:r>
    </w:p>
    <w:p w14:paraId="77CA4AD5">
      <w:pPr>
        <w:spacing w:line="560" w:lineRule="exact"/>
        <w:ind w:firstLine="640" w:firstLineChars="200"/>
        <w:outlineLvl w:val="0"/>
        <w:rPr>
          <w:sz w:val="32"/>
          <w:szCs w:val="32"/>
          <w:highlight w:val="none"/>
        </w:rPr>
      </w:pPr>
      <w:r>
        <w:rPr>
          <w:rFonts w:hint="eastAsia" w:ascii="仿宋_GB2312" w:hAnsi="华文宋体" w:cs="Times New Roman"/>
          <w:kern w:val="0"/>
          <w:sz w:val="32"/>
          <w:szCs w:val="32"/>
          <w:highlight w:val="none"/>
          <w:lang w:val="en-US" w:eastAsia="zh-CN" w:bidi="ar-SA"/>
        </w:rPr>
        <w:t>根据相关要求并结合我市实际，</w:t>
      </w:r>
      <w:r>
        <w:rPr>
          <w:rFonts w:hint="eastAsia" w:ascii="仿宋_GB2312" w:hAnsi="华文宋体" w:eastAsia="仿宋_GB2312" w:cs="Times New Roman"/>
          <w:kern w:val="0"/>
          <w:sz w:val="32"/>
          <w:szCs w:val="32"/>
          <w:highlight w:val="none"/>
          <w:lang w:val="en-US" w:eastAsia="zh-CN" w:bidi="ar-SA"/>
        </w:rPr>
        <w:t>我们</w:t>
      </w:r>
      <w:r>
        <w:rPr>
          <w:rFonts w:hint="eastAsia" w:ascii="仿宋_GB2312" w:hAnsi="华文宋体" w:eastAsia="仿宋_GB2312" w:cs="Times New Roman"/>
          <w:kern w:val="0"/>
          <w:sz w:val="32"/>
          <w:szCs w:val="32"/>
          <w:highlight w:val="none"/>
          <w:vertAlign w:val="baseline"/>
          <w:lang w:eastAsia="zh-CN"/>
        </w:rPr>
        <w:t>按照各区低保身份并入住养老机构，且经评估为中度失能及以上的老年人或</w:t>
      </w:r>
      <w:r>
        <w:rPr>
          <w:rFonts w:hint="eastAsia" w:ascii="仿宋_GB2312" w:hAnsi="华文宋体" w:eastAsia="仿宋_GB2312" w:cs="Times New Roman"/>
          <w:kern w:val="0"/>
          <w:sz w:val="32"/>
          <w:szCs w:val="32"/>
          <w:highlight w:val="none"/>
          <w:vertAlign w:val="baseline"/>
          <w:lang w:val="en-US" w:eastAsia="zh-CN"/>
        </w:rPr>
        <w:t>80周岁及以上老年人占比</w:t>
      </w:r>
      <w:r>
        <w:rPr>
          <w:rFonts w:hint="eastAsia" w:ascii="仿宋_GB2312" w:hAnsi="仿宋_GB2312" w:eastAsia="仿宋_GB2312" w:cs="仿宋_GB2312"/>
          <w:sz w:val="32"/>
          <w:szCs w:val="32"/>
          <w:highlight w:val="none"/>
          <w:lang w:val="en-US" w:eastAsia="zh-CN"/>
        </w:rPr>
        <w:t>拟制了资金分配方案。</w:t>
      </w:r>
      <w:r>
        <w:rPr>
          <w:rFonts w:hint="eastAsia" w:ascii="仿宋_GB2312" w:hAnsi="华文宋体" w:eastAsia="仿宋_GB2312" w:cs="Times New Roman"/>
          <w:color w:val="auto"/>
          <w:kern w:val="0"/>
          <w:sz w:val="32"/>
          <w:szCs w:val="32"/>
          <w:highlight w:val="none"/>
          <w:lang w:val="en-US" w:eastAsia="zh-CN" w:bidi="ar-SA"/>
        </w:rPr>
        <w:t>202</w:t>
      </w:r>
      <w:r>
        <w:rPr>
          <w:rFonts w:hint="eastAsia" w:ascii="仿宋_GB2312" w:hAnsi="华文宋体" w:cs="Times New Roman"/>
          <w:color w:val="auto"/>
          <w:kern w:val="0"/>
          <w:sz w:val="32"/>
          <w:szCs w:val="32"/>
          <w:highlight w:val="none"/>
          <w:lang w:val="en-US" w:eastAsia="zh-CN" w:bidi="ar-SA"/>
        </w:rPr>
        <w:t>5</w:t>
      </w:r>
      <w:r>
        <w:rPr>
          <w:rFonts w:hint="eastAsia" w:ascii="仿宋_GB2312" w:hAnsi="华文宋体" w:eastAsia="仿宋_GB2312" w:cs="Times New Roman"/>
          <w:color w:val="auto"/>
          <w:kern w:val="0"/>
          <w:sz w:val="32"/>
          <w:szCs w:val="32"/>
          <w:highlight w:val="none"/>
          <w:lang w:val="en-US" w:eastAsia="zh-CN" w:bidi="ar-SA"/>
        </w:rPr>
        <w:t>年1月，市财政局</w:t>
      </w:r>
      <w:r>
        <w:rPr>
          <w:rFonts w:hint="eastAsia" w:ascii="仿宋_GB2312" w:hAnsi="华文宋体" w:cs="Times New Roman"/>
          <w:color w:val="auto"/>
          <w:kern w:val="0"/>
          <w:sz w:val="32"/>
          <w:szCs w:val="32"/>
          <w:highlight w:val="none"/>
          <w:lang w:val="en-US" w:eastAsia="zh-CN" w:bidi="ar-SA"/>
        </w:rPr>
        <w:t>按相关要求</w:t>
      </w:r>
      <w:r>
        <w:rPr>
          <w:sz w:val="32"/>
          <w:szCs w:val="32"/>
          <w:highlight w:val="none"/>
        </w:rPr>
        <w:t>将</w:t>
      </w:r>
      <w:r>
        <w:rPr>
          <w:rFonts w:hint="eastAsia"/>
          <w:sz w:val="32"/>
          <w:szCs w:val="32"/>
          <w:highlight w:val="none"/>
          <w:lang w:val="en-US" w:eastAsia="zh-CN"/>
        </w:rPr>
        <w:t>资金</w:t>
      </w:r>
      <w:r>
        <w:rPr>
          <w:sz w:val="32"/>
          <w:szCs w:val="32"/>
          <w:highlight w:val="none"/>
        </w:rPr>
        <w:t>全部下达至各区财政</w:t>
      </w:r>
      <w:r>
        <w:rPr>
          <w:rFonts w:hint="eastAsia" w:ascii="仿宋_GB2312" w:hAnsi="华文宋体" w:eastAsia="仿宋_GB2312" w:cs="Times New Roman"/>
          <w:color w:val="auto"/>
          <w:kern w:val="0"/>
          <w:sz w:val="32"/>
          <w:szCs w:val="32"/>
          <w:highlight w:val="none"/>
          <w:lang w:val="en-US" w:eastAsia="zh-CN" w:bidi="ar-SA"/>
        </w:rPr>
        <w:t>。</w:t>
      </w:r>
      <w:r>
        <w:rPr>
          <w:sz w:val="32"/>
          <w:szCs w:val="32"/>
          <w:highlight w:val="none"/>
        </w:rPr>
        <w:t>中央财政困难群众救助补助资金</w:t>
      </w:r>
      <w:r>
        <w:rPr>
          <w:rFonts w:hint="eastAsia" w:ascii="仿宋_GB2312" w:hAnsi="华文宋体" w:eastAsia="仿宋_GB2312" w:cs="Times New Roman"/>
          <w:color w:val="auto"/>
          <w:kern w:val="0"/>
          <w:sz w:val="32"/>
          <w:szCs w:val="32"/>
          <w:highlight w:val="none"/>
          <w:lang w:val="en-US" w:eastAsia="zh-CN" w:bidi="ar-SA"/>
        </w:rPr>
        <w:t>（支持困难失能老年人基本养老服务救助方向）</w:t>
      </w:r>
      <w:r>
        <w:rPr>
          <w:sz w:val="32"/>
          <w:szCs w:val="32"/>
          <w:highlight w:val="none"/>
        </w:rPr>
        <w:t>北京市绩效目标表随预算一</w:t>
      </w:r>
      <w:r>
        <w:rPr>
          <w:rFonts w:hint="eastAsia"/>
          <w:sz w:val="32"/>
          <w:szCs w:val="32"/>
          <w:highlight w:val="none"/>
          <w:lang w:eastAsia="zh-CN"/>
        </w:rPr>
        <w:t>并</w:t>
      </w:r>
      <w:r>
        <w:rPr>
          <w:sz w:val="32"/>
          <w:szCs w:val="32"/>
          <w:highlight w:val="none"/>
        </w:rPr>
        <w:t>下达。</w:t>
      </w:r>
    </w:p>
    <w:p w14:paraId="61E31F6B">
      <w:pPr>
        <w:widowControl w:val="0"/>
        <w:wordWrap/>
        <w:adjustRightInd/>
        <w:snapToGrid/>
        <w:spacing w:line="560" w:lineRule="exact"/>
        <w:ind w:right="0" w:firstLine="640" w:firstLineChars="200"/>
        <w:jc w:val="both"/>
        <w:textAlignment w:val="auto"/>
        <w:outlineLvl w:val="0"/>
        <w:rPr>
          <w:rFonts w:hint="default" w:ascii="楷体_GB2312" w:hAnsi="楷体_GB2312" w:eastAsia="楷体_GB2312" w:cs="楷体_GB2312"/>
          <w:b w:val="0"/>
          <w:bCs w:val="0"/>
          <w:sz w:val="32"/>
          <w:szCs w:val="32"/>
          <w:highlight w:val="none"/>
          <w:lang w:val="en-US"/>
        </w:rPr>
      </w:pPr>
      <w:r>
        <w:rPr>
          <w:rFonts w:hint="eastAsia" w:ascii="楷体_GB2312" w:hAnsi="楷体_GB2312" w:eastAsia="楷体_GB2312" w:cs="楷体_GB2312"/>
          <w:b w:val="0"/>
          <w:bCs w:val="0"/>
          <w:sz w:val="32"/>
          <w:szCs w:val="32"/>
          <w:highlight w:val="none"/>
        </w:rPr>
        <w:t>（</w:t>
      </w:r>
      <w:r>
        <w:rPr>
          <w:rFonts w:hint="eastAsia" w:ascii="楷体_GB2312" w:hAnsi="楷体_GB2312" w:eastAsia="楷体_GB2312" w:cs="楷体_GB2312"/>
          <w:b w:val="0"/>
          <w:bCs w:val="0"/>
          <w:sz w:val="32"/>
          <w:szCs w:val="32"/>
          <w:highlight w:val="none"/>
          <w:lang w:eastAsia="zh-CN"/>
        </w:rPr>
        <w:t>二</w:t>
      </w:r>
      <w:r>
        <w:rPr>
          <w:rFonts w:hint="eastAsia" w:ascii="楷体_GB2312" w:hAnsi="楷体_GB2312" w:eastAsia="楷体_GB2312" w:cs="楷体_GB2312"/>
          <w:b w:val="0"/>
          <w:bCs w:val="0"/>
          <w:sz w:val="32"/>
          <w:szCs w:val="32"/>
          <w:highlight w:val="none"/>
        </w:rPr>
        <w:t>）资金</w:t>
      </w:r>
      <w:r>
        <w:rPr>
          <w:rFonts w:hint="eastAsia" w:ascii="楷体_GB2312" w:hAnsi="楷体_GB2312" w:eastAsia="楷体_GB2312" w:cs="楷体_GB2312"/>
          <w:b w:val="0"/>
          <w:bCs w:val="0"/>
          <w:sz w:val="32"/>
          <w:szCs w:val="32"/>
          <w:highlight w:val="none"/>
          <w:lang w:val="en-US"/>
        </w:rPr>
        <w:t>投入情况分析</w:t>
      </w:r>
    </w:p>
    <w:p w14:paraId="161AF9E8">
      <w:pPr>
        <w:spacing w:line="560" w:lineRule="exact"/>
        <w:ind w:firstLine="643" w:firstLineChars="200"/>
        <w:rPr>
          <w:sz w:val="32"/>
          <w:szCs w:val="32"/>
          <w:highlight w:val="none"/>
        </w:rPr>
      </w:pPr>
      <w:r>
        <w:rPr>
          <w:rFonts w:hint="eastAsia" w:ascii="仿宋_GB2312"/>
          <w:b/>
          <w:bCs w:val="0"/>
          <w:sz w:val="32"/>
          <w:szCs w:val="32"/>
          <w:highlight w:val="none"/>
        </w:rPr>
        <w:t>1.项目资金</w:t>
      </w:r>
      <w:r>
        <w:rPr>
          <w:rFonts w:hint="eastAsia" w:ascii="仿宋_GB2312"/>
          <w:b/>
          <w:bCs w:val="0"/>
          <w:sz w:val="32"/>
          <w:szCs w:val="32"/>
          <w:highlight w:val="none"/>
          <w:lang w:val="en-US" w:eastAsia="zh-CN"/>
        </w:rPr>
        <w:t>到位</w:t>
      </w:r>
      <w:r>
        <w:rPr>
          <w:rFonts w:hint="eastAsia" w:ascii="仿宋_GB2312"/>
          <w:b/>
          <w:bCs w:val="0"/>
          <w:sz w:val="32"/>
          <w:szCs w:val="32"/>
          <w:highlight w:val="none"/>
        </w:rPr>
        <w:t>情况分析</w:t>
      </w:r>
      <w:r>
        <w:rPr>
          <w:rFonts w:hint="eastAsia" w:ascii="仿宋_GB2312"/>
          <w:b/>
          <w:bCs w:val="0"/>
          <w:sz w:val="32"/>
          <w:szCs w:val="32"/>
          <w:highlight w:val="none"/>
          <w:lang w:eastAsia="zh-CN"/>
        </w:rPr>
        <w:t>。</w:t>
      </w:r>
      <w:r>
        <w:rPr>
          <w:rFonts w:hint="eastAsia" w:ascii="仿宋_GB2312" w:hAnsi="华文宋体" w:eastAsia="仿宋_GB2312" w:cs="Times New Roman"/>
          <w:color w:val="auto"/>
          <w:kern w:val="0"/>
          <w:sz w:val="32"/>
          <w:szCs w:val="32"/>
          <w:highlight w:val="none"/>
          <w:lang w:val="en-US" w:eastAsia="zh-CN" w:bidi="ar-SA"/>
        </w:rPr>
        <w:t>北京市2024年度中央财政困难群众救助补助资金（支持困难失能老年人基本养老服务救助方向）134万元，截至2024年底，资金实际到位</w:t>
      </w:r>
      <w:r>
        <w:rPr>
          <w:rFonts w:hint="eastAsia" w:ascii="仿宋_GB2312" w:hAnsi="华文宋体" w:cs="Times New Roman"/>
          <w:color w:val="auto"/>
          <w:kern w:val="0"/>
          <w:sz w:val="32"/>
          <w:szCs w:val="32"/>
          <w:highlight w:val="none"/>
          <w:lang w:val="en-US" w:eastAsia="zh-CN" w:bidi="ar-SA"/>
        </w:rPr>
        <w:t>134</w:t>
      </w:r>
      <w:r>
        <w:rPr>
          <w:rFonts w:hint="eastAsia" w:ascii="仿宋_GB2312" w:hAnsi="华文宋体" w:eastAsia="仿宋_GB2312" w:cs="Times New Roman"/>
          <w:color w:val="auto"/>
          <w:kern w:val="0"/>
          <w:sz w:val="32"/>
          <w:szCs w:val="32"/>
          <w:highlight w:val="none"/>
          <w:lang w:val="en-US" w:eastAsia="zh-CN" w:bidi="ar-SA"/>
        </w:rPr>
        <w:t>万元，资金到位率100%。</w:t>
      </w:r>
    </w:p>
    <w:p w14:paraId="6FA185E4">
      <w:pPr>
        <w:widowControl/>
        <w:wordWrap/>
        <w:adjustRightInd/>
        <w:snapToGrid/>
        <w:spacing w:line="560" w:lineRule="exact"/>
        <w:ind w:right="0" w:firstLine="643" w:firstLineChars="200"/>
        <w:jc w:val="both"/>
        <w:textAlignment w:val="auto"/>
        <w:rPr>
          <w:rFonts w:hint="default" w:ascii="宋体" w:hAnsi="宋体" w:eastAsia="仿宋_GB2312" w:cs="宋体"/>
          <w:sz w:val="32"/>
          <w:szCs w:val="32"/>
          <w:highlight w:val="none"/>
        </w:rPr>
      </w:pPr>
      <w:r>
        <w:rPr>
          <w:rFonts w:hint="eastAsia" w:ascii="仿宋_GB2312"/>
          <w:b/>
          <w:bCs w:val="0"/>
          <w:sz w:val="32"/>
          <w:szCs w:val="32"/>
          <w:highlight w:val="none"/>
        </w:rPr>
        <w:t>2.项目资金执行情况分析</w:t>
      </w:r>
      <w:r>
        <w:rPr>
          <w:rFonts w:hint="eastAsia" w:ascii="仿宋_GB2312"/>
          <w:b/>
          <w:bCs w:val="0"/>
          <w:sz w:val="32"/>
          <w:szCs w:val="32"/>
          <w:highlight w:val="none"/>
          <w:lang w:eastAsia="zh-CN"/>
        </w:rPr>
        <w:t>。</w:t>
      </w:r>
      <w:r>
        <w:rPr>
          <w:rFonts w:hint="eastAsia" w:ascii="仿宋_GB2312" w:hAnsi="华文宋体" w:eastAsia="仿宋_GB2312" w:cs="Times New Roman"/>
          <w:color w:val="auto"/>
          <w:kern w:val="0"/>
          <w:sz w:val="32"/>
          <w:szCs w:val="32"/>
          <w:highlight w:val="none"/>
          <w:lang w:val="en-US" w:eastAsia="zh-CN" w:bidi="ar-SA"/>
        </w:rPr>
        <w:t>截至2024年12月，</w:t>
      </w:r>
      <w:r>
        <w:rPr>
          <w:rFonts w:hint="eastAsia" w:ascii="仿宋_GB2312" w:hAnsi="华文宋体" w:cs="Times New Roman"/>
          <w:color w:val="auto"/>
          <w:kern w:val="0"/>
          <w:sz w:val="32"/>
          <w:szCs w:val="32"/>
          <w:highlight w:val="none"/>
          <w:lang w:val="en-US" w:eastAsia="zh-CN" w:bidi="ar-SA"/>
        </w:rPr>
        <w:t>支出以前年度</w:t>
      </w:r>
      <w:r>
        <w:rPr>
          <w:rFonts w:hint="eastAsia" w:ascii="仿宋_GB2312" w:hAnsi="华文宋体" w:eastAsia="仿宋_GB2312" w:cs="Times New Roman"/>
          <w:color w:val="auto"/>
          <w:kern w:val="0"/>
          <w:sz w:val="32"/>
          <w:szCs w:val="32"/>
          <w:highlight w:val="none"/>
          <w:lang w:val="en-US" w:eastAsia="zh-CN" w:bidi="ar-SA"/>
        </w:rPr>
        <w:t>中央财政困难群众救助补助资金（支持困难失能老年人基本养老服务救助方向）18.2204万元。</w:t>
      </w:r>
      <w:r>
        <w:rPr>
          <w:rFonts w:hint="eastAsia" w:ascii="仿宋_GB2312" w:hAnsi="华文宋体" w:cs="Times New Roman"/>
          <w:color w:val="auto"/>
          <w:kern w:val="0"/>
          <w:sz w:val="32"/>
          <w:szCs w:val="32"/>
          <w:highlight w:val="none"/>
          <w:lang w:val="en-US" w:eastAsia="zh-CN" w:bidi="ar-SA"/>
        </w:rPr>
        <w:t>当年资金因中央于</w:t>
      </w:r>
      <w:r>
        <w:rPr>
          <w:rFonts w:hint="eastAsia" w:ascii="仿宋_GB2312" w:hAnsi="华文宋体" w:eastAsia="仿宋_GB2312" w:cs="Times New Roman"/>
          <w:kern w:val="0"/>
          <w:sz w:val="32"/>
          <w:szCs w:val="32"/>
          <w:highlight w:val="none"/>
          <w:lang w:val="en-US" w:eastAsia="zh-CN" w:bidi="ar-SA"/>
        </w:rPr>
        <w:t>202</w:t>
      </w:r>
      <w:r>
        <w:rPr>
          <w:rFonts w:hint="eastAsia" w:ascii="仿宋_GB2312" w:hAnsi="华文宋体" w:cs="Times New Roman"/>
          <w:kern w:val="0"/>
          <w:sz w:val="32"/>
          <w:szCs w:val="32"/>
          <w:highlight w:val="none"/>
          <w:lang w:val="en-US" w:eastAsia="zh-CN" w:bidi="ar-SA"/>
        </w:rPr>
        <w:t>4</w:t>
      </w:r>
      <w:r>
        <w:rPr>
          <w:rFonts w:hint="eastAsia" w:ascii="仿宋_GB2312" w:hAnsi="华文宋体" w:eastAsia="仿宋_GB2312" w:cs="Times New Roman"/>
          <w:kern w:val="0"/>
          <w:sz w:val="32"/>
          <w:szCs w:val="32"/>
          <w:highlight w:val="none"/>
          <w:lang w:val="en-US" w:eastAsia="zh-CN" w:bidi="ar-SA"/>
        </w:rPr>
        <w:t>年</w:t>
      </w:r>
      <w:r>
        <w:rPr>
          <w:rFonts w:hint="eastAsia" w:ascii="仿宋_GB2312" w:hAnsi="华文宋体" w:cs="Times New Roman"/>
          <w:kern w:val="0"/>
          <w:sz w:val="32"/>
          <w:szCs w:val="32"/>
          <w:highlight w:val="none"/>
          <w:lang w:val="en-US" w:eastAsia="zh-CN" w:bidi="ar-SA"/>
        </w:rPr>
        <w:t>12</w:t>
      </w:r>
      <w:r>
        <w:rPr>
          <w:rFonts w:hint="eastAsia" w:ascii="仿宋_GB2312" w:hAnsi="华文宋体" w:eastAsia="仿宋_GB2312" w:cs="Times New Roman"/>
          <w:kern w:val="0"/>
          <w:sz w:val="32"/>
          <w:szCs w:val="32"/>
          <w:highlight w:val="none"/>
          <w:lang w:val="en-US" w:eastAsia="zh-CN" w:bidi="ar-SA"/>
        </w:rPr>
        <w:t>月</w:t>
      </w:r>
      <w:r>
        <w:rPr>
          <w:rFonts w:hint="eastAsia" w:ascii="仿宋_GB2312" w:hAnsi="华文宋体" w:cs="Times New Roman"/>
          <w:kern w:val="0"/>
          <w:sz w:val="32"/>
          <w:szCs w:val="32"/>
          <w:highlight w:val="none"/>
          <w:lang w:val="en-US" w:eastAsia="zh-CN" w:bidi="ar-SA"/>
        </w:rPr>
        <w:t>27</w:t>
      </w:r>
      <w:r>
        <w:rPr>
          <w:rFonts w:hint="eastAsia" w:ascii="仿宋_GB2312" w:hAnsi="华文宋体" w:eastAsia="仿宋_GB2312" w:cs="Times New Roman"/>
          <w:kern w:val="0"/>
          <w:sz w:val="32"/>
          <w:szCs w:val="32"/>
          <w:highlight w:val="none"/>
          <w:lang w:val="en-US" w:eastAsia="zh-CN" w:bidi="ar-SA"/>
        </w:rPr>
        <w:t>日</w:t>
      </w:r>
      <w:r>
        <w:rPr>
          <w:rFonts w:hint="eastAsia" w:ascii="仿宋_GB2312" w:hAnsi="华文宋体" w:cs="Times New Roman"/>
          <w:kern w:val="0"/>
          <w:sz w:val="32"/>
          <w:szCs w:val="32"/>
          <w:highlight w:val="none"/>
          <w:lang w:val="en-US" w:eastAsia="zh-CN" w:bidi="ar-SA"/>
        </w:rPr>
        <w:t>下达，未发生支出。</w:t>
      </w:r>
    </w:p>
    <w:p w14:paraId="2EDD929F">
      <w:pPr>
        <w:widowControl w:val="0"/>
        <w:wordWrap/>
        <w:adjustRightInd/>
        <w:snapToGrid/>
        <w:spacing w:line="560" w:lineRule="exact"/>
        <w:ind w:right="0" w:firstLine="640" w:firstLineChars="200"/>
        <w:jc w:val="both"/>
        <w:textAlignment w:val="auto"/>
        <w:outlineLvl w:val="0"/>
        <w:rPr>
          <w:rFonts w:hint="eastAsia" w:ascii="楷体_GB2312" w:hAnsi="楷体_GB2312" w:eastAsia="楷体_GB2312" w:cs="楷体_GB2312"/>
          <w:b w:val="0"/>
          <w:bCs w:val="0"/>
          <w:sz w:val="32"/>
          <w:szCs w:val="32"/>
          <w:highlight w:val="none"/>
          <w:lang w:val="en-US"/>
        </w:rPr>
      </w:pPr>
      <w:r>
        <w:rPr>
          <w:rFonts w:hint="eastAsia" w:ascii="楷体_GB2312" w:hAnsi="楷体_GB2312" w:eastAsia="楷体_GB2312" w:cs="楷体_GB2312"/>
          <w:b w:val="0"/>
          <w:bCs w:val="0"/>
          <w:sz w:val="32"/>
          <w:szCs w:val="32"/>
          <w:highlight w:val="none"/>
        </w:rPr>
        <w:t>（</w:t>
      </w:r>
      <w:r>
        <w:rPr>
          <w:rFonts w:hint="eastAsia" w:ascii="楷体_GB2312" w:hAnsi="楷体_GB2312" w:eastAsia="楷体_GB2312" w:cs="楷体_GB2312"/>
          <w:b w:val="0"/>
          <w:bCs w:val="0"/>
          <w:sz w:val="32"/>
          <w:szCs w:val="32"/>
          <w:highlight w:val="none"/>
          <w:lang w:val="en-US" w:eastAsia="zh-CN"/>
        </w:rPr>
        <w:t>三</w:t>
      </w:r>
      <w:r>
        <w:rPr>
          <w:rFonts w:hint="eastAsia" w:ascii="楷体_GB2312" w:hAnsi="楷体_GB2312" w:eastAsia="楷体_GB2312" w:cs="楷体_GB2312"/>
          <w:b w:val="0"/>
          <w:bCs w:val="0"/>
          <w:sz w:val="32"/>
          <w:szCs w:val="32"/>
          <w:highlight w:val="none"/>
          <w:lang w:val="en-US"/>
        </w:rPr>
        <w:t>）</w:t>
      </w:r>
      <w:r>
        <w:rPr>
          <w:rFonts w:hint="eastAsia" w:ascii="楷体_GB2312" w:hAnsi="楷体_GB2312" w:eastAsia="楷体_GB2312" w:cs="楷体_GB2312"/>
          <w:b w:val="0"/>
          <w:bCs w:val="0"/>
          <w:sz w:val="32"/>
          <w:szCs w:val="32"/>
          <w:highlight w:val="none"/>
        </w:rPr>
        <w:t>资金管理情况分析</w:t>
      </w:r>
      <w:r>
        <w:rPr>
          <w:rFonts w:hint="eastAsia" w:ascii="楷体_GB2312" w:hAnsi="楷体_GB2312" w:eastAsia="楷体_GB2312" w:cs="楷体_GB2312"/>
          <w:b w:val="0"/>
          <w:bCs w:val="0"/>
          <w:sz w:val="32"/>
          <w:szCs w:val="32"/>
          <w:highlight w:val="none"/>
          <w:lang w:val="en-US" w:eastAsia="zh-CN"/>
        </w:rPr>
        <w:t xml:space="preserve"> </w:t>
      </w:r>
    </w:p>
    <w:p w14:paraId="432EEB20">
      <w:pPr>
        <w:widowControl w:val="0"/>
        <w:wordWrap/>
        <w:adjustRightInd/>
        <w:snapToGrid/>
        <w:spacing w:line="560" w:lineRule="exact"/>
        <w:ind w:right="0" w:firstLine="643" w:firstLineChars="200"/>
        <w:jc w:val="both"/>
        <w:textAlignment w:val="auto"/>
        <w:rPr>
          <w:rFonts w:hint="eastAsia" w:ascii="仿宋_GB2312" w:hAnsi="华文宋体" w:eastAsia="仿宋_GB2312" w:cs="Times New Roman"/>
          <w:color w:val="auto"/>
          <w:kern w:val="0"/>
          <w:sz w:val="32"/>
          <w:szCs w:val="32"/>
          <w:highlight w:val="none"/>
          <w:lang w:val="en-US" w:eastAsia="zh-CN" w:bidi="ar-SA"/>
        </w:rPr>
      </w:pPr>
      <w:r>
        <w:rPr>
          <w:rFonts w:hint="default" w:ascii="仿宋_GB2312"/>
          <w:b/>
          <w:bCs/>
          <w:sz w:val="32"/>
          <w:szCs w:val="32"/>
          <w:highlight w:val="none"/>
        </w:rPr>
        <w:t>1.</w:t>
      </w:r>
      <w:r>
        <w:rPr>
          <w:rFonts w:hint="eastAsia" w:ascii="仿宋_GB2312"/>
          <w:b/>
          <w:bCs/>
          <w:sz w:val="32"/>
          <w:szCs w:val="32"/>
          <w:highlight w:val="none"/>
          <w:lang w:val="en-US"/>
        </w:rPr>
        <w:t>资金分配科学性。</w:t>
      </w:r>
      <w:r>
        <w:rPr>
          <w:rFonts w:hint="eastAsia" w:ascii="仿宋_GB2312" w:hAnsi="华文宋体" w:eastAsia="仿宋_GB2312" w:cs="Times New Roman"/>
          <w:color w:val="auto"/>
          <w:kern w:val="0"/>
          <w:sz w:val="32"/>
          <w:szCs w:val="32"/>
          <w:highlight w:val="none"/>
          <w:lang w:val="en-US" w:eastAsia="zh-CN" w:bidi="ar-SA"/>
        </w:rPr>
        <w:t>严格按照转移支付管理制度以及资金管理办法规定的范围和标准分配资金。</w:t>
      </w:r>
    </w:p>
    <w:p w14:paraId="0B9B0E76">
      <w:pPr>
        <w:widowControl w:val="0"/>
        <w:wordWrap/>
        <w:adjustRightInd/>
        <w:snapToGrid/>
        <w:spacing w:line="560" w:lineRule="exact"/>
        <w:ind w:right="0" w:firstLine="643" w:firstLineChars="200"/>
        <w:jc w:val="both"/>
        <w:textAlignment w:val="auto"/>
        <w:rPr>
          <w:rFonts w:hint="eastAsia" w:ascii="仿宋_GB2312"/>
          <w:b w:val="0"/>
          <w:bCs w:val="0"/>
          <w:sz w:val="32"/>
          <w:szCs w:val="32"/>
          <w:highlight w:val="none"/>
          <w:lang w:val="en-US"/>
        </w:rPr>
      </w:pPr>
      <w:r>
        <w:rPr>
          <w:rFonts w:hint="default" w:ascii="仿宋_GB2312"/>
          <w:b/>
          <w:bCs/>
          <w:sz w:val="32"/>
          <w:szCs w:val="32"/>
          <w:highlight w:val="none"/>
        </w:rPr>
        <w:t>2.</w:t>
      </w:r>
      <w:r>
        <w:rPr>
          <w:rFonts w:hint="eastAsia" w:ascii="仿宋_GB2312"/>
          <w:b/>
          <w:bCs/>
          <w:sz w:val="32"/>
          <w:szCs w:val="32"/>
          <w:highlight w:val="none"/>
          <w:lang w:val="en-US"/>
        </w:rPr>
        <w:t>资金下达及时性。</w:t>
      </w:r>
      <w:r>
        <w:rPr>
          <w:rFonts w:hint="eastAsia" w:ascii="仿宋_GB2312"/>
          <w:b w:val="0"/>
          <w:bCs w:val="0"/>
          <w:sz w:val="32"/>
          <w:szCs w:val="32"/>
          <w:highlight w:val="none"/>
          <w:lang w:val="en-US"/>
        </w:rPr>
        <w:t>严格按照预算法及其实施条例、转移支付管理制度规定以及资金管理办法规定的时限要求分解下达。</w:t>
      </w:r>
    </w:p>
    <w:p w14:paraId="142B2868">
      <w:pPr>
        <w:widowControl w:val="0"/>
        <w:wordWrap/>
        <w:adjustRightInd/>
        <w:snapToGrid/>
        <w:spacing w:line="560" w:lineRule="exact"/>
        <w:ind w:right="0" w:firstLine="643" w:firstLineChars="200"/>
        <w:jc w:val="both"/>
        <w:textAlignment w:val="auto"/>
        <w:rPr>
          <w:rFonts w:hint="eastAsia" w:ascii="仿宋_GB2312"/>
          <w:sz w:val="32"/>
          <w:szCs w:val="32"/>
          <w:highlight w:val="none"/>
          <w:lang w:val="en-US" w:eastAsia="zh-CN"/>
        </w:rPr>
      </w:pPr>
      <w:r>
        <w:rPr>
          <w:rFonts w:hint="default" w:ascii="仿宋_GB2312"/>
          <w:b/>
          <w:bCs/>
          <w:sz w:val="32"/>
          <w:szCs w:val="32"/>
          <w:highlight w:val="none"/>
        </w:rPr>
        <w:t>3.</w:t>
      </w:r>
      <w:r>
        <w:rPr>
          <w:rFonts w:hint="eastAsia" w:ascii="仿宋_GB2312"/>
          <w:b/>
          <w:bCs/>
          <w:sz w:val="32"/>
          <w:szCs w:val="32"/>
          <w:highlight w:val="none"/>
          <w:lang w:val="en-US"/>
        </w:rPr>
        <w:t>资金拨付合规性。</w:t>
      </w:r>
      <w:r>
        <w:rPr>
          <w:rFonts w:hint="eastAsia" w:ascii="仿宋_GB2312"/>
          <w:sz w:val="32"/>
          <w:szCs w:val="32"/>
          <w:highlight w:val="none"/>
          <w:lang w:val="en-US" w:eastAsia="zh-CN"/>
        </w:rPr>
        <w:t>严格按照国库集中支付制度有关规定支付资金，未发现违规将资金从国库转入财政专户或支付到预算单位实有资金账户等问题。</w:t>
      </w:r>
    </w:p>
    <w:p w14:paraId="509AFADC">
      <w:pPr>
        <w:widowControl w:val="0"/>
        <w:wordWrap/>
        <w:adjustRightInd/>
        <w:snapToGrid/>
        <w:spacing w:line="560" w:lineRule="exact"/>
        <w:ind w:right="0" w:firstLine="643" w:firstLineChars="200"/>
        <w:jc w:val="both"/>
        <w:textAlignment w:val="auto"/>
        <w:rPr>
          <w:rFonts w:hint="default" w:ascii="仿宋_GB2312"/>
          <w:sz w:val="32"/>
          <w:szCs w:val="32"/>
          <w:highlight w:val="none"/>
          <w:lang w:val="en-US"/>
        </w:rPr>
      </w:pPr>
      <w:r>
        <w:rPr>
          <w:rFonts w:hint="default" w:ascii="仿宋_GB2312"/>
          <w:b/>
          <w:bCs/>
          <w:sz w:val="32"/>
          <w:szCs w:val="32"/>
          <w:highlight w:val="none"/>
        </w:rPr>
        <w:t>4.</w:t>
      </w:r>
      <w:r>
        <w:rPr>
          <w:rFonts w:hint="eastAsia" w:ascii="仿宋_GB2312"/>
          <w:b/>
          <w:bCs/>
          <w:sz w:val="32"/>
          <w:szCs w:val="32"/>
          <w:highlight w:val="none"/>
          <w:lang w:val="en-US"/>
        </w:rPr>
        <w:t>资金使用规范性。</w:t>
      </w:r>
      <w:r>
        <w:rPr>
          <w:rFonts w:hint="eastAsia" w:ascii="仿宋_GB2312"/>
          <w:sz w:val="32"/>
          <w:szCs w:val="32"/>
          <w:highlight w:val="none"/>
          <w:lang w:val="en-US" w:eastAsia="zh-CN"/>
        </w:rPr>
        <w:t>严格按照下达预算的科目和项目执行，未出现截留、挤占、挪用或擅自调整等问题。</w:t>
      </w:r>
    </w:p>
    <w:p w14:paraId="6A1B6E35">
      <w:pPr>
        <w:widowControl w:val="0"/>
        <w:wordWrap/>
        <w:adjustRightInd/>
        <w:snapToGrid/>
        <w:spacing w:line="560" w:lineRule="exact"/>
        <w:ind w:right="0" w:firstLine="643" w:firstLineChars="200"/>
        <w:jc w:val="both"/>
        <w:textAlignment w:val="auto"/>
        <w:rPr>
          <w:rFonts w:hint="default" w:ascii="仿宋_GB2312"/>
          <w:sz w:val="32"/>
          <w:szCs w:val="32"/>
          <w:highlight w:val="none"/>
          <w:lang w:val="en-US" w:eastAsia="zh-CN"/>
        </w:rPr>
      </w:pPr>
      <w:r>
        <w:rPr>
          <w:rFonts w:hint="default" w:ascii="仿宋_GB2312"/>
          <w:b/>
          <w:bCs/>
          <w:sz w:val="32"/>
          <w:szCs w:val="32"/>
          <w:highlight w:val="none"/>
        </w:rPr>
        <w:t>5.</w:t>
      </w:r>
      <w:r>
        <w:rPr>
          <w:rFonts w:hint="eastAsia" w:ascii="仿宋_GB2312"/>
          <w:b/>
          <w:bCs/>
          <w:sz w:val="32"/>
          <w:szCs w:val="32"/>
          <w:highlight w:val="none"/>
          <w:lang w:val="en-US"/>
        </w:rPr>
        <w:t>资金执行准确性。</w:t>
      </w:r>
      <w:r>
        <w:rPr>
          <w:rFonts w:hint="eastAsia" w:ascii="仿宋_GB2312"/>
          <w:b w:val="0"/>
          <w:bCs w:val="0"/>
          <w:sz w:val="32"/>
          <w:szCs w:val="32"/>
          <w:highlight w:val="none"/>
          <w:lang w:val="en-US" w:eastAsia="zh-CN"/>
        </w:rPr>
        <w:t>按照上级下达和本级预算安排的金额执行，存在执行数偏离预算数较多的问题。</w:t>
      </w:r>
    </w:p>
    <w:p w14:paraId="7C08F795">
      <w:pPr>
        <w:widowControl w:val="0"/>
        <w:wordWrap/>
        <w:adjustRightInd/>
        <w:snapToGrid/>
        <w:spacing w:line="560" w:lineRule="exact"/>
        <w:ind w:right="0" w:firstLine="643" w:firstLineChars="200"/>
        <w:jc w:val="both"/>
        <w:textAlignment w:val="auto"/>
        <w:rPr>
          <w:rFonts w:hint="eastAsia" w:ascii="仿宋_GB2312" w:cs="Times New Roman"/>
          <w:kern w:val="2"/>
          <w:sz w:val="32"/>
          <w:szCs w:val="32"/>
          <w:highlight w:val="none"/>
          <w:lang w:val="en-US" w:eastAsia="zh-CN" w:bidi="ar"/>
        </w:rPr>
      </w:pPr>
      <w:r>
        <w:rPr>
          <w:rFonts w:hint="default" w:ascii="仿宋_GB2312"/>
          <w:b/>
          <w:bCs/>
          <w:sz w:val="32"/>
          <w:szCs w:val="32"/>
          <w:highlight w:val="none"/>
        </w:rPr>
        <w:t>6.</w:t>
      </w:r>
      <w:r>
        <w:rPr>
          <w:rFonts w:hint="eastAsia" w:ascii="仿宋_GB2312"/>
          <w:b/>
          <w:bCs/>
          <w:sz w:val="32"/>
          <w:szCs w:val="32"/>
          <w:highlight w:val="none"/>
          <w:lang w:val="en-US"/>
        </w:rPr>
        <w:t>预算绩效管理情况。</w:t>
      </w:r>
      <w:r>
        <w:rPr>
          <w:rFonts w:hint="eastAsia" w:ascii="仿宋_GB2312" w:hAnsi="Times New Roman" w:eastAsia="仿宋_GB2312" w:cs="Times New Roman"/>
          <w:kern w:val="2"/>
          <w:sz w:val="32"/>
          <w:szCs w:val="32"/>
          <w:highlight w:val="none"/>
          <w:lang w:val="en-US" w:eastAsia="zh-CN" w:bidi="ar"/>
        </w:rPr>
        <w:t>在细化下达预算时同步下达绩效目标，将有关资金纳入本级预算或对下转移支付绩效管理，</w:t>
      </w:r>
      <w:r>
        <w:rPr>
          <w:rFonts w:hint="eastAsia" w:ascii="仿宋_GB2312" w:cs="Times New Roman"/>
          <w:kern w:val="2"/>
          <w:sz w:val="32"/>
          <w:szCs w:val="32"/>
          <w:highlight w:val="none"/>
          <w:lang w:val="en-US" w:eastAsia="zh-CN" w:bidi="ar"/>
        </w:rPr>
        <w:t>组织开展绩效自评。</w:t>
      </w:r>
    </w:p>
    <w:p w14:paraId="6E73DB9A">
      <w:pPr>
        <w:widowControl w:val="0"/>
        <w:wordWrap/>
        <w:adjustRightInd/>
        <w:snapToGrid/>
        <w:spacing w:line="560" w:lineRule="exact"/>
        <w:ind w:right="0" w:firstLine="643" w:firstLineChars="200"/>
        <w:jc w:val="both"/>
        <w:textAlignment w:val="auto"/>
        <w:rPr>
          <w:rFonts w:hint="eastAsia" w:ascii="仿宋_GB2312"/>
          <w:sz w:val="32"/>
          <w:szCs w:val="32"/>
          <w:highlight w:val="none"/>
          <w:lang w:val="en-US" w:eastAsia="zh-CN"/>
        </w:rPr>
      </w:pPr>
      <w:r>
        <w:rPr>
          <w:rFonts w:hint="default" w:ascii="仿宋_GB2312"/>
          <w:b/>
          <w:bCs/>
          <w:sz w:val="32"/>
          <w:szCs w:val="32"/>
          <w:highlight w:val="none"/>
        </w:rPr>
        <w:t>7.</w:t>
      </w:r>
      <w:r>
        <w:rPr>
          <w:rFonts w:hint="eastAsia" w:ascii="仿宋_GB2312"/>
          <w:b/>
          <w:bCs/>
          <w:sz w:val="32"/>
          <w:szCs w:val="32"/>
          <w:highlight w:val="none"/>
          <w:lang w:val="en-US"/>
        </w:rPr>
        <w:t>支出责任履行情况。</w:t>
      </w:r>
      <w:r>
        <w:rPr>
          <w:rFonts w:hint="eastAsia" w:ascii="仿宋_GB2312" w:hAnsi="Times New Roman" w:eastAsia="仿宋_GB2312" w:cs="Times New Roman"/>
          <w:kern w:val="2"/>
          <w:sz w:val="32"/>
          <w:szCs w:val="32"/>
          <w:highlight w:val="none"/>
          <w:lang w:val="en-US" w:eastAsia="zh-CN" w:bidi="ar"/>
        </w:rPr>
        <w:t>对共同财政事权转移支付，按照财政事权和支出责任划分有关规定，足额安排资金履行本级支出责任。</w:t>
      </w:r>
    </w:p>
    <w:p w14:paraId="16A3EC98">
      <w:pPr>
        <w:widowControl/>
        <w:wordWrap/>
        <w:adjustRightInd/>
        <w:snapToGrid/>
        <w:spacing w:line="560" w:lineRule="exact"/>
        <w:ind w:right="0" w:firstLine="640" w:firstLineChars="200"/>
        <w:jc w:val="left"/>
        <w:textAlignment w:val="auto"/>
        <w:rPr>
          <w:rFonts w:hint="eastAsia" w:ascii="楷体_GB2312" w:hAnsi="楷体_GB2312" w:eastAsia="楷体_GB2312" w:cs="楷体_GB2312"/>
          <w:b w:val="0"/>
          <w:bCs w:val="0"/>
          <w:sz w:val="32"/>
          <w:szCs w:val="32"/>
          <w:highlight w:val="none"/>
          <w:lang w:val="en-US"/>
        </w:rPr>
      </w:pPr>
      <w:r>
        <w:rPr>
          <w:rFonts w:hint="eastAsia" w:ascii="黑体" w:hAnsi="黑体" w:eastAsia="黑体" w:cs="黑体"/>
          <w:bCs/>
          <w:sz w:val="32"/>
          <w:szCs w:val="32"/>
          <w:highlight w:val="none"/>
          <w:lang w:eastAsia="zh-CN"/>
        </w:rPr>
        <w:t>二、绩效目标实现情况</w:t>
      </w:r>
    </w:p>
    <w:p w14:paraId="0017BFDC">
      <w:pPr>
        <w:widowControl w:val="0"/>
        <w:wordWrap/>
        <w:adjustRightInd/>
        <w:snapToGrid/>
        <w:spacing w:line="560" w:lineRule="exact"/>
        <w:ind w:right="0" w:firstLine="640" w:firstLineChars="200"/>
        <w:jc w:val="both"/>
        <w:textAlignment w:val="auto"/>
        <w:rPr>
          <w:rFonts w:hint="eastAsia" w:ascii="仿宋_GB2312"/>
          <w:b w:val="0"/>
          <w:bCs w:val="0"/>
          <w:sz w:val="32"/>
          <w:szCs w:val="32"/>
          <w:highlight w:val="none"/>
          <w:lang w:val="en-US"/>
        </w:rPr>
      </w:pPr>
      <w:r>
        <w:rPr>
          <w:rFonts w:hint="eastAsia" w:ascii="楷体_GB2312" w:hAnsi="楷体_GB2312" w:eastAsia="楷体_GB2312" w:cs="楷体_GB2312"/>
          <w:b w:val="0"/>
          <w:bCs w:val="0"/>
          <w:sz w:val="32"/>
          <w:szCs w:val="32"/>
          <w:highlight w:val="none"/>
          <w:lang w:val="en-US"/>
        </w:rPr>
        <w:t>（</w:t>
      </w:r>
      <w:r>
        <w:rPr>
          <w:rFonts w:hint="eastAsia" w:ascii="楷体_GB2312" w:hAnsi="楷体_GB2312" w:eastAsia="楷体_GB2312" w:cs="楷体_GB2312"/>
          <w:b w:val="0"/>
          <w:bCs w:val="0"/>
          <w:sz w:val="32"/>
          <w:szCs w:val="32"/>
          <w:highlight w:val="none"/>
          <w:lang w:val="en-US" w:eastAsia="zh-CN"/>
        </w:rPr>
        <w:t>一</w:t>
      </w:r>
      <w:r>
        <w:rPr>
          <w:rFonts w:hint="eastAsia" w:ascii="楷体_GB2312" w:hAnsi="楷体_GB2312" w:eastAsia="楷体_GB2312" w:cs="楷体_GB2312"/>
          <w:b w:val="0"/>
          <w:bCs w:val="0"/>
          <w:sz w:val="32"/>
          <w:szCs w:val="32"/>
          <w:highlight w:val="none"/>
          <w:lang w:val="en-US"/>
        </w:rPr>
        <w:t>）总体绩效目标完成情况分析</w:t>
      </w:r>
      <w:r>
        <w:rPr>
          <w:rFonts w:hint="eastAsia" w:ascii="楷体_GB2312" w:hAnsi="楷体_GB2312" w:eastAsia="楷体_GB2312" w:cs="楷体_GB2312"/>
          <w:b w:val="0"/>
          <w:bCs w:val="0"/>
          <w:sz w:val="32"/>
          <w:szCs w:val="32"/>
          <w:highlight w:val="none"/>
          <w:lang w:val="en-US" w:eastAsia="zh-CN"/>
        </w:rPr>
        <w:t xml:space="preserve"> </w:t>
      </w:r>
    </w:p>
    <w:p w14:paraId="4552B37B">
      <w:pPr>
        <w:widowControl w:val="0"/>
        <w:wordWrap/>
        <w:adjustRightInd/>
        <w:snapToGrid/>
        <w:spacing w:line="560" w:lineRule="exact"/>
        <w:ind w:right="0" w:firstLine="640" w:firstLineChars="200"/>
        <w:jc w:val="both"/>
        <w:textAlignment w:val="auto"/>
        <w:rPr>
          <w:rFonts w:hint="eastAsia" w:ascii="仿宋_GB2312" w:hAnsi="华文宋体" w:cs="Times New Roman"/>
          <w:color w:val="auto"/>
          <w:kern w:val="0"/>
          <w:sz w:val="32"/>
          <w:szCs w:val="32"/>
          <w:highlight w:val="none"/>
          <w:lang w:val="en-US" w:eastAsia="zh-CN" w:bidi="ar-SA"/>
        </w:rPr>
      </w:pPr>
      <w:r>
        <w:rPr>
          <w:rFonts w:hint="eastAsia" w:ascii="仿宋_GB2312" w:hAnsi="华文宋体" w:cs="Times New Roman"/>
          <w:color w:val="auto"/>
          <w:kern w:val="0"/>
          <w:sz w:val="32"/>
          <w:szCs w:val="32"/>
          <w:highlight w:val="none"/>
          <w:lang w:val="en-US" w:eastAsia="zh-CN" w:bidi="ar-SA"/>
        </w:rPr>
        <w:t>2023年结转资金因前期北京市无相应失能等级，需修订政策后发放。2024年11月，对相关政策进行修订完善，截至2024年12月31日，共支出中央财政困难群众救助补助资金18.2204万元，结转资金使用率9.59%。</w:t>
      </w:r>
    </w:p>
    <w:p w14:paraId="208BDCB0">
      <w:pPr>
        <w:widowControl w:val="0"/>
        <w:wordWrap/>
        <w:adjustRightInd/>
        <w:snapToGrid/>
        <w:spacing w:line="560" w:lineRule="exact"/>
        <w:ind w:right="0" w:firstLine="640" w:firstLineChars="200"/>
        <w:jc w:val="both"/>
        <w:textAlignment w:val="auto"/>
        <w:outlineLvl w:val="0"/>
        <w:rPr>
          <w:rFonts w:hint="eastAsia" w:ascii="楷体_GB2312" w:hAnsi="楷体_GB2312" w:eastAsia="楷体_GB2312" w:cs="楷体_GB2312"/>
          <w:b w:val="0"/>
          <w:bCs w:val="0"/>
          <w:sz w:val="32"/>
          <w:szCs w:val="32"/>
          <w:highlight w:val="none"/>
        </w:rPr>
      </w:pPr>
      <w:r>
        <w:rPr>
          <w:rFonts w:hint="eastAsia" w:ascii="仿宋_GB2312" w:hAnsi="华文宋体" w:cs="Times New Roman"/>
          <w:color w:val="auto"/>
          <w:kern w:val="0"/>
          <w:sz w:val="32"/>
          <w:szCs w:val="32"/>
          <w:highlight w:val="none"/>
          <w:lang w:val="en-US" w:eastAsia="zh-CN" w:bidi="ar-SA"/>
        </w:rPr>
        <w:t>2024年度资金目前因市级相关转发文件正在与市财政局进行会签，相关资金暂未支出。待市级文件印发后，按要求督促各区执行。</w:t>
      </w:r>
    </w:p>
    <w:p w14:paraId="32B1438B">
      <w:pPr>
        <w:widowControl w:val="0"/>
        <w:wordWrap/>
        <w:adjustRightInd/>
        <w:snapToGrid/>
        <w:spacing w:line="560" w:lineRule="exact"/>
        <w:ind w:right="0" w:firstLine="640" w:firstLineChars="200"/>
        <w:jc w:val="both"/>
        <w:textAlignment w:val="auto"/>
        <w:outlineLvl w:val="0"/>
        <w:rPr>
          <w:rFonts w:hint="eastAsia" w:ascii="仿宋_GB2312" w:eastAsia="仿宋_GB2312"/>
          <w:sz w:val="32"/>
          <w:szCs w:val="32"/>
          <w:highlight w:val="none"/>
          <w:lang w:eastAsia="zh-CN"/>
        </w:rPr>
      </w:pPr>
      <w:r>
        <w:rPr>
          <w:rFonts w:hint="eastAsia" w:ascii="楷体_GB2312" w:hAnsi="楷体_GB2312" w:eastAsia="楷体_GB2312" w:cs="楷体_GB2312"/>
          <w:b w:val="0"/>
          <w:bCs w:val="0"/>
          <w:sz w:val="32"/>
          <w:szCs w:val="32"/>
          <w:highlight w:val="none"/>
        </w:rPr>
        <w:t>（</w:t>
      </w:r>
      <w:r>
        <w:rPr>
          <w:rFonts w:hint="eastAsia" w:ascii="楷体_GB2312" w:hAnsi="楷体_GB2312" w:eastAsia="楷体_GB2312" w:cs="楷体_GB2312"/>
          <w:b w:val="0"/>
          <w:bCs w:val="0"/>
          <w:sz w:val="32"/>
          <w:szCs w:val="32"/>
          <w:highlight w:val="none"/>
          <w:lang w:val="en-US" w:eastAsia="zh-CN"/>
        </w:rPr>
        <w:t>二</w:t>
      </w:r>
      <w:r>
        <w:rPr>
          <w:rFonts w:hint="eastAsia" w:ascii="楷体_GB2312" w:hAnsi="楷体_GB2312" w:eastAsia="楷体_GB2312" w:cs="楷体_GB2312"/>
          <w:b w:val="0"/>
          <w:bCs w:val="0"/>
          <w:sz w:val="32"/>
          <w:szCs w:val="32"/>
          <w:highlight w:val="none"/>
        </w:rPr>
        <w:t>）绩效指标完成情况分析</w:t>
      </w:r>
    </w:p>
    <w:p w14:paraId="150D7195">
      <w:pPr>
        <w:widowControl w:val="0"/>
        <w:wordWrap/>
        <w:adjustRightInd/>
        <w:snapToGrid/>
        <w:spacing w:line="560" w:lineRule="exact"/>
        <w:ind w:right="0" w:firstLine="643" w:firstLineChars="200"/>
        <w:jc w:val="both"/>
        <w:textAlignment w:val="auto"/>
        <w:rPr>
          <w:rFonts w:ascii="仿宋_GB2312"/>
          <w:b/>
          <w:bCs/>
          <w:sz w:val="32"/>
          <w:szCs w:val="32"/>
          <w:highlight w:val="none"/>
        </w:rPr>
      </w:pPr>
      <w:r>
        <w:rPr>
          <w:rFonts w:hint="eastAsia" w:ascii="仿宋_GB2312"/>
          <w:b/>
          <w:bCs/>
          <w:sz w:val="32"/>
          <w:szCs w:val="32"/>
          <w:highlight w:val="none"/>
        </w:rPr>
        <w:t>1.产出指标完成情况分析。</w:t>
      </w:r>
    </w:p>
    <w:p w14:paraId="27E5E4AD">
      <w:pPr>
        <w:widowControl w:val="0"/>
        <w:wordWrap/>
        <w:adjustRightInd/>
        <w:snapToGrid/>
        <w:spacing w:line="560" w:lineRule="exact"/>
        <w:ind w:right="0" w:firstLine="640" w:firstLineChars="200"/>
        <w:jc w:val="both"/>
        <w:textAlignment w:val="auto"/>
        <w:rPr>
          <w:rFonts w:ascii="仿宋_GB2312"/>
          <w:sz w:val="32"/>
          <w:szCs w:val="32"/>
          <w:highlight w:val="none"/>
        </w:rPr>
      </w:pPr>
      <w:r>
        <w:rPr>
          <w:rFonts w:hint="eastAsia" w:ascii="仿宋_GB2312"/>
          <w:sz w:val="32"/>
          <w:szCs w:val="32"/>
          <w:highlight w:val="none"/>
        </w:rPr>
        <w:t>（1）数量指标。补助标准实际到位率（即保障对象在享受差额补助金后的各项生活补贴和护理补贴之和与当地特困人员集中供养补助标准之比）</w:t>
      </w:r>
      <w:r>
        <w:rPr>
          <w:rFonts w:hint="eastAsia" w:ascii="仿宋_GB2312"/>
          <w:sz w:val="32"/>
          <w:szCs w:val="32"/>
          <w:highlight w:val="none"/>
          <w:lang w:val="en-US" w:eastAsia="zh-CN"/>
        </w:rPr>
        <w:t>为100</w:t>
      </w:r>
      <w:r>
        <w:rPr>
          <w:rFonts w:hint="eastAsia" w:ascii="仿宋_GB2312"/>
          <w:sz w:val="32"/>
          <w:szCs w:val="32"/>
          <w:highlight w:val="none"/>
        </w:rPr>
        <w:t>%</w:t>
      </w:r>
      <w:r>
        <w:rPr>
          <w:rFonts w:hint="eastAsia" w:ascii="仿宋_GB2312"/>
          <w:sz w:val="32"/>
          <w:szCs w:val="32"/>
          <w:highlight w:val="none"/>
          <w:lang w:eastAsia="zh-CN"/>
        </w:rPr>
        <w:t>，</w:t>
      </w:r>
      <w:r>
        <w:rPr>
          <w:rFonts w:hint="eastAsia" w:ascii="仿宋_GB2312"/>
          <w:sz w:val="32"/>
          <w:szCs w:val="32"/>
          <w:highlight w:val="none"/>
          <w:lang w:val="en-US" w:eastAsia="zh-CN"/>
        </w:rPr>
        <w:t>已完成；依据老年人能力评估规范国家标准，对申请享受救助待遇的救助对象开展综合能力评估的覆盖率为100%</w:t>
      </w:r>
      <w:r>
        <w:rPr>
          <w:rFonts w:hint="default" w:ascii="仿宋_GB2312"/>
          <w:sz w:val="32"/>
          <w:szCs w:val="32"/>
          <w:highlight w:val="none"/>
          <w:lang w:val="en-US" w:eastAsia="zh-CN"/>
        </w:rPr>
        <w:t>，</w:t>
      </w:r>
      <w:r>
        <w:rPr>
          <w:rFonts w:hint="eastAsia" w:ascii="仿宋_GB2312"/>
          <w:sz w:val="32"/>
          <w:szCs w:val="32"/>
          <w:highlight w:val="none"/>
          <w:lang w:val="en-US" w:eastAsia="zh-CN"/>
        </w:rPr>
        <w:t>已完成。</w:t>
      </w:r>
    </w:p>
    <w:p w14:paraId="7BCE3802">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ascii="仿宋_GB2312"/>
          <w:sz w:val="32"/>
          <w:szCs w:val="32"/>
          <w:highlight w:val="none"/>
        </w:rPr>
      </w:pPr>
      <w:r>
        <w:rPr>
          <w:rFonts w:hint="eastAsia" w:ascii="仿宋_GB2312"/>
          <w:sz w:val="32"/>
          <w:szCs w:val="32"/>
          <w:highlight w:val="none"/>
        </w:rPr>
        <w:t>（2）质量指标。符合条件且自愿申请入住的老年人等群体当年纳入救助保障范围（含纳入轮候机制）</w:t>
      </w:r>
      <w:r>
        <w:rPr>
          <w:rFonts w:hint="eastAsia" w:ascii="仿宋_GB2312"/>
          <w:sz w:val="32"/>
          <w:szCs w:val="32"/>
          <w:highlight w:val="none"/>
          <w:lang w:eastAsia="zh-CN"/>
        </w:rPr>
        <w:t>为</w:t>
      </w:r>
      <w:r>
        <w:rPr>
          <w:rFonts w:hint="eastAsia" w:ascii="仿宋_GB2312"/>
          <w:sz w:val="32"/>
          <w:szCs w:val="32"/>
          <w:highlight w:val="none"/>
          <w:lang w:val="en-US" w:eastAsia="zh-CN"/>
        </w:rPr>
        <w:t>100%</w:t>
      </w:r>
      <w:r>
        <w:rPr>
          <w:rFonts w:hint="eastAsia" w:ascii="仿宋_GB2312"/>
          <w:sz w:val="32"/>
          <w:szCs w:val="32"/>
          <w:highlight w:val="none"/>
          <w:lang w:eastAsia="zh-CN"/>
        </w:rPr>
        <w:t>，</w:t>
      </w:r>
      <w:r>
        <w:rPr>
          <w:rFonts w:hint="eastAsia" w:ascii="仿宋_GB2312"/>
          <w:sz w:val="32"/>
          <w:szCs w:val="32"/>
          <w:highlight w:val="none"/>
          <w:lang w:val="en-US" w:eastAsia="zh-CN"/>
        </w:rPr>
        <w:t>已完成；</w:t>
      </w:r>
      <w:r>
        <w:rPr>
          <w:rFonts w:hint="eastAsia" w:ascii="仿宋_GB2312"/>
          <w:sz w:val="32"/>
          <w:szCs w:val="32"/>
          <w:highlight w:val="none"/>
        </w:rPr>
        <w:t>养老机构护理人员人数与入住的失能老年人等群体人数的比例</w:t>
      </w:r>
      <w:r>
        <w:rPr>
          <w:rFonts w:hint="eastAsia" w:ascii="仿宋_GB2312"/>
          <w:sz w:val="32"/>
          <w:szCs w:val="32"/>
          <w:highlight w:val="none"/>
          <w:lang w:val="en-US" w:eastAsia="zh-CN"/>
        </w:rPr>
        <w:t>为37.86</w:t>
      </w:r>
      <w:r>
        <w:rPr>
          <w:rFonts w:hint="eastAsia" w:ascii="仿宋_GB2312"/>
          <w:sz w:val="32"/>
          <w:szCs w:val="32"/>
          <w:highlight w:val="none"/>
        </w:rPr>
        <w:t>%</w:t>
      </w:r>
      <w:r>
        <w:rPr>
          <w:rFonts w:hint="eastAsia" w:ascii="仿宋_GB2312"/>
          <w:sz w:val="32"/>
          <w:szCs w:val="32"/>
          <w:highlight w:val="none"/>
          <w:lang w:eastAsia="zh-CN"/>
        </w:rPr>
        <w:t>，</w:t>
      </w:r>
      <w:r>
        <w:rPr>
          <w:rFonts w:hint="eastAsia" w:ascii="仿宋_GB2312"/>
          <w:sz w:val="32"/>
          <w:szCs w:val="32"/>
          <w:highlight w:val="none"/>
          <w:lang w:val="en-US" w:eastAsia="zh-CN"/>
        </w:rPr>
        <w:t>达预期目标。</w:t>
      </w:r>
    </w:p>
    <w:p w14:paraId="060CE73C">
      <w:pPr>
        <w:widowControl w:val="0"/>
        <w:wordWrap/>
        <w:adjustRightInd/>
        <w:snapToGrid/>
        <w:spacing w:line="560" w:lineRule="exact"/>
        <w:ind w:right="0"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rPr>
        <w:t>（3）时效指标。向本行政区域县级以上财政部门下达中央财政困难失能老年人等群体基本养老服务救助补助资金≤30日</w:t>
      </w:r>
      <w:r>
        <w:rPr>
          <w:rFonts w:hint="eastAsia" w:ascii="仿宋_GB2312"/>
          <w:sz w:val="32"/>
          <w:szCs w:val="32"/>
          <w:highlight w:val="none"/>
          <w:lang w:eastAsia="zh-CN"/>
        </w:rPr>
        <w:t>，</w:t>
      </w:r>
      <w:r>
        <w:rPr>
          <w:rFonts w:hint="eastAsia" w:ascii="仿宋_GB2312"/>
          <w:sz w:val="32"/>
          <w:szCs w:val="32"/>
          <w:highlight w:val="none"/>
          <w:lang w:val="en-US" w:eastAsia="zh-CN"/>
        </w:rPr>
        <w:t>已完成；</w:t>
      </w:r>
      <w:r>
        <w:rPr>
          <w:rFonts w:hint="eastAsia" w:ascii="仿宋_GB2312"/>
          <w:sz w:val="32"/>
          <w:szCs w:val="32"/>
          <w:highlight w:val="none"/>
        </w:rPr>
        <w:t>补助资金按时发放率</w:t>
      </w:r>
      <w:r>
        <w:rPr>
          <w:rFonts w:hint="eastAsia" w:ascii="仿宋_GB2312"/>
          <w:sz w:val="32"/>
          <w:szCs w:val="32"/>
          <w:highlight w:val="none"/>
          <w:lang w:val="en-US" w:eastAsia="zh-CN"/>
        </w:rPr>
        <w:t>为100</w:t>
      </w:r>
      <w:r>
        <w:rPr>
          <w:rFonts w:hint="eastAsia" w:ascii="仿宋_GB2312"/>
          <w:sz w:val="32"/>
          <w:szCs w:val="32"/>
          <w:highlight w:val="none"/>
        </w:rPr>
        <w:t>%</w:t>
      </w:r>
      <w:r>
        <w:rPr>
          <w:rFonts w:hint="eastAsia" w:ascii="仿宋_GB2312"/>
          <w:sz w:val="32"/>
          <w:szCs w:val="32"/>
          <w:highlight w:val="none"/>
          <w:lang w:eastAsia="zh-CN"/>
        </w:rPr>
        <w:t>，</w:t>
      </w:r>
      <w:r>
        <w:rPr>
          <w:rFonts w:hint="eastAsia" w:ascii="仿宋_GB2312"/>
          <w:sz w:val="32"/>
          <w:szCs w:val="32"/>
          <w:highlight w:val="none"/>
          <w:lang w:val="en-US" w:eastAsia="zh-CN"/>
        </w:rPr>
        <w:t>已完成；</w:t>
      </w:r>
      <w:r>
        <w:rPr>
          <w:rFonts w:hint="eastAsia" w:ascii="仿宋_GB2312"/>
          <w:sz w:val="32"/>
          <w:szCs w:val="32"/>
          <w:highlight w:val="none"/>
        </w:rPr>
        <w:t>补助发放和服务情况及时录入全国养老服务信息系统率</w:t>
      </w:r>
      <w:r>
        <w:rPr>
          <w:rFonts w:hint="eastAsia" w:ascii="仿宋_GB2312"/>
          <w:sz w:val="32"/>
          <w:szCs w:val="32"/>
          <w:highlight w:val="none"/>
          <w:lang w:val="en-US" w:eastAsia="zh-CN"/>
        </w:rPr>
        <w:t>为87.64</w:t>
      </w:r>
      <w:r>
        <w:rPr>
          <w:rFonts w:hint="eastAsia" w:ascii="仿宋_GB2312"/>
          <w:sz w:val="32"/>
          <w:szCs w:val="32"/>
          <w:highlight w:val="none"/>
        </w:rPr>
        <w:t>%</w:t>
      </w:r>
      <w:r>
        <w:rPr>
          <w:rFonts w:hint="eastAsia" w:ascii="仿宋_GB2312"/>
          <w:sz w:val="32"/>
          <w:szCs w:val="32"/>
          <w:highlight w:val="none"/>
          <w:lang w:eastAsia="zh-CN"/>
        </w:rPr>
        <w:t>，</w:t>
      </w:r>
      <w:r>
        <w:rPr>
          <w:rFonts w:hint="eastAsia" w:ascii="仿宋_GB2312"/>
          <w:sz w:val="32"/>
          <w:szCs w:val="32"/>
          <w:highlight w:val="none"/>
          <w:lang w:val="en-US" w:eastAsia="zh-CN"/>
        </w:rPr>
        <w:t>未完成。</w:t>
      </w:r>
    </w:p>
    <w:p w14:paraId="5F8C3BE1">
      <w:pPr>
        <w:widowControl w:val="0"/>
        <w:wordWrap/>
        <w:adjustRightInd/>
        <w:snapToGrid/>
        <w:spacing w:line="560" w:lineRule="exact"/>
        <w:ind w:right="0"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（4）成本指标。被集中照护的老年人人均补助标准为2558.2元，达预期目标。</w:t>
      </w:r>
    </w:p>
    <w:p w14:paraId="030CB65A">
      <w:pPr>
        <w:widowControl w:val="0"/>
        <w:wordWrap/>
        <w:adjustRightInd/>
        <w:snapToGrid/>
        <w:spacing w:line="560" w:lineRule="exact"/>
        <w:ind w:right="0" w:firstLine="643" w:firstLineChars="200"/>
        <w:jc w:val="both"/>
        <w:textAlignment w:val="auto"/>
        <w:rPr>
          <w:rFonts w:ascii="仿宋_GB2312"/>
          <w:b/>
          <w:bCs/>
          <w:sz w:val="32"/>
          <w:szCs w:val="32"/>
          <w:highlight w:val="none"/>
        </w:rPr>
      </w:pPr>
      <w:r>
        <w:rPr>
          <w:rFonts w:hint="eastAsia" w:ascii="仿宋_GB2312"/>
          <w:b/>
          <w:bCs/>
          <w:sz w:val="32"/>
          <w:szCs w:val="32"/>
          <w:highlight w:val="none"/>
        </w:rPr>
        <w:t>2.效益指标完成情况分析。</w:t>
      </w:r>
    </w:p>
    <w:p w14:paraId="03C0E026">
      <w:pPr>
        <w:widowControl w:val="0"/>
        <w:wordWrap/>
        <w:adjustRightInd/>
        <w:snapToGrid/>
        <w:spacing w:line="560" w:lineRule="exact"/>
        <w:ind w:right="0" w:firstLine="640" w:firstLineChars="200"/>
        <w:jc w:val="both"/>
        <w:textAlignment w:val="auto"/>
        <w:rPr>
          <w:rFonts w:hint="default" w:ascii="仿宋_GB2312"/>
          <w:sz w:val="32"/>
          <w:szCs w:val="32"/>
          <w:highlight w:val="none"/>
          <w:lang w:val="en-US" w:eastAsia="zh-CN"/>
        </w:rPr>
      </w:pPr>
      <w:r>
        <w:rPr>
          <w:rFonts w:hint="eastAsia" w:ascii="仿宋_GB2312"/>
          <w:sz w:val="32"/>
          <w:szCs w:val="32"/>
          <w:highlight w:val="none"/>
        </w:rPr>
        <w:t>（1）社会效益。</w:t>
      </w:r>
      <w:r>
        <w:rPr>
          <w:rFonts w:hint="eastAsia" w:ascii="仿宋_GB2312"/>
          <w:sz w:val="32"/>
          <w:szCs w:val="32"/>
          <w:highlight w:val="none"/>
          <w:lang w:val="en-US" w:eastAsia="zh-CN"/>
        </w:rPr>
        <w:t>经济困难老年人等群体基本养老服务救助政策在当地的知晓率为99.26%，达预期目标。</w:t>
      </w:r>
    </w:p>
    <w:p w14:paraId="503232CB">
      <w:pPr>
        <w:widowControl w:val="0"/>
        <w:wordWrap/>
        <w:adjustRightInd/>
        <w:snapToGrid/>
        <w:spacing w:line="560" w:lineRule="exact"/>
        <w:ind w:right="0" w:firstLine="643" w:firstLineChars="200"/>
        <w:jc w:val="both"/>
        <w:textAlignment w:val="auto"/>
        <w:rPr>
          <w:rFonts w:hint="eastAsia" w:ascii="仿宋_GB2312"/>
          <w:b/>
          <w:bCs/>
          <w:sz w:val="32"/>
          <w:szCs w:val="32"/>
          <w:highlight w:val="none"/>
        </w:rPr>
      </w:pPr>
      <w:r>
        <w:rPr>
          <w:rFonts w:hint="eastAsia" w:ascii="仿宋_GB2312"/>
          <w:b/>
          <w:bCs/>
          <w:sz w:val="32"/>
          <w:szCs w:val="32"/>
          <w:highlight w:val="none"/>
        </w:rPr>
        <w:t>3.满意度指标完成情况分析。</w:t>
      </w:r>
    </w:p>
    <w:p w14:paraId="18A6999F">
      <w:pPr>
        <w:widowControl w:val="0"/>
        <w:wordWrap/>
        <w:adjustRightInd/>
        <w:snapToGrid/>
        <w:spacing w:line="560" w:lineRule="exact"/>
        <w:ind w:right="0"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lang w:eastAsia="zh-CN"/>
        </w:rPr>
        <w:t>（</w:t>
      </w:r>
      <w:r>
        <w:rPr>
          <w:rFonts w:hint="eastAsia" w:ascii="仿宋_GB2312"/>
          <w:sz w:val="32"/>
          <w:szCs w:val="32"/>
          <w:highlight w:val="none"/>
          <w:lang w:val="en-US" w:eastAsia="zh-CN"/>
        </w:rPr>
        <w:t>1）</w:t>
      </w:r>
      <w:r>
        <w:rPr>
          <w:rFonts w:hint="eastAsia" w:ascii="仿宋_GB2312"/>
          <w:sz w:val="32"/>
          <w:szCs w:val="32"/>
          <w:highlight w:val="none"/>
        </w:rPr>
        <w:t>服务对象满意度指标</w:t>
      </w:r>
      <w:r>
        <w:rPr>
          <w:rFonts w:hint="eastAsia" w:ascii="仿宋_GB2312"/>
          <w:sz w:val="32"/>
          <w:szCs w:val="32"/>
          <w:highlight w:val="none"/>
          <w:lang w:eastAsia="zh-CN"/>
        </w:rPr>
        <w:t>。</w:t>
      </w:r>
      <w:r>
        <w:rPr>
          <w:rFonts w:hint="eastAsia" w:ascii="仿宋_GB2312"/>
          <w:sz w:val="32"/>
          <w:szCs w:val="32"/>
          <w:highlight w:val="none"/>
          <w:lang w:val="en-US" w:eastAsia="zh-CN"/>
        </w:rPr>
        <w:t>补助对象对集中照护政策实施的满意度为95.47%，达预期目标。</w:t>
      </w:r>
    </w:p>
    <w:p w14:paraId="023B5DA5">
      <w:pPr>
        <w:widowControl w:val="0"/>
        <w:wordWrap/>
        <w:adjustRightInd/>
        <w:snapToGrid/>
        <w:spacing w:line="560" w:lineRule="exact"/>
        <w:ind w:right="0" w:firstLine="640" w:firstLineChars="200"/>
        <w:jc w:val="both"/>
        <w:textAlignment w:val="auto"/>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三</w:t>
      </w:r>
      <w:r>
        <w:rPr>
          <w:rFonts w:hint="eastAsia" w:ascii="黑体" w:hAnsi="黑体" w:eastAsia="黑体" w:cs="黑体"/>
          <w:bCs/>
          <w:sz w:val="32"/>
          <w:szCs w:val="32"/>
          <w:highlight w:val="none"/>
        </w:rPr>
        <w:t>、</w:t>
      </w:r>
      <w:r>
        <w:rPr>
          <w:rFonts w:hint="eastAsia" w:ascii="黑体" w:hAnsi="黑体" w:eastAsia="黑体" w:cs="黑体"/>
          <w:bCs/>
          <w:sz w:val="32"/>
          <w:szCs w:val="32"/>
          <w:highlight w:val="none"/>
          <w:lang w:val="en-US" w:eastAsia="zh-CN"/>
        </w:rPr>
        <w:t>绩效自评结论</w:t>
      </w:r>
    </w:p>
    <w:p w14:paraId="786F243F">
      <w:pPr>
        <w:widowControl w:val="0"/>
        <w:wordWrap/>
        <w:adjustRightInd/>
        <w:snapToGrid/>
        <w:spacing w:line="560" w:lineRule="exact"/>
        <w:ind w:right="0" w:firstLine="640" w:firstLineChars="200"/>
        <w:jc w:val="both"/>
        <w:textAlignment w:val="auto"/>
        <w:rPr>
          <w:rFonts w:hint="eastAsia" w:ascii="仿宋_GB2312" w:hAnsi="仿宋_GB2312" w:cs="仿宋_GB2312"/>
          <w:b w:val="0"/>
          <w:bCs/>
          <w:sz w:val="32"/>
          <w:szCs w:val="32"/>
          <w:highlight w:val="none"/>
          <w:lang w:eastAsia="zh-CN"/>
        </w:rPr>
      </w:pPr>
      <w:r>
        <w:rPr>
          <w:rFonts w:hint="eastAsia" w:ascii="楷体_GB2312" w:hAnsi="楷体_GB2312" w:eastAsia="楷体_GB2312" w:cs="楷体_GB2312"/>
          <w:b w:val="0"/>
          <w:bCs/>
          <w:sz w:val="32"/>
          <w:szCs w:val="32"/>
          <w:highlight w:val="none"/>
          <w:lang w:val="en-US" w:eastAsia="zh-CN"/>
        </w:rPr>
        <w:t>（一）存在的问题和原因分析</w:t>
      </w:r>
    </w:p>
    <w:p w14:paraId="4DD6CDC7">
      <w:pPr>
        <w:widowControl/>
        <w:numPr>
          <w:ilvl w:val="0"/>
          <w:numId w:val="0"/>
        </w:numPr>
        <w:wordWrap/>
        <w:adjustRightInd/>
        <w:snapToGrid/>
        <w:spacing w:line="560" w:lineRule="exact"/>
        <w:ind w:right="0" w:firstLine="640" w:firstLineChars="200"/>
        <w:jc w:val="left"/>
        <w:textAlignment w:val="auto"/>
        <w:rPr>
          <w:rFonts w:hint="eastAsia" w:ascii="仿宋_GB2312" w:hAnsi="仿宋_GB2312" w:cs="仿宋_GB2312"/>
          <w:b w:val="0"/>
          <w:bCs w:val="0"/>
          <w:kern w:val="0"/>
          <w:sz w:val="32"/>
          <w:szCs w:val="32"/>
          <w:highlight w:val="none"/>
          <w:lang w:val="en-US" w:eastAsia="zh-CN"/>
        </w:rPr>
      </w:pPr>
      <w:r>
        <w:rPr>
          <w:rFonts w:hint="eastAsia" w:ascii="仿宋_GB2312" w:hAnsi="仿宋_GB2312" w:cs="仿宋_GB2312"/>
          <w:b w:val="0"/>
          <w:bCs w:val="0"/>
          <w:kern w:val="0"/>
          <w:sz w:val="32"/>
          <w:szCs w:val="32"/>
          <w:highlight w:val="none"/>
          <w:lang w:val="en-US" w:eastAsia="zh-CN"/>
        </w:rPr>
        <w:t>1.</w:t>
      </w:r>
      <w:r>
        <w:rPr>
          <w:rFonts w:hint="eastAsia" w:ascii="仿宋_GB2312" w:hAnsi="华文宋体" w:cs="Times New Roman"/>
          <w:color w:val="auto"/>
          <w:kern w:val="0"/>
          <w:sz w:val="32"/>
          <w:szCs w:val="32"/>
          <w:highlight w:val="none"/>
          <w:lang w:val="en-US" w:eastAsia="zh-CN" w:bidi="ar-SA"/>
        </w:rPr>
        <w:t>2023年结转资金因前期北京市无相应失能等级，需修订政策后发放。</w:t>
      </w:r>
      <w:r>
        <w:rPr>
          <w:rFonts w:hint="eastAsia" w:ascii="仿宋_GB2312" w:hAnsi="仿宋_GB2312" w:cs="仿宋_GB2312"/>
          <w:b w:val="0"/>
          <w:bCs w:val="0"/>
          <w:kern w:val="0"/>
          <w:sz w:val="32"/>
          <w:szCs w:val="32"/>
          <w:highlight w:val="none"/>
          <w:lang w:val="en-US" w:eastAsia="zh-CN"/>
        </w:rPr>
        <w:t>2024年11月，对相关政策进行修订完善，截至2024年12月31日，共支出中央财政困难群众救助补助资金18.2204万元，年度资金使用率9.59%。</w:t>
      </w:r>
    </w:p>
    <w:p w14:paraId="154567B2">
      <w:pPr>
        <w:widowControl/>
        <w:numPr>
          <w:ilvl w:val="0"/>
          <w:numId w:val="0"/>
        </w:numPr>
        <w:wordWrap/>
        <w:adjustRightInd/>
        <w:snapToGrid/>
        <w:spacing w:line="560" w:lineRule="exact"/>
        <w:ind w:right="0" w:firstLine="640" w:firstLineChars="200"/>
        <w:jc w:val="left"/>
        <w:textAlignment w:val="auto"/>
        <w:rPr>
          <w:rFonts w:hint="eastAsia" w:ascii="仿宋_GB2312" w:hAnsi="仿宋_GB2312" w:cs="仿宋_GB2312"/>
          <w:b w:val="0"/>
          <w:bCs w:val="0"/>
          <w:kern w:val="0"/>
          <w:sz w:val="32"/>
          <w:szCs w:val="32"/>
          <w:highlight w:val="none"/>
          <w:lang w:val="en-US" w:eastAsia="zh-CN"/>
        </w:rPr>
      </w:pPr>
      <w:r>
        <w:rPr>
          <w:rFonts w:hint="eastAsia" w:ascii="仿宋_GB2312" w:hAnsi="仿宋_GB2312" w:cs="仿宋_GB2312"/>
          <w:b w:val="0"/>
          <w:bCs w:val="0"/>
          <w:kern w:val="0"/>
          <w:sz w:val="32"/>
          <w:szCs w:val="32"/>
          <w:highlight w:val="none"/>
          <w:lang w:val="en-US" w:eastAsia="zh-CN"/>
        </w:rPr>
        <w:t>2.2024年资金目前因市级相关转发文件正在与市财政局进行会签，相关资金暂未支出。待市级文件印发后，按要求督促各区执行。</w:t>
      </w:r>
    </w:p>
    <w:p w14:paraId="61613E01">
      <w:pPr>
        <w:widowControl/>
        <w:numPr>
          <w:ilvl w:val="0"/>
          <w:numId w:val="0"/>
        </w:numPr>
        <w:spacing w:line="560" w:lineRule="exact"/>
        <w:ind w:firstLine="640" w:firstLineChars="200"/>
        <w:jc w:val="left"/>
        <w:rPr>
          <w:rFonts w:hint="eastAsia" w:ascii="仿宋_GB2312" w:hAnsi="仿宋_GB2312" w:cs="仿宋_GB2312"/>
          <w:kern w:val="0"/>
          <w:sz w:val="32"/>
          <w:szCs w:val="32"/>
          <w:highlight w:val="none"/>
          <w:lang w:val="en-US" w:eastAsia="zh-CN"/>
        </w:rPr>
      </w:pPr>
      <w:r>
        <w:rPr>
          <w:rFonts w:hint="eastAsia" w:ascii="仿宋_GB2312" w:hAnsi="仿宋_GB2312" w:cs="仿宋_GB2312"/>
          <w:b w:val="0"/>
          <w:bCs w:val="0"/>
          <w:kern w:val="0"/>
          <w:sz w:val="32"/>
          <w:szCs w:val="32"/>
          <w:highlight w:val="none"/>
          <w:lang w:val="en-US" w:eastAsia="zh-CN"/>
        </w:rPr>
        <w:t>3.石景山区养老机构个别入住信息需核准后再上传。</w:t>
      </w:r>
    </w:p>
    <w:p w14:paraId="7CCA0DA2">
      <w:pPr>
        <w:numPr>
          <w:ilvl w:val="0"/>
          <w:numId w:val="2"/>
        </w:numPr>
        <w:spacing w:line="560" w:lineRule="exact"/>
        <w:ind w:firstLine="640" w:firstLineChars="200"/>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val="en-US" w:eastAsia="zh-CN"/>
        </w:rPr>
        <w:t>下一步</w:t>
      </w:r>
      <w:r>
        <w:rPr>
          <w:rFonts w:hint="eastAsia" w:ascii="楷体_GB2312" w:hAnsi="楷体_GB2312" w:eastAsia="楷体_GB2312" w:cs="楷体_GB2312"/>
          <w:b w:val="0"/>
          <w:bCs/>
          <w:sz w:val="32"/>
          <w:szCs w:val="32"/>
          <w:highlight w:val="none"/>
          <w:lang w:eastAsia="zh-CN"/>
        </w:rPr>
        <w:t>改进措施</w:t>
      </w:r>
    </w:p>
    <w:p w14:paraId="247C6034">
      <w:pPr>
        <w:numPr>
          <w:ilvl w:val="-1"/>
          <w:numId w:val="0"/>
        </w:numPr>
        <w:spacing w:line="560" w:lineRule="exact"/>
        <w:ind w:firstLine="640" w:firstLineChars="200"/>
        <w:rPr>
          <w:rFonts w:hint="eastAsia" w:ascii="仿宋_GB2312" w:hAnsi="仿宋_GB2312" w:cs="仿宋_GB2312"/>
          <w:b w:val="0"/>
          <w:bCs w:val="0"/>
          <w:kern w:val="0"/>
          <w:sz w:val="32"/>
          <w:szCs w:val="32"/>
          <w:highlight w:val="none"/>
          <w:lang w:val="en-US" w:eastAsia="zh-CN"/>
        </w:rPr>
      </w:pPr>
      <w:r>
        <w:rPr>
          <w:rFonts w:hint="eastAsia" w:ascii="仿宋_GB2312" w:hAnsi="仿宋_GB2312" w:cs="仿宋_GB2312"/>
          <w:b w:val="0"/>
          <w:bCs w:val="0"/>
          <w:kern w:val="0"/>
          <w:sz w:val="32"/>
          <w:szCs w:val="32"/>
          <w:highlight w:val="none"/>
          <w:lang w:val="en-US" w:eastAsia="zh-CN"/>
        </w:rPr>
        <w:t>1.要求各区按照相关规定合规使用资金。</w:t>
      </w:r>
    </w:p>
    <w:p w14:paraId="7A336964">
      <w:pPr>
        <w:widowControl/>
        <w:numPr>
          <w:ilvl w:val="0"/>
          <w:numId w:val="0"/>
        </w:numPr>
        <w:spacing w:line="560" w:lineRule="exact"/>
        <w:ind w:firstLine="640" w:firstLineChars="200"/>
        <w:jc w:val="left"/>
        <w:rPr>
          <w:rFonts w:hint="eastAsia" w:ascii="仿宋_GB2312" w:hAnsi="仿宋_GB2312" w:cs="仿宋_GB2312"/>
          <w:b w:val="0"/>
          <w:bCs w:val="0"/>
          <w:kern w:val="0"/>
          <w:sz w:val="32"/>
          <w:szCs w:val="32"/>
          <w:highlight w:val="none"/>
          <w:lang w:val="en-US" w:eastAsia="zh-CN"/>
        </w:rPr>
      </w:pPr>
      <w:r>
        <w:rPr>
          <w:rFonts w:hint="eastAsia" w:ascii="仿宋_GB2312" w:hAnsi="仿宋_GB2312" w:cs="仿宋_GB2312"/>
          <w:b w:val="0"/>
          <w:bCs w:val="0"/>
          <w:kern w:val="0"/>
          <w:sz w:val="32"/>
          <w:szCs w:val="32"/>
          <w:highlight w:val="none"/>
          <w:lang w:val="en-US" w:eastAsia="zh-CN"/>
        </w:rPr>
        <w:t>2.2024年相关资金，待市级文件印发后，按要求督促各区按要求执行。</w:t>
      </w:r>
    </w:p>
    <w:p w14:paraId="10E7BE58">
      <w:pPr>
        <w:widowControl/>
        <w:numPr>
          <w:ilvl w:val="0"/>
          <w:numId w:val="0"/>
        </w:numPr>
        <w:spacing w:line="560" w:lineRule="exact"/>
        <w:ind w:firstLine="640" w:firstLineChars="200"/>
        <w:jc w:val="left"/>
        <w:rPr>
          <w:rFonts w:hint="default" w:ascii="仿宋_GB2312" w:hAnsi="仿宋_GB2312" w:cs="仿宋_GB2312"/>
          <w:b w:val="0"/>
          <w:bCs w:val="0"/>
          <w:kern w:val="0"/>
          <w:sz w:val="32"/>
          <w:szCs w:val="32"/>
          <w:highlight w:val="none"/>
          <w:lang w:val="en-US" w:eastAsia="zh-CN"/>
        </w:rPr>
      </w:pPr>
      <w:r>
        <w:rPr>
          <w:rFonts w:hint="eastAsia" w:ascii="仿宋_GB2312" w:hAnsi="仿宋_GB2312" w:cs="仿宋_GB2312"/>
          <w:b w:val="0"/>
          <w:bCs w:val="0"/>
          <w:kern w:val="0"/>
          <w:sz w:val="32"/>
          <w:szCs w:val="32"/>
          <w:highlight w:val="none"/>
          <w:lang w:val="en-US" w:eastAsia="zh-CN"/>
        </w:rPr>
        <w:t>3.督促各区应通过全国养老服务信息系统，及时录入救助对象相关信息，并严格按照相关文件要求做好资金支出工作。</w:t>
      </w:r>
    </w:p>
    <w:p w14:paraId="75E6F64A">
      <w:pPr>
        <w:widowControl/>
        <w:wordWrap/>
        <w:adjustRightInd/>
        <w:snapToGrid/>
        <w:spacing w:line="240" w:lineRule="auto"/>
        <w:ind w:right="0" w:firstLine="0" w:firstLineChars="0"/>
        <w:jc w:val="left"/>
        <w:textAlignment w:val="auto"/>
        <w:rPr>
          <w:rFonts w:hint="eastAsia" w:ascii="仿宋_GB2312" w:hAnsi="仿宋_GB2312" w:cs="仿宋_GB2312"/>
          <w:bCs/>
          <w:sz w:val="32"/>
          <w:szCs w:val="32"/>
          <w:highlight w:val="none"/>
        </w:rPr>
      </w:pPr>
      <w:r>
        <w:rPr>
          <w:rFonts w:hint="eastAsia" w:ascii="仿宋_GB2312" w:hAnsi="仿宋_GB2312" w:cs="仿宋_GB2312"/>
          <w:bCs/>
          <w:sz w:val="32"/>
          <w:szCs w:val="32"/>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7"/>
        <w:gridCol w:w="396"/>
        <w:gridCol w:w="515"/>
        <w:gridCol w:w="1017"/>
        <w:gridCol w:w="1058"/>
        <w:gridCol w:w="901"/>
        <w:gridCol w:w="1216"/>
        <w:gridCol w:w="3331"/>
      </w:tblGrid>
      <w:tr w14:paraId="5A937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00" w:type="pct"/>
            <w:gridSpan w:val="8"/>
            <w:tcBorders>
              <w:top w:val="nil"/>
              <w:left w:val="nil"/>
              <w:bottom w:val="nil"/>
              <w:right w:val="nil"/>
            </w:tcBorders>
            <w:shd w:val="clear" w:color="auto" w:fill="auto"/>
            <w:vAlign w:val="center"/>
          </w:tcPr>
          <w:p w14:paraId="1324DC4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 xml:space="preserve">中央对地方转移支付绩效目标自评表 </w:t>
            </w:r>
          </w:p>
        </w:tc>
      </w:tr>
      <w:tr w14:paraId="28653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00" w:type="pct"/>
            <w:gridSpan w:val="8"/>
            <w:tcBorders>
              <w:top w:val="nil"/>
              <w:left w:val="nil"/>
              <w:bottom w:val="single" w:color="000000" w:sz="4" w:space="0"/>
              <w:right w:val="nil"/>
            </w:tcBorders>
            <w:shd w:val="clear" w:color="auto" w:fill="auto"/>
            <w:vAlign w:val="center"/>
          </w:tcPr>
          <w:p w14:paraId="2B133EB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（2024年度）</w:t>
            </w:r>
          </w:p>
        </w:tc>
      </w:tr>
      <w:tr w14:paraId="2080F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878BB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转移支付（项目）名称</w:t>
            </w:r>
          </w:p>
        </w:tc>
        <w:tc>
          <w:tcPr>
            <w:tcW w:w="41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49D69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中央财政困难群众救助补助资金（支持困难失能老年人等群体基本养老服务救助方向）</w:t>
            </w:r>
          </w:p>
        </w:tc>
      </w:tr>
      <w:tr w14:paraId="00DCA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3050E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中央主管部门</w:t>
            </w:r>
          </w:p>
        </w:tc>
        <w:tc>
          <w:tcPr>
            <w:tcW w:w="41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9BFED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[118]民政部</w:t>
            </w:r>
          </w:p>
        </w:tc>
      </w:tr>
      <w:tr w14:paraId="2A1BF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2BDC5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地方主管部门</w:t>
            </w:r>
          </w:p>
        </w:tc>
        <w:tc>
          <w:tcPr>
            <w:tcW w:w="11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549B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北京市民政局</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4988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资金使用单位</w:t>
            </w:r>
          </w:p>
        </w:tc>
        <w:tc>
          <w:tcPr>
            <w:tcW w:w="25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E2D1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北京市16区民政局</w:t>
            </w:r>
          </w:p>
        </w:tc>
      </w:tr>
      <w:tr w14:paraId="10113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48"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62A22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资金投入情况（万元，保留2位小数）</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041D3">
            <w:pPr>
              <w:keepNext w:val="0"/>
              <w:keepLines w:val="0"/>
              <w:suppressLineNumbers w:val="0"/>
              <w:spacing w:before="0" w:beforeAutospacing="0" w:after="0" w:afterAutospacing="0"/>
              <w:ind w:left="0" w:right="0"/>
              <w:rPr>
                <w:rFonts w:hint="eastAsia" w:asciiTheme="minorEastAsia" w:hAnsiTheme="minorEastAsia" w:eastAsiaTheme="minorEastAsia" w:cstheme="minorEastAsia"/>
                <w:i w:val="0"/>
                <w:iCs w:val="0"/>
                <w:color w:val="auto"/>
                <w:sz w:val="18"/>
                <w:szCs w:val="18"/>
                <w:u w:val="none"/>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02BC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全年预算数（A）</w:t>
            </w:r>
          </w:p>
        </w:tc>
        <w:tc>
          <w:tcPr>
            <w:tcW w:w="11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CE5C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全年执行数（B）</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3A61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预算执行率（B/A×100%)</w:t>
            </w:r>
          </w:p>
        </w:tc>
      </w:tr>
      <w:tr w14:paraId="083CE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4E6A6">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68CF3">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5CDB7">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324.00 </w:t>
            </w:r>
          </w:p>
        </w:tc>
        <w:tc>
          <w:tcPr>
            <w:tcW w:w="11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FE6E6">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18.22 </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57590">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5.62%</w:t>
            </w:r>
          </w:p>
        </w:tc>
      </w:tr>
      <w:tr w14:paraId="2A54F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96EDE">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F9161">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其中：中央财政资金</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321D3">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134.00 </w:t>
            </w:r>
          </w:p>
        </w:tc>
        <w:tc>
          <w:tcPr>
            <w:tcW w:w="11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95FF2B">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0.00 </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9BC0A">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r>
      <w:tr w14:paraId="679FC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CDC6C">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6CC02">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地方资金</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2DEF0">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0.00 </w:t>
            </w:r>
          </w:p>
        </w:tc>
        <w:tc>
          <w:tcPr>
            <w:tcW w:w="11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DCA60D">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0.00 </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1EE85">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r>
      <w:tr w14:paraId="565DB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7A76E">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9C6F7">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其他资金</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2D235">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190.00 </w:t>
            </w:r>
          </w:p>
        </w:tc>
        <w:tc>
          <w:tcPr>
            <w:tcW w:w="11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A4A97">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18.22 </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4DA94">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9.59%</w:t>
            </w:r>
          </w:p>
        </w:tc>
      </w:tr>
      <w:tr w14:paraId="7013C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48"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B59EB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资金管理情况</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7BDDB">
            <w:pPr>
              <w:keepNext w:val="0"/>
              <w:keepLines w:val="0"/>
              <w:suppressLineNumbers w:val="0"/>
              <w:spacing w:before="0" w:beforeAutospacing="0" w:after="0" w:afterAutospacing="0"/>
              <w:ind w:left="0" w:right="0"/>
              <w:rPr>
                <w:rFonts w:hint="eastAsia" w:asciiTheme="minorEastAsia" w:hAnsiTheme="minorEastAsia" w:eastAsiaTheme="minorEastAsia" w:cstheme="minorEastAsia"/>
                <w:i w:val="0"/>
                <w:iCs w:val="0"/>
                <w:color w:val="auto"/>
                <w:sz w:val="18"/>
                <w:szCs w:val="18"/>
                <w:u w:val="none"/>
              </w:rPr>
            </w:pP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5DFD8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情况说明</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6B15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存在问题和改进措施</w:t>
            </w:r>
          </w:p>
        </w:tc>
      </w:tr>
      <w:tr w14:paraId="3D5BC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ED62E">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6D6B0">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分配科学性</w:t>
            </w: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FE7FE8">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严格按照转移支付管理制度以及资金管理办法规定的范围和标准分配资金。</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5A1E5">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无</w:t>
            </w:r>
          </w:p>
        </w:tc>
      </w:tr>
      <w:tr w14:paraId="0EEE8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C0BCE">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9E9DC">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下达及时性</w:t>
            </w: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7C786C">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严格按照预算法及其实施条例、转移支付管理制度规定以及资金管理办法规定的时限要求分解下达。</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9315E">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无</w:t>
            </w:r>
          </w:p>
        </w:tc>
      </w:tr>
      <w:tr w14:paraId="5E747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31F51">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4AE04">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拨付合规性</w:t>
            </w: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F05DD6">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严格按照国库集中支付制度有关规定支付资金，未发现违规将资金从国库转入财政专户或支付到预算单位实有资金账户等问题。</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37DAA">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无</w:t>
            </w:r>
          </w:p>
        </w:tc>
      </w:tr>
      <w:tr w14:paraId="19226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BA847">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E4E62">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使用规范性</w:t>
            </w: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83B281">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严格按照下达预算的科目和项目执行，未出现截留、挤占、挪用或擅自调整等问题。</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604B5">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无</w:t>
            </w:r>
          </w:p>
        </w:tc>
      </w:tr>
      <w:tr w14:paraId="45160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4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9153D">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171FD">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执行准确性</w:t>
            </w: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8996C7">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按照上级下达和本级预算安排的金额执行，存在执行数偏离预算数较多的问题。</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A506C">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bCs/>
                <w:i w:val="0"/>
                <w:iCs w:val="0"/>
                <w:color w:val="000000"/>
                <w:sz w:val="18"/>
                <w:szCs w:val="18"/>
                <w:u w:val="none"/>
              </w:rPr>
            </w:pPr>
            <w:r>
              <w:rPr>
                <w:rStyle w:val="17"/>
                <w:rFonts w:asciiTheme="minorEastAsia" w:hAnsiTheme="minorEastAsia" w:eastAsiaTheme="minorEastAsia" w:cstheme="minorEastAsia"/>
                <w:color w:val="auto"/>
                <w:sz w:val="18"/>
                <w:szCs w:val="18"/>
                <w:lang w:val="en-US" w:eastAsia="zh-CN" w:bidi="ar"/>
              </w:rPr>
              <w:t>存在问题：</w:t>
            </w:r>
            <w:r>
              <w:rPr>
                <w:rStyle w:val="18"/>
                <w:rFonts w:asciiTheme="minorEastAsia" w:hAnsiTheme="minorEastAsia" w:eastAsiaTheme="minorEastAsia" w:cstheme="minorEastAsia"/>
                <w:color w:val="auto"/>
                <w:sz w:val="18"/>
                <w:szCs w:val="18"/>
                <w:lang w:val="en-US" w:eastAsia="zh-CN" w:bidi="ar"/>
              </w:rPr>
              <w:t>1.其他资金为</w:t>
            </w:r>
            <w:r>
              <w:rPr>
                <w:rStyle w:val="18"/>
                <w:rFonts w:hint="eastAsia" w:asciiTheme="minorEastAsia" w:hAnsiTheme="minorEastAsia" w:eastAsiaTheme="minorEastAsia" w:cstheme="minorEastAsia"/>
                <w:color w:val="auto"/>
                <w:sz w:val="18"/>
                <w:szCs w:val="18"/>
                <w:lang w:bidi="ar"/>
              </w:rPr>
              <w:t>2023年结转资金因前期北京市无相应失能等级，需修订政策后发放。</w:t>
            </w:r>
            <w:r>
              <w:rPr>
                <w:rStyle w:val="18"/>
                <w:rFonts w:asciiTheme="minorEastAsia" w:hAnsiTheme="minorEastAsia" w:eastAsiaTheme="minorEastAsia" w:cstheme="minorEastAsia"/>
                <w:color w:val="auto"/>
                <w:sz w:val="18"/>
                <w:szCs w:val="18"/>
                <w:lang w:val="en-US" w:eastAsia="zh-CN" w:bidi="ar"/>
              </w:rPr>
              <w:t>2024年11月，对相关政策进行修订完善，截至2024年12月31日，共支出中央财政困难群众救助补助资金18.2204万元，年度资金使用率9.59%。2.2024年：目前，因市级相关转发文件正在与市财政局进行会签，相关资金暂未支出。待市级文件印发后，按要求督促各区执行。</w:t>
            </w:r>
            <w:r>
              <w:rPr>
                <w:rStyle w:val="18"/>
                <w:rFonts w:asciiTheme="minorEastAsia" w:hAnsiTheme="minorEastAsia" w:eastAsiaTheme="minorEastAsia" w:cstheme="minorEastAsia"/>
                <w:color w:val="auto"/>
                <w:sz w:val="18"/>
                <w:szCs w:val="18"/>
                <w:lang w:val="en-US" w:eastAsia="zh-CN" w:bidi="ar"/>
              </w:rPr>
              <w:br w:type="textWrapping"/>
            </w:r>
            <w:r>
              <w:rPr>
                <w:rStyle w:val="17"/>
                <w:rFonts w:asciiTheme="minorEastAsia" w:hAnsiTheme="minorEastAsia" w:eastAsiaTheme="minorEastAsia" w:cstheme="minorEastAsia"/>
                <w:color w:val="auto"/>
                <w:sz w:val="18"/>
                <w:szCs w:val="18"/>
                <w:lang w:val="en-US" w:eastAsia="zh-CN" w:bidi="ar"/>
              </w:rPr>
              <w:t>改进措施：</w:t>
            </w:r>
            <w:r>
              <w:rPr>
                <w:rStyle w:val="18"/>
                <w:rFonts w:asciiTheme="minorEastAsia" w:hAnsiTheme="minorEastAsia" w:eastAsiaTheme="minorEastAsia" w:cstheme="minorEastAsia"/>
                <w:color w:val="auto"/>
                <w:sz w:val="18"/>
                <w:szCs w:val="18"/>
                <w:lang w:val="en-US" w:eastAsia="zh-CN" w:bidi="ar"/>
              </w:rPr>
              <w:t>1.要求各区按相关规定合规使用资金。2.2024年相关资金，待市级文件印发后，按要求督促各区按要求执行。</w:t>
            </w:r>
          </w:p>
        </w:tc>
      </w:tr>
      <w:tr w14:paraId="54A07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B3823">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36846">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预算绩效管理情况</w:t>
            </w: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9ED20C">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在细化下达预算时同步下达绩效目标，将有关资金纳入本级预算或对下转移支付绩效管理，开展绩效监控和绩效评价。</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1450B">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无</w:t>
            </w:r>
          </w:p>
        </w:tc>
      </w:tr>
      <w:tr w14:paraId="13AE0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D319A">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4A7F9">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支出责任履行情况</w:t>
            </w:r>
          </w:p>
        </w:tc>
        <w:tc>
          <w:tcPr>
            <w:tcW w:w="17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E6BBF1">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对共同财政事权转移支付，按照财政事权和支出责任划分有关规定，足额安排资金履行本级支出责任。</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85570">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无</w:t>
            </w:r>
          </w:p>
        </w:tc>
      </w:tr>
      <w:tr w14:paraId="085CB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A4FBB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总体目标完成情况</w:t>
            </w:r>
          </w:p>
        </w:tc>
        <w:tc>
          <w:tcPr>
            <w:tcW w:w="16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1B0EB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总体目标</w:t>
            </w:r>
          </w:p>
        </w:tc>
        <w:tc>
          <w:tcPr>
            <w:tcW w:w="30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90AF9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全年实际完成情况</w:t>
            </w:r>
          </w:p>
        </w:tc>
      </w:tr>
      <w:tr w14:paraId="475E6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39ABB">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16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F25287">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2023年：开展经济困难失能老年人集中照护工作，资助经济困难失能老年人入住养老机构，对其因收入水平较低而无法负担集中照护支出的差额部分给予补助，使有意愿的经济困难失能老年人集中照护需求得到保障。</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2024年：开展经济困难失能老年人等群体集中照护工作，资助经济困难失能老年人等群体入住养老机构，对其因收入水平较低而无法负担集中照护支出的差额部分给予补助，使有意愿的经济困难失能老年人等群体集中照护需求得到保障。</w:t>
            </w:r>
          </w:p>
        </w:tc>
        <w:tc>
          <w:tcPr>
            <w:tcW w:w="30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0EB4E2">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color w:val="000000"/>
                <w:kern w:val="0"/>
                <w:sz w:val="18"/>
                <w:szCs w:val="18"/>
                <w:u w:val="none"/>
                <w:lang w:bidi="ar"/>
              </w:rPr>
              <w:t>2023年结转资金因前期北京市无相应失能等级，需修订政策后发放。</w:t>
            </w:r>
            <w:r>
              <w:rPr>
                <w:rFonts w:hint="eastAsia" w:asciiTheme="minorEastAsia" w:hAnsiTheme="minorEastAsia" w:eastAsiaTheme="minorEastAsia" w:cstheme="minorEastAsia"/>
                <w:i w:val="0"/>
                <w:iCs w:val="0"/>
                <w:color w:val="000000"/>
                <w:kern w:val="0"/>
                <w:sz w:val="18"/>
                <w:szCs w:val="18"/>
                <w:u w:val="none"/>
                <w:lang w:val="en-US" w:eastAsia="zh-CN" w:bidi="ar"/>
              </w:rPr>
              <w:t>2024年11月，对相关政策进行修订完善，截至2024年12月31日，共支出中央财政困难群众救助补助资金18.2204万元，结转资金使用率9.59%。</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2024年度资金目前因市级相关转发文件正在与市财政局进行会签，相关资金暂未支出。待市级文件印发后，按要求督促各区执行。</w:t>
            </w:r>
          </w:p>
        </w:tc>
      </w:tr>
      <w:tr w14:paraId="730AB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345" w:type="pct"/>
            <w:vMerge w:val="restart"/>
            <w:tcBorders>
              <w:top w:val="single" w:color="000000" w:sz="4" w:space="0"/>
              <w:left w:val="single" w:color="000000" w:sz="4" w:space="0"/>
              <w:bottom w:val="nil"/>
              <w:right w:val="single" w:color="000000" w:sz="4" w:space="0"/>
            </w:tcBorders>
            <w:shd w:val="clear" w:color="auto" w:fill="auto"/>
            <w:textDirection w:val="tbRlV"/>
            <w:vAlign w:val="center"/>
          </w:tcPr>
          <w:p w14:paraId="44DE1C8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绩效指标</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735E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一级指标</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F983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二级指标</w:t>
            </w:r>
          </w:p>
        </w:tc>
        <w:tc>
          <w:tcPr>
            <w:tcW w:w="1146" w:type="pct"/>
            <w:gridSpan w:val="2"/>
            <w:tcBorders>
              <w:top w:val="single" w:color="000000" w:sz="4" w:space="0"/>
              <w:left w:val="single" w:color="000000" w:sz="4" w:space="0"/>
              <w:bottom w:val="nil"/>
              <w:right w:val="single" w:color="000000" w:sz="4" w:space="0"/>
            </w:tcBorders>
            <w:shd w:val="clear" w:color="auto" w:fill="auto"/>
            <w:vAlign w:val="center"/>
          </w:tcPr>
          <w:p w14:paraId="24990B5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三级指标</w:t>
            </w:r>
          </w:p>
        </w:tc>
        <w:tc>
          <w:tcPr>
            <w:tcW w:w="497" w:type="pct"/>
            <w:tcBorders>
              <w:top w:val="single" w:color="000000" w:sz="4" w:space="0"/>
              <w:left w:val="single" w:color="000000" w:sz="4" w:space="0"/>
              <w:bottom w:val="nil"/>
              <w:right w:val="single" w:color="000000" w:sz="4" w:space="0"/>
            </w:tcBorders>
            <w:shd w:val="clear" w:color="auto" w:fill="auto"/>
            <w:vAlign w:val="center"/>
          </w:tcPr>
          <w:p w14:paraId="3A5C863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指标值</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0779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全年实际完成值</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6027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未完成原因和改进措施</w:t>
            </w:r>
          </w:p>
        </w:tc>
      </w:tr>
      <w:tr w14:paraId="150D9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0"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4EC9088">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F5BC56">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出</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指</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标</w:t>
            </w:r>
          </w:p>
        </w:tc>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2AC9C">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1146" w:type="pct"/>
            <w:gridSpan w:val="2"/>
            <w:tcBorders>
              <w:top w:val="single" w:color="000000" w:sz="4" w:space="0"/>
              <w:left w:val="nil"/>
              <w:bottom w:val="single" w:color="000000" w:sz="4" w:space="0"/>
              <w:right w:val="single" w:color="000000" w:sz="4" w:space="0"/>
            </w:tcBorders>
            <w:shd w:val="clear" w:color="auto" w:fill="auto"/>
            <w:vAlign w:val="center"/>
          </w:tcPr>
          <w:p w14:paraId="70546337">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补助标准实际到位率（即保障对象在享受差额补助金后的各项生活补贴和护理补贴之和与当地特困人员集中供养补助标准之比）</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05DD4">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671" w:type="pct"/>
            <w:tcBorders>
              <w:top w:val="single" w:color="000000" w:sz="4" w:space="0"/>
              <w:left w:val="nil"/>
              <w:bottom w:val="single" w:color="000000" w:sz="4" w:space="0"/>
              <w:right w:val="single" w:color="000000" w:sz="4" w:space="0"/>
            </w:tcBorders>
            <w:shd w:val="clear" w:color="auto" w:fill="auto"/>
            <w:vAlign w:val="center"/>
          </w:tcPr>
          <w:p w14:paraId="7BD656AF">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100.00%</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A099D">
            <w:pPr>
              <w:keepNext w:val="0"/>
              <w:keepLines w:val="0"/>
              <w:suppressLineNumbers w:val="0"/>
              <w:spacing w:before="0" w:beforeAutospacing="0" w:after="0" w:afterAutospacing="0"/>
              <w:ind w:left="0" w:right="0"/>
              <w:jc w:val="both"/>
              <w:rPr>
                <w:rFonts w:hint="default" w:asciiTheme="minorEastAsia" w:hAnsiTheme="minorEastAsia" w:eastAsiaTheme="minorEastAsia" w:cstheme="minorEastAsia"/>
                <w:i w:val="0"/>
                <w:iCs w:val="0"/>
                <w:color w:val="000000"/>
                <w:sz w:val="18"/>
                <w:szCs w:val="18"/>
                <w:u w:val="none"/>
              </w:rPr>
            </w:pPr>
          </w:p>
        </w:tc>
      </w:tr>
      <w:tr w14:paraId="0184B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6384B5AD">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3C4D0">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CA93C">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1146" w:type="pct"/>
            <w:gridSpan w:val="2"/>
            <w:tcBorders>
              <w:top w:val="single" w:color="000000" w:sz="4" w:space="0"/>
              <w:left w:val="nil"/>
              <w:bottom w:val="single" w:color="000000" w:sz="4" w:space="0"/>
              <w:right w:val="single" w:color="000000" w:sz="4" w:space="0"/>
            </w:tcBorders>
            <w:shd w:val="clear" w:color="auto" w:fill="auto"/>
            <w:vAlign w:val="center"/>
          </w:tcPr>
          <w:p w14:paraId="2C13BD93">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依据老年人能力评估规范国家标准，对申请享受救助待遇的救助对象开展综合能力评估的覆盖率</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BC99D">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671" w:type="pct"/>
            <w:tcBorders>
              <w:top w:val="single" w:color="000000" w:sz="4" w:space="0"/>
              <w:left w:val="nil"/>
              <w:bottom w:val="single" w:color="000000" w:sz="4" w:space="0"/>
              <w:right w:val="single" w:color="000000" w:sz="4" w:space="0"/>
            </w:tcBorders>
            <w:shd w:val="clear" w:color="auto" w:fill="auto"/>
            <w:vAlign w:val="center"/>
          </w:tcPr>
          <w:p w14:paraId="228A28DE">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100.00%</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59620">
            <w:pPr>
              <w:keepNext w:val="0"/>
              <w:keepLines w:val="0"/>
              <w:suppressLineNumbers w:val="0"/>
              <w:spacing w:before="0" w:beforeAutospacing="0" w:after="0" w:afterAutospacing="0"/>
              <w:ind w:left="0" w:right="0"/>
              <w:jc w:val="both"/>
              <w:rPr>
                <w:rFonts w:hint="default" w:asciiTheme="minorEastAsia" w:hAnsiTheme="minorEastAsia" w:eastAsiaTheme="minorEastAsia" w:cstheme="minorEastAsia"/>
                <w:i w:val="0"/>
                <w:iCs w:val="0"/>
                <w:color w:val="000000"/>
                <w:sz w:val="18"/>
                <w:szCs w:val="18"/>
                <w:u w:val="none"/>
              </w:rPr>
            </w:pPr>
          </w:p>
        </w:tc>
      </w:tr>
      <w:tr w14:paraId="10038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6"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76DD11A4">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E22B4">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E60C9D">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1146" w:type="pct"/>
            <w:gridSpan w:val="2"/>
            <w:tcBorders>
              <w:top w:val="single" w:color="000000" w:sz="4" w:space="0"/>
              <w:left w:val="nil"/>
              <w:bottom w:val="single" w:color="000000" w:sz="4" w:space="0"/>
              <w:right w:val="single" w:color="000000" w:sz="4" w:space="0"/>
            </w:tcBorders>
            <w:shd w:val="clear" w:color="auto" w:fill="auto"/>
            <w:vAlign w:val="center"/>
          </w:tcPr>
          <w:p w14:paraId="0A136914">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符合条件且自愿申请入住的老年人等群体当年纳入救助保障范围（含纳入轮候机制）</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5636A">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应纳尽纳</w:t>
            </w:r>
          </w:p>
        </w:tc>
        <w:tc>
          <w:tcPr>
            <w:tcW w:w="671" w:type="pct"/>
            <w:tcBorders>
              <w:top w:val="single" w:color="000000" w:sz="4" w:space="0"/>
              <w:left w:val="nil"/>
              <w:bottom w:val="single" w:color="000000" w:sz="4" w:space="0"/>
              <w:right w:val="single" w:color="000000" w:sz="4" w:space="0"/>
            </w:tcBorders>
            <w:shd w:val="clear" w:color="auto" w:fill="auto"/>
            <w:vAlign w:val="center"/>
          </w:tcPr>
          <w:p w14:paraId="0A4047D8">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应纳尽纳，100%</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D7720">
            <w:pPr>
              <w:keepNext w:val="0"/>
              <w:keepLines w:val="0"/>
              <w:suppressLineNumbers w:val="0"/>
              <w:spacing w:before="0" w:beforeAutospacing="0" w:after="0" w:afterAutospacing="0"/>
              <w:ind w:left="0" w:right="0"/>
              <w:jc w:val="both"/>
              <w:rPr>
                <w:rFonts w:hint="default" w:asciiTheme="minorEastAsia" w:hAnsiTheme="minorEastAsia" w:eastAsiaTheme="minorEastAsia" w:cstheme="minorEastAsia"/>
                <w:i w:val="0"/>
                <w:iCs w:val="0"/>
                <w:color w:val="000000"/>
                <w:sz w:val="18"/>
                <w:szCs w:val="18"/>
                <w:u w:val="none"/>
              </w:rPr>
            </w:pPr>
          </w:p>
        </w:tc>
      </w:tr>
      <w:tr w14:paraId="3CB24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1"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967D821">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E087C">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F0F5C">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1146" w:type="pct"/>
            <w:gridSpan w:val="2"/>
            <w:tcBorders>
              <w:top w:val="single" w:color="000000" w:sz="4" w:space="0"/>
              <w:left w:val="nil"/>
              <w:bottom w:val="single" w:color="000000" w:sz="4" w:space="0"/>
              <w:right w:val="single" w:color="000000" w:sz="4" w:space="0"/>
            </w:tcBorders>
            <w:shd w:val="clear" w:color="auto" w:fill="auto"/>
            <w:vAlign w:val="center"/>
          </w:tcPr>
          <w:p w14:paraId="1390D3AC">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养老机构护理人员人数与入住的失能老年人等群体人数的比例</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E5A5C">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671" w:type="pct"/>
            <w:tcBorders>
              <w:top w:val="single" w:color="000000" w:sz="4" w:space="0"/>
              <w:left w:val="nil"/>
              <w:bottom w:val="single" w:color="000000" w:sz="4" w:space="0"/>
              <w:right w:val="single" w:color="000000" w:sz="4" w:space="0"/>
            </w:tcBorders>
            <w:shd w:val="clear" w:color="auto" w:fill="auto"/>
            <w:vAlign w:val="center"/>
          </w:tcPr>
          <w:p w14:paraId="6844D167">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37.86%</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12080">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r>
      <w:tr w14:paraId="25804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31F2044C">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142CD">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3538DC">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1146" w:type="pct"/>
            <w:gridSpan w:val="2"/>
            <w:tcBorders>
              <w:top w:val="single" w:color="000000" w:sz="4" w:space="0"/>
              <w:left w:val="nil"/>
              <w:bottom w:val="nil"/>
              <w:right w:val="single" w:color="000000" w:sz="4" w:space="0"/>
            </w:tcBorders>
            <w:shd w:val="clear" w:color="auto" w:fill="auto"/>
            <w:vAlign w:val="center"/>
          </w:tcPr>
          <w:p w14:paraId="4F204402">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向本行政区域县级以上财政部门下达中央财政困难失能老年人等群体基本养老服务救助补助资金</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5A1A3">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≤30日</w:t>
            </w:r>
          </w:p>
        </w:tc>
        <w:tc>
          <w:tcPr>
            <w:tcW w:w="671" w:type="pct"/>
            <w:tcBorders>
              <w:top w:val="single" w:color="000000" w:sz="4" w:space="0"/>
              <w:left w:val="nil"/>
              <w:bottom w:val="single" w:color="000000" w:sz="4" w:space="0"/>
              <w:right w:val="single" w:color="000000" w:sz="4" w:space="0"/>
            </w:tcBorders>
            <w:shd w:val="clear" w:color="auto" w:fill="auto"/>
            <w:vAlign w:val="center"/>
          </w:tcPr>
          <w:p w14:paraId="58BE5992">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A1BC6">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r>
      <w:tr w14:paraId="3F135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765DE851">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5964B">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3E85D">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1146" w:type="pct"/>
            <w:gridSpan w:val="2"/>
            <w:tcBorders>
              <w:top w:val="single" w:color="000000" w:sz="4" w:space="0"/>
              <w:left w:val="nil"/>
              <w:bottom w:val="nil"/>
              <w:right w:val="single" w:color="000000" w:sz="4" w:space="0"/>
            </w:tcBorders>
            <w:shd w:val="clear" w:color="auto" w:fill="auto"/>
            <w:vAlign w:val="center"/>
          </w:tcPr>
          <w:p w14:paraId="4A6F64EB">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补助资金按时发放率</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5552A">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671" w:type="pct"/>
            <w:tcBorders>
              <w:top w:val="single" w:color="000000" w:sz="4" w:space="0"/>
              <w:left w:val="nil"/>
              <w:bottom w:val="single" w:color="000000" w:sz="4" w:space="0"/>
              <w:right w:val="single" w:color="000000" w:sz="4" w:space="0"/>
            </w:tcBorders>
            <w:shd w:val="clear" w:color="auto" w:fill="auto"/>
            <w:vAlign w:val="center"/>
          </w:tcPr>
          <w:p w14:paraId="31BB550F">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100.00%</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8CF88">
            <w:pPr>
              <w:keepNext w:val="0"/>
              <w:keepLines w:val="0"/>
              <w:suppressLineNumbers w:val="0"/>
              <w:spacing w:before="0" w:beforeAutospacing="0" w:after="0" w:afterAutospacing="0"/>
              <w:ind w:left="0" w:right="0"/>
              <w:jc w:val="both"/>
              <w:rPr>
                <w:rFonts w:hint="default" w:asciiTheme="minorEastAsia" w:hAnsiTheme="minorEastAsia" w:eastAsiaTheme="minorEastAsia" w:cstheme="minorEastAsia"/>
                <w:b/>
                <w:bCs/>
                <w:i w:val="0"/>
                <w:iCs w:val="0"/>
                <w:color w:val="000000"/>
                <w:sz w:val="18"/>
                <w:szCs w:val="18"/>
                <w:u w:val="none"/>
              </w:rPr>
            </w:pPr>
          </w:p>
        </w:tc>
      </w:tr>
      <w:tr w14:paraId="7FB01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0"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AD978C3">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62EE1">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83"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E2DDE58">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1146" w:type="pct"/>
            <w:gridSpan w:val="2"/>
            <w:tcBorders>
              <w:top w:val="single" w:color="000000" w:sz="4" w:space="0"/>
              <w:left w:val="nil"/>
              <w:bottom w:val="single" w:color="auto" w:sz="4" w:space="0"/>
              <w:right w:val="single" w:color="000000" w:sz="4" w:space="0"/>
            </w:tcBorders>
            <w:shd w:val="clear" w:color="auto" w:fill="auto"/>
            <w:vAlign w:val="center"/>
          </w:tcPr>
          <w:p w14:paraId="3E222B20">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补助发放和服务情况及时录入全国养老服务信息系统率</w:t>
            </w:r>
          </w:p>
        </w:tc>
        <w:tc>
          <w:tcPr>
            <w:tcW w:w="497" w:type="pct"/>
            <w:tcBorders>
              <w:top w:val="single" w:color="000000" w:sz="4" w:space="0"/>
              <w:left w:val="single" w:color="000000" w:sz="4" w:space="0"/>
              <w:bottom w:val="single" w:color="auto" w:sz="4" w:space="0"/>
              <w:right w:val="single" w:color="000000" w:sz="4" w:space="0"/>
            </w:tcBorders>
            <w:shd w:val="clear" w:color="auto" w:fill="auto"/>
            <w:vAlign w:val="center"/>
          </w:tcPr>
          <w:p w14:paraId="1429C7F9">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671" w:type="pct"/>
            <w:tcBorders>
              <w:top w:val="single" w:color="000000" w:sz="4" w:space="0"/>
              <w:left w:val="nil"/>
              <w:bottom w:val="single" w:color="auto" w:sz="4" w:space="0"/>
              <w:right w:val="single" w:color="000000" w:sz="4" w:space="0"/>
            </w:tcBorders>
            <w:shd w:val="clear" w:color="auto" w:fill="auto"/>
            <w:vAlign w:val="center"/>
          </w:tcPr>
          <w:p w14:paraId="135B3323">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87.64%</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6542A">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Style w:val="18"/>
                <w:rFonts w:asciiTheme="minorEastAsia" w:hAnsiTheme="minorEastAsia" w:eastAsiaTheme="minorEastAsia" w:cstheme="minorEastAsia"/>
                <w:color w:val="auto"/>
                <w:sz w:val="18"/>
                <w:szCs w:val="18"/>
                <w:lang w:val="en-US" w:eastAsia="zh-CN" w:bidi="ar"/>
              </w:rPr>
              <w:t>存在问题：</w:t>
            </w:r>
            <w:r>
              <w:rPr>
                <w:rStyle w:val="18"/>
                <w:rFonts w:hint="eastAsia" w:asciiTheme="minorEastAsia" w:hAnsiTheme="minorEastAsia" w:eastAsiaTheme="minorEastAsia" w:cstheme="minorEastAsia"/>
                <w:color w:val="auto"/>
                <w:sz w:val="18"/>
                <w:szCs w:val="18"/>
                <w:lang w:bidi="ar"/>
              </w:rPr>
              <w:t>石景山区养老机构个别入住信息需核准后再上传</w:t>
            </w:r>
            <w:r>
              <w:rPr>
                <w:rStyle w:val="18"/>
                <w:rFonts w:asciiTheme="minorEastAsia" w:hAnsiTheme="minorEastAsia" w:eastAsiaTheme="minorEastAsia" w:cstheme="minorEastAsia"/>
                <w:color w:val="auto"/>
                <w:sz w:val="18"/>
                <w:szCs w:val="18"/>
                <w:lang w:val="en-US" w:eastAsia="zh-CN" w:bidi="ar"/>
              </w:rPr>
              <w:t>。</w:t>
            </w:r>
            <w:r>
              <w:rPr>
                <w:rStyle w:val="18"/>
                <w:rFonts w:asciiTheme="minorEastAsia" w:hAnsiTheme="minorEastAsia" w:eastAsiaTheme="minorEastAsia" w:cstheme="minorEastAsia"/>
                <w:color w:val="auto"/>
                <w:sz w:val="18"/>
                <w:szCs w:val="18"/>
                <w:lang w:val="en-US" w:eastAsia="zh-CN" w:bidi="ar"/>
              </w:rPr>
              <w:br w:type="textWrapping"/>
            </w:r>
            <w:r>
              <w:rPr>
                <w:rStyle w:val="18"/>
                <w:rFonts w:asciiTheme="minorEastAsia" w:hAnsiTheme="minorEastAsia" w:eastAsiaTheme="minorEastAsia" w:cstheme="minorEastAsia"/>
                <w:color w:val="auto"/>
                <w:sz w:val="18"/>
                <w:szCs w:val="18"/>
                <w:lang w:val="en-US" w:eastAsia="zh-CN" w:bidi="ar"/>
              </w:rPr>
              <w:t>改进措施：</w:t>
            </w:r>
            <w:r>
              <w:rPr>
                <w:rStyle w:val="19"/>
                <w:rFonts w:asciiTheme="minorEastAsia" w:hAnsiTheme="minorEastAsia" w:eastAsiaTheme="minorEastAsia" w:cstheme="minorEastAsia"/>
                <w:color w:val="auto"/>
                <w:sz w:val="18"/>
                <w:szCs w:val="18"/>
                <w:lang w:val="en-US" w:eastAsia="zh-CN" w:bidi="ar"/>
              </w:rPr>
              <w:t>督促各区应通过全国养老服务信息系统，及时录入救助对象相关信息，并严格按照相关文件要求做好资金支出工作。</w:t>
            </w:r>
          </w:p>
        </w:tc>
      </w:tr>
      <w:tr w14:paraId="24F3A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6"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321620B7">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6B03AE9">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83" w:type="pct"/>
            <w:tcBorders>
              <w:top w:val="single" w:color="auto" w:sz="4" w:space="0"/>
              <w:left w:val="single" w:color="auto" w:sz="4" w:space="0"/>
              <w:bottom w:val="single" w:color="auto" w:sz="4" w:space="0"/>
              <w:right w:val="single" w:color="000000" w:sz="4" w:space="0"/>
            </w:tcBorders>
            <w:shd w:val="clear" w:color="auto" w:fill="auto"/>
            <w:vAlign w:val="center"/>
          </w:tcPr>
          <w:p w14:paraId="1E9E0C04">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1146" w:type="pct"/>
            <w:gridSpan w:val="2"/>
            <w:tcBorders>
              <w:top w:val="single" w:color="auto" w:sz="4" w:space="0"/>
              <w:left w:val="nil"/>
              <w:bottom w:val="single" w:color="auto" w:sz="4" w:space="0"/>
              <w:right w:val="single" w:color="000000" w:sz="4" w:space="0"/>
            </w:tcBorders>
            <w:shd w:val="clear" w:color="auto" w:fill="auto"/>
            <w:vAlign w:val="center"/>
          </w:tcPr>
          <w:p w14:paraId="119574AA">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被集中照护的老年人人均补助标准</w:t>
            </w:r>
          </w:p>
        </w:tc>
        <w:tc>
          <w:tcPr>
            <w:tcW w:w="497" w:type="pct"/>
            <w:tcBorders>
              <w:top w:val="single" w:color="auto" w:sz="4" w:space="0"/>
              <w:left w:val="single" w:color="000000" w:sz="4" w:space="0"/>
              <w:bottom w:val="single" w:color="auto" w:sz="4" w:space="0"/>
              <w:right w:val="single" w:color="000000" w:sz="4" w:space="0"/>
            </w:tcBorders>
            <w:shd w:val="clear" w:color="auto" w:fill="auto"/>
            <w:vAlign w:val="center"/>
          </w:tcPr>
          <w:p w14:paraId="0F4FBB9D">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≤3600元</w:t>
            </w:r>
          </w:p>
        </w:tc>
        <w:tc>
          <w:tcPr>
            <w:tcW w:w="671" w:type="pct"/>
            <w:tcBorders>
              <w:top w:val="single" w:color="auto" w:sz="4" w:space="0"/>
              <w:left w:val="nil"/>
              <w:bottom w:val="single" w:color="auto" w:sz="4" w:space="0"/>
              <w:right w:val="single" w:color="auto" w:sz="4" w:space="0"/>
            </w:tcBorders>
            <w:shd w:val="clear" w:color="auto" w:fill="auto"/>
            <w:vAlign w:val="center"/>
          </w:tcPr>
          <w:p w14:paraId="61807FBD">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2558.2元</w:t>
            </w:r>
          </w:p>
        </w:tc>
        <w:tc>
          <w:tcPr>
            <w:tcW w:w="1836" w:type="pct"/>
            <w:tcBorders>
              <w:top w:val="single" w:color="000000" w:sz="4" w:space="0"/>
              <w:left w:val="single" w:color="auto" w:sz="4" w:space="0"/>
              <w:bottom w:val="single" w:color="000000" w:sz="4" w:space="0"/>
              <w:right w:val="single" w:color="000000" w:sz="4" w:space="0"/>
            </w:tcBorders>
            <w:shd w:val="clear" w:color="auto" w:fill="auto"/>
            <w:vAlign w:val="center"/>
          </w:tcPr>
          <w:p w14:paraId="2F2915A0">
            <w:pPr>
              <w:keepNext w:val="0"/>
              <w:keepLines w:val="0"/>
              <w:suppressLineNumbers w:val="0"/>
              <w:spacing w:before="0" w:beforeAutospacing="0" w:after="0" w:afterAutospacing="0"/>
              <w:ind w:left="0" w:right="0"/>
              <w:jc w:val="both"/>
              <w:rPr>
                <w:rFonts w:hint="default" w:asciiTheme="minorEastAsia" w:hAnsiTheme="minorEastAsia" w:eastAsiaTheme="minorEastAsia" w:cstheme="minorEastAsia"/>
                <w:b/>
                <w:bCs/>
                <w:i w:val="0"/>
                <w:iCs w:val="0"/>
                <w:color w:val="000000"/>
                <w:sz w:val="18"/>
                <w:szCs w:val="18"/>
                <w:u w:val="none"/>
              </w:rPr>
            </w:pPr>
          </w:p>
        </w:tc>
      </w:tr>
      <w:tr w14:paraId="6CEEB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3"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48FDE2EB">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71104">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效益指标</w:t>
            </w:r>
          </w:p>
        </w:tc>
        <w:tc>
          <w:tcPr>
            <w:tcW w:w="283" w:type="pct"/>
            <w:tcBorders>
              <w:top w:val="single" w:color="auto" w:sz="4" w:space="0"/>
              <w:left w:val="single" w:color="000000" w:sz="4" w:space="0"/>
              <w:bottom w:val="single" w:color="000000" w:sz="4" w:space="0"/>
              <w:right w:val="single" w:color="000000" w:sz="4" w:space="0"/>
            </w:tcBorders>
            <w:shd w:val="clear" w:color="auto" w:fill="auto"/>
            <w:vAlign w:val="center"/>
          </w:tcPr>
          <w:p w14:paraId="50DA4422">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社会效益指标</w:t>
            </w:r>
          </w:p>
        </w:tc>
        <w:tc>
          <w:tcPr>
            <w:tcW w:w="1146"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3FF9327D">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经济困难老年人等群体基本养老服务救助政策在当地的知晓率</w:t>
            </w:r>
          </w:p>
        </w:tc>
        <w:tc>
          <w:tcPr>
            <w:tcW w:w="497" w:type="pct"/>
            <w:tcBorders>
              <w:top w:val="single" w:color="auto" w:sz="4" w:space="0"/>
              <w:left w:val="single" w:color="000000" w:sz="4" w:space="0"/>
              <w:bottom w:val="single" w:color="000000" w:sz="4" w:space="0"/>
              <w:right w:val="single" w:color="000000" w:sz="4" w:space="0"/>
            </w:tcBorders>
            <w:shd w:val="clear" w:color="auto" w:fill="auto"/>
            <w:vAlign w:val="center"/>
          </w:tcPr>
          <w:p w14:paraId="48514C07">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671" w:type="pct"/>
            <w:tcBorders>
              <w:top w:val="single" w:color="auto" w:sz="4" w:space="0"/>
              <w:left w:val="nil"/>
              <w:bottom w:val="single" w:color="000000" w:sz="4" w:space="0"/>
              <w:right w:val="single" w:color="000000" w:sz="4" w:space="0"/>
            </w:tcBorders>
            <w:shd w:val="clear" w:color="auto" w:fill="auto"/>
            <w:vAlign w:val="center"/>
          </w:tcPr>
          <w:p w14:paraId="1DC17B61">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99.26%</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3F49D">
            <w:pPr>
              <w:keepNext w:val="0"/>
              <w:keepLines w:val="0"/>
              <w:suppressLineNumbers w:val="0"/>
              <w:spacing w:before="0" w:beforeAutospacing="0" w:after="0" w:afterAutospacing="0"/>
              <w:ind w:left="0" w:right="0"/>
              <w:jc w:val="both"/>
              <w:rPr>
                <w:rFonts w:hint="default" w:asciiTheme="minorEastAsia" w:hAnsiTheme="minorEastAsia" w:eastAsiaTheme="minorEastAsia" w:cstheme="minorEastAsia"/>
                <w:b/>
                <w:bCs/>
                <w:i w:val="0"/>
                <w:iCs w:val="0"/>
                <w:color w:val="000000"/>
                <w:sz w:val="18"/>
                <w:szCs w:val="18"/>
                <w:u w:val="none"/>
              </w:rPr>
            </w:pPr>
          </w:p>
        </w:tc>
      </w:tr>
      <w:tr w14:paraId="50047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345"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C90F374">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i w:val="0"/>
                <w:iCs w:val="0"/>
                <w:color w:val="000000"/>
                <w:sz w:val="18"/>
                <w:szCs w:val="18"/>
                <w:u w:val="none"/>
              </w:rPr>
            </w:pPr>
          </w:p>
        </w:tc>
        <w:tc>
          <w:tcPr>
            <w:tcW w:w="218" w:type="pct"/>
            <w:tcBorders>
              <w:top w:val="nil"/>
              <w:left w:val="single" w:color="000000" w:sz="4" w:space="0"/>
              <w:bottom w:val="nil"/>
              <w:right w:val="nil"/>
            </w:tcBorders>
            <w:shd w:val="clear" w:color="auto" w:fill="auto"/>
            <w:vAlign w:val="center"/>
          </w:tcPr>
          <w:p w14:paraId="68AD71D5">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096FC">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服务对象满意度指标</w:t>
            </w:r>
          </w:p>
        </w:tc>
        <w:tc>
          <w:tcPr>
            <w:tcW w:w="11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9A83B">
            <w:pPr>
              <w:keepNext w:val="0"/>
              <w:keepLines w:val="0"/>
              <w:widowControl/>
              <w:suppressLineNumbers w:val="0"/>
              <w:spacing w:before="0" w:beforeAutospacing="0" w:after="0" w:afterAutospacing="0"/>
              <w:ind w:left="0" w:right="0"/>
              <w:jc w:val="both"/>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补助对象对集中照护政策实施的满意度</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D8FE1">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671" w:type="pct"/>
            <w:tcBorders>
              <w:top w:val="single" w:color="000000" w:sz="4" w:space="0"/>
              <w:left w:val="nil"/>
              <w:bottom w:val="single" w:color="000000" w:sz="4" w:space="0"/>
              <w:right w:val="single" w:color="000000" w:sz="4" w:space="0"/>
            </w:tcBorders>
            <w:shd w:val="clear" w:color="auto" w:fill="auto"/>
            <w:vAlign w:val="center"/>
          </w:tcPr>
          <w:p w14:paraId="18D9A8AB">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95.47%</w:t>
            </w:r>
          </w:p>
        </w:tc>
        <w:tc>
          <w:tcPr>
            <w:tcW w:w="1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D96F3">
            <w:pPr>
              <w:keepNext w:val="0"/>
              <w:keepLines w:val="0"/>
              <w:suppressLineNumbers w:val="0"/>
              <w:spacing w:before="0" w:beforeAutospacing="0" w:after="0" w:afterAutospacing="0"/>
              <w:ind w:left="0" w:right="0"/>
              <w:jc w:val="both"/>
              <w:rPr>
                <w:rFonts w:hint="default" w:asciiTheme="minorEastAsia" w:hAnsiTheme="minorEastAsia" w:eastAsiaTheme="minorEastAsia" w:cstheme="minorEastAsia"/>
                <w:b/>
                <w:bCs/>
                <w:i w:val="0"/>
                <w:iCs w:val="0"/>
                <w:color w:val="000000"/>
                <w:sz w:val="18"/>
                <w:szCs w:val="18"/>
                <w:u w:val="none"/>
              </w:rPr>
            </w:pPr>
          </w:p>
        </w:tc>
      </w:tr>
      <w:tr w14:paraId="77A01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64ED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说明</w:t>
            </w:r>
          </w:p>
        </w:tc>
        <w:tc>
          <w:tcPr>
            <w:tcW w:w="465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B2AD38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auto"/>
                <w:sz w:val="18"/>
                <w:szCs w:val="18"/>
                <w:u w:val="none"/>
              </w:rPr>
            </w:pPr>
            <w:r>
              <w:rPr>
                <w:rFonts w:hint="eastAsia" w:asciiTheme="minorEastAsia" w:hAnsiTheme="minorEastAsia" w:eastAsiaTheme="minorEastAsia" w:cstheme="minorEastAsia"/>
                <w:b/>
                <w:bCs/>
                <w:i w:val="0"/>
                <w:iCs w:val="0"/>
                <w:color w:val="auto"/>
                <w:kern w:val="0"/>
                <w:sz w:val="18"/>
                <w:szCs w:val="18"/>
                <w:u w:val="none"/>
                <w:lang w:val="en-US" w:eastAsia="zh-CN" w:bidi="ar"/>
              </w:rPr>
              <w:t>无</w:t>
            </w:r>
          </w:p>
        </w:tc>
      </w:tr>
    </w:tbl>
    <w:p w14:paraId="0847486A">
      <w:pPr>
        <w:widowControl w:val="0"/>
        <w:wordWrap/>
        <w:adjustRightInd/>
        <w:snapToGrid/>
        <w:spacing w:line="560" w:lineRule="exact"/>
        <w:ind w:right="0" w:firstLine="640" w:firstLineChars="200"/>
        <w:jc w:val="both"/>
        <w:textAlignment w:val="auto"/>
        <w:rPr>
          <w:rFonts w:hint="eastAsia" w:ascii="仿宋_GB2312" w:hAnsi="仿宋_GB2312" w:cs="仿宋_GB2312"/>
          <w:bCs/>
          <w:sz w:val="32"/>
          <w:szCs w:val="32"/>
          <w:highlight w:val="none"/>
          <w:lang w:eastAsia="zh-CN"/>
        </w:rPr>
      </w:pPr>
    </w:p>
    <w:p w14:paraId="17C10AE5">
      <w:pPr>
        <w:pStyle w:val="2"/>
        <w:rPr>
          <w:rFonts w:hint="eastAsia"/>
          <w:lang w:eastAsia="zh-CN"/>
        </w:rPr>
      </w:pPr>
    </w:p>
    <w:p w14:paraId="1982B3E7">
      <w:pPr>
        <w:pStyle w:val="2"/>
        <w:keepNext w:val="0"/>
        <w:keepLines w:val="0"/>
        <w:pageBreakBefore w:val="0"/>
        <w:kinsoku/>
        <w:wordWrap/>
        <w:overflowPunct/>
        <w:topLinePunct w:val="0"/>
        <w:autoSpaceDE/>
        <w:autoSpaceDN/>
        <w:bidi w:val="0"/>
        <w:adjustRightInd/>
        <w:snapToGrid/>
        <w:spacing w:after="0" w:line="280" w:lineRule="exact"/>
        <w:rPr>
          <w:rFonts w:hint="eastAsia"/>
          <w:lang w:val="en-US"/>
        </w:rPr>
      </w:pPr>
    </w:p>
    <w:sectPr>
      <w:headerReference r:id="rId3" w:type="default"/>
      <w:footerReference r:id="rId4" w:type="default"/>
      <w:pgSz w:w="11906" w:h="16838"/>
      <w:pgMar w:top="2098" w:right="1474" w:bottom="1984" w:left="1587" w:header="851" w:footer="992" w:gutter="0"/>
      <w:cols w:space="0" w:num="1"/>
      <w:rtlGutter w:val="0"/>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宋体">
    <w:altName w:val="方正书宋_GBK"/>
    <w:panose1 w:val="02010600040101010101"/>
    <w:charset w:val="86"/>
    <w:family w:val="auto"/>
    <w:pitch w:val="default"/>
    <w:sig w:usb0="00000000" w:usb1="0000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BC6D2">
    <w:pPr>
      <w:pStyle w:val="5"/>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B45B9C">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34B45B9C">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78E4E">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6B6849"/>
    <w:multiLevelType w:val="singleLevel"/>
    <w:tmpl w:val="FD6B6849"/>
    <w:lvl w:ilvl="0" w:tentative="0">
      <w:start w:val="1"/>
      <w:numFmt w:val="chineseCounting"/>
      <w:suff w:val="nothing"/>
      <w:lvlText w:val="%1、"/>
      <w:lvlJc w:val="left"/>
      <w:rPr>
        <w:rFonts w:hint="eastAsia"/>
      </w:rPr>
    </w:lvl>
  </w:abstractNum>
  <w:abstractNum w:abstractNumId="1">
    <w:nsid w:val="7FE95E65"/>
    <w:multiLevelType w:val="singleLevel"/>
    <w:tmpl w:val="7FE95E65"/>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trackRevisions w:val="1"/>
  <w:documentProtection w:enforcement="0"/>
  <w:defaultTabStop w:val="420"/>
  <w:drawingGridHorizontalSpacing w:val="150"/>
  <w:drawingGridVerticalSpacing w:val="20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ZDc2YTA4Zjg0YTVkZTEzMTRjMjNiZjNjNDUzYmEifQ=="/>
  </w:docVars>
  <w:rsids>
    <w:rsidRoot w:val="00F57F82"/>
    <w:rsid w:val="000101E1"/>
    <w:rsid w:val="000732DA"/>
    <w:rsid w:val="00075CDC"/>
    <w:rsid w:val="000B1E8F"/>
    <w:rsid w:val="00101F7E"/>
    <w:rsid w:val="00103D16"/>
    <w:rsid w:val="0011666B"/>
    <w:rsid w:val="0013537F"/>
    <w:rsid w:val="00164D84"/>
    <w:rsid w:val="001C2E3E"/>
    <w:rsid w:val="001E37FD"/>
    <w:rsid w:val="001F151A"/>
    <w:rsid w:val="00235949"/>
    <w:rsid w:val="00250053"/>
    <w:rsid w:val="002E61A9"/>
    <w:rsid w:val="002E6C28"/>
    <w:rsid w:val="002F6705"/>
    <w:rsid w:val="00301FC0"/>
    <w:rsid w:val="00363197"/>
    <w:rsid w:val="00387DD5"/>
    <w:rsid w:val="003A2E4C"/>
    <w:rsid w:val="003C6374"/>
    <w:rsid w:val="003E3F48"/>
    <w:rsid w:val="00493012"/>
    <w:rsid w:val="004B563B"/>
    <w:rsid w:val="0050184A"/>
    <w:rsid w:val="00537839"/>
    <w:rsid w:val="00545972"/>
    <w:rsid w:val="00556CBE"/>
    <w:rsid w:val="00562AA2"/>
    <w:rsid w:val="005C7EED"/>
    <w:rsid w:val="005D7CC3"/>
    <w:rsid w:val="006136AE"/>
    <w:rsid w:val="00641B00"/>
    <w:rsid w:val="00663821"/>
    <w:rsid w:val="00705CE8"/>
    <w:rsid w:val="00724A6B"/>
    <w:rsid w:val="0072794A"/>
    <w:rsid w:val="007333DB"/>
    <w:rsid w:val="00775338"/>
    <w:rsid w:val="00813465"/>
    <w:rsid w:val="00840D6F"/>
    <w:rsid w:val="00937811"/>
    <w:rsid w:val="00992CDC"/>
    <w:rsid w:val="009A02B0"/>
    <w:rsid w:val="009A0529"/>
    <w:rsid w:val="009E61D4"/>
    <w:rsid w:val="00A1488B"/>
    <w:rsid w:val="00A31F5E"/>
    <w:rsid w:val="00A32F4A"/>
    <w:rsid w:val="00A92C8F"/>
    <w:rsid w:val="00B4346A"/>
    <w:rsid w:val="00B7078D"/>
    <w:rsid w:val="00BB0E7F"/>
    <w:rsid w:val="00BD3656"/>
    <w:rsid w:val="00BE58CF"/>
    <w:rsid w:val="00CE1744"/>
    <w:rsid w:val="00CE1F0D"/>
    <w:rsid w:val="00CF336F"/>
    <w:rsid w:val="00D23C43"/>
    <w:rsid w:val="00D63908"/>
    <w:rsid w:val="00D95006"/>
    <w:rsid w:val="00DD6007"/>
    <w:rsid w:val="00DE4FDA"/>
    <w:rsid w:val="00E22E2F"/>
    <w:rsid w:val="00ED0C22"/>
    <w:rsid w:val="00EE2249"/>
    <w:rsid w:val="00EE3FEC"/>
    <w:rsid w:val="00EE4BD9"/>
    <w:rsid w:val="00F22C16"/>
    <w:rsid w:val="00F362D2"/>
    <w:rsid w:val="00F433D4"/>
    <w:rsid w:val="00F57F82"/>
    <w:rsid w:val="00FA357A"/>
    <w:rsid w:val="00FC1C56"/>
    <w:rsid w:val="00FD14E0"/>
    <w:rsid w:val="037D0BC8"/>
    <w:rsid w:val="03FCA087"/>
    <w:rsid w:val="07A71631"/>
    <w:rsid w:val="0845082D"/>
    <w:rsid w:val="09E965F2"/>
    <w:rsid w:val="0A5AC0C6"/>
    <w:rsid w:val="0B6F822F"/>
    <w:rsid w:val="0B7BB7D1"/>
    <w:rsid w:val="0B99B9D0"/>
    <w:rsid w:val="0DFDD9E0"/>
    <w:rsid w:val="0E66764E"/>
    <w:rsid w:val="0E972280"/>
    <w:rsid w:val="0EE3107B"/>
    <w:rsid w:val="0EF28F2A"/>
    <w:rsid w:val="0FFE2395"/>
    <w:rsid w:val="139840D3"/>
    <w:rsid w:val="143E091F"/>
    <w:rsid w:val="14865FC8"/>
    <w:rsid w:val="150C2DB0"/>
    <w:rsid w:val="156F4749"/>
    <w:rsid w:val="167A0763"/>
    <w:rsid w:val="177C6692"/>
    <w:rsid w:val="1A9C7EF7"/>
    <w:rsid w:val="1BBD48D7"/>
    <w:rsid w:val="1BFDCA2C"/>
    <w:rsid w:val="1BFFBB4E"/>
    <w:rsid w:val="1DF363B1"/>
    <w:rsid w:val="1DFFFBC0"/>
    <w:rsid w:val="1E554DCA"/>
    <w:rsid w:val="1E761F05"/>
    <w:rsid w:val="1F7DF23B"/>
    <w:rsid w:val="1FA7E3FD"/>
    <w:rsid w:val="1FC7205C"/>
    <w:rsid w:val="1FE73162"/>
    <w:rsid w:val="1FEC47E9"/>
    <w:rsid w:val="1FEE5C56"/>
    <w:rsid w:val="1FFEC917"/>
    <w:rsid w:val="1FFFAF1F"/>
    <w:rsid w:val="1FFFFEB1"/>
    <w:rsid w:val="21848B63"/>
    <w:rsid w:val="228B3D05"/>
    <w:rsid w:val="23275F66"/>
    <w:rsid w:val="2350337E"/>
    <w:rsid w:val="255C0561"/>
    <w:rsid w:val="26FDB64B"/>
    <w:rsid w:val="27B70B4D"/>
    <w:rsid w:val="27B75216"/>
    <w:rsid w:val="27D711A4"/>
    <w:rsid w:val="27FB6D56"/>
    <w:rsid w:val="29A06440"/>
    <w:rsid w:val="2BBFBE66"/>
    <w:rsid w:val="2DEB4200"/>
    <w:rsid w:val="2DF5059D"/>
    <w:rsid w:val="2F1D4ACB"/>
    <w:rsid w:val="2F7DB552"/>
    <w:rsid w:val="2F7F5C2B"/>
    <w:rsid w:val="2FAFF494"/>
    <w:rsid w:val="2FCF8CE9"/>
    <w:rsid w:val="2FDB35D4"/>
    <w:rsid w:val="2FDB7DFF"/>
    <w:rsid w:val="2FF7E18E"/>
    <w:rsid w:val="2FFB095A"/>
    <w:rsid w:val="2FFC49E0"/>
    <w:rsid w:val="2FFEFFD5"/>
    <w:rsid w:val="30713FC2"/>
    <w:rsid w:val="30ED17FE"/>
    <w:rsid w:val="337CDBF3"/>
    <w:rsid w:val="33DFEE81"/>
    <w:rsid w:val="33F5E08C"/>
    <w:rsid w:val="344026AF"/>
    <w:rsid w:val="359F689D"/>
    <w:rsid w:val="35EC5F20"/>
    <w:rsid w:val="35FF807B"/>
    <w:rsid w:val="36767569"/>
    <w:rsid w:val="36B7685A"/>
    <w:rsid w:val="36EF2551"/>
    <w:rsid w:val="36F57D06"/>
    <w:rsid w:val="3796FD1B"/>
    <w:rsid w:val="37CF5D44"/>
    <w:rsid w:val="37D5BF7F"/>
    <w:rsid w:val="37EFCD44"/>
    <w:rsid w:val="37FB92ED"/>
    <w:rsid w:val="37FBA6CE"/>
    <w:rsid w:val="37FECB2D"/>
    <w:rsid w:val="37FF33AB"/>
    <w:rsid w:val="38EF7AD8"/>
    <w:rsid w:val="390F6AAA"/>
    <w:rsid w:val="394F3583"/>
    <w:rsid w:val="39F67874"/>
    <w:rsid w:val="3AB77495"/>
    <w:rsid w:val="3AD76819"/>
    <w:rsid w:val="3AF78765"/>
    <w:rsid w:val="3AFEA62E"/>
    <w:rsid w:val="3B6F6A84"/>
    <w:rsid w:val="3BBBBDD9"/>
    <w:rsid w:val="3BFF8306"/>
    <w:rsid w:val="3C69C4A1"/>
    <w:rsid w:val="3CD817E2"/>
    <w:rsid w:val="3CDF07DE"/>
    <w:rsid w:val="3D3E1824"/>
    <w:rsid w:val="3D970888"/>
    <w:rsid w:val="3DB73D40"/>
    <w:rsid w:val="3DB7B6D8"/>
    <w:rsid w:val="3DF75E78"/>
    <w:rsid w:val="3DFF20EB"/>
    <w:rsid w:val="3E1672E6"/>
    <w:rsid w:val="3E3696C8"/>
    <w:rsid w:val="3E6ABD42"/>
    <w:rsid w:val="3E7D1697"/>
    <w:rsid w:val="3E7D36C3"/>
    <w:rsid w:val="3E7DFDA4"/>
    <w:rsid w:val="3EAC6F88"/>
    <w:rsid w:val="3EDFF427"/>
    <w:rsid w:val="3EF75476"/>
    <w:rsid w:val="3EFF7627"/>
    <w:rsid w:val="3EFFFBFB"/>
    <w:rsid w:val="3F2F65B6"/>
    <w:rsid w:val="3F3F40EF"/>
    <w:rsid w:val="3F4B735E"/>
    <w:rsid w:val="3F6FEF76"/>
    <w:rsid w:val="3F9132B6"/>
    <w:rsid w:val="3F998B76"/>
    <w:rsid w:val="3F9F414D"/>
    <w:rsid w:val="3FB7F325"/>
    <w:rsid w:val="3FB7FC26"/>
    <w:rsid w:val="3FBD97CD"/>
    <w:rsid w:val="3FBEFB92"/>
    <w:rsid w:val="3FBF2236"/>
    <w:rsid w:val="3FCD2426"/>
    <w:rsid w:val="3FCF5E8B"/>
    <w:rsid w:val="3FDB0672"/>
    <w:rsid w:val="3FE7E5DD"/>
    <w:rsid w:val="3FEBB467"/>
    <w:rsid w:val="3FEF5374"/>
    <w:rsid w:val="3FEFDEBA"/>
    <w:rsid w:val="3FF350BB"/>
    <w:rsid w:val="3FF713A6"/>
    <w:rsid w:val="3FF9C952"/>
    <w:rsid w:val="3FFD0085"/>
    <w:rsid w:val="3FFF0B32"/>
    <w:rsid w:val="3FFFAB9E"/>
    <w:rsid w:val="3FFFD8AC"/>
    <w:rsid w:val="40106FAF"/>
    <w:rsid w:val="40FBB4E1"/>
    <w:rsid w:val="40FF554E"/>
    <w:rsid w:val="415F08D8"/>
    <w:rsid w:val="43DAC087"/>
    <w:rsid w:val="43EF4302"/>
    <w:rsid w:val="44E2230F"/>
    <w:rsid w:val="464A6F36"/>
    <w:rsid w:val="476451F4"/>
    <w:rsid w:val="4776EFD0"/>
    <w:rsid w:val="479B5385"/>
    <w:rsid w:val="47DF8BAA"/>
    <w:rsid w:val="47F3D4CD"/>
    <w:rsid w:val="485E5525"/>
    <w:rsid w:val="48B51347"/>
    <w:rsid w:val="4A55216A"/>
    <w:rsid w:val="4BD3EDD5"/>
    <w:rsid w:val="4BE7311F"/>
    <w:rsid w:val="4C3EB38A"/>
    <w:rsid w:val="4CF900E7"/>
    <w:rsid w:val="4DAB5597"/>
    <w:rsid w:val="4DFF0E4A"/>
    <w:rsid w:val="4EA78961"/>
    <w:rsid w:val="4F6B7885"/>
    <w:rsid w:val="4F7FDFF1"/>
    <w:rsid w:val="4FDFEED9"/>
    <w:rsid w:val="4FE0696A"/>
    <w:rsid w:val="4FE9D7B6"/>
    <w:rsid w:val="4FEB24AD"/>
    <w:rsid w:val="4FEF4CE1"/>
    <w:rsid w:val="4FEF7B61"/>
    <w:rsid w:val="5215D8EE"/>
    <w:rsid w:val="52453B85"/>
    <w:rsid w:val="52ED845A"/>
    <w:rsid w:val="535B5814"/>
    <w:rsid w:val="53674CD8"/>
    <w:rsid w:val="53773AEA"/>
    <w:rsid w:val="539B6FDD"/>
    <w:rsid w:val="53BFB02B"/>
    <w:rsid w:val="53FAAE5C"/>
    <w:rsid w:val="53FD1147"/>
    <w:rsid w:val="546F74E8"/>
    <w:rsid w:val="547A7A76"/>
    <w:rsid w:val="55673508"/>
    <w:rsid w:val="556EE2F9"/>
    <w:rsid w:val="55EBA829"/>
    <w:rsid w:val="55FEFAF8"/>
    <w:rsid w:val="55FF1EA6"/>
    <w:rsid w:val="57551296"/>
    <w:rsid w:val="57ADE45F"/>
    <w:rsid w:val="57C7EBB3"/>
    <w:rsid w:val="57DEC2AD"/>
    <w:rsid w:val="57E6DD66"/>
    <w:rsid w:val="57E7808A"/>
    <w:rsid w:val="57F325DA"/>
    <w:rsid w:val="57FE1546"/>
    <w:rsid w:val="57FE1EE5"/>
    <w:rsid w:val="57FF0D59"/>
    <w:rsid w:val="57FF1E51"/>
    <w:rsid w:val="57FFF1B3"/>
    <w:rsid w:val="58163776"/>
    <w:rsid w:val="586BE32F"/>
    <w:rsid w:val="58DA6944"/>
    <w:rsid w:val="58EF3535"/>
    <w:rsid w:val="59595A6F"/>
    <w:rsid w:val="599330CA"/>
    <w:rsid w:val="59E62DE9"/>
    <w:rsid w:val="59FF85DF"/>
    <w:rsid w:val="5A798336"/>
    <w:rsid w:val="5B158AF5"/>
    <w:rsid w:val="5B35A960"/>
    <w:rsid w:val="5B5F064A"/>
    <w:rsid w:val="5B7348E7"/>
    <w:rsid w:val="5B75002C"/>
    <w:rsid w:val="5B7BFF31"/>
    <w:rsid w:val="5BD72640"/>
    <w:rsid w:val="5BDA3182"/>
    <w:rsid w:val="5BDFF5C8"/>
    <w:rsid w:val="5BFBD0A1"/>
    <w:rsid w:val="5CFB5B41"/>
    <w:rsid w:val="5CFFA4BB"/>
    <w:rsid w:val="5D4B71D4"/>
    <w:rsid w:val="5D5C43FD"/>
    <w:rsid w:val="5D8B7F44"/>
    <w:rsid w:val="5DDFBCCD"/>
    <w:rsid w:val="5DEDD285"/>
    <w:rsid w:val="5DF70099"/>
    <w:rsid w:val="5DFEABD1"/>
    <w:rsid w:val="5E5622D4"/>
    <w:rsid w:val="5E5FCA3E"/>
    <w:rsid w:val="5E64B15D"/>
    <w:rsid w:val="5EA1C62B"/>
    <w:rsid w:val="5EFBFB8A"/>
    <w:rsid w:val="5EFC9415"/>
    <w:rsid w:val="5F4EBDDD"/>
    <w:rsid w:val="5F7F3D7D"/>
    <w:rsid w:val="5F8F535A"/>
    <w:rsid w:val="5FBB3EDC"/>
    <w:rsid w:val="5FBCAD33"/>
    <w:rsid w:val="5FBEFE1A"/>
    <w:rsid w:val="5FCB05D6"/>
    <w:rsid w:val="5FCF19C3"/>
    <w:rsid w:val="5FD714B8"/>
    <w:rsid w:val="5FDCDEFA"/>
    <w:rsid w:val="5FDE6A7C"/>
    <w:rsid w:val="5FF20E0E"/>
    <w:rsid w:val="5FFBC6E7"/>
    <w:rsid w:val="5FFD13BA"/>
    <w:rsid w:val="5FFE3860"/>
    <w:rsid w:val="5FFF35F8"/>
    <w:rsid w:val="5FFF4947"/>
    <w:rsid w:val="60D5009F"/>
    <w:rsid w:val="61AF957C"/>
    <w:rsid w:val="64617795"/>
    <w:rsid w:val="65174716"/>
    <w:rsid w:val="654FDBD8"/>
    <w:rsid w:val="65F02C8C"/>
    <w:rsid w:val="65FA38F0"/>
    <w:rsid w:val="660721C9"/>
    <w:rsid w:val="661E6C75"/>
    <w:rsid w:val="66FD25FE"/>
    <w:rsid w:val="66FE66E4"/>
    <w:rsid w:val="675B51FB"/>
    <w:rsid w:val="675B98AB"/>
    <w:rsid w:val="677BB149"/>
    <w:rsid w:val="67845964"/>
    <w:rsid w:val="67BDA059"/>
    <w:rsid w:val="67F75FF5"/>
    <w:rsid w:val="681D4831"/>
    <w:rsid w:val="68F6A4F6"/>
    <w:rsid w:val="692E4B19"/>
    <w:rsid w:val="69513EF7"/>
    <w:rsid w:val="69C42706"/>
    <w:rsid w:val="6A2F6A99"/>
    <w:rsid w:val="6A8D97A9"/>
    <w:rsid w:val="6AD300AA"/>
    <w:rsid w:val="6AFFF86B"/>
    <w:rsid w:val="6B1E24AB"/>
    <w:rsid w:val="6BDFF67B"/>
    <w:rsid w:val="6BF3256F"/>
    <w:rsid w:val="6BF9FD2E"/>
    <w:rsid w:val="6C72CD87"/>
    <w:rsid w:val="6CE7018A"/>
    <w:rsid w:val="6D7DE32B"/>
    <w:rsid w:val="6DB603CC"/>
    <w:rsid w:val="6DD77CE4"/>
    <w:rsid w:val="6DE7767D"/>
    <w:rsid w:val="6DFD5AA5"/>
    <w:rsid w:val="6E3E3F2D"/>
    <w:rsid w:val="6E7F0996"/>
    <w:rsid w:val="6E9DAFE3"/>
    <w:rsid w:val="6EE5520B"/>
    <w:rsid w:val="6EFD97D2"/>
    <w:rsid w:val="6F3D7378"/>
    <w:rsid w:val="6F5F15AD"/>
    <w:rsid w:val="6F6D56EC"/>
    <w:rsid w:val="6F796E28"/>
    <w:rsid w:val="6F7AC3BF"/>
    <w:rsid w:val="6F7B5A75"/>
    <w:rsid w:val="6F7D8FAE"/>
    <w:rsid w:val="6F7FE920"/>
    <w:rsid w:val="6FB3D517"/>
    <w:rsid w:val="6FBCC786"/>
    <w:rsid w:val="6FC5BB63"/>
    <w:rsid w:val="6FDF0CA6"/>
    <w:rsid w:val="6FE30817"/>
    <w:rsid w:val="6FE37A2C"/>
    <w:rsid w:val="6FECD4EA"/>
    <w:rsid w:val="6FEEFC90"/>
    <w:rsid w:val="6FFB55ED"/>
    <w:rsid w:val="6FFC2C2C"/>
    <w:rsid w:val="6FFE9024"/>
    <w:rsid w:val="6FFEBBAF"/>
    <w:rsid w:val="6FFFB2B0"/>
    <w:rsid w:val="709DF397"/>
    <w:rsid w:val="715B2F02"/>
    <w:rsid w:val="717B0A3E"/>
    <w:rsid w:val="717C64BF"/>
    <w:rsid w:val="72492390"/>
    <w:rsid w:val="72729D5F"/>
    <w:rsid w:val="72EF2A61"/>
    <w:rsid w:val="72F7FFC7"/>
    <w:rsid w:val="735A917A"/>
    <w:rsid w:val="7361E995"/>
    <w:rsid w:val="737EADC8"/>
    <w:rsid w:val="737F46FA"/>
    <w:rsid w:val="73EA303E"/>
    <w:rsid w:val="73FF28CA"/>
    <w:rsid w:val="73FF4974"/>
    <w:rsid w:val="750A5A77"/>
    <w:rsid w:val="75555E0F"/>
    <w:rsid w:val="755708EA"/>
    <w:rsid w:val="75625A9B"/>
    <w:rsid w:val="7563778E"/>
    <w:rsid w:val="7569F74E"/>
    <w:rsid w:val="75778C0B"/>
    <w:rsid w:val="757F08EA"/>
    <w:rsid w:val="75BFAC01"/>
    <w:rsid w:val="75DAA688"/>
    <w:rsid w:val="75FBF1B8"/>
    <w:rsid w:val="75FE4015"/>
    <w:rsid w:val="75FF139C"/>
    <w:rsid w:val="75FF7A6C"/>
    <w:rsid w:val="765D84B0"/>
    <w:rsid w:val="765DBFB9"/>
    <w:rsid w:val="766F312C"/>
    <w:rsid w:val="76A548F2"/>
    <w:rsid w:val="7702C47B"/>
    <w:rsid w:val="771EEEFA"/>
    <w:rsid w:val="7735FDE6"/>
    <w:rsid w:val="773D6BF8"/>
    <w:rsid w:val="7765772E"/>
    <w:rsid w:val="77760702"/>
    <w:rsid w:val="7777347B"/>
    <w:rsid w:val="7779079A"/>
    <w:rsid w:val="777EE8F4"/>
    <w:rsid w:val="77867685"/>
    <w:rsid w:val="77AF9395"/>
    <w:rsid w:val="77BD3ACF"/>
    <w:rsid w:val="77DAF762"/>
    <w:rsid w:val="77DE43A9"/>
    <w:rsid w:val="77E5BFD9"/>
    <w:rsid w:val="77EA4585"/>
    <w:rsid w:val="77EAB4D1"/>
    <w:rsid w:val="77EF70A4"/>
    <w:rsid w:val="77F5726D"/>
    <w:rsid w:val="77F7F199"/>
    <w:rsid w:val="77FFF179"/>
    <w:rsid w:val="781F36B6"/>
    <w:rsid w:val="78FF1B48"/>
    <w:rsid w:val="790627AD"/>
    <w:rsid w:val="7977C7A9"/>
    <w:rsid w:val="797F009D"/>
    <w:rsid w:val="797FC07B"/>
    <w:rsid w:val="798FBEB4"/>
    <w:rsid w:val="7A6D6B8B"/>
    <w:rsid w:val="7ABEB542"/>
    <w:rsid w:val="7ADC59FA"/>
    <w:rsid w:val="7AFF015F"/>
    <w:rsid w:val="7AFF93C0"/>
    <w:rsid w:val="7B11B552"/>
    <w:rsid w:val="7B3F538D"/>
    <w:rsid w:val="7B3FD77A"/>
    <w:rsid w:val="7B76C63E"/>
    <w:rsid w:val="7B7F7443"/>
    <w:rsid w:val="7B7FB243"/>
    <w:rsid w:val="7B8EBC5C"/>
    <w:rsid w:val="7B9766BA"/>
    <w:rsid w:val="7BAB4E44"/>
    <w:rsid w:val="7BAD0B42"/>
    <w:rsid w:val="7BBB8041"/>
    <w:rsid w:val="7BDF497A"/>
    <w:rsid w:val="7BDF50EF"/>
    <w:rsid w:val="7BE3A720"/>
    <w:rsid w:val="7BEFDA20"/>
    <w:rsid w:val="7BEFDDEE"/>
    <w:rsid w:val="7BF70FCD"/>
    <w:rsid w:val="7BF80EEF"/>
    <w:rsid w:val="7BFCE1E0"/>
    <w:rsid w:val="7BFF7B2C"/>
    <w:rsid w:val="7CAF8B94"/>
    <w:rsid w:val="7CB39A04"/>
    <w:rsid w:val="7CD68C36"/>
    <w:rsid w:val="7CE7D498"/>
    <w:rsid w:val="7CFBE1F4"/>
    <w:rsid w:val="7D3FDDFA"/>
    <w:rsid w:val="7D5AECCF"/>
    <w:rsid w:val="7D5C5DCD"/>
    <w:rsid w:val="7D5FBBE4"/>
    <w:rsid w:val="7D72AC33"/>
    <w:rsid w:val="7D7FEA67"/>
    <w:rsid w:val="7DB395F2"/>
    <w:rsid w:val="7DBB11FF"/>
    <w:rsid w:val="7DBDE31C"/>
    <w:rsid w:val="7DBF8A0C"/>
    <w:rsid w:val="7DD72085"/>
    <w:rsid w:val="7DDC20D6"/>
    <w:rsid w:val="7DDD794F"/>
    <w:rsid w:val="7DE70E3F"/>
    <w:rsid w:val="7DE73415"/>
    <w:rsid w:val="7DF530D6"/>
    <w:rsid w:val="7DFCA2CD"/>
    <w:rsid w:val="7DFD0A3D"/>
    <w:rsid w:val="7DFE20EB"/>
    <w:rsid w:val="7DFF63C1"/>
    <w:rsid w:val="7DFFA0A0"/>
    <w:rsid w:val="7E13BB63"/>
    <w:rsid w:val="7E79A9E2"/>
    <w:rsid w:val="7E7AA0EC"/>
    <w:rsid w:val="7EAF47F4"/>
    <w:rsid w:val="7EBB25D7"/>
    <w:rsid w:val="7EEDD9EC"/>
    <w:rsid w:val="7EEEB644"/>
    <w:rsid w:val="7EEF3F33"/>
    <w:rsid w:val="7EF3C323"/>
    <w:rsid w:val="7EFB0BF6"/>
    <w:rsid w:val="7EFB3DF4"/>
    <w:rsid w:val="7EFC29D5"/>
    <w:rsid w:val="7EFDB1F9"/>
    <w:rsid w:val="7EFE5F2C"/>
    <w:rsid w:val="7F1E9DBE"/>
    <w:rsid w:val="7F1FA01D"/>
    <w:rsid w:val="7F27EB4E"/>
    <w:rsid w:val="7F2D4BE6"/>
    <w:rsid w:val="7F3FE3A5"/>
    <w:rsid w:val="7F5764D8"/>
    <w:rsid w:val="7F5F2FC2"/>
    <w:rsid w:val="7F776F5C"/>
    <w:rsid w:val="7F7DD36C"/>
    <w:rsid w:val="7F7FF3BE"/>
    <w:rsid w:val="7F92A70B"/>
    <w:rsid w:val="7F9B917F"/>
    <w:rsid w:val="7F9F105B"/>
    <w:rsid w:val="7FA90759"/>
    <w:rsid w:val="7FB2AC56"/>
    <w:rsid w:val="7FB755FD"/>
    <w:rsid w:val="7FBFE555"/>
    <w:rsid w:val="7FBFE7D1"/>
    <w:rsid w:val="7FD6EA0E"/>
    <w:rsid w:val="7FD715EC"/>
    <w:rsid w:val="7FD94B11"/>
    <w:rsid w:val="7FDC014B"/>
    <w:rsid w:val="7FDD6238"/>
    <w:rsid w:val="7FDE192B"/>
    <w:rsid w:val="7FDE211B"/>
    <w:rsid w:val="7FEEDAD3"/>
    <w:rsid w:val="7FEF638E"/>
    <w:rsid w:val="7FF24C48"/>
    <w:rsid w:val="7FF3AFB6"/>
    <w:rsid w:val="7FF72E24"/>
    <w:rsid w:val="7FFB953E"/>
    <w:rsid w:val="7FFBAAAF"/>
    <w:rsid w:val="7FFC0A38"/>
    <w:rsid w:val="7FFD38AB"/>
    <w:rsid w:val="7FFDE6E6"/>
    <w:rsid w:val="7FFDE83D"/>
    <w:rsid w:val="7FFE41CE"/>
    <w:rsid w:val="7FFE4B6E"/>
    <w:rsid w:val="7FFE4E91"/>
    <w:rsid w:val="7FFEBB4F"/>
    <w:rsid w:val="7FFF2CA5"/>
    <w:rsid w:val="7FFF318D"/>
    <w:rsid w:val="7FFF3A0A"/>
    <w:rsid w:val="87FFE0B1"/>
    <w:rsid w:val="8BFE4D3D"/>
    <w:rsid w:val="8BFFC856"/>
    <w:rsid w:val="8F9F7CB2"/>
    <w:rsid w:val="8FFB6E9F"/>
    <w:rsid w:val="8FFEF411"/>
    <w:rsid w:val="8FFF651A"/>
    <w:rsid w:val="90FF4AA1"/>
    <w:rsid w:val="95378FC8"/>
    <w:rsid w:val="95771037"/>
    <w:rsid w:val="9767375C"/>
    <w:rsid w:val="9AD7A7D1"/>
    <w:rsid w:val="9CFB77AF"/>
    <w:rsid w:val="9DB6F5ED"/>
    <w:rsid w:val="9DFF3102"/>
    <w:rsid w:val="9EF20060"/>
    <w:rsid w:val="9F9F5862"/>
    <w:rsid w:val="9FB96D4C"/>
    <w:rsid w:val="9FDA7BC4"/>
    <w:rsid w:val="9FDC9BB1"/>
    <w:rsid w:val="9FEF5784"/>
    <w:rsid w:val="9FF255D3"/>
    <w:rsid w:val="9FF6C91D"/>
    <w:rsid w:val="9FFD61A2"/>
    <w:rsid w:val="A37F1062"/>
    <w:rsid w:val="A3FEABCF"/>
    <w:rsid w:val="A3FEDE12"/>
    <w:rsid w:val="A3FF2A18"/>
    <w:rsid w:val="A3FFD1AC"/>
    <w:rsid w:val="A55B6C6A"/>
    <w:rsid w:val="A5EB1343"/>
    <w:rsid w:val="A5F62003"/>
    <w:rsid w:val="A9BE88C2"/>
    <w:rsid w:val="AB7BA749"/>
    <w:rsid w:val="AB7F324A"/>
    <w:rsid w:val="ACFD1C8A"/>
    <w:rsid w:val="AD4FA5ED"/>
    <w:rsid w:val="AD6B75D7"/>
    <w:rsid w:val="AD7D14CD"/>
    <w:rsid w:val="ADDD1DDD"/>
    <w:rsid w:val="AEFAF00C"/>
    <w:rsid w:val="AFBBB808"/>
    <w:rsid w:val="AFDF73ED"/>
    <w:rsid w:val="AFF551E9"/>
    <w:rsid w:val="AFFC5F41"/>
    <w:rsid w:val="B36D4BDD"/>
    <w:rsid w:val="B3944EED"/>
    <w:rsid w:val="B5231A1A"/>
    <w:rsid w:val="B5AF8845"/>
    <w:rsid w:val="B5FF9EA4"/>
    <w:rsid w:val="B631B2E8"/>
    <w:rsid w:val="B71B443F"/>
    <w:rsid w:val="B74B2636"/>
    <w:rsid w:val="B7F3BE45"/>
    <w:rsid w:val="B7F7E885"/>
    <w:rsid w:val="B7FD217D"/>
    <w:rsid w:val="B87E8177"/>
    <w:rsid w:val="B93C8767"/>
    <w:rsid w:val="B9CFD584"/>
    <w:rsid w:val="B9FF1343"/>
    <w:rsid w:val="BA1E0C9F"/>
    <w:rsid w:val="BA6EB73B"/>
    <w:rsid w:val="BA793DBD"/>
    <w:rsid w:val="BAF1D241"/>
    <w:rsid w:val="BAFF6522"/>
    <w:rsid w:val="BB4F2F23"/>
    <w:rsid w:val="BB7FC9C9"/>
    <w:rsid w:val="BD2A5EF2"/>
    <w:rsid w:val="BDA3978C"/>
    <w:rsid w:val="BDFF2A37"/>
    <w:rsid w:val="BE56EECC"/>
    <w:rsid w:val="BE8FB96D"/>
    <w:rsid w:val="BEA7F647"/>
    <w:rsid w:val="BEFB61EF"/>
    <w:rsid w:val="BEFC4420"/>
    <w:rsid w:val="BF3F50D0"/>
    <w:rsid w:val="BF47954C"/>
    <w:rsid w:val="BF7BFC18"/>
    <w:rsid w:val="BF7D6855"/>
    <w:rsid w:val="BF7D8E90"/>
    <w:rsid w:val="BF7E24D7"/>
    <w:rsid w:val="BF7EB91A"/>
    <w:rsid w:val="BF7FB0F1"/>
    <w:rsid w:val="BFB3DA85"/>
    <w:rsid w:val="BFB729D2"/>
    <w:rsid w:val="BFD68B61"/>
    <w:rsid w:val="BFD7A70A"/>
    <w:rsid w:val="BFDDEA04"/>
    <w:rsid w:val="BFE59083"/>
    <w:rsid w:val="BFEFEF97"/>
    <w:rsid w:val="BFF2CD88"/>
    <w:rsid w:val="BFF783F6"/>
    <w:rsid w:val="BFF8FF53"/>
    <w:rsid w:val="BFFBF3FE"/>
    <w:rsid w:val="BFFBFC2C"/>
    <w:rsid w:val="BFFF33FF"/>
    <w:rsid w:val="BFFF802E"/>
    <w:rsid w:val="BFFF8519"/>
    <w:rsid w:val="C7BF2B5C"/>
    <w:rsid w:val="C9B778E8"/>
    <w:rsid w:val="CA7FE439"/>
    <w:rsid w:val="CABF9067"/>
    <w:rsid w:val="CBDEE07A"/>
    <w:rsid w:val="CCBE42D1"/>
    <w:rsid w:val="CD6F9CEA"/>
    <w:rsid w:val="CF1DF7FC"/>
    <w:rsid w:val="CF3D88DD"/>
    <w:rsid w:val="CF6A6C0D"/>
    <w:rsid w:val="CF7F8F89"/>
    <w:rsid w:val="CFBBE445"/>
    <w:rsid w:val="CFBF687F"/>
    <w:rsid w:val="CFEB394B"/>
    <w:rsid w:val="CFEF418B"/>
    <w:rsid w:val="CFF4C38A"/>
    <w:rsid w:val="D17DEDEF"/>
    <w:rsid w:val="D37C3CB9"/>
    <w:rsid w:val="D3EE083B"/>
    <w:rsid w:val="D3FCAD12"/>
    <w:rsid w:val="D5A76969"/>
    <w:rsid w:val="D5F5FE0A"/>
    <w:rsid w:val="D6AFFE11"/>
    <w:rsid w:val="D6EF990E"/>
    <w:rsid w:val="D76806FD"/>
    <w:rsid w:val="D7FB3419"/>
    <w:rsid w:val="D7FFFAE1"/>
    <w:rsid w:val="D93DE8E6"/>
    <w:rsid w:val="D96D9E39"/>
    <w:rsid w:val="D9DB27A5"/>
    <w:rsid w:val="DABBAC8B"/>
    <w:rsid w:val="DB9DD64E"/>
    <w:rsid w:val="DBDCC029"/>
    <w:rsid w:val="DBEF0481"/>
    <w:rsid w:val="DBFF39C0"/>
    <w:rsid w:val="DD7F1E9D"/>
    <w:rsid w:val="DD7FB87F"/>
    <w:rsid w:val="DDBD00D4"/>
    <w:rsid w:val="DDBD9B1A"/>
    <w:rsid w:val="DDD7ACF8"/>
    <w:rsid w:val="DDFE25A2"/>
    <w:rsid w:val="DE5BDCA9"/>
    <w:rsid w:val="DEBF3054"/>
    <w:rsid w:val="DEF7AEE0"/>
    <w:rsid w:val="DEF7CDBF"/>
    <w:rsid w:val="DEFB0525"/>
    <w:rsid w:val="DEFF10E7"/>
    <w:rsid w:val="DF5FF852"/>
    <w:rsid w:val="DF7D1604"/>
    <w:rsid w:val="DF8B367F"/>
    <w:rsid w:val="DFAC7EC1"/>
    <w:rsid w:val="DFB4875F"/>
    <w:rsid w:val="DFB71CDC"/>
    <w:rsid w:val="DFBE2436"/>
    <w:rsid w:val="DFD80766"/>
    <w:rsid w:val="DFDB3445"/>
    <w:rsid w:val="DFDBACFC"/>
    <w:rsid w:val="DFDF1A6F"/>
    <w:rsid w:val="DFDFC920"/>
    <w:rsid w:val="DFE3538B"/>
    <w:rsid w:val="DFEB2DD4"/>
    <w:rsid w:val="DFF75CD2"/>
    <w:rsid w:val="DFF78A7F"/>
    <w:rsid w:val="DFF7D6E3"/>
    <w:rsid w:val="DFF7E65F"/>
    <w:rsid w:val="DFFEAA9E"/>
    <w:rsid w:val="E1772D81"/>
    <w:rsid w:val="E1CBC1F8"/>
    <w:rsid w:val="E1DD3590"/>
    <w:rsid w:val="E37C8B6E"/>
    <w:rsid w:val="E39AE324"/>
    <w:rsid w:val="E3ABF7DF"/>
    <w:rsid w:val="E3BF41A0"/>
    <w:rsid w:val="E46B9202"/>
    <w:rsid w:val="E49BF46C"/>
    <w:rsid w:val="E5F2CB27"/>
    <w:rsid w:val="E77B6567"/>
    <w:rsid w:val="E7976457"/>
    <w:rsid w:val="E7D6154E"/>
    <w:rsid w:val="E7DF6C61"/>
    <w:rsid w:val="E7FF985F"/>
    <w:rsid w:val="E97F413B"/>
    <w:rsid w:val="EB6F44F7"/>
    <w:rsid w:val="EB6FB203"/>
    <w:rsid w:val="EB7BF672"/>
    <w:rsid w:val="EB7F9C7C"/>
    <w:rsid w:val="EBBF00BE"/>
    <w:rsid w:val="EBF3902A"/>
    <w:rsid w:val="EBFC6D34"/>
    <w:rsid w:val="EBFFEB87"/>
    <w:rsid w:val="EBFFF865"/>
    <w:rsid w:val="EC572CA8"/>
    <w:rsid w:val="EC6D60F5"/>
    <w:rsid w:val="EDBD32E7"/>
    <w:rsid w:val="EDF71D9A"/>
    <w:rsid w:val="EDFACC20"/>
    <w:rsid w:val="EDFFAD88"/>
    <w:rsid w:val="EE5794D0"/>
    <w:rsid w:val="EE9BAC96"/>
    <w:rsid w:val="EEB7953D"/>
    <w:rsid w:val="EEBA6AF3"/>
    <w:rsid w:val="EEBF2E96"/>
    <w:rsid w:val="EEC5C441"/>
    <w:rsid w:val="EECD390B"/>
    <w:rsid w:val="EEDD82C9"/>
    <w:rsid w:val="EEFFB9C6"/>
    <w:rsid w:val="EF26A983"/>
    <w:rsid w:val="EF7F5F86"/>
    <w:rsid w:val="EF7F6A74"/>
    <w:rsid w:val="EF7FDA92"/>
    <w:rsid w:val="EF9C3B09"/>
    <w:rsid w:val="EF9E08D7"/>
    <w:rsid w:val="EFA5B563"/>
    <w:rsid w:val="EFCDB119"/>
    <w:rsid w:val="EFD1D7CF"/>
    <w:rsid w:val="EFDFB41C"/>
    <w:rsid w:val="EFE7FFCC"/>
    <w:rsid w:val="EFEA1B7E"/>
    <w:rsid w:val="EFFB81EC"/>
    <w:rsid w:val="EFFBA34E"/>
    <w:rsid w:val="EFFEF537"/>
    <w:rsid w:val="EFFF19A5"/>
    <w:rsid w:val="F0FDE9FC"/>
    <w:rsid w:val="F1FF5983"/>
    <w:rsid w:val="F2E5BD95"/>
    <w:rsid w:val="F2FE7BBC"/>
    <w:rsid w:val="F3210EFE"/>
    <w:rsid w:val="F3B6DDDB"/>
    <w:rsid w:val="F3DF7C32"/>
    <w:rsid w:val="F3F63918"/>
    <w:rsid w:val="F3F778F8"/>
    <w:rsid w:val="F4799EBA"/>
    <w:rsid w:val="F4EF1E0D"/>
    <w:rsid w:val="F56C5F0A"/>
    <w:rsid w:val="F5BF7C7F"/>
    <w:rsid w:val="F5CECC88"/>
    <w:rsid w:val="F5F0A347"/>
    <w:rsid w:val="F5F8DC0D"/>
    <w:rsid w:val="F5FE7064"/>
    <w:rsid w:val="F5FEBE40"/>
    <w:rsid w:val="F6DDA33C"/>
    <w:rsid w:val="F6EA7116"/>
    <w:rsid w:val="F6EBDD01"/>
    <w:rsid w:val="F6F73CA3"/>
    <w:rsid w:val="F6FF5B2C"/>
    <w:rsid w:val="F6FF90DB"/>
    <w:rsid w:val="F70B6E8C"/>
    <w:rsid w:val="F75F0D44"/>
    <w:rsid w:val="F76F200E"/>
    <w:rsid w:val="F7758902"/>
    <w:rsid w:val="F777012E"/>
    <w:rsid w:val="F7796B14"/>
    <w:rsid w:val="F77C0B5B"/>
    <w:rsid w:val="F77FAE3A"/>
    <w:rsid w:val="F7B702BD"/>
    <w:rsid w:val="F7BD1BFA"/>
    <w:rsid w:val="F7BF832C"/>
    <w:rsid w:val="F7CBB87C"/>
    <w:rsid w:val="F7DFDD24"/>
    <w:rsid w:val="F7DFFFA6"/>
    <w:rsid w:val="F7EEC818"/>
    <w:rsid w:val="F7EFDFB5"/>
    <w:rsid w:val="F7F9572A"/>
    <w:rsid w:val="F7FBAFB2"/>
    <w:rsid w:val="F7FBF79E"/>
    <w:rsid w:val="F7FD5579"/>
    <w:rsid w:val="F7FE6B4C"/>
    <w:rsid w:val="F7FFBFFE"/>
    <w:rsid w:val="F9072985"/>
    <w:rsid w:val="F913D7F3"/>
    <w:rsid w:val="F95F44F7"/>
    <w:rsid w:val="F97ECCEF"/>
    <w:rsid w:val="F99FE030"/>
    <w:rsid w:val="F9FB50B8"/>
    <w:rsid w:val="FA7F0193"/>
    <w:rsid w:val="FA7FEC6F"/>
    <w:rsid w:val="FACA9DD6"/>
    <w:rsid w:val="FAFB32BC"/>
    <w:rsid w:val="FAFFB16A"/>
    <w:rsid w:val="FB3DFA12"/>
    <w:rsid w:val="FB3FBB83"/>
    <w:rsid w:val="FB5D5B6B"/>
    <w:rsid w:val="FB6EB79E"/>
    <w:rsid w:val="FB7FF320"/>
    <w:rsid w:val="FB9BFD0E"/>
    <w:rsid w:val="FBA5372A"/>
    <w:rsid w:val="FBB69433"/>
    <w:rsid w:val="FBB7C5F8"/>
    <w:rsid w:val="FBBBC524"/>
    <w:rsid w:val="FBD0F95F"/>
    <w:rsid w:val="FBDBC769"/>
    <w:rsid w:val="FBDD0EE1"/>
    <w:rsid w:val="FBDF1556"/>
    <w:rsid w:val="FBEE5B9A"/>
    <w:rsid w:val="FBF60CB6"/>
    <w:rsid w:val="FBF74680"/>
    <w:rsid w:val="FBF79A2F"/>
    <w:rsid w:val="FBFAD63B"/>
    <w:rsid w:val="FBFD7DA9"/>
    <w:rsid w:val="FBFF9886"/>
    <w:rsid w:val="FC5DAD22"/>
    <w:rsid w:val="FC7D004D"/>
    <w:rsid w:val="FCC7F6C4"/>
    <w:rsid w:val="FCE675DB"/>
    <w:rsid w:val="FCED8CC0"/>
    <w:rsid w:val="FCEED718"/>
    <w:rsid w:val="FCF67C59"/>
    <w:rsid w:val="FCFA064D"/>
    <w:rsid w:val="FCFD7D84"/>
    <w:rsid w:val="FD65F106"/>
    <w:rsid w:val="FD6CB825"/>
    <w:rsid w:val="FD6F6BC9"/>
    <w:rsid w:val="FD77EDB0"/>
    <w:rsid w:val="FDB21EE3"/>
    <w:rsid w:val="FDBA5092"/>
    <w:rsid w:val="FDBB6E22"/>
    <w:rsid w:val="FDEB14F7"/>
    <w:rsid w:val="FDEFB387"/>
    <w:rsid w:val="FDF65CE1"/>
    <w:rsid w:val="FDF9E321"/>
    <w:rsid w:val="FDFCD655"/>
    <w:rsid w:val="FDFEE5FA"/>
    <w:rsid w:val="FDFF4AB1"/>
    <w:rsid w:val="FDFF687D"/>
    <w:rsid w:val="FE5E0CCE"/>
    <w:rsid w:val="FE6E579C"/>
    <w:rsid w:val="FE7A3060"/>
    <w:rsid w:val="FE7B3940"/>
    <w:rsid w:val="FEA4243B"/>
    <w:rsid w:val="FEA772FE"/>
    <w:rsid w:val="FEAC7C84"/>
    <w:rsid w:val="FEAF9C3F"/>
    <w:rsid w:val="FEBE7007"/>
    <w:rsid w:val="FEE60417"/>
    <w:rsid w:val="FEEBB167"/>
    <w:rsid w:val="FEEC8B5D"/>
    <w:rsid w:val="FEF66F1D"/>
    <w:rsid w:val="FEF71542"/>
    <w:rsid w:val="FEF7DE70"/>
    <w:rsid w:val="FEFF26C3"/>
    <w:rsid w:val="FEFF5EF2"/>
    <w:rsid w:val="FEFF8330"/>
    <w:rsid w:val="FEFFE926"/>
    <w:rsid w:val="FF39AE2C"/>
    <w:rsid w:val="FF3B5CAD"/>
    <w:rsid w:val="FF3F0A8C"/>
    <w:rsid w:val="FF3F356E"/>
    <w:rsid w:val="FF635104"/>
    <w:rsid w:val="FF65A44D"/>
    <w:rsid w:val="FF6B442D"/>
    <w:rsid w:val="FF6E4564"/>
    <w:rsid w:val="FF7F75AA"/>
    <w:rsid w:val="FF7FABD0"/>
    <w:rsid w:val="FF7FFFEF"/>
    <w:rsid w:val="FF86CD69"/>
    <w:rsid w:val="FF87766C"/>
    <w:rsid w:val="FF990718"/>
    <w:rsid w:val="FF9A67B0"/>
    <w:rsid w:val="FF9F2EAE"/>
    <w:rsid w:val="FFAE5789"/>
    <w:rsid w:val="FFAFF23A"/>
    <w:rsid w:val="FFB7D95A"/>
    <w:rsid w:val="FFB8D6C6"/>
    <w:rsid w:val="FFBC69A4"/>
    <w:rsid w:val="FFBD7534"/>
    <w:rsid w:val="FFBE4F0D"/>
    <w:rsid w:val="FFBFA0F7"/>
    <w:rsid w:val="FFC6A4B5"/>
    <w:rsid w:val="FFD64AD9"/>
    <w:rsid w:val="FFD7039F"/>
    <w:rsid w:val="FFD7DC7A"/>
    <w:rsid w:val="FFDAD67D"/>
    <w:rsid w:val="FFDC26A1"/>
    <w:rsid w:val="FFDD7CDE"/>
    <w:rsid w:val="FFE616DB"/>
    <w:rsid w:val="FFEF409E"/>
    <w:rsid w:val="FFEF6158"/>
    <w:rsid w:val="FFEFE035"/>
    <w:rsid w:val="FFF1EF83"/>
    <w:rsid w:val="FFF56927"/>
    <w:rsid w:val="FFF5A7F1"/>
    <w:rsid w:val="FFF7CB86"/>
    <w:rsid w:val="FFF9F34F"/>
    <w:rsid w:val="FFFA597F"/>
    <w:rsid w:val="FFFA9D85"/>
    <w:rsid w:val="FFFB15CB"/>
    <w:rsid w:val="FFFB6532"/>
    <w:rsid w:val="FFFD327A"/>
    <w:rsid w:val="FFFD5D91"/>
    <w:rsid w:val="FFFDDA2F"/>
    <w:rsid w:val="FFFE2A38"/>
    <w:rsid w:val="FFFE459A"/>
    <w:rsid w:val="FFFE5B12"/>
    <w:rsid w:val="FFFEE5EF"/>
    <w:rsid w:val="FFFF4C76"/>
    <w:rsid w:val="FFFF6A95"/>
    <w:rsid w:val="FFFF8963"/>
    <w:rsid w:val="FFFF9563"/>
    <w:rsid w:val="FFFFCEF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3">
    <w:name w:val="annotation text"/>
    <w:basedOn w:val="1"/>
    <w:semiHidden/>
    <w:unhideWhenUsed/>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index 9"/>
    <w:basedOn w:val="1"/>
    <w:next w:val="1"/>
    <w:qFormat/>
    <w:uiPriority w:val="99"/>
    <w:pPr>
      <w:ind w:left="1600" w:leftChars="1600"/>
    </w:pPr>
  </w:style>
  <w:style w:type="paragraph" w:customStyle="1" w:styleId="10">
    <w:name w:val="Revision"/>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1">
    <w:name w:val="List Paragraph"/>
    <w:basedOn w:val="1"/>
    <w:qFormat/>
    <w:uiPriority w:val="99"/>
    <w:pPr>
      <w:ind w:firstLine="420" w:firstLineChars="200"/>
    </w:pPr>
  </w:style>
  <w:style w:type="character" w:customStyle="1" w:styleId="12">
    <w:name w:val="页脚 字符"/>
    <w:link w:val="5"/>
    <w:qFormat/>
    <w:uiPriority w:val="0"/>
    <w:rPr>
      <w:rFonts w:eastAsia="仿宋_GB2312"/>
      <w:kern w:val="2"/>
      <w:sz w:val="18"/>
      <w:szCs w:val="18"/>
    </w:rPr>
  </w:style>
  <w:style w:type="character" w:customStyle="1" w:styleId="13">
    <w:name w:val="页眉 字符"/>
    <w:link w:val="6"/>
    <w:qFormat/>
    <w:uiPriority w:val="0"/>
    <w:rPr>
      <w:rFonts w:eastAsia="仿宋_GB2312"/>
      <w:kern w:val="2"/>
      <w:sz w:val="18"/>
      <w:szCs w:val="18"/>
    </w:rPr>
  </w:style>
  <w:style w:type="character" w:customStyle="1" w:styleId="14">
    <w:name w:val="批注框文本 字符"/>
    <w:link w:val="4"/>
    <w:qFormat/>
    <w:uiPriority w:val="0"/>
    <w:rPr>
      <w:rFonts w:eastAsia="仿宋_GB2312"/>
      <w:kern w:val="2"/>
      <w:sz w:val="18"/>
      <w:szCs w:val="18"/>
    </w:rPr>
  </w:style>
  <w:style w:type="character" w:customStyle="1" w:styleId="15">
    <w:name w:val="font61"/>
    <w:basedOn w:val="9"/>
    <w:qFormat/>
    <w:uiPriority w:val="0"/>
    <w:rPr>
      <w:rFonts w:hint="eastAsia" w:ascii="宋体" w:hAnsi="宋体" w:eastAsia="宋体" w:cs="宋体"/>
      <w:b/>
      <w:bCs/>
      <w:color w:val="000000"/>
      <w:sz w:val="20"/>
      <w:szCs w:val="20"/>
      <w:u w:val="none"/>
    </w:rPr>
  </w:style>
  <w:style w:type="character" w:customStyle="1" w:styleId="16">
    <w:name w:val="font51"/>
    <w:basedOn w:val="9"/>
    <w:qFormat/>
    <w:uiPriority w:val="0"/>
    <w:rPr>
      <w:rFonts w:hint="eastAsia" w:ascii="宋体" w:hAnsi="宋体" w:eastAsia="宋体" w:cs="宋体"/>
      <w:color w:val="000000"/>
      <w:sz w:val="20"/>
      <w:szCs w:val="20"/>
      <w:u w:val="none"/>
    </w:rPr>
  </w:style>
  <w:style w:type="character" w:customStyle="1" w:styleId="17">
    <w:name w:val="font41"/>
    <w:basedOn w:val="9"/>
    <w:qFormat/>
    <w:uiPriority w:val="0"/>
    <w:rPr>
      <w:rFonts w:hint="eastAsia" w:ascii="宋体" w:hAnsi="宋体" w:eastAsia="宋体" w:cs="宋体"/>
      <w:b/>
      <w:bCs/>
      <w:color w:val="000000"/>
      <w:sz w:val="36"/>
      <w:szCs w:val="36"/>
      <w:u w:val="none"/>
    </w:rPr>
  </w:style>
  <w:style w:type="character" w:customStyle="1" w:styleId="18">
    <w:name w:val="font31"/>
    <w:basedOn w:val="9"/>
    <w:qFormat/>
    <w:uiPriority w:val="0"/>
    <w:rPr>
      <w:rFonts w:hint="eastAsia" w:ascii="宋体" w:hAnsi="宋体" w:eastAsia="宋体" w:cs="宋体"/>
      <w:color w:val="000000"/>
      <w:sz w:val="36"/>
      <w:szCs w:val="36"/>
      <w:u w:val="none"/>
    </w:rPr>
  </w:style>
  <w:style w:type="character" w:customStyle="1" w:styleId="19">
    <w:name w:val="font71"/>
    <w:basedOn w:val="9"/>
    <w:qFormat/>
    <w:uiPriority w:val="0"/>
    <w:rPr>
      <w:rFonts w:hint="eastAsia" w:ascii="宋体" w:hAnsi="宋体" w:eastAsia="宋体" w:cs="宋体"/>
      <w:color w:val="FF0000"/>
      <w:sz w:val="36"/>
      <w:szCs w:val="3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131</Words>
  <Characters>753</Characters>
  <Lines>6</Lines>
  <Paragraphs>1</Paragraphs>
  <TotalTime>23</TotalTime>
  <ScaleCrop>false</ScaleCrop>
  <LinksUpToDate>false</LinksUpToDate>
  <CharactersWithSpaces>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2023-03-17T04:38:00Z</dcterms:created>
  <dc:creator>lhn</dc:creator>
  <cp:lastModifiedBy>智慧</cp:lastModifiedBy>
  <cp:lastPrinted>2025-04-01T09:02:00Z</cp:lastPrinted>
  <dcterms:modified xsi:type="dcterms:W3CDTF">2025-08-27T16:19:11Z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09FEDC7A9C0394B5FC8DAD68DD50B53A_43</vt:lpwstr>
  </property>
</Properties>
</file>