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FCE8D">
      <w:pPr>
        <w:spacing w:line="560" w:lineRule="exact"/>
        <w:ind w:firstLine="0" w:firstLineChars="0"/>
        <w:jc w:val="center"/>
        <w:rPr>
          <w:rFonts w:hint="default" w:ascii="Times New Roman" w:hAnsi="Times New Roman" w:eastAsia="方正小标宋简体" w:cs="Times New Roman"/>
          <w:sz w:val="36"/>
          <w:szCs w:val="36"/>
          <w:highlight w:val="none"/>
        </w:rPr>
      </w:pPr>
      <w:bookmarkStart w:id="145" w:name="_GoBack"/>
      <w:bookmarkEnd w:id="145"/>
      <w:bookmarkStart w:id="0" w:name="_Toc1587464822"/>
      <w:bookmarkStart w:id="1" w:name="_Hlk72328543"/>
      <w:bookmarkStart w:id="2" w:name="_Toc564991843"/>
      <w:r>
        <w:rPr>
          <w:rFonts w:hint="default" w:ascii="Times New Roman" w:hAnsi="Times New Roman" w:eastAsia="方正小标宋简体" w:cs="Times New Roman"/>
          <w:sz w:val="36"/>
          <w:szCs w:val="36"/>
          <w:highlight w:val="none"/>
        </w:rPr>
        <w:t>北京市民政局</w:t>
      </w:r>
      <w:bookmarkEnd w:id="0"/>
      <w:bookmarkEnd w:id="1"/>
      <w:bookmarkEnd w:id="2"/>
    </w:p>
    <w:p w14:paraId="2D395D5C">
      <w:pPr>
        <w:spacing w:line="560" w:lineRule="exact"/>
        <w:ind w:firstLine="0" w:firstLineChars="0"/>
        <w:jc w:val="center"/>
        <w:rPr>
          <w:rFonts w:hint="default" w:ascii="Times New Roman" w:hAnsi="Times New Roman" w:eastAsia="方正小标宋简体" w:cs="Times New Roman"/>
          <w:sz w:val="36"/>
          <w:szCs w:val="36"/>
          <w:highlight w:val="none"/>
        </w:rPr>
      </w:pPr>
      <w:bookmarkStart w:id="3" w:name="_Toc946965361"/>
      <w:r>
        <w:rPr>
          <w:rFonts w:hint="eastAsia" w:eastAsia="方正小标宋简体" w:cs="Times New Roman"/>
          <w:sz w:val="36"/>
          <w:szCs w:val="36"/>
          <w:highlight w:val="none"/>
          <w:lang w:eastAsia="zh-CN"/>
        </w:rPr>
        <w:t>项目支出</w:t>
      </w:r>
      <w:r>
        <w:rPr>
          <w:rFonts w:hint="default" w:ascii="Times New Roman" w:hAnsi="Times New Roman" w:eastAsia="方正小标宋简体" w:cs="Times New Roman"/>
          <w:sz w:val="36"/>
          <w:szCs w:val="36"/>
          <w:highlight w:val="none"/>
        </w:rPr>
        <w:t>绩效评价</w:t>
      </w:r>
      <w:bookmarkEnd w:id="3"/>
      <w:bookmarkStart w:id="4" w:name="_Toc645514410"/>
      <w:bookmarkStart w:id="5" w:name="_Toc1218870118"/>
      <w:r>
        <w:rPr>
          <w:rFonts w:hint="default" w:ascii="Times New Roman" w:hAnsi="Times New Roman" w:eastAsia="方正小标宋简体" w:cs="Times New Roman"/>
          <w:sz w:val="36"/>
          <w:szCs w:val="36"/>
          <w:highlight w:val="none"/>
        </w:rPr>
        <w:t>报告</w:t>
      </w:r>
      <w:bookmarkEnd w:id="4"/>
      <w:bookmarkEnd w:id="5"/>
    </w:p>
    <w:p w14:paraId="7B523B23">
      <w:pPr>
        <w:pStyle w:val="2"/>
        <w:bidi w:val="0"/>
        <w:spacing w:line="560" w:lineRule="exact"/>
        <w:rPr>
          <w:rFonts w:hint="default"/>
          <w:highlight w:val="none"/>
        </w:rPr>
      </w:pPr>
      <w:bookmarkStart w:id="6" w:name="_Toc515586344"/>
      <w:bookmarkStart w:id="7" w:name="_Toc169183181"/>
      <w:bookmarkStart w:id="8" w:name="_Toc6426"/>
      <w:bookmarkStart w:id="9" w:name="_Toc2087770888"/>
      <w:bookmarkStart w:id="10" w:name="_Toc103096311"/>
      <w:bookmarkStart w:id="11" w:name="_Toc73304226"/>
      <w:bookmarkStart w:id="12" w:name="_Toc103094541"/>
      <w:r>
        <w:rPr>
          <w:rFonts w:hint="default"/>
          <w:highlight w:val="none"/>
        </w:rPr>
        <w:t>一、</w:t>
      </w:r>
      <w:bookmarkEnd w:id="6"/>
      <w:bookmarkEnd w:id="7"/>
      <w:r>
        <w:rPr>
          <w:rFonts w:hint="default"/>
          <w:highlight w:val="none"/>
        </w:rPr>
        <w:t>基本情况</w:t>
      </w:r>
      <w:bookmarkEnd w:id="8"/>
      <w:bookmarkEnd w:id="9"/>
      <w:bookmarkEnd w:id="10"/>
      <w:bookmarkEnd w:id="11"/>
      <w:bookmarkEnd w:id="12"/>
    </w:p>
    <w:p w14:paraId="179B2364">
      <w:pPr>
        <w:pStyle w:val="3"/>
        <w:bidi w:val="0"/>
        <w:spacing w:line="560" w:lineRule="exact"/>
        <w:rPr>
          <w:rFonts w:hint="default"/>
          <w:highlight w:val="none"/>
        </w:rPr>
      </w:pPr>
      <w:bookmarkStart w:id="13" w:name="_Toc515586345"/>
      <w:bookmarkStart w:id="14" w:name="_Toc103096312"/>
      <w:bookmarkStart w:id="15" w:name="_Toc1515996651"/>
      <w:bookmarkStart w:id="16" w:name="_Toc103094542"/>
      <w:bookmarkStart w:id="17" w:name="_Toc29834"/>
      <w:bookmarkStart w:id="18" w:name="_Toc1430006283"/>
      <w:r>
        <w:rPr>
          <w:rFonts w:hint="default"/>
          <w:highlight w:val="none"/>
        </w:rPr>
        <w:t>（一）项目概况</w:t>
      </w:r>
      <w:bookmarkEnd w:id="13"/>
      <w:bookmarkEnd w:id="14"/>
      <w:bookmarkEnd w:id="15"/>
      <w:bookmarkEnd w:id="16"/>
      <w:bookmarkEnd w:id="17"/>
      <w:bookmarkEnd w:id="18"/>
    </w:p>
    <w:p w14:paraId="736D67E4">
      <w:pPr>
        <w:pStyle w:val="4"/>
        <w:bidi w:val="0"/>
        <w:spacing w:line="560" w:lineRule="exact"/>
        <w:rPr>
          <w:rFonts w:hint="default"/>
          <w:highlight w:val="none"/>
        </w:rPr>
      </w:pPr>
      <w:bookmarkStart w:id="19" w:name="_Toc103094543"/>
      <w:r>
        <w:rPr>
          <w:rFonts w:hint="default"/>
          <w:highlight w:val="none"/>
        </w:rPr>
        <w:t>1.</w:t>
      </w:r>
      <w:r>
        <w:rPr>
          <w:rFonts w:hint="default"/>
          <w:highlight w:val="none"/>
          <w:lang w:eastAsia="zh-Hans"/>
        </w:rPr>
        <w:t>项目</w:t>
      </w:r>
      <w:r>
        <w:rPr>
          <w:rFonts w:hint="default"/>
          <w:highlight w:val="none"/>
        </w:rPr>
        <w:t>背景</w:t>
      </w:r>
      <w:bookmarkEnd w:id="19"/>
    </w:p>
    <w:p w14:paraId="3603C794">
      <w:pPr>
        <w:suppressAutoHyphens/>
        <w:adjustRightInd w:val="0"/>
        <w:snapToGrid w:val="0"/>
        <w:spacing w:line="560" w:lineRule="exact"/>
        <w:ind w:firstLine="640" w:firstLineChars="200"/>
        <w:rPr>
          <w:rFonts w:hint="default" w:ascii="Times New Roman" w:hAnsi="Times New Roman" w:eastAsia="仿宋" w:cs="Times New Roman"/>
          <w:bCs/>
          <w:sz w:val="32"/>
          <w:szCs w:val="24"/>
          <w:highlight w:val="none"/>
          <w:lang w:eastAsia="zh-Hans"/>
        </w:rPr>
      </w:pPr>
      <w:r>
        <w:rPr>
          <w:rFonts w:hint="default" w:ascii="Times New Roman" w:hAnsi="Times New Roman" w:eastAsia="仿宋" w:cs="Times New Roman"/>
          <w:bCs/>
          <w:sz w:val="32"/>
          <w:szCs w:val="32"/>
          <w:highlight w:val="none"/>
        </w:rPr>
        <w:t>为</w:t>
      </w:r>
      <w:r>
        <w:rPr>
          <w:rFonts w:hint="default" w:ascii="Times New Roman" w:hAnsi="Times New Roman" w:eastAsia="仿宋" w:cs="Times New Roman"/>
          <w:bCs/>
          <w:sz w:val="32"/>
          <w:szCs w:val="32"/>
          <w:highlight w:val="none"/>
          <w:lang w:eastAsia="zh-CN"/>
        </w:rPr>
        <w:t>加强</w:t>
      </w:r>
      <w:r>
        <w:rPr>
          <w:rFonts w:hint="default" w:ascii="Times New Roman" w:hAnsi="Times New Roman" w:eastAsia="仿宋" w:cs="Times New Roman"/>
          <w:bCs/>
          <w:sz w:val="32"/>
          <w:szCs w:val="32"/>
          <w:highlight w:val="none"/>
        </w:rPr>
        <w:t>农村邻里互助养老服务点</w:t>
      </w:r>
      <w:r>
        <w:rPr>
          <w:rFonts w:hint="default" w:ascii="Times New Roman" w:hAnsi="Times New Roman" w:eastAsia="仿宋" w:cs="Times New Roman"/>
          <w:bCs/>
          <w:sz w:val="32"/>
          <w:szCs w:val="32"/>
          <w:highlight w:val="none"/>
          <w:lang w:eastAsia="zh-CN"/>
        </w:rPr>
        <w:t>（</w:t>
      </w:r>
      <w:r>
        <w:rPr>
          <w:rFonts w:hint="default" w:ascii="Times New Roman" w:hAnsi="Times New Roman" w:eastAsia="仿宋" w:cs="Times New Roman"/>
          <w:bCs/>
          <w:sz w:val="32"/>
          <w:szCs w:val="32"/>
          <w:highlight w:val="none"/>
          <w:lang w:val="en-US" w:eastAsia="zh-CN"/>
        </w:rPr>
        <w:t>以下简称</w:t>
      </w:r>
      <w:r>
        <w:rPr>
          <w:rFonts w:hint="default" w:eastAsia="仿宋" w:cs="Times New Roman"/>
          <w:bCs/>
          <w:sz w:val="32"/>
          <w:szCs w:val="32"/>
          <w:highlight w:val="none"/>
          <w:lang w:val="en-US" w:eastAsia="zh-CN"/>
        </w:rPr>
        <w:t>“</w:t>
      </w:r>
      <w:r>
        <w:rPr>
          <w:rFonts w:hint="default" w:ascii="Times New Roman" w:hAnsi="Times New Roman" w:eastAsia="仿宋" w:cs="Times New Roman"/>
          <w:bCs/>
          <w:sz w:val="32"/>
          <w:szCs w:val="32"/>
          <w:highlight w:val="none"/>
          <w:lang w:val="en-US" w:eastAsia="zh-CN"/>
        </w:rPr>
        <w:t>服务点</w:t>
      </w:r>
      <w:r>
        <w:rPr>
          <w:rFonts w:hint="default" w:eastAsia="仿宋" w:cs="Times New Roman"/>
          <w:bCs/>
          <w:sz w:val="32"/>
          <w:szCs w:val="32"/>
          <w:highlight w:val="none"/>
          <w:lang w:val="en-US" w:eastAsia="zh-CN"/>
        </w:rPr>
        <w:t>”</w:t>
      </w:r>
      <w:r>
        <w:rPr>
          <w:rFonts w:hint="default" w:ascii="Times New Roman" w:hAnsi="Times New Roman" w:eastAsia="仿宋" w:cs="Times New Roman"/>
          <w:bCs/>
          <w:sz w:val="32"/>
          <w:szCs w:val="32"/>
          <w:highlight w:val="none"/>
          <w:lang w:val="en-US" w:eastAsia="zh-CN"/>
        </w:rPr>
        <w:t>）</w:t>
      </w:r>
      <w:r>
        <w:rPr>
          <w:rFonts w:hint="default" w:ascii="Times New Roman" w:hAnsi="Times New Roman" w:eastAsia="仿宋" w:cs="Times New Roman"/>
          <w:bCs/>
          <w:sz w:val="32"/>
          <w:szCs w:val="32"/>
          <w:highlight w:val="none"/>
        </w:rPr>
        <w:t>建设，</w:t>
      </w:r>
      <w:r>
        <w:rPr>
          <w:rFonts w:hint="default" w:ascii="Times New Roman" w:hAnsi="Times New Roman" w:eastAsia="仿宋" w:cs="Times New Roman"/>
          <w:bCs/>
          <w:sz w:val="32"/>
          <w:szCs w:val="32"/>
          <w:highlight w:val="none"/>
          <w:lang w:eastAsia="zh-CN"/>
        </w:rPr>
        <w:t>加快</w:t>
      </w:r>
      <w:r>
        <w:rPr>
          <w:rFonts w:hint="default" w:ascii="Times New Roman" w:hAnsi="Times New Roman" w:eastAsia="仿宋" w:cs="Times New Roman"/>
          <w:bCs/>
          <w:sz w:val="32"/>
          <w:szCs w:val="32"/>
          <w:highlight w:val="none"/>
        </w:rPr>
        <w:t>完善</w:t>
      </w:r>
      <w:r>
        <w:rPr>
          <w:rFonts w:hint="default" w:eastAsia="仿宋" w:cs="Times New Roman"/>
          <w:bCs/>
          <w:sz w:val="32"/>
          <w:szCs w:val="32"/>
          <w:highlight w:val="none"/>
          <w:lang w:eastAsia="zh-CN"/>
        </w:rPr>
        <w:t>“</w:t>
      </w:r>
      <w:r>
        <w:rPr>
          <w:rFonts w:hint="default" w:ascii="Times New Roman" w:hAnsi="Times New Roman" w:eastAsia="仿宋" w:cs="Times New Roman"/>
          <w:bCs/>
          <w:sz w:val="32"/>
          <w:szCs w:val="32"/>
          <w:highlight w:val="none"/>
        </w:rPr>
        <w:t>以院统站带点</w:t>
      </w:r>
      <w:r>
        <w:rPr>
          <w:rFonts w:hint="default" w:eastAsia="仿宋" w:cs="Times New Roman"/>
          <w:bCs/>
          <w:sz w:val="32"/>
          <w:szCs w:val="32"/>
          <w:highlight w:val="none"/>
          <w:lang w:eastAsia="zh-CN"/>
        </w:rPr>
        <w:t>”</w:t>
      </w:r>
      <w:r>
        <w:rPr>
          <w:rFonts w:hint="default" w:ascii="Times New Roman" w:hAnsi="Times New Roman" w:eastAsia="仿宋" w:cs="Times New Roman"/>
          <w:bCs/>
          <w:sz w:val="32"/>
          <w:szCs w:val="32"/>
          <w:highlight w:val="none"/>
        </w:rPr>
        <w:t>的农村养老服务模式，</w:t>
      </w:r>
      <w:r>
        <w:rPr>
          <w:rFonts w:hint="default" w:ascii="Times New Roman" w:hAnsi="Times New Roman" w:eastAsia="仿宋" w:cs="Times New Roman"/>
          <w:bCs/>
          <w:sz w:val="32"/>
          <w:szCs w:val="32"/>
          <w:highlight w:val="none"/>
          <w:lang w:eastAsia="zh-CN"/>
        </w:rPr>
        <w:t>进一步</w:t>
      </w:r>
      <w:r>
        <w:rPr>
          <w:rFonts w:hint="default" w:ascii="Times New Roman" w:hAnsi="Times New Roman" w:eastAsia="仿宋" w:cs="Times New Roman"/>
          <w:bCs/>
          <w:sz w:val="32"/>
          <w:szCs w:val="32"/>
          <w:highlight w:val="none"/>
        </w:rPr>
        <w:t>补齐农村养老服务短板，按照《</w:t>
      </w:r>
      <w:r>
        <w:rPr>
          <w:rFonts w:hint="default" w:ascii="Times New Roman" w:hAnsi="Times New Roman" w:eastAsia="仿宋" w:cs="Times New Roman"/>
          <w:bCs/>
          <w:sz w:val="32"/>
          <w:szCs w:val="32"/>
          <w:highlight w:val="none"/>
          <w:lang w:eastAsia="zh-CN"/>
        </w:rPr>
        <w:t>北京市人民政府办公厅印发</w:t>
      </w:r>
      <w:r>
        <w:rPr>
          <w:rFonts w:hint="eastAsia" w:cs="Times New Roman"/>
          <w:bCs/>
          <w:sz w:val="32"/>
          <w:szCs w:val="32"/>
          <w:highlight w:val="none"/>
          <w:lang w:eastAsia="zh-CN"/>
        </w:rPr>
        <w:t>〈</w:t>
      </w:r>
      <w:r>
        <w:rPr>
          <w:rFonts w:hint="default" w:ascii="Times New Roman" w:hAnsi="Times New Roman" w:eastAsia="仿宋" w:cs="Times New Roman"/>
          <w:bCs/>
          <w:sz w:val="32"/>
          <w:szCs w:val="32"/>
          <w:highlight w:val="none"/>
        </w:rPr>
        <w:t>关于加快推进养老服务发展的实施方案</w:t>
      </w:r>
      <w:r>
        <w:rPr>
          <w:rFonts w:hint="eastAsia" w:cs="Times New Roman"/>
          <w:bCs/>
          <w:sz w:val="32"/>
          <w:szCs w:val="32"/>
          <w:highlight w:val="none"/>
          <w:lang w:eastAsia="zh-CN"/>
        </w:rPr>
        <w:t>〉的通知》</w:t>
      </w:r>
      <w:r>
        <w:rPr>
          <w:rFonts w:hint="default" w:ascii="Times New Roman" w:hAnsi="Times New Roman" w:eastAsia="仿宋" w:cs="Times New Roman"/>
          <w:bCs/>
          <w:sz w:val="32"/>
          <w:szCs w:val="32"/>
          <w:highlight w:val="none"/>
        </w:rPr>
        <w:t>（京政办发〔2020〕17号）</w:t>
      </w:r>
      <w:r>
        <w:rPr>
          <w:rFonts w:hint="default" w:ascii="Times New Roman" w:hAnsi="Times New Roman" w:eastAsia="仿宋" w:cs="Times New Roman"/>
          <w:bCs/>
          <w:sz w:val="32"/>
          <w:szCs w:val="32"/>
          <w:highlight w:val="none"/>
          <w:lang w:eastAsia="zh-CN"/>
        </w:rPr>
        <w:t>、</w:t>
      </w:r>
      <w:r>
        <w:rPr>
          <w:rFonts w:hint="default" w:ascii="Times New Roman" w:hAnsi="Times New Roman" w:eastAsia="仿宋" w:cs="Times New Roman"/>
          <w:sz w:val="32"/>
          <w:szCs w:val="20"/>
          <w:highlight w:val="none"/>
        </w:rPr>
        <w:t>《</w:t>
      </w:r>
      <w:r>
        <w:rPr>
          <w:rFonts w:hint="default" w:ascii="Times New Roman" w:hAnsi="Times New Roman" w:eastAsia="仿宋" w:cs="Times New Roman"/>
          <w:sz w:val="32"/>
          <w:szCs w:val="20"/>
          <w:highlight w:val="none"/>
          <w:lang w:eastAsia="zh-CN"/>
        </w:rPr>
        <w:t>北京市民政局等</w:t>
      </w:r>
      <w:r>
        <w:rPr>
          <w:rFonts w:hint="default" w:ascii="Times New Roman" w:hAnsi="Times New Roman" w:eastAsia="仿宋" w:cs="Times New Roman"/>
          <w:bCs/>
          <w:sz w:val="32"/>
          <w:szCs w:val="32"/>
          <w:highlight w:val="none"/>
          <w:lang w:val="en-US" w:eastAsia="zh-CN"/>
        </w:rPr>
        <w:t>11</w:t>
      </w:r>
      <w:r>
        <w:rPr>
          <w:rFonts w:hint="default" w:ascii="Times New Roman" w:hAnsi="Times New Roman" w:eastAsia="仿宋" w:cs="Times New Roman"/>
          <w:sz w:val="32"/>
          <w:szCs w:val="20"/>
          <w:highlight w:val="none"/>
          <w:lang w:val="en-US" w:eastAsia="zh-CN"/>
        </w:rPr>
        <w:t>部门</w:t>
      </w:r>
      <w:r>
        <w:rPr>
          <w:rFonts w:hint="default" w:ascii="Times New Roman" w:hAnsi="Times New Roman" w:eastAsia="仿宋" w:cs="Times New Roman"/>
          <w:sz w:val="32"/>
          <w:szCs w:val="20"/>
          <w:highlight w:val="none"/>
        </w:rPr>
        <w:t>关于加强农村养老服务工作的意见</w:t>
      </w:r>
      <w:r>
        <w:rPr>
          <w:rFonts w:hint="default" w:ascii="Times New Roman" w:hAnsi="Times New Roman" w:eastAsia="仿宋" w:cs="Times New Roman"/>
          <w:bCs/>
          <w:sz w:val="32"/>
          <w:szCs w:val="32"/>
          <w:highlight w:val="none"/>
        </w:rPr>
        <w:t>》（京民福发〔2017〕389号）等文件精神，</w:t>
      </w:r>
      <w:r>
        <w:rPr>
          <w:rFonts w:hint="default" w:ascii="Times New Roman" w:hAnsi="Times New Roman" w:cs="Times New Roman"/>
          <w:bCs/>
          <w:highlight w:val="none"/>
        </w:rPr>
        <w:t>2020年，密云区在全市率先启动服务点建设试点</w:t>
      </w:r>
      <w:r>
        <w:rPr>
          <w:rFonts w:hint="default" w:ascii="Times New Roman" w:hAnsi="Times New Roman" w:cs="Times New Roman"/>
          <w:bCs/>
          <w:highlight w:val="none"/>
          <w:lang w:val="en-US" w:eastAsia="zh-CN"/>
        </w:rPr>
        <w:t>工作，</w:t>
      </w:r>
      <w:r>
        <w:rPr>
          <w:rFonts w:hint="default" w:ascii="Times New Roman" w:hAnsi="Times New Roman" w:cs="Times New Roman"/>
          <w:bCs/>
          <w:highlight w:val="none"/>
        </w:rPr>
        <w:t>2021年，怀柔、延庆等区陆续开展了试点工作</w:t>
      </w:r>
      <w:r>
        <w:rPr>
          <w:rFonts w:hint="default" w:ascii="Times New Roman" w:hAnsi="Times New Roman" w:cs="Times New Roman"/>
          <w:bCs/>
          <w:highlight w:val="none"/>
          <w:lang w:eastAsia="zh-CN"/>
        </w:rPr>
        <w:t>，</w:t>
      </w:r>
      <w:r>
        <w:rPr>
          <w:rFonts w:hint="default" w:ascii="Times New Roman" w:hAnsi="Times New Roman" w:cs="Times New Roman"/>
          <w:bCs/>
          <w:highlight w:val="none"/>
        </w:rPr>
        <w:t>2023年</w:t>
      </w:r>
      <w:r>
        <w:rPr>
          <w:rFonts w:hint="default" w:ascii="Times New Roman" w:hAnsi="Times New Roman" w:cs="Times New Roman"/>
          <w:bCs/>
          <w:highlight w:val="none"/>
          <w:lang w:val="en-US" w:eastAsia="zh-CN"/>
        </w:rPr>
        <w:t>北京市民政局（以下简称</w:t>
      </w:r>
      <w:r>
        <w:rPr>
          <w:rFonts w:hint="default" w:cs="Times New Roman"/>
          <w:bCs/>
          <w:highlight w:val="none"/>
          <w:lang w:val="en-US" w:eastAsia="zh-CN"/>
        </w:rPr>
        <w:t>“</w:t>
      </w:r>
      <w:r>
        <w:rPr>
          <w:rFonts w:hint="default" w:ascii="Times New Roman" w:hAnsi="Times New Roman" w:cs="Times New Roman"/>
          <w:bCs/>
          <w:highlight w:val="none"/>
          <w:lang w:val="en-US" w:eastAsia="zh-CN"/>
        </w:rPr>
        <w:t>市民政局</w:t>
      </w:r>
      <w:r>
        <w:rPr>
          <w:rFonts w:hint="default" w:cs="Times New Roman"/>
          <w:bCs/>
          <w:highlight w:val="none"/>
          <w:lang w:val="en-US" w:eastAsia="zh-CN"/>
        </w:rPr>
        <w:t>”</w:t>
      </w:r>
      <w:r>
        <w:rPr>
          <w:rFonts w:hint="default" w:ascii="Times New Roman" w:hAnsi="Times New Roman" w:cs="Times New Roman"/>
          <w:bCs/>
          <w:highlight w:val="none"/>
          <w:lang w:val="en-US" w:eastAsia="zh-CN"/>
        </w:rPr>
        <w:t>）</w:t>
      </w:r>
      <w:r>
        <w:rPr>
          <w:rFonts w:hint="default" w:ascii="Times New Roman" w:hAnsi="Times New Roman" w:cs="Times New Roman"/>
          <w:bCs/>
          <w:highlight w:val="none"/>
        </w:rPr>
        <w:t>在总结试点经验的基础上，</w:t>
      </w:r>
      <w:r>
        <w:rPr>
          <w:rFonts w:hint="default" w:ascii="Times New Roman" w:hAnsi="Times New Roman" w:cs="Times New Roman"/>
          <w:bCs/>
          <w:highlight w:val="none"/>
          <w:lang w:val="en-US" w:eastAsia="zh-CN"/>
        </w:rPr>
        <w:t>与北京市财政局（以下简称</w:t>
      </w:r>
      <w:r>
        <w:rPr>
          <w:rFonts w:hint="default" w:cs="Times New Roman"/>
          <w:bCs/>
          <w:highlight w:val="none"/>
          <w:lang w:val="en-US" w:eastAsia="zh-CN"/>
        </w:rPr>
        <w:t>“</w:t>
      </w:r>
      <w:r>
        <w:rPr>
          <w:rFonts w:hint="default" w:ascii="Times New Roman" w:hAnsi="Times New Roman" w:cs="Times New Roman"/>
          <w:bCs/>
          <w:highlight w:val="none"/>
          <w:lang w:val="en-US" w:eastAsia="zh-CN"/>
        </w:rPr>
        <w:t>市财政局</w:t>
      </w:r>
      <w:r>
        <w:rPr>
          <w:rFonts w:hint="default" w:cs="Times New Roman"/>
          <w:bCs/>
          <w:highlight w:val="none"/>
          <w:lang w:val="en-US" w:eastAsia="zh-CN"/>
        </w:rPr>
        <w:t>”</w:t>
      </w:r>
      <w:r>
        <w:rPr>
          <w:rFonts w:hint="default" w:ascii="Times New Roman" w:hAnsi="Times New Roman" w:cs="Times New Roman"/>
          <w:bCs/>
          <w:highlight w:val="none"/>
          <w:lang w:val="en-US" w:eastAsia="zh-CN"/>
        </w:rPr>
        <w:t>）以及北京市农业农村局联合印发《北京市农村邻里互助养老服务点建设管理办法（试行）》</w:t>
      </w:r>
      <w:r>
        <w:rPr>
          <w:rFonts w:hint="default" w:ascii="Times New Roman" w:hAnsi="Times New Roman" w:cs="Times New Roman"/>
          <w:bCs/>
          <w:highlight w:val="none"/>
          <w:lang w:eastAsia="zh-Hans"/>
        </w:rPr>
        <w:t>（京民养老发〔2023〕279号</w:t>
      </w:r>
      <w:r>
        <w:rPr>
          <w:rFonts w:hint="default" w:ascii="Times New Roman" w:hAnsi="Times New Roman" w:cs="Times New Roman"/>
          <w:bCs/>
          <w:highlight w:val="none"/>
          <w:lang w:eastAsia="zh-CN"/>
        </w:rPr>
        <w:t>），</w:t>
      </w:r>
      <w:r>
        <w:rPr>
          <w:rFonts w:hint="default" w:ascii="Times New Roman" w:hAnsi="Times New Roman" w:eastAsia="仿宋" w:cs="Times New Roman"/>
          <w:bCs/>
          <w:sz w:val="32"/>
          <w:szCs w:val="24"/>
          <w:highlight w:val="none"/>
          <w:lang w:val="en-US" w:eastAsia="zh-CN"/>
        </w:rPr>
        <w:t>对服务点的功能定位、设置标准、服务对象、服务主体等做出规范。</w:t>
      </w:r>
      <w:r>
        <w:rPr>
          <w:rFonts w:hint="default" w:ascii="Times New Roman" w:hAnsi="Times New Roman" w:cs="Times New Roman"/>
          <w:bCs/>
          <w:highlight w:val="none"/>
          <w:lang w:eastAsia="zh-Hans"/>
        </w:rPr>
        <w:t>20</w:t>
      </w:r>
      <w:r>
        <w:rPr>
          <w:rFonts w:hint="default" w:ascii="Times New Roman" w:hAnsi="Times New Roman" w:cs="Times New Roman"/>
          <w:bCs/>
          <w:highlight w:val="none"/>
          <w:lang w:val="en-US" w:eastAsia="zh-CN"/>
        </w:rPr>
        <w:t>23</w:t>
      </w:r>
      <w:r>
        <w:rPr>
          <w:rFonts w:hint="default" w:ascii="Times New Roman" w:hAnsi="Times New Roman" w:cs="Times New Roman"/>
          <w:bCs/>
          <w:highlight w:val="none"/>
          <w:lang w:eastAsia="zh-Hans"/>
        </w:rPr>
        <w:t>年起，市民政局养老</w:t>
      </w:r>
      <w:r>
        <w:rPr>
          <w:rFonts w:hint="default" w:ascii="Times New Roman" w:hAnsi="Times New Roman" w:cs="Times New Roman"/>
          <w:bCs/>
          <w:highlight w:val="none"/>
          <w:lang w:val="en-US" w:eastAsia="zh-CN"/>
        </w:rPr>
        <w:t>服务</w:t>
      </w:r>
      <w:r>
        <w:rPr>
          <w:rFonts w:hint="default" w:ascii="Times New Roman" w:hAnsi="Times New Roman" w:cs="Times New Roman"/>
          <w:bCs/>
          <w:highlight w:val="none"/>
          <w:lang w:eastAsia="zh-Hans"/>
        </w:rPr>
        <w:t>处申请实施农村邻里互助养老服务点市对区专项转移支付</w:t>
      </w:r>
      <w:r>
        <w:rPr>
          <w:rFonts w:hint="default" w:ascii="Times New Roman" w:hAnsi="Times New Roman" w:cs="Times New Roman"/>
          <w:bCs/>
          <w:highlight w:val="none"/>
          <w:lang w:val="en-US" w:eastAsia="zh-CN"/>
        </w:rPr>
        <w:t>资金</w:t>
      </w:r>
      <w:r>
        <w:rPr>
          <w:rFonts w:hint="default" w:ascii="Times New Roman" w:hAnsi="Times New Roman" w:cs="Times New Roman"/>
          <w:bCs/>
          <w:highlight w:val="none"/>
          <w:lang w:eastAsia="zh-Hans"/>
        </w:rPr>
        <w:t>，旨在引导</w:t>
      </w:r>
      <w:r>
        <w:rPr>
          <w:rFonts w:hint="default" w:ascii="Times New Roman" w:hAnsi="Times New Roman" w:cs="Times New Roman"/>
          <w:bCs/>
          <w:highlight w:val="none"/>
          <w:lang w:val="en-US" w:eastAsia="zh-CN"/>
        </w:rPr>
        <w:t>农村邻里互助项目逐渐</w:t>
      </w:r>
      <w:r>
        <w:rPr>
          <w:rFonts w:hint="default" w:ascii="Times New Roman" w:hAnsi="Times New Roman" w:cs="Times New Roman"/>
          <w:bCs/>
          <w:highlight w:val="none"/>
          <w:lang w:val="en-US" w:eastAsia="zh-Hans"/>
        </w:rPr>
        <w:t>规范，</w:t>
      </w:r>
      <w:r>
        <w:rPr>
          <w:rFonts w:hint="default" w:ascii="Times New Roman" w:hAnsi="Times New Roman" w:eastAsia="仿宋" w:cs="Times New Roman"/>
          <w:bCs/>
          <w:sz w:val="32"/>
          <w:szCs w:val="24"/>
          <w:highlight w:val="none"/>
          <w:lang w:eastAsia="zh-Hans"/>
        </w:rPr>
        <w:t>进一步健全北京市农村养老服务体系。</w:t>
      </w:r>
    </w:p>
    <w:p w14:paraId="2F6D536D">
      <w:pPr>
        <w:pStyle w:val="4"/>
        <w:keepNext/>
        <w:bidi w:val="0"/>
        <w:spacing w:line="560" w:lineRule="exact"/>
        <w:rPr>
          <w:rFonts w:hint="default" w:ascii="Times New Roman" w:hAnsi="Times New Roman" w:cs="Times New Roman"/>
          <w:highlight w:val="none"/>
        </w:rPr>
      </w:pPr>
      <w:bookmarkStart w:id="20" w:name="_Toc103094544"/>
      <w:r>
        <w:rPr>
          <w:rFonts w:hint="default" w:ascii="Times New Roman" w:hAnsi="Times New Roman" w:cs="Times New Roman"/>
          <w:highlight w:val="none"/>
        </w:rPr>
        <w:t>2.项目内容</w:t>
      </w:r>
      <w:bookmarkEnd w:id="20"/>
    </w:p>
    <w:p w14:paraId="098B4BB5">
      <w:pPr>
        <w:spacing w:after="219" w:afterLines="50" w:line="560" w:lineRule="exact"/>
        <w:ind w:firstLine="640" w:firstLineChars="200"/>
        <w:jc w:val="both"/>
        <w:rPr>
          <w:highlight w:val="none"/>
        </w:rPr>
      </w:pPr>
      <w:r>
        <w:rPr>
          <w:rFonts w:hint="default" w:ascii="Times New Roman" w:hAnsi="Times New Roman" w:cs="Times New Roman"/>
          <w:highlight w:val="none"/>
          <w:lang w:val="en-US" w:eastAsia="zh-CN"/>
        </w:rPr>
        <w:t>按照</w:t>
      </w:r>
      <w:r>
        <w:rPr>
          <w:rFonts w:hint="default" w:ascii="Times New Roman" w:hAnsi="Times New Roman" w:cs="Times New Roman"/>
          <w:bCs/>
          <w:highlight w:val="none"/>
          <w:lang w:val="en-US" w:eastAsia="zh-CN"/>
        </w:rPr>
        <w:t>《北京市农村邻里互助养老服务点建设管理办法（试行）》</w:t>
      </w:r>
      <w:r>
        <w:rPr>
          <w:rFonts w:hint="default" w:ascii="Times New Roman" w:hAnsi="Times New Roman" w:cs="Times New Roman"/>
          <w:bCs/>
          <w:highlight w:val="none"/>
          <w:lang w:eastAsia="zh-Hans"/>
        </w:rPr>
        <w:t>（京民养老发〔2023〕279号</w:t>
      </w:r>
      <w:r>
        <w:rPr>
          <w:rFonts w:hint="default" w:ascii="Times New Roman" w:hAnsi="Times New Roman" w:cs="Times New Roman"/>
          <w:bCs/>
          <w:highlight w:val="none"/>
          <w:lang w:eastAsia="zh-CN"/>
        </w:rPr>
        <w:t>）</w:t>
      </w:r>
      <w:r>
        <w:rPr>
          <w:rFonts w:hint="eastAsia" w:cs="Times New Roman"/>
          <w:bCs/>
          <w:highlight w:val="none"/>
          <w:lang w:eastAsia="zh-CN"/>
        </w:rPr>
        <w:t>等</w:t>
      </w:r>
      <w:r>
        <w:rPr>
          <w:rFonts w:hint="default" w:ascii="Times New Roman" w:hAnsi="Times New Roman" w:cs="Times New Roman"/>
          <w:bCs/>
          <w:highlight w:val="none"/>
          <w:lang w:eastAsia="zh-CN"/>
        </w:rPr>
        <w:t>，</w:t>
      </w:r>
      <w:r>
        <w:rPr>
          <w:rFonts w:hint="default" w:ascii="Times New Roman" w:hAnsi="Times New Roman" w:cs="Times New Roman"/>
          <w:bCs/>
          <w:highlight w:val="none"/>
          <w:lang w:val="en-US" w:eastAsia="zh-CN"/>
        </w:rPr>
        <w:t>市级对密云区、平谷区、延庆区、门头沟区、房山区、怀柔区6个区新建和运营的养老互助点位按照</w:t>
      </w:r>
      <w:r>
        <w:rPr>
          <w:rFonts w:hint="eastAsia" w:cs="Times New Roman"/>
          <w:bCs/>
          <w:highlight w:val="none"/>
          <w:lang w:val="en-US" w:eastAsia="zh-CN"/>
        </w:rPr>
        <w:t>每个服务点</w:t>
      </w:r>
      <w:r>
        <w:rPr>
          <w:rFonts w:hint="default" w:ascii="Times New Roman" w:hAnsi="Times New Roman" w:cs="Times New Roman"/>
          <w:bCs/>
          <w:highlight w:val="none"/>
          <w:lang w:val="en-US" w:eastAsia="zh-CN"/>
        </w:rPr>
        <w:t>1.5万元的标准进行补贴。具体情况</w:t>
      </w:r>
      <w:r>
        <w:rPr>
          <w:rFonts w:hint="eastAsia" w:cs="Times New Roman"/>
          <w:bCs/>
          <w:highlight w:val="none"/>
          <w:lang w:val="en-US" w:eastAsia="zh-CN"/>
        </w:rPr>
        <w:t>如下表所示</w:t>
      </w:r>
      <w:r>
        <w:rPr>
          <w:rFonts w:hint="default" w:ascii="Times New Roman" w:hAnsi="Times New Roman" w:cs="Times New Roman"/>
          <w:bCs/>
          <w:highlight w:val="none"/>
          <w:lang w:val="en-US" w:eastAsia="zh-CN"/>
        </w:rPr>
        <w:t>：</w:t>
      </w:r>
    </w:p>
    <w:p w14:paraId="4B21469B">
      <w:pPr>
        <w:keepNext/>
        <w:topLinePunct/>
        <w:adjustRightInd w:val="0"/>
        <w:snapToGrid w:val="0"/>
        <w:spacing w:before="0" w:beforeLines="0" w:after="217" w:afterLines="50" w:line="560" w:lineRule="exact"/>
        <w:ind w:firstLine="0" w:firstLineChars="0"/>
        <w:jc w:val="center"/>
        <w:rPr>
          <w:rFonts w:hint="eastAsia" w:eastAsia="黑体" w:cs="Times New Roman"/>
          <w:sz w:val="24"/>
          <w:szCs w:val="24"/>
          <w:highlight w:val="none"/>
          <w:lang w:val="en-US" w:eastAsia="zh-CN"/>
        </w:rPr>
      </w:pPr>
      <w:r>
        <w:rPr>
          <w:rFonts w:eastAsia="黑体" w:cs="Times New Roman"/>
          <w:sz w:val="24"/>
          <w:szCs w:val="24"/>
          <w:highlight w:val="none"/>
        </w:rPr>
        <w:t>表</w:t>
      </w:r>
      <w:r>
        <w:rPr>
          <w:rFonts w:hint="eastAsia" w:eastAsia="黑体" w:cs="Times New Roman"/>
          <w:sz w:val="24"/>
          <w:szCs w:val="24"/>
          <w:highlight w:val="none"/>
          <w:lang w:val="en-US" w:eastAsia="zh-CN"/>
        </w:rPr>
        <w:t>1</w:t>
      </w:r>
      <w:r>
        <w:rPr>
          <w:rFonts w:eastAsia="黑体" w:cs="Times New Roman"/>
          <w:sz w:val="24"/>
          <w:szCs w:val="24"/>
          <w:highlight w:val="none"/>
        </w:rPr>
        <w:t xml:space="preserve"> 202</w:t>
      </w:r>
      <w:r>
        <w:rPr>
          <w:rFonts w:hint="eastAsia" w:eastAsia="黑体" w:cs="Times New Roman"/>
          <w:sz w:val="24"/>
          <w:szCs w:val="24"/>
          <w:highlight w:val="none"/>
          <w:lang w:val="en-US" w:eastAsia="zh-CN"/>
        </w:rPr>
        <w:t>4</w:t>
      </w:r>
      <w:r>
        <w:rPr>
          <w:rFonts w:hint="eastAsia" w:eastAsia="黑体" w:cs="Times New Roman"/>
          <w:sz w:val="24"/>
          <w:szCs w:val="24"/>
          <w:highlight w:val="none"/>
        </w:rPr>
        <w:t>年</w:t>
      </w:r>
      <w:r>
        <w:rPr>
          <w:rFonts w:hint="eastAsia" w:eastAsia="黑体" w:cs="Times New Roman"/>
          <w:sz w:val="24"/>
          <w:szCs w:val="24"/>
          <w:highlight w:val="none"/>
          <w:lang w:val="en-US" w:eastAsia="zh-CN"/>
        </w:rPr>
        <w:t>各区服务点数量与资金拨付标准情况表</w:t>
      </w:r>
    </w:p>
    <w:tbl>
      <w:tblPr>
        <w:tblStyle w:val="2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13"/>
        <w:gridCol w:w="2449"/>
        <w:gridCol w:w="2269"/>
        <w:gridCol w:w="2325"/>
      </w:tblGrid>
      <w:tr w14:paraId="3D236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19"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E8C588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1359" w:type="pct"/>
            <w:vMerge w:val="restart"/>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6920BEA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eastAsia="宋体" w:cs="Times New Roman"/>
                <w:b/>
                <w:bCs/>
                <w:i w:val="0"/>
                <w:iCs w:val="0"/>
                <w:color w:val="000000"/>
                <w:kern w:val="0"/>
                <w:sz w:val="21"/>
                <w:szCs w:val="21"/>
                <w:highlight w:val="none"/>
                <w:u w:val="none"/>
                <w:lang w:val="en-US" w:eastAsia="zh-CN" w:bidi="ar"/>
              </w:rPr>
              <w:t>行政区划</w:t>
            </w:r>
          </w:p>
        </w:tc>
        <w:tc>
          <w:tcPr>
            <w:tcW w:w="1260"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2DAC1B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lang w:val="en-US" w:eastAsia="zh-CN"/>
              </w:rPr>
            </w:pPr>
            <w:r>
              <w:rPr>
                <w:rFonts w:hint="eastAsia" w:eastAsia="宋体" w:cs="Times New Roman"/>
                <w:b/>
                <w:bCs/>
                <w:i w:val="0"/>
                <w:iCs w:val="0"/>
                <w:color w:val="000000"/>
                <w:sz w:val="21"/>
                <w:szCs w:val="21"/>
                <w:highlight w:val="none"/>
                <w:u w:val="none"/>
                <w:lang w:val="en-US" w:eastAsia="zh-CN"/>
              </w:rPr>
              <w:t>拨付标准（万元/个）</w:t>
            </w:r>
          </w:p>
        </w:tc>
        <w:tc>
          <w:tcPr>
            <w:tcW w:w="1260"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181D99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i w:val="0"/>
                <w:iCs w:val="0"/>
                <w:color w:val="000000"/>
                <w:kern w:val="2"/>
                <w:sz w:val="21"/>
                <w:szCs w:val="21"/>
                <w:highlight w:val="none"/>
                <w:u w:val="none"/>
                <w:lang w:val="en-US" w:eastAsia="zh-CN" w:bidi="ar-SA"/>
              </w:rPr>
            </w:pPr>
            <w:r>
              <w:rPr>
                <w:rFonts w:hint="eastAsia" w:ascii="Times New Roman" w:hAnsi="Times New Roman" w:eastAsia="宋体" w:cs="Times New Roman"/>
                <w:b/>
                <w:bCs/>
                <w:i w:val="0"/>
                <w:iCs w:val="0"/>
                <w:color w:val="000000"/>
                <w:kern w:val="0"/>
                <w:sz w:val="21"/>
                <w:szCs w:val="21"/>
                <w:highlight w:val="none"/>
                <w:u w:val="none"/>
                <w:lang w:val="en-US" w:eastAsia="zh-CN" w:bidi="ar"/>
              </w:rPr>
              <w:t>计划</w:t>
            </w:r>
            <w:r>
              <w:rPr>
                <w:rFonts w:hint="default" w:ascii="Times New Roman" w:hAnsi="Times New Roman" w:eastAsia="宋体" w:cs="Times New Roman"/>
                <w:b/>
                <w:bCs/>
                <w:i w:val="0"/>
                <w:iCs w:val="0"/>
                <w:color w:val="000000"/>
                <w:kern w:val="0"/>
                <w:sz w:val="21"/>
                <w:szCs w:val="21"/>
                <w:highlight w:val="none"/>
                <w:u w:val="none"/>
                <w:lang w:val="en-US" w:eastAsia="zh-CN" w:bidi="ar"/>
              </w:rPr>
              <w:t>服务点数量</w:t>
            </w:r>
            <w:r>
              <w:rPr>
                <w:rFonts w:hint="eastAsia" w:eastAsia="宋体" w:cs="Times New Roman"/>
                <w:b/>
                <w:bCs/>
                <w:i w:val="0"/>
                <w:iCs w:val="0"/>
                <w:color w:val="000000"/>
                <w:kern w:val="0"/>
                <w:sz w:val="21"/>
                <w:szCs w:val="21"/>
                <w:highlight w:val="none"/>
                <w:u w:val="none"/>
                <w:lang w:val="en-US" w:eastAsia="zh-CN" w:bidi="ar"/>
              </w:rPr>
              <w:t>（个）</w:t>
            </w:r>
          </w:p>
        </w:tc>
      </w:tr>
      <w:tr w14:paraId="05388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19"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23C12D1B">
            <w:pPr>
              <w:spacing w:line="240" w:lineRule="auto"/>
              <w:jc w:val="center"/>
              <w:rPr>
                <w:rFonts w:hint="default" w:ascii="Times New Roman" w:hAnsi="Times New Roman" w:eastAsia="宋体" w:cs="Times New Roman"/>
                <w:i w:val="0"/>
                <w:iCs w:val="0"/>
                <w:color w:val="000000"/>
                <w:sz w:val="21"/>
                <w:szCs w:val="21"/>
                <w:highlight w:val="none"/>
                <w:u w:val="none"/>
              </w:rPr>
            </w:pPr>
          </w:p>
        </w:tc>
        <w:tc>
          <w:tcPr>
            <w:tcW w:w="1359" w:type="pct"/>
            <w:vMerge w:val="continue"/>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6CA10E83">
            <w:pPr>
              <w:spacing w:line="240" w:lineRule="auto"/>
              <w:jc w:val="center"/>
              <w:rPr>
                <w:rFonts w:hint="default" w:ascii="Times New Roman" w:hAnsi="Times New Roman" w:eastAsia="宋体" w:cs="Times New Roman"/>
                <w:i w:val="0"/>
                <w:iCs w:val="0"/>
                <w:color w:val="000000"/>
                <w:sz w:val="21"/>
                <w:szCs w:val="21"/>
                <w:highlight w:val="none"/>
                <w:u w:val="none"/>
              </w:rPr>
            </w:pPr>
          </w:p>
        </w:tc>
        <w:tc>
          <w:tcPr>
            <w:tcW w:w="1260"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2C28186D">
            <w:pPr>
              <w:spacing w:line="240" w:lineRule="auto"/>
              <w:jc w:val="center"/>
              <w:rPr>
                <w:rFonts w:hint="default" w:ascii="Times New Roman" w:hAnsi="Times New Roman" w:eastAsia="宋体" w:cs="Times New Roman"/>
                <w:i w:val="0"/>
                <w:iCs w:val="0"/>
                <w:color w:val="000000"/>
                <w:sz w:val="21"/>
                <w:szCs w:val="21"/>
                <w:highlight w:val="none"/>
                <w:u w:val="none"/>
              </w:rPr>
            </w:pPr>
          </w:p>
        </w:tc>
        <w:tc>
          <w:tcPr>
            <w:tcW w:w="1260"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E4D461C">
            <w:pPr>
              <w:spacing w:line="240" w:lineRule="auto"/>
              <w:ind w:firstLine="420" w:firstLineChars="200"/>
              <w:jc w:val="center"/>
              <w:rPr>
                <w:rFonts w:hint="default" w:ascii="Times New Roman" w:hAnsi="Times New Roman" w:eastAsia="宋体" w:cs="Times New Roman"/>
                <w:i w:val="0"/>
                <w:iCs w:val="0"/>
                <w:color w:val="000000"/>
                <w:kern w:val="2"/>
                <w:sz w:val="21"/>
                <w:szCs w:val="21"/>
                <w:highlight w:val="none"/>
                <w:u w:val="none"/>
                <w:lang w:val="en-US" w:eastAsia="zh-CN" w:bidi="ar-SA"/>
              </w:rPr>
            </w:pPr>
          </w:p>
        </w:tc>
      </w:tr>
      <w:tr w14:paraId="15E7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A32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91A6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951B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lang w:val="en-US" w:eastAsia="zh-CN"/>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E60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353</w:t>
            </w:r>
          </w:p>
        </w:tc>
      </w:tr>
      <w:tr w14:paraId="4FAE7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EAB4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3AAA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E015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63EC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72</w:t>
            </w:r>
          </w:p>
        </w:tc>
      </w:tr>
      <w:tr w14:paraId="30BD7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19DE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1F6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219B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701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135</w:t>
            </w:r>
          </w:p>
        </w:tc>
      </w:tr>
      <w:tr w14:paraId="577ED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AA12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5D3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A452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4BB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35</w:t>
            </w:r>
          </w:p>
        </w:tc>
      </w:tr>
      <w:tr w14:paraId="42F7D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1B1D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1C7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EC06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AB2D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97</w:t>
            </w:r>
          </w:p>
        </w:tc>
      </w:tr>
      <w:tr w14:paraId="7C813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1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88C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1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1589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E62A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eastAsia="宋体" w:cs="Times New Roman"/>
                <w:i w:val="0"/>
                <w:iCs w:val="0"/>
                <w:color w:val="000000"/>
                <w:sz w:val="21"/>
                <w:szCs w:val="21"/>
                <w:highlight w:val="none"/>
                <w:u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59B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11</w:t>
            </w:r>
            <w:r>
              <w:rPr>
                <w:rFonts w:hint="eastAsia" w:ascii="Times New Roman" w:hAnsi="Times New Roman" w:eastAsia="宋体" w:cs="Times New Roman"/>
                <w:i w:val="0"/>
                <w:iCs w:val="0"/>
                <w:color w:val="000000"/>
                <w:kern w:val="0"/>
                <w:sz w:val="21"/>
                <w:szCs w:val="21"/>
                <w:highlight w:val="none"/>
                <w:u w:val="none"/>
                <w:lang w:val="en-US" w:eastAsia="zh-CN" w:bidi="ar"/>
              </w:rPr>
              <w:t>5</w:t>
            </w:r>
          </w:p>
        </w:tc>
      </w:tr>
      <w:tr w14:paraId="210B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47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6BB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合计</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6C797">
            <w:pPr>
              <w:keepNext w:val="0"/>
              <w:keepLines w:val="0"/>
              <w:widowControl/>
              <w:suppressLineNumbers w:val="0"/>
              <w:spacing w:line="240" w:lineRule="auto"/>
              <w:ind w:firstLine="0" w:firstLineChars="0"/>
              <w:jc w:val="both"/>
              <w:textAlignment w:val="center"/>
              <w:rPr>
                <w:rFonts w:hint="default" w:ascii="Times New Roman" w:hAnsi="Times New Roman" w:eastAsia="宋体" w:cs="Times New Roman"/>
                <w:i w:val="0"/>
                <w:iCs w:val="0"/>
                <w:color w:val="000000"/>
                <w:sz w:val="21"/>
                <w:szCs w:val="21"/>
                <w:highlight w:val="none"/>
                <w:u w:val="none"/>
              </w:rPr>
            </w:pP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36F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80</w:t>
            </w:r>
            <w:r>
              <w:rPr>
                <w:rFonts w:hint="eastAsia" w:ascii="Times New Roman" w:hAnsi="Times New Roman" w:eastAsia="宋体" w:cs="Times New Roman"/>
                <w:i w:val="0"/>
                <w:iCs w:val="0"/>
                <w:color w:val="000000"/>
                <w:kern w:val="0"/>
                <w:sz w:val="21"/>
                <w:szCs w:val="21"/>
                <w:highlight w:val="none"/>
                <w:u w:val="none"/>
                <w:lang w:val="en-US" w:eastAsia="zh-CN" w:bidi="ar"/>
              </w:rPr>
              <w:t>7</w:t>
            </w:r>
          </w:p>
        </w:tc>
      </w:tr>
    </w:tbl>
    <w:p w14:paraId="336B0885">
      <w:pPr>
        <w:keepNext w:val="0"/>
        <w:keepLines w:val="0"/>
        <w:pageBreakBefore w:val="0"/>
        <w:widowControl w:val="0"/>
        <w:kinsoku/>
        <w:wordWrap/>
        <w:overflowPunct/>
        <w:topLinePunct w:val="0"/>
        <w:autoSpaceDE/>
        <w:autoSpaceDN/>
        <w:bidi w:val="0"/>
        <w:adjustRightInd/>
        <w:snapToGrid/>
        <w:spacing w:before="219" w:beforeLines="50" w:line="560" w:lineRule="exact"/>
        <w:ind w:left="0" w:leftChars="0" w:firstLine="640" w:firstLineChars="200"/>
        <w:jc w:val="both"/>
        <w:textAlignment w:val="auto"/>
        <w:rPr>
          <w:rFonts w:hint="eastAsia"/>
          <w:highlight w:val="none"/>
        </w:rPr>
      </w:pPr>
      <w:r>
        <w:rPr>
          <w:rFonts w:hint="eastAsia" w:cs="Times New Roman"/>
          <w:bCs/>
          <w:highlight w:val="none"/>
          <w:lang w:val="en-US" w:eastAsia="zh-CN"/>
        </w:rPr>
        <w:t>各区结合实际情况，制定相应实施方案，并按照方案进行补贴分配和使用，资金拨付标准、农村邻里互助员（以下简称“互助员”）补贴标准、服务频次要求</w:t>
      </w:r>
      <w:r>
        <w:rPr>
          <w:rFonts w:hint="eastAsia"/>
          <w:highlight w:val="none"/>
          <w:lang w:eastAsia="zh-Hans"/>
        </w:rPr>
        <w:t>具体内容</w:t>
      </w:r>
      <w:r>
        <w:rPr>
          <w:rFonts w:hint="eastAsia"/>
          <w:highlight w:val="none"/>
          <w:lang w:val="en-US" w:eastAsia="zh-CN"/>
        </w:rPr>
        <w:t>如下表所示</w:t>
      </w:r>
      <w:r>
        <w:rPr>
          <w:rFonts w:hint="eastAsia"/>
          <w:highlight w:val="none"/>
        </w:rPr>
        <w:t>：</w:t>
      </w:r>
    </w:p>
    <w:p w14:paraId="7E55C608">
      <w:pPr>
        <w:keepNext w:val="0"/>
        <w:topLinePunct w:val="0"/>
        <w:adjustRightInd/>
        <w:snapToGrid/>
        <w:spacing w:before="0" w:beforeLines="-2147483648" w:after="0" w:afterLines="-2147483648" w:line="560" w:lineRule="exact"/>
        <w:ind w:firstLine="480" w:firstLineChars="200"/>
        <w:jc w:val="both"/>
        <w:rPr>
          <w:rFonts w:hint="default" w:ascii="Times New Roman" w:hAnsi="Times New Roman" w:eastAsia="黑体" w:cs="Times New Roman"/>
          <w:sz w:val="24"/>
          <w:szCs w:val="24"/>
          <w:highlight w:val="none"/>
        </w:rPr>
      </w:pPr>
    </w:p>
    <w:p w14:paraId="152E8427">
      <w:pPr>
        <w:keepNext/>
        <w:topLinePunct/>
        <w:adjustRightInd w:val="0"/>
        <w:snapToGrid w:val="0"/>
        <w:spacing w:before="0" w:beforeLines="0" w:after="219" w:afterLines="50" w:line="560" w:lineRule="exact"/>
        <w:ind w:firstLine="0" w:firstLineChars="0"/>
        <w:jc w:val="center"/>
        <w:rPr>
          <w:rFonts w:hint="default" w:ascii="Times New Roman" w:hAnsi="Times New Roman" w:eastAsia="黑体" w:cs="Times New Roman"/>
          <w:sz w:val="24"/>
          <w:highlight w:val="none"/>
        </w:rPr>
      </w:pPr>
      <w:r>
        <w:rPr>
          <w:rFonts w:hint="default" w:ascii="Times New Roman" w:hAnsi="Times New Roman" w:eastAsia="黑体" w:cs="Times New Roman"/>
          <w:sz w:val="24"/>
          <w:szCs w:val="24"/>
          <w:highlight w:val="none"/>
        </w:rPr>
        <w:t>表</w:t>
      </w:r>
      <w:r>
        <w:rPr>
          <w:rFonts w:hint="default" w:ascii="Times New Roman" w:hAnsi="Times New Roman" w:eastAsia="黑体" w:cs="Times New Roman"/>
          <w:sz w:val="24"/>
          <w:szCs w:val="24"/>
          <w:highlight w:val="none"/>
          <w:lang w:val="en-US" w:eastAsia="zh-CN"/>
        </w:rPr>
        <w:t>2</w:t>
      </w:r>
      <w:r>
        <w:rPr>
          <w:rFonts w:hint="default" w:ascii="Times New Roman" w:hAnsi="Times New Roman" w:eastAsia="黑体" w:cs="Times New Roman"/>
          <w:sz w:val="24"/>
          <w:szCs w:val="24"/>
          <w:highlight w:val="none"/>
        </w:rPr>
        <w:t xml:space="preserve"> </w:t>
      </w:r>
      <w:r>
        <w:rPr>
          <w:rFonts w:hint="default" w:ascii="Times New Roman" w:hAnsi="Times New Roman" w:eastAsia="黑体" w:cs="Times New Roman"/>
          <w:sz w:val="24"/>
          <w:szCs w:val="24"/>
          <w:highlight w:val="none"/>
          <w:lang w:val="en-US" w:eastAsia="zh-CN"/>
        </w:rPr>
        <w:t>各区</w:t>
      </w:r>
      <w:r>
        <w:rPr>
          <w:rFonts w:hint="eastAsia" w:eastAsia="黑体" w:cs="Times New Roman"/>
          <w:sz w:val="24"/>
          <w:szCs w:val="24"/>
          <w:highlight w:val="none"/>
          <w:lang w:val="en-US" w:eastAsia="zh-CN"/>
        </w:rPr>
        <w:t>补助资金支出方向</w:t>
      </w:r>
      <w:r>
        <w:rPr>
          <w:rFonts w:hint="default" w:ascii="Times New Roman" w:hAnsi="Times New Roman" w:eastAsia="黑体" w:cs="Times New Roman"/>
          <w:sz w:val="24"/>
          <w:szCs w:val="24"/>
          <w:highlight w:val="none"/>
          <w:lang w:val="en-US" w:eastAsia="zh-CN"/>
        </w:rPr>
        <w:t>情况表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7"/>
        <w:gridCol w:w="1147"/>
        <w:gridCol w:w="2298"/>
        <w:gridCol w:w="2491"/>
        <w:gridCol w:w="2698"/>
      </w:tblGrid>
      <w:tr w14:paraId="56391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blHeader/>
        </w:trPr>
        <w:tc>
          <w:tcPr>
            <w:tcW w:w="235" w:type="pct"/>
            <w:shd w:val="clear" w:color="auto" w:fill="BEBEBE" w:themeFill="background1" w:themeFillShade="BF"/>
            <w:vAlign w:val="center"/>
          </w:tcPr>
          <w:p w14:paraId="49D310DF">
            <w:pPr>
              <w:keepNext/>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序号</w:t>
            </w:r>
          </w:p>
        </w:tc>
        <w:tc>
          <w:tcPr>
            <w:tcW w:w="633" w:type="pct"/>
            <w:shd w:val="clear" w:color="auto" w:fill="BEBEBE" w:themeFill="background1" w:themeFillShade="BF"/>
            <w:vAlign w:val="center"/>
          </w:tcPr>
          <w:p w14:paraId="00186AAE">
            <w:pPr>
              <w:keepNext/>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行政区划</w:t>
            </w:r>
          </w:p>
        </w:tc>
        <w:tc>
          <w:tcPr>
            <w:tcW w:w="1268" w:type="pct"/>
            <w:shd w:val="clear" w:color="auto" w:fill="BEBEBE" w:themeFill="background1" w:themeFillShade="BF"/>
            <w:vAlign w:val="center"/>
          </w:tcPr>
          <w:p w14:paraId="0FAA6697">
            <w:pPr>
              <w:keepNext/>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eastAsia="宋体" w:cs="Times New Roman"/>
                <w:b/>
                <w:bCs/>
                <w:color w:val="000000"/>
                <w:kern w:val="0"/>
                <w:sz w:val="21"/>
                <w:szCs w:val="21"/>
                <w:highlight w:val="none"/>
                <w:lang w:val="en-US" w:eastAsia="zh-CN" w:bidi="ar"/>
              </w:rPr>
              <w:t>资金</w:t>
            </w:r>
            <w:r>
              <w:rPr>
                <w:rFonts w:hint="eastAsia" w:eastAsia="宋体" w:cs="Times New Roman"/>
                <w:b/>
                <w:bCs/>
                <w:color w:val="000000"/>
                <w:kern w:val="0"/>
                <w:sz w:val="21"/>
                <w:szCs w:val="21"/>
                <w:highlight w:val="none"/>
                <w:lang w:val="en-US" w:eastAsia="zh-CN" w:bidi="ar"/>
              </w:rPr>
              <w:t>拨付</w:t>
            </w:r>
            <w:r>
              <w:rPr>
                <w:rFonts w:hint="default" w:eastAsia="宋体" w:cs="Times New Roman"/>
                <w:b/>
                <w:bCs/>
                <w:color w:val="000000"/>
                <w:kern w:val="0"/>
                <w:sz w:val="21"/>
                <w:szCs w:val="21"/>
                <w:highlight w:val="none"/>
                <w:lang w:val="en-US" w:eastAsia="zh-CN" w:bidi="ar"/>
              </w:rPr>
              <w:t>标准</w:t>
            </w:r>
          </w:p>
        </w:tc>
        <w:tc>
          <w:tcPr>
            <w:tcW w:w="1374" w:type="pct"/>
            <w:shd w:val="clear" w:color="auto" w:fill="BEBEBE" w:themeFill="background1" w:themeFillShade="BF"/>
            <w:vAlign w:val="center"/>
          </w:tcPr>
          <w:p w14:paraId="3A7D9909">
            <w:pPr>
              <w:keepNext/>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互助员补贴标准</w:t>
            </w:r>
          </w:p>
        </w:tc>
        <w:tc>
          <w:tcPr>
            <w:tcW w:w="1488" w:type="pct"/>
            <w:shd w:val="clear" w:color="auto" w:fill="BEBEBE" w:themeFill="background1" w:themeFillShade="BF"/>
            <w:vAlign w:val="center"/>
          </w:tcPr>
          <w:p w14:paraId="7FE34236">
            <w:pPr>
              <w:keepNext/>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服务频次要求</w:t>
            </w:r>
          </w:p>
        </w:tc>
      </w:tr>
      <w:tr w14:paraId="76F8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35" w:type="pct"/>
            <w:shd w:val="clear" w:color="auto" w:fill="auto"/>
            <w:vAlign w:val="center"/>
          </w:tcPr>
          <w:p w14:paraId="3A14A79E">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w:t>
            </w:r>
          </w:p>
        </w:tc>
        <w:tc>
          <w:tcPr>
            <w:tcW w:w="633" w:type="pct"/>
            <w:shd w:val="clear" w:color="auto" w:fill="auto"/>
            <w:vAlign w:val="center"/>
          </w:tcPr>
          <w:p w14:paraId="525F9B0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密云区</w:t>
            </w:r>
          </w:p>
        </w:tc>
        <w:tc>
          <w:tcPr>
            <w:tcW w:w="1268" w:type="pct"/>
            <w:shd w:val="clear" w:color="auto" w:fill="auto"/>
            <w:vAlign w:val="center"/>
          </w:tcPr>
          <w:p w14:paraId="7BAF734A">
            <w:pPr>
              <w:keepNext w:val="0"/>
              <w:keepLines w:val="0"/>
              <w:pageBreakBefore w:val="0"/>
              <w:widowControl/>
              <w:numPr>
                <w:ilvl w:val="-1"/>
                <w:numId w:val="0"/>
              </w:numPr>
              <w:kinsoku/>
              <w:wordWrap/>
              <w:overflowPunct/>
              <w:topLinePunct w:val="0"/>
              <w:autoSpaceDE/>
              <w:autoSpaceDN/>
              <w:bidi w:val="0"/>
              <w:adjustRightInd/>
              <w:snapToGrid/>
              <w:spacing w:line="320" w:lineRule="exact"/>
              <w:ind w:firstLine="0" w:firstLineChars="0"/>
              <w:jc w:val="left"/>
              <w:textAlignment w:val="center"/>
              <w:rPr>
                <w:rFonts w:hint="default" w:eastAsia="宋体" w:cs="Times New Roman"/>
                <w:b w:val="0"/>
                <w:bCs w:val="0"/>
                <w:color w:val="000000"/>
                <w:kern w:val="0"/>
                <w:sz w:val="21"/>
                <w:szCs w:val="21"/>
                <w:highlight w:val="none"/>
                <w:lang w:val="en-US" w:eastAsia="zh-CN" w:bidi="ar"/>
              </w:rPr>
            </w:pPr>
            <w:r>
              <w:rPr>
                <w:rFonts w:hint="default" w:eastAsia="宋体" w:cs="Times New Roman"/>
                <w:b w:val="0"/>
                <w:bCs w:val="0"/>
                <w:color w:val="000000"/>
                <w:kern w:val="0"/>
                <w:sz w:val="21"/>
                <w:szCs w:val="21"/>
                <w:highlight w:val="none"/>
                <w:lang w:val="en-US" w:eastAsia="zh-CN" w:bidi="ar"/>
              </w:rPr>
              <w:t>1.按</w:t>
            </w: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1.20万元的标准下发至各乡镇</w:t>
            </w:r>
          </w:p>
          <w:p w14:paraId="29F8C659">
            <w:pPr>
              <w:keepNext w:val="0"/>
              <w:keepLines w:val="0"/>
              <w:pageBreakBefore w:val="0"/>
              <w:widowControl/>
              <w:numPr>
                <w:ilvl w:val="-1"/>
                <w:numId w:val="0"/>
              </w:numPr>
              <w:kinsoku/>
              <w:wordWrap/>
              <w:overflowPunct/>
              <w:topLinePunct w:val="0"/>
              <w:autoSpaceDE/>
              <w:autoSpaceDN/>
              <w:bidi w:val="0"/>
              <w:adjustRightInd/>
              <w:snapToGrid/>
              <w:spacing w:line="320" w:lineRule="exact"/>
              <w:ind w:firstLine="0" w:firstLineChars="0"/>
              <w:jc w:val="both"/>
              <w:textAlignment w:val="center"/>
              <w:rPr>
                <w:rFonts w:hint="default" w:eastAsia="宋体" w:cs="Times New Roman"/>
                <w:b w:val="0"/>
                <w:bCs w:val="0"/>
                <w:color w:val="000000"/>
                <w:kern w:val="0"/>
                <w:sz w:val="21"/>
                <w:szCs w:val="21"/>
                <w:highlight w:val="none"/>
                <w:lang w:val="en-US" w:eastAsia="zh-CN" w:bidi="ar"/>
              </w:rPr>
            </w:pPr>
            <w:r>
              <w:rPr>
                <w:rFonts w:hint="default" w:eastAsia="宋体" w:cs="Times New Roman"/>
                <w:b w:val="0"/>
                <w:bCs w:val="0"/>
                <w:color w:val="000000"/>
                <w:kern w:val="0"/>
                <w:sz w:val="21"/>
                <w:szCs w:val="21"/>
                <w:highlight w:val="none"/>
                <w:lang w:val="en-US" w:eastAsia="zh-CN" w:bidi="ar"/>
              </w:rPr>
              <w:t>2.区级统筹资金106.59万元</w:t>
            </w:r>
          </w:p>
        </w:tc>
        <w:tc>
          <w:tcPr>
            <w:tcW w:w="1374" w:type="pct"/>
            <w:shd w:val="clear" w:color="auto" w:fill="auto"/>
            <w:vAlign w:val="center"/>
          </w:tcPr>
          <w:p w14:paraId="47C72C06">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每服务1名老年人补贴100元（每月）</w:t>
            </w:r>
          </w:p>
        </w:tc>
        <w:tc>
          <w:tcPr>
            <w:tcW w:w="1488" w:type="pct"/>
            <w:shd w:val="clear" w:color="auto" w:fill="auto"/>
            <w:vAlign w:val="center"/>
          </w:tcPr>
          <w:p w14:paraId="4BB31FDB">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每名互助员每周服务频次不能低于电话问候1次，入户探视1次，居家服务3次</w:t>
            </w:r>
          </w:p>
        </w:tc>
      </w:tr>
      <w:tr w14:paraId="2DBC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35" w:type="pct"/>
            <w:shd w:val="clear" w:color="auto" w:fill="auto"/>
            <w:vAlign w:val="center"/>
          </w:tcPr>
          <w:p w14:paraId="123E0B52">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2</w:t>
            </w:r>
          </w:p>
        </w:tc>
        <w:tc>
          <w:tcPr>
            <w:tcW w:w="633" w:type="pct"/>
            <w:shd w:val="clear" w:color="auto" w:fill="auto"/>
            <w:vAlign w:val="center"/>
          </w:tcPr>
          <w:p w14:paraId="1FCDCE1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平谷区</w:t>
            </w:r>
          </w:p>
        </w:tc>
        <w:tc>
          <w:tcPr>
            <w:tcW w:w="1268" w:type="pct"/>
            <w:shd w:val="clear" w:color="auto" w:fill="auto"/>
            <w:vAlign w:val="center"/>
          </w:tcPr>
          <w:p w14:paraId="04F12D4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1.50万元</w:t>
            </w:r>
          </w:p>
        </w:tc>
        <w:tc>
          <w:tcPr>
            <w:tcW w:w="1374" w:type="pct"/>
            <w:shd w:val="clear" w:color="auto" w:fill="auto"/>
            <w:vAlign w:val="center"/>
          </w:tcPr>
          <w:p w14:paraId="50D38C7C">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每服务1名老年人补贴130元（每月），一年不超过1560元</w:t>
            </w:r>
          </w:p>
        </w:tc>
        <w:tc>
          <w:tcPr>
            <w:tcW w:w="1488" w:type="pct"/>
            <w:shd w:val="clear" w:color="auto" w:fill="auto"/>
            <w:vAlign w:val="center"/>
          </w:tcPr>
          <w:p w14:paraId="2F8EAA98">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每名互助员：</w:t>
            </w:r>
          </w:p>
          <w:p w14:paraId="105B0DC3">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（1）每周入户2次；</w:t>
            </w:r>
          </w:p>
          <w:p w14:paraId="7E02226C">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（2）每周电话问候2次</w:t>
            </w:r>
          </w:p>
          <w:p w14:paraId="00D6399F">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（3）基础家居服务不少于3项</w:t>
            </w:r>
          </w:p>
        </w:tc>
      </w:tr>
      <w:tr w14:paraId="2155C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35" w:type="pct"/>
            <w:shd w:val="clear" w:color="auto" w:fill="auto"/>
            <w:vAlign w:val="center"/>
          </w:tcPr>
          <w:p w14:paraId="1E73C28B">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3</w:t>
            </w:r>
          </w:p>
        </w:tc>
        <w:tc>
          <w:tcPr>
            <w:tcW w:w="633" w:type="pct"/>
            <w:shd w:val="clear" w:color="auto" w:fill="auto"/>
            <w:vAlign w:val="center"/>
          </w:tcPr>
          <w:p w14:paraId="71D22AA3">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延庆区</w:t>
            </w:r>
          </w:p>
        </w:tc>
        <w:tc>
          <w:tcPr>
            <w:tcW w:w="1268" w:type="pct"/>
            <w:shd w:val="clear" w:color="auto" w:fill="auto"/>
            <w:vAlign w:val="center"/>
          </w:tcPr>
          <w:p w14:paraId="32ACED99">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1.50万元</w:t>
            </w:r>
          </w:p>
        </w:tc>
        <w:tc>
          <w:tcPr>
            <w:tcW w:w="1374" w:type="pct"/>
            <w:shd w:val="clear" w:color="auto" w:fill="auto"/>
            <w:vAlign w:val="center"/>
          </w:tcPr>
          <w:p w14:paraId="14CCCE4B">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由乡镇统一制定服务补贴标准，单一服务每次20分钟不超过10元，互助员每人每天不超过100元</w:t>
            </w:r>
          </w:p>
        </w:tc>
        <w:tc>
          <w:tcPr>
            <w:tcW w:w="1488" w:type="pct"/>
            <w:shd w:val="clear" w:color="auto" w:fill="auto"/>
            <w:vAlign w:val="center"/>
          </w:tcPr>
          <w:p w14:paraId="0245CEEC">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每名互助员每月服务应不少于4次，每次不少于20分钟</w:t>
            </w:r>
          </w:p>
        </w:tc>
      </w:tr>
      <w:tr w14:paraId="0658C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35" w:type="pct"/>
            <w:shd w:val="clear" w:color="auto" w:fill="auto"/>
            <w:vAlign w:val="center"/>
          </w:tcPr>
          <w:p w14:paraId="3BF334BA">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4</w:t>
            </w:r>
          </w:p>
        </w:tc>
        <w:tc>
          <w:tcPr>
            <w:tcW w:w="633" w:type="pct"/>
            <w:shd w:val="clear" w:color="auto" w:fill="auto"/>
            <w:vAlign w:val="center"/>
          </w:tcPr>
          <w:p w14:paraId="67F205BD">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门头沟区</w:t>
            </w:r>
          </w:p>
        </w:tc>
        <w:tc>
          <w:tcPr>
            <w:tcW w:w="1268" w:type="pct"/>
            <w:shd w:val="clear" w:color="auto" w:fill="auto"/>
            <w:vAlign w:val="center"/>
          </w:tcPr>
          <w:p w14:paraId="0F8CEC0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1.50万元</w:t>
            </w:r>
          </w:p>
        </w:tc>
        <w:tc>
          <w:tcPr>
            <w:tcW w:w="1374" w:type="pct"/>
            <w:shd w:val="clear" w:color="auto" w:fill="auto"/>
            <w:vAlign w:val="center"/>
          </w:tcPr>
          <w:p w14:paraId="2E78FCCF">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每服务1名老年人补贴100元（每月）</w:t>
            </w:r>
          </w:p>
        </w:tc>
        <w:tc>
          <w:tcPr>
            <w:tcW w:w="1488" w:type="pct"/>
            <w:shd w:val="clear" w:color="auto" w:fill="auto"/>
            <w:vAlign w:val="center"/>
          </w:tcPr>
          <w:p w14:paraId="1105AFA2">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每名服务对象每月至少应享受4次服务</w:t>
            </w:r>
          </w:p>
        </w:tc>
      </w:tr>
      <w:tr w14:paraId="6907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35" w:type="pct"/>
            <w:shd w:val="clear" w:color="auto" w:fill="auto"/>
            <w:vAlign w:val="center"/>
          </w:tcPr>
          <w:p w14:paraId="6F790C14">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5</w:t>
            </w:r>
          </w:p>
        </w:tc>
        <w:tc>
          <w:tcPr>
            <w:tcW w:w="633" w:type="pct"/>
            <w:shd w:val="clear" w:color="auto" w:fill="auto"/>
            <w:vAlign w:val="center"/>
          </w:tcPr>
          <w:p w14:paraId="08D12DC1">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房山区</w:t>
            </w:r>
          </w:p>
        </w:tc>
        <w:tc>
          <w:tcPr>
            <w:tcW w:w="1268" w:type="pct"/>
            <w:shd w:val="clear" w:color="auto" w:fill="auto"/>
            <w:vAlign w:val="center"/>
          </w:tcPr>
          <w:p w14:paraId="2F99EEE5">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1.50万元</w:t>
            </w:r>
          </w:p>
        </w:tc>
        <w:tc>
          <w:tcPr>
            <w:tcW w:w="1374" w:type="pct"/>
            <w:shd w:val="clear" w:color="auto" w:fill="auto"/>
            <w:vAlign w:val="center"/>
          </w:tcPr>
          <w:p w14:paraId="73D1385E">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制定《养老服务驿站部分服务项目及参考价格》，按次计费</w:t>
            </w:r>
          </w:p>
        </w:tc>
        <w:tc>
          <w:tcPr>
            <w:tcW w:w="1488" w:type="pct"/>
            <w:shd w:val="clear" w:color="auto" w:fill="auto"/>
            <w:vAlign w:val="center"/>
          </w:tcPr>
          <w:p w14:paraId="1923BA3A">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每位互助员每周上门1次</w:t>
            </w:r>
          </w:p>
        </w:tc>
      </w:tr>
      <w:tr w14:paraId="184B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35" w:type="pct"/>
            <w:shd w:val="clear" w:color="auto" w:fill="auto"/>
            <w:vAlign w:val="center"/>
          </w:tcPr>
          <w:p w14:paraId="45278B4C">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6</w:t>
            </w:r>
          </w:p>
        </w:tc>
        <w:tc>
          <w:tcPr>
            <w:tcW w:w="633" w:type="pct"/>
            <w:shd w:val="clear" w:color="auto" w:fill="auto"/>
            <w:vAlign w:val="center"/>
          </w:tcPr>
          <w:p w14:paraId="7B7A60E8">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怀柔区</w:t>
            </w:r>
          </w:p>
        </w:tc>
        <w:tc>
          <w:tcPr>
            <w:tcW w:w="1268" w:type="pct"/>
            <w:shd w:val="clear" w:color="auto" w:fill="auto"/>
            <w:vAlign w:val="center"/>
          </w:tcPr>
          <w:p w14:paraId="63F262C8">
            <w:pPr>
              <w:keepNext w:val="0"/>
              <w:keepLines w:val="0"/>
              <w:pageBreakBefore w:val="0"/>
              <w:widowControl/>
              <w:numPr>
                <w:ilvl w:val="-1"/>
                <w:numId w:val="0"/>
              </w:numPr>
              <w:kinsoku/>
              <w:wordWrap/>
              <w:overflowPunct/>
              <w:topLinePunct w:val="0"/>
              <w:autoSpaceDE/>
              <w:autoSpaceDN/>
              <w:bidi w:val="0"/>
              <w:adjustRightInd/>
              <w:snapToGrid/>
              <w:spacing w:line="320" w:lineRule="exact"/>
              <w:ind w:firstLine="0" w:firstLineChars="0"/>
              <w:jc w:val="left"/>
              <w:textAlignment w:val="center"/>
              <w:rPr>
                <w:rFonts w:hint="default" w:eastAsia="宋体" w:cs="Times New Roman"/>
                <w:b w:val="0"/>
                <w:bCs w:val="0"/>
                <w:color w:val="000000"/>
                <w:kern w:val="0"/>
                <w:sz w:val="21"/>
                <w:szCs w:val="21"/>
                <w:highlight w:val="none"/>
                <w:lang w:val="en-US" w:eastAsia="zh-CN" w:bidi="ar"/>
              </w:rPr>
            </w:pPr>
            <w:r>
              <w:rPr>
                <w:rFonts w:hint="default" w:eastAsia="宋体" w:cs="Times New Roman"/>
                <w:b w:val="0"/>
                <w:bCs w:val="0"/>
                <w:color w:val="000000"/>
                <w:kern w:val="0"/>
                <w:sz w:val="21"/>
                <w:szCs w:val="21"/>
                <w:highlight w:val="none"/>
                <w:lang w:val="en-US" w:eastAsia="zh-CN" w:bidi="ar"/>
              </w:rPr>
              <w:t>1.按</w:t>
            </w: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1.38万元的标准拨付至各乡镇</w:t>
            </w:r>
          </w:p>
          <w:p w14:paraId="31EF7028">
            <w:pPr>
              <w:keepNext w:val="0"/>
              <w:keepLines w:val="0"/>
              <w:pageBreakBefore w:val="0"/>
              <w:widowControl/>
              <w:numPr>
                <w:ilvl w:val="-1"/>
                <w:numId w:val="0"/>
              </w:numPr>
              <w:kinsoku/>
              <w:wordWrap/>
              <w:overflowPunct/>
              <w:topLinePunct w:val="0"/>
              <w:autoSpaceDE/>
              <w:autoSpaceDN/>
              <w:bidi w:val="0"/>
              <w:adjustRightInd/>
              <w:snapToGrid/>
              <w:spacing w:line="320" w:lineRule="exact"/>
              <w:ind w:firstLine="0" w:firstLineChars="0"/>
              <w:jc w:val="left"/>
              <w:textAlignment w:val="center"/>
              <w:rPr>
                <w:rFonts w:hint="default" w:eastAsia="宋体" w:cs="Times New Roman"/>
                <w:b w:val="0"/>
                <w:bCs w:val="0"/>
                <w:color w:val="000000"/>
                <w:kern w:val="0"/>
                <w:sz w:val="21"/>
                <w:szCs w:val="21"/>
                <w:highlight w:val="none"/>
                <w:lang w:val="en-US" w:eastAsia="zh-CN" w:bidi="ar"/>
              </w:rPr>
            </w:pPr>
            <w:r>
              <w:rPr>
                <w:rFonts w:hint="default" w:eastAsia="宋体" w:cs="Times New Roman"/>
                <w:b w:val="0"/>
                <w:bCs w:val="0"/>
                <w:color w:val="000000"/>
                <w:kern w:val="0"/>
                <w:sz w:val="21"/>
                <w:szCs w:val="21"/>
                <w:highlight w:val="none"/>
                <w:lang w:val="en-US" w:eastAsia="zh-CN" w:bidi="ar"/>
              </w:rPr>
              <w:t>2.按</w:t>
            </w:r>
            <w:r>
              <w:rPr>
                <w:rFonts w:hint="eastAsia" w:eastAsia="宋体" w:cs="Times New Roman"/>
                <w:b w:val="0"/>
                <w:bCs w:val="0"/>
                <w:color w:val="000000"/>
                <w:kern w:val="0"/>
                <w:sz w:val="21"/>
                <w:szCs w:val="21"/>
                <w:highlight w:val="none"/>
                <w:lang w:val="en-US" w:eastAsia="zh-CN" w:bidi="ar"/>
              </w:rPr>
              <w:t>每个服务点</w:t>
            </w:r>
            <w:r>
              <w:rPr>
                <w:rFonts w:hint="default" w:eastAsia="宋体" w:cs="Times New Roman"/>
                <w:b w:val="0"/>
                <w:bCs w:val="0"/>
                <w:color w:val="000000"/>
                <w:kern w:val="0"/>
                <w:sz w:val="21"/>
                <w:szCs w:val="21"/>
                <w:highlight w:val="none"/>
                <w:lang w:val="en-US" w:eastAsia="zh-CN" w:bidi="ar"/>
              </w:rPr>
              <w:t>0.12万元的标准，该部分资金由</w:t>
            </w:r>
            <w:r>
              <w:rPr>
                <w:rFonts w:hint="eastAsia" w:eastAsia="宋体" w:cs="Times New Roman"/>
                <w:b w:val="0"/>
                <w:bCs w:val="0"/>
                <w:color w:val="000000"/>
                <w:kern w:val="0"/>
                <w:sz w:val="21"/>
                <w:szCs w:val="21"/>
                <w:highlight w:val="none"/>
                <w:lang w:val="en-US" w:eastAsia="zh-CN" w:bidi="ar"/>
              </w:rPr>
              <w:t>区</w:t>
            </w:r>
            <w:r>
              <w:rPr>
                <w:rFonts w:hint="default" w:eastAsia="宋体" w:cs="Times New Roman"/>
                <w:b w:val="0"/>
                <w:bCs w:val="0"/>
                <w:color w:val="000000"/>
                <w:kern w:val="0"/>
                <w:sz w:val="21"/>
                <w:szCs w:val="21"/>
                <w:highlight w:val="none"/>
                <w:lang w:val="en-US" w:eastAsia="zh-CN" w:bidi="ar"/>
              </w:rPr>
              <w:t>级统一调配</w:t>
            </w:r>
          </w:p>
        </w:tc>
        <w:tc>
          <w:tcPr>
            <w:tcW w:w="1374" w:type="pct"/>
            <w:shd w:val="clear" w:color="auto" w:fill="auto"/>
            <w:vAlign w:val="center"/>
          </w:tcPr>
          <w:p w14:paraId="25EC4712">
            <w:pPr>
              <w:keepNext w:val="0"/>
              <w:keepLines w:val="0"/>
              <w:pageBreakBefore w:val="0"/>
              <w:widowControl/>
              <w:numPr>
                <w:ilvl w:val="0"/>
                <w:numId w:val="1"/>
              </w:numPr>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互助管理人员补贴4800元/年；</w:t>
            </w:r>
          </w:p>
          <w:p w14:paraId="4EEB684C">
            <w:pPr>
              <w:keepNext w:val="0"/>
              <w:keepLines w:val="0"/>
              <w:pageBreakBefore w:val="0"/>
              <w:widowControl/>
              <w:numPr>
                <w:ilvl w:val="0"/>
                <w:numId w:val="1"/>
              </w:numPr>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每个服务点时间币兑换物品采购资金5000元/年，互助员通过提供服务积累时间币兑换物品</w:t>
            </w:r>
          </w:p>
        </w:tc>
        <w:tc>
          <w:tcPr>
            <w:tcW w:w="1488" w:type="pct"/>
            <w:shd w:val="clear" w:color="auto" w:fill="auto"/>
            <w:vAlign w:val="center"/>
          </w:tcPr>
          <w:p w14:paraId="35F51F35">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每位互助员每周至少提供1小时或者1次服务</w:t>
            </w:r>
          </w:p>
        </w:tc>
      </w:tr>
    </w:tbl>
    <w:p w14:paraId="5D4ECE86">
      <w:pPr>
        <w:pStyle w:val="4"/>
        <w:bidi w:val="0"/>
        <w:spacing w:before="219" w:beforeLines="50"/>
        <w:rPr>
          <w:rFonts w:hint="default"/>
          <w:highlight w:val="none"/>
        </w:rPr>
      </w:pPr>
      <w:bookmarkStart w:id="21" w:name="_Toc103094545"/>
      <w:r>
        <w:rPr>
          <w:rFonts w:hint="default"/>
          <w:highlight w:val="none"/>
        </w:rPr>
        <w:t>3.资金投入和使用情况</w:t>
      </w:r>
      <w:bookmarkEnd w:id="21"/>
      <w:bookmarkStart w:id="22" w:name="_Toc515586347"/>
    </w:p>
    <w:p w14:paraId="0EB8615B">
      <w:pPr>
        <w:spacing w:line="560" w:lineRule="exact"/>
        <w:ind w:firstLine="640"/>
        <w:rPr>
          <w:highlight w:val="none"/>
        </w:rPr>
      </w:pPr>
      <w:r>
        <w:rPr>
          <w:rFonts w:hint="default" w:ascii="Times New Roman" w:hAnsi="Times New Roman" w:cs="Times New Roman"/>
          <w:bCs/>
          <w:highlight w:val="none"/>
          <w:lang w:val="en-US" w:eastAsia="zh-CN"/>
        </w:rPr>
        <w:t>2024年度</w:t>
      </w:r>
      <w:r>
        <w:rPr>
          <w:rFonts w:hint="eastAsia" w:cs="Times New Roman"/>
          <w:bCs/>
          <w:highlight w:val="none"/>
          <w:lang w:val="en-US" w:eastAsia="zh-CN"/>
        </w:rPr>
        <w:t>项目补助</w:t>
      </w:r>
      <w:r>
        <w:rPr>
          <w:rFonts w:hint="default" w:ascii="Times New Roman" w:hAnsi="Times New Roman" w:cs="Times New Roman"/>
          <w:bCs/>
          <w:highlight w:val="none"/>
          <w:lang w:val="en-US" w:eastAsia="zh-CN"/>
        </w:rPr>
        <w:t>资金总额</w:t>
      </w:r>
      <w:r>
        <w:rPr>
          <w:rFonts w:hint="eastAsia" w:cs="Times New Roman"/>
          <w:bCs/>
          <w:highlight w:val="none"/>
          <w:lang w:val="en-US" w:eastAsia="zh-CN"/>
        </w:rPr>
        <w:t>共</w:t>
      </w:r>
      <w:r>
        <w:rPr>
          <w:rFonts w:hint="default" w:ascii="Times New Roman" w:hAnsi="Times New Roman" w:cs="Times New Roman"/>
          <w:bCs/>
          <w:highlight w:val="none"/>
          <w:lang w:val="en-US" w:eastAsia="zh-CN"/>
        </w:rPr>
        <w:t>1,218.50万元，包含2023年结余资金428万元及2024年</w:t>
      </w:r>
      <w:r>
        <w:rPr>
          <w:rFonts w:hint="eastAsia" w:cs="Times New Roman"/>
          <w:bCs/>
          <w:highlight w:val="none"/>
          <w:lang w:val="en-US" w:eastAsia="zh-CN"/>
        </w:rPr>
        <w:t>补助</w:t>
      </w:r>
      <w:r>
        <w:rPr>
          <w:rFonts w:hint="default" w:ascii="Times New Roman" w:hAnsi="Times New Roman" w:cs="Times New Roman"/>
          <w:bCs/>
          <w:highlight w:val="none"/>
          <w:lang w:val="en-US" w:eastAsia="zh-CN"/>
        </w:rPr>
        <w:t>资金790.5</w:t>
      </w:r>
      <w:r>
        <w:rPr>
          <w:rFonts w:hint="eastAsia" w:cs="Times New Roman"/>
          <w:bCs/>
          <w:highlight w:val="none"/>
          <w:lang w:val="en-US" w:eastAsia="zh-CN"/>
        </w:rPr>
        <w:t>0</w:t>
      </w:r>
      <w:r>
        <w:rPr>
          <w:rFonts w:hint="default" w:ascii="Times New Roman" w:hAnsi="Times New Roman" w:cs="Times New Roman"/>
          <w:bCs/>
          <w:highlight w:val="none"/>
          <w:lang w:val="en-US" w:eastAsia="zh-CN"/>
        </w:rPr>
        <w:t>万元。截至2024年12月底</w:t>
      </w:r>
      <w:r>
        <w:rPr>
          <w:rFonts w:hint="eastAsia" w:cs="Times New Roman"/>
          <w:bCs/>
          <w:highlight w:val="none"/>
          <w:lang w:val="en-US" w:eastAsia="zh-CN"/>
        </w:rPr>
        <w:t>，</w:t>
      </w:r>
      <w:r>
        <w:rPr>
          <w:rFonts w:hint="default" w:ascii="Times New Roman" w:hAnsi="Times New Roman" w:cs="Times New Roman"/>
          <w:bCs/>
          <w:highlight w:val="none"/>
          <w:lang w:val="en-US" w:eastAsia="zh-CN"/>
        </w:rPr>
        <w:t>资金支出</w:t>
      </w:r>
      <w:r>
        <w:rPr>
          <w:rFonts w:hint="eastAsia" w:cs="Times New Roman"/>
          <w:bCs/>
          <w:highlight w:val="none"/>
          <w:lang w:val="en-US" w:eastAsia="zh-CN"/>
        </w:rPr>
        <w:t>1,054.46</w:t>
      </w:r>
      <w:r>
        <w:rPr>
          <w:rFonts w:hint="default" w:ascii="Times New Roman" w:hAnsi="Times New Roman" w:cs="Times New Roman"/>
          <w:bCs/>
          <w:highlight w:val="none"/>
          <w:lang w:val="en-US" w:eastAsia="zh-CN"/>
        </w:rPr>
        <w:t>万元，预算执行率</w:t>
      </w:r>
      <w:r>
        <w:rPr>
          <w:rFonts w:hint="eastAsia" w:cs="Times New Roman"/>
          <w:bCs/>
          <w:highlight w:val="none"/>
          <w:lang w:val="en-US" w:eastAsia="zh-CN"/>
        </w:rPr>
        <w:t>为86.54</w:t>
      </w:r>
      <w:r>
        <w:rPr>
          <w:rFonts w:hint="default" w:ascii="Times New Roman" w:hAnsi="Times New Roman" w:cs="Times New Roman"/>
          <w:bCs/>
          <w:highlight w:val="none"/>
          <w:lang w:val="en-US" w:eastAsia="zh-CN"/>
        </w:rPr>
        <w:t>%。</w:t>
      </w:r>
      <w:r>
        <w:rPr>
          <w:rFonts w:hint="eastAsia" w:ascii="Times New Roman Regular" w:hAnsi="Times New Roman Regular" w:cs="Times New Roman Regular"/>
          <w:bCs/>
          <w:highlight w:val="none"/>
          <w:lang w:eastAsia="zh-Hans"/>
        </w:rPr>
        <w:t>资金</w:t>
      </w:r>
      <w:r>
        <w:rPr>
          <w:rFonts w:hint="eastAsia" w:ascii="Times New Roman Regular" w:hAnsi="Times New Roman Regular" w:cs="Times New Roman Regular"/>
          <w:bCs/>
          <w:highlight w:val="none"/>
          <w:lang w:val="en-US" w:eastAsia="zh-CN"/>
        </w:rPr>
        <w:t>投入和使用情况如下表所示：</w:t>
      </w:r>
    </w:p>
    <w:p w14:paraId="4555429B">
      <w:pPr>
        <w:keepNext/>
        <w:topLinePunct/>
        <w:adjustRightInd w:val="0"/>
        <w:snapToGrid w:val="0"/>
        <w:spacing w:before="0" w:beforeLines="0" w:after="0" w:afterLines="0" w:line="560" w:lineRule="exact"/>
        <w:ind w:firstLine="0" w:firstLineChars="0"/>
        <w:jc w:val="center"/>
        <w:rPr>
          <w:rFonts w:hint="default" w:eastAsia="黑体" w:cs="Times New Roman"/>
          <w:sz w:val="24"/>
          <w:szCs w:val="24"/>
          <w:highlight w:val="none"/>
          <w:lang w:val="en-US" w:eastAsia="zh-CN"/>
        </w:rPr>
      </w:pPr>
      <w:r>
        <w:rPr>
          <w:rFonts w:eastAsia="黑体" w:cs="Times New Roman"/>
          <w:sz w:val="24"/>
          <w:szCs w:val="24"/>
          <w:highlight w:val="none"/>
        </w:rPr>
        <w:t>表</w:t>
      </w:r>
      <w:r>
        <w:rPr>
          <w:rFonts w:hint="eastAsia" w:eastAsia="黑体" w:cs="Times New Roman"/>
          <w:sz w:val="24"/>
          <w:szCs w:val="24"/>
          <w:highlight w:val="none"/>
          <w:lang w:val="en-US" w:eastAsia="zh-CN"/>
        </w:rPr>
        <w:t>3</w:t>
      </w:r>
      <w:r>
        <w:rPr>
          <w:rFonts w:eastAsia="黑体" w:cs="Times New Roman"/>
          <w:sz w:val="24"/>
          <w:szCs w:val="24"/>
          <w:highlight w:val="none"/>
        </w:rPr>
        <w:t xml:space="preserve"> 202</w:t>
      </w:r>
      <w:r>
        <w:rPr>
          <w:rFonts w:hint="eastAsia" w:eastAsia="黑体" w:cs="Times New Roman"/>
          <w:sz w:val="24"/>
          <w:szCs w:val="24"/>
          <w:highlight w:val="none"/>
          <w:lang w:val="en-US" w:eastAsia="zh-CN"/>
        </w:rPr>
        <w:t>4</w:t>
      </w:r>
      <w:r>
        <w:rPr>
          <w:rFonts w:hint="eastAsia" w:eastAsia="黑体" w:cs="Times New Roman"/>
          <w:sz w:val="24"/>
          <w:szCs w:val="24"/>
          <w:highlight w:val="none"/>
        </w:rPr>
        <w:t>年</w:t>
      </w:r>
      <w:r>
        <w:rPr>
          <w:rFonts w:hint="eastAsia" w:eastAsia="黑体" w:cs="Times New Roman"/>
          <w:sz w:val="24"/>
          <w:szCs w:val="24"/>
          <w:highlight w:val="none"/>
          <w:lang w:val="en-US" w:eastAsia="zh-CN"/>
        </w:rPr>
        <w:t>各区资金到位、支出情况表</w:t>
      </w:r>
    </w:p>
    <w:p w14:paraId="5002D096">
      <w:pPr>
        <w:keepNext/>
        <w:topLinePunct/>
        <w:adjustRightInd w:val="0"/>
        <w:snapToGrid w:val="0"/>
        <w:spacing w:after="217" w:afterLines="50" w:line="560" w:lineRule="exact"/>
        <w:ind w:firstLine="0" w:firstLineChars="0"/>
        <w:jc w:val="right"/>
        <w:rPr>
          <w:rFonts w:eastAsia="黑体" w:cs="Times New Roman"/>
          <w:sz w:val="24"/>
          <w:szCs w:val="24"/>
          <w:highlight w:val="none"/>
          <w:lang w:eastAsia="zh-Hans"/>
        </w:rPr>
      </w:pPr>
      <w:r>
        <w:rPr>
          <w:rFonts w:hint="eastAsia" w:eastAsia="黑体" w:cs="Times New Roman"/>
          <w:sz w:val="24"/>
          <w:szCs w:val="24"/>
          <w:highlight w:val="none"/>
          <w:lang w:eastAsia="zh-Hans"/>
        </w:rPr>
        <w:t>单位</w:t>
      </w:r>
      <w:r>
        <w:rPr>
          <w:rFonts w:eastAsia="黑体" w:cs="Times New Roman"/>
          <w:sz w:val="24"/>
          <w:szCs w:val="24"/>
          <w:highlight w:val="none"/>
          <w:lang w:eastAsia="zh-Hans"/>
        </w:rPr>
        <w:t>：</w:t>
      </w:r>
      <w:r>
        <w:rPr>
          <w:rFonts w:hint="eastAsia" w:eastAsia="黑体" w:cs="Times New Roman"/>
          <w:sz w:val="24"/>
          <w:szCs w:val="24"/>
          <w:highlight w:val="none"/>
          <w:lang w:eastAsia="zh-Hans"/>
        </w:rPr>
        <w:t>万元</w:t>
      </w:r>
    </w:p>
    <w:tbl>
      <w:tblPr>
        <w:tblStyle w:val="22"/>
        <w:tblW w:w="510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1"/>
        <w:gridCol w:w="1270"/>
        <w:gridCol w:w="1721"/>
        <w:gridCol w:w="1624"/>
        <w:gridCol w:w="1115"/>
        <w:gridCol w:w="1446"/>
        <w:gridCol w:w="1439"/>
      </w:tblGrid>
      <w:tr w14:paraId="7EB72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blHeader/>
        </w:trPr>
        <w:tc>
          <w:tcPr>
            <w:tcW w:w="341"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A72D0B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686"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679B49F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eastAsia="宋体" w:cs="Times New Roman"/>
                <w:b/>
                <w:bCs/>
                <w:i w:val="0"/>
                <w:iCs w:val="0"/>
                <w:color w:val="000000"/>
                <w:kern w:val="0"/>
                <w:sz w:val="21"/>
                <w:szCs w:val="21"/>
                <w:highlight w:val="none"/>
                <w:u w:val="none"/>
                <w:lang w:val="en-US" w:eastAsia="zh-CN" w:bidi="ar"/>
              </w:rPr>
              <w:t>行政区划</w:t>
            </w:r>
          </w:p>
        </w:tc>
        <w:tc>
          <w:tcPr>
            <w:tcW w:w="930"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E648F3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计划到位资金</w:t>
            </w:r>
          </w:p>
        </w:tc>
        <w:tc>
          <w:tcPr>
            <w:tcW w:w="877"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0E8AB0C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实际到位资金</w:t>
            </w: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2EDA7011">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支出资金</w:t>
            </w:r>
          </w:p>
        </w:tc>
        <w:tc>
          <w:tcPr>
            <w:tcW w:w="782"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575A5F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资金到位率</w:t>
            </w:r>
          </w:p>
        </w:tc>
        <w:tc>
          <w:tcPr>
            <w:tcW w:w="778"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2BAFF21A">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预算执行率</w:t>
            </w:r>
          </w:p>
        </w:tc>
      </w:tr>
      <w:tr w14:paraId="76AB4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7614609">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686"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033D8573">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930"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5D7C419">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877"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64886C13">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4A5B273">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782"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722B035">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778"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089C855">
            <w:pPr>
              <w:spacing w:line="340" w:lineRule="exact"/>
              <w:jc w:val="center"/>
              <w:rPr>
                <w:rFonts w:hint="default" w:ascii="Times New Roman" w:hAnsi="Times New Roman" w:eastAsia="宋体" w:cs="Times New Roman"/>
                <w:i w:val="0"/>
                <w:iCs w:val="0"/>
                <w:color w:val="000000"/>
                <w:sz w:val="21"/>
                <w:szCs w:val="21"/>
                <w:highlight w:val="none"/>
                <w:u w:val="none"/>
              </w:rPr>
            </w:pPr>
          </w:p>
        </w:tc>
      </w:tr>
      <w:tr w14:paraId="40903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6EAC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5480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EC03E">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529.50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291F">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529.50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E3D3">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529.50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DDCA">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8E0DA">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r>
      <w:tr w14:paraId="2EB47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A98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B071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05D04">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116.00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31CC9">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116.00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47FF">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84.88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8E42B">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2DDD">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73.17%</w:t>
            </w:r>
          </w:p>
        </w:tc>
      </w:tr>
      <w:tr w14:paraId="53B04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959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F79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19F49">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202.50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7202D">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101.25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5C6EF">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91.00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92A85">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B9C33">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44.94%</w:t>
            </w:r>
          </w:p>
        </w:tc>
      </w:tr>
      <w:tr w14:paraId="7C4C9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2BB6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8416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5E18">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52.50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34E22">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52.50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7380">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42.13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2F91">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D6B07">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80.24%</w:t>
            </w:r>
          </w:p>
        </w:tc>
      </w:tr>
      <w:tr w14:paraId="4BD0B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BEF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245E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3DB3">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145.50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D99D">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145.50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314A">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145.50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5473">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341A7">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r>
      <w:tr w14:paraId="6304E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F57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0D3B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9B470">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172.50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EC5F0">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172.50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E362">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161.46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5CFF">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100.00%</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14A6">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93.60%</w:t>
            </w:r>
          </w:p>
        </w:tc>
      </w:tr>
      <w:tr w14:paraId="3313C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2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1B73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合计</w:t>
            </w:r>
          </w:p>
        </w:tc>
        <w:tc>
          <w:tcPr>
            <w:tcW w:w="9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F0755">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1,218.50 </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07C38">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1,117.25 </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7E0A6">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1,054.46 </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1789">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91.69%</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0DDE0">
            <w:pPr>
              <w:keepNext w:val="0"/>
              <w:keepLines w:val="0"/>
              <w:widowControl/>
              <w:suppressLineNumbers w:val="0"/>
              <w:spacing w:line="340" w:lineRule="exact"/>
              <w:ind w:firstLine="0" w:firstLineChars="0"/>
              <w:jc w:val="righ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86.54%</w:t>
            </w:r>
          </w:p>
        </w:tc>
      </w:tr>
    </w:tbl>
    <w:p w14:paraId="1B1CC30C">
      <w:pPr>
        <w:pStyle w:val="3"/>
        <w:bidi w:val="0"/>
        <w:spacing w:before="219" w:beforeLines="50"/>
        <w:rPr>
          <w:rFonts w:hint="default"/>
          <w:highlight w:val="none"/>
        </w:rPr>
      </w:pPr>
      <w:bookmarkStart w:id="23" w:name="_Toc1626104804"/>
      <w:bookmarkStart w:id="24" w:name="_Toc1609725349"/>
      <w:bookmarkStart w:id="25" w:name="_Toc103096313"/>
      <w:bookmarkStart w:id="26" w:name="_Toc25634"/>
      <w:bookmarkStart w:id="27" w:name="_Toc103094546"/>
      <w:r>
        <w:rPr>
          <w:rFonts w:hint="default"/>
          <w:highlight w:val="none"/>
        </w:rPr>
        <w:t>（二）项目绩效目标</w:t>
      </w:r>
      <w:bookmarkEnd w:id="22"/>
      <w:bookmarkEnd w:id="23"/>
      <w:bookmarkEnd w:id="24"/>
      <w:bookmarkEnd w:id="25"/>
      <w:bookmarkEnd w:id="26"/>
      <w:bookmarkEnd w:id="27"/>
    </w:p>
    <w:p w14:paraId="21734E13">
      <w:pPr>
        <w:pStyle w:val="4"/>
        <w:bidi w:val="0"/>
        <w:spacing w:line="560" w:lineRule="exact"/>
        <w:rPr>
          <w:rFonts w:hint="default"/>
          <w:highlight w:val="none"/>
        </w:rPr>
      </w:pPr>
      <w:bookmarkStart w:id="28" w:name="_Toc103094547"/>
      <w:bookmarkStart w:id="29" w:name="_Toc26850"/>
      <w:bookmarkStart w:id="30" w:name="_Toc515586348"/>
      <w:bookmarkStart w:id="31" w:name="_Toc169183188"/>
      <w:r>
        <w:rPr>
          <w:rFonts w:hint="default"/>
          <w:highlight w:val="none"/>
        </w:rPr>
        <w:t>1.总体目标</w:t>
      </w:r>
      <w:bookmarkEnd w:id="28"/>
    </w:p>
    <w:p w14:paraId="199785F0">
      <w:pPr>
        <w:spacing w:line="560" w:lineRule="exact"/>
        <w:ind w:firstLine="640"/>
        <w:rPr>
          <w:rFonts w:hint="default" w:ascii="Times New Roman" w:hAnsi="Times New Roman" w:eastAsia="仿宋" w:cs="Times New Roman"/>
          <w:bCs/>
          <w:highlight w:val="none"/>
          <w:lang w:eastAsia="zh-CN"/>
        </w:rPr>
      </w:pPr>
      <w:bookmarkStart w:id="32" w:name="_Toc103094548"/>
      <w:r>
        <w:rPr>
          <w:rFonts w:hint="default" w:ascii="Times New Roman" w:hAnsi="Times New Roman" w:cs="Times New Roman"/>
          <w:bCs/>
          <w:highlight w:val="none"/>
          <w:lang w:eastAsia="zh-Hans"/>
        </w:rPr>
        <w:t>改善基础养老服务薄弱环节，健全完善就近精准养老服务体系</w:t>
      </w:r>
      <w:r>
        <w:rPr>
          <w:rFonts w:hint="default" w:ascii="Times New Roman" w:hAnsi="Times New Roman" w:cs="Times New Roman"/>
          <w:bCs/>
          <w:highlight w:val="none"/>
          <w:lang w:eastAsia="zh-CN"/>
        </w:rPr>
        <w:t>。</w:t>
      </w:r>
    </w:p>
    <w:p w14:paraId="661C0196">
      <w:pPr>
        <w:pStyle w:val="4"/>
        <w:bidi w:val="0"/>
        <w:spacing w:line="560" w:lineRule="exact"/>
        <w:rPr>
          <w:rFonts w:hint="default"/>
          <w:highlight w:val="none"/>
        </w:rPr>
      </w:pPr>
      <w:r>
        <w:rPr>
          <w:rFonts w:hint="default"/>
          <w:highlight w:val="none"/>
        </w:rPr>
        <w:t>2.绩效指标</w:t>
      </w:r>
      <w:bookmarkEnd w:id="32"/>
    </w:p>
    <w:p w14:paraId="11F7F5AA">
      <w:pPr>
        <w:keepNext/>
        <w:keepLines w:val="0"/>
        <w:pageBreakBefore w:val="0"/>
        <w:widowControl w:val="0"/>
        <w:kinsoku/>
        <w:wordWrap/>
        <w:overflowPunct/>
        <w:topLinePunct/>
        <w:autoSpaceDE/>
        <w:autoSpaceDN/>
        <w:bidi w:val="0"/>
        <w:adjustRightInd w:val="0"/>
        <w:snapToGrid w:val="0"/>
        <w:spacing w:line="560" w:lineRule="exact"/>
        <w:ind w:firstLine="640" w:firstLineChars="200"/>
        <w:jc w:val="left"/>
        <w:textAlignment w:val="auto"/>
        <w:rPr>
          <w:rFonts w:hint="eastAsia" w:ascii="Times New Roman Regular" w:hAnsi="Times New Roman Regular" w:cs="Times New Roman Regular"/>
          <w:bCs/>
          <w:highlight w:val="none"/>
          <w:lang w:eastAsia="zh-Hans"/>
        </w:rPr>
      </w:pPr>
      <w:r>
        <w:rPr>
          <w:rFonts w:hint="eastAsia" w:ascii="Times New Roman Regular" w:hAnsi="Times New Roman Regular" w:cs="Times New Roman Regular"/>
          <w:bCs/>
          <w:highlight w:val="none"/>
          <w:lang w:eastAsia="zh-Hans"/>
        </w:rPr>
        <w:t>项目</w:t>
      </w:r>
      <w:r>
        <w:rPr>
          <w:rFonts w:hint="eastAsia" w:ascii="Times New Roman Regular" w:hAnsi="Times New Roman Regular" w:cs="Times New Roman Regular"/>
          <w:bCs/>
          <w:highlight w:val="none"/>
          <w:lang w:val="en-US" w:eastAsia="zh-CN"/>
        </w:rPr>
        <w:t>根据</w:t>
      </w:r>
      <w:r>
        <w:rPr>
          <w:rFonts w:hint="eastAsia" w:ascii="Times New Roman Regular" w:hAnsi="Times New Roman Regular" w:cs="Times New Roman Regular"/>
          <w:bCs/>
          <w:highlight w:val="none"/>
          <w:lang w:eastAsia="zh-Hans"/>
        </w:rPr>
        <w:t>年度总体目标</w:t>
      </w:r>
      <w:r>
        <w:rPr>
          <w:rFonts w:ascii="Times New Roman Regular" w:hAnsi="Times New Roman Regular" w:cs="Times New Roman Regular"/>
          <w:bCs/>
          <w:highlight w:val="none"/>
          <w:lang w:eastAsia="zh-Hans"/>
        </w:rPr>
        <w:t>，</w:t>
      </w:r>
      <w:r>
        <w:rPr>
          <w:rFonts w:hint="eastAsia" w:ascii="Times New Roman Regular" w:hAnsi="Times New Roman Regular" w:cs="Times New Roman Regular"/>
          <w:bCs/>
          <w:highlight w:val="none"/>
          <w:lang w:eastAsia="zh-Hans"/>
        </w:rPr>
        <w:t>分别细化了产出</w:t>
      </w:r>
      <w:r>
        <w:rPr>
          <w:rFonts w:hint="eastAsia" w:ascii="Times New Roman Regular" w:hAnsi="Times New Roman Regular" w:cs="Times New Roman Regular"/>
          <w:bCs/>
          <w:highlight w:val="none"/>
          <w:lang w:val="en-US" w:eastAsia="zh-CN"/>
        </w:rPr>
        <w:t>指标、</w:t>
      </w:r>
      <w:r>
        <w:rPr>
          <w:rFonts w:hint="eastAsia" w:ascii="Times New Roman Regular" w:hAnsi="Times New Roman Regular" w:cs="Times New Roman Regular"/>
          <w:bCs/>
          <w:highlight w:val="none"/>
          <w:lang w:eastAsia="zh-Hans"/>
        </w:rPr>
        <w:t>效益指标</w:t>
      </w:r>
      <w:r>
        <w:rPr>
          <w:rFonts w:hint="eastAsia" w:ascii="Times New Roman Regular" w:hAnsi="Times New Roman Regular" w:cs="Times New Roman Regular"/>
          <w:bCs/>
          <w:highlight w:val="none"/>
          <w:lang w:val="en-US" w:eastAsia="zh-CN"/>
        </w:rPr>
        <w:t>和满意度指标</w:t>
      </w:r>
      <w:r>
        <w:rPr>
          <w:rFonts w:hint="eastAsia" w:ascii="Times New Roman Regular" w:hAnsi="Times New Roman Regular" w:cs="Times New Roman Regular"/>
          <w:bCs/>
          <w:highlight w:val="none"/>
          <w:lang w:eastAsia="zh-Hans"/>
        </w:rPr>
        <w:t>。具体项目绩效指标设定情况如</w:t>
      </w:r>
      <w:r>
        <w:rPr>
          <w:rFonts w:hint="eastAsia" w:ascii="Times New Roman Regular" w:hAnsi="Times New Roman Regular" w:cs="Times New Roman Regular"/>
          <w:bCs/>
          <w:highlight w:val="none"/>
          <w:lang w:val="en-US" w:eastAsia="zh-CN"/>
        </w:rPr>
        <w:t>下表所示</w:t>
      </w:r>
      <w:r>
        <w:rPr>
          <w:rFonts w:hint="eastAsia" w:ascii="Times New Roman Regular" w:hAnsi="Times New Roman Regular" w:cs="Times New Roman Regular"/>
          <w:bCs/>
          <w:highlight w:val="none"/>
          <w:lang w:eastAsia="zh-Hans"/>
        </w:rPr>
        <w:t>：</w:t>
      </w:r>
    </w:p>
    <w:p w14:paraId="7AAA50F4">
      <w:pPr>
        <w:keepNext/>
        <w:topLinePunct/>
        <w:adjustRightInd w:val="0"/>
        <w:snapToGrid w:val="0"/>
        <w:spacing w:after="217" w:afterLines="50" w:line="560" w:lineRule="exact"/>
        <w:ind w:firstLine="0" w:firstLineChars="0"/>
        <w:jc w:val="center"/>
        <w:rPr>
          <w:rFonts w:hint="default" w:eastAsia="黑体" w:cs="Times New Roman"/>
          <w:sz w:val="28"/>
          <w:szCs w:val="28"/>
          <w:highlight w:val="none"/>
          <w:lang w:val="en-US" w:eastAsia="zh-CN"/>
        </w:rPr>
      </w:pPr>
      <w:r>
        <w:rPr>
          <w:rFonts w:ascii="Times New Roman" w:hAnsi="Times New Roman" w:eastAsia="黑体" w:cs="Times New Roman"/>
          <w:sz w:val="24"/>
          <w:szCs w:val="24"/>
          <w:highlight w:val="none"/>
        </w:rPr>
        <w:t>表</w:t>
      </w:r>
      <w:r>
        <w:rPr>
          <w:rFonts w:hint="default" w:ascii="Times New Roman" w:hAnsi="Times New Roman" w:eastAsia="黑体" w:cs="Times New Roman"/>
          <w:sz w:val="24"/>
          <w:szCs w:val="24"/>
          <w:highlight w:val="none"/>
          <w:lang w:val="en-US" w:eastAsia="zh-CN"/>
        </w:rPr>
        <w:t>4</w:t>
      </w:r>
      <w:r>
        <w:rPr>
          <w:rFonts w:ascii="Times New Roman" w:hAnsi="Times New Roman" w:eastAsia="黑体" w:cs="Times New Roman"/>
          <w:sz w:val="24"/>
          <w:szCs w:val="24"/>
          <w:highlight w:val="none"/>
        </w:rPr>
        <w:t xml:space="preserve"> </w:t>
      </w:r>
      <w:r>
        <w:rPr>
          <w:rFonts w:hint="default" w:ascii="Times New Roman" w:hAnsi="Times New Roman" w:eastAsia="黑体" w:cs="Times New Roman"/>
          <w:sz w:val="24"/>
          <w:szCs w:val="24"/>
          <w:highlight w:val="none"/>
          <w:lang w:val="en-US" w:eastAsia="zh-CN"/>
        </w:rPr>
        <w:t>市级绩效目标表</w:t>
      </w:r>
    </w:p>
    <w:tbl>
      <w:tblPr>
        <w:tblStyle w:val="22"/>
        <w:tblW w:w="4997" w:type="pct"/>
        <w:tblInd w:w="0" w:type="dxa"/>
        <w:tblLayout w:type="autofit"/>
        <w:tblCellMar>
          <w:top w:w="0" w:type="dxa"/>
          <w:left w:w="108" w:type="dxa"/>
          <w:bottom w:w="0" w:type="dxa"/>
          <w:right w:w="108" w:type="dxa"/>
        </w:tblCellMar>
      </w:tblPr>
      <w:tblGrid>
        <w:gridCol w:w="955"/>
        <w:gridCol w:w="1638"/>
        <w:gridCol w:w="4091"/>
        <w:gridCol w:w="2372"/>
      </w:tblGrid>
      <w:tr w14:paraId="14095E09">
        <w:tblPrEx>
          <w:tblCellMar>
            <w:top w:w="0" w:type="dxa"/>
            <w:left w:w="108" w:type="dxa"/>
            <w:bottom w:w="0" w:type="dxa"/>
            <w:right w:w="108" w:type="dxa"/>
          </w:tblCellMar>
        </w:tblPrEx>
        <w:trPr>
          <w:trHeight w:val="90" w:hRule="atLeast"/>
          <w:tblHeader/>
        </w:trPr>
        <w:tc>
          <w:tcPr>
            <w:tcW w:w="527" w:type="pct"/>
            <w:tcBorders>
              <w:top w:val="single" w:color="000000" w:sz="4" w:space="0"/>
              <w:left w:val="single" w:color="000000" w:sz="4" w:space="0"/>
              <w:bottom w:val="single" w:color="auto" w:sz="4" w:space="0"/>
              <w:right w:val="single" w:color="000000" w:sz="4" w:space="0"/>
            </w:tcBorders>
            <w:shd w:val="clear" w:color="auto" w:fill="BEBEBE" w:themeFill="background1" w:themeFillShade="BF"/>
            <w:vAlign w:val="center"/>
          </w:tcPr>
          <w:p w14:paraId="7CA563E9">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一级</w:t>
            </w:r>
          </w:p>
          <w:p w14:paraId="3AED473B">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指标</w:t>
            </w:r>
          </w:p>
        </w:tc>
        <w:tc>
          <w:tcPr>
            <w:tcW w:w="904" w:type="pct"/>
            <w:tcBorders>
              <w:top w:val="single" w:color="000000" w:sz="4" w:space="0"/>
              <w:left w:val="single" w:color="000000" w:sz="4" w:space="0"/>
              <w:bottom w:val="single" w:color="auto" w:sz="4" w:space="0"/>
              <w:right w:val="single" w:color="000000" w:sz="4" w:space="0"/>
            </w:tcBorders>
            <w:shd w:val="clear" w:color="auto" w:fill="BEBEBE" w:themeFill="background1" w:themeFillShade="BF"/>
            <w:vAlign w:val="center"/>
          </w:tcPr>
          <w:p w14:paraId="45AEBDF3">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二级指标</w:t>
            </w:r>
          </w:p>
        </w:tc>
        <w:tc>
          <w:tcPr>
            <w:tcW w:w="2258" w:type="pct"/>
            <w:tcBorders>
              <w:top w:val="single" w:color="000000" w:sz="4" w:space="0"/>
              <w:left w:val="single" w:color="000000" w:sz="4" w:space="0"/>
              <w:bottom w:val="single" w:color="auto" w:sz="4" w:space="0"/>
              <w:right w:val="single" w:color="000000" w:sz="4" w:space="0"/>
            </w:tcBorders>
            <w:shd w:val="clear" w:color="auto" w:fill="BEBEBE" w:themeFill="background1" w:themeFillShade="BF"/>
            <w:vAlign w:val="center"/>
          </w:tcPr>
          <w:p w14:paraId="41DDE41B">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三级指标</w:t>
            </w:r>
          </w:p>
        </w:tc>
        <w:tc>
          <w:tcPr>
            <w:tcW w:w="1309" w:type="pct"/>
            <w:tcBorders>
              <w:top w:val="single" w:color="000000" w:sz="4" w:space="0"/>
              <w:left w:val="single" w:color="000000" w:sz="4" w:space="0"/>
              <w:bottom w:val="single" w:color="auto" w:sz="4" w:space="0"/>
              <w:right w:val="single" w:color="000000" w:sz="4" w:space="0"/>
            </w:tcBorders>
            <w:shd w:val="clear" w:color="auto" w:fill="BEBEBE" w:themeFill="background1" w:themeFillShade="BF"/>
            <w:vAlign w:val="center"/>
          </w:tcPr>
          <w:p w14:paraId="224A11E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bCs/>
                <w:color w:val="000000"/>
                <w:kern w:val="0"/>
                <w:sz w:val="21"/>
                <w:szCs w:val="21"/>
                <w:highlight w:val="none"/>
                <w:lang w:val="en-US" w:eastAsia="zh-CN" w:bidi="ar"/>
              </w:rPr>
            </w:pPr>
            <w:r>
              <w:rPr>
                <w:rFonts w:hint="default" w:ascii="Times New Roman" w:hAnsi="Times New Roman" w:eastAsia="宋体" w:cs="Times New Roman"/>
                <w:b/>
                <w:bCs/>
                <w:color w:val="000000"/>
                <w:kern w:val="0"/>
                <w:sz w:val="21"/>
                <w:szCs w:val="21"/>
                <w:highlight w:val="none"/>
                <w:lang w:val="en-US" w:eastAsia="zh-CN" w:bidi="ar"/>
              </w:rPr>
              <w:t>指标值</w:t>
            </w:r>
          </w:p>
        </w:tc>
      </w:tr>
      <w:tr w14:paraId="32BED69D">
        <w:tblPrEx>
          <w:tblCellMar>
            <w:top w:w="0" w:type="dxa"/>
            <w:left w:w="108" w:type="dxa"/>
            <w:bottom w:w="0" w:type="dxa"/>
            <w:right w:w="108" w:type="dxa"/>
          </w:tblCellMar>
        </w:tblPrEx>
        <w:trPr>
          <w:trHeight w:val="454" w:hRule="atLeast"/>
        </w:trPr>
        <w:tc>
          <w:tcPr>
            <w:tcW w:w="5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7EE339">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产</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出</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指</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标</w:t>
            </w:r>
          </w:p>
        </w:tc>
        <w:tc>
          <w:tcPr>
            <w:tcW w:w="904" w:type="pct"/>
            <w:tcBorders>
              <w:top w:val="single" w:color="auto" w:sz="4" w:space="0"/>
              <w:left w:val="single" w:color="auto" w:sz="4" w:space="0"/>
              <w:bottom w:val="single" w:color="auto" w:sz="4" w:space="0"/>
              <w:right w:val="single" w:color="000000" w:sz="4" w:space="0"/>
            </w:tcBorders>
            <w:shd w:val="clear" w:color="auto" w:fill="auto"/>
            <w:vAlign w:val="center"/>
          </w:tcPr>
          <w:p w14:paraId="048CEBF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数量指标</w:t>
            </w:r>
          </w:p>
        </w:tc>
        <w:tc>
          <w:tcPr>
            <w:tcW w:w="2258" w:type="pct"/>
            <w:tcBorders>
              <w:top w:val="single" w:color="auto" w:sz="4" w:space="0"/>
              <w:left w:val="single" w:color="000000" w:sz="4" w:space="0"/>
              <w:bottom w:val="single" w:color="auto" w:sz="4" w:space="0"/>
              <w:right w:val="single" w:color="000000" w:sz="4" w:space="0"/>
            </w:tcBorders>
            <w:shd w:val="clear" w:color="auto" w:fill="auto"/>
            <w:vAlign w:val="center"/>
          </w:tcPr>
          <w:p w14:paraId="2A5A912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农村邻里互助养老服务点</w:t>
            </w:r>
          </w:p>
        </w:tc>
        <w:tc>
          <w:tcPr>
            <w:tcW w:w="1309" w:type="pct"/>
            <w:tcBorders>
              <w:top w:val="single" w:color="auto" w:sz="4" w:space="0"/>
              <w:left w:val="single" w:color="000000" w:sz="4" w:space="0"/>
              <w:bottom w:val="single" w:color="auto" w:sz="4" w:space="0"/>
              <w:right w:val="single" w:color="auto" w:sz="4" w:space="0"/>
            </w:tcBorders>
            <w:shd w:val="clear" w:color="auto" w:fill="auto"/>
            <w:vAlign w:val="center"/>
          </w:tcPr>
          <w:p w14:paraId="2B8B7AE0">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≥240个</w:t>
            </w:r>
          </w:p>
        </w:tc>
      </w:tr>
      <w:tr w14:paraId="20BBC1EE">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D94C6C">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tcBorders>
              <w:top w:val="single" w:color="auto" w:sz="4" w:space="0"/>
              <w:left w:val="single" w:color="auto" w:sz="4" w:space="0"/>
              <w:bottom w:val="single" w:color="000000" w:sz="4" w:space="0"/>
              <w:right w:val="single" w:color="000000" w:sz="4" w:space="0"/>
            </w:tcBorders>
            <w:shd w:val="clear" w:color="auto" w:fill="auto"/>
            <w:vAlign w:val="center"/>
          </w:tcPr>
          <w:p w14:paraId="6ED3BF7C">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质量指标</w:t>
            </w:r>
          </w:p>
        </w:tc>
        <w:tc>
          <w:tcPr>
            <w:tcW w:w="2258" w:type="pct"/>
            <w:tcBorders>
              <w:top w:val="single" w:color="auto" w:sz="4" w:space="0"/>
              <w:left w:val="single" w:color="000000" w:sz="4" w:space="0"/>
              <w:bottom w:val="single" w:color="000000" w:sz="4" w:space="0"/>
              <w:right w:val="single" w:color="000000" w:sz="4" w:space="0"/>
            </w:tcBorders>
            <w:shd w:val="clear" w:color="auto" w:fill="auto"/>
            <w:vAlign w:val="center"/>
          </w:tcPr>
          <w:p w14:paraId="289015FA">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按规定张贴宣传标识覆盖率</w:t>
            </w:r>
          </w:p>
        </w:tc>
        <w:tc>
          <w:tcPr>
            <w:tcW w:w="1309" w:type="pct"/>
            <w:tcBorders>
              <w:top w:val="single" w:color="auto" w:sz="4" w:space="0"/>
              <w:left w:val="single" w:color="000000" w:sz="4" w:space="0"/>
              <w:bottom w:val="single" w:color="000000" w:sz="4" w:space="0"/>
              <w:right w:val="single" w:color="000000" w:sz="4" w:space="0"/>
            </w:tcBorders>
            <w:shd w:val="clear" w:color="auto" w:fill="auto"/>
            <w:vAlign w:val="center"/>
          </w:tcPr>
          <w:p w14:paraId="3C4C3C6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=100%</w:t>
            </w:r>
          </w:p>
        </w:tc>
      </w:tr>
      <w:tr w14:paraId="213042D2">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F97BB5">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tcBorders>
              <w:top w:val="single" w:color="000000" w:sz="4" w:space="0"/>
              <w:left w:val="single" w:color="auto" w:sz="4" w:space="0"/>
              <w:bottom w:val="single" w:color="000000" w:sz="4" w:space="0"/>
              <w:right w:val="single" w:color="000000" w:sz="4" w:space="0"/>
            </w:tcBorders>
            <w:shd w:val="clear" w:color="auto" w:fill="auto"/>
            <w:vAlign w:val="center"/>
          </w:tcPr>
          <w:p w14:paraId="012AC279">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时效指标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39EB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2024年11月底前完成</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A1BAA">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=100%</w:t>
            </w:r>
          </w:p>
        </w:tc>
      </w:tr>
      <w:tr w14:paraId="21CF6D90">
        <w:tblPrEx>
          <w:tblCellMar>
            <w:top w:w="0" w:type="dxa"/>
            <w:left w:w="108" w:type="dxa"/>
            <w:bottom w:w="0" w:type="dxa"/>
            <w:right w:w="108" w:type="dxa"/>
          </w:tblCellMar>
        </w:tblPrEx>
        <w:trPr>
          <w:trHeight w:val="454" w:hRule="atLeast"/>
        </w:trPr>
        <w:tc>
          <w:tcPr>
            <w:tcW w:w="527"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F8AF54C">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效</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果</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指</w:t>
            </w:r>
            <w:r>
              <w:rPr>
                <w:rFonts w:hint="default" w:ascii="Times New Roman" w:hAnsi="Times New Roman" w:eastAsia="宋体" w:cs="Times New Roman"/>
                <w:b w:val="0"/>
                <w:bCs w:val="0"/>
                <w:color w:val="000000"/>
                <w:kern w:val="0"/>
                <w:sz w:val="21"/>
                <w:szCs w:val="21"/>
                <w:highlight w:val="none"/>
                <w:lang w:val="en-US" w:eastAsia="zh-CN" w:bidi="ar"/>
              </w:rPr>
              <w:br w:type="textWrapping"/>
            </w:r>
            <w:r>
              <w:rPr>
                <w:rFonts w:hint="default" w:ascii="Times New Roman" w:hAnsi="Times New Roman" w:eastAsia="宋体" w:cs="Times New Roman"/>
                <w:b w:val="0"/>
                <w:bCs w:val="0"/>
                <w:color w:val="000000"/>
                <w:kern w:val="0"/>
                <w:sz w:val="21"/>
                <w:szCs w:val="21"/>
                <w:highlight w:val="none"/>
                <w:lang w:val="en-US" w:eastAsia="zh-CN" w:bidi="ar"/>
              </w:rPr>
              <w:t>标</w:t>
            </w:r>
          </w:p>
        </w:tc>
        <w:tc>
          <w:tcPr>
            <w:tcW w:w="904" w:type="pct"/>
            <w:vMerge w:val="restart"/>
            <w:tcBorders>
              <w:top w:val="single" w:color="000000" w:sz="4" w:space="0"/>
              <w:left w:val="single" w:color="000000" w:sz="4" w:space="0"/>
              <w:right w:val="single" w:color="000000" w:sz="4" w:space="0"/>
            </w:tcBorders>
            <w:shd w:val="clear" w:color="auto" w:fill="auto"/>
            <w:vAlign w:val="center"/>
          </w:tcPr>
          <w:p w14:paraId="733362E8">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成本指标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98D8F">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新建一个农村邻里互助养老服务点</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DE5F9">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≤1.50万元</w:t>
            </w:r>
          </w:p>
        </w:tc>
      </w:tr>
      <w:tr w14:paraId="6AE27010">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4F634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vMerge w:val="continue"/>
            <w:tcBorders>
              <w:left w:val="single" w:color="000000" w:sz="4" w:space="0"/>
              <w:bottom w:val="single" w:color="000000" w:sz="4" w:space="0"/>
              <w:right w:val="single" w:color="000000" w:sz="4" w:space="0"/>
            </w:tcBorders>
            <w:shd w:val="clear" w:color="auto" w:fill="auto"/>
            <w:vAlign w:val="center"/>
          </w:tcPr>
          <w:p w14:paraId="393D1B9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B36CE">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运营一个已建成农村邻里互助养老服务点</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CDA42">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≤1.50万元</w:t>
            </w:r>
          </w:p>
        </w:tc>
      </w:tr>
      <w:tr w14:paraId="3C0AE90C">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627060">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17C6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社会效益指标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4B381">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农村养老服务水平</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3901B">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持续提升</w:t>
            </w:r>
          </w:p>
        </w:tc>
      </w:tr>
      <w:tr w14:paraId="1E51EA68">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19775E">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8057D">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可</w:t>
            </w:r>
            <w:r>
              <w:rPr>
                <w:rFonts w:hint="default" w:ascii="Times New Roman" w:hAnsi="Times New Roman" w:eastAsia="宋体" w:cs="Times New Roman"/>
                <w:b w:val="0"/>
                <w:bCs w:val="0"/>
                <w:color w:val="000000"/>
                <w:kern w:val="0"/>
                <w:sz w:val="18"/>
                <w:szCs w:val="18"/>
                <w:highlight w:val="none"/>
                <w:lang w:val="en-US" w:eastAsia="zh-CN" w:bidi="ar"/>
              </w:rPr>
              <w:t>持续影响指标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3C802">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农村邻里互助养老服务点</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6270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持续服务</w:t>
            </w:r>
          </w:p>
        </w:tc>
      </w:tr>
      <w:tr w14:paraId="157AA767">
        <w:tblPrEx>
          <w:tblCellMar>
            <w:top w:w="0" w:type="dxa"/>
            <w:left w:w="108" w:type="dxa"/>
            <w:bottom w:w="0" w:type="dxa"/>
            <w:right w:w="108" w:type="dxa"/>
          </w:tblCellMar>
        </w:tblPrEx>
        <w:trPr>
          <w:trHeight w:val="454" w:hRule="atLeast"/>
        </w:trPr>
        <w:tc>
          <w:tcPr>
            <w:tcW w:w="527"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32F954">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CB30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服务对象满意度指标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0C398">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农村邻里互助养老服务点服务对象对服务抽样满意度</w:t>
            </w:r>
          </w:p>
        </w:tc>
        <w:tc>
          <w:tcPr>
            <w:tcW w:w="1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EAF37">
            <w:pPr>
              <w:keepNext w:val="0"/>
              <w:keepLines w:val="0"/>
              <w:pageBreakBefore w:val="0"/>
              <w:widowControl/>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宋体" w:cs="Times New Roman"/>
                <w:b w:val="0"/>
                <w:bCs w:val="0"/>
                <w:color w:val="000000"/>
                <w:kern w:val="0"/>
                <w:sz w:val="21"/>
                <w:szCs w:val="21"/>
                <w:highlight w:val="none"/>
                <w:lang w:val="en-US" w:eastAsia="zh-CN" w:bidi="ar"/>
              </w:rPr>
            </w:pPr>
            <w:r>
              <w:rPr>
                <w:rFonts w:hint="default" w:ascii="Times New Roman" w:hAnsi="Times New Roman" w:eastAsia="宋体" w:cs="Times New Roman"/>
                <w:b w:val="0"/>
                <w:bCs w:val="0"/>
                <w:color w:val="000000"/>
                <w:kern w:val="0"/>
                <w:sz w:val="21"/>
                <w:szCs w:val="21"/>
                <w:highlight w:val="none"/>
                <w:lang w:val="en-US" w:eastAsia="zh-CN" w:bidi="ar"/>
              </w:rPr>
              <w:t>≥90%</w:t>
            </w:r>
          </w:p>
        </w:tc>
      </w:tr>
    </w:tbl>
    <w:p w14:paraId="29E1FDB9">
      <w:pPr>
        <w:pStyle w:val="2"/>
        <w:bidi w:val="0"/>
        <w:rPr>
          <w:rFonts w:hint="default"/>
          <w:highlight w:val="none"/>
        </w:rPr>
      </w:pPr>
      <w:bookmarkStart w:id="33" w:name="_Toc654955737"/>
      <w:bookmarkStart w:id="34" w:name="_Toc103096314"/>
      <w:bookmarkStart w:id="35" w:name="_Toc1066549106"/>
      <w:bookmarkStart w:id="36" w:name="_Toc103094549"/>
      <w:bookmarkStart w:id="37" w:name="_Toc28885"/>
      <w:r>
        <w:rPr>
          <w:rFonts w:hint="default"/>
          <w:highlight w:val="none"/>
        </w:rPr>
        <w:t>二、绩效评价工作</w:t>
      </w:r>
      <w:bookmarkEnd w:id="29"/>
      <w:bookmarkEnd w:id="30"/>
      <w:r>
        <w:rPr>
          <w:rFonts w:hint="default"/>
          <w:highlight w:val="none"/>
        </w:rPr>
        <w:t>开展情况</w:t>
      </w:r>
      <w:bookmarkEnd w:id="33"/>
      <w:bookmarkEnd w:id="34"/>
      <w:bookmarkEnd w:id="35"/>
      <w:bookmarkEnd w:id="36"/>
      <w:bookmarkEnd w:id="37"/>
    </w:p>
    <w:p w14:paraId="3E6267DA">
      <w:pPr>
        <w:pStyle w:val="3"/>
        <w:bidi w:val="0"/>
        <w:spacing w:line="560" w:lineRule="exact"/>
        <w:rPr>
          <w:rFonts w:hint="default"/>
          <w:highlight w:val="none"/>
        </w:rPr>
      </w:pPr>
      <w:bookmarkStart w:id="38" w:name="_Toc12250"/>
      <w:bookmarkStart w:id="39" w:name="_Toc515586349"/>
      <w:bookmarkStart w:id="40" w:name="_Toc103094550"/>
      <w:bookmarkStart w:id="41" w:name="_Toc1987380884"/>
      <w:bookmarkStart w:id="42" w:name="_Toc21688"/>
      <w:bookmarkStart w:id="43" w:name="_Toc103096315"/>
      <w:bookmarkStart w:id="44" w:name="_Toc444823033"/>
      <w:r>
        <w:rPr>
          <w:rFonts w:hint="default"/>
          <w:highlight w:val="none"/>
        </w:rPr>
        <w:t>（一）</w:t>
      </w:r>
      <w:bookmarkEnd w:id="38"/>
      <w:bookmarkEnd w:id="39"/>
      <w:r>
        <w:rPr>
          <w:rFonts w:hint="default"/>
          <w:highlight w:val="none"/>
        </w:rPr>
        <w:t>绩效评价目的、对象和范围</w:t>
      </w:r>
      <w:bookmarkEnd w:id="31"/>
      <w:bookmarkEnd w:id="40"/>
      <w:bookmarkEnd w:id="41"/>
      <w:bookmarkEnd w:id="42"/>
      <w:bookmarkEnd w:id="43"/>
      <w:bookmarkEnd w:id="44"/>
    </w:p>
    <w:p w14:paraId="62A0D5C6">
      <w:pPr>
        <w:pStyle w:val="4"/>
        <w:bidi w:val="0"/>
        <w:spacing w:line="560" w:lineRule="exact"/>
        <w:rPr>
          <w:rFonts w:hint="default"/>
          <w:highlight w:val="none"/>
          <w:lang w:eastAsia="zh-Hans"/>
        </w:rPr>
      </w:pPr>
      <w:bookmarkStart w:id="45" w:name="_Toc103094551"/>
      <w:r>
        <w:rPr>
          <w:rFonts w:hint="default"/>
          <w:highlight w:val="none"/>
        </w:rPr>
        <w:t>1</w:t>
      </w:r>
      <w:r>
        <w:rPr>
          <w:rFonts w:hint="default"/>
          <w:highlight w:val="none"/>
          <w:lang w:eastAsia="zh-Hans"/>
        </w:rPr>
        <w:t>.评价目的</w:t>
      </w:r>
      <w:bookmarkEnd w:id="45"/>
    </w:p>
    <w:p w14:paraId="31E4DBFA">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eastAsia="zh-Hans"/>
        </w:rPr>
        <w:t>通过对项目经济性、效率性和效果性的分析，梳理总结项目决策、过程、产出、效益中存在的问题，为主管部门改进工作提供建议和依据，提高科学决策水平，促进市民政局</w:t>
      </w:r>
      <w:r>
        <w:rPr>
          <w:rFonts w:hint="default" w:ascii="Times New Roman" w:hAnsi="Times New Roman" w:cs="Times New Roman"/>
          <w:bCs/>
          <w:highlight w:val="none"/>
        </w:rPr>
        <w:t>强化</w:t>
      </w:r>
      <w:r>
        <w:rPr>
          <w:rFonts w:hint="default" w:ascii="Times New Roman" w:hAnsi="Times New Roman" w:cs="Times New Roman"/>
          <w:bCs/>
          <w:highlight w:val="none"/>
          <w:lang w:eastAsia="zh-Hans"/>
        </w:rPr>
        <w:t>绩效理念，规范项目管理，保障项目资金使用的规范性、安全性，提高财政资金投入</w:t>
      </w:r>
      <w:r>
        <w:rPr>
          <w:rFonts w:hint="default" w:ascii="Times New Roman" w:hAnsi="Times New Roman" w:cs="Times New Roman"/>
          <w:bCs/>
          <w:highlight w:val="none"/>
        </w:rPr>
        <w:t>效益</w:t>
      </w:r>
      <w:r>
        <w:rPr>
          <w:rFonts w:hint="default" w:ascii="Times New Roman" w:hAnsi="Times New Roman" w:cs="Times New Roman"/>
          <w:bCs/>
          <w:highlight w:val="none"/>
          <w:lang w:eastAsia="zh-Hans"/>
        </w:rPr>
        <w:t>。</w:t>
      </w:r>
    </w:p>
    <w:p w14:paraId="65008E6D">
      <w:pPr>
        <w:pStyle w:val="4"/>
        <w:spacing w:line="560" w:lineRule="exact"/>
        <w:ind w:firstLine="643"/>
        <w:rPr>
          <w:rFonts w:hint="default" w:ascii="Times New Roman" w:hAnsi="Times New Roman" w:cs="Times New Roman"/>
          <w:highlight w:val="none"/>
        </w:rPr>
      </w:pPr>
      <w:bookmarkStart w:id="46" w:name="_Toc103094552"/>
      <w:r>
        <w:rPr>
          <w:rFonts w:hint="default" w:ascii="Times New Roman" w:hAnsi="Times New Roman" w:cs="Times New Roman"/>
          <w:highlight w:val="none"/>
        </w:rPr>
        <w:t>2.评价依据</w:t>
      </w:r>
      <w:bookmarkEnd w:id="46"/>
    </w:p>
    <w:p w14:paraId="133BF16D">
      <w:pPr>
        <w:spacing w:line="560" w:lineRule="exact"/>
        <w:ind w:firstLine="640"/>
        <w:rPr>
          <w:rFonts w:hint="default" w:ascii="Times New Roman" w:hAnsi="Times New Roman" w:cs="Times New Roman"/>
          <w:bCs/>
          <w:highlight w:val="none"/>
          <w:lang w:val="zh-TW" w:eastAsia="zh-Hans"/>
        </w:rPr>
      </w:pPr>
      <w:r>
        <w:rPr>
          <w:rFonts w:hint="default" w:ascii="Times New Roman" w:hAnsi="Times New Roman" w:cs="Times New Roman"/>
          <w:bCs/>
          <w:highlight w:val="none"/>
          <w:lang w:eastAsia="zh-Hans"/>
        </w:rPr>
        <w:t>（1</w:t>
      </w:r>
      <w:r>
        <w:rPr>
          <w:rFonts w:hint="eastAsia" w:cs="Times New Roman"/>
          <w:bCs/>
          <w:highlight w:val="none"/>
          <w:lang w:eastAsia="zh-CN"/>
        </w:rPr>
        <w:t>）</w:t>
      </w:r>
      <w:r>
        <w:rPr>
          <w:rFonts w:hint="default" w:ascii="Times New Roman" w:hAnsi="Times New Roman" w:cs="Times New Roman"/>
          <w:bCs/>
          <w:highlight w:val="none"/>
          <w:lang w:val="zh-TW" w:eastAsia="zh-Hans"/>
        </w:rPr>
        <w:t>《北京市项目支出绩效评价管理办法》（京财绩效发〔2020〕2146号）</w:t>
      </w:r>
      <w:r>
        <w:rPr>
          <w:rFonts w:hint="default" w:ascii="Times New Roman" w:hAnsi="Times New Roman" w:cs="Times New Roman"/>
          <w:bCs/>
          <w:highlight w:val="none"/>
          <w:lang w:eastAsia="zh-Hans"/>
        </w:rPr>
        <w:t>、</w:t>
      </w:r>
      <w:r>
        <w:rPr>
          <w:rFonts w:hint="default" w:ascii="Times New Roman" w:hAnsi="Times New Roman" w:cs="Times New Roman"/>
          <w:bCs/>
          <w:highlight w:val="none"/>
          <w:lang w:val="en-US" w:eastAsia="zh-CN"/>
        </w:rPr>
        <w:t>《北京市农村邻里互助养老服务点建设管理办法（试行）》</w:t>
      </w:r>
      <w:r>
        <w:rPr>
          <w:rFonts w:hint="default" w:ascii="Times New Roman" w:hAnsi="Times New Roman" w:cs="Times New Roman"/>
          <w:bCs/>
          <w:highlight w:val="none"/>
          <w:lang w:eastAsia="zh-Hans"/>
        </w:rPr>
        <w:t>（京民养老发〔2023〕279号</w:t>
      </w:r>
      <w:r>
        <w:rPr>
          <w:rFonts w:hint="default" w:ascii="Times New Roman" w:hAnsi="Times New Roman" w:cs="Times New Roman"/>
          <w:bCs/>
          <w:highlight w:val="none"/>
          <w:lang w:eastAsia="zh-CN"/>
        </w:rPr>
        <w:t>）</w:t>
      </w:r>
      <w:r>
        <w:rPr>
          <w:rFonts w:hint="default" w:ascii="Times New Roman" w:hAnsi="Times New Roman" w:cs="Times New Roman"/>
          <w:bCs/>
          <w:highlight w:val="none"/>
          <w:lang w:val="zh-TW" w:eastAsia="zh-Hans"/>
        </w:rPr>
        <w:t>以及北京市202</w:t>
      </w:r>
      <w:r>
        <w:rPr>
          <w:rFonts w:hint="default" w:ascii="Times New Roman" w:hAnsi="Times New Roman" w:cs="Times New Roman"/>
          <w:bCs/>
          <w:highlight w:val="none"/>
          <w:lang w:val="en-US" w:eastAsia="zh-CN"/>
        </w:rPr>
        <w:t>4</w:t>
      </w:r>
      <w:r>
        <w:rPr>
          <w:rFonts w:hint="default" w:ascii="Times New Roman" w:hAnsi="Times New Roman" w:cs="Times New Roman"/>
          <w:bCs/>
          <w:highlight w:val="none"/>
          <w:lang w:val="zh-TW" w:eastAsia="zh-Hans"/>
        </w:rPr>
        <w:t>年度市级财政支出绩效评价的相关要求；</w:t>
      </w:r>
    </w:p>
    <w:p w14:paraId="03163471">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val="zh-TW" w:eastAsia="zh-Hans"/>
        </w:rPr>
        <w:t>（2）相关行业政策、行业标准及专业技术规范；</w:t>
      </w:r>
    </w:p>
    <w:p w14:paraId="6B4FEA65">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val="zh-TW" w:eastAsia="zh-Hans"/>
        </w:rPr>
        <w:t>（3）市</w:t>
      </w:r>
      <w:r>
        <w:rPr>
          <w:rFonts w:hint="default" w:ascii="Times New Roman" w:hAnsi="Times New Roman" w:cs="Times New Roman"/>
          <w:bCs/>
          <w:highlight w:val="none"/>
          <w:lang w:val="zh-TW" w:eastAsia="zh-CN"/>
        </w:rPr>
        <w:t>、</w:t>
      </w:r>
      <w:r>
        <w:rPr>
          <w:rFonts w:hint="default" w:ascii="Times New Roman" w:hAnsi="Times New Roman" w:cs="Times New Roman"/>
          <w:bCs/>
          <w:highlight w:val="none"/>
          <w:lang w:val="zh-TW" w:eastAsia="zh-Hans"/>
        </w:rPr>
        <w:t>区</w:t>
      </w:r>
      <w:r>
        <w:rPr>
          <w:rFonts w:hint="default" w:ascii="Times New Roman" w:hAnsi="Times New Roman" w:cs="Times New Roman"/>
          <w:bCs/>
          <w:highlight w:val="none"/>
          <w:lang w:val="zh-TW" w:eastAsia="zh-CN"/>
        </w:rPr>
        <w:t>、</w:t>
      </w:r>
      <w:r>
        <w:rPr>
          <w:rFonts w:hint="default" w:ascii="Times New Roman" w:hAnsi="Times New Roman" w:cs="Times New Roman"/>
          <w:bCs/>
          <w:highlight w:val="none"/>
          <w:lang w:val="en-US" w:eastAsia="zh-CN"/>
        </w:rPr>
        <w:t>乡镇民政部门</w:t>
      </w:r>
      <w:r>
        <w:rPr>
          <w:rFonts w:hint="default" w:ascii="Times New Roman" w:hAnsi="Times New Roman" w:cs="Times New Roman"/>
          <w:bCs/>
          <w:highlight w:val="none"/>
          <w:lang w:val="zh-TW" w:eastAsia="zh-Hans"/>
        </w:rPr>
        <w:t>提供的项目资料。</w:t>
      </w:r>
    </w:p>
    <w:p w14:paraId="557DAD5F">
      <w:pPr>
        <w:pStyle w:val="4"/>
        <w:spacing w:line="560" w:lineRule="exact"/>
        <w:ind w:firstLine="643"/>
        <w:rPr>
          <w:rFonts w:hint="default" w:ascii="Times New Roman" w:hAnsi="Times New Roman" w:cs="Times New Roman"/>
          <w:highlight w:val="none"/>
        </w:rPr>
      </w:pPr>
      <w:bookmarkStart w:id="47" w:name="_Toc103094553"/>
      <w:r>
        <w:rPr>
          <w:rFonts w:hint="default" w:ascii="Times New Roman" w:hAnsi="Times New Roman" w:cs="Times New Roman"/>
          <w:highlight w:val="none"/>
        </w:rPr>
        <w:t>3.评价对象和范围</w:t>
      </w:r>
      <w:bookmarkEnd w:id="47"/>
    </w:p>
    <w:p w14:paraId="48523AA4">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eastAsia="zh-Hans"/>
        </w:rPr>
        <w:t>本次评价对象为202</w:t>
      </w:r>
      <w:r>
        <w:rPr>
          <w:rFonts w:hint="default" w:ascii="Times New Roman" w:hAnsi="Times New Roman" w:cs="Times New Roman"/>
          <w:bCs/>
          <w:highlight w:val="none"/>
          <w:lang w:val="en-US" w:eastAsia="zh-CN"/>
        </w:rPr>
        <w:t>4</w:t>
      </w:r>
      <w:r>
        <w:rPr>
          <w:rFonts w:hint="default" w:ascii="Times New Roman" w:hAnsi="Times New Roman" w:cs="Times New Roman"/>
          <w:bCs/>
          <w:highlight w:val="none"/>
        </w:rPr>
        <w:t>年</w:t>
      </w:r>
      <w:r>
        <w:rPr>
          <w:rFonts w:hint="eastAsia" w:cs="Times New Roman"/>
          <w:bCs/>
          <w:highlight w:val="none"/>
          <w:lang w:eastAsia="zh-CN"/>
        </w:rPr>
        <w:t>“</w:t>
      </w:r>
      <w:r>
        <w:rPr>
          <w:rFonts w:hint="default" w:ascii="Times New Roman" w:hAnsi="Times New Roman" w:cs="Times New Roman"/>
          <w:bCs/>
          <w:highlight w:val="none"/>
          <w:lang w:eastAsia="zh-Hans"/>
        </w:rPr>
        <w:t>农村邻里互助养老服务点转移支付资金</w:t>
      </w:r>
      <w:r>
        <w:rPr>
          <w:rFonts w:hint="eastAsia" w:cs="Times New Roman"/>
          <w:bCs/>
          <w:highlight w:val="none"/>
          <w:lang w:eastAsia="zh-CN"/>
        </w:rPr>
        <w:t>”</w:t>
      </w:r>
      <w:r>
        <w:rPr>
          <w:rFonts w:hint="default" w:ascii="Times New Roman" w:hAnsi="Times New Roman" w:cs="Times New Roman"/>
          <w:bCs/>
          <w:highlight w:val="none"/>
          <w:lang w:eastAsia="zh-Hans"/>
        </w:rPr>
        <w:t>项目，</w:t>
      </w:r>
      <w:r>
        <w:rPr>
          <w:rFonts w:hint="default" w:ascii="Times New Roman" w:hAnsi="Times New Roman" w:cs="Times New Roman"/>
          <w:bCs/>
          <w:highlight w:val="none"/>
        </w:rPr>
        <w:t>涉及</w:t>
      </w:r>
      <w:r>
        <w:rPr>
          <w:rFonts w:hint="eastAsia" w:cs="Times New Roman"/>
          <w:bCs/>
          <w:highlight w:val="none"/>
          <w:lang w:val="en-US" w:eastAsia="zh-CN"/>
        </w:rPr>
        <w:t>项目补助资金</w:t>
      </w:r>
      <w:r>
        <w:rPr>
          <w:rFonts w:hint="default" w:ascii="Times New Roman" w:hAnsi="Times New Roman" w:cs="Times New Roman"/>
          <w:bCs/>
          <w:highlight w:val="none"/>
          <w:lang w:val="en-US" w:eastAsia="zh-CN"/>
        </w:rPr>
        <w:t>1,218.50</w:t>
      </w:r>
      <w:r>
        <w:rPr>
          <w:rFonts w:hint="default" w:ascii="Times New Roman" w:hAnsi="Times New Roman" w:cs="Times New Roman"/>
          <w:bCs/>
          <w:highlight w:val="none"/>
          <w:lang w:eastAsia="zh-Hans"/>
        </w:rPr>
        <w:t>万元。</w:t>
      </w:r>
    </w:p>
    <w:p w14:paraId="14BCF48B">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eastAsia="zh-Hans"/>
        </w:rPr>
        <w:t>本次评价从</w:t>
      </w:r>
      <w:r>
        <w:rPr>
          <w:rFonts w:hint="default" w:ascii="Times New Roman" w:hAnsi="Times New Roman" w:cs="Times New Roman"/>
          <w:bCs/>
          <w:highlight w:val="none"/>
        </w:rPr>
        <w:t>项目立项的</w:t>
      </w:r>
      <w:r>
        <w:rPr>
          <w:rFonts w:hint="default" w:ascii="Times New Roman" w:hAnsi="Times New Roman" w:cs="Times New Roman"/>
          <w:bCs/>
          <w:highlight w:val="none"/>
          <w:lang w:eastAsia="zh-Hans"/>
        </w:rPr>
        <w:t>必要性和项目实施的规范性出发，以结果为导向，重点关注项目预期产出和效果的实现程度，同时关注项目决策和</w:t>
      </w:r>
      <w:r>
        <w:rPr>
          <w:rFonts w:hint="default" w:ascii="Times New Roman" w:hAnsi="Times New Roman" w:cs="Times New Roman"/>
          <w:bCs/>
          <w:highlight w:val="none"/>
        </w:rPr>
        <w:t>管理</w:t>
      </w:r>
      <w:r>
        <w:rPr>
          <w:rFonts w:hint="default" w:ascii="Times New Roman" w:hAnsi="Times New Roman" w:cs="Times New Roman"/>
          <w:bCs/>
          <w:highlight w:val="none"/>
          <w:lang w:eastAsia="zh-Hans"/>
        </w:rPr>
        <w:t>的规范性和合理性。</w:t>
      </w:r>
    </w:p>
    <w:p w14:paraId="28AE47F5">
      <w:pPr>
        <w:pStyle w:val="3"/>
        <w:bidi w:val="0"/>
        <w:spacing w:line="560" w:lineRule="exact"/>
        <w:rPr>
          <w:rFonts w:hint="default"/>
          <w:highlight w:val="none"/>
        </w:rPr>
      </w:pPr>
      <w:bookmarkStart w:id="48" w:name="_Toc750140424"/>
      <w:bookmarkStart w:id="49" w:name="_Toc103096316"/>
      <w:bookmarkStart w:id="50" w:name="_Toc2097355597"/>
      <w:bookmarkStart w:id="51" w:name="_Toc30157"/>
      <w:bookmarkStart w:id="52" w:name="_Toc103094554"/>
      <w:r>
        <w:rPr>
          <w:rFonts w:hint="default"/>
          <w:highlight w:val="none"/>
        </w:rPr>
        <w:t>（二）绩效评价原则方法</w:t>
      </w:r>
      <w:bookmarkEnd w:id="48"/>
      <w:bookmarkEnd w:id="49"/>
      <w:bookmarkEnd w:id="50"/>
      <w:bookmarkEnd w:id="51"/>
      <w:bookmarkEnd w:id="52"/>
    </w:p>
    <w:p w14:paraId="3EC3252F">
      <w:pPr>
        <w:pStyle w:val="4"/>
        <w:spacing w:line="560" w:lineRule="exact"/>
        <w:ind w:firstLine="643"/>
        <w:rPr>
          <w:rFonts w:hint="default" w:ascii="Times New Roman" w:hAnsi="Times New Roman" w:cs="Times New Roman"/>
          <w:highlight w:val="none"/>
        </w:rPr>
      </w:pPr>
      <w:bookmarkStart w:id="53" w:name="_Toc103094555"/>
      <w:r>
        <w:rPr>
          <w:rFonts w:hint="default" w:ascii="Times New Roman" w:hAnsi="Times New Roman" w:cs="Times New Roman"/>
          <w:highlight w:val="none"/>
        </w:rPr>
        <w:t>1.评价原则及方法</w:t>
      </w:r>
      <w:bookmarkEnd w:id="53"/>
    </w:p>
    <w:p w14:paraId="77A74A57">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eastAsia="zh-Hans"/>
        </w:rPr>
        <w:t>评价工作遵循“客观、公正、科学、规范”的原则，综合采用案卷分析、统计分析、因素分析、对比分析、专家评价等方法，对反映项目决策、过程、产出和效益等内容的资料和数据进行分析，梳理项目问题并分析成因，根据专家评议结果形成评价结论并提出建设性意见。</w:t>
      </w:r>
    </w:p>
    <w:p w14:paraId="1860EAF0">
      <w:pPr>
        <w:pStyle w:val="4"/>
        <w:spacing w:line="560" w:lineRule="exact"/>
        <w:ind w:firstLine="643"/>
        <w:rPr>
          <w:rFonts w:hint="default" w:ascii="Times New Roman" w:hAnsi="Times New Roman" w:cs="Times New Roman"/>
          <w:highlight w:val="none"/>
        </w:rPr>
      </w:pPr>
      <w:bookmarkStart w:id="54" w:name="_Toc103094556"/>
      <w:r>
        <w:rPr>
          <w:rFonts w:hint="default" w:ascii="Times New Roman" w:hAnsi="Times New Roman" w:cs="Times New Roman"/>
          <w:highlight w:val="none"/>
        </w:rPr>
        <w:t>2.指标体系与评分标准</w:t>
      </w:r>
      <w:bookmarkEnd w:id="54"/>
    </w:p>
    <w:p w14:paraId="51CC2045">
      <w:pPr>
        <w:spacing w:line="560" w:lineRule="exact"/>
        <w:ind w:firstLine="640"/>
        <w:rPr>
          <w:rFonts w:hint="default" w:ascii="Times New Roman" w:hAnsi="Times New Roman" w:eastAsia="仿宋" w:cs="Times New Roman"/>
          <w:bCs/>
          <w:highlight w:val="none"/>
          <w:lang w:val="en-US" w:eastAsia="zh-CN"/>
        </w:rPr>
      </w:pPr>
      <w:r>
        <w:rPr>
          <w:rFonts w:hint="default" w:ascii="Times New Roman" w:hAnsi="Times New Roman" w:cs="Times New Roman"/>
          <w:bCs/>
          <w:highlight w:val="none"/>
          <w:lang w:eastAsia="zh-Hans"/>
        </w:rPr>
        <w:t>评价工作组根据</w:t>
      </w:r>
      <w:r>
        <w:rPr>
          <w:rFonts w:hint="default" w:ascii="Times New Roman" w:hAnsi="Times New Roman" w:cs="Times New Roman"/>
          <w:bCs/>
          <w:highlight w:val="none"/>
          <w:lang w:val="zh-TW" w:eastAsia="zh-Hans"/>
        </w:rPr>
        <w:t>《北京市项目支出绩效评价管理办法》（京财绩效〔2020〕2146号）</w:t>
      </w:r>
      <w:r>
        <w:rPr>
          <w:rFonts w:hint="default" w:ascii="Times New Roman" w:hAnsi="Times New Roman" w:cs="Times New Roman"/>
          <w:bCs/>
          <w:highlight w:val="none"/>
          <w:lang w:eastAsia="zh-Hans"/>
        </w:rPr>
        <w:t>中的绩效评价指标体系框架制定该项目绩效评价指标体系，并根据指标的重要性与相关性确定权重，参考历史数据及绩效评价等级要求确定评分标准。</w:t>
      </w:r>
    </w:p>
    <w:p w14:paraId="12700A8A">
      <w:pPr>
        <w:pStyle w:val="3"/>
        <w:bidi w:val="0"/>
        <w:spacing w:line="560" w:lineRule="exact"/>
        <w:rPr>
          <w:rFonts w:hint="default"/>
          <w:highlight w:val="none"/>
        </w:rPr>
      </w:pPr>
      <w:bookmarkStart w:id="55" w:name="_Toc103096317"/>
      <w:bookmarkStart w:id="56" w:name="_Toc1458936921"/>
      <w:bookmarkStart w:id="57" w:name="_Toc11328"/>
      <w:bookmarkStart w:id="58" w:name="_Toc103094557"/>
      <w:bookmarkStart w:id="59" w:name="_Toc1881098278"/>
      <w:r>
        <w:rPr>
          <w:rFonts w:hint="default"/>
          <w:highlight w:val="none"/>
        </w:rPr>
        <w:t>（三）绩效评价工作过程</w:t>
      </w:r>
      <w:bookmarkEnd w:id="55"/>
      <w:bookmarkEnd w:id="56"/>
      <w:bookmarkEnd w:id="57"/>
      <w:bookmarkEnd w:id="58"/>
      <w:bookmarkEnd w:id="59"/>
    </w:p>
    <w:p w14:paraId="5D08D2CF">
      <w:pPr>
        <w:pStyle w:val="4"/>
        <w:spacing w:line="560" w:lineRule="exact"/>
        <w:ind w:firstLine="643"/>
        <w:rPr>
          <w:rFonts w:hint="default" w:ascii="Times New Roman" w:hAnsi="Times New Roman" w:cs="Times New Roman"/>
          <w:highlight w:val="none"/>
        </w:rPr>
      </w:pPr>
      <w:bookmarkStart w:id="60" w:name="_Toc103094558"/>
      <w:r>
        <w:rPr>
          <w:rFonts w:hint="default" w:ascii="Times New Roman" w:hAnsi="Times New Roman" w:cs="Times New Roman"/>
          <w:highlight w:val="none"/>
        </w:rPr>
        <w:t>1.前期准备情况</w:t>
      </w:r>
      <w:bookmarkEnd w:id="60"/>
    </w:p>
    <w:p w14:paraId="5031B019">
      <w:pPr>
        <w:spacing w:line="560" w:lineRule="exact"/>
        <w:ind w:firstLine="640"/>
        <w:rPr>
          <w:rFonts w:hint="default" w:ascii="Times New Roman" w:hAnsi="Times New Roman" w:cs="Times New Roman"/>
          <w:bCs/>
          <w:highlight w:val="none"/>
          <w:lang w:eastAsia="zh-Hans"/>
        </w:rPr>
      </w:pPr>
      <w:r>
        <w:rPr>
          <w:rFonts w:hint="default" w:ascii="Times New Roman" w:hAnsi="Times New Roman" w:cs="Times New Roman"/>
          <w:bCs/>
          <w:highlight w:val="none"/>
          <w:lang w:eastAsia="zh-Hans"/>
        </w:rPr>
        <w:t>评价机构受市民政局委托组建评价工作组，对该项目进行绩效评价。工作组进行了内部培训，邀请绩效管理专家作为全程专家，对评价工作进行全过程指导，与市民政局建立沟通协调工作机制、了解项目情况并进行针对性培训。</w:t>
      </w:r>
    </w:p>
    <w:p w14:paraId="554B5F33">
      <w:pPr>
        <w:pStyle w:val="4"/>
        <w:spacing w:line="560" w:lineRule="exact"/>
        <w:ind w:firstLine="643"/>
        <w:rPr>
          <w:rFonts w:hint="default" w:ascii="Times New Roman" w:hAnsi="Times New Roman" w:cs="Times New Roman"/>
          <w:highlight w:val="none"/>
        </w:rPr>
      </w:pPr>
      <w:bookmarkStart w:id="61" w:name="_Toc103094559"/>
      <w:r>
        <w:rPr>
          <w:rFonts w:hint="default" w:ascii="Times New Roman" w:hAnsi="Times New Roman" w:cs="Times New Roman"/>
          <w:highlight w:val="none"/>
        </w:rPr>
        <w:t>2.资料信息汇总</w:t>
      </w:r>
      <w:bookmarkEnd w:id="61"/>
    </w:p>
    <w:p w14:paraId="68B130AB">
      <w:pPr>
        <w:spacing w:line="560" w:lineRule="exact"/>
        <w:ind w:firstLine="640"/>
        <w:rPr>
          <w:rFonts w:hint="default" w:ascii="Times New Roman" w:hAnsi="Times New Roman" w:cs="Times New Roman"/>
          <w:highlight w:val="none"/>
        </w:rPr>
      </w:pPr>
      <w:r>
        <w:rPr>
          <w:rFonts w:hint="default" w:ascii="Times New Roman" w:hAnsi="Times New Roman" w:cs="Times New Roman"/>
          <w:highlight w:val="none"/>
        </w:rPr>
        <w:t>根据绩效评价要求收集相应资料，围绕项目决策、过程、产出和效益进行资料梳理，对资料真实性进行审核，对存疑情况与市</w:t>
      </w:r>
      <w:r>
        <w:rPr>
          <w:rFonts w:hint="default" w:ascii="Times New Roman" w:hAnsi="Times New Roman" w:cs="Times New Roman"/>
          <w:highlight w:val="none"/>
          <w:lang w:eastAsia="zh-Hans"/>
        </w:rPr>
        <w:t>民政局</w:t>
      </w:r>
      <w:r>
        <w:rPr>
          <w:rFonts w:hint="default" w:ascii="Times New Roman" w:hAnsi="Times New Roman" w:cs="Times New Roman"/>
          <w:highlight w:val="none"/>
        </w:rPr>
        <w:t>进行沟通确认。</w:t>
      </w:r>
    </w:p>
    <w:p w14:paraId="3D9DF795">
      <w:pPr>
        <w:pStyle w:val="4"/>
        <w:bidi w:val="0"/>
        <w:spacing w:line="560" w:lineRule="exact"/>
        <w:rPr>
          <w:rFonts w:hint="default"/>
          <w:highlight w:val="none"/>
          <w:lang w:eastAsia="zh-Hans"/>
        </w:rPr>
      </w:pPr>
      <w:r>
        <w:rPr>
          <w:rFonts w:hint="eastAsia"/>
          <w:highlight w:val="none"/>
          <w:lang w:val="en-US" w:eastAsia="zh-CN"/>
        </w:rPr>
        <w:t>3.</w:t>
      </w:r>
      <w:r>
        <w:rPr>
          <w:rFonts w:hint="default"/>
          <w:highlight w:val="none"/>
          <w:lang w:eastAsia="zh-Hans"/>
        </w:rPr>
        <w:t>现场调研</w:t>
      </w:r>
    </w:p>
    <w:p w14:paraId="49D1EEA2">
      <w:pPr>
        <w:spacing w:line="560" w:lineRule="exact"/>
        <w:ind w:firstLine="640"/>
        <w:rPr>
          <w:rFonts w:hint="default" w:ascii="Times New Roman" w:hAnsi="Times New Roman" w:cs="Times New Roman"/>
          <w:highlight w:val="none"/>
          <w:lang w:eastAsia="zh-Hans"/>
        </w:rPr>
      </w:pPr>
      <w:r>
        <w:rPr>
          <w:rFonts w:hint="default" w:ascii="Times New Roman" w:hAnsi="Times New Roman" w:cs="Times New Roman"/>
          <w:highlight w:val="none"/>
          <w:lang w:eastAsia="zh-Hans"/>
        </w:rPr>
        <w:t>评价</w:t>
      </w:r>
      <w:r>
        <w:rPr>
          <w:rFonts w:hint="default" w:ascii="Times New Roman" w:hAnsi="Times New Roman" w:cs="Times New Roman"/>
          <w:highlight w:val="none"/>
        </w:rPr>
        <w:t>工作组</w:t>
      </w:r>
      <w:r>
        <w:rPr>
          <w:rFonts w:hint="default" w:ascii="Times New Roman" w:hAnsi="Times New Roman" w:cs="Times New Roman"/>
          <w:highlight w:val="none"/>
          <w:lang w:eastAsia="zh-Hans"/>
        </w:rPr>
        <w:t>前往</w:t>
      </w:r>
      <w:r>
        <w:rPr>
          <w:rFonts w:hint="default" w:ascii="Times New Roman" w:hAnsi="Times New Roman" w:cs="Times New Roman"/>
          <w:highlight w:val="none"/>
          <w:lang w:val="en-US" w:eastAsia="zh-CN"/>
        </w:rPr>
        <w:t>密云区、怀柔区</w:t>
      </w:r>
      <w:r>
        <w:rPr>
          <w:rFonts w:hint="default" w:ascii="Times New Roman" w:hAnsi="Times New Roman" w:cs="Times New Roman"/>
          <w:highlight w:val="none"/>
        </w:rPr>
        <w:t>开展</w:t>
      </w:r>
      <w:r>
        <w:rPr>
          <w:rFonts w:hint="eastAsia" w:cs="Times New Roman"/>
          <w:highlight w:val="none"/>
          <w:lang w:val="en-US" w:eastAsia="zh-CN"/>
        </w:rPr>
        <w:t>线下座谈与实地</w:t>
      </w:r>
      <w:r>
        <w:rPr>
          <w:rFonts w:hint="default" w:ascii="Times New Roman" w:hAnsi="Times New Roman" w:cs="Times New Roman"/>
          <w:highlight w:val="none"/>
        </w:rPr>
        <w:t>调研，</w:t>
      </w:r>
      <w:r>
        <w:rPr>
          <w:rFonts w:hint="eastAsia" w:cs="Times New Roman"/>
          <w:highlight w:val="none"/>
          <w:lang w:val="en-US" w:eastAsia="zh-CN"/>
        </w:rPr>
        <w:t>与</w:t>
      </w:r>
      <w:r>
        <w:rPr>
          <w:rFonts w:hint="default" w:ascii="Times New Roman" w:hAnsi="Times New Roman" w:cs="Times New Roman"/>
          <w:highlight w:val="none"/>
          <w:lang w:eastAsia="zh-Hans"/>
        </w:rPr>
        <w:t>平谷区、延庆区、门头沟区、房山区开展线上</w:t>
      </w:r>
      <w:r>
        <w:rPr>
          <w:rFonts w:hint="eastAsia" w:cs="Times New Roman"/>
          <w:highlight w:val="none"/>
          <w:lang w:val="en-US" w:eastAsia="zh-CN"/>
        </w:rPr>
        <w:t>座谈</w:t>
      </w:r>
      <w:r>
        <w:rPr>
          <w:rFonts w:hint="eastAsia" w:cs="Times New Roman"/>
          <w:highlight w:val="none"/>
          <w:lang w:eastAsia="zh-CN"/>
        </w:rPr>
        <w:t>。</w:t>
      </w:r>
      <w:r>
        <w:rPr>
          <w:rFonts w:hint="eastAsia" w:cs="Times New Roman"/>
          <w:highlight w:val="none"/>
          <w:lang w:val="en-US" w:eastAsia="zh-CN"/>
        </w:rPr>
        <w:t>通过线上、线下相结合的方式，</w:t>
      </w:r>
      <w:r>
        <w:rPr>
          <w:rFonts w:hint="default" w:ascii="Times New Roman" w:hAnsi="Times New Roman" w:cs="Times New Roman"/>
          <w:highlight w:val="none"/>
        </w:rPr>
        <w:t>充分掌握项目资金的使用情况、组织管理情况以及完成情况，作为资料评价形式的补充，为本次绩效评价提供充分依据。</w:t>
      </w:r>
    </w:p>
    <w:p w14:paraId="123D4438">
      <w:pPr>
        <w:pStyle w:val="4"/>
        <w:bidi w:val="0"/>
        <w:spacing w:line="560" w:lineRule="exact"/>
        <w:rPr>
          <w:rFonts w:hint="default"/>
          <w:highlight w:val="none"/>
          <w:lang w:eastAsia="zh-Hans"/>
        </w:rPr>
      </w:pPr>
      <w:bookmarkStart w:id="62" w:name="_Toc103094560"/>
      <w:r>
        <w:rPr>
          <w:rFonts w:hint="eastAsia"/>
          <w:highlight w:val="none"/>
          <w:lang w:val="en-US" w:eastAsia="zh-CN"/>
        </w:rPr>
        <w:t>4.</w:t>
      </w:r>
      <w:r>
        <w:rPr>
          <w:rFonts w:hint="default"/>
          <w:highlight w:val="none"/>
          <w:lang w:eastAsia="zh-Hans"/>
        </w:rPr>
        <w:t>评价分析</w:t>
      </w:r>
      <w:bookmarkEnd w:id="62"/>
    </w:p>
    <w:p w14:paraId="5DCC41F3">
      <w:pPr>
        <w:spacing w:line="560" w:lineRule="exact"/>
        <w:ind w:firstLine="640"/>
        <w:rPr>
          <w:rFonts w:hint="default" w:ascii="Times New Roman" w:hAnsi="Times New Roman" w:cs="Times New Roman"/>
          <w:highlight w:val="none"/>
        </w:rPr>
      </w:pPr>
      <w:r>
        <w:rPr>
          <w:rFonts w:hint="default" w:ascii="Times New Roman" w:hAnsi="Times New Roman" w:cs="Times New Roman"/>
          <w:highlight w:val="none"/>
        </w:rPr>
        <w:t>评价工作组综合采用案卷分析、统计分析、因素分析、对比分析、专家评</w:t>
      </w:r>
      <w:r>
        <w:rPr>
          <w:rFonts w:hint="default" w:ascii="Times New Roman" w:hAnsi="Times New Roman" w:cs="Times New Roman"/>
          <w:highlight w:val="none"/>
          <w:lang w:val="en-US" w:eastAsia="zh-Hans"/>
        </w:rPr>
        <w:t>价</w:t>
      </w:r>
      <w:r>
        <w:rPr>
          <w:rFonts w:hint="default" w:ascii="Times New Roman" w:hAnsi="Times New Roman" w:cs="Times New Roman"/>
          <w:highlight w:val="none"/>
        </w:rPr>
        <w:t>等方法，围绕项目决策、过程、产出和效益进行初步分析，梳理项目存在问题。</w:t>
      </w:r>
    </w:p>
    <w:p w14:paraId="6C19B38E">
      <w:pPr>
        <w:pStyle w:val="4"/>
        <w:bidi w:val="0"/>
        <w:spacing w:line="560" w:lineRule="exact"/>
        <w:rPr>
          <w:rFonts w:hint="default" w:ascii="Times New Roman" w:hAnsi="Times New Roman"/>
          <w:highlight w:val="none"/>
          <w:lang w:val="en-US" w:eastAsia="zh-Hans"/>
        </w:rPr>
      </w:pPr>
      <w:bookmarkStart w:id="63" w:name="_Toc103094561"/>
      <w:r>
        <w:rPr>
          <w:rFonts w:hint="eastAsia" w:ascii="Times New Roman" w:hAnsi="Times New Roman"/>
          <w:highlight w:val="none"/>
          <w:lang w:val="en-US" w:eastAsia="zh-CN"/>
        </w:rPr>
        <w:t>5.</w:t>
      </w:r>
      <w:r>
        <w:rPr>
          <w:rFonts w:hint="default" w:ascii="Times New Roman" w:hAnsi="Times New Roman"/>
          <w:highlight w:val="none"/>
          <w:lang w:val="en-US" w:eastAsia="zh-Hans"/>
        </w:rPr>
        <w:t>专家评议</w:t>
      </w:r>
      <w:bookmarkEnd w:id="63"/>
    </w:p>
    <w:p w14:paraId="67BC5D8C">
      <w:pPr>
        <w:spacing w:line="560" w:lineRule="exact"/>
        <w:ind w:firstLine="640"/>
        <w:rPr>
          <w:rFonts w:hint="default" w:ascii="Times New Roman" w:hAnsi="Times New Roman" w:cs="Times New Roman"/>
          <w:b/>
          <w:highlight w:val="none"/>
        </w:rPr>
      </w:pPr>
      <w:r>
        <w:rPr>
          <w:rFonts w:hint="default" w:ascii="Times New Roman" w:hAnsi="Times New Roman" w:cs="Times New Roman"/>
          <w:highlight w:val="none"/>
        </w:rPr>
        <w:t>组织召开专家预</w:t>
      </w:r>
      <w:r>
        <w:rPr>
          <w:rFonts w:hint="default" w:ascii="Times New Roman" w:hAnsi="Times New Roman" w:cs="Times New Roman"/>
          <w:highlight w:val="none"/>
          <w:lang w:eastAsia="zh-Hans"/>
        </w:rPr>
        <w:t>评价</w:t>
      </w:r>
      <w:r>
        <w:rPr>
          <w:rFonts w:hint="default" w:ascii="Times New Roman" w:hAnsi="Times New Roman" w:cs="Times New Roman"/>
          <w:highlight w:val="none"/>
        </w:rPr>
        <w:t>会，形成2024年度农村邻里互助养老服务点转移支付资金绩效评价预评价会后补充资料清单；根据项目实际情况，细化调整评价指标体系，明确指标权重和评分标准；组织召开专家评价会，听取</w:t>
      </w:r>
      <w:r>
        <w:rPr>
          <w:rFonts w:hint="eastAsia" w:cs="Times New Roman"/>
          <w:highlight w:val="none"/>
          <w:lang w:val="en-US" w:eastAsia="zh-CN"/>
        </w:rPr>
        <w:t>市区两级</w:t>
      </w:r>
      <w:r>
        <w:rPr>
          <w:rFonts w:hint="default" w:ascii="Times New Roman" w:hAnsi="Times New Roman" w:cs="Times New Roman"/>
          <w:highlight w:val="none"/>
          <w:lang w:val="en-US" w:eastAsia="zh-CN"/>
        </w:rPr>
        <w:t>项目负责人</w:t>
      </w:r>
      <w:r>
        <w:rPr>
          <w:rFonts w:hint="default" w:ascii="Times New Roman" w:hAnsi="Times New Roman" w:cs="Times New Roman"/>
          <w:highlight w:val="none"/>
        </w:rPr>
        <w:t>汇报</w:t>
      </w:r>
      <w:r>
        <w:rPr>
          <w:rFonts w:hint="default" w:ascii="Times New Roman" w:hAnsi="Times New Roman" w:cs="Times New Roman"/>
          <w:highlight w:val="none"/>
          <w:lang w:eastAsia="zh-Hans"/>
        </w:rPr>
        <w:t>项目</w:t>
      </w:r>
      <w:r>
        <w:rPr>
          <w:rFonts w:hint="default" w:ascii="Times New Roman" w:hAnsi="Times New Roman" w:cs="Times New Roman"/>
          <w:highlight w:val="none"/>
        </w:rPr>
        <w:t>绩效</w:t>
      </w:r>
      <w:r>
        <w:rPr>
          <w:rFonts w:hint="default" w:ascii="Times New Roman" w:hAnsi="Times New Roman" w:cs="Times New Roman"/>
          <w:highlight w:val="none"/>
          <w:lang w:eastAsia="zh-Hans"/>
        </w:rPr>
        <w:t>情况</w:t>
      </w:r>
      <w:r>
        <w:rPr>
          <w:rFonts w:hint="default" w:ascii="Times New Roman" w:hAnsi="Times New Roman" w:cs="Times New Roman"/>
          <w:highlight w:val="none"/>
        </w:rPr>
        <w:t>，由专家组就项目存在的问题与项目负责人进行沟通，形成绩效评价结论。</w:t>
      </w:r>
    </w:p>
    <w:p w14:paraId="248D3F26">
      <w:pPr>
        <w:pStyle w:val="4"/>
        <w:bidi w:val="0"/>
        <w:spacing w:line="560" w:lineRule="exact"/>
        <w:rPr>
          <w:rFonts w:hint="default" w:ascii="Times New Roman" w:hAnsi="Times New Roman"/>
          <w:highlight w:val="none"/>
          <w:lang w:val="en-US" w:eastAsia="zh-Hans"/>
        </w:rPr>
      </w:pPr>
      <w:bookmarkStart w:id="64" w:name="_Toc103094562"/>
      <w:r>
        <w:rPr>
          <w:rFonts w:hint="eastAsia" w:ascii="Times New Roman" w:hAnsi="Times New Roman"/>
          <w:highlight w:val="none"/>
          <w:lang w:val="en-US" w:eastAsia="zh-CN"/>
        </w:rPr>
        <w:t>6.</w:t>
      </w:r>
      <w:r>
        <w:rPr>
          <w:rFonts w:hint="default" w:ascii="Times New Roman" w:hAnsi="Times New Roman"/>
          <w:highlight w:val="none"/>
          <w:lang w:val="en-US" w:eastAsia="zh-Hans"/>
        </w:rPr>
        <w:t>出具报告</w:t>
      </w:r>
      <w:bookmarkEnd w:id="64"/>
      <w:bookmarkStart w:id="65" w:name="_Toc515586351"/>
    </w:p>
    <w:p w14:paraId="16644189">
      <w:pPr>
        <w:spacing w:line="560" w:lineRule="exact"/>
        <w:ind w:firstLine="640"/>
        <w:rPr>
          <w:rFonts w:hint="default" w:ascii="Times New Roman" w:hAnsi="Times New Roman" w:cs="Times New Roman"/>
          <w:highlight w:val="none"/>
        </w:rPr>
      </w:pPr>
      <w:r>
        <w:rPr>
          <w:rFonts w:hint="default" w:ascii="Times New Roman" w:hAnsi="Times New Roman" w:cs="Times New Roman"/>
          <w:highlight w:val="none"/>
        </w:rPr>
        <w:t>评价工作组</w:t>
      </w:r>
      <w:r>
        <w:rPr>
          <w:rFonts w:hint="eastAsia" w:cs="Times New Roman"/>
          <w:highlight w:val="none"/>
          <w:lang w:val="en-US" w:eastAsia="zh-CN"/>
        </w:rPr>
        <w:t>结合</w:t>
      </w:r>
      <w:r>
        <w:rPr>
          <w:rFonts w:hint="default" w:ascii="Times New Roman" w:hAnsi="Times New Roman" w:cs="Times New Roman"/>
          <w:highlight w:val="none"/>
        </w:rPr>
        <w:t>审核结果和专家评价意见，对项目决策、过程、产出和效益情况进行综合分析，形成绩效评价</w:t>
      </w:r>
      <w:r>
        <w:rPr>
          <w:rFonts w:hint="default" w:ascii="Times New Roman" w:hAnsi="Times New Roman" w:cs="Times New Roman"/>
          <w:highlight w:val="none"/>
          <w:lang w:eastAsia="zh-Hans"/>
        </w:rPr>
        <w:t>报告</w:t>
      </w:r>
      <w:r>
        <w:rPr>
          <w:rFonts w:hint="default" w:ascii="Times New Roman" w:hAnsi="Times New Roman" w:cs="Times New Roman"/>
          <w:highlight w:val="none"/>
        </w:rPr>
        <w:t>初稿，</w:t>
      </w:r>
      <w:r>
        <w:rPr>
          <w:rFonts w:hint="default" w:ascii="Times New Roman" w:hAnsi="Times New Roman" w:cs="Times New Roman"/>
          <w:highlight w:val="none"/>
          <w:lang w:val="en-US" w:eastAsia="zh-CN"/>
        </w:rPr>
        <w:t>在相关单位</w:t>
      </w:r>
      <w:r>
        <w:rPr>
          <w:rFonts w:hint="default" w:ascii="Times New Roman" w:hAnsi="Times New Roman" w:cs="Times New Roman"/>
          <w:highlight w:val="none"/>
        </w:rPr>
        <w:t>反馈意见的基础上，对报告内容进行完善，形成正式绩效评价报告。</w:t>
      </w:r>
    </w:p>
    <w:p w14:paraId="6EC74A94">
      <w:pPr>
        <w:pStyle w:val="2"/>
        <w:bidi w:val="0"/>
        <w:spacing w:before="0" w:beforeLines="0" w:line="560" w:lineRule="exact"/>
        <w:rPr>
          <w:rFonts w:hint="default"/>
          <w:highlight w:val="none"/>
        </w:rPr>
      </w:pPr>
      <w:bookmarkStart w:id="66" w:name="_Toc384549801"/>
      <w:bookmarkStart w:id="67" w:name="_Toc364507212"/>
      <w:bookmarkStart w:id="68" w:name="_Toc103096318"/>
      <w:bookmarkStart w:id="69" w:name="_Toc103094563"/>
      <w:bookmarkStart w:id="70" w:name="_Toc31746"/>
      <w:r>
        <w:rPr>
          <w:rFonts w:hint="default"/>
          <w:highlight w:val="none"/>
        </w:rPr>
        <w:t>三、</w:t>
      </w:r>
      <w:bookmarkEnd w:id="65"/>
      <w:r>
        <w:rPr>
          <w:rFonts w:hint="default"/>
          <w:highlight w:val="none"/>
        </w:rPr>
        <w:t>综合评价情况及评价结论</w:t>
      </w:r>
      <w:bookmarkEnd w:id="66"/>
      <w:bookmarkEnd w:id="67"/>
      <w:bookmarkEnd w:id="68"/>
      <w:bookmarkEnd w:id="69"/>
      <w:bookmarkEnd w:id="70"/>
    </w:p>
    <w:p w14:paraId="432DB509">
      <w:pPr>
        <w:spacing w:line="560" w:lineRule="exact"/>
        <w:ind w:firstLine="640"/>
        <w:rPr>
          <w:rFonts w:hint="default" w:ascii="Times New Roman" w:hAnsi="Times New Roman" w:cs="Times New Roman"/>
          <w:color w:val="auto"/>
          <w:highlight w:val="none"/>
        </w:rPr>
      </w:pPr>
      <w:r>
        <w:rPr>
          <w:rFonts w:hint="default" w:ascii="Times New Roman" w:hAnsi="Times New Roman" w:cs="Times New Roman"/>
          <w:highlight w:val="none"/>
        </w:rPr>
        <w:t>经综合评价，市</w:t>
      </w:r>
      <w:r>
        <w:rPr>
          <w:rFonts w:hint="default" w:ascii="Times New Roman" w:hAnsi="Times New Roman" w:cs="Times New Roman"/>
          <w:highlight w:val="none"/>
          <w:lang w:eastAsia="zh-Hans"/>
        </w:rPr>
        <w:t>民政局</w:t>
      </w:r>
      <w:r>
        <w:rPr>
          <w:rFonts w:hint="eastAsia" w:cs="Times New Roman"/>
          <w:highlight w:val="none"/>
          <w:lang w:val="en-US" w:eastAsia="zh-CN"/>
        </w:rPr>
        <w:t>2024年度“</w:t>
      </w:r>
      <w:r>
        <w:rPr>
          <w:rFonts w:hint="default" w:ascii="Times New Roman" w:hAnsi="Times New Roman" w:cs="Times New Roman"/>
          <w:highlight w:val="none"/>
          <w:lang w:eastAsia="zh-Hans"/>
        </w:rPr>
        <w:t>农村邻里互助养老服务点转移支付资金</w:t>
      </w:r>
      <w:r>
        <w:rPr>
          <w:rFonts w:hint="eastAsia" w:cs="Times New Roman"/>
          <w:highlight w:val="none"/>
          <w:lang w:eastAsia="zh-CN"/>
        </w:rPr>
        <w:t>”</w:t>
      </w:r>
      <w:r>
        <w:rPr>
          <w:rFonts w:hint="default" w:ascii="Times New Roman" w:hAnsi="Times New Roman" w:cs="Times New Roman"/>
          <w:highlight w:val="none"/>
        </w:rPr>
        <w:t>项目得分8</w:t>
      </w:r>
      <w:r>
        <w:rPr>
          <w:rFonts w:hint="eastAsia" w:cs="Times New Roman"/>
          <w:highlight w:val="none"/>
          <w:lang w:val="en-US" w:eastAsia="zh-CN"/>
        </w:rPr>
        <w:t>7.91</w:t>
      </w:r>
      <w:r>
        <w:rPr>
          <w:rFonts w:hint="default" w:ascii="Times New Roman" w:hAnsi="Times New Roman" w:cs="Times New Roman"/>
          <w:highlight w:val="none"/>
        </w:rPr>
        <w:t>分，综合绩效级别为</w:t>
      </w:r>
      <w:r>
        <w:rPr>
          <w:rFonts w:hint="eastAsia" w:cs="Times New Roman"/>
          <w:highlight w:val="none"/>
          <w:lang w:eastAsia="zh-CN"/>
        </w:rPr>
        <w:t>“</w:t>
      </w:r>
      <w:r>
        <w:rPr>
          <w:rFonts w:hint="default" w:ascii="Times New Roman" w:hAnsi="Times New Roman" w:cs="Times New Roman"/>
          <w:highlight w:val="none"/>
          <w:lang w:eastAsia="zh-Hans"/>
        </w:rPr>
        <w:t>良</w:t>
      </w:r>
      <w:r>
        <w:rPr>
          <w:rFonts w:hint="eastAsia" w:cs="Times New Roman"/>
          <w:highlight w:val="none"/>
          <w:lang w:eastAsia="zh-CN"/>
        </w:rPr>
        <w:t>”</w:t>
      </w:r>
      <w:r>
        <w:rPr>
          <w:rFonts w:hint="default" w:ascii="Times New Roman" w:hAnsi="Times New Roman" w:cs="Times New Roman"/>
          <w:highlight w:val="none"/>
        </w:rPr>
        <w:t>。该</w:t>
      </w:r>
      <w:r>
        <w:rPr>
          <w:rFonts w:hint="default" w:ascii="Times New Roman" w:hAnsi="Times New Roman" w:cs="Times New Roman"/>
          <w:color w:val="auto"/>
          <w:highlight w:val="none"/>
        </w:rPr>
        <w:t>项目各指标得分和综合评价结论具体如下：</w:t>
      </w:r>
    </w:p>
    <w:p w14:paraId="3EF8C3E4">
      <w:pPr>
        <w:spacing w:line="560" w:lineRule="exact"/>
        <w:ind w:firstLine="640"/>
        <w:rPr>
          <w:rFonts w:hint="default" w:ascii="Times New Roman" w:hAnsi="Times New Roman" w:cs="Times New Roman"/>
          <w:bCs/>
          <w:color w:val="auto"/>
          <w:highlight w:val="none"/>
          <w:lang w:val="en-US" w:eastAsia="zh-CN"/>
        </w:rPr>
      </w:pPr>
      <w:r>
        <w:rPr>
          <w:rFonts w:hint="default" w:ascii="Times New Roman" w:hAnsi="Times New Roman" w:cs="Times New Roman"/>
          <w:color w:val="auto"/>
          <w:highlight w:val="none"/>
        </w:rPr>
        <w:t>项目决策。该指标分值1</w:t>
      </w:r>
      <w:r>
        <w:rPr>
          <w:rFonts w:hint="default" w:ascii="Times New Roman" w:hAnsi="Times New Roman" w:cs="Times New Roman"/>
          <w:color w:val="auto"/>
          <w:highlight w:val="none"/>
          <w:lang w:val="en-US" w:eastAsia="zh-CN"/>
        </w:rPr>
        <w:t>0</w:t>
      </w:r>
      <w:r>
        <w:rPr>
          <w:rFonts w:hint="default" w:ascii="Times New Roman" w:hAnsi="Times New Roman" w:cs="Times New Roman"/>
          <w:color w:val="auto"/>
          <w:highlight w:val="none"/>
        </w:rPr>
        <w:t>分，评价得分</w:t>
      </w:r>
      <w:r>
        <w:rPr>
          <w:rFonts w:hint="default" w:ascii="Times New Roman" w:hAnsi="Times New Roman" w:cs="Times New Roman"/>
          <w:color w:val="auto"/>
          <w:highlight w:val="none"/>
          <w:lang w:val="en-US" w:eastAsia="zh-CN"/>
        </w:rPr>
        <w:t>8.</w:t>
      </w:r>
      <w:r>
        <w:rPr>
          <w:rFonts w:hint="eastAsia" w:cs="Times New Roman"/>
          <w:color w:val="auto"/>
          <w:highlight w:val="none"/>
          <w:lang w:val="en-US" w:eastAsia="zh-CN"/>
        </w:rPr>
        <w:t>0</w:t>
      </w:r>
      <w:r>
        <w:rPr>
          <w:rFonts w:hint="default" w:ascii="Times New Roman" w:hAnsi="Times New Roman" w:cs="Times New Roman"/>
          <w:color w:val="auto"/>
          <w:highlight w:val="none"/>
          <w:lang w:val="en-US" w:eastAsia="zh-CN"/>
        </w:rPr>
        <w:t>8</w:t>
      </w:r>
      <w:r>
        <w:rPr>
          <w:rFonts w:hint="default" w:ascii="Times New Roman" w:hAnsi="Times New Roman" w:cs="Times New Roman"/>
          <w:color w:val="auto"/>
          <w:highlight w:val="none"/>
        </w:rPr>
        <w:t>分。</w:t>
      </w:r>
      <w:r>
        <w:rPr>
          <w:rFonts w:hint="default" w:ascii="Times New Roman" w:hAnsi="Times New Roman" w:cs="Times New Roman"/>
          <w:bCs/>
          <w:color w:val="auto"/>
          <w:highlight w:val="none"/>
        </w:rPr>
        <w:t>该项目整体层面立项依据较为充分，立项程序较为规范，但</w:t>
      </w:r>
      <w:r>
        <w:rPr>
          <w:rFonts w:hint="default" w:ascii="Times New Roman" w:hAnsi="Times New Roman" w:cs="Times New Roman"/>
          <w:bCs/>
          <w:color w:val="auto"/>
          <w:highlight w:val="none"/>
          <w:lang w:eastAsia="zh-Hans"/>
        </w:rPr>
        <w:t>绩效</w:t>
      </w:r>
      <w:r>
        <w:rPr>
          <w:rFonts w:hint="default" w:ascii="Times New Roman" w:hAnsi="Times New Roman" w:cs="Times New Roman"/>
          <w:bCs/>
          <w:color w:val="auto"/>
          <w:highlight w:val="none"/>
          <w:lang w:val="en-US" w:eastAsia="zh-CN"/>
        </w:rPr>
        <w:t>指标</w:t>
      </w:r>
      <w:r>
        <w:rPr>
          <w:rFonts w:hint="default" w:ascii="Times New Roman" w:hAnsi="Times New Roman" w:cs="Times New Roman"/>
          <w:bCs/>
          <w:color w:val="auto"/>
          <w:highlight w:val="none"/>
          <w:lang w:eastAsia="zh-Hans"/>
        </w:rPr>
        <w:t>设置</w:t>
      </w:r>
      <w:r>
        <w:rPr>
          <w:rFonts w:hint="default" w:ascii="Times New Roman" w:hAnsi="Times New Roman" w:cs="Times New Roman"/>
          <w:bCs/>
          <w:color w:val="auto"/>
          <w:highlight w:val="none"/>
        </w:rPr>
        <w:t>有待</w:t>
      </w:r>
      <w:r>
        <w:rPr>
          <w:rFonts w:hint="default" w:ascii="Times New Roman" w:hAnsi="Times New Roman" w:cs="Times New Roman"/>
          <w:bCs/>
          <w:color w:val="auto"/>
          <w:highlight w:val="none"/>
          <w:lang w:val="en-US" w:eastAsia="zh-CN"/>
        </w:rPr>
        <w:t>完善</w:t>
      </w:r>
      <w:r>
        <w:rPr>
          <w:rFonts w:hint="eastAsia" w:cs="Times New Roman"/>
          <w:bCs/>
          <w:color w:val="auto"/>
          <w:highlight w:val="none"/>
          <w:lang w:val="en-US" w:eastAsia="zh-CN"/>
        </w:rPr>
        <w:t>，预算编制科学性、</w:t>
      </w:r>
      <w:r>
        <w:rPr>
          <w:rFonts w:hint="default" w:ascii="Times New Roman" w:hAnsi="Times New Roman" w:cs="Times New Roman"/>
          <w:bCs/>
          <w:color w:val="auto"/>
          <w:highlight w:val="none"/>
          <w:lang w:val="en-US" w:eastAsia="zh-CN"/>
        </w:rPr>
        <w:t>资金</w:t>
      </w:r>
      <w:r>
        <w:rPr>
          <w:rFonts w:hint="eastAsia" w:ascii="Times New Roman" w:hAnsi="Times New Roman" w:cs="Times New Roman"/>
          <w:bCs/>
          <w:color w:val="auto"/>
          <w:highlight w:val="none"/>
          <w:lang w:val="en-US" w:eastAsia="zh-CN"/>
        </w:rPr>
        <w:t>分配合理性待进一步加强。</w:t>
      </w:r>
    </w:p>
    <w:p w14:paraId="26D60D68">
      <w:pPr>
        <w:spacing w:line="560" w:lineRule="exact"/>
        <w:ind w:firstLine="640"/>
        <w:rPr>
          <w:rFonts w:hint="default" w:ascii="Times New Roman" w:hAnsi="Times New Roman" w:cs="Times New Roman"/>
          <w:bCs/>
          <w:color w:val="auto"/>
          <w:highlight w:val="none"/>
        </w:rPr>
      </w:pPr>
      <w:r>
        <w:rPr>
          <w:rFonts w:hint="default" w:ascii="Times New Roman" w:hAnsi="Times New Roman" w:cs="Times New Roman"/>
          <w:color w:val="auto"/>
          <w:highlight w:val="none"/>
        </w:rPr>
        <w:t>项目过程。该指标分值</w:t>
      </w:r>
      <w:r>
        <w:rPr>
          <w:rFonts w:hint="default" w:ascii="Times New Roman" w:hAnsi="Times New Roman" w:cs="Times New Roman"/>
          <w:color w:val="auto"/>
          <w:highlight w:val="none"/>
          <w:lang w:val="en-US" w:eastAsia="zh-CN"/>
        </w:rPr>
        <w:t>20</w:t>
      </w:r>
      <w:r>
        <w:rPr>
          <w:rFonts w:hint="default" w:ascii="Times New Roman" w:hAnsi="Times New Roman" w:cs="Times New Roman"/>
          <w:color w:val="auto"/>
          <w:highlight w:val="none"/>
        </w:rPr>
        <w:t>分，评价得分1</w:t>
      </w:r>
      <w:r>
        <w:rPr>
          <w:rFonts w:hint="default" w:ascii="Times New Roman" w:hAnsi="Times New Roman" w:cs="Times New Roman"/>
          <w:color w:val="auto"/>
          <w:highlight w:val="none"/>
          <w:lang w:val="en-US" w:eastAsia="zh-CN"/>
        </w:rPr>
        <w:t>6.</w:t>
      </w:r>
      <w:r>
        <w:rPr>
          <w:rFonts w:hint="eastAsia" w:cs="Times New Roman"/>
          <w:color w:val="auto"/>
          <w:highlight w:val="none"/>
          <w:lang w:val="en-US" w:eastAsia="zh-CN"/>
        </w:rPr>
        <w:t>23</w:t>
      </w:r>
      <w:r>
        <w:rPr>
          <w:rFonts w:hint="default" w:ascii="Times New Roman" w:hAnsi="Times New Roman" w:cs="Times New Roman"/>
          <w:color w:val="auto"/>
          <w:highlight w:val="none"/>
        </w:rPr>
        <w:t>分。该项目</w:t>
      </w:r>
      <w:r>
        <w:rPr>
          <w:rFonts w:hint="default" w:ascii="Times New Roman" w:hAnsi="Times New Roman" w:cs="Times New Roman"/>
          <w:color w:val="auto"/>
          <w:highlight w:val="none"/>
          <w:lang w:val="en-US" w:eastAsia="zh-CN"/>
        </w:rPr>
        <w:t>资金管理与组织实施</w:t>
      </w:r>
      <w:r>
        <w:rPr>
          <w:rFonts w:hint="eastAsia" w:cs="Times New Roman"/>
          <w:color w:val="auto"/>
          <w:highlight w:val="none"/>
          <w:lang w:val="en-US" w:eastAsia="zh-CN"/>
        </w:rPr>
        <w:t>方面</w:t>
      </w:r>
      <w:r>
        <w:rPr>
          <w:rFonts w:hint="default" w:ascii="Times New Roman" w:hAnsi="Times New Roman" w:cs="Times New Roman"/>
          <w:color w:val="auto"/>
          <w:highlight w:val="none"/>
          <w:lang w:val="en-US" w:eastAsia="zh-CN"/>
        </w:rPr>
        <w:t>有待加强</w:t>
      </w:r>
      <w:r>
        <w:rPr>
          <w:rFonts w:hint="default" w:ascii="Times New Roman" w:hAnsi="Times New Roman" w:cs="Times New Roman"/>
          <w:bCs/>
          <w:color w:val="auto"/>
          <w:highlight w:val="none"/>
        </w:rPr>
        <w:t>。</w:t>
      </w:r>
    </w:p>
    <w:p w14:paraId="2E952510">
      <w:pPr>
        <w:spacing w:line="560" w:lineRule="exact"/>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t>项目产出。该指标分值</w:t>
      </w:r>
      <w:r>
        <w:rPr>
          <w:rFonts w:hint="default" w:ascii="Times New Roman" w:hAnsi="Times New Roman" w:cs="Times New Roman"/>
          <w:color w:val="auto"/>
          <w:highlight w:val="none"/>
          <w:lang w:val="en-US" w:eastAsia="zh-CN"/>
        </w:rPr>
        <w:t>40</w:t>
      </w:r>
      <w:r>
        <w:rPr>
          <w:rFonts w:hint="default" w:ascii="Times New Roman" w:hAnsi="Times New Roman" w:cs="Times New Roman"/>
          <w:color w:val="auto"/>
          <w:highlight w:val="none"/>
        </w:rPr>
        <w:t>分，评价得分</w:t>
      </w:r>
      <w:r>
        <w:rPr>
          <w:rFonts w:hint="default" w:ascii="Times New Roman" w:hAnsi="Times New Roman" w:cs="Times New Roman"/>
          <w:color w:val="auto"/>
          <w:highlight w:val="none"/>
          <w:lang w:val="en-US" w:eastAsia="zh-CN"/>
        </w:rPr>
        <w:t>38.</w:t>
      </w:r>
      <w:r>
        <w:rPr>
          <w:rFonts w:hint="eastAsia" w:cs="Times New Roman"/>
          <w:color w:val="auto"/>
          <w:highlight w:val="none"/>
          <w:lang w:val="en-US" w:eastAsia="zh-CN"/>
        </w:rPr>
        <w:t>20</w:t>
      </w:r>
      <w:r>
        <w:rPr>
          <w:rFonts w:hint="default" w:ascii="Times New Roman" w:hAnsi="Times New Roman" w:cs="Times New Roman"/>
          <w:color w:val="auto"/>
          <w:highlight w:val="none"/>
        </w:rPr>
        <w:t>分。</w:t>
      </w:r>
      <w:r>
        <w:rPr>
          <w:rFonts w:hint="default" w:ascii="Times New Roman" w:hAnsi="Times New Roman" w:cs="Times New Roman"/>
          <w:bCs/>
          <w:color w:val="auto"/>
          <w:highlight w:val="none"/>
        </w:rPr>
        <w:t>该项目产出较为明确，</w:t>
      </w:r>
      <w:r>
        <w:rPr>
          <w:rFonts w:hint="default" w:ascii="Times New Roman" w:hAnsi="Times New Roman" w:cs="Times New Roman"/>
          <w:bCs/>
          <w:color w:val="auto"/>
          <w:highlight w:val="none"/>
          <w:lang w:eastAsia="zh-Hans"/>
        </w:rPr>
        <w:t>产出</w:t>
      </w:r>
      <w:r>
        <w:rPr>
          <w:rFonts w:hint="eastAsia" w:cs="Times New Roman"/>
          <w:bCs/>
          <w:color w:val="auto"/>
          <w:highlight w:val="none"/>
          <w:lang w:val="en-US" w:eastAsia="zh-CN"/>
        </w:rPr>
        <w:t>数量</w:t>
      </w:r>
      <w:r>
        <w:rPr>
          <w:rFonts w:hint="eastAsia" w:ascii="Times New Roman" w:hAnsi="Times New Roman" w:cs="Times New Roman"/>
          <w:bCs/>
          <w:color w:val="auto"/>
          <w:highlight w:val="none"/>
          <w:lang w:val="en-US" w:eastAsia="zh-CN"/>
        </w:rPr>
        <w:t>与完成时效</w:t>
      </w:r>
      <w:r>
        <w:rPr>
          <w:rFonts w:hint="default" w:ascii="Times New Roman" w:hAnsi="Times New Roman" w:cs="Times New Roman"/>
          <w:bCs/>
          <w:color w:val="auto"/>
          <w:highlight w:val="none"/>
          <w:lang w:val="en-US" w:eastAsia="zh-CN"/>
        </w:rPr>
        <w:t>良好</w:t>
      </w:r>
      <w:r>
        <w:rPr>
          <w:rFonts w:hint="default" w:ascii="Times New Roman" w:hAnsi="Times New Roman" w:cs="Times New Roman"/>
          <w:bCs/>
          <w:color w:val="auto"/>
          <w:highlight w:val="none"/>
          <w:lang w:eastAsia="zh-Hans"/>
        </w:rPr>
        <w:t>，但</w:t>
      </w:r>
      <w:r>
        <w:rPr>
          <w:rFonts w:hint="eastAsia" w:cs="Times New Roman"/>
          <w:bCs/>
          <w:color w:val="auto"/>
          <w:highlight w:val="none"/>
          <w:lang w:val="en-US" w:eastAsia="zh-CN"/>
        </w:rPr>
        <w:t>产出</w:t>
      </w:r>
      <w:r>
        <w:rPr>
          <w:rFonts w:hint="eastAsia" w:ascii="Times New Roman" w:hAnsi="Times New Roman" w:cs="Times New Roman"/>
          <w:bCs/>
          <w:color w:val="auto"/>
          <w:highlight w:val="none"/>
          <w:lang w:val="en-US" w:eastAsia="zh-CN"/>
        </w:rPr>
        <w:t>质量与</w:t>
      </w:r>
      <w:r>
        <w:rPr>
          <w:rFonts w:hint="default" w:ascii="Times New Roman" w:hAnsi="Times New Roman" w:cs="Times New Roman"/>
          <w:bCs/>
          <w:color w:val="auto"/>
          <w:highlight w:val="none"/>
        </w:rPr>
        <w:t>成本控制有待加强。</w:t>
      </w:r>
    </w:p>
    <w:p w14:paraId="5B15C0C3">
      <w:pPr>
        <w:spacing w:line="560" w:lineRule="exact"/>
        <w:ind w:firstLine="640"/>
        <w:rPr>
          <w:rFonts w:hint="eastAsia" w:cs="Times New Roman"/>
          <w:color w:val="auto"/>
          <w:highlight w:val="none"/>
          <w:lang w:eastAsia="zh-CN"/>
        </w:rPr>
      </w:pPr>
      <w:r>
        <w:rPr>
          <w:rFonts w:hint="default" w:ascii="Times New Roman" w:hAnsi="Times New Roman" w:cs="Times New Roman"/>
          <w:color w:val="auto"/>
          <w:highlight w:val="none"/>
        </w:rPr>
        <w:t>项目效益。该指标分值</w:t>
      </w:r>
      <w:r>
        <w:rPr>
          <w:rFonts w:hint="default" w:ascii="Times New Roman" w:hAnsi="Times New Roman" w:cs="Times New Roman"/>
          <w:color w:val="auto"/>
          <w:highlight w:val="none"/>
          <w:lang w:val="en-US" w:eastAsia="zh-CN"/>
        </w:rPr>
        <w:t>30</w:t>
      </w:r>
      <w:r>
        <w:rPr>
          <w:rFonts w:hint="default" w:ascii="Times New Roman" w:hAnsi="Times New Roman" w:cs="Times New Roman"/>
          <w:color w:val="auto"/>
          <w:highlight w:val="none"/>
        </w:rPr>
        <w:t>分，评价得分</w:t>
      </w:r>
      <w:r>
        <w:rPr>
          <w:rFonts w:hint="default" w:ascii="Times New Roman" w:hAnsi="Times New Roman" w:cs="Times New Roman"/>
          <w:color w:val="auto"/>
          <w:highlight w:val="none"/>
          <w:lang w:val="en-US" w:eastAsia="zh-CN"/>
        </w:rPr>
        <w:t>25.</w:t>
      </w:r>
      <w:r>
        <w:rPr>
          <w:rFonts w:hint="eastAsia" w:cs="Times New Roman"/>
          <w:color w:val="auto"/>
          <w:highlight w:val="none"/>
          <w:lang w:val="en-US" w:eastAsia="zh-CN"/>
        </w:rPr>
        <w:t>40</w:t>
      </w:r>
      <w:r>
        <w:rPr>
          <w:rFonts w:hint="default" w:ascii="Times New Roman" w:hAnsi="Times New Roman" w:cs="Times New Roman"/>
          <w:color w:val="auto"/>
          <w:highlight w:val="none"/>
        </w:rPr>
        <w:t>分。</w:t>
      </w:r>
      <w:r>
        <w:rPr>
          <w:rFonts w:hint="default" w:ascii="Times New Roman" w:hAnsi="Times New Roman" w:cs="Times New Roman"/>
          <w:bCs/>
          <w:color w:val="auto"/>
          <w:highlight w:val="none"/>
        </w:rPr>
        <w:t>该项目整体效益实现情况良好</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Hans"/>
        </w:rPr>
        <w:t>服务对象满意度水平较高</w:t>
      </w:r>
      <w:r>
        <w:rPr>
          <w:rFonts w:hint="eastAsia" w:cs="Times New Roman"/>
          <w:color w:val="auto"/>
          <w:highlight w:val="none"/>
          <w:lang w:eastAsia="zh-CN"/>
        </w:rPr>
        <w:t>，</w:t>
      </w:r>
      <w:r>
        <w:rPr>
          <w:rFonts w:hint="eastAsia" w:cs="Times New Roman"/>
          <w:color w:val="auto"/>
          <w:highlight w:val="none"/>
          <w:lang w:val="en-US" w:eastAsia="zh-CN"/>
        </w:rPr>
        <w:t>但</w:t>
      </w:r>
      <w:r>
        <w:rPr>
          <w:rFonts w:hint="eastAsia" w:cs="Times New Roman"/>
          <w:color w:val="auto"/>
          <w:highlight w:val="none"/>
          <w:lang w:eastAsia="zh-CN"/>
        </w:rPr>
        <w:t>满意度调查的内容、方式、时间节点等有待进一步优化。</w:t>
      </w:r>
    </w:p>
    <w:p w14:paraId="411A7D14">
      <w:pPr>
        <w:pStyle w:val="12"/>
        <w:keepNext w:val="0"/>
        <w:keepLines w:val="0"/>
        <w:pageBreakBefore w:val="0"/>
        <w:widowControl w:val="0"/>
        <w:kinsoku/>
        <w:wordWrap/>
        <w:overflowPunct/>
        <w:topLinePunct w:val="0"/>
        <w:autoSpaceDE/>
        <w:autoSpaceDN/>
        <w:bidi w:val="0"/>
        <w:adjustRightInd/>
        <w:snapToGrid w:val="0"/>
        <w:spacing w:after="217" w:afterLines="50" w:line="560" w:lineRule="exact"/>
        <w:ind w:left="0" w:leftChars="0" w:firstLine="0" w:firstLineChars="0"/>
        <w:jc w:val="center"/>
        <w:textAlignment w:val="auto"/>
        <w:rPr>
          <w:rFonts w:hint="default" w:ascii="Times New Roman" w:hAnsi="Times New Roman" w:eastAsia="黑体" w:cs="Times New Roman"/>
          <w:sz w:val="24"/>
          <w:szCs w:val="24"/>
          <w:highlight w:val="none"/>
        </w:rPr>
      </w:pPr>
      <w:r>
        <w:rPr>
          <w:rFonts w:hint="default" w:ascii="Times New Roman" w:hAnsi="Times New Roman" w:eastAsia="黑体" w:cs="Times New Roman"/>
          <w:sz w:val="24"/>
          <w:szCs w:val="24"/>
          <w:highlight w:val="none"/>
          <w:lang w:val="en-US" w:eastAsia="zh-CN"/>
        </w:rPr>
        <w:t>表5</w:t>
      </w:r>
      <w:r>
        <w:rPr>
          <w:rFonts w:hint="eastAsia" w:ascii="Times New Roman" w:hAnsi="Times New Roman" w:eastAsia="黑体" w:cs="Times New Roman"/>
          <w:sz w:val="24"/>
          <w:szCs w:val="24"/>
          <w:highlight w:val="none"/>
          <w:lang w:val="en-US" w:eastAsia="zh-CN"/>
        </w:rPr>
        <w:t xml:space="preserve"> </w:t>
      </w:r>
      <w:r>
        <w:rPr>
          <w:rFonts w:hint="default" w:ascii="Times New Roman" w:hAnsi="Times New Roman" w:eastAsia="黑体" w:cs="Times New Roman"/>
          <w:sz w:val="24"/>
          <w:szCs w:val="24"/>
          <w:highlight w:val="none"/>
        </w:rPr>
        <w:t>农村邻里互助养老服务点转移支付资金项目总体评价得分</w:t>
      </w:r>
    </w:p>
    <w:tbl>
      <w:tblPr>
        <w:tblStyle w:val="22"/>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14:paraId="16487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tblHeader/>
          <w:jc w:val="center"/>
        </w:trPr>
        <w:tc>
          <w:tcPr>
            <w:tcW w:w="2250" w:type="dxa"/>
            <w:shd w:val="clear" w:color="auto" w:fill="BEBEBE" w:themeFill="background1" w:themeFillShade="BF"/>
            <w:vAlign w:val="center"/>
          </w:tcPr>
          <w:p w14:paraId="4D06D529">
            <w:pPr>
              <w:spacing w:line="340" w:lineRule="exact"/>
              <w:ind w:firstLine="0" w:firstLineChars="0"/>
              <w:jc w:val="center"/>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评价内容</w:t>
            </w:r>
          </w:p>
        </w:tc>
        <w:tc>
          <w:tcPr>
            <w:tcW w:w="3240" w:type="dxa"/>
            <w:shd w:val="clear" w:color="auto" w:fill="BEBEBE" w:themeFill="background1" w:themeFillShade="BF"/>
            <w:vAlign w:val="center"/>
          </w:tcPr>
          <w:p w14:paraId="7195969C">
            <w:pPr>
              <w:spacing w:line="340" w:lineRule="exact"/>
              <w:ind w:firstLine="0" w:firstLineChars="0"/>
              <w:jc w:val="center"/>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分值</w:t>
            </w:r>
          </w:p>
        </w:tc>
        <w:tc>
          <w:tcPr>
            <w:tcW w:w="2995" w:type="dxa"/>
            <w:shd w:val="clear" w:color="auto" w:fill="BEBEBE" w:themeFill="background1" w:themeFillShade="BF"/>
            <w:vAlign w:val="center"/>
          </w:tcPr>
          <w:p w14:paraId="2844BBFE">
            <w:pPr>
              <w:spacing w:line="340" w:lineRule="exact"/>
              <w:ind w:firstLine="0" w:firstLineChars="0"/>
              <w:jc w:val="center"/>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评价得分</w:t>
            </w:r>
          </w:p>
        </w:tc>
      </w:tr>
      <w:tr w14:paraId="26B8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1B4264EF">
            <w:pPr>
              <w:pStyle w:val="7"/>
              <w:spacing w:line="340" w:lineRule="exact"/>
              <w:ind w:firstLine="0" w:firstLineChars="0"/>
              <w:jc w:val="center"/>
              <w:rPr>
                <w:rFonts w:hint="default" w:ascii="Times New Roman" w:hAnsi="Times New Roman" w:eastAsia="宋体" w:cs="Times New Roman"/>
                <w:b/>
                <w:bCs w:val="0"/>
                <w:sz w:val="21"/>
                <w:szCs w:val="21"/>
                <w:highlight w:val="none"/>
              </w:rPr>
            </w:pPr>
            <w:r>
              <w:rPr>
                <w:rFonts w:hint="default" w:ascii="Times New Roman" w:hAnsi="Times New Roman" w:eastAsia="宋体" w:cs="Times New Roman"/>
                <w:b/>
                <w:bCs w:val="0"/>
                <w:sz w:val="21"/>
                <w:szCs w:val="21"/>
                <w:highlight w:val="none"/>
              </w:rPr>
              <w:t>项目决策</w:t>
            </w:r>
          </w:p>
        </w:tc>
        <w:tc>
          <w:tcPr>
            <w:tcW w:w="3240" w:type="dxa"/>
            <w:vAlign w:val="center"/>
          </w:tcPr>
          <w:p w14:paraId="33A0B68F">
            <w:pPr>
              <w:spacing w:line="340" w:lineRule="exact"/>
              <w:ind w:firstLine="0" w:firstLineChars="0"/>
              <w:jc w:val="center"/>
              <w:rPr>
                <w:rFonts w:hint="default" w:ascii="Times New Roman" w:hAnsi="Times New Roman" w:eastAsia="宋体" w:cs="Times New Roman"/>
                <w:bCs/>
                <w:sz w:val="21"/>
                <w:szCs w:val="21"/>
                <w:highlight w:val="none"/>
              </w:rPr>
            </w:pPr>
            <w:r>
              <w:rPr>
                <w:rFonts w:hint="default" w:ascii="Times New Roman" w:hAnsi="Times New Roman" w:eastAsia="宋体" w:cs="Times New Roman"/>
                <w:bCs/>
                <w:sz w:val="21"/>
                <w:szCs w:val="21"/>
                <w:highlight w:val="none"/>
              </w:rPr>
              <w:t>1</w:t>
            </w:r>
            <w:r>
              <w:rPr>
                <w:rFonts w:hint="default" w:ascii="Times New Roman" w:hAnsi="Times New Roman" w:eastAsia="宋体" w:cs="Times New Roman"/>
                <w:bCs/>
                <w:sz w:val="21"/>
                <w:szCs w:val="21"/>
                <w:highlight w:val="none"/>
                <w:lang w:val="en-US" w:eastAsia="zh-CN"/>
              </w:rPr>
              <w:t>0</w:t>
            </w:r>
            <w:r>
              <w:rPr>
                <w:rFonts w:hint="default" w:ascii="Times New Roman" w:hAnsi="Times New Roman" w:eastAsia="宋体" w:cs="Times New Roman"/>
                <w:bCs/>
                <w:sz w:val="21"/>
                <w:szCs w:val="21"/>
                <w:highlight w:val="none"/>
              </w:rPr>
              <w:t>.00</w:t>
            </w:r>
          </w:p>
        </w:tc>
        <w:tc>
          <w:tcPr>
            <w:tcW w:w="2995" w:type="dxa"/>
            <w:shd w:val="clear" w:color="auto" w:fill="auto"/>
            <w:vAlign w:val="center"/>
          </w:tcPr>
          <w:p w14:paraId="4C0ED7D3">
            <w:pPr>
              <w:spacing w:line="340" w:lineRule="exact"/>
              <w:ind w:firstLine="0" w:firstLineChars="0"/>
              <w:jc w:val="center"/>
              <w:rPr>
                <w:rFonts w:hint="default" w:ascii="Times New Roman" w:hAnsi="Times New Roman" w:eastAsia="宋体" w:cs="Times New Roman"/>
                <w:bCs/>
                <w:sz w:val="21"/>
                <w:szCs w:val="21"/>
                <w:highlight w:val="none"/>
                <w:lang w:val="en-US" w:eastAsia="zh-CN"/>
              </w:rPr>
            </w:pPr>
            <w:r>
              <w:rPr>
                <w:rFonts w:hint="default" w:ascii="Times New Roman" w:hAnsi="Times New Roman" w:eastAsia="宋体" w:cs="Times New Roman"/>
                <w:bCs/>
                <w:sz w:val="21"/>
                <w:szCs w:val="21"/>
                <w:highlight w:val="none"/>
                <w:lang w:val="en-US" w:eastAsia="zh-CN"/>
              </w:rPr>
              <w:t>8.</w:t>
            </w:r>
            <w:r>
              <w:rPr>
                <w:rFonts w:hint="eastAsia" w:eastAsia="宋体" w:cs="Times New Roman"/>
                <w:bCs/>
                <w:sz w:val="21"/>
                <w:szCs w:val="21"/>
                <w:highlight w:val="none"/>
                <w:lang w:val="en-US" w:eastAsia="zh-CN"/>
              </w:rPr>
              <w:t>0</w:t>
            </w:r>
            <w:r>
              <w:rPr>
                <w:rFonts w:hint="default" w:ascii="Times New Roman" w:hAnsi="Times New Roman" w:eastAsia="宋体" w:cs="Times New Roman"/>
                <w:bCs/>
                <w:sz w:val="21"/>
                <w:szCs w:val="21"/>
                <w:highlight w:val="none"/>
                <w:lang w:val="en-US" w:eastAsia="zh-CN"/>
              </w:rPr>
              <w:t>8</w:t>
            </w:r>
          </w:p>
        </w:tc>
      </w:tr>
      <w:tr w14:paraId="7E2F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75B1E78F">
            <w:pPr>
              <w:spacing w:line="340" w:lineRule="exact"/>
              <w:ind w:firstLine="0" w:firstLineChars="0"/>
              <w:jc w:val="center"/>
              <w:rPr>
                <w:rFonts w:hint="default" w:ascii="Times New Roman" w:hAnsi="Times New Roman" w:eastAsia="宋体" w:cs="Times New Roman"/>
                <w:b/>
                <w:bCs w:val="0"/>
                <w:sz w:val="21"/>
                <w:szCs w:val="21"/>
                <w:highlight w:val="none"/>
              </w:rPr>
            </w:pPr>
            <w:r>
              <w:rPr>
                <w:rFonts w:hint="default" w:ascii="Times New Roman" w:hAnsi="Times New Roman" w:eastAsia="宋体" w:cs="Times New Roman"/>
                <w:b/>
                <w:bCs w:val="0"/>
                <w:sz w:val="21"/>
                <w:szCs w:val="21"/>
                <w:highlight w:val="none"/>
              </w:rPr>
              <w:t>项目过程</w:t>
            </w:r>
          </w:p>
        </w:tc>
        <w:tc>
          <w:tcPr>
            <w:tcW w:w="3240" w:type="dxa"/>
            <w:vAlign w:val="center"/>
          </w:tcPr>
          <w:p w14:paraId="4E668520">
            <w:pPr>
              <w:spacing w:line="340" w:lineRule="exact"/>
              <w:ind w:firstLine="0" w:firstLineChars="0"/>
              <w:jc w:val="center"/>
              <w:rPr>
                <w:rFonts w:hint="default" w:ascii="Times New Roman" w:hAnsi="Times New Roman" w:eastAsia="宋体" w:cs="Times New Roman"/>
                <w:bCs/>
                <w:sz w:val="21"/>
                <w:szCs w:val="21"/>
                <w:highlight w:val="none"/>
              </w:rPr>
            </w:pPr>
            <w:r>
              <w:rPr>
                <w:rFonts w:hint="default" w:ascii="Times New Roman" w:hAnsi="Times New Roman" w:eastAsia="宋体" w:cs="Times New Roman"/>
                <w:bCs/>
                <w:sz w:val="21"/>
                <w:szCs w:val="21"/>
                <w:highlight w:val="none"/>
                <w:lang w:val="en-US" w:eastAsia="zh-CN"/>
              </w:rPr>
              <w:t>20</w:t>
            </w:r>
            <w:r>
              <w:rPr>
                <w:rFonts w:hint="default" w:ascii="Times New Roman" w:hAnsi="Times New Roman" w:eastAsia="宋体" w:cs="Times New Roman"/>
                <w:bCs/>
                <w:sz w:val="21"/>
                <w:szCs w:val="21"/>
                <w:highlight w:val="none"/>
              </w:rPr>
              <w:t>.00</w:t>
            </w:r>
          </w:p>
        </w:tc>
        <w:tc>
          <w:tcPr>
            <w:tcW w:w="2995" w:type="dxa"/>
            <w:shd w:val="clear" w:color="auto" w:fill="auto"/>
            <w:vAlign w:val="center"/>
          </w:tcPr>
          <w:p w14:paraId="62153ABB">
            <w:pPr>
              <w:spacing w:line="340" w:lineRule="exact"/>
              <w:ind w:firstLine="0" w:firstLineChars="0"/>
              <w:jc w:val="center"/>
              <w:rPr>
                <w:rFonts w:hint="default" w:ascii="Times New Roman" w:hAnsi="Times New Roman" w:eastAsia="宋体" w:cs="Times New Roman"/>
                <w:bCs/>
                <w:sz w:val="21"/>
                <w:szCs w:val="21"/>
                <w:highlight w:val="none"/>
                <w:lang w:val="en-US" w:eastAsia="zh-CN"/>
              </w:rPr>
            </w:pPr>
            <w:r>
              <w:rPr>
                <w:rFonts w:hint="default" w:ascii="Times New Roman" w:hAnsi="Times New Roman" w:eastAsia="宋体" w:cs="Times New Roman"/>
                <w:bCs/>
                <w:sz w:val="21"/>
                <w:szCs w:val="21"/>
                <w:highlight w:val="none"/>
                <w:lang w:val="en-US" w:eastAsia="zh-CN"/>
              </w:rPr>
              <w:t>16.</w:t>
            </w:r>
            <w:r>
              <w:rPr>
                <w:rFonts w:hint="eastAsia" w:eastAsia="宋体" w:cs="Times New Roman"/>
                <w:bCs/>
                <w:sz w:val="21"/>
                <w:szCs w:val="21"/>
                <w:highlight w:val="none"/>
                <w:lang w:val="en-US" w:eastAsia="zh-CN"/>
              </w:rPr>
              <w:t>23</w:t>
            </w:r>
          </w:p>
        </w:tc>
      </w:tr>
      <w:tr w14:paraId="0C48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61026968">
            <w:pPr>
              <w:spacing w:line="340" w:lineRule="exact"/>
              <w:ind w:firstLine="0" w:firstLineChars="0"/>
              <w:jc w:val="center"/>
              <w:rPr>
                <w:rFonts w:hint="default" w:ascii="Times New Roman" w:hAnsi="Times New Roman" w:eastAsia="宋体" w:cs="Times New Roman"/>
                <w:b/>
                <w:bCs w:val="0"/>
                <w:sz w:val="21"/>
                <w:szCs w:val="21"/>
                <w:highlight w:val="none"/>
              </w:rPr>
            </w:pPr>
            <w:r>
              <w:rPr>
                <w:rFonts w:hint="default" w:ascii="Times New Roman" w:hAnsi="Times New Roman" w:eastAsia="宋体" w:cs="Times New Roman"/>
                <w:b/>
                <w:bCs w:val="0"/>
                <w:sz w:val="21"/>
                <w:szCs w:val="21"/>
                <w:highlight w:val="none"/>
              </w:rPr>
              <w:t>项目产出</w:t>
            </w:r>
          </w:p>
        </w:tc>
        <w:tc>
          <w:tcPr>
            <w:tcW w:w="3240" w:type="dxa"/>
            <w:vAlign w:val="center"/>
          </w:tcPr>
          <w:p w14:paraId="29A2EC96">
            <w:pPr>
              <w:spacing w:line="340" w:lineRule="exact"/>
              <w:ind w:firstLine="0" w:firstLineChars="0"/>
              <w:jc w:val="center"/>
              <w:rPr>
                <w:rFonts w:hint="default" w:ascii="Times New Roman" w:hAnsi="Times New Roman" w:eastAsia="宋体" w:cs="Times New Roman"/>
                <w:bCs/>
                <w:sz w:val="21"/>
                <w:szCs w:val="21"/>
                <w:highlight w:val="none"/>
                <w:lang w:val="en-US" w:eastAsia="zh-CN"/>
              </w:rPr>
            </w:pPr>
            <w:r>
              <w:rPr>
                <w:rFonts w:hint="default" w:ascii="Times New Roman" w:hAnsi="Times New Roman" w:eastAsia="宋体" w:cs="Times New Roman"/>
                <w:bCs/>
                <w:sz w:val="21"/>
                <w:szCs w:val="21"/>
                <w:highlight w:val="none"/>
                <w:lang w:val="en-US" w:eastAsia="zh-CN"/>
              </w:rPr>
              <w:t>40.00</w:t>
            </w:r>
          </w:p>
        </w:tc>
        <w:tc>
          <w:tcPr>
            <w:tcW w:w="2995" w:type="dxa"/>
            <w:shd w:val="clear" w:color="auto" w:fill="auto"/>
            <w:vAlign w:val="center"/>
          </w:tcPr>
          <w:p w14:paraId="045A0E66">
            <w:pPr>
              <w:spacing w:line="340" w:lineRule="exact"/>
              <w:ind w:firstLine="0" w:firstLineChars="0"/>
              <w:jc w:val="center"/>
              <w:rPr>
                <w:rFonts w:hint="default" w:ascii="Times New Roman" w:hAnsi="Times New Roman" w:eastAsia="宋体" w:cs="Times New Roman"/>
                <w:bCs/>
                <w:sz w:val="21"/>
                <w:szCs w:val="21"/>
                <w:highlight w:val="none"/>
                <w:lang w:val="en-US" w:eastAsia="zh-CN"/>
              </w:rPr>
            </w:pPr>
            <w:r>
              <w:rPr>
                <w:rFonts w:hint="default" w:ascii="Times New Roman" w:hAnsi="Times New Roman" w:eastAsia="宋体" w:cs="Times New Roman"/>
                <w:bCs/>
                <w:sz w:val="21"/>
                <w:szCs w:val="21"/>
                <w:highlight w:val="none"/>
                <w:lang w:val="en-US" w:eastAsia="zh-CN"/>
              </w:rPr>
              <w:t>38.</w:t>
            </w:r>
            <w:r>
              <w:rPr>
                <w:rFonts w:hint="eastAsia" w:eastAsia="宋体" w:cs="Times New Roman"/>
                <w:bCs/>
                <w:sz w:val="21"/>
                <w:szCs w:val="21"/>
                <w:highlight w:val="none"/>
                <w:lang w:val="en-US" w:eastAsia="zh-CN"/>
              </w:rPr>
              <w:t>20</w:t>
            </w:r>
          </w:p>
        </w:tc>
      </w:tr>
      <w:tr w14:paraId="6C59B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5D5B86CB">
            <w:pPr>
              <w:spacing w:line="340" w:lineRule="exact"/>
              <w:ind w:firstLine="0" w:firstLineChars="0"/>
              <w:jc w:val="center"/>
              <w:rPr>
                <w:rFonts w:hint="default" w:ascii="Times New Roman" w:hAnsi="Times New Roman" w:eastAsia="宋体" w:cs="Times New Roman"/>
                <w:b/>
                <w:bCs w:val="0"/>
                <w:sz w:val="21"/>
                <w:szCs w:val="21"/>
                <w:highlight w:val="none"/>
              </w:rPr>
            </w:pPr>
            <w:r>
              <w:rPr>
                <w:rFonts w:hint="default" w:ascii="Times New Roman" w:hAnsi="Times New Roman" w:eastAsia="宋体" w:cs="Times New Roman"/>
                <w:b/>
                <w:bCs w:val="0"/>
                <w:sz w:val="21"/>
                <w:szCs w:val="21"/>
                <w:highlight w:val="none"/>
              </w:rPr>
              <w:t>项目效益</w:t>
            </w:r>
          </w:p>
        </w:tc>
        <w:tc>
          <w:tcPr>
            <w:tcW w:w="3240" w:type="dxa"/>
            <w:vAlign w:val="center"/>
          </w:tcPr>
          <w:p w14:paraId="4024F7A9">
            <w:pPr>
              <w:spacing w:line="340" w:lineRule="exact"/>
              <w:ind w:firstLine="0" w:firstLineChars="0"/>
              <w:jc w:val="center"/>
              <w:rPr>
                <w:rFonts w:hint="default" w:ascii="Times New Roman" w:hAnsi="Times New Roman" w:eastAsia="宋体" w:cs="Times New Roman"/>
                <w:bCs/>
                <w:sz w:val="21"/>
                <w:szCs w:val="21"/>
                <w:highlight w:val="none"/>
              </w:rPr>
            </w:pPr>
            <w:r>
              <w:rPr>
                <w:rFonts w:hint="default" w:ascii="Times New Roman" w:hAnsi="Times New Roman" w:eastAsia="宋体" w:cs="Times New Roman"/>
                <w:bCs/>
                <w:sz w:val="21"/>
                <w:szCs w:val="21"/>
                <w:highlight w:val="none"/>
                <w:lang w:val="en-US" w:eastAsia="zh-CN"/>
              </w:rPr>
              <w:t>3</w:t>
            </w:r>
            <w:r>
              <w:rPr>
                <w:rFonts w:hint="default" w:ascii="Times New Roman" w:hAnsi="Times New Roman" w:eastAsia="宋体" w:cs="Times New Roman"/>
                <w:bCs/>
                <w:sz w:val="21"/>
                <w:szCs w:val="21"/>
                <w:highlight w:val="none"/>
              </w:rPr>
              <w:t>0.00</w:t>
            </w:r>
          </w:p>
        </w:tc>
        <w:tc>
          <w:tcPr>
            <w:tcW w:w="2995" w:type="dxa"/>
            <w:shd w:val="clear" w:color="auto" w:fill="auto"/>
            <w:vAlign w:val="center"/>
          </w:tcPr>
          <w:p w14:paraId="37CE28D5">
            <w:pPr>
              <w:spacing w:line="340" w:lineRule="exact"/>
              <w:ind w:firstLine="0" w:firstLineChars="0"/>
              <w:jc w:val="center"/>
              <w:rPr>
                <w:rFonts w:hint="default" w:ascii="Times New Roman" w:hAnsi="Times New Roman" w:eastAsia="宋体" w:cs="Times New Roman"/>
                <w:bCs/>
                <w:sz w:val="21"/>
                <w:szCs w:val="21"/>
                <w:highlight w:val="none"/>
                <w:lang w:val="en-US" w:eastAsia="zh-CN"/>
              </w:rPr>
            </w:pPr>
            <w:r>
              <w:rPr>
                <w:rFonts w:hint="default" w:ascii="Times New Roman" w:hAnsi="Times New Roman" w:eastAsia="宋体" w:cs="Times New Roman"/>
                <w:bCs/>
                <w:sz w:val="21"/>
                <w:szCs w:val="21"/>
                <w:highlight w:val="none"/>
                <w:lang w:val="en-US" w:eastAsia="zh-CN"/>
              </w:rPr>
              <w:t>25.</w:t>
            </w:r>
            <w:r>
              <w:rPr>
                <w:rFonts w:hint="eastAsia" w:eastAsia="宋体" w:cs="Times New Roman"/>
                <w:bCs/>
                <w:sz w:val="21"/>
                <w:szCs w:val="21"/>
                <w:highlight w:val="none"/>
                <w:lang w:val="en-US" w:eastAsia="zh-CN"/>
              </w:rPr>
              <w:t>40</w:t>
            </w:r>
          </w:p>
        </w:tc>
      </w:tr>
      <w:tr w14:paraId="5052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6E0CB53D">
            <w:pPr>
              <w:spacing w:line="340" w:lineRule="exact"/>
              <w:ind w:firstLine="0" w:firstLineChars="0"/>
              <w:jc w:val="center"/>
              <w:rPr>
                <w:rFonts w:hint="default" w:ascii="Times New Roman" w:hAnsi="Times New Roman" w:eastAsia="宋体" w:cs="Times New Roman"/>
                <w:b w:val="0"/>
                <w:bCs/>
                <w:sz w:val="21"/>
                <w:szCs w:val="21"/>
                <w:highlight w:val="none"/>
              </w:rPr>
            </w:pPr>
            <w:r>
              <w:rPr>
                <w:rFonts w:hint="default" w:ascii="Times New Roman" w:hAnsi="Times New Roman" w:eastAsia="宋体" w:cs="Times New Roman"/>
                <w:b/>
                <w:bCs w:val="0"/>
                <w:sz w:val="21"/>
                <w:szCs w:val="21"/>
                <w:highlight w:val="none"/>
              </w:rPr>
              <w:t>综合得分</w:t>
            </w:r>
          </w:p>
        </w:tc>
        <w:tc>
          <w:tcPr>
            <w:tcW w:w="3240" w:type="dxa"/>
            <w:vAlign w:val="center"/>
          </w:tcPr>
          <w:p w14:paraId="3A17CFAE">
            <w:pPr>
              <w:spacing w:line="340" w:lineRule="exact"/>
              <w:ind w:firstLine="0" w:firstLineChars="0"/>
              <w:jc w:val="center"/>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100.00</w:t>
            </w:r>
          </w:p>
        </w:tc>
        <w:tc>
          <w:tcPr>
            <w:tcW w:w="2995" w:type="dxa"/>
            <w:shd w:val="clear" w:color="auto" w:fill="auto"/>
            <w:vAlign w:val="center"/>
          </w:tcPr>
          <w:p w14:paraId="3BCAEAB3">
            <w:pPr>
              <w:spacing w:line="340" w:lineRule="exact"/>
              <w:ind w:firstLine="0" w:firstLineChars="0"/>
              <w:jc w:val="center"/>
              <w:rPr>
                <w:rFonts w:hint="default" w:ascii="Times New Roman" w:hAnsi="Times New Roman" w:eastAsia="宋体" w:cs="Times New Roman"/>
                <w:b/>
                <w:sz w:val="21"/>
                <w:szCs w:val="21"/>
                <w:highlight w:val="none"/>
                <w:lang w:val="en-US" w:eastAsia="zh-CN"/>
              </w:rPr>
            </w:pPr>
            <w:r>
              <w:rPr>
                <w:rFonts w:hint="default" w:ascii="Times New Roman" w:hAnsi="Times New Roman" w:eastAsia="宋体" w:cs="Times New Roman"/>
                <w:b/>
                <w:sz w:val="21"/>
                <w:szCs w:val="21"/>
                <w:highlight w:val="none"/>
              </w:rPr>
              <w:t>8</w:t>
            </w:r>
            <w:r>
              <w:rPr>
                <w:rFonts w:hint="eastAsia" w:eastAsia="宋体" w:cs="Times New Roman"/>
                <w:b/>
                <w:sz w:val="21"/>
                <w:szCs w:val="21"/>
                <w:highlight w:val="none"/>
                <w:lang w:val="en-US" w:eastAsia="zh-CN"/>
              </w:rPr>
              <w:t>7.91</w:t>
            </w:r>
          </w:p>
        </w:tc>
      </w:tr>
      <w:tr w14:paraId="5B9E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14:paraId="66CD21E9">
            <w:pPr>
              <w:spacing w:line="340" w:lineRule="exact"/>
              <w:ind w:firstLine="0" w:firstLineChars="0"/>
              <w:jc w:val="center"/>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绩效评定级别</w:t>
            </w:r>
          </w:p>
        </w:tc>
        <w:tc>
          <w:tcPr>
            <w:tcW w:w="6235" w:type="dxa"/>
            <w:gridSpan w:val="2"/>
            <w:vAlign w:val="center"/>
          </w:tcPr>
          <w:p w14:paraId="07BB631D">
            <w:pPr>
              <w:spacing w:line="340" w:lineRule="exact"/>
              <w:ind w:firstLine="0" w:firstLineChars="0"/>
              <w:jc w:val="center"/>
              <w:rPr>
                <w:rFonts w:hint="default" w:ascii="Times New Roman" w:hAnsi="Times New Roman" w:eastAsia="宋体" w:cs="Times New Roman"/>
                <w:b/>
                <w:sz w:val="21"/>
                <w:szCs w:val="21"/>
                <w:highlight w:val="none"/>
                <w:lang w:eastAsia="zh-Hans"/>
              </w:rPr>
            </w:pPr>
            <w:r>
              <w:rPr>
                <w:rFonts w:hint="default" w:ascii="Times New Roman" w:hAnsi="Times New Roman" w:eastAsia="宋体" w:cs="Times New Roman"/>
                <w:b/>
                <w:sz w:val="21"/>
                <w:szCs w:val="21"/>
                <w:highlight w:val="none"/>
                <w:lang w:eastAsia="zh-Hans"/>
              </w:rPr>
              <w:t>良</w:t>
            </w:r>
          </w:p>
        </w:tc>
      </w:tr>
    </w:tbl>
    <w:p w14:paraId="768525EA">
      <w:pPr>
        <w:pStyle w:val="2"/>
        <w:bidi w:val="0"/>
        <w:spacing w:line="240" w:lineRule="auto"/>
        <w:rPr>
          <w:rFonts w:hint="default"/>
          <w:highlight w:val="none"/>
        </w:rPr>
      </w:pPr>
      <w:bookmarkStart w:id="71" w:name="_Toc103096319"/>
      <w:bookmarkStart w:id="72" w:name="_Toc13024"/>
      <w:bookmarkStart w:id="73" w:name="_Toc103094564"/>
      <w:bookmarkStart w:id="74" w:name="_Toc1350211584"/>
      <w:bookmarkStart w:id="75" w:name="_Toc1649350840"/>
      <w:r>
        <w:rPr>
          <w:rFonts w:hint="default"/>
          <w:highlight w:val="none"/>
        </w:rPr>
        <w:t>四、绩效评价指标分析</w:t>
      </w:r>
      <w:bookmarkEnd w:id="71"/>
      <w:bookmarkEnd w:id="72"/>
      <w:bookmarkEnd w:id="73"/>
      <w:bookmarkEnd w:id="74"/>
      <w:bookmarkEnd w:id="75"/>
    </w:p>
    <w:p w14:paraId="1C4B9667">
      <w:pPr>
        <w:pStyle w:val="3"/>
        <w:bidi w:val="0"/>
        <w:spacing w:line="560" w:lineRule="exact"/>
        <w:rPr>
          <w:rFonts w:hint="default"/>
          <w:highlight w:val="none"/>
        </w:rPr>
      </w:pPr>
      <w:bookmarkStart w:id="76" w:name="_Toc515586352"/>
      <w:bookmarkStart w:id="77" w:name="_Toc546394439"/>
      <w:bookmarkStart w:id="78" w:name="_Toc920652404"/>
      <w:bookmarkStart w:id="79" w:name="_Toc23943"/>
      <w:bookmarkStart w:id="80" w:name="_Toc103096320"/>
      <w:bookmarkStart w:id="81" w:name="_Toc103094565"/>
      <w:r>
        <w:rPr>
          <w:rFonts w:hint="default"/>
          <w:highlight w:val="none"/>
        </w:rPr>
        <w:t>（一）项目</w:t>
      </w:r>
      <w:bookmarkEnd w:id="76"/>
      <w:r>
        <w:rPr>
          <w:rFonts w:hint="default"/>
          <w:highlight w:val="none"/>
        </w:rPr>
        <w:t>决策情况</w:t>
      </w:r>
      <w:bookmarkEnd w:id="77"/>
      <w:bookmarkEnd w:id="78"/>
      <w:bookmarkEnd w:id="79"/>
      <w:bookmarkEnd w:id="80"/>
      <w:bookmarkEnd w:id="81"/>
    </w:p>
    <w:p w14:paraId="3B911D82">
      <w:pPr>
        <w:pStyle w:val="4"/>
        <w:spacing w:line="560" w:lineRule="exact"/>
        <w:ind w:firstLine="643"/>
        <w:rPr>
          <w:rFonts w:hint="default" w:ascii="Times New Roman" w:hAnsi="Times New Roman" w:cs="Times New Roman"/>
          <w:highlight w:val="none"/>
        </w:rPr>
      </w:pPr>
      <w:bookmarkStart w:id="82" w:name="_Toc103094566"/>
      <w:r>
        <w:rPr>
          <w:rFonts w:hint="default" w:ascii="Times New Roman" w:hAnsi="Times New Roman" w:cs="Times New Roman"/>
          <w:highlight w:val="none"/>
        </w:rPr>
        <w:t>1.项目立项</w:t>
      </w:r>
      <w:bookmarkEnd w:id="82"/>
    </w:p>
    <w:p w14:paraId="478C4EF4">
      <w:pPr>
        <w:spacing w:line="560" w:lineRule="exact"/>
        <w:ind w:firstLine="640"/>
        <w:rPr>
          <w:rFonts w:hint="default" w:ascii="Times New Roman" w:hAnsi="Times New Roman" w:cs="Times New Roman"/>
          <w:kern w:val="44"/>
          <w:highlight w:val="none"/>
        </w:rPr>
      </w:pPr>
      <w:r>
        <w:rPr>
          <w:rFonts w:hint="default" w:ascii="Times New Roman" w:hAnsi="Times New Roman" w:cs="Times New Roman"/>
          <w:kern w:val="44"/>
          <w:highlight w:val="none"/>
        </w:rPr>
        <w:t>（1）立项依据充分性分析</w:t>
      </w:r>
    </w:p>
    <w:p w14:paraId="69380C33">
      <w:pPr>
        <w:spacing w:line="560" w:lineRule="exact"/>
        <w:ind w:firstLine="640"/>
        <w:rPr>
          <w:rFonts w:hint="default" w:ascii="Times New Roman" w:hAnsi="Times New Roman" w:cs="Times New Roman"/>
          <w:highlight w:val="none"/>
          <w:lang w:eastAsia="zh-Hans"/>
        </w:rPr>
      </w:pPr>
      <w:r>
        <w:rPr>
          <w:rFonts w:hint="default" w:ascii="Times New Roman" w:hAnsi="Times New Roman" w:cs="Times New Roman"/>
          <w:highlight w:val="none"/>
        </w:rPr>
        <w:t>该项目立足于</w:t>
      </w:r>
      <w:r>
        <w:rPr>
          <w:rFonts w:hint="eastAsia" w:cs="Times New Roman"/>
          <w:highlight w:val="none"/>
          <w:lang w:eastAsia="zh-CN"/>
        </w:rPr>
        <w:t>“</w:t>
      </w:r>
      <w:r>
        <w:rPr>
          <w:rFonts w:hint="default" w:ascii="Times New Roman" w:hAnsi="Times New Roman" w:eastAsia="仿宋" w:cs="Times New Roman"/>
          <w:bCs/>
          <w:sz w:val="32"/>
          <w:szCs w:val="24"/>
          <w:highlight w:val="none"/>
          <w:lang w:val="en-US" w:eastAsia="zh-CN"/>
        </w:rPr>
        <w:t>为农村兜底保障对象、高龄、独居、留守、失能老年人提供巡视探访、</w:t>
      </w:r>
      <w:r>
        <w:rPr>
          <w:rFonts w:hint="default" w:ascii="Times New Roman" w:hAnsi="Times New Roman" w:eastAsia="仿宋" w:cs="Times New Roman"/>
          <w:b w:val="0"/>
          <w:bCs/>
          <w:sz w:val="32"/>
          <w:szCs w:val="24"/>
          <w:highlight w:val="none"/>
          <w:lang w:eastAsia="zh-CN"/>
        </w:rPr>
        <w:t>助餐助行、清洁卫生、农事帮忙、代</w:t>
      </w:r>
      <w:r>
        <w:rPr>
          <w:rFonts w:hint="default" w:ascii="Times New Roman" w:hAnsi="Times New Roman" w:eastAsia="仿宋" w:cs="Times New Roman"/>
          <w:b w:val="0"/>
          <w:bCs/>
          <w:sz w:val="32"/>
          <w:szCs w:val="24"/>
          <w:highlight w:val="none"/>
          <w:lang w:val="en-US" w:eastAsia="zh-CN"/>
        </w:rPr>
        <w:t>买</w:t>
      </w:r>
      <w:r>
        <w:rPr>
          <w:rFonts w:hint="default" w:ascii="Times New Roman" w:hAnsi="Times New Roman" w:eastAsia="仿宋" w:cs="Times New Roman"/>
          <w:b w:val="0"/>
          <w:bCs/>
          <w:sz w:val="32"/>
          <w:szCs w:val="24"/>
          <w:highlight w:val="none"/>
          <w:lang w:eastAsia="zh-CN"/>
        </w:rPr>
        <w:t>代缴等互助性服务</w:t>
      </w:r>
      <w:r>
        <w:rPr>
          <w:rFonts w:hint="eastAsia" w:ascii="Times New Roman" w:hAnsi="Times New Roman" w:cs="Times New Roman"/>
          <w:b w:val="0"/>
          <w:bCs/>
          <w:sz w:val="32"/>
          <w:szCs w:val="24"/>
          <w:highlight w:val="none"/>
          <w:lang w:eastAsia="zh-CN"/>
        </w:rPr>
        <w:t>，</w:t>
      </w:r>
      <w:r>
        <w:rPr>
          <w:rFonts w:hint="eastAsia" w:ascii="Times New Roman Regular" w:hAnsi="Times New Roman Regular" w:eastAsia="仿宋" w:cs="Times New Roman Regular"/>
          <w:bCs/>
          <w:sz w:val="32"/>
          <w:szCs w:val="24"/>
          <w:highlight w:val="none"/>
          <w:lang w:eastAsia="zh-Hans"/>
        </w:rPr>
        <w:t>进一步健全北京市农村养老服务体系</w:t>
      </w:r>
      <w:r>
        <w:rPr>
          <w:rFonts w:hint="eastAsia" w:ascii="Times New Roman Regular" w:hAnsi="Times New Roman Regular" w:cs="Times New Roman Regular"/>
          <w:bCs/>
          <w:sz w:val="32"/>
          <w:szCs w:val="24"/>
          <w:highlight w:val="none"/>
          <w:lang w:eastAsia="zh-CN"/>
        </w:rPr>
        <w:t>”</w:t>
      </w:r>
      <w:r>
        <w:rPr>
          <w:rFonts w:hint="default" w:ascii="Times New Roman" w:hAnsi="Times New Roman" w:cs="Times New Roman"/>
          <w:highlight w:val="none"/>
        </w:rPr>
        <w:t>的</w:t>
      </w:r>
      <w:r>
        <w:rPr>
          <w:rFonts w:hint="default" w:ascii="Times New Roman" w:hAnsi="Times New Roman" w:cs="Times New Roman"/>
          <w:highlight w:val="none"/>
          <w:lang w:eastAsia="zh-Hans"/>
        </w:rPr>
        <w:t>现实</w:t>
      </w:r>
      <w:r>
        <w:rPr>
          <w:rFonts w:hint="default" w:ascii="Times New Roman" w:hAnsi="Times New Roman" w:cs="Times New Roman"/>
          <w:highlight w:val="none"/>
        </w:rPr>
        <w:t>需求，根据</w:t>
      </w:r>
      <w:r>
        <w:rPr>
          <w:rFonts w:hint="default" w:ascii="Times New Roman" w:hAnsi="Times New Roman" w:cs="Times New Roman"/>
          <w:highlight w:val="none"/>
          <w:lang w:eastAsia="zh-Hans"/>
        </w:rPr>
        <w:t>《北京市人民政府办公厅印发</w:t>
      </w:r>
      <w:r>
        <w:rPr>
          <w:rFonts w:hint="eastAsia" w:cs="Times New Roman"/>
          <w:highlight w:val="none"/>
          <w:lang w:eastAsia="zh-CN"/>
        </w:rPr>
        <w:t>〈</w:t>
      </w:r>
      <w:r>
        <w:rPr>
          <w:rFonts w:hint="default" w:ascii="Times New Roman" w:hAnsi="Times New Roman" w:cs="Times New Roman"/>
          <w:highlight w:val="none"/>
          <w:lang w:eastAsia="zh-Hans"/>
        </w:rPr>
        <w:t>关于加快推进养老服务发展的实施方案</w:t>
      </w:r>
      <w:r>
        <w:rPr>
          <w:rFonts w:hint="eastAsia" w:cs="Times New Roman"/>
          <w:highlight w:val="none"/>
          <w:lang w:eastAsia="zh-CN"/>
        </w:rPr>
        <w:t>〉的通知》</w:t>
      </w:r>
      <w:r>
        <w:rPr>
          <w:rFonts w:hint="default" w:ascii="Times New Roman" w:hAnsi="Times New Roman" w:cs="Times New Roman"/>
          <w:highlight w:val="none"/>
          <w:lang w:eastAsia="zh-Hans"/>
        </w:rPr>
        <w:t>（京政办发〔2020〕17号）、《北京市民政局等11部门关于加强农村养老服务工作的意见》（京民福发〔2017〕389号）</w:t>
      </w:r>
      <w:r>
        <w:rPr>
          <w:rFonts w:hint="default" w:ascii="Times New Roman" w:hAnsi="Times New Roman" w:cs="Times New Roman"/>
          <w:highlight w:val="none"/>
          <w:lang w:eastAsia="zh-CN"/>
        </w:rPr>
        <w:t>、</w:t>
      </w:r>
      <w:r>
        <w:rPr>
          <w:rFonts w:hint="default" w:ascii="Times New Roman" w:hAnsi="Times New Roman" w:cs="Times New Roman"/>
          <w:highlight w:val="none"/>
          <w:lang w:eastAsia="zh-Hans"/>
        </w:rPr>
        <w:t>《北京市农村邻里互助养老服务点建设管理办法（试行）》（京民养老发〔2023〕279号）</w:t>
      </w:r>
      <w:r>
        <w:rPr>
          <w:rFonts w:hint="default" w:ascii="Times New Roman" w:hAnsi="Times New Roman" w:cs="Times New Roman"/>
          <w:highlight w:val="none"/>
        </w:rPr>
        <w:t>等政策文件设立。</w:t>
      </w:r>
      <w:r>
        <w:rPr>
          <w:rFonts w:hint="default" w:ascii="Times New Roman" w:hAnsi="Times New Roman" w:cs="Times New Roman"/>
          <w:b/>
          <w:bCs/>
          <w:highlight w:val="none"/>
        </w:rPr>
        <w:t>评价认为，</w:t>
      </w:r>
      <w:r>
        <w:rPr>
          <w:rFonts w:hint="default" w:ascii="Times New Roman" w:hAnsi="Times New Roman" w:cs="Times New Roman"/>
          <w:highlight w:val="none"/>
          <w:lang w:eastAsia="zh-Hans"/>
        </w:rPr>
        <w:t>该项目</w:t>
      </w:r>
      <w:r>
        <w:rPr>
          <w:rFonts w:hint="default" w:ascii="Times New Roman" w:hAnsi="Times New Roman" w:cs="Times New Roman"/>
          <w:highlight w:val="none"/>
        </w:rPr>
        <w:t>具有一定的现实需求</w:t>
      </w:r>
      <w:r>
        <w:rPr>
          <w:rFonts w:hint="default" w:ascii="Times New Roman" w:hAnsi="Times New Roman" w:cs="Times New Roman"/>
          <w:highlight w:val="none"/>
          <w:lang w:eastAsia="zh-Hans"/>
        </w:rPr>
        <w:t>和</w:t>
      </w:r>
      <w:r>
        <w:rPr>
          <w:rFonts w:hint="default" w:ascii="Times New Roman" w:hAnsi="Times New Roman" w:cs="Times New Roman"/>
          <w:highlight w:val="none"/>
        </w:rPr>
        <w:t>明确的政策依据，</w:t>
      </w:r>
      <w:r>
        <w:rPr>
          <w:rFonts w:hint="eastAsia"/>
          <w:highlight w:val="none"/>
        </w:rPr>
        <w:t>符合</w:t>
      </w:r>
      <w:r>
        <w:rPr>
          <w:rFonts w:hint="eastAsia"/>
          <w:highlight w:val="none"/>
          <w:lang w:val="en-US" w:eastAsia="zh-CN"/>
        </w:rPr>
        <w:t>民政部门</w:t>
      </w:r>
      <w:r>
        <w:rPr>
          <w:rFonts w:hint="eastAsia"/>
          <w:highlight w:val="none"/>
        </w:rPr>
        <w:t>职能，属于公共财政支持范围</w:t>
      </w:r>
      <w:r>
        <w:rPr>
          <w:highlight w:val="none"/>
        </w:rPr>
        <w:t>，</w:t>
      </w:r>
      <w:r>
        <w:rPr>
          <w:rFonts w:hint="eastAsia"/>
          <w:highlight w:val="none"/>
        </w:rPr>
        <w:t>项目立项依据</w:t>
      </w:r>
      <w:r>
        <w:rPr>
          <w:rFonts w:hint="eastAsia"/>
          <w:highlight w:val="none"/>
          <w:lang w:val="en-US" w:eastAsia="zh-CN"/>
        </w:rPr>
        <w:t>较为</w:t>
      </w:r>
      <w:r>
        <w:rPr>
          <w:rFonts w:hint="eastAsia"/>
          <w:highlight w:val="none"/>
        </w:rPr>
        <w:t>充分。</w:t>
      </w:r>
    </w:p>
    <w:p w14:paraId="2FA774BA">
      <w:pPr>
        <w:spacing w:line="560" w:lineRule="exact"/>
        <w:ind w:firstLine="640"/>
        <w:rPr>
          <w:rFonts w:hint="default" w:ascii="Times New Roman" w:hAnsi="Times New Roman" w:cs="Times New Roman"/>
          <w:highlight w:val="none"/>
        </w:rPr>
      </w:pPr>
      <w:r>
        <w:rPr>
          <w:rFonts w:hint="default" w:ascii="Times New Roman" w:hAnsi="Times New Roman" w:cs="Times New Roman"/>
          <w:highlight w:val="none"/>
        </w:rPr>
        <w:t>（2）立项程序规范性分析</w:t>
      </w:r>
    </w:p>
    <w:p w14:paraId="567004FB">
      <w:pPr>
        <w:spacing w:line="560" w:lineRule="exact"/>
        <w:ind w:firstLine="640"/>
        <w:rPr>
          <w:rFonts w:hint="default" w:ascii="Times New Roman" w:hAnsi="Times New Roman" w:eastAsia="仿宋" w:cs="Times New Roman"/>
          <w:highlight w:val="none"/>
          <w:lang w:eastAsia="zh-CN"/>
        </w:rPr>
      </w:pPr>
      <w:r>
        <w:rPr>
          <w:rFonts w:hint="eastAsia"/>
          <w:highlight w:val="none"/>
          <w:lang w:eastAsia="zh-Hans"/>
        </w:rPr>
        <w:t>该项目为市对区专项</w:t>
      </w:r>
      <w:r>
        <w:rPr>
          <w:rFonts w:hint="eastAsia"/>
          <w:highlight w:val="none"/>
          <w:lang w:val="en-US" w:eastAsia="zh-CN"/>
        </w:rPr>
        <w:t>资金</w:t>
      </w:r>
      <w:r>
        <w:rPr>
          <w:rFonts w:hint="eastAsia"/>
          <w:highlight w:val="none"/>
          <w:lang w:eastAsia="zh-Hans"/>
        </w:rPr>
        <w:t>转移支付项目</w:t>
      </w:r>
      <w:r>
        <w:rPr>
          <w:rFonts w:hint="eastAsia"/>
          <w:highlight w:val="none"/>
        </w:rPr>
        <w:t>，项目设立</w:t>
      </w:r>
      <w:r>
        <w:rPr>
          <w:rFonts w:hint="eastAsia"/>
          <w:highlight w:val="none"/>
          <w:lang w:eastAsia="zh-Hans"/>
        </w:rPr>
        <w:t>符合</w:t>
      </w:r>
      <w:r>
        <w:rPr>
          <w:rFonts w:hint="eastAsia"/>
          <w:highlight w:val="none"/>
          <w:lang w:eastAsia="zh-CN"/>
        </w:rPr>
        <w:t>专项转移支付相关</w:t>
      </w:r>
      <w:r>
        <w:rPr>
          <w:rFonts w:hint="eastAsia"/>
          <w:highlight w:val="none"/>
        </w:rPr>
        <w:t>规定的设立条件</w:t>
      </w:r>
      <w:r>
        <w:rPr>
          <w:rFonts w:hint="eastAsia"/>
          <w:highlight w:val="none"/>
          <w:lang w:eastAsia="zh-CN"/>
        </w:rPr>
        <w:t>。</w:t>
      </w:r>
      <w:r>
        <w:rPr>
          <w:rFonts w:hint="default" w:ascii="Times New Roman" w:hAnsi="Times New Roman" w:cs="Times New Roman"/>
          <w:highlight w:val="none"/>
          <w:lang w:val="en-US" w:eastAsia="zh-CN"/>
        </w:rPr>
        <w:t>由村（党）委、乡镇民政部门通过调研、摸排等工作</w:t>
      </w:r>
      <w:r>
        <w:rPr>
          <w:rFonts w:hint="eastAsia" w:cs="Times New Roman"/>
          <w:highlight w:val="none"/>
          <w:lang w:val="en-US" w:eastAsia="zh-CN"/>
        </w:rPr>
        <w:t>形式</w:t>
      </w:r>
      <w:r>
        <w:rPr>
          <w:rFonts w:hint="default" w:ascii="Times New Roman" w:hAnsi="Times New Roman" w:cs="Times New Roman"/>
          <w:highlight w:val="none"/>
          <w:lang w:val="en-US" w:eastAsia="zh-CN"/>
        </w:rPr>
        <w:t>确定新建</w:t>
      </w:r>
      <w:r>
        <w:rPr>
          <w:rFonts w:hint="default" w:ascii="Times New Roman" w:hAnsi="Times New Roman" w:cs="Times New Roman"/>
          <w:highlight w:val="none"/>
          <w:lang w:eastAsia="zh-Hans"/>
        </w:rPr>
        <w:t>服务点</w:t>
      </w:r>
      <w:r>
        <w:rPr>
          <w:rFonts w:hint="eastAsia" w:ascii="Times New Roman" w:hAnsi="Times New Roman" w:cs="Times New Roman"/>
          <w:highlight w:val="none"/>
          <w:lang w:val="en-US" w:eastAsia="zh-CN"/>
        </w:rPr>
        <w:t>范围、互助员人数等信息，由区民政局审核</w:t>
      </w:r>
      <w:r>
        <w:rPr>
          <w:rFonts w:hint="default" w:ascii="Times New Roman" w:hAnsi="Times New Roman" w:cs="Times New Roman"/>
          <w:highlight w:val="none"/>
          <w:lang w:val="en-US" w:eastAsia="zh-CN"/>
        </w:rPr>
        <w:t>确认并上报至市民政局备案</w:t>
      </w:r>
      <w:r>
        <w:rPr>
          <w:rFonts w:hint="default" w:ascii="Times New Roman" w:hAnsi="Times New Roman" w:cs="Times New Roman"/>
          <w:highlight w:val="none"/>
          <w:lang w:eastAsia="zh-CN"/>
        </w:rPr>
        <w:t>。</w:t>
      </w:r>
      <w:r>
        <w:rPr>
          <w:rFonts w:hint="eastAsia"/>
          <w:highlight w:val="none"/>
        </w:rPr>
        <w:t>由市</w:t>
      </w:r>
      <w:r>
        <w:rPr>
          <w:rFonts w:hint="eastAsia"/>
          <w:highlight w:val="none"/>
          <w:lang w:eastAsia="zh-Hans"/>
        </w:rPr>
        <w:t>民政局</w:t>
      </w:r>
      <w:r>
        <w:rPr>
          <w:rFonts w:hint="eastAsia"/>
          <w:highlight w:val="none"/>
        </w:rPr>
        <w:t>提出申请，经市财政局审核后报市政府批准。</w:t>
      </w:r>
      <w:r>
        <w:rPr>
          <w:rFonts w:hint="default" w:ascii="Times New Roman" w:hAnsi="Times New Roman" w:cs="Times New Roman"/>
          <w:b/>
          <w:bCs/>
          <w:highlight w:val="none"/>
        </w:rPr>
        <w:t>评价认为，</w:t>
      </w:r>
      <w:r>
        <w:rPr>
          <w:rFonts w:hint="default" w:ascii="Times New Roman" w:hAnsi="Times New Roman" w:cs="Times New Roman"/>
          <w:highlight w:val="none"/>
        </w:rPr>
        <w:t>项目立项程序较为规范</w:t>
      </w:r>
      <w:r>
        <w:rPr>
          <w:rFonts w:hint="default" w:ascii="Times New Roman" w:hAnsi="Times New Roman" w:cs="Times New Roman"/>
          <w:highlight w:val="none"/>
          <w:lang w:eastAsia="zh-CN"/>
        </w:rPr>
        <w:t>，</w:t>
      </w:r>
      <w:r>
        <w:rPr>
          <w:rFonts w:hint="eastAsia" w:cs="Times New Roman"/>
          <w:highlight w:val="none"/>
          <w:lang w:val="en-US" w:eastAsia="zh-CN"/>
        </w:rPr>
        <w:t>应进一步完善事前</w:t>
      </w:r>
      <w:r>
        <w:rPr>
          <w:rFonts w:hint="default" w:ascii="Times New Roman" w:hAnsi="Times New Roman" w:cs="Times New Roman"/>
          <w:highlight w:val="none"/>
          <w:lang w:val="en-US" w:eastAsia="zh-CN"/>
        </w:rPr>
        <w:t>摸排方案</w:t>
      </w:r>
      <w:r>
        <w:rPr>
          <w:rFonts w:hint="default" w:ascii="Times New Roman" w:hAnsi="Times New Roman" w:cs="Times New Roman"/>
          <w:highlight w:val="none"/>
        </w:rPr>
        <w:t>。</w:t>
      </w:r>
    </w:p>
    <w:p w14:paraId="6A4F2E6C">
      <w:pPr>
        <w:pStyle w:val="4"/>
        <w:spacing w:line="560" w:lineRule="exact"/>
        <w:ind w:firstLine="643"/>
        <w:rPr>
          <w:rFonts w:hint="default" w:ascii="Times New Roman" w:hAnsi="Times New Roman" w:cs="Times New Roman"/>
          <w:highlight w:val="none"/>
        </w:rPr>
      </w:pPr>
      <w:bookmarkStart w:id="83" w:name="_Toc103094567"/>
      <w:r>
        <w:rPr>
          <w:rFonts w:hint="default" w:ascii="Times New Roman" w:hAnsi="Times New Roman" w:cs="Times New Roman"/>
          <w:highlight w:val="none"/>
        </w:rPr>
        <w:t>2.绩效目标</w:t>
      </w:r>
      <w:bookmarkEnd w:id="83"/>
    </w:p>
    <w:p w14:paraId="3AA3338E">
      <w:pPr>
        <w:pStyle w:val="9"/>
        <w:widowControl/>
        <w:spacing w:line="560" w:lineRule="exact"/>
        <w:jc w:val="left"/>
        <w:rPr>
          <w:rFonts w:hint="default" w:ascii="Times New Roman" w:hAnsi="Times New Roman" w:cs="Times New Roman"/>
          <w:highlight w:val="none"/>
          <w:lang w:val="en-US" w:eastAsia="zh-CN"/>
        </w:rPr>
      </w:pPr>
      <w:r>
        <w:rPr>
          <w:rFonts w:hint="default" w:ascii="Times New Roman" w:hAnsi="Times New Roman" w:cs="Times New Roman"/>
          <w:kern w:val="44"/>
          <w:highlight w:val="none"/>
        </w:rPr>
        <w:t>市</w:t>
      </w:r>
      <w:r>
        <w:rPr>
          <w:rFonts w:hint="default" w:ascii="Times New Roman" w:hAnsi="Times New Roman" w:cs="Times New Roman"/>
          <w:kern w:val="44"/>
          <w:highlight w:val="none"/>
          <w:lang w:eastAsia="zh-Hans"/>
        </w:rPr>
        <w:t>民政局</w:t>
      </w:r>
      <w:r>
        <w:rPr>
          <w:rFonts w:hint="default" w:ascii="Times New Roman" w:hAnsi="Times New Roman" w:cs="Times New Roman"/>
          <w:kern w:val="44"/>
          <w:highlight w:val="none"/>
        </w:rPr>
        <w:t>根据项目实施内容设定总体绩效目标，阐明项目预期效果</w:t>
      </w:r>
      <w:r>
        <w:rPr>
          <w:rFonts w:hint="eastAsia" w:cs="Times New Roman"/>
          <w:kern w:val="44"/>
          <w:highlight w:val="none"/>
          <w:lang w:val="en-US" w:eastAsia="zh-CN"/>
        </w:rPr>
        <w:t>并</w:t>
      </w:r>
      <w:r>
        <w:rPr>
          <w:rFonts w:hint="default" w:ascii="Times New Roman" w:hAnsi="Times New Roman" w:cs="Times New Roman"/>
          <w:kern w:val="44"/>
          <w:highlight w:val="none"/>
        </w:rPr>
        <w:t>进一步细化出具体指标</w:t>
      </w:r>
      <w:r>
        <w:rPr>
          <w:rFonts w:hint="eastAsia" w:cs="Times New Roman"/>
          <w:kern w:val="44"/>
          <w:highlight w:val="none"/>
          <w:lang w:eastAsia="zh-CN"/>
        </w:rPr>
        <w:t>，</w:t>
      </w:r>
      <w:r>
        <w:rPr>
          <w:rFonts w:hint="eastAsia"/>
          <w:highlight w:val="none"/>
          <w:lang w:val="en-US" w:eastAsia="zh-CN"/>
        </w:rPr>
        <w:t>各区在市级总体目标的基础上结合具体情况分解设定各区目标</w:t>
      </w:r>
      <w:r>
        <w:rPr>
          <w:rFonts w:hint="default" w:ascii="Times New Roman" w:hAnsi="Times New Roman" w:cs="Times New Roman"/>
          <w:kern w:val="44"/>
          <w:highlight w:val="none"/>
        </w:rPr>
        <w:t>。</w:t>
      </w:r>
      <w:r>
        <w:rPr>
          <w:rFonts w:hint="default" w:ascii="Times New Roman" w:hAnsi="Times New Roman" w:cs="Times New Roman"/>
          <w:b/>
          <w:bCs/>
          <w:kern w:val="44"/>
          <w:highlight w:val="none"/>
        </w:rPr>
        <w:t>评价认为</w:t>
      </w:r>
      <w:r>
        <w:rPr>
          <w:rFonts w:hint="default" w:ascii="Times New Roman" w:hAnsi="Times New Roman" w:cs="Times New Roman"/>
          <w:kern w:val="44"/>
          <w:highlight w:val="none"/>
        </w:rPr>
        <w:t>，</w:t>
      </w:r>
      <w:r>
        <w:rPr>
          <w:rFonts w:hint="eastAsia" w:cs="Times New Roman"/>
          <w:kern w:val="44"/>
          <w:highlight w:val="none"/>
          <w:lang w:val="en-US" w:eastAsia="zh-CN"/>
        </w:rPr>
        <w:t>市、区两级民政部门已建立绩效</w:t>
      </w:r>
      <w:r>
        <w:rPr>
          <w:rFonts w:hint="eastAsia"/>
          <w:highlight w:val="none"/>
          <w:lang w:val="en-US" w:eastAsia="zh-CN"/>
        </w:rPr>
        <w:t>目标设定和分解机制，目标管理意识良好，但</w:t>
      </w:r>
      <w:r>
        <w:rPr>
          <w:rFonts w:hint="default" w:ascii="Times New Roman" w:hAnsi="Times New Roman" w:cs="Times New Roman"/>
          <w:kern w:val="44"/>
          <w:highlight w:val="none"/>
        </w:rPr>
        <w:t>项目</w:t>
      </w:r>
      <w:r>
        <w:rPr>
          <w:rFonts w:hint="default" w:ascii="Times New Roman" w:hAnsi="Times New Roman" w:cs="Times New Roman"/>
          <w:kern w:val="44"/>
          <w:highlight w:val="none"/>
          <w:lang w:val="en-US" w:eastAsia="zh-CN"/>
        </w:rPr>
        <w:t>绩效目标</w:t>
      </w:r>
      <w:r>
        <w:rPr>
          <w:rFonts w:hint="eastAsia" w:cs="Times New Roman"/>
          <w:kern w:val="44"/>
          <w:highlight w:val="none"/>
          <w:lang w:val="en-US" w:eastAsia="zh-CN"/>
        </w:rPr>
        <w:t>合理性、可量化性有待提升</w:t>
      </w:r>
      <w:r>
        <w:rPr>
          <w:rFonts w:hint="eastAsia" w:cs="Times New Roman"/>
          <w:highlight w:val="none"/>
          <w:lang w:val="en-US" w:eastAsia="zh-CN"/>
        </w:rPr>
        <w:t>。</w:t>
      </w:r>
    </w:p>
    <w:p w14:paraId="27084262">
      <w:pPr>
        <w:pStyle w:val="4"/>
        <w:spacing w:line="560" w:lineRule="exact"/>
        <w:ind w:firstLine="643"/>
        <w:rPr>
          <w:rFonts w:hint="default" w:ascii="Times New Roman" w:hAnsi="Times New Roman" w:cs="Times New Roman"/>
          <w:highlight w:val="none"/>
        </w:rPr>
      </w:pPr>
      <w:bookmarkStart w:id="84" w:name="_Toc103094568"/>
      <w:r>
        <w:rPr>
          <w:rFonts w:hint="default" w:ascii="Times New Roman" w:hAnsi="Times New Roman" w:cs="Times New Roman"/>
          <w:highlight w:val="none"/>
        </w:rPr>
        <w:t>3.资金投入</w:t>
      </w:r>
      <w:bookmarkEnd w:id="84"/>
    </w:p>
    <w:p w14:paraId="592A44E0">
      <w:pPr>
        <w:spacing w:line="560" w:lineRule="exact"/>
        <w:ind w:firstLine="640"/>
        <w:rPr>
          <w:rFonts w:hint="default" w:ascii="Times New Roman" w:hAnsi="Times New Roman" w:cs="Times New Roman"/>
          <w:kern w:val="44"/>
          <w:highlight w:val="none"/>
        </w:rPr>
      </w:pPr>
      <w:r>
        <w:rPr>
          <w:rFonts w:hint="default" w:ascii="Times New Roman" w:hAnsi="Times New Roman" w:cs="Times New Roman"/>
          <w:kern w:val="44"/>
          <w:highlight w:val="none"/>
        </w:rPr>
        <w:t>（1）预算编制科学性分析</w:t>
      </w:r>
    </w:p>
    <w:p w14:paraId="278EFA40">
      <w:pPr>
        <w:shd w:val="clear" w:color="auto" w:fill="FFFFFF"/>
        <w:adjustRightInd w:val="0"/>
        <w:snapToGrid w:val="0"/>
        <w:spacing w:line="560" w:lineRule="exact"/>
        <w:ind w:firstLine="640"/>
        <w:rPr>
          <w:rFonts w:hint="default" w:cs="Times New Roman"/>
          <w:b w:val="0"/>
          <w:bCs w:val="0"/>
          <w:highlight w:val="none"/>
          <w:lang w:val="en-US" w:eastAsia="zh-CN"/>
        </w:rPr>
      </w:pPr>
      <w:r>
        <w:rPr>
          <w:rFonts w:hint="default" w:ascii="Times New Roman" w:hAnsi="Times New Roman" w:cs="Times New Roman"/>
          <w:bCs/>
          <w:szCs w:val="32"/>
          <w:highlight w:val="none"/>
          <w:lang w:val="en-US" w:eastAsia="zh-CN"/>
        </w:rPr>
        <w:t>各区按照</w:t>
      </w:r>
      <w:r>
        <w:rPr>
          <w:rFonts w:hint="default" w:ascii="Times New Roman" w:hAnsi="Times New Roman" w:cs="Times New Roman"/>
          <w:highlight w:val="none"/>
          <w:lang w:eastAsia="zh-Hans"/>
        </w:rPr>
        <w:t>《北京市农村邻里互助养老服务点建设管理办法（试行）》（京民养老发〔2023〕279号）</w:t>
      </w:r>
      <w:r>
        <w:rPr>
          <w:rFonts w:hint="eastAsia" w:cs="Times New Roman"/>
          <w:highlight w:val="none"/>
          <w:lang w:val="en-US" w:eastAsia="zh-CN"/>
        </w:rPr>
        <w:t>文件要求</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结合</w:t>
      </w:r>
      <w:r>
        <w:rPr>
          <w:rFonts w:hint="eastAsia" w:cs="Times New Roman"/>
          <w:highlight w:val="none"/>
          <w:lang w:val="en-US" w:eastAsia="zh-CN"/>
        </w:rPr>
        <w:t>实际摸排情况，</w:t>
      </w:r>
      <w:r>
        <w:rPr>
          <w:rFonts w:hint="default" w:ascii="Times New Roman" w:hAnsi="Times New Roman" w:cs="Times New Roman"/>
          <w:highlight w:val="none"/>
          <w:lang w:val="en-US" w:eastAsia="zh-CN"/>
        </w:rPr>
        <w:t>申报2024年度</w:t>
      </w:r>
      <w:r>
        <w:rPr>
          <w:rFonts w:hint="eastAsia" w:cs="Times New Roman"/>
          <w:highlight w:val="none"/>
          <w:lang w:val="en-US" w:eastAsia="zh-CN"/>
        </w:rPr>
        <w:t>新建及运营的服务点</w:t>
      </w:r>
      <w:r>
        <w:rPr>
          <w:rFonts w:hint="eastAsia"/>
          <w:highlight w:val="none"/>
          <w:lang w:val="en-US" w:eastAsia="zh-CN"/>
        </w:rPr>
        <w:t>预算。</w:t>
      </w:r>
      <w:r>
        <w:rPr>
          <w:rFonts w:hint="default" w:ascii="Times New Roman" w:hAnsi="Times New Roman" w:cs="Times New Roman"/>
          <w:b/>
          <w:bCs/>
          <w:highlight w:val="none"/>
          <w:lang w:val="en-US" w:eastAsia="zh-CN"/>
        </w:rPr>
        <w:t>评价认为，</w:t>
      </w:r>
      <w:r>
        <w:rPr>
          <w:rFonts w:hint="default" w:ascii="Times New Roman" w:hAnsi="Times New Roman" w:cs="Times New Roman"/>
          <w:b w:val="0"/>
          <w:bCs w:val="0"/>
          <w:highlight w:val="none"/>
          <w:lang w:val="en-US" w:eastAsia="zh-CN"/>
        </w:rPr>
        <w:t>项目预算编制</w:t>
      </w:r>
      <w:r>
        <w:rPr>
          <w:rFonts w:hint="eastAsia" w:cs="Times New Roman"/>
          <w:b w:val="0"/>
          <w:bCs w:val="0"/>
          <w:highlight w:val="none"/>
          <w:lang w:val="en-US" w:eastAsia="zh-CN"/>
        </w:rPr>
        <w:t>中应补充完善预算测算资料。</w:t>
      </w:r>
    </w:p>
    <w:p w14:paraId="7943C50E">
      <w:pPr>
        <w:spacing w:line="560" w:lineRule="exact"/>
        <w:ind w:firstLine="640"/>
        <w:rPr>
          <w:rFonts w:hint="default" w:ascii="Times New Roman" w:hAnsi="Times New Roman" w:cs="Times New Roman"/>
          <w:kern w:val="44"/>
          <w:highlight w:val="none"/>
        </w:rPr>
      </w:pPr>
      <w:r>
        <w:rPr>
          <w:rFonts w:hint="default" w:ascii="Times New Roman" w:hAnsi="Times New Roman" w:cs="Times New Roman"/>
          <w:kern w:val="44"/>
          <w:highlight w:val="none"/>
        </w:rPr>
        <w:t>（2）资金分配合理性分析</w:t>
      </w:r>
    </w:p>
    <w:p w14:paraId="1FBE5024">
      <w:pPr>
        <w:shd w:val="clear" w:color="auto" w:fill="FFFFFF"/>
        <w:adjustRightInd w:val="0"/>
        <w:snapToGrid w:val="0"/>
        <w:spacing w:line="560" w:lineRule="exact"/>
        <w:ind w:firstLine="640"/>
        <w:rPr>
          <w:rFonts w:hint="default" w:ascii="Times New Roman" w:hAnsi="Times New Roman" w:eastAsia="仿宋" w:cs="Times New Roman"/>
          <w:highlight w:val="none"/>
          <w:lang w:val="en-US" w:eastAsia="zh-CN"/>
        </w:rPr>
      </w:pPr>
      <w:bookmarkStart w:id="85" w:name="_Toc515586353"/>
      <w:bookmarkStart w:id="86" w:name="_Toc103096321"/>
      <w:bookmarkStart w:id="87" w:name="_Toc103094569"/>
      <w:r>
        <w:rPr>
          <w:rFonts w:hint="eastAsia" w:cs="Times New Roman"/>
          <w:highlight w:val="none"/>
          <w:lang w:val="en-US" w:eastAsia="zh-CN"/>
        </w:rPr>
        <w:t>市级</w:t>
      </w:r>
      <w:r>
        <w:rPr>
          <w:rFonts w:hint="default" w:ascii="Times New Roman" w:hAnsi="Times New Roman" w:cs="Times New Roman"/>
          <w:highlight w:val="none"/>
          <w:lang w:val="en-US" w:eastAsia="zh-CN"/>
        </w:rPr>
        <w:t>按照1.5万元/</w:t>
      </w:r>
      <w:r>
        <w:rPr>
          <w:rFonts w:hint="eastAsia"/>
          <w:highlight w:val="none"/>
          <w:lang w:val="en-US" w:eastAsia="zh-CN"/>
        </w:rPr>
        <w:t>服务点</w:t>
      </w:r>
      <w:r>
        <w:rPr>
          <w:rFonts w:hint="eastAsia" w:cs="Times New Roman"/>
          <w:highlight w:val="none"/>
          <w:lang w:val="en-US" w:eastAsia="zh-CN"/>
        </w:rPr>
        <w:t>新建或运营养老互助点位</w:t>
      </w:r>
      <w:r>
        <w:rPr>
          <w:rFonts w:hint="default" w:ascii="Times New Roman" w:hAnsi="Times New Roman" w:cs="Times New Roman"/>
          <w:highlight w:val="none"/>
          <w:lang w:val="en-US" w:eastAsia="zh-CN"/>
        </w:rPr>
        <w:t>配置标准</w:t>
      </w:r>
      <w:r>
        <w:rPr>
          <w:rFonts w:hint="eastAsia" w:cs="Times New Roman"/>
          <w:highlight w:val="none"/>
          <w:lang w:val="en-US" w:eastAsia="zh-CN"/>
        </w:rPr>
        <w:t>对各区进行补贴</w:t>
      </w:r>
      <w:r>
        <w:rPr>
          <w:rFonts w:hint="default" w:ascii="Times New Roman" w:hAnsi="Times New Roman" w:cs="Times New Roman"/>
          <w:highlight w:val="none"/>
          <w:lang w:val="en-US" w:eastAsia="zh-CN"/>
        </w:rPr>
        <w:t>，</w:t>
      </w:r>
      <w:r>
        <w:rPr>
          <w:rFonts w:hint="eastAsia" w:cs="Times New Roman"/>
          <w:highlight w:val="none"/>
          <w:lang w:val="en-US" w:eastAsia="zh-CN"/>
        </w:rPr>
        <w:t>明确</w:t>
      </w:r>
      <w:r>
        <w:rPr>
          <w:rFonts w:hint="default" w:ascii="Times New Roman" w:hAnsi="Times New Roman" w:cs="Times New Roman"/>
          <w:highlight w:val="none"/>
          <w:lang w:val="en-US" w:eastAsia="zh-CN"/>
        </w:rPr>
        <w:t>由各区统筹本区范围内</w:t>
      </w:r>
      <w:r>
        <w:rPr>
          <w:rFonts w:hint="eastAsia" w:cs="Times New Roman"/>
          <w:highlight w:val="none"/>
          <w:lang w:val="en-US" w:eastAsia="zh-CN"/>
        </w:rPr>
        <w:t>养老互助点位</w:t>
      </w:r>
      <w:r>
        <w:rPr>
          <w:rFonts w:hint="default" w:ascii="Times New Roman" w:hAnsi="Times New Roman" w:cs="Times New Roman"/>
          <w:highlight w:val="none"/>
          <w:lang w:val="en-US" w:eastAsia="zh-CN"/>
        </w:rPr>
        <w:t>的新建与运营工作。</w:t>
      </w:r>
      <w:r>
        <w:rPr>
          <w:rFonts w:hint="default" w:ascii="Times New Roman" w:hAnsi="Times New Roman" w:cs="Times New Roman"/>
          <w:b/>
          <w:bCs/>
          <w:highlight w:val="none"/>
          <w:lang w:val="en-US" w:eastAsia="zh-CN"/>
        </w:rPr>
        <w:t>评价认为，</w:t>
      </w:r>
      <w:r>
        <w:rPr>
          <w:rFonts w:hint="eastAsia" w:cs="Times New Roman"/>
          <w:highlight w:val="none"/>
          <w:lang w:val="en-US" w:eastAsia="zh-CN"/>
        </w:rPr>
        <w:t>个别区本级统筹支出占比及使用方向的约束性不足，</w:t>
      </w:r>
      <w:r>
        <w:rPr>
          <w:rFonts w:hint="default" w:ascii="Times New Roman" w:hAnsi="Times New Roman" w:cs="Times New Roman"/>
          <w:highlight w:val="none"/>
          <w:lang w:val="en-US" w:eastAsia="zh-CN"/>
        </w:rPr>
        <w:t>项目资金分配</w:t>
      </w:r>
      <w:r>
        <w:rPr>
          <w:rFonts w:hint="eastAsia" w:cs="Times New Roman"/>
          <w:highlight w:val="none"/>
          <w:lang w:val="en-US" w:eastAsia="zh-CN"/>
        </w:rPr>
        <w:t>合理性有待提升</w:t>
      </w:r>
      <w:r>
        <w:rPr>
          <w:rFonts w:hint="eastAsia"/>
          <w:highlight w:val="none"/>
          <w:lang w:val="en-US" w:eastAsia="zh-CN"/>
        </w:rPr>
        <w:t>。</w:t>
      </w:r>
    </w:p>
    <w:p w14:paraId="0A7B7D61">
      <w:pPr>
        <w:pStyle w:val="3"/>
        <w:bidi w:val="0"/>
        <w:spacing w:line="560" w:lineRule="exact"/>
        <w:rPr>
          <w:rFonts w:hint="default"/>
          <w:highlight w:val="none"/>
        </w:rPr>
      </w:pPr>
      <w:bookmarkStart w:id="88" w:name="_Toc611261701"/>
      <w:bookmarkStart w:id="89" w:name="_Toc27326"/>
      <w:bookmarkStart w:id="90" w:name="_Toc785277393"/>
      <w:r>
        <w:rPr>
          <w:rFonts w:hint="default"/>
          <w:highlight w:val="none"/>
        </w:rPr>
        <w:t>（二）项目</w:t>
      </w:r>
      <w:bookmarkEnd w:id="85"/>
      <w:r>
        <w:rPr>
          <w:rFonts w:hint="default"/>
          <w:highlight w:val="none"/>
        </w:rPr>
        <w:t>过程情况</w:t>
      </w:r>
      <w:bookmarkEnd w:id="86"/>
      <w:bookmarkEnd w:id="87"/>
      <w:bookmarkEnd w:id="88"/>
      <w:bookmarkEnd w:id="89"/>
      <w:bookmarkEnd w:id="90"/>
    </w:p>
    <w:p w14:paraId="18708A93">
      <w:pPr>
        <w:pStyle w:val="4"/>
        <w:keepNext w:val="0"/>
        <w:keepLines w:val="0"/>
        <w:spacing w:line="560" w:lineRule="exact"/>
        <w:ind w:firstLine="643"/>
        <w:rPr>
          <w:rFonts w:hint="default" w:ascii="Times New Roman" w:hAnsi="Times New Roman" w:cs="Times New Roman"/>
          <w:highlight w:val="none"/>
        </w:rPr>
      </w:pPr>
      <w:bookmarkStart w:id="91" w:name="_Toc103094570"/>
      <w:r>
        <w:rPr>
          <w:rFonts w:hint="default" w:ascii="Times New Roman" w:hAnsi="Times New Roman" w:cs="Times New Roman"/>
          <w:highlight w:val="none"/>
        </w:rPr>
        <w:t>1.资金管理</w:t>
      </w:r>
      <w:bookmarkEnd w:id="91"/>
    </w:p>
    <w:p w14:paraId="35272505">
      <w:pPr>
        <w:spacing w:line="560" w:lineRule="exact"/>
        <w:ind w:firstLine="640"/>
        <w:rPr>
          <w:rFonts w:hint="eastAsia" w:ascii="仿宋" w:hAnsi="仿宋" w:cs="仿宋"/>
          <w:highlight w:val="none"/>
        </w:rPr>
      </w:pPr>
      <w:r>
        <w:rPr>
          <w:rFonts w:hint="default" w:ascii="Times New Roman" w:hAnsi="Times New Roman" w:cs="Times New Roman"/>
          <w:bCs/>
          <w:highlight w:val="none"/>
          <w:lang w:eastAsia="zh-Hans"/>
        </w:rPr>
        <w:t>2024年</w:t>
      </w:r>
      <w:r>
        <w:rPr>
          <w:rFonts w:hint="eastAsia" w:cs="Times New Roman"/>
          <w:bCs/>
          <w:highlight w:val="none"/>
          <w:lang w:eastAsia="zh-CN"/>
        </w:rPr>
        <w:t>，</w:t>
      </w:r>
      <w:r>
        <w:rPr>
          <w:rFonts w:hint="default" w:cs="Times New Roman"/>
          <w:bCs/>
          <w:highlight w:val="none"/>
          <w:lang w:eastAsia="zh-Hans"/>
        </w:rPr>
        <w:t>服务点</w:t>
      </w:r>
      <w:r>
        <w:rPr>
          <w:rFonts w:hint="eastAsia" w:cs="Times New Roman"/>
          <w:bCs/>
          <w:highlight w:val="none"/>
          <w:lang w:val="en-US" w:eastAsia="zh-CN"/>
        </w:rPr>
        <w:t>市对区</w:t>
      </w:r>
      <w:r>
        <w:rPr>
          <w:rFonts w:hint="default" w:cs="Times New Roman"/>
          <w:bCs/>
          <w:highlight w:val="none"/>
          <w:lang w:eastAsia="zh-Hans"/>
        </w:rPr>
        <w:t>转移支付资金</w:t>
      </w:r>
      <w:r>
        <w:rPr>
          <w:rFonts w:hint="eastAsia" w:cs="Times New Roman"/>
          <w:bCs/>
          <w:highlight w:val="none"/>
          <w:lang w:val="en-US" w:eastAsia="zh-CN"/>
        </w:rPr>
        <w:t>共</w:t>
      </w:r>
      <w:r>
        <w:rPr>
          <w:rFonts w:hint="default" w:ascii="Times New Roman" w:hAnsi="Times New Roman" w:cs="Times New Roman"/>
          <w:bCs/>
          <w:highlight w:val="none"/>
          <w:lang w:val="en-US" w:eastAsia="zh-CN"/>
        </w:rPr>
        <w:t>1,218.50</w:t>
      </w:r>
      <w:r>
        <w:rPr>
          <w:rFonts w:hint="default" w:ascii="Times New Roman" w:hAnsi="Times New Roman" w:cs="Times New Roman"/>
          <w:bCs/>
          <w:highlight w:val="none"/>
          <w:lang w:eastAsia="zh-Hans"/>
        </w:rPr>
        <w:t>万元。截至2024年12月底，</w:t>
      </w:r>
      <w:r>
        <w:rPr>
          <w:rFonts w:hint="eastAsia" w:cs="Times New Roman"/>
          <w:bCs/>
          <w:highlight w:val="none"/>
          <w:lang w:val="en-US" w:eastAsia="zh-CN"/>
        </w:rPr>
        <w:t>各区实际到位资金</w:t>
      </w:r>
      <w:r>
        <w:rPr>
          <w:rFonts w:hint="default" w:ascii="Times New Roman" w:hAnsi="Times New Roman" w:cs="Times New Roman"/>
          <w:bCs/>
          <w:highlight w:val="none"/>
          <w:lang w:val="en-US" w:eastAsia="zh-CN"/>
        </w:rPr>
        <w:t>1,218.50</w:t>
      </w:r>
      <w:r>
        <w:rPr>
          <w:rFonts w:hint="eastAsia" w:cs="Times New Roman"/>
          <w:bCs/>
          <w:highlight w:val="none"/>
          <w:lang w:val="en-US" w:eastAsia="zh-CN"/>
        </w:rPr>
        <w:t>万元</w:t>
      </w:r>
      <w:r>
        <w:rPr>
          <w:rFonts w:hint="eastAsia" w:ascii="仿宋" w:hAnsi="仿宋" w:cs="仿宋"/>
          <w:highlight w:val="none"/>
        </w:rPr>
        <w:t>。</w:t>
      </w:r>
    </w:p>
    <w:p w14:paraId="4E1B8454">
      <w:pPr>
        <w:spacing w:line="560" w:lineRule="exact"/>
        <w:ind w:firstLine="64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各区根据</w:t>
      </w:r>
      <w:r>
        <w:rPr>
          <w:rFonts w:hint="default" w:ascii="Times New Roman" w:hAnsi="Times New Roman" w:cs="Times New Roman"/>
          <w:highlight w:val="none"/>
          <w:lang w:eastAsia="zh-Hans"/>
        </w:rPr>
        <w:t>《北京市农村邻里互助养老服务点建设管理办法（试行）》（京民养老发〔2023〕279号）</w:t>
      </w:r>
      <w:r>
        <w:rPr>
          <w:rFonts w:hint="default" w:ascii="Times New Roman" w:hAnsi="Times New Roman" w:cs="Times New Roman"/>
          <w:highlight w:val="none"/>
          <w:lang w:val="en-US" w:eastAsia="zh-CN"/>
        </w:rPr>
        <w:t>的相关要求，结合</w:t>
      </w:r>
      <w:r>
        <w:rPr>
          <w:rFonts w:hint="eastAsia" w:cs="Times New Roman"/>
          <w:highlight w:val="none"/>
          <w:lang w:val="en-US" w:eastAsia="zh-CN"/>
        </w:rPr>
        <w:t>本区</w:t>
      </w:r>
      <w:r>
        <w:rPr>
          <w:rFonts w:hint="default" w:ascii="Times New Roman" w:hAnsi="Times New Roman" w:cs="Times New Roman"/>
          <w:highlight w:val="none"/>
          <w:lang w:val="en-US" w:eastAsia="zh-CN"/>
        </w:rPr>
        <w:t>实际情况统筹使用</w:t>
      </w:r>
      <w:r>
        <w:rPr>
          <w:rFonts w:hint="eastAsia" w:cs="Times New Roman"/>
          <w:highlight w:val="none"/>
          <w:lang w:val="en-US" w:eastAsia="zh-CN"/>
        </w:rPr>
        <w:t>补助</w:t>
      </w:r>
      <w:r>
        <w:rPr>
          <w:rFonts w:hint="default" w:ascii="Times New Roman" w:hAnsi="Times New Roman" w:cs="Times New Roman"/>
          <w:highlight w:val="none"/>
          <w:lang w:val="en-US" w:eastAsia="zh-CN"/>
        </w:rPr>
        <w:t>资金</w:t>
      </w:r>
      <w:r>
        <w:rPr>
          <w:rFonts w:hint="eastAsia" w:cs="Times New Roman"/>
          <w:highlight w:val="none"/>
          <w:lang w:val="en-US" w:eastAsia="zh-CN"/>
        </w:rPr>
        <w:t>，资金使用较为合规。</w:t>
      </w:r>
    </w:p>
    <w:p w14:paraId="0EA35D6A">
      <w:pPr>
        <w:pStyle w:val="4"/>
        <w:keepNext w:val="0"/>
        <w:keepLines w:val="0"/>
        <w:spacing w:line="560" w:lineRule="exact"/>
        <w:ind w:firstLine="643"/>
        <w:rPr>
          <w:rFonts w:hint="default" w:ascii="Times New Roman" w:hAnsi="Times New Roman" w:cs="Times New Roman"/>
          <w:highlight w:val="none"/>
        </w:rPr>
      </w:pPr>
      <w:bookmarkStart w:id="92" w:name="_Toc103094571"/>
      <w:r>
        <w:rPr>
          <w:rFonts w:hint="default" w:ascii="Times New Roman" w:hAnsi="Times New Roman" w:cs="Times New Roman"/>
          <w:highlight w:val="none"/>
        </w:rPr>
        <w:t>2.组织实施</w:t>
      </w:r>
      <w:bookmarkEnd w:id="92"/>
    </w:p>
    <w:p w14:paraId="44A0581D">
      <w:pPr>
        <w:adjustRightInd w:val="0"/>
        <w:snapToGrid w:val="0"/>
        <w:spacing w:line="560" w:lineRule="exact"/>
        <w:ind w:firstLine="643"/>
        <w:rPr>
          <w:rFonts w:hint="default" w:ascii="Times New Roman" w:hAnsi="Times New Roman" w:eastAsia="仿宋" w:cs="Times New Roman"/>
          <w:highlight w:val="none"/>
          <w:lang w:val="en-US" w:eastAsia="zh-CN"/>
        </w:rPr>
      </w:pPr>
      <w:r>
        <w:rPr>
          <w:rFonts w:hint="default" w:ascii="Times New Roman" w:hAnsi="Times New Roman" w:cs="Times New Roman"/>
          <w:highlight w:val="none"/>
          <w:lang w:val="en-US" w:eastAsia="zh-CN"/>
        </w:rPr>
        <w:t>（1）制度健全性分析</w:t>
      </w:r>
    </w:p>
    <w:p w14:paraId="68FC5569">
      <w:pPr>
        <w:adjustRightInd w:val="0"/>
        <w:snapToGrid w:val="0"/>
        <w:spacing w:line="560" w:lineRule="exact"/>
        <w:ind w:firstLine="643"/>
        <w:rPr>
          <w:rFonts w:hint="eastAsia" w:cs="Times New Roman"/>
          <w:b w:val="0"/>
          <w:bCs w:val="0"/>
          <w:szCs w:val="32"/>
          <w:highlight w:val="none"/>
          <w:lang w:val="en-US" w:eastAsia="zh-CN"/>
        </w:rPr>
      </w:pPr>
      <w:r>
        <w:rPr>
          <w:rFonts w:hint="eastAsia"/>
          <w:highlight w:val="none"/>
          <w:lang w:eastAsia="zh-Hans"/>
        </w:rPr>
        <w:t>为规范项目管理，市民政局</w:t>
      </w:r>
      <w:r>
        <w:rPr>
          <w:rFonts w:hint="eastAsia" w:cs="Times New Roman"/>
          <w:highlight w:val="none"/>
          <w:lang w:val="en-US" w:eastAsia="zh-CN"/>
        </w:rPr>
        <w:t>制定了</w:t>
      </w:r>
      <w:r>
        <w:rPr>
          <w:rFonts w:hint="default" w:ascii="Times New Roman" w:hAnsi="Times New Roman" w:cs="Times New Roman"/>
          <w:highlight w:val="none"/>
          <w:lang w:eastAsia="zh-Hans"/>
        </w:rPr>
        <w:t>《北京市农村邻里互助养老服务点建设管理办法（试行）》（京民养老发〔2023〕279号）</w:t>
      </w:r>
      <w:r>
        <w:rPr>
          <w:rFonts w:hint="eastAsia" w:cs="Times New Roman"/>
          <w:highlight w:val="none"/>
          <w:lang w:val="en-US" w:eastAsia="zh-CN"/>
        </w:rPr>
        <w:t>文件</w:t>
      </w:r>
      <w:r>
        <w:rPr>
          <w:rFonts w:hint="eastAsia" w:cs="Times New Roman"/>
          <w:highlight w:val="none"/>
          <w:lang w:eastAsia="zh-CN"/>
        </w:rPr>
        <w:t>，</w:t>
      </w:r>
      <w:r>
        <w:rPr>
          <w:rFonts w:hint="eastAsia" w:cs="Times New Roman"/>
          <w:highlight w:val="none"/>
          <w:lang w:val="en-US" w:eastAsia="zh-CN"/>
        </w:rPr>
        <w:t>各区结合本区实际情况，分别制定了各区的</w:t>
      </w:r>
      <w:r>
        <w:rPr>
          <w:rFonts w:hint="default" w:ascii="Times New Roman" w:hAnsi="Times New Roman" w:cs="Times New Roman"/>
          <w:highlight w:val="none"/>
          <w:lang w:eastAsia="zh-Hans"/>
        </w:rPr>
        <w:t>服务点建设</w:t>
      </w:r>
      <w:r>
        <w:rPr>
          <w:rFonts w:hint="eastAsia" w:cs="Times New Roman"/>
          <w:highlight w:val="none"/>
          <w:lang w:val="en-US" w:eastAsia="zh-CN"/>
        </w:rPr>
        <w:t>工作方案，明确了服务频次、服务范围等内容。</w:t>
      </w:r>
      <w:r>
        <w:rPr>
          <w:rFonts w:hint="default" w:ascii="Times New Roman" w:hAnsi="Times New Roman" w:cs="Times New Roman"/>
          <w:b/>
          <w:bCs/>
          <w:szCs w:val="32"/>
          <w:highlight w:val="none"/>
          <w:lang w:val="en-US" w:eastAsia="zh-CN"/>
        </w:rPr>
        <w:t>评价认为，</w:t>
      </w:r>
      <w:r>
        <w:rPr>
          <w:rFonts w:hint="default" w:ascii="Times New Roman" w:hAnsi="Times New Roman" w:cs="Times New Roman"/>
          <w:szCs w:val="32"/>
          <w:highlight w:val="none"/>
          <w:lang w:val="en-US" w:eastAsia="zh-CN"/>
        </w:rPr>
        <w:t>项目</w:t>
      </w:r>
      <w:r>
        <w:rPr>
          <w:rFonts w:hint="eastAsia" w:cs="Times New Roman"/>
          <w:szCs w:val="32"/>
          <w:highlight w:val="none"/>
          <w:lang w:val="en-US" w:eastAsia="zh-CN"/>
        </w:rPr>
        <w:t>具备一定的</w:t>
      </w:r>
      <w:r>
        <w:rPr>
          <w:rFonts w:hint="default" w:ascii="Times New Roman" w:hAnsi="Times New Roman" w:cs="Times New Roman"/>
          <w:szCs w:val="32"/>
          <w:highlight w:val="none"/>
          <w:lang w:val="en-US" w:eastAsia="zh-CN"/>
        </w:rPr>
        <w:t>制度</w:t>
      </w:r>
      <w:r>
        <w:rPr>
          <w:rFonts w:hint="eastAsia" w:cs="Times New Roman"/>
          <w:szCs w:val="32"/>
          <w:highlight w:val="none"/>
          <w:lang w:val="en-US" w:eastAsia="zh-CN"/>
        </w:rPr>
        <w:t>基础，但制度</w:t>
      </w:r>
      <w:r>
        <w:rPr>
          <w:rFonts w:hint="default" w:ascii="Times New Roman" w:hAnsi="Times New Roman" w:cs="Times New Roman"/>
          <w:szCs w:val="32"/>
          <w:highlight w:val="none"/>
          <w:lang w:val="en-US" w:eastAsia="zh-CN"/>
        </w:rPr>
        <w:t>健全性</w:t>
      </w:r>
      <w:r>
        <w:rPr>
          <w:rFonts w:hint="eastAsia" w:cs="Times New Roman"/>
          <w:szCs w:val="32"/>
          <w:highlight w:val="none"/>
          <w:lang w:val="en-US" w:eastAsia="zh-CN"/>
        </w:rPr>
        <w:t>有待提升</w:t>
      </w:r>
      <w:r>
        <w:rPr>
          <w:rFonts w:hint="eastAsia" w:cs="Times New Roman"/>
          <w:b w:val="0"/>
          <w:bCs w:val="0"/>
          <w:szCs w:val="32"/>
          <w:highlight w:val="none"/>
          <w:lang w:val="en-US" w:eastAsia="zh-CN"/>
        </w:rPr>
        <w:t>。</w:t>
      </w:r>
    </w:p>
    <w:p w14:paraId="2E3DBC99">
      <w:pPr>
        <w:adjustRightInd w:val="0"/>
        <w:snapToGrid w:val="0"/>
        <w:spacing w:line="560" w:lineRule="exact"/>
        <w:ind w:firstLine="643"/>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（2）制度执行有效性分析</w:t>
      </w:r>
    </w:p>
    <w:p w14:paraId="7B2C288C">
      <w:pPr>
        <w:adjustRightInd w:val="0"/>
        <w:snapToGrid w:val="0"/>
        <w:spacing w:line="560" w:lineRule="exact"/>
        <w:ind w:firstLine="643"/>
        <w:rPr>
          <w:rFonts w:hint="eastAsia" w:cs="Times New Roman"/>
          <w:szCs w:val="32"/>
          <w:highlight w:val="none"/>
          <w:lang w:val="en-US" w:eastAsia="zh-CN"/>
        </w:rPr>
      </w:pPr>
      <w:r>
        <w:rPr>
          <w:rFonts w:hint="default" w:ascii="Times New Roman" w:hAnsi="Times New Roman" w:cs="Times New Roman"/>
          <w:szCs w:val="32"/>
          <w:highlight w:val="none"/>
          <w:lang w:val="en-US" w:eastAsia="zh-CN"/>
        </w:rPr>
        <w:t>各区</w:t>
      </w:r>
      <w:r>
        <w:rPr>
          <w:rFonts w:hint="eastAsia" w:cs="Times New Roman"/>
          <w:szCs w:val="32"/>
          <w:highlight w:val="none"/>
          <w:lang w:val="en-US" w:eastAsia="zh-CN"/>
        </w:rPr>
        <w:t>按照</w:t>
      </w:r>
      <w:r>
        <w:rPr>
          <w:rFonts w:hint="default" w:ascii="Times New Roman" w:hAnsi="Times New Roman" w:cs="Times New Roman"/>
          <w:szCs w:val="32"/>
          <w:highlight w:val="none"/>
          <w:lang w:val="en-US" w:eastAsia="zh-Hans"/>
        </w:rPr>
        <w:t>《北京市农村邻里互助养老服务点建设管理办法（试行）》（京民养老发〔2023〕279号）</w:t>
      </w:r>
      <w:r>
        <w:rPr>
          <w:rFonts w:hint="eastAsia" w:cs="Times New Roman"/>
          <w:szCs w:val="32"/>
          <w:highlight w:val="none"/>
          <w:lang w:val="en-US" w:eastAsia="zh-CN"/>
        </w:rPr>
        <w:t>等文件</w:t>
      </w:r>
      <w:r>
        <w:rPr>
          <w:rFonts w:hint="default" w:ascii="Times New Roman" w:hAnsi="Times New Roman" w:cs="Times New Roman"/>
          <w:szCs w:val="32"/>
          <w:highlight w:val="none"/>
          <w:lang w:val="en-US" w:eastAsia="zh-CN"/>
        </w:rPr>
        <w:t>要求</w:t>
      </w:r>
      <w:r>
        <w:rPr>
          <w:rFonts w:hint="eastAsia" w:cs="Times New Roman"/>
          <w:szCs w:val="32"/>
          <w:highlight w:val="none"/>
          <w:lang w:val="en-US" w:eastAsia="zh-CN"/>
        </w:rPr>
        <w:t>开展工作，遵守相关法律法规和相关管理规定。</w:t>
      </w:r>
    </w:p>
    <w:p w14:paraId="17CC6B17">
      <w:pPr>
        <w:pStyle w:val="3"/>
        <w:bidi w:val="0"/>
        <w:spacing w:line="560" w:lineRule="exact"/>
        <w:rPr>
          <w:rFonts w:hint="default"/>
          <w:highlight w:val="none"/>
        </w:rPr>
      </w:pPr>
      <w:bookmarkStart w:id="93" w:name="_Toc515586354"/>
      <w:bookmarkStart w:id="94" w:name="_Toc2061125106"/>
      <w:bookmarkStart w:id="95" w:name="_Toc103096322"/>
      <w:bookmarkStart w:id="96" w:name="_Toc27338"/>
      <w:bookmarkStart w:id="97" w:name="_Toc103094572"/>
      <w:bookmarkStart w:id="98" w:name="_Toc1870133336"/>
      <w:r>
        <w:rPr>
          <w:rFonts w:hint="default"/>
          <w:highlight w:val="none"/>
        </w:rPr>
        <w:t>（三）项目产出</w:t>
      </w:r>
      <w:bookmarkEnd w:id="93"/>
      <w:r>
        <w:rPr>
          <w:rFonts w:hint="default"/>
          <w:highlight w:val="none"/>
        </w:rPr>
        <w:t>情况</w:t>
      </w:r>
      <w:bookmarkEnd w:id="94"/>
      <w:bookmarkEnd w:id="95"/>
      <w:bookmarkEnd w:id="96"/>
      <w:bookmarkEnd w:id="97"/>
      <w:bookmarkEnd w:id="98"/>
    </w:p>
    <w:p w14:paraId="6C38B4CB">
      <w:pPr>
        <w:pStyle w:val="4"/>
        <w:bidi w:val="0"/>
        <w:spacing w:line="560" w:lineRule="exact"/>
        <w:rPr>
          <w:rFonts w:hint="default"/>
          <w:highlight w:val="none"/>
        </w:rPr>
      </w:pPr>
      <w:bookmarkStart w:id="99" w:name="_Toc103094573"/>
      <w:r>
        <w:rPr>
          <w:rFonts w:hint="default"/>
          <w:highlight w:val="none"/>
        </w:rPr>
        <w:t>1.产出数量</w:t>
      </w:r>
      <w:bookmarkEnd w:id="99"/>
    </w:p>
    <w:p w14:paraId="32A69A78">
      <w:pPr>
        <w:spacing w:line="560" w:lineRule="exact"/>
        <w:ind w:firstLine="640"/>
        <w:rPr>
          <w:rFonts w:hint="default" w:ascii="Times New Roman" w:hAnsi="Times New Roman" w:eastAsia="仿宋" w:cs="Times New Roman"/>
          <w:bCs/>
          <w:szCs w:val="32"/>
          <w:highlight w:val="none"/>
          <w:lang w:val="en-US" w:eastAsia="zh-CN"/>
        </w:rPr>
      </w:pPr>
      <w:r>
        <w:rPr>
          <w:rFonts w:hint="default" w:ascii="Times New Roman" w:hAnsi="Times New Roman" w:cs="Times New Roman"/>
          <w:bCs/>
          <w:szCs w:val="32"/>
          <w:highlight w:val="none"/>
          <w:lang w:eastAsia="zh-CN"/>
        </w:rPr>
        <w:t>（</w:t>
      </w:r>
      <w:r>
        <w:rPr>
          <w:rFonts w:hint="default" w:ascii="Times New Roman" w:hAnsi="Times New Roman" w:cs="Times New Roman"/>
          <w:bCs/>
          <w:szCs w:val="32"/>
          <w:highlight w:val="none"/>
          <w:lang w:val="en-US" w:eastAsia="zh-CN"/>
        </w:rPr>
        <w:t>1）农村邻里互助养老服务点运营点位完成率</w:t>
      </w:r>
    </w:p>
    <w:p w14:paraId="5E629010">
      <w:pPr>
        <w:spacing w:line="560" w:lineRule="exact"/>
        <w:ind w:firstLine="640"/>
        <w:rPr>
          <w:rFonts w:hint="default" w:cs="Times New Roman"/>
          <w:bCs/>
          <w:szCs w:val="32"/>
          <w:highlight w:val="none"/>
          <w:lang w:val="en-US" w:eastAsia="zh-CN"/>
        </w:rPr>
      </w:pPr>
      <w:r>
        <w:rPr>
          <w:rFonts w:hint="default" w:ascii="Times New Roman" w:hAnsi="Times New Roman" w:cs="Times New Roman"/>
          <w:bCs/>
          <w:szCs w:val="32"/>
          <w:highlight w:val="none"/>
        </w:rPr>
        <w:t>根据</w:t>
      </w:r>
      <w:r>
        <w:rPr>
          <w:rFonts w:hint="eastAsia" w:cs="Times New Roman"/>
          <w:bCs/>
          <w:szCs w:val="32"/>
          <w:highlight w:val="none"/>
          <w:lang w:val="en-US" w:eastAsia="zh-CN"/>
        </w:rPr>
        <w:t>各区填报的</w:t>
      </w:r>
      <w:r>
        <w:rPr>
          <w:rFonts w:hint="default" w:ascii="Times New Roman" w:hAnsi="Times New Roman" w:cs="Times New Roman"/>
          <w:bCs/>
          <w:szCs w:val="32"/>
          <w:highlight w:val="none"/>
        </w:rPr>
        <w:t>《农村邻里互助点基本情况统计表》，各区计划服务点运营点位总数567个</w:t>
      </w:r>
      <w:r>
        <w:rPr>
          <w:rFonts w:hint="eastAsia" w:ascii="Times New Roman" w:hAnsi="Times New Roman" w:cs="Times New Roman"/>
          <w:bCs/>
          <w:szCs w:val="32"/>
          <w:highlight w:val="none"/>
          <w:lang w:eastAsia="zh-CN"/>
        </w:rPr>
        <w:t>，</w:t>
      </w:r>
      <w:r>
        <w:rPr>
          <w:rFonts w:hint="default" w:ascii="Times New Roman" w:hAnsi="Times New Roman" w:cs="Times New Roman"/>
          <w:bCs/>
          <w:szCs w:val="32"/>
          <w:highlight w:val="none"/>
        </w:rPr>
        <w:t>实际服务点运营点位总数568个服务点运营点位完成率</w:t>
      </w:r>
      <w:r>
        <w:rPr>
          <w:rFonts w:hint="eastAsia" w:cs="Times New Roman"/>
          <w:bCs/>
          <w:szCs w:val="32"/>
          <w:highlight w:val="none"/>
          <w:lang w:val="en-US" w:eastAsia="zh-CN"/>
        </w:rPr>
        <w:t>为</w:t>
      </w:r>
      <w:r>
        <w:rPr>
          <w:rFonts w:hint="default" w:ascii="Times New Roman" w:hAnsi="Times New Roman" w:cs="Times New Roman"/>
          <w:bCs/>
          <w:szCs w:val="32"/>
          <w:highlight w:val="none"/>
        </w:rPr>
        <w:t>100.18%</w:t>
      </w:r>
      <w:r>
        <w:rPr>
          <w:rFonts w:hint="default" w:ascii="Times New Roman" w:hAnsi="Times New Roman" w:cs="Times New Roman"/>
          <w:bCs/>
          <w:szCs w:val="32"/>
          <w:highlight w:val="none"/>
          <w:lang w:val="en-US" w:eastAsia="zh-CN"/>
        </w:rPr>
        <w:t>。</w:t>
      </w:r>
      <w:r>
        <w:rPr>
          <w:rFonts w:hint="eastAsia" w:cs="Times New Roman"/>
          <w:bCs/>
          <w:szCs w:val="32"/>
          <w:highlight w:val="none"/>
          <w:lang w:val="en-US" w:eastAsia="zh-CN"/>
        </w:rPr>
        <w:t>具体完成情况如下表所示：</w:t>
      </w:r>
    </w:p>
    <w:p w14:paraId="0E7E9BE1">
      <w:pPr>
        <w:pStyle w:val="12"/>
        <w:keepNext w:val="0"/>
        <w:keepLines w:val="0"/>
        <w:pageBreakBefore w:val="0"/>
        <w:widowControl w:val="0"/>
        <w:kinsoku/>
        <w:wordWrap/>
        <w:overflowPunct/>
        <w:topLinePunct w:val="0"/>
        <w:autoSpaceDE/>
        <w:autoSpaceDN/>
        <w:bidi w:val="0"/>
        <w:adjustRightInd/>
        <w:snapToGrid w:val="0"/>
        <w:spacing w:after="0" w:afterLines="0" w:line="560" w:lineRule="exact"/>
        <w:ind w:left="0" w:leftChars="0" w:firstLine="0" w:firstLineChars="0"/>
        <w:jc w:val="center"/>
        <w:textAlignment w:val="auto"/>
        <w:rPr>
          <w:rFonts w:hint="eastAsia" w:ascii="Times New Roman" w:hAnsi="Times New Roman" w:eastAsia="黑体" w:cs="Times New Roman"/>
          <w:bCs w:val="0"/>
          <w:sz w:val="24"/>
          <w:szCs w:val="24"/>
          <w:highlight w:val="none"/>
          <w:lang w:val="en-US" w:eastAsia="zh-CN"/>
        </w:rPr>
      </w:pPr>
      <w:r>
        <w:rPr>
          <w:rFonts w:hint="default" w:ascii="Times New Roman" w:hAnsi="Times New Roman" w:eastAsia="黑体" w:cs="Times New Roman"/>
          <w:sz w:val="24"/>
          <w:szCs w:val="24"/>
          <w:highlight w:val="none"/>
          <w:lang w:val="en-US" w:eastAsia="zh-CN"/>
        </w:rPr>
        <w:t>表</w:t>
      </w:r>
      <w:r>
        <w:rPr>
          <w:rFonts w:hint="eastAsia" w:ascii="Times New Roman" w:hAnsi="Times New Roman" w:eastAsia="黑体" w:cs="Times New Roman"/>
          <w:sz w:val="24"/>
          <w:szCs w:val="24"/>
          <w:highlight w:val="none"/>
          <w:lang w:val="en-US" w:eastAsia="zh-CN"/>
        </w:rPr>
        <w:t xml:space="preserve">6 </w:t>
      </w:r>
      <w:r>
        <w:rPr>
          <w:rFonts w:hint="default" w:ascii="Times New Roman" w:hAnsi="Times New Roman" w:eastAsia="黑体" w:cs="Times New Roman"/>
          <w:sz w:val="24"/>
          <w:szCs w:val="24"/>
          <w:highlight w:val="none"/>
        </w:rPr>
        <w:t>2024年度</w:t>
      </w:r>
      <w:r>
        <w:rPr>
          <w:rFonts w:hint="default" w:ascii="Times New Roman" w:hAnsi="Times New Roman" w:eastAsia="黑体" w:cs="Times New Roman"/>
          <w:bCs w:val="0"/>
          <w:sz w:val="24"/>
          <w:szCs w:val="24"/>
          <w:highlight w:val="none"/>
          <w:lang w:val="en-US" w:eastAsia="zh-CN"/>
        </w:rPr>
        <w:t>农村邻里互助养老服务点运营点</w:t>
      </w:r>
      <w:r>
        <w:rPr>
          <w:rFonts w:hint="eastAsia" w:ascii="Times New Roman" w:hAnsi="Times New Roman" w:eastAsia="黑体" w:cs="Times New Roman"/>
          <w:bCs w:val="0"/>
          <w:sz w:val="24"/>
          <w:szCs w:val="24"/>
          <w:highlight w:val="none"/>
          <w:lang w:val="en-US" w:eastAsia="zh-CN"/>
        </w:rPr>
        <w:t>完成情况表</w:t>
      </w:r>
    </w:p>
    <w:p w14:paraId="5E30B992">
      <w:pPr>
        <w:pStyle w:val="12"/>
        <w:keepNext w:val="0"/>
        <w:keepLines w:val="0"/>
        <w:pageBreakBefore w:val="0"/>
        <w:widowControl w:val="0"/>
        <w:kinsoku/>
        <w:wordWrap/>
        <w:overflowPunct/>
        <w:topLinePunct w:val="0"/>
        <w:autoSpaceDE/>
        <w:autoSpaceDN/>
        <w:bidi w:val="0"/>
        <w:adjustRightInd/>
        <w:snapToGrid w:val="0"/>
        <w:spacing w:after="217" w:afterLines="50" w:line="560" w:lineRule="exact"/>
        <w:ind w:left="0" w:leftChars="0" w:firstLine="0" w:firstLineChars="0"/>
        <w:jc w:val="right"/>
        <w:textAlignment w:val="auto"/>
        <w:rPr>
          <w:rFonts w:hint="default" w:ascii="Times New Roman" w:hAnsi="Times New Roman" w:eastAsia="黑体" w:cs="Times New Roman"/>
          <w:bCs w:val="0"/>
          <w:sz w:val="24"/>
          <w:szCs w:val="24"/>
          <w:highlight w:val="none"/>
          <w:lang w:val="en-US" w:eastAsia="zh-CN"/>
        </w:rPr>
      </w:pPr>
      <w:r>
        <w:rPr>
          <w:rFonts w:hint="eastAsia" w:eastAsia="黑体" w:cs="Times New Roman"/>
          <w:bCs w:val="0"/>
          <w:sz w:val="24"/>
          <w:szCs w:val="24"/>
          <w:highlight w:val="none"/>
          <w:lang w:val="en-US" w:eastAsia="zh-CN"/>
        </w:rPr>
        <w:t>单位：个</w:t>
      </w:r>
    </w:p>
    <w:tbl>
      <w:tblPr>
        <w:tblStyle w:val="2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05"/>
        <w:gridCol w:w="2321"/>
        <w:gridCol w:w="2676"/>
        <w:gridCol w:w="2354"/>
      </w:tblGrid>
      <w:tr w14:paraId="2826E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941"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8D874D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1280" w:type="pct"/>
            <w:vMerge w:val="restart"/>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0D93F0C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eastAsia="宋体" w:cs="Times New Roman"/>
                <w:b/>
                <w:bCs/>
                <w:i w:val="0"/>
                <w:iCs w:val="0"/>
                <w:color w:val="000000"/>
                <w:kern w:val="0"/>
                <w:sz w:val="21"/>
                <w:szCs w:val="21"/>
                <w:highlight w:val="none"/>
                <w:u w:val="none"/>
                <w:lang w:val="en-US" w:eastAsia="zh-CN" w:bidi="ar"/>
              </w:rPr>
              <w:t>行政区划</w:t>
            </w:r>
          </w:p>
        </w:tc>
        <w:tc>
          <w:tcPr>
            <w:tcW w:w="1477"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144A26D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计划运营点位数</w:t>
            </w:r>
          </w:p>
        </w:tc>
        <w:tc>
          <w:tcPr>
            <w:tcW w:w="1299"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6E562B2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实际运营点位数</w:t>
            </w:r>
          </w:p>
        </w:tc>
      </w:tr>
      <w:tr w14:paraId="5DA69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941"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95226A4">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280" w:type="pct"/>
            <w:vMerge w:val="continue"/>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73D0EAA3">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477"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47A20FEA">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299"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220F9C35">
            <w:pPr>
              <w:spacing w:line="340" w:lineRule="exact"/>
              <w:jc w:val="center"/>
              <w:rPr>
                <w:rFonts w:hint="default" w:ascii="Times New Roman" w:hAnsi="Times New Roman" w:eastAsia="宋体" w:cs="Times New Roman"/>
                <w:i w:val="0"/>
                <w:iCs w:val="0"/>
                <w:color w:val="000000"/>
                <w:sz w:val="21"/>
                <w:szCs w:val="21"/>
                <w:highlight w:val="none"/>
                <w:u w:val="none"/>
              </w:rPr>
            </w:pPr>
          </w:p>
        </w:tc>
      </w:tr>
      <w:tr w14:paraId="3C88A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AABF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882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003AE">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287</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8E32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287</w:t>
            </w:r>
          </w:p>
        </w:tc>
      </w:tr>
      <w:tr w14:paraId="11418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81C3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662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BB85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40</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436A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40</w:t>
            </w:r>
          </w:p>
        </w:tc>
      </w:tr>
      <w:tr w14:paraId="0A5C0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BD3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83DE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9195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85</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1745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85</w:t>
            </w:r>
          </w:p>
        </w:tc>
      </w:tr>
      <w:tr w14:paraId="502A3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03AC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EEA4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4AB6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20</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E406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20</w:t>
            </w:r>
          </w:p>
        </w:tc>
      </w:tr>
      <w:tr w14:paraId="62AA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AAE01">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B2E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5740E">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CEF4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r>
      <w:tr w14:paraId="5BA08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546A">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FA60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1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171B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85</w:t>
            </w: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6469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86</w:t>
            </w:r>
          </w:p>
        </w:tc>
      </w:tr>
      <w:tr w14:paraId="7962E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22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D6D3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合计</w:t>
            </w:r>
          </w:p>
        </w:tc>
        <w:tc>
          <w:tcPr>
            <w:tcW w:w="1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9F5E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567</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DE3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568</w:t>
            </w:r>
          </w:p>
        </w:tc>
      </w:tr>
    </w:tbl>
    <w:p w14:paraId="264EDC76">
      <w:pPr>
        <w:keepNext w:val="0"/>
        <w:keepLines w:val="0"/>
        <w:pageBreakBefore w:val="0"/>
        <w:widowControl w:val="0"/>
        <w:kinsoku/>
        <w:wordWrap/>
        <w:overflowPunct/>
        <w:topLinePunct w:val="0"/>
        <w:autoSpaceDE/>
        <w:autoSpaceDN/>
        <w:bidi w:val="0"/>
        <w:adjustRightInd/>
        <w:snapToGrid/>
        <w:spacing w:before="219" w:beforeLines="50" w:line="560" w:lineRule="exact"/>
        <w:ind w:firstLine="640"/>
        <w:textAlignment w:val="auto"/>
        <w:rPr>
          <w:rFonts w:hint="default" w:ascii="Times New Roman" w:hAnsi="Times New Roman" w:cs="Times New Roman"/>
          <w:bCs/>
          <w:szCs w:val="32"/>
          <w:highlight w:val="none"/>
          <w:lang w:val="en-US" w:eastAsia="zh-CN"/>
        </w:rPr>
      </w:pPr>
      <w:r>
        <w:rPr>
          <w:rFonts w:hint="default" w:ascii="Times New Roman" w:hAnsi="Times New Roman" w:cs="Times New Roman"/>
          <w:bCs/>
          <w:szCs w:val="32"/>
          <w:highlight w:val="none"/>
          <w:lang w:val="en-US" w:eastAsia="zh-CN"/>
        </w:rPr>
        <w:t>（2）农村邻里互助养老服务点新建点位完成率</w:t>
      </w:r>
    </w:p>
    <w:p w14:paraId="6CFB5D03">
      <w:pPr>
        <w:spacing w:line="560" w:lineRule="exact"/>
        <w:ind w:firstLine="640"/>
        <w:rPr>
          <w:rFonts w:hint="eastAsia" w:cs="Times New Roman"/>
          <w:bCs/>
          <w:szCs w:val="32"/>
          <w:highlight w:val="none"/>
          <w:lang w:val="en-US" w:eastAsia="zh-CN"/>
        </w:rPr>
      </w:pPr>
      <w:r>
        <w:rPr>
          <w:rFonts w:hint="default" w:ascii="Times New Roman" w:hAnsi="Times New Roman" w:cs="Times New Roman"/>
          <w:bCs/>
          <w:szCs w:val="32"/>
          <w:highlight w:val="none"/>
          <w:lang w:val="en-US" w:eastAsia="zh-CN"/>
        </w:rPr>
        <w:t>根据</w:t>
      </w:r>
      <w:r>
        <w:rPr>
          <w:rFonts w:hint="eastAsia" w:cs="Times New Roman"/>
          <w:bCs/>
          <w:szCs w:val="32"/>
          <w:highlight w:val="none"/>
          <w:lang w:val="en-US" w:eastAsia="zh-CN"/>
        </w:rPr>
        <w:t>各区填报的</w:t>
      </w:r>
      <w:r>
        <w:rPr>
          <w:rFonts w:hint="default" w:ascii="Times New Roman" w:hAnsi="Times New Roman" w:cs="Times New Roman"/>
          <w:bCs/>
          <w:szCs w:val="32"/>
          <w:highlight w:val="none"/>
          <w:lang w:val="en-US" w:eastAsia="zh-CN"/>
        </w:rPr>
        <w:t>《农村邻里互助点基本情况统计表》，各区计划服务点新建点位总数240个</w:t>
      </w:r>
      <w:r>
        <w:rPr>
          <w:rFonts w:hint="eastAsia" w:ascii="Times New Roman" w:hAnsi="Times New Roman" w:cs="Times New Roman"/>
          <w:bCs/>
          <w:szCs w:val="32"/>
          <w:highlight w:val="none"/>
          <w:lang w:val="en-US" w:eastAsia="zh-CN"/>
        </w:rPr>
        <w:t>，</w:t>
      </w:r>
      <w:r>
        <w:rPr>
          <w:rFonts w:hint="default" w:ascii="Times New Roman" w:hAnsi="Times New Roman" w:cs="Times New Roman"/>
          <w:bCs/>
          <w:szCs w:val="32"/>
          <w:highlight w:val="none"/>
          <w:lang w:val="en-US" w:eastAsia="zh-CN"/>
        </w:rPr>
        <w:t>实际服务点新建点位总数241个</w:t>
      </w:r>
      <w:r>
        <w:rPr>
          <w:rFonts w:hint="eastAsia" w:cs="Times New Roman"/>
          <w:bCs/>
          <w:szCs w:val="32"/>
          <w:highlight w:val="none"/>
          <w:lang w:val="en-US" w:eastAsia="zh-CN"/>
        </w:rPr>
        <w:t>，其中怀柔区</w:t>
      </w:r>
      <w:r>
        <w:rPr>
          <w:rFonts w:hint="default" w:ascii="Times New Roman" w:hAnsi="Times New Roman" w:cs="Times New Roman"/>
          <w:bCs/>
          <w:szCs w:val="32"/>
          <w:highlight w:val="none"/>
        </w:rPr>
        <w:t>服务点运营点位</w:t>
      </w:r>
      <w:r>
        <w:rPr>
          <w:rFonts w:hint="eastAsia" w:ascii="Times New Roman" w:hAnsi="Times New Roman" w:cs="Times New Roman"/>
          <w:bCs/>
          <w:szCs w:val="32"/>
          <w:highlight w:val="none"/>
          <w:lang w:val="en-US" w:eastAsia="zh-CN"/>
        </w:rPr>
        <w:t>实际完成数</w:t>
      </w:r>
      <w:r>
        <w:rPr>
          <w:rFonts w:hint="eastAsia" w:cs="Times New Roman"/>
          <w:bCs/>
          <w:szCs w:val="32"/>
          <w:highlight w:val="none"/>
          <w:lang w:val="en-US" w:eastAsia="zh-CN"/>
        </w:rPr>
        <w:t>计划运营数多1个，</w:t>
      </w:r>
      <w:r>
        <w:rPr>
          <w:rFonts w:hint="default" w:ascii="Times New Roman" w:hAnsi="Times New Roman" w:cs="Times New Roman"/>
          <w:bCs/>
          <w:szCs w:val="32"/>
          <w:highlight w:val="none"/>
          <w:lang w:val="en-US" w:eastAsia="zh-CN"/>
        </w:rPr>
        <w:t>服务点新建点位完成率100.42%，超额完成任务。</w:t>
      </w:r>
      <w:r>
        <w:rPr>
          <w:rFonts w:hint="eastAsia" w:cs="Times New Roman"/>
          <w:bCs/>
          <w:szCs w:val="32"/>
          <w:highlight w:val="none"/>
          <w:lang w:val="en-US" w:eastAsia="zh-CN"/>
        </w:rPr>
        <w:t>具体完成情况如下表所示：</w:t>
      </w:r>
    </w:p>
    <w:p w14:paraId="5BC95448">
      <w:pPr>
        <w:pStyle w:val="12"/>
        <w:keepNext w:val="0"/>
        <w:keepLines w:val="0"/>
        <w:pageBreakBefore w:val="0"/>
        <w:widowControl w:val="0"/>
        <w:kinsoku/>
        <w:wordWrap/>
        <w:overflowPunct/>
        <w:topLinePunct w:val="0"/>
        <w:autoSpaceDE/>
        <w:autoSpaceDN/>
        <w:bidi w:val="0"/>
        <w:adjustRightInd/>
        <w:snapToGrid w:val="0"/>
        <w:spacing w:after="217" w:afterLines="50" w:line="560" w:lineRule="exact"/>
        <w:ind w:left="0" w:leftChars="0" w:firstLine="0" w:firstLineChars="0"/>
        <w:jc w:val="center"/>
        <w:textAlignment w:val="auto"/>
        <w:rPr>
          <w:rFonts w:hint="default" w:ascii="Times New Roman" w:hAnsi="Times New Roman" w:eastAsia="黑体" w:cs="Times New Roman"/>
          <w:sz w:val="24"/>
          <w:szCs w:val="24"/>
          <w:highlight w:val="none"/>
          <w:lang w:val="en-US"/>
        </w:rPr>
      </w:pPr>
      <w:r>
        <w:rPr>
          <w:rFonts w:hint="default" w:ascii="Times New Roman" w:hAnsi="Times New Roman" w:eastAsia="黑体" w:cs="Times New Roman"/>
          <w:sz w:val="24"/>
          <w:szCs w:val="24"/>
          <w:highlight w:val="none"/>
          <w:lang w:val="en-US" w:eastAsia="zh-CN"/>
        </w:rPr>
        <w:t>表</w:t>
      </w:r>
      <w:r>
        <w:rPr>
          <w:rFonts w:hint="eastAsia" w:eastAsia="黑体" w:cs="Times New Roman"/>
          <w:sz w:val="24"/>
          <w:szCs w:val="24"/>
          <w:highlight w:val="none"/>
          <w:lang w:val="en-US" w:eastAsia="zh-CN"/>
        </w:rPr>
        <w:t>7</w:t>
      </w:r>
      <w:r>
        <w:rPr>
          <w:rFonts w:hint="eastAsia" w:ascii="Times New Roman" w:hAnsi="Times New Roman" w:eastAsia="黑体" w:cs="Times New Roman"/>
          <w:sz w:val="24"/>
          <w:szCs w:val="24"/>
          <w:highlight w:val="none"/>
          <w:lang w:val="en-US" w:eastAsia="zh-CN"/>
        </w:rPr>
        <w:t xml:space="preserve"> </w:t>
      </w:r>
      <w:r>
        <w:rPr>
          <w:rFonts w:hint="default" w:ascii="Times New Roman" w:hAnsi="Times New Roman" w:eastAsia="黑体" w:cs="Times New Roman"/>
          <w:sz w:val="24"/>
          <w:szCs w:val="24"/>
          <w:highlight w:val="none"/>
        </w:rPr>
        <w:t>2024年度</w:t>
      </w:r>
      <w:r>
        <w:rPr>
          <w:rFonts w:hint="default" w:ascii="Times New Roman" w:hAnsi="Times New Roman" w:eastAsia="黑体" w:cs="Times New Roman"/>
          <w:bCs w:val="0"/>
          <w:sz w:val="24"/>
          <w:szCs w:val="24"/>
          <w:highlight w:val="none"/>
          <w:lang w:val="en-US" w:eastAsia="zh-CN"/>
        </w:rPr>
        <w:t>农村邻里互助养老服务点</w:t>
      </w:r>
      <w:r>
        <w:rPr>
          <w:rFonts w:hint="eastAsia" w:ascii="Times New Roman" w:hAnsi="Times New Roman" w:eastAsia="黑体" w:cs="Times New Roman"/>
          <w:bCs w:val="0"/>
          <w:sz w:val="24"/>
          <w:szCs w:val="24"/>
          <w:highlight w:val="none"/>
          <w:lang w:val="en-US" w:eastAsia="zh-CN"/>
        </w:rPr>
        <w:t>新建</w:t>
      </w:r>
      <w:r>
        <w:rPr>
          <w:rFonts w:hint="default" w:ascii="Times New Roman" w:hAnsi="Times New Roman" w:eastAsia="黑体" w:cs="Times New Roman"/>
          <w:bCs w:val="0"/>
          <w:sz w:val="24"/>
          <w:szCs w:val="24"/>
          <w:highlight w:val="none"/>
          <w:lang w:val="en-US" w:eastAsia="zh-CN"/>
        </w:rPr>
        <w:t>点</w:t>
      </w:r>
      <w:r>
        <w:rPr>
          <w:rFonts w:hint="eastAsia" w:ascii="Times New Roman" w:hAnsi="Times New Roman" w:eastAsia="黑体" w:cs="Times New Roman"/>
          <w:bCs w:val="0"/>
          <w:sz w:val="24"/>
          <w:szCs w:val="24"/>
          <w:highlight w:val="none"/>
          <w:lang w:val="en-US" w:eastAsia="zh-CN"/>
        </w:rPr>
        <w:t>完成情况表</w:t>
      </w:r>
    </w:p>
    <w:tbl>
      <w:tblPr>
        <w:tblStyle w:val="2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2"/>
        <w:gridCol w:w="1500"/>
        <w:gridCol w:w="3167"/>
        <w:gridCol w:w="3167"/>
      </w:tblGrid>
      <w:tr w14:paraId="665A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675"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6FCF6AF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828" w:type="pct"/>
            <w:vMerge w:val="restart"/>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29A8492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eastAsia="宋体" w:cs="Times New Roman"/>
                <w:b/>
                <w:bCs/>
                <w:i w:val="0"/>
                <w:iCs w:val="0"/>
                <w:color w:val="000000"/>
                <w:kern w:val="0"/>
                <w:sz w:val="21"/>
                <w:szCs w:val="21"/>
                <w:highlight w:val="none"/>
                <w:u w:val="none"/>
                <w:lang w:val="en-US" w:eastAsia="zh-CN" w:bidi="ar"/>
              </w:rPr>
              <w:t>行政区划</w:t>
            </w:r>
          </w:p>
        </w:tc>
        <w:tc>
          <w:tcPr>
            <w:tcW w:w="1748"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67C3E5C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计划新建点位数</w:t>
            </w:r>
          </w:p>
        </w:tc>
        <w:tc>
          <w:tcPr>
            <w:tcW w:w="1748"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136F67E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实际新建点位数</w:t>
            </w:r>
          </w:p>
        </w:tc>
      </w:tr>
      <w:tr w14:paraId="1A7B8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326B1E2">
            <w:pPr>
              <w:spacing w:line="340" w:lineRule="exact"/>
              <w:ind w:firstLine="0" w:firstLineChars="0"/>
              <w:jc w:val="center"/>
              <w:rPr>
                <w:rFonts w:hint="default" w:ascii="Times New Roman" w:hAnsi="Times New Roman" w:eastAsia="宋体" w:cs="Times New Roman"/>
                <w:i w:val="0"/>
                <w:iCs w:val="0"/>
                <w:color w:val="000000"/>
                <w:sz w:val="21"/>
                <w:szCs w:val="21"/>
                <w:highlight w:val="none"/>
                <w:u w:val="none"/>
              </w:rPr>
            </w:pPr>
          </w:p>
        </w:tc>
        <w:tc>
          <w:tcPr>
            <w:tcW w:w="828" w:type="pct"/>
            <w:vMerge w:val="continue"/>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3F18E6C3">
            <w:pPr>
              <w:spacing w:line="340" w:lineRule="exact"/>
              <w:ind w:firstLine="0" w:firstLineChars="0"/>
              <w:jc w:val="center"/>
              <w:rPr>
                <w:rFonts w:hint="default" w:ascii="Times New Roman" w:hAnsi="Times New Roman" w:eastAsia="宋体" w:cs="Times New Roman"/>
                <w:i w:val="0"/>
                <w:iCs w:val="0"/>
                <w:color w:val="000000"/>
                <w:sz w:val="21"/>
                <w:szCs w:val="21"/>
                <w:highlight w:val="none"/>
                <w:u w:val="none"/>
              </w:rPr>
            </w:pPr>
          </w:p>
        </w:tc>
        <w:tc>
          <w:tcPr>
            <w:tcW w:w="1748"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4AF074C">
            <w:pPr>
              <w:spacing w:line="340" w:lineRule="exact"/>
              <w:ind w:firstLine="0" w:firstLineChars="0"/>
              <w:jc w:val="center"/>
              <w:rPr>
                <w:rFonts w:hint="default" w:ascii="Times New Roman" w:hAnsi="Times New Roman" w:eastAsia="宋体" w:cs="Times New Roman"/>
                <w:i w:val="0"/>
                <w:iCs w:val="0"/>
                <w:color w:val="000000"/>
                <w:sz w:val="21"/>
                <w:szCs w:val="21"/>
                <w:highlight w:val="none"/>
                <w:u w:val="none"/>
              </w:rPr>
            </w:pPr>
          </w:p>
        </w:tc>
        <w:tc>
          <w:tcPr>
            <w:tcW w:w="1748"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194CD0A9">
            <w:pPr>
              <w:spacing w:line="340" w:lineRule="exact"/>
              <w:ind w:firstLine="0" w:firstLineChars="0"/>
              <w:jc w:val="center"/>
              <w:rPr>
                <w:rFonts w:hint="default" w:ascii="Times New Roman" w:hAnsi="Times New Roman" w:eastAsia="宋体" w:cs="Times New Roman"/>
                <w:i w:val="0"/>
                <w:iCs w:val="0"/>
                <w:color w:val="000000"/>
                <w:sz w:val="21"/>
                <w:szCs w:val="21"/>
                <w:highlight w:val="none"/>
                <w:u w:val="none"/>
              </w:rPr>
            </w:pPr>
          </w:p>
        </w:tc>
      </w:tr>
      <w:tr w14:paraId="1BDEE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6970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D6BC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EB21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66</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B483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66</w:t>
            </w:r>
          </w:p>
        </w:tc>
      </w:tr>
      <w:tr w14:paraId="39CB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3C07">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A970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7563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32</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3B3E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32</w:t>
            </w:r>
          </w:p>
        </w:tc>
      </w:tr>
      <w:tr w14:paraId="68CF7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1F5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4FCD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0A07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29B2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r>
      <w:tr w14:paraId="3ED77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6933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E87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CF5F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15</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01AF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15</w:t>
            </w:r>
          </w:p>
        </w:tc>
      </w:tr>
      <w:tr w14:paraId="2FDFC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C966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97187">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AA5B7">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47</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65CA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47</w:t>
            </w:r>
          </w:p>
        </w:tc>
      </w:tr>
      <w:tr w14:paraId="5FFE1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279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0A9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01E7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30</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D970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31</w:t>
            </w:r>
          </w:p>
        </w:tc>
      </w:tr>
      <w:tr w14:paraId="040FB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5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4A27B">
            <w:pPr>
              <w:spacing w:line="340" w:lineRule="exact"/>
              <w:ind w:firstLine="0" w:firstLineChars="0"/>
              <w:jc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合计</w:t>
            </w:r>
          </w:p>
        </w:tc>
        <w:tc>
          <w:tcPr>
            <w:tcW w:w="1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783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240</w:t>
            </w:r>
          </w:p>
        </w:tc>
        <w:tc>
          <w:tcPr>
            <w:tcW w:w="1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53CF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241</w:t>
            </w:r>
          </w:p>
        </w:tc>
      </w:tr>
    </w:tbl>
    <w:p w14:paraId="7BDD3D88">
      <w:pPr>
        <w:keepNext w:val="0"/>
        <w:keepLines w:val="0"/>
        <w:pageBreakBefore w:val="0"/>
        <w:widowControl w:val="0"/>
        <w:kinsoku/>
        <w:wordWrap/>
        <w:overflowPunct/>
        <w:topLinePunct w:val="0"/>
        <w:autoSpaceDE/>
        <w:autoSpaceDN/>
        <w:bidi w:val="0"/>
        <w:adjustRightInd/>
        <w:snapToGrid/>
        <w:spacing w:before="219" w:beforeLines="50" w:line="560" w:lineRule="exact"/>
        <w:ind w:left="0" w:leftChars="0" w:firstLine="640" w:firstLineChars="200"/>
        <w:textAlignment w:val="auto"/>
        <w:rPr>
          <w:rFonts w:hint="default" w:ascii="Times New Roman" w:hAnsi="Times New Roman" w:cs="Times New Roman"/>
          <w:bCs/>
          <w:szCs w:val="32"/>
          <w:highlight w:val="none"/>
          <w:lang w:val="en-US" w:eastAsia="zh-CN"/>
        </w:rPr>
      </w:pPr>
      <w:r>
        <w:rPr>
          <w:rFonts w:hint="default" w:ascii="Times New Roman" w:hAnsi="Times New Roman" w:cs="Times New Roman"/>
          <w:bCs/>
          <w:szCs w:val="32"/>
          <w:highlight w:val="none"/>
          <w:lang w:val="en-US" w:eastAsia="zh-CN"/>
        </w:rPr>
        <w:t>（3）农村邻里互助养老服务点邻里互助员覆盖率</w:t>
      </w:r>
    </w:p>
    <w:p w14:paraId="085EC844">
      <w:pPr>
        <w:spacing w:line="560" w:lineRule="exact"/>
        <w:ind w:firstLine="640"/>
        <w:rPr>
          <w:rFonts w:hint="default" w:ascii="Times New Roman" w:hAnsi="Times New Roman" w:cs="Times New Roman"/>
          <w:szCs w:val="32"/>
          <w:highlight w:val="none"/>
          <w:lang w:val="en-US" w:eastAsia="zh-CN"/>
        </w:rPr>
      </w:pPr>
      <w:r>
        <w:rPr>
          <w:rFonts w:hint="default" w:ascii="Times New Roman" w:hAnsi="Times New Roman" w:cs="Times New Roman"/>
          <w:bCs/>
          <w:szCs w:val="32"/>
          <w:highlight w:val="none"/>
          <w:lang w:val="en-US" w:eastAsia="zh-CN"/>
        </w:rPr>
        <w:t>根据</w:t>
      </w:r>
      <w:r>
        <w:rPr>
          <w:rFonts w:hint="eastAsia" w:cs="Times New Roman"/>
          <w:bCs/>
          <w:szCs w:val="32"/>
          <w:highlight w:val="none"/>
          <w:lang w:val="en-US" w:eastAsia="zh-CN"/>
        </w:rPr>
        <w:t>各区填报的</w:t>
      </w:r>
      <w:r>
        <w:rPr>
          <w:rFonts w:hint="default" w:ascii="Times New Roman" w:hAnsi="Times New Roman" w:cs="Times New Roman"/>
          <w:bCs/>
          <w:szCs w:val="32"/>
          <w:highlight w:val="none"/>
          <w:lang w:val="en-US" w:eastAsia="zh-CN"/>
        </w:rPr>
        <w:t>《农村邻里互助点基本情况统计表》，计划参与服务点互助的互助员总数809人</w:t>
      </w:r>
      <w:r>
        <w:rPr>
          <w:rStyle w:val="29"/>
          <w:rFonts w:hint="default" w:ascii="Times New Roman" w:hAnsi="Times New Roman" w:cs="Times New Roman"/>
          <w:bCs/>
          <w:szCs w:val="32"/>
          <w:highlight w:val="none"/>
          <w:lang w:val="en-US" w:eastAsia="zh-CN"/>
        </w:rPr>
        <w:footnoteReference w:id="0"/>
      </w:r>
      <w:r>
        <w:rPr>
          <w:rFonts w:hint="eastAsia" w:ascii="Times New Roman" w:hAnsi="Times New Roman" w:cs="Times New Roman"/>
          <w:bCs/>
          <w:szCs w:val="32"/>
          <w:highlight w:val="none"/>
          <w:lang w:val="en-US" w:eastAsia="zh-CN"/>
        </w:rPr>
        <w:t>，</w:t>
      </w:r>
      <w:r>
        <w:rPr>
          <w:rFonts w:hint="default" w:ascii="Times New Roman" w:hAnsi="Times New Roman" w:cs="Times New Roman"/>
          <w:bCs/>
          <w:szCs w:val="32"/>
          <w:highlight w:val="none"/>
          <w:lang w:val="en-US" w:eastAsia="zh-CN"/>
        </w:rPr>
        <w:t>实际参与服务点互助的互助员总数1480人，农村邻里互助养老服务点邻里互助员覆盖率</w:t>
      </w:r>
      <w:r>
        <w:rPr>
          <w:rFonts w:hint="eastAsia" w:cs="Times New Roman"/>
          <w:bCs/>
          <w:szCs w:val="32"/>
          <w:highlight w:val="none"/>
          <w:lang w:val="en-US" w:eastAsia="zh-CN"/>
        </w:rPr>
        <w:t>为</w:t>
      </w:r>
      <w:r>
        <w:rPr>
          <w:rFonts w:hint="default" w:ascii="Times New Roman" w:hAnsi="Times New Roman" w:cs="Times New Roman"/>
          <w:bCs/>
          <w:szCs w:val="32"/>
          <w:highlight w:val="none"/>
          <w:lang w:val="en-US" w:eastAsia="zh-CN"/>
        </w:rPr>
        <w:t>182.94%，符合</w:t>
      </w:r>
      <w:r>
        <w:rPr>
          <w:rFonts w:hint="default" w:ascii="Times New Roman" w:hAnsi="Times New Roman" w:cs="Times New Roman"/>
          <w:szCs w:val="32"/>
          <w:highlight w:val="none"/>
          <w:lang w:val="en-US" w:eastAsia="zh-Hans"/>
        </w:rPr>
        <w:t>《北京市农村邻里互助养老服务点建设管理办法（试行）》（京民养老发〔2023〕279号）</w:t>
      </w:r>
      <w:r>
        <w:rPr>
          <w:rFonts w:hint="eastAsia" w:cs="Times New Roman"/>
          <w:szCs w:val="32"/>
          <w:highlight w:val="none"/>
          <w:lang w:val="en-US" w:eastAsia="zh-CN"/>
        </w:rPr>
        <w:t>文件中</w:t>
      </w:r>
      <w:r>
        <w:rPr>
          <w:rFonts w:hint="default" w:ascii="Times New Roman" w:hAnsi="Times New Roman" w:cs="Times New Roman"/>
          <w:szCs w:val="32"/>
          <w:highlight w:val="none"/>
          <w:lang w:val="en-US" w:eastAsia="zh-CN"/>
        </w:rPr>
        <w:t>对互助员覆盖</w:t>
      </w:r>
      <w:r>
        <w:rPr>
          <w:rFonts w:hint="eastAsia" w:cs="Times New Roman"/>
          <w:szCs w:val="32"/>
          <w:highlight w:val="none"/>
          <w:lang w:val="en-US" w:eastAsia="zh-CN"/>
        </w:rPr>
        <w:t>率</w:t>
      </w:r>
      <w:r>
        <w:rPr>
          <w:rFonts w:hint="default" w:ascii="Times New Roman" w:hAnsi="Times New Roman" w:cs="Times New Roman"/>
          <w:szCs w:val="32"/>
          <w:highlight w:val="none"/>
          <w:lang w:val="en-US" w:eastAsia="zh-CN"/>
        </w:rPr>
        <w:t>的要求。</w:t>
      </w:r>
    </w:p>
    <w:p w14:paraId="42B705E0">
      <w:pPr>
        <w:pStyle w:val="4"/>
        <w:bidi w:val="0"/>
        <w:spacing w:line="560" w:lineRule="exact"/>
        <w:rPr>
          <w:rFonts w:hint="default"/>
          <w:highlight w:val="none"/>
          <w:lang w:eastAsia="zh-Hans"/>
        </w:rPr>
      </w:pPr>
      <w:bookmarkStart w:id="100" w:name="_Toc103094574"/>
      <w:r>
        <w:rPr>
          <w:rFonts w:hint="default"/>
          <w:highlight w:val="none"/>
        </w:rPr>
        <w:t>2.产出质量</w:t>
      </w:r>
      <w:bookmarkEnd w:id="100"/>
    </w:p>
    <w:p w14:paraId="483B64E9">
      <w:pPr>
        <w:spacing w:line="560" w:lineRule="exact"/>
        <w:ind w:firstLine="640"/>
        <w:rPr>
          <w:rFonts w:hint="default" w:ascii="Times New Roman" w:hAnsi="Times New Roman" w:cs="Times New Roman"/>
          <w:kern w:val="0"/>
          <w:szCs w:val="32"/>
          <w:highlight w:val="none"/>
          <w:lang w:val="en-US" w:eastAsia="zh-CN"/>
        </w:rPr>
      </w:pPr>
      <w:r>
        <w:rPr>
          <w:rFonts w:hint="default" w:ascii="Times New Roman" w:hAnsi="Times New Roman" w:cs="Times New Roman"/>
          <w:kern w:val="0"/>
          <w:szCs w:val="32"/>
          <w:highlight w:val="none"/>
          <w:lang w:eastAsia="zh-CN"/>
        </w:rPr>
        <w:t>（</w:t>
      </w:r>
      <w:r>
        <w:rPr>
          <w:rFonts w:hint="default" w:ascii="Times New Roman" w:hAnsi="Times New Roman" w:cs="Times New Roman"/>
          <w:kern w:val="0"/>
          <w:szCs w:val="32"/>
          <w:highlight w:val="none"/>
          <w:lang w:val="en-US" w:eastAsia="zh-CN"/>
        </w:rPr>
        <w:t>1）农村邻里互助养老服务点邻里互助员负担比率</w:t>
      </w:r>
    </w:p>
    <w:p w14:paraId="69593FE1">
      <w:pPr>
        <w:spacing w:line="560" w:lineRule="exact"/>
        <w:ind w:firstLine="640"/>
        <w:rPr>
          <w:rFonts w:hint="eastAsia" w:eastAsia="仿宋_GB2312" w:cs="Times New Roman"/>
          <w:bCs/>
          <w:sz w:val="32"/>
          <w:szCs w:val="32"/>
          <w:highlight w:val="none"/>
          <w:lang w:val="en-US" w:eastAsia="zh-CN"/>
        </w:rPr>
      </w:pPr>
      <w:r>
        <w:rPr>
          <w:rFonts w:hint="default" w:ascii="Times New Roman" w:hAnsi="Times New Roman" w:cs="Times New Roman"/>
          <w:kern w:val="0"/>
          <w:szCs w:val="32"/>
          <w:highlight w:val="none"/>
          <w:lang w:val="en-US" w:eastAsia="zh-CN"/>
        </w:rPr>
        <w:t>根据</w:t>
      </w:r>
      <w:r>
        <w:rPr>
          <w:rFonts w:hint="eastAsia" w:cs="Times New Roman"/>
          <w:kern w:val="0"/>
          <w:szCs w:val="32"/>
          <w:highlight w:val="none"/>
          <w:lang w:val="en-US" w:eastAsia="zh-CN"/>
        </w:rPr>
        <w:t>各区填报的</w:t>
      </w:r>
      <w:r>
        <w:rPr>
          <w:rFonts w:hint="default" w:ascii="Times New Roman" w:hAnsi="Times New Roman" w:cs="Times New Roman"/>
          <w:kern w:val="0"/>
          <w:szCs w:val="32"/>
          <w:highlight w:val="none"/>
          <w:lang w:val="en-US" w:eastAsia="zh-CN"/>
        </w:rPr>
        <w:t>《农村邻里互助点基本情况统计表》与《农村邻里互助员服务情况统计表》，各区互助员</w:t>
      </w:r>
      <w:r>
        <w:rPr>
          <w:rFonts w:hint="eastAsia" w:ascii="Times New Roman" w:hAnsi="Times New Roman" w:cs="Times New Roman"/>
          <w:kern w:val="0"/>
          <w:szCs w:val="32"/>
          <w:highlight w:val="none"/>
          <w:lang w:val="en-US" w:eastAsia="zh-CN"/>
        </w:rPr>
        <w:t>人数</w:t>
      </w:r>
      <w:r>
        <w:rPr>
          <w:rFonts w:hint="eastAsia" w:cs="Times New Roman"/>
          <w:kern w:val="0"/>
          <w:szCs w:val="32"/>
          <w:highlight w:val="none"/>
          <w:lang w:val="en-US" w:eastAsia="zh-CN"/>
        </w:rPr>
        <w:t>、服务对象数量、平均负担比率如下表所示：</w:t>
      </w:r>
    </w:p>
    <w:p w14:paraId="2A055F60">
      <w:pPr>
        <w:pStyle w:val="12"/>
        <w:keepNext w:val="0"/>
        <w:keepLines w:val="0"/>
        <w:pageBreakBefore w:val="0"/>
        <w:widowControl w:val="0"/>
        <w:kinsoku/>
        <w:wordWrap/>
        <w:overflowPunct/>
        <w:topLinePunct w:val="0"/>
        <w:autoSpaceDE/>
        <w:autoSpaceDN/>
        <w:bidi w:val="0"/>
        <w:adjustRightInd/>
        <w:snapToGrid w:val="0"/>
        <w:spacing w:after="217" w:afterLines="50" w:line="560" w:lineRule="exact"/>
        <w:ind w:left="0" w:leftChars="0" w:firstLine="0" w:firstLineChars="0"/>
        <w:jc w:val="center"/>
        <w:textAlignment w:val="auto"/>
        <w:rPr>
          <w:rFonts w:hint="default" w:ascii="Times New Roman" w:hAnsi="Times New Roman" w:eastAsia="黑体" w:cs="Times New Roman"/>
          <w:sz w:val="24"/>
          <w:szCs w:val="24"/>
          <w:highlight w:val="none"/>
          <w:lang w:val="en-US"/>
        </w:rPr>
      </w:pPr>
      <w:r>
        <w:rPr>
          <w:rFonts w:hint="default" w:ascii="Times New Roman" w:hAnsi="Times New Roman" w:eastAsia="黑体" w:cs="Times New Roman"/>
          <w:sz w:val="24"/>
          <w:szCs w:val="24"/>
          <w:highlight w:val="none"/>
          <w:lang w:val="en-US" w:eastAsia="zh-CN"/>
        </w:rPr>
        <w:t>表</w:t>
      </w:r>
      <w:r>
        <w:rPr>
          <w:rFonts w:hint="eastAsia" w:eastAsia="黑体" w:cs="Times New Roman"/>
          <w:sz w:val="24"/>
          <w:szCs w:val="24"/>
          <w:highlight w:val="none"/>
          <w:lang w:val="en-US" w:eastAsia="zh-CN"/>
        </w:rPr>
        <w:t>8</w:t>
      </w:r>
      <w:r>
        <w:rPr>
          <w:rFonts w:hint="eastAsia" w:ascii="Times New Roman" w:hAnsi="Times New Roman" w:eastAsia="黑体" w:cs="Times New Roman"/>
          <w:sz w:val="24"/>
          <w:szCs w:val="24"/>
          <w:highlight w:val="none"/>
          <w:lang w:val="en-US" w:eastAsia="zh-CN"/>
        </w:rPr>
        <w:t xml:space="preserve"> </w:t>
      </w:r>
      <w:r>
        <w:rPr>
          <w:rFonts w:hint="eastAsia" w:eastAsia="黑体" w:cs="Times New Roman"/>
          <w:sz w:val="24"/>
          <w:highlight w:val="none"/>
        </w:rPr>
        <w:t>农村邻里互助养老服务点邻里互助员负担比</w:t>
      </w:r>
      <w:r>
        <w:rPr>
          <w:rFonts w:hint="eastAsia" w:ascii="Times New Roman" w:hAnsi="Times New Roman" w:eastAsia="黑体" w:cs="Times New Roman"/>
          <w:bCs w:val="0"/>
          <w:sz w:val="24"/>
          <w:szCs w:val="24"/>
          <w:highlight w:val="none"/>
          <w:lang w:val="en-US" w:eastAsia="zh-CN"/>
        </w:rPr>
        <w:t>情况表</w:t>
      </w:r>
    </w:p>
    <w:tbl>
      <w:tblPr>
        <w:tblStyle w:val="2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6"/>
        <w:gridCol w:w="1086"/>
        <w:gridCol w:w="2291"/>
        <w:gridCol w:w="2291"/>
        <w:gridCol w:w="2503"/>
      </w:tblGrid>
      <w:tr w14:paraId="597A2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blHeader/>
        </w:trPr>
        <w:tc>
          <w:tcPr>
            <w:tcW w:w="489"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56864E2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599" w:type="pct"/>
            <w:vMerge w:val="restart"/>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02C85F86">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行政区划</w:t>
            </w:r>
          </w:p>
        </w:tc>
        <w:tc>
          <w:tcPr>
            <w:tcW w:w="1264"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614B335E">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互助员数量</w:t>
            </w:r>
          </w:p>
        </w:tc>
        <w:tc>
          <w:tcPr>
            <w:tcW w:w="1264"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1F5E6E5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服务对象数量</w:t>
            </w:r>
          </w:p>
        </w:tc>
        <w:tc>
          <w:tcPr>
            <w:tcW w:w="1381"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9C6319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lang w:val="en-US"/>
              </w:rPr>
            </w:pPr>
            <w:r>
              <w:rPr>
                <w:rFonts w:hint="default" w:ascii="Times New Roman" w:hAnsi="Times New Roman" w:eastAsia="宋体" w:cs="Times New Roman"/>
                <w:b/>
                <w:bCs/>
                <w:i w:val="0"/>
                <w:iCs w:val="0"/>
                <w:color w:val="000000"/>
                <w:kern w:val="0"/>
                <w:sz w:val="21"/>
                <w:szCs w:val="21"/>
                <w:highlight w:val="none"/>
                <w:u w:val="none"/>
                <w:lang w:val="en-US" w:eastAsia="zh-CN" w:bidi="ar"/>
              </w:rPr>
              <w:t>平均负担比</w:t>
            </w:r>
            <w:r>
              <w:rPr>
                <w:rFonts w:hint="eastAsia" w:eastAsia="宋体" w:cs="Times New Roman"/>
                <w:b/>
                <w:bCs/>
                <w:i w:val="0"/>
                <w:iCs w:val="0"/>
                <w:color w:val="000000"/>
                <w:kern w:val="0"/>
                <w:sz w:val="21"/>
                <w:szCs w:val="21"/>
                <w:highlight w:val="none"/>
                <w:u w:val="none"/>
                <w:lang w:val="en-US" w:eastAsia="zh-CN" w:bidi="ar"/>
              </w:rPr>
              <w:t>率</w:t>
            </w:r>
          </w:p>
        </w:tc>
      </w:tr>
      <w:tr w14:paraId="0AD47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blHeader/>
        </w:trPr>
        <w:tc>
          <w:tcPr>
            <w:tcW w:w="489"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ABFE8AC">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599" w:type="pct"/>
            <w:vMerge w:val="continue"/>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6BB6092B">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264"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1E68FDE8">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264"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00E35A73">
            <w:pPr>
              <w:spacing w:line="340" w:lineRule="exact"/>
              <w:jc w:val="center"/>
              <w:rPr>
                <w:rFonts w:hint="default" w:ascii="Times New Roman" w:hAnsi="Times New Roman" w:eastAsia="宋体" w:cs="Times New Roman"/>
                <w:i w:val="0"/>
                <w:iCs w:val="0"/>
                <w:color w:val="000000"/>
                <w:sz w:val="21"/>
                <w:szCs w:val="21"/>
                <w:highlight w:val="none"/>
                <w:u w:val="none"/>
              </w:rPr>
            </w:pPr>
          </w:p>
        </w:tc>
        <w:tc>
          <w:tcPr>
            <w:tcW w:w="1381"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E0200ED">
            <w:pPr>
              <w:spacing w:line="340" w:lineRule="exact"/>
              <w:jc w:val="center"/>
              <w:rPr>
                <w:rFonts w:hint="default" w:ascii="Times New Roman" w:hAnsi="Times New Roman" w:eastAsia="宋体" w:cs="Times New Roman"/>
                <w:i w:val="0"/>
                <w:iCs w:val="0"/>
                <w:color w:val="000000"/>
                <w:sz w:val="21"/>
                <w:szCs w:val="21"/>
                <w:highlight w:val="none"/>
                <w:u w:val="none"/>
              </w:rPr>
            </w:pPr>
          </w:p>
        </w:tc>
      </w:tr>
      <w:tr w14:paraId="5F88B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B21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795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7F4B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353</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701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3530</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ACD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w:t>
            </w:r>
          </w:p>
        </w:tc>
      </w:tr>
      <w:tr w14:paraId="6697A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E69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BD9A">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F73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74</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18B1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628</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EDEE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w:t>
            </w:r>
          </w:p>
        </w:tc>
      </w:tr>
      <w:tr w14:paraId="72A3E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49217">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6674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CF1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394</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BA7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1683</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4EA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r>
      <w:tr w14:paraId="2BDA8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4C84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F58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C506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32C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366</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8908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7</w:t>
            </w:r>
          </w:p>
        </w:tc>
      </w:tr>
      <w:tr w14:paraId="3C9CD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3E06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01E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EB1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107</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8DE3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970</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2FC6E">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w:t>
            </w:r>
          </w:p>
        </w:tc>
      </w:tr>
      <w:tr w14:paraId="0E139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117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028E">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688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502</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C3B0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1528</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5062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r>
    </w:tbl>
    <w:p w14:paraId="3A601FCA">
      <w:pPr>
        <w:keepNext w:val="0"/>
        <w:keepLines w:val="0"/>
        <w:pageBreakBefore w:val="0"/>
        <w:widowControl w:val="0"/>
        <w:kinsoku/>
        <w:wordWrap/>
        <w:overflowPunct/>
        <w:topLinePunct w:val="0"/>
        <w:autoSpaceDE/>
        <w:autoSpaceDN/>
        <w:bidi w:val="0"/>
        <w:adjustRightInd/>
        <w:snapToGrid/>
        <w:spacing w:before="219" w:beforeLines="50" w:line="560" w:lineRule="exact"/>
        <w:ind w:left="0" w:leftChars="0" w:firstLine="640" w:firstLineChars="200"/>
        <w:textAlignment w:val="auto"/>
        <w:rPr>
          <w:rFonts w:hint="default" w:ascii="Times New Roman" w:hAnsi="Times New Roman" w:eastAsia="仿宋" w:cs="Times New Roman"/>
          <w:bCs/>
          <w:sz w:val="32"/>
          <w:szCs w:val="32"/>
          <w:highlight w:val="none"/>
          <w:lang w:val="en-US" w:eastAsia="zh-CN"/>
        </w:rPr>
      </w:pPr>
      <w:r>
        <w:rPr>
          <w:rFonts w:hint="default" w:ascii="Times New Roman" w:hAnsi="Times New Roman" w:eastAsia="仿宋" w:cs="Times New Roman"/>
          <w:bCs/>
          <w:sz w:val="32"/>
          <w:szCs w:val="32"/>
          <w:highlight w:val="none"/>
          <w:lang w:val="en-US" w:eastAsia="zh-CN"/>
        </w:rPr>
        <w:t>（2）新建农村邻里互助养老服务点邻里互助员培训参训率</w:t>
      </w:r>
    </w:p>
    <w:p w14:paraId="0C4AC924">
      <w:pPr>
        <w:spacing w:line="560" w:lineRule="exact"/>
        <w:ind w:firstLine="640"/>
        <w:rPr>
          <w:rFonts w:hint="default" w:eastAsia="仿宋" w:cs="Times New Roman"/>
          <w:bCs/>
          <w:sz w:val="32"/>
          <w:szCs w:val="32"/>
          <w:highlight w:val="none"/>
          <w:lang w:val="en-US" w:eastAsia="zh-CN"/>
        </w:rPr>
      </w:pPr>
      <w:r>
        <w:rPr>
          <w:rFonts w:hint="default" w:ascii="Times New Roman" w:hAnsi="Times New Roman" w:cs="Times New Roman"/>
          <w:szCs w:val="32"/>
          <w:highlight w:val="none"/>
          <w:lang w:val="en-US" w:eastAsia="zh-CN"/>
        </w:rPr>
        <w:t>根据</w:t>
      </w:r>
      <w:r>
        <w:rPr>
          <w:rFonts w:hint="default" w:eastAsia="仿宋" w:cs="Times New Roman"/>
          <w:bCs/>
          <w:sz w:val="32"/>
          <w:szCs w:val="32"/>
          <w:highlight w:val="none"/>
          <w:lang w:val="en-US" w:eastAsia="zh-CN"/>
        </w:rPr>
        <w:t>各区填报的</w:t>
      </w:r>
      <w:r>
        <w:rPr>
          <w:rFonts w:hint="default" w:ascii="Times New Roman" w:hAnsi="Times New Roman" w:eastAsia="仿宋" w:cs="Times New Roman"/>
          <w:bCs/>
          <w:sz w:val="32"/>
          <w:szCs w:val="32"/>
          <w:highlight w:val="none"/>
          <w:lang w:val="en-US" w:eastAsia="zh-CN"/>
        </w:rPr>
        <w:t>《农村邻里互助点基本情况统计表》与《农村邻里互助员服务情况统计表》，密云区、延庆区、门头沟区、房山区、怀柔区新建农村邻里互助养老服务点邻里互助员培训参训率均为100%，平谷区</w:t>
      </w:r>
      <w:r>
        <w:rPr>
          <w:rFonts w:hint="default" w:eastAsia="仿宋" w:cs="Times New Roman"/>
          <w:bCs/>
          <w:sz w:val="32"/>
          <w:szCs w:val="32"/>
          <w:highlight w:val="none"/>
          <w:lang w:val="en-US" w:eastAsia="zh-CN"/>
        </w:rPr>
        <w:t>为</w:t>
      </w:r>
      <w:r>
        <w:rPr>
          <w:rFonts w:hint="default" w:ascii="Times New Roman" w:hAnsi="Times New Roman" w:eastAsia="仿宋" w:cs="Times New Roman"/>
          <w:bCs/>
          <w:sz w:val="32"/>
          <w:szCs w:val="32"/>
          <w:highlight w:val="none"/>
          <w:lang w:val="en-US" w:eastAsia="zh-CN"/>
        </w:rPr>
        <w:t>96.8</w:t>
      </w:r>
      <w:r>
        <w:rPr>
          <w:rFonts w:hint="default" w:eastAsia="仿宋" w:cs="Times New Roman"/>
          <w:bCs/>
          <w:sz w:val="32"/>
          <w:szCs w:val="32"/>
          <w:highlight w:val="none"/>
          <w:lang w:val="en-US" w:eastAsia="zh-CN"/>
        </w:rPr>
        <w:t>8</w:t>
      </w:r>
      <w:r>
        <w:rPr>
          <w:rFonts w:hint="default" w:ascii="Times New Roman" w:hAnsi="Times New Roman" w:eastAsia="仿宋" w:cs="Times New Roman"/>
          <w:bCs/>
          <w:sz w:val="32"/>
          <w:szCs w:val="32"/>
          <w:highlight w:val="none"/>
          <w:lang w:val="en-US" w:eastAsia="zh-CN"/>
        </w:rPr>
        <w:t>%，</w:t>
      </w:r>
      <w:r>
        <w:rPr>
          <w:rFonts w:hint="default" w:eastAsia="仿宋" w:cs="Times New Roman"/>
          <w:bCs/>
          <w:sz w:val="32"/>
          <w:szCs w:val="32"/>
          <w:highlight w:val="none"/>
          <w:lang w:val="en-US" w:eastAsia="zh-CN"/>
        </w:rPr>
        <w:t>各区</w:t>
      </w:r>
      <w:r>
        <w:rPr>
          <w:rFonts w:hint="default" w:ascii="Times New Roman" w:hAnsi="Times New Roman" w:eastAsia="仿宋" w:cs="Times New Roman"/>
          <w:bCs/>
          <w:sz w:val="32"/>
          <w:szCs w:val="32"/>
          <w:highlight w:val="none"/>
          <w:lang w:val="en-US" w:eastAsia="zh-CN"/>
        </w:rPr>
        <w:t>平均参训率</w:t>
      </w:r>
      <w:r>
        <w:rPr>
          <w:rFonts w:hint="default" w:eastAsia="仿宋" w:cs="Times New Roman"/>
          <w:bCs/>
          <w:sz w:val="32"/>
          <w:szCs w:val="32"/>
          <w:highlight w:val="none"/>
          <w:lang w:val="en-US" w:eastAsia="zh-CN"/>
        </w:rPr>
        <w:t>为</w:t>
      </w:r>
      <w:r>
        <w:rPr>
          <w:rFonts w:hint="default" w:ascii="Times New Roman" w:hAnsi="Times New Roman" w:eastAsia="仿宋" w:cs="Times New Roman"/>
          <w:bCs/>
          <w:sz w:val="32"/>
          <w:szCs w:val="32"/>
          <w:highlight w:val="none"/>
          <w:lang w:val="en-US" w:eastAsia="zh-CN"/>
        </w:rPr>
        <w:t>99.</w:t>
      </w:r>
      <w:r>
        <w:rPr>
          <w:rFonts w:hint="default" w:eastAsia="仿宋" w:cs="Times New Roman"/>
          <w:bCs/>
          <w:sz w:val="32"/>
          <w:szCs w:val="32"/>
          <w:highlight w:val="none"/>
          <w:lang w:val="en-US" w:eastAsia="zh-CN"/>
        </w:rPr>
        <w:t>3</w:t>
      </w:r>
      <w:r>
        <w:rPr>
          <w:rFonts w:hint="default" w:ascii="Times New Roman" w:hAnsi="Times New Roman" w:eastAsia="仿宋" w:cs="Times New Roman"/>
          <w:bCs/>
          <w:sz w:val="32"/>
          <w:szCs w:val="32"/>
          <w:highlight w:val="none"/>
          <w:lang w:val="en-US" w:eastAsia="zh-CN"/>
        </w:rPr>
        <w:t>8%，</w:t>
      </w:r>
      <w:r>
        <w:rPr>
          <w:rFonts w:hint="default" w:eastAsia="仿宋" w:cs="Times New Roman"/>
          <w:bCs/>
          <w:sz w:val="32"/>
          <w:szCs w:val="32"/>
          <w:highlight w:val="none"/>
          <w:lang w:val="en-US" w:eastAsia="zh-CN"/>
        </w:rPr>
        <w:t>各区互助员参训情况如下表所示：</w:t>
      </w:r>
    </w:p>
    <w:p w14:paraId="3E925D7E">
      <w:pPr>
        <w:pStyle w:val="12"/>
        <w:keepNext w:val="0"/>
        <w:keepLines w:val="0"/>
        <w:pageBreakBefore w:val="0"/>
        <w:widowControl w:val="0"/>
        <w:kinsoku/>
        <w:wordWrap/>
        <w:overflowPunct/>
        <w:topLinePunct w:val="0"/>
        <w:autoSpaceDE/>
        <w:autoSpaceDN/>
        <w:bidi w:val="0"/>
        <w:adjustRightInd/>
        <w:snapToGrid w:val="0"/>
        <w:spacing w:after="217" w:afterLines="50" w:line="560" w:lineRule="exact"/>
        <w:ind w:left="0" w:leftChars="0" w:firstLine="0" w:firstLineChars="0"/>
        <w:jc w:val="center"/>
        <w:textAlignment w:val="auto"/>
        <w:rPr>
          <w:rFonts w:hint="eastAsia" w:ascii="Times New Roman" w:hAnsi="Times New Roman" w:eastAsia="黑体" w:cs="Times New Roman"/>
          <w:sz w:val="24"/>
          <w:szCs w:val="24"/>
          <w:highlight w:val="none"/>
          <w:lang w:val="en-US" w:eastAsia="zh-CN"/>
        </w:rPr>
      </w:pPr>
      <w:r>
        <w:rPr>
          <w:rFonts w:hint="default" w:ascii="Times New Roman" w:hAnsi="Times New Roman" w:eastAsia="黑体" w:cs="Times New Roman"/>
          <w:sz w:val="24"/>
          <w:szCs w:val="24"/>
          <w:highlight w:val="none"/>
          <w:lang w:val="en-US" w:eastAsia="zh-CN"/>
        </w:rPr>
        <w:t>表</w:t>
      </w:r>
      <w:r>
        <w:rPr>
          <w:rFonts w:hint="eastAsia" w:eastAsia="黑体" w:cs="Times New Roman"/>
          <w:sz w:val="24"/>
          <w:szCs w:val="24"/>
          <w:highlight w:val="none"/>
          <w:lang w:val="en-US" w:eastAsia="zh-CN"/>
        </w:rPr>
        <w:t>9</w:t>
      </w:r>
      <w:r>
        <w:rPr>
          <w:rFonts w:hint="eastAsia" w:ascii="Times New Roman" w:hAnsi="Times New Roman" w:eastAsia="黑体" w:cs="Times New Roman"/>
          <w:sz w:val="24"/>
          <w:szCs w:val="24"/>
          <w:highlight w:val="none"/>
          <w:lang w:val="en-US" w:eastAsia="zh-CN"/>
        </w:rPr>
        <w:t xml:space="preserve"> </w:t>
      </w:r>
      <w:r>
        <w:rPr>
          <w:rFonts w:hint="default" w:ascii="Times New Roman" w:hAnsi="Times New Roman" w:eastAsia="黑体" w:cs="Times New Roman"/>
          <w:sz w:val="24"/>
          <w:szCs w:val="24"/>
          <w:highlight w:val="none"/>
        </w:rPr>
        <w:t>2024年度</w:t>
      </w:r>
      <w:r>
        <w:rPr>
          <w:rFonts w:hint="eastAsia" w:ascii="Times New Roman" w:hAnsi="Times New Roman" w:eastAsia="黑体" w:cs="Times New Roman"/>
          <w:sz w:val="24"/>
          <w:highlight w:val="none"/>
        </w:rPr>
        <w:t>新建农村邻里互助养老服务点邻里互助员培训参训</w:t>
      </w:r>
      <w:r>
        <w:rPr>
          <w:rFonts w:hint="eastAsia" w:ascii="Times New Roman" w:hAnsi="Times New Roman" w:eastAsia="黑体" w:cs="Times New Roman"/>
          <w:sz w:val="24"/>
          <w:highlight w:val="none"/>
          <w:lang w:val="en-US" w:eastAsia="zh-CN"/>
        </w:rPr>
        <w:t>情况表</w:t>
      </w:r>
    </w:p>
    <w:tbl>
      <w:tblPr>
        <w:tblStyle w:val="2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9"/>
        <w:gridCol w:w="1553"/>
        <w:gridCol w:w="3886"/>
        <w:gridCol w:w="2479"/>
      </w:tblGrid>
      <w:tr w14:paraId="3C143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blHeader/>
        </w:trPr>
        <w:tc>
          <w:tcPr>
            <w:tcW w:w="62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10E1265">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序号</w:t>
            </w:r>
          </w:p>
        </w:tc>
        <w:tc>
          <w:tcPr>
            <w:tcW w:w="856" w:type="pct"/>
            <w:tcBorders>
              <w:top w:val="single" w:color="000000" w:sz="4" w:space="0"/>
              <w:left w:val="single" w:color="000000" w:sz="4" w:space="0"/>
              <w:bottom w:val="single" w:color="000000" w:sz="4" w:space="0"/>
              <w:right w:val="nil"/>
            </w:tcBorders>
            <w:shd w:val="clear" w:color="auto" w:fill="BEBEBE" w:themeFill="background1" w:themeFillShade="BF"/>
            <w:noWrap/>
            <w:vAlign w:val="center"/>
          </w:tcPr>
          <w:p w14:paraId="5A0DDB7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行政区划</w:t>
            </w:r>
          </w:p>
        </w:tc>
        <w:tc>
          <w:tcPr>
            <w:tcW w:w="214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56D7E601">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应参与培训人次（新建点位数）</w:t>
            </w:r>
          </w:p>
        </w:tc>
        <w:tc>
          <w:tcPr>
            <w:tcW w:w="136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36BFD59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实际参与培训人次</w:t>
            </w:r>
          </w:p>
        </w:tc>
      </w:tr>
      <w:tr w14:paraId="45FF8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8788F">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E69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密云区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03BA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66</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548BA">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386</w:t>
            </w:r>
          </w:p>
        </w:tc>
      </w:tr>
      <w:tr w14:paraId="1CE82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57C8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7D3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平谷区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C9B1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FF0000"/>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32</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4FC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31</w:t>
            </w:r>
          </w:p>
        </w:tc>
      </w:tr>
      <w:tr w14:paraId="1AA1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51A3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5CF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延庆区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F64F2">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D59B6">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160</w:t>
            </w:r>
          </w:p>
        </w:tc>
      </w:tr>
      <w:tr w14:paraId="55A7E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864A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6B01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门头沟区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589A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15</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283EC">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19</w:t>
            </w:r>
          </w:p>
        </w:tc>
      </w:tr>
      <w:tr w14:paraId="08008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29A64">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C12F0">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房山区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39826">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47</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71149">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107</w:t>
            </w:r>
          </w:p>
        </w:tc>
      </w:tr>
      <w:tr w14:paraId="574D3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0D51D">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8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CAE27">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怀柔区</w:t>
            </w:r>
          </w:p>
        </w:tc>
        <w:tc>
          <w:tcPr>
            <w:tcW w:w="21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5E086">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31</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EC538">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209</w:t>
            </w:r>
          </w:p>
        </w:tc>
      </w:tr>
      <w:tr w14:paraId="21271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48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89E3">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合计</w:t>
            </w:r>
          </w:p>
        </w:tc>
        <w:tc>
          <w:tcPr>
            <w:tcW w:w="21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0F94A">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241</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DEAB">
            <w:pPr>
              <w:keepNext w:val="0"/>
              <w:keepLines w:val="0"/>
              <w:widowControl/>
              <w:suppressLineNumbers w:val="0"/>
              <w:spacing w:line="340" w:lineRule="exact"/>
              <w:ind w:firstLine="0" w:firstLineChars="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912</w:t>
            </w:r>
          </w:p>
        </w:tc>
      </w:tr>
    </w:tbl>
    <w:p w14:paraId="36B662CF">
      <w:pPr>
        <w:keepNext w:val="0"/>
        <w:keepLines w:val="0"/>
        <w:pageBreakBefore w:val="0"/>
        <w:widowControl w:val="0"/>
        <w:kinsoku/>
        <w:wordWrap/>
        <w:overflowPunct/>
        <w:topLinePunct w:val="0"/>
        <w:autoSpaceDE/>
        <w:autoSpaceDN/>
        <w:bidi w:val="0"/>
        <w:adjustRightInd/>
        <w:snapToGrid/>
        <w:spacing w:before="219" w:beforeLines="50" w:line="560" w:lineRule="exact"/>
        <w:ind w:left="0" w:leftChars="0" w:firstLine="640" w:firstLineChars="200"/>
        <w:textAlignment w:val="auto"/>
        <w:rPr>
          <w:rFonts w:hint="default" w:ascii="Times New Roman" w:hAnsi="Times New Roman" w:eastAsia="仿宋" w:cs="Times New Roman"/>
          <w:bCs/>
          <w:sz w:val="32"/>
          <w:szCs w:val="32"/>
          <w:highlight w:val="none"/>
          <w:lang w:val="en-US" w:eastAsia="zh-CN"/>
        </w:rPr>
      </w:pPr>
      <w:r>
        <w:rPr>
          <w:rFonts w:hint="default" w:ascii="Times New Roman" w:hAnsi="Times New Roman" w:eastAsia="仿宋" w:cs="Times New Roman"/>
          <w:bCs/>
          <w:sz w:val="32"/>
          <w:szCs w:val="32"/>
          <w:highlight w:val="none"/>
          <w:lang w:val="en-US" w:eastAsia="zh-CN"/>
        </w:rPr>
        <w:t>（3）农村邻里互助养老服务点运营情况</w:t>
      </w:r>
    </w:p>
    <w:p w14:paraId="24F9FE81">
      <w:pPr>
        <w:spacing w:line="560" w:lineRule="exact"/>
        <w:ind w:firstLine="640"/>
        <w:rPr>
          <w:rFonts w:hint="default" w:cs="Times New Roman"/>
          <w:highlight w:val="none"/>
          <w:lang w:val="en-US" w:eastAsia="zh-CN"/>
        </w:rPr>
      </w:pPr>
      <w:r>
        <w:rPr>
          <w:rFonts w:hint="default" w:eastAsia="仿宋" w:cs="Times New Roman"/>
          <w:bCs/>
          <w:sz w:val="32"/>
          <w:szCs w:val="32"/>
          <w:highlight w:val="none"/>
          <w:lang w:val="en-US" w:eastAsia="zh-CN"/>
        </w:rPr>
        <w:t>根据现场实地调研，抽查服务点均按照市民政局相关要求和标准悬挂标识牌，运营状况良好</w:t>
      </w:r>
      <w:r>
        <w:rPr>
          <w:rFonts w:hint="default" w:cs="Times New Roman"/>
          <w:highlight w:val="none"/>
          <w:lang w:val="en-US" w:eastAsia="zh-CN"/>
        </w:rPr>
        <w:t>。</w:t>
      </w:r>
    </w:p>
    <w:p w14:paraId="2A905AC4">
      <w:pPr>
        <w:pStyle w:val="4"/>
        <w:bidi w:val="0"/>
        <w:spacing w:line="560" w:lineRule="exact"/>
        <w:rPr>
          <w:rFonts w:hint="default"/>
          <w:highlight w:val="none"/>
          <w:lang w:eastAsia="zh-Hans"/>
        </w:rPr>
      </w:pPr>
      <w:r>
        <w:rPr>
          <w:rFonts w:hint="default"/>
          <w:highlight w:val="none"/>
          <w:lang w:eastAsia="zh-Hans"/>
        </w:rPr>
        <w:t>3.产出进度</w:t>
      </w:r>
    </w:p>
    <w:p w14:paraId="6CBC254F">
      <w:pPr>
        <w:spacing w:line="560" w:lineRule="exact"/>
        <w:ind w:firstLine="640"/>
        <w:rPr>
          <w:rFonts w:hint="default" w:ascii="Times New Roman" w:hAnsi="Times New Roman" w:cs="Times New Roman"/>
          <w:highlight w:val="none"/>
          <w:lang w:val="en-US" w:eastAsia="zh-CN"/>
        </w:rPr>
      </w:pP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1）截</w:t>
      </w:r>
      <w:r>
        <w:rPr>
          <w:rFonts w:hint="eastAsia" w:cs="Times New Roman"/>
          <w:highlight w:val="none"/>
          <w:lang w:val="en-US" w:eastAsia="zh-CN"/>
        </w:rPr>
        <w:t>至</w:t>
      </w:r>
      <w:r>
        <w:rPr>
          <w:rFonts w:hint="default" w:ascii="Times New Roman" w:hAnsi="Times New Roman" w:cs="Times New Roman"/>
          <w:highlight w:val="none"/>
          <w:lang w:val="en-US" w:eastAsia="zh-CN"/>
        </w:rPr>
        <w:t>12月底前农村邻里互助养老服务点建设按时完成率</w:t>
      </w:r>
    </w:p>
    <w:p w14:paraId="5AD3DAC1">
      <w:pPr>
        <w:spacing w:line="560" w:lineRule="exact"/>
        <w:ind w:firstLine="64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根据</w:t>
      </w:r>
      <w:r>
        <w:rPr>
          <w:rFonts w:hint="eastAsia" w:cs="Times New Roman"/>
          <w:highlight w:val="none"/>
          <w:lang w:val="en-US" w:eastAsia="zh-CN"/>
        </w:rPr>
        <w:t>各区填报情况</w:t>
      </w:r>
      <w:r>
        <w:rPr>
          <w:rFonts w:hint="default" w:ascii="Times New Roman" w:hAnsi="Times New Roman" w:cs="Times New Roman"/>
          <w:highlight w:val="none"/>
          <w:lang w:val="en-US" w:eastAsia="zh-CN"/>
        </w:rPr>
        <w:t>，截至2024年12月底，</w:t>
      </w:r>
      <w:r>
        <w:rPr>
          <w:rFonts w:hint="eastAsia" w:cs="Times New Roman"/>
          <w:highlight w:val="none"/>
          <w:lang w:val="en-US" w:eastAsia="zh-CN"/>
        </w:rPr>
        <w:t>计划</w:t>
      </w:r>
      <w:r>
        <w:rPr>
          <w:rFonts w:hint="default" w:ascii="Times New Roman" w:hAnsi="Times New Roman" w:cs="Times New Roman"/>
          <w:highlight w:val="none"/>
          <w:lang w:val="en-US" w:eastAsia="zh-CN"/>
        </w:rPr>
        <w:t>建设完成服务</w:t>
      </w:r>
      <w:r>
        <w:rPr>
          <w:rFonts w:hint="eastAsia" w:ascii="Times New Roman" w:hAnsi="Times New Roman" w:cs="Times New Roman"/>
          <w:highlight w:val="none"/>
          <w:lang w:val="en-US" w:eastAsia="zh-CN"/>
        </w:rPr>
        <w:t>点位240个，</w:t>
      </w:r>
      <w:r>
        <w:rPr>
          <w:rFonts w:hint="default" w:ascii="Times New Roman" w:hAnsi="Times New Roman" w:cs="Times New Roman"/>
          <w:highlight w:val="none"/>
          <w:lang w:val="en-US" w:eastAsia="zh-CN"/>
        </w:rPr>
        <w:t>实际建设完成服务</w:t>
      </w:r>
      <w:r>
        <w:rPr>
          <w:rFonts w:hint="eastAsia" w:cs="Times New Roman"/>
          <w:highlight w:val="none"/>
          <w:lang w:val="en-US" w:eastAsia="zh-CN"/>
        </w:rPr>
        <w:t>点位</w:t>
      </w:r>
      <w:r>
        <w:rPr>
          <w:rFonts w:hint="default" w:ascii="Times New Roman" w:hAnsi="Times New Roman" w:cs="Times New Roman"/>
          <w:highlight w:val="none"/>
          <w:lang w:val="en-US" w:eastAsia="zh-CN"/>
        </w:rPr>
        <w:t>241个。截</w:t>
      </w:r>
      <w:r>
        <w:rPr>
          <w:rFonts w:hint="eastAsia" w:cs="Times New Roman"/>
          <w:highlight w:val="none"/>
          <w:lang w:val="en-US" w:eastAsia="zh-CN"/>
        </w:rPr>
        <w:t>至</w:t>
      </w:r>
      <w:r>
        <w:rPr>
          <w:rFonts w:hint="default" w:ascii="Times New Roman" w:hAnsi="Times New Roman" w:cs="Times New Roman"/>
          <w:highlight w:val="none"/>
          <w:lang w:val="en-US" w:eastAsia="zh-CN"/>
        </w:rPr>
        <w:t>12月底前</w:t>
      </w:r>
      <w:r>
        <w:rPr>
          <w:rFonts w:hint="eastAsia" w:cs="Times New Roman"/>
          <w:highlight w:val="none"/>
          <w:lang w:val="en-US" w:eastAsia="zh-CN"/>
        </w:rPr>
        <w:t>，</w:t>
      </w:r>
      <w:r>
        <w:rPr>
          <w:rFonts w:hint="default" w:ascii="Times New Roman" w:hAnsi="Times New Roman" w:cs="Times New Roman"/>
          <w:highlight w:val="none"/>
          <w:lang w:val="en-US" w:eastAsia="zh-CN"/>
        </w:rPr>
        <w:t>农村邻里互助养老服务点建设按时完成率</w:t>
      </w:r>
      <w:r>
        <w:rPr>
          <w:rFonts w:hint="eastAsia" w:cs="Times New Roman"/>
          <w:highlight w:val="none"/>
          <w:lang w:val="en-US" w:eastAsia="zh-CN"/>
        </w:rPr>
        <w:t>为</w:t>
      </w:r>
      <w:r>
        <w:rPr>
          <w:rFonts w:hint="default" w:ascii="Times New Roman" w:hAnsi="Times New Roman" w:cs="Times New Roman"/>
          <w:highlight w:val="none"/>
          <w:lang w:val="en-US" w:eastAsia="zh-CN"/>
        </w:rPr>
        <w:t>100.42%。</w:t>
      </w:r>
    </w:p>
    <w:p w14:paraId="1806A050">
      <w:pPr>
        <w:spacing w:line="560" w:lineRule="exact"/>
        <w:ind w:firstLine="64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（2）农村邻里互助养老服务点邻里互助员上门服务频次</w:t>
      </w:r>
    </w:p>
    <w:p w14:paraId="58F7B8E2">
      <w:pPr>
        <w:spacing w:line="560" w:lineRule="exact"/>
        <w:ind w:firstLine="640"/>
        <w:jc w:val="both"/>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根据</w:t>
      </w:r>
      <w:r>
        <w:rPr>
          <w:rFonts w:hint="eastAsia" w:cs="Times New Roman"/>
          <w:highlight w:val="none"/>
          <w:lang w:val="en-US" w:eastAsia="zh-CN"/>
        </w:rPr>
        <w:t>各区填报情况</w:t>
      </w:r>
      <w:r>
        <w:rPr>
          <w:rFonts w:hint="default" w:ascii="Times New Roman" w:hAnsi="Times New Roman" w:cs="Times New Roman"/>
          <w:highlight w:val="none"/>
          <w:lang w:val="en-US" w:eastAsia="zh-CN"/>
        </w:rPr>
        <w:t>，各区均按照</w:t>
      </w:r>
      <w:r>
        <w:rPr>
          <w:rFonts w:hint="eastAsia" w:eastAsia="仿宋_GB2312" w:cs="Times New Roman"/>
          <w:bCs/>
          <w:sz w:val="32"/>
          <w:szCs w:val="32"/>
          <w:highlight w:val="none"/>
          <w:lang w:val="en-US" w:eastAsia="zh-CN"/>
        </w:rPr>
        <w:t>各区</w:t>
      </w:r>
      <w:r>
        <w:rPr>
          <w:rFonts w:hint="default" w:ascii="Times New Roman" w:hAnsi="Times New Roman" w:cs="Times New Roman"/>
          <w:highlight w:val="none"/>
          <w:lang w:eastAsia="zh-Hans"/>
        </w:rPr>
        <w:t>服务点建设</w:t>
      </w:r>
      <w:r>
        <w:rPr>
          <w:rFonts w:hint="eastAsia" w:cs="Times New Roman"/>
          <w:highlight w:val="none"/>
          <w:lang w:val="en-US" w:eastAsia="zh-CN"/>
        </w:rPr>
        <w:t>工作方案中明确的</w:t>
      </w:r>
      <w:r>
        <w:rPr>
          <w:rFonts w:hint="default" w:ascii="Times New Roman" w:hAnsi="Times New Roman" w:cs="Times New Roman"/>
          <w:highlight w:val="none"/>
          <w:lang w:val="en-US" w:eastAsia="zh-CN"/>
        </w:rPr>
        <w:t>频次要求提供</w:t>
      </w:r>
      <w:r>
        <w:rPr>
          <w:rFonts w:hint="eastAsia" w:cs="Times New Roman"/>
          <w:highlight w:val="none"/>
          <w:lang w:val="en-US" w:eastAsia="zh-CN"/>
        </w:rPr>
        <w:t>互助</w:t>
      </w:r>
      <w:r>
        <w:rPr>
          <w:rFonts w:hint="default" w:ascii="Times New Roman" w:hAnsi="Times New Roman" w:cs="Times New Roman"/>
          <w:highlight w:val="none"/>
          <w:lang w:val="en-US" w:eastAsia="zh-CN"/>
        </w:rPr>
        <w:t>服务</w:t>
      </w:r>
      <w:r>
        <w:rPr>
          <w:rFonts w:hint="eastAsia" w:cs="Times New Roman"/>
          <w:highlight w:val="none"/>
          <w:lang w:val="en-US" w:eastAsia="zh-CN"/>
        </w:rPr>
        <w:t>。</w:t>
      </w:r>
      <w:r>
        <w:rPr>
          <w:rFonts w:hint="default" w:ascii="Times New Roman" w:hAnsi="Times New Roman" w:cs="Times New Roman"/>
          <w:b/>
          <w:bCs/>
          <w:highlight w:val="none"/>
          <w:lang w:val="en-US" w:eastAsia="zh-CN"/>
        </w:rPr>
        <w:t>一是</w:t>
      </w:r>
      <w:r>
        <w:rPr>
          <w:rFonts w:hint="default" w:ascii="Times New Roman" w:hAnsi="Times New Roman" w:cs="Times New Roman"/>
          <w:highlight w:val="none"/>
          <w:lang w:val="en-US" w:eastAsia="zh-CN"/>
        </w:rPr>
        <w:t>怀柔区2024年度共提供68814人次互助服务，符合每名互助员每周至少提供1次服务的相关要求；</w:t>
      </w:r>
      <w:r>
        <w:rPr>
          <w:rFonts w:hint="default" w:ascii="Times New Roman" w:hAnsi="Times New Roman" w:cs="Times New Roman"/>
          <w:b/>
          <w:bCs/>
          <w:highlight w:val="none"/>
          <w:lang w:val="en-US" w:eastAsia="zh-CN"/>
        </w:rPr>
        <w:t>二是</w:t>
      </w:r>
      <w:r>
        <w:rPr>
          <w:rFonts w:hint="default" w:ascii="Times New Roman" w:hAnsi="Times New Roman" w:cs="Times New Roman"/>
          <w:highlight w:val="none"/>
          <w:lang w:val="en-US" w:eastAsia="zh-CN"/>
        </w:rPr>
        <w:t>密云区2024年度共提供695365.1人次互助服务，符合每名互助员每周至少提供入户探视1次，居家服务3次的相关要求；</w:t>
      </w:r>
      <w:r>
        <w:rPr>
          <w:rFonts w:hint="default" w:ascii="Times New Roman" w:hAnsi="Times New Roman" w:cs="Times New Roman"/>
          <w:b/>
          <w:bCs/>
          <w:highlight w:val="none"/>
          <w:lang w:val="en-US" w:eastAsia="zh-CN"/>
        </w:rPr>
        <w:t>三是</w:t>
      </w:r>
      <w:r>
        <w:rPr>
          <w:rFonts w:hint="default" w:ascii="Times New Roman" w:hAnsi="Times New Roman" w:cs="Times New Roman"/>
          <w:highlight w:val="none"/>
          <w:lang w:val="en-US" w:eastAsia="zh-CN"/>
        </w:rPr>
        <w:t>门头沟区2024年度共提供55178人次互助服务，符合每名服务对象每月至少应享受4次服务的相关要求；</w:t>
      </w:r>
      <w:r>
        <w:rPr>
          <w:rFonts w:hint="default" w:ascii="Times New Roman" w:hAnsi="Times New Roman" w:cs="Times New Roman"/>
          <w:b/>
          <w:bCs/>
          <w:highlight w:val="none"/>
          <w:lang w:val="en-US" w:eastAsia="zh-CN"/>
        </w:rPr>
        <w:t>四是</w:t>
      </w:r>
      <w:r>
        <w:rPr>
          <w:rFonts w:hint="default" w:ascii="Times New Roman" w:hAnsi="Times New Roman" w:cs="Times New Roman"/>
          <w:highlight w:val="none"/>
          <w:lang w:val="en-US" w:eastAsia="zh-CN"/>
        </w:rPr>
        <w:t>平谷区2024年度共提供205109人次互助服务，符合每周入户2次相关要求；</w:t>
      </w:r>
      <w:r>
        <w:rPr>
          <w:rFonts w:hint="default" w:ascii="Times New Roman" w:hAnsi="Times New Roman" w:cs="Times New Roman"/>
          <w:b/>
          <w:bCs/>
          <w:highlight w:val="none"/>
          <w:lang w:val="en-US" w:eastAsia="zh-CN"/>
        </w:rPr>
        <w:t>五是</w:t>
      </w:r>
      <w:r>
        <w:rPr>
          <w:rFonts w:hint="default" w:ascii="Times New Roman" w:hAnsi="Times New Roman" w:cs="Times New Roman"/>
          <w:highlight w:val="none"/>
          <w:lang w:val="en-US" w:eastAsia="zh-CN"/>
        </w:rPr>
        <w:t>延庆区2024年度共提供194288.5人次互助服务，符合每月服务不少于4次的相关要求；</w:t>
      </w:r>
      <w:r>
        <w:rPr>
          <w:rFonts w:hint="default" w:ascii="Times New Roman" w:hAnsi="Times New Roman" w:cs="Times New Roman"/>
          <w:b/>
          <w:bCs/>
          <w:highlight w:val="none"/>
          <w:lang w:val="en-US" w:eastAsia="zh-CN"/>
        </w:rPr>
        <w:t>六是</w:t>
      </w:r>
      <w:r>
        <w:rPr>
          <w:rFonts w:hint="default" w:ascii="Times New Roman" w:hAnsi="Times New Roman" w:cs="Times New Roman"/>
          <w:highlight w:val="none"/>
          <w:lang w:val="en-US" w:eastAsia="zh-CN"/>
        </w:rPr>
        <w:t>房山区2024年度共提供135091人次互助服务，符合每月不少于2次的相关要求。</w:t>
      </w:r>
    </w:p>
    <w:p w14:paraId="73CEFB36">
      <w:pPr>
        <w:pStyle w:val="4"/>
        <w:keepNext/>
        <w:keepLines w:val="0"/>
        <w:pageBreakBefore w:val="0"/>
        <w:widowControl w:val="0"/>
        <w:kinsoku/>
        <w:wordWrap/>
        <w:overflowPunct/>
        <w:topLinePunct w:val="0"/>
        <w:autoSpaceDE/>
        <w:autoSpaceDN/>
        <w:bidi w:val="0"/>
        <w:adjustRightInd/>
        <w:snapToGrid/>
        <w:spacing w:line="560" w:lineRule="exact"/>
        <w:textAlignment w:val="auto"/>
        <w:rPr>
          <w:rFonts w:hint="default"/>
          <w:highlight w:val="none"/>
        </w:rPr>
      </w:pPr>
      <w:bookmarkStart w:id="101" w:name="_Toc103094576"/>
      <w:r>
        <w:rPr>
          <w:rFonts w:hint="default"/>
          <w:highlight w:val="none"/>
        </w:rPr>
        <w:t>4.产出成本</w:t>
      </w:r>
      <w:bookmarkEnd w:id="101"/>
    </w:p>
    <w:p w14:paraId="32A1C909">
      <w:pPr>
        <w:widowControl/>
        <w:spacing w:line="560" w:lineRule="exact"/>
        <w:ind w:firstLine="64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农村邻里互助养老服务点建设补助资金成本节约较为有效，但仍</w:t>
      </w:r>
      <w:r>
        <w:rPr>
          <w:rFonts w:hint="eastAsia" w:cs="Times New Roman"/>
          <w:highlight w:val="none"/>
          <w:lang w:val="en-US" w:eastAsia="zh-CN"/>
        </w:rPr>
        <w:t>在某些方面</w:t>
      </w:r>
      <w:r>
        <w:rPr>
          <w:rFonts w:hint="default" w:ascii="Times New Roman" w:hAnsi="Times New Roman" w:cs="Times New Roman"/>
          <w:highlight w:val="none"/>
          <w:lang w:val="en-US" w:eastAsia="zh-CN"/>
        </w:rPr>
        <w:t>存在不足</w:t>
      </w:r>
      <w:r>
        <w:rPr>
          <w:rFonts w:hint="eastAsia" w:cs="Times New Roman"/>
          <w:highlight w:val="none"/>
          <w:lang w:val="en-US" w:eastAsia="zh-CN"/>
        </w:rPr>
        <w:t>。</w:t>
      </w:r>
      <w:r>
        <w:rPr>
          <w:rFonts w:hint="default" w:ascii="Times New Roman" w:hAnsi="Times New Roman" w:cs="Times New Roman"/>
          <w:b/>
          <w:bCs/>
          <w:highlight w:val="none"/>
          <w:lang w:val="en-US" w:eastAsia="zh-CN"/>
        </w:rPr>
        <w:t>一是</w:t>
      </w:r>
      <w:r>
        <w:rPr>
          <w:rFonts w:hint="eastAsia" w:cs="Times New Roman"/>
          <w:highlight w:val="none"/>
          <w:lang w:val="en-US" w:eastAsia="zh-CN"/>
        </w:rPr>
        <w:t>各区</w:t>
      </w:r>
      <w:r>
        <w:rPr>
          <w:rFonts w:hint="default" w:ascii="Times New Roman" w:hAnsi="Times New Roman" w:cs="Times New Roman"/>
          <w:highlight w:val="none"/>
          <w:lang w:val="en-US" w:eastAsia="zh-CN"/>
        </w:rPr>
        <w:t>未明确新建与运营服务点在资金投入方面的差别；</w:t>
      </w:r>
      <w:r>
        <w:rPr>
          <w:rFonts w:hint="default" w:ascii="Times New Roman" w:hAnsi="Times New Roman" w:cs="Times New Roman"/>
          <w:b/>
          <w:bCs/>
          <w:highlight w:val="none"/>
          <w:lang w:val="en-US" w:eastAsia="zh-CN"/>
        </w:rPr>
        <w:t>二是</w:t>
      </w:r>
      <w:r>
        <w:rPr>
          <w:rFonts w:hint="default" w:ascii="Times New Roman" w:hAnsi="Times New Roman" w:cs="Times New Roman"/>
          <w:highlight w:val="none"/>
          <w:lang w:val="en-US" w:eastAsia="zh-CN"/>
        </w:rPr>
        <w:t>个别服务点存在互助员与服务对象配置比例符合性不高的情况。</w:t>
      </w:r>
    </w:p>
    <w:p w14:paraId="07C7FD10">
      <w:pPr>
        <w:pStyle w:val="3"/>
        <w:bidi w:val="0"/>
        <w:spacing w:line="560" w:lineRule="exact"/>
        <w:rPr>
          <w:rFonts w:hint="default"/>
          <w:highlight w:val="none"/>
        </w:rPr>
      </w:pPr>
      <w:bookmarkStart w:id="102" w:name="_Toc17919"/>
      <w:bookmarkStart w:id="103" w:name="_Toc103094577"/>
      <w:bookmarkStart w:id="104" w:name="_Toc270946785"/>
      <w:bookmarkStart w:id="105" w:name="_Toc103096323"/>
      <w:bookmarkStart w:id="106" w:name="_Toc760320660"/>
      <w:r>
        <w:rPr>
          <w:rFonts w:hint="default"/>
          <w:highlight w:val="none"/>
        </w:rPr>
        <w:t>（四）项目效益情况</w:t>
      </w:r>
      <w:bookmarkEnd w:id="102"/>
      <w:bookmarkEnd w:id="103"/>
      <w:bookmarkEnd w:id="104"/>
      <w:bookmarkEnd w:id="105"/>
      <w:bookmarkEnd w:id="106"/>
    </w:p>
    <w:p w14:paraId="070A854F">
      <w:pPr>
        <w:pStyle w:val="4"/>
        <w:bidi w:val="0"/>
        <w:spacing w:line="560" w:lineRule="exact"/>
        <w:rPr>
          <w:rFonts w:hint="default"/>
          <w:highlight w:val="none"/>
        </w:rPr>
      </w:pPr>
      <w:bookmarkStart w:id="107" w:name="_Toc103094578"/>
      <w:r>
        <w:rPr>
          <w:rFonts w:hint="default"/>
          <w:highlight w:val="none"/>
        </w:rPr>
        <w:t>1.社会效益分析</w:t>
      </w:r>
      <w:bookmarkEnd w:id="107"/>
    </w:p>
    <w:p w14:paraId="472FB441">
      <w:pPr>
        <w:widowControl/>
        <w:spacing w:line="560" w:lineRule="exact"/>
        <w:ind w:firstLine="640"/>
        <w:rPr>
          <w:rFonts w:hint="default" w:ascii="Times New Roman" w:hAnsi="Times New Roman" w:cs="Times New Roman"/>
          <w:kern w:val="0"/>
          <w:szCs w:val="32"/>
          <w:highlight w:val="none"/>
          <w:lang w:val="en-US" w:eastAsia="zh-CN"/>
        </w:rPr>
      </w:pPr>
      <w:bookmarkStart w:id="108" w:name="_Toc103094579"/>
      <w:r>
        <w:rPr>
          <w:rFonts w:hint="eastAsia" w:ascii="Times New Roman" w:hAnsi="Times New Roman" w:cs="Times New Roman"/>
          <w:highlight w:val="none"/>
          <w:lang w:val="en-US" w:eastAsia="zh-CN"/>
        </w:rPr>
        <w:t>根据</w:t>
      </w:r>
      <w:r>
        <w:rPr>
          <w:rFonts w:hint="eastAsia" w:eastAsia="仿宋_GB2312" w:cs="Times New Roman"/>
          <w:bCs/>
          <w:sz w:val="32"/>
          <w:szCs w:val="32"/>
          <w:highlight w:val="none"/>
          <w:lang w:val="en-US" w:eastAsia="zh-CN"/>
        </w:rPr>
        <w:t>各区</w:t>
      </w:r>
      <w:r>
        <w:rPr>
          <w:rFonts w:hint="default" w:ascii="Times New Roman" w:hAnsi="Times New Roman" w:cs="Times New Roman"/>
          <w:highlight w:val="none"/>
          <w:lang w:eastAsia="zh-Hans"/>
        </w:rPr>
        <w:t>服务点建设</w:t>
      </w:r>
      <w:r>
        <w:rPr>
          <w:rFonts w:hint="eastAsia" w:cs="Times New Roman"/>
          <w:highlight w:val="none"/>
          <w:lang w:val="en-US" w:eastAsia="zh-CN"/>
        </w:rPr>
        <w:t>工作方案，结合实地调研情况，各区</w:t>
      </w:r>
      <w:r>
        <w:rPr>
          <w:rFonts w:hint="default" w:ascii="Times New Roman" w:hAnsi="Times New Roman" w:cs="Times New Roman"/>
          <w:highlight w:val="none"/>
          <w:lang w:eastAsia="zh-Hans"/>
        </w:rPr>
        <w:t>服务点</w:t>
      </w:r>
      <w:r>
        <w:rPr>
          <w:rFonts w:hint="eastAsia" w:cs="Times New Roman"/>
          <w:highlight w:val="none"/>
          <w:lang w:val="en-US" w:eastAsia="zh-CN"/>
        </w:rPr>
        <w:t>均</w:t>
      </w:r>
      <w:r>
        <w:rPr>
          <w:rFonts w:hint="eastAsia" w:ascii="Times New Roman" w:hAnsi="Times New Roman" w:cs="Times New Roman"/>
          <w:kern w:val="0"/>
          <w:szCs w:val="32"/>
          <w:highlight w:val="none"/>
          <w:lang w:val="en-US" w:eastAsia="zh-CN"/>
        </w:rPr>
        <w:t>覆盖</w:t>
      </w:r>
      <w:r>
        <w:rPr>
          <w:rFonts w:hint="default" w:ascii="Times New Roman" w:hAnsi="Times New Roman" w:cs="Times New Roman"/>
          <w:bCs/>
          <w:highlight w:val="none"/>
          <w:lang w:eastAsia="zh-Hans"/>
        </w:rPr>
        <w:t>巡视探访、生活照料、助餐助行、助洁助浴、清洁卫生、简单农事帮忙、代买代缴、精神慰藉、临时陪伴、电子产品使用指导、安全提醒、应急联系等互助服务12个功能</w:t>
      </w:r>
      <w:r>
        <w:rPr>
          <w:rFonts w:hint="eastAsia" w:ascii="Times New Roman" w:hAnsi="Times New Roman" w:cs="Times New Roman"/>
          <w:bCs/>
          <w:highlight w:val="none"/>
          <w:lang w:eastAsia="zh-CN"/>
        </w:rPr>
        <w:t>，</w:t>
      </w:r>
      <w:r>
        <w:rPr>
          <w:rFonts w:hint="eastAsia" w:ascii="Times New Roman" w:hAnsi="Times New Roman" w:cs="Times New Roman"/>
          <w:bCs/>
          <w:highlight w:val="none"/>
          <w:lang w:val="en-US" w:eastAsia="zh-CN"/>
        </w:rPr>
        <w:t>均</w:t>
      </w:r>
      <w:r>
        <w:rPr>
          <w:rFonts w:hint="default" w:ascii="Times New Roman" w:hAnsi="Times New Roman" w:cs="Times New Roman"/>
          <w:bCs/>
          <w:highlight w:val="none"/>
          <w:lang w:val="en-US" w:eastAsia="zh-CN"/>
        </w:rPr>
        <w:t>符合</w:t>
      </w:r>
      <w:r>
        <w:rPr>
          <w:rFonts w:hint="default" w:ascii="Times New Roman" w:hAnsi="Times New Roman" w:cs="Times New Roman"/>
          <w:kern w:val="0"/>
          <w:szCs w:val="32"/>
          <w:highlight w:val="none"/>
          <w:lang w:val="en-US" w:eastAsia="zh-CN"/>
        </w:rPr>
        <w:t>《北京市农村邻里互助养老服务点建设管理办法（试行）》（京民养老发〔2023〕279号）</w:t>
      </w:r>
      <w:r>
        <w:rPr>
          <w:rFonts w:hint="eastAsia" w:cs="Times New Roman"/>
          <w:kern w:val="0"/>
          <w:szCs w:val="32"/>
          <w:highlight w:val="none"/>
          <w:lang w:val="en-US" w:eastAsia="zh-CN"/>
        </w:rPr>
        <w:t>文件中</w:t>
      </w:r>
      <w:r>
        <w:rPr>
          <w:rFonts w:hint="default" w:ascii="Times New Roman" w:hAnsi="Times New Roman" w:cs="Times New Roman"/>
          <w:kern w:val="0"/>
          <w:szCs w:val="32"/>
          <w:highlight w:val="none"/>
          <w:lang w:val="en-US" w:eastAsia="zh-CN"/>
        </w:rPr>
        <w:t>对服务点功能覆盖率</w:t>
      </w:r>
      <w:r>
        <w:rPr>
          <w:rFonts w:hint="eastAsia" w:cs="Times New Roman"/>
          <w:kern w:val="0"/>
          <w:szCs w:val="32"/>
          <w:highlight w:val="none"/>
          <w:lang w:val="en-US" w:eastAsia="zh-CN"/>
        </w:rPr>
        <w:t>的要求。</w:t>
      </w:r>
    </w:p>
    <w:p w14:paraId="7818CA7E">
      <w:pPr>
        <w:pStyle w:val="4"/>
        <w:bidi w:val="0"/>
        <w:spacing w:line="560" w:lineRule="exact"/>
        <w:rPr>
          <w:rFonts w:hint="default"/>
          <w:highlight w:val="none"/>
        </w:rPr>
      </w:pPr>
      <w:r>
        <w:rPr>
          <w:rFonts w:hint="default"/>
          <w:highlight w:val="none"/>
        </w:rPr>
        <w:t>2.服务对象满意度分析</w:t>
      </w:r>
      <w:bookmarkEnd w:id="108"/>
      <w:bookmarkStart w:id="109" w:name="_Hlk103088464"/>
    </w:p>
    <w:p w14:paraId="7699C30B">
      <w:pPr>
        <w:spacing w:line="560" w:lineRule="exact"/>
        <w:ind w:firstLine="640"/>
        <w:rPr>
          <w:rFonts w:hint="default" w:ascii="Times New Roman" w:hAnsi="Times New Roman" w:cs="Times New Roman"/>
          <w:szCs w:val="32"/>
          <w:highlight w:val="none"/>
          <w:lang w:val="en-US" w:eastAsia="zh-CN"/>
        </w:rPr>
      </w:pPr>
      <w:r>
        <w:rPr>
          <w:rFonts w:hint="eastAsia" w:cs="Times New Roman"/>
          <w:szCs w:val="32"/>
          <w:highlight w:val="none"/>
          <w:lang w:val="en-US" w:eastAsia="zh-CN"/>
        </w:rPr>
        <w:t>各区</w:t>
      </w:r>
      <w:r>
        <w:rPr>
          <w:rFonts w:hint="default" w:ascii="Times New Roman" w:hAnsi="Times New Roman" w:cs="Times New Roman"/>
          <w:szCs w:val="32"/>
          <w:highlight w:val="none"/>
          <w:lang w:val="en-US" w:eastAsia="zh-CN"/>
        </w:rPr>
        <w:t>均开展了被服务老年人及家属</w:t>
      </w:r>
      <w:r>
        <w:rPr>
          <w:rFonts w:hint="eastAsia" w:cs="Times New Roman"/>
          <w:szCs w:val="32"/>
          <w:highlight w:val="none"/>
          <w:lang w:val="en-US" w:eastAsia="zh-CN"/>
        </w:rPr>
        <w:t>的</w:t>
      </w:r>
      <w:r>
        <w:rPr>
          <w:rFonts w:hint="default" w:ascii="Times New Roman" w:hAnsi="Times New Roman" w:cs="Times New Roman"/>
          <w:szCs w:val="32"/>
          <w:highlight w:val="none"/>
          <w:lang w:val="en-US" w:eastAsia="zh-CN"/>
        </w:rPr>
        <w:t>满意度调查，满意度均达90%</w:t>
      </w:r>
      <w:r>
        <w:rPr>
          <w:rFonts w:hint="eastAsia" w:cs="Times New Roman"/>
          <w:szCs w:val="32"/>
          <w:highlight w:val="none"/>
          <w:lang w:val="en-US" w:eastAsia="zh-CN"/>
        </w:rPr>
        <w:t>以上，项目整体</w:t>
      </w:r>
      <w:r>
        <w:rPr>
          <w:rFonts w:hint="default" w:ascii="Times New Roman" w:hAnsi="Times New Roman" w:cs="Times New Roman"/>
          <w:color w:val="auto"/>
          <w:highlight w:val="none"/>
          <w:lang w:eastAsia="zh-Hans"/>
        </w:rPr>
        <w:t>满意度水平较高</w:t>
      </w:r>
      <w:r>
        <w:rPr>
          <w:rFonts w:hint="eastAsia" w:cs="Times New Roman"/>
          <w:color w:val="auto"/>
          <w:highlight w:val="none"/>
          <w:lang w:eastAsia="zh-CN"/>
        </w:rPr>
        <w:t>，</w:t>
      </w:r>
      <w:r>
        <w:rPr>
          <w:rFonts w:hint="default" w:ascii="Times New Roman" w:hAnsi="Times New Roman" w:cs="Times New Roman"/>
          <w:szCs w:val="32"/>
          <w:highlight w:val="none"/>
          <w:lang w:val="en-US" w:eastAsia="zh-CN"/>
        </w:rPr>
        <w:t>但</w:t>
      </w:r>
      <w:r>
        <w:rPr>
          <w:rFonts w:hint="eastAsia" w:cs="Times New Roman"/>
          <w:szCs w:val="32"/>
          <w:highlight w:val="none"/>
          <w:lang w:val="en-US" w:eastAsia="zh-CN"/>
        </w:rPr>
        <w:t>部分区</w:t>
      </w:r>
      <w:r>
        <w:rPr>
          <w:rFonts w:hint="default" w:ascii="Times New Roman" w:hAnsi="Times New Roman" w:cs="Times New Roman"/>
          <w:szCs w:val="32"/>
          <w:highlight w:val="none"/>
          <w:lang w:val="en-US" w:eastAsia="zh-CN"/>
        </w:rPr>
        <w:t>满意度调查</w:t>
      </w:r>
      <w:r>
        <w:rPr>
          <w:rFonts w:hint="eastAsia" w:cs="Times New Roman"/>
          <w:szCs w:val="32"/>
          <w:highlight w:val="none"/>
          <w:lang w:val="en-US" w:eastAsia="zh-CN"/>
        </w:rPr>
        <w:t>在</w:t>
      </w:r>
      <w:r>
        <w:rPr>
          <w:rFonts w:hint="default" w:ascii="Times New Roman" w:hAnsi="Times New Roman" w:cs="Times New Roman"/>
          <w:szCs w:val="32"/>
          <w:highlight w:val="none"/>
          <w:lang w:val="en-US" w:eastAsia="zh-CN"/>
        </w:rPr>
        <w:t>分析结论</w:t>
      </w:r>
      <w:r>
        <w:rPr>
          <w:rFonts w:hint="eastAsia" w:cs="Times New Roman"/>
          <w:szCs w:val="32"/>
          <w:highlight w:val="none"/>
          <w:lang w:val="en-US" w:eastAsia="zh-CN"/>
        </w:rPr>
        <w:t>等方面</w:t>
      </w:r>
      <w:r>
        <w:rPr>
          <w:rFonts w:hint="default" w:ascii="Times New Roman" w:hAnsi="Times New Roman" w:cs="Times New Roman"/>
          <w:szCs w:val="32"/>
          <w:highlight w:val="none"/>
          <w:lang w:val="en-US" w:eastAsia="zh-CN"/>
        </w:rPr>
        <w:t>等有待进一步优化。</w:t>
      </w:r>
    </w:p>
    <w:bookmarkEnd w:id="109"/>
    <w:p w14:paraId="54DE5B37">
      <w:pPr>
        <w:pStyle w:val="2"/>
        <w:bidi w:val="0"/>
        <w:spacing w:before="0" w:beforeLines="0" w:line="560" w:lineRule="exact"/>
        <w:rPr>
          <w:rFonts w:hint="default"/>
          <w:highlight w:val="none"/>
        </w:rPr>
      </w:pPr>
      <w:bookmarkStart w:id="110" w:name="_Toc515586356"/>
      <w:bookmarkStart w:id="111" w:name="_Toc1137283855"/>
      <w:bookmarkStart w:id="112" w:name="_Toc103096324"/>
      <w:bookmarkStart w:id="113" w:name="_Toc1181632970"/>
      <w:bookmarkStart w:id="114" w:name="_Toc27392"/>
      <w:bookmarkStart w:id="115" w:name="_Toc103094580"/>
      <w:r>
        <w:rPr>
          <w:rFonts w:hint="default"/>
          <w:highlight w:val="none"/>
        </w:rPr>
        <w:t>五、</w:t>
      </w:r>
      <w:bookmarkEnd w:id="110"/>
      <w:r>
        <w:rPr>
          <w:rFonts w:hint="default"/>
          <w:highlight w:val="none"/>
        </w:rPr>
        <w:t>主要经验及做法、存在的问题及原因分析</w:t>
      </w:r>
      <w:bookmarkEnd w:id="111"/>
      <w:bookmarkEnd w:id="112"/>
      <w:bookmarkEnd w:id="113"/>
      <w:bookmarkEnd w:id="114"/>
      <w:bookmarkEnd w:id="115"/>
    </w:p>
    <w:p w14:paraId="41853404">
      <w:pPr>
        <w:pStyle w:val="3"/>
        <w:bidi w:val="0"/>
        <w:spacing w:line="560" w:lineRule="exact"/>
        <w:rPr>
          <w:rFonts w:hint="default"/>
          <w:highlight w:val="none"/>
        </w:rPr>
      </w:pPr>
      <w:bookmarkStart w:id="116" w:name="_Toc1725292685"/>
      <w:bookmarkStart w:id="117" w:name="_Toc1924042981"/>
      <w:bookmarkStart w:id="118" w:name="_Toc103096325"/>
      <w:bookmarkStart w:id="119" w:name="_Toc103094581"/>
      <w:bookmarkStart w:id="120" w:name="_Toc15884"/>
      <w:r>
        <w:rPr>
          <w:rFonts w:hint="default"/>
          <w:highlight w:val="none"/>
        </w:rPr>
        <w:t>（一）主要经验及做法</w:t>
      </w:r>
      <w:bookmarkEnd w:id="116"/>
      <w:bookmarkEnd w:id="117"/>
      <w:bookmarkEnd w:id="118"/>
      <w:bookmarkEnd w:id="119"/>
      <w:bookmarkEnd w:id="120"/>
    </w:p>
    <w:p w14:paraId="67E08278">
      <w:pPr>
        <w:suppressAutoHyphens/>
        <w:adjustRightInd w:val="0"/>
        <w:snapToGrid w:val="0"/>
        <w:spacing w:line="560" w:lineRule="exact"/>
        <w:ind w:firstLine="640" w:firstLineChars="200"/>
        <w:rPr>
          <w:rFonts w:hint="eastAsia" w:ascii="Times New Roman Regular" w:hAnsi="Times New Roman Regular" w:eastAsia="仿宋" w:cs="Times New Roman Regular"/>
          <w:bCs/>
          <w:sz w:val="32"/>
          <w:szCs w:val="24"/>
          <w:highlight w:val="none"/>
          <w:lang w:eastAsia="zh-Hans"/>
        </w:rPr>
      </w:pPr>
      <w:r>
        <w:rPr>
          <w:rFonts w:hint="eastAsia"/>
          <w:b w:val="0"/>
          <w:bCs w:val="0"/>
          <w:highlight w:val="none"/>
          <w:lang w:val="en-US" w:eastAsia="zh-CN"/>
        </w:rPr>
        <w:t>各区</w:t>
      </w:r>
      <w:r>
        <w:rPr>
          <w:rFonts w:hint="default" w:ascii="Times New Roman" w:hAnsi="Times New Roman" w:cs="Times New Roman"/>
          <w:b w:val="0"/>
          <w:bCs w:val="0"/>
          <w:highlight w:val="none"/>
          <w:lang w:val="en-US" w:eastAsia="zh-CN"/>
        </w:rPr>
        <w:t>通过遴选</w:t>
      </w:r>
      <w:r>
        <w:rPr>
          <w:rFonts w:hint="eastAsia" w:ascii="Times New Roman" w:hAnsi="Times New Roman" w:cs="Times New Roman"/>
          <w:b w:val="0"/>
          <w:bCs w:val="0"/>
          <w:highlight w:val="none"/>
          <w:lang w:val="en-US" w:eastAsia="zh-CN"/>
        </w:rPr>
        <w:t>的方式，将</w:t>
      </w:r>
      <w:r>
        <w:rPr>
          <w:rFonts w:hint="default" w:ascii="Times New Roman" w:hAnsi="Times New Roman" w:cs="Times New Roman"/>
          <w:b w:val="0"/>
          <w:bCs w:val="0"/>
          <w:highlight w:val="none"/>
          <w:lang w:val="en-US" w:eastAsia="zh-CN"/>
        </w:rPr>
        <w:t>本村村民作为互助员</w:t>
      </w:r>
      <w:r>
        <w:rPr>
          <w:rFonts w:hint="eastAsia" w:ascii="Times New Roman" w:hAnsi="Times New Roman" w:cs="Times New Roman"/>
          <w:b w:val="0"/>
          <w:bCs w:val="0"/>
          <w:highlight w:val="none"/>
          <w:lang w:val="en-US" w:eastAsia="zh-CN"/>
        </w:rPr>
        <w:t>的主要群体，</w:t>
      </w:r>
      <w:r>
        <w:rPr>
          <w:rFonts w:hint="default" w:ascii="Times New Roman" w:hAnsi="Times New Roman" w:cs="Times New Roman"/>
          <w:b w:val="0"/>
          <w:bCs w:val="0"/>
          <w:highlight w:val="none"/>
          <w:lang w:val="en-US" w:eastAsia="zh-CN"/>
        </w:rPr>
        <w:t>降低入户服务难度，</w:t>
      </w:r>
      <w:r>
        <w:rPr>
          <w:rFonts w:hint="eastAsia" w:cs="Times New Roman"/>
          <w:b w:val="0"/>
          <w:bCs w:val="0"/>
          <w:highlight w:val="none"/>
          <w:lang w:val="en-US" w:eastAsia="zh-CN"/>
        </w:rPr>
        <w:t>便于</w:t>
      </w:r>
      <w:r>
        <w:rPr>
          <w:rFonts w:hint="default" w:ascii="Times New Roman" w:hAnsi="Times New Roman" w:cs="Times New Roman"/>
          <w:b w:val="0"/>
          <w:bCs w:val="0"/>
          <w:highlight w:val="none"/>
          <w:lang w:val="en-US" w:eastAsia="zh-CN"/>
        </w:rPr>
        <w:t>日常沟通</w:t>
      </w:r>
      <w:r>
        <w:rPr>
          <w:rFonts w:hint="eastAsia" w:cs="Times New Roman"/>
          <w:b w:val="0"/>
          <w:bCs w:val="0"/>
          <w:highlight w:val="none"/>
          <w:lang w:val="en-US" w:eastAsia="zh-CN"/>
        </w:rPr>
        <w:t>。各区</w:t>
      </w:r>
      <w:r>
        <w:rPr>
          <w:rFonts w:hint="default" w:ascii="Times New Roman" w:hAnsi="Times New Roman" w:cs="Times New Roman"/>
          <w:highlight w:val="none"/>
          <w:lang w:val="en-US" w:eastAsia="zh-CN"/>
        </w:rPr>
        <w:t>互助员多为40-50岁的</w:t>
      </w:r>
      <w:r>
        <w:rPr>
          <w:rFonts w:hint="eastAsia" w:cs="Times New Roman"/>
          <w:highlight w:val="none"/>
          <w:lang w:val="en-US" w:eastAsia="zh-CN"/>
        </w:rPr>
        <w:t>无业中老年群体，</w:t>
      </w:r>
      <w:r>
        <w:rPr>
          <w:rFonts w:hint="default" w:ascii="Times New Roman" w:hAnsi="Times New Roman" w:cs="Times New Roman"/>
          <w:highlight w:val="none"/>
          <w:lang w:val="en-US" w:eastAsia="zh-CN"/>
        </w:rPr>
        <w:t>以留守妇女为主，通过</w:t>
      </w:r>
      <w:r>
        <w:rPr>
          <w:rFonts w:hint="default" w:ascii="Times New Roman" w:hAnsi="Times New Roman" w:eastAsia="仿宋" w:cs="Times New Roman"/>
          <w:bCs/>
          <w:sz w:val="32"/>
          <w:szCs w:val="24"/>
          <w:highlight w:val="none"/>
          <w:lang w:val="en-US" w:eastAsia="zh-CN"/>
        </w:rPr>
        <w:t>为农村兜底保障对象、高龄、独居、留守、失能老年人提供巡视探访、</w:t>
      </w:r>
      <w:r>
        <w:rPr>
          <w:rFonts w:hint="default" w:ascii="Times New Roman" w:hAnsi="Times New Roman" w:eastAsia="仿宋" w:cs="Times New Roman"/>
          <w:b w:val="0"/>
          <w:bCs/>
          <w:sz w:val="32"/>
          <w:szCs w:val="24"/>
          <w:highlight w:val="none"/>
          <w:lang w:eastAsia="zh-CN"/>
        </w:rPr>
        <w:t>助餐助行、清洁卫生、农事帮忙、代</w:t>
      </w:r>
      <w:r>
        <w:rPr>
          <w:rFonts w:hint="default" w:ascii="Times New Roman" w:hAnsi="Times New Roman" w:eastAsia="仿宋" w:cs="Times New Roman"/>
          <w:b w:val="0"/>
          <w:bCs/>
          <w:sz w:val="32"/>
          <w:szCs w:val="24"/>
          <w:highlight w:val="none"/>
          <w:lang w:val="en-US" w:eastAsia="zh-CN"/>
        </w:rPr>
        <w:t>买</w:t>
      </w:r>
      <w:r>
        <w:rPr>
          <w:rFonts w:hint="default" w:ascii="Times New Roman" w:hAnsi="Times New Roman" w:eastAsia="仿宋" w:cs="Times New Roman"/>
          <w:b w:val="0"/>
          <w:bCs/>
          <w:sz w:val="32"/>
          <w:szCs w:val="24"/>
          <w:highlight w:val="none"/>
          <w:lang w:eastAsia="zh-CN"/>
        </w:rPr>
        <w:t>代缴等互助性服务</w:t>
      </w:r>
      <w:r>
        <w:rPr>
          <w:rFonts w:hint="eastAsia" w:ascii="Times New Roman" w:hAnsi="Times New Roman" w:cs="Times New Roman"/>
          <w:b w:val="0"/>
          <w:bCs/>
          <w:sz w:val="32"/>
          <w:szCs w:val="24"/>
          <w:highlight w:val="none"/>
          <w:lang w:eastAsia="zh-CN"/>
        </w:rPr>
        <w:t>，</w:t>
      </w:r>
      <w:r>
        <w:rPr>
          <w:rFonts w:hint="default" w:ascii="Times New Roman" w:hAnsi="Times New Roman" w:cs="Times New Roman"/>
          <w:highlight w:val="none"/>
          <w:lang w:val="en-US" w:eastAsia="zh-CN"/>
        </w:rPr>
        <w:t>获得相应的资金补贴</w:t>
      </w:r>
      <w:r>
        <w:rPr>
          <w:rFonts w:hint="eastAsia" w:ascii="Times New Roman" w:hAnsi="Times New Roman" w:cs="Times New Roman"/>
          <w:highlight w:val="none"/>
          <w:lang w:val="en-US" w:eastAsia="zh-CN"/>
        </w:rPr>
        <w:t>或实物奖励</w:t>
      </w:r>
      <w:r>
        <w:rPr>
          <w:rFonts w:hint="default" w:ascii="Times New Roman" w:hAnsi="Times New Roman" w:cs="Times New Roman"/>
          <w:highlight w:val="none"/>
          <w:lang w:val="en-US" w:eastAsia="zh-CN"/>
        </w:rPr>
        <w:t>，一定程度上</w:t>
      </w:r>
      <w:r>
        <w:rPr>
          <w:rFonts w:hint="eastAsia" w:cs="Times New Roman"/>
          <w:highlight w:val="none"/>
          <w:lang w:val="en-US" w:eastAsia="zh-CN"/>
        </w:rPr>
        <w:t>提升了互助员服务群体与被服务老年人的获得感和幸福感。通过养老互助服务的开展，</w:t>
      </w:r>
      <w:r>
        <w:rPr>
          <w:rFonts w:hint="eastAsia" w:ascii="Times New Roman Regular" w:hAnsi="Times New Roman Regular" w:eastAsia="仿宋" w:cs="Times New Roman Regular"/>
          <w:bCs/>
          <w:sz w:val="32"/>
          <w:szCs w:val="24"/>
          <w:highlight w:val="none"/>
          <w:lang w:eastAsia="zh-Hans"/>
        </w:rPr>
        <w:t>进一步健全</w:t>
      </w:r>
      <w:r>
        <w:rPr>
          <w:rFonts w:hint="eastAsia" w:ascii="Times New Roman Regular" w:hAnsi="Times New Roman Regular" w:cs="Times New Roman Regular"/>
          <w:bCs/>
          <w:sz w:val="32"/>
          <w:szCs w:val="24"/>
          <w:highlight w:val="none"/>
          <w:lang w:eastAsia="zh-CN"/>
        </w:rPr>
        <w:t>了</w:t>
      </w:r>
      <w:r>
        <w:rPr>
          <w:rFonts w:hint="eastAsia" w:ascii="Times New Roman Regular" w:hAnsi="Times New Roman Regular" w:eastAsia="仿宋" w:cs="Times New Roman Regular"/>
          <w:bCs/>
          <w:sz w:val="32"/>
          <w:szCs w:val="24"/>
          <w:highlight w:val="none"/>
          <w:lang w:eastAsia="zh-Hans"/>
        </w:rPr>
        <w:t>北京市农村养老服务体系。</w:t>
      </w:r>
    </w:p>
    <w:p w14:paraId="675B66B8">
      <w:pPr>
        <w:pStyle w:val="3"/>
        <w:bidi w:val="0"/>
        <w:spacing w:line="560" w:lineRule="exact"/>
        <w:rPr>
          <w:rFonts w:hint="default"/>
          <w:highlight w:val="none"/>
        </w:rPr>
      </w:pPr>
      <w:bookmarkStart w:id="121" w:name="_Toc1669955001"/>
      <w:bookmarkStart w:id="122" w:name="_Toc103094582"/>
      <w:bookmarkStart w:id="123" w:name="_Toc103096326"/>
      <w:bookmarkStart w:id="124" w:name="_Toc3311"/>
      <w:bookmarkStart w:id="125" w:name="_Toc581625141"/>
      <w:r>
        <w:rPr>
          <w:rFonts w:hint="default"/>
          <w:highlight w:val="none"/>
        </w:rPr>
        <w:t>（二）存在的问题及原因分析</w:t>
      </w:r>
      <w:bookmarkEnd w:id="121"/>
      <w:bookmarkEnd w:id="122"/>
      <w:bookmarkEnd w:id="123"/>
      <w:bookmarkEnd w:id="124"/>
      <w:bookmarkEnd w:id="125"/>
      <w:bookmarkStart w:id="126" w:name="_Hlk103092622"/>
    </w:p>
    <w:p w14:paraId="72137F39">
      <w:pPr>
        <w:pStyle w:val="4"/>
        <w:adjustRightInd w:val="0"/>
        <w:snapToGrid w:val="0"/>
        <w:spacing w:line="560" w:lineRule="exact"/>
        <w:rPr>
          <w:rFonts w:hint="eastAsia" w:ascii="Times New Roman" w:hAnsi="Times New Roman" w:eastAsia="仿宋" w:cs="Times New Roman"/>
          <w:b w:val="0"/>
          <w:bCs w:val="0"/>
          <w:highlight w:val="none"/>
          <w:lang w:val="en-US" w:eastAsia="zh-CN"/>
        </w:rPr>
      </w:pPr>
      <w:r>
        <w:rPr>
          <w:rFonts w:hint="eastAsia"/>
          <w:highlight w:val="none"/>
          <w:u w:val="none"/>
          <w:lang w:val="en-US" w:eastAsia="zh-CN"/>
        </w:rPr>
        <w:t>一是</w:t>
      </w:r>
      <w:r>
        <w:rPr>
          <w:rFonts w:hint="eastAsia"/>
          <w:b w:val="0"/>
          <w:bCs w:val="0"/>
          <w:highlight w:val="none"/>
          <w:u w:val="none"/>
          <w:lang w:val="en-US" w:eastAsia="zh-CN"/>
        </w:rPr>
        <w:t>项目整体制度不够健全，</w:t>
      </w:r>
      <w:r>
        <w:rPr>
          <w:rFonts w:hint="eastAsia" w:cs="Times New Roman"/>
          <w:b w:val="0"/>
          <w:bCs w:val="0"/>
          <w:highlight w:val="none"/>
          <w:lang w:val="en-US" w:eastAsia="zh-CN"/>
        </w:rPr>
        <w:t>各区</w:t>
      </w:r>
      <w:r>
        <w:rPr>
          <w:rFonts w:hint="eastAsia" w:cs="Times New Roman"/>
          <w:b w:val="0"/>
          <w:bCs w:val="0"/>
          <w:szCs w:val="32"/>
          <w:highlight w:val="none"/>
          <w:lang w:val="en-US" w:eastAsia="zh-CN"/>
        </w:rPr>
        <w:t>应</w:t>
      </w:r>
      <w:r>
        <w:rPr>
          <w:rFonts w:hint="eastAsia" w:cs="Times New Roman"/>
          <w:b w:val="0"/>
          <w:bCs w:val="0"/>
          <w:i w:val="0"/>
          <w:iCs w:val="0"/>
          <w:caps w:val="0"/>
          <w:spacing w:val="0"/>
          <w:sz w:val="32"/>
          <w:szCs w:val="24"/>
          <w:highlight w:val="none"/>
          <w:lang w:val="en-US" w:eastAsia="zh-CN"/>
        </w:rPr>
        <w:t>充分</w:t>
      </w:r>
      <w:r>
        <w:rPr>
          <w:rFonts w:hint="eastAsia" w:ascii="Times New Roman" w:hAnsi="Times New Roman" w:cs="Times New Roman"/>
          <w:b w:val="0"/>
          <w:bCs w:val="0"/>
          <w:i w:val="0"/>
          <w:iCs w:val="0"/>
          <w:caps w:val="0"/>
          <w:spacing w:val="0"/>
          <w:sz w:val="32"/>
          <w:szCs w:val="24"/>
          <w:highlight w:val="none"/>
          <w:lang w:val="en-US" w:eastAsia="zh-CN"/>
        </w:rPr>
        <w:t>体现各区在落实市级相关政策上的规范化、标准化和管理专业化</w:t>
      </w:r>
      <w:r>
        <w:rPr>
          <w:rFonts w:hint="default" w:ascii="Times New Roman" w:hAnsi="Times New Roman" w:cs="Times New Roman"/>
          <w:b w:val="0"/>
          <w:bCs w:val="0"/>
          <w:highlight w:val="none"/>
        </w:rPr>
        <w:t>。</w:t>
      </w:r>
    </w:p>
    <w:p w14:paraId="22A1452E">
      <w:pPr>
        <w:pStyle w:val="4"/>
        <w:spacing w:line="560" w:lineRule="exact"/>
        <w:rPr>
          <w:rFonts w:hint="default" w:cs="Times New Roman"/>
          <w:b w:val="0"/>
          <w:bCs w:val="0"/>
          <w:highlight w:val="none"/>
          <w:lang w:val="en-US" w:eastAsia="zh-CN"/>
        </w:rPr>
      </w:pPr>
      <w:r>
        <w:rPr>
          <w:rFonts w:hint="eastAsia"/>
          <w:highlight w:val="none"/>
          <w:lang w:val="en-US" w:eastAsia="zh-CN"/>
        </w:rPr>
        <w:t>二是</w:t>
      </w:r>
      <w:r>
        <w:rPr>
          <w:rFonts w:hint="eastAsia"/>
          <w:b w:val="0"/>
          <w:bCs w:val="0"/>
          <w:highlight w:val="none"/>
          <w:lang w:val="en-US" w:eastAsia="zh-CN"/>
        </w:rPr>
        <w:t>资金</w:t>
      </w:r>
      <w:r>
        <w:rPr>
          <w:rFonts w:hint="default"/>
          <w:b w:val="0"/>
          <w:bCs w:val="0"/>
          <w:highlight w:val="none"/>
          <w:lang w:val="en-US" w:eastAsia="zh-CN"/>
        </w:rPr>
        <w:t>末端</w:t>
      </w:r>
      <w:r>
        <w:rPr>
          <w:rFonts w:hint="eastAsia"/>
          <w:b w:val="0"/>
          <w:bCs w:val="0"/>
          <w:highlight w:val="none"/>
          <w:lang w:val="en-US" w:eastAsia="zh-CN"/>
        </w:rPr>
        <w:t>支出监管需加强</w:t>
      </w:r>
      <w:r>
        <w:rPr>
          <w:rFonts w:hint="eastAsia"/>
          <w:b w:val="0"/>
          <w:bCs w:val="0"/>
          <w:highlight w:val="none"/>
          <w:lang w:val="en-US" w:eastAsia="zh-CN"/>
        </w:rPr>
        <w:t>，个别区</w:t>
      </w:r>
      <w:r>
        <w:rPr>
          <w:rFonts w:hint="default"/>
          <w:b w:val="0"/>
          <w:bCs w:val="0"/>
          <w:highlight w:val="none"/>
          <w:lang w:val="en-US" w:eastAsia="zh-CN"/>
        </w:rPr>
        <w:t>项目</w:t>
      </w:r>
      <w:r>
        <w:rPr>
          <w:rFonts w:hint="eastAsia"/>
          <w:b w:val="0"/>
          <w:bCs w:val="0"/>
          <w:highlight w:val="none"/>
          <w:lang w:val="en-US" w:eastAsia="zh-CN"/>
        </w:rPr>
        <w:t>执行标准不统一</w:t>
      </w:r>
      <w:r>
        <w:rPr>
          <w:rFonts w:hint="eastAsia" w:cs="Times New Roman"/>
          <w:b w:val="0"/>
          <w:bCs w:val="0"/>
          <w:highlight w:val="none"/>
          <w:lang w:val="en-US" w:eastAsia="zh-CN"/>
        </w:rPr>
        <w:t>。</w:t>
      </w:r>
    </w:p>
    <w:p w14:paraId="12EF5B08">
      <w:pPr>
        <w:pStyle w:val="4"/>
        <w:widowControl/>
        <w:spacing w:line="560" w:lineRule="exact"/>
        <w:rPr>
          <w:rFonts w:hint="default" w:cs="Times New Roman"/>
          <w:b w:val="0"/>
          <w:bCs w:val="0"/>
          <w:highlight w:val="none"/>
          <w:lang w:val="en-US" w:eastAsia="zh-CN"/>
        </w:rPr>
      </w:pPr>
      <w:r>
        <w:rPr>
          <w:rFonts w:hint="eastAsia"/>
          <w:highlight w:val="none"/>
          <w:lang w:val="en-US" w:eastAsia="zh-CN"/>
        </w:rPr>
        <w:t>三是</w:t>
      </w:r>
      <w:r>
        <w:rPr>
          <w:rFonts w:hint="eastAsia"/>
          <w:b w:val="0"/>
          <w:bCs w:val="0"/>
          <w:highlight w:val="none"/>
          <w:lang w:val="en-US" w:eastAsia="zh-CN"/>
        </w:rPr>
        <w:t>项目成本控制措施不够清晰，</w:t>
      </w:r>
      <w:r>
        <w:rPr>
          <w:rFonts w:hint="eastAsia" w:cs="Times New Roman"/>
          <w:b w:val="0"/>
          <w:bCs w:val="0"/>
          <w:highlight w:val="none"/>
          <w:lang w:eastAsia="zh-Hans"/>
        </w:rPr>
        <w:t>绩效管理意识有待提高</w:t>
      </w:r>
      <w:r>
        <w:rPr>
          <w:rFonts w:cs="Times New Roman"/>
          <w:b w:val="0"/>
          <w:bCs w:val="0"/>
          <w:highlight w:val="none"/>
          <w:lang w:eastAsia="zh-Hans"/>
        </w:rPr>
        <w:t>。</w:t>
      </w:r>
    </w:p>
    <w:bookmarkEnd w:id="126"/>
    <w:p w14:paraId="37BC3A4D">
      <w:pPr>
        <w:pStyle w:val="2"/>
        <w:bidi w:val="0"/>
        <w:spacing w:before="0" w:beforeLines="0" w:line="560" w:lineRule="exact"/>
        <w:rPr>
          <w:rFonts w:hint="default"/>
          <w:highlight w:val="none"/>
        </w:rPr>
      </w:pPr>
      <w:bookmarkStart w:id="127" w:name="_Toc103096327"/>
      <w:bookmarkStart w:id="128" w:name="_Toc23969"/>
      <w:bookmarkStart w:id="129" w:name="_Toc12426"/>
      <w:bookmarkStart w:id="130" w:name="_Toc103094583"/>
      <w:bookmarkStart w:id="131" w:name="_Toc15164"/>
      <w:bookmarkStart w:id="132" w:name="_Toc515586361"/>
      <w:bookmarkStart w:id="133" w:name="_Toc22688"/>
      <w:bookmarkStart w:id="134" w:name="_Toc1469919164"/>
      <w:bookmarkStart w:id="135" w:name="_Toc28183643"/>
      <w:bookmarkStart w:id="136" w:name="_Toc21478"/>
      <w:r>
        <w:rPr>
          <w:rFonts w:hint="default"/>
          <w:highlight w:val="none"/>
        </w:rPr>
        <w:t>六、</w:t>
      </w:r>
      <w:r>
        <w:rPr>
          <w:rFonts w:hint="eastAsia"/>
          <w:highlight w:val="none"/>
          <w:lang w:val="en-US" w:eastAsia="zh-CN"/>
        </w:rPr>
        <w:t>相关</w:t>
      </w:r>
      <w:r>
        <w:rPr>
          <w:rFonts w:hint="default"/>
          <w:highlight w:val="none"/>
        </w:rPr>
        <w:t>建议</w:t>
      </w:r>
      <w:bookmarkEnd w:id="127"/>
      <w:bookmarkEnd w:id="128"/>
      <w:bookmarkEnd w:id="129"/>
      <w:bookmarkEnd w:id="130"/>
      <w:bookmarkEnd w:id="131"/>
      <w:bookmarkEnd w:id="132"/>
      <w:bookmarkEnd w:id="133"/>
      <w:bookmarkEnd w:id="134"/>
      <w:bookmarkEnd w:id="135"/>
      <w:bookmarkEnd w:id="136"/>
    </w:p>
    <w:p w14:paraId="3B624619">
      <w:pPr>
        <w:spacing w:line="560" w:lineRule="exact"/>
        <w:ind w:firstLine="640"/>
        <w:rPr>
          <w:rFonts w:hint="eastAsia" w:ascii="Times New Roman" w:hAnsi="Times New Roman" w:cs="Times New Roman"/>
          <w:highlight w:val="none"/>
          <w:lang w:val="en-US" w:eastAsia="zh-CN"/>
        </w:rPr>
      </w:pPr>
      <w:bookmarkStart w:id="137" w:name="_Toc72425331"/>
      <w:r>
        <w:rPr>
          <w:rFonts w:hint="eastAsia"/>
          <w:b/>
          <w:bCs/>
          <w:highlight w:val="none"/>
          <w:lang w:eastAsia="zh-CN"/>
        </w:rPr>
        <w:t>一是</w:t>
      </w:r>
      <w:r>
        <w:rPr>
          <w:rFonts w:hint="eastAsia" w:cs="Times New Roman"/>
          <w:highlight w:val="none"/>
          <w:lang w:val="en-US" w:eastAsia="zh-CN"/>
        </w:rPr>
        <w:t>各区需</w:t>
      </w:r>
      <w:r>
        <w:rPr>
          <w:rFonts w:hint="default" w:ascii="Times New Roman" w:hAnsi="Times New Roman" w:cs="Times New Roman"/>
          <w:highlight w:val="none"/>
          <w:lang w:val="en-US" w:eastAsia="zh-CN"/>
        </w:rPr>
        <w:t>结合市级相关规定和本区实施方案，</w:t>
      </w:r>
      <w:r>
        <w:rPr>
          <w:rFonts w:hint="eastAsia" w:cs="Times New Roman"/>
          <w:highlight w:val="none"/>
          <w:lang w:val="en-US" w:eastAsia="zh-CN"/>
        </w:rPr>
        <w:t>提高项目</w:t>
      </w:r>
      <w:r>
        <w:rPr>
          <w:rFonts w:hint="default" w:ascii="Times New Roman" w:hAnsi="Times New Roman" w:cs="Times New Roman"/>
          <w:highlight w:val="none"/>
          <w:lang w:val="en-US" w:eastAsia="zh-CN"/>
        </w:rPr>
        <w:t>规范化、标准化和管理专业化</w:t>
      </w:r>
      <w:r>
        <w:rPr>
          <w:rFonts w:hint="eastAsia" w:cs="Times New Roman"/>
          <w:highlight w:val="none"/>
          <w:lang w:val="en-US" w:eastAsia="zh-CN"/>
        </w:rPr>
        <w:t>水平，</w:t>
      </w:r>
      <w:r>
        <w:rPr>
          <w:rFonts w:hint="default" w:ascii="Times New Roman" w:hAnsi="Times New Roman" w:cs="Times New Roman"/>
          <w:highlight w:val="none"/>
          <w:lang w:val="en-US" w:eastAsia="zh-CN"/>
        </w:rPr>
        <w:t>进一步明确补助标准、服务范围等管理要求，进一步规范合同条款</w:t>
      </w:r>
      <w:r>
        <w:rPr>
          <w:rFonts w:hint="eastAsia" w:ascii="Times New Roman" w:hAnsi="Times New Roman" w:cs="Times New Roman"/>
          <w:highlight w:val="none"/>
          <w:lang w:val="en-US" w:eastAsia="zh-CN"/>
        </w:rPr>
        <w:t>。</w:t>
      </w:r>
    </w:p>
    <w:p w14:paraId="5004FB54">
      <w:pPr>
        <w:spacing w:line="560" w:lineRule="exact"/>
        <w:ind w:firstLine="640"/>
        <w:rPr>
          <w:rFonts w:hint="default" w:ascii="Times New Roman" w:hAnsi="Times New Roman" w:cs="Times New Roman"/>
          <w:highlight w:val="none"/>
          <w:lang w:val="en-US" w:eastAsia="zh-CN"/>
        </w:rPr>
      </w:pPr>
      <w:bookmarkStart w:id="138" w:name="_Toc7347"/>
      <w:r>
        <w:rPr>
          <w:rFonts w:hint="eastAsia" w:ascii="仿宋_GB2312" w:hAnsi="仿宋_GB2312" w:eastAsia="仿宋_GB2312" w:cs="仿宋_GB2312"/>
          <w:b/>
          <w:bCs/>
          <w:highlight w:val="none"/>
          <w:lang w:val="en-US" w:eastAsia="zh-CN"/>
        </w:rPr>
        <w:t>二是</w:t>
      </w:r>
      <w:bookmarkEnd w:id="138"/>
      <w:r>
        <w:rPr>
          <w:rFonts w:hint="eastAsia" w:ascii="Times New Roman" w:hAnsi="Times New Roman" w:cs="Times New Roman"/>
          <w:b w:val="0"/>
          <w:bCs w:val="0"/>
          <w:highlight w:val="none"/>
          <w:lang w:val="en-US" w:eastAsia="zh-CN"/>
        </w:rPr>
        <w:t>各区、乡镇需明确</w:t>
      </w:r>
      <w:r>
        <w:rPr>
          <w:rFonts w:hint="eastAsia" w:ascii="Times New Roman" w:hAnsi="Times New Roman" w:cs="Times New Roman"/>
          <w:highlight w:val="none"/>
          <w:lang w:val="en-US" w:eastAsia="zh-CN"/>
        </w:rPr>
        <w:t>各级在项目运行中</w:t>
      </w:r>
      <w:r>
        <w:rPr>
          <w:rFonts w:hint="eastAsia"/>
          <w:highlight w:val="none"/>
          <w:lang w:val="en-US" w:eastAsia="zh-CN"/>
        </w:rPr>
        <w:t>的</w:t>
      </w:r>
      <w:r>
        <w:rPr>
          <w:rFonts w:hint="eastAsia" w:ascii="Times New Roman" w:hAnsi="Times New Roman" w:cs="Times New Roman"/>
          <w:highlight w:val="none"/>
          <w:lang w:val="en-US" w:eastAsia="zh-CN"/>
        </w:rPr>
        <w:t>主体责任，建立邻里互助基础工作台账，完善项目管理流程，加大过程监管力度。</w:t>
      </w:r>
    </w:p>
    <w:p w14:paraId="7078EB93">
      <w:pPr>
        <w:spacing w:line="560" w:lineRule="exact"/>
        <w:ind w:firstLine="640"/>
        <w:textAlignment w:val="center"/>
        <w:rPr>
          <w:rFonts w:hint="eastAsia" w:ascii="仿宋_GB2312" w:hAnsi="仿宋_GB2312" w:eastAsia="仿宋_GB2312" w:cs="仿宋_GB2312"/>
          <w:b w:val="0"/>
          <w:bCs/>
          <w:szCs w:val="24"/>
          <w:highlight w:val="none"/>
          <w:lang w:val="en-US" w:eastAsia="zh-CN"/>
        </w:rPr>
      </w:pPr>
      <w:r>
        <w:rPr>
          <w:rFonts w:hint="eastAsia" w:cs="Times New Roman"/>
          <w:b/>
          <w:bCs/>
          <w:highlight w:val="none"/>
          <w:lang w:val="en-US" w:eastAsia="zh-CN"/>
        </w:rPr>
        <w:t>三是</w:t>
      </w:r>
      <w:bookmarkStart w:id="139" w:name="_Toc1249431831"/>
      <w:r>
        <w:rPr>
          <w:rFonts w:hint="eastAsia" w:ascii="仿宋_GB2312" w:hAnsi="仿宋_GB2312" w:eastAsia="仿宋_GB2312" w:cs="仿宋_GB2312"/>
          <w:b w:val="0"/>
          <w:bCs/>
          <w:szCs w:val="24"/>
          <w:highlight w:val="none"/>
          <w:lang w:val="en-US" w:eastAsia="zh-CN"/>
        </w:rPr>
        <w:t>各区需进一步完善政策资金管理办法，完善预算测算资料，规范绩效管理，增强项目投入产出的可评价性。</w:t>
      </w:r>
    </w:p>
    <w:bookmarkEnd w:id="137"/>
    <w:bookmarkEnd w:id="139"/>
    <w:p w14:paraId="0FCA590D">
      <w:pPr>
        <w:pStyle w:val="2"/>
        <w:bidi w:val="0"/>
        <w:spacing w:before="0" w:beforeLines="0" w:line="560" w:lineRule="exact"/>
        <w:rPr>
          <w:rFonts w:hint="default"/>
          <w:highlight w:val="none"/>
        </w:rPr>
      </w:pPr>
      <w:bookmarkStart w:id="140" w:name="_Toc103096331"/>
      <w:bookmarkStart w:id="141" w:name="_Toc103094586"/>
      <w:bookmarkStart w:id="142" w:name="_Toc1157582547"/>
      <w:bookmarkStart w:id="143" w:name="_Toc1105683251"/>
      <w:bookmarkStart w:id="144" w:name="_Toc9268"/>
      <w:r>
        <w:rPr>
          <w:rFonts w:hint="default"/>
          <w:highlight w:val="none"/>
        </w:rPr>
        <w:t>七、其他需要说明的问题</w:t>
      </w:r>
      <w:bookmarkEnd w:id="140"/>
      <w:bookmarkEnd w:id="141"/>
      <w:bookmarkEnd w:id="142"/>
      <w:bookmarkEnd w:id="143"/>
      <w:bookmarkEnd w:id="144"/>
    </w:p>
    <w:p w14:paraId="4A360623">
      <w:pPr>
        <w:spacing w:line="560" w:lineRule="exact"/>
        <w:ind w:firstLine="640"/>
        <w:rPr>
          <w:rFonts w:hint="default" w:ascii="Times New Roman" w:hAnsi="Times New Roman" w:cs="Times New Roman"/>
          <w:highlight w:val="none"/>
        </w:rPr>
      </w:pPr>
      <w:r>
        <w:rPr>
          <w:rFonts w:hint="default" w:ascii="Times New Roman" w:hAnsi="Times New Roman" w:cs="Times New Roman"/>
          <w:highlight w:val="none"/>
        </w:rPr>
        <w:t>本次评价对项目决策、过程、产出、效益进行评价，评价工作组以市</w:t>
      </w:r>
      <w:r>
        <w:rPr>
          <w:rFonts w:hint="default" w:ascii="Times New Roman" w:hAnsi="Times New Roman" w:cs="Times New Roman"/>
          <w:highlight w:val="none"/>
          <w:lang w:eastAsia="zh-Hans"/>
        </w:rPr>
        <w:t>民政局</w:t>
      </w:r>
      <w:r>
        <w:rPr>
          <w:rFonts w:hint="default" w:ascii="Times New Roman" w:hAnsi="Times New Roman" w:cs="Times New Roman"/>
          <w:highlight w:val="none"/>
        </w:rPr>
        <w:t>提供的评价材料为基础，通过资料审核、电话沟通、</w:t>
      </w:r>
      <w:r>
        <w:rPr>
          <w:rFonts w:hint="default" w:ascii="Times New Roman" w:hAnsi="Times New Roman" w:cs="Times New Roman"/>
          <w:highlight w:val="none"/>
          <w:lang w:eastAsia="zh-Hans"/>
        </w:rPr>
        <w:t>现场及线上调研</w:t>
      </w:r>
      <w:r>
        <w:rPr>
          <w:rFonts w:hint="default" w:ascii="Times New Roman" w:hAnsi="Times New Roman" w:cs="Times New Roman"/>
          <w:highlight w:val="none"/>
        </w:rPr>
        <w:t>等方式核实评价材料完整性、真实性，邀请专家组成评价专家组，对项目材料进行综合分析和专业评价，在此基础上形成专家意见汇总书，完成</w:t>
      </w:r>
      <w:r>
        <w:rPr>
          <w:rFonts w:hint="eastAsia" w:cs="Times New Roman"/>
          <w:highlight w:val="none"/>
          <w:lang w:val="en-US" w:eastAsia="zh-CN"/>
        </w:rPr>
        <w:t>2024年度“</w:t>
      </w:r>
      <w:r>
        <w:rPr>
          <w:rFonts w:hint="default" w:ascii="Times New Roman" w:hAnsi="Times New Roman" w:cs="Times New Roman"/>
          <w:highlight w:val="none"/>
          <w:lang w:eastAsia="zh-Hans"/>
        </w:rPr>
        <w:t>农村邻里互助养老服务点转移支付资金</w:t>
      </w:r>
      <w:r>
        <w:rPr>
          <w:rFonts w:hint="eastAsia" w:cs="Times New Roman"/>
          <w:highlight w:val="none"/>
          <w:lang w:eastAsia="zh-CN"/>
        </w:rPr>
        <w:t>”</w:t>
      </w:r>
      <w:r>
        <w:rPr>
          <w:rFonts w:hint="default" w:ascii="Times New Roman" w:hAnsi="Times New Roman" w:cs="Times New Roman"/>
          <w:highlight w:val="none"/>
        </w:rPr>
        <w:t>项目绩效评价报告。</w:t>
      </w:r>
    </w:p>
    <w:p w14:paraId="6B65CDCF">
      <w:pPr>
        <w:rPr>
          <w:highlight w:val="none"/>
        </w:rPr>
      </w:pPr>
    </w:p>
    <w:sectPr>
      <w:headerReference r:id="rId5" w:type="default"/>
      <w:footerReference r:id="rId6" w:type="default"/>
      <w:pgSz w:w="11906" w:h="16838"/>
      <w:pgMar w:top="2098" w:right="1474" w:bottom="1985" w:left="1587" w:header="851" w:footer="992" w:gutter="0"/>
      <w:pgNumType w:fmt="decimal"/>
      <w:cols w:space="0" w:num="1"/>
      <w:docGrid w:type="linesAndChar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 w:name="方正小标宋简体">
    <w:panose1 w:val="02010601030101010101"/>
    <w:charset w:val="86"/>
    <w:family w:val="script"/>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84A1F">
    <w:pPr>
      <w:pStyle w:val="14"/>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DC7D68">
                          <w:pPr>
                            <w:pStyle w:val="1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DC7D68">
                    <w:pPr>
                      <w:pStyle w:val="1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62A54224">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14:paraId="2AEF6460">
      <w:pPr>
        <w:pStyle w:val="18"/>
        <w:keepNext w:val="0"/>
        <w:keepLines w:val="0"/>
        <w:pageBreakBefore w:val="0"/>
        <w:widowControl w:val="0"/>
        <w:kinsoku/>
        <w:wordWrap/>
        <w:overflowPunct/>
        <w:topLinePunct w:val="0"/>
        <w:bidi w:val="0"/>
        <w:adjustRightInd/>
        <w:snapToGrid w:val="0"/>
        <w:spacing w:line="240" w:lineRule="auto"/>
        <w:textAlignment w:val="auto"/>
        <w:rPr>
          <w:rFonts w:hint="eastAsia" w:eastAsia="宋体" w:asciiTheme="minorEastAsia" w:hAnsiTheme="minorEastAsia" w:cstheme="minorEastAsia"/>
          <w:lang w:val="en-US" w:eastAsia="zh-CN"/>
        </w:rPr>
      </w:pPr>
      <w:r>
        <w:rPr>
          <w:rStyle w:val="29"/>
          <w:rFonts w:hint="eastAsia" w:ascii="宋体" w:hAnsi="宋体" w:eastAsia="宋体" w:cs="宋体"/>
        </w:rPr>
        <w:footnoteRef/>
      </w:r>
      <w:r>
        <w:rPr>
          <w:rFonts w:hint="eastAsia" w:ascii="宋体" w:hAnsi="宋体" w:eastAsia="宋体" w:cs="宋体"/>
        </w:rPr>
        <w:t xml:space="preserve"> 农村邻里互助养老服务新建点与运营点总数共809个，按照1个邻里互助点至少1个互助员的标准来看，至少需要809名邻里互助员</w:t>
      </w:r>
      <w:r>
        <w:rPr>
          <w:rFonts w:hint="eastAsia" w:ascii="宋体" w:hAnsi="宋体" w:eastAsia="宋体" w:cs="宋体"/>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92623">
    <w:pPr>
      <w:pStyle w:val="1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B23B5"/>
    <w:multiLevelType w:val="singleLevel"/>
    <w:tmpl w:val="553B23B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hideSpellingErrors/>
  <w:hideGrammaticalErrors/>
  <w:trackRevisions w:val="1"/>
  <w:documentProtection w:enforcement="0"/>
  <w:defaultTabStop w:val="0"/>
  <w:drawingGridHorizontalSpacing w:val="160"/>
  <w:drawingGridVerticalSpacing w:val="221"/>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4NGFlOWFiODBiMTdmMzhjMjI3MTQzODQyMWVjNDIifQ=="/>
  </w:docVars>
  <w:rsids>
    <w:rsidRoot w:val="00172A27"/>
    <w:rsid w:val="00000383"/>
    <w:rsid w:val="0000045D"/>
    <w:rsid w:val="00001157"/>
    <w:rsid w:val="000012B4"/>
    <w:rsid w:val="0000261B"/>
    <w:rsid w:val="00002E80"/>
    <w:rsid w:val="00003A73"/>
    <w:rsid w:val="00003BD8"/>
    <w:rsid w:val="0000413E"/>
    <w:rsid w:val="00004D7C"/>
    <w:rsid w:val="000055D1"/>
    <w:rsid w:val="00006E34"/>
    <w:rsid w:val="0000749F"/>
    <w:rsid w:val="000103DE"/>
    <w:rsid w:val="00013539"/>
    <w:rsid w:val="000138A0"/>
    <w:rsid w:val="00013FD4"/>
    <w:rsid w:val="00017051"/>
    <w:rsid w:val="000174BD"/>
    <w:rsid w:val="00020166"/>
    <w:rsid w:val="0002078D"/>
    <w:rsid w:val="00021326"/>
    <w:rsid w:val="000222D6"/>
    <w:rsid w:val="00023944"/>
    <w:rsid w:val="00026934"/>
    <w:rsid w:val="00026942"/>
    <w:rsid w:val="000304E4"/>
    <w:rsid w:val="0003074C"/>
    <w:rsid w:val="0003101E"/>
    <w:rsid w:val="00031B4A"/>
    <w:rsid w:val="00031D1E"/>
    <w:rsid w:val="0003242F"/>
    <w:rsid w:val="000327BF"/>
    <w:rsid w:val="00032CEF"/>
    <w:rsid w:val="00033BAD"/>
    <w:rsid w:val="00033D31"/>
    <w:rsid w:val="00034A66"/>
    <w:rsid w:val="00034F18"/>
    <w:rsid w:val="00035081"/>
    <w:rsid w:val="00036A1B"/>
    <w:rsid w:val="00037966"/>
    <w:rsid w:val="0004005E"/>
    <w:rsid w:val="0004241D"/>
    <w:rsid w:val="00043CB0"/>
    <w:rsid w:val="00044676"/>
    <w:rsid w:val="00045DE6"/>
    <w:rsid w:val="00046AE6"/>
    <w:rsid w:val="000471F7"/>
    <w:rsid w:val="000500BD"/>
    <w:rsid w:val="00051A79"/>
    <w:rsid w:val="00051C27"/>
    <w:rsid w:val="00051DAC"/>
    <w:rsid w:val="00052697"/>
    <w:rsid w:val="0005351E"/>
    <w:rsid w:val="0005401B"/>
    <w:rsid w:val="00055F3D"/>
    <w:rsid w:val="0005623A"/>
    <w:rsid w:val="00057955"/>
    <w:rsid w:val="00060014"/>
    <w:rsid w:val="0006112F"/>
    <w:rsid w:val="00062969"/>
    <w:rsid w:val="00063073"/>
    <w:rsid w:val="00063113"/>
    <w:rsid w:val="0006347C"/>
    <w:rsid w:val="000643FB"/>
    <w:rsid w:val="0006473A"/>
    <w:rsid w:val="00065F5D"/>
    <w:rsid w:val="000702DE"/>
    <w:rsid w:val="000720A7"/>
    <w:rsid w:val="00072914"/>
    <w:rsid w:val="00072972"/>
    <w:rsid w:val="00075AFF"/>
    <w:rsid w:val="000763E4"/>
    <w:rsid w:val="000769B1"/>
    <w:rsid w:val="0007702E"/>
    <w:rsid w:val="00077522"/>
    <w:rsid w:val="00080CD5"/>
    <w:rsid w:val="000819BF"/>
    <w:rsid w:val="0008223C"/>
    <w:rsid w:val="00082264"/>
    <w:rsid w:val="000828F0"/>
    <w:rsid w:val="000832D3"/>
    <w:rsid w:val="00083B56"/>
    <w:rsid w:val="00083B87"/>
    <w:rsid w:val="00084011"/>
    <w:rsid w:val="00084403"/>
    <w:rsid w:val="00085227"/>
    <w:rsid w:val="000859A5"/>
    <w:rsid w:val="000869E4"/>
    <w:rsid w:val="000874B7"/>
    <w:rsid w:val="00092441"/>
    <w:rsid w:val="000932D9"/>
    <w:rsid w:val="000933DD"/>
    <w:rsid w:val="000934A7"/>
    <w:rsid w:val="000938B0"/>
    <w:rsid w:val="00095336"/>
    <w:rsid w:val="000955A1"/>
    <w:rsid w:val="00096F32"/>
    <w:rsid w:val="0009731C"/>
    <w:rsid w:val="00097CC5"/>
    <w:rsid w:val="000A0C37"/>
    <w:rsid w:val="000A1629"/>
    <w:rsid w:val="000A1A62"/>
    <w:rsid w:val="000A28CF"/>
    <w:rsid w:val="000A29D5"/>
    <w:rsid w:val="000A4868"/>
    <w:rsid w:val="000A5E2D"/>
    <w:rsid w:val="000A67AE"/>
    <w:rsid w:val="000B031C"/>
    <w:rsid w:val="000B102A"/>
    <w:rsid w:val="000B12D3"/>
    <w:rsid w:val="000B1D3A"/>
    <w:rsid w:val="000B3C00"/>
    <w:rsid w:val="000B66BB"/>
    <w:rsid w:val="000B6734"/>
    <w:rsid w:val="000B6F90"/>
    <w:rsid w:val="000C137A"/>
    <w:rsid w:val="000C1997"/>
    <w:rsid w:val="000C1D2A"/>
    <w:rsid w:val="000C21C0"/>
    <w:rsid w:val="000C2F7D"/>
    <w:rsid w:val="000C558E"/>
    <w:rsid w:val="000C5B33"/>
    <w:rsid w:val="000C5CF9"/>
    <w:rsid w:val="000C639D"/>
    <w:rsid w:val="000C6B83"/>
    <w:rsid w:val="000C7BAE"/>
    <w:rsid w:val="000D0A98"/>
    <w:rsid w:val="000D0CAA"/>
    <w:rsid w:val="000D1334"/>
    <w:rsid w:val="000D1F1C"/>
    <w:rsid w:val="000D29D4"/>
    <w:rsid w:val="000D343B"/>
    <w:rsid w:val="000D3AC6"/>
    <w:rsid w:val="000D3F28"/>
    <w:rsid w:val="000D42D6"/>
    <w:rsid w:val="000D52C9"/>
    <w:rsid w:val="000D5F28"/>
    <w:rsid w:val="000D6760"/>
    <w:rsid w:val="000D6CD2"/>
    <w:rsid w:val="000D7B75"/>
    <w:rsid w:val="000E0848"/>
    <w:rsid w:val="000E0DA6"/>
    <w:rsid w:val="000E166E"/>
    <w:rsid w:val="000E299D"/>
    <w:rsid w:val="000E31F0"/>
    <w:rsid w:val="000E3670"/>
    <w:rsid w:val="000E3672"/>
    <w:rsid w:val="000E3853"/>
    <w:rsid w:val="000E4182"/>
    <w:rsid w:val="000E5832"/>
    <w:rsid w:val="000F21C9"/>
    <w:rsid w:val="000F2999"/>
    <w:rsid w:val="000F2B7A"/>
    <w:rsid w:val="000F3368"/>
    <w:rsid w:val="000F4412"/>
    <w:rsid w:val="000F527C"/>
    <w:rsid w:val="000F7365"/>
    <w:rsid w:val="0010055A"/>
    <w:rsid w:val="001009B5"/>
    <w:rsid w:val="00101300"/>
    <w:rsid w:val="00102645"/>
    <w:rsid w:val="00104158"/>
    <w:rsid w:val="001056A2"/>
    <w:rsid w:val="00105F28"/>
    <w:rsid w:val="00106360"/>
    <w:rsid w:val="0010665C"/>
    <w:rsid w:val="001066C0"/>
    <w:rsid w:val="001066C9"/>
    <w:rsid w:val="00106872"/>
    <w:rsid w:val="00110B29"/>
    <w:rsid w:val="00111629"/>
    <w:rsid w:val="001122EF"/>
    <w:rsid w:val="0011301A"/>
    <w:rsid w:val="00113428"/>
    <w:rsid w:val="00113587"/>
    <w:rsid w:val="00113BFF"/>
    <w:rsid w:val="0011451B"/>
    <w:rsid w:val="00114673"/>
    <w:rsid w:val="00116517"/>
    <w:rsid w:val="00116834"/>
    <w:rsid w:val="001176BA"/>
    <w:rsid w:val="00122AE3"/>
    <w:rsid w:val="0012543B"/>
    <w:rsid w:val="00125D31"/>
    <w:rsid w:val="00125D54"/>
    <w:rsid w:val="00125E1D"/>
    <w:rsid w:val="001268EA"/>
    <w:rsid w:val="0012694A"/>
    <w:rsid w:val="00127737"/>
    <w:rsid w:val="00127941"/>
    <w:rsid w:val="001303A6"/>
    <w:rsid w:val="0013099A"/>
    <w:rsid w:val="00131E69"/>
    <w:rsid w:val="0013216E"/>
    <w:rsid w:val="001329D1"/>
    <w:rsid w:val="00132A5D"/>
    <w:rsid w:val="00136571"/>
    <w:rsid w:val="001369EE"/>
    <w:rsid w:val="0013711B"/>
    <w:rsid w:val="00140147"/>
    <w:rsid w:val="00141270"/>
    <w:rsid w:val="00141460"/>
    <w:rsid w:val="0014284A"/>
    <w:rsid w:val="00142DB5"/>
    <w:rsid w:val="00144AD2"/>
    <w:rsid w:val="00145022"/>
    <w:rsid w:val="0014523D"/>
    <w:rsid w:val="0014594A"/>
    <w:rsid w:val="00145C23"/>
    <w:rsid w:val="00147110"/>
    <w:rsid w:val="0014794A"/>
    <w:rsid w:val="0015022D"/>
    <w:rsid w:val="00150A23"/>
    <w:rsid w:val="00150DC5"/>
    <w:rsid w:val="00151462"/>
    <w:rsid w:val="00153AF8"/>
    <w:rsid w:val="001541AA"/>
    <w:rsid w:val="00155F83"/>
    <w:rsid w:val="001602CF"/>
    <w:rsid w:val="00160D5D"/>
    <w:rsid w:val="00161E15"/>
    <w:rsid w:val="00162CE5"/>
    <w:rsid w:val="00163513"/>
    <w:rsid w:val="0016486A"/>
    <w:rsid w:val="001648C3"/>
    <w:rsid w:val="0016639C"/>
    <w:rsid w:val="00167BC1"/>
    <w:rsid w:val="00172951"/>
    <w:rsid w:val="00174135"/>
    <w:rsid w:val="0017438E"/>
    <w:rsid w:val="00174A0C"/>
    <w:rsid w:val="001750EE"/>
    <w:rsid w:val="001755E6"/>
    <w:rsid w:val="00176881"/>
    <w:rsid w:val="0017732C"/>
    <w:rsid w:val="001773B4"/>
    <w:rsid w:val="00180BB4"/>
    <w:rsid w:val="001817DA"/>
    <w:rsid w:val="00181E8E"/>
    <w:rsid w:val="00182D8A"/>
    <w:rsid w:val="0018353D"/>
    <w:rsid w:val="00183B97"/>
    <w:rsid w:val="001841AC"/>
    <w:rsid w:val="00185753"/>
    <w:rsid w:val="00185DCA"/>
    <w:rsid w:val="00186425"/>
    <w:rsid w:val="00186426"/>
    <w:rsid w:val="001866A9"/>
    <w:rsid w:val="00186D02"/>
    <w:rsid w:val="0018700C"/>
    <w:rsid w:val="00187767"/>
    <w:rsid w:val="00187C0F"/>
    <w:rsid w:val="00191E19"/>
    <w:rsid w:val="0019294F"/>
    <w:rsid w:val="00192EBA"/>
    <w:rsid w:val="00194C87"/>
    <w:rsid w:val="0019579E"/>
    <w:rsid w:val="001A0210"/>
    <w:rsid w:val="001A0F8F"/>
    <w:rsid w:val="001A20C0"/>
    <w:rsid w:val="001A37A6"/>
    <w:rsid w:val="001A3C22"/>
    <w:rsid w:val="001A4913"/>
    <w:rsid w:val="001A503A"/>
    <w:rsid w:val="001A6E00"/>
    <w:rsid w:val="001A7AD7"/>
    <w:rsid w:val="001B0228"/>
    <w:rsid w:val="001B07E5"/>
    <w:rsid w:val="001B0DBB"/>
    <w:rsid w:val="001B26E6"/>
    <w:rsid w:val="001B2AF9"/>
    <w:rsid w:val="001B2CB4"/>
    <w:rsid w:val="001B2FC8"/>
    <w:rsid w:val="001B4380"/>
    <w:rsid w:val="001B47A9"/>
    <w:rsid w:val="001B4CDE"/>
    <w:rsid w:val="001B54EA"/>
    <w:rsid w:val="001B7617"/>
    <w:rsid w:val="001C1649"/>
    <w:rsid w:val="001C1AE1"/>
    <w:rsid w:val="001C2053"/>
    <w:rsid w:val="001C3A13"/>
    <w:rsid w:val="001C3D9B"/>
    <w:rsid w:val="001C4050"/>
    <w:rsid w:val="001C44BB"/>
    <w:rsid w:val="001C4E1C"/>
    <w:rsid w:val="001C5272"/>
    <w:rsid w:val="001C52E8"/>
    <w:rsid w:val="001C5375"/>
    <w:rsid w:val="001D1500"/>
    <w:rsid w:val="001D2BCA"/>
    <w:rsid w:val="001D33B1"/>
    <w:rsid w:val="001D64B0"/>
    <w:rsid w:val="001D7F4B"/>
    <w:rsid w:val="001E0047"/>
    <w:rsid w:val="001E0C21"/>
    <w:rsid w:val="001E1DA0"/>
    <w:rsid w:val="001E32AD"/>
    <w:rsid w:val="001E3729"/>
    <w:rsid w:val="001E43F1"/>
    <w:rsid w:val="001E510A"/>
    <w:rsid w:val="001E5398"/>
    <w:rsid w:val="001E54C0"/>
    <w:rsid w:val="001F0C36"/>
    <w:rsid w:val="001F0C7F"/>
    <w:rsid w:val="001F1F19"/>
    <w:rsid w:val="001F1FC9"/>
    <w:rsid w:val="001F2376"/>
    <w:rsid w:val="001F3814"/>
    <w:rsid w:val="001F3CC8"/>
    <w:rsid w:val="001F4288"/>
    <w:rsid w:val="001F521F"/>
    <w:rsid w:val="001F6087"/>
    <w:rsid w:val="002000C0"/>
    <w:rsid w:val="00203B11"/>
    <w:rsid w:val="002045CB"/>
    <w:rsid w:val="00206147"/>
    <w:rsid w:val="00206A81"/>
    <w:rsid w:val="00206D2E"/>
    <w:rsid w:val="0020789A"/>
    <w:rsid w:val="00210421"/>
    <w:rsid w:val="0021202A"/>
    <w:rsid w:val="00212398"/>
    <w:rsid w:val="0021240B"/>
    <w:rsid w:val="002127FE"/>
    <w:rsid w:val="0021310B"/>
    <w:rsid w:val="00214027"/>
    <w:rsid w:val="00215C92"/>
    <w:rsid w:val="00215D0C"/>
    <w:rsid w:val="002168EC"/>
    <w:rsid w:val="00217396"/>
    <w:rsid w:val="0021772D"/>
    <w:rsid w:val="00217DEC"/>
    <w:rsid w:val="00220BE3"/>
    <w:rsid w:val="0022193E"/>
    <w:rsid w:val="00221BEA"/>
    <w:rsid w:val="00222728"/>
    <w:rsid w:val="00223E8A"/>
    <w:rsid w:val="0022565D"/>
    <w:rsid w:val="00226B58"/>
    <w:rsid w:val="00226F97"/>
    <w:rsid w:val="002270D3"/>
    <w:rsid w:val="00227867"/>
    <w:rsid w:val="00230EAD"/>
    <w:rsid w:val="00232B39"/>
    <w:rsid w:val="002330FC"/>
    <w:rsid w:val="00233EF4"/>
    <w:rsid w:val="00235AAC"/>
    <w:rsid w:val="00236523"/>
    <w:rsid w:val="0023671F"/>
    <w:rsid w:val="00236E0F"/>
    <w:rsid w:val="00240C3D"/>
    <w:rsid w:val="0024199A"/>
    <w:rsid w:val="00242087"/>
    <w:rsid w:val="00242F2B"/>
    <w:rsid w:val="002434CE"/>
    <w:rsid w:val="00243FB7"/>
    <w:rsid w:val="00244EE3"/>
    <w:rsid w:val="0024585B"/>
    <w:rsid w:val="002461DA"/>
    <w:rsid w:val="00250DC6"/>
    <w:rsid w:val="00251086"/>
    <w:rsid w:val="0025133C"/>
    <w:rsid w:val="0025176E"/>
    <w:rsid w:val="002523C1"/>
    <w:rsid w:val="002529AF"/>
    <w:rsid w:val="0025373C"/>
    <w:rsid w:val="00253A4B"/>
    <w:rsid w:val="00254306"/>
    <w:rsid w:val="002546BF"/>
    <w:rsid w:val="00260964"/>
    <w:rsid w:val="0026260E"/>
    <w:rsid w:val="0026339A"/>
    <w:rsid w:val="00264238"/>
    <w:rsid w:val="00264FF7"/>
    <w:rsid w:val="00265EA4"/>
    <w:rsid w:val="00267463"/>
    <w:rsid w:val="00267B44"/>
    <w:rsid w:val="00270EAF"/>
    <w:rsid w:val="00270F1B"/>
    <w:rsid w:val="002714F5"/>
    <w:rsid w:val="002729B7"/>
    <w:rsid w:val="00272B97"/>
    <w:rsid w:val="00274DB9"/>
    <w:rsid w:val="00275045"/>
    <w:rsid w:val="002754FE"/>
    <w:rsid w:val="00276CBF"/>
    <w:rsid w:val="00276F67"/>
    <w:rsid w:val="0027765C"/>
    <w:rsid w:val="002807FE"/>
    <w:rsid w:val="00281041"/>
    <w:rsid w:val="00281E4F"/>
    <w:rsid w:val="00281F48"/>
    <w:rsid w:val="00282687"/>
    <w:rsid w:val="002831F1"/>
    <w:rsid w:val="00283D78"/>
    <w:rsid w:val="00284339"/>
    <w:rsid w:val="00284C45"/>
    <w:rsid w:val="00286201"/>
    <w:rsid w:val="002866F3"/>
    <w:rsid w:val="00286C79"/>
    <w:rsid w:val="0028730C"/>
    <w:rsid w:val="0028753B"/>
    <w:rsid w:val="002905DA"/>
    <w:rsid w:val="002908AA"/>
    <w:rsid w:val="00292928"/>
    <w:rsid w:val="0029300C"/>
    <w:rsid w:val="00297372"/>
    <w:rsid w:val="002A0104"/>
    <w:rsid w:val="002A1A5D"/>
    <w:rsid w:val="002A2D38"/>
    <w:rsid w:val="002A3EB9"/>
    <w:rsid w:val="002A44F5"/>
    <w:rsid w:val="002A45F9"/>
    <w:rsid w:val="002A5780"/>
    <w:rsid w:val="002A6FA1"/>
    <w:rsid w:val="002A7D36"/>
    <w:rsid w:val="002A7F43"/>
    <w:rsid w:val="002B1F85"/>
    <w:rsid w:val="002B2E98"/>
    <w:rsid w:val="002B32DA"/>
    <w:rsid w:val="002B470A"/>
    <w:rsid w:val="002B486D"/>
    <w:rsid w:val="002B495A"/>
    <w:rsid w:val="002B57CB"/>
    <w:rsid w:val="002B583E"/>
    <w:rsid w:val="002B5B17"/>
    <w:rsid w:val="002B5F89"/>
    <w:rsid w:val="002B62F2"/>
    <w:rsid w:val="002B6353"/>
    <w:rsid w:val="002B6F99"/>
    <w:rsid w:val="002C09F1"/>
    <w:rsid w:val="002C1933"/>
    <w:rsid w:val="002C1BA8"/>
    <w:rsid w:val="002C2AC0"/>
    <w:rsid w:val="002C35D3"/>
    <w:rsid w:val="002C5877"/>
    <w:rsid w:val="002C6066"/>
    <w:rsid w:val="002C6446"/>
    <w:rsid w:val="002C71D2"/>
    <w:rsid w:val="002C7C06"/>
    <w:rsid w:val="002D00AD"/>
    <w:rsid w:val="002D01E5"/>
    <w:rsid w:val="002D2EEC"/>
    <w:rsid w:val="002D36E0"/>
    <w:rsid w:val="002D4032"/>
    <w:rsid w:val="002D5267"/>
    <w:rsid w:val="002D6BE2"/>
    <w:rsid w:val="002D6F58"/>
    <w:rsid w:val="002D70B4"/>
    <w:rsid w:val="002D7389"/>
    <w:rsid w:val="002E02F7"/>
    <w:rsid w:val="002E1078"/>
    <w:rsid w:val="002E1F78"/>
    <w:rsid w:val="002E237A"/>
    <w:rsid w:val="002E3164"/>
    <w:rsid w:val="002E3620"/>
    <w:rsid w:val="002E3A78"/>
    <w:rsid w:val="002E3CF6"/>
    <w:rsid w:val="002E4B44"/>
    <w:rsid w:val="002E6FC6"/>
    <w:rsid w:val="002E74D4"/>
    <w:rsid w:val="002F227A"/>
    <w:rsid w:val="002F3520"/>
    <w:rsid w:val="002F383F"/>
    <w:rsid w:val="002F4F46"/>
    <w:rsid w:val="003001E2"/>
    <w:rsid w:val="00300D50"/>
    <w:rsid w:val="003026DC"/>
    <w:rsid w:val="00303B20"/>
    <w:rsid w:val="00304D17"/>
    <w:rsid w:val="003062FA"/>
    <w:rsid w:val="00306EF3"/>
    <w:rsid w:val="00311761"/>
    <w:rsid w:val="003134BA"/>
    <w:rsid w:val="003134BF"/>
    <w:rsid w:val="0031417A"/>
    <w:rsid w:val="0031429A"/>
    <w:rsid w:val="003147FB"/>
    <w:rsid w:val="00314BA0"/>
    <w:rsid w:val="00314DE5"/>
    <w:rsid w:val="003154AE"/>
    <w:rsid w:val="00317003"/>
    <w:rsid w:val="00320E0D"/>
    <w:rsid w:val="003215C4"/>
    <w:rsid w:val="00323E4B"/>
    <w:rsid w:val="00326236"/>
    <w:rsid w:val="00326E1E"/>
    <w:rsid w:val="00326FD2"/>
    <w:rsid w:val="00330946"/>
    <w:rsid w:val="00331165"/>
    <w:rsid w:val="00331A1D"/>
    <w:rsid w:val="00331B70"/>
    <w:rsid w:val="00331CEB"/>
    <w:rsid w:val="003327E5"/>
    <w:rsid w:val="00332F4C"/>
    <w:rsid w:val="00334293"/>
    <w:rsid w:val="00335979"/>
    <w:rsid w:val="00335B86"/>
    <w:rsid w:val="00335EDA"/>
    <w:rsid w:val="00336C07"/>
    <w:rsid w:val="00337DCB"/>
    <w:rsid w:val="00340C7D"/>
    <w:rsid w:val="00341F82"/>
    <w:rsid w:val="0034202E"/>
    <w:rsid w:val="003425A8"/>
    <w:rsid w:val="0034283A"/>
    <w:rsid w:val="0034342B"/>
    <w:rsid w:val="00343E0F"/>
    <w:rsid w:val="00344513"/>
    <w:rsid w:val="00345F85"/>
    <w:rsid w:val="00346367"/>
    <w:rsid w:val="003504A9"/>
    <w:rsid w:val="00350577"/>
    <w:rsid w:val="0035169C"/>
    <w:rsid w:val="003532D6"/>
    <w:rsid w:val="00354535"/>
    <w:rsid w:val="00360000"/>
    <w:rsid w:val="00360220"/>
    <w:rsid w:val="00361C07"/>
    <w:rsid w:val="003625A3"/>
    <w:rsid w:val="00362740"/>
    <w:rsid w:val="00362AAD"/>
    <w:rsid w:val="00364003"/>
    <w:rsid w:val="00364A1F"/>
    <w:rsid w:val="00364E28"/>
    <w:rsid w:val="0036518C"/>
    <w:rsid w:val="00366B5A"/>
    <w:rsid w:val="003679F8"/>
    <w:rsid w:val="00367BF0"/>
    <w:rsid w:val="00370B26"/>
    <w:rsid w:val="00370D9B"/>
    <w:rsid w:val="00371062"/>
    <w:rsid w:val="003734FD"/>
    <w:rsid w:val="003735B0"/>
    <w:rsid w:val="00373A92"/>
    <w:rsid w:val="00375487"/>
    <w:rsid w:val="0037570A"/>
    <w:rsid w:val="00376923"/>
    <w:rsid w:val="0037714E"/>
    <w:rsid w:val="00377166"/>
    <w:rsid w:val="00380095"/>
    <w:rsid w:val="00380D3E"/>
    <w:rsid w:val="0038225B"/>
    <w:rsid w:val="00382414"/>
    <w:rsid w:val="00382476"/>
    <w:rsid w:val="00382CE7"/>
    <w:rsid w:val="003830EF"/>
    <w:rsid w:val="00385DBB"/>
    <w:rsid w:val="0038718A"/>
    <w:rsid w:val="00390DEF"/>
    <w:rsid w:val="00390FE7"/>
    <w:rsid w:val="00392647"/>
    <w:rsid w:val="003935FF"/>
    <w:rsid w:val="00393DDE"/>
    <w:rsid w:val="00394653"/>
    <w:rsid w:val="00394869"/>
    <w:rsid w:val="003957CB"/>
    <w:rsid w:val="003963B1"/>
    <w:rsid w:val="003965A6"/>
    <w:rsid w:val="00396A45"/>
    <w:rsid w:val="00396B06"/>
    <w:rsid w:val="003A1000"/>
    <w:rsid w:val="003A2EC1"/>
    <w:rsid w:val="003A2FA3"/>
    <w:rsid w:val="003A38D4"/>
    <w:rsid w:val="003A3AF7"/>
    <w:rsid w:val="003A7692"/>
    <w:rsid w:val="003B1BA0"/>
    <w:rsid w:val="003B2605"/>
    <w:rsid w:val="003B3876"/>
    <w:rsid w:val="003B570E"/>
    <w:rsid w:val="003B720C"/>
    <w:rsid w:val="003C0188"/>
    <w:rsid w:val="003C1205"/>
    <w:rsid w:val="003C297C"/>
    <w:rsid w:val="003C35FD"/>
    <w:rsid w:val="003C4C29"/>
    <w:rsid w:val="003C69EF"/>
    <w:rsid w:val="003D061F"/>
    <w:rsid w:val="003D07E9"/>
    <w:rsid w:val="003D1351"/>
    <w:rsid w:val="003D1D1A"/>
    <w:rsid w:val="003D24B3"/>
    <w:rsid w:val="003D265A"/>
    <w:rsid w:val="003D344C"/>
    <w:rsid w:val="003D38BB"/>
    <w:rsid w:val="003D3D18"/>
    <w:rsid w:val="003D4EE6"/>
    <w:rsid w:val="003D6BB2"/>
    <w:rsid w:val="003D7293"/>
    <w:rsid w:val="003D7DFB"/>
    <w:rsid w:val="003E2D3A"/>
    <w:rsid w:val="003E4931"/>
    <w:rsid w:val="003E4EDC"/>
    <w:rsid w:val="003E5559"/>
    <w:rsid w:val="003E622D"/>
    <w:rsid w:val="003E7D17"/>
    <w:rsid w:val="003F2854"/>
    <w:rsid w:val="003F2DB4"/>
    <w:rsid w:val="003F3CC8"/>
    <w:rsid w:val="003F5081"/>
    <w:rsid w:val="003F677E"/>
    <w:rsid w:val="004012CD"/>
    <w:rsid w:val="00401D49"/>
    <w:rsid w:val="00402F6F"/>
    <w:rsid w:val="00403AE8"/>
    <w:rsid w:val="004049EC"/>
    <w:rsid w:val="00404AFC"/>
    <w:rsid w:val="00404F38"/>
    <w:rsid w:val="0041061D"/>
    <w:rsid w:val="00414492"/>
    <w:rsid w:val="00414953"/>
    <w:rsid w:val="00417E5B"/>
    <w:rsid w:val="0042040B"/>
    <w:rsid w:val="004210CC"/>
    <w:rsid w:val="004210D9"/>
    <w:rsid w:val="00421DB5"/>
    <w:rsid w:val="0042250E"/>
    <w:rsid w:val="004234BF"/>
    <w:rsid w:val="004248D4"/>
    <w:rsid w:val="00426CA0"/>
    <w:rsid w:val="00426E39"/>
    <w:rsid w:val="0042707E"/>
    <w:rsid w:val="00430209"/>
    <w:rsid w:val="004308CA"/>
    <w:rsid w:val="00430BFC"/>
    <w:rsid w:val="00430C4D"/>
    <w:rsid w:val="00431F3D"/>
    <w:rsid w:val="00432262"/>
    <w:rsid w:val="00432395"/>
    <w:rsid w:val="00432AE9"/>
    <w:rsid w:val="00432FA9"/>
    <w:rsid w:val="00433289"/>
    <w:rsid w:val="00433846"/>
    <w:rsid w:val="0043386E"/>
    <w:rsid w:val="00434A05"/>
    <w:rsid w:val="0043571B"/>
    <w:rsid w:val="004366EA"/>
    <w:rsid w:val="00440E12"/>
    <w:rsid w:val="004454E4"/>
    <w:rsid w:val="00445E7A"/>
    <w:rsid w:val="004464F7"/>
    <w:rsid w:val="00447C6A"/>
    <w:rsid w:val="004503E7"/>
    <w:rsid w:val="00452BB6"/>
    <w:rsid w:val="004555C0"/>
    <w:rsid w:val="0045588F"/>
    <w:rsid w:val="00455E34"/>
    <w:rsid w:val="0045676F"/>
    <w:rsid w:val="004570E3"/>
    <w:rsid w:val="004574CA"/>
    <w:rsid w:val="00457D82"/>
    <w:rsid w:val="00457E88"/>
    <w:rsid w:val="00461803"/>
    <w:rsid w:val="00461E83"/>
    <w:rsid w:val="0046241E"/>
    <w:rsid w:val="0046335B"/>
    <w:rsid w:val="00464EED"/>
    <w:rsid w:val="004653DD"/>
    <w:rsid w:val="00465C5B"/>
    <w:rsid w:val="00466D3E"/>
    <w:rsid w:val="004675B6"/>
    <w:rsid w:val="00467A55"/>
    <w:rsid w:val="00470426"/>
    <w:rsid w:val="004706DF"/>
    <w:rsid w:val="0047086E"/>
    <w:rsid w:val="00472AFB"/>
    <w:rsid w:val="00473079"/>
    <w:rsid w:val="00475150"/>
    <w:rsid w:val="0047619A"/>
    <w:rsid w:val="00477250"/>
    <w:rsid w:val="004772EA"/>
    <w:rsid w:val="00480292"/>
    <w:rsid w:val="00483FE0"/>
    <w:rsid w:val="0048494B"/>
    <w:rsid w:val="00487771"/>
    <w:rsid w:val="004921F0"/>
    <w:rsid w:val="00492243"/>
    <w:rsid w:val="00492DAC"/>
    <w:rsid w:val="00493650"/>
    <w:rsid w:val="00493AEC"/>
    <w:rsid w:val="00493B9C"/>
    <w:rsid w:val="00493F68"/>
    <w:rsid w:val="0049435E"/>
    <w:rsid w:val="00496E93"/>
    <w:rsid w:val="004A03A6"/>
    <w:rsid w:val="004A097F"/>
    <w:rsid w:val="004A0C32"/>
    <w:rsid w:val="004A0D70"/>
    <w:rsid w:val="004A454D"/>
    <w:rsid w:val="004A4FEF"/>
    <w:rsid w:val="004A589E"/>
    <w:rsid w:val="004A5C5C"/>
    <w:rsid w:val="004A62C2"/>
    <w:rsid w:val="004A7044"/>
    <w:rsid w:val="004A776F"/>
    <w:rsid w:val="004B29C9"/>
    <w:rsid w:val="004B37B8"/>
    <w:rsid w:val="004B48AC"/>
    <w:rsid w:val="004B4ACC"/>
    <w:rsid w:val="004B5D51"/>
    <w:rsid w:val="004B697E"/>
    <w:rsid w:val="004B6F2A"/>
    <w:rsid w:val="004C054F"/>
    <w:rsid w:val="004C064B"/>
    <w:rsid w:val="004C10B8"/>
    <w:rsid w:val="004C1575"/>
    <w:rsid w:val="004C19A7"/>
    <w:rsid w:val="004C21CE"/>
    <w:rsid w:val="004C270B"/>
    <w:rsid w:val="004C3EC2"/>
    <w:rsid w:val="004C40AC"/>
    <w:rsid w:val="004C4F16"/>
    <w:rsid w:val="004C5131"/>
    <w:rsid w:val="004C5799"/>
    <w:rsid w:val="004C73E3"/>
    <w:rsid w:val="004D0A0F"/>
    <w:rsid w:val="004D2860"/>
    <w:rsid w:val="004D3473"/>
    <w:rsid w:val="004D3A1C"/>
    <w:rsid w:val="004D4380"/>
    <w:rsid w:val="004D4C2D"/>
    <w:rsid w:val="004D5361"/>
    <w:rsid w:val="004D5820"/>
    <w:rsid w:val="004D5C7E"/>
    <w:rsid w:val="004D611E"/>
    <w:rsid w:val="004D6834"/>
    <w:rsid w:val="004D683D"/>
    <w:rsid w:val="004E283D"/>
    <w:rsid w:val="004E2BE9"/>
    <w:rsid w:val="004E3F9A"/>
    <w:rsid w:val="004E4239"/>
    <w:rsid w:val="004E42AF"/>
    <w:rsid w:val="004E4539"/>
    <w:rsid w:val="004E521D"/>
    <w:rsid w:val="004E5263"/>
    <w:rsid w:val="004E5368"/>
    <w:rsid w:val="004E5B10"/>
    <w:rsid w:val="004E612B"/>
    <w:rsid w:val="004E613D"/>
    <w:rsid w:val="004E71B3"/>
    <w:rsid w:val="004F11DB"/>
    <w:rsid w:val="004F1244"/>
    <w:rsid w:val="004F1FF2"/>
    <w:rsid w:val="004F2C04"/>
    <w:rsid w:val="004F3446"/>
    <w:rsid w:val="004F3B90"/>
    <w:rsid w:val="004F461C"/>
    <w:rsid w:val="004F5521"/>
    <w:rsid w:val="004F71DD"/>
    <w:rsid w:val="004F7DC6"/>
    <w:rsid w:val="005005FC"/>
    <w:rsid w:val="00505569"/>
    <w:rsid w:val="00506E5B"/>
    <w:rsid w:val="00507755"/>
    <w:rsid w:val="00507786"/>
    <w:rsid w:val="00507ABA"/>
    <w:rsid w:val="00507C1C"/>
    <w:rsid w:val="00507CD0"/>
    <w:rsid w:val="00507DC3"/>
    <w:rsid w:val="005103F6"/>
    <w:rsid w:val="005139BF"/>
    <w:rsid w:val="00516110"/>
    <w:rsid w:val="00522ED4"/>
    <w:rsid w:val="005263A1"/>
    <w:rsid w:val="00527CF0"/>
    <w:rsid w:val="00531A83"/>
    <w:rsid w:val="00531B82"/>
    <w:rsid w:val="00533CF3"/>
    <w:rsid w:val="005353D4"/>
    <w:rsid w:val="00535983"/>
    <w:rsid w:val="00535D82"/>
    <w:rsid w:val="00535EDF"/>
    <w:rsid w:val="00536F40"/>
    <w:rsid w:val="00543003"/>
    <w:rsid w:val="00543B06"/>
    <w:rsid w:val="00544435"/>
    <w:rsid w:val="005451CE"/>
    <w:rsid w:val="00545868"/>
    <w:rsid w:val="005468D1"/>
    <w:rsid w:val="00546EEB"/>
    <w:rsid w:val="005470DA"/>
    <w:rsid w:val="00547A34"/>
    <w:rsid w:val="00551228"/>
    <w:rsid w:val="00551C60"/>
    <w:rsid w:val="00552AD9"/>
    <w:rsid w:val="00555DDE"/>
    <w:rsid w:val="00557AB1"/>
    <w:rsid w:val="00560515"/>
    <w:rsid w:val="005609FA"/>
    <w:rsid w:val="0056141D"/>
    <w:rsid w:val="00562FB5"/>
    <w:rsid w:val="00563378"/>
    <w:rsid w:val="00564E3B"/>
    <w:rsid w:val="00566E65"/>
    <w:rsid w:val="00570DBF"/>
    <w:rsid w:val="00571840"/>
    <w:rsid w:val="00571CDA"/>
    <w:rsid w:val="005729A7"/>
    <w:rsid w:val="005741F9"/>
    <w:rsid w:val="005749EA"/>
    <w:rsid w:val="00574A75"/>
    <w:rsid w:val="005769EE"/>
    <w:rsid w:val="00582F7C"/>
    <w:rsid w:val="00583E4A"/>
    <w:rsid w:val="0058488B"/>
    <w:rsid w:val="005849FB"/>
    <w:rsid w:val="005861F4"/>
    <w:rsid w:val="00592AAC"/>
    <w:rsid w:val="00593F53"/>
    <w:rsid w:val="0059412D"/>
    <w:rsid w:val="00595BBC"/>
    <w:rsid w:val="005976D0"/>
    <w:rsid w:val="00597ABE"/>
    <w:rsid w:val="005A0395"/>
    <w:rsid w:val="005A0A09"/>
    <w:rsid w:val="005A0C5E"/>
    <w:rsid w:val="005A1BBD"/>
    <w:rsid w:val="005A27CE"/>
    <w:rsid w:val="005A3ACA"/>
    <w:rsid w:val="005A3B97"/>
    <w:rsid w:val="005A3F61"/>
    <w:rsid w:val="005A62F3"/>
    <w:rsid w:val="005A695C"/>
    <w:rsid w:val="005A7084"/>
    <w:rsid w:val="005A7D67"/>
    <w:rsid w:val="005B164D"/>
    <w:rsid w:val="005B1A53"/>
    <w:rsid w:val="005B36D5"/>
    <w:rsid w:val="005B4FD2"/>
    <w:rsid w:val="005B5299"/>
    <w:rsid w:val="005B7DAF"/>
    <w:rsid w:val="005C0502"/>
    <w:rsid w:val="005C1230"/>
    <w:rsid w:val="005C2760"/>
    <w:rsid w:val="005C312D"/>
    <w:rsid w:val="005C4048"/>
    <w:rsid w:val="005C6AA6"/>
    <w:rsid w:val="005C7214"/>
    <w:rsid w:val="005D02DD"/>
    <w:rsid w:val="005D3838"/>
    <w:rsid w:val="005D4F76"/>
    <w:rsid w:val="005D5518"/>
    <w:rsid w:val="005E0EDD"/>
    <w:rsid w:val="005E2080"/>
    <w:rsid w:val="005E21F4"/>
    <w:rsid w:val="005E36DF"/>
    <w:rsid w:val="005E37B9"/>
    <w:rsid w:val="005E7498"/>
    <w:rsid w:val="005E7E62"/>
    <w:rsid w:val="005F10B8"/>
    <w:rsid w:val="005F5B10"/>
    <w:rsid w:val="005F799E"/>
    <w:rsid w:val="00600395"/>
    <w:rsid w:val="0060064F"/>
    <w:rsid w:val="00605820"/>
    <w:rsid w:val="00607CEF"/>
    <w:rsid w:val="006118CB"/>
    <w:rsid w:val="00612EF5"/>
    <w:rsid w:val="0061305B"/>
    <w:rsid w:val="0061378D"/>
    <w:rsid w:val="00617669"/>
    <w:rsid w:val="00622383"/>
    <w:rsid w:val="00622BFF"/>
    <w:rsid w:val="00622D82"/>
    <w:rsid w:val="00623210"/>
    <w:rsid w:val="00625D7E"/>
    <w:rsid w:val="00627AA6"/>
    <w:rsid w:val="0063197B"/>
    <w:rsid w:val="006340E7"/>
    <w:rsid w:val="006353CD"/>
    <w:rsid w:val="00636FF7"/>
    <w:rsid w:val="00640BE1"/>
    <w:rsid w:val="006412DB"/>
    <w:rsid w:val="00645997"/>
    <w:rsid w:val="00645D87"/>
    <w:rsid w:val="00647EB7"/>
    <w:rsid w:val="006505E5"/>
    <w:rsid w:val="0065249E"/>
    <w:rsid w:val="00652C9A"/>
    <w:rsid w:val="006538B7"/>
    <w:rsid w:val="00653E57"/>
    <w:rsid w:val="00653EA9"/>
    <w:rsid w:val="00654C07"/>
    <w:rsid w:val="00654D96"/>
    <w:rsid w:val="0065553B"/>
    <w:rsid w:val="006565C0"/>
    <w:rsid w:val="0065667C"/>
    <w:rsid w:val="00657A1D"/>
    <w:rsid w:val="00660257"/>
    <w:rsid w:val="006605F5"/>
    <w:rsid w:val="00661036"/>
    <w:rsid w:val="006610A9"/>
    <w:rsid w:val="006610D1"/>
    <w:rsid w:val="00661D0F"/>
    <w:rsid w:val="00661EE5"/>
    <w:rsid w:val="00664565"/>
    <w:rsid w:val="006657E1"/>
    <w:rsid w:val="006669BF"/>
    <w:rsid w:val="00666F9B"/>
    <w:rsid w:val="0066775E"/>
    <w:rsid w:val="006725D1"/>
    <w:rsid w:val="00672F5F"/>
    <w:rsid w:val="006735C2"/>
    <w:rsid w:val="0067381A"/>
    <w:rsid w:val="00674710"/>
    <w:rsid w:val="0067482F"/>
    <w:rsid w:val="00674FFE"/>
    <w:rsid w:val="00675EB9"/>
    <w:rsid w:val="00676996"/>
    <w:rsid w:val="00676D31"/>
    <w:rsid w:val="006828D8"/>
    <w:rsid w:val="00685C35"/>
    <w:rsid w:val="0068688D"/>
    <w:rsid w:val="00686AB4"/>
    <w:rsid w:val="00692DAC"/>
    <w:rsid w:val="006943D1"/>
    <w:rsid w:val="00695FA1"/>
    <w:rsid w:val="006A011E"/>
    <w:rsid w:val="006A0202"/>
    <w:rsid w:val="006A02D8"/>
    <w:rsid w:val="006A2097"/>
    <w:rsid w:val="006A293E"/>
    <w:rsid w:val="006A2BE4"/>
    <w:rsid w:val="006A3A41"/>
    <w:rsid w:val="006A4C2C"/>
    <w:rsid w:val="006A53A9"/>
    <w:rsid w:val="006A6CD8"/>
    <w:rsid w:val="006B024F"/>
    <w:rsid w:val="006B08DE"/>
    <w:rsid w:val="006B1C43"/>
    <w:rsid w:val="006B2215"/>
    <w:rsid w:val="006B4AE5"/>
    <w:rsid w:val="006B5088"/>
    <w:rsid w:val="006B54C7"/>
    <w:rsid w:val="006B5B94"/>
    <w:rsid w:val="006B6749"/>
    <w:rsid w:val="006B7169"/>
    <w:rsid w:val="006B7BA7"/>
    <w:rsid w:val="006C1935"/>
    <w:rsid w:val="006C1F4D"/>
    <w:rsid w:val="006C1F68"/>
    <w:rsid w:val="006C2D43"/>
    <w:rsid w:val="006C61B5"/>
    <w:rsid w:val="006C6473"/>
    <w:rsid w:val="006C7706"/>
    <w:rsid w:val="006D071F"/>
    <w:rsid w:val="006D0B66"/>
    <w:rsid w:val="006D0D4E"/>
    <w:rsid w:val="006D1148"/>
    <w:rsid w:val="006D1616"/>
    <w:rsid w:val="006D3559"/>
    <w:rsid w:val="006D58D1"/>
    <w:rsid w:val="006D7A7C"/>
    <w:rsid w:val="006E01C6"/>
    <w:rsid w:val="006E1BCA"/>
    <w:rsid w:val="006E367D"/>
    <w:rsid w:val="006E3947"/>
    <w:rsid w:val="006E3C76"/>
    <w:rsid w:val="006E3D6E"/>
    <w:rsid w:val="006E3E66"/>
    <w:rsid w:val="006E5353"/>
    <w:rsid w:val="006E676F"/>
    <w:rsid w:val="006E762E"/>
    <w:rsid w:val="006F05EF"/>
    <w:rsid w:val="006F0899"/>
    <w:rsid w:val="006F1CE7"/>
    <w:rsid w:val="006F3577"/>
    <w:rsid w:val="006F55C0"/>
    <w:rsid w:val="006F5A95"/>
    <w:rsid w:val="006F5D6C"/>
    <w:rsid w:val="006F6B84"/>
    <w:rsid w:val="006F7474"/>
    <w:rsid w:val="006F7C33"/>
    <w:rsid w:val="006F7E0E"/>
    <w:rsid w:val="006F7F0A"/>
    <w:rsid w:val="007000F6"/>
    <w:rsid w:val="007005EB"/>
    <w:rsid w:val="00701627"/>
    <w:rsid w:val="007037FB"/>
    <w:rsid w:val="0070437B"/>
    <w:rsid w:val="007058E5"/>
    <w:rsid w:val="007063B4"/>
    <w:rsid w:val="00707BC0"/>
    <w:rsid w:val="007102FE"/>
    <w:rsid w:val="00711275"/>
    <w:rsid w:val="00711C61"/>
    <w:rsid w:val="007146CC"/>
    <w:rsid w:val="007169EE"/>
    <w:rsid w:val="00717BD3"/>
    <w:rsid w:val="00717E80"/>
    <w:rsid w:val="00721DBA"/>
    <w:rsid w:val="00722FFD"/>
    <w:rsid w:val="00723D87"/>
    <w:rsid w:val="00723EF9"/>
    <w:rsid w:val="0072414F"/>
    <w:rsid w:val="0072437E"/>
    <w:rsid w:val="007251C1"/>
    <w:rsid w:val="007334E2"/>
    <w:rsid w:val="007357AD"/>
    <w:rsid w:val="00736585"/>
    <w:rsid w:val="00736D2C"/>
    <w:rsid w:val="007376EA"/>
    <w:rsid w:val="007401AF"/>
    <w:rsid w:val="0074131B"/>
    <w:rsid w:val="0074141A"/>
    <w:rsid w:val="00741E8F"/>
    <w:rsid w:val="00742006"/>
    <w:rsid w:val="00742337"/>
    <w:rsid w:val="00743198"/>
    <w:rsid w:val="0074457F"/>
    <w:rsid w:val="00746E58"/>
    <w:rsid w:val="00750260"/>
    <w:rsid w:val="007518B3"/>
    <w:rsid w:val="007521FD"/>
    <w:rsid w:val="00752563"/>
    <w:rsid w:val="00752686"/>
    <w:rsid w:val="007536F9"/>
    <w:rsid w:val="00753A56"/>
    <w:rsid w:val="007543F7"/>
    <w:rsid w:val="00754C4A"/>
    <w:rsid w:val="00754EC4"/>
    <w:rsid w:val="00755114"/>
    <w:rsid w:val="00756678"/>
    <w:rsid w:val="00756DD6"/>
    <w:rsid w:val="00762796"/>
    <w:rsid w:val="00762FE6"/>
    <w:rsid w:val="0076340E"/>
    <w:rsid w:val="0076348E"/>
    <w:rsid w:val="007642D3"/>
    <w:rsid w:val="007646BC"/>
    <w:rsid w:val="00764D29"/>
    <w:rsid w:val="00765BC8"/>
    <w:rsid w:val="0076636C"/>
    <w:rsid w:val="0076657A"/>
    <w:rsid w:val="00766756"/>
    <w:rsid w:val="00770420"/>
    <w:rsid w:val="00770AD7"/>
    <w:rsid w:val="00771E7B"/>
    <w:rsid w:val="00771EF1"/>
    <w:rsid w:val="007720AA"/>
    <w:rsid w:val="007731E6"/>
    <w:rsid w:val="007733AD"/>
    <w:rsid w:val="00773B2D"/>
    <w:rsid w:val="007751F1"/>
    <w:rsid w:val="00775EDB"/>
    <w:rsid w:val="0077661B"/>
    <w:rsid w:val="00780E2C"/>
    <w:rsid w:val="00781C2A"/>
    <w:rsid w:val="00781CD5"/>
    <w:rsid w:val="00781E88"/>
    <w:rsid w:val="00782155"/>
    <w:rsid w:val="00783670"/>
    <w:rsid w:val="00783FD4"/>
    <w:rsid w:val="00784B13"/>
    <w:rsid w:val="00785AAC"/>
    <w:rsid w:val="00785D14"/>
    <w:rsid w:val="007869F0"/>
    <w:rsid w:val="007874D6"/>
    <w:rsid w:val="00790148"/>
    <w:rsid w:val="00790EF0"/>
    <w:rsid w:val="00792F59"/>
    <w:rsid w:val="00793445"/>
    <w:rsid w:val="007957B9"/>
    <w:rsid w:val="00795988"/>
    <w:rsid w:val="00795FB9"/>
    <w:rsid w:val="007962FF"/>
    <w:rsid w:val="00796F74"/>
    <w:rsid w:val="00797068"/>
    <w:rsid w:val="007A08CD"/>
    <w:rsid w:val="007A11BA"/>
    <w:rsid w:val="007A172C"/>
    <w:rsid w:val="007A18A4"/>
    <w:rsid w:val="007A2726"/>
    <w:rsid w:val="007A2D80"/>
    <w:rsid w:val="007A34B1"/>
    <w:rsid w:val="007A4643"/>
    <w:rsid w:val="007A4AF6"/>
    <w:rsid w:val="007A559C"/>
    <w:rsid w:val="007A59F9"/>
    <w:rsid w:val="007A63A9"/>
    <w:rsid w:val="007A763D"/>
    <w:rsid w:val="007A7DF1"/>
    <w:rsid w:val="007B05C3"/>
    <w:rsid w:val="007B0778"/>
    <w:rsid w:val="007B0916"/>
    <w:rsid w:val="007B09ED"/>
    <w:rsid w:val="007B1228"/>
    <w:rsid w:val="007B19B4"/>
    <w:rsid w:val="007B2037"/>
    <w:rsid w:val="007B288A"/>
    <w:rsid w:val="007B3425"/>
    <w:rsid w:val="007B3576"/>
    <w:rsid w:val="007B4C2D"/>
    <w:rsid w:val="007B5F50"/>
    <w:rsid w:val="007B7928"/>
    <w:rsid w:val="007B7F42"/>
    <w:rsid w:val="007C0111"/>
    <w:rsid w:val="007C1CA3"/>
    <w:rsid w:val="007C202B"/>
    <w:rsid w:val="007C27C1"/>
    <w:rsid w:val="007C2B2D"/>
    <w:rsid w:val="007C2DBB"/>
    <w:rsid w:val="007C2DE4"/>
    <w:rsid w:val="007C3CB5"/>
    <w:rsid w:val="007C5A51"/>
    <w:rsid w:val="007C63EE"/>
    <w:rsid w:val="007D1F8B"/>
    <w:rsid w:val="007D2435"/>
    <w:rsid w:val="007D2C17"/>
    <w:rsid w:val="007D2F42"/>
    <w:rsid w:val="007D2FFB"/>
    <w:rsid w:val="007D3795"/>
    <w:rsid w:val="007D3DEC"/>
    <w:rsid w:val="007D521E"/>
    <w:rsid w:val="007D6318"/>
    <w:rsid w:val="007D7421"/>
    <w:rsid w:val="007D78FC"/>
    <w:rsid w:val="007D7FE4"/>
    <w:rsid w:val="007E0082"/>
    <w:rsid w:val="007E05C8"/>
    <w:rsid w:val="007E12D2"/>
    <w:rsid w:val="007E2188"/>
    <w:rsid w:val="007E36DC"/>
    <w:rsid w:val="007E3E6A"/>
    <w:rsid w:val="007E4124"/>
    <w:rsid w:val="007E4184"/>
    <w:rsid w:val="007E4634"/>
    <w:rsid w:val="007E4FED"/>
    <w:rsid w:val="007E6215"/>
    <w:rsid w:val="007E7420"/>
    <w:rsid w:val="007E7C23"/>
    <w:rsid w:val="007F1BBA"/>
    <w:rsid w:val="007F1D82"/>
    <w:rsid w:val="007F2DCC"/>
    <w:rsid w:val="007F3BC2"/>
    <w:rsid w:val="007F4C4B"/>
    <w:rsid w:val="007F58BC"/>
    <w:rsid w:val="007F6C1B"/>
    <w:rsid w:val="0080246D"/>
    <w:rsid w:val="008033D4"/>
    <w:rsid w:val="008041EB"/>
    <w:rsid w:val="008042D7"/>
    <w:rsid w:val="0081099A"/>
    <w:rsid w:val="00813283"/>
    <w:rsid w:val="00813C40"/>
    <w:rsid w:val="008142AD"/>
    <w:rsid w:val="00815DBE"/>
    <w:rsid w:val="00815FC0"/>
    <w:rsid w:val="0082080A"/>
    <w:rsid w:val="00822997"/>
    <w:rsid w:val="00824276"/>
    <w:rsid w:val="00825F27"/>
    <w:rsid w:val="008265A8"/>
    <w:rsid w:val="00827511"/>
    <w:rsid w:val="008279CC"/>
    <w:rsid w:val="00830775"/>
    <w:rsid w:val="00833654"/>
    <w:rsid w:val="0083398D"/>
    <w:rsid w:val="00834252"/>
    <w:rsid w:val="00834310"/>
    <w:rsid w:val="00834450"/>
    <w:rsid w:val="00834B93"/>
    <w:rsid w:val="00836423"/>
    <w:rsid w:val="008369E9"/>
    <w:rsid w:val="008370D6"/>
    <w:rsid w:val="008372D0"/>
    <w:rsid w:val="00837694"/>
    <w:rsid w:val="0084200A"/>
    <w:rsid w:val="00842625"/>
    <w:rsid w:val="00843F9F"/>
    <w:rsid w:val="008462B6"/>
    <w:rsid w:val="008462FE"/>
    <w:rsid w:val="00846D60"/>
    <w:rsid w:val="00847D34"/>
    <w:rsid w:val="00852A59"/>
    <w:rsid w:val="00854841"/>
    <w:rsid w:val="008548C2"/>
    <w:rsid w:val="0085561C"/>
    <w:rsid w:val="00856557"/>
    <w:rsid w:val="00857EC9"/>
    <w:rsid w:val="0086005A"/>
    <w:rsid w:val="00860C78"/>
    <w:rsid w:val="0086182F"/>
    <w:rsid w:val="0086404F"/>
    <w:rsid w:val="00865200"/>
    <w:rsid w:val="00865DCC"/>
    <w:rsid w:val="00866F88"/>
    <w:rsid w:val="00867081"/>
    <w:rsid w:val="00867E5D"/>
    <w:rsid w:val="00867FCD"/>
    <w:rsid w:val="0087048E"/>
    <w:rsid w:val="00870FAD"/>
    <w:rsid w:val="0087210E"/>
    <w:rsid w:val="008734B7"/>
    <w:rsid w:val="00874DB4"/>
    <w:rsid w:val="00874F3C"/>
    <w:rsid w:val="00877893"/>
    <w:rsid w:val="00881C9B"/>
    <w:rsid w:val="00882A02"/>
    <w:rsid w:val="00883F24"/>
    <w:rsid w:val="00884239"/>
    <w:rsid w:val="00884387"/>
    <w:rsid w:val="00884DB7"/>
    <w:rsid w:val="00885008"/>
    <w:rsid w:val="00885485"/>
    <w:rsid w:val="00887671"/>
    <w:rsid w:val="00891B1C"/>
    <w:rsid w:val="00892835"/>
    <w:rsid w:val="00893041"/>
    <w:rsid w:val="00893AA8"/>
    <w:rsid w:val="00893CAC"/>
    <w:rsid w:val="00894A4B"/>
    <w:rsid w:val="00895322"/>
    <w:rsid w:val="0089651E"/>
    <w:rsid w:val="00897DB0"/>
    <w:rsid w:val="008A07DE"/>
    <w:rsid w:val="008A1B9D"/>
    <w:rsid w:val="008A3CAF"/>
    <w:rsid w:val="008A4DB2"/>
    <w:rsid w:val="008A6163"/>
    <w:rsid w:val="008A62B5"/>
    <w:rsid w:val="008A6859"/>
    <w:rsid w:val="008B1346"/>
    <w:rsid w:val="008B1C70"/>
    <w:rsid w:val="008B2ABE"/>
    <w:rsid w:val="008B2DFB"/>
    <w:rsid w:val="008B3083"/>
    <w:rsid w:val="008B361F"/>
    <w:rsid w:val="008B5E91"/>
    <w:rsid w:val="008B6518"/>
    <w:rsid w:val="008B6F39"/>
    <w:rsid w:val="008B75C2"/>
    <w:rsid w:val="008C1919"/>
    <w:rsid w:val="008C2056"/>
    <w:rsid w:val="008C38EB"/>
    <w:rsid w:val="008C4A56"/>
    <w:rsid w:val="008C4DD2"/>
    <w:rsid w:val="008C60B6"/>
    <w:rsid w:val="008C6A78"/>
    <w:rsid w:val="008C7413"/>
    <w:rsid w:val="008C7CB6"/>
    <w:rsid w:val="008D080C"/>
    <w:rsid w:val="008D132C"/>
    <w:rsid w:val="008D457F"/>
    <w:rsid w:val="008D5457"/>
    <w:rsid w:val="008D5884"/>
    <w:rsid w:val="008D63A0"/>
    <w:rsid w:val="008E00A9"/>
    <w:rsid w:val="008E02E6"/>
    <w:rsid w:val="008E048C"/>
    <w:rsid w:val="008E273F"/>
    <w:rsid w:val="008E3264"/>
    <w:rsid w:val="008E4414"/>
    <w:rsid w:val="008E45AC"/>
    <w:rsid w:val="008E6B5A"/>
    <w:rsid w:val="008E6FA2"/>
    <w:rsid w:val="008F0532"/>
    <w:rsid w:val="008F08CA"/>
    <w:rsid w:val="008F0B7E"/>
    <w:rsid w:val="008F239E"/>
    <w:rsid w:val="008F2FD9"/>
    <w:rsid w:val="008F63EE"/>
    <w:rsid w:val="008F6405"/>
    <w:rsid w:val="008F6732"/>
    <w:rsid w:val="008F7574"/>
    <w:rsid w:val="008F7CA3"/>
    <w:rsid w:val="00900878"/>
    <w:rsid w:val="00900CA5"/>
    <w:rsid w:val="00900CAA"/>
    <w:rsid w:val="00901D6C"/>
    <w:rsid w:val="009028AA"/>
    <w:rsid w:val="00902FDF"/>
    <w:rsid w:val="0090420E"/>
    <w:rsid w:val="00907242"/>
    <w:rsid w:val="0091152F"/>
    <w:rsid w:val="00912080"/>
    <w:rsid w:val="009135FE"/>
    <w:rsid w:val="00913798"/>
    <w:rsid w:val="00913A20"/>
    <w:rsid w:val="0091497C"/>
    <w:rsid w:val="00915232"/>
    <w:rsid w:val="00916B61"/>
    <w:rsid w:val="00916F97"/>
    <w:rsid w:val="00923744"/>
    <w:rsid w:val="00923951"/>
    <w:rsid w:val="00924081"/>
    <w:rsid w:val="00924FA2"/>
    <w:rsid w:val="0092583A"/>
    <w:rsid w:val="009269F5"/>
    <w:rsid w:val="00926E36"/>
    <w:rsid w:val="009304BD"/>
    <w:rsid w:val="00930E4A"/>
    <w:rsid w:val="0093205B"/>
    <w:rsid w:val="00936B1B"/>
    <w:rsid w:val="00937F44"/>
    <w:rsid w:val="009435F8"/>
    <w:rsid w:val="00943DC8"/>
    <w:rsid w:val="009446A7"/>
    <w:rsid w:val="00946385"/>
    <w:rsid w:val="00947EB7"/>
    <w:rsid w:val="00950E28"/>
    <w:rsid w:val="00951C6A"/>
    <w:rsid w:val="00953532"/>
    <w:rsid w:val="0095439F"/>
    <w:rsid w:val="0095541B"/>
    <w:rsid w:val="009557FF"/>
    <w:rsid w:val="009558F6"/>
    <w:rsid w:val="00955C2C"/>
    <w:rsid w:val="00956221"/>
    <w:rsid w:val="009567CC"/>
    <w:rsid w:val="00957044"/>
    <w:rsid w:val="009574AA"/>
    <w:rsid w:val="00957711"/>
    <w:rsid w:val="0096018A"/>
    <w:rsid w:val="00960A71"/>
    <w:rsid w:val="00961F57"/>
    <w:rsid w:val="009624F8"/>
    <w:rsid w:val="00962E67"/>
    <w:rsid w:val="00963196"/>
    <w:rsid w:val="00965202"/>
    <w:rsid w:val="009659EA"/>
    <w:rsid w:val="00965D62"/>
    <w:rsid w:val="009663CF"/>
    <w:rsid w:val="0096796B"/>
    <w:rsid w:val="0097141C"/>
    <w:rsid w:val="00972589"/>
    <w:rsid w:val="00973D63"/>
    <w:rsid w:val="00975131"/>
    <w:rsid w:val="00975F9B"/>
    <w:rsid w:val="009815AE"/>
    <w:rsid w:val="009815E0"/>
    <w:rsid w:val="00981676"/>
    <w:rsid w:val="0098177E"/>
    <w:rsid w:val="009821D8"/>
    <w:rsid w:val="009825B3"/>
    <w:rsid w:val="00982DCE"/>
    <w:rsid w:val="009831C4"/>
    <w:rsid w:val="00990AA6"/>
    <w:rsid w:val="009916E0"/>
    <w:rsid w:val="00991754"/>
    <w:rsid w:val="00991DB1"/>
    <w:rsid w:val="00992133"/>
    <w:rsid w:val="009935C2"/>
    <w:rsid w:val="0099467C"/>
    <w:rsid w:val="00994C6A"/>
    <w:rsid w:val="00995235"/>
    <w:rsid w:val="00995A99"/>
    <w:rsid w:val="009967E4"/>
    <w:rsid w:val="00997499"/>
    <w:rsid w:val="00997614"/>
    <w:rsid w:val="00997BC5"/>
    <w:rsid w:val="009A0036"/>
    <w:rsid w:val="009A194A"/>
    <w:rsid w:val="009A1CA8"/>
    <w:rsid w:val="009A2256"/>
    <w:rsid w:val="009A2A9D"/>
    <w:rsid w:val="009A2C65"/>
    <w:rsid w:val="009A329B"/>
    <w:rsid w:val="009A4575"/>
    <w:rsid w:val="009A7EEF"/>
    <w:rsid w:val="009B0102"/>
    <w:rsid w:val="009B01B4"/>
    <w:rsid w:val="009B06D5"/>
    <w:rsid w:val="009B1FC5"/>
    <w:rsid w:val="009B220F"/>
    <w:rsid w:val="009B30CF"/>
    <w:rsid w:val="009B3B62"/>
    <w:rsid w:val="009B488B"/>
    <w:rsid w:val="009B575A"/>
    <w:rsid w:val="009B7F08"/>
    <w:rsid w:val="009C0688"/>
    <w:rsid w:val="009C24EE"/>
    <w:rsid w:val="009C2BDA"/>
    <w:rsid w:val="009C30B2"/>
    <w:rsid w:val="009C3EBD"/>
    <w:rsid w:val="009C4760"/>
    <w:rsid w:val="009C5C8C"/>
    <w:rsid w:val="009C5D35"/>
    <w:rsid w:val="009C62F4"/>
    <w:rsid w:val="009C6D13"/>
    <w:rsid w:val="009C7BD0"/>
    <w:rsid w:val="009D07DC"/>
    <w:rsid w:val="009D25E1"/>
    <w:rsid w:val="009D2AC6"/>
    <w:rsid w:val="009D30E4"/>
    <w:rsid w:val="009D3821"/>
    <w:rsid w:val="009D3845"/>
    <w:rsid w:val="009D5FD1"/>
    <w:rsid w:val="009D78F8"/>
    <w:rsid w:val="009D7CE5"/>
    <w:rsid w:val="009E2E52"/>
    <w:rsid w:val="009E36A4"/>
    <w:rsid w:val="009E3D95"/>
    <w:rsid w:val="009E5B50"/>
    <w:rsid w:val="009E6E3B"/>
    <w:rsid w:val="009E732D"/>
    <w:rsid w:val="009E756A"/>
    <w:rsid w:val="009F0140"/>
    <w:rsid w:val="009F05D2"/>
    <w:rsid w:val="009F0837"/>
    <w:rsid w:val="009F0874"/>
    <w:rsid w:val="009F3F92"/>
    <w:rsid w:val="009F4BE5"/>
    <w:rsid w:val="009F5A17"/>
    <w:rsid w:val="00A01FBD"/>
    <w:rsid w:val="00A021C1"/>
    <w:rsid w:val="00A02FAD"/>
    <w:rsid w:val="00A02FD2"/>
    <w:rsid w:val="00A035A9"/>
    <w:rsid w:val="00A0546B"/>
    <w:rsid w:val="00A05B7B"/>
    <w:rsid w:val="00A071FA"/>
    <w:rsid w:val="00A07DEA"/>
    <w:rsid w:val="00A103CB"/>
    <w:rsid w:val="00A103E3"/>
    <w:rsid w:val="00A10987"/>
    <w:rsid w:val="00A1199C"/>
    <w:rsid w:val="00A120EA"/>
    <w:rsid w:val="00A13714"/>
    <w:rsid w:val="00A156DB"/>
    <w:rsid w:val="00A1778F"/>
    <w:rsid w:val="00A2057A"/>
    <w:rsid w:val="00A2086A"/>
    <w:rsid w:val="00A21827"/>
    <w:rsid w:val="00A21BDE"/>
    <w:rsid w:val="00A229FE"/>
    <w:rsid w:val="00A24E97"/>
    <w:rsid w:val="00A25440"/>
    <w:rsid w:val="00A25C81"/>
    <w:rsid w:val="00A26217"/>
    <w:rsid w:val="00A26532"/>
    <w:rsid w:val="00A26835"/>
    <w:rsid w:val="00A27F41"/>
    <w:rsid w:val="00A31315"/>
    <w:rsid w:val="00A3265D"/>
    <w:rsid w:val="00A34168"/>
    <w:rsid w:val="00A3436E"/>
    <w:rsid w:val="00A378C3"/>
    <w:rsid w:val="00A37CF9"/>
    <w:rsid w:val="00A404AB"/>
    <w:rsid w:val="00A4055F"/>
    <w:rsid w:val="00A43C81"/>
    <w:rsid w:val="00A472DC"/>
    <w:rsid w:val="00A50AA2"/>
    <w:rsid w:val="00A50CEA"/>
    <w:rsid w:val="00A511D8"/>
    <w:rsid w:val="00A52F17"/>
    <w:rsid w:val="00A53698"/>
    <w:rsid w:val="00A5475B"/>
    <w:rsid w:val="00A54C31"/>
    <w:rsid w:val="00A55BFA"/>
    <w:rsid w:val="00A56D01"/>
    <w:rsid w:val="00A57189"/>
    <w:rsid w:val="00A6050B"/>
    <w:rsid w:val="00A613EA"/>
    <w:rsid w:val="00A61C7E"/>
    <w:rsid w:val="00A62A26"/>
    <w:rsid w:val="00A634E4"/>
    <w:rsid w:val="00A641A0"/>
    <w:rsid w:val="00A65085"/>
    <w:rsid w:val="00A66B61"/>
    <w:rsid w:val="00A66ECF"/>
    <w:rsid w:val="00A67A0A"/>
    <w:rsid w:val="00A700AC"/>
    <w:rsid w:val="00A706FE"/>
    <w:rsid w:val="00A7198E"/>
    <w:rsid w:val="00A72436"/>
    <w:rsid w:val="00A741C8"/>
    <w:rsid w:val="00A742BB"/>
    <w:rsid w:val="00A7464E"/>
    <w:rsid w:val="00A75DE7"/>
    <w:rsid w:val="00A76B85"/>
    <w:rsid w:val="00A7704C"/>
    <w:rsid w:val="00A8007F"/>
    <w:rsid w:val="00A808CE"/>
    <w:rsid w:val="00A816EB"/>
    <w:rsid w:val="00A83596"/>
    <w:rsid w:val="00A83F29"/>
    <w:rsid w:val="00A84F24"/>
    <w:rsid w:val="00A85D45"/>
    <w:rsid w:val="00A861CF"/>
    <w:rsid w:val="00A868F7"/>
    <w:rsid w:val="00A87248"/>
    <w:rsid w:val="00A87A7D"/>
    <w:rsid w:val="00A90150"/>
    <w:rsid w:val="00A91038"/>
    <w:rsid w:val="00A91836"/>
    <w:rsid w:val="00A9183C"/>
    <w:rsid w:val="00A93A49"/>
    <w:rsid w:val="00A93C1D"/>
    <w:rsid w:val="00A93C2F"/>
    <w:rsid w:val="00A9446C"/>
    <w:rsid w:val="00A9475E"/>
    <w:rsid w:val="00A94951"/>
    <w:rsid w:val="00A94D1C"/>
    <w:rsid w:val="00A951E5"/>
    <w:rsid w:val="00A95674"/>
    <w:rsid w:val="00A958B4"/>
    <w:rsid w:val="00A96764"/>
    <w:rsid w:val="00A9721B"/>
    <w:rsid w:val="00A974FE"/>
    <w:rsid w:val="00A97AA1"/>
    <w:rsid w:val="00AA3247"/>
    <w:rsid w:val="00AA452B"/>
    <w:rsid w:val="00AA4760"/>
    <w:rsid w:val="00AA4B41"/>
    <w:rsid w:val="00AA5269"/>
    <w:rsid w:val="00AA567B"/>
    <w:rsid w:val="00AA5B3D"/>
    <w:rsid w:val="00AA66B6"/>
    <w:rsid w:val="00AB09AB"/>
    <w:rsid w:val="00AB1AB5"/>
    <w:rsid w:val="00AB3FA4"/>
    <w:rsid w:val="00AB5B9A"/>
    <w:rsid w:val="00AB5ED3"/>
    <w:rsid w:val="00AB6385"/>
    <w:rsid w:val="00AB7590"/>
    <w:rsid w:val="00AB7D61"/>
    <w:rsid w:val="00AC02F7"/>
    <w:rsid w:val="00AC2119"/>
    <w:rsid w:val="00AC2232"/>
    <w:rsid w:val="00AC3115"/>
    <w:rsid w:val="00AC3AA1"/>
    <w:rsid w:val="00AC499F"/>
    <w:rsid w:val="00AC58F1"/>
    <w:rsid w:val="00AC5C38"/>
    <w:rsid w:val="00AC724A"/>
    <w:rsid w:val="00AD0645"/>
    <w:rsid w:val="00AD3BCC"/>
    <w:rsid w:val="00AD596F"/>
    <w:rsid w:val="00AD610B"/>
    <w:rsid w:val="00AD61A9"/>
    <w:rsid w:val="00AD6798"/>
    <w:rsid w:val="00AD684D"/>
    <w:rsid w:val="00AD6FCB"/>
    <w:rsid w:val="00AD7255"/>
    <w:rsid w:val="00AD7A6D"/>
    <w:rsid w:val="00AE223B"/>
    <w:rsid w:val="00AE23AF"/>
    <w:rsid w:val="00AE248D"/>
    <w:rsid w:val="00AE3B0B"/>
    <w:rsid w:val="00AE55EF"/>
    <w:rsid w:val="00AE6E4C"/>
    <w:rsid w:val="00AF06B7"/>
    <w:rsid w:val="00AF3CCD"/>
    <w:rsid w:val="00AF5321"/>
    <w:rsid w:val="00AF5867"/>
    <w:rsid w:val="00AF68AD"/>
    <w:rsid w:val="00AF6D87"/>
    <w:rsid w:val="00AF7439"/>
    <w:rsid w:val="00AF7A01"/>
    <w:rsid w:val="00B01E3D"/>
    <w:rsid w:val="00B03C06"/>
    <w:rsid w:val="00B03FD4"/>
    <w:rsid w:val="00B044FA"/>
    <w:rsid w:val="00B04F10"/>
    <w:rsid w:val="00B05A6B"/>
    <w:rsid w:val="00B102BA"/>
    <w:rsid w:val="00B11961"/>
    <w:rsid w:val="00B123C6"/>
    <w:rsid w:val="00B12BA9"/>
    <w:rsid w:val="00B1311A"/>
    <w:rsid w:val="00B13213"/>
    <w:rsid w:val="00B14301"/>
    <w:rsid w:val="00B159EB"/>
    <w:rsid w:val="00B15E39"/>
    <w:rsid w:val="00B16066"/>
    <w:rsid w:val="00B17646"/>
    <w:rsid w:val="00B178B8"/>
    <w:rsid w:val="00B20A36"/>
    <w:rsid w:val="00B20DE9"/>
    <w:rsid w:val="00B22350"/>
    <w:rsid w:val="00B22725"/>
    <w:rsid w:val="00B24227"/>
    <w:rsid w:val="00B24994"/>
    <w:rsid w:val="00B2564A"/>
    <w:rsid w:val="00B27B85"/>
    <w:rsid w:val="00B27CBA"/>
    <w:rsid w:val="00B3122B"/>
    <w:rsid w:val="00B31D63"/>
    <w:rsid w:val="00B32EBE"/>
    <w:rsid w:val="00B33946"/>
    <w:rsid w:val="00B33B4B"/>
    <w:rsid w:val="00B34106"/>
    <w:rsid w:val="00B35A9F"/>
    <w:rsid w:val="00B36E1D"/>
    <w:rsid w:val="00B372C9"/>
    <w:rsid w:val="00B42227"/>
    <w:rsid w:val="00B4246A"/>
    <w:rsid w:val="00B425A3"/>
    <w:rsid w:val="00B44172"/>
    <w:rsid w:val="00B458E1"/>
    <w:rsid w:val="00B47854"/>
    <w:rsid w:val="00B478DC"/>
    <w:rsid w:val="00B50D0F"/>
    <w:rsid w:val="00B517BC"/>
    <w:rsid w:val="00B51982"/>
    <w:rsid w:val="00B5284F"/>
    <w:rsid w:val="00B55E1A"/>
    <w:rsid w:val="00B576F9"/>
    <w:rsid w:val="00B602A4"/>
    <w:rsid w:val="00B60A39"/>
    <w:rsid w:val="00B61D42"/>
    <w:rsid w:val="00B62084"/>
    <w:rsid w:val="00B62170"/>
    <w:rsid w:val="00B626CF"/>
    <w:rsid w:val="00B62754"/>
    <w:rsid w:val="00B63C05"/>
    <w:rsid w:val="00B63DF1"/>
    <w:rsid w:val="00B65833"/>
    <w:rsid w:val="00B658C4"/>
    <w:rsid w:val="00B661EC"/>
    <w:rsid w:val="00B67C7A"/>
    <w:rsid w:val="00B71AAD"/>
    <w:rsid w:val="00B71FA7"/>
    <w:rsid w:val="00B72A55"/>
    <w:rsid w:val="00B74336"/>
    <w:rsid w:val="00B74E95"/>
    <w:rsid w:val="00B75554"/>
    <w:rsid w:val="00B75B37"/>
    <w:rsid w:val="00B76139"/>
    <w:rsid w:val="00B76B48"/>
    <w:rsid w:val="00B76B6C"/>
    <w:rsid w:val="00B82371"/>
    <w:rsid w:val="00B82379"/>
    <w:rsid w:val="00B82485"/>
    <w:rsid w:val="00B83269"/>
    <w:rsid w:val="00B83B99"/>
    <w:rsid w:val="00B83BBF"/>
    <w:rsid w:val="00B83D67"/>
    <w:rsid w:val="00B84A89"/>
    <w:rsid w:val="00B84D29"/>
    <w:rsid w:val="00B85B51"/>
    <w:rsid w:val="00B865F6"/>
    <w:rsid w:val="00B86941"/>
    <w:rsid w:val="00B87225"/>
    <w:rsid w:val="00B873E3"/>
    <w:rsid w:val="00B87C6E"/>
    <w:rsid w:val="00B90629"/>
    <w:rsid w:val="00B916DB"/>
    <w:rsid w:val="00B92008"/>
    <w:rsid w:val="00B92614"/>
    <w:rsid w:val="00B93F39"/>
    <w:rsid w:val="00B942F4"/>
    <w:rsid w:val="00B94F9B"/>
    <w:rsid w:val="00B96588"/>
    <w:rsid w:val="00B967FF"/>
    <w:rsid w:val="00BA1200"/>
    <w:rsid w:val="00BA3C82"/>
    <w:rsid w:val="00BA45CD"/>
    <w:rsid w:val="00BA4D3C"/>
    <w:rsid w:val="00BA5E38"/>
    <w:rsid w:val="00BB02B6"/>
    <w:rsid w:val="00BB0713"/>
    <w:rsid w:val="00BB2563"/>
    <w:rsid w:val="00BB2DE9"/>
    <w:rsid w:val="00BB3212"/>
    <w:rsid w:val="00BB341E"/>
    <w:rsid w:val="00BB3642"/>
    <w:rsid w:val="00BB3656"/>
    <w:rsid w:val="00BB4E8A"/>
    <w:rsid w:val="00BB5CC4"/>
    <w:rsid w:val="00BB7825"/>
    <w:rsid w:val="00BB7C85"/>
    <w:rsid w:val="00BC03B0"/>
    <w:rsid w:val="00BC0779"/>
    <w:rsid w:val="00BC0BA6"/>
    <w:rsid w:val="00BC0DF6"/>
    <w:rsid w:val="00BC0FA0"/>
    <w:rsid w:val="00BC2B61"/>
    <w:rsid w:val="00BC388E"/>
    <w:rsid w:val="00BC42DA"/>
    <w:rsid w:val="00BC4DB1"/>
    <w:rsid w:val="00BC6FBB"/>
    <w:rsid w:val="00BC742E"/>
    <w:rsid w:val="00BC7835"/>
    <w:rsid w:val="00BC7B9C"/>
    <w:rsid w:val="00BC7E6F"/>
    <w:rsid w:val="00BD08C3"/>
    <w:rsid w:val="00BD1576"/>
    <w:rsid w:val="00BD3FD1"/>
    <w:rsid w:val="00BD41A3"/>
    <w:rsid w:val="00BD4541"/>
    <w:rsid w:val="00BD4581"/>
    <w:rsid w:val="00BE092A"/>
    <w:rsid w:val="00BE0EA4"/>
    <w:rsid w:val="00BE1CBD"/>
    <w:rsid w:val="00BE3B52"/>
    <w:rsid w:val="00BE404C"/>
    <w:rsid w:val="00BE5AB9"/>
    <w:rsid w:val="00BE68BF"/>
    <w:rsid w:val="00BE6CD3"/>
    <w:rsid w:val="00BE6D60"/>
    <w:rsid w:val="00BE7C74"/>
    <w:rsid w:val="00BF0510"/>
    <w:rsid w:val="00BF12D0"/>
    <w:rsid w:val="00BF221C"/>
    <w:rsid w:val="00BF282C"/>
    <w:rsid w:val="00BF575B"/>
    <w:rsid w:val="00BF6496"/>
    <w:rsid w:val="00BF6C09"/>
    <w:rsid w:val="00BF7578"/>
    <w:rsid w:val="00C015A3"/>
    <w:rsid w:val="00C0170B"/>
    <w:rsid w:val="00C027FF"/>
    <w:rsid w:val="00C03784"/>
    <w:rsid w:val="00C03CA7"/>
    <w:rsid w:val="00C04492"/>
    <w:rsid w:val="00C04CC7"/>
    <w:rsid w:val="00C04F0B"/>
    <w:rsid w:val="00C0624D"/>
    <w:rsid w:val="00C1018F"/>
    <w:rsid w:val="00C10966"/>
    <w:rsid w:val="00C134E2"/>
    <w:rsid w:val="00C136EB"/>
    <w:rsid w:val="00C13D90"/>
    <w:rsid w:val="00C14746"/>
    <w:rsid w:val="00C164BC"/>
    <w:rsid w:val="00C20FE2"/>
    <w:rsid w:val="00C22563"/>
    <w:rsid w:val="00C234E5"/>
    <w:rsid w:val="00C239E7"/>
    <w:rsid w:val="00C23EA1"/>
    <w:rsid w:val="00C240C3"/>
    <w:rsid w:val="00C2484F"/>
    <w:rsid w:val="00C27F12"/>
    <w:rsid w:val="00C30CA1"/>
    <w:rsid w:val="00C31DBA"/>
    <w:rsid w:val="00C31EBE"/>
    <w:rsid w:val="00C35821"/>
    <w:rsid w:val="00C36DC2"/>
    <w:rsid w:val="00C37FBA"/>
    <w:rsid w:val="00C408CE"/>
    <w:rsid w:val="00C42DF9"/>
    <w:rsid w:val="00C44E45"/>
    <w:rsid w:val="00C46110"/>
    <w:rsid w:val="00C474CF"/>
    <w:rsid w:val="00C50C87"/>
    <w:rsid w:val="00C50D16"/>
    <w:rsid w:val="00C52335"/>
    <w:rsid w:val="00C52707"/>
    <w:rsid w:val="00C529A5"/>
    <w:rsid w:val="00C52A7B"/>
    <w:rsid w:val="00C52C67"/>
    <w:rsid w:val="00C52E13"/>
    <w:rsid w:val="00C53310"/>
    <w:rsid w:val="00C53D0B"/>
    <w:rsid w:val="00C53F41"/>
    <w:rsid w:val="00C54C2A"/>
    <w:rsid w:val="00C55009"/>
    <w:rsid w:val="00C5512C"/>
    <w:rsid w:val="00C5513E"/>
    <w:rsid w:val="00C55284"/>
    <w:rsid w:val="00C55E62"/>
    <w:rsid w:val="00C56CD2"/>
    <w:rsid w:val="00C57591"/>
    <w:rsid w:val="00C61D40"/>
    <w:rsid w:val="00C6216B"/>
    <w:rsid w:val="00C624A2"/>
    <w:rsid w:val="00C64E7A"/>
    <w:rsid w:val="00C6542A"/>
    <w:rsid w:val="00C65776"/>
    <w:rsid w:val="00C657D4"/>
    <w:rsid w:val="00C66ACA"/>
    <w:rsid w:val="00C70586"/>
    <w:rsid w:val="00C718DF"/>
    <w:rsid w:val="00C757D3"/>
    <w:rsid w:val="00C75C0B"/>
    <w:rsid w:val="00C75C2D"/>
    <w:rsid w:val="00C75E5E"/>
    <w:rsid w:val="00C77FBE"/>
    <w:rsid w:val="00C805E5"/>
    <w:rsid w:val="00C8256B"/>
    <w:rsid w:val="00C83B15"/>
    <w:rsid w:val="00C8471A"/>
    <w:rsid w:val="00C84ED3"/>
    <w:rsid w:val="00C86854"/>
    <w:rsid w:val="00C8699A"/>
    <w:rsid w:val="00C86A72"/>
    <w:rsid w:val="00C86EB4"/>
    <w:rsid w:val="00C87253"/>
    <w:rsid w:val="00C90FEA"/>
    <w:rsid w:val="00C918CD"/>
    <w:rsid w:val="00C9193C"/>
    <w:rsid w:val="00C922D8"/>
    <w:rsid w:val="00C93D67"/>
    <w:rsid w:val="00C93F5F"/>
    <w:rsid w:val="00C944AF"/>
    <w:rsid w:val="00C946FF"/>
    <w:rsid w:val="00C94864"/>
    <w:rsid w:val="00C94F47"/>
    <w:rsid w:val="00C95361"/>
    <w:rsid w:val="00CA0017"/>
    <w:rsid w:val="00CA036D"/>
    <w:rsid w:val="00CA4685"/>
    <w:rsid w:val="00CA4812"/>
    <w:rsid w:val="00CA57A7"/>
    <w:rsid w:val="00CA6255"/>
    <w:rsid w:val="00CB190D"/>
    <w:rsid w:val="00CB3814"/>
    <w:rsid w:val="00CB44BB"/>
    <w:rsid w:val="00CB4A2E"/>
    <w:rsid w:val="00CB5500"/>
    <w:rsid w:val="00CB6EAB"/>
    <w:rsid w:val="00CB72AC"/>
    <w:rsid w:val="00CC00DF"/>
    <w:rsid w:val="00CC0D1F"/>
    <w:rsid w:val="00CC0F63"/>
    <w:rsid w:val="00CC331C"/>
    <w:rsid w:val="00CC4653"/>
    <w:rsid w:val="00CD0CCA"/>
    <w:rsid w:val="00CD1023"/>
    <w:rsid w:val="00CD3D9D"/>
    <w:rsid w:val="00CD5C6E"/>
    <w:rsid w:val="00CE0148"/>
    <w:rsid w:val="00CE19C5"/>
    <w:rsid w:val="00CE3942"/>
    <w:rsid w:val="00CE43D1"/>
    <w:rsid w:val="00CE492D"/>
    <w:rsid w:val="00CE5DF9"/>
    <w:rsid w:val="00CE74DF"/>
    <w:rsid w:val="00CE78B7"/>
    <w:rsid w:val="00CF06D2"/>
    <w:rsid w:val="00CF192E"/>
    <w:rsid w:val="00CF29EC"/>
    <w:rsid w:val="00CF332E"/>
    <w:rsid w:val="00CF3529"/>
    <w:rsid w:val="00CF3C8D"/>
    <w:rsid w:val="00CF46E5"/>
    <w:rsid w:val="00CF4D5A"/>
    <w:rsid w:val="00CF503A"/>
    <w:rsid w:val="00CF6B64"/>
    <w:rsid w:val="00CF6B6B"/>
    <w:rsid w:val="00D00529"/>
    <w:rsid w:val="00D006C4"/>
    <w:rsid w:val="00D00811"/>
    <w:rsid w:val="00D02A73"/>
    <w:rsid w:val="00D04944"/>
    <w:rsid w:val="00D05CA6"/>
    <w:rsid w:val="00D05DF7"/>
    <w:rsid w:val="00D06CA6"/>
    <w:rsid w:val="00D0725F"/>
    <w:rsid w:val="00D075EB"/>
    <w:rsid w:val="00D115A5"/>
    <w:rsid w:val="00D11735"/>
    <w:rsid w:val="00D13736"/>
    <w:rsid w:val="00D14A19"/>
    <w:rsid w:val="00D162D4"/>
    <w:rsid w:val="00D20C8C"/>
    <w:rsid w:val="00D2170C"/>
    <w:rsid w:val="00D21BE2"/>
    <w:rsid w:val="00D220F1"/>
    <w:rsid w:val="00D222A6"/>
    <w:rsid w:val="00D230B0"/>
    <w:rsid w:val="00D23829"/>
    <w:rsid w:val="00D24D43"/>
    <w:rsid w:val="00D24E95"/>
    <w:rsid w:val="00D258D9"/>
    <w:rsid w:val="00D26D6C"/>
    <w:rsid w:val="00D26E6D"/>
    <w:rsid w:val="00D27D6F"/>
    <w:rsid w:val="00D30335"/>
    <w:rsid w:val="00D30E81"/>
    <w:rsid w:val="00D316B0"/>
    <w:rsid w:val="00D333B0"/>
    <w:rsid w:val="00D351CC"/>
    <w:rsid w:val="00D35871"/>
    <w:rsid w:val="00D35CB3"/>
    <w:rsid w:val="00D36CD5"/>
    <w:rsid w:val="00D37E9A"/>
    <w:rsid w:val="00D4186B"/>
    <w:rsid w:val="00D42EB7"/>
    <w:rsid w:val="00D43EBF"/>
    <w:rsid w:val="00D45FDA"/>
    <w:rsid w:val="00D46F25"/>
    <w:rsid w:val="00D47908"/>
    <w:rsid w:val="00D5176E"/>
    <w:rsid w:val="00D51F9A"/>
    <w:rsid w:val="00D5260A"/>
    <w:rsid w:val="00D52795"/>
    <w:rsid w:val="00D548B0"/>
    <w:rsid w:val="00D56855"/>
    <w:rsid w:val="00D56F8A"/>
    <w:rsid w:val="00D601D8"/>
    <w:rsid w:val="00D61249"/>
    <w:rsid w:val="00D619E8"/>
    <w:rsid w:val="00D63049"/>
    <w:rsid w:val="00D6343C"/>
    <w:rsid w:val="00D63693"/>
    <w:rsid w:val="00D63712"/>
    <w:rsid w:val="00D6386C"/>
    <w:rsid w:val="00D63A99"/>
    <w:rsid w:val="00D660B4"/>
    <w:rsid w:val="00D71831"/>
    <w:rsid w:val="00D71C2F"/>
    <w:rsid w:val="00D71C9F"/>
    <w:rsid w:val="00D72B69"/>
    <w:rsid w:val="00D72CBC"/>
    <w:rsid w:val="00D73A31"/>
    <w:rsid w:val="00D75349"/>
    <w:rsid w:val="00D75526"/>
    <w:rsid w:val="00D75FC9"/>
    <w:rsid w:val="00D773FA"/>
    <w:rsid w:val="00D7775A"/>
    <w:rsid w:val="00D77AC6"/>
    <w:rsid w:val="00D80B99"/>
    <w:rsid w:val="00D81EBA"/>
    <w:rsid w:val="00D82264"/>
    <w:rsid w:val="00D832BE"/>
    <w:rsid w:val="00D835A4"/>
    <w:rsid w:val="00D8427E"/>
    <w:rsid w:val="00D84561"/>
    <w:rsid w:val="00D85A1A"/>
    <w:rsid w:val="00D85E93"/>
    <w:rsid w:val="00D8639E"/>
    <w:rsid w:val="00D867BB"/>
    <w:rsid w:val="00D92785"/>
    <w:rsid w:val="00D939E5"/>
    <w:rsid w:val="00D96CC7"/>
    <w:rsid w:val="00D96D31"/>
    <w:rsid w:val="00D96DB1"/>
    <w:rsid w:val="00D9700B"/>
    <w:rsid w:val="00DA0491"/>
    <w:rsid w:val="00DA19A5"/>
    <w:rsid w:val="00DA27E2"/>
    <w:rsid w:val="00DA281D"/>
    <w:rsid w:val="00DA2E06"/>
    <w:rsid w:val="00DA2EF6"/>
    <w:rsid w:val="00DA2FBC"/>
    <w:rsid w:val="00DA3396"/>
    <w:rsid w:val="00DA4526"/>
    <w:rsid w:val="00DA4910"/>
    <w:rsid w:val="00DA4936"/>
    <w:rsid w:val="00DA67D4"/>
    <w:rsid w:val="00DA7A75"/>
    <w:rsid w:val="00DB049B"/>
    <w:rsid w:val="00DB070D"/>
    <w:rsid w:val="00DB08A5"/>
    <w:rsid w:val="00DB0C9E"/>
    <w:rsid w:val="00DB0F6F"/>
    <w:rsid w:val="00DB389B"/>
    <w:rsid w:val="00DB4510"/>
    <w:rsid w:val="00DB540F"/>
    <w:rsid w:val="00DB6B4F"/>
    <w:rsid w:val="00DB6DB9"/>
    <w:rsid w:val="00DB714A"/>
    <w:rsid w:val="00DB7CF1"/>
    <w:rsid w:val="00DC115A"/>
    <w:rsid w:val="00DC2FA7"/>
    <w:rsid w:val="00DC4D58"/>
    <w:rsid w:val="00DC4EB2"/>
    <w:rsid w:val="00DC5604"/>
    <w:rsid w:val="00DC575C"/>
    <w:rsid w:val="00DC6D41"/>
    <w:rsid w:val="00DC777C"/>
    <w:rsid w:val="00DD21B0"/>
    <w:rsid w:val="00DD25A8"/>
    <w:rsid w:val="00DD4694"/>
    <w:rsid w:val="00DD53A2"/>
    <w:rsid w:val="00DD6322"/>
    <w:rsid w:val="00DD75F1"/>
    <w:rsid w:val="00DE191D"/>
    <w:rsid w:val="00DE1C00"/>
    <w:rsid w:val="00DE32B2"/>
    <w:rsid w:val="00DE3C3F"/>
    <w:rsid w:val="00DE3F0B"/>
    <w:rsid w:val="00DE48C5"/>
    <w:rsid w:val="00DE6410"/>
    <w:rsid w:val="00DE6F38"/>
    <w:rsid w:val="00DF19F1"/>
    <w:rsid w:val="00DF276E"/>
    <w:rsid w:val="00DF2E01"/>
    <w:rsid w:val="00DF392F"/>
    <w:rsid w:val="00DF3A91"/>
    <w:rsid w:val="00DF4618"/>
    <w:rsid w:val="00DF4DDD"/>
    <w:rsid w:val="00DF4E73"/>
    <w:rsid w:val="00DF6055"/>
    <w:rsid w:val="00DF66F6"/>
    <w:rsid w:val="00DF6C85"/>
    <w:rsid w:val="00DF74D7"/>
    <w:rsid w:val="00E00B9E"/>
    <w:rsid w:val="00E011E3"/>
    <w:rsid w:val="00E01581"/>
    <w:rsid w:val="00E019FA"/>
    <w:rsid w:val="00E01F43"/>
    <w:rsid w:val="00E027DB"/>
    <w:rsid w:val="00E03BCF"/>
    <w:rsid w:val="00E058B9"/>
    <w:rsid w:val="00E05A59"/>
    <w:rsid w:val="00E0713D"/>
    <w:rsid w:val="00E076A2"/>
    <w:rsid w:val="00E11DFA"/>
    <w:rsid w:val="00E11FC2"/>
    <w:rsid w:val="00E12C31"/>
    <w:rsid w:val="00E137E5"/>
    <w:rsid w:val="00E13805"/>
    <w:rsid w:val="00E13DC6"/>
    <w:rsid w:val="00E15656"/>
    <w:rsid w:val="00E158BE"/>
    <w:rsid w:val="00E16AF1"/>
    <w:rsid w:val="00E17388"/>
    <w:rsid w:val="00E20B3B"/>
    <w:rsid w:val="00E234DB"/>
    <w:rsid w:val="00E2523D"/>
    <w:rsid w:val="00E259A5"/>
    <w:rsid w:val="00E26026"/>
    <w:rsid w:val="00E27D61"/>
    <w:rsid w:val="00E27D66"/>
    <w:rsid w:val="00E30937"/>
    <w:rsid w:val="00E30B81"/>
    <w:rsid w:val="00E30C6E"/>
    <w:rsid w:val="00E32634"/>
    <w:rsid w:val="00E3540A"/>
    <w:rsid w:val="00E35AED"/>
    <w:rsid w:val="00E36AA1"/>
    <w:rsid w:val="00E36B54"/>
    <w:rsid w:val="00E36FC7"/>
    <w:rsid w:val="00E37384"/>
    <w:rsid w:val="00E409D5"/>
    <w:rsid w:val="00E4227E"/>
    <w:rsid w:val="00E43948"/>
    <w:rsid w:val="00E43951"/>
    <w:rsid w:val="00E4413D"/>
    <w:rsid w:val="00E447AF"/>
    <w:rsid w:val="00E4496C"/>
    <w:rsid w:val="00E45587"/>
    <w:rsid w:val="00E45BB2"/>
    <w:rsid w:val="00E46C05"/>
    <w:rsid w:val="00E46FEF"/>
    <w:rsid w:val="00E47950"/>
    <w:rsid w:val="00E5084F"/>
    <w:rsid w:val="00E50E9B"/>
    <w:rsid w:val="00E526C2"/>
    <w:rsid w:val="00E53139"/>
    <w:rsid w:val="00E55382"/>
    <w:rsid w:val="00E553F8"/>
    <w:rsid w:val="00E56A45"/>
    <w:rsid w:val="00E577FA"/>
    <w:rsid w:val="00E57A15"/>
    <w:rsid w:val="00E619A9"/>
    <w:rsid w:val="00E63015"/>
    <w:rsid w:val="00E635A8"/>
    <w:rsid w:val="00E650BB"/>
    <w:rsid w:val="00E67A3D"/>
    <w:rsid w:val="00E67EF4"/>
    <w:rsid w:val="00E70AE3"/>
    <w:rsid w:val="00E70DA7"/>
    <w:rsid w:val="00E71D3E"/>
    <w:rsid w:val="00E73005"/>
    <w:rsid w:val="00E73492"/>
    <w:rsid w:val="00E73998"/>
    <w:rsid w:val="00E73EF7"/>
    <w:rsid w:val="00E7627B"/>
    <w:rsid w:val="00E77ADF"/>
    <w:rsid w:val="00E80168"/>
    <w:rsid w:val="00E80782"/>
    <w:rsid w:val="00E82565"/>
    <w:rsid w:val="00E835D7"/>
    <w:rsid w:val="00E836F4"/>
    <w:rsid w:val="00E841DD"/>
    <w:rsid w:val="00E869E9"/>
    <w:rsid w:val="00E87243"/>
    <w:rsid w:val="00E90034"/>
    <w:rsid w:val="00E91ACF"/>
    <w:rsid w:val="00E91D1D"/>
    <w:rsid w:val="00E93BE9"/>
    <w:rsid w:val="00E95311"/>
    <w:rsid w:val="00E95F92"/>
    <w:rsid w:val="00E975BC"/>
    <w:rsid w:val="00E97771"/>
    <w:rsid w:val="00EA2916"/>
    <w:rsid w:val="00EA2CBE"/>
    <w:rsid w:val="00EA3814"/>
    <w:rsid w:val="00EA416F"/>
    <w:rsid w:val="00EA4C7C"/>
    <w:rsid w:val="00EA596B"/>
    <w:rsid w:val="00EA5A05"/>
    <w:rsid w:val="00EA661F"/>
    <w:rsid w:val="00EB0FB2"/>
    <w:rsid w:val="00EB2600"/>
    <w:rsid w:val="00EB261A"/>
    <w:rsid w:val="00EB284A"/>
    <w:rsid w:val="00EB2C13"/>
    <w:rsid w:val="00EB673B"/>
    <w:rsid w:val="00EB6ABB"/>
    <w:rsid w:val="00EB7CF4"/>
    <w:rsid w:val="00EC03F5"/>
    <w:rsid w:val="00EC099E"/>
    <w:rsid w:val="00EC106D"/>
    <w:rsid w:val="00EC268D"/>
    <w:rsid w:val="00EC342A"/>
    <w:rsid w:val="00EC36A0"/>
    <w:rsid w:val="00EC3815"/>
    <w:rsid w:val="00EC3975"/>
    <w:rsid w:val="00EC4547"/>
    <w:rsid w:val="00EC5946"/>
    <w:rsid w:val="00EC59E9"/>
    <w:rsid w:val="00EC5EE3"/>
    <w:rsid w:val="00EC6FAE"/>
    <w:rsid w:val="00ED3728"/>
    <w:rsid w:val="00ED450D"/>
    <w:rsid w:val="00ED5281"/>
    <w:rsid w:val="00ED5DBA"/>
    <w:rsid w:val="00EE0B54"/>
    <w:rsid w:val="00EE1515"/>
    <w:rsid w:val="00EE1559"/>
    <w:rsid w:val="00EE205F"/>
    <w:rsid w:val="00EE58B4"/>
    <w:rsid w:val="00EE7156"/>
    <w:rsid w:val="00EE75F8"/>
    <w:rsid w:val="00EF0580"/>
    <w:rsid w:val="00EF1A60"/>
    <w:rsid w:val="00EF2029"/>
    <w:rsid w:val="00EF29B9"/>
    <w:rsid w:val="00EF3276"/>
    <w:rsid w:val="00EF4214"/>
    <w:rsid w:val="00EF7EC2"/>
    <w:rsid w:val="00EF7F1D"/>
    <w:rsid w:val="00F00812"/>
    <w:rsid w:val="00F00FD5"/>
    <w:rsid w:val="00F021D0"/>
    <w:rsid w:val="00F027AD"/>
    <w:rsid w:val="00F03D8D"/>
    <w:rsid w:val="00F03FDF"/>
    <w:rsid w:val="00F04DCB"/>
    <w:rsid w:val="00F04E8D"/>
    <w:rsid w:val="00F05B36"/>
    <w:rsid w:val="00F0694C"/>
    <w:rsid w:val="00F06B2A"/>
    <w:rsid w:val="00F10892"/>
    <w:rsid w:val="00F109AD"/>
    <w:rsid w:val="00F13F63"/>
    <w:rsid w:val="00F14C2F"/>
    <w:rsid w:val="00F169B3"/>
    <w:rsid w:val="00F172E4"/>
    <w:rsid w:val="00F20536"/>
    <w:rsid w:val="00F21010"/>
    <w:rsid w:val="00F2178A"/>
    <w:rsid w:val="00F2245E"/>
    <w:rsid w:val="00F228AE"/>
    <w:rsid w:val="00F233A5"/>
    <w:rsid w:val="00F23A9F"/>
    <w:rsid w:val="00F24155"/>
    <w:rsid w:val="00F26A38"/>
    <w:rsid w:val="00F27598"/>
    <w:rsid w:val="00F311AF"/>
    <w:rsid w:val="00F318D4"/>
    <w:rsid w:val="00F3382D"/>
    <w:rsid w:val="00F34AF6"/>
    <w:rsid w:val="00F34EAA"/>
    <w:rsid w:val="00F35495"/>
    <w:rsid w:val="00F365BB"/>
    <w:rsid w:val="00F36B46"/>
    <w:rsid w:val="00F3745E"/>
    <w:rsid w:val="00F378DC"/>
    <w:rsid w:val="00F37B91"/>
    <w:rsid w:val="00F37C52"/>
    <w:rsid w:val="00F4330A"/>
    <w:rsid w:val="00F450CC"/>
    <w:rsid w:val="00F45799"/>
    <w:rsid w:val="00F4603B"/>
    <w:rsid w:val="00F46E67"/>
    <w:rsid w:val="00F47D42"/>
    <w:rsid w:val="00F47DFC"/>
    <w:rsid w:val="00F47E6D"/>
    <w:rsid w:val="00F51130"/>
    <w:rsid w:val="00F52EB6"/>
    <w:rsid w:val="00F54723"/>
    <w:rsid w:val="00F553D4"/>
    <w:rsid w:val="00F561DE"/>
    <w:rsid w:val="00F5653B"/>
    <w:rsid w:val="00F56F85"/>
    <w:rsid w:val="00F57343"/>
    <w:rsid w:val="00F60F70"/>
    <w:rsid w:val="00F614CD"/>
    <w:rsid w:val="00F620D0"/>
    <w:rsid w:val="00F62F81"/>
    <w:rsid w:val="00F6328B"/>
    <w:rsid w:val="00F633AA"/>
    <w:rsid w:val="00F64370"/>
    <w:rsid w:val="00F65E19"/>
    <w:rsid w:val="00F65E41"/>
    <w:rsid w:val="00F67221"/>
    <w:rsid w:val="00F67410"/>
    <w:rsid w:val="00F70262"/>
    <w:rsid w:val="00F702CD"/>
    <w:rsid w:val="00F702DD"/>
    <w:rsid w:val="00F70366"/>
    <w:rsid w:val="00F709A1"/>
    <w:rsid w:val="00F719EC"/>
    <w:rsid w:val="00F73098"/>
    <w:rsid w:val="00F73537"/>
    <w:rsid w:val="00F744E4"/>
    <w:rsid w:val="00F758C6"/>
    <w:rsid w:val="00F764FA"/>
    <w:rsid w:val="00F76BBE"/>
    <w:rsid w:val="00F77DD1"/>
    <w:rsid w:val="00F812FA"/>
    <w:rsid w:val="00F83674"/>
    <w:rsid w:val="00F84222"/>
    <w:rsid w:val="00F85095"/>
    <w:rsid w:val="00F852A3"/>
    <w:rsid w:val="00F86F38"/>
    <w:rsid w:val="00F87A2A"/>
    <w:rsid w:val="00F90A6F"/>
    <w:rsid w:val="00F90CF3"/>
    <w:rsid w:val="00F90D34"/>
    <w:rsid w:val="00F93939"/>
    <w:rsid w:val="00F93975"/>
    <w:rsid w:val="00F955D1"/>
    <w:rsid w:val="00F96A02"/>
    <w:rsid w:val="00F96FF3"/>
    <w:rsid w:val="00F973CD"/>
    <w:rsid w:val="00F9777A"/>
    <w:rsid w:val="00F97C41"/>
    <w:rsid w:val="00F97FF6"/>
    <w:rsid w:val="00FA0192"/>
    <w:rsid w:val="00FA093B"/>
    <w:rsid w:val="00FA09E8"/>
    <w:rsid w:val="00FA0AF8"/>
    <w:rsid w:val="00FA1137"/>
    <w:rsid w:val="00FA331B"/>
    <w:rsid w:val="00FA363A"/>
    <w:rsid w:val="00FA45D9"/>
    <w:rsid w:val="00FA5E44"/>
    <w:rsid w:val="00FA6DAE"/>
    <w:rsid w:val="00FA7EC1"/>
    <w:rsid w:val="00FB0A5D"/>
    <w:rsid w:val="00FB1492"/>
    <w:rsid w:val="00FB1DC2"/>
    <w:rsid w:val="00FB24CD"/>
    <w:rsid w:val="00FB301E"/>
    <w:rsid w:val="00FB3D7D"/>
    <w:rsid w:val="00FB3F06"/>
    <w:rsid w:val="00FB49F4"/>
    <w:rsid w:val="00FB7813"/>
    <w:rsid w:val="00FC00E4"/>
    <w:rsid w:val="00FC132E"/>
    <w:rsid w:val="00FC2F7C"/>
    <w:rsid w:val="00FC311F"/>
    <w:rsid w:val="00FC3374"/>
    <w:rsid w:val="00FC364F"/>
    <w:rsid w:val="00FC4CDD"/>
    <w:rsid w:val="00FC577F"/>
    <w:rsid w:val="00FC65E4"/>
    <w:rsid w:val="00FC670E"/>
    <w:rsid w:val="00FC6E8C"/>
    <w:rsid w:val="00FD05AF"/>
    <w:rsid w:val="00FD0974"/>
    <w:rsid w:val="00FD09B1"/>
    <w:rsid w:val="00FD1730"/>
    <w:rsid w:val="00FD211F"/>
    <w:rsid w:val="00FD378E"/>
    <w:rsid w:val="00FD3D24"/>
    <w:rsid w:val="00FD592E"/>
    <w:rsid w:val="00FD5C58"/>
    <w:rsid w:val="00FD6232"/>
    <w:rsid w:val="00FE0B12"/>
    <w:rsid w:val="00FE2196"/>
    <w:rsid w:val="00FE25E6"/>
    <w:rsid w:val="00FE3C1D"/>
    <w:rsid w:val="00FE4AA6"/>
    <w:rsid w:val="00FE5278"/>
    <w:rsid w:val="00FE53C7"/>
    <w:rsid w:val="00FE5877"/>
    <w:rsid w:val="00FE7E65"/>
    <w:rsid w:val="00FF0B9C"/>
    <w:rsid w:val="00FF6A82"/>
    <w:rsid w:val="00FF7A39"/>
    <w:rsid w:val="0112451B"/>
    <w:rsid w:val="01386B0A"/>
    <w:rsid w:val="016A7BEC"/>
    <w:rsid w:val="0187211B"/>
    <w:rsid w:val="025D1B27"/>
    <w:rsid w:val="028D6F12"/>
    <w:rsid w:val="02E50E77"/>
    <w:rsid w:val="032F14E9"/>
    <w:rsid w:val="03345AEF"/>
    <w:rsid w:val="0394658D"/>
    <w:rsid w:val="03B544A9"/>
    <w:rsid w:val="03BB1D6C"/>
    <w:rsid w:val="04294F27"/>
    <w:rsid w:val="044C0405"/>
    <w:rsid w:val="045D6C08"/>
    <w:rsid w:val="048E7F19"/>
    <w:rsid w:val="049F3CA4"/>
    <w:rsid w:val="04BD5262"/>
    <w:rsid w:val="0521570E"/>
    <w:rsid w:val="056A7D14"/>
    <w:rsid w:val="05C46FD4"/>
    <w:rsid w:val="05CF1FD8"/>
    <w:rsid w:val="05D365E4"/>
    <w:rsid w:val="05EA1363"/>
    <w:rsid w:val="06095A25"/>
    <w:rsid w:val="062E9675"/>
    <w:rsid w:val="06A35700"/>
    <w:rsid w:val="07401644"/>
    <w:rsid w:val="07DA0193"/>
    <w:rsid w:val="07EB6210"/>
    <w:rsid w:val="08115BB3"/>
    <w:rsid w:val="082A5BB6"/>
    <w:rsid w:val="08392F43"/>
    <w:rsid w:val="084F6F27"/>
    <w:rsid w:val="087842DC"/>
    <w:rsid w:val="08C2117D"/>
    <w:rsid w:val="08C818FB"/>
    <w:rsid w:val="08DA2954"/>
    <w:rsid w:val="08F30E74"/>
    <w:rsid w:val="09036BB8"/>
    <w:rsid w:val="0907263D"/>
    <w:rsid w:val="0978207A"/>
    <w:rsid w:val="098E204A"/>
    <w:rsid w:val="09970B85"/>
    <w:rsid w:val="09BE1364"/>
    <w:rsid w:val="09FC144A"/>
    <w:rsid w:val="0A5A4E8B"/>
    <w:rsid w:val="0B7958FB"/>
    <w:rsid w:val="0B85449C"/>
    <w:rsid w:val="0B9C4DE1"/>
    <w:rsid w:val="0BC83278"/>
    <w:rsid w:val="0BF74B1A"/>
    <w:rsid w:val="0C0D4C5B"/>
    <w:rsid w:val="0C6A1426"/>
    <w:rsid w:val="0C886EAB"/>
    <w:rsid w:val="0CDC3AA7"/>
    <w:rsid w:val="0D1E7745"/>
    <w:rsid w:val="0D507E25"/>
    <w:rsid w:val="0DCC7DC7"/>
    <w:rsid w:val="0DF66E6B"/>
    <w:rsid w:val="0E59200A"/>
    <w:rsid w:val="0F3851AD"/>
    <w:rsid w:val="0F444CCF"/>
    <w:rsid w:val="0F447AE3"/>
    <w:rsid w:val="0F5A2F09"/>
    <w:rsid w:val="0F6A1B6E"/>
    <w:rsid w:val="0F8556D6"/>
    <w:rsid w:val="0F87249C"/>
    <w:rsid w:val="0F8A1752"/>
    <w:rsid w:val="0FE162FA"/>
    <w:rsid w:val="104072BC"/>
    <w:rsid w:val="10496347"/>
    <w:rsid w:val="109C6F16"/>
    <w:rsid w:val="11B048C6"/>
    <w:rsid w:val="12A8367E"/>
    <w:rsid w:val="12CB02CC"/>
    <w:rsid w:val="1308062C"/>
    <w:rsid w:val="131F445A"/>
    <w:rsid w:val="13442A57"/>
    <w:rsid w:val="1357501E"/>
    <w:rsid w:val="137470C8"/>
    <w:rsid w:val="13F02D6B"/>
    <w:rsid w:val="15010464"/>
    <w:rsid w:val="150F69C3"/>
    <w:rsid w:val="159A7907"/>
    <w:rsid w:val="15F80BFE"/>
    <w:rsid w:val="1632155E"/>
    <w:rsid w:val="167E4E37"/>
    <w:rsid w:val="16C83FE2"/>
    <w:rsid w:val="17337C21"/>
    <w:rsid w:val="173F131A"/>
    <w:rsid w:val="175F6AE2"/>
    <w:rsid w:val="17B247D4"/>
    <w:rsid w:val="185D18E7"/>
    <w:rsid w:val="186C7681"/>
    <w:rsid w:val="187D6BD0"/>
    <w:rsid w:val="189271BC"/>
    <w:rsid w:val="18D43AD8"/>
    <w:rsid w:val="19074B11"/>
    <w:rsid w:val="1941466A"/>
    <w:rsid w:val="195264F4"/>
    <w:rsid w:val="1966729D"/>
    <w:rsid w:val="198C2CAD"/>
    <w:rsid w:val="198D78AF"/>
    <w:rsid w:val="19B629EB"/>
    <w:rsid w:val="19D10B82"/>
    <w:rsid w:val="19FE3DD4"/>
    <w:rsid w:val="1A777A71"/>
    <w:rsid w:val="1A8B64E4"/>
    <w:rsid w:val="1AD27C6F"/>
    <w:rsid w:val="1B107A3D"/>
    <w:rsid w:val="1B154095"/>
    <w:rsid w:val="1B1A79C2"/>
    <w:rsid w:val="1BBD6A5B"/>
    <w:rsid w:val="1BD909FC"/>
    <w:rsid w:val="1C00725F"/>
    <w:rsid w:val="1C132590"/>
    <w:rsid w:val="1C8460BA"/>
    <w:rsid w:val="1C9F202D"/>
    <w:rsid w:val="1CCA59EF"/>
    <w:rsid w:val="1CE73541"/>
    <w:rsid w:val="1CF650B8"/>
    <w:rsid w:val="1D183933"/>
    <w:rsid w:val="1D415409"/>
    <w:rsid w:val="1E201670"/>
    <w:rsid w:val="1E222CBC"/>
    <w:rsid w:val="1E472EA8"/>
    <w:rsid w:val="1E645A41"/>
    <w:rsid w:val="1EBC1706"/>
    <w:rsid w:val="1EFF3164"/>
    <w:rsid w:val="1F001612"/>
    <w:rsid w:val="1F6C2DD9"/>
    <w:rsid w:val="1FA9BF73"/>
    <w:rsid w:val="1FC84A3F"/>
    <w:rsid w:val="1FD00FBC"/>
    <w:rsid w:val="1FFA0EAE"/>
    <w:rsid w:val="1FFF485A"/>
    <w:rsid w:val="201E5705"/>
    <w:rsid w:val="209F112C"/>
    <w:rsid w:val="21535CC4"/>
    <w:rsid w:val="215C6690"/>
    <w:rsid w:val="220E0599"/>
    <w:rsid w:val="22270752"/>
    <w:rsid w:val="222D32EB"/>
    <w:rsid w:val="229D54CB"/>
    <w:rsid w:val="22A722E1"/>
    <w:rsid w:val="22E806C5"/>
    <w:rsid w:val="22EC755B"/>
    <w:rsid w:val="231D6147"/>
    <w:rsid w:val="232847CA"/>
    <w:rsid w:val="23447347"/>
    <w:rsid w:val="23482B19"/>
    <w:rsid w:val="235512D8"/>
    <w:rsid w:val="236029DE"/>
    <w:rsid w:val="23B26890"/>
    <w:rsid w:val="23E97DD8"/>
    <w:rsid w:val="2413080C"/>
    <w:rsid w:val="249065AE"/>
    <w:rsid w:val="249110DE"/>
    <w:rsid w:val="24A67EA5"/>
    <w:rsid w:val="25303F2D"/>
    <w:rsid w:val="25963E3C"/>
    <w:rsid w:val="26296BB1"/>
    <w:rsid w:val="264B4D5E"/>
    <w:rsid w:val="26D7A5A5"/>
    <w:rsid w:val="27233601"/>
    <w:rsid w:val="27242ADF"/>
    <w:rsid w:val="27320259"/>
    <w:rsid w:val="273E5F0F"/>
    <w:rsid w:val="278522D9"/>
    <w:rsid w:val="27980FF6"/>
    <w:rsid w:val="279E05F9"/>
    <w:rsid w:val="27EDD755"/>
    <w:rsid w:val="281A7DEB"/>
    <w:rsid w:val="282C7C34"/>
    <w:rsid w:val="28D3043F"/>
    <w:rsid w:val="29057D3C"/>
    <w:rsid w:val="29433F65"/>
    <w:rsid w:val="29573CF1"/>
    <w:rsid w:val="29B349BF"/>
    <w:rsid w:val="29B61768"/>
    <w:rsid w:val="29EB181D"/>
    <w:rsid w:val="2A022567"/>
    <w:rsid w:val="2A2F6DCF"/>
    <w:rsid w:val="2A3476EC"/>
    <w:rsid w:val="2A3A51E0"/>
    <w:rsid w:val="2AC4736E"/>
    <w:rsid w:val="2B9B6952"/>
    <w:rsid w:val="2BA91FC2"/>
    <w:rsid w:val="2BB17DE5"/>
    <w:rsid w:val="2BC95556"/>
    <w:rsid w:val="2BC95C68"/>
    <w:rsid w:val="2BE07D12"/>
    <w:rsid w:val="2BEC2B5B"/>
    <w:rsid w:val="2C3A1823"/>
    <w:rsid w:val="2C603EE4"/>
    <w:rsid w:val="2CF14552"/>
    <w:rsid w:val="2D523ED3"/>
    <w:rsid w:val="2DA9439F"/>
    <w:rsid w:val="2DC321B8"/>
    <w:rsid w:val="2DE53D06"/>
    <w:rsid w:val="2DF7D673"/>
    <w:rsid w:val="2ED71EAD"/>
    <w:rsid w:val="2F3C4336"/>
    <w:rsid w:val="2F3F8D91"/>
    <w:rsid w:val="2F521493"/>
    <w:rsid w:val="2FAD0F43"/>
    <w:rsid w:val="2FB663B3"/>
    <w:rsid w:val="2FCF1194"/>
    <w:rsid w:val="2FE7CE26"/>
    <w:rsid w:val="2FEEE49D"/>
    <w:rsid w:val="2FFFC231"/>
    <w:rsid w:val="30623B84"/>
    <w:rsid w:val="30A14551"/>
    <w:rsid w:val="31046251"/>
    <w:rsid w:val="3142605F"/>
    <w:rsid w:val="315C7E3B"/>
    <w:rsid w:val="31A17F1B"/>
    <w:rsid w:val="31A949E8"/>
    <w:rsid w:val="31C46812"/>
    <w:rsid w:val="31E96531"/>
    <w:rsid w:val="32535AA0"/>
    <w:rsid w:val="325664C2"/>
    <w:rsid w:val="32D81743"/>
    <w:rsid w:val="32E13B2C"/>
    <w:rsid w:val="32EE71B8"/>
    <w:rsid w:val="33557B8C"/>
    <w:rsid w:val="33D7EEBB"/>
    <w:rsid w:val="340842AA"/>
    <w:rsid w:val="34497F22"/>
    <w:rsid w:val="344D15A8"/>
    <w:rsid w:val="345F6435"/>
    <w:rsid w:val="34EF2459"/>
    <w:rsid w:val="34FB6FC2"/>
    <w:rsid w:val="352769B2"/>
    <w:rsid w:val="35405EDD"/>
    <w:rsid w:val="35423FC5"/>
    <w:rsid w:val="355F027A"/>
    <w:rsid w:val="3578382F"/>
    <w:rsid w:val="35824039"/>
    <w:rsid w:val="35923426"/>
    <w:rsid w:val="35F7984E"/>
    <w:rsid w:val="366A1097"/>
    <w:rsid w:val="36895157"/>
    <w:rsid w:val="36DE0121"/>
    <w:rsid w:val="36EF3596"/>
    <w:rsid w:val="36F601B4"/>
    <w:rsid w:val="36FBD36F"/>
    <w:rsid w:val="37146A7D"/>
    <w:rsid w:val="371E3D73"/>
    <w:rsid w:val="374F92B6"/>
    <w:rsid w:val="376C1134"/>
    <w:rsid w:val="37D60DA6"/>
    <w:rsid w:val="37DB3C79"/>
    <w:rsid w:val="37EB1515"/>
    <w:rsid w:val="37FFD329"/>
    <w:rsid w:val="38317501"/>
    <w:rsid w:val="38C109E3"/>
    <w:rsid w:val="38CF5396"/>
    <w:rsid w:val="391A8C7C"/>
    <w:rsid w:val="394F027B"/>
    <w:rsid w:val="396D3D35"/>
    <w:rsid w:val="3A145649"/>
    <w:rsid w:val="3A1D6A5F"/>
    <w:rsid w:val="3A5870DA"/>
    <w:rsid w:val="3A962EA8"/>
    <w:rsid w:val="3AB26D1E"/>
    <w:rsid w:val="3ACF5B21"/>
    <w:rsid w:val="3ACF7C03"/>
    <w:rsid w:val="3ADC50C0"/>
    <w:rsid w:val="3AF531AC"/>
    <w:rsid w:val="3AFF3FF5"/>
    <w:rsid w:val="3AFF75AB"/>
    <w:rsid w:val="3B9422A2"/>
    <w:rsid w:val="3BAA3FD9"/>
    <w:rsid w:val="3BE84C40"/>
    <w:rsid w:val="3BF3DA61"/>
    <w:rsid w:val="3BF6C20D"/>
    <w:rsid w:val="3C047096"/>
    <w:rsid w:val="3C0878F9"/>
    <w:rsid w:val="3C4109F6"/>
    <w:rsid w:val="3C47184D"/>
    <w:rsid w:val="3CFF0751"/>
    <w:rsid w:val="3D7144D7"/>
    <w:rsid w:val="3DB47ECB"/>
    <w:rsid w:val="3DFF0260"/>
    <w:rsid w:val="3DFF42A0"/>
    <w:rsid w:val="3DFFD6C9"/>
    <w:rsid w:val="3E06398B"/>
    <w:rsid w:val="3E6D4240"/>
    <w:rsid w:val="3EC275DA"/>
    <w:rsid w:val="3EE867C0"/>
    <w:rsid w:val="3EEDA2DD"/>
    <w:rsid w:val="3EF60037"/>
    <w:rsid w:val="3F1B55B5"/>
    <w:rsid w:val="3F221723"/>
    <w:rsid w:val="3F3F9E10"/>
    <w:rsid w:val="3F53A7F5"/>
    <w:rsid w:val="3F56FFB2"/>
    <w:rsid w:val="3F780047"/>
    <w:rsid w:val="3F7CDE09"/>
    <w:rsid w:val="3FBE19BA"/>
    <w:rsid w:val="3FD411DC"/>
    <w:rsid w:val="3FD7A91F"/>
    <w:rsid w:val="3FD7FC26"/>
    <w:rsid w:val="3FDB425E"/>
    <w:rsid w:val="3FEF8C0F"/>
    <w:rsid w:val="3FFE33D2"/>
    <w:rsid w:val="400E04FA"/>
    <w:rsid w:val="401F30A7"/>
    <w:rsid w:val="4104372C"/>
    <w:rsid w:val="41202C33"/>
    <w:rsid w:val="41E952A1"/>
    <w:rsid w:val="42660B19"/>
    <w:rsid w:val="42661ABA"/>
    <w:rsid w:val="428D13FE"/>
    <w:rsid w:val="42EC6D68"/>
    <w:rsid w:val="42F54D43"/>
    <w:rsid w:val="43C16C2C"/>
    <w:rsid w:val="43C86CFA"/>
    <w:rsid w:val="441F3781"/>
    <w:rsid w:val="44DB14C2"/>
    <w:rsid w:val="45295549"/>
    <w:rsid w:val="45502C7A"/>
    <w:rsid w:val="45A131AA"/>
    <w:rsid w:val="45AE3F2E"/>
    <w:rsid w:val="46DA42C8"/>
    <w:rsid w:val="47726709"/>
    <w:rsid w:val="47925FE4"/>
    <w:rsid w:val="48227470"/>
    <w:rsid w:val="487F4100"/>
    <w:rsid w:val="4893664C"/>
    <w:rsid w:val="48B15DB6"/>
    <w:rsid w:val="48C608B6"/>
    <w:rsid w:val="48C82821"/>
    <w:rsid w:val="495C0B1B"/>
    <w:rsid w:val="4967187C"/>
    <w:rsid w:val="49846F9F"/>
    <w:rsid w:val="49A12A33"/>
    <w:rsid w:val="4A024C7A"/>
    <w:rsid w:val="4A7A7E43"/>
    <w:rsid w:val="4A8053D5"/>
    <w:rsid w:val="4AA429F2"/>
    <w:rsid w:val="4AAB7543"/>
    <w:rsid w:val="4AD80EA8"/>
    <w:rsid w:val="4AEB26CA"/>
    <w:rsid w:val="4B9C1D51"/>
    <w:rsid w:val="4C2757BD"/>
    <w:rsid w:val="4C433C79"/>
    <w:rsid w:val="4C7A1992"/>
    <w:rsid w:val="4C8729B9"/>
    <w:rsid w:val="4CF33DF1"/>
    <w:rsid w:val="4D2E133B"/>
    <w:rsid w:val="4D376A4E"/>
    <w:rsid w:val="4D994499"/>
    <w:rsid w:val="4D9BE65E"/>
    <w:rsid w:val="4DF453D6"/>
    <w:rsid w:val="4E153D60"/>
    <w:rsid w:val="4E2975C2"/>
    <w:rsid w:val="4E2D6251"/>
    <w:rsid w:val="4EA26125"/>
    <w:rsid w:val="4ED03A67"/>
    <w:rsid w:val="4EE06D51"/>
    <w:rsid w:val="4FB71646"/>
    <w:rsid w:val="4FB73E08"/>
    <w:rsid w:val="4FDA02C8"/>
    <w:rsid w:val="4FE42577"/>
    <w:rsid w:val="4FEBA065"/>
    <w:rsid w:val="4FFBB7F0"/>
    <w:rsid w:val="50357744"/>
    <w:rsid w:val="505F34B4"/>
    <w:rsid w:val="508D6258"/>
    <w:rsid w:val="51515AFC"/>
    <w:rsid w:val="51B3720F"/>
    <w:rsid w:val="51BE6520"/>
    <w:rsid w:val="51F839B9"/>
    <w:rsid w:val="521A7773"/>
    <w:rsid w:val="523F4166"/>
    <w:rsid w:val="526C46FE"/>
    <w:rsid w:val="526E0C49"/>
    <w:rsid w:val="52854660"/>
    <w:rsid w:val="52A23EA6"/>
    <w:rsid w:val="52AF3FE4"/>
    <w:rsid w:val="52C151A6"/>
    <w:rsid w:val="52E864F9"/>
    <w:rsid w:val="53032ED3"/>
    <w:rsid w:val="53226CDE"/>
    <w:rsid w:val="535E64BD"/>
    <w:rsid w:val="53FA7313"/>
    <w:rsid w:val="54314267"/>
    <w:rsid w:val="54387E3C"/>
    <w:rsid w:val="54D468D5"/>
    <w:rsid w:val="54F55D2D"/>
    <w:rsid w:val="551759B5"/>
    <w:rsid w:val="55546EF7"/>
    <w:rsid w:val="559D3A3E"/>
    <w:rsid w:val="55C5568F"/>
    <w:rsid w:val="5625231B"/>
    <w:rsid w:val="56264E48"/>
    <w:rsid w:val="56344E1B"/>
    <w:rsid w:val="56345496"/>
    <w:rsid w:val="565B46E5"/>
    <w:rsid w:val="566A3A16"/>
    <w:rsid w:val="567A1A66"/>
    <w:rsid w:val="56801EB5"/>
    <w:rsid w:val="56B954B5"/>
    <w:rsid w:val="56C645FC"/>
    <w:rsid w:val="56DC4E8C"/>
    <w:rsid w:val="56DD2E66"/>
    <w:rsid w:val="577F2A4D"/>
    <w:rsid w:val="57DA78C0"/>
    <w:rsid w:val="57ECF234"/>
    <w:rsid w:val="57F3F9DA"/>
    <w:rsid w:val="581C54AF"/>
    <w:rsid w:val="589A1942"/>
    <w:rsid w:val="58E912D6"/>
    <w:rsid w:val="59411D11"/>
    <w:rsid w:val="595152DE"/>
    <w:rsid w:val="59936D84"/>
    <w:rsid w:val="59A3798F"/>
    <w:rsid w:val="59B424CA"/>
    <w:rsid w:val="59E177C8"/>
    <w:rsid w:val="59E24AD2"/>
    <w:rsid w:val="5A0226CB"/>
    <w:rsid w:val="5A230D9E"/>
    <w:rsid w:val="5ABE4FAD"/>
    <w:rsid w:val="5ACB608B"/>
    <w:rsid w:val="5AED2E1B"/>
    <w:rsid w:val="5B914055"/>
    <w:rsid w:val="5BA44DCD"/>
    <w:rsid w:val="5BC7083B"/>
    <w:rsid w:val="5BD86727"/>
    <w:rsid w:val="5BDFA573"/>
    <w:rsid w:val="5BE1746D"/>
    <w:rsid w:val="5BF6AA57"/>
    <w:rsid w:val="5BFF657D"/>
    <w:rsid w:val="5C5E5033"/>
    <w:rsid w:val="5CDE64C9"/>
    <w:rsid w:val="5D3967D8"/>
    <w:rsid w:val="5D467D85"/>
    <w:rsid w:val="5D7976B3"/>
    <w:rsid w:val="5DA37FAD"/>
    <w:rsid w:val="5DFA72A8"/>
    <w:rsid w:val="5DFB590F"/>
    <w:rsid w:val="5DFEEB3A"/>
    <w:rsid w:val="5DFF68B5"/>
    <w:rsid w:val="5E21394E"/>
    <w:rsid w:val="5E4D2BEA"/>
    <w:rsid w:val="5E8829F6"/>
    <w:rsid w:val="5E9F3321"/>
    <w:rsid w:val="5EC450EE"/>
    <w:rsid w:val="5EDB34B4"/>
    <w:rsid w:val="5EFF473A"/>
    <w:rsid w:val="5F2E32D8"/>
    <w:rsid w:val="5F37B8F9"/>
    <w:rsid w:val="5F3C3647"/>
    <w:rsid w:val="5F3C6F73"/>
    <w:rsid w:val="5F66BEB1"/>
    <w:rsid w:val="5F733C42"/>
    <w:rsid w:val="5F7F5E27"/>
    <w:rsid w:val="5FC772D6"/>
    <w:rsid w:val="5FD20AF5"/>
    <w:rsid w:val="60190EA3"/>
    <w:rsid w:val="60716BAF"/>
    <w:rsid w:val="60AA3E6F"/>
    <w:rsid w:val="61125230"/>
    <w:rsid w:val="623C4F9B"/>
    <w:rsid w:val="6308535A"/>
    <w:rsid w:val="63857890"/>
    <w:rsid w:val="638C4469"/>
    <w:rsid w:val="63C67607"/>
    <w:rsid w:val="63CE3F52"/>
    <w:rsid w:val="64C01EB3"/>
    <w:rsid w:val="64D668A0"/>
    <w:rsid w:val="64EA6138"/>
    <w:rsid w:val="65154668"/>
    <w:rsid w:val="657D5FF6"/>
    <w:rsid w:val="65E05A27"/>
    <w:rsid w:val="65F526E8"/>
    <w:rsid w:val="66924129"/>
    <w:rsid w:val="669B2FA6"/>
    <w:rsid w:val="66CA50FD"/>
    <w:rsid w:val="66FF2479"/>
    <w:rsid w:val="675CA8B6"/>
    <w:rsid w:val="6778584C"/>
    <w:rsid w:val="67D3A064"/>
    <w:rsid w:val="67E522CF"/>
    <w:rsid w:val="67E97887"/>
    <w:rsid w:val="67F65918"/>
    <w:rsid w:val="685F01C2"/>
    <w:rsid w:val="68CF6A28"/>
    <w:rsid w:val="68E84374"/>
    <w:rsid w:val="69C92C9A"/>
    <w:rsid w:val="69DFABD9"/>
    <w:rsid w:val="6A5FFD7A"/>
    <w:rsid w:val="6A892D47"/>
    <w:rsid w:val="6A930F62"/>
    <w:rsid w:val="6AC10335"/>
    <w:rsid w:val="6AE27F29"/>
    <w:rsid w:val="6AE7E57F"/>
    <w:rsid w:val="6B425B5D"/>
    <w:rsid w:val="6B503B2A"/>
    <w:rsid w:val="6B511035"/>
    <w:rsid w:val="6B74745E"/>
    <w:rsid w:val="6B7840DB"/>
    <w:rsid w:val="6B850307"/>
    <w:rsid w:val="6B851695"/>
    <w:rsid w:val="6B912807"/>
    <w:rsid w:val="6BFF5B4E"/>
    <w:rsid w:val="6C4069F0"/>
    <w:rsid w:val="6C474670"/>
    <w:rsid w:val="6CE315BD"/>
    <w:rsid w:val="6D2B1862"/>
    <w:rsid w:val="6D721DF6"/>
    <w:rsid w:val="6D7B106D"/>
    <w:rsid w:val="6D9263B7"/>
    <w:rsid w:val="6DB264D6"/>
    <w:rsid w:val="6DCB15B1"/>
    <w:rsid w:val="6DEB1DA4"/>
    <w:rsid w:val="6E6766C0"/>
    <w:rsid w:val="6EA02F94"/>
    <w:rsid w:val="6EFF3A34"/>
    <w:rsid w:val="6F5F976F"/>
    <w:rsid w:val="6F6F0B45"/>
    <w:rsid w:val="6F7344C3"/>
    <w:rsid w:val="6F8FEC9D"/>
    <w:rsid w:val="6FB50751"/>
    <w:rsid w:val="6FBA5012"/>
    <w:rsid w:val="6FCF79F9"/>
    <w:rsid w:val="6FDF72FC"/>
    <w:rsid w:val="6FF9D6BC"/>
    <w:rsid w:val="6FFD5952"/>
    <w:rsid w:val="6FFE192F"/>
    <w:rsid w:val="70182279"/>
    <w:rsid w:val="704468EB"/>
    <w:rsid w:val="705B0CE2"/>
    <w:rsid w:val="70D4023A"/>
    <w:rsid w:val="70EF4EA3"/>
    <w:rsid w:val="7141612A"/>
    <w:rsid w:val="717D7128"/>
    <w:rsid w:val="718320B7"/>
    <w:rsid w:val="71E76CD1"/>
    <w:rsid w:val="725E7B84"/>
    <w:rsid w:val="72F15997"/>
    <w:rsid w:val="72F66B7C"/>
    <w:rsid w:val="72FFF4BB"/>
    <w:rsid w:val="731D6723"/>
    <w:rsid w:val="731E62AB"/>
    <w:rsid w:val="7377279E"/>
    <w:rsid w:val="737E60AE"/>
    <w:rsid w:val="73B2330F"/>
    <w:rsid w:val="73DE9E3F"/>
    <w:rsid w:val="73DFB3FA"/>
    <w:rsid w:val="73FF1535"/>
    <w:rsid w:val="74282C85"/>
    <w:rsid w:val="744924DC"/>
    <w:rsid w:val="745D0666"/>
    <w:rsid w:val="748142F7"/>
    <w:rsid w:val="748C7B97"/>
    <w:rsid w:val="74A41DD3"/>
    <w:rsid w:val="74A964C0"/>
    <w:rsid w:val="758C507A"/>
    <w:rsid w:val="75957116"/>
    <w:rsid w:val="75BB6DDE"/>
    <w:rsid w:val="75DDE341"/>
    <w:rsid w:val="75F419BD"/>
    <w:rsid w:val="75FB11C4"/>
    <w:rsid w:val="760D1070"/>
    <w:rsid w:val="766808A0"/>
    <w:rsid w:val="76827B67"/>
    <w:rsid w:val="769F515D"/>
    <w:rsid w:val="775782C1"/>
    <w:rsid w:val="778E477C"/>
    <w:rsid w:val="77B71CB8"/>
    <w:rsid w:val="77C105AF"/>
    <w:rsid w:val="77DE0F3B"/>
    <w:rsid w:val="77DFB9AD"/>
    <w:rsid w:val="77E7DD76"/>
    <w:rsid w:val="77F68382"/>
    <w:rsid w:val="77FF2CBB"/>
    <w:rsid w:val="7818439F"/>
    <w:rsid w:val="78496C6A"/>
    <w:rsid w:val="784A2AB0"/>
    <w:rsid w:val="784A3ECE"/>
    <w:rsid w:val="78921668"/>
    <w:rsid w:val="78F3369A"/>
    <w:rsid w:val="7914151B"/>
    <w:rsid w:val="79147D3E"/>
    <w:rsid w:val="793A1DDD"/>
    <w:rsid w:val="793E3454"/>
    <w:rsid w:val="797AEA3E"/>
    <w:rsid w:val="79DA0242"/>
    <w:rsid w:val="79DF672F"/>
    <w:rsid w:val="7A324E74"/>
    <w:rsid w:val="7AB5773F"/>
    <w:rsid w:val="7ABA26AA"/>
    <w:rsid w:val="7ABB1CB7"/>
    <w:rsid w:val="7AED02B3"/>
    <w:rsid w:val="7AF71125"/>
    <w:rsid w:val="7B3F2095"/>
    <w:rsid w:val="7B9B3791"/>
    <w:rsid w:val="7BAD44BB"/>
    <w:rsid w:val="7BBC2640"/>
    <w:rsid w:val="7BBC4D64"/>
    <w:rsid w:val="7BBD499B"/>
    <w:rsid w:val="7BDDBCFC"/>
    <w:rsid w:val="7BE50955"/>
    <w:rsid w:val="7BF3D8AC"/>
    <w:rsid w:val="7BF4F06D"/>
    <w:rsid w:val="7BFC1C2F"/>
    <w:rsid w:val="7BFF1E05"/>
    <w:rsid w:val="7C0B18C3"/>
    <w:rsid w:val="7C0D37D8"/>
    <w:rsid w:val="7C8304B2"/>
    <w:rsid w:val="7C902C69"/>
    <w:rsid w:val="7CDC5825"/>
    <w:rsid w:val="7D2854CD"/>
    <w:rsid w:val="7D7E64CA"/>
    <w:rsid w:val="7DB8D0FE"/>
    <w:rsid w:val="7DE7F386"/>
    <w:rsid w:val="7DEFA7FA"/>
    <w:rsid w:val="7DF17CE7"/>
    <w:rsid w:val="7DFF2E8D"/>
    <w:rsid w:val="7DFFB564"/>
    <w:rsid w:val="7E08241D"/>
    <w:rsid w:val="7E347EA7"/>
    <w:rsid w:val="7E3A3DB5"/>
    <w:rsid w:val="7E3F1D2A"/>
    <w:rsid w:val="7E416EDF"/>
    <w:rsid w:val="7E5E3F64"/>
    <w:rsid w:val="7E5F29EF"/>
    <w:rsid w:val="7E61452B"/>
    <w:rsid w:val="7E766FF5"/>
    <w:rsid w:val="7E7A3D44"/>
    <w:rsid w:val="7E843AFA"/>
    <w:rsid w:val="7E8904B7"/>
    <w:rsid w:val="7EA45680"/>
    <w:rsid w:val="7EBF381B"/>
    <w:rsid w:val="7EEDE351"/>
    <w:rsid w:val="7EEFEEEE"/>
    <w:rsid w:val="7EFFC94D"/>
    <w:rsid w:val="7F7B9373"/>
    <w:rsid w:val="7F9B33D5"/>
    <w:rsid w:val="7FABC554"/>
    <w:rsid w:val="7FBF7290"/>
    <w:rsid w:val="7FBFFD52"/>
    <w:rsid w:val="7FD5E229"/>
    <w:rsid w:val="7FDF6D69"/>
    <w:rsid w:val="7FEB0F12"/>
    <w:rsid w:val="7FEF9D39"/>
    <w:rsid w:val="7FF59111"/>
    <w:rsid w:val="7FF7483A"/>
    <w:rsid w:val="7FFF34FE"/>
    <w:rsid w:val="7FFF6208"/>
    <w:rsid w:val="7FFFC48D"/>
    <w:rsid w:val="8AB76A38"/>
    <w:rsid w:val="8FAD7F93"/>
    <w:rsid w:val="94BB89D3"/>
    <w:rsid w:val="95FDD942"/>
    <w:rsid w:val="97D3B674"/>
    <w:rsid w:val="9BD9DF5E"/>
    <w:rsid w:val="9D3F6B51"/>
    <w:rsid w:val="9E9E2022"/>
    <w:rsid w:val="A79FC8A8"/>
    <w:rsid w:val="AAD38C4F"/>
    <w:rsid w:val="AAF5CF67"/>
    <w:rsid w:val="ACFFAB38"/>
    <w:rsid w:val="AE3F30CC"/>
    <w:rsid w:val="AEFD3AC7"/>
    <w:rsid w:val="AFA5A9DC"/>
    <w:rsid w:val="AFB707A8"/>
    <w:rsid w:val="AFB78EDE"/>
    <w:rsid w:val="AFBABB44"/>
    <w:rsid w:val="AFCF9FDE"/>
    <w:rsid w:val="AFDB0779"/>
    <w:rsid w:val="AFDF213B"/>
    <w:rsid w:val="B37F42A2"/>
    <w:rsid w:val="B3C8C237"/>
    <w:rsid w:val="B7DF19DF"/>
    <w:rsid w:val="B7DF98EB"/>
    <w:rsid w:val="B7EF4545"/>
    <w:rsid w:val="BDD7BA18"/>
    <w:rsid w:val="BE7FE5B8"/>
    <w:rsid w:val="BEC009D6"/>
    <w:rsid w:val="BEF80EF0"/>
    <w:rsid w:val="BEFC3EBC"/>
    <w:rsid w:val="BFB6AEC3"/>
    <w:rsid w:val="BFC71A12"/>
    <w:rsid w:val="BFEC3823"/>
    <w:rsid w:val="BFEDBAF6"/>
    <w:rsid w:val="BFFA6DF7"/>
    <w:rsid w:val="BFFF65D1"/>
    <w:rsid w:val="C9BDF421"/>
    <w:rsid w:val="CCBEE609"/>
    <w:rsid w:val="CCFADF17"/>
    <w:rsid w:val="CDEB69FA"/>
    <w:rsid w:val="D2AFC410"/>
    <w:rsid w:val="D3BA7BF0"/>
    <w:rsid w:val="D3FBBC33"/>
    <w:rsid w:val="D5F73631"/>
    <w:rsid w:val="D5FE0364"/>
    <w:rsid w:val="D6724456"/>
    <w:rsid w:val="D87F3D3A"/>
    <w:rsid w:val="D9DF6014"/>
    <w:rsid w:val="D9F4A5C7"/>
    <w:rsid w:val="D9FFD633"/>
    <w:rsid w:val="DACF5808"/>
    <w:rsid w:val="DAFE7386"/>
    <w:rsid w:val="DBBE5F64"/>
    <w:rsid w:val="DBF570B2"/>
    <w:rsid w:val="DCEBA652"/>
    <w:rsid w:val="DD3D5963"/>
    <w:rsid w:val="DD5FF24D"/>
    <w:rsid w:val="DDA71571"/>
    <w:rsid w:val="DDBF271F"/>
    <w:rsid w:val="DDDC8797"/>
    <w:rsid w:val="DDF643E3"/>
    <w:rsid w:val="DE7D1A22"/>
    <w:rsid w:val="DEBD0FB7"/>
    <w:rsid w:val="DEBF453C"/>
    <w:rsid w:val="DEEE229E"/>
    <w:rsid w:val="DEFF3536"/>
    <w:rsid w:val="DEFFB166"/>
    <w:rsid w:val="DF651CC9"/>
    <w:rsid w:val="DF774499"/>
    <w:rsid w:val="DFAD4896"/>
    <w:rsid w:val="DFB1B189"/>
    <w:rsid w:val="DFBED4B5"/>
    <w:rsid w:val="DFBF36B4"/>
    <w:rsid w:val="DFEE38F9"/>
    <w:rsid w:val="DFF4BF42"/>
    <w:rsid w:val="DFFF548B"/>
    <w:rsid w:val="E1EFDDD7"/>
    <w:rsid w:val="E63728F8"/>
    <w:rsid w:val="E7F7F35A"/>
    <w:rsid w:val="E7FECB82"/>
    <w:rsid w:val="EAFC4EAD"/>
    <w:rsid w:val="EBBB8097"/>
    <w:rsid w:val="EBFE8443"/>
    <w:rsid w:val="ECFC1338"/>
    <w:rsid w:val="EE6C0D20"/>
    <w:rsid w:val="EEFB75C4"/>
    <w:rsid w:val="EF7DA5CA"/>
    <w:rsid w:val="EF7F5C9B"/>
    <w:rsid w:val="EF9A9625"/>
    <w:rsid w:val="EFCCF74C"/>
    <w:rsid w:val="EFF5105E"/>
    <w:rsid w:val="EFFB9913"/>
    <w:rsid w:val="EFFF9D56"/>
    <w:rsid w:val="F0CF6918"/>
    <w:rsid w:val="F32F541B"/>
    <w:rsid w:val="F3EDDE08"/>
    <w:rsid w:val="F3FBE468"/>
    <w:rsid w:val="F3FF8E30"/>
    <w:rsid w:val="F4ADE809"/>
    <w:rsid w:val="F4FFA798"/>
    <w:rsid w:val="F56D2462"/>
    <w:rsid w:val="F5DD29B8"/>
    <w:rsid w:val="F5F7D5AB"/>
    <w:rsid w:val="F66B4F4E"/>
    <w:rsid w:val="F79D1F4C"/>
    <w:rsid w:val="F7DFA95C"/>
    <w:rsid w:val="F7DFD3DB"/>
    <w:rsid w:val="F7FDFE35"/>
    <w:rsid w:val="F7FEF2C6"/>
    <w:rsid w:val="F9DF8D70"/>
    <w:rsid w:val="FADDE713"/>
    <w:rsid w:val="FB7F29C6"/>
    <w:rsid w:val="FBBFC78C"/>
    <w:rsid w:val="FBD54BCA"/>
    <w:rsid w:val="FBDBCCF0"/>
    <w:rsid w:val="FBDDDEC3"/>
    <w:rsid w:val="FBEE69D7"/>
    <w:rsid w:val="FBFD2836"/>
    <w:rsid w:val="FC674358"/>
    <w:rsid w:val="FCFF60E9"/>
    <w:rsid w:val="FD776BEE"/>
    <w:rsid w:val="FD9F51B7"/>
    <w:rsid w:val="FDB7F84E"/>
    <w:rsid w:val="FDED1412"/>
    <w:rsid w:val="FDEF4F04"/>
    <w:rsid w:val="FDFA0AC4"/>
    <w:rsid w:val="FDFFDC62"/>
    <w:rsid w:val="FE57203E"/>
    <w:rsid w:val="FEF7CEDB"/>
    <w:rsid w:val="FEFB1F4F"/>
    <w:rsid w:val="FEFF2A24"/>
    <w:rsid w:val="FF3778BE"/>
    <w:rsid w:val="FF3CB7A9"/>
    <w:rsid w:val="FF66B216"/>
    <w:rsid w:val="FF7B7E73"/>
    <w:rsid w:val="FF7F18B8"/>
    <w:rsid w:val="FF7F329D"/>
    <w:rsid w:val="FFB4BD9E"/>
    <w:rsid w:val="FFBD1673"/>
    <w:rsid w:val="FFBF7C9C"/>
    <w:rsid w:val="FFCADFC0"/>
    <w:rsid w:val="FFD03F2D"/>
    <w:rsid w:val="FFD2081E"/>
    <w:rsid w:val="FFD73D0F"/>
    <w:rsid w:val="FFDEB3F6"/>
    <w:rsid w:val="FFE24981"/>
    <w:rsid w:val="FFF545D9"/>
    <w:rsid w:val="FFF7626D"/>
    <w:rsid w:val="FFFF2582"/>
    <w:rsid w:val="FFFF8F2D"/>
    <w:rsid w:val="FFFFD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nhideWhenUsed="0" w:uiPriority="0" w:semiHidden="0" w:name="List Bullet"/>
    <w:lsdException w:unhideWhenUsed="0"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heme="minorBidi"/>
      <w:kern w:val="2"/>
      <w:sz w:val="32"/>
      <w:szCs w:val="24"/>
      <w:lang w:val="en-US" w:eastAsia="zh-CN" w:bidi="ar-SA"/>
    </w:rPr>
  </w:style>
  <w:style w:type="paragraph" w:styleId="2">
    <w:name w:val="heading 1"/>
    <w:basedOn w:val="1"/>
    <w:next w:val="1"/>
    <w:qFormat/>
    <w:uiPriority w:val="0"/>
    <w:pPr>
      <w:keepNext w:val="0"/>
      <w:keepLines w:val="0"/>
      <w:spacing w:before="50" w:beforeLines="50" w:line="560" w:lineRule="exact"/>
      <w:ind w:firstLine="643"/>
      <w:outlineLvl w:val="0"/>
    </w:pPr>
    <w:rPr>
      <w:rFonts w:ascii="Times New Roman" w:hAnsi="Times New Roman" w:eastAsia="黑体"/>
      <w:bCs/>
      <w:snapToGrid w:val="0"/>
      <w:kern w:val="0"/>
      <w:szCs w:val="44"/>
    </w:rPr>
  </w:style>
  <w:style w:type="paragraph" w:styleId="3">
    <w:name w:val="heading 2"/>
    <w:basedOn w:val="1"/>
    <w:next w:val="1"/>
    <w:link w:val="31"/>
    <w:unhideWhenUsed/>
    <w:qFormat/>
    <w:uiPriority w:val="0"/>
    <w:pPr>
      <w:keepNext w:val="0"/>
      <w:keepLines w:val="0"/>
      <w:outlineLvl w:val="1"/>
    </w:pPr>
    <w:rPr>
      <w:rFonts w:ascii="Arial" w:hAnsi="Arial" w:eastAsia="楷体"/>
    </w:rPr>
  </w:style>
  <w:style w:type="paragraph" w:styleId="4">
    <w:name w:val="heading 3"/>
    <w:basedOn w:val="1"/>
    <w:next w:val="1"/>
    <w:link w:val="37"/>
    <w:unhideWhenUsed/>
    <w:qFormat/>
    <w:uiPriority w:val="0"/>
    <w:pPr>
      <w:keepNext w:val="0"/>
      <w:keepLines w:val="0"/>
      <w:outlineLvl w:val="2"/>
    </w:pPr>
    <w:rPr>
      <w:rFonts w:ascii="Times New Roman" w:hAnsi="Times New Roman"/>
      <w:b/>
      <w:bCs/>
      <w:szCs w:val="32"/>
    </w:rPr>
  </w:style>
  <w:style w:type="paragraph" w:styleId="5">
    <w:name w:val="heading 4"/>
    <w:basedOn w:val="1"/>
    <w:next w:val="1"/>
    <w:link w:val="47"/>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0"/>
    </w:rPr>
  </w:style>
  <w:style w:type="paragraph" w:styleId="8">
    <w:name w:val="Document Map"/>
    <w:basedOn w:val="1"/>
    <w:link w:val="36"/>
    <w:qFormat/>
    <w:uiPriority w:val="0"/>
    <w:rPr>
      <w:rFonts w:ascii="宋体" w:eastAsia="宋体"/>
      <w:sz w:val="18"/>
      <w:szCs w:val="18"/>
    </w:rPr>
  </w:style>
  <w:style w:type="paragraph" w:styleId="9">
    <w:name w:val="annotation text"/>
    <w:basedOn w:val="1"/>
    <w:link w:val="33"/>
    <w:qFormat/>
    <w:uiPriority w:val="99"/>
  </w:style>
  <w:style w:type="paragraph" w:styleId="10">
    <w:name w:val="Body Text"/>
    <w:basedOn w:val="1"/>
    <w:next w:val="1"/>
    <w:qFormat/>
    <w:uiPriority w:val="0"/>
    <w:pPr>
      <w:jc w:val="center"/>
    </w:pPr>
    <w:rPr>
      <w:rFonts w:ascii="Times New Roman" w:eastAsia="宋体"/>
      <w:b/>
    </w:rPr>
  </w:style>
  <w:style w:type="paragraph" w:styleId="11">
    <w:name w:val="toc 3"/>
    <w:basedOn w:val="1"/>
    <w:next w:val="1"/>
    <w:unhideWhenUsed/>
    <w:qFormat/>
    <w:uiPriority w:val="39"/>
    <w:pPr>
      <w:tabs>
        <w:tab w:val="right" w:leader="dot" w:pos="8834"/>
      </w:tabs>
      <w:ind w:firstLine="640"/>
    </w:pPr>
  </w:style>
  <w:style w:type="paragraph" w:styleId="12">
    <w:name w:val="Body Text Indent 2"/>
    <w:basedOn w:val="1"/>
    <w:link w:val="42"/>
    <w:qFormat/>
    <w:uiPriority w:val="0"/>
    <w:pPr>
      <w:spacing w:after="120" w:line="480" w:lineRule="auto"/>
      <w:ind w:left="420" w:leftChars="200"/>
    </w:pPr>
  </w:style>
  <w:style w:type="paragraph" w:styleId="13">
    <w:name w:val="Balloon Text"/>
    <w:basedOn w:val="1"/>
    <w:link w:val="32"/>
    <w:qFormat/>
    <w:uiPriority w:val="0"/>
    <w:rPr>
      <w:sz w:val="18"/>
      <w:szCs w:val="18"/>
    </w:rPr>
  </w:style>
  <w:style w:type="paragraph" w:styleId="14">
    <w:name w:val="footer"/>
    <w:basedOn w:val="1"/>
    <w:link w:val="39"/>
    <w:qFormat/>
    <w:uiPriority w:val="99"/>
    <w:pPr>
      <w:tabs>
        <w:tab w:val="center" w:pos="4153"/>
        <w:tab w:val="right" w:pos="8306"/>
      </w:tabs>
      <w:snapToGrid w:val="0"/>
    </w:pPr>
    <w:rPr>
      <w:sz w:val="18"/>
    </w:rPr>
  </w:style>
  <w:style w:type="paragraph" w:styleId="1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39"/>
    <w:rPr>
      <w:sz w:val="28"/>
    </w:rPr>
  </w:style>
  <w:style w:type="paragraph" w:styleId="17">
    <w:name w:val="Subtitle"/>
    <w:basedOn w:val="1"/>
    <w:next w:val="1"/>
    <w:qFormat/>
    <w:uiPriority w:val="0"/>
    <w:pPr>
      <w:outlineLvl w:val="2"/>
    </w:pPr>
    <w:rPr>
      <w:rFonts w:ascii="Cambria" w:hAnsi="Cambria" w:eastAsia="黑体"/>
      <w:bCs/>
      <w:kern w:val="28"/>
      <w:szCs w:val="32"/>
    </w:rPr>
  </w:style>
  <w:style w:type="paragraph" w:styleId="18">
    <w:name w:val="footnote text"/>
    <w:basedOn w:val="1"/>
    <w:link w:val="40"/>
    <w:unhideWhenUsed/>
    <w:qFormat/>
    <w:uiPriority w:val="99"/>
    <w:pPr>
      <w:snapToGrid w:val="0"/>
    </w:pPr>
    <w:rPr>
      <w:sz w:val="18"/>
      <w:szCs w:val="18"/>
    </w:rPr>
  </w:style>
  <w:style w:type="paragraph" w:styleId="19">
    <w:name w:val="toc 2"/>
    <w:basedOn w:val="1"/>
    <w:next w:val="1"/>
    <w:qFormat/>
    <w:uiPriority w:val="39"/>
    <w:pPr>
      <w:spacing w:line="480" w:lineRule="exact"/>
    </w:pPr>
    <w:rPr>
      <w:sz w:val="28"/>
    </w:rPr>
  </w:style>
  <w:style w:type="paragraph" w:styleId="20">
    <w:name w:val="Normal (Web)"/>
    <w:basedOn w:val="1"/>
    <w:unhideWhenUsed/>
    <w:qFormat/>
    <w:uiPriority w:val="99"/>
    <w:pPr>
      <w:widowControl/>
      <w:spacing w:before="100" w:beforeAutospacing="1" w:after="100" w:afterAutospacing="1"/>
      <w:ind w:firstLine="0" w:firstLineChars="0"/>
    </w:pPr>
    <w:rPr>
      <w:rFonts w:ascii="宋体" w:hAnsi="宋体" w:eastAsia="宋体" w:cs="宋体"/>
      <w:kern w:val="0"/>
      <w:sz w:val="24"/>
    </w:rPr>
  </w:style>
  <w:style w:type="paragraph" w:styleId="21">
    <w:name w:val="annotation subject"/>
    <w:basedOn w:val="9"/>
    <w:next w:val="9"/>
    <w:link w:val="35"/>
    <w:qFormat/>
    <w:uiPriority w:val="0"/>
    <w:rPr>
      <w:b/>
      <w:bCs/>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563C1" w:themeColor="hyperlink"/>
      <w:u w:val="single"/>
      <w14:textFill>
        <w14:solidFill>
          <w14:schemeClr w14:val="hlink"/>
        </w14:solidFill>
      </w14:textFill>
    </w:rPr>
  </w:style>
  <w:style w:type="character" w:styleId="28">
    <w:name w:val="annotation reference"/>
    <w:basedOn w:val="24"/>
    <w:unhideWhenUsed/>
    <w:qFormat/>
    <w:uiPriority w:val="99"/>
    <w:rPr>
      <w:sz w:val="21"/>
      <w:szCs w:val="21"/>
    </w:rPr>
  </w:style>
  <w:style w:type="character" w:styleId="29">
    <w:name w:val="footnote reference"/>
    <w:basedOn w:val="24"/>
    <w:unhideWhenUsed/>
    <w:qFormat/>
    <w:uiPriority w:val="99"/>
    <w:rPr>
      <w:vertAlign w:val="superscript"/>
    </w:rPr>
  </w:style>
  <w:style w:type="paragraph" w:customStyle="1" w:styleId="30">
    <w:name w:val="_Style 7"/>
    <w:qFormat/>
    <w:uiPriority w:val="1"/>
    <w:rPr>
      <w:rFonts w:ascii="Calibri" w:hAnsi="Calibri" w:eastAsiaTheme="minorEastAsia" w:cstheme="minorBidi"/>
      <w:sz w:val="22"/>
      <w:szCs w:val="22"/>
      <w:lang w:val="en-US" w:eastAsia="zh-CN" w:bidi="ar-SA"/>
    </w:rPr>
  </w:style>
  <w:style w:type="character" w:customStyle="1" w:styleId="31">
    <w:name w:val="标题 2 字符"/>
    <w:link w:val="3"/>
    <w:qFormat/>
    <w:uiPriority w:val="0"/>
    <w:rPr>
      <w:rFonts w:ascii="Arial" w:hAnsi="Arial" w:eastAsia="楷体" w:cstheme="minorBidi"/>
      <w:kern w:val="2"/>
      <w:sz w:val="32"/>
      <w:szCs w:val="24"/>
    </w:rPr>
  </w:style>
  <w:style w:type="character" w:customStyle="1" w:styleId="32">
    <w:name w:val="批注框文本 字符"/>
    <w:basedOn w:val="24"/>
    <w:link w:val="13"/>
    <w:qFormat/>
    <w:uiPriority w:val="0"/>
    <w:rPr>
      <w:rFonts w:eastAsia="仿宋"/>
      <w:kern w:val="2"/>
      <w:sz w:val="18"/>
      <w:szCs w:val="18"/>
    </w:rPr>
  </w:style>
  <w:style w:type="character" w:customStyle="1" w:styleId="33">
    <w:name w:val="批注文字 字符"/>
    <w:basedOn w:val="24"/>
    <w:link w:val="9"/>
    <w:qFormat/>
    <w:uiPriority w:val="99"/>
    <w:rPr>
      <w:rFonts w:eastAsia="仿宋"/>
      <w:kern w:val="2"/>
      <w:sz w:val="32"/>
      <w:szCs w:val="24"/>
    </w:rPr>
  </w:style>
  <w:style w:type="paragraph" w:customStyle="1" w:styleId="34">
    <w:name w:val="列表段落1"/>
    <w:basedOn w:val="1"/>
    <w:unhideWhenUsed/>
    <w:qFormat/>
    <w:uiPriority w:val="99"/>
    <w:pPr>
      <w:ind w:firstLine="420"/>
    </w:pPr>
  </w:style>
  <w:style w:type="character" w:customStyle="1" w:styleId="35">
    <w:name w:val="批注主题 字符"/>
    <w:basedOn w:val="33"/>
    <w:link w:val="21"/>
    <w:qFormat/>
    <w:uiPriority w:val="0"/>
    <w:rPr>
      <w:rFonts w:eastAsia="仿宋"/>
      <w:b/>
      <w:bCs/>
      <w:kern w:val="2"/>
      <w:sz w:val="32"/>
      <w:szCs w:val="24"/>
    </w:rPr>
  </w:style>
  <w:style w:type="character" w:customStyle="1" w:styleId="36">
    <w:name w:val="文档结构图 字符"/>
    <w:basedOn w:val="24"/>
    <w:link w:val="8"/>
    <w:qFormat/>
    <w:uiPriority w:val="0"/>
    <w:rPr>
      <w:rFonts w:ascii="宋体" w:eastAsia="宋体"/>
      <w:kern w:val="2"/>
      <w:sz w:val="18"/>
      <w:szCs w:val="18"/>
    </w:rPr>
  </w:style>
  <w:style w:type="character" w:customStyle="1" w:styleId="37">
    <w:name w:val="标题 3 字符"/>
    <w:basedOn w:val="24"/>
    <w:link w:val="4"/>
    <w:qFormat/>
    <w:uiPriority w:val="0"/>
    <w:rPr>
      <w:rFonts w:ascii="Times New Roman" w:hAnsi="Times New Roman" w:eastAsia="仿宋" w:cstheme="minorBidi"/>
      <w:b/>
      <w:bCs/>
      <w:kern w:val="2"/>
      <w:sz w:val="32"/>
      <w:szCs w:val="32"/>
    </w:rPr>
  </w:style>
  <w:style w:type="character" w:customStyle="1" w:styleId="38">
    <w:name w:val="font11"/>
    <w:basedOn w:val="24"/>
    <w:qFormat/>
    <w:uiPriority w:val="0"/>
    <w:rPr>
      <w:rFonts w:hint="eastAsia" w:ascii="宋体" w:hAnsi="宋体" w:eastAsia="宋体" w:cs="宋体"/>
      <w:color w:val="000000"/>
      <w:sz w:val="20"/>
      <w:szCs w:val="20"/>
      <w:u w:val="none"/>
    </w:rPr>
  </w:style>
  <w:style w:type="character" w:customStyle="1" w:styleId="39">
    <w:name w:val="页脚 字符"/>
    <w:basedOn w:val="24"/>
    <w:link w:val="14"/>
    <w:qFormat/>
    <w:uiPriority w:val="99"/>
    <w:rPr>
      <w:rFonts w:eastAsia="仿宋"/>
      <w:kern w:val="2"/>
      <w:sz w:val="18"/>
      <w:szCs w:val="24"/>
    </w:rPr>
  </w:style>
  <w:style w:type="character" w:customStyle="1" w:styleId="40">
    <w:name w:val="脚注文本 字符"/>
    <w:basedOn w:val="24"/>
    <w:link w:val="18"/>
    <w:qFormat/>
    <w:uiPriority w:val="99"/>
    <w:rPr>
      <w:rFonts w:eastAsia="仿宋"/>
      <w:kern w:val="2"/>
      <w:sz w:val="18"/>
      <w:szCs w:val="18"/>
    </w:rPr>
  </w:style>
  <w:style w:type="paragraph" w:customStyle="1" w:styleId="41">
    <w:name w:val="列出段落11"/>
    <w:basedOn w:val="1"/>
    <w:qFormat/>
    <w:uiPriority w:val="34"/>
    <w:pPr>
      <w:ind w:firstLine="420"/>
    </w:pPr>
    <w:rPr>
      <w:rFonts w:eastAsia="仿宋_GB2312" w:cs="Times New Roman"/>
      <w:sz w:val="28"/>
      <w:szCs w:val="22"/>
    </w:rPr>
  </w:style>
  <w:style w:type="character" w:customStyle="1" w:styleId="42">
    <w:name w:val="正文文本缩进 2 字符"/>
    <w:link w:val="12"/>
    <w:qFormat/>
    <w:uiPriority w:val="0"/>
    <w:rPr>
      <w:rFonts w:eastAsia="仿宋"/>
      <w:kern w:val="2"/>
      <w:sz w:val="32"/>
      <w:szCs w:val="24"/>
    </w:rPr>
  </w:style>
  <w:style w:type="paragraph" w:customStyle="1" w:styleId="43">
    <w:name w:val="TOC 标题1"/>
    <w:basedOn w:val="2"/>
    <w:next w:val="1"/>
    <w:unhideWhenUsed/>
    <w:qFormat/>
    <w:uiPriority w:val="39"/>
    <w:pPr>
      <w:widowControl/>
      <w:spacing w:before="480" w:line="276" w:lineRule="auto"/>
      <w:ind w:firstLine="0" w:firstLineChars="0"/>
      <w:outlineLvl w:val="9"/>
    </w:pPr>
    <w:rPr>
      <w:rFonts w:asciiTheme="majorHAnsi" w:hAnsiTheme="majorHAnsi" w:eastAsiaTheme="majorEastAsia" w:cstheme="majorBidi"/>
      <w:snapToGrid/>
      <w:color w:val="2E75B6" w:themeColor="accent1" w:themeShade="BF"/>
      <w:sz w:val="28"/>
      <w:szCs w:val="28"/>
    </w:rPr>
  </w:style>
  <w:style w:type="character" w:customStyle="1" w:styleId="44">
    <w:name w:val="font01"/>
    <w:basedOn w:val="24"/>
    <w:qFormat/>
    <w:uiPriority w:val="0"/>
    <w:rPr>
      <w:rFonts w:hint="eastAsia" w:ascii="宋体" w:hAnsi="宋体" w:eastAsia="宋体" w:cs="宋体"/>
      <w:color w:val="000000"/>
      <w:sz w:val="24"/>
      <w:szCs w:val="24"/>
      <w:u w:val="none"/>
    </w:rPr>
  </w:style>
  <w:style w:type="character" w:customStyle="1" w:styleId="45">
    <w:name w:val="font21"/>
    <w:basedOn w:val="24"/>
    <w:qFormat/>
    <w:uiPriority w:val="0"/>
    <w:rPr>
      <w:rFonts w:hint="eastAsia" w:ascii="宋体" w:hAnsi="宋体" w:eastAsia="宋体" w:cs="宋体"/>
      <w:color w:val="000000"/>
      <w:sz w:val="24"/>
      <w:szCs w:val="24"/>
      <w:u w:val="none"/>
    </w:rPr>
  </w:style>
  <w:style w:type="paragraph" w:customStyle="1" w:styleId="46">
    <w:name w:val="修订1"/>
    <w:hidden/>
    <w:semiHidden/>
    <w:qFormat/>
    <w:uiPriority w:val="99"/>
    <w:rPr>
      <w:rFonts w:eastAsia="仿宋" w:asciiTheme="minorHAnsi" w:hAnsiTheme="minorHAnsi" w:cstheme="minorBidi"/>
      <w:kern w:val="2"/>
      <w:sz w:val="32"/>
      <w:szCs w:val="24"/>
      <w:lang w:val="en-US" w:eastAsia="zh-CN" w:bidi="ar-SA"/>
    </w:rPr>
  </w:style>
  <w:style w:type="character" w:customStyle="1" w:styleId="47">
    <w:name w:val="标题 4 字符"/>
    <w:basedOn w:val="24"/>
    <w:link w:val="5"/>
    <w:semiHidden/>
    <w:qFormat/>
    <w:uiPriority w:val="0"/>
    <w:rPr>
      <w:rFonts w:asciiTheme="majorHAnsi" w:hAnsiTheme="majorHAnsi" w:eastAsiaTheme="majorEastAsia" w:cstheme="majorBidi"/>
      <w:b/>
      <w:bCs/>
      <w:kern w:val="2"/>
      <w:sz w:val="28"/>
      <w:szCs w:val="28"/>
    </w:rPr>
  </w:style>
  <w:style w:type="paragraph" w:customStyle="1" w:styleId="48">
    <w:name w:val="TOC 标题2"/>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Cs w:val="0"/>
      <w:snapToGrid/>
      <w:color w:val="2E75B6" w:themeColor="accent1" w:themeShade="BF"/>
      <w:szCs w:val="32"/>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修订2"/>
    <w:hidden/>
    <w:semiHidden/>
    <w:qFormat/>
    <w:uiPriority w:val="99"/>
    <w:rPr>
      <w:rFonts w:ascii="Times New Roman" w:hAnsi="Times New Roman" w:eastAsia="仿宋" w:cstheme="minorBidi"/>
      <w:kern w:val="2"/>
      <w:sz w:val="32"/>
      <w:szCs w:val="24"/>
      <w:lang w:val="en-US" w:eastAsia="zh-CN" w:bidi="ar-SA"/>
    </w:rPr>
  </w:style>
  <w:style w:type="paragraph" w:customStyle="1" w:styleId="52">
    <w:name w:val="p0"/>
    <w:basedOn w:val="1"/>
    <w:qFormat/>
    <w:uiPriority w:val="99"/>
    <w:pPr>
      <w:widowControl/>
    </w:pPr>
    <w:rPr>
      <w:kern w:val="0"/>
    </w:rPr>
  </w:style>
  <w:style w:type="character" w:customStyle="1" w:styleId="53">
    <w:name w:val="font41"/>
    <w:basedOn w:val="24"/>
    <w:qFormat/>
    <w:uiPriority w:val="0"/>
    <w:rPr>
      <w:rFonts w:ascii="仿宋" w:hAnsi="仿宋" w:eastAsia="仿宋" w:cs="仿宋"/>
      <w:color w:val="000000"/>
      <w:sz w:val="22"/>
      <w:szCs w:val="22"/>
      <w:u w:val="none"/>
    </w:rPr>
  </w:style>
  <w:style w:type="paragraph" w:customStyle="1" w:styleId="54">
    <w:name w:val="修订3"/>
    <w:hidden/>
    <w:semiHidden/>
    <w:qFormat/>
    <w:uiPriority w:val="99"/>
    <w:rPr>
      <w:rFonts w:ascii="Times New Roman" w:hAnsi="Times New Roman" w:eastAsia="仿宋" w:cstheme="minorBidi"/>
      <w:kern w:val="2"/>
      <w:sz w:val="32"/>
      <w:szCs w:val="24"/>
      <w:lang w:val="en-US" w:eastAsia="zh-CN" w:bidi="ar-SA"/>
    </w:rPr>
  </w:style>
  <w:style w:type="character" w:customStyle="1" w:styleId="55">
    <w:name w:val="NormalCharacter"/>
    <w:qFormat/>
    <w:uiPriority w:val="0"/>
    <w:rPr>
      <w:rFonts w:ascii="宋体" w:hAnsi="宋体" w:eastAsia="华文仿宋" w:cs="Times New Roman"/>
      <w:kern w:val="2"/>
      <w:sz w:val="32"/>
      <w:szCs w:val="32"/>
      <w:lang w:val="en-US" w:eastAsia="zh-CN" w:bidi="ar-SA"/>
    </w:rPr>
  </w:style>
  <w:style w:type="paragraph" w:customStyle="1" w:styleId="56">
    <w:name w:val="Revision"/>
    <w:hidden/>
    <w:semiHidden/>
    <w:qFormat/>
    <w:uiPriority w:val="99"/>
    <w:rPr>
      <w:rFonts w:ascii="Times New Roman" w:hAnsi="Times New Roman" w:eastAsia="仿宋" w:cstheme="minorBidi"/>
      <w:kern w:val="2"/>
      <w:sz w:val="32"/>
      <w:szCs w:val="24"/>
      <w:lang w:val="en-US" w:eastAsia="zh-CN" w:bidi="ar-SA"/>
    </w:rPr>
  </w:style>
  <w:style w:type="paragraph" w:customStyle="1" w:styleId="57">
    <w:name w:val="目录 11"/>
    <w:next w:val="1"/>
    <w:qFormat/>
    <w:uiPriority w:val="0"/>
    <w:pPr>
      <w:wordWrap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2380</Words>
  <Characters>2645</Characters>
  <Lines>136</Lines>
  <Paragraphs>38</Paragraphs>
  <TotalTime>9</TotalTime>
  <ScaleCrop>false</ScaleCrop>
  <LinksUpToDate>false</LinksUpToDate>
  <CharactersWithSpaces>2837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2023-05-26T09:18:00Z</dcterms:created>
  <dc:creator>licl</dc:creator>
  <cp:lastModifiedBy>智慧</cp:lastModifiedBy>
  <cp:lastPrinted>2025-08-29T07:09:00Z</cp:lastPrinted>
  <dcterms:modified xsi:type="dcterms:W3CDTF">2025-08-27T16:33:44Z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51BF721CCB478104707DAD68634AF93A_43</vt:lpwstr>
  </property>
  <property fmtid="{D5CDD505-2E9C-101B-9397-08002B2CF9AE}" pid="4" name="KSOTemplateDocerSaveRecord">
    <vt:lpwstr>eyJoZGlkIjoiMzg0ZjI5NTFiYzNiZDA1ZjA4YWJiZmE2NGU5MGQxYjYiLCJ1c2VySWQiOiI3MDU0NTAxNzcifQ==</vt:lpwstr>
  </property>
</Properties>
</file>