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FFB91">
      <w:pPr>
        <w:spacing w:line="1100" w:lineRule="exact"/>
        <w:jc w:val="center"/>
        <w:rPr>
          <w:rFonts w:hint="eastAsia" w:ascii="方正小标宋简体" w:eastAsia="方正小标宋简体"/>
          <w:color w:val="FF0000"/>
          <w:w w:val="80"/>
          <w:sz w:val="80"/>
          <w:szCs w:val="80"/>
        </w:rPr>
      </w:pPr>
      <w:r>
        <w:rPr>
          <w:rFonts w:hint="eastAsia" w:ascii="方正小标宋简体" w:eastAsia="方正小标宋简体"/>
          <w:color w:val="FF0000"/>
          <w:w w:val="80"/>
          <w:sz w:val="80"/>
          <w:szCs w:val="80"/>
        </w:rPr>
        <w:t>北   京   市   民   政   局</w:t>
      </w:r>
    </w:p>
    <w:p w14:paraId="39CDCF35">
      <w:pPr>
        <w:pBdr>
          <w:bottom w:val="single" w:color="FF0000" w:sz="12" w:space="1"/>
        </w:pBdr>
        <w:ind w:firstLine="112" w:firstLineChars="35"/>
        <w:jc w:val="center"/>
        <w:rPr>
          <w:color w:val="FF0000"/>
        </w:rPr>
      </w:pPr>
    </w:p>
    <w:p w14:paraId="0065BA14">
      <w:pPr>
        <w:shd w:val="clear" w:color="000000" w:fill="auto"/>
        <w:adjustRightInd w:val="0"/>
        <w:snapToGrid w:val="0"/>
        <w:spacing w:line="580" w:lineRule="exact"/>
        <w:jc w:val="both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 w14:paraId="7F2B3A87">
      <w:pPr>
        <w:shd w:val="clear" w:color="000000" w:fill="auto"/>
        <w:adjustRightInd w:val="0"/>
        <w:snapToGrid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年度部门整体绩效评价报告</w:t>
      </w:r>
    </w:p>
    <w:p w14:paraId="503DE23D">
      <w:pPr>
        <w:jc w:val="center"/>
        <w:rPr>
          <w:rFonts w:hint="default" w:ascii="Times New Roman Regular" w:hAnsi="Times New Roman Regular" w:cs="Times New Roman Regular"/>
          <w:szCs w:val="30"/>
        </w:rPr>
      </w:pPr>
    </w:p>
    <w:p w14:paraId="59A9CF27">
      <w:pPr>
        <w:pStyle w:val="2"/>
        <w:keepNext/>
        <w:keepLines/>
        <w:shd w:val="clear" w:color="010000" w:fill="auto"/>
        <w:spacing w:line="560" w:lineRule="exact"/>
        <w:ind w:firstLineChars="200"/>
        <w:rPr>
          <w:rFonts w:hint="eastAsia" w:ascii="黑体" w:hAnsi="黑体" w:eastAsia="黑体" w:cs="黑体"/>
          <w:bCs/>
          <w:color w:val="auto"/>
          <w:kern w:val="44"/>
          <w:szCs w:val="32"/>
        </w:rPr>
      </w:pPr>
      <w:r>
        <w:rPr>
          <w:rFonts w:hint="eastAsia" w:ascii="黑体" w:hAnsi="黑体" w:eastAsia="黑体" w:cs="黑体"/>
          <w:bCs/>
          <w:color w:val="auto"/>
          <w:kern w:val="44"/>
          <w:szCs w:val="32"/>
        </w:rPr>
        <w:t>一、</w:t>
      </w:r>
      <w:r>
        <w:rPr>
          <w:rFonts w:hint="eastAsia" w:ascii="黑体" w:hAnsi="黑体" w:eastAsia="黑体" w:cs="黑体"/>
          <w:bCs/>
          <w:color w:val="auto"/>
          <w:kern w:val="44"/>
          <w:szCs w:val="32"/>
          <w:lang w:val="en-US" w:eastAsia="zh-CN"/>
        </w:rPr>
        <w:t>202</w:t>
      </w:r>
      <w:r>
        <w:rPr>
          <w:rFonts w:hint="eastAsia" w:cs="黑体"/>
          <w:bCs/>
          <w:color w:val="auto"/>
          <w:kern w:val="44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Cs/>
          <w:color w:val="auto"/>
          <w:kern w:val="44"/>
          <w:szCs w:val="32"/>
          <w:lang w:val="en-US" w:eastAsia="zh-CN"/>
        </w:rPr>
        <w:t>年度</w:t>
      </w:r>
      <w:r>
        <w:rPr>
          <w:rFonts w:hint="eastAsia" w:ascii="黑体" w:hAnsi="黑体" w:eastAsia="黑体" w:cs="黑体"/>
          <w:bCs/>
          <w:color w:val="auto"/>
          <w:kern w:val="44"/>
          <w:szCs w:val="32"/>
        </w:rPr>
        <w:t>部门概况</w:t>
      </w:r>
    </w:p>
    <w:p w14:paraId="523B5BBD">
      <w:pPr>
        <w:pStyle w:val="3"/>
        <w:shd w:val="clear" w:color="010000" w:fill="auto"/>
        <w:ind w:firstLine="640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（一）机构设置及职责工作任务情况</w:t>
      </w:r>
    </w:p>
    <w:p w14:paraId="59F4392E">
      <w:pPr>
        <w:pStyle w:val="4"/>
        <w:shd w:val="clear" w:color="010000" w:fill="auto"/>
        <w:spacing w:before="0" w:after="0" w:line="560" w:lineRule="exact"/>
        <w:ind w:firstLine="640" w:firstLineChars="200"/>
        <w:rPr>
          <w:rFonts w:hint="eastAsia" w:ascii="仿宋_GB2312" w:hAnsi="仿宋_GB2312" w:cs="仿宋_GB2312"/>
          <w:b w:val="0"/>
        </w:rPr>
      </w:pPr>
      <w:bookmarkStart w:id="0" w:name="_Toc72438576"/>
      <w:bookmarkStart w:id="1" w:name="_Toc72438997"/>
      <w:r>
        <w:rPr>
          <w:rFonts w:hint="eastAsia" w:ascii="仿宋_GB2312" w:hAnsi="仿宋_GB2312" w:cs="仿宋_GB2312"/>
          <w:b w:val="0"/>
        </w:rPr>
        <w:t>1.</w:t>
      </w:r>
      <w:bookmarkEnd w:id="0"/>
      <w:bookmarkEnd w:id="1"/>
      <w:r>
        <w:rPr>
          <w:rFonts w:hint="eastAsia" w:ascii="仿宋_GB2312" w:hAnsi="仿宋_GB2312" w:cs="仿宋_GB2312"/>
          <w:b w:val="0"/>
        </w:rPr>
        <w:t>部门职责及机构设置情况</w:t>
      </w:r>
    </w:p>
    <w:p w14:paraId="244BB2B6">
      <w:pPr>
        <w:keepNext w:val="0"/>
        <w:keepLines w:val="0"/>
        <w:widowControl/>
        <w:suppressLineNumbers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北京市民政局（简称市民政局）是市政府组成部门，为正局级。市民政局负责贯彻落实党中央关于民政工作的方针政策、决策部署以及市委有关工作要求，把坚持党中央对民政工作的集中统一领导落实到履行职责过程中。主要职责</w:t>
      </w:r>
      <w:r>
        <w:rPr>
          <w:rFonts w:hint="eastAsia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 w14:paraId="6DA3EDC2">
      <w:pPr>
        <w:keepNext w:val="0"/>
        <w:keepLines w:val="0"/>
        <w:pageBreakBefore w:val="0"/>
        <w:widowControl w:val="0"/>
        <w:shd w:val="clear" w:color="000000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221" w:beforeLines="50" w:after="221" w:afterLines="50" w:line="0" w:lineRule="atLeast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市民政局主要职责</w:t>
      </w:r>
    </w:p>
    <w:tbl>
      <w:tblPr>
        <w:tblStyle w:val="1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7801"/>
      </w:tblGrid>
      <w:tr w14:paraId="45344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699" w:type="dxa"/>
            <w:vAlign w:val="center"/>
          </w:tcPr>
          <w:p w14:paraId="3028CDD7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7801" w:type="dxa"/>
            <w:vAlign w:val="center"/>
          </w:tcPr>
          <w:p w14:paraId="59B5DDC2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部门职责</w:t>
            </w:r>
          </w:p>
        </w:tc>
      </w:tr>
      <w:tr w14:paraId="6CFE1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9" w:type="dxa"/>
            <w:vAlign w:val="center"/>
          </w:tcPr>
          <w:p w14:paraId="7B7693F0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7801" w:type="dxa"/>
            <w:vAlign w:val="center"/>
          </w:tcPr>
          <w:p w14:paraId="19C9F431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40" w:lineRule="atLeas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="国标宋体" w:hAnsi="国标宋体" w:eastAsia="国标宋体" w:cs="国标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贯彻落实国家关于民政事业方面的法律、法规、规章和政策，起草本市有关地方性法规草案、政府规章草案并组织实施。拟订本市有关社会福利事业发展规划、政策，拟订民政事业中长期发展规划和政策并监督实施。</w:t>
            </w:r>
          </w:p>
        </w:tc>
      </w:tr>
      <w:tr w14:paraId="729AE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699" w:type="dxa"/>
            <w:vAlign w:val="center"/>
          </w:tcPr>
          <w:p w14:paraId="37AD3C7E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7801" w:type="dxa"/>
            <w:vAlign w:val="center"/>
          </w:tcPr>
          <w:p w14:paraId="58CBF4AB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2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="国标宋体" w:hAnsi="国标宋体" w:eastAsia="国标宋体" w:cs="国标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承担市老龄委的具体工作。组织拟订并协调落实积极应对人口老龄化的发展规划和政策措施。指导协调老年人权益保障工作。拟订老年人社会参与政策并组织实施。</w:t>
            </w:r>
          </w:p>
        </w:tc>
      </w:tr>
      <w:tr w14:paraId="52F97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699" w:type="dxa"/>
            <w:vAlign w:val="center"/>
          </w:tcPr>
          <w:p w14:paraId="0AA15C24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7801" w:type="dxa"/>
            <w:vAlign w:val="center"/>
          </w:tcPr>
          <w:p w14:paraId="7426FB4B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line="20" w:lineRule="atLeas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国标宋体" w:hAnsi="国标宋体" w:eastAsia="国标宋体" w:cs="国标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组织拟订并协调落实促进本市养老事业发展的政策措施。统筹推进、督促指导、监督管理养老服务工作，拟订养老服务体系建设规划、政策、标准并组织实施。承担老年人福利和特殊困难老年人救助工作。</w:t>
            </w:r>
          </w:p>
        </w:tc>
      </w:tr>
      <w:tr w14:paraId="559D4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vAlign w:val="center"/>
          </w:tcPr>
          <w:p w14:paraId="58754DAD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7801" w:type="dxa"/>
            <w:vAlign w:val="center"/>
          </w:tcPr>
          <w:p w14:paraId="5D59794B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20" w:lineRule="atLeas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负责本市社会团体、社会服务机构、基金会等社会组织的登记和监督管理工作。指导各区社会组织登记管理与执法监督工作。</w:t>
            </w:r>
          </w:p>
        </w:tc>
      </w:tr>
      <w:tr w14:paraId="746B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vAlign w:val="center"/>
          </w:tcPr>
          <w:p w14:paraId="3A6FE645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801" w:type="dxa"/>
            <w:vAlign w:val="center"/>
          </w:tcPr>
          <w:p w14:paraId="46E5AD58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560" w:lineRule="exac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组织拟订本市残疾人社会福利政策并统筹实施，指导有关权益保护工作。统筹推进康复辅助器具产业发展。</w:t>
            </w:r>
          </w:p>
        </w:tc>
      </w:tr>
      <w:tr w14:paraId="7A1BE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699" w:type="dxa"/>
            <w:vAlign w:val="center"/>
          </w:tcPr>
          <w:p w14:paraId="55C292F0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7801" w:type="dxa"/>
            <w:vAlign w:val="center"/>
          </w:tcPr>
          <w:p w14:paraId="0F51672C">
            <w:pPr>
              <w:shd w:val="clear" w:color="000000" w:fill="auto"/>
              <w:spacing w:line="0" w:lineRule="atLeas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拟订本市婚姻管理政策并组织实施，指导婚姻登记机构管理工作，推进婚俗改革。</w:t>
            </w:r>
          </w:p>
        </w:tc>
      </w:tr>
      <w:tr w14:paraId="2D63C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699" w:type="dxa"/>
            <w:vAlign w:val="center"/>
          </w:tcPr>
          <w:p w14:paraId="14D503C6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7801" w:type="dxa"/>
            <w:vAlign w:val="center"/>
          </w:tcPr>
          <w:p w14:paraId="10D5685E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60" w:lineRule="exac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拟订本市殡葬管理政策并组织实施，指导殡葬服务机构管理工作，推进殡葬改革。</w:t>
            </w:r>
          </w:p>
          <w:p w14:paraId="761F9631">
            <w:pPr>
              <w:shd w:val="clear" w:color="000000" w:fill="auto"/>
              <w:spacing w:line="0" w:lineRule="atLeas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1F8CC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vAlign w:val="center"/>
          </w:tcPr>
          <w:p w14:paraId="35F9FFF5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7801" w:type="dxa"/>
            <w:vAlign w:val="center"/>
          </w:tcPr>
          <w:p w14:paraId="4E9E0A05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0" w:lineRule="atLeas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 w14:paraId="1FC90D27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0" w:lineRule="atLeas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拟订本市儿童福利、孤困儿童保障、儿童收养、儿童救助保护政策和标准，健全困境儿童保障制度，指导有关儿童机构管理工作。</w:t>
            </w:r>
          </w:p>
          <w:p w14:paraId="4A5EAC18">
            <w:pPr>
              <w:shd w:val="clear" w:color="000000" w:fill="auto"/>
              <w:spacing w:line="0" w:lineRule="atLeas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23A6C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vAlign w:val="center"/>
          </w:tcPr>
          <w:p w14:paraId="5AD7EE34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7801" w:type="dxa"/>
            <w:vAlign w:val="center"/>
          </w:tcPr>
          <w:p w14:paraId="0F7E9E43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60" w:lineRule="exac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组织拟订促进本市慈善事业发展政策，指导社会捐助工作。负责福利彩票管理工作。</w:t>
            </w:r>
          </w:p>
          <w:p w14:paraId="43259372">
            <w:pPr>
              <w:shd w:val="clear" w:color="000000" w:fill="auto"/>
              <w:spacing w:line="0" w:lineRule="atLeas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7B97B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699" w:type="dxa"/>
            <w:vAlign w:val="center"/>
          </w:tcPr>
          <w:p w14:paraId="0117DD1C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801" w:type="dxa"/>
            <w:vAlign w:val="center"/>
          </w:tcPr>
          <w:p w14:paraId="32165A42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拟订本市城乡社会救助政策和标准，健全城乡社会救助体系。负责城乡居民最低生活保障、临时救助。负责特困人员供养工作。指导城市生活无着流浪乞讨人员救助工作。</w:t>
            </w:r>
          </w:p>
        </w:tc>
      </w:tr>
      <w:tr w14:paraId="097E0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vAlign w:val="center"/>
          </w:tcPr>
          <w:p w14:paraId="62521348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</w:p>
        </w:tc>
        <w:tc>
          <w:tcPr>
            <w:tcW w:w="7801" w:type="dxa"/>
            <w:vAlign w:val="center"/>
          </w:tcPr>
          <w:p w14:paraId="4AD71E71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拟订本市行政区划管理政策和标准。负责本市行政区划的设立、命名、变更和政府及派出机关驻地迁移等审核报批工作。组织指导全市行政区域界线的管理工作。负责各区边界争议调处工作。</w:t>
            </w:r>
          </w:p>
        </w:tc>
      </w:tr>
      <w:tr w14:paraId="1D02D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vAlign w:val="center"/>
          </w:tcPr>
          <w:p w14:paraId="79C14FFB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</w:p>
        </w:tc>
        <w:tc>
          <w:tcPr>
            <w:tcW w:w="7801" w:type="dxa"/>
            <w:vAlign w:val="center"/>
          </w:tcPr>
          <w:p w14:paraId="12E74C4C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拟订本市对见义勇为人员的奖励和权益保护政策，负责组织实施见义勇为人员的奖励和权益保护工作。</w:t>
            </w:r>
          </w:p>
        </w:tc>
      </w:tr>
      <w:tr w14:paraId="43853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vAlign w:val="center"/>
          </w:tcPr>
          <w:p w14:paraId="00227AD8">
            <w:pPr>
              <w:shd w:val="clear" w:color="000000" w:fill="auto"/>
              <w:spacing w:line="0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</w:t>
            </w:r>
          </w:p>
        </w:tc>
        <w:tc>
          <w:tcPr>
            <w:tcW w:w="7801" w:type="dxa"/>
            <w:vAlign w:val="center"/>
          </w:tcPr>
          <w:p w14:paraId="348CEE40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560" w:lineRule="exac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依法负责民政行政执法工作，组织查处有关违法违规行为。</w:t>
            </w:r>
          </w:p>
        </w:tc>
      </w:tr>
      <w:tr w14:paraId="0A5E9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vAlign w:val="center"/>
          </w:tcPr>
          <w:p w14:paraId="50DEF0C8">
            <w:pPr>
              <w:shd w:val="clear" w:color="000000" w:fill="auto"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801" w:type="dxa"/>
            <w:vAlign w:val="center"/>
          </w:tcPr>
          <w:p w14:paraId="5405281A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560" w:lineRule="exac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承担接济服务管理工作。</w:t>
            </w:r>
          </w:p>
        </w:tc>
      </w:tr>
      <w:tr w14:paraId="4935B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699" w:type="dxa"/>
            <w:vAlign w:val="center"/>
          </w:tcPr>
          <w:p w14:paraId="5F84250C">
            <w:pPr>
              <w:shd w:val="clear" w:color="000000" w:fill="auto"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801" w:type="dxa"/>
            <w:vAlign w:val="center"/>
          </w:tcPr>
          <w:p w14:paraId="0DEDD250">
            <w:pPr>
              <w:pStyle w:val="13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560" w:lineRule="exac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代管北京市老龄协会。</w:t>
            </w:r>
          </w:p>
        </w:tc>
      </w:tr>
      <w:tr w14:paraId="17C42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99" w:type="dxa"/>
            <w:vAlign w:val="center"/>
          </w:tcPr>
          <w:p w14:paraId="592D804C">
            <w:pPr>
              <w:shd w:val="clear" w:color="000000" w:fill="auto"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801" w:type="dxa"/>
            <w:vAlign w:val="center"/>
          </w:tcPr>
          <w:p w14:paraId="44F05C3E">
            <w:pPr>
              <w:shd w:val="clear" w:color="000000" w:fill="auto"/>
              <w:spacing w:line="0" w:lineRule="atLeas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完成市委、市政府交办的其他任务。　</w:t>
            </w:r>
          </w:p>
        </w:tc>
      </w:tr>
    </w:tbl>
    <w:p w14:paraId="58470EFF">
      <w:pPr>
        <w:pStyle w:val="4"/>
        <w:widowControl/>
        <w:pBdr>
          <w:top w:val="none" w:color="auto" w:sz="0" w:space="0"/>
          <w:left w:val="none" w:color="auto" w:sz="0" w:space="0"/>
          <w:right w:val="none" w:color="auto" w:sz="0" w:space="0"/>
        </w:pBdr>
        <w:shd w:val="clear" w:color="010000" w:fill="auto"/>
        <w:spacing w:before="0" w:after="0"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北京市民政局下属15个预算单位，分别是北京市社会组织管理中心、北京市民政教育管理学院、北京市接受捐赠事务管理中心、北京市接济救助管理事务中心系统、北京市老龄协会等。</w:t>
      </w:r>
    </w:p>
    <w:p w14:paraId="18789B2C">
      <w:pPr>
        <w:pStyle w:val="4"/>
        <w:widowControl/>
        <w:pBdr>
          <w:top w:val="none" w:color="auto" w:sz="0" w:space="0"/>
          <w:left w:val="none" w:color="auto" w:sz="0" w:space="0"/>
          <w:right w:val="none" w:color="auto" w:sz="0" w:space="0"/>
        </w:pBdr>
        <w:shd w:val="clear" w:color="010000" w:fill="auto"/>
        <w:spacing w:before="0" w:after="0"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2.年度工作任务</w:t>
      </w:r>
    </w:p>
    <w:p w14:paraId="48B88B5B">
      <w:pPr>
        <w:shd w:val="clear" w:color="auto" w:fill="auto"/>
        <w:spacing w:before="0" w:line="560" w:lineRule="exact"/>
        <w:ind w:left="0"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制定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2024年北京市民政改革工作要点</w:t>
      </w:r>
      <w:r>
        <w:rPr>
          <w:rFonts w:hint="eastAsia" w:ascii="仿宋_GB2312" w:hAnsi="仿宋_GB2312" w:eastAsia="仿宋_GB2312" w:cs="仿宋_GB2312"/>
        </w:rPr>
        <w:t>，围绕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统筹推进老龄工作和养老服务改革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优化基本民生保障和基本社会服务供给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深化民政社会治理改革创新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强化民政改革基础支撑</w:t>
      </w:r>
      <w:r>
        <w:rPr>
          <w:rFonts w:hint="eastAsia" w:ascii="仿宋_GB2312" w:hAnsi="仿宋_GB2312" w:eastAsia="仿宋_GB2312" w:cs="仿宋_GB2312"/>
        </w:rPr>
        <w:t>等方面，设置重点工作任务，具体</w:t>
      </w:r>
      <w:r>
        <w:rPr>
          <w:rFonts w:hint="eastAsia" w:ascii="仿宋_GB2312" w:hAnsi="仿宋_GB2312" w:eastAsia="仿宋_GB2312" w:cs="仿宋_GB2312"/>
          <w:lang w:val="en-US" w:eastAsia="zh-CN"/>
        </w:rPr>
        <w:t>工作任务和主要内容</w:t>
      </w:r>
      <w:r>
        <w:rPr>
          <w:rFonts w:hint="eastAsia" w:ascii="仿宋_GB2312" w:hAnsi="仿宋_GB2312" w:eastAsia="仿宋_GB2312" w:cs="仿宋_GB2312"/>
        </w:rPr>
        <w:t>如下：</w:t>
      </w:r>
    </w:p>
    <w:p w14:paraId="5E6A4D15">
      <w:pPr>
        <w:keepNext/>
        <w:shd w:val="clear" w:color="000000" w:fill="auto"/>
        <w:spacing w:before="221" w:beforeLines="50" w:after="221" w:afterLines="50" w:line="0" w:lineRule="atLeast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2024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民政改革工作要点</w:t>
      </w:r>
    </w:p>
    <w:tbl>
      <w:tblPr>
        <w:tblStyle w:val="1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484"/>
        <w:gridCol w:w="5443"/>
      </w:tblGrid>
      <w:tr w14:paraId="62286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177D7">
            <w:pPr>
              <w:keepNext/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3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6E4A1">
            <w:pPr>
              <w:keepNext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工作任务</w:t>
            </w:r>
          </w:p>
        </w:tc>
        <w:tc>
          <w:tcPr>
            <w:tcW w:w="3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7AA59">
            <w:pPr>
              <w:keepNext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主要内容</w:t>
            </w:r>
          </w:p>
        </w:tc>
      </w:tr>
      <w:tr w14:paraId="220BA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EDA60">
            <w:pPr>
              <w:keepNext/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E1725">
            <w:pPr>
              <w:spacing w:before="0" w:line="0" w:lineRule="atLeast"/>
              <w:ind w:lef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统筹推进老龄工作和养老服务改革</w:t>
            </w:r>
          </w:p>
          <w:p w14:paraId="216B687F">
            <w:pPr>
              <w:keepNext/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E4E35">
            <w:pPr>
              <w:keepNext/>
              <w:numPr>
                <w:ilvl w:val="0"/>
                <w:numId w:val="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健全完善老龄工作体系和工作机制</w:t>
            </w:r>
          </w:p>
          <w:p w14:paraId="17F75166">
            <w:pPr>
              <w:keepNext/>
              <w:numPr>
                <w:ilvl w:val="0"/>
                <w:numId w:val="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推动完善促进银发经济发展机制措施</w:t>
            </w:r>
          </w:p>
          <w:p w14:paraId="22A25663">
            <w:pPr>
              <w:keepNext/>
              <w:numPr>
                <w:ilvl w:val="0"/>
                <w:numId w:val="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建立完善老年人权益保护机制</w:t>
            </w:r>
          </w:p>
          <w:p w14:paraId="47DAD4E9">
            <w:pPr>
              <w:keepNext/>
              <w:numPr>
                <w:ilvl w:val="0"/>
                <w:numId w:val="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全面实施养老服务体系建设“</w:t>
            </w:r>
            <w:r>
              <w:rPr>
                <w:rFonts w:hint="eastAsia" w:ascii="宋体" w:hAnsi="宋体" w:eastAsia="宋体"/>
                <w:color w:val="000000"/>
                <w:spacing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1+6”</w:t>
            </w:r>
            <w:r>
              <w:rPr>
                <w:rFonts w:hint="eastAsia" w:ascii="宋体" w:hAnsi="宋体" w:eastAsia="宋体"/>
                <w:color w:val="000000"/>
                <w:spacing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系列政策</w:t>
            </w:r>
          </w:p>
          <w:p w14:paraId="30A0C11D">
            <w:pPr>
              <w:keepNext/>
              <w:numPr>
                <w:ilvl w:val="0"/>
                <w:numId w:val="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健全完善居家社区养老服务网络</w:t>
            </w:r>
          </w:p>
          <w:p w14:paraId="2696087F">
            <w:pPr>
              <w:keepNext/>
              <w:numPr>
                <w:ilvl w:val="0"/>
                <w:numId w:val="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提升机构养老服务质量</w:t>
            </w:r>
          </w:p>
          <w:p w14:paraId="77B61A52">
            <w:pPr>
              <w:keepNext/>
              <w:numPr>
                <w:ilvl w:val="0"/>
                <w:numId w:val="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拓宽养老服务人才队伍培养渠道</w:t>
            </w:r>
          </w:p>
          <w:p w14:paraId="4B3B3538">
            <w:pPr>
              <w:keepNext/>
              <w:numPr>
                <w:ilvl w:val="0"/>
                <w:numId w:val="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创新养老服务综合监管机制</w:t>
            </w:r>
          </w:p>
        </w:tc>
      </w:tr>
      <w:tr w14:paraId="5D916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16D55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428FD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优化基本民生保障和基本社会服务供给</w:t>
            </w:r>
          </w:p>
        </w:tc>
        <w:tc>
          <w:tcPr>
            <w:tcW w:w="30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FA2DA">
            <w:pPr>
              <w:numPr>
                <w:ilvl w:val="0"/>
                <w:numId w:val="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健全完善分层分类社会救助体系</w:t>
            </w:r>
          </w:p>
          <w:p w14:paraId="17C594C1">
            <w:pPr>
              <w:numPr>
                <w:ilvl w:val="0"/>
                <w:numId w:val="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加强儿童福利工作</w:t>
            </w:r>
          </w:p>
          <w:p w14:paraId="444CC3D9">
            <w:pPr>
              <w:numPr>
                <w:ilvl w:val="0"/>
                <w:numId w:val="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加强残疾人福利保障工作</w:t>
            </w:r>
          </w:p>
          <w:p w14:paraId="7D78E70E">
            <w:pPr>
              <w:numPr>
                <w:ilvl w:val="0"/>
                <w:numId w:val="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深化殡葬服务领域综合治理</w:t>
            </w:r>
          </w:p>
          <w:p w14:paraId="4A68269F">
            <w:pPr>
              <w:numPr>
                <w:ilvl w:val="0"/>
                <w:numId w:val="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推动婚姻登记服务提质增效</w:t>
            </w:r>
          </w:p>
        </w:tc>
      </w:tr>
      <w:tr w14:paraId="19AB6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08870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31C3F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深化民政社会治理改革创新</w:t>
            </w:r>
          </w:p>
        </w:tc>
        <w:tc>
          <w:tcPr>
            <w:tcW w:w="30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E5849">
            <w:pPr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改革完善社会组织治理体系</w:t>
            </w:r>
          </w:p>
          <w:p w14:paraId="44D46B8C">
            <w:pPr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推进慈善事业创新发展</w:t>
            </w:r>
          </w:p>
          <w:p w14:paraId="3E174CAB">
            <w:pPr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加强和改进行政区划管理</w:t>
            </w:r>
          </w:p>
        </w:tc>
      </w:tr>
      <w:tr w14:paraId="6C78B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A17F9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3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F8B01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强化民政改革基础支撑</w:t>
            </w:r>
          </w:p>
        </w:tc>
        <w:tc>
          <w:tcPr>
            <w:tcW w:w="30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22F6E">
            <w:pPr>
              <w:numPr>
                <w:ilvl w:val="-1"/>
                <w:numId w:val="0"/>
              </w:numPr>
              <w:spacing w:line="0" w:lineRule="atLeast"/>
              <w:jc w:val="left"/>
              <w:rPr>
                <w:b/>
                <w:bCs/>
                <w:spacing w:val="3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健全完善机构改革后的体制机制</w:t>
            </w:r>
          </w:p>
          <w:p w14:paraId="75A39A42">
            <w:pPr>
              <w:numPr>
                <w:ilvl w:val="-1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推进民政数字化改革</w:t>
            </w:r>
          </w:p>
          <w:p w14:paraId="58962E11">
            <w:pPr>
              <w:numPr>
                <w:ilvl w:val="-1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加强法治民政建设</w:t>
            </w:r>
          </w:p>
          <w:p w14:paraId="6AA90F01">
            <w:pPr>
              <w:numPr>
                <w:ilvl w:val="-1"/>
                <w:numId w:val="0"/>
              </w:numPr>
              <w:spacing w:line="0" w:lineRule="atLeast"/>
              <w:jc w:val="left"/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探索民政领域非现场监管机制</w:t>
            </w:r>
          </w:p>
          <w:p w14:paraId="3A01A81E">
            <w:pPr>
              <w:numPr>
                <w:ilvl w:val="-1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pacing w:val="0"/>
                <w:sz w:val="21"/>
                <w:szCs w:val="21"/>
              </w:rPr>
              <w:t>优化完善安全管理制度机制</w:t>
            </w:r>
          </w:p>
        </w:tc>
      </w:tr>
    </w:tbl>
    <w:p w14:paraId="0099BA7A">
      <w:pPr>
        <w:pStyle w:val="3"/>
        <w:shd w:val="clear" w:color="010000" w:fill="auto"/>
        <w:spacing w:before="0" w:beforeLines="0"/>
        <w:ind w:firstLine="640"/>
        <w:jc w:val="both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（二）部门整体绩效目标设立情况</w:t>
      </w:r>
    </w:p>
    <w:p w14:paraId="18285EC0">
      <w:pPr>
        <w:pStyle w:val="4"/>
        <w:shd w:val="clear" w:color="010000" w:fill="auto"/>
        <w:spacing w:before="0" w:beforeLines="0" w:after="0" w:line="560" w:lineRule="exact"/>
        <w:ind w:firstLine="640" w:firstLineChars="200"/>
        <w:rPr>
          <w:rFonts w:hint="eastAsia" w:ascii="仿宋_GB2312" w:hAnsi="仿宋_GB2312" w:cs="仿宋_GB2312"/>
          <w:b w:val="0"/>
        </w:rPr>
      </w:pPr>
      <w:r>
        <w:rPr>
          <w:rFonts w:hint="eastAsia" w:ascii="仿宋_GB2312" w:hAnsi="仿宋_GB2312" w:cs="仿宋_GB2312"/>
          <w:b w:val="0"/>
        </w:rPr>
        <w:t>1.绩效目标与职责任务匹配性</w:t>
      </w:r>
    </w:p>
    <w:p w14:paraId="7F3B119B">
      <w:pPr>
        <w:shd w:val="clear" w:color="000000" w:fill="auto"/>
        <w:spacing w:beforeLines="0" w:line="560" w:lineRule="exact"/>
        <w:ind w:firstLine="640" w:firstLineChars="200"/>
        <w:jc w:val="both"/>
        <w:rPr>
          <w:rFonts w:hint="eastAsia" w:ascii="仿宋_GB2312" w:hAnsi="仿宋_GB2312" w:cs="仿宋_GB2312"/>
        </w:rPr>
      </w:pPr>
      <w:r>
        <w:rPr>
          <w:rFonts w:hint="eastAsia" w:cs="仿宋_GB2312"/>
          <w:lang w:eastAsia="zh-CN"/>
        </w:rPr>
        <w:t>2024</w:t>
      </w:r>
      <w:r>
        <w:rPr>
          <w:rFonts w:hint="eastAsia" w:ascii="仿宋_GB2312" w:hAnsi="仿宋_GB2312" w:cs="仿宋_GB2312"/>
        </w:rPr>
        <w:t>年度部门整体绩效目标围绕部门职能及</w:t>
      </w:r>
      <w:r>
        <w:rPr>
          <w:rFonts w:hint="eastAsia" w:cs="仿宋_GB2312"/>
          <w:lang w:eastAsia="zh-CN"/>
        </w:rPr>
        <w:t>2024</w:t>
      </w:r>
      <w:r>
        <w:rPr>
          <w:rFonts w:hint="eastAsia" w:ascii="仿宋_GB2312" w:hAnsi="仿宋_GB2312" w:cs="仿宋_GB2312"/>
        </w:rPr>
        <w:t>年度工作计划设置，绩效内容与部门职责履行、年度工作任务相符。绩效目标与部门职责及年度重点工作匹配情况如下：</w:t>
      </w:r>
    </w:p>
    <w:p w14:paraId="67B8BF26">
      <w:pPr>
        <w:keepNext/>
        <w:keepLines w:val="0"/>
        <w:pageBreakBefore w:val="0"/>
        <w:widowControl w:val="0"/>
        <w:shd w:val="clear" w:color="000000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221" w:beforeLines="50" w:after="221" w:afterLines="50" w:line="0" w:lineRule="atLeast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3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2024</w:t>
      </w:r>
      <w:r>
        <w:rPr>
          <w:rFonts w:hint="eastAsia" w:ascii="宋体" w:hAnsi="宋体" w:eastAsia="宋体" w:cs="宋体"/>
          <w:sz w:val="21"/>
          <w:szCs w:val="21"/>
        </w:rPr>
        <w:t>年度部门整体绩效目标与职责及年度任务对应情况表</w:t>
      </w:r>
    </w:p>
    <w:tbl>
      <w:tblPr>
        <w:tblStyle w:val="15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3843"/>
        <w:gridCol w:w="1312"/>
        <w:gridCol w:w="3732"/>
      </w:tblGrid>
      <w:tr w14:paraId="40AD9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77" w:type="dxa"/>
            <w:vAlign w:val="center"/>
          </w:tcPr>
          <w:p w14:paraId="46EB1604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843" w:type="dxa"/>
            <w:vAlign w:val="center"/>
          </w:tcPr>
          <w:p w14:paraId="2A5C47C7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部门职责</w:t>
            </w:r>
          </w:p>
        </w:tc>
        <w:tc>
          <w:tcPr>
            <w:tcW w:w="1312" w:type="dxa"/>
            <w:vAlign w:val="center"/>
          </w:tcPr>
          <w:p w14:paraId="3E92A182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年度任务</w:t>
            </w:r>
          </w:p>
        </w:tc>
        <w:tc>
          <w:tcPr>
            <w:tcW w:w="3732" w:type="dxa"/>
            <w:vAlign w:val="center"/>
          </w:tcPr>
          <w:p w14:paraId="3EBD62D0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具体任务指标</w:t>
            </w:r>
          </w:p>
        </w:tc>
      </w:tr>
      <w:tr w14:paraId="53690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8" w:hRule="atLeast"/>
          <w:jc w:val="center"/>
        </w:trPr>
        <w:tc>
          <w:tcPr>
            <w:tcW w:w="577" w:type="dxa"/>
            <w:vAlign w:val="center"/>
          </w:tcPr>
          <w:p w14:paraId="1B42EB4C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3843" w:type="dxa"/>
            <w:vAlign w:val="center"/>
          </w:tcPr>
          <w:p w14:paraId="14CA4BC3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国标宋体" w:hAnsi="国标宋体" w:eastAsia="国标宋体" w:cs="国标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组织拟订并协调落实促进本市养老事业发展的政策措施。统筹推进、督促指导、监督管理养老服务工作，拟订养老服务体系建设规划、政策、标准并组织实施。承担老年人福利和特殊困难老年人救助工作。</w:t>
            </w:r>
          </w:p>
        </w:tc>
        <w:tc>
          <w:tcPr>
            <w:tcW w:w="1312" w:type="dxa"/>
            <w:vAlign w:val="center"/>
          </w:tcPr>
          <w:p w14:paraId="29CCF472">
            <w:pPr>
              <w:spacing w:before="0" w:line="0" w:lineRule="atLeast"/>
              <w:ind w:lef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统筹推进老龄工作和养老服务改革</w:t>
            </w:r>
          </w:p>
          <w:p w14:paraId="1C238572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732" w:type="dxa"/>
            <w:vAlign w:val="center"/>
          </w:tcPr>
          <w:p w14:paraId="586A9FC4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养老服务机构安全督导检查机构数量≥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410家</w:t>
            </w:r>
          </w:p>
          <w:p w14:paraId="54FAFE00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家庭照护投保床位数量≥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9335床</w:t>
            </w:r>
          </w:p>
          <w:p w14:paraId="1934F95C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机构投保床位数量≥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45981床</w:t>
            </w:r>
          </w:p>
          <w:p w14:paraId="1FDE4D71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综合责任险投保机构雇员人数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24562人</w:t>
            </w:r>
          </w:p>
          <w:p w14:paraId="02969A03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老年人意外伤害保险覆盖人群数量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70000人</w:t>
            </w:r>
          </w:p>
          <w:p w14:paraId="02F2EEEE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养老服务机构负责人培训人次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1500人次</w:t>
            </w:r>
          </w:p>
          <w:p w14:paraId="21E94C8A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完成养老服务机构星级评定数量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180个</w:t>
            </w:r>
          </w:p>
          <w:p w14:paraId="16D2C3DB">
            <w:pPr>
              <w:spacing w:line="0" w:lineRule="atLeast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养老服务体系不断完善，养老服务模式不断创新，养老政策体系建设持续优化，养老服务质量稳步提升，养老服务综合监管持续加强</w:t>
            </w:r>
          </w:p>
          <w:p w14:paraId="628A3202"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C60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77" w:type="dxa"/>
            <w:vAlign w:val="center"/>
          </w:tcPr>
          <w:p w14:paraId="70077F74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3843" w:type="dxa"/>
            <w:vAlign w:val="center"/>
          </w:tcPr>
          <w:p w14:paraId="0D5FE65A">
            <w:pPr>
              <w:spacing w:line="0" w:lineRule="atLeas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组织拟订本市残疾人社会福利政策并统筹实施，指导有关权益保护工作。统筹推进康复辅助器具产业发展。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312" w:type="dxa"/>
            <w:vAlign w:val="center"/>
          </w:tcPr>
          <w:p w14:paraId="790440F4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优化基本民生保障和基本社会服务供给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en-US" w:eastAsia="zh-CN"/>
              </w:rPr>
              <w:t>-加强残疾人福利保障工作</w:t>
            </w:r>
          </w:p>
        </w:tc>
        <w:tc>
          <w:tcPr>
            <w:tcW w:w="3732" w:type="dxa"/>
            <w:vAlign w:val="center"/>
          </w:tcPr>
          <w:p w14:paraId="22074319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支持精神障碍社区康复服务区数≥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4个</w:t>
            </w:r>
          </w:p>
          <w:p w14:paraId="635E5ECE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推动实现残疾人“两项补贴”主动服务预警，残疾人服务体系不断完善</w:t>
            </w:r>
          </w:p>
          <w:p w14:paraId="695BAA38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0024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77" w:type="dxa"/>
            <w:vAlign w:val="center"/>
          </w:tcPr>
          <w:p w14:paraId="5740C721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3843" w:type="dxa"/>
            <w:vAlign w:val="center"/>
          </w:tcPr>
          <w:p w14:paraId="1AFF640F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0" w:lineRule="atLeas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拟订本市儿童福利、孤困儿童保障、儿童收养、儿童救助保护政策和标准，健全困境儿童保障制度，指导有关儿童机构管理工作。</w:t>
            </w:r>
          </w:p>
          <w:p w14:paraId="454EE079">
            <w:pPr>
              <w:spacing w:line="0" w:lineRule="atLeas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vAlign w:val="center"/>
          </w:tcPr>
          <w:p w14:paraId="59EE82CA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优化基本民生保障和基本社会服务供给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sz w:val="21"/>
                <w:szCs w:val="21"/>
              </w:rPr>
              <w:t>加强儿童福利工作</w:t>
            </w:r>
          </w:p>
        </w:tc>
        <w:tc>
          <w:tcPr>
            <w:tcW w:w="3732" w:type="dxa"/>
            <w:vAlign w:val="center"/>
          </w:tcPr>
          <w:p w14:paraId="10460C3B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成年孤儿安置评估人数≥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25人</w:t>
            </w:r>
          </w:p>
          <w:p w14:paraId="783F68C4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“福彩圆梦·孤儿助学工程”资助孤儿人数≥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158人</w:t>
            </w:r>
          </w:p>
          <w:p w14:paraId="6C707987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2757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77" w:type="dxa"/>
            <w:vAlign w:val="center"/>
          </w:tcPr>
          <w:p w14:paraId="3695DF49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843" w:type="dxa"/>
            <w:vAlign w:val="center"/>
          </w:tcPr>
          <w:p w14:paraId="2E9F62BA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0" w:lineRule="atLeas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 w14:paraId="63A6BEB2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0" w:lineRule="atLeas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拟订本市殡葬管理政策并组织实施，指导殡葬服务机构管理工作，推进殡葬改革。</w:t>
            </w:r>
          </w:p>
          <w:p w14:paraId="5AABDCC3">
            <w:pPr>
              <w:spacing w:line="0" w:lineRule="atLeas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12" w:type="dxa"/>
            <w:vAlign w:val="center"/>
          </w:tcPr>
          <w:p w14:paraId="59D691C2">
            <w:pPr>
              <w:numPr>
                <w:ilvl w:val="-1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优化基本民生保障和基本社会服务供给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sz w:val="21"/>
                <w:szCs w:val="21"/>
              </w:rPr>
              <w:t>深化殡葬服务领域综合治理</w:t>
            </w:r>
          </w:p>
          <w:p w14:paraId="7E559F8E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732" w:type="dxa"/>
            <w:vAlign w:val="center"/>
          </w:tcPr>
          <w:p w14:paraId="7D5359BD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不断优化规范殡葬服务供给、完善慈善救助机制</w:t>
            </w:r>
          </w:p>
        </w:tc>
      </w:tr>
      <w:tr w14:paraId="475B5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577" w:type="dxa"/>
            <w:vAlign w:val="center"/>
          </w:tcPr>
          <w:p w14:paraId="0975C7B2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843" w:type="dxa"/>
            <w:vAlign w:val="center"/>
          </w:tcPr>
          <w:p w14:paraId="0A271A30">
            <w:pPr>
              <w:spacing w:line="0" w:lineRule="atLeas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拟订本市城乡社会救助政策和标准，健全城乡社会救助体系。负责城乡居民最低生活保障、临时救助。负责特困人员供养工作。指导城市生活无着流浪乞讨人员救助工作。</w:t>
            </w:r>
          </w:p>
        </w:tc>
        <w:tc>
          <w:tcPr>
            <w:tcW w:w="1312" w:type="dxa"/>
            <w:vAlign w:val="center"/>
          </w:tcPr>
          <w:p w14:paraId="4DB610F7">
            <w:pPr>
              <w:numPr>
                <w:ilvl w:val="-1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优化基本民生保障和基本社会服务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供给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sz w:val="21"/>
                <w:szCs w:val="21"/>
              </w:rPr>
              <w:t>健全完善分层分类社会救助体系</w:t>
            </w:r>
          </w:p>
          <w:p w14:paraId="4DED3C32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732" w:type="dxa"/>
            <w:vAlign w:val="center"/>
          </w:tcPr>
          <w:p w14:paraId="2C9D2CF2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健全城乡社会救助体系，保障低保特困人员等受助对象合法权益</w:t>
            </w:r>
          </w:p>
          <w:p w14:paraId="1A8ABAB7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城乡居民最低生活保障、临时救助、城市生活无着的流浪乞讨人员救助标准与政策要求匹配度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=100%</w:t>
            </w:r>
          </w:p>
        </w:tc>
      </w:tr>
      <w:tr w14:paraId="2EB78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  <w:jc w:val="center"/>
        </w:trPr>
        <w:tc>
          <w:tcPr>
            <w:tcW w:w="577" w:type="dxa"/>
            <w:vAlign w:val="center"/>
          </w:tcPr>
          <w:p w14:paraId="01C7F6E9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3843" w:type="dxa"/>
            <w:vAlign w:val="center"/>
          </w:tcPr>
          <w:p w14:paraId="5271E8C1">
            <w:pPr>
              <w:spacing w:line="0" w:lineRule="atLeas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拟订本市行政区划管理政策和标准。负责本市行政区划的设立、命名、变更和政府及派出机关驻地迁移等审核报批工作。组织指导全市行政区域界线的管理工作。负责各区边界争议调处工作。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1FE5FB80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深化民政社会治理改革创新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sz w:val="21"/>
                <w:szCs w:val="21"/>
              </w:rPr>
              <w:t>加强和改进行政区划管理</w:t>
            </w:r>
          </w:p>
        </w:tc>
        <w:tc>
          <w:tcPr>
            <w:tcW w:w="3732" w:type="dxa"/>
            <w:vAlign w:val="center"/>
          </w:tcPr>
          <w:p w14:paraId="02EE90A7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各级界线清晰、准确率≥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95%</w:t>
            </w:r>
          </w:p>
          <w:p w14:paraId="472A3156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测量区级界线长度≥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1253千米</w:t>
            </w:r>
          </w:p>
          <w:p w14:paraId="565062CA">
            <w:pPr>
              <w:spacing w:line="0" w:lineRule="atLeast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实现区级界线坐标矢量化数量≥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35条</w:t>
            </w:r>
          </w:p>
        </w:tc>
      </w:tr>
      <w:tr w14:paraId="6704E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577" w:type="dxa"/>
            <w:vAlign w:val="center"/>
          </w:tcPr>
          <w:p w14:paraId="0457C009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843" w:type="dxa"/>
            <w:vAlign w:val="center"/>
          </w:tcPr>
          <w:p w14:paraId="18C99815">
            <w:pPr>
              <w:spacing w:line="0" w:lineRule="atLeas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负责本市社会团体、社会服务机构、基金会等社会组织的登记和监督管理工作。指导各区社会组织登记管理与执法监督工作。</w:t>
            </w:r>
          </w:p>
        </w:tc>
        <w:tc>
          <w:tcPr>
            <w:tcW w:w="1312" w:type="dxa"/>
            <w:vAlign w:val="center"/>
          </w:tcPr>
          <w:p w14:paraId="14A8E9E6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深化民政社会治理改革创新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sz w:val="21"/>
                <w:szCs w:val="21"/>
              </w:rPr>
              <w:t>改革完善社会组织治理体系</w:t>
            </w:r>
          </w:p>
        </w:tc>
        <w:tc>
          <w:tcPr>
            <w:tcW w:w="3732" w:type="dxa"/>
            <w:vAlign w:val="center"/>
          </w:tcPr>
          <w:p w14:paraId="2FBFF927">
            <w:pPr>
              <w:spacing w:line="0" w:lineRule="atLeast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社会组织审计数量≥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350家</w:t>
            </w:r>
          </w:p>
          <w:p w14:paraId="0CF53A95">
            <w:pPr>
              <w:spacing w:line="0" w:lineRule="atLeast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社会组织等级评估数量≥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230家</w:t>
            </w:r>
          </w:p>
          <w:p w14:paraId="4E481862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支持社会组织党建管理岗位数量≥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356个</w:t>
            </w:r>
          </w:p>
          <w:p w14:paraId="7EF6E36D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支持联合党委数量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44个</w:t>
            </w:r>
          </w:p>
          <w:p w14:paraId="3B5B4271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社会组织年检电子签章服务数量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10000个</w:t>
            </w:r>
          </w:p>
          <w:p w14:paraId="30A175F4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 w14:paraId="0CC5BF38">
      <w:pPr>
        <w:pStyle w:val="4"/>
        <w:shd w:val="clear" w:color="010000" w:fill="auto"/>
        <w:spacing w:before="0" w:beforeLines="0" w:after="0"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highlight w:val="none"/>
        </w:rPr>
      </w:pPr>
      <w:r>
        <w:rPr>
          <w:rFonts w:hint="eastAsia" w:ascii="仿宋_GB2312" w:hAnsi="仿宋_GB2312" w:eastAsia="仿宋_GB2312" w:cs="仿宋_GB2312"/>
          <w:b w:val="0"/>
          <w:highlight w:val="none"/>
        </w:rPr>
        <w:t>2.绩效目标合理性</w:t>
      </w:r>
    </w:p>
    <w:p w14:paraId="1F269978">
      <w:pPr>
        <w:shd w:val="clear" w:color="000000" w:fill="auto"/>
        <w:spacing w:beforeLines="0" w:line="560" w:lineRule="exact"/>
        <w:ind w:firstLine="640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cs="仿宋_GB2312"/>
          <w:highlight w:val="none"/>
          <w:lang w:eastAsia="zh-CN"/>
        </w:rPr>
        <w:t>2024</w:t>
      </w:r>
      <w:r>
        <w:rPr>
          <w:rFonts w:hint="eastAsia" w:ascii="仿宋_GB2312" w:hAnsi="仿宋_GB2312" w:eastAsia="仿宋_GB2312" w:cs="仿宋_GB2312"/>
          <w:highlight w:val="none"/>
        </w:rPr>
        <w:t>年度部门整体绩效目标较为明确，符合部门职能及年度工作总体方向，且根据部门整体绩效目标细化设置了绩效指标，绩效指标较为量化，能够有效覆盖重点领域、重点工作。</w:t>
      </w:r>
    </w:p>
    <w:p w14:paraId="272E25C2">
      <w:pPr>
        <w:pStyle w:val="2"/>
        <w:keepNext/>
        <w:keepLines/>
        <w:shd w:val="clear" w:color="010000" w:fill="auto"/>
        <w:spacing w:beforeLines="0" w:line="560" w:lineRule="exact"/>
        <w:ind w:firstLineChars="200"/>
        <w:rPr>
          <w:rFonts w:hint="eastAsia" w:ascii="黑体" w:hAnsi="黑体" w:eastAsia="黑体" w:cs="黑体"/>
          <w:bCs/>
          <w:color w:val="auto"/>
          <w:kern w:val="44"/>
          <w:szCs w:val="32"/>
        </w:rPr>
      </w:pPr>
      <w:r>
        <w:rPr>
          <w:rFonts w:hint="eastAsia" w:ascii="黑体" w:hAnsi="黑体" w:eastAsia="黑体" w:cs="黑体"/>
          <w:bCs/>
          <w:color w:val="auto"/>
          <w:kern w:val="44"/>
          <w:szCs w:val="32"/>
        </w:rPr>
        <w:t>二、</w:t>
      </w:r>
      <w:r>
        <w:rPr>
          <w:rFonts w:hint="eastAsia" w:cs="黑体"/>
          <w:bCs/>
          <w:color w:val="auto"/>
          <w:kern w:val="44"/>
          <w:szCs w:val="32"/>
          <w:lang w:val="en-US" w:eastAsia="zh-CN"/>
        </w:rPr>
        <w:t>2024</w:t>
      </w:r>
      <w:r>
        <w:rPr>
          <w:rFonts w:hint="eastAsia" w:ascii="黑体" w:hAnsi="黑体" w:eastAsia="黑体" w:cs="黑体"/>
          <w:bCs/>
          <w:color w:val="auto"/>
          <w:kern w:val="44"/>
          <w:szCs w:val="32"/>
        </w:rPr>
        <w:t>年</w:t>
      </w:r>
      <w:r>
        <w:rPr>
          <w:rFonts w:hint="eastAsia" w:ascii="黑体" w:hAnsi="黑体" w:eastAsia="黑体" w:cs="黑体"/>
          <w:bCs/>
          <w:color w:val="auto"/>
          <w:kern w:val="44"/>
          <w:szCs w:val="32"/>
          <w:lang w:eastAsia="zh-CN"/>
        </w:rPr>
        <w:t>度</w:t>
      </w:r>
      <w:r>
        <w:rPr>
          <w:rFonts w:hint="eastAsia" w:ascii="黑体" w:hAnsi="黑体" w:eastAsia="黑体" w:cs="黑体"/>
          <w:bCs/>
          <w:color w:val="auto"/>
          <w:kern w:val="44"/>
          <w:szCs w:val="32"/>
        </w:rPr>
        <w:t>预算执行情况</w:t>
      </w:r>
    </w:p>
    <w:p w14:paraId="56030951">
      <w:pPr>
        <w:shd w:val="clear" w:color="000000" w:fill="auto"/>
        <w:spacing w:beforeLines="0" w:line="56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cs="仿宋_GB2312"/>
          <w:highlight w:val="none"/>
          <w:lang w:eastAsia="zh-CN"/>
        </w:rPr>
        <w:t>2024</w:t>
      </w:r>
      <w:r>
        <w:rPr>
          <w:rFonts w:hint="eastAsia" w:ascii="仿宋_GB2312" w:hAnsi="仿宋_GB2312" w:eastAsia="仿宋_GB2312" w:cs="仿宋_GB2312"/>
          <w:highlight w:val="none"/>
        </w:rPr>
        <w:t>年</w:t>
      </w:r>
      <w:r>
        <w:rPr>
          <w:rFonts w:hint="eastAsia" w:cs="仿宋_GB2312"/>
          <w:highlight w:val="none"/>
          <w:lang w:eastAsia="zh-CN"/>
        </w:rPr>
        <w:t>本年支出</w:t>
      </w:r>
      <w:r>
        <w:rPr>
          <w:rFonts w:hint="eastAsia" w:ascii="仿宋_GB2312" w:hAnsi="仿宋_GB2312" w:eastAsia="仿宋_GB2312" w:cs="仿宋_GB2312"/>
          <w:highlight w:val="none"/>
        </w:rPr>
        <w:t>预算数</w:t>
      </w:r>
      <w:r>
        <w:rPr>
          <w:rFonts w:hint="eastAsia" w:cs="仿宋_GB2312"/>
          <w:highlight w:val="none"/>
          <w:lang w:val="en-US" w:eastAsia="zh-CN"/>
        </w:rPr>
        <w:t>74217.51万元，</w:t>
      </w:r>
      <w:r>
        <w:rPr>
          <w:rFonts w:hint="eastAsia" w:ascii="仿宋_GB2312" w:hAnsi="仿宋_GB2312" w:eastAsia="仿宋_GB2312" w:cs="仿宋_GB2312"/>
        </w:rPr>
        <w:t>其中，基本支出预算数45653</w:t>
      </w:r>
      <w:r>
        <w:rPr>
          <w:rFonts w:hint="eastAsia" w:cs="仿宋_GB2312"/>
          <w:lang w:val="en-US" w:eastAsia="zh-CN"/>
        </w:rPr>
        <w:t>.60</w:t>
      </w:r>
      <w:r>
        <w:rPr>
          <w:rFonts w:hint="eastAsia" w:ascii="仿宋_GB2312" w:hAnsi="仿宋_GB2312" w:eastAsia="仿宋_GB2312" w:cs="仿宋_GB2312"/>
        </w:rPr>
        <w:t>万元，项目支出预算数27590</w:t>
      </w:r>
      <w:r>
        <w:rPr>
          <w:rFonts w:hint="eastAsia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9</w:t>
      </w:r>
      <w:r>
        <w:rPr>
          <w:rFonts w:hint="eastAsia" w:cs="仿宋_GB231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</w:rPr>
        <w:t>万元，其他支出预算数972</w:t>
      </w:r>
      <w:r>
        <w:rPr>
          <w:rFonts w:hint="eastAsia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99万元。</w:t>
      </w:r>
    </w:p>
    <w:p w14:paraId="7946F005">
      <w:pPr>
        <w:shd w:val="clear" w:color="000000" w:fill="auto"/>
        <w:spacing w:beforeLines="0" w:line="56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截止</w:t>
      </w:r>
      <w:r>
        <w:rPr>
          <w:rFonts w:hint="eastAsia" w:cs="仿宋_GB2312"/>
          <w:lang w:eastAsia="zh-CN"/>
        </w:rPr>
        <w:t>2024</w:t>
      </w:r>
      <w:r>
        <w:rPr>
          <w:rFonts w:hint="eastAsia" w:ascii="仿宋_GB2312" w:hAnsi="仿宋_GB2312" w:eastAsia="仿宋_GB2312" w:cs="仿宋_GB2312"/>
        </w:rPr>
        <w:t>年12月31日，</w:t>
      </w:r>
      <w:r>
        <w:rPr>
          <w:rFonts w:hint="eastAsia" w:cs="仿宋_GB2312"/>
          <w:lang w:eastAsia="zh-CN"/>
        </w:rPr>
        <w:t>市民政局</w:t>
      </w:r>
      <w:r>
        <w:rPr>
          <w:rFonts w:hint="eastAsia" w:ascii="仿宋_GB2312" w:hAnsi="仿宋_GB2312" w:eastAsia="仿宋_GB2312" w:cs="仿宋_GB2312"/>
        </w:rPr>
        <w:t>预算资金实际支出69535</w:t>
      </w:r>
      <w:r>
        <w:rPr>
          <w:rFonts w:hint="eastAsia" w:cs="仿宋_GB2312"/>
          <w:lang w:val="en-US" w:eastAsia="zh-CN"/>
        </w:rPr>
        <w:t>.70</w:t>
      </w:r>
      <w:r>
        <w:rPr>
          <w:rFonts w:hint="eastAsia" w:ascii="仿宋_GB2312" w:hAnsi="仿宋_GB2312" w:eastAsia="仿宋_GB2312" w:cs="仿宋_GB2312"/>
        </w:rPr>
        <w:t>万元，其中，基本支出43057</w:t>
      </w:r>
      <w:r>
        <w:rPr>
          <w:rFonts w:hint="eastAsia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42万元，项目支出25439</w:t>
      </w:r>
      <w:r>
        <w:rPr>
          <w:rFonts w:hint="eastAsia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09万元，其他支出1039</w:t>
      </w:r>
      <w:r>
        <w:rPr>
          <w:rFonts w:hint="eastAsia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18万元。预算执行率9</w:t>
      </w:r>
      <w:r>
        <w:rPr>
          <w:rFonts w:hint="eastAsia" w:cs="仿宋_GB2312"/>
          <w:lang w:val="en-US" w:eastAsia="zh-CN"/>
        </w:rPr>
        <w:t>3.69</w:t>
      </w:r>
      <w:r>
        <w:rPr>
          <w:rFonts w:hint="eastAsia" w:ascii="仿宋_GB2312" w:hAnsi="仿宋_GB2312" w:eastAsia="仿宋_GB2312" w:cs="仿宋_GB2312"/>
        </w:rPr>
        <w:t>%。</w:t>
      </w:r>
    </w:p>
    <w:p w14:paraId="08A2E7A0">
      <w:pPr>
        <w:keepNext/>
        <w:widowControl/>
        <w:shd w:val="clear" w:color="000000" w:fill="auto"/>
        <w:adjustRightInd w:val="0"/>
        <w:snapToGrid w:val="0"/>
        <w:spacing w:before="219" w:beforeLines="50" w:line="0" w:lineRule="atLeast"/>
        <w:jc w:val="center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表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2024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年部门预算执行情况表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（决算口径）</w:t>
      </w:r>
    </w:p>
    <w:p w14:paraId="0B04FE32">
      <w:pPr>
        <w:keepNext/>
        <w:widowControl/>
        <w:shd w:val="clear" w:color="000000" w:fill="auto"/>
        <w:adjustRightInd w:val="0"/>
        <w:snapToGrid w:val="0"/>
        <w:spacing w:line="0" w:lineRule="atLeast"/>
        <w:ind w:leftChars="170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单位：万元</w:t>
      </w:r>
    </w:p>
    <w:tbl>
      <w:tblPr>
        <w:tblStyle w:val="1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365"/>
        <w:gridCol w:w="1372"/>
        <w:gridCol w:w="1294"/>
        <w:gridCol w:w="1328"/>
      </w:tblGrid>
      <w:tr w14:paraId="00038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 w14:paraId="77478FE4">
            <w:pPr>
              <w:keepNext/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类别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 w14:paraId="5152404F">
            <w:pPr>
              <w:keepNext/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年初预算数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 w14:paraId="3C2989D2">
            <w:pPr>
              <w:keepNext/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全年预算数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 w14:paraId="78C7ECF8">
            <w:pPr>
              <w:keepNext/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决算数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 w14:paraId="1E471E8D">
            <w:pPr>
              <w:keepNext/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预算执行率</w:t>
            </w:r>
          </w:p>
        </w:tc>
      </w:tr>
      <w:tr w14:paraId="2144C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8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7D1B6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基本支出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284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47756.85 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0F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45653.60 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6D8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43057.42 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4C5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94.31%</w:t>
            </w:r>
          </w:p>
        </w:tc>
      </w:tr>
      <w:tr w14:paraId="02027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1AE71">
            <w:pPr>
              <w:spacing w:line="0" w:lineRule="atLeast"/>
              <w:ind w:firstLine="210" w:firstLineChars="1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人员经费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ECE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42088.36 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0A1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40233.94 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143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38647.71 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1E0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96.06%</w:t>
            </w:r>
          </w:p>
        </w:tc>
      </w:tr>
      <w:tr w14:paraId="54B24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2C2BE">
            <w:pPr>
              <w:spacing w:line="0" w:lineRule="atLeast"/>
              <w:ind w:firstLine="210" w:firstLineChars="1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公用经费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9B9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5668.49 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C0A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5419.65 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7E8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4409.71 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83A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81.37%</w:t>
            </w:r>
          </w:p>
        </w:tc>
      </w:tr>
      <w:tr w14:paraId="45EAF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07EE5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项目支出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525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28587.29 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D7D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27590.93 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B62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25439.09 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7CB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92.20%</w:t>
            </w:r>
          </w:p>
        </w:tc>
      </w:tr>
      <w:tr w14:paraId="74D86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D3B5B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其他支出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20F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425.21 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E01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972.99 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ACA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1039.18 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411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106.80%</w:t>
            </w:r>
          </w:p>
        </w:tc>
      </w:tr>
      <w:tr w14:paraId="624ED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8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8F0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本年支出合计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EED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76769.35 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202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74217.51 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E0C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69535.70 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767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93.69%</w:t>
            </w:r>
          </w:p>
        </w:tc>
      </w:tr>
    </w:tbl>
    <w:p w14:paraId="3AF93385">
      <w:pPr>
        <w:pStyle w:val="2"/>
        <w:keepNext/>
        <w:keepLines/>
        <w:shd w:val="clear" w:color="010000" w:fill="auto"/>
        <w:spacing w:beforeLines="0" w:line="560" w:lineRule="exact"/>
        <w:ind w:firstLine="640" w:firstLineChars="200"/>
        <w:rPr>
          <w:rFonts w:hint="eastAsia" w:cs="黑体"/>
          <w:bCs/>
          <w:color w:val="auto"/>
          <w:kern w:val="44"/>
        </w:rPr>
      </w:pPr>
      <w:r>
        <w:rPr>
          <w:rFonts w:hint="eastAsia" w:ascii="黑体" w:hAnsi="黑体" w:cs="黑体"/>
          <w:bCs/>
          <w:color w:val="auto"/>
          <w:kern w:val="44"/>
          <w:szCs w:val="32"/>
        </w:rPr>
        <w:t>三、</w:t>
      </w:r>
      <w:r>
        <w:rPr>
          <w:rFonts w:hint="eastAsia" w:cs="黑体"/>
          <w:bCs/>
          <w:color w:val="auto"/>
          <w:kern w:val="44"/>
          <w:szCs w:val="32"/>
          <w:lang w:val="en-US" w:eastAsia="zh-CN"/>
        </w:rPr>
        <w:t>2024</w:t>
      </w:r>
      <w:r>
        <w:rPr>
          <w:rFonts w:hint="eastAsia" w:ascii="黑体" w:hAnsi="黑体" w:cs="黑体"/>
          <w:bCs/>
          <w:color w:val="auto"/>
          <w:kern w:val="44"/>
          <w:szCs w:val="32"/>
          <w:lang w:val="en-US" w:eastAsia="zh-CN"/>
        </w:rPr>
        <w:t>年</w:t>
      </w:r>
      <w:r>
        <w:rPr>
          <w:rFonts w:hint="eastAsia" w:ascii="黑体" w:hAnsi="黑体" w:cs="黑体"/>
          <w:bCs/>
          <w:color w:val="auto"/>
          <w:kern w:val="44"/>
          <w:szCs w:val="32"/>
        </w:rPr>
        <w:t>整体绩效目标实现情况</w:t>
      </w:r>
    </w:p>
    <w:p w14:paraId="3CFC190E">
      <w:pPr>
        <w:pStyle w:val="3"/>
        <w:shd w:val="clear" w:color="010000" w:fill="auto"/>
        <w:spacing w:beforeLines="0"/>
        <w:ind w:firstLine="640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（一）产出完成情况分析</w:t>
      </w:r>
    </w:p>
    <w:p w14:paraId="33CE6F77">
      <w:pPr>
        <w:pStyle w:val="4"/>
        <w:shd w:val="clear" w:color="010000" w:fill="auto"/>
        <w:spacing w:before="0" w:beforeLines="0" w:after="0" w:line="560" w:lineRule="exact"/>
        <w:ind w:firstLine="640" w:firstLineChars="200"/>
        <w:rPr>
          <w:rFonts w:hint="eastAsia" w:ascii="仿宋_GB2312" w:hAnsi="仿宋_GB2312" w:cs="仿宋_GB2312"/>
          <w:b w:val="0"/>
          <w:highlight w:val="none"/>
        </w:rPr>
      </w:pPr>
      <w:r>
        <w:rPr>
          <w:rFonts w:hint="eastAsia" w:ascii="仿宋_GB2312" w:hAnsi="仿宋_GB2312" w:cs="仿宋_GB2312"/>
          <w:b w:val="0"/>
          <w:highlight w:val="none"/>
        </w:rPr>
        <w:t>1.产出数量</w:t>
      </w:r>
    </w:p>
    <w:p w14:paraId="382203F8">
      <w:pPr>
        <w:shd w:val="clear" w:color="000000" w:fill="auto"/>
        <w:spacing w:beforeLines="0" w:line="56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cs="仿宋_GB2312"/>
          <w:lang w:eastAsia="zh-CN"/>
        </w:rPr>
        <w:t>2024</w:t>
      </w:r>
      <w:r>
        <w:rPr>
          <w:rFonts w:hint="eastAsia" w:ascii="仿宋_GB2312" w:hAnsi="仿宋_GB2312" w:cs="仿宋_GB2312"/>
        </w:rPr>
        <w:t>年积极落实市政府重点任务及部门年度重点工作，各项产出指标完成情况如下表所示：</w:t>
      </w:r>
    </w:p>
    <w:p w14:paraId="36125B37">
      <w:pPr>
        <w:keepNext/>
        <w:widowControl/>
        <w:shd w:val="clear" w:color="000000" w:fill="auto"/>
        <w:adjustRightInd w:val="0"/>
        <w:snapToGrid w:val="0"/>
        <w:spacing w:before="219" w:beforeLines="50" w:after="0" w:afterLines="-2147483648" w:line="0" w:lineRule="atLeast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表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2024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年部门产出数量指标完成情况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4416"/>
        <w:gridCol w:w="1319"/>
        <w:gridCol w:w="1266"/>
      </w:tblGrid>
      <w:tr w14:paraId="04EC2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tblHeader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8F11B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015E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绩效指标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3435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目标值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12C5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完成值</w:t>
            </w:r>
          </w:p>
        </w:tc>
      </w:tr>
      <w:tr w14:paraId="15EA5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750A1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C5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老年人意外伤害保险覆盖人群数量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79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≥70000人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E6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89894人</w:t>
            </w:r>
          </w:p>
        </w:tc>
      </w:tr>
      <w:tr w14:paraId="0D1BD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562A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87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家庭照护投保床位数量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B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≥9335床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2C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14488床</w:t>
            </w:r>
          </w:p>
        </w:tc>
      </w:tr>
      <w:tr w14:paraId="7978E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2E4F8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5B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综合责任险投保机构雇员人数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9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≥24562人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7B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29148人</w:t>
            </w:r>
          </w:p>
        </w:tc>
      </w:tr>
      <w:tr w14:paraId="71FE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B71B1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52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机构投保床位数量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89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≥45981床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3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58847床</w:t>
            </w:r>
          </w:p>
        </w:tc>
      </w:tr>
      <w:tr w14:paraId="15846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239B7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E9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完成养老服务机构负责人培训人次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23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≥1500人次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8A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1752人次</w:t>
            </w:r>
          </w:p>
        </w:tc>
      </w:tr>
      <w:tr w14:paraId="05BBD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4FC4E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50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养老服务机构安全督导检查机构数量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3D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≥410（按实际情况调整为380）家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F6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380家</w:t>
            </w:r>
          </w:p>
        </w:tc>
      </w:tr>
      <w:tr w14:paraId="27B61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0DB85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EF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完成养老服务机构星级评定数量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CE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≥180（预算调整为140）个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07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140个</w:t>
            </w:r>
          </w:p>
        </w:tc>
      </w:tr>
      <w:tr w14:paraId="679F7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05576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7A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成年孤儿安置评估人数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5A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≥25（预算调整为21）人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9C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21人</w:t>
            </w:r>
          </w:p>
        </w:tc>
      </w:tr>
      <w:tr w14:paraId="20357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57F01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2A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实现区级界线坐标矢量化数量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EC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≥35条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2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661条（乡级）</w:t>
            </w:r>
          </w:p>
        </w:tc>
      </w:tr>
      <w:tr w14:paraId="1EA13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E1E6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5D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测量区级界线长度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EC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≥1253千米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B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3779.16千米（乡级）</w:t>
            </w:r>
          </w:p>
        </w:tc>
      </w:tr>
      <w:tr w14:paraId="264E6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0D5CC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4D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各级界线清晰、准确率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B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1A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</w:tr>
      <w:tr w14:paraId="493E1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4864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8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社会组织等级评估数量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01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≥230家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BC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280家</w:t>
            </w:r>
          </w:p>
        </w:tc>
      </w:tr>
      <w:tr w14:paraId="4D7F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61A8C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社会组织年检电子签章服务数量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34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≥10000个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86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12493个</w:t>
            </w:r>
          </w:p>
        </w:tc>
      </w:tr>
      <w:tr w14:paraId="472AE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AC7E7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8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社会组织审计数量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AC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≥530家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03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613家</w:t>
            </w:r>
          </w:p>
        </w:tc>
      </w:tr>
      <w:tr w14:paraId="203F4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3C7B1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C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支持联合党委数量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32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≥44个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A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52个</w:t>
            </w:r>
          </w:p>
        </w:tc>
      </w:tr>
      <w:tr w14:paraId="22DA3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10D8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14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支持社会组织党建管理岗位数量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EB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≥356个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F8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406个</w:t>
            </w:r>
          </w:p>
        </w:tc>
      </w:tr>
      <w:tr w14:paraId="294A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51C47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3E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支持精神障碍社区康复服务区数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E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≥4个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BA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</w:tr>
      <w:tr w14:paraId="6F4CC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B660E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3C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“福彩圆梦·孤儿助学工程”资助孤儿人数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65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≥158人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67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157人</w:t>
            </w:r>
          </w:p>
        </w:tc>
      </w:tr>
      <w:tr w14:paraId="5C6DC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03CBB"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05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城乡居民最低生活保障、临时救助、城市生活无着的流浪乞讨人员救助标准与政策要求匹配度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78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F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</w:tbl>
    <w:p w14:paraId="7486AFD5">
      <w:pPr>
        <w:pageBreakBefore w:val="0"/>
        <w:widowControl/>
        <w:shd w:val="clear"/>
        <w:kinsoku/>
        <w:wordWrap/>
        <w:overflowPunct/>
        <w:topLinePunct w:val="0"/>
        <w:autoSpaceDN/>
        <w:bidi w:val="0"/>
        <w:spacing w:line="560" w:lineRule="exact"/>
        <w:ind w:firstLine="676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highlight w:val="none"/>
          <w:lang w:bidi="ar"/>
        </w:rPr>
      </w:pPr>
      <w:r>
        <w:rPr>
          <w:rFonts w:hint="eastAsia" w:cs="仿宋_GB2312"/>
          <w:spacing w:val="9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highlight w:val="none"/>
        </w:rPr>
        <w:t>统筹推进老龄工作和养老服务改革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highlight w:val="none"/>
        </w:rPr>
        <w:t>优化基本民生保障和基本社会服务供给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highlight w:val="none"/>
        </w:rPr>
        <w:t>深化民政社会治理改革创新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highlight w:val="none"/>
        </w:rPr>
        <w:t>强化民政改革基础支撑</w:t>
      </w:r>
      <w:r>
        <w:rPr>
          <w:rFonts w:hint="eastAsia" w:ascii="仿宋_GB2312" w:hAnsi="仿宋_GB2312" w:eastAsia="仿宋_GB2312" w:cs="仿宋_GB2312"/>
          <w:highlight w:val="none"/>
        </w:rPr>
        <w:t>等方面</w:t>
      </w:r>
      <w:r>
        <w:rPr>
          <w:rFonts w:hint="eastAsia" w:cs="仿宋_GB2312"/>
          <w:highlight w:val="none"/>
          <w:lang w:eastAsia="zh-CN"/>
        </w:rPr>
        <w:t>均较好完成了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产出数量指标</w:t>
      </w:r>
      <w:r>
        <w:rPr>
          <w:rFonts w:hint="eastAsia" w:cs="仿宋_GB231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行政区域界线详图编制项目为跨年度项目</w:t>
      </w:r>
      <w:r>
        <w:rPr>
          <w:rFonts w:hint="eastAsia" w:cs="仿宋_GB2312"/>
          <w:i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2023年开展区级界线详图编制工作，2024年开展乡级界线详图编制工作</w:t>
      </w:r>
      <w:r>
        <w:rPr>
          <w:rFonts w:hint="eastAsia" w:cs="仿宋_GB2312"/>
          <w:i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乡级界线详图编制工作已按年度计划完成全部既定任务。</w:t>
      </w:r>
    </w:p>
    <w:p w14:paraId="3FEBA076">
      <w:pPr>
        <w:pStyle w:val="4"/>
        <w:pageBreakBefore w:val="0"/>
        <w:widowControl/>
        <w:shd w:val="clear" w:color="010000" w:fill="auto"/>
        <w:kinsoku/>
        <w:wordWrap/>
        <w:overflowPunct/>
        <w:topLinePunct w:val="0"/>
        <w:autoSpaceDN/>
        <w:bidi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b w:val="0"/>
        </w:rPr>
        <w:t>2.产出质量</w:t>
      </w:r>
    </w:p>
    <w:p w14:paraId="53E0455E">
      <w:pPr>
        <w:pStyle w:val="2"/>
        <w:widowControl/>
        <w:shd w:val="clear" w:color="auto" w:fill="FFFFFF"/>
        <w:spacing w:line="560" w:lineRule="exact"/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2024年度严格落实相关政策要求，我市</w:t>
      </w:r>
      <w:r>
        <w:rPr>
          <w:rFonts w:hint="eastAsia" w:ascii="仿宋_GB2312" w:hAnsi="仿宋_GB2312" w:eastAsia="仿宋_GB2312" w:cs="仿宋_GB2312"/>
          <w:highlight w:val="none"/>
        </w:rPr>
        <w:t>城乡居民最低生活保障、临时救助、城市生活无着的流浪乞讨人员救助标准与政策要求匹配度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达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100%；开展编制北京市行政各级界线清晰、准确率达95%以上。总体来看，部门工作</w:t>
      </w:r>
      <w:r>
        <w:rPr>
          <w:rFonts w:hint="eastAsia" w:ascii="仿宋_GB2312" w:hAnsi="仿宋_GB2312" w:eastAsia="仿宋_GB2312" w:cs="仿宋_GB2312"/>
          <w:highlight w:val="none"/>
        </w:rPr>
        <w:t>产出质量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较好</w:t>
      </w:r>
      <w:r>
        <w:rPr>
          <w:rFonts w:hint="eastAsia" w:ascii="仿宋_GB2312" w:hAnsi="仿宋_GB2312" w:eastAsia="仿宋_GB2312" w:cs="仿宋_GB2312"/>
          <w:highlight w:val="none"/>
        </w:rPr>
        <w:t>。</w:t>
      </w:r>
    </w:p>
    <w:p w14:paraId="3CFD8825">
      <w:pPr>
        <w:pStyle w:val="4"/>
        <w:pageBreakBefore w:val="0"/>
        <w:shd w:val="clear" w:color="010000" w:fill="auto"/>
        <w:kinsoku/>
        <w:wordWrap/>
        <w:overflowPunct/>
        <w:topLinePunct w:val="0"/>
        <w:autoSpaceDN/>
        <w:bidi w:val="0"/>
        <w:spacing w:before="0"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</w:rPr>
      </w:pPr>
      <w:r>
        <w:rPr>
          <w:rFonts w:hint="eastAsia" w:ascii="仿宋_GB2312" w:hAnsi="仿宋_GB2312" w:eastAsia="仿宋_GB2312" w:cs="仿宋_GB2312"/>
          <w:b w:val="0"/>
        </w:rPr>
        <w:t>3.产出进度</w:t>
      </w:r>
    </w:p>
    <w:p w14:paraId="335DC5FE">
      <w:pPr>
        <w:pageBreakBefore w:val="0"/>
        <w:shd w:val="clear" w:color="000000" w:fill="auto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根据部门整体产出目标完成情况分析，</w:t>
      </w:r>
      <w:r>
        <w:rPr>
          <w:rFonts w:hint="eastAsia" w:cs="仿宋_GB231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</w:rPr>
        <w:t>重点工作均按照计划有序推进落实，</w:t>
      </w:r>
      <w:r>
        <w:rPr>
          <w:rFonts w:hint="eastAsia" w:ascii="仿宋_GB2312" w:hAnsi="仿宋_GB2312" w:eastAsia="仿宋_GB2312" w:cs="仿宋_GB2312"/>
          <w:lang w:val="en-US" w:eastAsia="zh-CN"/>
        </w:rPr>
        <w:t>部门年度工作完成及时。</w:t>
      </w:r>
    </w:p>
    <w:p w14:paraId="49FB8781">
      <w:pPr>
        <w:pStyle w:val="3"/>
        <w:pageBreakBefore w:val="0"/>
        <w:shd w:val="clear" w:color="010000" w:fill="auto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（二）效果实现情况分析</w:t>
      </w:r>
    </w:p>
    <w:p w14:paraId="1EC3F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1.社会效益</w:t>
      </w:r>
    </w:p>
    <w:p w14:paraId="5516D4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u w:val="none"/>
          <w:lang w:val="en-US" w:eastAsia="zh-CN"/>
        </w:rPr>
        <w:t>一是养老服务改革不断深化。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u w:val="none"/>
          <w:lang w:val="en-US" w:eastAsia="zh-CN"/>
        </w:rPr>
        <w:t>健全养老政策体系</w:t>
      </w:r>
      <w:r>
        <w:rPr>
          <w:rFonts w:hint="eastAsia" w:ascii="Times New Roman" w:hAnsi="Times New Roman" w:cs="Times New Roman"/>
          <w:b/>
          <w:bCs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会同</w:t>
      </w:r>
      <w:r>
        <w:rPr>
          <w:rFonts w:hint="eastAsia" w:ascii="Times New Roman" w:hAnsi="Times New Roman" w:cs="Times New Roman"/>
          <w:sz w:val="32"/>
          <w:szCs w:val="32"/>
          <w:u w:val="none"/>
          <w:lang w:val="en-US" w:eastAsia="zh-CN"/>
        </w:rPr>
        <w:t>有关部门研究完善养老相关</w:t>
      </w:r>
      <w:bookmarkStart w:id="3" w:name="_GoBack"/>
      <w:bookmarkEnd w:id="3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政策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，更好满足老年人多样化、品质化养老服务需求。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u w:val="none"/>
          <w:lang w:val="en-US" w:eastAsia="zh-CN"/>
        </w:rPr>
        <w:t>创新完善养老服务体系</w:t>
      </w:r>
      <w:r>
        <w:rPr>
          <w:rFonts w:hint="eastAsia" w:ascii="Times New Roman" w:hAnsi="Times New Roman" w:cs="Times New Roman"/>
          <w:b/>
          <w:bCs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落实居家社区养老服务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“一清单、一平台、一张网”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系统创新居家</w:t>
      </w:r>
      <w:r>
        <w:rPr>
          <w:rFonts w:hint="eastAsia" w:cs="仿宋_GB2312"/>
          <w:sz w:val="32"/>
          <w:szCs w:val="32"/>
          <w:lang w:val="en-US" w:eastAsia="zh-CN"/>
        </w:rPr>
        <w:t>社区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养老服务供给体系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。印发了“两指引、一方案、一协议”，扎实有序推进街道（乡镇）区域养老服务中心建设。指导各区依托区域养老服务中心整合现有养老服务驿站，实现规模效益。新建10</w:t>
      </w:r>
      <w:r>
        <w:rPr>
          <w:rFonts w:hint="eastAsia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家街道乡镇区域养老服务中心、</w:t>
      </w:r>
      <w:r>
        <w:rPr>
          <w:rFonts w:hint="eastAsia" w:cs="仿宋_GB2312"/>
          <w:sz w:val="32"/>
          <w:szCs w:val="32"/>
          <w:lang w:val="en-US" w:eastAsia="zh-CN"/>
        </w:rPr>
        <w:t>9000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余张养老家庭照护床位，新增240个农村邻里互助养老服务点。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通过扩大养老机构助餐供给、鼓励社会餐饮企业参与、开放企事业单位内部食堂、大力建设农村老年餐桌、推动400平方米以上驿站转型建设社区餐厅等方式，发展类型多样的养老助餐点，织密养老助餐服务网络。今年新建</w:t>
      </w:r>
      <w:r>
        <w:rPr>
          <w:rFonts w:hint="eastAsia" w:cs="仿宋_GB2312"/>
          <w:sz w:val="32"/>
          <w:szCs w:val="32"/>
          <w:lang w:val="en-US" w:eastAsia="zh-CN"/>
        </w:rPr>
        <w:t>404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个养老助餐点。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u w:val="none"/>
          <w:lang w:eastAsia="zh-CN"/>
        </w:rPr>
        <w:t>推动银发经济发展</w:t>
      </w:r>
      <w:r>
        <w:rPr>
          <w:rFonts w:hint="eastAsia" w:ascii="Times New Roman" w:hAnsi="Times New Roman" w:cs="Times New Roman"/>
          <w:b/>
          <w:bCs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拓展养老服务消费新场景新业态</w:t>
      </w:r>
      <w:r>
        <w:rPr>
          <w:rFonts w:hint="eastAsia" w:cs="仿宋_GB2312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启动新时代首都“银龄行动”。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指导北京市养老行业协会协同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7省市行业协会推动“冬南夏北”旅居养老机构服务平台上线，140余家养老机构登录平台，为老年群体提供更多的养老方式选择。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加强养老服务人才队伍建设。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聚焦实施“增量扩容”“提质增效”“拴心留人”三大工程，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先后组织全市养老服务机构与15个省份近40家职业院校开展系列校企合作活动，引导16个区与京外地区建立了劳动力输入对接关系。健全市区分级分层培训体系。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强化养老科技支撑</w:t>
      </w:r>
      <w:r>
        <w:rPr>
          <w:rFonts w:hint="eastAsia" w:ascii="仿宋_GB2312" w:hAnsi="仿宋_GB2312" w:cs="仿宋_GB2312"/>
          <w:b/>
          <w:bCs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升级改造“一网一端一平台”智慧养老服务信息系统。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发布全国首个养老行业千亿大模型。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在全市500余家养老机构统一配备1.2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万套智慧照护终端设备。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在市第一社会福利院开展智慧养老院试点，利用定制化AI算法技术，构建智能安防服务场景，打造智慧养老院示范场景和示范样本。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加强养老服务综合监管</w:t>
      </w:r>
      <w:r>
        <w:rPr>
          <w:rFonts w:hint="eastAsia" w:ascii="仿宋_GB2312" w:hAnsi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健全“政府监管、机构自治、行业自律、社会监督”四位一体，市、区、街（乡）三级联动，住建、消防、民政等相关部门协同共治的综合监管体系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按照养老机构“风险+信用”综合评价实施方案，加强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养老机构分级分类监管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和重点监测。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加强老年人权益保障工作</w:t>
      </w:r>
      <w:r>
        <w:rPr>
          <w:rFonts w:hint="eastAsia" w:cs="仿宋_GB2312"/>
          <w:b/>
          <w:bCs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与12345、12348、12320等公共热线以及公安部门建立老年维权服务联动机制。积极向老残一体等特殊困难老年人家庭开展权益保护服务。</w:t>
      </w:r>
    </w:p>
    <w:p w14:paraId="491CF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cs="仿宋_GB2312"/>
          <w:highlight w:val="none"/>
          <w:lang w:eastAsia="zh-CN"/>
        </w:rPr>
      </w:pPr>
      <w:r>
        <w:rPr>
          <w:rFonts w:hint="eastAsia" w:ascii="仿宋_GB2312" w:hAnsi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highlight w:val="none"/>
          <w:u w:val="none"/>
        </w:rPr>
        <w:t>是完善残疾人服务体系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系统梳理全市残疾人福利服务及社会保障相关政策，研究政策整合优化的工作方向和实施路径。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  <w:lang w:eastAsia="zh-CN"/>
        </w:rPr>
        <w:t>围绕推进国家服务业扩大开放综合示范区建设任务，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制定</w:t>
      </w: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相关工作方案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及任务清单。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none"/>
          <w:lang w:eastAsia="zh-CN"/>
        </w:rPr>
        <w:t>全面推进康复辅助器具社区租赁工作。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开展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康复辅助器具配置服务等标准编制工作。</w:t>
      </w:r>
    </w:p>
    <w:p w14:paraId="61C7A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cs="仿宋_GB2312"/>
          <w:highlight w:val="none"/>
          <w:lang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highlight w:val="none"/>
          <w:u w:val="none"/>
        </w:rPr>
        <w:t>是</w:t>
      </w:r>
      <w:r>
        <w:rPr>
          <w:rFonts w:hint="eastAsia" w:cs="仿宋_GB2312"/>
          <w:b/>
          <w:bCs/>
          <w:highlight w:val="none"/>
          <w:lang w:eastAsia="zh-CN"/>
        </w:rPr>
        <w:t>健全城乡社会救助体系。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贯彻落实国务院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有关要求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，研究制定我市实施意见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，研究刚性支出困难家庭认定工作，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推动形成梯度救助格局。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积极探索服务类社会救助。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加快推进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低收入人口动态监测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工作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。保障低保特困人员等受助对象合法权益。</w:t>
      </w:r>
    </w:p>
    <w:p w14:paraId="7F309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是深化殡葬领域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改革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落实完善殡葬服务体系提升保障能力、强化殡葬综合监管等工作方案，加快殡仪馆服务设施提档升级，指导各殡仪馆推行六类惠民殡仪服务组合，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完善殡仪馆、公墓监测机制，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强化殡葬公益属性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 w14:paraId="34919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highlight w:val="none"/>
          <w:u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u w:val="none"/>
          <w:lang w:val="en-US" w:eastAsia="zh-CN"/>
        </w:rPr>
        <w:t>是推动慈善事业创新发展。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深入学习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贯彻慈善法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备案单数、备案金额保持全国领先地位。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推动慈善领域“十大项目、五大行动”落实落细。健全完善“药神计划”工作机制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有序推进基层慈善站点建设，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引导各区因地制宜整合慈善资源，促进多元主体共同参与社会救助和基层治理。</w:t>
      </w:r>
      <w:r>
        <w:rPr>
          <w:rStyle w:val="33"/>
          <w:rFonts w:hint="default"/>
          <w:sz w:val="32"/>
          <w:szCs w:val="32"/>
        </w:rPr>
        <w:t>建立健</w:t>
      </w:r>
      <w:r>
        <w:rPr>
          <w:rFonts w:hint="eastAsia" w:ascii="仿宋_GB2312" w:hAnsi="仿宋_GB2312" w:eastAsia="仿宋_GB2312"/>
          <w:sz w:val="32"/>
          <w:szCs w:val="32"/>
        </w:rPr>
        <w:t>全福彩销售管理长效机制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。</w:t>
      </w:r>
    </w:p>
    <w:p w14:paraId="4584EA73">
      <w:pPr>
        <w:ind w:firstLine="640" w:firstLineChars="200"/>
        <w:rPr>
          <w:rFonts w:hint="eastAsia" w:ascii="仿宋_GB2312" w:hAnsi="仿宋_GB2312" w:eastAsia="仿宋_GB2312" w:cs="仿宋_GB2312"/>
          <w:b w:val="0"/>
        </w:rPr>
      </w:pPr>
      <w:r>
        <w:rPr>
          <w:rFonts w:hint="eastAsia" w:ascii="仿宋_GB2312" w:hAnsi="仿宋_GB2312" w:eastAsia="仿宋_GB2312" w:cs="仿宋_GB2312"/>
          <w:b w:val="0"/>
        </w:rPr>
        <w:t>2.服务对象满意度</w:t>
      </w:r>
    </w:p>
    <w:p w14:paraId="3CB53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根据部门各预算项目的服务对象满意度结果显示，公众的满意度程度较好。其中，投保老年人意外伤害保险的老年人综合满意度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为</w:t>
      </w:r>
      <w:r>
        <w:rPr>
          <w:rFonts w:hint="eastAsia" w:cs="仿宋_GB2312"/>
          <w:highlight w:val="none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%</w:t>
      </w:r>
      <w:r>
        <w:rPr>
          <w:rFonts w:hint="eastAsia" w:cs="仿宋_GB2312"/>
          <w:highlight w:val="none"/>
          <w:lang w:val="en-US" w:eastAsia="zh-CN"/>
        </w:rPr>
        <w:t>，免费殡仪补贴群众满意度100%，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联合党委的满意度100%；被评估的市级社会组织满意度</w:t>
      </w:r>
      <w:r>
        <w:rPr>
          <w:rFonts w:hint="eastAsia" w:cs="仿宋_GB2312"/>
          <w:highlight w:val="none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%</w:t>
      </w:r>
      <w:r>
        <w:rPr>
          <w:rFonts w:hint="eastAsia" w:cs="仿宋_GB2312"/>
          <w:highlight w:val="none"/>
          <w:lang w:val="en-US" w:eastAsia="zh-CN"/>
        </w:rPr>
        <w:t>。</w:t>
      </w:r>
    </w:p>
    <w:p w14:paraId="61024B15">
      <w:pPr>
        <w:pStyle w:val="2"/>
        <w:keepNext/>
        <w:keepLines/>
        <w:pageBreakBefore w:val="0"/>
        <w:shd w:val="clear" w:color="010000" w:fill="auto"/>
        <w:kinsoku/>
        <w:wordWrap/>
        <w:overflowPunct/>
        <w:topLinePunct w:val="0"/>
        <w:autoSpaceDN/>
        <w:bidi w:val="0"/>
        <w:spacing w:before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kern w:val="44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44"/>
          <w:szCs w:val="32"/>
        </w:rPr>
        <w:t>四、</w:t>
      </w:r>
      <w:r>
        <w:rPr>
          <w:rFonts w:hint="eastAsia" w:ascii="仿宋_GB2312" w:hAnsi="仿宋_GB2312" w:eastAsia="仿宋_GB2312" w:cs="仿宋_GB2312"/>
          <w:bCs/>
          <w:color w:val="auto"/>
          <w:kern w:val="44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bCs/>
          <w:color w:val="auto"/>
          <w:kern w:val="44"/>
          <w:szCs w:val="32"/>
        </w:rPr>
        <w:t>预算管理情况分析</w:t>
      </w:r>
    </w:p>
    <w:p w14:paraId="4F910C1A">
      <w:pPr>
        <w:pStyle w:val="3"/>
        <w:keepNext w:val="0"/>
        <w:keepLines w:val="0"/>
        <w:pageBreakBefore w:val="0"/>
        <w:widowControl w:val="0"/>
        <w:shd w:val="clear" w:color="010000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（一）财务管理</w:t>
      </w:r>
    </w:p>
    <w:p w14:paraId="42B91929">
      <w:pPr>
        <w:pStyle w:val="4"/>
        <w:keepNext w:val="0"/>
        <w:keepLines w:val="0"/>
        <w:pageBreakBefore w:val="0"/>
        <w:widowControl w:val="0"/>
        <w:shd w:val="clear" w:color="010000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highlight w:val="none"/>
        </w:rPr>
      </w:pPr>
      <w:r>
        <w:rPr>
          <w:rFonts w:hint="eastAsia" w:ascii="仿宋_GB2312" w:hAnsi="仿宋_GB2312" w:eastAsia="仿宋_GB2312" w:cs="仿宋_GB2312"/>
          <w:b w:val="0"/>
          <w:highlight w:val="none"/>
        </w:rPr>
        <w:t>1.财务管理制度健全性</w:t>
      </w:r>
    </w:p>
    <w:p w14:paraId="09E001F9">
      <w:pPr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结合财政财务新要求和机构改革新实际，健全完善财务制度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项，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其中：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完善过“紧日子”、委托外包、大额资金（资产）审批决策机制等多项制度条款；细化制定会议费、公务接待费、差旅费、培训费、城六区外公务活动交通补贴、公务用车运行维护费、因公出国（境）经费等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管理规定；完善内部管理制度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，对局党组资金（资产）议事内容实行清单化管理，压紧压实一级预算单位主体责任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，持续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健全完善财务管理制度体系。</w:t>
      </w:r>
    </w:p>
    <w:p w14:paraId="60BD77B5">
      <w:pPr>
        <w:pStyle w:val="4"/>
        <w:pageBreakBefore w:val="0"/>
        <w:shd w:val="clear" w:color="010000" w:fill="auto"/>
        <w:kinsoku/>
        <w:wordWrap/>
        <w:overflowPunct/>
        <w:topLinePunct w:val="0"/>
        <w:autoSpaceDN/>
        <w:bidi w:val="0"/>
        <w:spacing w:before="0"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</w:rPr>
      </w:pPr>
      <w:r>
        <w:rPr>
          <w:rFonts w:hint="eastAsia" w:ascii="仿宋_GB2312" w:hAnsi="仿宋_GB2312" w:eastAsia="仿宋_GB2312" w:cs="仿宋_GB2312"/>
          <w:b w:val="0"/>
        </w:rPr>
        <w:t>2.资金使用合规性和安全性</w:t>
      </w:r>
    </w:p>
    <w:p w14:paraId="141A44D6">
      <w:pPr>
        <w:pageBreakBefore w:val="0"/>
        <w:widowControl/>
        <w:shd w:val="clear"/>
        <w:kinsoku/>
        <w:wordWrap/>
        <w:overflowPunct/>
        <w:topLinePunct w:val="0"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</w:rPr>
        <w:t>资金使用和监管方面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</w:rPr>
        <w:t>严格落实重大支出集体研究制度，年度资金分配履行了相关报批手续，针对专项资金使用建立了专户核算、统一管理制度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充分发挥局经济领导小组作用，对大额资金等重点经济事项进行前置性审核。</w:t>
      </w:r>
      <w:r>
        <w:rPr>
          <w:rFonts w:hint="eastAsia" w:cs="仿宋_GB2312"/>
          <w:b/>
          <w:bCs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32930"/>
          <w:spacing w:val="0"/>
          <w:kern w:val="0"/>
          <w:sz w:val="32"/>
          <w:szCs w:val="32"/>
          <w:shd w:val="clear" w:fill="FFFFFF"/>
          <w:lang w:val="en-US" w:eastAsia="zh-CN" w:bidi="ar"/>
        </w:rPr>
        <w:t>强化转移支付管理，建立转移支付执行动态报表制度，按季度梳理执行进度，通过召开调度会、通报等形式督促加快预算执行；开展转移支付资金管理使用实地调研，督促各区压实项目执行主体责任。</w:t>
      </w:r>
    </w:p>
    <w:p w14:paraId="19EF6267">
      <w:pPr>
        <w:pStyle w:val="4"/>
        <w:pageBreakBefore w:val="0"/>
        <w:shd w:val="clear" w:color="010000" w:fill="auto"/>
        <w:kinsoku/>
        <w:wordWrap/>
        <w:overflowPunct/>
        <w:topLinePunct w:val="0"/>
        <w:autoSpaceDN/>
        <w:bidi w:val="0"/>
        <w:spacing w:before="0"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</w:rPr>
      </w:pPr>
      <w:r>
        <w:rPr>
          <w:rFonts w:hint="eastAsia" w:ascii="仿宋_GB2312" w:hAnsi="仿宋_GB2312" w:eastAsia="仿宋_GB2312" w:cs="仿宋_GB2312"/>
          <w:b w:val="0"/>
        </w:rPr>
        <w:t>3.会计基础信息完善性</w:t>
      </w:r>
    </w:p>
    <w:p w14:paraId="0C58B31F">
      <w:pPr>
        <w:pageBreakBefore w:val="0"/>
        <w:shd w:val="clear" w:color="000000" w:fill="auto"/>
        <w:kinsoku/>
        <w:wordWrap/>
        <w:overflowPunct/>
        <w:topLinePunct w:val="0"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highlight w:val="none"/>
        </w:rPr>
        <w:t>一是</w:t>
      </w:r>
      <w:r>
        <w:rPr>
          <w:rFonts w:hint="eastAsia" w:ascii="仿宋_GB2312" w:hAnsi="仿宋_GB2312" w:eastAsia="仿宋_GB2312" w:cs="仿宋_GB2312"/>
          <w:color w:val="000000"/>
          <w:highlight w:val="none"/>
        </w:rPr>
        <w:t>严格按照</w:t>
      </w:r>
      <w:r>
        <w:rPr>
          <w:rFonts w:hint="eastAsia" w:cs="仿宋_GB2312"/>
          <w:color w:val="000000"/>
          <w:highlight w:val="none"/>
          <w:lang w:eastAsia="zh-CN"/>
        </w:rPr>
        <w:t>有关</w:t>
      </w:r>
      <w:r>
        <w:rPr>
          <w:rFonts w:hint="eastAsia" w:ascii="仿宋_GB2312" w:hAnsi="仿宋_GB2312" w:eastAsia="仿宋_GB2312" w:cs="仿宋_GB2312"/>
          <w:color w:val="000000"/>
          <w:highlight w:val="none"/>
        </w:rPr>
        <w:t>要求编制财务资料，部门决算报表、会计记账凭证等基础数据信息和会计信息资料较为完整，未发现基础数据、会计资料不准确、不真实的情况，会计基础信息对预算管理工作能够起到支撑作用。</w:t>
      </w:r>
      <w:r>
        <w:rPr>
          <w:rFonts w:hint="eastAsia" w:hAnsi="仿宋_GB2312" w:cs="仿宋_GB2312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推动单位资金实现指标化管理。严格落实财政统一部署，自2022年试点至今，推动所属单位将单位资金的收支全面纳入财政预算一体化系统，实现指标化管理、全程动态监管。</w:t>
      </w:r>
      <w:r>
        <w:rPr>
          <w:rFonts w:hint="eastAsia" w:hAnsi="仿宋_GB2312" w:cs="仿宋_GB2312"/>
          <w:b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提升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会计核算质量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按照财政预算一体化要求，结合政府会计制度及准则，组织单位严格按照预算编码规则设置单位账套，修改和维护科目体系架构，相应调整账务处理基本规则，督促及时开展日常核算，夯实会计信息质量，提高会计核算水平。</w:t>
      </w:r>
    </w:p>
    <w:p w14:paraId="54DE62B3">
      <w:pPr>
        <w:pStyle w:val="3"/>
        <w:pageBreakBefore w:val="0"/>
        <w:shd w:val="clear" w:color="010000" w:fill="auto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（二）资产管理</w:t>
      </w:r>
    </w:p>
    <w:p w14:paraId="15792C0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27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</w:rPr>
        <w:t>加强资产管理，明确了资产管理部门及职责、资产配置、资产管理、资产处置、资产出租出借、资产评估与清查、资产信息管理与报告等相关要求。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  <w:t>稳妥推进搬迁单位资产盘点及处置。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</w:rPr>
        <w:t>对资产进行全面梳理、分类，按照搬迁资产、调拨资产及处置资产三类进行分类管理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/>
        </w:rPr>
        <w:t>提高了资产管理、使用的合规性、安全性。</w:t>
      </w:r>
    </w:p>
    <w:p w14:paraId="6AD0185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（三）绩效管理</w:t>
      </w:r>
    </w:p>
    <w:p w14:paraId="31781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进一步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压实绩效监督责任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，深化绩效管理。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强化全成本绩效管理。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按照市财政局要求，采取自下而上、自上而下相结合的方式调研成本绩效分析需求，对民政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重点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项目（政策）开展成本绩效分析，分析成果应用于预算，促进财政资金控本增效。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落实部门项目支出全过程绩效管理。实施覆盖局所有预算支出项目，贯穿绩效目标、绩效运行监控、绩效评价全链条的绩效管理工作，不断强化绩效管理意识，提高绩效管理水平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深化转移支付全覆盖绩效管理。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组织16区和市级预算单位对转移支付资金开展绩效自评，强化转移支付绩效管理，促进资金使用效益不断提升。</w:t>
      </w:r>
    </w:p>
    <w:p w14:paraId="553F2F21">
      <w:pPr>
        <w:pStyle w:val="3"/>
        <w:bidi w:val="0"/>
        <w:rPr>
          <w:rFonts w:hint="eastAsia" w:ascii="楷体_GB2312" w:hAnsi="楷体_GB2312" w:eastAsia="楷体_GB2312" w:cs="楷体_GB2312"/>
          <w:highlight w:val="none"/>
        </w:rPr>
      </w:pPr>
      <w:r>
        <w:rPr>
          <w:rFonts w:hint="eastAsia" w:ascii="楷体_GB2312" w:hAnsi="楷体_GB2312" w:eastAsia="楷体_GB2312" w:cs="楷体_GB2312"/>
          <w:highlight w:val="none"/>
        </w:rPr>
        <w:t>（四）结转结余率</w:t>
      </w:r>
    </w:p>
    <w:p w14:paraId="51252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cs="仿宋_GB2312"/>
          <w:highlight w:val="none"/>
          <w:lang w:eastAsia="zh-CN"/>
        </w:rPr>
        <w:t>2024</w:t>
      </w:r>
      <w:r>
        <w:rPr>
          <w:rFonts w:hint="eastAsia" w:ascii="仿宋_GB2312" w:hAnsi="仿宋_GB2312" w:eastAsia="仿宋_GB2312" w:cs="仿宋_GB2312"/>
          <w:highlight w:val="none"/>
        </w:rPr>
        <w:t>年部门年末结转结余资金总额为</w:t>
      </w:r>
      <w:r>
        <w:rPr>
          <w:rFonts w:hint="eastAsia" w:cs="仿宋_GB2312"/>
          <w:highlight w:val="none"/>
          <w:lang w:val="en-US" w:eastAsia="zh-CN"/>
        </w:rPr>
        <w:t>6349.14</w:t>
      </w:r>
      <w:r>
        <w:rPr>
          <w:rFonts w:hint="eastAsia" w:ascii="仿宋_GB2312" w:hAnsi="仿宋_GB2312" w:eastAsia="仿宋_GB2312" w:cs="仿宋_GB2312"/>
          <w:highlight w:val="none"/>
        </w:rPr>
        <w:t>万元，全年支出预算数为</w:t>
      </w:r>
      <w:r>
        <w:rPr>
          <w:rFonts w:hint="eastAsia" w:cs="仿宋_GB2312"/>
          <w:highlight w:val="none"/>
          <w:lang w:val="en-US" w:eastAsia="zh-CN"/>
        </w:rPr>
        <w:t>74217.51</w:t>
      </w:r>
      <w:r>
        <w:rPr>
          <w:rFonts w:hint="eastAsia" w:ascii="仿宋_GB2312" w:hAnsi="仿宋_GB2312" w:eastAsia="仿宋_GB2312" w:cs="仿宋_GB2312"/>
          <w:highlight w:val="none"/>
        </w:rPr>
        <w:t>万元，资金结转结余率为</w:t>
      </w:r>
      <w:r>
        <w:rPr>
          <w:rFonts w:hint="eastAsia" w:cs="仿宋_GB2312"/>
          <w:highlight w:val="none"/>
          <w:lang w:eastAsia="zh-CN"/>
        </w:rPr>
        <w:t>8</w:t>
      </w:r>
      <w:r>
        <w:rPr>
          <w:rFonts w:hint="eastAsia" w:cs="仿宋_GB2312"/>
          <w:highlight w:val="none"/>
          <w:lang w:val="en-US" w:eastAsia="zh-CN"/>
        </w:rPr>
        <w:t>.55</w:t>
      </w:r>
      <w:r>
        <w:rPr>
          <w:rFonts w:hint="eastAsia" w:ascii="仿宋_GB2312" w:hAnsi="仿宋_GB2312" w:eastAsia="仿宋_GB2312" w:cs="仿宋_GB2312"/>
          <w:highlight w:val="none"/>
        </w:rPr>
        <w:t>%。</w:t>
      </w:r>
    </w:p>
    <w:p w14:paraId="474A0BE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_GB2312" w:hAnsi="楷体_GB2312" w:eastAsia="楷体_GB2312" w:cs="楷体_GB2312"/>
          <w:highlight w:val="none"/>
        </w:rPr>
      </w:pPr>
      <w:r>
        <w:rPr>
          <w:rFonts w:hint="eastAsia" w:ascii="楷体_GB2312" w:hAnsi="楷体_GB2312" w:eastAsia="楷体_GB2312" w:cs="楷体_GB2312"/>
          <w:highlight w:val="none"/>
        </w:rPr>
        <w:t>（五）部门预决算差异率</w:t>
      </w:r>
    </w:p>
    <w:p w14:paraId="39733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cs="仿宋_GB2312"/>
          <w:highlight w:val="none"/>
          <w:lang w:eastAsia="zh-CN"/>
        </w:rPr>
        <w:t>2024</w:t>
      </w:r>
      <w:r>
        <w:rPr>
          <w:rFonts w:hint="eastAsia" w:ascii="仿宋_GB2312" w:hAnsi="仿宋_GB2312" w:eastAsia="仿宋_GB2312" w:cs="仿宋_GB2312"/>
          <w:highlight w:val="none"/>
        </w:rPr>
        <w:t>年部门年初预算数为</w:t>
      </w:r>
      <w:r>
        <w:rPr>
          <w:rFonts w:hint="eastAsia" w:cs="仿宋_GB2312"/>
          <w:highlight w:val="none"/>
          <w:lang w:val="en-US" w:eastAsia="zh-CN"/>
        </w:rPr>
        <w:t>76769.35</w:t>
      </w:r>
      <w:r>
        <w:rPr>
          <w:rFonts w:hint="eastAsia" w:ascii="仿宋_GB2312" w:hAnsi="仿宋_GB2312" w:eastAsia="仿宋_GB2312" w:cs="仿宋_GB2312"/>
          <w:highlight w:val="none"/>
        </w:rPr>
        <w:t>万元，年度决算数为</w:t>
      </w:r>
      <w:r>
        <w:rPr>
          <w:rFonts w:hint="eastAsia" w:cs="仿宋_GB2312"/>
          <w:highlight w:val="none"/>
          <w:lang w:val="en-US" w:eastAsia="zh-CN"/>
        </w:rPr>
        <w:t>75884.83</w:t>
      </w:r>
      <w:r>
        <w:rPr>
          <w:rFonts w:hint="eastAsia" w:ascii="仿宋_GB2312" w:hAnsi="仿宋_GB2312" w:eastAsia="仿宋_GB2312" w:cs="仿宋_GB2312"/>
          <w:highlight w:val="none"/>
        </w:rPr>
        <w:t>万元，预决算差异率为</w:t>
      </w:r>
      <w:r>
        <w:rPr>
          <w:rFonts w:hint="eastAsia" w:cs="仿宋_GB2312"/>
          <w:highlight w:val="none"/>
          <w:lang w:val="en-US" w:eastAsia="zh-CN"/>
        </w:rPr>
        <w:t>1.15</w:t>
      </w:r>
      <w:r>
        <w:rPr>
          <w:rFonts w:hint="eastAsia" w:ascii="仿宋_GB2312" w:hAnsi="仿宋_GB2312" w:eastAsia="仿宋_GB2312" w:cs="仿宋_GB2312"/>
          <w:highlight w:val="none"/>
        </w:rPr>
        <w:t>%，低于全市平均水平。</w:t>
      </w:r>
    </w:p>
    <w:p w14:paraId="272BF4B2">
      <w:pPr>
        <w:pStyle w:val="2"/>
        <w:keepNext/>
        <w:keepLines/>
        <w:pageBreakBefore w:val="0"/>
        <w:widowControl/>
        <w:shd w:val="clear" w:color="010000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 w:firstLineChars="200"/>
        <w:textAlignment w:val="auto"/>
        <w:rPr>
          <w:rFonts w:hint="eastAsia" w:ascii="黑体" w:hAnsi="黑体" w:cs="黑体"/>
          <w:bCs/>
          <w:color w:val="auto"/>
          <w:kern w:val="44"/>
          <w:szCs w:val="32"/>
        </w:rPr>
      </w:pPr>
      <w:r>
        <w:rPr>
          <w:rFonts w:hint="eastAsia" w:ascii="黑体" w:hAnsi="黑体" w:cs="黑体"/>
          <w:bCs/>
          <w:color w:val="auto"/>
          <w:kern w:val="44"/>
          <w:szCs w:val="32"/>
        </w:rPr>
        <w:t>五、总体评价结论</w:t>
      </w:r>
    </w:p>
    <w:p w14:paraId="1348D9B4">
      <w:pPr>
        <w:pStyle w:val="3"/>
        <w:keepNext w:val="0"/>
        <w:keepLines w:val="0"/>
        <w:pageBreakBefore w:val="0"/>
        <w:widowControl w:val="0"/>
        <w:shd w:val="clear" w:color="010000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（一）评价得分情况</w:t>
      </w:r>
    </w:p>
    <w:p w14:paraId="26DB2464">
      <w:pPr>
        <w:keepNext w:val="0"/>
        <w:keepLines w:val="0"/>
        <w:pageBreakBefore w:val="0"/>
        <w:widowControl w:val="0"/>
        <w:shd w:val="clear" w:color="000000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cs="仿宋_GB2312"/>
          <w:lang w:eastAsia="zh-CN"/>
        </w:rPr>
        <w:t>2024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cs="仿宋_GB2312"/>
          <w:lang w:eastAsia="zh-CN"/>
        </w:rPr>
        <w:t>市民政局</w:t>
      </w:r>
      <w:r>
        <w:rPr>
          <w:rFonts w:hint="eastAsia" w:ascii="仿宋_GB2312" w:hAnsi="仿宋_GB2312" w:eastAsia="仿宋_GB2312" w:cs="仿宋_GB2312"/>
        </w:rPr>
        <w:t>部门整体绩效评价得分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为</w:t>
      </w:r>
      <w:r>
        <w:rPr>
          <w:rFonts w:hint="eastAsia" w:cs="仿宋_GB2312"/>
          <w:color w:val="auto"/>
          <w:highlight w:val="none"/>
          <w:lang w:val="en-US" w:eastAsia="zh-CN"/>
        </w:rPr>
        <w:t>96.93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分，综合评价等级为“优”，各一级指标得分情况如下表所示：</w:t>
      </w:r>
    </w:p>
    <w:p w14:paraId="05803CAE">
      <w:pPr>
        <w:shd w:val="clear" w:color="000000" w:fill="auto"/>
        <w:adjustRightInd w:val="0"/>
        <w:snapToGrid w:val="0"/>
        <w:spacing w:before="219" w:beforeLines="50" w:after="221" w:afterLines="50" w:line="0" w:lineRule="atLeast"/>
        <w:jc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 xml:space="preserve">表7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年部门整体绩效得分情况表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4"/>
        <w:gridCol w:w="1377"/>
        <w:gridCol w:w="1344"/>
        <w:gridCol w:w="1395"/>
      </w:tblGrid>
      <w:tr w14:paraId="49994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tblHeader/>
          <w:jc w:val="center"/>
        </w:trPr>
        <w:tc>
          <w:tcPr>
            <w:tcW w:w="2874" w:type="dxa"/>
            <w:vAlign w:val="center"/>
          </w:tcPr>
          <w:p w14:paraId="59784890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377" w:type="dxa"/>
            <w:vAlign w:val="center"/>
          </w:tcPr>
          <w:p w14:paraId="1B0F3103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1344" w:type="dxa"/>
            <w:vAlign w:val="center"/>
          </w:tcPr>
          <w:p w14:paraId="6AD2EE99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395" w:type="dxa"/>
            <w:vAlign w:val="center"/>
          </w:tcPr>
          <w:p w14:paraId="0D91B220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得分率</w:t>
            </w:r>
          </w:p>
        </w:tc>
      </w:tr>
      <w:tr w14:paraId="592E1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74" w:type="dxa"/>
            <w:vAlign w:val="center"/>
          </w:tcPr>
          <w:p w14:paraId="442B7C80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  <w:t>当年预算执行情况</w:t>
            </w:r>
          </w:p>
        </w:tc>
        <w:tc>
          <w:tcPr>
            <w:tcW w:w="1377" w:type="dxa"/>
            <w:vAlign w:val="center"/>
          </w:tcPr>
          <w:p w14:paraId="58683BA7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1344" w:type="dxa"/>
            <w:vAlign w:val="center"/>
          </w:tcPr>
          <w:p w14:paraId="6F4F293A">
            <w:pPr>
              <w:widowControl/>
              <w:shd w:val="clear" w:color="010000" w:fill="auto"/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18.74</w:t>
            </w:r>
          </w:p>
        </w:tc>
        <w:tc>
          <w:tcPr>
            <w:tcW w:w="1395" w:type="dxa"/>
            <w:vAlign w:val="center"/>
          </w:tcPr>
          <w:p w14:paraId="5A1A9A85">
            <w:pPr>
              <w:keepNext w:val="0"/>
              <w:keepLines w:val="0"/>
              <w:widowControl/>
              <w:suppressLineNumbers w:val="0"/>
              <w:shd w:val="clear" w:color="010000" w:fill="auto"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93.70%</w:t>
            </w:r>
          </w:p>
        </w:tc>
      </w:tr>
      <w:tr w14:paraId="6BE8D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74" w:type="dxa"/>
            <w:vAlign w:val="center"/>
          </w:tcPr>
          <w:p w14:paraId="405C52FD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  <w:t>整体绩效目标实现情况</w:t>
            </w:r>
          </w:p>
        </w:tc>
        <w:tc>
          <w:tcPr>
            <w:tcW w:w="1377" w:type="dxa"/>
            <w:vAlign w:val="center"/>
          </w:tcPr>
          <w:p w14:paraId="11B0C10E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  <w:t>60</w:t>
            </w:r>
          </w:p>
        </w:tc>
        <w:tc>
          <w:tcPr>
            <w:tcW w:w="1344" w:type="dxa"/>
            <w:vAlign w:val="center"/>
          </w:tcPr>
          <w:p w14:paraId="7DE99539">
            <w:pPr>
              <w:widowControl/>
              <w:shd w:val="clear" w:color="010000" w:fill="auto"/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58.99</w:t>
            </w:r>
          </w:p>
        </w:tc>
        <w:tc>
          <w:tcPr>
            <w:tcW w:w="1395" w:type="dxa"/>
            <w:vAlign w:val="center"/>
          </w:tcPr>
          <w:p w14:paraId="2320C153">
            <w:pPr>
              <w:keepNext w:val="0"/>
              <w:keepLines w:val="0"/>
              <w:widowControl/>
              <w:suppressLineNumbers w:val="0"/>
              <w:shd w:val="clear" w:color="010000" w:fill="auto"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98.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  <w:r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%</w:t>
            </w:r>
          </w:p>
        </w:tc>
      </w:tr>
      <w:tr w14:paraId="0E0E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74" w:type="dxa"/>
            <w:vAlign w:val="center"/>
          </w:tcPr>
          <w:p w14:paraId="6EC1550C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  <w:t>预算管理情况</w:t>
            </w:r>
          </w:p>
        </w:tc>
        <w:tc>
          <w:tcPr>
            <w:tcW w:w="1377" w:type="dxa"/>
            <w:vAlign w:val="center"/>
          </w:tcPr>
          <w:p w14:paraId="5552AE5E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1344" w:type="dxa"/>
            <w:vAlign w:val="center"/>
          </w:tcPr>
          <w:p w14:paraId="7B71BACF">
            <w:pPr>
              <w:widowControl/>
              <w:shd w:val="clear" w:color="010000" w:fill="auto"/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19.2</w:t>
            </w:r>
          </w:p>
        </w:tc>
        <w:tc>
          <w:tcPr>
            <w:tcW w:w="1395" w:type="dxa"/>
            <w:vAlign w:val="center"/>
          </w:tcPr>
          <w:p w14:paraId="39B25F43">
            <w:pPr>
              <w:keepNext w:val="0"/>
              <w:keepLines w:val="0"/>
              <w:widowControl/>
              <w:suppressLineNumbers w:val="0"/>
              <w:shd w:val="clear" w:color="010000" w:fill="auto"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96.00%</w:t>
            </w:r>
          </w:p>
        </w:tc>
      </w:tr>
      <w:tr w14:paraId="1B7D0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74" w:type="dxa"/>
            <w:vAlign w:val="center"/>
          </w:tcPr>
          <w:p w14:paraId="235BA9AF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1377" w:type="dxa"/>
            <w:vAlign w:val="center"/>
          </w:tcPr>
          <w:p w14:paraId="6EB323EF">
            <w:pPr>
              <w:widowControl/>
              <w:shd w:val="clear" w:color="010000" w:fill="auto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1344" w:type="dxa"/>
            <w:vAlign w:val="center"/>
          </w:tcPr>
          <w:p w14:paraId="24DDBDD0">
            <w:pPr>
              <w:widowControl/>
              <w:shd w:val="clear" w:color="010000" w:fill="auto"/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96.93</w:t>
            </w:r>
          </w:p>
        </w:tc>
        <w:tc>
          <w:tcPr>
            <w:tcW w:w="1395" w:type="dxa"/>
            <w:vAlign w:val="center"/>
          </w:tcPr>
          <w:p w14:paraId="5B4F0DE4">
            <w:pPr>
              <w:keepNext w:val="0"/>
              <w:keepLines w:val="0"/>
              <w:widowControl/>
              <w:suppressLineNumbers w:val="0"/>
              <w:shd w:val="clear" w:color="010000" w:fill="auto"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96.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93</w:t>
            </w:r>
            <w:r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%</w:t>
            </w:r>
          </w:p>
        </w:tc>
      </w:tr>
    </w:tbl>
    <w:p w14:paraId="64EED649">
      <w:pPr>
        <w:pStyle w:val="3"/>
        <w:keepNext/>
        <w:keepLines/>
        <w:pageBreakBefore w:val="0"/>
        <w:widowControl w:val="0"/>
        <w:shd w:val="clear" w:color="010000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ind w:firstLine="640"/>
        <w:textAlignment w:val="auto"/>
        <w:rPr>
          <w:rFonts w:hint="eastAsia" w:ascii="楷体_GB2312" w:hAnsi="楷体_GB2312" w:eastAsia="楷体_GB2312" w:cs="楷体_GB2312"/>
          <w:highlight w:val="none"/>
        </w:rPr>
      </w:pPr>
      <w:r>
        <w:rPr>
          <w:rFonts w:hint="eastAsia" w:ascii="楷体_GB2312" w:hAnsi="楷体_GB2312" w:eastAsia="楷体_GB2312" w:cs="楷体_GB2312"/>
          <w:highlight w:val="none"/>
        </w:rPr>
        <w:t>（二）存在的问题及原因分析</w:t>
      </w:r>
    </w:p>
    <w:p w14:paraId="24D2024B">
      <w:pPr>
        <w:keepNext w:val="0"/>
        <w:keepLines w:val="0"/>
        <w:widowControl w:val="0"/>
        <w:suppressLineNumbers w:val="0"/>
        <w:spacing w:before="0" w:beforeLines="0" w:beforeAutospacing="0" w:after="0" w:afterAutospacing="0" w:line="560" w:lineRule="exact"/>
        <w:ind w:left="0" w:leftChars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资金结转结余率较上一年度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有所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增加。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 w:bidi="ar"/>
        </w:rPr>
        <w:t>主要原因：一是</w:t>
      </w:r>
      <w:r>
        <w:rPr>
          <w:rFonts w:hint="eastAsia" w:cs="仿宋_GB2312"/>
          <w:b w:val="0"/>
          <w:bCs w:val="0"/>
          <w:highlight w:val="none"/>
          <w:lang w:val="en-US" w:eastAsia="zh-CN" w:bidi="ar"/>
        </w:rPr>
        <w:t>落实政府过紧日子要求，严控“三公”经费等一般性支出。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 w:bidi="ar"/>
        </w:rPr>
        <w:t>二是</w:t>
      </w:r>
      <w:r>
        <w:rPr>
          <w:rFonts w:hint="eastAsia" w:cs="仿宋_GB2312"/>
          <w:b w:val="0"/>
          <w:bCs w:val="0"/>
          <w:lang w:val="en-US" w:eastAsia="zh-CN" w:bidi="ar"/>
        </w:rPr>
        <w:t>受人员调整变动等客观因素影响，经费具有不确定性和临时性。三是个别项目因工作任务调整、业务发生变化等，不具备执行条件。</w:t>
      </w:r>
    </w:p>
    <w:p w14:paraId="0C1B8C18">
      <w:pPr>
        <w:pStyle w:val="2"/>
        <w:keepNext/>
        <w:keepLines/>
        <w:widowControl/>
        <w:shd w:val="clear" w:color="010000" w:fill="auto"/>
        <w:spacing w:beforeLines="0" w:line="560" w:lineRule="exact"/>
        <w:ind w:firstLine="640" w:firstLineChars="200"/>
        <w:rPr>
          <w:rFonts w:hint="eastAsia" w:ascii="黑体" w:hAnsi="黑体" w:cs="黑体"/>
          <w:bCs/>
          <w:color w:val="auto"/>
          <w:kern w:val="44"/>
          <w:szCs w:val="32"/>
        </w:rPr>
      </w:pPr>
      <w:r>
        <w:rPr>
          <w:rFonts w:hint="eastAsia" w:ascii="黑体" w:hAnsi="黑体" w:cs="黑体"/>
          <w:bCs/>
          <w:color w:val="auto"/>
          <w:kern w:val="44"/>
          <w:szCs w:val="32"/>
        </w:rPr>
        <w:t>六、措施建议</w:t>
      </w:r>
    </w:p>
    <w:p w14:paraId="2053D9AB">
      <w:pPr>
        <w:keepNext w:val="0"/>
        <w:keepLines w:val="0"/>
        <w:shd w:val="clear" w:color="000000" w:fill="auto"/>
        <w:spacing w:beforeLines="0"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u w:val="none"/>
        </w:rPr>
      </w:pPr>
      <w:bookmarkStart w:id="2" w:name="_Toc103006301"/>
      <w:r>
        <w:rPr>
          <w:rFonts w:hint="eastAsia" w:ascii="仿宋_GB2312" w:hAnsi="仿宋_GB2312" w:eastAsia="仿宋_GB2312" w:cs="仿宋_GB2312"/>
          <w:b w:val="0"/>
          <w:bCs w:val="0"/>
          <w:u w:val="none"/>
          <w:lang w:eastAsia="zh-CN"/>
        </w:rPr>
        <w:t>持续</w:t>
      </w:r>
      <w:r>
        <w:rPr>
          <w:rFonts w:hint="eastAsia" w:ascii="仿宋_GB2312" w:hAnsi="仿宋_GB2312" w:eastAsia="仿宋_GB2312" w:cs="仿宋_GB2312"/>
          <w:b w:val="0"/>
          <w:bCs w:val="0"/>
          <w:u w:val="none"/>
        </w:rPr>
        <w:t>引导项目</w:t>
      </w:r>
      <w:r>
        <w:rPr>
          <w:rFonts w:hint="eastAsia" w:ascii="仿宋_GB2312" w:hAnsi="仿宋_GB2312" w:eastAsia="仿宋_GB2312" w:cs="仿宋_GB2312"/>
          <w:b w:val="0"/>
          <w:bCs w:val="0"/>
          <w:u w:val="none"/>
          <w:lang w:eastAsia="zh-CN"/>
        </w:rPr>
        <w:t>处室（</w:t>
      </w:r>
      <w:r>
        <w:rPr>
          <w:rFonts w:hint="eastAsia" w:ascii="仿宋_GB2312" w:hAnsi="仿宋_GB2312" w:eastAsia="仿宋_GB2312" w:cs="仿宋_GB2312"/>
          <w:b w:val="0"/>
          <w:bCs w:val="0"/>
          <w:u w:val="none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u w:val="none"/>
        </w:rPr>
        <w:t>进一步履行</w:t>
      </w:r>
      <w:r>
        <w:rPr>
          <w:rFonts w:hint="eastAsia" w:ascii="仿宋_GB2312" w:hAnsi="仿宋_GB2312" w:eastAsia="仿宋_GB2312" w:cs="仿宋_GB2312"/>
          <w:b w:val="0"/>
          <w:bCs w:val="0"/>
          <w:u w:val="none"/>
          <w:lang w:eastAsia="zh-CN"/>
        </w:rPr>
        <w:t>预算绩效管理</w:t>
      </w:r>
      <w:r>
        <w:rPr>
          <w:rFonts w:hint="eastAsia" w:ascii="仿宋_GB2312" w:hAnsi="仿宋_GB2312" w:eastAsia="仿宋_GB2312" w:cs="仿宋_GB2312"/>
          <w:b w:val="0"/>
          <w:bCs w:val="0"/>
          <w:u w:val="none"/>
        </w:rPr>
        <w:t>主体责任</w:t>
      </w:r>
      <w:r>
        <w:rPr>
          <w:rFonts w:hint="eastAsia" w:ascii="仿宋_GB2312" w:hAnsi="仿宋_GB2312" w:eastAsia="仿宋_GB2312" w:cs="仿宋_GB2312"/>
          <w:b w:val="0"/>
          <w:bCs w:val="0"/>
          <w:u w:val="none"/>
          <w:lang w:eastAsia="zh-CN"/>
        </w:rPr>
        <w:t>，结合工作实际，</w:t>
      </w:r>
      <w:r>
        <w:rPr>
          <w:rFonts w:hint="eastAsia" w:ascii="仿宋_GB2312" w:hAnsi="仿宋_GB2312" w:eastAsia="仿宋_GB2312" w:cs="仿宋_GB2312"/>
          <w:b w:val="0"/>
          <w:bCs w:val="0"/>
        </w:rPr>
        <w:t>对遇</w:t>
      </w:r>
      <w:r>
        <w:rPr>
          <w:rFonts w:hint="eastAsia" w:cs="仿宋_GB2312"/>
          <w:b w:val="0"/>
          <w:bCs w:val="0"/>
          <w:lang w:eastAsia="zh-CN"/>
        </w:rPr>
        <w:t>客观因素确</w:t>
      </w:r>
      <w:r>
        <w:rPr>
          <w:rFonts w:hint="eastAsia" w:ascii="仿宋_GB2312" w:hAnsi="仿宋_GB2312" w:eastAsia="仿宋_GB2312" w:cs="仿宋_GB2312"/>
          <w:b w:val="0"/>
          <w:bCs w:val="0"/>
        </w:rPr>
        <w:t>需调整</w:t>
      </w:r>
      <w:r>
        <w:rPr>
          <w:rFonts w:hint="eastAsia" w:cs="仿宋_GB2312"/>
          <w:b w:val="0"/>
          <w:bCs w:val="0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</w:rPr>
        <w:t>，由项目单位提出申请，</w:t>
      </w:r>
      <w:r>
        <w:rPr>
          <w:rFonts w:hint="eastAsia" w:ascii="仿宋_GB2312" w:hAnsi="仿宋_GB2312" w:eastAsia="仿宋_GB2312" w:cs="仿宋_GB2312"/>
          <w:b w:val="0"/>
          <w:bCs w:val="0"/>
          <w:u w:val="none"/>
        </w:rPr>
        <w:t>及时履行</w:t>
      </w:r>
      <w:r>
        <w:rPr>
          <w:rFonts w:hint="eastAsia" w:ascii="仿宋_GB2312" w:hAnsi="仿宋_GB2312" w:eastAsia="仿宋_GB2312" w:cs="仿宋_GB2312"/>
          <w:b w:val="0"/>
          <w:bCs w:val="0"/>
          <w:u w:val="none"/>
          <w:lang w:eastAsia="zh-CN"/>
        </w:rPr>
        <w:t>项目预算和绩效目标</w:t>
      </w:r>
      <w:r>
        <w:rPr>
          <w:rFonts w:hint="eastAsia" w:ascii="仿宋_GB2312" w:hAnsi="仿宋_GB2312" w:eastAsia="仿宋_GB2312" w:cs="仿宋_GB2312"/>
          <w:b w:val="0"/>
          <w:bCs w:val="0"/>
          <w:u w:val="none"/>
        </w:rPr>
        <w:t>调整程序，</w:t>
      </w:r>
      <w:r>
        <w:rPr>
          <w:rFonts w:hint="eastAsia" w:ascii="仿宋_GB2312" w:hAnsi="仿宋_GB2312" w:eastAsia="仿宋_GB2312" w:cs="仿宋_GB2312"/>
          <w:b w:val="0"/>
          <w:bCs w:val="0"/>
          <w:u w:val="none"/>
          <w:lang w:eastAsia="zh-CN"/>
        </w:rPr>
        <w:t>提升资金使用效率和效益，</w:t>
      </w:r>
      <w:r>
        <w:rPr>
          <w:rFonts w:hint="eastAsia" w:ascii="仿宋_GB2312" w:hAnsi="仿宋_GB2312" w:eastAsia="仿宋_GB2312" w:cs="仿宋_GB2312"/>
          <w:b w:val="0"/>
          <w:bCs w:val="0"/>
          <w:u w:val="none"/>
        </w:rPr>
        <w:t>确保财政资金高质量运转。</w:t>
      </w:r>
    </w:p>
    <w:p w14:paraId="49033AE6">
      <w:pPr>
        <w:pStyle w:val="2"/>
        <w:keepNext/>
        <w:keepLines/>
        <w:widowControl/>
        <w:shd w:val="clear" w:color="010000" w:fill="auto"/>
        <w:spacing w:beforeLines="0" w:line="560" w:lineRule="exact"/>
        <w:ind w:firstLine="640" w:firstLineChars="200"/>
        <w:rPr>
          <w:rFonts w:hint="eastAsia" w:ascii="黑体" w:hAnsi="黑体" w:cs="黑体"/>
          <w:bCs/>
          <w:color w:val="auto"/>
          <w:kern w:val="44"/>
          <w:szCs w:val="32"/>
        </w:rPr>
      </w:pPr>
      <w:r>
        <w:rPr>
          <w:rFonts w:hint="eastAsia" w:ascii="黑体" w:hAnsi="黑体" w:cs="黑体"/>
          <w:bCs/>
          <w:color w:val="auto"/>
          <w:kern w:val="44"/>
          <w:szCs w:val="32"/>
        </w:rPr>
        <w:t>七、附件</w:t>
      </w:r>
      <w:bookmarkEnd w:id="2"/>
    </w:p>
    <w:p w14:paraId="360FD80D">
      <w:pPr>
        <w:shd w:val="clear" w:color="000000" w:fill="auto"/>
        <w:spacing w:beforeLines="0" w:line="560" w:lineRule="exact"/>
        <w:ind w:firstLine="640" w:firstLineChars="200"/>
        <w:rPr>
          <w:rFonts w:hint="eastAsia"/>
        </w:rPr>
      </w:pPr>
      <w:r>
        <w:rPr>
          <w:rFonts w:hint="eastAsia" w:cs="仿宋_GB2312"/>
          <w:szCs w:val="24"/>
          <w:lang w:eastAsia="zh-CN"/>
        </w:rPr>
        <w:t>2024</w:t>
      </w:r>
      <w:r>
        <w:rPr>
          <w:rFonts w:hint="eastAsia" w:ascii="仿宋_GB2312" w:hAnsi="仿宋_GB2312" w:eastAsia="仿宋_GB2312" w:cs="仿宋_GB2312"/>
          <w:szCs w:val="24"/>
        </w:rPr>
        <w:t>年部门整体绩效评价指标体系评分表</w:t>
      </w:r>
    </w:p>
    <w:p w14:paraId="467EAF9A">
      <w:pPr>
        <w:pStyle w:val="5"/>
        <w:rPr>
          <w:rFonts w:hint="eastAsia"/>
        </w:rPr>
      </w:pPr>
    </w:p>
    <w:p w14:paraId="74107D3C">
      <w:pPr>
        <w:pStyle w:val="5"/>
        <w:spacing w:beforeLines="0" w:line="560" w:lineRule="exact"/>
      </w:pPr>
      <w:r>
        <w:rPr>
          <w:rFonts w:hint="eastAsia" w:cs="仿宋_GB2312"/>
          <w:szCs w:val="24"/>
          <w:lang w:val="en-US" w:eastAsia="zh-CN"/>
        </w:rPr>
        <w:t xml:space="preserve">                       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imes New Roman (标题 CS)">
    <w:altName w:val="Times New Roman"/>
    <w:panose1 w:val="020B0604020202020204"/>
    <w:charset w:val="86"/>
    <w:family w:val="auto"/>
    <w:pitch w:val="default"/>
    <w:sig w:usb0="00000000" w:usb1="00000000" w:usb2="00000000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国标宋体">
    <w:panose1 w:val="02000500000000000000"/>
    <w:charset w:val="86"/>
    <w:family w:val="auto"/>
    <w:pitch w:val="default"/>
    <w:sig w:usb0="00000001" w:usb1="28000000" w:usb2="00000000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2CAE12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5382F5">
                          <w:pPr>
                            <w:pStyle w:val="10"/>
                            <w:rPr>
                              <w:rStyle w:val="17"/>
                            </w:rPr>
                          </w:pPr>
                          <w:r>
                            <w:rPr>
                              <w:rStyle w:val="17"/>
                            </w:rPr>
                            <w:fldChar w:fldCharType="begin"/>
                          </w:r>
                          <w:r>
                            <w:rPr>
                              <w:rStyle w:val="17"/>
                            </w:rPr>
                            <w:instrText xml:space="preserve"> PAGE </w:instrText>
                          </w:r>
                          <w:r>
                            <w:rPr>
                              <w:rStyle w:val="17"/>
                            </w:rPr>
                            <w:fldChar w:fldCharType="separate"/>
                          </w:r>
                          <w:r>
                            <w:rPr>
                              <w:rStyle w:val="17"/>
                            </w:rPr>
                            <w:t>1</w:t>
                          </w:r>
                          <w:r>
                            <w:rPr>
                              <w:rStyle w:val="17"/>
                            </w:rPr>
                            <w:fldChar w:fldCharType="end"/>
                          </w:r>
                        </w:p>
                        <w:p w14:paraId="50EB356A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5382F5">
                    <w:pPr>
                      <w:pStyle w:val="10"/>
                      <w:rPr>
                        <w:rStyle w:val="17"/>
                      </w:rPr>
                    </w:pPr>
                    <w:r>
                      <w:rPr>
                        <w:rStyle w:val="17"/>
                      </w:rPr>
                      <w:fldChar w:fldCharType="begin"/>
                    </w:r>
                    <w:r>
                      <w:rPr>
                        <w:rStyle w:val="17"/>
                      </w:rPr>
                      <w:instrText xml:space="preserve"> PAGE </w:instrText>
                    </w:r>
                    <w:r>
                      <w:rPr>
                        <w:rStyle w:val="17"/>
                      </w:rPr>
                      <w:fldChar w:fldCharType="separate"/>
                    </w:r>
                    <w:r>
                      <w:rPr>
                        <w:rStyle w:val="17"/>
                      </w:rPr>
                      <w:t>1</w:t>
                    </w:r>
                    <w:r>
                      <w:rPr>
                        <w:rStyle w:val="17"/>
                      </w:rPr>
                      <w:fldChar w:fldCharType="end"/>
                    </w:r>
                  </w:p>
                  <w:p w14:paraId="50EB356A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A6F19">
    <w:pPr>
      <w:pStyle w:val="10"/>
      <w:framePr w:wrap="around" w:vAnchor="text" w:hAnchor="margin" w:xAlign="center" w:y="1"/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 PAGE 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 w14:paraId="3B5A2A80"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8E4B83"/>
    <w:multiLevelType w:val="singleLevel"/>
    <w:tmpl w:val="DD8E4B8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ED632C0"/>
    <w:multiLevelType w:val="singleLevel"/>
    <w:tmpl w:val="EED632C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FFED64C"/>
    <w:multiLevelType w:val="singleLevel"/>
    <w:tmpl w:val="FFFED64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NotTrackMoves/>
  <w:trackRevisions w:val="1"/>
  <w:documentProtection w:enforcement="0"/>
  <w:defaultTabStop w:val="0"/>
  <w:drawingGridVerticalSpacing w:val="22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1B"/>
    <w:rsid w:val="00001A93"/>
    <w:rsid w:val="00001AA1"/>
    <w:rsid w:val="00001B66"/>
    <w:rsid w:val="00005530"/>
    <w:rsid w:val="000061AB"/>
    <w:rsid w:val="0000629C"/>
    <w:rsid w:val="00006416"/>
    <w:rsid w:val="00006431"/>
    <w:rsid w:val="00007EC2"/>
    <w:rsid w:val="000112F1"/>
    <w:rsid w:val="00011703"/>
    <w:rsid w:val="00013B23"/>
    <w:rsid w:val="00013EA1"/>
    <w:rsid w:val="00015ECD"/>
    <w:rsid w:val="0001602E"/>
    <w:rsid w:val="00016DCD"/>
    <w:rsid w:val="00017BFB"/>
    <w:rsid w:val="00024686"/>
    <w:rsid w:val="00024809"/>
    <w:rsid w:val="00025B8E"/>
    <w:rsid w:val="00025ED9"/>
    <w:rsid w:val="00025F6D"/>
    <w:rsid w:val="00031369"/>
    <w:rsid w:val="00032E9E"/>
    <w:rsid w:val="00035AC7"/>
    <w:rsid w:val="000361B4"/>
    <w:rsid w:val="000400E7"/>
    <w:rsid w:val="00041D23"/>
    <w:rsid w:val="00042CB4"/>
    <w:rsid w:val="00044AAB"/>
    <w:rsid w:val="000468AC"/>
    <w:rsid w:val="00050C6A"/>
    <w:rsid w:val="00051B00"/>
    <w:rsid w:val="00052356"/>
    <w:rsid w:val="00052519"/>
    <w:rsid w:val="00053184"/>
    <w:rsid w:val="000533D3"/>
    <w:rsid w:val="00055733"/>
    <w:rsid w:val="000558C2"/>
    <w:rsid w:val="00056F4D"/>
    <w:rsid w:val="00061A20"/>
    <w:rsid w:val="000646D1"/>
    <w:rsid w:val="000646F4"/>
    <w:rsid w:val="000646F7"/>
    <w:rsid w:val="00065957"/>
    <w:rsid w:val="00065C6D"/>
    <w:rsid w:val="00065E02"/>
    <w:rsid w:val="0006607C"/>
    <w:rsid w:val="0006639A"/>
    <w:rsid w:val="00066685"/>
    <w:rsid w:val="000703BB"/>
    <w:rsid w:val="00070D5D"/>
    <w:rsid w:val="00071275"/>
    <w:rsid w:val="00071F3A"/>
    <w:rsid w:val="00072553"/>
    <w:rsid w:val="00076C13"/>
    <w:rsid w:val="00081008"/>
    <w:rsid w:val="000811B6"/>
    <w:rsid w:val="0008125B"/>
    <w:rsid w:val="000815D8"/>
    <w:rsid w:val="0008421C"/>
    <w:rsid w:val="00084B6E"/>
    <w:rsid w:val="00084B95"/>
    <w:rsid w:val="00084C4A"/>
    <w:rsid w:val="00084CCC"/>
    <w:rsid w:val="00085DF4"/>
    <w:rsid w:val="0009093F"/>
    <w:rsid w:val="00091A75"/>
    <w:rsid w:val="000927DE"/>
    <w:rsid w:val="000932A0"/>
    <w:rsid w:val="0009595A"/>
    <w:rsid w:val="00095C80"/>
    <w:rsid w:val="0009725E"/>
    <w:rsid w:val="000A0794"/>
    <w:rsid w:val="000A15CB"/>
    <w:rsid w:val="000A3637"/>
    <w:rsid w:val="000A3A29"/>
    <w:rsid w:val="000A4DBA"/>
    <w:rsid w:val="000A505C"/>
    <w:rsid w:val="000A5E4D"/>
    <w:rsid w:val="000A62FD"/>
    <w:rsid w:val="000B00F6"/>
    <w:rsid w:val="000B2AD2"/>
    <w:rsid w:val="000B2DAC"/>
    <w:rsid w:val="000B664E"/>
    <w:rsid w:val="000B6A09"/>
    <w:rsid w:val="000B76B9"/>
    <w:rsid w:val="000C05F3"/>
    <w:rsid w:val="000C06FF"/>
    <w:rsid w:val="000C19C8"/>
    <w:rsid w:val="000C1EC7"/>
    <w:rsid w:val="000C3048"/>
    <w:rsid w:val="000C3868"/>
    <w:rsid w:val="000C4087"/>
    <w:rsid w:val="000C4694"/>
    <w:rsid w:val="000C4E35"/>
    <w:rsid w:val="000C6B15"/>
    <w:rsid w:val="000D123A"/>
    <w:rsid w:val="000D2638"/>
    <w:rsid w:val="000D3D30"/>
    <w:rsid w:val="000E210E"/>
    <w:rsid w:val="000E2ADE"/>
    <w:rsid w:val="000E3B71"/>
    <w:rsid w:val="000E4EE5"/>
    <w:rsid w:val="000E4F0B"/>
    <w:rsid w:val="000E5762"/>
    <w:rsid w:val="000E6142"/>
    <w:rsid w:val="000E7BFD"/>
    <w:rsid w:val="000F13C1"/>
    <w:rsid w:val="000F1ABF"/>
    <w:rsid w:val="000F3CC4"/>
    <w:rsid w:val="000F4E68"/>
    <w:rsid w:val="000F6477"/>
    <w:rsid w:val="000F79ED"/>
    <w:rsid w:val="00100380"/>
    <w:rsid w:val="00100F77"/>
    <w:rsid w:val="00101732"/>
    <w:rsid w:val="00101E55"/>
    <w:rsid w:val="001061D5"/>
    <w:rsid w:val="0010665A"/>
    <w:rsid w:val="001129C5"/>
    <w:rsid w:val="00112BF5"/>
    <w:rsid w:val="00114EDB"/>
    <w:rsid w:val="00117B8C"/>
    <w:rsid w:val="0012361E"/>
    <w:rsid w:val="00123DA7"/>
    <w:rsid w:val="00125B2C"/>
    <w:rsid w:val="00127D5E"/>
    <w:rsid w:val="00132053"/>
    <w:rsid w:val="0013429F"/>
    <w:rsid w:val="00134776"/>
    <w:rsid w:val="0013507E"/>
    <w:rsid w:val="00135146"/>
    <w:rsid w:val="001358CB"/>
    <w:rsid w:val="00142CCE"/>
    <w:rsid w:val="0014534D"/>
    <w:rsid w:val="00145F22"/>
    <w:rsid w:val="00145FCA"/>
    <w:rsid w:val="00146084"/>
    <w:rsid w:val="001460E2"/>
    <w:rsid w:val="00146BCB"/>
    <w:rsid w:val="00147290"/>
    <w:rsid w:val="0014738E"/>
    <w:rsid w:val="0015126F"/>
    <w:rsid w:val="00151679"/>
    <w:rsid w:val="0015275A"/>
    <w:rsid w:val="001550A3"/>
    <w:rsid w:val="0015597A"/>
    <w:rsid w:val="00156425"/>
    <w:rsid w:val="001570F1"/>
    <w:rsid w:val="00160C63"/>
    <w:rsid w:val="00161E2F"/>
    <w:rsid w:val="00162067"/>
    <w:rsid w:val="00162C97"/>
    <w:rsid w:val="001634A2"/>
    <w:rsid w:val="00163B5C"/>
    <w:rsid w:val="00165502"/>
    <w:rsid w:val="00165D07"/>
    <w:rsid w:val="001664E4"/>
    <w:rsid w:val="00167831"/>
    <w:rsid w:val="00172838"/>
    <w:rsid w:val="00172E17"/>
    <w:rsid w:val="00174054"/>
    <w:rsid w:val="001746F6"/>
    <w:rsid w:val="001761F3"/>
    <w:rsid w:val="001762D1"/>
    <w:rsid w:val="00180950"/>
    <w:rsid w:val="001814EA"/>
    <w:rsid w:val="00181A0B"/>
    <w:rsid w:val="00183582"/>
    <w:rsid w:val="0019331B"/>
    <w:rsid w:val="00194179"/>
    <w:rsid w:val="0019666D"/>
    <w:rsid w:val="001A1857"/>
    <w:rsid w:val="001A2BA6"/>
    <w:rsid w:val="001A4F99"/>
    <w:rsid w:val="001A7AF0"/>
    <w:rsid w:val="001B2B7B"/>
    <w:rsid w:val="001B2C59"/>
    <w:rsid w:val="001B6329"/>
    <w:rsid w:val="001B7237"/>
    <w:rsid w:val="001C0F41"/>
    <w:rsid w:val="001C182D"/>
    <w:rsid w:val="001C1F49"/>
    <w:rsid w:val="001C27CC"/>
    <w:rsid w:val="001C347C"/>
    <w:rsid w:val="001C3F5F"/>
    <w:rsid w:val="001C447E"/>
    <w:rsid w:val="001C55AC"/>
    <w:rsid w:val="001C630C"/>
    <w:rsid w:val="001C6E55"/>
    <w:rsid w:val="001D0EA0"/>
    <w:rsid w:val="001D1A38"/>
    <w:rsid w:val="001D282C"/>
    <w:rsid w:val="001D2B96"/>
    <w:rsid w:val="001D2D96"/>
    <w:rsid w:val="001D57B7"/>
    <w:rsid w:val="001D5C7E"/>
    <w:rsid w:val="001E1CBA"/>
    <w:rsid w:val="001E2113"/>
    <w:rsid w:val="001E359D"/>
    <w:rsid w:val="001E35BE"/>
    <w:rsid w:val="001E35D3"/>
    <w:rsid w:val="001E4935"/>
    <w:rsid w:val="001E5FF2"/>
    <w:rsid w:val="001E705A"/>
    <w:rsid w:val="001F0C72"/>
    <w:rsid w:val="001F0CD5"/>
    <w:rsid w:val="001F0D96"/>
    <w:rsid w:val="001F115B"/>
    <w:rsid w:val="001F2A4A"/>
    <w:rsid w:val="001F3185"/>
    <w:rsid w:val="001F6C25"/>
    <w:rsid w:val="001F70B0"/>
    <w:rsid w:val="00201B36"/>
    <w:rsid w:val="00202863"/>
    <w:rsid w:val="00202E65"/>
    <w:rsid w:val="002036EF"/>
    <w:rsid w:val="00204855"/>
    <w:rsid w:val="00205E1B"/>
    <w:rsid w:val="00206389"/>
    <w:rsid w:val="002077E7"/>
    <w:rsid w:val="00212553"/>
    <w:rsid w:val="00213CB3"/>
    <w:rsid w:val="002144B2"/>
    <w:rsid w:val="002148B5"/>
    <w:rsid w:val="00214BF9"/>
    <w:rsid w:val="00215582"/>
    <w:rsid w:val="0021685F"/>
    <w:rsid w:val="00217AEC"/>
    <w:rsid w:val="0022033C"/>
    <w:rsid w:val="002213F3"/>
    <w:rsid w:val="002230B0"/>
    <w:rsid w:val="002234A4"/>
    <w:rsid w:val="00223A0B"/>
    <w:rsid w:val="00224D1A"/>
    <w:rsid w:val="002302FE"/>
    <w:rsid w:val="00230F1B"/>
    <w:rsid w:val="00232488"/>
    <w:rsid w:val="00232FA6"/>
    <w:rsid w:val="00236EBF"/>
    <w:rsid w:val="00240FBA"/>
    <w:rsid w:val="0024103E"/>
    <w:rsid w:val="0024197C"/>
    <w:rsid w:val="002426C6"/>
    <w:rsid w:val="00244077"/>
    <w:rsid w:val="00247642"/>
    <w:rsid w:val="00250141"/>
    <w:rsid w:val="00251118"/>
    <w:rsid w:val="0025186A"/>
    <w:rsid w:val="00251EFB"/>
    <w:rsid w:val="00255093"/>
    <w:rsid w:val="002563A9"/>
    <w:rsid w:val="002564A7"/>
    <w:rsid w:val="00257BA6"/>
    <w:rsid w:val="00261197"/>
    <w:rsid w:val="002631D9"/>
    <w:rsid w:val="002648F3"/>
    <w:rsid w:val="002654FE"/>
    <w:rsid w:val="00265CEA"/>
    <w:rsid w:val="00266FA4"/>
    <w:rsid w:val="00267377"/>
    <w:rsid w:val="002676D4"/>
    <w:rsid w:val="002706D7"/>
    <w:rsid w:val="002708B8"/>
    <w:rsid w:val="00270E63"/>
    <w:rsid w:val="00270EBE"/>
    <w:rsid w:val="00273299"/>
    <w:rsid w:val="00273F08"/>
    <w:rsid w:val="002743AA"/>
    <w:rsid w:val="002745BC"/>
    <w:rsid w:val="002755E5"/>
    <w:rsid w:val="0027662A"/>
    <w:rsid w:val="00276E14"/>
    <w:rsid w:val="00276E45"/>
    <w:rsid w:val="00277A3E"/>
    <w:rsid w:val="002803BA"/>
    <w:rsid w:val="00281077"/>
    <w:rsid w:val="0028192F"/>
    <w:rsid w:val="00281EE3"/>
    <w:rsid w:val="002855A7"/>
    <w:rsid w:val="00285822"/>
    <w:rsid w:val="0028598D"/>
    <w:rsid w:val="002864F5"/>
    <w:rsid w:val="00291064"/>
    <w:rsid w:val="00291DBF"/>
    <w:rsid w:val="00295492"/>
    <w:rsid w:val="002972C6"/>
    <w:rsid w:val="002A380E"/>
    <w:rsid w:val="002A4EA5"/>
    <w:rsid w:val="002A575C"/>
    <w:rsid w:val="002A7B4E"/>
    <w:rsid w:val="002A7DBA"/>
    <w:rsid w:val="002B0D2A"/>
    <w:rsid w:val="002B0DEA"/>
    <w:rsid w:val="002B1929"/>
    <w:rsid w:val="002B1C88"/>
    <w:rsid w:val="002B2064"/>
    <w:rsid w:val="002B2D0C"/>
    <w:rsid w:val="002B3074"/>
    <w:rsid w:val="002B5328"/>
    <w:rsid w:val="002C05DF"/>
    <w:rsid w:val="002C12AC"/>
    <w:rsid w:val="002C2C4C"/>
    <w:rsid w:val="002C3D2B"/>
    <w:rsid w:val="002C4BC7"/>
    <w:rsid w:val="002C4EB9"/>
    <w:rsid w:val="002C7B64"/>
    <w:rsid w:val="002D0C52"/>
    <w:rsid w:val="002D2491"/>
    <w:rsid w:val="002D3557"/>
    <w:rsid w:val="002D3620"/>
    <w:rsid w:val="002D49B4"/>
    <w:rsid w:val="002D4F2D"/>
    <w:rsid w:val="002D7DA4"/>
    <w:rsid w:val="002E1F9E"/>
    <w:rsid w:val="002E27C5"/>
    <w:rsid w:val="002E3FC6"/>
    <w:rsid w:val="002E61B7"/>
    <w:rsid w:val="002E656B"/>
    <w:rsid w:val="002E6DAA"/>
    <w:rsid w:val="002F0C57"/>
    <w:rsid w:val="002F11B3"/>
    <w:rsid w:val="002F12F1"/>
    <w:rsid w:val="002F3054"/>
    <w:rsid w:val="002F3E69"/>
    <w:rsid w:val="002F4515"/>
    <w:rsid w:val="002F47F4"/>
    <w:rsid w:val="002F4AFC"/>
    <w:rsid w:val="002F56DB"/>
    <w:rsid w:val="002F5F07"/>
    <w:rsid w:val="002F5F10"/>
    <w:rsid w:val="002F7776"/>
    <w:rsid w:val="0030079C"/>
    <w:rsid w:val="00300D61"/>
    <w:rsid w:val="00300DAB"/>
    <w:rsid w:val="0030101E"/>
    <w:rsid w:val="00301975"/>
    <w:rsid w:val="003048B8"/>
    <w:rsid w:val="003052EC"/>
    <w:rsid w:val="003066EE"/>
    <w:rsid w:val="00307AD9"/>
    <w:rsid w:val="0031160A"/>
    <w:rsid w:val="00311B3E"/>
    <w:rsid w:val="00313210"/>
    <w:rsid w:val="00313A58"/>
    <w:rsid w:val="00313E2D"/>
    <w:rsid w:val="00314605"/>
    <w:rsid w:val="00315827"/>
    <w:rsid w:val="003159F8"/>
    <w:rsid w:val="003211AD"/>
    <w:rsid w:val="003218E9"/>
    <w:rsid w:val="0032463B"/>
    <w:rsid w:val="0032561D"/>
    <w:rsid w:val="00325F2C"/>
    <w:rsid w:val="003274C8"/>
    <w:rsid w:val="0032794F"/>
    <w:rsid w:val="00332549"/>
    <w:rsid w:val="003329EF"/>
    <w:rsid w:val="0033399D"/>
    <w:rsid w:val="0033502C"/>
    <w:rsid w:val="00335069"/>
    <w:rsid w:val="00335250"/>
    <w:rsid w:val="00335963"/>
    <w:rsid w:val="00335D4C"/>
    <w:rsid w:val="00336C7B"/>
    <w:rsid w:val="00336DE3"/>
    <w:rsid w:val="00337B14"/>
    <w:rsid w:val="00337D51"/>
    <w:rsid w:val="003400CB"/>
    <w:rsid w:val="00341606"/>
    <w:rsid w:val="0034185D"/>
    <w:rsid w:val="00342D20"/>
    <w:rsid w:val="0034313D"/>
    <w:rsid w:val="00346224"/>
    <w:rsid w:val="0034640D"/>
    <w:rsid w:val="00346D89"/>
    <w:rsid w:val="00347ADE"/>
    <w:rsid w:val="00354A43"/>
    <w:rsid w:val="00354D56"/>
    <w:rsid w:val="00356D55"/>
    <w:rsid w:val="00357890"/>
    <w:rsid w:val="00361AC0"/>
    <w:rsid w:val="00362039"/>
    <w:rsid w:val="00363DED"/>
    <w:rsid w:val="003644A9"/>
    <w:rsid w:val="00364A56"/>
    <w:rsid w:val="00364EDE"/>
    <w:rsid w:val="00365AF8"/>
    <w:rsid w:val="00365C0E"/>
    <w:rsid w:val="00366F5E"/>
    <w:rsid w:val="00370586"/>
    <w:rsid w:val="00371034"/>
    <w:rsid w:val="00371543"/>
    <w:rsid w:val="00371C66"/>
    <w:rsid w:val="0037328E"/>
    <w:rsid w:val="00373EFE"/>
    <w:rsid w:val="003751DA"/>
    <w:rsid w:val="00375E8C"/>
    <w:rsid w:val="0037671E"/>
    <w:rsid w:val="00380233"/>
    <w:rsid w:val="0038108D"/>
    <w:rsid w:val="0038137A"/>
    <w:rsid w:val="00382B09"/>
    <w:rsid w:val="00383281"/>
    <w:rsid w:val="003839EE"/>
    <w:rsid w:val="00383EE9"/>
    <w:rsid w:val="00384443"/>
    <w:rsid w:val="00384DFF"/>
    <w:rsid w:val="00385343"/>
    <w:rsid w:val="00385CC4"/>
    <w:rsid w:val="00390FF3"/>
    <w:rsid w:val="00391D38"/>
    <w:rsid w:val="00393990"/>
    <w:rsid w:val="00395255"/>
    <w:rsid w:val="00397DD4"/>
    <w:rsid w:val="003A094B"/>
    <w:rsid w:val="003A12B7"/>
    <w:rsid w:val="003A3B86"/>
    <w:rsid w:val="003A3E53"/>
    <w:rsid w:val="003A664C"/>
    <w:rsid w:val="003A7CB0"/>
    <w:rsid w:val="003B0303"/>
    <w:rsid w:val="003B1459"/>
    <w:rsid w:val="003B2CE8"/>
    <w:rsid w:val="003B2EE9"/>
    <w:rsid w:val="003B3D77"/>
    <w:rsid w:val="003B41AD"/>
    <w:rsid w:val="003B472C"/>
    <w:rsid w:val="003B59DD"/>
    <w:rsid w:val="003B6AE7"/>
    <w:rsid w:val="003B6C6D"/>
    <w:rsid w:val="003C2669"/>
    <w:rsid w:val="003C2F3B"/>
    <w:rsid w:val="003C3935"/>
    <w:rsid w:val="003C4A91"/>
    <w:rsid w:val="003C4EBB"/>
    <w:rsid w:val="003C676D"/>
    <w:rsid w:val="003C7156"/>
    <w:rsid w:val="003D12FD"/>
    <w:rsid w:val="003D2AE3"/>
    <w:rsid w:val="003D2CCA"/>
    <w:rsid w:val="003D3420"/>
    <w:rsid w:val="003D57AE"/>
    <w:rsid w:val="003E104E"/>
    <w:rsid w:val="003E258B"/>
    <w:rsid w:val="003E2FC1"/>
    <w:rsid w:val="003E315D"/>
    <w:rsid w:val="003E51A6"/>
    <w:rsid w:val="003E5B87"/>
    <w:rsid w:val="003E6770"/>
    <w:rsid w:val="003E6A17"/>
    <w:rsid w:val="003E72C5"/>
    <w:rsid w:val="003E7C0E"/>
    <w:rsid w:val="003E7F35"/>
    <w:rsid w:val="003F07E4"/>
    <w:rsid w:val="003F1E3F"/>
    <w:rsid w:val="003F4AAB"/>
    <w:rsid w:val="003F66E2"/>
    <w:rsid w:val="003F7879"/>
    <w:rsid w:val="004002A8"/>
    <w:rsid w:val="0040071C"/>
    <w:rsid w:val="004040AD"/>
    <w:rsid w:val="00405B2C"/>
    <w:rsid w:val="00405B42"/>
    <w:rsid w:val="004061AC"/>
    <w:rsid w:val="004069FB"/>
    <w:rsid w:val="00407013"/>
    <w:rsid w:val="0040775E"/>
    <w:rsid w:val="004102CA"/>
    <w:rsid w:val="004174DD"/>
    <w:rsid w:val="0041786E"/>
    <w:rsid w:val="004232D2"/>
    <w:rsid w:val="00423417"/>
    <w:rsid w:val="00423C7C"/>
    <w:rsid w:val="0042561A"/>
    <w:rsid w:val="00426A18"/>
    <w:rsid w:val="0042701B"/>
    <w:rsid w:val="004275EE"/>
    <w:rsid w:val="004279BF"/>
    <w:rsid w:val="00427E15"/>
    <w:rsid w:val="00431258"/>
    <w:rsid w:val="00433AAF"/>
    <w:rsid w:val="00435232"/>
    <w:rsid w:val="0043580E"/>
    <w:rsid w:val="00436A9E"/>
    <w:rsid w:val="004375F5"/>
    <w:rsid w:val="00441045"/>
    <w:rsid w:val="004424F4"/>
    <w:rsid w:val="00443D11"/>
    <w:rsid w:val="004445DD"/>
    <w:rsid w:val="004450FE"/>
    <w:rsid w:val="00447307"/>
    <w:rsid w:val="0044779D"/>
    <w:rsid w:val="004502B8"/>
    <w:rsid w:val="004504BC"/>
    <w:rsid w:val="00452D60"/>
    <w:rsid w:val="0045331A"/>
    <w:rsid w:val="004535A7"/>
    <w:rsid w:val="0045374D"/>
    <w:rsid w:val="00453A47"/>
    <w:rsid w:val="00455A76"/>
    <w:rsid w:val="00460ADF"/>
    <w:rsid w:val="00461C5A"/>
    <w:rsid w:val="00465124"/>
    <w:rsid w:val="00465F03"/>
    <w:rsid w:val="00466BF6"/>
    <w:rsid w:val="00467D72"/>
    <w:rsid w:val="00471406"/>
    <w:rsid w:val="004732F5"/>
    <w:rsid w:val="00473A92"/>
    <w:rsid w:val="00474765"/>
    <w:rsid w:val="0047566C"/>
    <w:rsid w:val="00475BAD"/>
    <w:rsid w:val="00476245"/>
    <w:rsid w:val="004765BD"/>
    <w:rsid w:val="004773BE"/>
    <w:rsid w:val="00477423"/>
    <w:rsid w:val="00480E40"/>
    <w:rsid w:val="004811E1"/>
    <w:rsid w:val="00481232"/>
    <w:rsid w:val="00485C34"/>
    <w:rsid w:val="00486D33"/>
    <w:rsid w:val="00487027"/>
    <w:rsid w:val="004916DF"/>
    <w:rsid w:val="00491723"/>
    <w:rsid w:val="00492CA4"/>
    <w:rsid w:val="00492EBB"/>
    <w:rsid w:val="00495A2A"/>
    <w:rsid w:val="004A1396"/>
    <w:rsid w:val="004A2C29"/>
    <w:rsid w:val="004A4072"/>
    <w:rsid w:val="004A6487"/>
    <w:rsid w:val="004A75BA"/>
    <w:rsid w:val="004B07DA"/>
    <w:rsid w:val="004B1235"/>
    <w:rsid w:val="004B13CE"/>
    <w:rsid w:val="004B4C4F"/>
    <w:rsid w:val="004B59FB"/>
    <w:rsid w:val="004B6756"/>
    <w:rsid w:val="004B6AEE"/>
    <w:rsid w:val="004C0DD1"/>
    <w:rsid w:val="004C1C59"/>
    <w:rsid w:val="004C2E82"/>
    <w:rsid w:val="004C3EBD"/>
    <w:rsid w:val="004C4922"/>
    <w:rsid w:val="004C5490"/>
    <w:rsid w:val="004D0265"/>
    <w:rsid w:val="004D1227"/>
    <w:rsid w:val="004D3937"/>
    <w:rsid w:val="004D3A52"/>
    <w:rsid w:val="004D7B97"/>
    <w:rsid w:val="004E02BF"/>
    <w:rsid w:val="004E0B96"/>
    <w:rsid w:val="004E0CD8"/>
    <w:rsid w:val="004E0FBC"/>
    <w:rsid w:val="004E2FA1"/>
    <w:rsid w:val="004E3A9F"/>
    <w:rsid w:val="004E552F"/>
    <w:rsid w:val="004E73F7"/>
    <w:rsid w:val="004E7F03"/>
    <w:rsid w:val="004F0B71"/>
    <w:rsid w:val="004F1195"/>
    <w:rsid w:val="004F12A3"/>
    <w:rsid w:val="004F332A"/>
    <w:rsid w:val="004F5A2D"/>
    <w:rsid w:val="004F5D12"/>
    <w:rsid w:val="004F7A9C"/>
    <w:rsid w:val="005002FE"/>
    <w:rsid w:val="005008D1"/>
    <w:rsid w:val="00501624"/>
    <w:rsid w:val="00501B6A"/>
    <w:rsid w:val="0050225A"/>
    <w:rsid w:val="005124BB"/>
    <w:rsid w:val="00512893"/>
    <w:rsid w:val="00513937"/>
    <w:rsid w:val="00513D1B"/>
    <w:rsid w:val="005144CE"/>
    <w:rsid w:val="00517545"/>
    <w:rsid w:val="00517E83"/>
    <w:rsid w:val="00520397"/>
    <w:rsid w:val="00521981"/>
    <w:rsid w:val="005224F8"/>
    <w:rsid w:val="00522B88"/>
    <w:rsid w:val="00523D37"/>
    <w:rsid w:val="00525032"/>
    <w:rsid w:val="00525B09"/>
    <w:rsid w:val="00533882"/>
    <w:rsid w:val="00533A24"/>
    <w:rsid w:val="00534242"/>
    <w:rsid w:val="0053636F"/>
    <w:rsid w:val="00537070"/>
    <w:rsid w:val="00537353"/>
    <w:rsid w:val="00540571"/>
    <w:rsid w:val="005408BE"/>
    <w:rsid w:val="005411DB"/>
    <w:rsid w:val="00543391"/>
    <w:rsid w:val="00543E88"/>
    <w:rsid w:val="00543EDE"/>
    <w:rsid w:val="005445FA"/>
    <w:rsid w:val="005458BD"/>
    <w:rsid w:val="00546E7F"/>
    <w:rsid w:val="00551C6B"/>
    <w:rsid w:val="0055322E"/>
    <w:rsid w:val="00553D92"/>
    <w:rsid w:val="00554B36"/>
    <w:rsid w:val="0056062F"/>
    <w:rsid w:val="00560925"/>
    <w:rsid w:val="00561176"/>
    <w:rsid w:val="00564EA1"/>
    <w:rsid w:val="005662F6"/>
    <w:rsid w:val="00570FE0"/>
    <w:rsid w:val="0057185C"/>
    <w:rsid w:val="00572925"/>
    <w:rsid w:val="005735D7"/>
    <w:rsid w:val="00573679"/>
    <w:rsid w:val="00576477"/>
    <w:rsid w:val="00577B97"/>
    <w:rsid w:val="0058012B"/>
    <w:rsid w:val="00580A63"/>
    <w:rsid w:val="00580B28"/>
    <w:rsid w:val="005813C0"/>
    <w:rsid w:val="00581683"/>
    <w:rsid w:val="005832DA"/>
    <w:rsid w:val="00584132"/>
    <w:rsid w:val="00587B01"/>
    <w:rsid w:val="00590285"/>
    <w:rsid w:val="005927C5"/>
    <w:rsid w:val="005934DF"/>
    <w:rsid w:val="00594767"/>
    <w:rsid w:val="0059502C"/>
    <w:rsid w:val="00595BF4"/>
    <w:rsid w:val="00596083"/>
    <w:rsid w:val="00596DD2"/>
    <w:rsid w:val="005A0241"/>
    <w:rsid w:val="005A13B7"/>
    <w:rsid w:val="005A1478"/>
    <w:rsid w:val="005A43C2"/>
    <w:rsid w:val="005A4CEC"/>
    <w:rsid w:val="005A681F"/>
    <w:rsid w:val="005A6A49"/>
    <w:rsid w:val="005A76DF"/>
    <w:rsid w:val="005B1930"/>
    <w:rsid w:val="005B1DB9"/>
    <w:rsid w:val="005B5A7B"/>
    <w:rsid w:val="005B605F"/>
    <w:rsid w:val="005C4726"/>
    <w:rsid w:val="005C5801"/>
    <w:rsid w:val="005C5FAE"/>
    <w:rsid w:val="005C6303"/>
    <w:rsid w:val="005C6696"/>
    <w:rsid w:val="005C6B00"/>
    <w:rsid w:val="005D013A"/>
    <w:rsid w:val="005D04BA"/>
    <w:rsid w:val="005D1903"/>
    <w:rsid w:val="005D1C0D"/>
    <w:rsid w:val="005D2228"/>
    <w:rsid w:val="005D2312"/>
    <w:rsid w:val="005D2730"/>
    <w:rsid w:val="005D3DDB"/>
    <w:rsid w:val="005D583B"/>
    <w:rsid w:val="005E0813"/>
    <w:rsid w:val="005E198B"/>
    <w:rsid w:val="005E24B3"/>
    <w:rsid w:val="005E4103"/>
    <w:rsid w:val="005E4C47"/>
    <w:rsid w:val="005E6675"/>
    <w:rsid w:val="005E694C"/>
    <w:rsid w:val="005E6EE6"/>
    <w:rsid w:val="005E7738"/>
    <w:rsid w:val="005F042B"/>
    <w:rsid w:val="005F0645"/>
    <w:rsid w:val="005F2F5B"/>
    <w:rsid w:val="005F4134"/>
    <w:rsid w:val="005F4492"/>
    <w:rsid w:val="005F4730"/>
    <w:rsid w:val="005F66D3"/>
    <w:rsid w:val="005F6951"/>
    <w:rsid w:val="005F6995"/>
    <w:rsid w:val="005F6B6D"/>
    <w:rsid w:val="005F7194"/>
    <w:rsid w:val="006015AB"/>
    <w:rsid w:val="00602A05"/>
    <w:rsid w:val="00602FC2"/>
    <w:rsid w:val="0060376F"/>
    <w:rsid w:val="00606F73"/>
    <w:rsid w:val="00610037"/>
    <w:rsid w:val="00611288"/>
    <w:rsid w:val="00611539"/>
    <w:rsid w:val="00612C85"/>
    <w:rsid w:val="00616481"/>
    <w:rsid w:val="006224B6"/>
    <w:rsid w:val="00623AEC"/>
    <w:rsid w:val="00623C2B"/>
    <w:rsid w:val="00624B73"/>
    <w:rsid w:val="00624CBE"/>
    <w:rsid w:val="00624F2B"/>
    <w:rsid w:val="00625B1C"/>
    <w:rsid w:val="0062728D"/>
    <w:rsid w:val="00627FEC"/>
    <w:rsid w:val="006313C4"/>
    <w:rsid w:val="00632EE3"/>
    <w:rsid w:val="00633F8A"/>
    <w:rsid w:val="006343A8"/>
    <w:rsid w:val="006346A3"/>
    <w:rsid w:val="00635514"/>
    <w:rsid w:val="006409C2"/>
    <w:rsid w:val="00642427"/>
    <w:rsid w:val="00642AD6"/>
    <w:rsid w:val="00642DAA"/>
    <w:rsid w:val="00643FBE"/>
    <w:rsid w:val="00644377"/>
    <w:rsid w:val="00644AA4"/>
    <w:rsid w:val="00645A72"/>
    <w:rsid w:val="00645A9A"/>
    <w:rsid w:val="006460B0"/>
    <w:rsid w:val="00646208"/>
    <w:rsid w:val="00646859"/>
    <w:rsid w:val="00646E4A"/>
    <w:rsid w:val="006475C5"/>
    <w:rsid w:val="006500AC"/>
    <w:rsid w:val="006517C9"/>
    <w:rsid w:val="006519B3"/>
    <w:rsid w:val="00653B27"/>
    <w:rsid w:val="006557A2"/>
    <w:rsid w:val="00657003"/>
    <w:rsid w:val="00657318"/>
    <w:rsid w:val="00657446"/>
    <w:rsid w:val="0066261F"/>
    <w:rsid w:val="0066740C"/>
    <w:rsid w:val="00667616"/>
    <w:rsid w:val="006709C4"/>
    <w:rsid w:val="006709CA"/>
    <w:rsid w:val="00673094"/>
    <w:rsid w:val="00673C69"/>
    <w:rsid w:val="0067675B"/>
    <w:rsid w:val="00676A3D"/>
    <w:rsid w:val="00677682"/>
    <w:rsid w:val="00680EB9"/>
    <w:rsid w:val="00682648"/>
    <w:rsid w:val="00683DF9"/>
    <w:rsid w:val="0068438A"/>
    <w:rsid w:val="00685356"/>
    <w:rsid w:val="0069092D"/>
    <w:rsid w:val="006911F0"/>
    <w:rsid w:val="00693BC8"/>
    <w:rsid w:val="00694CB8"/>
    <w:rsid w:val="006954A7"/>
    <w:rsid w:val="006965DF"/>
    <w:rsid w:val="00696673"/>
    <w:rsid w:val="00696678"/>
    <w:rsid w:val="006A0072"/>
    <w:rsid w:val="006A0E8B"/>
    <w:rsid w:val="006A0ED0"/>
    <w:rsid w:val="006A1588"/>
    <w:rsid w:val="006A2924"/>
    <w:rsid w:val="006A3D9A"/>
    <w:rsid w:val="006A64C3"/>
    <w:rsid w:val="006A64D8"/>
    <w:rsid w:val="006A6CD1"/>
    <w:rsid w:val="006A719D"/>
    <w:rsid w:val="006B0347"/>
    <w:rsid w:val="006B0E72"/>
    <w:rsid w:val="006B1B3B"/>
    <w:rsid w:val="006B324A"/>
    <w:rsid w:val="006B3AE0"/>
    <w:rsid w:val="006B43EE"/>
    <w:rsid w:val="006B49B2"/>
    <w:rsid w:val="006B63B3"/>
    <w:rsid w:val="006B6569"/>
    <w:rsid w:val="006B69DD"/>
    <w:rsid w:val="006C0CF4"/>
    <w:rsid w:val="006C312C"/>
    <w:rsid w:val="006C4F6B"/>
    <w:rsid w:val="006C59CC"/>
    <w:rsid w:val="006C5B93"/>
    <w:rsid w:val="006D04B5"/>
    <w:rsid w:val="006D114F"/>
    <w:rsid w:val="006D1EE4"/>
    <w:rsid w:val="006D34D1"/>
    <w:rsid w:val="006D57A3"/>
    <w:rsid w:val="006D731F"/>
    <w:rsid w:val="006E1B89"/>
    <w:rsid w:val="006E3206"/>
    <w:rsid w:val="006E3D13"/>
    <w:rsid w:val="006E4F1D"/>
    <w:rsid w:val="006E6079"/>
    <w:rsid w:val="006F16FE"/>
    <w:rsid w:val="006F1E8D"/>
    <w:rsid w:val="006F3129"/>
    <w:rsid w:val="006F372B"/>
    <w:rsid w:val="006F3B9B"/>
    <w:rsid w:val="006F4B92"/>
    <w:rsid w:val="006F526A"/>
    <w:rsid w:val="006F6122"/>
    <w:rsid w:val="006F7539"/>
    <w:rsid w:val="0070094C"/>
    <w:rsid w:val="00701651"/>
    <w:rsid w:val="007017DE"/>
    <w:rsid w:val="007025D3"/>
    <w:rsid w:val="00702CB5"/>
    <w:rsid w:val="00706101"/>
    <w:rsid w:val="0070785F"/>
    <w:rsid w:val="00712129"/>
    <w:rsid w:val="0071379E"/>
    <w:rsid w:val="00714363"/>
    <w:rsid w:val="00715A56"/>
    <w:rsid w:val="00715A8C"/>
    <w:rsid w:val="00715F93"/>
    <w:rsid w:val="0072086A"/>
    <w:rsid w:val="00721148"/>
    <w:rsid w:val="00721162"/>
    <w:rsid w:val="00722BAF"/>
    <w:rsid w:val="00723541"/>
    <w:rsid w:val="007239CA"/>
    <w:rsid w:val="0072446A"/>
    <w:rsid w:val="007257A7"/>
    <w:rsid w:val="00725EBC"/>
    <w:rsid w:val="00730F4F"/>
    <w:rsid w:val="00731E94"/>
    <w:rsid w:val="007334D1"/>
    <w:rsid w:val="007354E6"/>
    <w:rsid w:val="007372CF"/>
    <w:rsid w:val="0073740C"/>
    <w:rsid w:val="00737D77"/>
    <w:rsid w:val="007413E7"/>
    <w:rsid w:val="00743134"/>
    <w:rsid w:val="007436F8"/>
    <w:rsid w:val="00745633"/>
    <w:rsid w:val="00745AE0"/>
    <w:rsid w:val="007476E8"/>
    <w:rsid w:val="00751174"/>
    <w:rsid w:val="007536C1"/>
    <w:rsid w:val="00754621"/>
    <w:rsid w:val="007552D5"/>
    <w:rsid w:val="00755FB2"/>
    <w:rsid w:val="00756200"/>
    <w:rsid w:val="007572BC"/>
    <w:rsid w:val="00757F35"/>
    <w:rsid w:val="007605D4"/>
    <w:rsid w:val="00760ACD"/>
    <w:rsid w:val="007611D8"/>
    <w:rsid w:val="00761D31"/>
    <w:rsid w:val="00761DF7"/>
    <w:rsid w:val="007627B5"/>
    <w:rsid w:val="007635AE"/>
    <w:rsid w:val="007635DD"/>
    <w:rsid w:val="00765C84"/>
    <w:rsid w:val="007673FA"/>
    <w:rsid w:val="00767721"/>
    <w:rsid w:val="00767D81"/>
    <w:rsid w:val="007707DF"/>
    <w:rsid w:val="00770E53"/>
    <w:rsid w:val="0077192E"/>
    <w:rsid w:val="007719BE"/>
    <w:rsid w:val="00772C22"/>
    <w:rsid w:val="00772DC2"/>
    <w:rsid w:val="00774509"/>
    <w:rsid w:val="0077512E"/>
    <w:rsid w:val="00775263"/>
    <w:rsid w:val="00777D1D"/>
    <w:rsid w:val="00780F80"/>
    <w:rsid w:val="00781DAB"/>
    <w:rsid w:val="00782FD7"/>
    <w:rsid w:val="007842FE"/>
    <w:rsid w:val="0078683A"/>
    <w:rsid w:val="00790C2E"/>
    <w:rsid w:val="00790D04"/>
    <w:rsid w:val="00790E30"/>
    <w:rsid w:val="0079171A"/>
    <w:rsid w:val="007956AE"/>
    <w:rsid w:val="00795AB0"/>
    <w:rsid w:val="00796598"/>
    <w:rsid w:val="007967F9"/>
    <w:rsid w:val="007A02C7"/>
    <w:rsid w:val="007A0896"/>
    <w:rsid w:val="007A0AAF"/>
    <w:rsid w:val="007A0FF2"/>
    <w:rsid w:val="007A2256"/>
    <w:rsid w:val="007A45A6"/>
    <w:rsid w:val="007A4FA6"/>
    <w:rsid w:val="007B03F2"/>
    <w:rsid w:val="007B342F"/>
    <w:rsid w:val="007B3B3D"/>
    <w:rsid w:val="007B3F48"/>
    <w:rsid w:val="007B46E6"/>
    <w:rsid w:val="007B4EEA"/>
    <w:rsid w:val="007B5931"/>
    <w:rsid w:val="007B5BE4"/>
    <w:rsid w:val="007B6B36"/>
    <w:rsid w:val="007B7C97"/>
    <w:rsid w:val="007C002F"/>
    <w:rsid w:val="007C176C"/>
    <w:rsid w:val="007C1CDA"/>
    <w:rsid w:val="007C1D1D"/>
    <w:rsid w:val="007C35A9"/>
    <w:rsid w:val="007C4F64"/>
    <w:rsid w:val="007C53A8"/>
    <w:rsid w:val="007C579D"/>
    <w:rsid w:val="007C6C5D"/>
    <w:rsid w:val="007C75F6"/>
    <w:rsid w:val="007C7EB0"/>
    <w:rsid w:val="007D0F9B"/>
    <w:rsid w:val="007D1788"/>
    <w:rsid w:val="007D1B2F"/>
    <w:rsid w:val="007D1B72"/>
    <w:rsid w:val="007D2637"/>
    <w:rsid w:val="007D28D0"/>
    <w:rsid w:val="007D3254"/>
    <w:rsid w:val="007D480F"/>
    <w:rsid w:val="007D55B6"/>
    <w:rsid w:val="007D56F5"/>
    <w:rsid w:val="007D60D9"/>
    <w:rsid w:val="007D7E8D"/>
    <w:rsid w:val="007E17BD"/>
    <w:rsid w:val="007E20D7"/>
    <w:rsid w:val="007E264D"/>
    <w:rsid w:val="007E4C88"/>
    <w:rsid w:val="007E4F74"/>
    <w:rsid w:val="007E6591"/>
    <w:rsid w:val="007E7357"/>
    <w:rsid w:val="007F041D"/>
    <w:rsid w:val="007F1D23"/>
    <w:rsid w:val="007F3727"/>
    <w:rsid w:val="007F4AD7"/>
    <w:rsid w:val="007F5484"/>
    <w:rsid w:val="007F60ED"/>
    <w:rsid w:val="007F739E"/>
    <w:rsid w:val="008005C1"/>
    <w:rsid w:val="00802259"/>
    <w:rsid w:val="008027A8"/>
    <w:rsid w:val="00803C5D"/>
    <w:rsid w:val="00804EEA"/>
    <w:rsid w:val="00804EFD"/>
    <w:rsid w:val="00805479"/>
    <w:rsid w:val="008102E3"/>
    <w:rsid w:val="00813A73"/>
    <w:rsid w:val="008145E6"/>
    <w:rsid w:val="00814C9B"/>
    <w:rsid w:val="008153AB"/>
    <w:rsid w:val="00816F3A"/>
    <w:rsid w:val="0082035A"/>
    <w:rsid w:val="00821E33"/>
    <w:rsid w:val="008243F8"/>
    <w:rsid w:val="00826275"/>
    <w:rsid w:val="00826DA7"/>
    <w:rsid w:val="00827026"/>
    <w:rsid w:val="008302C6"/>
    <w:rsid w:val="00830460"/>
    <w:rsid w:val="00830620"/>
    <w:rsid w:val="00833688"/>
    <w:rsid w:val="00834418"/>
    <w:rsid w:val="008355F9"/>
    <w:rsid w:val="008361B7"/>
    <w:rsid w:val="00836229"/>
    <w:rsid w:val="00836936"/>
    <w:rsid w:val="00837016"/>
    <w:rsid w:val="00842BD1"/>
    <w:rsid w:val="00843513"/>
    <w:rsid w:val="008440B9"/>
    <w:rsid w:val="00845DA6"/>
    <w:rsid w:val="008460A6"/>
    <w:rsid w:val="00847300"/>
    <w:rsid w:val="0084754A"/>
    <w:rsid w:val="00847966"/>
    <w:rsid w:val="008507F6"/>
    <w:rsid w:val="00850918"/>
    <w:rsid w:val="00850C03"/>
    <w:rsid w:val="00851AA6"/>
    <w:rsid w:val="0085462A"/>
    <w:rsid w:val="00855313"/>
    <w:rsid w:val="008557EB"/>
    <w:rsid w:val="00856BFF"/>
    <w:rsid w:val="00856F66"/>
    <w:rsid w:val="008578E3"/>
    <w:rsid w:val="00861F4A"/>
    <w:rsid w:val="00863152"/>
    <w:rsid w:val="00863482"/>
    <w:rsid w:val="00865560"/>
    <w:rsid w:val="00866846"/>
    <w:rsid w:val="008702BC"/>
    <w:rsid w:val="00870376"/>
    <w:rsid w:val="00871637"/>
    <w:rsid w:val="00872E52"/>
    <w:rsid w:val="0087480B"/>
    <w:rsid w:val="00874DBB"/>
    <w:rsid w:val="00877A27"/>
    <w:rsid w:val="00881539"/>
    <w:rsid w:val="008825C0"/>
    <w:rsid w:val="00882992"/>
    <w:rsid w:val="00883153"/>
    <w:rsid w:val="00883BA7"/>
    <w:rsid w:val="00883E02"/>
    <w:rsid w:val="00885FD6"/>
    <w:rsid w:val="00886B38"/>
    <w:rsid w:val="00891122"/>
    <w:rsid w:val="0089173D"/>
    <w:rsid w:val="008A342E"/>
    <w:rsid w:val="008A3900"/>
    <w:rsid w:val="008A4F5E"/>
    <w:rsid w:val="008A7D7F"/>
    <w:rsid w:val="008B3274"/>
    <w:rsid w:val="008B3EFF"/>
    <w:rsid w:val="008B4644"/>
    <w:rsid w:val="008B6BC0"/>
    <w:rsid w:val="008C0B45"/>
    <w:rsid w:val="008C1E7D"/>
    <w:rsid w:val="008C3406"/>
    <w:rsid w:val="008C3474"/>
    <w:rsid w:val="008C35A0"/>
    <w:rsid w:val="008C40F8"/>
    <w:rsid w:val="008C4189"/>
    <w:rsid w:val="008C4935"/>
    <w:rsid w:val="008C5E12"/>
    <w:rsid w:val="008C6BB3"/>
    <w:rsid w:val="008C6D37"/>
    <w:rsid w:val="008C7DD4"/>
    <w:rsid w:val="008D07EC"/>
    <w:rsid w:val="008D153C"/>
    <w:rsid w:val="008D30BB"/>
    <w:rsid w:val="008D58FA"/>
    <w:rsid w:val="008D64C2"/>
    <w:rsid w:val="008D6952"/>
    <w:rsid w:val="008D7A0A"/>
    <w:rsid w:val="008D7FB4"/>
    <w:rsid w:val="008E005F"/>
    <w:rsid w:val="008E1784"/>
    <w:rsid w:val="008E1FB1"/>
    <w:rsid w:val="008E2DBE"/>
    <w:rsid w:val="008E3449"/>
    <w:rsid w:val="008E4D92"/>
    <w:rsid w:val="008E53FA"/>
    <w:rsid w:val="008E5810"/>
    <w:rsid w:val="008F1306"/>
    <w:rsid w:val="008F27C5"/>
    <w:rsid w:val="008F57BB"/>
    <w:rsid w:val="008F5998"/>
    <w:rsid w:val="008F63C8"/>
    <w:rsid w:val="008F73C4"/>
    <w:rsid w:val="008F781F"/>
    <w:rsid w:val="008F7D7E"/>
    <w:rsid w:val="00901FCA"/>
    <w:rsid w:val="009036E2"/>
    <w:rsid w:val="009053EB"/>
    <w:rsid w:val="00907099"/>
    <w:rsid w:val="00910964"/>
    <w:rsid w:val="009127C6"/>
    <w:rsid w:val="009130D0"/>
    <w:rsid w:val="0091430E"/>
    <w:rsid w:val="00914426"/>
    <w:rsid w:val="0091755F"/>
    <w:rsid w:val="00921D80"/>
    <w:rsid w:val="009247A0"/>
    <w:rsid w:val="0092649F"/>
    <w:rsid w:val="009268CE"/>
    <w:rsid w:val="00926C47"/>
    <w:rsid w:val="00927BEA"/>
    <w:rsid w:val="00927E22"/>
    <w:rsid w:val="00931BF1"/>
    <w:rsid w:val="00931F16"/>
    <w:rsid w:val="0093518B"/>
    <w:rsid w:val="00936617"/>
    <w:rsid w:val="009369A4"/>
    <w:rsid w:val="00940050"/>
    <w:rsid w:val="009411AB"/>
    <w:rsid w:val="00941626"/>
    <w:rsid w:val="00944948"/>
    <w:rsid w:val="00947F77"/>
    <w:rsid w:val="00950058"/>
    <w:rsid w:val="0095022F"/>
    <w:rsid w:val="00950C9F"/>
    <w:rsid w:val="00950E88"/>
    <w:rsid w:val="0095279D"/>
    <w:rsid w:val="009552FB"/>
    <w:rsid w:val="00955BCE"/>
    <w:rsid w:val="009561B8"/>
    <w:rsid w:val="0096263E"/>
    <w:rsid w:val="00962ACD"/>
    <w:rsid w:val="00962E37"/>
    <w:rsid w:val="00966CDA"/>
    <w:rsid w:val="00967056"/>
    <w:rsid w:val="00973E27"/>
    <w:rsid w:val="00975F10"/>
    <w:rsid w:val="0097617D"/>
    <w:rsid w:val="00976CF8"/>
    <w:rsid w:val="00980B52"/>
    <w:rsid w:val="009814A6"/>
    <w:rsid w:val="009823E7"/>
    <w:rsid w:val="0098383E"/>
    <w:rsid w:val="009840A4"/>
    <w:rsid w:val="009840F0"/>
    <w:rsid w:val="00986644"/>
    <w:rsid w:val="00986BA9"/>
    <w:rsid w:val="009902CA"/>
    <w:rsid w:val="00990607"/>
    <w:rsid w:val="00990C06"/>
    <w:rsid w:val="00991343"/>
    <w:rsid w:val="0099478A"/>
    <w:rsid w:val="009A1A3A"/>
    <w:rsid w:val="009A3AF9"/>
    <w:rsid w:val="009A44B5"/>
    <w:rsid w:val="009A4AB6"/>
    <w:rsid w:val="009A4D9D"/>
    <w:rsid w:val="009A521C"/>
    <w:rsid w:val="009A66F1"/>
    <w:rsid w:val="009B03B7"/>
    <w:rsid w:val="009B16D0"/>
    <w:rsid w:val="009B17A7"/>
    <w:rsid w:val="009B2E20"/>
    <w:rsid w:val="009B3684"/>
    <w:rsid w:val="009B3758"/>
    <w:rsid w:val="009B4760"/>
    <w:rsid w:val="009B5AA2"/>
    <w:rsid w:val="009B68C4"/>
    <w:rsid w:val="009B7988"/>
    <w:rsid w:val="009C03B1"/>
    <w:rsid w:val="009C229E"/>
    <w:rsid w:val="009C5455"/>
    <w:rsid w:val="009C578B"/>
    <w:rsid w:val="009C59B3"/>
    <w:rsid w:val="009C67DD"/>
    <w:rsid w:val="009D01ED"/>
    <w:rsid w:val="009D12ED"/>
    <w:rsid w:val="009D19EA"/>
    <w:rsid w:val="009D308A"/>
    <w:rsid w:val="009D58C1"/>
    <w:rsid w:val="009D7484"/>
    <w:rsid w:val="009E23CF"/>
    <w:rsid w:val="009E33B8"/>
    <w:rsid w:val="009E3412"/>
    <w:rsid w:val="009E4002"/>
    <w:rsid w:val="009E5611"/>
    <w:rsid w:val="009E6B82"/>
    <w:rsid w:val="009F2A02"/>
    <w:rsid w:val="009F46DA"/>
    <w:rsid w:val="009F5531"/>
    <w:rsid w:val="00A01209"/>
    <w:rsid w:val="00A02014"/>
    <w:rsid w:val="00A0307C"/>
    <w:rsid w:val="00A03836"/>
    <w:rsid w:val="00A03ADF"/>
    <w:rsid w:val="00A05955"/>
    <w:rsid w:val="00A07007"/>
    <w:rsid w:val="00A114CC"/>
    <w:rsid w:val="00A135F9"/>
    <w:rsid w:val="00A13753"/>
    <w:rsid w:val="00A14D1E"/>
    <w:rsid w:val="00A14EE3"/>
    <w:rsid w:val="00A15E50"/>
    <w:rsid w:val="00A16228"/>
    <w:rsid w:val="00A16EFB"/>
    <w:rsid w:val="00A216AF"/>
    <w:rsid w:val="00A21FAB"/>
    <w:rsid w:val="00A22C09"/>
    <w:rsid w:val="00A233F9"/>
    <w:rsid w:val="00A23BFE"/>
    <w:rsid w:val="00A24626"/>
    <w:rsid w:val="00A2483A"/>
    <w:rsid w:val="00A25D84"/>
    <w:rsid w:val="00A26180"/>
    <w:rsid w:val="00A30542"/>
    <w:rsid w:val="00A309C7"/>
    <w:rsid w:val="00A3184F"/>
    <w:rsid w:val="00A332B0"/>
    <w:rsid w:val="00A36388"/>
    <w:rsid w:val="00A3653D"/>
    <w:rsid w:val="00A3754D"/>
    <w:rsid w:val="00A3781E"/>
    <w:rsid w:val="00A42425"/>
    <w:rsid w:val="00A4245E"/>
    <w:rsid w:val="00A46218"/>
    <w:rsid w:val="00A464D2"/>
    <w:rsid w:val="00A50823"/>
    <w:rsid w:val="00A50B54"/>
    <w:rsid w:val="00A51502"/>
    <w:rsid w:val="00A51F64"/>
    <w:rsid w:val="00A522C5"/>
    <w:rsid w:val="00A544AF"/>
    <w:rsid w:val="00A56754"/>
    <w:rsid w:val="00A620C8"/>
    <w:rsid w:val="00A62E46"/>
    <w:rsid w:val="00A6385C"/>
    <w:rsid w:val="00A64114"/>
    <w:rsid w:val="00A641E3"/>
    <w:rsid w:val="00A670E2"/>
    <w:rsid w:val="00A67D4D"/>
    <w:rsid w:val="00A721AA"/>
    <w:rsid w:val="00A74EA2"/>
    <w:rsid w:val="00A75328"/>
    <w:rsid w:val="00A75A44"/>
    <w:rsid w:val="00A75D1E"/>
    <w:rsid w:val="00A75FB2"/>
    <w:rsid w:val="00A7643C"/>
    <w:rsid w:val="00A76843"/>
    <w:rsid w:val="00A77695"/>
    <w:rsid w:val="00A7795B"/>
    <w:rsid w:val="00A80EC3"/>
    <w:rsid w:val="00A81A03"/>
    <w:rsid w:val="00A84535"/>
    <w:rsid w:val="00A92DDE"/>
    <w:rsid w:val="00A93839"/>
    <w:rsid w:val="00A948C2"/>
    <w:rsid w:val="00A95ABE"/>
    <w:rsid w:val="00A967F2"/>
    <w:rsid w:val="00A969FF"/>
    <w:rsid w:val="00A97304"/>
    <w:rsid w:val="00A974EA"/>
    <w:rsid w:val="00AA0CF4"/>
    <w:rsid w:val="00AA16A2"/>
    <w:rsid w:val="00AA23CB"/>
    <w:rsid w:val="00AA25F0"/>
    <w:rsid w:val="00AA3AAE"/>
    <w:rsid w:val="00AA4378"/>
    <w:rsid w:val="00AA467B"/>
    <w:rsid w:val="00AA5145"/>
    <w:rsid w:val="00AA57AC"/>
    <w:rsid w:val="00AA59FF"/>
    <w:rsid w:val="00AB2D72"/>
    <w:rsid w:val="00AB2DDD"/>
    <w:rsid w:val="00AB4AAA"/>
    <w:rsid w:val="00AB71A6"/>
    <w:rsid w:val="00AB73E9"/>
    <w:rsid w:val="00AB74EF"/>
    <w:rsid w:val="00AC5670"/>
    <w:rsid w:val="00AC7033"/>
    <w:rsid w:val="00AC7322"/>
    <w:rsid w:val="00AC762B"/>
    <w:rsid w:val="00AC7934"/>
    <w:rsid w:val="00AD0184"/>
    <w:rsid w:val="00AD1856"/>
    <w:rsid w:val="00AD2AED"/>
    <w:rsid w:val="00AD41FE"/>
    <w:rsid w:val="00AD6D21"/>
    <w:rsid w:val="00AD7D1C"/>
    <w:rsid w:val="00AE02C0"/>
    <w:rsid w:val="00AE1B72"/>
    <w:rsid w:val="00AE58C5"/>
    <w:rsid w:val="00AE6507"/>
    <w:rsid w:val="00AE773F"/>
    <w:rsid w:val="00AF04AE"/>
    <w:rsid w:val="00AF10F6"/>
    <w:rsid w:val="00AF3481"/>
    <w:rsid w:val="00AF4771"/>
    <w:rsid w:val="00AF6D79"/>
    <w:rsid w:val="00B00FC4"/>
    <w:rsid w:val="00B01394"/>
    <w:rsid w:val="00B021A4"/>
    <w:rsid w:val="00B0240E"/>
    <w:rsid w:val="00B02B32"/>
    <w:rsid w:val="00B03F9A"/>
    <w:rsid w:val="00B05E7A"/>
    <w:rsid w:val="00B06F94"/>
    <w:rsid w:val="00B07D87"/>
    <w:rsid w:val="00B07E35"/>
    <w:rsid w:val="00B07E3A"/>
    <w:rsid w:val="00B12471"/>
    <w:rsid w:val="00B12F55"/>
    <w:rsid w:val="00B14290"/>
    <w:rsid w:val="00B15324"/>
    <w:rsid w:val="00B167F5"/>
    <w:rsid w:val="00B16A56"/>
    <w:rsid w:val="00B225EB"/>
    <w:rsid w:val="00B22605"/>
    <w:rsid w:val="00B234DD"/>
    <w:rsid w:val="00B2478D"/>
    <w:rsid w:val="00B2590D"/>
    <w:rsid w:val="00B279A8"/>
    <w:rsid w:val="00B309A7"/>
    <w:rsid w:val="00B31800"/>
    <w:rsid w:val="00B32245"/>
    <w:rsid w:val="00B3225A"/>
    <w:rsid w:val="00B33C42"/>
    <w:rsid w:val="00B34612"/>
    <w:rsid w:val="00B35090"/>
    <w:rsid w:val="00B358A4"/>
    <w:rsid w:val="00B377DE"/>
    <w:rsid w:val="00B40403"/>
    <w:rsid w:val="00B40626"/>
    <w:rsid w:val="00B4145C"/>
    <w:rsid w:val="00B417E3"/>
    <w:rsid w:val="00B42050"/>
    <w:rsid w:val="00B430B8"/>
    <w:rsid w:val="00B43955"/>
    <w:rsid w:val="00B4558E"/>
    <w:rsid w:val="00B45FC1"/>
    <w:rsid w:val="00B505E2"/>
    <w:rsid w:val="00B51A65"/>
    <w:rsid w:val="00B51DBF"/>
    <w:rsid w:val="00B524AB"/>
    <w:rsid w:val="00B52755"/>
    <w:rsid w:val="00B52A07"/>
    <w:rsid w:val="00B53A5A"/>
    <w:rsid w:val="00B54354"/>
    <w:rsid w:val="00B54FB7"/>
    <w:rsid w:val="00B55A6F"/>
    <w:rsid w:val="00B60E9C"/>
    <w:rsid w:val="00B6188F"/>
    <w:rsid w:val="00B62B68"/>
    <w:rsid w:val="00B63A00"/>
    <w:rsid w:val="00B6446F"/>
    <w:rsid w:val="00B64ED4"/>
    <w:rsid w:val="00B65C56"/>
    <w:rsid w:val="00B67DD8"/>
    <w:rsid w:val="00B7006B"/>
    <w:rsid w:val="00B70B84"/>
    <w:rsid w:val="00B71DE4"/>
    <w:rsid w:val="00B726B2"/>
    <w:rsid w:val="00B72C9B"/>
    <w:rsid w:val="00B739CC"/>
    <w:rsid w:val="00B73B49"/>
    <w:rsid w:val="00B75AD7"/>
    <w:rsid w:val="00B75D53"/>
    <w:rsid w:val="00B803CE"/>
    <w:rsid w:val="00B8135C"/>
    <w:rsid w:val="00B81FFF"/>
    <w:rsid w:val="00B8356D"/>
    <w:rsid w:val="00B83841"/>
    <w:rsid w:val="00B83D2E"/>
    <w:rsid w:val="00B84650"/>
    <w:rsid w:val="00B849B6"/>
    <w:rsid w:val="00B84CB2"/>
    <w:rsid w:val="00B856A9"/>
    <w:rsid w:val="00B8730A"/>
    <w:rsid w:val="00B873AC"/>
    <w:rsid w:val="00B8775D"/>
    <w:rsid w:val="00B903F8"/>
    <w:rsid w:val="00B9092E"/>
    <w:rsid w:val="00B96107"/>
    <w:rsid w:val="00BA06D5"/>
    <w:rsid w:val="00BA14E7"/>
    <w:rsid w:val="00BA18AF"/>
    <w:rsid w:val="00BA2593"/>
    <w:rsid w:val="00BA3EF3"/>
    <w:rsid w:val="00BA406A"/>
    <w:rsid w:val="00BA4217"/>
    <w:rsid w:val="00BA4741"/>
    <w:rsid w:val="00BB043B"/>
    <w:rsid w:val="00BB0BA9"/>
    <w:rsid w:val="00BB2F5D"/>
    <w:rsid w:val="00BB5331"/>
    <w:rsid w:val="00BB5F31"/>
    <w:rsid w:val="00BB6970"/>
    <w:rsid w:val="00BB7C79"/>
    <w:rsid w:val="00BC0140"/>
    <w:rsid w:val="00BC097A"/>
    <w:rsid w:val="00BC120E"/>
    <w:rsid w:val="00BC1AD4"/>
    <w:rsid w:val="00BC1AF5"/>
    <w:rsid w:val="00BC2E01"/>
    <w:rsid w:val="00BC4545"/>
    <w:rsid w:val="00BC4D90"/>
    <w:rsid w:val="00BC6BCF"/>
    <w:rsid w:val="00BC75E9"/>
    <w:rsid w:val="00BD17A6"/>
    <w:rsid w:val="00BD1867"/>
    <w:rsid w:val="00BD1E3E"/>
    <w:rsid w:val="00BD1E4A"/>
    <w:rsid w:val="00BD3E06"/>
    <w:rsid w:val="00BD4941"/>
    <w:rsid w:val="00BD5CEE"/>
    <w:rsid w:val="00BD6B6E"/>
    <w:rsid w:val="00BD72F5"/>
    <w:rsid w:val="00BE06D3"/>
    <w:rsid w:val="00BE0A3D"/>
    <w:rsid w:val="00BE136C"/>
    <w:rsid w:val="00BE1ACC"/>
    <w:rsid w:val="00BE20A4"/>
    <w:rsid w:val="00BE6256"/>
    <w:rsid w:val="00BE6A6B"/>
    <w:rsid w:val="00BE6C02"/>
    <w:rsid w:val="00BF06BC"/>
    <w:rsid w:val="00BF092E"/>
    <w:rsid w:val="00BF170B"/>
    <w:rsid w:val="00BF6148"/>
    <w:rsid w:val="00BF7AA6"/>
    <w:rsid w:val="00BF7DA7"/>
    <w:rsid w:val="00BF7FB8"/>
    <w:rsid w:val="00C04D40"/>
    <w:rsid w:val="00C056EE"/>
    <w:rsid w:val="00C066AA"/>
    <w:rsid w:val="00C06C5B"/>
    <w:rsid w:val="00C10208"/>
    <w:rsid w:val="00C11A62"/>
    <w:rsid w:val="00C136E3"/>
    <w:rsid w:val="00C14A4C"/>
    <w:rsid w:val="00C14E49"/>
    <w:rsid w:val="00C153DC"/>
    <w:rsid w:val="00C157B0"/>
    <w:rsid w:val="00C2178C"/>
    <w:rsid w:val="00C21EBD"/>
    <w:rsid w:val="00C22406"/>
    <w:rsid w:val="00C2632D"/>
    <w:rsid w:val="00C2788E"/>
    <w:rsid w:val="00C27F5E"/>
    <w:rsid w:val="00C30487"/>
    <w:rsid w:val="00C315E5"/>
    <w:rsid w:val="00C355B1"/>
    <w:rsid w:val="00C36F0D"/>
    <w:rsid w:val="00C40360"/>
    <w:rsid w:val="00C40377"/>
    <w:rsid w:val="00C406E6"/>
    <w:rsid w:val="00C418D5"/>
    <w:rsid w:val="00C4426F"/>
    <w:rsid w:val="00C44D56"/>
    <w:rsid w:val="00C455DE"/>
    <w:rsid w:val="00C45720"/>
    <w:rsid w:val="00C45F5A"/>
    <w:rsid w:val="00C46198"/>
    <w:rsid w:val="00C464FF"/>
    <w:rsid w:val="00C50518"/>
    <w:rsid w:val="00C53355"/>
    <w:rsid w:val="00C53420"/>
    <w:rsid w:val="00C53760"/>
    <w:rsid w:val="00C54875"/>
    <w:rsid w:val="00C565C0"/>
    <w:rsid w:val="00C56FFB"/>
    <w:rsid w:val="00C6042E"/>
    <w:rsid w:val="00C623AD"/>
    <w:rsid w:val="00C628AB"/>
    <w:rsid w:val="00C63754"/>
    <w:rsid w:val="00C64E6E"/>
    <w:rsid w:val="00C656AA"/>
    <w:rsid w:val="00C6690E"/>
    <w:rsid w:val="00C66B63"/>
    <w:rsid w:val="00C672A3"/>
    <w:rsid w:val="00C7000F"/>
    <w:rsid w:val="00C71262"/>
    <w:rsid w:val="00C73310"/>
    <w:rsid w:val="00C80A9A"/>
    <w:rsid w:val="00C8155C"/>
    <w:rsid w:val="00C81A04"/>
    <w:rsid w:val="00C82082"/>
    <w:rsid w:val="00C8261B"/>
    <w:rsid w:val="00C82710"/>
    <w:rsid w:val="00C82B90"/>
    <w:rsid w:val="00C8547E"/>
    <w:rsid w:val="00C90D82"/>
    <w:rsid w:val="00C91E4C"/>
    <w:rsid w:val="00C92F06"/>
    <w:rsid w:val="00C9397A"/>
    <w:rsid w:val="00C959B3"/>
    <w:rsid w:val="00CA03A4"/>
    <w:rsid w:val="00CA0C27"/>
    <w:rsid w:val="00CA1087"/>
    <w:rsid w:val="00CA1C7A"/>
    <w:rsid w:val="00CA2619"/>
    <w:rsid w:val="00CA2D3B"/>
    <w:rsid w:val="00CA357D"/>
    <w:rsid w:val="00CA4038"/>
    <w:rsid w:val="00CA4BC8"/>
    <w:rsid w:val="00CA5594"/>
    <w:rsid w:val="00CA72C7"/>
    <w:rsid w:val="00CB2893"/>
    <w:rsid w:val="00CB2B9B"/>
    <w:rsid w:val="00CB3E3E"/>
    <w:rsid w:val="00CB401B"/>
    <w:rsid w:val="00CB5C1C"/>
    <w:rsid w:val="00CC49DD"/>
    <w:rsid w:val="00CC60EF"/>
    <w:rsid w:val="00CC65D8"/>
    <w:rsid w:val="00CC680C"/>
    <w:rsid w:val="00CC715C"/>
    <w:rsid w:val="00CD0F0A"/>
    <w:rsid w:val="00CD2075"/>
    <w:rsid w:val="00CD5A53"/>
    <w:rsid w:val="00CD7523"/>
    <w:rsid w:val="00CE0178"/>
    <w:rsid w:val="00CE1D03"/>
    <w:rsid w:val="00CE2491"/>
    <w:rsid w:val="00CE50A0"/>
    <w:rsid w:val="00CE60D4"/>
    <w:rsid w:val="00CE692B"/>
    <w:rsid w:val="00CE6EB7"/>
    <w:rsid w:val="00CF22B5"/>
    <w:rsid w:val="00CF2C3B"/>
    <w:rsid w:val="00CF448B"/>
    <w:rsid w:val="00CF49A3"/>
    <w:rsid w:val="00CF49D5"/>
    <w:rsid w:val="00CF4D4C"/>
    <w:rsid w:val="00CF590E"/>
    <w:rsid w:val="00CF662A"/>
    <w:rsid w:val="00D00117"/>
    <w:rsid w:val="00D00BA6"/>
    <w:rsid w:val="00D015FC"/>
    <w:rsid w:val="00D02871"/>
    <w:rsid w:val="00D02A5C"/>
    <w:rsid w:val="00D03349"/>
    <w:rsid w:val="00D04238"/>
    <w:rsid w:val="00D04358"/>
    <w:rsid w:val="00D05317"/>
    <w:rsid w:val="00D054F0"/>
    <w:rsid w:val="00D05CC4"/>
    <w:rsid w:val="00D06737"/>
    <w:rsid w:val="00D06AD5"/>
    <w:rsid w:val="00D07442"/>
    <w:rsid w:val="00D100D1"/>
    <w:rsid w:val="00D112B9"/>
    <w:rsid w:val="00D113B6"/>
    <w:rsid w:val="00D1241C"/>
    <w:rsid w:val="00D1339A"/>
    <w:rsid w:val="00D21FC1"/>
    <w:rsid w:val="00D23DC3"/>
    <w:rsid w:val="00D23F99"/>
    <w:rsid w:val="00D241D9"/>
    <w:rsid w:val="00D2533D"/>
    <w:rsid w:val="00D25DBA"/>
    <w:rsid w:val="00D26010"/>
    <w:rsid w:val="00D264E2"/>
    <w:rsid w:val="00D3002F"/>
    <w:rsid w:val="00D301F6"/>
    <w:rsid w:val="00D32516"/>
    <w:rsid w:val="00D3337D"/>
    <w:rsid w:val="00D339DB"/>
    <w:rsid w:val="00D34238"/>
    <w:rsid w:val="00D351DB"/>
    <w:rsid w:val="00D351DC"/>
    <w:rsid w:val="00D35296"/>
    <w:rsid w:val="00D357D1"/>
    <w:rsid w:val="00D3602D"/>
    <w:rsid w:val="00D36D09"/>
    <w:rsid w:val="00D376FF"/>
    <w:rsid w:val="00D377D0"/>
    <w:rsid w:val="00D40C0F"/>
    <w:rsid w:val="00D42243"/>
    <w:rsid w:val="00D43339"/>
    <w:rsid w:val="00D4437D"/>
    <w:rsid w:val="00D44ACE"/>
    <w:rsid w:val="00D4572A"/>
    <w:rsid w:val="00D47B08"/>
    <w:rsid w:val="00D5174C"/>
    <w:rsid w:val="00D52C7B"/>
    <w:rsid w:val="00D52D8E"/>
    <w:rsid w:val="00D534BE"/>
    <w:rsid w:val="00D53E5F"/>
    <w:rsid w:val="00D541F4"/>
    <w:rsid w:val="00D5429A"/>
    <w:rsid w:val="00D551D0"/>
    <w:rsid w:val="00D56CA8"/>
    <w:rsid w:val="00D57C08"/>
    <w:rsid w:val="00D60AEC"/>
    <w:rsid w:val="00D61CD8"/>
    <w:rsid w:val="00D64EF5"/>
    <w:rsid w:val="00D66992"/>
    <w:rsid w:val="00D676EB"/>
    <w:rsid w:val="00D70440"/>
    <w:rsid w:val="00D73B00"/>
    <w:rsid w:val="00D75502"/>
    <w:rsid w:val="00D80FD4"/>
    <w:rsid w:val="00D829E3"/>
    <w:rsid w:val="00D83863"/>
    <w:rsid w:val="00D83BA2"/>
    <w:rsid w:val="00D84080"/>
    <w:rsid w:val="00D8718E"/>
    <w:rsid w:val="00D87808"/>
    <w:rsid w:val="00D91508"/>
    <w:rsid w:val="00D920A1"/>
    <w:rsid w:val="00D92A1B"/>
    <w:rsid w:val="00D92E93"/>
    <w:rsid w:val="00D939C7"/>
    <w:rsid w:val="00D95883"/>
    <w:rsid w:val="00D95DDB"/>
    <w:rsid w:val="00D96189"/>
    <w:rsid w:val="00D97369"/>
    <w:rsid w:val="00D97EA3"/>
    <w:rsid w:val="00DA07E1"/>
    <w:rsid w:val="00DA186A"/>
    <w:rsid w:val="00DA21CB"/>
    <w:rsid w:val="00DA2D54"/>
    <w:rsid w:val="00DA2F29"/>
    <w:rsid w:val="00DA5A52"/>
    <w:rsid w:val="00DA6F2D"/>
    <w:rsid w:val="00DA74D5"/>
    <w:rsid w:val="00DB23F3"/>
    <w:rsid w:val="00DB45F7"/>
    <w:rsid w:val="00DB6713"/>
    <w:rsid w:val="00DC05D3"/>
    <w:rsid w:val="00DC062E"/>
    <w:rsid w:val="00DC0ADC"/>
    <w:rsid w:val="00DC353B"/>
    <w:rsid w:val="00DC5E33"/>
    <w:rsid w:val="00DC683A"/>
    <w:rsid w:val="00DC6F2B"/>
    <w:rsid w:val="00DC6F30"/>
    <w:rsid w:val="00DC78D1"/>
    <w:rsid w:val="00DD07B5"/>
    <w:rsid w:val="00DD3914"/>
    <w:rsid w:val="00DD40BB"/>
    <w:rsid w:val="00DD5A1E"/>
    <w:rsid w:val="00DD5F64"/>
    <w:rsid w:val="00DD68BA"/>
    <w:rsid w:val="00DD7B3F"/>
    <w:rsid w:val="00DE4160"/>
    <w:rsid w:val="00DE4B47"/>
    <w:rsid w:val="00DE4FAC"/>
    <w:rsid w:val="00DF0811"/>
    <w:rsid w:val="00DF24DF"/>
    <w:rsid w:val="00DF54BD"/>
    <w:rsid w:val="00DF598A"/>
    <w:rsid w:val="00DF59BB"/>
    <w:rsid w:val="00DF5A3D"/>
    <w:rsid w:val="00DF62ED"/>
    <w:rsid w:val="00DF6DAA"/>
    <w:rsid w:val="00DF7AD4"/>
    <w:rsid w:val="00E0048F"/>
    <w:rsid w:val="00E00EFD"/>
    <w:rsid w:val="00E0395C"/>
    <w:rsid w:val="00E03F0B"/>
    <w:rsid w:val="00E04134"/>
    <w:rsid w:val="00E058BD"/>
    <w:rsid w:val="00E060F0"/>
    <w:rsid w:val="00E069DD"/>
    <w:rsid w:val="00E11A30"/>
    <w:rsid w:val="00E122CB"/>
    <w:rsid w:val="00E12E4C"/>
    <w:rsid w:val="00E148FD"/>
    <w:rsid w:val="00E15B31"/>
    <w:rsid w:val="00E17D96"/>
    <w:rsid w:val="00E20A61"/>
    <w:rsid w:val="00E2164A"/>
    <w:rsid w:val="00E21AEE"/>
    <w:rsid w:val="00E21C41"/>
    <w:rsid w:val="00E21D5D"/>
    <w:rsid w:val="00E241A2"/>
    <w:rsid w:val="00E24E5E"/>
    <w:rsid w:val="00E26809"/>
    <w:rsid w:val="00E26A92"/>
    <w:rsid w:val="00E27B8C"/>
    <w:rsid w:val="00E302F4"/>
    <w:rsid w:val="00E30E09"/>
    <w:rsid w:val="00E30E39"/>
    <w:rsid w:val="00E33B03"/>
    <w:rsid w:val="00E3592D"/>
    <w:rsid w:val="00E36883"/>
    <w:rsid w:val="00E37588"/>
    <w:rsid w:val="00E37595"/>
    <w:rsid w:val="00E37E31"/>
    <w:rsid w:val="00E37F0B"/>
    <w:rsid w:val="00E4056E"/>
    <w:rsid w:val="00E40B39"/>
    <w:rsid w:val="00E430F0"/>
    <w:rsid w:val="00E453EC"/>
    <w:rsid w:val="00E45AD7"/>
    <w:rsid w:val="00E45EF6"/>
    <w:rsid w:val="00E47E8C"/>
    <w:rsid w:val="00E500BD"/>
    <w:rsid w:val="00E50D0C"/>
    <w:rsid w:val="00E52B16"/>
    <w:rsid w:val="00E54073"/>
    <w:rsid w:val="00E54A29"/>
    <w:rsid w:val="00E56CD7"/>
    <w:rsid w:val="00E56E5B"/>
    <w:rsid w:val="00E57CC9"/>
    <w:rsid w:val="00E6012F"/>
    <w:rsid w:val="00E63B23"/>
    <w:rsid w:val="00E66FEF"/>
    <w:rsid w:val="00E67B62"/>
    <w:rsid w:val="00E71022"/>
    <w:rsid w:val="00E74901"/>
    <w:rsid w:val="00E750A7"/>
    <w:rsid w:val="00E75524"/>
    <w:rsid w:val="00E77712"/>
    <w:rsid w:val="00E77FD8"/>
    <w:rsid w:val="00E801FD"/>
    <w:rsid w:val="00E8376C"/>
    <w:rsid w:val="00E852F5"/>
    <w:rsid w:val="00E85F12"/>
    <w:rsid w:val="00E868BE"/>
    <w:rsid w:val="00E92BF0"/>
    <w:rsid w:val="00E92D17"/>
    <w:rsid w:val="00E93636"/>
    <w:rsid w:val="00E939C2"/>
    <w:rsid w:val="00E9452D"/>
    <w:rsid w:val="00E95278"/>
    <w:rsid w:val="00E9592E"/>
    <w:rsid w:val="00E96EBD"/>
    <w:rsid w:val="00E97A3A"/>
    <w:rsid w:val="00E97ABB"/>
    <w:rsid w:val="00EA244E"/>
    <w:rsid w:val="00EA5AAA"/>
    <w:rsid w:val="00EB40E2"/>
    <w:rsid w:val="00EB6266"/>
    <w:rsid w:val="00EB72D7"/>
    <w:rsid w:val="00EC1006"/>
    <w:rsid w:val="00EC561F"/>
    <w:rsid w:val="00EC7CA8"/>
    <w:rsid w:val="00ED1152"/>
    <w:rsid w:val="00ED27C7"/>
    <w:rsid w:val="00ED3013"/>
    <w:rsid w:val="00ED33B7"/>
    <w:rsid w:val="00ED434E"/>
    <w:rsid w:val="00ED48EF"/>
    <w:rsid w:val="00ED60A8"/>
    <w:rsid w:val="00ED6DEA"/>
    <w:rsid w:val="00ED78AF"/>
    <w:rsid w:val="00EE1673"/>
    <w:rsid w:val="00EE3F92"/>
    <w:rsid w:val="00EE5554"/>
    <w:rsid w:val="00EE55EC"/>
    <w:rsid w:val="00EE5BD6"/>
    <w:rsid w:val="00EE5C15"/>
    <w:rsid w:val="00EE5D3E"/>
    <w:rsid w:val="00EF0156"/>
    <w:rsid w:val="00EF1BA0"/>
    <w:rsid w:val="00EF5024"/>
    <w:rsid w:val="00EF515A"/>
    <w:rsid w:val="00EF5499"/>
    <w:rsid w:val="00EF72C4"/>
    <w:rsid w:val="00EF7CA3"/>
    <w:rsid w:val="00F00208"/>
    <w:rsid w:val="00F013E2"/>
    <w:rsid w:val="00F0386C"/>
    <w:rsid w:val="00F03F1A"/>
    <w:rsid w:val="00F044C0"/>
    <w:rsid w:val="00F05180"/>
    <w:rsid w:val="00F06AF5"/>
    <w:rsid w:val="00F06D1B"/>
    <w:rsid w:val="00F07504"/>
    <w:rsid w:val="00F10E4F"/>
    <w:rsid w:val="00F10F50"/>
    <w:rsid w:val="00F11255"/>
    <w:rsid w:val="00F113DC"/>
    <w:rsid w:val="00F11FFD"/>
    <w:rsid w:val="00F1210E"/>
    <w:rsid w:val="00F135A9"/>
    <w:rsid w:val="00F135C6"/>
    <w:rsid w:val="00F14B42"/>
    <w:rsid w:val="00F156BB"/>
    <w:rsid w:val="00F16A9E"/>
    <w:rsid w:val="00F20A3C"/>
    <w:rsid w:val="00F20E82"/>
    <w:rsid w:val="00F21B81"/>
    <w:rsid w:val="00F22152"/>
    <w:rsid w:val="00F239E4"/>
    <w:rsid w:val="00F25A47"/>
    <w:rsid w:val="00F2664E"/>
    <w:rsid w:val="00F3138F"/>
    <w:rsid w:val="00F31696"/>
    <w:rsid w:val="00F31E19"/>
    <w:rsid w:val="00F35552"/>
    <w:rsid w:val="00F356FF"/>
    <w:rsid w:val="00F37ABC"/>
    <w:rsid w:val="00F405DF"/>
    <w:rsid w:val="00F42CF9"/>
    <w:rsid w:val="00F44357"/>
    <w:rsid w:val="00F44765"/>
    <w:rsid w:val="00F4532D"/>
    <w:rsid w:val="00F458E4"/>
    <w:rsid w:val="00F46F5D"/>
    <w:rsid w:val="00F50DD7"/>
    <w:rsid w:val="00F5135F"/>
    <w:rsid w:val="00F5162B"/>
    <w:rsid w:val="00F52C22"/>
    <w:rsid w:val="00F54D4D"/>
    <w:rsid w:val="00F61A59"/>
    <w:rsid w:val="00F6418A"/>
    <w:rsid w:val="00F73371"/>
    <w:rsid w:val="00F73C59"/>
    <w:rsid w:val="00F74050"/>
    <w:rsid w:val="00F7424E"/>
    <w:rsid w:val="00F747CE"/>
    <w:rsid w:val="00F74B86"/>
    <w:rsid w:val="00F80E29"/>
    <w:rsid w:val="00F80EB6"/>
    <w:rsid w:val="00F844F2"/>
    <w:rsid w:val="00F84922"/>
    <w:rsid w:val="00F85E05"/>
    <w:rsid w:val="00F8624C"/>
    <w:rsid w:val="00F87917"/>
    <w:rsid w:val="00F90952"/>
    <w:rsid w:val="00F90B51"/>
    <w:rsid w:val="00F90F12"/>
    <w:rsid w:val="00F91E69"/>
    <w:rsid w:val="00F91FDB"/>
    <w:rsid w:val="00F94BA4"/>
    <w:rsid w:val="00F951E2"/>
    <w:rsid w:val="00F95EFF"/>
    <w:rsid w:val="00F96223"/>
    <w:rsid w:val="00F976BA"/>
    <w:rsid w:val="00F97819"/>
    <w:rsid w:val="00F979BC"/>
    <w:rsid w:val="00F97D4E"/>
    <w:rsid w:val="00FA0269"/>
    <w:rsid w:val="00FA05BD"/>
    <w:rsid w:val="00FA19E7"/>
    <w:rsid w:val="00FA5516"/>
    <w:rsid w:val="00FA57C4"/>
    <w:rsid w:val="00FA7F2C"/>
    <w:rsid w:val="00FB1391"/>
    <w:rsid w:val="00FB1F0F"/>
    <w:rsid w:val="00FB3652"/>
    <w:rsid w:val="00FB4EAC"/>
    <w:rsid w:val="00FB6A55"/>
    <w:rsid w:val="00FB734E"/>
    <w:rsid w:val="00FC1DF9"/>
    <w:rsid w:val="00FC2FF7"/>
    <w:rsid w:val="00FC3504"/>
    <w:rsid w:val="00FC3DB5"/>
    <w:rsid w:val="00FC42E4"/>
    <w:rsid w:val="00FC4AF5"/>
    <w:rsid w:val="00FC4D95"/>
    <w:rsid w:val="00FC570D"/>
    <w:rsid w:val="00FC5AF0"/>
    <w:rsid w:val="00FC5B28"/>
    <w:rsid w:val="00FC6055"/>
    <w:rsid w:val="00FC71F7"/>
    <w:rsid w:val="00FD2CAD"/>
    <w:rsid w:val="00FD6D68"/>
    <w:rsid w:val="00FD6F6B"/>
    <w:rsid w:val="00FE1F8E"/>
    <w:rsid w:val="00FE2D59"/>
    <w:rsid w:val="00FE3BF6"/>
    <w:rsid w:val="00FF0493"/>
    <w:rsid w:val="00FF0784"/>
    <w:rsid w:val="00FF1917"/>
    <w:rsid w:val="00FF3006"/>
    <w:rsid w:val="00FF30EE"/>
    <w:rsid w:val="00FF5E66"/>
    <w:rsid w:val="076FDB89"/>
    <w:rsid w:val="09BB7656"/>
    <w:rsid w:val="09D50262"/>
    <w:rsid w:val="0D7F06D3"/>
    <w:rsid w:val="0DCF619F"/>
    <w:rsid w:val="0DF6B9D8"/>
    <w:rsid w:val="0F55B3C6"/>
    <w:rsid w:val="0FB7C9B3"/>
    <w:rsid w:val="0FDD5361"/>
    <w:rsid w:val="10E2B807"/>
    <w:rsid w:val="11771034"/>
    <w:rsid w:val="12EE791C"/>
    <w:rsid w:val="135E0D4C"/>
    <w:rsid w:val="14BBDE3F"/>
    <w:rsid w:val="14D42F93"/>
    <w:rsid w:val="1756479B"/>
    <w:rsid w:val="175F4F7B"/>
    <w:rsid w:val="17FFAD4B"/>
    <w:rsid w:val="196E2FDF"/>
    <w:rsid w:val="19DF08E3"/>
    <w:rsid w:val="1AD9F8EF"/>
    <w:rsid w:val="1B77C917"/>
    <w:rsid w:val="1BD20507"/>
    <w:rsid w:val="1BE7C77A"/>
    <w:rsid w:val="1BEDC6A7"/>
    <w:rsid w:val="1C9706F7"/>
    <w:rsid w:val="1CEAAB29"/>
    <w:rsid w:val="1DFD621C"/>
    <w:rsid w:val="1DFF3DA5"/>
    <w:rsid w:val="1E33399B"/>
    <w:rsid w:val="1EFFE9F2"/>
    <w:rsid w:val="1FEF13D5"/>
    <w:rsid w:val="1FF3010B"/>
    <w:rsid w:val="22F664CE"/>
    <w:rsid w:val="23A60339"/>
    <w:rsid w:val="23FB1441"/>
    <w:rsid w:val="247F4902"/>
    <w:rsid w:val="2777F700"/>
    <w:rsid w:val="27AA4CE0"/>
    <w:rsid w:val="27D3FF9D"/>
    <w:rsid w:val="27D65936"/>
    <w:rsid w:val="27EC095A"/>
    <w:rsid w:val="27F5EE59"/>
    <w:rsid w:val="27FF5961"/>
    <w:rsid w:val="28BFC4AC"/>
    <w:rsid w:val="29FF8D62"/>
    <w:rsid w:val="2A9DC642"/>
    <w:rsid w:val="2B116C1A"/>
    <w:rsid w:val="2B1D51CC"/>
    <w:rsid w:val="2BA07020"/>
    <w:rsid w:val="2BBC6A46"/>
    <w:rsid w:val="2BF7BD71"/>
    <w:rsid w:val="2BF88557"/>
    <w:rsid w:val="2CF3840F"/>
    <w:rsid w:val="2DAF2CFE"/>
    <w:rsid w:val="2DF21815"/>
    <w:rsid w:val="2DFEF4E9"/>
    <w:rsid w:val="2DFF255D"/>
    <w:rsid w:val="2E757516"/>
    <w:rsid w:val="2E9FCC6D"/>
    <w:rsid w:val="2EDF3420"/>
    <w:rsid w:val="2FBF0F82"/>
    <w:rsid w:val="2FDEBD1D"/>
    <w:rsid w:val="2FFBBD8B"/>
    <w:rsid w:val="33EFF2DE"/>
    <w:rsid w:val="33FA7629"/>
    <w:rsid w:val="33FC6F48"/>
    <w:rsid w:val="33FF7E2A"/>
    <w:rsid w:val="356F9920"/>
    <w:rsid w:val="35F352E5"/>
    <w:rsid w:val="35F5241D"/>
    <w:rsid w:val="36632172"/>
    <w:rsid w:val="36C7DBE3"/>
    <w:rsid w:val="36DA224F"/>
    <w:rsid w:val="36F77B1A"/>
    <w:rsid w:val="36F7AE13"/>
    <w:rsid w:val="3794F2A1"/>
    <w:rsid w:val="379DEC6F"/>
    <w:rsid w:val="37BE6B10"/>
    <w:rsid w:val="37BFE476"/>
    <w:rsid w:val="37CB9033"/>
    <w:rsid w:val="37E3ADA5"/>
    <w:rsid w:val="37E7296F"/>
    <w:rsid w:val="37EB1EE0"/>
    <w:rsid w:val="37EF1788"/>
    <w:rsid w:val="38E08B01"/>
    <w:rsid w:val="397BFDBB"/>
    <w:rsid w:val="3A7FD2C3"/>
    <w:rsid w:val="3AF75AEA"/>
    <w:rsid w:val="3AF7E8D8"/>
    <w:rsid w:val="3B9B70AC"/>
    <w:rsid w:val="3BB79FDC"/>
    <w:rsid w:val="3BDB6902"/>
    <w:rsid w:val="3BEB2575"/>
    <w:rsid w:val="3BEF0046"/>
    <w:rsid w:val="3BF661D2"/>
    <w:rsid w:val="3BFB42B0"/>
    <w:rsid w:val="3BFEEE61"/>
    <w:rsid w:val="3BFF0E0D"/>
    <w:rsid w:val="3C63B7BE"/>
    <w:rsid w:val="3C670F28"/>
    <w:rsid w:val="3C97EC2F"/>
    <w:rsid w:val="3CF53EA2"/>
    <w:rsid w:val="3D6E19A7"/>
    <w:rsid w:val="3D7E1E50"/>
    <w:rsid w:val="3D7E24B2"/>
    <w:rsid w:val="3D9E1D6A"/>
    <w:rsid w:val="3DDED4DF"/>
    <w:rsid w:val="3DE35D1D"/>
    <w:rsid w:val="3DE94F0D"/>
    <w:rsid w:val="3DEDF339"/>
    <w:rsid w:val="3DF6E3B5"/>
    <w:rsid w:val="3DFF4422"/>
    <w:rsid w:val="3DFFE467"/>
    <w:rsid w:val="3EBBF4F5"/>
    <w:rsid w:val="3EBE62CC"/>
    <w:rsid w:val="3EBFBCFB"/>
    <w:rsid w:val="3EBFE87C"/>
    <w:rsid w:val="3EDFFE22"/>
    <w:rsid w:val="3EE7BC4B"/>
    <w:rsid w:val="3EFCF4D6"/>
    <w:rsid w:val="3EFDDEBE"/>
    <w:rsid w:val="3EFE8337"/>
    <w:rsid w:val="3F165354"/>
    <w:rsid w:val="3F4D2F3C"/>
    <w:rsid w:val="3F4D5BF3"/>
    <w:rsid w:val="3F55FF0A"/>
    <w:rsid w:val="3F5F7E51"/>
    <w:rsid w:val="3F5FFA80"/>
    <w:rsid w:val="3F72084C"/>
    <w:rsid w:val="3F7DAF52"/>
    <w:rsid w:val="3F7DEA0A"/>
    <w:rsid w:val="3F90B921"/>
    <w:rsid w:val="3F97759F"/>
    <w:rsid w:val="3FBFF241"/>
    <w:rsid w:val="3FD33600"/>
    <w:rsid w:val="3FD73FF6"/>
    <w:rsid w:val="3FD78179"/>
    <w:rsid w:val="3FDB0F5B"/>
    <w:rsid w:val="3FDB4696"/>
    <w:rsid w:val="3FDD6184"/>
    <w:rsid w:val="3FEA7C47"/>
    <w:rsid w:val="3FED4606"/>
    <w:rsid w:val="3FEE2076"/>
    <w:rsid w:val="3FF3858A"/>
    <w:rsid w:val="3FF42F96"/>
    <w:rsid w:val="3FF754FA"/>
    <w:rsid w:val="3FFD6486"/>
    <w:rsid w:val="3FFD77CC"/>
    <w:rsid w:val="3FFDB07E"/>
    <w:rsid w:val="3FFDDE47"/>
    <w:rsid w:val="3FFE78C2"/>
    <w:rsid w:val="3FFF20EF"/>
    <w:rsid w:val="3FFF69D3"/>
    <w:rsid w:val="3FFF73F6"/>
    <w:rsid w:val="3FFF9760"/>
    <w:rsid w:val="3FFF9C69"/>
    <w:rsid w:val="3FFFE73C"/>
    <w:rsid w:val="407ECD8A"/>
    <w:rsid w:val="41D629D7"/>
    <w:rsid w:val="43FF9069"/>
    <w:rsid w:val="43FFDCC0"/>
    <w:rsid w:val="44C2005E"/>
    <w:rsid w:val="45FF33F9"/>
    <w:rsid w:val="46551D0D"/>
    <w:rsid w:val="467FD7AF"/>
    <w:rsid w:val="47FEB97F"/>
    <w:rsid w:val="47FF73AC"/>
    <w:rsid w:val="48742647"/>
    <w:rsid w:val="49FEF738"/>
    <w:rsid w:val="4B19A1DE"/>
    <w:rsid w:val="4BFDD1C9"/>
    <w:rsid w:val="4CFB3162"/>
    <w:rsid w:val="4D673E5D"/>
    <w:rsid w:val="4DFD3F0C"/>
    <w:rsid w:val="4DFE5FAF"/>
    <w:rsid w:val="4E7E6116"/>
    <w:rsid w:val="4E99B50C"/>
    <w:rsid w:val="4EBF72B4"/>
    <w:rsid w:val="4F623605"/>
    <w:rsid w:val="4FBB7925"/>
    <w:rsid w:val="4FBECD86"/>
    <w:rsid w:val="4FCE1813"/>
    <w:rsid w:val="4FED63C9"/>
    <w:rsid w:val="4FFFBC05"/>
    <w:rsid w:val="514E6D11"/>
    <w:rsid w:val="518F010A"/>
    <w:rsid w:val="51FDA725"/>
    <w:rsid w:val="51FED7AB"/>
    <w:rsid w:val="51FFF3F3"/>
    <w:rsid w:val="52ADDA23"/>
    <w:rsid w:val="52FB4569"/>
    <w:rsid w:val="53FC505F"/>
    <w:rsid w:val="55047989"/>
    <w:rsid w:val="55671C2C"/>
    <w:rsid w:val="55DFAA34"/>
    <w:rsid w:val="56FF54FB"/>
    <w:rsid w:val="571F103D"/>
    <w:rsid w:val="5749A558"/>
    <w:rsid w:val="575FAA6E"/>
    <w:rsid w:val="57DD583A"/>
    <w:rsid w:val="57DFE94B"/>
    <w:rsid w:val="57EE1CAD"/>
    <w:rsid w:val="57EE23CF"/>
    <w:rsid w:val="57EF72F9"/>
    <w:rsid w:val="58DC51D8"/>
    <w:rsid w:val="59373DD1"/>
    <w:rsid w:val="5AD70B94"/>
    <w:rsid w:val="5B6A389F"/>
    <w:rsid w:val="5B7495C3"/>
    <w:rsid w:val="5B9D092F"/>
    <w:rsid w:val="5BCF0627"/>
    <w:rsid w:val="5BDFCA96"/>
    <w:rsid w:val="5BFFEB0B"/>
    <w:rsid w:val="5CB7BF49"/>
    <w:rsid w:val="5CD4CD02"/>
    <w:rsid w:val="5CEFD428"/>
    <w:rsid w:val="5D317F73"/>
    <w:rsid w:val="5D4132E4"/>
    <w:rsid w:val="5D5B3DFB"/>
    <w:rsid w:val="5D670147"/>
    <w:rsid w:val="5D7505BF"/>
    <w:rsid w:val="5D8A45AB"/>
    <w:rsid w:val="5D9BAE16"/>
    <w:rsid w:val="5DB76024"/>
    <w:rsid w:val="5DBFDB40"/>
    <w:rsid w:val="5DD38370"/>
    <w:rsid w:val="5DEE4693"/>
    <w:rsid w:val="5DFD05E2"/>
    <w:rsid w:val="5DFEC0AD"/>
    <w:rsid w:val="5E9B834E"/>
    <w:rsid w:val="5EB1975C"/>
    <w:rsid w:val="5EC768FA"/>
    <w:rsid w:val="5ECE270B"/>
    <w:rsid w:val="5EF10B52"/>
    <w:rsid w:val="5EFA7CCD"/>
    <w:rsid w:val="5EFD2CC4"/>
    <w:rsid w:val="5EFF4CF8"/>
    <w:rsid w:val="5EFF4E48"/>
    <w:rsid w:val="5F0E2C6F"/>
    <w:rsid w:val="5F1F9CB9"/>
    <w:rsid w:val="5F36E16E"/>
    <w:rsid w:val="5F3E391C"/>
    <w:rsid w:val="5F43686F"/>
    <w:rsid w:val="5F5528B8"/>
    <w:rsid w:val="5F6505C4"/>
    <w:rsid w:val="5F6D6410"/>
    <w:rsid w:val="5F8BE2D8"/>
    <w:rsid w:val="5F99D005"/>
    <w:rsid w:val="5F9B667F"/>
    <w:rsid w:val="5FA34886"/>
    <w:rsid w:val="5FAEE6F5"/>
    <w:rsid w:val="5FAF222E"/>
    <w:rsid w:val="5FAF45DB"/>
    <w:rsid w:val="5FB7F519"/>
    <w:rsid w:val="5FDB78BB"/>
    <w:rsid w:val="5FDF9D29"/>
    <w:rsid w:val="5FEDCFD2"/>
    <w:rsid w:val="5FEE1472"/>
    <w:rsid w:val="5FEF286E"/>
    <w:rsid w:val="5FEFDF59"/>
    <w:rsid w:val="5FF64F31"/>
    <w:rsid w:val="5FF7602E"/>
    <w:rsid w:val="5FFDE74C"/>
    <w:rsid w:val="5FFE9B20"/>
    <w:rsid w:val="5FFFCE0B"/>
    <w:rsid w:val="5FFFFE6E"/>
    <w:rsid w:val="61D53651"/>
    <w:rsid w:val="61DFD6B2"/>
    <w:rsid w:val="61F472E0"/>
    <w:rsid w:val="639221EC"/>
    <w:rsid w:val="63DF866D"/>
    <w:rsid w:val="63FA9A36"/>
    <w:rsid w:val="64FFC832"/>
    <w:rsid w:val="65B57A1C"/>
    <w:rsid w:val="65FDE584"/>
    <w:rsid w:val="65FE2A7B"/>
    <w:rsid w:val="65FFD3D4"/>
    <w:rsid w:val="66A7BC17"/>
    <w:rsid w:val="66E72C86"/>
    <w:rsid w:val="675F4899"/>
    <w:rsid w:val="677CFB7D"/>
    <w:rsid w:val="677F22C3"/>
    <w:rsid w:val="67B0DA56"/>
    <w:rsid w:val="67F2112F"/>
    <w:rsid w:val="67FDCAEE"/>
    <w:rsid w:val="697DF269"/>
    <w:rsid w:val="6AAA49DA"/>
    <w:rsid w:val="6ABBA7BD"/>
    <w:rsid w:val="6AC1C717"/>
    <w:rsid w:val="6AD75A62"/>
    <w:rsid w:val="6AF744EE"/>
    <w:rsid w:val="6B5FB265"/>
    <w:rsid w:val="6B778E21"/>
    <w:rsid w:val="6B7F1EAA"/>
    <w:rsid w:val="6BB246DC"/>
    <w:rsid w:val="6BBF65B0"/>
    <w:rsid w:val="6BBFA18B"/>
    <w:rsid w:val="6BDB3995"/>
    <w:rsid w:val="6BE7739D"/>
    <w:rsid w:val="6BFF0688"/>
    <w:rsid w:val="6CCA3FBF"/>
    <w:rsid w:val="6CE97B6C"/>
    <w:rsid w:val="6CED9F87"/>
    <w:rsid w:val="6CF7034F"/>
    <w:rsid w:val="6CFFB954"/>
    <w:rsid w:val="6CFFF5BD"/>
    <w:rsid w:val="6D59F4EE"/>
    <w:rsid w:val="6D7DDD08"/>
    <w:rsid w:val="6DBD7633"/>
    <w:rsid w:val="6DC50B64"/>
    <w:rsid w:val="6DEB0134"/>
    <w:rsid w:val="6DED361F"/>
    <w:rsid w:val="6E7C33EE"/>
    <w:rsid w:val="6EC27C5B"/>
    <w:rsid w:val="6EC33EB6"/>
    <w:rsid w:val="6ECAFE2D"/>
    <w:rsid w:val="6EF761B1"/>
    <w:rsid w:val="6EF9A764"/>
    <w:rsid w:val="6EF9D7C1"/>
    <w:rsid w:val="6EFF4033"/>
    <w:rsid w:val="6F020DE5"/>
    <w:rsid w:val="6F4E9D71"/>
    <w:rsid w:val="6F7BE473"/>
    <w:rsid w:val="6F7D58CC"/>
    <w:rsid w:val="6F9A7B71"/>
    <w:rsid w:val="6F9B8613"/>
    <w:rsid w:val="6F9F1886"/>
    <w:rsid w:val="6FA90F95"/>
    <w:rsid w:val="6FAAF8C7"/>
    <w:rsid w:val="6FB33157"/>
    <w:rsid w:val="6FB5E366"/>
    <w:rsid w:val="6FBD5F01"/>
    <w:rsid w:val="6FBD94D2"/>
    <w:rsid w:val="6FBE5A05"/>
    <w:rsid w:val="6FC54DD3"/>
    <w:rsid w:val="6FED1CA8"/>
    <w:rsid w:val="6FEEA9C3"/>
    <w:rsid w:val="6FEF5846"/>
    <w:rsid w:val="6FF685CA"/>
    <w:rsid w:val="6FF6A32F"/>
    <w:rsid w:val="6FF9BEC8"/>
    <w:rsid w:val="6FFDBB65"/>
    <w:rsid w:val="6FFDDB10"/>
    <w:rsid w:val="6FFF0682"/>
    <w:rsid w:val="705EA2E4"/>
    <w:rsid w:val="70BEAE25"/>
    <w:rsid w:val="714FEF81"/>
    <w:rsid w:val="725EC091"/>
    <w:rsid w:val="726E5BE4"/>
    <w:rsid w:val="734E3E17"/>
    <w:rsid w:val="737A479B"/>
    <w:rsid w:val="73AE9C58"/>
    <w:rsid w:val="73BF9C17"/>
    <w:rsid w:val="73D6D27B"/>
    <w:rsid w:val="73DF309D"/>
    <w:rsid w:val="73EA1ABC"/>
    <w:rsid w:val="73F163E4"/>
    <w:rsid w:val="73F3756D"/>
    <w:rsid w:val="73F6558F"/>
    <w:rsid w:val="73FDF314"/>
    <w:rsid w:val="743E6D09"/>
    <w:rsid w:val="745436E9"/>
    <w:rsid w:val="746FB921"/>
    <w:rsid w:val="74822F34"/>
    <w:rsid w:val="757E6728"/>
    <w:rsid w:val="75BB2E75"/>
    <w:rsid w:val="75BF2BCE"/>
    <w:rsid w:val="75DDDFF0"/>
    <w:rsid w:val="75DFBE80"/>
    <w:rsid w:val="75EBBA90"/>
    <w:rsid w:val="75FB5259"/>
    <w:rsid w:val="75FF42CF"/>
    <w:rsid w:val="75FF61F2"/>
    <w:rsid w:val="76697E51"/>
    <w:rsid w:val="76790721"/>
    <w:rsid w:val="76B5C3E3"/>
    <w:rsid w:val="76BDBB1E"/>
    <w:rsid w:val="76CF2F6C"/>
    <w:rsid w:val="76D7780E"/>
    <w:rsid w:val="76FBE7A2"/>
    <w:rsid w:val="76FC219B"/>
    <w:rsid w:val="76FE1907"/>
    <w:rsid w:val="76FF51B0"/>
    <w:rsid w:val="773AB814"/>
    <w:rsid w:val="77476BD9"/>
    <w:rsid w:val="77625131"/>
    <w:rsid w:val="776F89E9"/>
    <w:rsid w:val="7775640E"/>
    <w:rsid w:val="7777CE14"/>
    <w:rsid w:val="777BB5D3"/>
    <w:rsid w:val="777FC191"/>
    <w:rsid w:val="777FCC22"/>
    <w:rsid w:val="778F4423"/>
    <w:rsid w:val="77A3F2E3"/>
    <w:rsid w:val="77AEC0FC"/>
    <w:rsid w:val="77AEDE93"/>
    <w:rsid w:val="77B4C829"/>
    <w:rsid w:val="77BBE192"/>
    <w:rsid w:val="77BF5CEF"/>
    <w:rsid w:val="77BFCC0F"/>
    <w:rsid w:val="77CF81F5"/>
    <w:rsid w:val="77DD70F9"/>
    <w:rsid w:val="77DF255E"/>
    <w:rsid w:val="77DFD2EB"/>
    <w:rsid w:val="77E692C6"/>
    <w:rsid w:val="77EF98C3"/>
    <w:rsid w:val="77EFC835"/>
    <w:rsid w:val="77F46910"/>
    <w:rsid w:val="77F7D30D"/>
    <w:rsid w:val="77F9AF6D"/>
    <w:rsid w:val="77FC4D9B"/>
    <w:rsid w:val="77FD508B"/>
    <w:rsid w:val="77FEC46A"/>
    <w:rsid w:val="77FF80CA"/>
    <w:rsid w:val="77FF8514"/>
    <w:rsid w:val="77FF9629"/>
    <w:rsid w:val="77FFCBAE"/>
    <w:rsid w:val="77FFDD1F"/>
    <w:rsid w:val="7854E415"/>
    <w:rsid w:val="78DEDED3"/>
    <w:rsid w:val="79960634"/>
    <w:rsid w:val="79DD8C6F"/>
    <w:rsid w:val="79F7F5BD"/>
    <w:rsid w:val="79FC617A"/>
    <w:rsid w:val="7A72DC65"/>
    <w:rsid w:val="7AAF8241"/>
    <w:rsid w:val="7B6C7C6E"/>
    <w:rsid w:val="7B6EF8DC"/>
    <w:rsid w:val="7B6FCCF3"/>
    <w:rsid w:val="7B7BC118"/>
    <w:rsid w:val="7B7DDEB5"/>
    <w:rsid w:val="7B7DF519"/>
    <w:rsid w:val="7B7FC6C6"/>
    <w:rsid w:val="7B8786F4"/>
    <w:rsid w:val="7B9EC3D1"/>
    <w:rsid w:val="7BAF53B8"/>
    <w:rsid w:val="7BB61EB5"/>
    <w:rsid w:val="7BB754C7"/>
    <w:rsid w:val="7BBD09E4"/>
    <w:rsid w:val="7BC86AA4"/>
    <w:rsid w:val="7BDCF65D"/>
    <w:rsid w:val="7BDF236E"/>
    <w:rsid w:val="7BDFB5C7"/>
    <w:rsid w:val="7BECE716"/>
    <w:rsid w:val="7BEE5BEC"/>
    <w:rsid w:val="7BEF4325"/>
    <w:rsid w:val="7BF7AEF9"/>
    <w:rsid w:val="7BFDC51E"/>
    <w:rsid w:val="7BFF1464"/>
    <w:rsid w:val="7BFF75EC"/>
    <w:rsid w:val="7BFF8783"/>
    <w:rsid w:val="7BFF8D08"/>
    <w:rsid w:val="7BFFE440"/>
    <w:rsid w:val="7C9E4403"/>
    <w:rsid w:val="7CB9D75A"/>
    <w:rsid w:val="7CE74C83"/>
    <w:rsid w:val="7CEE7767"/>
    <w:rsid w:val="7CEF11BC"/>
    <w:rsid w:val="7D2AC3B8"/>
    <w:rsid w:val="7D5F761E"/>
    <w:rsid w:val="7D5F93C5"/>
    <w:rsid w:val="7D66FE91"/>
    <w:rsid w:val="7D735C2F"/>
    <w:rsid w:val="7D7D85BC"/>
    <w:rsid w:val="7D7F6165"/>
    <w:rsid w:val="7D9FCF05"/>
    <w:rsid w:val="7DB747D7"/>
    <w:rsid w:val="7DCCD31A"/>
    <w:rsid w:val="7DDF12F9"/>
    <w:rsid w:val="7DE694F0"/>
    <w:rsid w:val="7DEFFB3B"/>
    <w:rsid w:val="7DF57BE1"/>
    <w:rsid w:val="7DF9C0BE"/>
    <w:rsid w:val="7DFB4B58"/>
    <w:rsid w:val="7DFFE042"/>
    <w:rsid w:val="7DFFE5AB"/>
    <w:rsid w:val="7E3E0F24"/>
    <w:rsid w:val="7E5B85A5"/>
    <w:rsid w:val="7E6F22CB"/>
    <w:rsid w:val="7E8EA8A8"/>
    <w:rsid w:val="7EAF4107"/>
    <w:rsid w:val="7EBC102D"/>
    <w:rsid w:val="7EBE9DFC"/>
    <w:rsid w:val="7EBF1417"/>
    <w:rsid w:val="7EBF922F"/>
    <w:rsid w:val="7ED6FA70"/>
    <w:rsid w:val="7EDE0703"/>
    <w:rsid w:val="7EDECB4C"/>
    <w:rsid w:val="7EDFF8FC"/>
    <w:rsid w:val="7EE371D0"/>
    <w:rsid w:val="7EE666AE"/>
    <w:rsid w:val="7EEF8CE5"/>
    <w:rsid w:val="7EF17A36"/>
    <w:rsid w:val="7EF6AC2B"/>
    <w:rsid w:val="7EF7C2FB"/>
    <w:rsid w:val="7EFA07F1"/>
    <w:rsid w:val="7EFB9B4F"/>
    <w:rsid w:val="7EFBF075"/>
    <w:rsid w:val="7EFD5D63"/>
    <w:rsid w:val="7EFE3FDE"/>
    <w:rsid w:val="7EFF60E9"/>
    <w:rsid w:val="7EFF8EAB"/>
    <w:rsid w:val="7F1F3069"/>
    <w:rsid w:val="7F2F3810"/>
    <w:rsid w:val="7F32A088"/>
    <w:rsid w:val="7F32DBA4"/>
    <w:rsid w:val="7F3B3807"/>
    <w:rsid w:val="7F3BECDF"/>
    <w:rsid w:val="7F3F5006"/>
    <w:rsid w:val="7F3FE74D"/>
    <w:rsid w:val="7F4FFEED"/>
    <w:rsid w:val="7F5FF269"/>
    <w:rsid w:val="7F6F4C2A"/>
    <w:rsid w:val="7F6FA6CF"/>
    <w:rsid w:val="7F76FA5B"/>
    <w:rsid w:val="7F77F70C"/>
    <w:rsid w:val="7F7ADDFC"/>
    <w:rsid w:val="7F7BDF6C"/>
    <w:rsid w:val="7F7D58EC"/>
    <w:rsid w:val="7F7EDD85"/>
    <w:rsid w:val="7F7F0CB5"/>
    <w:rsid w:val="7F7F7E01"/>
    <w:rsid w:val="7F7F9173"/>
    <w:rsid w:val="7F7FCE44"/>
    <w:rsid w:val="7F7FD640"/>
    <w:rsid w:val="7F7FDD0C"/>
    <w:rsid w:val="7F8FB23B"/>
    <w:rsid w:val="7F96D78F"/>
    <w:rsid w:val="7F9F1F0F"/>
    <w:rsid w:val="7F9FA04E"/>
    <w:rsid w:val="7FA980C3"/>
    <w:rsid w:val="7FB50D32"/>
    <w:rsid w:val="7FB5BE21"/>
    <w:rsid w:val="7FBB0D64"/>
    <w:rsid w:val="7FBB5CDC"/>
    <w:rsid w:val="7FBBC43C"/>
    <w:rsid w:val="7FBE5573"/>
    <w:rsid w:val="7FBE837A"/>
    <w:rsid w:val="7FBF3A35"/>
    <w:rsid w:val="7FBFD6B1"/>
    <w:rsid w:val="7FBFD8FC"/>
    <w:rsid w:val="7FC5FB7B"/>
    <w:rsid w:val="7FC71A04"/>
    <w:rsid w:val="7FCD25B8"/>
    <w:rsid w:val="7FD15529"/>
    <w:rsid w:val="7FDB9A41"/>
    <w:rsid w:val="7FDBB279"/>
    <w:rsid w:val="7FDD9CF4"/>
    <w:rsid w:val="7FDF1F49"/>
    <w:rsid w:val="7FDF46F4"/>
    <w:rsid w:val="7FDF6913"/>
    <w:rsid w:val="7FDF85A3"/>
    <w:rsid w:val="7FE5DD3D"/>
    <w:rsid w:val="7FE7DB32"/>
    <w:rsid w:val="7FE98DE3"/>
    <w:rsid w:val="7FEB32AE"/>
    <w:rsid w:val="7FEB3FE3"/>
    <w:rsid w:val="7FEEA35B"/>
    <w:rsid w:val="7FEEB1B6"/>
    <w:rsid w:val="7FEFB455"/>
    <w:rsid w:val="7FEFC5AB"/>
    <w:rsid w:val="7FF6A06B"/>
    <w:rsid w:val="7FF71933"/>
    <w:rsid w:val="7FF9E53B"/>
    <w:rsid w:val="7FF9EFE4"/>
    <w:rsid w:val="7FFA5548"/>
    <w:rsid w:val="7FFBAFDB"/>
    <w:rsid w:val="7FFBD778"/>
    <w:rsid w:val="7FFC238B"/>
    <w:rsid w:val="7FFD9D29"/>
    <w:rsid w:val="7FFF0B26"/>
    <w:rsid w:val="7FFFC54C"/>
    <w:rsid w:val="7FFFD44E"/>
    <w:rsid w:val="853202BC"/>
    <w:rsid w:val="876FAD1A"/>
    <w:rsid w:val="87FDFB21"/>
    <w:rsid w:val="8BEFB5E4"/>
    <w:rsid w:val="8DF7D3FD"/>
    <w:rsid w:val="8FB665AA"/>
    <w:rsid w:val="8FBAD361"/>
    <w:rsid w:val="938306AE"/>
    <w:rsid w:val="93FCD03A"/>
    <w:rsid w:val="95CDA2AF"/>
    <w:rsid w:val="95FA7568"/>
    <w:rsid w:val="96577A7F"/>
    <w:rsid w:val="9699A86E"/>
    <w:rsid w:val="96E3F26C"/>
    <w:rsid w:val="97DDB8C9"/>
    <w:rsid w:val="97F7D6E2"/>
    <w:rsid w:val="97FE0857"/>
    <w:rsid w:val="9A3B9A04"/>
    <w:rsid w:val="9B5DFB84"/>
    <w:rsid w:val="9BBFA850"/>
    <w:rsid w:val="9BFD37EA"/>
    <w:rsid w:val="9D3515DA"/>
    <w:rsid w:val="9D4B5CFF"/>
    <w:rsid w:val="9E7FA62C"/>
    <w:rsid w:val="9EDE2100"/>
    <w:rsid w:val="9EFCDB45"/>
    <w:rsid w:val="9EFF8AA9"/>
    <w:rsid w:val="9EFF9F4D"/>
    <w:rsid w:val="9F73EDE0"/>
    <w:rsid w:val="9F750C45"/>
    <w:rsid w:val="9F7D0449"/>
    <w:rsid w:val="9FD6E8C9"/>
    <w:rsid w:val="9FDE2E0A"/>
    <w:rsid w:val="9FF52D3F"/>
    <w:rsid w:val="9FF79059"/>
    <w:rsid w:val="A3EA1B32"/>
    <w:rsid w:val="A3FE4D82"/>
    <w:rsid w:val="A4EB4D5B"/>
    <w:rsid w:val="A5DBCE01"/>
    <w:rsid w:val="A6E3F616"/>
    <w:rsid w:val="A7FF4BBE"/>
    <w:rsid w:val="AABD60F1"/>
    <w:rsid w:val="ABFDB2BD"/>
    <w:rsid w:val="ABFFAD0F"/>
    <w:rsid w:val="ABFFF845"/>
    <w:rsid w:val="ADBE2D8C"/>
    <w:rsid w:val="ADEF9ADF"/>
    <w:rsid w:val="AE5A31AE"/>
    <w:rsid w:val="AF3F2222"/>
    <w:rsid w:val="AFBF1C57"/>
    <w:rsid w:val="AFEF34C2"/>
    <w:rsid w:val="B27DDE35"/>
    <w:rsid w:val="B2BF77BB"/>
    <w:rsid w:val="B31E0175"/>
    <w:rsid w:val="B3A788AF"/>
    <w:rsid w:val="B3BFF63F"/>
    <w:rsid w:val="B3C7AB1B"/>
    <w:rsid w:val="B3F9680E"/>
    <w:rsid w:val="B3FFF578"/>
    <w:rsid w:val="B4F71056"/>
    <w:rsid w:val="B53FB410"/>
    <w:rsid w:val="B5AD647E"/>
    <w:rsid w:val="B5F9E950"/>
    <w:rsid w:val="B5FDF597"/>
    <w:rsid w:val="B5FF64AF"/>
    <w:rsid w:val="B65FB78E"/>
    <w:rsid w:val="B67FA6E0"/>
    <w:rsid w:val="B6E419FA"/>
    <w:rsid w:val="B7027D0F"/>
    <w:rsid w:val="B75FD6D3"/>
    <w:rsid w:val="B77515F5"/>
    <w:rsid w:val="B77F994D"/>
    <w:rsid w:val="B7D73A0A"/>
    <w:rsid w:val="B7ED414F"/>
    <w:rsid w:val="B7F75828"/>
    <w:rsid w:val="B7FDAAB2"/>
    <w:rsid w:val="B8651EA2"/>
    <w:rsid w:val="B87DE72F"/>
    <w:rsid w:val="B93C78A9"/>
    <w:rsid w:val="B9BF025B"/>
    <w:rsid w:val="B9EF70E0"/>
    <w:rsid w:val="B9FB1DD6"/>
    <w:rsid w:val="BA7B23C6"/>
    <w:rsid w:val="BAB739E8"/>
    <w:rsid w:val="BAEE65E8"/>
    <w:rsid w:val="BAFF518F"/>
    <w:rsid w:val="BB5498A1"/>
    <w:rsid w:val="BB56BB17"/>
    <w:rsid w:val="BB7E82B2"/>
    <w:rsid w:val="BB7F481D"/>
    <w:rsid w:val="BB7FA261"/>
    <w:rsid w:val="BBCF2CD2"/>
    <w:rsid w:val="BBF59B62"/>
    <w:rsid w:val="BBFF411C"/>
    <w:rsid w:val="BBFF4B7C"/>
    <w:rsid w:val="BBFFA3FA"/>
    <w:rsid w:val="BC7D8B4E"/>
    <w:rsid w:val="BCBCDA57"/>
    <w:rsid w:val="BD799B58"/>
    <w:rsid w:val="BD7B9EAA"/>
    <w:rsid w:val="BDBDDCAC"/>
    <w:rsid w:val="BDBF9211"/>
    <w:rsid w:val="BDC742BD"/>
    <w:rsid w:val="BDCEA5F1"/>
    <w:rsid w:val="BDD77BD0"/>
    <w:rsid w:val="BDFBB806"/>
    <w:rsid w:val="BDFF0EBD"/>
    <w:rsid w:val="BDFFCD17"/>
    <w:rsid w:val="BE5231E0"/>
    <w:rsid w:val="BE7D0D3B"/>
    <w:rsid w:val="BE7F34E9"/>
    <w:rsid w:val="BEB608F0"/>
    <w:rsid w:val="BEB9301C"/>
    <w:rsid w:val="BEBFCA12"/>
    <w:rsid w:val="BECD3CE4"/>
    <w:rsid w:val="BEDBBE55"/>
    <w:rsid w:val="BEDF0BCB"/>
    <w:rsid w:val="BEDF772F"/>
    <w:rsid w:val="BEF11E69"/>
    <w:rsid w:val="BF3B3E62"/>
    <w:rsid w:val="BF3DB533"/>
    <w:rsid w:val="BF3DBF63"/>
    <w:rsid w:val="BF5F1106"/>
    <w:rsid w:val="BF685508"/>
    <w:rsid w:val="BF7C99FD"/>
    <w:rsid w:val="BF7E982D"/>
    <w:rsid w:val="BFAB4980"/>
    <w:rsid w:val="BFB77C34"/>
    <w:rsid w:val="BFC99058"/>
    <w:rsid w:val="BFCEB2D8"/>
    <w:rsid w:val="BFDD1C82"/>
    <w:rsid w:val="BFDFBE97"/>
    <w:rsid w:val="BFEBD1CC"/>
    <w:rsid w:val="BFED82F8"/>
    <w:rsid w:val="BFF70A37"/>
    <w:rsid w:val="BFF71A4B"/>
    <w:rsid w:val="BFFE73A0"/>
    <w:rsid w:val="C3DF3A7B"/>
    <w:rsid w:val="C76FBE80"/>
    <w:rsid w:val="C97ED1FC"/>
    <w:rsid w:val="C9DBCFBC"/>
    <w:rsid w:val="CAAE8A67"/>
    <w:rsid w:val="CAFF49D6"/>
    <w:rsid w:val="CB7E6A25"/>
    <w:rsid w:val="CBBFDB9F"/>
    <w:rsid w:val="CBFF2AE3"/>
    <w:rsid w:val="CDBE2036"/>
    <w:rsid w:val="CDBF0475"/>
    <w:rsid w:val="CDDF7DE3"/>
    <w:rsid w:val="CE6B153D"/>
    <w:rsid w:val="CEDD3555"/>
    <w:rsid w:val="CEFDB8F4"/>
    <w:rsid w:val="CF5EBE44"/>
    <w:rsid w:val="CF798C92"/>
    <w:rsid w:val="CFD75B3C"/>
    <w:rsid w:val="CFDFE52B"/>
    <w:rsid w:val="CFDFF91B"/>
    <w:rsid w:val="CFEFF5AA"/>
    <w:rsid w:val="CFFC0673"/>
    <w:rsid w:val="CFFE5126"/>
    <w:rsid w:val="CFFFD4E5"/>
    <w:rsid w:val="D0F7F144"/>
    <w:rsid w:val="D1FDAA49"/>
    <w:rsid w:val="D2DBC64C"/>
    <w:rsid w:val="D3A59E05"/>
    <w:rsid w:val="D3DF7CA6"/>
    <w:rsid w:val="D3FD6624"/>
    <w:rsid w:val="D47D036F"/>
    <w:rsid w:val="D49D1B8D"/>
    <w:rsid w:val="D54FA72A"/>
    <w:rsid w:val="D5CBDBF0"/>
    <w:rsid w:val="D5D77607"/>
    <w:rsid w:val="D6C6ADC2"/>
    <w:rsid w:val="D6F3D1E7"/>
    <w:rsid w:val="D6FE72F4"/>
    <w:rsid w:val="D6FF7087"/>
    <w:rsid w:val="D74BFA5D"/>
    <w:rsid w:val="D77B942C"/>
    <w:rsid w:val="D7A7D1B1"/>
    <w:rsid w:val="D7B5FD3A"/>
    <w:rsid w:val="D7BD9152"/>
    <w:rsid w:val="D7FBEA56"/>
    <w:rsid w:val="D7FE657C"/>
    <w:rsid w:val="D85F692E"/>
    <w:rsid w:val="D98FDE7F"/>
    <w:rsid w:val="D9A7581F"/>
    <w:rsid w:val="D9BF48E6"/>
    <w:rsid w:val="D9C30F36"/>
    <w:rsid w:val="DA7F0F88"/>
    <w:rsid w:val="DABF6A1E"/>
    <w:rsid w:val="DABFA99A"/>
    <w:rsid w:val="DAE7D349"/>
    <w:rsid w:val="DB3F797B"/>
    <w:rsid w:val="DB7F56A5"/>
    <w:rsid w:val="DB9FA51C"/>
    <w:rsid w:val="DBD9454D"/>
    <w:rsid w:val="DBFA2E31"/>
    <w:rsid w:val="DC500629"/>
    <w:rsid w:val="DCE7E5EB"/>
    <w:rsid w:val="DD6DF70F"/>
    <w:rsid w:val="DD76FB94"/>
    <w:rsid w:val="DD864310"/>
    <w:rsid w:val="DDBB220A"/>
    <w:rsid w:val="DDDFA0CB"/>
    <w:rsid w:val="DDFBF1E8"/>
    <w:rsid w:val="DDFC735C"/>
    <w:rsid w:val="DDFD073A"/>
    <w:rsid w:val="DDFE3EF7"/>
    <w:rsid w:val="DDFFC1AD"/>
    <w:rsid w:val="DE37E6E4"/>
    <w:rsid w:val="DE5DA90E"/>
    <w:rsid w:val="DE5DE373"/>
    <w:rsid w:val="DEBD2DDB"/>
    <w:rsid w:val="DECDF632"/>
    <w:rsid w:val="DEDBE505"/>
    <w:rsid w:val="DEF32035"/>
    <w:rsid w:val="DF3F5614"/>
    <w:rsid w:val="DF74ADA2"/>
    <w:rsid w:val="DF9C40F6"/>
    <w:rsid w:val="DF9E9118"/>
    <w:rsid w:val="DFA56BAA"/>
    <w:rsid w:val="DFAB6836"/>
    <w:rsid w:val="DFB7EC45"/>
    <w:rsid w:val="DFDEB657"/>
    <w:rsid w:val="DFEA11E1"/>
    <w:rsid w:val="DFEDD08F"/>
    <w:rsid w:val="DFEFDD5C"/>
    <w:rsid w:val="DFF91B7A"/>
    <w:rsid w:val="DFFB6569"/>
    <w:rsid w:val="DFFFB5D8"/>
    <w:rsid w:val="E0AE337B"/>
    <w:rsid w:val="E0F79002"/>
    <w:rsid w:val="E14DADCE"/>
    <w:rsid w:val="E177C214"/>
    <w:rsid w:val="E1EF3FA9"/>
    <w:rsid w:val="E1F6086F"/>
    <w:rsid w:val="E1FB4BF4"/>
    <w:rsid w:val="E2B54B66"/>
    <w:rsid w:val="E2F7B6F8"/>
    <w:rsid w:val="E378CAA0"/>
    <w:rsid w:val="E3DE7B9E"/>
    <w:rsid w:val="E3ECE9E9"/>
    <w:rsid w:val="E3F42FF5"/>
    <w:rsid w:val="E3FEFED3"/>
    <w:rsid w:val="E59B4AA2"/>
    <w:rsid w:val="E5AF5393"/>
    <w:rsid w:val="E65BB23C"/>
    <w:rsid w:val="E6739E26"/>
    <w:rsid w:val="E683E1DA"/>
    <w:rsid w:val="E6BBB000"/>
    <w:rsid w:val="E6FF18E7"/>
    <w:rsid w:val="E7575EF4"/>
    <w:rsid w:val="E76B716E"/>
    <w:rsid w:val="E7BF58B4"/>
    <w:rsid w:val="E7C78785"/>
    <w:rsid w:val="E7CD84AD"/>
    <w:rsid w:val="E7CF49EB"/>
    <w:rsid w:val="E7EE3F41"/>
    <w:rsid w:val="E97B8337"/>
    <w:rsid w:val="E9BF8251"/>
    <w:rsid w:val="E9E6C8E6"/>
    <w:rsid w:val="E9F33AE2"/>
    <w:rsid w:val="E9FF3AE9"/>
    <w:rsid w:val="E9FF8F8E"/>
    <w:rsid w:val="EA2EABFF"/>
    <w:rsid w:val="EAFB5EF3"/>
    <w:rsid w:val="EAFD6A5C"/>
    <w:rsid w:val="EAFD8ED1"/>
    <w:rsid w:val="EB67E33D"/>
    <w:rsid w:val="EB7FB5E9"/>
    <w:rsid w:val="EBAAA46F"/>
    <w:rsid w:val="EBCA6ABC"/>
    <w:rsid w:val="EBEFCCF4"/>
    <w:rsid w:val="EBFECFD0"/>
    <w:rsid w:val="EC170225"/>
    <w:rsid w:val="EC3703E5"/>
    <w:rsid w:val="EC7F06E6"/>
    <w:rsid w:val="ECDB2F9D"/>
    <w:rsid w:val="ECFBF414"/>
    <w:rsid w:val="ED9F1120"/>
    <w:rsid w:val="EDA48E59"/>
    <w:rsid w:val="EDBB26E6"/>
    <w:rsid w:val="EDFFBE64"/>
    <w:rsid w:val="EE334C3B"/>
    <w:rsid w:val="EE737100"/>
    <w:rsid w:val="EECD8D04"/>
    <w:rsid w:val="EEEE479E"/>
    <w:rsid w:val="EF19BCB6"/>
    <w:rsid w:val="EF43D33A"/>
    <w:rsid w:val="EF581D76"/>
    <w:rsid w:val="EF5D03D8"/>
    <w:rsid w:val="EF5F1E29"/>
    <w:rsid w:val="EF65AAFF"/>
    <w:rsid w:val="EF67140B"/>
    <w:rsid w:val="EF75B6E2"/>
    <w:rsid w:val="EF7B40D2"/>
    <w:rsid w:val="EF7D1E3B"/>
    <w:rsid w:val="EF7F274D"/>
    <w:rsid w:val="EF7FBEDC"/>
    <w:rsid w:val="EF99A65D"/>
    <w:rsid w:val="EFBD925F"/>
    <w:rsid w:val="EFCE8065"/>
    <w:rsid w:val="EFDF27E0"/>
    <w:rsid w:val="EFDF9009"/>
    <w:rsid w:val="EFDFECEC"/>
    <w:rsid w:val="EFEBB4B0"/>
    <w:rsid w:val="EFEF4608"/>
    <w:rsid w:val="EFF4BAF1"/>
    <w:rsid w:val="EFF7781D"/>
    <w:rsid w:val="EFFF09DD"/>
    <w:rsid w:val="EFFF4C73"/>
    <w:rsid w:val="EFFF68D9"/>
    <w:rsid w:val="EFFF928B"/>
    <w:rsid w:val="EFFFB9B2"/>
    <w:rsid w:val="EFFFF477"/>
    <w:rsid w:val="F1676647"/>
    <w:rsid w:val="F1CA1966"/>
    <w:rsid w:val="F1DB436C"/>
    <w:rsid w:val="F27F57CB"/>
    <w:rsid w:val="F2FF7446"/>
    <w:rsid w:val="F35FDCC5"/>
    <w:rsid w:val="F37FE56A"/>
    <w:rsid w:val="F39BD98C"/>
    <w:rsid w:val="F3D0445B"/>
    <w:rsid w:val="F3EF724E"/>
    <w:rsid w:val="F3FF0AC4"/>
    <w:rsid w:val="F3FF9657"/>
    <w:rsid w:val="F47E3806"/>
    <w:rsid w:val="F53ED76E"/>
    <w:rsid w:val="F555928A"/>
    <w:rsid w:val="F5BFB1EF"/>
    <w:rsid w:val="F5DCC84C"/>
    <w:rsid w:val="F5DF0770"/>
    <w:rsid w:val="F5F573D8"/>
    <w:rsid w:val="F5FAAC4A"/>
    <w:rsid w:val="F61E2157"/>
    <w:rsid w:val="F69E119E"/>
    <w:rsid w:val="F6A5EEF8"/>
    <w:rsid w:val="F6A6238D"/>
    <w:rsid w:val="F6D5FEAF"/>
    <w:rsid w:val="F6EF1BC7"/>
    <w:rsid w:val="F6FB285E"/>
    <w:rsid w:val="F6FF5C26"/>
    <w:rsid w:val="F6FF8039"/>
    <w:rsid w:val="F6FFAE17"/>
    <w:rsid w:val="F76EAB9C"/>
    <w:rsid w:val="F77310DB"/>
    <w:rsid w:val="F777FEBD"/>
    <w:rsid w:val="F79527D8"/>
    <w:rsid w:val="F79F70F8"/>
    <w:rsid w:val="F7BD95B2"/>
    <w:rsid w:val="F7CD7F97"/>
    <w:rsid w:val="F7CFD476"/>
    <w:rsid w:val="F7D364C7"/>
    <w:rsid w:val="F7DD58B8"/>
    <w:rsid w:val="F7DF2A54"/>
    <w:rsid w:val="F7F35E3C"/>
    <w:rsid w:val="F7F5F826"/>
    <w:rsid w:val="F7F62D03"/>
    <w:rsid w:val="F7F71AF1"/>
    <w:rsid w:val="F7F772AC"/>
    <w:rsid w:val="F7F7F1DA"/>
    <w:rsid w:val="F7FBBD00"/>
    <w:rsid w:val="F7FC18D2"/>
    <w:rsid w:val="F7FC53FE"/>
    <w:rsid w:val="F7FD4CBF"/>
    <w:rsid w:val="F7FDB2D4"/>
    <w:rsid w:val="F7FDFE51"/>
    <w:rsid w:val="F7FF5A00"/>
    <w:rsid w:val="F7FF63AD"/>
    <w:rsid w:val="F7FFCF9E"/>
    <w:rsid w:val="F7FFE72B"/>
    <w:rsid w:val="F8B74D91"/>
    <w:rsid w:val="F8EB15E7"/>
    <w:rsid w:val="F8EF3295"/>
    <w:rsid w:val="F92F3B04"/>
    <w:rsid w:val="F96D3DE4"/>
    <w:rsid w:val="F97E05BD"/>
    <w:rsid w:val="F9BD6A12"/>
    <w:rsid w:val="F9BFAB36"/>
    <w:rsid w:val="F9C6B959"/>
    <w:rsid w:val="F9F54665"/>
    <w:rsid w:val="F9F78FFB"/>
    <w:rsid w:val="F9FDFE3B"/>
    <w:rsid w:val="FA7F3FA4"/>
    <w:rsid w:val="FAB5682B"/>
    <w:rsid w:val="FAD3D1BC"/>
    <w:rsid w:val="FAECEAEF"/>
    <w:rsid w:val="FAEE7E38"/>
    <w:rsid w:val="FB7B79B0"/>
    <w:rsid w:val="FB7B823E"/>
    <w:rsid w:val="FB7F792E"/>
    <w:rsid w:val="FB7FB349"/>
    <w:rsid w:val="FBB39FC4"/>
    <w:rsid w:val="FBBC16CE"/>
    <w:rsid w:val="FBC9E12A"/>
    <w:rsid w:val="FBCF50D8"/>
    <w:rsid w:val="FBDFBC84"/>
    <w:rsid w:val="FBEFF9FA"/>
    <w:rsid w:val="FBF61E32"/>
    <w:rsid w:val="FBF9D3DF"/>
    <w:rsid w:val="FBFACCE4"/>
    <w:rsid w:val="FBFB12A9"/>
    <w:rsid w:val="FBFB1614"/>
    <w:rsid w:val="FBFCD57B"/>
    <w:rsid w:val="FBFD7FB3"/>
    <w:rsid w:val="FC1F8BD3"/>
    <w:rsid w:val="FC3EE042"/>
    <w:rsid w:val="FC5FDFF7"/>
    <w:rsid w:val="FC7BB806"/>
    <w:rsid w:val="FC95F131"/>
    <w:rsid w:val="FC9A4C28"/>
    <w:rsid w:val="FCABE6B0"/>
    <w:rsid w:val="FCB7CA6B"/>
    <w:rsid w:val="FCBFB7D8"/>
    <w:rsid w:val="FCCFCF50"/>
    <w:rsid w:val="FCDF5253"/>
    <w:rsid w:val="FCEAF8D7"/>
    <w:rsid w:val="FCF1524B"/>
    <w:rsid w:val="FCFB9185"/>
    <w:rsid w:val="FD3D87ED"/>
    <w:rsid w:val="FD5CED57"/>
    <w:rsid w:val="FD7A37DA"/>
    <w:rsid w:val="FD7E3479"/>
    <w:rsid w:val="FD9B699D"/>
    <w:rsid w:val="FDBFB6F8"/>
    <w:rsid w:val="FDC6782E"/>
    <w:rsid w:val="FDDDC15A"/>
    <w:rsid w:val="FDE72520"/>
    <w:rsid w:val="FDE7A8D6"/>
    <w:rsid w:val="FDF72147"/>
    <w:rsid w:val="FDF9C701"/>
    <w:rsid w:val="FDFB3DDA"/>
    <w:rsid w:val="FDFCD50A"/>
    <w:rsid w:val="FDFD4BFB"/>
    <w:rsid w:val="FDFDCA6C"/>
    <w:rsid w:val="FDFEBC2C"/>
    <w:rsid w:val="FDFEC704"/>
    <w:rsid w:val="FDFF2B02"/>
    <w:rsid w:val="FDFF879E"/>
    <w:rsid w:val="FDFFB607"/>
    <w:rsid w:val="FDFFC6D9"/>
    <w:rsid w:val="FE372BF3"/>
    <w:rsid w:val="FE3D788A"/>
    <w:rsid w:val="FE4CB0D8"/>
    <w:rsid w:val="FE6BBF18"/>
    <w:rsid w:val="FE734873"/>
    <w:rsid w:val="FE753A1B"/>
    <w:rsid w:val="FE77F1D5"/>
    <w:rsid w:val="FE7AF9DA"/>
    <w:rsid w:val="FE7E3ED6"/>
    <w:rsid w:val="FE7F0208"/>
    <w:rsid w:val="FE7F8DB6"/>
    <w:rsid w:val="FEBAABDA"/>
    <w:rsid w:val="FEBF1039"/>
    <w:rsid w:val="FED32519"/>
    <w:rsid w:val="FED5161E"/>
    <w:rsid w:val="FED78795"/>
    <w:rsid w:val="FEE7671D"/>
    <w:rsid w:val="FEE9513E"/>
    <w:rsid w:val="FEEFE22C"/>
    <w:rsid w:val="FEFE1375"/>
    <w:rsid w:val="FEFF5916"/>
    <w:rsid w:val="FEFF9BCF"/>
    <w:rsid w:val="FF2E9F4F"/>
    <w:rsid w:val="FF3BC169"/>
    <w:rsid w:val="FF3F96DE"/>
    <w:rsid w:val="FF512815"/>
    <w:rsid w:val="FF58EE7E"/>
    <w:rsid w:val="FF592F5D"/>
    <w:rsid w:val="FF5DAB05"/>
    <w:rsid w:val="FF6538C0"/>
    <w:rsid w:val="FF68037B"/>
    <w:rsid w:val="FF6F1A59"/>
    <w:rsid w:val="FF6F7D8C"/>
    <w:rsid w:val="FF6FF7BE"/>
    <w:rsid w:val="FF73EAD1"/>
    <w:rsid w:val="FF77629A"/>
    <w:rsid w:val="FF7B2545"/>
    <w:rsid w:val="FF7B2FC7"/>
    <w:rsid w:val="FF7BD491"/>
    <w:rsid w:val="FF7BFB1F"/>
    <w:rsid w:val="FF7E1CEF"/>
    <w:rsid w:val="FF8D3226"/>
    <w:rsid w:val="FF970461"/>
    <w:rsid w:val="FF984AC9"/>
    <w:rsid w:val="FF9B0074"/>
    <w:rsid w:val="FFA6C934"/>
    <w:rsid w:val="FFAD20AA"/>
    <w:rsid w:val="FFB7FDCE"/>
    <w:rsid w:val="FFBA0B83"/>
    <w:rsid w:val="FFBD8EF2"/>
    <w:rsid w:val="FFBDC6A1"/>
    <w:rsid w:val="FFBDD25B"/>
    <w:rsid w:val="FFBDD7A5"/>
    <w:rsid w:val="FFBF841A"/>
    <w:rsid w:val="FFCD3B90"/>
    <w:rsid w:val="FFCD522D"/>
    <w:rsid w:val="FFD48AF3"/>
    <w:rsid w:val="FFD90AA7"/>
    <w:rsid w:val="FFDB5A2D"/>
    <w:rsid w:val="FFDC7BCD"/>
    <w:rsid w:val="FFDE37CC"/>
    <w:rsid w:val="FFDF8217"/>
    <w:rsid w:val="FFDF8554"/>
    <w:rsid w:val="FFE1258B"/>
    <w:rsid w:val="FFE6EB2A"/>
    <w:rsid w:val="FFEB127D"/>
    <w:rsid w:val="FFEC6DCB"/>
    <w:rsid w:val="FFED20DB"/>
    <w:rsid w:val="FFED666D"/>
    <w:rsid w:val="FFEF7A5B"/>
    <w:rsid w:val="FFEFB224"/>
    <w:rsid w:val="FFEFC4F8"/>
    <w:rsid w:val="FFF11871"/>
    <w:rsid w:val="FFF37D6E"/>
    <w:rsid w:val="FFF4EAEA"/>
    <w:rsid w:val="FFF57DE2"/>
    <w:rsid w:val="FFF5837C"/>
    <w:rsid w:val="FFF76882"/>
    <w:rsid w:val="FFF78790"/>
    <w:rsid w:val="FFF7A55B"/>
    <w:rsid w:val="FFFAE004"/>
    <w:rsid w:val="FFFC7EC1"/>
    <w:rsid w:val="FFFCE4B4"/>
    <w:rsid w:val="FFFD6BA0"/>
    <w:rsid w:val="FFFDB9A8"/>
    <w:rsid w:val="FFFDC037"/>
    <w:rsid w:val="FFFE0126"/>
    <w:rsid w:val="FFFEDDED"/>
    <w:rsid w:val="FFFF0870"/>
    <w:rsid w:val="FFFF5909"/>
    <w:rsid w:val="FFFF6B5D"/>
    <w:rsid w:val="FFFF6D26"/>
    <w:rsid w:val="FFFF7724"/>
    <w:rsid w:val="FFFFB6F2"/>
    <w:rsid w:val="FFFFB890"/>
    <w:rsid w:val="FFFFD57B"/>
    <w:rsid w:val="FFFFDDBC"/>
    <w:rsid w:val="FFFFE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qFormat="1" w:uiPriority="99" w:semiHidden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宋体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spacing w:line="600" w:lineRule="exact"/>
      <w:ind w:firstLine="640"/>
      <w:outlineLvl w:val="0"/>
    </w:pPr>
    <w:rPr>
      <w:rFonts w:ascii="黑体" w:hAnsi="黑体" w:eastAsia="黑体"/>
      <w:color w:val="000000"/>
      <w:kern w:val="0"/>
    </w:rPr>
  </w:style>
  <w:style w:type="paragraph" w:styleId="3">
    <w:name w:val="heading 2"/>
    <w:basedOn w:val="1"/>
    <w:next w:val="1"/>
    <w:link w:val="24"/>
    <w:unhideWhenUsed/>
    <w:qFormat/>
    <w:uiPriority w:val="99"/>
    <w:pPr>
      <w:keepNext/>
      <w:keepLines/>
      <w:spacing w:line="560" w:lineRule="exact"/>
      <w:ind w:firstLine="200" w:firstLineChars="200"/>
      <w:outlineLvl w:val="1"/>
    </w:pPr>
    <w:rPr>
      <w:rFonts w:eastAsia="楷体" w:cs="Times New Roman (标题 CS)"/>
      <w:bCs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annotation text"/>
    <w:basedOn w:val="1"/>
    <w:link w:val="28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before="0" w:after="140" w:line="276" w:lineRule="auto"/>
    </w:pPr>
  </w:style>
  <w:style w:type="paragraph" w:styleId="8">
    <w:name w:val="Body Text First Indent"/>
    <w:basedOn w:val="7"/>
    <w:qFormat/>
    <w:uiPriority w:val="0"/>
    <w:pPr>
      <w:ind w:firstLine="100" w:firstLineChars="100"/>
    </w:pPr>
  </w:style>
  <w:style w:type="paragraph" w:styleId="9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10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footnote text"/>
    <w:basedOn w:val="1"/>
    <w:link w:val="30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styleId="14">
    <w:name w:val="annotation subject"/>
    <w:basedOn w:val="6"/>
    <w:next w:val="6"/>
    <w:link w:val="29"/>
    <w:unhideWhenUsed/>
    <w:qFormat/>
    <w:uiPriority w:val="99"/>
    <w:rPr>
      <w:b/>
      <w:bCs/>
    </w:rPr>
  </w:style>
  <w:style w:type="character" w:styleId="17">
    <w:name w:val="page number"/>
    <w:basedOn w:val="16"/>
    <w:unhideWhenUsed/>
    <w:qFormat/>
    <w:uiPriority w:val="99"/>
  </w:style>
  <w:style w:type="character" w:styleId="18">
    <w:name w:val="Hyperlink"/>
    <w:basedOn w:val="16"/>
    <w:semiHidden/>
    <w:unhideWhenUsed/>
    <w:qFormat/>
    <w:uiPriority w:val="0"/>
    <w:rPr>
      <w:color w:val="0000FF"/>
      <w:u w:val="single"/>
    </w:rPr>
  </w:style>
  <w:style w:type="character" w:styleId="19">
    <w:name w:val="annotation reference"/>
    <w:unhideWhenUsed/>
    <w:qFormat/>
    <w:uiPriority w:val="99"/>
    <w:rPr>
      <w:sz w:val="21"/>
      <w:szCs w:val="21"/>
    </w:rPr>
  </w:style>
  <w:style w:type="character" w:styleId="20">
    <w:name w:val="footnote reference"/>
    <w:unhideWhenUsed/>
    <w:qFormat/>
    <w:uiPriority w:val="99"/>
    <w:rPr>
      <w:vertAlign w:val="superscript"/>
    </w:rPr>
  </w:style>
  <w:style w:type="paragraph" w:customStyle="1" w:styleId="21">
    <w:name w:val="修订1"/>
    <w:hidden/>
    <w:semiHidden/>
    <w:qFormat/>
    <w:uiPriority w:val="99"/>
    <w:rPr>
      <w:rFonts w:ascii="仿宋_GB2312" w:hAnsi="仿宋_GB2312" w:eastAsia="仿宋_GB2312" w:cs="宋体"/>
      <w:kern w:val="2"/>
      <w:sz w:val="32"/>
      <w:szCs w:val="32"/>
      <w:lang w:val="en-US" w:eastAsia="zh-CN" w:bidi="ar-SA"/>
    </w:rPr>
  </w:style>
  <w:style w:type="paragraph" w:customStyle="1" w:styleId="22">
    <w:name w:val="修订2"/>
    <w:hidden/>
    <w:semiHidden/>
    <w:qFormat/>
    <w:uiPriority w:val="99"/>
    <w:rPr>
      <w:rFonts w:ascii="仿宋_GB2312" w:hAnsi="仿宋_GB2312" w:eastAsia="仿宋_GB2312" w:cs="宋体"/>
      <w:kern w:val="2"/>
      <w:sz w:val="32"/>
      <w:szCs w:val="32"/>
      <w:lang w:val="en-US" w:eastAsia="zh-CN" w:bidi="ar-SA"/>
    </w:rPr>
  </w:style>
  <w:style w:type="character" w:customStyle="1" w:styleId="23">
    <w:name w:val="标题 1 字符"/>
    <w:link w:val="2"/>
    <w:qFormat/>
    <w:uiPriority w:val="9"/>
    <w:rPr>
      <w:rFonts w:ascii="黑体" w:hAnsi="黑体" w:eastAsia="黑体" w:cs="宋体"/>
      <w:color w:val="000000"/>
      <w:kern w:val="0"/>
    </w:rPr>
  </w:style>
  <w:style w:type="character" w:customStyle="1" w:styleId="24">
    <w:name w:val="标题 2 字符"/>
    <w:link w:val="3"/>
    <w:qFormat/>
    <w:uiPriority w:val="99"/>
    <w:rPr>
      <w:rFonts w:ascii="Times New Roman" w:hAnsi="Times New Roman" w:eastAsia="楷体" w:cs="Times New Roman (标题 CS)"/>
      <w:bCs/>
      <w:sz w:val="32"/>
      <w:szCs w:val="32"/>
    </w:rPr>
  </w:style>
  <w:style w:type="character" w:customStyle="1" w:styleId="25">
    <w:name w:val="标题 3 字符"/>
    <w:link w:val="4"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6">
    <w:name w:val="页眉 字符"/>
    <w:link w:val="11"/>
    <w:qFormat/>
    <w:uiPriority w:val="99"/>
    <w:rPr>
      <w:rFonts w:ascii="仿宋_GB2312" w:hAnsi="仿宋_GB2312" w:eastAsia="仿宋_GB2312" w:cs="宋体"/>
      <w:sz w:val="18"/>
      <w:szCs w:val="18"/>
    </w:rPr>
  </w:style>
  <w:style w:type="character" w:customStyle="1" w:styleId="27">
    <w:name w:val="页脚 字符"/>
    <w:link w:val="10"/>
    <w:qFormat/>
    <w:uiPriority w:val="99"/>
    <w:rPr>
      <w:rFonts w:ascii="仿宋_GB2312" w:hAnsi="仿宋_GB2312" w:eastAsia="仿宋_GB2312" w:cs="宋体"/>
      <w:sz w:val="18"/>
      <w:szCs w:val="18"/>
    </w:rPr>
  </w:style>
  <w:style w:type="character" w:customStyle="1" w:styleId="28">
    <w:name w:val="批注文字 字符"/>
    <w:link w:val="6"/>
    <w:semiHidden/>
    <w:qFormat/>
    <w:uiPriority w:val="99"/>
    <w:rPr>
      <w:rFonts w:ascii="仿宋_GB2312" w:hAnsi="仿宋_GB2312" w:eastAsia="仿宋_GB2312" w:cs="宋体"/>
      <w:sz w:val="32"/>
      <w:szCs w:val="32"/>
    </w:rPr>
  </w:style>
  <w:style w:type="character" w:customStyle="1" w:styleId="29">
    <w:name w:val="批注主题 字符"/>
    <w:link w:val="14"/>
    <w:semiHidden/>
    <w:qFormat/>
    <w:uiPriority w:val="99"/>
    <w:rPr>
      <w:rFonts w:ascii="仿宋_GB2312" w:hAnsi="仿宋_GB2312" w:eastAsia="仿宋_GB2312" w:cs="宋体"/>
      <w:b/>
      <w:bCs/>
      <w:sz w:val="32"/>
      <w:szCs w:val="32"/>
    </w:rPr>
  </w:style>
  <w:style w:type="character" w:customStyle="1" w:styleId="30">
    <w:name w:val="脚注文本 字符"/>
    <w:link w:val="12"/>
    <w:semiHidden/>
    <w:qFormat/>
    <w:uiPriority w:val="99"/>
    <w:rPr>
      <w:rFonts w:ascii="仿宋_GB2312" w:hAnsi="仿宋_GB2312" w:eastAsia="仿宋_GB2312" w:cs="宋体"/>
      <w:sz w:val="18"/>
      <w:szCs w:val="18"/>
    </w:rPr>
  </w:style>
  <w:style w:type="character" w:customStyle="1" w:styleId="31">
    <w:name w:val="15"/>
    <w:basedOn w:val="16"/>
    <w:qFormat/>
    <w:uiPriority w:val="0"/>
    <w:rPr>
      <w:rFonts w:hint="default" w:ascii="Times New Roman" w:hAnsi="Times New Roman" w:cs="Times New Roman"/>
    </w:rPr>
  </w:style>
  <w:style w:type="character" w:customStyle="1" w:styleId="32">
    <w:name w:val="10"/>
    <w:basedOn w:val="16"/>
    <w:qFormat/>
    <w:uiPriority w:val="0"/>
    <w:rPr>
      <w:rFonts w:hint="default" w:ascii="Times New Roman" w:hAnsi="Times New Roman" w:cs="Times New Roman"/>
    </w:rPr>
  </w:style>
  <w:style w:type="character" w:customStyle="1" w:styleId="33">
    <w:name w:val="fontstyle21"/>
    <w:basedOn w:val="16"/>
    <w:qFormat/>
    <w:uiPriority w:val="0"/>
    <w:rPr>
      <w:rFonts w:hint="eastAsia" w:ascii="仿宋_GB2312" w:eastAsia="仿宋_GB2312"/>
      <w:color w:val="00000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3336</Words>
  <Characters>3660</Characters>
  <Lines>1</Lines>
  <Paragraphs>1</Paragraphs>
  <TotalTime>25</TotalTime>
  <ScaleCrop>false</ScaleCrop>
  <LinksUpToDate>false</LinksUpToDate>
  <CharactersWithSpaces>3704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2023-06-01T06:48:00Z</dcterms:created>
  <dc:creator>bzdt</dc:creator>
  <cp:lastModifiedBy>智慧</cp:lastModifiedBy>
  <cp:lastPrinted>2025-05-22T10:34:00Z</cp:lastPrinted>
  <dcterms:modified xsi:type="dcterms:W3CDTF">2025-08-27T16:08:46Z</dcterms:modified>
  <dc:title>市委社会工委市民政局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2BFCE06C84954BA883E2AC5335F2AC73_13</vt:lpwstr>
  </property>
  <property fmtid="{D5CDD505-2E9C-101B-9397-08002B2CF9AE}" pid="4" name="KSOTemplateDocerSaveRecord">
    <vt:lpwstr>eyJoZGlkIjoiMWQ4MWFjZjAxZDdiZTk2MjQxODVlZTk2OWMzMzQ4OGEiLCJ1c2VySWQiOiIyNDYzOTAzMTIifQ==</vt:lpwstr>
  </property>
</Properties>
</file>