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highlight w:val="none"/>
          <w:lang w:val="en-US" w:eastAsia="zh-CN"/>
        </w:rPr>
      </w:pPr>
      <w:r>
        <w:rPr>
          <w:rFonts w:hint="eastAsia" w:ascii="黑体" w:hAnsi="黑体" w:eastAsia="黑体"/>
          <w:sz w:val="32"/>
          <w:szCs w:val="32"/>
          <w:highlight w:val="none"/>
        </w:rPr>
        <w:t>附件1</w:t>
      </w:r>
      <w:r>
        <w:rPr>
          <w:rFonts w:hint="eastAsia" w:ascii="黑体" w:hAnsi="黑体" w:eastAsia="黑体"/>
          <w:sz w:val="32"/>
          <w:szCs w:val="32"/>
          <w:highlight w:val="none"/>
          <w:lang w:val="en-US" w:eastAsia="zh-CN"/>
        </w:rPr>
        <w:t>-1</w:t>
      </w:r>
    </w:p>
    <w:p>
      <w:pPr>
        <w:spacing w:line="480" w:lineRule="exact"/>
        <w:jc w:val="center"/>
        <w:rPr>
          <w:rFonts w:hint="eastAsia" w:ascii="方正小标宋简体" w:hAnsi="黑体" w:eastAsia="方正小标宋简体"/>
          <w:sz w:val="36"/>
          <w:szCs w:val="36"/>
          <w:highlight w:val="none"/>
        </w:rPr>
      </w:pPr>
      <w:r>
        <w:rPr>
          <w:rFonts w:hint="eastAsia" w:ascii="方正小标宋简体" w:hAnsi="黑体" w:eastAsia="方正小标宋简体"/>
          <w:sz w:val="36"/>
          <w:szCs w:val="36"/>
          <w:highlight w:val="none"/>
        </w:rPr>
        <w:t>项目支出绩效自评表</w:t>
      </w:r>
    </w:p>
    <w:p>
      <w:pPr>
        <w:spacing w:line="480" w:lineRule="exact"/>
        <w:rPr>
          <w:rFonts w:ascii="仿宋_GB2312" w:hAnsi="宋体" w:eastAsia="仿宋_GB2312"/>
          <w:sz w:val="28"/>
          <w:szCs w:val="28"/>
          <w:highlight w:val="none"/>
        </w:rPr>
      </w:pPr>
      <w:r>
        <w:rPr>
          <w:rFonts w:hint="eastAsia" w:ascii="仿宋_GB2312" w:eastAsia="仿宋_GB2312"/>
          <w:sz w:val="28"/>
          <w:szCs w:val="28"/>
          <w:highlight w:val="none"/>
        </w:rPr>
        <w:t xml:space="preserve">                   </w:t>
      </w:r>
      <w:r>
        <w:rPr>
          <w:rFonts w:ascii="仿宋_GB2312" w:eastAsia="仿宋_GB2312"/>
          <w:sz w:val="28"/>
          <w:szCs w:val="28"/>
          <w:highlight w:val="none"/>
        </w:rPr>
        <w:t xml:space="preserve">  </w:t>
      </w:r>
      <w:r>
        <w:rPr>
          <w:rFonts w:hint="eastAsia" w:ascii="仿宋_GB2312" w:hAnsi="宋体" w:eastAsia="仿宋_GB2312"/>
          <w:sz w:val="28"/>
          <w:szCs w:val="28"/>
          <w:highlight w:val="none"/>
        </w:rPr>
        <w:t xml:space="preserve"> </w:t>
      </w:r>
      <w:r>
        <w:rPr>
          <w:rFonts w:ascii="仿宋_GB2312" w:hAnsi="宋体" w:eastAsia="仿宋_GB2312"/>
          <w:sz w:val="28"/>
          <w:szCs w:val="28"/>
          <w:highlight w:val="none"/>
        </w:rPr>
        <w:t xml:space="preserve"> </w:t>
      </w:r>
      <w:r>
        <w:rPr>
          <w:rFonts w:hint="eastAsia" w:ascii="仿宋_GB2312" w:hAnsi="宋体" w:eastAsia="仿宋_GB2312"/>
          <w:sz w:val="28"/>
          <w:szCs w:val="28"/>
          <w:highlight w:val="none"/>
        </w:rPr>
        <w:t xml:space="preserve">  （</w:t>
      </w:r>
      <w:r>
        <w:rPr>
          <w:rFonts w:hint="eastAsia" w:ascii="仿宋_GB2312" w:hAnsi="宋体" w:eastAsia="仿宋_GB2312"/>
          <w:sz w:val="28"/>
          <w:szCs w:val="28"/>
          <w:highlight w:val="none"/>
          <w:lang w:val="en-US" w:eastAsia="zh-CN"/>
        </w:rPr>
        <w:t>2024</w:t>
      </w:r>
      <w:r>
        <w:rPr>
          <w:rFonts w:hint="eastAsia" w:ascii="仿宋_GB2312" w:hAnsi="宋体" w:eastAsia="仿宋_GB2312"/>
          <w:sz w:val="28"/>
          <w:szCs w:val="28"/>
          <w:highlight w:val="none"/>
        </w:rPr>
        <w:t>年度）</w:t>
      </w:r>
    </w:p>
    <w:p>
      <w:pPr>
        <w:spacing w:line="240" w:lineRule="exact"/>
        <w:rPr>
          <w:rFonts w:hint="eastAsia" w:ascii="仿宋_GB2312" w:hAnsi="宋体" w:eastAsia="仿宋_GB2312"/>
          <w:sz w:val="30"/>
          <w:szCs w:val="30"/>
          <w:highlight w:val="none"/>
        </w:rPr>
      </w:pPr>
    </w:p>
    <w:tbl>
      <w:tblPr>
        <w:tblStyle w:val="3"/>
        <w:tblW w:w="9038" w:type="dxa"/>
        <w:jc w:val="center"/>
        <w:tblInd w:w="0" w:type="dxa"/>
        <w:tblLayout w:type="fixed"/>
        <w:tblCellMar>
          <w:top w:w="0" w:type="dxa"/>
          <w:left w:w="108" w:type="dxa"/>
          <w:bottom w:w="0" w:type="dxa"/>
          <w:right w:w="108" w:type="dxa"/>
        </w:tblCellMar>
      </w:tblPr>
      <w:tblGrid>
        <w:gridCol w:w="585"/>
        <w:gridCol w:w="975"/>
        <w:gridCol w:w="1105"/>
        <w:gridCol w:w="727"/>
        <w:gridCol w:w="1127"/>
        <w:gridCol w:w="1132"/>
        <w:gridCol w:w="848"/>
        <w:gridCol w:w="279"/>
        <w:gridCol w:w="284"/>
        <w:gridCol w:w="420"/>
        <w:gridCol w:w="500"/>
        <w:gridCol w:w="346"/>
        <w:gridCol w:w="710"/>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2024年家畜创新团队乳制品加工与品质提升</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主管部门</w:t>
            </w:r>
          </w:p>
        </w:tc>
        <w:tc>
          <w:tcPr>
            <w:tcW w:w="4091" w:type="dxa"/>
            <w:gridSpan w:val="4"/>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北京首农食品集团有限公司</w:t>
            </w:r>
          </w:p>
        </w:tc>
        <w:tc>
          <w:tcPr>
            <w:tcW w:w="1127"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15"/>
                <w:szCs w:val="15"/>
                <w:highlight w:val="none"/>
                <w:lang w:val="en-US" w:eastAsia="zh-CN"/>
              </w:rPr>
              <w:t>北京三元食品股份有限公司</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项目资金</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27"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年初预</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算数</w:t>
            </w:r>
          </w:p>
        </w:tc>
        <w:tc>
          <w:tcPr>
            <w:tcW w:w="113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全年预</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算数</w:t>
            </w:r>
          </w:p>
        </w:tc>
        <w:tc>
          <w:tcPr>
            <w:tcW w:w="1127"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全年</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执行数</w:t>
            </w:r>
          </w:p>
        </w:tc>
        <w:tc>
          <w:tcPr>
            <w:tcW w:w="70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执行率</w:t>
            </w:r>
          </w:p>
        </w:tc>
        <w:tc>
          <w:tcPr>
            <w:tcW w:w="71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得分</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年度资金总额</w:t>
            </w:r>
          </w:p>
        </w:tc>
        <w:tc>
          <w:tcPr>
            <w:tcW w:w="1127"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w:t>
            </w:r>
          </w:p>
        </w:tc>
        <w:tc>
          <w:tcPr>
            <w:tcW w:w="113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w:t>
            </w:r>
          </w:p>
        </w:tc>
        <w:tc>
          <w:tcPr>
            <w:tcW w:w="1127"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w:t>
            </w:r>
          </w:p>
        </w:tc>
        <w:tc>
          <w:tcPr>
            <w:tcW w:w="70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10</w:t>
            </w:r>
          </w:p>
        </w:tc>
        <w:tc>
          <w:tcPr>
            <w:tcW w:w="84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100%</w:t>
            </w:r>
          </w:p>
        </w:tc>
        <w:tc>
          <w:tcPr>
            <w:tcW w:w="71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其中：当年财政</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拨款</w:t>
            </w:r>
          </w:p>
        </w:tc>
        <w:tc>
          <w:tcPr>
            <w:tcW w:w="1127"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w:t>
            </w:r>
          </w:p>
        </w:tc>
        <w:tc>
          <w:tcPr>
            <w:tcW w:w="113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w:t>
            </w:r>
          </w:p>
        </w:tc>
        <w:tc>
          <w:tcPr>
            <w:tcW w:w="1127"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w:t>
            </w:r>
          </w:p>
        </w:tc>
        <w:tc>
          <w:tcPr>
            <w:tcW w:w="70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100%</w:t>
            </w:r>
          </w:p>
        </w:tc>
        <w:tc>
          <w:tcPr>
            <w:tcW w:w="71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xml:space="preserve">      上年结转资金</w:t>
            </w:r>
          </w:p>
        </w:tc>
        <w:tc>
          <w:tcPr>
            <w:tcW w:w="1127"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0.00</w:t>
            </w:r>
          </w:p>
        </w:tc>
        <w:tc>
          <w:tcPr>
            <w:tcW w:w="113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0.00</w:t>
            </w:r>
          </w:p>
        </w:tc>
        <w:tc>
          <w:tcPr>
            <w:tcW w:w="1127"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0.00</w:t>
            </w:r>
          </w:p>
        </w:tc>
        <w:tc>
          <w:tcPr>
            <w:tcW w:w="70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100%</w:t>
            </w:r>
          </w:p>
        </w:tc>
        <w:tc>
          <w:tcPr>
            <w:tcW w:w="71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xml:space="preserve">  其他资金</w:t>
            </w:r>
          </w:p>
        </w:tc>
        <w:tc>
          <w:tcPr>
            <w:tcW w:w="1127"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0.00</w:t>
            </w:r>
          </w:p>
        </w:tc>
        <w:tc>
          <w:tcPr>
            <w:tcW w:w="113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0.00</w:t>
            </w:r>
          </w:p>
        </w:tc>
        <w:tc>
          <w:tcPr>
            <w:tcW w:w="1127"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0.00</w:t>
            </w:r>
          </w:p>
        </w:tc>
        <w:tc>
          <w:tcPr>
            <w:tcW w:w="704"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100%</w:t>
            </w:r>
          </w:p>
        </w:tc>
        <w:tc>
          <w:tcPr>
            <w:tcW w:w="71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年度总体目标</w:t>
            </w:r>
          </w:p>
        </w:tc>
        <w:tc>
          <w:tcPr>
            <w:tcW w:w="5066" w:type="dxa"/>
            <w:gridSpan w:val="5"/>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实际完成情况</w:t>
            </w:r>
          </w:p>
        </w:tc>
      </w:tr>
      <w:tr>
        <w:tblPrEx>
          <w:tblLayout w:type="fixed"/>
          <w:tblCellMar>
            <w:top w:w="0" w:type="dxa"/>
            <w:left w:w="108" w:type="dxa"/>
            <w:bottom w:w="0" w:type="dxa"/>
            <w:right w:w="108" w:type="dxa"/>
          </w:tblCellMar>
        </w:tblPrEx>
        <w:trPr>
          <w:trHeight w:val="4870"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66" w:type="dxa"/>
            <w:gridSpan w:val="5"/>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rPr>
              <w:t>目标1：开展功能益生菌筛选及特性研究及新产品创制</w:t>
            </w:r>
            <w:r>
              <w:rPr>
                <w:rFonts w:hint="eastAsia" w:ascii="仿宋_GB2312" w:hAnsi="宋体" w:eastAsia="仿宋_GB2312" w:cs="宋体"/>
                <w:kern w:val="0"/>
                <w:szCs w:val="21"/>
                <w:highlight w:val="none"/>
                <w:lang w:eastAsia="zh-CN"/>
              </w:rPr>
              <w:t>；</w:t>
            </w:r>
            <w:r>
              <w:rPr>
                <w:rFonts w:hint="eastAsia" w:ascii="仿宋_GB2312" w:hAnsi="宋体" w:eastAsia="仿宋_GB2312" w:cs="宋体"/>
                <w:kern w:val="0"/>
                <w:szCs w:val="21"/>
                <w:highlight w:val="none"/>
              </w:rPr>
              <w:t>筛选乳酸菌菌株5-10株</w:t>
            </w:r>
            <w:r>
              <w:rPr>
                <w:rFonts w:hint="eastAsia" w:ascii="仿宋_GB2312" w:hAnsi="宋体" w:eastAsia="仿宋_GB2312" w:cs="宋体"/>
                <w:kern w:val="0"/>
                <w:szCs w:val="21"/>
                <w:highlight w:val="none"/>
                <w:lang w:eastAsia="zh-CN"/>
              </w:rPr>
              <w:t>；</w:t>
            </w:r>
          </w:p>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rPr>
              <w:t>目标</w:t>
            </w:r>
            <w:r>
              <w:rPr>
                <w:rFonts w:hint="eastAsia" w:ascii="仿宋_GB2312" w:hAnsi="宋体" w:eastAsia="仿宋_GB2312" w:cs="宋体"/>
                <w:kern w:val="0"/>
                <w:szCs w:val="21"/>
                <w:highlight w:val="none"/>
                <w:lang w:val="en-US" w:eastAsia="zh-CN"/>
              </w:rPr>
              <w:t>2</w:t>
            </w: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基于乳品安全风险管控，</w:t>
            </w:r>
            <w:r>
              <w:rPr>
                <w:rFonts w:hint="eastAsia" w:ascii="仿宋_GB2312" w:hAnsi="宋体" w:eastAsia="仿宋_GB2312" w:cs="宋体"/>
                <w:kern w:val="0"/>
                <w:szCs w:val="21"/>
                <w:highlight w:val="none"/>
              </w:rPr>
              <w:t>建立</w:t>
            </w:r>
            <w:r>
              <w:rPr>
                <w:rFonts w:hint="eastAsia" w:ascii="仿宋_GB2312" w:hAnsi="宋体" w:eastAsia="仿宋_GB2312" w:cs="宋体"/>
                <w:kern w:val="0"/>
                <w:szCs w:val="21"/>
                <w:highlight w:val="none"/>
                <w:lang w:val="en-US" w:eastAsia="zh-CN"/>
              </w:rPr>
              <w:t>风险审核系统</w:t>
            </w:r>
            <w:r>
              <w:rPr>
                <w:rFonts w:hint="eastAsia" w:ascii="仿宋_GB2312" w:hAnsi="宋体" w:eastAsia="仿宋_GB2312" w:cs="宋体"/>
                <w:kern w:val="0"/>
                <w:szCs w:val="21"/>
                <w:highlight w:val="none"/>
              </w:rPr>
              <w:t>1套</w:t>
            </w:r>
            <w:r>
              <w:rPr>
                <w:rFonts w:hint="eastAsia" w:ascii="仿宋_GB2312" w:hAnsi="宋体" w:eastAsia="仿宋_GB2312" w:cs="宋体"/>
                <w:kern w:val="0"/>
                <w:szCs w:val="21"/>
                <w:highlight w:val="none"/>
                <w:lang w:eastAsia="zh-CN"/>
              </w:rPr>
              <w:t>；</w:t>
            </w:r>
          </w:p>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rPr>
              <w:t>目标</w:t>
            </w:r>
            <w:r>
              <w:rPr>
                <w:rFonts w:hint="eastAsia" w:ascii="仿宋_GB2312" w:hAnsi="宋体" w:eastAsia="仿宋_GB2312" w:cs="宋体"/>
                <w:kern w:val="0"/>
                <w:szCs w:val="21"/>
                <w:highlight w:val="none"/>
                <w:lang w:val="en-US" w:eastAsia="zh-CN"/>
              </w:rPr>
              <w:t>3</w:t>
            </w: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建立活性酶及风险因子检测技术1-2套；</w:t>
            </w:r>
          </w:p>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目标4：</w:t>
            </w:r>
            <w:r>
              <w:rPr>
                <w:rFonts w:hint="eastAsia" w:ascii="仿宋_GB2312" w:hAnsi="宋体" w:eastAsia="仿宋_GB2312" w:cs="宋体"/>
                <w:kern w:val="0"/>
                <w:szCs w:val="21"/>
                <w:highlight w:val="none"/>
              </w:rPr>
              <w:t>开发新型乳制品1个；</w:t>
            </w:r>
          </w:p>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bCs/>
                <w:kern w:val="44"/>
                <w:szCs w:val="21"/>
                <w:highlight w:val="none"/>
              </w:rPr>
            </w:pPr>
            <w:r>
              <w:rPr>
                <w:rFonts w:hint="eastAsia" w:ascii="仿宋_GB2312" w:hAnsi="宋体" w:eastAsia="仿宋_GB2312" w:cs="宋体"/>
                <w:kern w:val="0"/>
                <w:szCs w:val="21"/>
                <w:highlight w:val="none"/>
              </w:rPr>
              <w:t>目标5：申请专利1-2项，发表论文1-3篇；报送信息3-10次。</w:t>
            </w:r>
          </w:p>
        </w:tc>
        <w:tc>
          <w:tcPr>
            <w:tcW w:w="3387" w:type="dxa"/>
            <w:gridSpan w:val="7"/>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lang w:val="en-US" w:eastAsia="zh-CN"/>
              </w:rPr>
              <w:t>1.完成了发酵食品和健康母乳样本中的益生菌的分离鉴定，筛选出乳酸菌菌株10株；2.建立了</w:t>
            </w:r>
            <w:bookmarkStart w:id="0" w:name="_Hlk186882528"/>
            <w:r>
              <w:rPr>
                <w:rFonts w:hint="eastAsia" w:ascii="仿宋_GB2312" w:hAnsi="宋体" w:eastAsia="仿宋_GB2312" w:cs="宋体"/>
                <w:kern w:val="0"/>
                <w:szCs w:val="21"/>
                <w:highlight w:val="none"/>
                <w:lang w:val="en-US" w:eastAsia="zh-CN"/>
              </w:rPr>
              <w:t>乳品安全风险审核系统</w:t>
            </w:r>
            <w:bookmarkEnd w:id="0"/>
            <w:r>
              <w:rPr>
                <w:rFonts w:hint="eastAsia" w:ascii="仿宋_GB2312" w:hAnsi="宋体" w:eastAsia="仿宋_GB2312" w:cs="宋体"/>
                <w:kern w:val="0"/>
                <w:szCs w:val="21"/>
                <w:highlight w:val="none"/>
                <w:lang w:val="en-US" w:eastAsia="zh-CN"/>
              </w:rPr>
              <w:t>1套；开发了乳中活性酶营养物质及氯丙醇单酯类风险因子的快速检测方法2种；3.产业化开发“南瓜味牛奶”“芋你鲜活香芋厚乳”“莓天鲜活甜心双莓”新产品</w:t>
            </w:r>
            <w:r>
              <w:rPr>
                <w:rFonts w:hint="default" w:ascii="仿宋_GB2312" w:hAnsi="宋体" w:eastAsia="仿宋_GB2312" w:cs="宋体"/>
                <w:kern w:val="0"/>
                <w:szCs w:val="21"/>
                <w:highlight w:val="none"/>
                <w:lang w:val="en-US" w:eastAsia="zh-CN"/>
              </w:rPr>
              <w:t>3</w:t>
            </w:r>
            <w:r>
              <w:rPr>
                <w:rFonts w:hint="eastAsia" w:ascii="仿宋_GB2312" w:hAnsi="宋体" w:eastAsia="仿宋_GB2312" w:cs="宋体"/>
                <w:kern w:val="0"/>
                <w:szCs w:val="21"/>
                <w:highlight w:val="none"/>
                <w:lang w:val="en-US" w:eastAsia="zh-CN"/>
              </w:rPr>
              <w:t>个；4.申请专利5项，授权3项，发表论文2篇；5.报送信息6次。</w:t>
            </w:r>
          </w:p>
        </w:tc>
      </w:tr>
      <w:tr>
        <w:tblPrEx>
          <w:tblLayout w:type="fixed"/>
          <w:tblCellMar>
            <w:top w:w="0" w:type="dxa"/>
            <w:left w:w="108" w:type="dxa"/>
            <w:bottom w:w="0" w:type="dxa"/>
            <w:right w:w="108" w:type="dxa"/>
          </w:tblCellMar>
        </w:tblPrEx>
        <w:trPr>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绩</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效</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指</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标</w:t>
            </w:r>
          </w:p>
        </w:tc>
        <w:tc>
          <w:tcPr>
            <w:tcW w:w="9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一级指标</w:t>
            </w:r>
          </w:p>
        </w:tc>
        <w:tc>
          <w:tcPr>
            <w:tcW w:w="110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二级指标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三级指标</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指标值</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实际</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分值</w:t>
            </w:r>
          </w:p>
        </w:tc>
        <w:tc>
          <w:tcPr>
            <w:tcW w:w="920"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rPr>
              <w:t>得分</w:t>
            </w:r>
            <w:r>
              <w:rPr>
                <w:rFonts w:hint="eastAsia" w:ascii="仿宋_GB2312" w:hAnsi="宋体" w:eastAsia="仿宋_GB2312" w:cs="宋体"/>
                <w:kern w:val="0"/>
                <w:sz w:val="21"/>
                <w:szCs w:val="21"/>
                <w:highlight w:val="none"/>
                <w:lang w:eastAsia="zh-CN"/>
              </w:rPr>
              <w:t>（</w:t>
            </w:r>
            <w:r>
              <w:rPr>
                <w:rFonts w:hint="eastAsia" w:ascii="仿宋_GB2312" w:hAnsi="宋体" w:eastAsia="仿宋_GB2312" w:cs="宋体"/>
                <w:kern w:val="0"/>
                <w:sz w:val="21"/>
                <w:szCs w:val="21"/>
                <w:highlight w:val="none"/>
                <w:lang w:val="en-US" w:eastAsia="zh-CN"/>
              </w:rPr>
              <w:t>单位上级</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偏差原因分析及改进</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措施</w:t>
            </w:r>
          </w:p>
        </w:tc>
      </w:tr>
      <w:tr>
        <w:tblPrEx>
          <w:tblLayout w:type="fixed"/>
          <w:tblCellMar>
            <w:top w:w="0" w:type="dxa"/>
            <w:left w:w="108" w:type="dxa"/>
            <w:bottom w:w="0" w:type="dxa"/>
            <w:right w:w="108" w:type="dxa"/>
          </w:tblCellMar>
        </w:tblPrEx>
        <w:trPr>
          <w:trHeight w:val="4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数量指标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指标1：专利局受理</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1-2</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5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指标2：文章期刊录用</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r>
              <w:rPr>
                <w:rFonts w:hint="default" w:ascii="仿宋_GB2312" w:hAnsi="宋体" w:eastAsia="仿宋_GB2312" w:cs="宋体"/>
                <w:kern w:val="0"/>
                <w:szCs w:val="21"/>
                <w:highlight w:val="none"/>
              </w:rPr>
              <w:t>-3</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63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质量指标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指标1：检测方法国际同类水平</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default" w:ascii="仿宋_GB2312" w:hAnsi="宋体" w:eastAsia="仿宋_GB2312" w:cs="宋体"/>
                <w:kern w:val="0"/>
                <w:szCs w:val="21"/>
                <w:highlight w:val="none"/>
              </w:rPr>
              <w:t>1-3</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default" w:ascii="仿宋_GB2312" w:hAnsi="宋体" w:eastAsia="仿宋_GB2312" w:cs="宋体"/>
                <w:kern w:val="0"/>
                <w:szCs w:val="21"/>
                <w:highlight w:val="none"/>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default" w:ascii="仿宋_GB2312" w:hAnsi="宋体" w:eastAsia="仿宋_GB2312" w:cs="宋体"/>
                <w:kern w:val="0"/>
                <w:szCs w:val="21"/>
                <w:highlight w:val="none"/>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7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指标2：</w:t>
            </w:r>
            <w:r>
              <w:rPr>
                <w:rFonts w:hint="eastAsia" w:ascii="仿宋_GB2312" w:hAnsi="宋体" w:eastAsia="仿宋_GB2312" w:cs="宋体"/>
                <w:color w:val="000000"/>
                <w:kern w:val="0"/>
                <w:szCs w:val="21"/>
                <w:highlight w:val="none"/>
                <w:lang w:val="en-US" w:eastAsia="zh-CN"/>
              </w:rPr>
              <w:t>建立风险因子检测技术</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color w:val="000000"/>
                <w:kern w:val="0"/>
                <w:szCs w:val="21"/>
                <w:highlight w:val="none"/>
                <w:lang w:val="en-US" w:eastAsia="zh-CN"/>
              </w:rPr>
              <w:t>1-2</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时效指标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指标1：年度计划</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指标2：月度计划</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r>
              <w:rPr>
                <w:rFonts w:hint="default" w:ascii="仿宋_GB2312" w:hAnsi="宋体" w:eastAsia="仿宋_GB2312" w:cs="宋体"/>
                <w:kern w:val="0"/>
                <w:szCs w:val="21"/>
                <w:highlight w:val="none"/>
              </w:rPr>
              <w:t>2</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9</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指标3：信息报送</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3-10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Cs w:val="21"/>
                <w:highlight w:val="none"/>
                <w:lang w:val="en-US" w:eastAsia="zh-CN"/>
              </w:rPr>
              <w:t>6</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成本指标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指标1：新产品</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指标2：新技术</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r>
              <w:rPr>
                <w:rFonts w:hint="default" w:ascii="仿宋_GB2312" w:hAnsi="宋体" w:eastAsia="仿宋_GB2312" w:cs="宋体"/>
                <w:kern w:val="0"/>
                <w:szCs w:val="21"/>
                <w:highlight w:val="none"/>
              </w:rPr>
              <w:t>-3</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经济效益</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指标1：新型乳制品经济效益</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bookmarkStart w:id="1" w:name="_GoBack"/>
            <w:bookmarkEnd w:id="1"/>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4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社会效益</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指标1：增加功能产品</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51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指标2：提高产品管控水平</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r>
              <w:rPr>
                <w:rFonts w:hint="default" w:ascii="仿宋_GB2312" w:hAnsi="宋体" w:eastAsia="仿宋_GB2312" w:cs="宋体"/>
                <w:kern w:val="0"/>
                <w:szCs w:val="21"/>
                <w:highlight w:val="none"/>
              </w:rPr>
              <w:t>0</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r>
              <w:rPr>
                <w:rFonts w:hint="default" w:ascii="仿宋_GB2312" w:hAnsi="宋体" w:eastAsia="仿宋_GB2312" w:cs="宋体"/>
                <w:kern w:val="0"/>
                <w:szCs w:val="21"/>
                <w:highlight w:val="none"/>
              </w:rPr>
              <w:t>0</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51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生态效益</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指标1：新型检测技术的开发使用</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58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可持续影响指标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指标1：助推“健康中国”战略</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66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满意度</w:t>
            </w:r>
          </w:p>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服务对象满意度标</w:t>
            </w:r>
          </w:p>
        </w:tc>
        <w:tc>
          <w:tcPr>
            <w:tcW w:w="1854"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Cs w:val="21"/>
                <w:highlight w:val="none"/>
              </w:rPr>
              <w:t>指标1：技术掌握程度</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default" w:ascii="仿宋_GB2312" w:hAnsi="宋体" w:eastAsia="仿宋_GB2312" w:cs="宋体"/>
                <w:kern w:val="0"/>
                <w:szCs w:val="21"/>
                <w:highlight w:val="none"/>
              </w:rPr>
              <w:t>1</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default" w:ascii="仿宋_GB2312" w:hAnsi="宋体" w:eastAsia="仿宋_GB2312" w:cs="宋体"/>
                <w:kern w:val="0"/>
                <w:szCs w:val="21"/>
                <w:highlight w:val="none"/>
              </w:rPr>
              <w:t>1</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r>
              <w:rPr>
                <w:rFonts w:hint="default" w:ascii="仿宋_GB2312" w:hAnsi="宋体" w:eastAsia="仿宋_GB2312" w:cs="宋体"/>
                <w:kern w:val="0"/>
                <w:szCs w:val="21"/>
                <w:highlight w:val="none"/>
              </w:rPr>
              <w:t>0</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Cs w:val="21"/>
                <w:highlight w:val="none"/>
              </w:rPr>
              <w:t>1</w:t>
            </w:r>
            <w:r>
              <w:rPr>
                <w:rFonts w:hint="default" w:ascii="仿宋_GB2312" w:hAnsi="宋体" w:eastAsia="仿宋_GB2312" w:cs="宋体"/>
                <w:kern w:val="0"/>
                <w:szCs w:val="21"/>
                <w:highlight w:val="none"/>
              </w:rPr>
              <w:t>0</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100</w:t>
            </w:r>
          </w:p>
        </w:tc>
        <w:tc>
          <w:tcPr>
            <w:tcW w:w="4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color w:val="000000"/>
                <w:kern w:val="0"/>
                <w:sz w:val="21"/>
                <w:szCs w:val="21"/>
                <w:highlight w:val="none"/>
              </w:rPr>
            </w:pPr>
          </w:p>
        </w:tc>
        <w:tc>
          <w:tcPr>
            <w:tcW w:w="5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100</w:t>
            </w:r>
          </w:p>
        </w:tc>
        <w:tc>
          <w:tcPr>
            <w:tcW w:w="10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宋体" w:eastAsia="仿宋_GB2312" w:cs="宋体"/>
                <w:kern w:val="0"/>
                <w:sz w:val="21"/>
                <w:szCs w:val="21"/>
                <w:highlight w:val="none"/>
              </w:rPr>
            </w:pPr>
          </w:p>
        </w:tc>
      </w:tr>
    </w:tbl>
    <w:p>
      <w:pPr>
        <w:rPr>
          <w:rFonts w:hint="eastAsia" w:ascii="仿宋_GB2312" w:eastAsia="仿宋_GB2312"/>
          <w:vanish/>
          <w:sz w:val="32"/>
          <w:szCs w:val="32"/>
          <w:highlight w:val="none"/>
        </w:rPr>
      </w:pPr>
    </w:p>
    <w:p>
      <w:pPr>
        <w:widowControl/>
        <w:jc w:val="left"/>
        <w:rPr>
          <w:rFonts w:ascii="仿宋_GB2312" w:hAnsi="宋体" w:eastAsia="仿宋_GB2312" w:cs="宋体"/>
          <w:color w:val="000000"/>
          <w:kern w:val="0"/>
          <w:sz w:val="32"/>
          <w:szCs w:val="32"/>
          <w:highlight w:val="none"/>
        </w:rPr>
      </w:pPr>
    </w:p>
    <w:p>
      <w:pPr>
        <w:widowControl/>
        <w:spacing w:line="520" w:lineRule="exact"/>
        <w:jc w:val="left"/>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3.请在“偏差原因分析及改进措施”中说明偏离目标、不能完成目标的原因及拟采取的措施。</w:t>
      </w:r>
    </w:p>
    <w:p>
      <w:pPr>
        <w:spacing w:line="520" w:lineRule="exact"/>
        <w:ind w:firstLine="640" w:firstLineChars="200"/>
        <w:rPr>
          <w:rFonts w:hint="eastAsia" w:ascii="仿宋_GB2312" w:eastAsia="仿宋_GB2312"/>
          <w:sz w:val="32"/>
          <w:szCs w:val="32"/>
          <w:highlight w:val="none"/>
        </w:rPr>
        <w:sectPr>
          <w:footerReference r:id="rId3" w:type="default"/>
          <w:footerReference r:id="rId4" w:type="even"/>
          <w:pgSz w:w="11906" w:h="16838"/>
          <w:pgMar w:top="1871" w:right="1474" w:bottom="1418" w:left="1531" w:header="851" w:footer="992" w:gutter="0"/>
          <w:pgNumType w:fmt="numberInDash"/>
          <w:cols w:space="720" w:num="1"/>
          <w:docGrid w:type="lines" w:linePitch="312" w:charSpace="0"/>
        </w:sectPr>
      </w:pPr>
      <w:r>
        <w:rPr>
          <w:rFonts w:hint="eastAsia" w:ascii="仿宋_GB2312" w:hAnsi="宋体" w:eastAsia="仿宋_GB2312" w:cs="宋体"/>
          <w:color w:val="000000"/>
          <w:kern w:val="0"/>
          <w:sz w:val="32"/>
          <w:szCs w:val="32"/>
          <w:highlight w:val="none"/>
        </w:rPr>
        <w:t>4.90（含）-100分为优、80（含）-90分为良、60（含）-80分为中、60分以下为差。</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ZGQ5ZWQ1MmJhMGZkNmYwMjg3MjM4MGI4MGE3YjQifQ=="/>
  </w:docVars>
  <w:rsids>
    <w:rsidRoot w:val="4D5170EA"/>
    <w:rsid w:val="01A05A54"/>
    <w:rsid w:val="03D65FB8"/>
    <w:rsid w:val="04AB541D"/>
    <w:rsid w:val="05C07B0D"/>
    <w:rsid w:val="066D46AC"/>
    <w:rsid w:val="07342CE1"/>
    <w:rsid w:val="08601134"/>
    <w:rsid w:val="08707F57"/>
    <w:rsid w:val="09831C3A"/>
    <w:rsid w:val="09D9119E"/>
    <w:rsid w:val="0A377A8F"/>
    <w:rsid w:val="0BA6369A"/>
    <w:rsid w:val="0FD91EF8"/>
    <w:rsid w:val="104E467D"/>
    <w:rsid w:val="10973B61"/>
    <w:rsid w:val="10B1077E"/>
    <w:rsid w:val="11335637"/>
    <w:rsid w:val="11E132E5"/>
    <w:rsid w:val="14E70064"/>
    <w:rsid w:val="14EB6229"/>
    <w:rsid w:val="15D57A0A"/>
    <w:rsid w:val="176448E6"/>
    <w:rsid w:val="19E22AC8"/>
    <w:rsid w:val="1A096F8D"/>
    <w:rsid w:val="1AF37BE5"/>
    <w:rsid w:val="1B99555B"/>
    <w:rsid w:val="1D014069"/>
    <w:rsid w:val="1E3D18A3"/>
    <w:rsid w:val="1EBF675C"/>
    <w:rsid w:val="1F69737C"/>
    <w:rsid w:val="21635AC5"/>
    <w:rsid w:val="21C24573"/>
    <w:rsid w:val="22A2261D"/>
    <w:rsid w:val="239F090A"/>
    <w:rsid w:val="241C01AD"/>
    <w:rsid w:val="27ED6329"/>
    <w:rsid w:val="29332221"/>
    <w:rsid w:val="298D79EA"/>
    <w:rsid w:val="2A5A1A2F"/>
    <w:rsid w:val="2D281971"/>
    <w:rsid w:val="2D326CFE"/>
    <w:rsid w:val="2DD85145"/>
    <w:rsid w:val="2F51601C"/>
    <w:rsid w:val="2F7E7F6E"/>
    <w:rsid w:val="2F885B87"/>
    <w:rsid w:val="30B432F6"/>
    <w:rsid w:val="32326DEE"/>
    <w:rsid w:val="323B1394"/>
    <w:rsid w:val="33D15AAA"/>
    <w:rsid w:val="347D3165"/>
    <w:rsid w:val="369F2964"/>
    <w:rsid w:val="37704640"/>
    <w:rsid w:val="38E46F81"/>
    <w:rsid w:val="40D75730"/>
    <w:rsid w:val="45EA1A61"/>
    <w:rsid w:val="45FD3F88"/>
    <w:rsid w:val="47462CC7"/>
    <w:rsid w:val="47591123"/>
    <w:rsid w:val="478F28C0"/>
    <w:rsid w:val="484102A9"/>
    <w:rsid w:val="48561630"/>
    <w:rsid w:val="48A979B2"/>
    <w:rsid w:val="4B80034F"/>
    <w:rsid w:val="4CE52F83"/>
    <w:rsid w:val="4D5170EA"/>
    <w:rsid w:val="4F3E20C8"/>
    <w:rsid w:val="500D4CCA"/>
    <w:rsid w:val="502F4C40"/>
    <w:rsid w:val="50610B72"/>
    <w:rsid w:val="51695F30"/>
    <w:rsid w:val="51A258E6"/>
    <w:rsid w:val="52402EFD"/>
    <w:rsid w:val="5248023B"/>
    <w:rsid w:val="525C5A95"/>
    <w:rsid w:val="52BC2005"/>
    <w:rsid w:val="54DB5397"/>
    <w:rsid w:val="55D83684"/>
    <w:rsid w:val="57671164"/>
    <w:rsid w:val="57D043DA"/>
    <w:rsid w:val="57D91936"/>
    <w:rsid w:val="58105E4E"/>
    <w:rsid w:val="5A3A6C18"/>
    <w:rsid w:val="5B2A2BD4"/>
    <w:rsid w:val="5C4556FB"/>
    <w:rsid w:val="5D6758EC"/>
    <w:rsid w:val="5D6F2B20"/>
    <w:rsid w:val="5DC64CF4"/>
    <w:rsid w:val="60DB671F"/>
    <w:rsid w:val="6155202D"/>
    <w:rsid w:val="63CE60C7"/>
    <w:rsid w:val="64B81251"/>
    <w:rsid w:val="666F1DE3"/>
    <w:rsid w:val="66A6071D"/>
    <w:rsid w:val="66E37699"/>
    <w:rsid w:val="676500DB"/>
    <w:rsid w:val="6ACB7DAA"/>
    <w:rsid w:val="6BF1329A"/>
    <w:rsid w:val="6EDF387E"/>
    <w:rsid w:val="6EE40E94"/>
    <w:rsid w:val="6F3B619F"/>
    <w:rsid w:val="6FBF0F06"/>
    <w:rsid w:val="6FC30AAA"/>
    <w:rsid w:val="71C034F3"/>
    <w:rsid w:val="730438B3"/>
    <w:rsid w:val="74C27582"/>
    <w:rsid w:val="784D7AAA"/>
    <w:rsid w:val="7A460C55"/>
    <w:rsid w:val="7D01023B"/>
    <w:rsid w:val="7D5A0C9F"/>
    <w:rsid w:val="7FA426A6"/>
    <w:rsid w:val="7FDA7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1091</Words>
  <Characters>1269</Characters>
  <Lines>0</Lines>
  <Paragraphs>0</Paragraphs>
  <TotalTime>200</TotalTime>
  <ScaleCrop>false</ScaleCrop>
  <LinksUpToDate>false</LinksUpToDate>
  <CharactersWithSpaces>1306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朱晏如</cp:lastModifiedBy>
  <dcterms:modified xsi:type="dcterms:W3CDTF">2025-08-26T09:45:48Z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19FC2FBE7BFA49A69284A5F9358593D7_12</vt:lpwstr>
  </property>
  <property fmtid="{D5CDD505-2E9C-101B-9397-08002B2CF9AE}" pid="4" name="KSOTemplateDocerSaveRecord">
    <vt:lpwstr>eyJoZGlkIjoiNGY5ZGQ5ZWQ1MmJhMGZkNmYwMjg3MjM4MGI4MGE3YjQiLCJ1c2VySWQiOiIzNDU5NzI2MTEifQ==</vt:lpwstr>
  </property>
</Properties>
</file>