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附件1-1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（2024年度）</w:t>
      </w:r>
    </w:p>
    <w:p>
      <w:pPr>
        <w:spacing w:line="240" w:lineRule="exact"/>
        <w:rPr>
          <w:rFonts w:hint="eastAsia" w:ascii="仿宋_GB2312" w:hAnsi="宋体" w:eastAsia="仿宋_GB2312"/>
          <w:sz w:val="30"/>
          <w:szCs w:val="30"/>
        </w:rPr>
      </w:pPr>
    </w:p>
    <w:tbl>
      <w:tblPr>
        <w:tblStyle w:val="4"/>
        <w:tblW w:w="9444" w:type="dxa"/>
        <w:jc w:val="center"/>
        <w:tblInd w:w="0" w:type="dxa"/>
        <w:tblLayout w:type="fixed"/>
        <w:tblCellMar>
          <w:top w:w="0" w:type="dxa"/>
          <w:left w:w="108" w:type="dxa"/>
          <w:bottom w:w="0" w:type="dxa"/>
          <w:right w:w="108" w:type="dxa"/>
        </w:tblCellMar>
      </w:tblPr>
      <w:tblGrid>
        <w:gridCol w:w="585"/>
        <w:gridCol w:w="719"/>
        <w:gridCol w:w="1413"/>
        <w:gridCol w:w="675"/>
        <w:gridCol w:w="882"/>
        <w:gridCol w:w="1515"/>
        <w:gridCol w:w="989"/>
        <w:gridCol w:w="226"/>
        <w:gridCol w:w="611"/>
        <w:gridCol w:w="713"/>
        <w:gridCol w:w="23"/>
        <w:gridCol w:w="1093"/>
      </w:tblGrid>
      <w:tr>
        <w:tblPrEx>
          <w:tblLayout w:type="fixed"/>
          <w:tblCellMar>
            <w:top w:w="0" w:type="dxa"/>
            <w:left w:w="108" w:type="dxa"/>
            <w:bottom w:w="0" w:type="dxa"/>
            <w:right w:w="108" w:type="dxa"/>
          </w:tblCellMar>
        </w:tblPrEx>
        <w:trPr>
          <w:trHeight w:val="306" w:hRule="exact"/>
          <w:jc w:val="center"/>
        </w:trPr>
        <w:tc>
          <w:tcPr>
            <w:tcW w:w="13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140"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首农食品集团南苑和义公园</w:t>
            </w:r>
          </w:p>
        </w:tc>
      </w:tr>
      <w:tr>
        <w:tblPrEx>
          <w:tblLayout w:type="fixed"/>
          <w:tblCellMar>
            <w:top w:w="0" w:type="dxa"/>
            <w:left w:w="108" w:type="dxa"/>
            <w:bottom w:w="0" w:type="dxa"/>
            <w:right w:w="108" w:type="dxa"/>
          </w:tblCellMar>
        </w:tblPrEx>
        <w:trPr>
          <w:trHeight w:val="526" w:hRule="exact"/>
          <w:jc w:val="center"/>
        </w:trPr>
        <w:tc>
          <w:tcPr>
            <w:tcW w:w="13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48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北京首农食品集团有限公司 </w:t>
            </w: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6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北京市南郊和义农场有限公司</w:t>
            </w:r>
          </w:p>
        </w:tc>
      </w:tr>
      <w:tr>
        <w:tblPrEx>
          <w:tblLayout w:type="fixed"/>
          <w:tblCellMar>
            <w:top w:w="0" w:type="dxa"/>
            <w:left w:w="108" w:type="dxa"/>
            <w:bottom w:w="0" w:type="dxa"/>
            <w:right w:w="108" w:type="dxa"/>
          </w:tblCellMar>
        </w:tblPrEx>
        <w:trPr>
          <w:trHeight w:val="567" w:hRule="exact"/>
          <w:jc w:val="center"/>
        </w:trPr>
        <w:tc>
          <w:tcPr>
            <w:tcW w:w="130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5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8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1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306" w:hRule="exact"/>
          <w:jc w:val="center"/>
        </w:trPr>
        <w:tc>
          <w:tcPr>
            <w:tcW w:w="13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08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15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8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1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Layout w:type="fixed"/>
          <w:tblCellMar>
            <w:top w:w="0" w:type="dxa"/>
            <w:left w:w="108" w:type="dxa"/>
            <w:bottom w:w="0" w:type="dxa"/>
            <w:right w:w="108" w:type="dxa"/>
          </w:tblCellMar>
        </w:tblPrEx>
        <w:trPr>
          <w:trHeight w:val="601" w:hRule="exact"/>
          <w:jc w:val="center"/>
        </w:trPr>
        <w:tc>
          <w:tcPr>
            <w:tcW w:w="13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0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15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950</w:t>
            </w:r>
          </w:p>
        </w:tc>
        <w:tc>
          <w:tcPr>
            <w:tcW w:w="8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bookmarkStart w:id="0" w:name="_GoBack"/>
            <w:bookmarkEnd w:id="0"/>
          </w:p>
        </w:tc>
        <w:tc>
          <w:tcPr>
            <w:tcW w:w="11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3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0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3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0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65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388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2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根据北京市发展和改革委员会文件《关于首农食品集团南苑和义公园实施方案的批复》（京发改（审）〔2020〕192号）的相关要求，建设好51.2公顷公园，改善区域生态环境。</w:t>
            </w:r>
          </w:p>
        </w:tc>
        <w:tc>
          <w:tcPr>
            <w:tcW w:w="365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首农食品集团南苑和义公园项目，总建设面积为50.78公顷。工程建设内容主要包括：一标施工：绿化：完成 100%；庭院：完成100%；给排水：完成100%；电气：完成100 %。二标段施工：绿化：完成100%；庭园：完成100%；给排水：完成100%；电气：完成100%。三标段施工：绿化：完成 100%；庭院：完成100%；给排水：完成100%；电气：完成100 %；四标段施工：绿化：完成100%；庭院：完成100%；给排水：完成100%；电气：完成100 %。</w:t>
            </w:r>
          </w:p>
        </w:tc>
      </w:tr>
      <w:tr>
        <w:tblPrEx>
          <w:tblLayout w:type="fixed"/>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4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得分（单位上级</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7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工程建设</w:t>
            </w:r>
            <w:r>
              <w:rPr>
                <w:rFonts w:hint="eastAsia" w:ascii="仿宋_GB2312" w:hAnsi="宋体" w:eastAsia="仿宋_GB2312" w:cs="宋体"/>
                <w:kern w:val="0"/>
                <w:szCs w:val="21"/>
              </w:rPr>
              <w:t>面积</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施工面积</w:t>
            </w:r>
            <w:r>
              <w:rPr>
                <w:rFonts w:hint="eastAsia" w:ascii="仿宋_GB2312" w:hAnsi="宋体" w:eastAsia="仿宋_GB2312" w:cs="宋体"/>
                <w:kern w:val="0"/>
                <w:szCs w:val="21"/>
              </w:rPr>
              <w:t>51.2公顷</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50.78公顷</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14.9</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按照实际验收面积计算</w:t>
            </w:r>
          </w:p>
        </w:tc>
      </w:tr>
      <w:tr>
        <w:tblPrEx>
          <w:tblLayout w:type="fixed"/>
          <w:tblCellMar>
            <w:top w:w="0" w:type="dxa"/>
            <w:left w:w="108" w:type="dxa"/>
            <w:bottom w:w="0" w:type="dxa"/>
            <w:right w:w="108" w:type="dxa"/>
          </w:tblCellMar>
        </w:tblPrEx>
        <w:trPr>
          <w:trHeight w:val="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种植绿植</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43149株</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43149株</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开工时间</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2020/10/13</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2020/10/13</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竣工时间：</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2024/</w:t>
            </w:r>
            <w:r>
              <w:rPr>
                <w:rFonts w:ascii="仿宋_GB2312" w:hAnsi="宋体" w:eastAsia="仿宋_GB2312" w:cs="宋体"/>
                <w:kern w:val="0"/>
                <w:szCs w:val="21"/>
              </w:rPr>
              <w:t>5</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2024/5</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9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严格招投标程序，并按照合同约定支付款项。</w:t>
            </w:r>
          </w:p>
        </w:tc>
        <w:tc>
          <w:tcPr>
            <w:tcW w:w="15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严格执行招投标程序，并按照合同约定支付款项。进行工程结算审核。</w:t>
            </w:r>
          </w:p>
        </w:tc>
        <w:tc>
          <w:tcPr>
            <w:tcW w:w="12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按照财政付款资金及时进行工程款支付付款资金及时进行工程款支付</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5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社会效益</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有助于提高首都生态环境承载能力、绿色增长能力和可持续发展能力</w:t>
            </w:r>
          </w:p>
        </w:tc>
        <w:tc>
          <w:tcPr>
            <w:tcW w:w="12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61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8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改善区域生态环境、保护并丰富生物多样性，有助于提高首都生态环境承载能力、绿色增长能力和可持续发展能力，进一步完善生态系统格局。</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kern w:val="0"/>
                <w:szCs w:val="21"/>
              </w:rPr>
              <w:t>改善区域生态环境、保护并丰富生物多样性，有助于提高首都生态环境承载能力、绿色增长能力和可持续发展能力，进一步完善生态系统格局</w:t>
            </w:r>
          </w:p>
        </w:tc>
        <w:tc>
          <w:tcPr>
            <w:tcW w:w="12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促进绿植生长，改善林分结构，生态环境得以改善。</w:t>
            </w:r>
          </w:p>
        </w:tc>
        <w:tc>
          <w:tcPr>
            <w:tcW w:w="61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3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4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能够提升改善北京市周边生态环境，促进当地职工就业增收。</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维护和改善生态环境，促进有林单位职工就业增收，员工满意度100%</w:t>
            </w:r>
            <w:r>
              <w:rPr>
                <w:rFonts w:ascii="仿宋_GB2312" w:hAnsi="宋体" w:eastAsia="仿宋_GB2312" w:cs="宋体"/>
                <w:kern w:val="0"/>
                <w:szCs w:val="21"/>
              </w:rPr>
              <w:t xml:space="preserve"> </w:t>
            </w:r>
          </w:p>
        </w:tc>
        <w:tc>
          <w:tcPr>
            <w:tcW w:w="12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61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70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pPr>
            <w:r>
              <w:rPr>
                <w:rFonts w:hint="eastAsia" w:ascii="仿宋_GB2312" w:hAnsi="宋体" w:eastAsia="仿宋_GB2312" w:cs="宋体"/>
                <w:color w:val="000000"/>
                <w:kern w:val="0"/>
                <w:szCs w:val="21"/>
              </w:rPr>
              <w:t>98.9</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ascii="仿宋_GB2312" w:eastAsia="仿宋_GB2312"/>
          <w:vanish/>
          <w:sz w:val="32"/>
          <w:szCs w:val="32"/>
        </w:rPr>
      </w:pPr>
    </w:p>
    <w:p>
      <w:pPr>
        <w:widowControl/>
        <w:jc w:val="left"/>
        <w:rPr>
          <w:rFonts w:hint="eastAsia"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hint="eastAsia" w:ascii="仿宋_GB2312" w:hAnsi="宋体" w:eastAsia="仿宋_GB2312" w:cs="宋体"/>
          <w:color w:val="000000"/>
          <w:kern w:val="0"/>
          <w:sz w:val="32"/>
          <w:szCs w:val="32"/>
        </w:rPr>
      </w:pPr>
    </w:p>
    <w:p>
      <w:pPr>
        <w:spacing w:line="480" w:lineRule="exact"/>
        <w:rPr>
          <w:rFonts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03525F5"/>
    <w:rsid w:val="0039259A"/>
    <w:rsid w:val="003945E1"/>
    <w:rsid w:val="00553467"/>
    <w:rsid w:val="00991681"/>
    <w:rsid w:val="009E3FF5"/>
    <w:rsid w:val="00C04AFB"/>
    <w:rsid w:val="00F8540C"/>
    <w:rsid w:val="03D65FB8"/>
    <w:rsid w:val="04AB541D"/>
    <w:rsid w:val="066D46AC"/>
    <w:rsid w:val="08707F57"/>
    <w:rsid w:val="09831C3A"/>
    <w:rsid w:val="0AC53E91"/>
    <w:rsid w:val="0BBF7650"/>
    <w:rsid w:val="104E467D"/>
    <w:rsid w:val="117A5014"/>
    <w:rsid w:val="15D57A0A"/>
    <w:rsid w:val="18A615F7"/>
    <w:rsid w:val="1A096F8D"/>
    <w:rsid w:val="1B99555B"/>
    <w:rsid w:val="1D014069"/>
    <w:rsid w:val="1F69737C"/>
    <w:rsid w:val="27ED6329"/>
    <w:rsid w:val="298D79EA"/>
    <w:rsid w:val="2F885B87"/>
    <w:rsid w:val="323B1394"/>
    <w:rsid w:val="33D15AAA"/>
    <w:rsid w:val="347D3165"/>
    <w:rsid w:val="363602C3"/>
    <w:rsid w:val="45FD3F88"/>
    <w:rsid w:val="4AF41505"/>
    <w:rsid w:val="4B80034F"/>
    <w:rsid w:val="4D5170EA"/>
    <w:rsid w:val="4F3E20C8"/>
    <w:rsid w:val="52BC2005"/>
    <w:rsid w:val="5A3A6C18"/>
    <w:rsid w:val="5B0F7881"/>
    <w:rsid w:val="5D6758EC"/>
    <w:rsid w:val="5DC64CF4"/>
    <w:rsid w:val="66E37699"/>
    <w:rsid w:val="676500DB"/>
    <w:rsid w:val="6F3B619F"/>
    <w:rsid w:val="6FBF0F06"/>
    <w:rsid w:val="712E57F8"/>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761</Words>
  <Characters>892</Characters>
  <Lines>178</Lines>
  <Paragraphs>127</Paragraphs>
  <TotalTime>0</TotalTime>
  <ScaleCrop>false</ScaleCrop>
  <LinksUpToDate>false</LinksUpToDate>
  <CharactersWithSpaces>1526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朱晏如</cp:lastModifiedBy>
  <dcterms:modified xsi:type="dcterms:W3CDTF">2025-08-26T09:52:49Z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eyJoZGlkIjoiZWZkYzAzNmZmMjRlODg1MjRjNzYzNjJlYzY2ZjU0ZDkiLCJ1c2VySWQiOiIxNDUyNTQxMTA3In0=</vt:lpwstr>
  </property>
  <property fmtid="{D5CDD505-2E9C-101B-9397-08002B2CF9AE}" pid="4" name="ICV">
    <vt:lpwstr>3EEC0F5327E142D6A1A7F214D23FDE2F_12</vt:lpwstr>
  </property>
</Properties>
</file>