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（2024年度）</w:t>
      </w:r>
    </w:p>
    <w:p>
      <w:pPr>
        <w:spacing w:line="240" w:lineRule="exact"/>
        <w:rPr>
          <w:rFonts w:ascii="仿宋_GB2312" w:hAnsi="宋体" w:eastAsia="仿宋_GB2312"/>
          <w:sz w:val="30"/>
          <w:szCs w:val="30"/>
        </w:rPr>
      </w:pPr>
    </w:p>
    <w:tbl>
      <w:tblPr>
        <w:tblStyle w:val="4"/>
        <w:tblW w:w="10727" w:type="dxa"/>
        <w:jc w:val="center"/>
        <w:tblInd w:w="0" w:type="dxa"/>
        <w:tblLayout w:type="fixed"/>
        <w:tblCellMar>
          <w:top w:w="0" w:type="dxa"/>
          <w:left w:w="108" w:type="dxa"/>
          <w:bottom w:w="0" w:type="dxa"/>
          <w:right w:w="108" w:type="dxa"/>
        </w:tblCellMar>
      </w:tblPr>
      <w:tblGrid>
        <w:gridCol w:w="585"/>
        <w:gridCol w:w="975"/>
        <w:gridCol w:w="494"/>
        <w:gridCol w:w="702"/>
        <w:gridCol w:w="1134"/>
        <w:gridCol w:w="1418"/>
        <w:gridCol w:w="1282"/>
        <w:gridCol w:w="135"/>
        <w:gridCol w:w="425"/>
        <w:gridCol w:w="592"/>
        <w:gridCol w:w="240"/>
        <w:gridCol w:w="346"/>
        <w:gridCol w:w="710"/>
        <w:gridCol w:w="563"/>
        <w:gridCol w:w="563"/>
        <w:gridCol w:w="563"/>
      </w:tblGrid>
      <w:tr>
        <w:tblPrEx>
          <w:tblLayout w:type="fixed"/>
          <w:tblCellMar>
            <w:top w:w="0" w:type="dxa"/>
            <w:left w:w="108" w:type="dxa"/>
            <w:bottom w:w="0" w:type="dxa"/>
            <w:right w:w="108" w:type="dxa"/>
          </w:tblCellMar>
        </w:tblPrEx>
        <w:trPr>
          <w:gridAfter w:val="3"/>
          <w:wAfter w:w="1689"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首农食品集团动物疫病防控项目</w:t>
            </w:r>
          </w:p>
        </w:tc>
      </w:tr>
      <w:tr>
        <w:tblPrEx>
          <w:tblLayout w:type="fixed"/>
          <w:tblCellMar>
            <w:top w:w="0" w:type="dxa"/>
            <w:left w:w="108" w:type="dxa"/>
            <w:bottom w:w="0" w:type="dxa"/>
            <w:right w:w="108" w:type="dxa"/>
          </w:tblCellMar>
        </w:tblPrEx>
        <w:trPr>
          <w:gridAfter w:val="3"/>
          <w:wAfter w:w="1689" w:type="dxa"/>
          <w:trHeight w:val="565"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74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北京首农食品集团有限公司</w:t>
            </w:r>
          </w:p>
        </w:tc>
        <w:tc>
          <w:tcPr>
            <w:tcW w:w="12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44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北京三元集团畜牧兽医总站</w:t>
            </w:r>
          </w:p>
        </w:tc>
      </w:tr>
      <w:tr>
        <w:tblPrEx>
          <w:tblLayout w:type="fixed"/>
          <w:tblCellMar>
            <w:top w:w="0" w:type="dxa"/>
            <w:left w:w="108" w:type="dxa"/>
            <w:bottom w:w="0" w:type="dxa"/>
            <w:right w:w="108" w:type="dxa"/>
          </w:tblCellMar>
        </w:tblPrEx>
        <w:trPr>
          <w:gridAfter w:val="3"/>
          <w:wAfter w:w="1689" w:type="dxa"/>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1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41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115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Layout w:type="fixed"/>
          <w:tblCellMar>
            <w:top w:w="0" w:type="dxa"/>
            <w:left w:w="108" w:type="dxa"/>
            <w:bottom w:w="0" w:type="dxa"/>
            <w:right w:w="108" w:type="dxa"/>
          </w:tblCellMar>
        </w:tblPrEx>
        <w:trPr>
          <w:gridAfter w:val="3"/>
          <w:wAfter w:w="1689" w:type="dxa"/>
          <w:trHeight w:val="529"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764.4925</w:t>
            </w:r>
          </w:p>
        </w:tc>
        <w:tc>
          <w:tcPr>
            <w:tcW w:w="141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752.232</w:t>
            </w:r>
          </w:p>
        </w:tc>
        <w:tc>
          <w:tcPr>
            <w:tcW w:w="115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8.39%</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r>
      <w:tr>
        <w:tblPrEx>
          <w:tblLayout w:type="fixed"/>
          <w:tblCellMar>
            <w:top w:w="0" w:type="dxa"/>
            <w:left w:w="108" w:type="dxa"/>
            <w:bottom w:w="0" w:type="dxa"/>
            <w:right w:w="108" w:type="dxa"/>
          </w:tblCellMar>
        </w:tblPrEx>
        <w:trPr>
          <w:gridAfter w:val="3"/>
          <w:wAfter w:w="1689" w:type="dxa"/>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764.4925</w:t>
            </w:r>
          </w:p>
        </w:tc>
        <w:tc>
          <w:tcPr>
            <w:tcW w:w="141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752.232</w:t>
            </w:r>
          </w:p>
        </w:tc>
        <w:tc>
          <w:tcPr>
            <w:tcW w:w="115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gridAfter w:val="3"/>
          <w:wAfter w:w="1689" w:type="dxa"/>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5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gridAfter w:val="3"/>
          <w:wAfter w:w="1689" w:type="dxa"/>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5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gridAfter w:val="3"/>
          <w:wAfter w:w="1689" w:type="dxa"/>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72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73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Layout w:type="fixed"/>
          <w:tblCellMar>
            <w:top w:w="0" w:type="dxa"/>
            <w:left w:w="108" w:type="dxa"/>
            <w:bottom w:w="0" w:type="dxa"/>
            <w:right w:w="108" w:type="dxa"/>
          </w:tblCellMar>
        </w:tblPrEx>
        <w:trPr>
          <w:gridAfter w:val="3"/>
          <w:wAfter w:w="1689" w:type="dxa"/>
          <w:trHeight w:val="208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23"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通过该项目的实施，进一步提高首农食品集团畜禽重大动物疫病的防控水平；规范口蹄疫、猪瘟、蓝耳病、猪伪狂犬病、非洲猪瘟、牛传染性鼻气管炎、禽流感、禽白血监测及奶牛布病、结核病的检疫净化；强化畜禽场消毒工作；完善重大动物疫病监测预警体系建设,使畜禽场防疫能力增强，确保首农食品集团系统内不发生区区域性重大动物疫情和重大动物源性食品安全事故。</w:t>
            </w:r>
          </w:p>
        </w:tc>
        <w:tc>
          <w:tcPr>
            <w:tcW w:w="3730"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宋体" w:hAnsi="宋体" w:cs="宋体"/>
                <w:color w:val="000000"/>
                <w:kern w:val="0"/>
              </w:rPr>
              <w:t>完</w:t>
            </w:r>
            <w:r>
              <w:rPr>
                <w:rFonts w:hint="eastAsia" w:ascii="仿宋_GB2312" w:hAnsi="宋体" w:eastAsia="仿宋_GB2312" w:cs="宋体"/>
                <w:kern w:val="0"/>
                <w:szCs w:val="21"/>
              </w:rPr>
              <w:t>成主要疫病监测，畜禽场消毒，兽医站仪器设备的采购，洁净室维护保养工作，首农集团各畜禽场未发生区域性重大动物疫情和重大动物源性食品安全事故 。</w:t>
            </w:r>
          </w:p>
        </w:tc>
      </w:tr>
      <w:tr>
        <w:tblPrEx>
          <w:tblLayout w:type="fixed"/>
          <w:tblCellMar>
            <w:top w:w="0" w:type="dxa"/>
            <w:left w:w="108" w:type="dxa"/>
            <w:bottom w:w="0" w:type="dxa"/>
            <w:right w:w="108" w:type="dxa"/>
          </w:tblCellMar>
        </w:tblPrEx>
        <w:trPr>
          <w:gridAfter w:val="3"/>
          <w:wAfter w:w="1689" w:type="dxa"/>
          <w:trHeight w:val="126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4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得分（单位上级</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Layout w:type="fixed"/>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4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牛疫病检测</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164400份</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164527份</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猪疫病检测</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42410份</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47966份</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禽疫病检测</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50360份</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50769份</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火碱</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300吨</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300吨</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2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氯制剂</w:t>
            </w:r>
          </w:p>
        </w:tc>
        <w:tc>
          <w:tcPr>
            <w:tcW w:w="1418"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110吨</w:t>
            </w:r>
          </w:p>
        </w:tc>
        <w:tc>
          <w:tcPr>
            <w:tcW w:w="1417"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110吨</w:t>
            </w:r>
          </w:p>
        </w:tc>
        <w:tc>
          <w:tcPr>
            <w:tcW w:w="425"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92"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40"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碘酸消毒剂</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10吨</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10吨</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仪器设备采购</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30支</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30支</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洁净室维护</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12次</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12次</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验收合格率</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检测按疫病检测标准</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设备质量合格 </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招标时间</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2023.6</w:t>
            </w:r>
            <w:r>
              <w:rPr>
                <w:rFonts w:ascii="仿宋_GB2312" w:hAnsi="宋体" w:eastAsia="仿宋_GB2312" w:cs="宋体"/>
                <w:kern w:val="0"/>
                <w:szCs w:val="21"/>
              </w:rPr>
              <w:t xml:space="preserve"> </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2024.8</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疫病完成检测</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2024.12</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2024.12</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消毒药完成发放</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2024.12</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2024.12</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设备完成安装调试</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2024.12</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2024.12</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项目完成验收</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2024.12</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2025.5</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46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764.4925</w:t>
            </w:r>
            <w:r>
              <w:rPr>
                <w:rFonts w:hint="eastAsia" w:ascii="仿宋_GB2312" w:hAnsi="宋体" w:eastAsia="仿宋_GB2312" w:cs="宋体"/>
                <w:kern w:val="0"/>
                <w:sz w:val="20"/>
                <w:szCs w:val="21"/>
              </w:rPr>
              <w:t>万元</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752.232万元</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37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4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本项目通过加强环境消毒，疫病检测等工作，降低常见病发生,降低淘汰率。</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 w:val="18"/>
                <w:szCs w:val="21"/>
              </w:rPr>
              <w:t>新产牛死淘率下降0.2%，犊牛死胎率下降1%；乳房炎发病率降低0.5%。</w:t>
            </w:r>
            <w:r>
              <w:rPr>
                <w:rFonts w:ascii="仿宋_GB2312" w:hAnsi="宋体" w:eastAsia="仿宋_GB2312" w:cs="宋体"/>
                <w:kern w:val="0"/>
                <w:szCs w:val="21"/>
              </w:rPr>
              <w:t xml:space="preserve"> </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21"/>
              </w:rPr>
            </w:pPr>
            <w:r>
              <w:rPr>
                <w:rFonts w:hint="eastAsia" w:ascii="仿宋_GB2312" w:hAnsi="宋体" w:eastAsia="仿宋_GB2312" w:cs="宋体"/>
                <w:kern w:val="0"/>
                <w:sz w:val="18"/>
                <w:szCs w:val="21"/>
              </w:rPr>
              <w:t>新产牛死淘率较去年同期下降0.2%，死胎率下降1%，成母牛死亡率下降0.19%，少死淘695头成母牛；乳房炎发病率降低0.69%，总产奶增加932万公斤，实现创收695（头）*2+932（万公斤）*3=4186万元。</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16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 w:val="18"/>
                <w:szCs w:val="21"/>
              </w:rPr>
              <w:t>北京三元集团畜牧兽医总站履职基础及技术服务能力得到提升 ,将进一步完善首农食品集团畜禽重大动物疫病监测预警体系。</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为首都市场提供高质量畜产品。有效控制人畜共患病，确保职工健康。</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21"/>
              </w:rPr>
            </w:pPr>
            <w:r>
              <w:rPr>
                <w:rFonts w:hint="eastAsia" w:ascii="仿宋_GB2312" w:hAnsi="宋体" w:eastAsia="仿宋_GB2312" w:cs="宋体"/>
                <w:kern w:val="0"/>
                <w:sz w:val="18"/>
                <w:szCs w:val="21"/>
              </w:rPr>
              <w:t>为首都市场提供高质量畜产品。有效控制人畜共患病，确保职工健康。</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29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提高单产,减少排放</w:t>
            </w:r>
            <w:r>
              <w:rPr>
                <w:rFonts w:hint="eastAsia" w:ascii="仿宋_GB2312" w:hAnsi="宋体" w:eastAsia="仿宋_GB2312" w:cs="宋体"/>
                <w:color w:val="000000"/>
                <w:kern w:val="0"/>
                <w:szCs w:val="21"/>
              </w:rPr>
              <w:t>。</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21"/>
              </w:rPr>
            </w:pPr>
            <w:r>
              <w:rPr>
                <w:rFonts w:hint="eastAsia" w:ascii="仿宋_GB2312" w:hAnsi="宋体" w:eastAsia="仿宋_GB2312" w:cs="宋体"/>
                <w:kern w:val="0"/>
                <w:sz w:val="18"/>
                <w:szCs w:val="21"/>
              </w:rPr>
              <w:t>提高单产,减少排放。</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21"/>
              </w:rPr>
            </w:pPr>
            <w:r>
              <w:rPr>
                <w:rFonts w:hint="eastAsia" w:ascii="仿宋_GB2312" w:hAnsi="宋体" w:eastAsia="仿宋_GB2312" w:cs="宋体"/>
                <w:kern w:val="0"/>
                <w:sz w:val="18"/>
                <w:szCs w:val="21"/>
              </w:rPr>
              <w:t>2024年全年多产牛奶932万公斤，平均每头牛头年单产按1万公斤计算，即少饲养奶牛932头；平均每头牛每年碳排放量为3.84吨，少932头奶牛，减少碳排放3578.88吨。</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18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0"/>
                <w:szCs w:val="21"/>
              </w:rPr>
              <w:t>可持续影响指标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确保不发生区域性重大动物疫情,有效降低规模畜牧场畜群死淘率。</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不发生区域性重大动物疾病，确保畜禽稳定健康发展。</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不发生区域性重大动物疾病，确保畜禽稳定健康发展。</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gridAfter w:val="3"/>
          <w:wAfter w:w="1689" w:type="dxa"/>
          <w:trHeight w:val="7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4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787" w:hRule="exact"/>
          <w:jc w:val="center"/>
        </w:trPr>
        <w:tc>
          <w:tcPr>
            <w:tcW w:w="6725"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bookmarkStart w:id="0" w:name="_GoBack"/>
            <w:bookmarkEnd w:id="0"/>
            <w:r>
              <w:rPr>
                <w:rFonts w:hint="eastAsia" w:ascii="仿宋_GB2312" w:hAnsi="宋体" w:eastAsia="仿宋_GB2312" w:cs="宋体"/>
                <w:color w:val="000000"/>
                <w:kern w:val="0"/>
                <w:szCs w:val="21"/>
              </w:rPr>
              <w:t>总分</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9</w:t>
            </w:r>
            <w:r>
              <w:rPr>
                <w:rFonts w:hint="eastAsia" w:ascii="仿宋_GB2312" w:hAnsi="宋体" w:eastAsia="仿宋_GB2312" w:cs="宋体"/>
                <w:color w:val="000000"/>
                <w:kern w:val="0"/>
                <w:szCs w:val="21"/>
                <w:lang w:val="en-US" w:eastAsia="zh-CN"/>
              </w:rPr>
              <w:t>2</w:t>
            </w:r>
          </w:p>
        </w:tc>
        <w:tc>
          <w:tcPr>
            <w:tcW w:w="2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tcPr>
          <w:p>
            <w:pPr>
              <w:widowControl/>
              <w:jc w:val="left"/>
            </w:pPr>
          </w:p>
        </w:tc>
        <w:tc>
          <w:tcPr>
            <w:tcW w:w="563" w:type="dxa"/>
          </w:tcPr>
          <w:p>
            <w:pPr>
              <w:widowControl/>
              <w:jc w:val="left"/>
            </w:pPr>
          </w:p>
        </w:tc>
        <w:tc>
          <w:tcPr>
            <w:tcW w:w="563" w:type="dxa"/>
            <w:vAlign w:val="center"/>
          </w:tcPr>
          <w:p>
            <w:pPr>
              <w:widowControl/>
              <w:spacing w:line="240" w:lineRule="exact"/>
              <w:jc w:val="center"/>
              <w:rPr>
                <w:rFonts w:ascii="仿宋_GB2312" w:hAnsi="宋体" w:eastAsia="仿宋_GB2312" w:cs="宋体"/>
                <w:color w:val="000000"/>
                <w:kern w:val="0"/>
                <w:szCs w:val="21"/>
              </w:rPr>
            </w:pPr>
          </w:p>
        </w:tc>
      </w:tr>
    </w:tbl>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pPr>
        <w:spacing w:line="600" w:lineRule="exact"/>
        <w:ind w:firstLine="640" w:firstLineChars="200"/>
        <w:rPr>
          <w:rFonts w:ascii="仿宋_GB2312" w:hAnsi="宋体" w:eastAsia="仿宋_GB2312" w:cs="宋体"/>
          <w:color w:val="000000"/>
          <w:kern w:val="0"/>
          <w:sz w:val="32"/>
          <w:szCs w:val="32"/>
        </w:rPr>
      </w:pP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sz w:val="28"/>
      </w:rPr>
      <w:pict>
        <v:shape id="_x0000_s4097" o:spid="_x0000_s4097"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txbxContent>
          </v:textbox>
        </v:shape>
      </w:pic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D5170EA"/>
    <w:rsid w:val="00047186"/>
    <w:rsid w:val="00150A7F"/>
    <w:rsid w:val="001706AB"/>
    <w:rsid w:val="0027248F"/>
    <w:rsid w:val="003F1717"/>
    <w:rsid w:val="00417BD2"/>
    <w:rsid w:val="005E6D35"/>
    <w:rsid w:val="00624B9C"/>
    <w:rsid w:val="006B6015"/>
    <w:rsid w:val="007730A8"/>
    <w:rsid w:val="00784B2F"/>
    <w:rsid w:val="007901D3"/>
    <w:rsid w:val="007A5D89"/>
    <w:rsid w:val="007D1E65"/>
    <w:rsid w:val="00820098"/>
    <w:rsid w:val="00854E69"/>
    <w:rsid w:val="00881C3E"/>
    <w:rsid w:val="009C0C97"/>
    <w:rsid w:val="009E25A5"/>
    <w:rsid w:val="00A94F07"/>
    <w:rsid w:val="00B05B22"/>
    <w:rsid w:val="00B12ACD"/>
    <w:rsid w:val="00B47196"/>
    <w:rsid w:val="00B94431"/>
    <w:rsid w:val="00C70629"/>
    <w:rsid w:val="00CC7C5D"/>
    <w:rsid w:val="00CF7EC4"/>
    <w:rsid w:val="00D516FF"/>
    <w:rsid w:val="00DA63E0"/>
    <w:rsid w:val="00DF156B"/>
    <w:rsid w:val="00EA7369"/>
    <w:rsid w:val="00EE00C9"/>
    <w:rsid w:val="03D65FB8"/>
    <w:rsid w:val="04AB541D"/>
    <w:rsid w:val="066D46AC"/>
    <w:rsid w:val="08707F57"/>
    <w:rsid w:val="09831C3A"/>
    <w:rsid w:val="104E467D"/>
    <w:rsid w:val="15D57A0A"/>
    <w:rsid w:val="1A096F8D"/>
    <w:rsid w:val="1B99555B"/>
    <w:rsid w:val="1D014069"/>
    <w:rsid w:val="1F69737C"/>
    <w:rsid w:val="27ED6329"/>
    <w:rsid w:val="298D79EA"/>
    <w:rsid w:val="2F885B87"/>
    <w:rsid w:val="323B1394"/>
    <w:rsid w:val="33D15AAA"/>
    <w:rsid w:val="347D3165"/>
    <w:rsid w:val="406F3C17"/>
    <w:rsid w:val="45FD3F88"/>
    <w:rsid w:val="4D5170EA"/>
    <w:rsid w:val="4F3E20C8"/>
    <w:rsid w:val="52BC2005"/>
    <w:rsid w:val="5A3A6C18"/>
    <w:rsid w:val="5D6758EC"/>
    <w:rsid w:val="5DC64CF4"/>
    <w:rsid w:val="66E37699"/>
    <w:rsid w:val="676500DB"/>
    <w:rsid w:val="6F3B619F"/>
    <w:rsid w:val="6FBF0F06"/>
    <w:rsid w:val="74B30B5A"/>
    <w:rsid w:val="7D01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20"/>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Pages>
  <Words>325</Words>
  <Characters>1856</Characters>
  <Lines>15</Lines>
  <Paragraphs>4</Paragraphs>
  <TotalTime>86</TotalTime>
  <ScaleCrop>false</ScaleCrop>
  <LinksUpToDate>false</LinksUpToDate>
  <CharactersWithSpaces>2177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2023-05-16T06:35:00Z</dcterms:created>
  <dc:creator>付盈</dc:creator>
  <cp:lastModifiedBy>朱晏如</cp:lastModifiedBy>
  <cp:lastPrinted>2025-05-09T01:52:00Z</cp:lastPrinted>
  <dcterms:modified xsi:type="dcterms:W3CDTF">2025-08-26T09:56:35Z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