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52"/>
          <w:szCs w:val="52"/>
        </w:rPr>
      </w:pPr>
    </w:p>
    <w:p>
      <w:pPr>
        <w:jc w:val="center"/>
        <w:rPr>
          <w:sz w:val="52"/>
          <w:szCs w:val="52"/>
        </w:rPr>
      </w:pPr>
    </w:p>
    <w:p>
      <w:pPr>
        <w:jc w:val="center"/>
        <w:rPr>
          <w:rFonts w:hint="eastAsia" w:ascii="黑体" w:hAnsi="黑体" w:eastAsia="黑体" w:cs="黑体"/>
          <w:b/>
          <w:bCs/>
          <w:sz w:val="52"/>
          <w:szCs w:val="52"/>
        </w:rPr>
      </w:pPr>
      <w:r>
        <w:rPr>
          <w:rFonts w:hint="eastAsia" w:ascii="黑体" w:hAnsi="黑体" w:eastAsia="黑体" w:cs="黑体"/>
          <w:b/>
          <w:bCs/>
          <w:sz w:val="52"/>
          <w:szCs w:val="52"/>
        </w:rPr>
        <w:t>北京市大兴区人民法院</w:t>
      </w:r>
    </w:p>
    <w:p>
      <w:pPr>
        <w:jc w:val="center"/>
        <w:rPr>
          <w:rFonts w:hint="eastAsia" w:ascii="黑体" w:hAnsi="黑体" w:eastAsia="黑体" w:cs="黑体"/>
          <w:b/>
          <w:bCs/>
          <w:sz w:val="52"/>
          <w:szCs w:val="52"/>
        </w:rPr>
      </w:pPr>
      <w:r>
        <w:rPr>
          <w:rFonts w:hint="eastAsia" w:ascii="黑体" w:hAnsi="黑体" w:eastAsia="黑体" w:cs="黑体"/>
          <w:b/>
          <w:bCs/>
          <w:sz w:val="52"/>
          <w:szCs w:val="52"/>
        </w:rPr>
        <w:t>2024年部门整体绩效报告</w:t>
      </w:r>
    </w:p>
    <w:p>
      <w:pPr>
        <w:jc w:val="left"/>
        <w:rPr>
          <w:sz w:val="32"/>
          <w:szCs w:val="32"/>
        </w:rPr>
      </w:pPr>
    </w:p>
    <w:p>
      <w:pPr>
        <w:jc w:val="left"/>
        <w:rPr>
          <w:sz w:val="32"/>
          <w:szCs w:val="32"/>
        </w:rPr>
      </w:pPr>
    </w:p>
    <w:p>
      <w:pPr>
        <w:jc w:val="left"/>
        <w:rPr>
          <w:sz w:val="32"/>
          <w:szCs w:val="32"/>
        </w:rPr>
      </w:pPr>
    </w:p>
    <w:p>
      <w:pPr>
        <w:jc w:val="left"/>
        <w:rPr>
          <w:sz w:val="32"/>
          <w:szCs w:val="32"/>
        </w:rPr>
      </w:pPr>
    </w:p>
    <w:p>
      <w:pPr>
        <w:pStyle w:val="8"/>
      </w:pPr>
    </w:p>
    <w:p>
      <w:pPr>
        <w:jc w:val="left"/>
        <w:rPr>
          <w:rFonts w:hint="eastAsia" w:ascii="宋体" w:hAnsi="宋体" w:cs="宋体"/>
          <w:sz w:val="32"/>
          <w:szCs w:val="32"/>
        </w:rPr>
      </w:pPr>
    </w:p>
    <w:p>
      <w:pPr>
        <w:pStyle w:val="10"/>
      </w:pPr>
    </w:p>
    <w:p>
      <w:pPr>
        <w:pStyle w:val="10"/>
      </w:pPr>
    </w:p>
    <w:p>
      <w:pPr>
        <w:pStyle w:val="10"/>
      </w:pPr>
    </w:p>
    <w:p>
      <w:pPr>
        <w:ind w:firstLine="626" w:firstLineChars="195"/>
        <w:rPr>
          <w:sz w:val="32"/>
          <w:szCs w:val="22"/>
          <w:u w:val="single"/>
        </w:rPr>
      </w:pPr>
      <w:r>
        <w:rPr>
          <w:rFonts w:hint="eastAsia"/>
          <w:b/>
          <w:sz w:val="32"/>
          <w:szCs w:val="22"/>
        </w:rPr>
        <w:t>部门</w:t>
      </w:r>
      <w:r>
        <w:rPr>
          <w:b/>
          <w:sz w:val="32"/>
          <w:szCs w:val="22"/>
        </w:rPr>
        <w:t>单位</w:t>
      </w:r>
      <w:r>
        <w:rPr>
          <w:rFonts w:hint="eastAsia"/>
          <w:b/>
          <w:sz w:val="32"/>
          <w:szCs w:val="22"/>
        </w:rPr>
        <w:t xml:space="preserve"> </w:t>
      </w:r>
      <w:r>
        <w:rPr>
          <w:bCs/>
          <w:sz w:val="32"/>
          <w:szCs w:val="22"/>
          <w:u w:val="single"/>
        </w:rPr>
        <w:t xml:space="preserve">  </w:t>
      </w:r>
      <w:r>
        <w:rPr>
          <w:rFonts w:hint="eastAsia"/>
          <w:bCs/>
          <w:sz w:val="32"/>
          <w:szCs w:val="22"/>
          <w:u w:val="single"/>
        </w:rPr>
        <w:t>北京市大兴区人民法院</w:t>
      </w:r>
      <w:r>
        <w:rPr>
          <w:sz w:val="32"/>
          <w:szCs w:val="22"/>
          <w:u w:val="single"/>
        </w:rPr>
        <w:t xml:space="preserve">           </w:t>
      </w:r>
    </w:p>
    <w:p>
      <w:pPr>
        <w:spacing w:line="340" w:lineRule="exact"/>
        <w:ind w:firstLine="642" w:firstLineChars="200"/>
        <w:jc w:val="left"/>
        <w:rPr>
          <w:b/>
          <w:sz w:val="32"/>
          <w:szCs w:val="32"/>
        </w:rPr>
      </w:pPr>
    </w:p>
    <w:p>
      <w:pPr>
        <w:spacing w:line="340" w:lineRule="exact"/>
        <w:ind w:firstLine="642" w:firstLineChars="200"/>
        <w:jc w:val="left"/>
        <w:rPr>
          <w:b/>
          <w:sz w:val="32"/>
          <w:szCs w:val="32"/>
        </w:rPr>
      </w:pPr>
      <w:r>
        <w:rPr>
          <w:rFonts w:hint="eastAsia"/>
          <w:b/>
          <w:sz w:val="32"/>
          <w:szCs w:val="32"/>
        </w:rPr>
        <w:t>参与评价</w:t>
      </w:r>
    </w:p>
    <w:p>
      <w:pPr>
        <w:spacing w:line="340" w:lineRule="exact"/>
        <w:ind w:firstLine="642" w:firstLineChars="200"/>
        <w:jc w:val="left"/>
        <w:rPr>
          <w:b/>
          <w:sz w:val="32"/>
          <w:szCs w:val="20"/>
        </w:rPr>
      </w:pPr>
      <w:r>
        <w:rPr>
          <w:b/>
          <w:sz w:val="32"/>
          <w:szCs w:val="32"/>
        </w:rPr>
        <w:t xml:space="preserve">中介机构 </w:t>
      </w:r>
      <w:r>
        <w:rPr>
          <w:rFonts w:hint="eastAsia"/>
          <w:sz w:val="32"/>
          <w:szCs w:val="32"/>
          <w:u w:val="single"/>
        </w:rPr>
        <w:t xml:space="preserve">北京正衡东亚会计师事务所有限公司   </w:t>
      </w:r>
    </w:p>
    <w:p>
      <w:pPr>
        <w:rPr>
          <w:sz w:val="30"/>
          <w:szCs w:val="22"/>
          <w:u w:val="single"/>
        </w:rPr>
      </w:pPr>
    </w:p>
    <w:p>
      <w:pPr>
        <w:rPr>
          <w:sz w:val="30"/>
          <w:szCs w:val="22"/>
          <w:u w:val="single"/>
        </w:rPr>
      </w:pPr>
    </w:p>
    <w:p>
      <w:pPr>
        <w:rPr>
          <w:sz w:val="30"/>
          <w:szCs w:val="22"/>
          <w:u w:val="single"/>
        </w:rPr>
      </w:pPr>
    </w:p>
    <w:p>
      <w:pPr>
        <w:rPr>
          <w:sz w:val="30"/>
          <w:szCs w:val="22"/>
          <w:u w:val="single"/>
        </w:rPr>
      </w:pPr>
    </w:p>
    <w:p>
      <w:pPr>
        <w:rPr>
          <w:sz w:val="30"/>
          <w:szCs w:val="22"/>
          <w:u w:val="single"/>
        </w:rPr>
      </w:pPr>
    </w:p>
    <w:p>
      <w:pPr>
        <w:spacing w:line="360" w:lineRule="auto"/>
        <w:ind w:firstLine="2570" w:firstLineChars="800"/>
        <w:rPr>
          <w:b/>
          <w:sz w:val="32"/>
          <w:szCs w:val="32"/>
        </w:rPr>
        <w:sectPr>
          <w:footerReference r:id="rId5" w:type="first"/>
          <w:footerReference r:id="rId3" w:type="default"/>
          <w:footerReference r:id="rId4" w:type="even"/>
          <w:pgSz w:w="11906" w:h="16838"/>
          <w:pgMar w:top="1440" w:right="1800" w:bottom="1440" w:left="1800" w:header="851" w:footer="992" w:gutter="0"/>
          <w:cols w:space="720" w:num="1"/>
          <w:docGrid w:type="lines" w:linePitch="381" w:charSpace="0"/>
        </w:sectPr>
      </w:pPr>
      <w:r>
        <w:rPr>
          <w:b/>
          <w:sz w:val="32"/>
          <w:szCs w:val="32"/>
        </w:rPr>
        <w:t>二〇</w:t>
      </w:r>
      <w:r>
        <w:rPr>
          <w:rFonts w:hint="eastAsia"/>
          <w:b/>
          <w:sz w:val="32"/>
          <w:szCs w:val="32"/>
        </w:rPr>
        <w:t>二五</w:t>
      </w:r>
      <w:r>
        <w:rPr>
          <w:b/>
          <w:sz w:val="32"/>
          <w:szCs w:val="32"/>
        </w:rPr>
        <w:t>年</w:t>
      </w:r>
      <w:r>
        <w:rPr>
          <w:rFonts w:hint="eastAsia"/>
          <w:b/>
          <w:sz w:val="32"/>
          <w:szCs w:val="32"/>
        </w:rPr>
        <w:t>五</w:t>
      </w:r>
      <w:r>
        <w:rPr>
          <w:b/>
          <w:sz w:val="32"/>
          <w:szCs w:val="32"/>
        </w:rPr>
        <w:t>月</w:t>
      </w:r>
      <w:r>
        <w:rPr>
          <w:rFonts w:hint="default"/>
          <w:b/>
          <w:sz w:val="32"/>
          <w:szCs w:val="32"/>
        </w:rPr>
        <w:t>二十</w:t>
      </w:r>
      <w:r>
        <w:rPr>
          <w:b/>
          <w:sz w:val="32"/>
          <w:szCs w:val="32"/>
        </w:rPr>
        <w:t>日</w:t>
      </w:r>
    </w:p>
    <w:p>
      <w:pPr>
        <w:spacing w:line="560" w:lineRule="exact"/>
        <w:jc w:val="center"/>
        <w:rPr>
          <w:rFonts w:hint="eastAsia" w:ascii="黑体" w:hAnsi="黑体" w:eastAsia="黑体" w:cs="黑体"/>
          <w:sz w:val="32"/>
          <w:szCs w:val="32"/>
        </w:rPr>
      </w:pPr>
      <w:r>
        <w:rPr>
          <w:rFonts w:hint="eastAsia" w:ascii="黑体" w:hAnsi="黑体" w:eastAsia="黑体" w:cs="黑体"/>
          <w:sz w:val="32"/>
          <w:szCs w:val="32"/>
        </w:rPr>
        <w:t>目 录</w:t>
      </w:r>
    </w:p>
    <w:sdt>
      <w:sdtPr>
        <w:rPr>
          <w:rFonts w:ascii="宋体" w:hAnsi="宋体"/>
        </w:rPr>
        <w:id w:val="147458671"/>
        <w15:color w:val="DBDBDB"/>
        <w:docPartObj>
          <w:docPartGallery w:val="Table of Contents"/>
          <w:docPartUnique/>
        </w:docPartObj>
      </w:sdtPr>
      <w:sdtEndPr>
        <w:rPr>
          <w:rFonts w:ascii="宋体" w:hAnsi="宋体"/>
        </w:rPr>
      </w:sdtEndPr>
      <w:sdtContent>
        <w:p>
          <w:pPr>
            <w:jc w:val="center"/>
          </w:pPr>
        </w:p>
        <w:p>
          <w:pPr>
            <w:pStyle w:val="15"/>
            <w:tabs>
              <w:tab w:val="right" w:leader="dot" w:pos="8306"/>
              <w:tab w:val="clear" w:pos="8296"/>
            </w:tabs>
            <w:rPr>
              <w:rFonts w:hint="eastAsia"/>
              <w:sz w:val="32"/>
              <w:szCs w:val="32"/>
            </w:rPr>
          </w:pPr>
          <w:r>
            <w:fldChar w:fldCharType="begin"/>
          </w:r>
          <w:r>
            <w:instrText xml:space="preserve">TOC \o "1-3" \h \u </w:instrText>
          </w:r>
          <w:r>
            <w:fldChar w:fldCharType="separate"/>
          </w:r>
          <w:r>
            <w:fldChar w:fldCharType="begin"/>
          </w:r>
          <w:r>
            <w:instrText xml:space="preserve"> HYPERLINK \l "_Toc16556" </w:instrText>
          </w:r>
          <w:r>
            <w:fldChar w:fldCharType="separate"/>
          </w:r>
          <w:r>
            <w:rPr>
              <w:rFonts w:hint="eastAsia" w:ascii="楷体_GB2312" w:hAnsi="楷体_GB2312" w:eastAsia="楷体_GB2312" w:cs="楷体_GB2312"/>
              <w:kern w:val="0"/>
              <w:sz w:val="32"/>
              <w:szCs w:val="32"/>
            </w:rPr>
            <w:t>一、部门概况</w:t>
          </w:r>
          <w:r>
            <w:rPr>
              <w:rFonts w:hint="eastAsia" w:ascii="楷体_GB2312" w:hAnsi="楷体_GB2312" w:eastAsia="楷体_GB2312" w:cs="楷体_GB2312"/>
              <w:sz w:val="32"/>
              <w:szCs w:val="32"/>
            </w:rPr>
            <w:tab/>
          </w:r>
          <w:r>
            <w:rPr>
              <w:rFonts w:ascii="Times New Roman" w:hAnsi="Times New Roman" w:eastAsia="楷体_GB2312"/>
              <w:b w:val="0"/>
              <w:bCs/>
              <w:sz w:val="32"/>
              <w:szCs w:val="32"/>
            </w:rPr>
            <w:fldChar w:fldCharType="begin"/>
          </w:r>
          <w:r>
            <w:rPr>
              <w:rFonts w:ascii="Times New Roman" w:hAnsi="Times New Roman" w:eastAsia="楷体_GB2312"/>
              <w:b w:val="0"/>
              <w:bCs/>
              <w:sz w:val="32"/>
              <w:szCs w:val="32"/>
            </w:rPr>
            <w:instrText xml:space="preserve"> PAGEREF _Toc16556 \h </w:instrText>
          </w:r>
          <w:r>
            <w:rPr>
              <w:rFonts w:ascii="Times New Roman" w:hAnsi="Times New Roman" w:eastAsia="楷体_GB2312"/>
              <w:b w:val="0"/>
              <w:bCs/>
              <w:sz w:val="32"/>
              <w:szCs w:val="32"/>
            </w:rPr>
            <w:fldChar w:fldCharType="separate"/>
          </w:r>
          <w:r>
            <w:rPr>
              <w:rFonts w:ascii="Times New Roman" w:hAnsi="Times New Roman" w:eastAsia="楷体_GB2312"/>
              <w:b w:val="0"/>
              <w:bCs/>
              <w:sz w:val="32"/>
              <w:szCs w:val="32"/>
            </w:rPr>
            <w:t>1</w:t>
          </w:r>
          <w:r>
            <w:rPr>
              <w:rFonts w:ascii="Times New Roman" w:hAnsi="Times New Roman" w:eastAsia="楷体_GB2312"/>
              <w:b w:val="0"/>
              <w:bCs/>
              <w:sz w:val="32"/>
              <w:szCs w:val="32"/>
            </w:rPr>
            <w:fldChar w:fldCharType="end"/>
          </w:r>
          <w:r>
            <w:rPr>
              <w:rFonts w:ascii="Times New Roman" w:hAnsi="Times New Roman" w:eastAsia="楷体_GB2312"/>
              <w:b w:val="0"/>
              <w:bCs/>
              <w:sz w:val="32"/>
              <w:szCs w:val="32"/>
            </w:rPr>
            <w:fldChar w:fldCharType="end"/>
          </w:r>
        </w:p>
        <w:p>
          <w:pPr>
            <w:pStyle w:val="17"/>
            <w:tabs>
              <w:tab w:val="right" w:leader="dot" w:pos="8306"/>
            </w:tabs>
            <w:rPr>
              <w:rFonts w:hint="eastAsia" w:ascii="仿宋_GB2312" w:hAnsi="仿宋_GB2312" w:eastAsia="仿宋_GB2312" w:cs="仿宋_GB2312"/>
              <w:sz w:val="32"/>
              <w:szCs w:val="32"/>
            </w:rPr>
          </w:pPr>
          <w:r>
            <w:fldChar w:fldCharType="begin"/>
          </w:r>
          <w:r>
            <w:instrText xml:space="preserve"> HYPERLINK \l "_Toc11402" </w:instrText>
          </w:r>
          <w:r>
            <w:fldChar w:fldCharType="separate"/>
          </w:r>
          <w:r>
            <w:rPr>
              <w:rFonts w:hint="eastAsia" w:ascii="仿宋_GB2312" w:hAnsi="仿宋_GB2312" w:eastAsia="仿宋_GB2312" w:cs="仿宋_GB2312"/>
              <w:sz w:val="32"/>
              <w:szCs w:val="32"/>
            </w:rPr>
            <w:t>（一）机构设置及职责工作任务情况</w:t>
          </w:r>
          <w:r>
            <w:rPr>
              <w:rFonts w:hint="eastAsia" w:ascii="仿宋_GB2312" w:hAnsi="仿宋_GB2312" w:eastAsia="仿宋_GB2312" w:cs="仿宋_GB2312"/>
              <w:sz w:val="32"/>
              <w:szCs w:val="32"/>
            </w:rPr>
            <w:tab/>
          </w:r>
          <w:r>
            <w:rPr>
              <w:rFonts w:eastAsia="仿宋_GB2312"/>
              <w:sz w:val="32"/>
              <w:szCs w:val="32"/>
            </w:rPr>
            <w:fldChar w:fldCharType="begin"/>
          </w:r>
          <w:r>
            <w:rPr>
              <w:rFonts w:eastAsia="仿宋_GB2312"/>
              <w:sz w:val="32"/>
              <w:szCs w:val="32"/>
            </w:rPr>
            <w:instrText xml:space="preserve"> PAGEREF _Toc11402 \h </w:instrText>
          </w:r>
          <w:r>
            <w:rPr>
              <w:rFonts w:eastAsia="仿宋_GB2312"/>
              <w:sz w:val="32"/>
              <w:szCs w:val="32"/>
            </w:rPr>
            <w:fldChar w:fldCharType="separate"/>
          </w:r>
          <w:r>
            <w:rPr>
              <w:rFonts w:eastAsia="仿宋_GB2312"/>
              <w:sz w:val="32"/>
              <w:szCs w:val="32"/>
            </w:rPr>
            <w:t>1</w:t>
          </w:r>
          <w:r>
            <w:rPr>
              <w:rFonts w:eastAsia="仿宋_GB2312"/>
              <w:sz w:val="32"/>
              <w:szCs w:val="32"/>
            </w:rPr>
            <w:fldChar w:fldCharType="end"/>
          </w:r>
          <w:r>
            <w:rPr>
              <w:rFonts w:eastAsia="仿宋_GB2312"/>
              <w:sz w:val="32"/>
              <w:szCs w:val="32"/>
            </w:rPr>
            <w:fldChar w:fldCharType="end"/>
          </w:r>
        </w:p>
        <w:p>
          <w:pPr>
            <w:pStyle w:val="17"/>
            <w:tabs>
              <w:tab w:val="right" w:leader="dot" w:pos="8306"/>
            </w:tabs>
            <w:rPr>
              <w:sz w:val="32"/>
              <w:szCs w:val="32"/>
            </w:rPr>
          </w:pPr>
          <w:r>
            <w:fldChar w:fldCharType="begin"/>
          </w:r>
          <w:r>
            <w:instrText xml:space="preserve"> HYPERLINK \l "_Toc4047" </w:instrText>
          </w:r>
          <w:r>
            <w:fldChar w:fldCharType="separate"/>
          </w:r>
          <w:r>
            <w:rPr>
              <w:rFonts w:hint="eastAsia" w:ascii="仿宋_GB2312" w:hAnsi="仿宋_GB2312" w:eastAsia="仿宋_GB2312" w:cs="仿宋_GB2312"/>
              <w:sz w:val="32"/>
              <w:szCs w:val="32"/>
            </w:rPr>
            <w:t>（二）部门整体绩效目标设立情况</w:t>
          </w:r>
          <w:r>
            <w:rPr>
              <w:rFonts w:hint="eastAsia" w:ascii="仿宋_GB2312" w:hAnsi="仿宋_GB2312" w:eastAsia="仿宋_GB2312" w:cs="仿宋_GB2312"/>
              <w:sz w:val="32"/>
              <w:szCs w:val="32"/>
            </w:rPr>
            <w:tab/>
          </w:r>
          <w:r>
            <w:rPr>
              <w:rFonts w:eastAsia="仿宋_GB2312"/>
              <w:sz w:val="32"/>
              <w:szCs w:val="32"/>
            </w:rPr>
            <w:fldChar w:fldCharType="begin"/>
          </w:r>
          <w:r>
            <w:rPr>
              <w:rFonts w:eastAsia="仿宋_GB2312"/>
              <w:sz w:val="32"/>
              <w:szCs w:val="32"/>
            </w:rPr>
            <w:instrText xml:space="preserve"> PAGEREF _Toc4047 \h </w:instrText>
          </w:r>
          <w:r>
            <w:rPr>
              <w:rFonts w:eastAsia="仿宋_GB2312"/>
              <w:sz w:val="32"/>
              <w:szCs w:val="32"/>
            </w:rPr>
            <w:fldChar w:fldCharType="separate"/>
          </w:r>
          <w:r>
            <w:rPr>
              <w:rFonts w:eastAsia="仿宋_GB2312"/>
              <w:sz w:val="32"/>
              <w:szCs w:val="32"/>
            </w:rPr>
            <w:t>5</w:t>
          </w:r>
          <w:r>
            <w:rPr>
              <w:rFonts w:eastAsia="仿宋_GB2312"/>
              <w:sz w:val="32"/>
              <w:szCs w:val="32"/>
            </w:rPr>
            <w:fldChar w:fldCharType="end"/>
          </w:r>
          <w:r>
            <w:rPr>
              <w:rFonts w:eastAsia="仿宋_GB2312"/>
              <w:sz w:val="32"/>
              <w:szCs w:val="32"/>
            </w:rPr>
            <w:fldChar w:fldCharType="end"/>
          </w:r>
        </w:p>
        <w:p>
          <w:pPr>
            <w:pStyle w:val="15"/>
            <w:tabs>
              <w:tab w:val="right" w:leader="dot" w:pos="8306"/>
              <w:tab w:val="clear" w:pos="8296"/>
            </w:tabs>
            <w:rPr>
              <w:rFonts w:hint="eastAsia" w:ascii="楷体_GB2312" w:hAnsi="楷体_GB2312" w:eastAsia="楷体_GB2312" w:cs="楷体_GB2312"/>
              <w:sz w:val="32"/>
              <w:szCs w:val="32"/>
            </w:rPr>
          </w:pPr>
          <w:r>
            <w:fldChar w:fldCharType="begin"/>
          </w:r>
          <w:r>
            <w:instrText xml:space="preserve"> HYPERLINK \l "_Toc4946" </w:instrText>
          </w:r>
          <w:r>
            <w:fldChar w:fldCharType="separate"/>
          </w:r>
          <w:r>
            <w:rPr>
              <w:rFonts w:hint="eastAsia" w:ascii="楷体_GB2312" w:hAnsi="楷体_GB2312" w:eastAsia="楷体_GB2312" w:cs="楷体_GB2312"/>
              <w:kern w:val="0"/>
              <w:sz w:val="32"/>
              <w:szCs w:val="32"/>
            </w:rPr>
            <w:t>二、当年预算执行情况</w:t>
          </w:r>
          <w:r>
            <w:rPr>
              <w:rFonts w:hint="eastAsia" w:ascii="楷体_GB2312" w:hAnsi="楷体_GB2312" w:eastAsia="楷体_GB2312" w:cs="楷体_GB2312"/>
              <w:sz w:val="32"/>
              <w:szCs w:val="32"/>
            </w:rPr>
            <w:tab/>
          </w:r>
          <w:r>
            <w:rPr>
              <w:rFonts w:ascii="Times New Roman" w:hAnsi="Times New Roman" w:eastAsia="楷体_GB2312"/>
              <w:b w:val="0"/>
              <w:bCs/>
              <w:sz w:val="32"/>
              <w:szCs w:val="32"/>
            </w:rPr>
            <w:fldChar w:fldCharType="begin"/>
          </w:r>
          <w:r>
            <w:rPr>
              <w:rFonts w:ascii="Times New Roman" w:hAnsi="Times New Roman" w:eastAsia="楷体_GB2312"/>
              <w:b w:val="0"/>
              <w:bCs/>
              <w:sz w:val="32"/>
              <w:szCs w:val="32"/>
            </w:rPr>
            <w:instrText xml:space="preserve"> PAGEREF _Toc4946 \h </w:instrText>
          </w:r>
          <w:r>
            <w:rPr>
              <w:rFonts w:ascii="Times New Roman" w:hAnsi="Times New Roman" w:eastAsia="楷体_GB2312"/>
              <w:b w:val="0"/>
              <w:bCs/>
              <w:sz w:val="32"/>
              <w:szCs w:val="32"/>
            </w:rPr>
            <w:fldChar w:fldCharType="separate"/>
          </w:r>
          <w:r>
            <w:rPr>
              <w:rFonts w:ascii="Times New Roman" w:hAnsi="Times New Roman" w:eastAsia="楷体_GB2312"/>
              <w:b w:val="0"/>
              <w:bCs/>
              <w:sz w:val="32"/>
              <w:szCs w:val="32"/>
            </w:rPr>
            <w:t>8</w:t>
          </w:r>
          <w:r>
            <w:rPr>
              <w:rFonts w:ascii="Times New Roman" w:hAnsi="Times New Roman" w:eastAsia="楷体_GB2312"/>
              <w:b w:val="0"/>
              <w:bCs/>
              <w:sz w:val="32"/>
              <w:szCs w:val="32"/>
            </w:rPr>
            <w:fldChar w:fldCharType="end"/>
          </w:r>
          <w:r>
            <w:rPr>
              <w:rFonts w:ascii="Times New Roman" w:hAnsi="Times New Roman" w:eastAsia="楷体_GB2312"/>
              <w:b w:val="0"/>
              <w:bCs/>
              <w:sz w:val="32"/>
              <w:szCs w:val="32"/>
            </w:rPr>
            <w:fldChar w:fldCharType="end"/>
          </w:r>
        </w:p>
        <w:p>
          <w:pPr>
            <w:pStyle w:val="15"/>
            <w:tabs>
              <w:tab w:val="right" w:leader="dot" w:pos="8306"/>
              <w:tab w:val="clear" w:pos="8296"/>
            </w:tabs>
            <w:rPr>
              <w:rFonts w:hint="eastAsia"/>
              <w:sz w:val="32"/>
              <w:szCs w:val="32"/>
            </w:rPr>
          </w:pPr>
          <w:r>
            <w:fldChar w:fldCharType="begin"/>
          </w:r>
          <w:r>
            <w:instrText xml:space="preserve"> HYPERLINK \l "_Toc23303" </w:instrText>
          </w:r>
          <w:r>
            <w:fldChar w:fldCharType="separate"/>
          </w:r>
          <w:r>
            <w:rPr>
              <w:rFonts w:hint="eastAsia" w:ascii="楷体_GB2312" w:hAnsi="楷体_GB2312" w:eastAsia="楷体_GB2312" w:cs="楷体_GB2312"/>
              <w:kern w:val="0"/>
              <w:sz w:val="32"/>
              <w:szCs w:val="32"/>
            </w:rPr>
            <w:t>三、整体绩效目标实现情况</w:t>
          </w:r>
          <w:r>
            <w:rPr>
              <w:rFonts w:hint="eastAsia" w:ascii="楷体_GB2312" w:hAnsi="楷体_GB2312" w:eastAsia="楷体_GB2312" w:cs="楷体_GB2312"/>
              <w:sz w:val="32"/>
              <w:szCs w:val="32"/>
            </w:rPr>
            <w:tab/>
          </w:r>
          <w:r>
            <w:rPr>
              <w:rFonts w:ascii="Times New Roman" w:hAnsi="Times New Roman" w:eastAsia="楷体_GB2312"/>
              <w:b w:val="0"/>
              <w:bCs/>
              <w:sz w:val="32"/>
              <w:szCs w:val="32"/>
            </w:rPr>
            <w:fldChar w:fldCharType="begin"/>
          </w:r>
          <w:r>
            <w:rPr>
              <w:rFonts w:ascii="Times New Roman" w:hAnsi="Times New Roman" w:eastAsia="楷体_GB2312"/>
              <w:b w:val="0"/>
              <w:bCs/>
              <w:sz w:val="32"/>
              <w:szCs w:val="32"/>
            </w:rPr>
            <w:instrText xml:space="preserve"> PAGEREF _Toc23303 \h </w:instrText>
          </w:r>
          <w:r>
            <w:rPr>
              <w:rFonts w:ascii="Times New Roman" w:hAnsi="Times New Roman" w:eastAsia="楷体_GB2312"/>
              <w:b w:val="0"/>
              <w:bCs/>
              <w:sz w:val="32"/>
              <w:szCs w:val="32"/>
            </w:rPr>
            <w:fldChar w:fldCharType="separate"/>
          </w:r>
          <w:r>
            <w:rPr>
              <w:rFonts w:ascii="Times New Roman" w:hAnsi="Times New Roman" w:eastAsia="楷体_GB2312"/>
              <w:b w:val="0"/>
              <w:bCs/>
              <w:sz w:val="32"/>
              <w:szCs w:val="32"/>
            </w:rPr>
            <w:t>8</w:t>
          </w:r>
          <w:r>
            <w:rPr>
              <w:rFonts w:ascii="Times New Roman" w:hAnsi="Times New Roman" w:eastAsia="楷体_GB2312"/>
              <w:b w:val="0"/>
              <w:bCs/>
              <w:sz w:val="32"/>
              <w:szCs w:val="32"/>
            </w:rPr>
            <w:fldChar w:fldCharType="end"/>
          </w:r>
          <w:r>
            <w:rPr>
              <w:rFonts w:ascii="Times New Roman" w:hAnsi="Times New Roman" w:eastAsia="楷体_GB2312"/>
              <w:b w:val="0"/>
              <w:bCs/>
              <w:sz w:val="32"/>
              <w:szCs w:val="32"/>
            </w:rPr>
            <w:fldChar w:fldCharType="end"/>
          </w:r>
        </w:p>
        <w:p>
          <w:pPr>
            <w:pStyle w:val="17"/>
            <w:tabs>
              <w:tab w:val="right" w:leader="dot" w:pos="8306"/>
            </w:tabs>
            <w:rPr>
              <w:rFonts w:hint="eastAsia" w:ascii="仿宋_GB2312" w:hAnsi="仿宋_GB2312" w:eastAsia="仿宋_GB2312" w:cs="仿宋_GB2312"/>
              <w:sz w:val="32"/>
              <w:szCs w:val="32"/>
            </w:rPr>
          </w:pPr>
          <w:r>
            <w:fldChar w:fldCharType="begin"/>
          </w:r>
          <w:r>
            <w:instrText xml:space="preserve"> HYPERLINK \l "_Toc16031" </w:instrText>
          </w:r>
          <w:r>
            <w:fldChar w:fldCharType="separate"/>
          </w:r>
          <w:r>
            <w:rPr>
              <w:rFonts w:hint="eastAsia" w:ascii="仿宋_GB2312" w:hAnsi="仿宋_GB2312" w:eastAsia="仿宋_GB2312" w:cs="仿宋_GB2312"/>
              <w:sz w:val="32"/>
              <w:szCs w:val="32"/>
            </w:rPr>
            <w:t>（一）产出完成情况分析</w:t>
          </w:r>
          <w:r>
            <w:rPr>
              <w:rFonts w:hint="eastAsia" w:ascii="仿宋_GB2312" w:hAnsi="仿宋_GB2312" w:eastAsia="仿宋_GB2312" w:cs="仿宋_GB2312"/>
              <w:sz w:val="32"/>
              <w:szCs w:val="32"/>
            </w:rPr>
            <w:tab/>
          </w:r>
          <w:r>
            <w:rPr>
              <w:rFonts w:eastAsia="仿宋_GB2312"/>
              <w:sz w:val="32"/>
              <w:szCs w:val="32"/>
            </w:rPr>
            <w:fldChar w:fldCharType="begin"/>
          </w:r>
          <w:r>
            <w:rPr>
              <w:rFonts w:eastAsia="仿宋_GB2312"/>
              <w:sz w:val="32"/>
              <w:szCs w:val="32"/>
            </w:rPr>
            <w:instrText xml:space="preserve"> PAGEREF _Toc16031 \h </w:instrText>
          </w:r>
          <w:r>
            <w:rPr>
              <w:rFonts w:eastAsia="仿宋_GB2312"/>
              <w:sz w:val="32"/>
              <w:szCs w:val="32"/>
            </w:rPr>
            <w:fldChar w:fldCharType="separate"/>
          </w:r>
          <w:r>
            <w:rPr>
              <w:rFonts w:eastAsia="仿宋_GB2312"/>
              <w:sz w:val="32"/>
              <w:szCs w:val="32"/>
            </w:rPr>
            <w:t>8</w:t>
          </w:r>
          <w:r>
            <w:rPr>
              <w:rFonts w:eastAsia="仿宋_GB2312"/>
              <w:sz w:val="32"/>
              <w:szCs w:val="32"/>
            </w:rPr>
            <w:fldChar w:fldCharType="end"/>
          </w:r>
          <w:r>
            <w:rPr>
              <w:rFonts w:eastAsia="仿宋_GB2312"/>
              <w:sz w:val="32"/>
              <w:szCs w:val="32"/>
            </w:rPr>
            <w:fldChar w:fldCharType="end"/>
          </w:r>
        </w:p>
        <w:p>
          <w:pPr>
            <w:pStyle w:val="17"/>
            <w:tabs>
              <w:tab w:val="right" w:leader="dot" w:pos="8306"/>
            </w:tabs>
            <w:rPr>
              <w:sz w:val="32"/>
              <w:szCs w:val="32"/>
            </w:rPr>
          </w:pPr>
          <w:r>
            <w:fldChar w:fldCharType="begin"/>
          </w:r>
          <w:r>
            <w:instrText xml:space="preserve"> HYPERLINK \l "_Toc3937" </w:instrText>
          </w:r>
          <w:r>
            <w:fldChar w:fldCharType="separate"/>
          </w:r>
          <w:r>
            <w:rPr>
              <w:rFonts w:hint="eastAsia" w:ascii="仿宋_GB2312" w:hAnsi="仿宋_GB2312" w:eastAsia="仿宋_GB2312" w:cs="仿宋_GB2312"/>
              <w:sz w:val="32"/>
              <w:szCs w:val="32"/>
            </w:rPr>
            <w:t>（二）效果实现情况分析</w:t>
          </w:r>
          <w:r>
            <w:rPr>
              <w:rFonts w:hint="eastAsia" w:ascii="仿宋_GB2312" w:hAnsi="仿宋_GB2312" w:eastAsia="仿宋_GB2312" w:cs="仿宋_GB2312"/>
              <w:sz w:val="32"/>
              <w:szCs w:val="32"/>
            </w:rPr>
            <w:tab/>
          </w:r>
          <w:r>
            <w:rPr>
              <w:rFonts w:eastAsia="仿宋_GB2312"/>
              <w:sz w:val="32"/>
              <w:szCs w:val="32"/>
            </w:rPr>
            <w:fldChar w:fldCharType="begin"/>
          </w:r>
          <w:r>
            <w:rPr>
              <w:rFonts w:eastAsia="仿宋_GB2312"/>
              <w:sz w:val="32"/>
              <w:szCs w:val="32"/>
            </w:rPr>
            <w:instrText xml:space="preserve"> PAGEREF _Toc3937 \h </w:instrText>
          </w:r>
          <w:r>
            <w:rPr>
              <w:rFonts w:eastAsia="仿宋_GB2312"/>
              <w:sz w:val="32"/>
              <w:szCs w:val="32"/>
            </w:rPr>
            <w:fldChar w:fldCharType="separate"/>
          </w:r>
          <w:r>
            <w:rPr>
              <w:rFonts w:eastAsia="仿宋_GB2312"/>
              <w:sz w:val="32"/>
              <w:szCs w:val="32"/>
            </w:rPr>
            <w:t>11</w:t>
          </w:r>
          <w:r>
            <w:rPr>
              <w:rFonts w:eastAsia="仿宋_GB2312"/>
              <w:sz w:val="32"/>
              <w:szCs w:val="32"/>
            </w:rPr>
            <w:fldChar w:fldCharType="end"/>
          </w:r>
          <w:r>
            <w:rPr>
              <w:rFonts w:eastAsia="仿宋_GB2312"/>
              <w:sz w:val="32"/>
              <w:szCs w:val="32"/>
            </w:rPr>
            <w:fldChar w:fldCharType="end"/>
          </w:r>
        </w:p>
        <w:p>
          <w:pPr>
            <w:pStyle w:val="15"/>
            <w:tabs>
              <w:tab w:val="right" w:leader="dot" w:pos="8306"/>
              <w:tab w:val="clear" w:pos="8296"/>
            </w:tabs>
            <w:rPr>
              <w:rFonts w:hint="eastAsia"/>
              <w:sz w:val="32"/>
              <w:szCs w:val="32"/>
            </w:rPr>
          </w:pPr>
          <w:r>
            <w:fldChar w:fldCharType="begin"/>
          </w:r>
          <w:r>
            <w:instrText xml:space="preserve"> HYPERLINK \l "_Toc26475" </w:instrText>
          </w:r>
          <w:r>
            <w:fldChar w:fldCharType="separate"/>
          </w:r>
          <w:r>
            <w:rPr>
              <w:rFonts w:hint="eastAsia" w:ascii="楷体_GB2312" w:hAnsi="楷体_GB2312" w:eastAsia="楷体_GB2312" w:cs="楷体_GB2312"/>
              <w:kern w:val="0"/>
              <w:sz w:val="32"/>
              <w:szCs w:val="32"/>
            </w:rPr>
            <w:t>四、预算管理情况分析</w:t>
          </w:r>
          <w:r>
            <w:rPr>
              <w:rFonts w:hint="eastAsia" w:ascii="楷体_GB2312" w:hAnsi="楷体_GB2312" w:eastAsia="楷体_GB2312" w:cs="楷体_GB2312"/>
              <w:sz w:val="32"/>
              <w:szCs w:val="32"/>
            </w:rPr>
            <w:tab/>
          </w:r>
          <w:r>
            <w:rPr>
              <w:rFonts w:ascii="Times New Roman" w:hAnsi="Times New Roman" w:eastAsia="楷体_GB2312"/>
              <w:b w:val="0"/>
              <w:bCs/>
              <w:sz w:val="32"/>
              <w:szCs w:val="32"/>
            </w:rPr>
            <w:fldChar w:fldCharType="begin"/>
          </w:r>
          <w:r>
            <w:rPr>
              <w:rFonts w:ascii="Times New Roman" w:hAnsi="Times New Roman" w:eastAsia="楷体_GB2312"/>
              <w:b w:val="0"/>
              <w:bCs/>
              <w:sz w:val="32"/>
              <w:szCs w:val="32"/>
            </w:rPr>
            <w:instrText xml:space="preserve"> PAGEREF _Toc26475 \h </w:instrText>
          </w:r>
          <w:r>
            <w:rPr>
              <w:rFonts w:ascii="Times New Roman" w:hAnsi="Times New Roman" w:eastAsia="楷体_GB2312"/>
              <w:b w:val="0"/>
              <w:bCs/>
              <w:sz w:val="32"/>
              <w:szCs w:val="32"/>
            </w:rPr>
            <w:fldChar w:fldCharType="separate"/>
          </w:r>
          <w:r>
            <w:rPr>
              <w:rFonts w:ascii="Times New Roman" w:hAnsi="Times New Roman" w:eastAsia="楷体_GB2312"/>
              <w:b w:val="0"/>
              <w:bCs/>
              <w:sz w:val="32"/>
              <w:szCs w:val="32"/>
            </w:rPr>
            <w:t>13</w:t>
          </w:r>
          <w:r>
            <w:rPr>
              <w:rFonts w:ascii="Times New Roman" w:hAnsi="Times New Roman" w:eastAsia="楷体_GB2312"/>
              <w:b w:val="0"/>
              <w:bCs/>
              <w:sz w:val="32"/>
              <w:szCs w:val="32"/>
            </w:rPr>
            <w:fldChar w:fldCharType="end"/>
          </w:r>
          <w:r>
            <w:rPr>
              <w:rFonts w:ascii="Times New Roman" w:hAnsi="Times New Roman" w:eastAsia="楷体_GB2312"/>
              <w:b w:val="0"/>
              <w:bCs/>
              <w:sz w:val="32"/>
              <w:szCs w:val="32"/>
            </w:rPr>
            <w:fldChar w:fldCharType="end"/>
          </w:r>
        </w:p>
        <w:p>
          <w:pPr>
            <w:pStyle w:val="17"/>
            <w:tabs>
              <w:tab w:val="right" w:leader="dot" w:pos="8306"/>
            </w:tabs>
            <w:rPr>
              <w:rFonts w:hint="eastAsia" w:ascii="仿宋_GB2312" w:hAnsi="仿宋_GB2312" w:eastAsia="仿宋_GB2312" w:cs="仿宋_GB2312"/>
              <w:sz w:val="32"/>
              <w:szCs w:val="32"/>
            </w:rPr>
          </w:pPr>
          <w:r>
            <w:fldChar w:fldCharType="begin"/>
          </w:r>
          <w:r>
            <w:instrText xml:space="preserve"> HYPERLINK \l "_Toc2445" </w:instrText>
          </w:r>
          <w:r>
            <w:fldChar w:fldCharType="separate"/>
          </w:r>
          <w:r>
            <w:rPr>
              <w:rFonts w:hint="eastAsia" w:ascii="仿宋_GB2312" w:hAnsi="仿宋_GB2312" w:eastAsia="仿宋_GB2312" w:cs="仿宋_GB2312"/>
              <w:sz w:val="32"/>
              <w:szCs w:val="32"/>
            </w:rPr>
            <w:t>（一）财务管理</w:t>
          </w:r>
          <w:r>
            <w:rPr>
              <w:rFonts w:hint="eastAsia" w:ascii="仿宋_GB2312" w:hAnsi="仿宋_GB2312" w:eastAsia="仿宋_GB2312" w:cs="仿宋_GB2312"/>
              <w:sz w:val="32"/>
              <w:szCs w:val="32"/>
            </w:rPr>
            <w:tab/>
          </w:r>
          <w:r>
            <w:rPr>
              <w:rFonts w:eastAsia="仿宋_GB2312"/>
              <w:sz w:val="32"/>
              <w:szCs w:val="32"/>
            </w:rPr>
            <w:fldChar w:fldCharType="begin"/>
          </w:r>
          <w:r>
            <w:rPr>
              <w:rFonts w:eastAsia="仿宋_GB2312"/>
              <w:sz w:val="32"/>
              <w:szCs w:val="32"/>
            </w:rPr>
            <w:instrText xml:space="preserve"> PAGEREF _Toc2445 \h </w:instrText>
          </w:r>
          <w:r>
            <w:rPr>
              <w:rFonts w:eastAsia="仿宋_GB2312"/>
              <w:sz w:val="32"/>
              <w:szCs w:val="32"/>
            </w:rPr>
            <w:fldChar w:fldCharType="separate"/>
          </w:r>
          <w:r>
            <w:rPr>
              <w:rFonts w:eastAsia="仿宋_GB2312"/>
              <w:sz w:val="32"/>
              <w:szCs w:val="32"/>
            </w:rPr>
            <w:t>13</w:t>
          </w:r>
          <w:r>
            <w:rPr>
              <w:rFonts w:eastAsia="仿宋_GB2312"/>
              <w:sz w:val="32"/>
              <w:szCs w:val="32"/>
            </w:rPr>
            <w:fldChar w:fldCharType="end"/>
          </w:r>
          <w:r>
            <w:rPr>
              <w:rFonts w:eastAsia="仿宋_GB2312"/>
              <w:sz w:val="32"/>
              <w:szCs w:val="32"/>
            </w:rPr>
            <w:fldChar w:fldCharType="end"/>
          </w:r>
        </w:p>
        <w:p>
          <w:pPr>
            <w:pStyle w:val="17"/>
            <w:tabs>
              <w:tab w:val="right" w:leader="dot" w:pos="8306"/>
            </w:tabs>
            <w:rPr>
              <w:rFonts w:hint="eastAsia" w:ascii="仿宋_GB2312" w:hAnsi="仿宋_GB2312" w:eastAsia="仿宋_GB2312" w:cs="仿宋_GB2312"/>
              <w:sz w:val="32"/>
              <w:szCs w:val="32"/>
            </w:rPr>
          </w:pPr>
          <w:r>
            <w:fldChar w:fldCharType="begin"/>
          </w:r>
          <w:r>
            <w:instrText xml:space="preserve"> HYPERLINK \l "_Toc18651" </w:instrText>
          </w:r>
          <w:r>
            <w:fldChar w:fldCharType="separate"/>
          </w:r>
          <w:r>
            <w:rPr>
              <w:rFonts w:hint="eastAsia" w:ascii="仿宋_GB2312" w:hAnsi="仿宋_GB2312" w:eastAsia="仿宋_GB2312" w:cs="仿宋_GB2312"/>
              <w:sz w:val="32"/>
              <w:szCs w:val="32"/>
            </w:rPr>
            <w:t>（二）资产管理</w:t>
          </w:r>
          <w:r>
            <w:rPr>
              <w:rFonts w:hint="eastAsia" w:ascii="仿宋_GB2312" w:hAnsi="仿宋_GB2312" w:eastAsia="仿宋_GB2312" w:cs="仿宋_GB2312"/>
              <w:sz w:val="32"/>
              <w:szCs w:val="32"/>
            </w:rPr>
            <w:tab/>
          </w:r>
          <w:r>
            <w:rPr>
              <w:rFonts w:eastAsia="仿宋_GB2312"/>
              <w:sz w:val="32"/>
              <w:szCs w:val="32"/>
            </w:rPr>
            <w:fldChar w:fldCharType="begin"/>
          </w:r>
          <w:r>
            <w:rPr>
              <w:rFonts w:eastAsia="仿宋_GB2312"/>
              <w:sz w:val="32"/>
              <w:szCs w:val="32"/>
            </w:rPr>
            <w:instrText xml:space="preserve"> PAGEREF _Toc18651 \h </w:instrText>
          </w:r>
          <w:r>
            <w:rPr>
              <w:rFonts w:eastAsia="仿宋_GB2312"/>
              <w:sz w:val="32"/>
              <w:szCs w:val="32"/>
            </w:rPr>
            <w:fldChar w:fldCharType="separate"/>
          </w:r>
          <w:r>
            <w:rPr>
              <w:rFonts w:eastAsia="仿宋_GB2312"/>
              <w:sz w:val="32"/>
              <w:szCs w:val="32"/>
            </w:rPr>
            <w:t>15</w:t>
          </w:r>
          <w:r>
            <w:rPr>
              <w:rFonts w:eastAsia="仿宋_GB2312"/>
              <w:sz w:val="32"/>
              <w:szCs w:val="32"/>
            </w:rPr>
            <w:fldChar w:fldCharType="end"/>
          </w:r>
          <w:r>
            <w:rPr>
              <w:rFonts w:eastAsia="仿宋_GB2312"/>
              <w:sz w:val="32"/>
              <w:szCs w:val="32"/>
            </w:rPr>
            <w:fldChar w:fldCharType="end"/>
          </w:r>
        </w:p>
        <w:p>
          <w:pPr>
            <w:pStyle w:val="17"/>
            <w:tabs>
              <w:tab w:val="right" w:leader="dot" w:pos="8306"/>
            </w:tabs>
            <w:rPr>
              <w:sz w:val="32"/>
              <w:szCs w:val="32"/>
            </w:rPr>
          </w:pPr>
          <w:r>
            <w:fldChar w:fldCharType="begin"/>
          </w:r>
          <w:r>
            <w:instrText xml:space="preserve"> HYPERLINK \l "_Toc27777" </w:instrText>
          </w:r>
          <w:r>
            <w:fldChar w:fldCharType="separate"/>
          </w:r>
          <w:r>
            <w:rPr>
              <w:rFonts w:hint="eastAsia" w:ascii="仿宋_GB2312" w:hAnsi="仿宋_GB2312" w:eastAsia="仿宋_GB2312" w:cs="仿宋_GB2312"/>
              <w:sz w:val="32"/>
              <w:szCs w:val="32"/>
            </w:rPr>
            <w:t>（三）绩效管理</w:t>
          </w:r>
          <w:r>
            <w:rPr>
              <w:rFonts w:hint="eastAsia" w:ascii="仿宋_GB2312" w:hAnsi="仿宋_GB2312" w:eastAsia="仿宋_GB2312" w:cs="仿宋_GB2312"/>
              <w:sz w:val="32"/>
              <w:szCs w:val="32"/>
            </w:rPr>
            <w:tab/>
          </w:r>
          <w:r>
            <w:rPr>
              <w:rFonts w:eastAsia="仿宋_GB2312"/>
              <w:sz w:val="32"/>
              <w:szCs w:val="32"/>
            </w:rPr>
            <w:fldChar w:fldCharType="begin"/>
          </w:r>
          <w:r>
            <w:rPr>
              <w:rFonts w:eastAsia="仿宋_GB2312"/>
              <w:sz w:val="32"/>
              <w:szCs w:val="32"/>
            </w:rPr>
            <w:instrText xml:space="preserve"> PAGEREF _Toc27777 \h </w:instrText>
          </w:r>
          <w:r>
            <w:rPr>
              <w:rFonts w:eastAsia="仿宋_GB2312"/>
              <w:sz w:val="32"/>
              <w:szCs w:val="32"/>
            </w:rPr>
            <w:fldChar w:fldCharType="separate"/>
          </w:r>
          <w:r>
            <w:rPr>
              <w:rFonts w:eastAsia="仿宋_GB2312"/>
              <w:sz w:val="32"/>
              <w:szCs w:val="32"/>
            </w:rPr>
            <w:t>15</w:t>
          </w:r>
          <w:r>
            <w:rPr>
              <w:rFonts w:eastAsia="仿宋_GB2312"/>
              <w:sz w:val="32"/>
              <w:szCs w:val="32"/>
            </w:rPr>
            <w:fldChar w:fldCharType="end"/>
          </w:r>
          <w:r>
            <w:rPr>
              <w:rFonts w:eastAsia="仿宋_GB2312"/>
              <w:sz w:val="32"/>
              <w:szCs w:val="32"/>
            </w:rPr>
            <w:fldChar w:fldCharType="end"/>
          </w:r>
        </w:p>
        <w:p>
          <w:pPr>
            <w:pStyle w:val="15"/>
            <w:tabs>
              <w:tab w:val="right" w:leader="dot" w:pos="8306"/>
              <w:tab w:val="clear" w:pos="8296"/>
            </w:tabs>
            <w:rPr>
              <w:rFonts w:hint="eastAsia"/>
              <w:sz w:val="32"/>
              <w:szCs w:val="32"/>
            </w:rPr>
          </w:pPr>
          <w:r>
            <w:fldChar w:fldCharType="begin"/>
          </w:r>
          <w:r>
            <w:instrText xml:space="preserve"> HYPERLINK \l "_Toc9419" </w:instrText>
          </w:r>
          <w:r>
            <w:fldChar w:fldCharType="separate"/>
          </w:r>
          <w:r>
            <w:rPr>
              <w:rFonts w:hint="eastAsia" w:ascii="楷体_GB2312" w:hAnsi="楷体_GB2312" w:eastAsia="楷体_GB2312" w:cs="楷体_GB2312"/>
              <w:sz w:val="32"/>
              <w:szCs w:val="32"/>
            </w:rPr>
            <w:t>五、总体评价结论</w:t>
          </w:r>
          <w:r>
            <w:rPr>
              <w:rFonts w:hint="eastAsia" w:ascii="楷体_GB2312" w:hAnsi="楷体_GB2312" w:eastAsia="楷体_GB2312" w:cs="楷体_GB2312"/>
              <w:sz w:val="32"/>
              <w:szCs w:val="32"/>
            </w:rPr>
            <w:tab/>
          </w:r>
          <w:r>
            <w:rPr>
              <w:rFonts w:ascii="Times New Roman" w:hAnsi="Times New Roman" w:eastAsia="楷体_GB2312"/>
              <w:b w:val="0"/>
              <w:bCs/>
              <w:sz w:val="32"/>
              <w:szCs w:val="32"/>
            </w:rPr>
            <w:fldChar w:fldCharType="begin"/>
          </w:r>
          <w:r>
            <w:rPr>
              <w:rFonts w:ascii="Times New Roman" w:hAnsi="Times New Roman" w:eastAsia="楷体_GB2312"/>
              <w:b w:val="0"/>
              <w:bCs/>
              <w:sz w:val="32"/>
              <w:szCs w:val="32"/>
            </w:rPr>
            <w:instrText xml:space="preserve"> PAGEREF _Toc9419 \h </w:instrText>
          </w:r>
          <w:r>
            <w:rPr>
              <w:rFonts w:ascii="Times New Roman" w:hAnsi="Times New Roman" w:eastAsia="楷体_GB2312"/>
              <w:b w:val="0"/>
              <w:bCs/>
              <w:sz w:val="32"/>
              <w:szCs w:val="32"/>
            </w:rPr>
            <w:fldChar w:fldCharType="separate"/>
          </w:r>
          <w:r>
            <w:rPr>
              <w:rFonts w:ascii="Times New Roman" w:hAnsi="Times New Roman" w:eastAsia="楷体_GB2312"/>
              <w:b w:val="0"/>
              <w:bCs/>
              <w:sz w:val="32"/>
              <w:szCs w:val="32"/>
            </w:rPr>
            <w:t>16</w:t>
          </w:r>
          <w:r>
            <w:rPr>
              <w:rFonts w:ascii="Times New Roman" w:hAnsi="Times New Roman" w:eastAsia="楷体_GB2312"/>
              <w:b w:val="0"/>
              <w:bCs/>
              <w:sz w:val="32"/>
              <w:szCs w:val="32"/>
            </w:rPr>
            <w:fldChar w:fldCharType="end"/>
          </w:r>
          <w:r>
            <w:rPr>
              <w:rFonts w:ascii="Times New Roman" w:hAnsi="Times New Roman" w:eastAsia="楷体_GB2312"/>
              <w:b w:val="0"/>
              <w:bCs/>
              <w:sz w:val="32"/>
              <w:szCs w:val="32"/>
            </w:rPr>
            <w:fldChar w:fldCharType="end"/>
          </w:r>
        </w:p>
        <w:p>
          <w:pPr>
            <w:pStyle w:val="17"/>
            <w:tabs>
              <w:tab w:val="right" w:leader="dot" w:pos="8306"/>
            </w:tabs>
            <w:rPr>
              <w:rFonts w:hint="eastAsia" w:ascii="仿宋_GB2312" w:hAnsi="仿宋_GB2312" w:eastAsia="仿宋_GB2312" w:cs="仿宋_GB2312"/>
              <w:sz w:val="32"/>
              <w:szCs w:val="32"/>
            </w:rPr>
          </w:pPr>
          <w:r>
            <w:fldChar w:fldCharType="begin"/>
          </w:r>
          <w:r>
            <w:instrText xml:space="preserve"> HYPERLINK \l "_Toc31337" </w:instrText>
          </w:r>
          <w:r>
            <w:fldChar w:fldCharType="separate"/>
          </w:r>
          <w:r>
            <w:rPr>
              <w:rFonts w:hint="eastAsia" w:ascii="仿宋_GB2312" w:hAnsi="仿宋_GB2312" w:eastAsia="仿宋_GB2312" w:cs="仿宋_GB2312"/>
              <w:sz w:val="32"/>
              <w:szCs w:val="32"/>
            </w:rPr>
            <w:t>（一）评价得分情况</w:t>
          </w:r>
          <w:r>
            <w:rPr>
              <w:rFonts w:hint="eastAsia" w:ascii="仿宋_GB2312" w:hAnsi="仿宋_GB2312" w:eastAsia="仿宋_GB2312" w:cs="仿宋_GB2312"/>
              <w:sz w:val="32"/>
              <w:szCs w:val="32"/>
            </w:rPr>
            <w:tab/>
          </w:r>
          <w:r>
            <w:rPr>
              <w:rFonts w:eastAsia="仿宋_GB2312"/>
              <w:sz w:val="32"/>
              <w:szCs w:val="32"/>
            </w:rPr>
            <w:fldChar w:fldCharType="begin"/>
          </w:r>
          <w:r>
            <w:rPr>
              <w:rFonts w:eastAsia="仿宋_GB2312"/>
              <w:sz w:val="32"/>
              <w:szCs w:val="32"/>
            </w:rPr>
            <w:instrText xml:space="preserve"> PAGEREF _Toc31337 \h </w:instrText>
          </w:r>
          <w:r>
            <w:rPr>
              <w:rFonts w:eastAsia="仿宋_GB2312"/>
              <w:sz w:val="32"/>
              <w:szCs w:val="32"/>
            </w:rPr>
            <w:fldChar w:fldCharType="separate"/>
          </w:r>
          <w:r>
            <w:rPr>
              <w:rFonts w:eastAsia="仿宋_GB2312"/>
              <w:sz w:val="32"/>
              <w:szCs w:val="32"/>
            </w:rPr>
            <w:t>16</w:t>
          </w:r>
          <w:r>
            <w:rPr>
              <w:rFonts w:eastAsia="仿宋_GB2312"/>
              <w:sz w:val="32"/>
              <w:szCs w:val="32"/>
            </w:rPr>
            <w:fldChar w:fldCharType="end"/>
          </w:r>
          <w:r>
            <w:rPr>
              <w:rFonts w:eastAsia="仿宋_GB2312"/>
              <w:sz w:val="32"/>
              <w:szCs w:val="32"/>
            </w:rPr>
            <w:fldChar w:fldCharType="end"/>
          </w:r>
        </w:p>
        <w:p>
          <w:pPr>
            <w:pStyle w:val="17"/>
            <w:tabs>
              <w:tab w:val="right" w:leader="dot" w:pos="8306"/>
            </w:tabs>
            <w:rPr>
              <w:sz w:val="32"/>
              <w:szCs w:val="32"/>
            </w:rPr>
          </w:pPr>
          <w:r>
            <w:fldChar w:fldCharType="begin"/>
          </w:r>
          <w:r>
            <w:instrText xml:space="preserve"> HYPERLINK \l "_Toc1422" </w:instrText>
          </w:r>
          <w:r>
            <w:fldChar w:fldCharType="separate"/>
          </w:r>
          <w:r>
            <w:rPr>
              <w:rFonts w:hint="eastAsia" w:ascii="仿宋_GB2312" w:hAnsi="仿宋_GB2312" w:eastAsia="仿宋_GB2312" w:cs="仿宋_GB2312"/>
              <w:sz w:val="32"/>
              <w:szCs w:val="32"/>
            </w:rPr>
            <w:t>（二）存在的问题及原因分析</w:t>
          </w:r>
          <w:r>
            <w:rPr>
              <w:rFonts w:hint="eastAsia" w:ascii="仿宋_GB2312" w:hAnsi="仿宋_GB2312" w:eastAsia="仿宋_GB2312" w:cs="仿宋_GB2312"/>
              <w:sz w:val="32"/>
              <w:szCs w:val="32"/>
            </w:rPr>
            <w:tab/>
          </w:r>
          <w:r>
            <w:rPr>
              <w:rFonts w:eastAsia="仿宋_GB2312"/>
              <w:sz w:val="32"/>
              <w:szCs w:val="32"/>
            </w:rPr>
            <w:fldChar w:fldCharType="begin"/>
          </w:r>
          <w:r>
            <w:rPr>
              <w:rFonts w:eastAsia="仿宋_GB2312"/>
              <w:sz w:val="32"/>
              <w:szCs w:val="32"/>
            </w:rPr>
            <w:instrText xml:space="preserve"> PAGEREF _Toc1422 \h </w:instrText>
          </w:r>
          <w:r>
            <w:rPr>
              <w:rFonts w:eastAsia="仿宋_GB2312"/>
              <w:sz w:val="32"/>
              <w:szCs w:val="32"/>
            </w:rPr>
            <w:fldChar w:fldCharType="separate"/>
          </w:r>
          <w:r>
            <w:rPr>
              <w:rFonts w:eastAsia="仿宋_GB2312"/>
              <w:sz w:val="32"/>
              <w:szCs w:val="32"/>
            </w:rPr>
            <w:t>16</w:t>
          </w:r>
          <w:r>
            <w:rPr>
              <w:rFonts w:eastAsia="仿宋_GB2312"/>
              <w:sz w:val="32"/>
              <w:szCs w:val="32"/>
            </w:rPr>
            <w:fldChar w:fldCharType="end"/>
          </w:r>
          <w:r>
            <w:rPr>
              <w:rFonts w:eastAsia="仿宋_GB2312"/>
              <w:sz w:val="32"/>
              <w:szCs w:val="32"/>
            </w:rPr>
            <w:fldChar w:fldCharType="end"/>
          </w:r>
        </w:p>
        <w:p>
          <w:pPr>
            <w:pStyle w:val="15"/>
            <w:tabs>
              <w:tab w:val="right" w:leader="dot" w:pos="8306"/>
              <w:tab w:val="clear" w:pos="8296"/>
            </w:tabs>
            <w:rPr>
              <w:rFonts w:hint="eastAsia" w:ascii="楷体_GB2312" w:hAnsi="楷体_GB2312" w:eastAsia="楷体_GB2312" w:cs="楷体_GB2312"/>
              <w:sz w:val="32"/>
              <w:szCs w:val="32"/>
            </w:rPr>
          </w:pPr>
          <w:r>
            <w:fldChar w:fldCharType="begin"/>
          </w:r>
          <w:r>
            <w:instrText xml:space="preserve"> HYPERLINK \l "_Toc27090" </w:instrText>
          </w:r>
          <w:r>
            <w:fldChar w:fldCharType="separate"/>
          </w:r>
          <w:r>
            <w:rPr>
              <w:rFonts w:hint="eastAsia" w:ascii="楷体_GB2312" w:hAnsi="楷体_GB2312" w:eastAsia="楷体_GB2312" w:cs="楷体_GB2312"/>
              <w:kern w:val="0"/>
              <w:sz w:val="32"/>
              <w:szCs w:val="32"/>
            </w:rPr>
            <w:t>六、措施建议</w:t>
          </w:r>
          <w:r>
            <w:rPr>
              <w:rFonts w:hint="eastAsia" w:ascii="楷体_GB2312" w:hAnsi="楷体_GB2312" w:eastAsia="楷体_GB2312" w:cs="楷体_GB2312"/>
              <w:sz w:val="32"/>
              <w:szCs w:val="32"/>
            </w:rPr>
            <w:tab/>
          </w:r>
          <w:r>
            <w:rPr>
              <w:rFonts w:ascii="Times New Roman" w:hAnsi="Times New Roman" w:eastAsia="楷体_GB2312"/>
              <w:b w:val="0"/>
              <w:bCs/>
              <w:sz w:val="32"/>
              <w:szCs w:val="32"/>
            </w:rPr>
            <w:fldChar w:fldCharType="begin"/>
          </w:r>
          <w:r>
            <w:rPr>
              <w:rFonts w:ascii="Times New Roman" w:hAnsi="Times New Roman" w:eastAsia="楷体_GB2312"/>
              <w:b w:val="0"/>
              <w:bCs/>
              <w:sz w:val="32"/>
              <w:szCs w:val="32"/>
            </w:rPr>
            <w:instrText xml:space="preserve"> PAGEREF _Toc27090 \h </w:instrText>
          </w:r>
          <w:r>
            <w:rPr>
              <w:rFonts w:ascii="Times New Roman" w:hAnsi="Times New Roman" w:eastAsia="楷体_GB2312"/>
              <w:b w:val="0"/>
              <w:bCs/>
              <w:sz w:val="32"/>
              <w:szCs w:val="32"/>
            </w:rPr>
            <w:fldChar w:fldCharType="separate"/>
          </w:r>
          <w:r>
            <w:rPr>
              <w:rFonts w:ascii="Times New Roman" w:hAnsi="Times New Roman" w:eastAsia="楷体_GB2312"/>
              <w:b w:val="0"/>
              <w:bCs/>
              <w:sz w:val="32"/>
              <w:szCs w:val="32"/>
            </w:rPr>
            <w:t>17</w:t>
          </w:r>
          <w:r>
            <w:rPr>
              <w:rFonts w:ascii="Times New Roman" w:hAnsi="Times New Roman" w:eastAsia="楷体_GB2312"/>
              <w:b w:val="0"/>
              <w:bCs/>
              <w:sz w:val="32"/>
              <w:szCs w:val="32"/>
            </w:rPr>
            <w:fldChar w:fldCharType="end"/>
          </w:r>
          <w:r>
            <w:rPr>
              <w:rFonts w:ascii="Times New Roman" w:hAnsi="Times New Roman" w:eastAsia="楷体_GB2312"/>
              <w:b w:val="0"/>
              <w:bCs/>
              <w:sz w:val="32"/>
              <w:szCs w:val="32"/>
            </w:rPr>
            <w:fldChar w:fldCharType="end"/>
          </w:r>
        </w:p>
        <w:p>
          <w:pPr>
            <w:pStyle w:val="15"/>
            <w:tabs>
              <w:tab w:val="right" w:leader="dot" w:pos="8306"/>
              <w:tab w:val="clear" w:pos="8296"/>
            </w:tabs>
            <w:rPr>
              <w:rFonts w:hint="eastAsia"/>
            </w:rPr>
          </w:pPr>
          <w:r>
            <w:fldChar w:fldCharType="begin"/>
          </w:r>
          <w:r>
            <w:instrText xml:space="preserve"> HYPERLINK \l "_Toc28380" </w:instrText>
          </w:r>
          <w:r>
            <w:fldChar w:fldCharType="separate"/>
          </w:r>
          <w:r>
            <w:rPr>
              <w:rFonts w:hint="eastAsia" w:ascii="楷体_GB2312" w:hAnsi="楷体_GB2312" w:eastAsia="楷体_GB2312" w:cs="楷体_GB2312"/>
              <w:kern w:val="0"/>
              <w:sz w:val="32"/>
              <w:szCs w:val="32"/>
            </w:rPr>
            <w:t>七、附件</w:t>
          </w:r>
          <w:r>
            <w:rPr>
              <w:rFonts w:hint="eastAsia" w:ascii="楷体_GB2312" w:hAnsi="楷体_GB2312" w:eastAsia="楷体_GB2312" w:cs="楷体_GB2312"/>
              <w:sz w:val="32"/>
              <w:szCs w:val="32"/>
            </w:rPr>
            <w:tab/>
          </w:r>
          <w:r>
            <w:rPr>
              <w:rFonts w:ascii="Times New Roman" w:hAnsi="Times New Roman" w:eastAsia="楷体_GB2312"/>
              <w:b w:val="0"/>
              <w:bCs/>
              <w:sz w:val="32"/>
              <w:szCs w:val="32"/>
            </w:rPr>
            <w:fldChar w:fldCharType="begin"/>
          </w:r>
          <w:r>
            <w:rPr>
              <w:rFonts w:ascii="Times New Roman" w:hAnsi="Times New Roman" w:eastAsia="楷体_GB2312"/>
              <w:b w:val="0"/>
              <w:bCs/>
              <w:sz w:val="32"/>
              <w:szCs w:val="32"/>
            </w:rPr>
            <w:instrText xml:space="preserve"> PAGEREF _Toc28380 \h </w:instrText>
          </w:r>
          <w:r>
            <w:rPr>
              <w:rFonts w:ascii="Times New Roman" w:hAnsi="Times New Roman" w:eastAsia="楷体_GB2312"/>
              <w:b w:val="0"/>
              <w:bCs/>
              <w:sz w:val="32"/>
              <w:szCs w:val="32"/>
            </w:rPr>
            <w:fldChar w:fldCharType="separate"/>
          </w:r>
          <w:r>
            <w:rPr>
              <w:rFonts w:ascii="Times New Roman" w:hAnsi="Times New Roman" w:eastAsia="楷体_GB2312"/>
              <w:b w:val="0"/>
              <w:bCs/>
              <w:sz w:val="32"/>
              <w:szCs w:val="32"/>
            </w:rPr>
            <w:t>18</w:t>
          </w:r>
          <w:r>
            <w:rPr>
              <w:rFonts w:ascii="Times New Roman" w:hAnsi="Times New Roman" w:eastAsia="楷体_GB2312"/>
              <w:b w:val="0"/>
              <w:bCs/>
              <w:sz w:val="32"/>
              <w:szCs w:val="32"/>
            </w:rPr>
            <w:fldChar w:fldCharType="end"/>
          </w:r>
          <w:r>
            <w:rPr>
              <w:rFonts w:ascii="Times New Roman" w:hAnsi="Times New Roman" w:eastAsia="楷体_GB2312"/>
              <w:b w:val="0"/>
              <w:bCs/>
              <w:sz w:val="32"/>
              <w:szCs w:val="32"/>
            </w:rPr>
            <w:fldChar w:fldCharType="end"/>
          </w:r>
        </w:p>
        <w:p>
          <w:pPr>
            <w:pStyle w:val="9"/>
            <w:tabs>
              <w:tab w:val="right" w:leader="dot" w:pos="8306"/>
            </w:tabs>
          </w:pPr>
        </w:p>
        <w:p>
          <w:pPr>
            <w:widowControl/>
            <w:spacing w:line="500" w:lineRule="exact"/>
            <w:jc w:val="left"/>
            <w:rPr>
              <w:rFonts w:hint="eastAsia" w:ascii="宋体" w:hAnsi="宋体"/>
            </w:rPr>
          </w:pPr>
          <w:r>
            <w:fldChar w:fldCharType="end"/>
          </w:r>
        </w:p>
      </w:sdtContent>
    </w:sdt>
    <w:p>
      <w:pPr>
        <w:spacing w:line="560" w:lineRule="exact"/>
        <w:jc w:val="center"/>
        <w:rPr>
          <w:rFonts w:hint="eastAsia" w:ascii="黑体" w:hAnsi="黑体" w:eastAsia="黑体"/>
          <w:sz w:val="44"/>
          <w:szCs w:val="44"/>
        </w:rPr>
      </w:pPr>
    </w:p>
    <w:p>
      <w:pPr>
        <w:spacing w:line="560" w:lineRule="exact"/>
        <w:jc w:val="center"/>
        <w:rPr>
          <w:rFonts w:hint="eastAsia" w:ascii="黑体" w:hAnsi="黑体" w:eastAsia="黑体"/>
          <w:sz w:val="44"/>
          <w:szCs w:val="44"/>
        </w:rPr>
      </w:pPr>
    </w:p>
    <w:p>
      <w:pPr>
        <w:spacing w:line="560" w:lineRule="exact"/>
        <w:jc w:val="center"/>
        <w:rPr>
          <w:rFonts w:hint="eastAsia" w:ascii="黑体" w:hAnsi="黑体" w:eastAsia="黑体"/>
          <w:sz w:val="44"/>
          <w:szCs w:val="44"/>
        </w:rPr>
      </w:pPr>
    </w:p>
    <w:p>
      <w:pPr>
        <w:spacing w:line="560" w:lineRule="exact"/>
        <w:jc w:val="center"/>
        <w:rPr>
          <w:rFonts w:hint="eastAsia" w:ascii="黑体" w:hAnsi="黑体" w:eastAsia="黑体"/>
          <w:sz w:val="44"/>
          <w:szCs w:val="44"/>
        </w:rPr>
      </w:pPr>
    </w:p>
    <w:p>
      <w:pPr>
        <w:spacing w:line="560" w:lineRule="exact"/>
        <w:jc w:val="center"/>
        <w:rPr>
          <w:rFonts w:hint="eastAsia" w:ascii="黑体" w:hAnsi="黑体" w:eastAsia="黑体"/>
          <w:sz w:val="44"/>
          <w:szCs w:val="44"/>
        </w:rPr>
        <w:sectPr>
          <w:footerReference r:id="rId6" w:type="default"/>
          <w:pgSz w:w="11906" w:h="16838"/>
          <w:pgMar w:top="1440" w:right="1800" w:bottom="1440" w:left="1800" w:header="851" w:footer="992" w:gutter="0"/>
          <w:pgNumType w:start="1"/>
          <w:cols w:space="425" w:num="1"/>
          <w:docGrid w:type="lines" w:linePitch="312" w:charSpace="0"/>
        </w:sectPr>
      </w:pPr>
    </w:p>
    <w:p>
      <w:pPr>
        <w:pStyle w:val="6"/>
      </w:pPr>
    </w:p>
    <w:p>
      <w:pPr>
        <w:spacing w:line="560" w:lineRule="exact"/>
        <w:jc w:val="center"/>
        <w:rPr>
          <w:rFonts w:hint="eastAsia" w:ascii="黑体" w:hAnsi="黑体" w:eastAsia="黑体"/>
          <w:sz w:val="44"/>
          <w:szCs w:val="44"/>
        </w:rPr>
      </w:pPr>
      <w:r>
        <w:rPr>
          <w:rFonts w:hint="eastAsia" w:ascii="黑体" w:hAnsi="黑体" w:eastAsia="黑体"/>
          <w:sz w:val="44"/>
          <w:szCs w:val="44"/>
        </w:rPr>
        <w:t>北京市大兴区人民法院</w:t>
      </w:r>
    </w:p>
    <w:p>
      <w:pPr>
        <w:spacing w:before="156" w:beforeLines="50" w:line="360" w:lineRule="auto"/>
        <w:ind w:right="1760"/>
        <w:jc w:val="right"/>
        <w:rPr>
          <w:rFonts w:hint="eastAsia" w:ascii="黑体" w:hAnsi="黑体" w:eastAsia="黑体"/>
          <w:sz w:val="44"/>
          <w:szCs w:val="44"/>
        </w:rPr>
      </w:pPr>
      <w:r>
        <w:rPr>
          <w:rFonts w:hint="eastAsia" w:ascii="黑体" w:hAnsi="黑体" w:eastAsia="黑体"/>
          <w:sz w:val="44"/>
          <w:szCs w:val="44"/>
        </w:rPr>
        <w:t>2024年部门整体绩效报告</w:t>
      </w:r>
    </w:p>
    <w:p>
      <w:pPr>
        <w:spacing w:line="560" w:lineRule="exact"/>
        <w:ind w:firstLine="640" w:firstLineChars="200"/>
        <w:outlineLvl w:val="0"/>
        <w:rPr>
          <w:rFonts w:hint="eastAsia" w:ascii="黑体" w:hAnsi="黑体" w:eastAsia="黑体" w:cs="宋体"/>
          <w:color w:val="000000"/>
          <w:kern w:val="0"/>
          <w:sz w:val="32"/>
          <w:szCs w:val="32"/>
        </w:rPr>
      </w:pPr>
      <w:bookmarkStart w:id="0" w:name="_Toc16556"/>
      <w:r>
        <w:rPr>
          <w:rFonts w:hint="eastAsia" w:ascii="黑体" w:hAnsi="黑体" w:eastAsia="黑体" w:cs="宋体"/>
          <w:color w:val="000000"/>
          <w:kern w:val="0"/>
          <w:sz w:val="32"/>
          <w:szCs w:val="32"/>
        </w:rPr>
        <w:t>一、部门概况</w:t>
      </w:r>
      <w:bookmarkEnd w:id="0"/>
    </w:p>
    <w:p>
      <w:pPr>
        <w:spacing w:line="560" w:lineRule="exact"/>
        <w:ind w:firstLine="640" w:firstLineChars="200"/>
        <w:outlineLvl w:val="1"/>
        <w:rPr>
          <w:rFonts w:ascii="楷体_GB2312" w:eastAsia="楷体_GB2312"/>
          <w:sz w:val="32"/>
          <w:szCs w:val="32"/>
        </w:rPr>
      </w:pPr>
      <w:bookmarkStart w:id="1" w:name="_Toc11402"/>
      <w:r>
        <w:rPr>
          <w:rFonts w:hint="eastAsia" w:ascii="楷体_GB2312" w:eastAsia="楷体_GB2312"/>
          <w:sz w:val="32"/>
          <w:szCs w:val="32"/>
        </w:rPr>
        <w:t>（一）机构设置及职责工作任务情况</w:t>
      </w:r>
      <w:bookmarkEnd w:id="1"/>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1.机构设置</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北京市大兴区人民法院共设19个内设机构，分别为：立案庭（诉讼服务中心）、刑事审判庭、民事审判一庭、民事审判二庭、行政审判庭、综合审判庭、执行局、审判管理办公室、政治部、综合办公室、司法警察大队、黄村人民法庭、红星人民法庭、安定人民法庭、庞各庄人民法庭、榆垡人民法庭、采育人民法庭、开发区人民法庭、综合事务中心。</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2.职责工作任务</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北京市大兴区人民法院是国家审判机关，负责审理辖区内刑事、民商事和行政等一审案件，受理和审查各类告诉、申诉案件，处理来信来访，对其中确有错误的已发生法律效力的判决、裁定根据审判监督程序进行再审，依法执行已发生法律效力的判决、裁定以及国家行政机关依法申请执行的案件。</w:t>
      </w:r>
    </w:p>
    <w:p>
      <w:pPr>
        <w:spacing w:line="560" w:lineRule="exact"/>
        <w:ind w:firstLine="640" w:firstLineChars="200"/>
        <w:outlineLvl w:val="1"/>
        <w:rPr>
          <w:rFonts w:ascii="楷体_GB2312" w:eastAsia="楷体_GB2312"/>
          <w:sz w:val="32"/>
          <w:szCs w:val="32"/>
        </w:rPr>
      </w:pPr>
      <w:bookmarkStart w:id="2" w:name="_Toc4047"/>
      <w:r>
        <w:rPr>
          <w:rFonts w:hint="eastAsia" w:ascii="楷体_GB2312" w:eastAsia="楷体_GB2312"/>
          <w:sz w:val="32"/>
          <w:szCs w:val="32"/>
        </w:rPr>
        <w:t>（二）部门整体绩效目标设立情况</w:t>
      </w:r>
      <w:bookmarkEnd w:id="2"/>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1.大兴区人民法院2024年度部门整体绩效目标设置为：坚持以习近平新时代中国特色社会主义思想为指导，深入学习贯彻习近平法治思想，强化党建引领，依法忠诚履行审判职责，认真完成常态化扫黑除恶、优化营商法治环境、“八五”普法等重要任务，持续推进审判执行、司法改革、党建队建工作，以高质量司法护航辖区高质量发展，为新时代首都发展和新大兴新国门建设提供更加优质高效的司法服务和保障。</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案件审批产出质量指标：（1）加强立案、审判和执行工作的协调配合，优化案件流程管控和案件质量管理，压实院庭长监督职责，不断推进矛盾纠纷高效实质化解，主动接受外部监督，全面准确落实司法责任制。（2）从严推进常态化扫黑除恶，严禁黄赌毒、食药环、盗抢骗等犯罪，扎实推进集中治理涉诉重复信访、化解信访积案专项行动，认真开展打击整治养老诈骗专项行动，服务保障平安大兴、法治大兴建设。（3）站稳人民立场，全面准确贯彻实施民法典及相关司法解释，妥善审理教育、就业、医疗、婚姻家庭等涉民生案件，加强金融、“双减”等重点领域风险防范，切实加强民生司法保障。（4）完善一站式多元解纷和诉讼服务体系，落实民事诉讼繁简分流举措，畅通调解、速裁和精审衔接流转机制，完善接诉即答、接单即办联系法官便民服务机制，升级12368诉讼服务热线，提供更加便捷高效的诉讼服务。（5）建立“1+6法治同行”工作机制，以“一镇街一支部”党建共建为引领，以在“一哨点、一法官、一订单、一课堂、一活动、一报告”六项举措为抓手，多维度、深层次融入基层社会治理，促进矛盾纠纷源头防范化解。</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案件执行产出质量指标：强化与公安、住建、金融等部门在查人找物、财产处置等方面的协作配合，完善线上线下财产查控手段与联合信用惩戒机制，提升终结本次执行及案款发放等工作的规范化水平，朝着切实解决执行难目标迈进。</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纪检监察产出质量指标：坚持管党治党讲规矩，层层压紧压实从严治党责任，巩固深化教育整顿成果，加强日常监督管理，持续推动防止干预司法“三个规定”等铁规禁令落实到位，营造风清气正的良好政治生态。</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信息化系统建设和运维产出质量指标：落实网上立案、跨域立案要求，贯彻落实人民法院在线诉讼、在线调解和在线运行“三大规则”，推进庭审语音同步生成、电子卷宗随案同步生成，优化拓展电子送达运用，切实增强智慧法院效能，保障人民群众诉讼权利。</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其他产出质量指标：（1）贯彻新时代党的建设总要求，加强政治建设、组织建设，扎实推进党史学习教育常态化、长效化，构建“一支部一品牌、一小组一特色”党建工作矩阵，加强先进典型推树，推动党建品牌内涵式发展。（2）深入贯彻落实党的二十大和二十届历次全会精神，筑牢对党忠诚的思想根基，推进政治素质、业务素质“双提升”工程，扎实开展全战线全覆盖轮训，充分发挥北京法院“执行特色人才高地”作用，全面提升履职能力。</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绩效目标设立依据：大兴区人民法院依据国家相关法律、法规和规章制度，国民经济和社会发展规划，北京市和大兴区相关法规、规章制度，单位职能、中长期发展规划、年度工作计划或项目规划以及北京市财政局预算绩效管理要求等，编报了部门整体绩效目标，设置了绩效指标，并对具体工作任务进行明确。</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3.目标与职责任务匹配情况：绩效目标符合国家、主管部门的相关文件精神，符合社会及行业的现实需求，与大兴区人民法院职责任务匹配、定位相符。</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4.目标合理性：绩效目标设置较为合理，绩效指标明确，但指标全部为定性目标，</w:t>
      </w:r>
      <w:bookmarkStart w:id="3" w:name="_Hlk135149230"/>
      <w:r>
        <w:rPr>
          <w:rFonts w:hint="eastAsia" w:ascii="仿宋_GB2312" w:hAnsi="仿宋" w:eastAsia="仿宋_GB2312" w:cs="仿宋"/>
          <w:sz w:val="32"/>
          <w:szCs w:val="32"/>
        </w:rPr>
        <w:t>指标设置量化程度、可考量性不足。</w:t>
      </w:r>
    </w:p>
    <w:bookmarkEnd w:id="3"/>
    <w:p>
      <w:pPr>
        <w:numPr>
          <w:ilvl w:val="0"/>
          <w:numId w:val="1"/>
        </w:numPr>
        <w:spacing w:line="560" w:lineRule="exact"/>
        <w:ind w:firstLine="640" w:firstLineChars="200"/>
        <w:outlineLvl w:val="0"/>
        <w:rPr>
          <w:rFonts w:hint="eastAsia" w:ascii="黑体" w:hAnsi="黑体" w:eastAsia="黑体" w:cs="宋体"/>
          <w:color w:val="000000"/>
          <w:kern w:val="0"/>
          <w:sz w:val="32"/>
          <w:szCs w:val="32"/>
        </w:rPr>
      </w:pPr>
      <w:bookmarkStart w:id="4" w:name="_Toc4946"/>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bookmarkEnd w:id="4"/>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2024年全年预算数</w:t>
      </w:r>
      <w:bookmarkStart w:id="5" w:name="_Hlk198098855"/>
      <w:r>
        <w:rPr>
          <w:rFonts w:ascii="仿宋_GB2312" w:hAnsi="仿宋" w:eastAsia="仿宋_GB2312" w:cs="仿宋"/>
          <w:sz w:val="32"/>
          <w:szCs w:val="32"/>
        </w:rPr>
        <w:t>24,027.25</w:t>
      </w:r>
      <w:r>
        <w:rPr>
          <w:rFonts w:hint="eastAsia" w:ascii="仿宋_GB2312" w:hAnsi="仿宋" w:eastAsia="仿宋_GB2312" w:cs="仿宋"/>
          <w:sz w:val="32"/>
          <w:szCs w:val="32"/>
        </w:rPr>
        <w:t>万元，其中，基本支出预算数</w:t>
      </w:r>
      <w:r>
        <w:rPr>
          <w:rFonts w:ascii="仿宋_GB2312" w:hAnsi="仿宋" w:eastAsia="仿宋_GB2312" w:cs="仿宋"/>
          <w:sz w:val="32"/>
          <w:szCs w:val="32"/>
        </w:rPr>
        <w:t>16,235.70</w:t>
      </w:r>
      <w:r>
        <w:rPr>
          <w:rFonts w:hint="eastAsia" w:ascii="仿宋_GB2312" w:hAnsi="仿宋" w:eastAsia="仿宋_GB2312" w:cs="仿宋"/>
          <w:sz w:val="32"/>
          <w:szCs w:val="32"/>
        </w:rPr>
        <w:t>万元，项目支出预算数</w:t>
      </w:r>
      <w:r>
        <w:rPr>
          <w:rFonts w:ascii="仿宋_GB2312" w:hAnsi="仿宋" w:eastAsia="仿宋_GB2312" w:cs="仿宋"/>
          <w:sz w:val="32"/>
          <w:szCs w:val="32"/>
        </w:rPr>
        <w:t>7,791.55</w:t>
      </w:r>
      <w:r>
        <w:rPr>
          <w:rFonts w:hint="eastAsia" w:ascii="仿宋_GB2312" w:hAnsi="仿宋" w:eastAsia="仿宋_GB2312" w:cs="仿宋"/>
          <w:sz w:val="32"/>
          <w:szCs w:val="32"/>
        </w:rPr>
        <w:t>万元。全年支出23,122.32万元，其中，基本支出</w:t>
      </w:r>
      <w:r>
        <w:rPr>
          <w:rFonts w:ascii="仿宋_GB2312" w:hAnsi="仿宋" w:eastAsia="仿宋_GB2312" w:cs="仿宋"/>
          <w:sz w:val="32"/>
          <w:szCs w:val="32"/>
        </w:rPr>
        <w:t>15,925.00</w:t>
      </w:r>
      <w:r>
        <w:rPr>
          <w:rFonts w:hint="eastAsia" w:ascii="仿宋_GB2312" w:hAnsi="仿宋" w:eastAsia="仿宋_GB2312" w:cs="仿宋"/>
          <w:sz w:val="32"/>
          <w:szCs w:val="32"/>
        </w:rPr>
        <w:t>万元，项目支出</w:t>
      </w:r>
      <w:r>
        <w:rPr>
          <w:rFonts w:ascii="仿宋_GB2312" w:hAnsi="仿宋" w:eastAsia="仿宋_GB2312" w:cs="仿宋"/>
          <w:sz w:val="32"/>
          <w:szCs w:val="32"/>
        </w:rPr>
        <w:t>7,197.33</w:t>
      </w:r>
      <w:r>
        <w:rPr>
          <w:rFonts w:hint="eastAsia" w:ascii="仿宋_GB2312" w:hAnsi="仿宋" w:eastAsia="仿宋_GB2312" w:cs="仿宋"/>
          <w:sz w:val="32"/>
          <w:szCs w:val="32"/>
        </w:rPr>
        <w:t>万元。预算执行率</w:t>
      </w:r>
      <w:r>
        <w:rPr>
          <w:rFonts w:ascii="仿宋_GB2312" w:hAnsi="仿宋" w:eastAsia="仿宋_GB2312" w:cs="仿宋"/>
          <w:sz w:val="32"/>
          <w:szCs w:val="32"/>
        </w:rPr>
        <w:t>96.23%</w:t>
      </w:r>
      <w:r>
        <w:rPr>
          <w:rFonts w:hint="eastAsia" w:ascii="仿宋_GB2312" w:hAnsi="仿宋" w:eastAsia="仿宋_GB2312" w:cs="仿宋"/>
          <w:sz w:val="32"/>
          <w:szCs w:val="32"/>
        </w:rPr>
        <w:t>。</w:t>
      </w:r>
    </w:p>
    <w:bookmarkEnd w:id="5"/>
    <w:p>
      <w:pPr>
        <w:spacing w:line="560" w:lineRule="exact"/>
        <w:ind w:firstLine="640" w:firstLineChars="200"/>
        <w:outlineLvl w:val="0"/>
        <w:rPr>
          <w:rFonts w:hint="eastAsia" w:ascii="黑体" w:hAnsi="黑体" w:eastAsia="黑体" w:cs="宋体"/>
          <w:color w:val="000000"/>
          <w:kern w:val="0"/>
          <w:sz w:val="32"/>
          <w:szCs w:val="32"/>
        </w:rPr>
      </w:pPr>
      <w:bookmarkStart w:id="6" w:name="_Toc23303"/>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bookmarkEnd w:id="6"/>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2024年，大兴区人民法院严格按照北京市财政局相关工作安排，对2024年度部门整体及项目支出进行了绩效评价，部门决策流程明确，申报程序合规；预算资金分配与部门绩效目标一致，分配结果合理，部门整体的成本费用控制在预算范围内，完成情况较好；相关项目自评均实现了项目绩效目标。具体分析如下：</w:t>
      </w:r>
    </w:p>
    <w:p>
      <w:pPr>
        <w:spacing w:line="560" w:lineRule="exact"/>
        <w:ind w:firstLine="640" w:firstLineChars="200"/>
        <w:outlineLvl w:val="1"/>
        <w:rPr>
          <w:rFonts w:hint="eastAsia" w:ascii="楷体" w:hAnsi="楷体" w:eastAsia="楷体"/>
          <w:sz w:val="32"/>
          <w:szCs w:val="32"/>
        </w:rPr>
      </w:pPr>
      <w:bookmarkStart w:id="7" w:name="_Toc16031"/>
      <w:r>
        <w:rPr>
          <w:rFonts w:hint="eastAsia" w:ascii="楷体" w:hAnsi="楷体" w:eastAsia="楷体"/>
          <w:sz w:val="32"/>
          <w:szCs w:val="32"/>
        </w:rPr>
        <w:t>（一）产</w:t>
      </w:r>
      <w:r>
        <w:rPr>
          <w:rFonts w:hint="eastAsia" w:ascii="楷体" w:hAnsi="楷体" w:eastAsia="楷体" w:cs="微软雅黑"/>
          <w:sz w:val="32"/>
          <w:szCs w:val="32"/>
        </w:rPr>
        <w:t>出完成</w:t>
      </w:r>
      <w:r>
        <w:rPr>
          <w:rFonts w:hint="eastAsia" w:ascii="楷体" w:hAnsi="楷体" w:eastAsia="楷体" w:cs="___WRD_EMBED_SUB_44"/>
          <w:sz w:val="32"/>
          <w:szCs w:val="32"/>
        </w:rPr>
        <w:t>情况分析</w:t>
      </w:r>
      <w:bookmarkEnd w:id="7"/>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1</w:t>
      </w:r>
      <w:r>
        <w:rPr>
          <w:rFonts w:ascii="仿宋_GB2312" w:hAnsi="仿宋" w:eastAsia="仿宋_GB2312" w:cs="仿宋"/>
          <w:sz w:val="32"/>
          <w:szCs w:val="32"/>
        </w:rPr>
        <w:t>.</w:t>
      </w:r>
      <w:r>
        <w:rPr>
          <w:rFonts w:hint="eastAsia" w:ascii="仿宋_GB2312" w:hAnsi="仿宋" w:eastAsia="仿宋_GB2312" w:cs="仿宋"/>
          <w:sz w:val="32"/>
          <w:szCs w:val="32"/>
        </w:rPr>
        <w:t>产出数量</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（1）大兴区人民法院2024年新收案件61222件，同比上升11.3%；办结60466件，同比上升8.1%；法官人均结案549件。</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w:t>
      </w:r>
      <w:r>
        <w:rPr>
          <w:rFonts w:hint="default" w:ascii="仿宋_GB2312" w:hAnsi="仿宋" w:eastAsia="仿宋_GB2312" w:cs="仿宋"/>
          <w:sz w:val="32"/>
          <w:szCs w:val="32"/>
        </w:rPr>
        <w:t>2</w:t>
      </w:r>
      <w:r>
        <w:rPr>
          <w:rFonts w:hint="eastAsia" w:ascii="仿宋_GB2312" w:hAnsi="仿宋" w:eastAsia="仿宋_GB2312" w:cs="仿宋"/>
          <w:sz w:val="32"/>
          <w:szCs w:val="32"/>
        </w:rPr>
        <w:t>）严格落实意识形态责任制，按照“三同步”要求识别标记并依法妥善处置敏感案件163件。依法采取保全措施，化解1100余起逾期办证纠纷，有效避免群体性潜在纠纷扩大激化风险。</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w:t>
      </w:r>
      <w:r>
        <w:rPr>
          <w:rFonts w:hint="default" w:ascii="仿宋_GB2312" w:hAnsi="仿宋" w:eastAsia="仿宋_GB2312" w:cs="仿宋"/>
          <w:sz w:val="32"/>
          <w:szCs w:val="32"/>
        </w:rPr>
        <w:t>3</w:t>
      </w:r>
      <w:r>
        <w:rPr>
          <w:rFonts w:hint="eastAsia" w:ascii="仿宋_GB2312" w:hAnsi="仿宋" w:eastAsia="仿宋_GB2312" w:cs="仿宋"/>
          <w:sz w:val="32"/>
          <w:szCs w:val="32"/>
        </w:rPr>
        <w:t>）秉持“法治是最好的营商环境”理念，持续完善工作机制，商事案件平均审理时间62.06天，优于全市均值22.3%。加强民营企业产权和企业家合法权益保护，审理公司、金融纠纷案件6238件。</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w:t>
      </w:r>
      <w:r>
        <w:rPr>
          <w:rFonts w:hint="default" w:ascii="仿宋_GB2312" w:hAnsi="仿宋" w:eastAsia="仿宋_GB2312" w:cs="仿宋"/>
          <w:sz w:val="32"/>
          <w:szCs w:val="32"/>
        </w:rPr>
        <w:t>4</w:t>
      </w:r>
      <w:r>
        <w:rPr>
          <w:rFonts w:hint="eastAsia" w:ascii="仿宋_GB2312" w:hAnsi="仿宋" w:eastAsia="仿宋_GB2312" w:cs="仿宋"/>
          <w:sz w:val="32"/>
          <w:szCs w:val="32"/>
        </w:rPr>
        <w:t>）深入学习贯彻习近平新时代中国特色社会主义思想与习近平法治思想，把学习贯彻党的二十届三中全会精神作为重大政治任务，全院集中学习600余次。扎实开展党纪学习教育，召开警示教育专题学习会，公开开庭审理非国家工作人员受贿罪案件，9家单位200名干部群众旁听庭审。</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w:t>
      </w:r>
      <w:r>
        <w:rPr>
          <w:rFonts w:hint="default" w:ascii="仿宋_GB2312" w:hAnsi="仿宋" w:eastAsia="仿宋_GB2312" w:cs="仿宋"/>
          <w:sz w:val="32"/>
          <w:szCs w:val="32"/>
        </w:rPr>
        <w:t>5</w:t>
      </w:r>
      <w:r>
        <w:rPr>
          <w:rFonts w:hint="eastAsia" w:ascii="仿宋_GB2312" w:hAnsi="仿宋" w:eastAsia="仿宋_GB2312" w:cs="仿宋"/>
          <w:sz w:val="32"/>
          <w:szCs w:val="32"/>
        </w:rPr>
        <w:t>）高度重视市高级法院司法巡查及巡查整改，反馈问题均按期整改完毕</w:t>
      </w:r>
      <w:r>
        <w:rPr>
          <w:rFonts w:hint="default" w:ascii="仿宋_GB2312" w:hAnsi="仿宋" w:eastAsia="仿宋_GB2312" w:cs="仿宋"/>
          <w:sz w:val="32"/>
          <w:szCs w:val="32"/>
        </w:rPr>
        <w:t>。</w:t>
      </w:r>
      <w:r>
        <w:rPr>
          <w:rFonts w:hint="eastAsia" w:ascii="仿宋_GB2312" w:hAnsi="仿宋" w:eastAsia="仿宋_GB2312" w:cs="仿宋"/>
          <w:sz w:val="32"/>
          <w:szCs w:val="32"/>
        </w:rPr>
        <w:t>认真配合区纪委区监委派驻组监督及列席党组会。健全内部监督，常态化审务督察121次，发布28期督察通报。</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w:t>
      </w:r>
      <w:r>
        <w:rPr>
          <w:rFonts w:ascii="仿宋_GB2312" w:hAnsi="仿宋" w:eastAsia="仿宋_GB2312" w:cs="仿宋"/>
          <w:sz w:val="32"/>
          <w:szCs w:val="32"/>
        </w:rPr>
        <w:t>.</w:t>
      </w:r>
      <w:r>
        <w:rPr>
          <w:rFonts w:hint="eastAsia" w:ascii="仿宋_GB2312" w:hAnsi="仿宋" w:eastAsia="仿宋_GB2312" w:cs="仿宋"/>
          <w:sz w:val="32"/>
          <w:szCs w:val="32"/>
        </w:rPr>
        <w:t>产出质量</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（1）大兴区人民法院2024年基本经费支出保障了机关正常运转和日常工作任务的完成；各项目根据项目管理办法均有效完成，基本达到了设定的绩效目标质量标准。</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（2）大兴区人民法院2024年实际完成项目质量全部达标。质量达标率=质量达标工作数/实际完成工作数×100%=100%。</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3</w:t>
      </w:r>
      <w:r>
        <w:rPr>
          <w:rFonts w:ascii="仿宋_GB2312" w:hAnsi="仿宋" w:eastAsia="仿宋_GB2312" w:cs="仿宋"/>
          <w:sz w:val="32"/>
          <w:szCs w:val="32"/>
        </w:rPr>
        <w:t>.</w:t>
      </w:r>
      <w:r>
        <w:rPr>
          <w:rFonts w:hint="eastAsia" w:ascii="仿宋_GB2312" w:hAnsi="仿宋" w:eastAsia="仿宋_GB2312" w:cs="仿宋"/>
          <w:sz w:val="32"/>
          <w:szCs w:val="32"/>
        </w:rPr>
        <w:t>产出进度</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大兴区人民法院2024年度人员经费均按月及时发放，日常公用支出以及项目支出均已按时完成。</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4</w:t>
      </w:r>
      <w:r>
        <w:rPr>
          <w:rFonts w:ascii="仿宋_GB2312" w:hAnsi="仿宋" w:eastAsia="仿宋_GB2312" w:cs="仿宋"/>
          <w:sz w:val="32"/>
          <w:szCs w:val="32"/>
        </w:rPr>
        <w:t>.</w:t>
      </w:r>
      <w:r>
        <w:rPr>
          <w:rFonts w:hint="eastAsia" w:ascii="仿宋_GB2312" w:hAnsi="仿宋" w:eastAsia="仿宋_GB2312" w:cs="仿宋"/>
          <w:sz w:val="32"/>
          <w:szCs w:val="32"/>
        </w:rPr>
        <w:t>产出成本</w:t>
      </w:r>
    </w:p>
    <w:p>
      <w:pPr>
        <w:spacing w:line="560" w:lineRule="exact"/>
        <w:ind w:firstLine="640" w:firstLineChars="200"/>
        <w:rPr>
          <w:rFonts w:hint="default" w:ascii="仿宋_GB2312" w:hAnsi="仿宋" w:eastAsia="仿宋_GB2312" w:cs="仿宋"/>
          <w:sz w:val="32"/>
          <w:szCs w:val="32"/>
        </w:rPr>
      </w:pPr>
      <w:bookmarkStart w:id="8" w:name="_Toc3937"/>
      <w:r>
        <w:rPr>
          <w:rFonts w:hint="eastAsia" w:ascii="仿宋_GB2312" w:hAnsi="仿宋" w:eastAsia="仿宋_GB2312" w:cs="仿宋"/>
          <w:sz w:val="32"/>
          <w:szCs w:val="32"/>
        </w:rPr>
        <w:t>公务用车购置及运行维护费</w:t>
      </w:r>
      <w:bookmarkStart w:id="9" w:name="_Hlk198023983"/>
      <w:r>
        <w:rPr>
          <w:rFonts w:hint="eastAsia" w:ascii="仿宋_GB2312" w:hAnsi="仿宋" w:eastAsia="仿宋_GB2312" w:cs="仿宋"/>
          <w:sz w:val="32"/>
          <w:szCs w:val="32"/>
        </w:rPr>
        <w:t>2024年决算数87.48万元，比2024年年初预算数115.64万元减少28.16万元。</w:t>
      </w:r>
      <w:bookmarkEnd w:id="9"/>
      <w:r>
        <w:rPr>
          <w:rFonts w:hint="eastAsia" w:ascii="仿宋_GB2312" w:hAnsi="仿宋" w:eastAsia="仿宋_GB2312" w:cs="仿宋"/>
          <w:sz w:val="32"/>
          <w:szCs w:val="32"/>
        </w:rPr>
        <w:t>其中，公务用车购置费2024年没有支出</w:t>
      </w:r>
      <w:r>
        <w:rPr>
          <w:rFonts w:hint="default" w:ascii="仿宋_GB2312" w:hAnsi="仿宋" w:eastAsia="仿宋_GB2312" w:cs="仿宋"/>
          <w:sz w:val="32"/>
          <w:szCs w:val="32"/>
        </w:rPr>
        <w:t>。</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（二）效果</w:t>
      </w:r>
      <w:r>
        <w:rPr>
          <w:rFonts w:ascii="楷体_GB2312" w:eastAsia="楷体_GB2312"/>
          <w:sz w:val="32"/>
          <w:szCs w:val="32"/>
        </w:rPr>
        <w:t>实现情况分析</w:t>
      </w:r>
      <w:bookmarkEnd w:id="8"/>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1.经济效益</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（1）加大生效裁判的执行力度，充分利用惩戒措施，促进案件执结</w:t>
      </w:r>
      <w:r>
        <w:rPr>
          <w:rFonts w:hint="default" w:ascii="仿宋_GB2312" w:hAnsi="仿宋" w:eastAsia="仿宋_GB2312" w:cs="仿宋"/>
          <w:sz w:val="32"/>
          <w:szCs w:val="32"/>
        </w:rPr>
        <w:t>。</w:t>
      </w:r>
      <w:r>
        <w:rPr>
          <w:rFonts w:hint="eastAsia" w:ascii="仿宋_GB2312" w:hAnsi="仿宋" w:eastAsia="仿宋_GB2312" w:cs="仿宋"/>
          <w:sz w:val="32"/>
          <w:szCs w:val="32"/>
        </w:rPr>
        <w:t>贯彻区委根治欠薪冬季专项行动部署要求，开展执行案款集中发还活动。</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（2）加强执行财产线索中心实质化运行，进一步规范财产查封、处置和拍卖工作，网络拍卖房产、汽车等标的物1255件，成交金额3.9亿元。</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w:t>
      </w:r>
      <w:r>
        <w:rPr>
          <w:rFonts w:ascii="仿宋_GB2312" w:hAnsi="仿宋" w:eastAsia="仿宋_GB2312" w:cs="仿宋"/>
          <w:sz w:val="32"/>
          <w:szCs w:val="32"/>
        </w:rPr>
        <w:t>.</w:t>
      </w:r>
      <w:r>
        <w:rPr>
          <w:rFonts w:hint="eastAsia" w:ascii="仿宋_GB2312" w:hAnsi="仿宋" w:eastAsia="仿宋_GB2312" w:cs="仿宋"/>
          <w:sz w:val="32"/>
          <w:szCs w:val="32"/>
        </w:rPr>
        <w:t>社会效益</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（1）全力做好“抓前端、治未病”工作，持续深化我院“1+6法治同行”机制，法官深入社区和乡村进行“法律体检”</w:t>
      </w:r>
      <w:r>
        <w:rPr>
          <w:rFonts w:hint="default" w:ascii="仿宋_GB2312" w:hAnsi="仿宋" w:eastAsia="仿宋_GB2312" w:cs="仿宋"/>
          <w:sz w:val="32"/>
          <w:szCs w:val="32"/>
        </w:rPr>
        <w:t>，</w:t>
      </w:r>
      <w:r>
        <w:rPr>
          <w:rFonts w:hint="eastAsia" w:ascii="仿宋_GB2312" w:hAnsi="仿宋" w:eastAsia="仿宋_GB2312" w:cs="仿宋"/>
          <w:sz w:val="32"/>
          <w:szCs w:val="32"/>
        </w:rPr>
        <w:t>开展法律“十进”，有力助推社会诚信建设。</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（2）审结寻衅滋事、妨害公务等扰乱社会管理秩序的犯罪案件</w:t>
      </w:r>
      <w:r>
        <w:rPr>
          <w:rFonts w:hint="default" w:ascii="仿宋_GB2312" w:hAnsi="仿宋" w:eastAsia="仿宋_GB2312" w:cs="仿宋"/>
          <w:sz w:val="32"/>
          <w:szCs w:val="32"/>
        </w:rPr>
        <w:t>，</w:t>
      </w:r>
      <w:r>
        <w:rPr>
          <w:rFonts w:hint="eastAsia" w:ascii="仿宋_GB2312" w:hAnsi="仿宋" w:eastAsia="仿宋_GB2312" w:cs="仿宋"/>
          <w:sz w:val="32"/>
          <w:szCs w:val="32"/>
        </w:rPr>
        <w:t>维护社会治安和执法权威。审结侵犯个人信息、网络暴力犯罪案件，营造清朗网络空间。加强未成年人司法保护，严厉打击利用未成年人实施的违法犯罪，法治副校长开展校园普法，用司法护航青少年健康成长。</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（3）与区妇联共建的“伴视家园”常态运行，多起涉未成年人的探视案件得到妥善执行，被评为“北京市依法保障妇女儿童合法权益典型案例”。</w:t>
      </w:r>
    </w:p>
    <w:p>
      <w:pPr>
        <w:adjustRightInd w:val="0"/>
        <w:snapToGrid w:val="0"/>
        <w:spacing w:line="560" w:lineRule="exact"/>
        <w:ind w:firstLine="640" w:firstLineChars="200"/>
        <w:rPr>
          <w:rFonts w:hint="eastAsia" w:ascii="仿宋_GB2312" w:hAnsi="仿宋" w:eastAsia="仿宋_GB2312" w:cs="仿宋"/>
          <w:sz w:val="32"/>
          <w:szCs w:val="32"/>
        </w:rPr>
      </w:pPr>
      <w:r>
        <w:rPr>
          <w:rFonts w:ascii="仿宋_GB2312" w:hAnsi="仿宋" w:eastAsia="仿宋_GB2312" w:cs="仿宋"/>
          <w:sz w:val="32"/>
          <w:szCs w:val="32"/>
        </w:rPr>
        <w:t>3.</w:t>
      </w:r>
      <w:r>
        <w:rPr>
          <w:rFonts w:hint="eastAsia" w:ascii="仿宋_GB2312" w:hAnsi="仿宋" w:eastAsia="仿宋_GB2312" w:cs="仿宋"/>
          <w:sz w:val="32"/>
          <w:szCs w:val="32"/>
        </w:rPr>
        <w:t>环境效益</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 xml:space="preserve">2024年度部门整体绩效目标完成情况不涉及环境效益指标，部门履行职责未对环境带来直接影响。 </w:t>
      </w:r>
    </w:p>
    <w:p>
      <w:pPr>
        <w:adjustRightInd w:val="0"/>
        <w:snapToGrid w:val="0"/>
        <w:spacing w:line="560" w:lineRule="exact"/>
        <w:ind w:firstLine="640" w:firstLineChars="200"/>
        <w:rPr>
          <w:rFonts w:hint="eastAsia" w:ascii="仿宋_GB2312" w:hAnsi="仿宋" w:eastAsia="仿宋_GB2312" w:cs="仿宋"/>
          <w:sz w:val="32"/>
          <w:szCs w:val="32"/>
        </w:rPr>
      </w:pPr>
      <w:r>
        <w:rPr>
          <w:rFonts w:ascii="仿宋_GB2312" w:hAnsi="仿宋" w:eastAsia="仿宋_GB2312" w:cs="仿宋"/>
          <w:sz w:val="32"/>
          <w:szCs w:val="32"/>
        </w:rPr>
        <w:t>4.</w:t>
      </w:r>
      <w:r>
        <w:rPr>
          <w:rFonts w:hint="eastAsia" w:ascii="仿宋_GB2312" w:hAnsi="仿宋" w:eastAsia="仿宋_GB2312" w:cs="仿宋"/>
          <w:sz w:val="32"/>
          <w:szCs w:val="32"/>
        </w:rPr>
        <w:t>可持续影响</w:t>
      </w:r>
    </w:p>
    <w:p>
      <w:pPr>
        <w:adjustRightInd w:val="0"/>
        <w:snapToGrid w:val="0"/>
        <w:spacing w:line="560" w:lineRule="exact"/>
        <w:ind w:firstLine="640" w:firstLineChars="200"/>
        <w:rPr>
          <w:rFonts w:hint="eastAsia" w:ascii="仿宋_GB2312" w:hAnsi="仿宋" w:eastAsia="仿宋_GB2312" w:cs="仿宋"/>
          <w:sz w:val="32"/>
          <w:szCs w:val="32"/>
        </w:rPr>
      </w:pPr>
      <w:bookmarkStart w:id="10" w:name="_Hlk135172732"/>
      <w:r>
        <w:rPr>
          <w:rFonts w:hint="eastAsia" w:ascii="仿宋_GB2312" w:hAnsi="仿宋" w:eastAsia="仿宋_GB2312" w:cs="仿宋"/>
          <w:sz w:val="32"/>
          <w:szCs w:val="32"/>
        </w:rPr>
        <w:t>（</w:t>
      </w:r>
      <w:r>
        <w:rPr>
          <w:rFonts w:ascii="仿宋_GB2312" w:hAnsi="仿宋" w:eastAsia="仿宋_GB2312" w:cs="仿宋"/>
          <w:sz w:val="32"/>
          <w:szCs w:val="32"/>
        </w:rPr>
        <w:t>1</w:t>
      </w:r>
      <w:r>
        <w:rPr>
          <w:rFonts w:hint="eastAsia" w:ascii="仿宋_GB2312" w:hAnsi="仿宋" w:eastAsia="仿宋_GB2312" w:cs="仿宋"/>
          <w:sz w:val="32"/>
          <w:szCs w:val="32"/>
        </w:rPr>
        <w:t>）打造“法护航·向未来”工作法，在临空经济区挂牌“兴法治共建基地”，与河北省廊坊中院建立环机场司法合作机制，强化京冀协同司法供给，“服务保障北京大兴国际机场五周年”新闻发布会被多家中央、市级媒体报道。</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w:t>
      </w:r>
      <w:r>
        <w:rPr>
          <w:rFonts w:ascii="仿宋_GB2312" w:hAnsi="仿宋" w:eastAsia="仿宋_GB2312" w:cs="仿宋"/>
          <w:sz w:val="32"/>
          <w:szCs w:val="32"/>
        </w:rPr>
        <w:t>2</w:t>
      </w:r>
      <w:r>
        <w:rPr>
          <w:rFonts w:hint="eastAsia" w:ascii="仿宋_GB2312" w:hAnsi="仿宋" w:eastAsia="仿宋_GB2312" w:cs="仿宋"/>
          <w:sz w:val="32"/>
          <w:szCs w:val="32"/>
        </w:rPr>
        <w:t>）会同大兴、经开两区人社部门建立“诉讼结果全面反馈”工作机制，进一步加强裁审衔接，推动劳动争议实质性化解。发布《劳动争议审判工作白皮书》，全面总结近三年典型案例，为劳动者与用工单位提供法律指引，推动构建和谐劳动关系。</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（3）建立12368诉讼服务热线工单周报及重点工单专报机制。加强精细化审判管理，递进式监管审限，持续深化立案、审判、执行、信访衔接，加大案件质量评查力度。</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（4）健全代表委员来信督办机制，规范办理代表委员意见建议，做到事事有跟踪、件件有回应。接受检察机关法律监督，认真办理检察建议，邀请检察长列席审判委员会会议，共同维护司法公正。</w:t>
      </w:r>
    </w:p>
    <w:bookmarkEnd w:id="10"/>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5.服务对象满意度</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2024年度，大兴区人民法院未对部门整体进行满意度调查。2024年度工作报告获大兴区第六届人民代表大会第四次会议全票通过。</w:t>
      </w:r>
    </w:p>
    <w:p>
      <w:pPr>
        <w:spacing w:line="560" w:lineRule="exact"/>
        <w:ind w:firstLine="640" w:firstLineChars="200"/>
        <w:outlineLvl w:val="0"/>
        <w:rPr>
          <w:rFonts w:hint="eastAsia" w:ascii="黑体" w:hAnsi="黑体" w:eastAsia="黑体" w:cs="宋体"/>
          <w:color w:val="000000"/>
          <w:kern w:val="0"/>
          <w:sz w:val="32"/>
          <w:szCs w:val="32"/>
        </w:rPr>
      </w:pPr>
      <w:bookmarkStart w:id="11" w:name="_Toc26475"/>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bookmarkEnd w:id="11"/>
    </w:p>
    <w:p>
      <w:pPr>
        <w:spacing w:line="560" w:lineRule="exact"/>
        <w:ind w:firstLine="640" w:firstLineChars="200"/>
        <w:outlineLvl w:val="1"/>
        <w:rPr>
          <w:rFonts w:ascii="楷体_GB2312" w:eastAsia="楷体_GB2312"/>
          <w:sz w:val="32"/>
          <w:szCs w:val="32"/>
        </w:rPr>
      </w:pPr>
      <w:bookmarkStart w:id="12" w:name="_Toc2445"/>
      <w:r>
        <w:rPr>
          <w:rFonts w:hint="eastAsia" w:ascii="楷体_GB2312" w:eastAsia="楷体_GB2312"/>
          <w:sz w:val="32"/>
          <w:szCs w:val="32"/>
        </w:rPr>
        <w:t>（一）财务管理</w:t>
      </w:r>
      <w:bookmarkEnd w:id="12"/>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1.财务管理制度健全性</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为规范预算管理，加强财政资金使用，大兴区人民法院严格执行各项财政财务政策，积极推进财务标准化、信息化管理。大兴区人民法院建立了《北京市大兴区人民法院内部控制手册》，制定了《财务管理制度》《固定资产管理办法》《合同管理办法》《内部审计管理办法》等多项管理制度，各项财务管理制度比较健全，但未建立绩效跟踪管理办法。</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2.资金使用合规性和安全性</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大兴区人民法院按照财政管理规定以及单位财务管理制度等相关要求落实资金使用管理，合理安排资金支出进度，资金使用整体合规且安全，能够按照规定内容规定时间公开预算信息，基础信息和会计信息资料完整、真实和准确。报销金额1万元（含1万元）以下由办公室主任审批，1万元至5万元（含5万元）由主管院长审批，5万元以上按照《落实“三重一大”制度办法》，由党组会研究决定后，由主管院长签字审批，支出需填写《大额资金审批单》。</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大兴区人民法院严格遵守现金、银行存款、支票、财务印章等与资金安全相关的各项管理规定；涉及资金收支的重要岗位，制定并严格遵守资金管理的不相容职务分离控制规定；认真做好现金日记账和银行存款日记账的登记工作，每月核对银行对账单和账面银行存款余额，并编制银行调节表，定期进行现金盘点。以上各项措施的切实落实，有效保障了资金的安全。</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大兴区人民法院严格遵守《中华人民共和国预算法》、《中华人民共和国采购法》及市财政主管部门的要求，规范使用资金，确保资金的安排、使用发挥出最大效益，实现项目绩效目标。</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3.会计基础信息完善性</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在评价工作过程中，大兴区人民法院向绩效评价工作组提供了</w:t>
      </w:r>
      <w:bookmarkStart w:id="13" w:name="_Hlk198048327"/>
      <w:r>
        <w:rPr>
          <w:rFonts w:hint="eastAsia" w:ascii="仿宋_GB2312" w:hAnsi="仿宋" w:eastAsia="仿宋_GB2312" w:cs="仿宋"/>
          <w:sz w:val="32"/>
          <w:szCs w:val="32"/>
        </w:rPr>
        <w:t>部门整体绩效目标申报表、内控管理制度、决算报表、项目支出明细账等资料，</w:t>
      </w:r>
      <w:bookmarkEnd w:id="13"/>
      <w:r>
        <w:rPr>
          <w:rFonts w:hint="eastAsia" w:ascii="仿宋_GB2312" w:hAnsi="仿宋" w:eastAsia="仿宋_GB2312" w:cs="仿宋"/>
          <w:sz w:val="32"/>
          <w:szCs w:val="32"/>
        </w:rPr>
        <w:t>在一定程度上反映部门基础信息的完整有效。大兴区人民法院相关会计资料准确、完整，部门基础信息管理较好，符合国家财经法规和财务管理制度以及有关专项资金管理办法的规定。形成的会计档案按类别统一格式和规格装订，定期归档。</w:t>
      </w:r>
    </w:p>
    <w:p>
      <w:pPr>
        <w:spacing w:line="560" w:lineRule="exact"/>
        <w:ind w:firstLine="640" w:firstLineChars="200"/>
        <w:outlineLvl w:val="1"/>
        <w:rPr>
          <w:rFonts w:ascii="楷体_GB2312" w:eastAsia="楷体_GB2312"/>
          <w:sz w:val="32"/>
          <w:szCs w:val="32"/>
        </w:rPr>
      </w:pPr>
      <w:bookmarkStart w:id="14" w:name="_Toc18651"/>
      <w:r>
        <w:rPr>
          <w:rFonts w:hint="eastAsia" w:ascii="楷体_GB2312" w:eastAsia="楷体_GB2312"/>
          <w:sz w:val="32"/>
          <w:szCs w:val="32"/>
        </w:rPr>
        <w:t>（二）资产管理</w:t>
      </w:r>
      <w:bookmarkEnd w:id="14"/>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2024年末，大兴区人民法院资产总额</w:t>
      </w:r>
      <w:r>
        <w:rPr>
          <w:rFonts w:ascii="仿宋_GB2312" w:hAnsi="仿宋" w:eastAsia="仿宋_GB2312" w:cs="仿宋"/>
          <w:sz w:val="32"/>
          <w:szCs w:val="32"/>
        </w:rPr>
        <w:t>23</w:t>
      </w:r>
      <w:r>
        <w:rPr>
          <w:rFonts w:hint="eastAsia" w:ascii="仿宋_GB2312" w:hAnsi="仿宋" w:eastAsia="仿宋_GB2312" w:cs="仿宋"/>
          <w:sz w:val="32"/>
          <w:szCs w:val="32"/>
        </w:rPr>
        <w:t>,</w:t>
      </w:r>
      <w:r>
        <w:rPr>
          <w:rFonts w:ascii="仿宋_GB2312" w:hAnsi="仿宋" w:eastAsia="仿宋_GB2312" w:cs="仿宋"/>
          <w:sz w:val="32"/>
          <w:szCs w:val="32"/>
        </w:rPr>
        <w:t>209.21</w:t>
      </w:r>
      <w:r>
        <w:rPr>
          <w:rFonts w:hint="eastAsia" w:ascii="仿宋_GB2312" w:hAnsi="仿宋" w:eastAsia="仿宋_GB2312" w:cs="仿宋"/>
          <w:sz w:val="32"/>
          <w:szCs w:val="32"/>
        </w:rPr>
        <w:t>万元，其中流动资产</w:t>
      </w:r>
      <w:r>
        <w:rPr>
          <w:rFonts w:ascii="仿宋_GB2312" w:hAnsi="仿宋" w:eastAsia="仿宋_GB2312" w:cs="仿宋"/>
          <w:sz w:val="32"/>
          <w:szCs w:val="32"/>
        </w:rPr>
        <w:t>8</w:t>
      </w:r>
      <w:r>
        <w:rPr>
          <w:rFonts w:hint="eastAsia" w:ascii="仿宋_GB2312" w:hAnsi="仿宋" w:eastAsia="仿宋_GB2312" w:cs="仿宋"/>
          <w:sz w:val="32"/>
          <w:szCs w:val="32"/>
        </w:rPr>
        <w:t>,</w:t>
      </w:r>
      <w:r>
        <w:rPr>
          <w:rFonts w:ascii="仿宋_GB2312" w:hAnsi="仿宋" w:eastAsia="仿宋_GB2312" w:cs="仿宋"/>
          <w:sz w:val="32"/>
          <w:szCs w:val="32"/>
        </w:rPr>
        <w:t>310.54</w:t>
      </w:r>
      <w:r>
        <w:rPr>
          <w:rFonts w:hint="eastAsia" w:ascii="仿宋_GB2312" w:hAnsi="仿宋" w:eastAsia="仿宋_GB2312" w:cs="仿宋"/>
          <w:sz w:val="32"/>
          <w:szCs w:val="32"/>
        </w:rPr>
        <w:t>万元，非流动资产</w:t>
      </w:r>
      <w:r>
        <w:rPr>
          <w:rFonts w:ascii="仿宋_GB2312" w:hAnsi="仿宋" w:eastAsia="仿宋_GB2312" w:cs="仿宋"/>
          <w:sz w:val="32"/>
          <w:szCs w:val="32"/>
        </w:rPr>
        <w:t>14</w:t>
      </w:r>
      <w:r>
        <w:rPr>
          <w:rFonts w:hint="eastAsia" w:ascii="仿宋_GB2312" w:hAnsi="仿宋" w:eastAsia="仿宋_GB2312" w:cs="仿宋"/>
          <w:sz w:val="32"/>
          <w:szCs w:val="32"/>
        </w:rPr>
        <w:t>,</w:t>
      </w:r>
      <w:r>
        <w:rPr>
          <w:rFonts w:ascii="仿宋_GB2312" w:hAnsi="仿宋" w:eastAsia="仿宋_GB2312" w:cs="仿宋"/>
          <w:sz w:val="32"/>
          <w:szCs w:val="32"/>
        </w:rPr>
        <w:t>898.67</w:t>
      </w:r>
      <w:r>
        <w:rPr>
          <w:rFonts w:hint="eastAsia" w:ascii="仿宋_GB2312" w:hAnsi="仿宋" w:eastAsia="仿宋_GB2312" w:cs="仿宋"/>
          <w:sz w:val="32"/>
          <w:szCs w:val="32"/>
        </w:rPr>
        <w:t>万元。</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为加强资产管理，提高资产使用效益，大兴区人民法院制定了《固定资产管理办法》，从管理职责、配备、使用和日常管理、处置、统计报告等方面对固定资产管理进行了细化，明确资产范围、实物管理部门职责及各部门对资产日常管理承担的保管责任。实行资产动态管理机制，及时更新资产信息，保证固定资产账账、账实、账表相符。</w:t>
      </w:r>
    </w:p>
    <w:p>
      <w:pPr>
        <w:adjustRightInd w:val="0"/>
        <w:snapToGrid w:val="0"/>
        <w:spacing w:line="560" w:lineRule="exact"/>
        <w:ind w:firstLine="640" w:firstLineChars="200"/>
        <w:rPr>
          <w:rFonts w:hint="eastAsia" w:ascii="仿宋_GB2312" w:hAnsi="仿宋" w:eastAsia="仿宋_GB2312" w:cs="仿宋"/>
          <w:sz w:val="32"/>
          <w:szCs w:val="32"/>
        </w:rPr>
      </w:pPr>
      <w:bookmarkStart w:id="15" w:name="_Hlk135151570"/>
      <w:r>
        <w:rPr>
          <w:rFonts w:hint="eastAsia" w:ascii="仿宋_GB2312" w:hAnsi="仿宋" w:eastAsia="仿宋_GB2312" w:cs="仿宋"/>
          <w:sz w:val="32"/>
          <w:szCs w:val="32"/>
        </w:rPr>
        <w:t>大兴区人民法院能够按照市财政局统一部署，根据有关文件规定，按时保质保量完成资产年报等相关工作，日常资产管理、新增、报废等工作均严格按照市财政局的规定程序办理，资产动态系统与会计账簿系统总额保持一致。</w:t>
      </w:r>
    </w:p>
    <w:bookmarkEnd w:id="15"/>
    <w:p>
      <w:pPr>
        <w:spacing w:line="560" w:lineRule="exact"/>
        <w:ind w:firstLine="640" w:firstLineChars="200"/>
        <w:outlineLvl w:val="1"/>
        <w:rPr>
          <w:rFonts w:ascii="楷体_GB2312" w:eastAsia="楷体_GB2312"/>
          <w:sz w:val="32"/>
          <w:szCs w:val="32"/>
        </w:rPr>
      </w:pPr>
      <w:bookmarkStart w:id="16" w:name="_Toc27777"/>
      <w:r>
        <w:rPr>
          <w:rFonts w:hint="eastAsia" w:ascii="楷体_GB2312" w:eastAsia="楷体_GB2312"/>
          <w:sz w:val="32"/>
          <w:szCs w:val="32"/>
        </w:rPr>
        <w:t>（三）绩效</w:t>
      </w:r>
      <w:r>
        <w:rPr>
          <w:rFonts w:ascii="楷体_GB2312" w:eastAsia="楷体_GB2312"/>
          <w:sz w:val="32"/>
          <w:szCs w:val="32"/>
        </w:rPr>
        <w:t>管理</w:t>
      </w:r>
      <w:bookmarkEnd w:id="16"/>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2024年，大兴区人民法院开展了部门整体绩效自评，并形成《部门整体绩效评价报告》，全方位把握单位整体预算执行、整体绩效目标实现和预算管理情况。</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2024年，大兴区人民法院按照《北京市项目支出绩效评价管理办法》</w:t>
      </w:r>
      <w:bookmarkStart w:id="26" w:name="_GoBack"/>
      <w:bookmarkEnd w:id="26"/>
      <w:r>
        <w:rPr>
          <w:rFonts w:hint="eastAsia" w:ascii="仿宋_GB2312" w:hAnsi="仿宋" w:eastAsia="仿宋_GB2312" w:cs="仿宋"/>
          <w:sz w:val="32"/>
          <w:szCs w:val="32"/>
        </w:rPr>
        <w:t>文件要求，在做好项目支出事前申报、事中监管的基础上，对2024年度所有填报绩效目标的项目支出开展自评工作，对18</w:t>
      </w:r>
      <w:r>
        <w:rPr>
          <w:rFonts w:ascii="仿宋_GB2312" w:hAnsi="仿宋" w:eastAsia="仿宋_GB2312" w:cs="仿宋"/>
          <w:sz w:val="32"/>
          <w:szCs w:val="32"/>
        </w:rPr>
        <w:t>个</w:t>
      </w:r>
      <w:r>
        <w:rPr>
          <w:rFonts w:hint="eastAsia" w:ascii="仿宋_GB2312" w:hAnsi="仿宋" w:eastAsia="仿宋_GB2312" w:cs="仿宋"/>
          <w:sz w:val="32"/>
          <w:szCs w:val="32"/>
        </w:rPr>
        <w:t>项目支出实施了绩效评价，并形成《项目支出绩效自评表》。</w:t>
      </w:r>
    </w:p>
    <w:p>
      <w:pPr>
        <w:spacing w:line="560" w:lineRule="exact"/>
        <w:ind w:firstLine="640" w:firstLineChars="200"/>
        <w:rPr>
          <w:rFonts w:ascii="楷体_GB2312" w:eastAsia="楷体_GB2312"/>
          <w:sz w:val="32"/>
          <w:szCs w:val="32"/>
        </w:rPr>
      </w:pPr>
      <w:bookmarkStart w:id="17" w:name="_Toc440"/>
      <w:r>
        <w:rPr>
          <w:rFonts w:hint="eastAsia" w:ascii="楷体_GB2312" w:eastAsia="楷体_GB2312"/>
          <w:sz w:val="32"/>
          <w:szCs w:val="32"/>
        </w:rPr>
        <w:t>（四）结转结余</w:t>
      </w:r>
      <w:r>
        <w:rPr>
          <w:rFonts w:ascii="楷体_GB2312" w:eastAsia="楷体_GB2312"/>
          <w:sz w:val="32"/>
          <w:szCs w:val="32"/>
        </w:rPr>
        <w:t>率</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根据大兴区人民法院2024年决算报表相关数据统计，大兴区人民法院2024年支出全年预算数24,027.25万元，其中，基本经费支出预算数16,235.70万元，项目经费支出预算数7,791.55万元；年末结转结余资金</w:t>
      </w:r>
      <w:r>
        <w:rPr>
          <w:rFonts w:ascii="仿宋_GB2312" w:hAnsi="仿宋" w:eastAsia="仿宋_GB2312" w:cs="仿宋"/>
          <w:sz w:val="32"/>
          <w:szCs w:val="32"/>
        </w:rPr>
        <w:t>904.93</w:t>
      </w:r>
      <w:r>
        <w:rPr>
          <w:rFonts w:hint="eastAsia" w:ascii="仿宋_GB2312" w:hAnsi="仿宋" w:eastAsia="仿宋_GB2312" w:cs="仿宋"/>
          <w:sz w:val="32"/>
          <w:szCs w:val="32"/>
        </w:rPr>
        <w:t>万元，结转结余率</w:t>
      </w:r>
      <w:r>
        <w:rPr>
          <w:rFonts w:ascii="仿宋_GB2312" w:hAnsi="仿宋" w:eastAsia="仿宋_GB2312" w:cs="仿宋"/>
          <w:sz w:val="32"/>
          <w:szCs w:val="32"/>
        </w:rPr>
        <w:t>3.77%</w:t>
      </w:r>
      <w:r>
        <w:rPr>
          <w:rFonts w:hint="eastAsia" w:ascii="仿宋_GB2312" w:hAnsi="仿宋" w:eastAsia="仿宋_GB2312" w:cs="仿宋"/>
          <w:sz w:val="32"/>
          <w:szCs w:val="32"/>
        </w:rPr>
        <w:t>。</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（五）</w:t>
      </w:r>
      <w:bookmarkEnd w:id="17"/>
      <w:r>
        <w:rPr>
          <w:rFonts w:hint="eastAsia" w:ascii="楷体_GB2312" w:eastAsia="楷体_GB2312"/>
          <w:sz w:val="32"/>
          <w:szCs w:val="32"/>
        </w:rPr>
        <w:t>部门</w:t>
      </w:r>
      <w:r>
        <w:rPr>
          <w:rFonts w:ascii="楷体_GB2312" w:eastAsia="楷体_GB2312"/>
          <w:sz w:val="32"/>
          <w:szCs w:val="32"/>
        </w:rPr>
        <w:t>预决算差异率</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大兴区人民法院2024年支出年初预算数</w:t>
      </w:r>
      <w:r>
        <w:rPr>
          <w:rFonts w:ascii="仿宋_GB2312" w:hAnsi="仿宋" w:eastAsia="仿宋_GB2312" w:cs="仿宋"/>
          <w:sz w:val="32"/>
          <w:szCs w:val="32"/>
        </w:rPr>
        <w:t>23,521.66</w:t>
      </w:r>
      <w:r>
        <w:rPr>
          <w:rFonts w:hint="eastAsia" w:ascii="仿宋_GB2312" w:hAnsi="仿宋" w:eastAsia="仿宋_GB2312" w:cs="仿宋"/>
          <w:sz w:val="32"/>
          <w:szCs w:val="32"/>
        </w:rPr>
        <w:t>万元，决算支出</w:t>
      </w:r>
      <w:r>
        <w:rPr>
          <w:rFonts w:ascii="仿宋_GB2312" w:hAnsi="仿宋" w:eastAsia="仿宋_GB2312" w:cs="仿宋"/>
          <w:sz w:val="32"/>
          <w:szCs w:val="32"/>
        </w:rPr>
        <w:t>23,122.32</w:t>
      </w:r>
      <w:r>
        <w:rPr>
          <w:rFonts w:hint="eastAsia" w:ascii="仿宋_GB2312" w:hAnsi="仿宋" w:eastAsia="仿宋_GB2312" w:cs="仿宋"/>
          <w:sz w:val="32"/>
          <w:szCs w:val="32"/>
        </w:rPr>
        <w:t>万元，部门预决算差异率</w:t>
      </w:r>
      <w:r>
        <w:rPr>
          <w:rFonts w:ascii="仿宋_GB2312" w:hAnsi="仿宋" w:eastAsia="仿宋_GB2312" w:cs="仿宋"/>
          <w:sz w:val="32"/>
          <w:szCs w:val="32"/>
        </w:rPr>
        <w:t>1.70%</w:t>
      </w:r>
      <w:r>
        <w:rPr>
          <w:rFonts w:hint="eastAsia" w:ascii="仿宋_GB2312" w:hAnsi="仿宋" w:eastAsia="仿宋_GB2312" w:cs="仿宋"/>
          <w:sz w:val="32"/>
          <w:szCs w:val="32"/>
        </w:rPr>
        <w:t>，低于市级平均差异率。</w:t>
      </w:r>
    </w:p>
    <w:p>
      <w:pPr>
        <w:spacing w:line="560" w:lineRule="exact"/>
        <w:ind w:firstLine="640" w:firstLineChars="200"/>
        <w:outlineLvl w:val="0"/>
        <w:rPr>
          <w:rFonts w:hint="eastAsia" w:ascii="黑体" w:hAnsi="黑体" w:eastAsia="黑体"/>
          <w:sz w:val="32"/>
          <w:szCs w:val="32"/>
        </w:rPr>
      </w:pPr>
      <w:bookmarkStart w:id="18" w:name="_Toc9419"/>
      <w:r>
        <w:rPr>
          <w:rFonts w:hint="eastAsia" w:ascii="黑体" w:hAnsi="黑体" w:eastAsia="黑体"/>
          <w:sz w:val="32"/>
          <w:szCs w:val="32"/>
        </w:rPr>
        <w:t>五、总体</w:t>
      </w:r>
      <w:r>
        <w:rPr>
          <w:rFonts w:ascii="黑体" w:hAnsi="黑体" w:eastAsia="黑体"/>
          <w:sz w:val="32"/>
          <w:szCs w:val="32"/>
        </w:rPr>
        <w:t>评价结论</w:t>
      </w:r>
      <w:bookmarkEnd w:id="18"/>
    </w:p>
    <w:p>
      <w:pPr>
        <w:spacing w:line="560" w:lineRule="exact"/>
        <w:ind w:firstLine="640" w:firstLineChars="200"/>
        <w:outlineLvl w:val="1"/>
        <w:rPr>
          <w:rFonts w:ascii="楷体_GB2312" w:eastAsia="楷体_GB2312"/>
          <w:sz w:val="32"/>
          <w:szCs w:val="32"/>
        </w:rPr>
      </w:pPr>
      <w:bookmarkStart w:id="19" w:name="_Toc31337"/>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bookmarkEnd w:id="19"/>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根据2024年度部门整体绩效目标申报表，大兴区人民法院各项年度工作任务均已按照部署要求和时间进度完成，整体工作产出完成情况较好。大兴区人民法院部门整体综合评价得分</w:t>
      </w:r>
      <w:r>
        <w:rPr>
          <w:rFonts w:ascii="仿宋_GB2312" w:hAnsi="仿宋" w:eastAsia="仿宋_GB2312" w:cs="仿宋"/>
          <w:sz w:val="32"/>
          <w:szCs w:val="32"/>
        </w:rPr>
        <w:t>9</w:t>
      </w:r>
      <w:r>
        <w:rPr>
          <w:rFonts w:hint="eastAsia" w:ascii="仿宋_GB2312" w:hAnsi="仿宋" w:eastAsia="仿宋_GB2312" w:cs="仿宋"/>
          <w:sz w:val="32"/>
          <w:szCs w:val="32"/>
        </w:rPr>
        <w:t>4</w:t>
      </w:r>
      <w:r>
        <w:rPr>
          <w:rFonts w:ascii="仿宋_GB2312" w:hAnsi="仿宋" w:eastAsia="仿宋_GB2312" w:cs="仿宋"/>
          <w:sz w:val="32"/>
          <w:szCs w:val="32"/>
        </w:rPr>
        <w:t>.25</w:t>
      </w:r>
      <w:r>
        <w:rPr>
          <w:rFonts w:hint="eastAsia" w:ascii="仿宋_GB2312" w:hAnsi="仿宋" w:eastAsia="仿宋_GB2312" w:cs="仿宋"/>
          <w:sz w:val="32"/>
          <w:szCs w:val="32"/>
        </w:rPr>
        <w:t>分，其中当年预算执行情况得分</w:t>
      </w:r>
      <w:r>
        <w:rPr>
          <w:rFonts w:ascii="仿宋_GB2312" w:hAnsi="仿宋" w:eastAsia="仿宋_GB2312" w:cs="仿宋"/>
          <w:sz w:val="32"/>
          <w:szCs w:val="32"/>
        </w:rPr>
        <w:t>1</w:t>
      </w:r>
      <w:r>
        <w:rPr>
          <w:rFonts w:hint="eastAsia" w:ascii="仿宋_GB2312" w:hAnsi="仿宋" w:eastAsia="仿宋_GB2312" w:cs="仿宋"/>
          <w:sz w:val="32"/>
          <w:szCs w:val="32"/>
        </w:rPr>
        <w:t>9</w:t>
      </w:r>
      <w:r>
        <w:rPr>
          <w:rFonts w:ascii="仿宋_GB2312" w:hAnsi="仿宋" w:eastAsia="仿宋_GB2312" w:cs="仿宋"/>
          <w:sz w:val="32"/>
          <w:szCs w:val="32"/>
        </w:rPr>
        <w:t>.2</w:t>
      </w:r>
      <w:r>
        <w:rPr>
          <w:rFonts w:hint="eastAsia" w:ascii="仿宋_GB2312" w:hAnsi="仿宋" w:eastAsia="仿宋_GB2312" w:cs="仿宋"/>
          <w:sz w:val="32"/>
          <w:szCs w:val="32"/>
        </w:rPr>
        <w:t>5分，整体绩效目标实现情况得分58分，预算管理情况得分</w:t>
      </w:r>
      <w:r>
        <w:rPr>
          <w:rFonts w:ascii="仿宋_GB2312" w:hAnsi="仿宋" w:eastAsia="仿宋_GB2312" w:cs="仿宋"/>
          <w:sz w:val="32"/>
          <w:szCs w:val="32"/>
        </w:rPr>
        <w:t>17</w:t>
      </w:r>
      <w:r>
        <w:rPr>
          <w:rFonts w:hint="eastAsia" w:ascii="仿宋_GB2312" w:hAnsi="仿宋" w:eastAsia="仿宋_GB2312" w:cs="仿宋"/>
          <w:sz w:val="32"/>
          <w:szCs w:val="32"/>
        </w:rPr>
        <w:t>分。具体得分情况见下表：</w:t>
      </w:r>
    </w:p>
    <w:tbl>
      <w:tblPr>
        <w:tblStyle w:val="21"/>
        <w:tblW w:w="7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8"/>
        <w:gridCol w:w="1764"/>
        <w:gridCol w:w="2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exact"/>
          <w:tblHeader/>
          <w:jc w:val="center"/>
        </w:trPr>
        <w:tc>
          <w:tcPr>
            <w:tcW w:w="3158" w:type="dxa"/>
            <w:shd w:val="clear" w:color="auto" w:fill="BEBEBE"/>
            <w:vAlign w:val="center"/>
          </w:tcPr>
          <w:p>
            <w:pPr>
              <w:widowControl/>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评价内容</w:t>
            </w:r>
          </w:p>
        </w:tc>
        <w:tc>
          <w:tcPr>
            <w:tcW w:w="1764" w:type="dxa"/>
            <w:shd w:val="clear" w:color="auto" w:fill="BEBEBE"/>
            <w:vAlign w:val="center"/>
          </w:tcPr>
          <w:p>
            <w:pPr>
              <w:widowControl/>
              <w:spacing w:line="360" w:lineRule="auto"/>
              <w:jc w:val="center"/>
              <w:rPr>
                <w:rFonts w:hint="eastAsia" w:ascii="宋体" w:hAnsi="宋体" w:cs="宋体"/>
                <w:b/>
                <w:bCs/>
                <w:color w:val="000000"/>
                <w:kern w:val="0"/>
                <w:szCs w:val="21"/>
              </w:rPr>
            </w:pPr>
            <w:r>
              <w:rPr>
                <w:rFonts w:hint="eastAsia" w:ascii="宋体" w:hAnsi="宋体" w:cs="宋体"/>
                <w:b/>
                <w:bCs/>
                <w:color w:val="000000"/>
                <w:kern w:val="0"/>
                <w:szCs w:val="21"/>
              </w:rPr>
              <w:t>分值</w:t>
            </w:r>
          </w:p>
        </w:tc>
        <w:tc>
          <w:tcPr>
            <w:tcW w:w="2685" w:type="dxa"/>
            <w:shd w:val="clear" w:color="auto" w:fill="BEBEBE"/>
            <w:vAlign w:val="center"/>
          </w:tcPr>
          <w:p>
            <w:pPr>
              <w:widowControl/>
              <w:spacing w:line="360" w:lineRule="auto"/>
              <w:jc w:val="center"/>
              <w:rPr>
                <w:rFonts w:hint="eastAsia" w:ascii="宋体" w:hAnsi="宋体" w:cs="宋体"/>
                <w:b/>
                <w:bCs/>
                <w:color w:val="000000"/>
                <w:kern w:val="0"/>
                <w:szCs w:val="21"/>
              </w:rPr>
            </w:pPr>
            <w:r>
              <w:rPr>
                <w:rFonts w:hint="eastAsia" w:ascii="宋体" w:hAnsi="宋体" w:cs="宋体"/>
                <w:b/>
                <w:bCs/>
                <w:color w:val="000000"/>
                <w:kern w:val="0"/>
                <w:szCs w:val="21"/>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158" w:type="dxa"/>
            <w:vAlign w:val="center"/>
          </w:tcPr>
          <w:p>
            <w:pPr>
              <w:widowControl/>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当年预算执行情况</w:t>
            </w:r>
          </w:p>
        </w:tc>
        <w:tc>
          <w:tcPr>
            <w:tcW w:w="1764" w:type="dxa"/>
            <w:vAlign w:val="center"/>
          </w:tcPr>
          <w:p>
            <w:pPr>
              <w:widowControl/>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20</w:t>
            </w:r>
          </w:p>
        </w:tc>
        <w:tc>
          <w:tcPr>
            <w:tcW w:w="2685" w:type="dxa"/>
            <w:vAlign w:val="center"/>
          </w:tcPr>
          <w:p>
            <w:pPr>
              <w:widowControl/>
              <w:spacing w:line="360" w:lineRule="auto"/>
              <w:jc w:val="center"/>
              <w:rPr>
                <w:rFonts w:hint="eastAsia" w:ascii="宋体" w:hAnsi="宋体" w:cs="宋体"/>
                <w:color w:val="000000"/>
                <w:kern w:val="0"/>
                <w:szCs w:val="21"/>
              </w:rPr>
            </w:pPr>
            <w:r>
              <w:rPr>
                <w:rFonts w:ascii="宋体" w:hAnsi="宋体" w:cs="宋体"/>
                <w:color w:val="000000"/>
                <w:kern w:val="0"/>
                <w:szCs w:val="21"/>
              </w:rPr>
              <w:t>19.25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158" w:type="dxa"/>
            <w:vAlign w:val="center"/>
          </w:tcPr>
          <w:p>
            <w:pPr>
              <w:widowControl/>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整体绩效目标实现情况</w:t>
            </w:r>
          </w:p>
        </w:tc>
        <w:tc>
          <w:tcPr>
            <w:tcW w:w="1764" w:type="dxa"/>
            <w:vAlign w:val="center"/>
          </w:tcPr>
          <w:p>
            <w:pPr>
              <w:widowControl/>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60</w:t>
            </w:r>
          </w:p>
        </w:tc>
        <w:tc>
          <w:tcPr>
            <w:tcW w:w="2685" w:type="dxa"/>
            <w:vAlign w:val="center"/>
          </w:tcPr>
          <w:p>
            <w:pPr>
              <w:widowControl/>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158" w:type="dxa"/>
            <w:vAlign w:val="center"/>
          </w:tcPr>
          <w:p>
            <w:pPr>
              <w:widowControl/>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预算管理情况</w:t>
            </w:r>
          </w:p>
        </w:tc>
        <w:tc>
          <w:tcPr>
            <w:tcW w:w="1764" w:type="dxa"/>
            <w:vAlign w:val="center"/>
          </w:tcPr>
          <w:p>
            <w:pPr>
              <w:widowControl/>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20</w:t>
            </w:r>
          </w:p>
        </w:tc>
        <w:tc>
          <w:tcPr>
            <w:tcW w:w="2685" w:type="dxa"/>
            <w:vAlign w:val="center"/>
          </w:tcPr>
          <w:p>
            <w:pPr>
              <w:widowControl/>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158" w:type="dxa"/>
            <w:vAlign w:val="center"/>
          </w:tcPr>
          <w:p>
            <w:pPr>
              <w:widowControl/>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综合得分</w:t>
            </w:r>
          </w:p>
        </w:tc>
        <w:tc>
          <w:tcPr>
            <w:tcW w:w="1764" w:type="dxa"/>
            <w:vAlign w:val="center"/>
          </w:tcPr>
          <w:p>
            <w:pPr>
              <w:widowControl/>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100</w:t>
            </w:r>
          </w:p>
        </w:tc>
        <w:tc>
          <w:tcPr>
            <w:tcW w:w="2685" w:type="dxa"/>
            <w:vAlign w:val="center"/>
          </w:tcPr>
          <w:p>
            <w:pPr>
              <w:widowControl/>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94.25</w:t>
            </w:r>
          </w:p>
        </w:tc>
      </w:tr>
    </w:tbl>
    <w:p>
      <w:pPr>
        <w:spacing w:line="560" w:lineRule="exact"/>
        <w:ind w:firstLine="640" w:firstLineChars="200"/>
        <w:outlineLvl w:val="1"/>
        <w:rPr>
          <w:rFonts w:ascii="楷体_GB2312" w:eastAsia="楷体_GB2312"/>
          <w:sz w:val="32"/>
          <w:szCs w:val="32"/>
        </w:rPr>
      </w:pPr>
      <w:bookmarkStart w:id="20" w:name="_Toc1422"/>
      <w:r>
        <w:rPr>
          <w:rFonts w:hint="eastAsia" w:ascii="楷体_GB2312" w:eastAsia="楷体_GB2312"/>
          <w:sz w:val="32"/>
          <w:szCs w:val="32"/>
        </w:rPr>
        <w:t>（二）存在的问题及原因分析</w:t>
      </w:r>
      <w:bookmarkEnd w:id="20"/>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1.部门整体绩效目标申报表填写不够完整，未体现产出成本、产出进度、经济效益、社会效益、服务对象满意度等指标，指标全部设置为定性目标，不够量化，可衡量性不足。</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w:t>
      </w:r>
      <w:r>
        <w:rPr>
          <w:rFonts w:ascii="仿宋_GB2312" w:hAnsi="仿宋" w:eastAsia="仿宋_GB2312" w:cs="仿宋"/>
          <w:sz w:val="32"/>
          <w:szCs w:val="32"/>
        </w:rPr>
        <w:t>.</w:t>
      </w:r>
      <w:r>
        <w:rPr>
          <w:rFonts w:hint="eastAsia" w:ascii="仿宋_GB2312" w:hAnsi="仿宋" w:eastAsia="仿宋_GB2312" w:cs="仿宋"/>
          <w:sz w:val="32"/>
          <w:szCs w:val="32"/>
        </w:rPr>
        <w:t>未建立绩效跟踪管理办法，对资金支出和项目实施过程中与财政预算绩效管理有关的资金到位、资金支出、项目进程、目标实现等动态情况进行跟踪管理。未及时对财政支出的绩效目标实现程度、项目实施进度等情况进行汇总分析整理。</w:t>
      </w:r>
    </w:p>
    <w:p>
      <w:pPr>
        <w:adjustRightInd w:val="0"/>
        <w:snapToGrid w:val="0"/>
        <w:spacing w:line="560" w:lineRule="exact"/>
        <w:ind w:firstLine="640" w:firstLineChars="200"/>
        <w:rPr>
          <w:rFonts w:hint="eastAsia" w:ascii="仿宋_GB2312" w:hAnsi="仿宋" w:eastAsia="仿宋_GB2312" w:cs="仿宋"/>
          <w:sz w:val="32"/>
          <w:szCs w:val="32"/>
        </w:rPr>
      </w:pPr>
      <w:r>
        <w:rPr>
          <w:rFonts w:ascii="仿宋_GB2312" w:hAnsi="仿宋" w:eastAsia="仿宋_GB2312" w:cs="仿宋"/>
          <w:sz w:val="32"/>
          <w:szCs w:val="32"/>
        </w:rPr>
        <w:t>3.</w:t>
      </w:r>
      <w:r>
        <w:rPr>
          <w:rFonts w:hint="eastAsia" w:ascii="仿宋_GB2312" w:hAnsi="仿宋" w:eastAsia="仿宋_GB2312" w:cs="仿宋"/>
          <w:sz w:val="32"/>
          <w:szCs w:val="32"/>
        </w:rPr>
        <w:t>部分项目支出存在支出进度较慢的问题，如法院业务装备费152项目，该项目资金主要用于采购新建法庭业务装备，支出进度慢的原因主要在于新建法庭建成验收较晚，导致该项目支出进度较慢。</w:t>
      </w:r>
    </w:p>
    <w:p>
      <w:pPr>
        <w:adjustRightInd w:val="0"/>
        <w:snapToGrid w:val="0"/>
        <w:spacing w:line="560" w:lineRule="exact"/>
        <w:ind w:firstLine="640" w:firstLineChars="200"/>
        <w:rPr>
          <w:rFonts w:hint="eastAsia" w:ascii="仿宋_GB2312" w:hAnsi="仿宋" w:eastAsia="仿宋_GB2312" w:cs="仿宋"/>
          <w:sz w:val="32"/>
          <w:szCs w:val="32"/>
        </w:rPr>
      </w:pPr>
      <w:r>
        <w:rPr>
          <w:rFonts w:ascii="仿宋_GB2312" w:hAnsi="仿宋" w:eastAsia="仿宋_GB2312" w:cs="仿宋"/>
          <w:sz w:val="32"/>
          <w:szCs w:val="32"/>
        </w:rPr>
        <w:t>4.</w:t>
      </w:r>
      <w:r>
        <w:rPr>
          <w:rFonts w:hint="eastAsia" w:ascii="仿宋_GB2312" w:hAnsi="仿宋" w:eastAsia="仿宋_GB2312" w:cs="仿宋"/>
          <w:sz w:val="32"/>
          <w:szCs w:val="32"/>
        </w:rPr>
        <w:t>2024年部门整体绩效目标关于效果实现情况的资料呈现不足，缺少相关资料的收集和统计分析；2024年未对部门整体进行满意度调查。</w:t>
      </w:r>
    </w:p>
    <w:p>
      <w:pPr>
        <w:pStyle w:val="11"/>
        <w:spacing w:after="0" w:line="560" w:lineRule="exact"/>
        <w:ind w:left="0" w:leftChars="0" w:firstLine="640" w:firstLineChars="200"/>
        <w:outlineLvl w:val="0"/>
        <w:rPr>
          <w:rFonts w:hint="eastAsia" w:ascii="仿宋_GB2312" w:hAnsi="宋体" w:eastAsia="仿宋_GB2312" w:cs="宋体"/>
          <w:color w:val="000000"/>
          <w:kern w:val="0"/>
          <w:sz w:val="32"/>
          <w:szCs w:val="32"/>
        </w:rPr>
      </w:pPr>
      <w:bookmarkStart w:id="21" w:name="_Toc27090"/>
      <w:r>
        <w:rPr>
          <w:rFonts w:hint="eastAsia" w:ascii="黑体" w:hAnsi="黑体" w:eastAsia="黑体" w:cs="宋体"/>
          <w:color w:val="000000"/>
          <w:kern w:val="0"/>
          <w:sz w:val="32"/>
          <w:szCs w:val="32"/>
        </w:rPr>
        <w:t>六、措施建议</w:t>
      </w:r>
      <w:bookmarkEnd w:id="21"/>
    </w:p>
    <w:p>
      <w:pPr>
        <w:adjustRightInd w:val="0"/>
        <w:snapToGrid w:val="0"/>
        <w:spacing w:line="560" w:lineRule="exact"/>
        <w:ind w:firstLine="640" w:firstLineChars="200"/>
        <w:rPr>
          <w:rFonts w:hint="eastAsia" w:ascii="仿宋_GB2312" w:hAnsi="仿宋" w:eastAsia="仿宋_GB2312" w:cs="仿宋"/>
          <w:sz w:val="32"/>
          <w:szCs w:val="32"/>
        </w:rPr>
      </w:pPr>
      <w:bookmarkStart w:id="22" w:name="_Toc24942"/>
      <w:r>
        <w:rPr>
          <w:rFonts w:ascii="仿宋_GB2312" w:hAnsi="仿宋" w:eastAsia="仿宋_GB2312" w:cs="仿宋"/>
          <w:sz w:val="32"/>
          <w:szCs w:val="32"/>
        </w:rPr>
        <w:t>1.</w:t>
      </w:r>
      <w:r>
        <w:rPr>
          <w:rFonts w:hint="eastAsia" w:ascii="仿宋_GB2312" w:hAnsi="仿宋" w:eastAsia="仿宋_GB2312" w:cs="仿宋"/>
          <w:sz w:val="32"/>
          <w:szCs w:val="32"/>
        </w:rPr>
        <w:t>建议大兴区人民法院结合部门职能、年度工作计划和重点工作任务，梳理部门主要产出和绩效，合理设置部门年度绩效目标和绩效指标，保证各项指标细化、量化和准确；提高绩效意识，加强绩效结果应用。</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w:t>
      </w:r>
      <w:r>
        <w:rPr>
          <w:rFonts w:ascii="仿宋_GB2312" w:hAnsi="仿宋" w:eastAsia="仿宋_GB2312" w:cs="仿宋"/>
          <w:sz w:val="32"/>
          <w:szCs w:val="32"/>
        </w:rPr>
        <w:t>.</w:t>
      </w:r>
      <w:r>
        <w:rPr>
          <w:rFonts w:hint="eastAsia" w:ascii="仿宋_GB2312" w:hAnsi="仿宋" w:eastAsia="仿宋_GB2312" w:cs="仿宋"/>
          <w:sz w:val="32"/>
          <w:szCs w:val="32"/>
        </w:rPr>
        <w:t>建议建立绩效跟踪管理办法，根据确定的绩效目标，运用科学、合理的绩效信息汇总分析方法，对财政支出的绩效目标实现程度、项目实施进度等情况进行阶段性跟踪管理和督促检查，及时发现问题并采取有效的措施纠正偏离绩效目标情况的管理活动。</w:t>
      </w:r>
      <w:bookmarkEnd w:id="22"/>
    </w:p>
    <w:p>
      <w:pPr>
        <w:adjustRightInd w:val="0"/>
        <w:snapToGrid w:val="0"/>
        <w:spacing w:line="560" w:lineRule="exact"/>
        <w:ind w:firstLine="640" w:firstLineChars="200"/>
        <w:rPr>
          <w:rFonts w:hint="eastAsia" w:ascii="仿宋_GB2312" w:hAnsi="仿宋" w:eastAsia="仿宋_GB2312" w:cs="仿宋"/>
          <w:sz w:val="32"/>
          <w:szCs w:val="32"/>
        </w:rPr>
      </w:pPr>
      <w:r>
        <w:rPr>
          <w:rFonts w:ascii="仿宋_GB2312" w:hAnsi="仿宋" w:eastAsia="仿宋_GB2312" w:cs="仿宋"/>
          <w:sz w:val="32"/>
          <w:szCs w:val="32"/>
        </w:rPr>
        <w:t>3.</w:t>
      </w:r>
      <w:r>
        <w:rPr>
          <w:rFonts w:hint="eastAsia" w:ascii="仿宋_GB2312" w:hAnsi="仿宋" w:eastAsia="仿宋_GB2312" w:cs="仿宋"/>
          <w:sz w:val="32"/>
          <w:szCs w:val="32"/>
        </w:rPr>
        <w:t>建议在严格执行各项财政政策、资金支付流程的基础上，加快资金支出进度，根据各项工作相关要求，跟踪各项目执行落实情况，按照合同约定付款时间及项目进度提示各项目经办人及时办理资金支付，切实提高财政资金使用效益。</w:t>
      </w:r>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4</w:t>
      </w:r>
      <w:r>
        <w:rPr>
          <w:rFonts w:ascii="仿宋_GB2312" w:hAnsi="仿宋" w:eastAsia="仿宋_GB2312" w:cs="仿宋"/>
          <w:sz w:val="32"/>
          <w:szCs w:val="32"/>
        </w:rPr>
        <w:t>.</w:t>
      </w:r>
      <w:r>
        <w:rPr>
          <w:rFonts w:hint="eastAsia" w:ascii="仿宋_GB2312" w:hAnsi="仿宋" w:eastAsia="仿宋_GB2312" w:cs="仿宋"/>
          <w:sz w:val="32"/>
          <w:szCs w:val="32"/>
        </w:rPr>
        <w:t>建议牢固树立绩效管理理念，加强绩效成果和项目效益的挖掘，注重收集绩效成果资料和效益支撑材料，充分展示项目效果和效益。</w:t>
      </w:r>
      <w:r>
        <w:rPr>
          <w:rFonts w:ascii="仿宋_GB2312" w:hAnsi="仿宋" w:eastAsia="仿宋_GB2312" w:cs="仿宋"/>
          <w:sz w:val="32"/>
          <w:szCs w:val="32"/>
        </w:rPr>
        <w:t xml:space="preserve"> </w:t>
      </w:r>
    </w:p>
    <w:p>
      <w:pPr>
        <w:pStyle w:val="11"/>
        <w:spacing w:after="0" w:line="560" w:lineRule="exact"/>
        <w:ind w:left="0" w:leftChars="0" w:firstLine="640" w:firstLineChars="200"/>
        <w:outlineLvl w:val="0"/>
        <w:rPr>
          <w:rFonts w:hint="eastAsia" w:ascii="黑体" w:hAnsi="黑体" w:eastAsia="黑体" w:cs="宋体"/>
          <w:color w:val="000000"/>
          <w:kern w:val="0"/>
          <w:sz w:val="32"/>
          <w:szCs w:val="32"/>
        </w:rPr>
      </w:pPr>
      <w:bookmarkStart w:id="23" w:name="_Toc28380"/>
      <w:r>
        <w:rPr>
          <w:rFonts w:hint="eastAsia" w:ascii="黑体" w:hAnsi="黑体" w:eastAsia="黑体" w:cs="宋体"/>
          <w:color w:val="000000"/>
          <w:kern w:val="0"/>
          <w:sz w:val="32"/>
          <w:szCs w:val="32"/>
        </w:rPr>
        <w:t>七、附件</w:t>
      </w:r>
      <w:bookmarkEnd w:id="23"/>
    </w:p>
    <w:p>
      <w:pPr>
        <w:adjustRightInd w:val="0"/>
        <w:snapToGrid w:val="0"/>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2024年部门整体绩效评价指标体系评分表</w:t>
      </w:r>
    </w:p>
    <w:p>
      <w:pPr>
        <w:adjustRightInd w:val="0"/>
        <w:snapToGrid w:val="0"/>
        <w:spacing w:line="560" w:lineRule="exact"/>
        <w:ind w:firstLine="640" w:firstLineChars="200"/>
        <w:rPr>
          <w:rFonts w:hint="eastAsia" w:ascii="仿宋_GB2312" w:hAnsi="仿宋" w:eastAsia="仿宋_GB2312" w:cs="仿宋"/>
          <w:sz w:val="32"/>
          <w:szCs w:val="32"/>
        </w:rPr>
      </w:pPr>
    </w:p>
    <w:p>
      <w:pPr>
        <w:spacing w:line="560" w:lineRule="exact"/>
        <w:outlineLvl w:val="0"/>
        <w:rPr>
          <w:rFonts w:hint="eastAsia" w:ascii="黑体" w:hAnsi="黑体" w:eastAsia="黑体" w:cs="黑体"/>
          <w:bCs/>
          <w:color w:val="000000"/>
          <w:kern w:val="0"/>
          <w:sz w:val="32"/>
          <w:szCs w:val="32"/>
        </w:rPr>
      </w:pPr>
    </w:p>
    <w:p>
      <w:pPr>
        <w:rPr>
          <w:rFonts w:hint="eastAsia" w:ascii="仿宋_GB2312" w:hAnsi="宋体" w:eastAsia="仿宋_GB2312" w:cs="宋体"/>
          <w:color w:val="000000"/>
          <w:kern w:val="0"/>
          <w:sz w:val="32"/>
          <w:szCs w:val="32"/>
        </w:rPr>
      </w:pPr>
      <w:r>
        <w:rPr>
          <w:rFonts w:ascii="仿宋_GB2312" w:hAnsi="宋体" w:eastAsia="仿宋_GB2312" w:cs="宋体"/>
          <w:color w:val="000000"/>
          <w:kern w:val="0"/>
          <w:sz w:val="32"/>
          <w:szCs w:val="32"/>
        </w:rPr>
        <w:br w:type="page"/>
      </w:r>
    </w:p>
    <w:p>
      <w:pPr>
        <w:pStyle w:val="8"/>
        <w:sectPr>
          <w:footerReference r:id="rId7" w:type="default"/>
          <w:pgSz w:w="11906" w:h="16838"/>
          <w:pgMar w:top="1440" w:right="1800" w:bottom="1440" w:left="1800" w:header="851" w:footer="992" w:gutter="0"/>
          <w:pgNumType w:start="1"/>
          <w:cols w:space="425" w:num="1"/>
          <w:docGrid w:type="lines" w:linePitch="312" w:charSpace="0"/>
        </w:sectPr>
      </w:pPr>
    </w:p>
    <w:p>
      <w:pPr>
        <w:spacing w:line="560" w:lineRule="exact"/>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附件：2024年部门整体绩效评价</w:t>
      </w:r>
      <w:r>
        <w:rPr>
          <w:rFonts w:hint="eastAsia" w:ascii="仿宋" w:hAnsi="仿宋" w:eastAsia="仿宋" w:cs="微软雅黑"/>
          <w:color w:val="000000"/>
          <w:kern w:val="0"/>
          <w:sz w:val="32"/>
          <w:szCs w:val="32"/>
        </w:rPr>
        <w:t>指标</w:t>
      </w:r>
      <w:r>
        <w:rPr>
          <w:rFonts w:hint="eastAsia" w:ascii="仿宋" w:hAnsi="仿宋" w:eastAsia="仿宋" w:cs="___WRD_EMBED_SUB_47"/>
          <w:color w:val="000000"/>
          <w:kern w:val="0"/>
          <w:sz w:val="32"/>
          <w:szCs w:val="32"/>
        </w:rPr>
        <w:t>体</w:t>
      </w:r>
      <w:r>
        <w:rPr>
          <w:rFonts w:hint="eastAsia" w:ascii="仿宋" w:hAnsi="仿宋" w:eastAsia="仿宋" w:cs="微软雅黑"/>
          <w:color w:val="000000"/>
          <w:kern w:val="0"/>
          <w:sz w:val="32"/>
          <w:szCs w:val="32"/>
        </w:rPr>
        <w:t>系</w:t>
      </w:r>
      <w:r>
        <w:rPr>
          <w:rFonts w:hint="eastAsia" w:ascii="仿宋" w:hAnsi="仿宋" w:eastAsia="仿宋" w:cs="___WRD_EMBED_SUB_47"/>
          <w:color w:val="000000"/>
          <w:kern w:val="0"/>
          <w:sz w:val="32"/>
          <w:szCs w:val="32"/>
        </w:rPr>
        <w:t>评</w:t>
      </w:r>
      <w:r>
        <w:rPr>
          <w:rFonts w:hint="eastAsia" w:ascii="仿宋" w:hAnsi="仿宋" w:eastAsia="仿宋" w:cs="微软雅黑"/>
          <w:color w:val="000000"/>
          <w:kern w:val="0"/>
          <w:sz w:val="32"/>
          <w:szCs w:val="32"/>
        </w:rPr>
        <w:t>分</w:t>
      </w:r>
      <w:r>
        <w:rPr>
          <w:rFonts w:hint="eastAsia" w:ascii="仿宋" w:hAnsi="仿宋" w:eastAsia="仿宋" w:cs="___WRD_EMBED_SUB_47"/>
          <w:color w:val="000000"/>
          <w:kern w:val="0"/>
          <w:sz w:val="32"/>
          <w:szCs w:val="32"/>
        </w:rPr>
        <w:t>表</w:t>
      </w:r>
    </w:p>
    <w:tbl>
      <w:tblPr>
        <w:tblStyle w:val="21"/>
        <w:tblW w:w="15440" w:type="dxa"/>
        <w:tblInd w:w="-601" w:type="dxa"/>
        <w:tblLayout w:type="fixed"/>
        <w:tblCellMar>
          <w:top w:w="0" w:type="dxa"/>
          <w:left w:w="108" w:type="dxa"/>
          <w:bottom w:w="0" w:type="dxa"/>
          <w:right w:w="108" w:type="dxa"/>
        </w:tblCellMar>
      </w:tblPr>
      <w:tblGrid>
        <w:gridCol w:w="1190"/>
        <w:gridCol w:w="1054"/>
        <w:gridCol w:w="1335"/>
        <w:gridCol w:w="1285"/>
        <w:gridCol w:w="9"/>
        <w:gridCol w:w="3653"/>
        <w:gridCol w:w="12"/>
        <w:gridCol w:w="741"/>
        <w:gridCol w:w="12"/>
        <w:gridCol w:w="818"/>
        <w:gridCol w:w="12"/>
        <w:gridCol w:w="3483"/>
        <w:gridCol w:w="12"/>
        <w:gridCol w:w="1797"/>
        <w:gridCol w:w="12"/>
        <w:gridCol w:w="15"/>
      </w:tblGrid>
      <w:tr>
        <w:tblPrEx>
          <w:tblCellMar>
            <w:top w:w="0" w:type="dxa"/>
            <w:left w:w="108" w:type="dxa"/>
            <w:bottom w:w="0" w:type="dxa"/>
            <w:right w:w="108" w:type="dxa"/>
          </w:tblCellMar>
        </w:tblPrEx>
        <w:trPr>
          <w:cantSplit/>
          <w:trHeight w:val="90" w:hRule="atLeast"/>
        </w:trPr>
        <w:tc>
          <w:tcPr>
            <w:tcW w:w="15440" w:type="dxa"/>
            <w:gridSpan w:val="16"/>
            <w:tcBorders>
              <w:top w:val="nil"/>
              <w:left w:val="nil"/>
              <w:bottom w:val="single" w:color="auto" w:sz="4" w:space="0"/>
              <w:right w:val="nil"/>
            </w:tcBorders>
            <w:noWrap/>
            <w:vAlign w:val="bottom"/>
          </w:tcPr>
          <w:p>
            <w:pPr>
              <w:widowControl/>
              <w:jc w:val="center"/>
              <w:rPr>
                <w:rFonts w:hint="eastAsia" w:ascii="微软雅黑" w:hAnsi="黑体" w:eastAsia="微软雅黑" w:cs="宋体"/>
                <w:color w:val="000000"/>
                <w:kern w:val="0"/>
                <w:sz w:val="44"/>
                <w:szCs w:val="44"/>
              </w:rPr>
            </w:pPr>
            <w:r>
              <w:rPr>
                <w:rFonts w:hint="eastAsia" w:ascii="微软雅黑" w:hAnsi="黑体" w:eastAsia="微软雅黑" w:cs="宋体"/>
                <w:color w:val="000000"/>
                <w:kern w:val="0"/>
                <w:sz w:val="44"/>
                <w:szCs w:val="44"/>
              </w:rPr>
              <w:t>2024年部门整体绩效评价指标体系评分表</w:t>
            </w:r>
          </w:p>
        </w:tc>
      </w:tr>
      <w:tr>
        <w:tblPrEx>
          <w:tblCellMar>
            <w:top w:w="0" w:type="dxa"/>
            <w:left w:w="108" w:type="dxa"/>
            <w:bottom w:w="0" w:type="dxa"/>
            <w:right w:w="108" w:type="dxa"/>
          </w:tblCellMar>
        </w:tblPrEx>
        <w:trPr>
          <w:cantSplit/>
          <w:trHeight w:val="470" w:hRule="atLeast"/>
        </w:trPr>
        <w:tc>
          <w:tcPr>
            <w:tcW w:w="15440" w:type="dxa"/>
            <w:gridSpan w:val="16"/>
            <w:tcBorders>
              <w:top w:val="single" w:color="auto" w:sz="4" w:space="0"/>
              <w:left w:val="single" w:color="auto" w:sz="4" w:space="0"/>
              <w:bottom w:val="single" w:color="000000" w:sz="4" w:space="0"/>
              <w:right w:val="single" w:color="auto" w:sz="4" w:space="0"/>
            </w:tcBorders>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一、</w:t>
            </w:r>
            <w:r>
              <w:rPr>
                <w:rFonts w:hint="eastAsia" w:ascii="宋体" w:hAnsi="宋体" w:cs="宋体"/>
                <w:color w:val="000000"/>
                <w:kern w:val="0"/>
                <w:sz w:val="20"/>
                <w:szCs w:val="20"/>
              </w:rPr>
              <w:t>当年预算执行情况（20分）</w:t>
            </w:r>
          </w:p>
        </w:tc>
      </w:tr>
      <w:tr>
        <w:tblPrEx>
          <w:tblCellMar>
            <w:top w:w="0" w:type="dxa"/>
            <w:left w:w="108" w:type="dxa"/>
            <w:bottom w:w="0" w:type="dxa"/>
            <w:right w:w="108" w:type="dxa"/>
          </w:tblCellMar>
        </w:tblPrEx>
        <w:trPr>
          <w:gridAfter w:val="2"/>
          <w:wAfter w:w="27" w:type="dxa"/>
          <w:cantSplit/>
          <w:trHeight w:val="660" w:hRule="atLeast"/>
        </w:trPr>
        <w:tc>
          <w:tcPr>
            <w:tcW w:w="119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05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33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预算数（万元）</w:t>
            </w:r>
          </w:p>
        </w:tc>
        <w:tc>
          <w:tcPr>
            <w:tcW w:w="128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执行数（万元）</w:t>
            </w:r>
          </w:p>
        </w:tc>
        <w:tc>
          <w:tcPr>
            <w:tcW w:w="3662"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预算执行率</w:t>
            </w:r>
          </w:p>
        </w:tc>
        <w:tc>
          <w:tcPr>
            <w:tcW w:w="753"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349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指标解释</w:t>
            </w:r>
          </w:p>
        </w:tc>
        <w:tc>
          <w:tcPr>
            <w:tcW w:w="1809"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评分标准</w:t>
            </w:r>
          </w:p>
        </w:tc>
      </w:tr>
      <w:tr>
        <w:tblPrEx>
          <w:tblCellMar>
            <w:top w:w="0" w:type="dxa"/>
            <w:left w:w="108" w:type="dxa"/>
            <w:bottom w:w="0" w:type="dxa"/>
            <w:right w:w="108" w:type="dxa"/>
          </w:tblCellMar>
        </w:tblPrEx>
        <w:trPr>
          <w:gridAfter w:val="2"/>
          <w:wAfter w:w="27" w:type="dxa"/>
          <w:cantSplit/>
          <w:trHeight w:val="630" w:hRule="atLeast"/>
        </w:trPr>
        <w:tc>
          <w:tcPr>
            <w:tcW w:w="1190" w:type="dxa"/>
            <w:vMerge w:val="restart"/>
            <w:tcBorders>
              <w:top w:val="nil"/>
              <w:left w:val="single" w:color="auto" w:sz="4" w:space="0"/>
              <w:bottom w:val="single" w:color="000000" w:sz="4" w:space="0"/>
              <w:right w:val="single" w:color="auto" w:sz="4" w:space="0"/>
            </w:tcBorders>
            <w:vAlign w:val="center"/>
          </w:tcPr>
          <w:p>
            <w:pPr>
              <w:widowControl/>
              <w:jc w:val="right"/>
              <w:rPr>
                <w:rFonts w:hint="eastAsia" w:ascii="宋体" w:hAnsi="宋体" w:cs="宋体"/>
                <w:color w:val="000000"/>
                <w:kern w:val="0"/>
                <w:sz w:val="20"/>
                <w:szCs w:val="20"/>
              </w:rPr>
            </w:pPr>
            <w:r>
              <w:rPr>
                <w:rFonts w:hint="eastAsia" w:ascii="宋体" w:hAnsi="宋体" w:cs="宋体"/>
                <w:color w:val="000000"/>
                <w:kern w:val="0"/>
                <w:sz w:val="20"/>
                <w:szCs w:val="20"/>
              </w:rPr>
              <w:t>当年预算执行情况（20）</w:t>
            </w:r>
          </w:p>
        </w:tc>
        <w:tc>
          <w:tcPr>
            <w:tcW w:w="105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资金总体</w:t>
            </w:r>
          </w:p>
        </w:tc>
        <w:tc>
          <w:tcPr>
            <w:tcW w:w="1335"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cs="宋体" w:asciiTheme="minorEastAsia" w:hAnsiTheme="minorEastAsia" w:eastAsiaTheme="minorEastAsia"/>
                <w:color w:val="000000"/>
                <w:kern w:val="0"/>
                <w:sz w:val="20"/>
                <w:szCs w:val="20"/>
              </w:rPr>
            </w:pPr>
            <w:r>
              <w:rPr>
                <w:rFonts w:asciiTheme="minorEastAsia" w:hAnsiTheme="minorEastAsia" w:eastAsiaTheme="minorEastAsia"/>
              </w:rPr>
              <w:t>24,027.25</w:t>
            </w:r>
          </w:p>
        </w:tc>
        <w:tc>
          <w:tcPr>
            <w:tcW w:w="128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 w:val="20"/>
                <w:szCs w:val="20"/>
              </w:rPr>
            </w:pPr>
            <w:r>
              <w:rPr>
                <w:rFonts w:asciiTheme="minorEastAsia" w:hAnsiTheme="minorEastAsia" w:eastAsiaTheme="minorEastAsia"/>
              </w:rPr>
              <w:t>23,122.32</w:t>
            </w:r>
          </w:p>
        </w:tc>
        <w:tc>
          <w:tcPr>
            <w:tcW w:w="3662"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ascii="宋体" w:hAnsi="宋体" w:cs="宋体"/>
                <w:color w:val="000000"/>
                <w:kern w:val="0"/>
                <w:sz w:val="20"/>
                <w:szCs w:val="20"/>
              </w:rPr>
              <w:t>96.23%</w:t>
            </w:r>
          </w:p>
        </w:tc>
        <w:tc>
          <w:tcPr>
            <w:tcW w:w="753" w:type="dxa"/>
            <w:gridSpan w:val="2"/>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30" w:type="dxa"/>
            <w:gridSpan w:val="2"/>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r>
              <w:rPr>
                <w:rFonts w:ascii="宋体" w:hAnsi="宋体" w:cs="宋体"/>
                <w:color w:val="000000"/>
                <w:kern w:val="0"/>
                <w:sz w:val="20"/>
                <w:szCs w:val="20"/>
              </w:rPr>
              <w:t>1</w:t>
            </w:r>
            <w:r>
              <w:rPr>
                <w:rFonts w:hint="eastAsia" w:ascii="宋体" w:hAnsi="宋体" w:cs="宋体"/>
                <w:color w:val="000000"/>
                <w:kern w:val="0"/>
                <w:sz w:val="20"/>
                <w:szCs w:val="20"/>
              </w:rPr>
              <w:t>9</w:t>
            </w:r>
            <w:r>
              <w:rPr>
                <w:rFonts w:ascii="宋体" w:hAnsi="宋体" w:cs="宋体"/>
                <w:color w:val="000000"/>
                <w:kern w:val="0"/>
                <w:sz w:val="20"/>
                <w:szCs w:val="20"/>
              </w:rPr>
              <w:t>.2</w:t>
            </w:r>
            <w:r>
              <w:rPr>
                <w:rFonts w:hint="eastAsia" w:ascii="宋体" w:hAnsi="宋体" w:cs="宋体"/>
                <w:color w:val="000000"/>
                <w:kern w:val="0"/>
                <w:sz w:val="20"/>
                <w:szCs w:val="20"/>
              </w:rPr>
              <w:t>5</w:t>
            </w:r>
          </w:p>
        </w:tc>
        <w:tc>
          <w:tcPr>
            <w:tcW w:w="3495"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部门全年执行数与全年预算数的比率。资金总体=基本支出+项目支出+其他</w:t>
            </w:r>
          </w:p>
        </w:tc>
        <w:tc>
          <w:tcPr>
            <w:tcW w:w="1809" w:type="dxa"/>
            <w:gridSpan w:val="2"/>
            <w:vMerge w:val="restart"/>
            <w:tcBorders>
              <w:top w:val="nil"/>
              <w:left w:val="single" w:color="auto" w:sz="4" w:space="0"/>
              <w:bottom w:val="single" w:color="auto" w:sz="4" w:space="0"/>
              <w:right w:val="single" w:color="auto" w:sz="4" w:space="0"/>
            </w:tcBorders>
            <w:vAlign w:val="center"/>
          </w:tcPr>
          <w:p>
            <w:pPr>
              <w:widowControl/>
              <w:ind w:left="-99" w:leftChars="-47" w:firstLine="99" w:firstLineChars="55"/>
              <w:jc w:val="left"/>
              <w:rPr>
                <w:rFonts w:hint="eastAsia" w:ascii="宋体" w:hAnsi="宋体" w:cs="宋体"/>
                <w:color w:val="000000"/>
                <w:kern w:val="0"/>
                <w:sz w:val="18"/>
                <w:szCs w:val="18"/>
              </w:rPr>
            </w:pPr>
            <w:r>
              <w:rPr>
                <w:rFonts w:hint="eastAsia" w:ascii="宋体" w:hAnsi="宋体" w:cs="宋体"/>
                <w:color w:val="000000"/>
                <w:kern w:val="0"/>
                <w:sz w:val="18"/>
                <w:szCs w:val="18"/>
              </w:rPr>
              <w:t>①得分一档最高不能超过该指标分值上限（20分）。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w:t>
            </w:r>
          </w:p>
        </w:tc>
      </w:tr>
      <w:tr>
        <w:tblPrEx>
          <w:tblCellMar>
            <w:top w:w="0" w:type="dxa"/>
            <w:left w:w="108" w:type="dxa"/>
            <w:bottom w:w="0" w:type="dxa"/>
            <w:right w:w="108" w:type="dxa"/>
          </w:tblCellMar>
        </w:tblPrEx>
        <w:trPr>
          <w:gridAfter w:val="2"/>
          <w:wAfter w:w="27" w:type="dxa"/>
          <w:cantSplit/>
          <w:trHeight w:val="600" w:hRule="atLeast"/>
        </w:trPr>
        <w:tc>
          <w:tcPr>
            <w:tcW w:w="119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tcBorders>
              <w:top w:val="single" w:color="auto" w:sz="4" w:space="0"/>
              <w:left w:val="single" w:color="auto" w:sz="4" w:space="0"/>
              <w:bottom w:val="single" w:color="auto" w:sz="4" w:space="0"/>
              <w:right w:val="nil"/>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基本支出</w:t>
            </w:r>
          </w:p>
        </w:tc>
        <w:tc>
          <w:tcPr>
            <w:tcW w:w="1335"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cs="宋体" w:asciiTheme="minorEastAsia" w:hAnsiTheme="minorEastAsia" w:eastAsiaTheme="minorEastAsia"/>
                <w:color w:val="000000"/>
                <w:kern w:val="0"/>
                <w:sz w:val="20"/>
                <w:szCs w:val="20"/>
              </w:rPr>
            </w:pPr>
            <w:r>
              <w:rPr>
                <w:rFonts w:asciiTheme="minorEastAsia" w:hAnsiTheme="minorEastAsia" w:eastAsiaTheme="minorEastAsia"/>
              </w:rPr>
              <w:t>16,235.70</w:t>
            </w:r>
          </w:p>
        </w:tc>
        <w:tc>
          <w:tcPr>
            <w:tcW w:w="1285" w:type="dxa"/>
            <w:tcBorders>
              <w:top w:val="single" w:color="auto" w:sz="4" w:space="0"/>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 w:val="20"/>
                <w:szCs w:val="20"/>
              </w:rPr>
            </w:pPr>
            <w:r>
              <w:rPr>
                <w:rFonts w:asciiTheme="minorEastAsia" w:hAnsiTheme="minorEastAsia" w:eastAsiaTheme="minorEastAsia"/>
              </w:rPr>
              <w:t>15,925.00</w:t>
            </w:r>
          </w:p>
        </w:tc>
        <w:tc>
          <w:tcPr>
            <w:tcW w:w="3662"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0" w:type="dxa"/>
            <w:gridSpan w:val="2"/>
            <w:vMerge w:val="continue"/>
            <w:tcBorders>
              <w:top w:val="single" w:color="auto" w:sz="4" w:space="0"/>
              <w:left w:val="nil"/>
              <w:bottom w:val="single" w:color="auto" w:sz="4" w:space="0"/>
              <w:right w:val="nil"/>
            </w:tcBorders>
            <w:vAlign w:val="center"/>
          </w:tcPr>
          <w:p>
            <w:pPr>
              <w:widowControl/>
              <w:jc w:val="left"/>
              <w:rPr>
                <w:rFonts w:hint="eastAsia" w:ascii="宋体" w:hAnsi="宋体" w:cs="宋体"/>
                <w:color w:val="000000"/>
                <w:kern w:val="0"/>
                <w:sz w:val="20"/>
                <w:szCs w:val="20"/>
              </w:rPr>
            </w:pPr>
          </w:p>
        </w:tc>
        <w:tc>
          <w:tcPr>
            <w:tcW w:w="349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1809"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r>
      <w:tr>
        <w:tblPrEx>
          <w:tblCellMar>
            <w:top w:w="0" w:type="dxa"/>
            <w:left w:w="108" w:type="dxa"/>
            <w:bottom w:w="0" w:type="dxa"/>
            <w:right w:w="108" w:type="dxa"/>
          </w:tblCellMar>
        </w:tblPrEx>
        <w:trPr>
          <w:gridAfter w:val="2"/>
          <w:wAfter w:w="27" w:type="dxa"/>
          <w:cantSplit/>
          <w:trHeight w:val="615" w:hRule="atLeast"/>
        </w:trPr>
        <w:tc>
          <w:tcPr>
            <w:tcW w:w="119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tcBorders>
              <w:top w:val="single" w:color="auto" w:sz="4" w:space="0"/>
              <w:left w:val="single" w:color="auto" w:sz="4" w:space="0"/>
              <w:bottom w:val="single" w:color="auto" w:sz="4" w:space="0"/>
              <w:right w:val="nil"/>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项目支出</w:t>
            </w:r>
          </w:p>
        </w:tc>
        <w:tc>
          <w:tcPr>
            <w:tcW w:w="1335"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cs="宋体" w:asciiTheme="minorEastAsia" w:hAnsiTheme="minorEastAsia" w:eastAsiaTheme="minorEastAsia"/>
                <w:color w:val="000000"/>
                <w:kern w:val="0"/>
                <w:sz w:val="20"/>
                <w:szCs w:val="20"/>
              </w:rPr>
            </w:pPr>
            <w:r>
              <w:rPr>
                <w:rFonts w:asciiTheme="minorEastAsia" w:hAnsiTheme="minorEastAsia" w:eastAsiaTheme="minorEastAsia"/>
              </w:rPr>
              <w:t>7,791.55</w:t>
            </w:r>
          </w:p>
        </w:tc>
        <w:tc>
          <w:tcPr>
            <w:tcW w:w="1285" w:type="dxa"/>
            <w:tcBorders>
              <w:top w:val="single" w:color="auto" w:sz="4" w:space="0"/>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 w:val="20"/>
                <w:szCs w:val="20"/>
              </w:rPr>
            </w:pPr>
            <w:r>
              <w:rPr>
                <w:rFonts w:asciiTheme="minorEastAsia" w:hAnsiTheme="minorEastAsia" w:eastAsiaTheme="minorEastAsia"/>
              </w:rPr>
              <w:t>7,197.33</w:t>
            </w:r>
          </w:p>
        </w:tc>
        <w:tc>
          <w:tcPr>
            <w:tcW w:w="36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0" w:type="dxa"/>
            <w:gridSpan w:val="2"/>
            <w:vMerge w:val="continue"/>
            <w:tcBorders>
              <w:top w:val="single" w:color="auto" w:sz="4" w:space="0"/>
              <w:left w:val="nil"/>
              <w:bottom w:val="single" w:color="auto" w:sz="4" w:space="0"/>
              <w:right w:val="nil"/>
            </w:tcBorders>
            <w:vAlign w:val="center"/>
          </w:tcPr>
          <w:p>
            <w:pPr>
              <w:widowControl/>
              <w:jc w:val="left"/>
              <w:rPr>
                <w:rFonts w:hint="eastAsia" w:ascii="宋体" w:hAnsi="宋体" w:cs="宋体"/>
                <w:color w:val="000000"/>
                <w:kern w:val="0"/>
                <w:sz w:val="20"/>
                <w:szCs w:val="20"/>
              </w:rPr>
            </w:pPr>
          </w:p>
        </w:tc>
        <w:tc>
          <w:tcPr>
            <w:tcW w:w="349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1809"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r>
      <w:tr>
        <w:tblPrEx>
          <w:tblCellMar>
            <w:top w:w="0" w:type="dxa"/>
            <w:left w:w="108" w:type="dxa"/>
            <w:bottom w:w="0" w:type="dxa"/>
            <w:right w:w="108" w:type="dxa"/>
          </w:tblCellMar>
        </w:tblPrEx>
        <w:trPr>
          <w:gridAfter w:val="2"/>
          <w:wAfter w:w="27" w:type="dxa"/>
          <w:cantSplit/>
          <w:trHeight w:val="4106" w:hRule="atLeast"/>
        </w:trPr>
        <w:tc>
          <w:tcPr>
            <w:tcW w:w="119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w:t>
            </w:r>
          </w:p>
        </w:tc>
        <w:tc>
          <w:tcPr>
            <w:tcW w:w="1335"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0</w:t>
            </w:r>
            <w:r>
              <w:rPr>
                <w:rFonts w:ascii="宋体" w:hAnsi="宋体" w:cs="宋体"/>
                <w:color w:val="000000"/>
                <w:kern w:val="0"/>
                <w:sz w:val="20"/>
                <w:szCs w:val="20"/>
              </w:rPr>
              <w:t>.00</w:t>
            </w:r>
          </w:p>
        </w:tc>
        <w:tc>
          <w:tcPr>
            <w:tcW w:w="1285"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0</w:t>
            </w:r>
            <w:r>
              <w:rPr>
                <w:rFonts w:ascii="宋体" w:hAnsi="宋体" w:cs="宋体"/>
                <w:color w:val="000000"/>
                <w:kern w:val="0"/>
                <w:sz w:val="20"/>
                <w:szCs w:val="20"/>
              </w:rPr>
              <w:t>.00</w:t>
            </w:r>
          </w:p>
        </w:tc>
        <w:tc>
          <w:tcPr>
            <w:tcW w:w="36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0" w:type="dxa"/>
            <w:gridSpan w:val="2"/>
            <w:vMerge w:val="continue"/>
            <w:tcBorders>
              <w:top w:val="single" w:color="auto" w:sz="4" w:space="0"/>
              <w:left w:val="nil"/>
              <w:bottom w:val="single" w:color="auto" w:sz="4" w:space="0"/>
              <w:right w:val="nil"/>
            </w:tcBorders>
            <w:vAlign w:val="center"/>
          </w:tcPr>
          <w:p>
            <w:pPr>
              <w:widowControl/>
              <w:jc w:val="left"/>
              <w:rPr>
                <w:rFonts w:hint="eastAsia" w:ascii="宋体" w:hAnsi="宋体" w:cs="宋体"/>
                <w:color w:val="000000"/>
                <w:kern w:val="0"/>
                <w:sz w:val="20"/>
                <w:szCs w:val="20"/>
              </w:rPr>
            </w:pPr>
          </w:p>
        </w:tc>
        <w:tc>
          <w:tcPr>
            <w:tcW w:w="349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1809"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r>
      <w:tr>
        <w:tblPrEx>
          <w:tblCellMar>
            <w:top w:w="0" w:type="dxa"/>
            <w:left w:w="108" w:type="dxa"/>
            <w:bottom w:w="0" w:type="dxa"/>
            <w:right w:w="108" w:type="dxa"/>
          </w:tblCellMar>
        </w:tblPrEx>
        <w:trPr>
          <w:cantSplit/>
          <w:trHeight w:val="479" w:hRule="atLeast"/>
        </w:trPr>
        <w:tc>
          <w:tcPr>
            <w:tcW w:w="15440" w:type="dxa"/>
            <w:gridSpan w:val="16"/>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20"/>
                <w:szCs w:val="20"/>
              </w:rPr>
              <w:t>整体绩效目标实现情况（60分）</w:t>
            </w:r>
          </w:p>
        </w:tc>
      </w:tr>
      <w:tr>
        <w:tblPrEx>
          <w:tblCellMar>
            <w:top w:w="0" w:type="dxa"/>
            <w:left w:w="108" w:type="dxa"/>
            <w:bottom w:w="0" w:type="dxa"/>
            <w:right w:w="108" w:type="dxa"/>
          </w:tblCellMar>
        </w:tblPrEx>
        <w:trPr>
          <w:gridAfter w:val="2"/>
          <w:wAfter w:w="27" w:type="dxa"/>
          <w:cantSplit/>
          <w:trHeight w:val="499" w:hRule="atLeast"/>
        </w:trPr>
        <w:tc>
          <w:tcPr>
            <w:tcW w:w="119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1054"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335"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285"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指标值</w:t>
            </w:r>
          </w:p>
        </w:tc>
        <w:tc>
          <w:tcPr>
            <w:tcW w:w="3662"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完成值</w:t>
            </w:r>
          </w:p>
        </w:tc>
        <w:tc>
          <w:tcPr>
            <w:tcW w:w="753"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0" w:type="dxa"/>
            <w:gridSpan w:val="2"/>
            <w:tcBorders>
              <w:top w:val="single" w:color="auto" w:sz="4" w:space="0"/>
              <w:left w:val="nil"/>
              <w:bottom w:val="single" w:color="auto" w:sz="4" w:space="0"/>
              <w:right w:val="nil"/>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349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1809"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CellMar>
            <w:top w:w="0" w:type="dxa"/>
            <w:left w:w="108" w:type="dxa"/>
            <w:bottom w:w="0" w:type="dxa"/>
            <w:right w:w="108" w:type="dxa"/>
          </w:tblCellMar>
        </w:tblPrEx>
        <w:trPr>
          <w:gridAfter w:val="2"/>
          <w:wAfter w:w="27" w:type="dxa"/>
          <w:cantSplit/>
          <w:trHeight w:val="1600" w:hRule="atLeast"/>
        </w:trPr>
        <w:tc>
          <w:tcPr>
            <w:tcW w:w="119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整体绩效目标实现情况（60）</w:t>
            </w:r>
          </w:p>
        </w:tc>
        <w:tc>
          <w:tcPr>
            <w:tcW w:w="1054" w:type="dxa"/>
            <w:vMerge w:val="restart"/>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p>
          <w:p>
            <w:pPr>
              <w:jc w:val="center"/>
              <w:rPr>
                <w:rFonts w:hint="eastAsia" w:ascii="宋体" w:hAnsi="宋体" w:cs="宋体"/>
                <w:color w:val="000000"/>
                <w:kern w:val="0"/>
                <w:sz w:val="20"/>
                <w:szCs w:val="20"/>
              </w:rPr>
            </w:pPr>
            <w:r>
              <w:rPr>
                <w:rFonts w:hint="eastAsia" w:ascii="宋体" w:hAnsi="宋体" w:cs="宋体"/>
                <w:color w:val="000000"/>
                <w:kern w:val="0"/>
                <w:sz w:val="20"/>
                <w:szCs w:val="20"/>
              </w:rPr>
              <w:t>产出（30）</w:t>
            </w:r>
          </w:p>
        </w:tc>
        <w:tc>
          <w:tcPr>
            <w:tcW w:w="1335" w:type="dxa"/>
            <w:tcBorders>
              <w:top w:val="single" w:color="auto" w:sz="4" w:space="0"/>
              <w:left w:val="nil"/>
              <w:bottom w:val="single" w:color="auto" w:sz="4" w:space="0"/>
              <w:right w:val="single" w:color="auto" w:sz="4" w:space="0"/>
            </w:tcBorders>
            <w:vAlign w:val="center"/>
          </w:tcPr>
          <w:p>
            <w:pPr>
              <w:jc w:val="center"/>
              <w:rPr>
                <w:rFonts w:hint="eastAsia" w:ascii="宋体" w:hAnsi="宋体" w:cs="宋体"/>
                <w:color w:val="000000"/>
                <w:kern w:val="0"/>
                <w:sz w:val="20"/>
                <w:szCs w:val="20"/>
              </w:rPr>
            </w:pPr>
            <w:r>
              <w:rPr>
                <w:rFonts w:hint="eastAsia" w:ascii="宋体" w:hAnsi="宋体" w:cs="宋体"/>
                <w:color w:val="000000"/>
                <w:kern w:val="0"/>
                <w:sz w:val="20"/>
                <w:szCs w:val="20"/>
              </w:rPr>
              <w:t>产出数量</w:t>
            </w:r>
          </w:p>
        </w:tc>
        <w:tc>
          <w:tcPr>
            <w:tcW w:w="1285" w:type="dxa"/>
            <w:tcBorders>
              <w:top w:val="single" w:color="auto" w:sz="4" w:space="0"/>
              <w:left w:val="nil"/>
              <w:bottom w:val="single" w:color="auto" w:sz="4" w:space="0"/>
              <w:right w:val="single" w:color="auto" w:sz="4" w:space="0"/>
            </w:tcBorders>
            <w:vAlign w:val="center"/>
          </w:tcPr>
          <w:p>
            <w:pPr>
              <w:jc w:val="left"/>
              <w:rPr>
                <w:rFonts w:hint="eastAsia" w:ascii="宋体" w:hAnsi="宋体" w:cs="宋体"/>
                <w:color w:val="000000"/>
                <w:kern w:val="0"/>
                <w:sz w:val="20"/>
                <w:szCs w:val="20"/>
              </w:rPr>
            </w:pPr>
            <w:r>
              <w:rPr>
                <w:rFonts w:hint="eastAsia" w:ascii="宋体" w:hAnsi="宋体" w:cs="宋体"/>
                <w:color w:val="000000"/>
                <w:kern w:val="0"/>
                <w:sz w:val="20"/>
                <w:szCs w:val="20"/>
              </w:rPr>
              <w:t>18个项目</w:t>
            </w:r>
          </w:p>
        </w:tc>
        <w:tc>
          <w:tcPr>
            <w:tcW w:w="3662"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实际完成18个项目</w:t>
            </w:r>
          </w:p>
        </w:tc>
        <w:tc>
          <w:tcPr>
            <w:tcW w:w="753"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p>
          <w:p>
            <w:pPr>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830" w:type="dxa"/>
            <w:gridSpan w:val="2"/>
            <w:tcBorders>
              <w:top w:val="single" w:color="auto" w:sz="4" w:space="0"/>
              <w:left w:val="nil"/>
              <w:bottom w:val="single" w:color="auto" w:sz="4" w:space="0"/>
              <w:right w:val="nil"/>
            </w:tcBorders>
            <w:vAlign w:val="center"/>
          </w:tcPr>
          <w:p>
            <w:pPr>
              <w:widowControl/>
              <w:jc w:val="center"/>
              <w:rPr>
                <w:rFonts w:hint="eastAsia" w:ascii="宋体" w:hAnsi="宋体" w:cs="宋体"/>
                <w:color w:val="000000"/>
                <w:kern w:val="0"/>
                <w:sz w:val="20"/>
                <w:szCs w:val="20"/>
              </w:rPr>
            </w:pPr>
          </w:p>
          <w:p>
            <w:pPr>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495"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产出数量</w:t>
            </w:r>
            <w:r>
              <w:rPr>
                <w:rFonts w:hint="eastAsia" w:ascii="宋体" w:hAnsi="宋体" w:cs="宋体"/>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000000"/>
                <w:kern w:val="0"/>
                <w:sz w:val="18"/>
                <w:szCs w:val="18"/>
              </w:rPr>
              <w:t>产出质量</w:t>
            </w:r>
            <w:r>
              <w:rPr>
                <w:rFonts w:hint="eastAsia" w:ascii="宋体" w:hAnsi="宋体" w:cs="宋体"/>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000000"/>
                <w:kern w:val="0"/>
                <w:sz w:val="18"/>
                <w:szCs w:val="18"/>
              </w:rPr>
              <w:t>产出进度：</w:t>
            </w:r>
            <w:r>
              <w:rPr>
                <w:rFonts w:hint="eastAsia" w:ascii="宋体" w:hAnsi="宋体" w:cs="宋体"/>
                <w:color w:val="000000"/>
                <w:kern w:val="0"/>
                <w:sz w:val="18"/>
                <w:szCs w:val="18"/>
              </w:rPr>
              <w:t>按时完成率=（按时完成工作数/实际完成工作数）×100%。按时完成工作数：部门（单位）按照整体绩效目标确定的时限实际完成的工作任务数量。</w:t>
            </w:r>
            <w:r>
              <w:rPr>
                <w:rFonts w:hint="eastAsia" w:ascii="宋体" w:hAnsi="宋体" w:cs="宋体"/>
                <w:b/>
                <w:bCs/>
                <w:color w:val="000000"/>
                <w:kern w:val="0"/>
                <w:sz w:val="18"/>
                <w:szCs w:val="18"/>
              </w:rPr>
              <w:t>产出成本</w:t>
            </w:r>
            <w:r>
              <w:rPr>
                <w:rFonts w:hint="eastAsia" w:ascii="宋体" w:hAnsi="宋体" w:cs="宋体"/>
                <w:color w:val="000000"/>
                <w:kern w:val="0"/>
                <w:sz w:val="18"/>
                <w:szCs w:val="18"/>
              </w:rPr>
              <w:t>：单位产出相对于上一年度的节约额；②单位产出相对于市场同类产出的节约额；③部门公用经费的控制情况。</w:t>
            </w:r>
          </w:p>
        </w:tc>
        <w:tc>
          <w:tcPr>
            <w:tcW w:w="1809"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tblPrEx>
          <w:tblCellMar>
            <w:top w:w="0" w:type="dxa"/>
            <w:left w:w="108" w:type="dxa"/>
            <w:bottom w:w="0" w:type="dxa"/>
            <w:right w:w="108" w:type="dxa"/>
          </w:tblCellMar>
        </w:tblPrEx>
        <w:trPr>
          <w:gridAfter w:val="2"/>
          <w:wAfter w:w="27" w:type="dxa"/>
          <w:cantSplit/>
          <w:trHeight w:val="1838" w:hRule="atLeast"/>
        </w:trPr>
        <w:tc>
          <w:tcPr>
            <w:tcW w:w="119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5"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产出质量</w:t>
            </w:r>
          </w:p>
        </w:tc>
        <w:tc>
          <w:tcPr>
            <w:tcW w:w="1285"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质量达标率1</w:t>
            </w:r>
            <w:r>
              <w:rPr>
                <w:rFonts w:ascii="宋体" w:hAnsi="宋体" w:cs="宋体"/>
                <w:color w:val="000000"/>
                <w:kern w:val="0"/>
                <w:sz w:val="20"/>
                <w:szCs w:val="20"/>
              </w:rPr>
              <w:t>00</w:t>
            </w:r>
            <w:r>
              <w:rPr>
                <w:rFonts w:hint="eastAsia" w:ascii="宋体" w:hAnsi="宋体" w:cs="宋体"/>
                <w:color w:val="000000"/>
                <w:kern w:val="0"/>
                <w:sz w:val="20"/>
                <w:szCs w:val="20"/>
              </w:rPr>
              <w:t>%</w:t>
            </w:r>
          </w:p>
        </w:tc>
        <w:tc>
          <w:tcPr>
            <w:tcW w:w="3662"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18个项目质量全部达标。</w:t>
            </w:r>
          </w:p>
        </w:tc>
        <w:tc>
          <w:tcPr>
            <w:tcW w:w="753"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830" w:type="dxa"/>
            <w:gridSpan w:val="2"/>
            <w:tcBorders>
              <w:top w:val="single" w:color="auto" w:sz="4" w:space="0"/>
              <w:left w:val="nil"/>
              <w:bottom w:val="single" w:color="auto" w:sz="4" w:space="0"/>
              <w:right w:val="nil"/>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49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1809"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r>
      <w:tr>
        <w:tblPrEx>
          <w:tblCellMar>
            <w:top w:w="0" w:type="dxa"/>
            <w:left w:w="108" w:type="dxa"/>
            <w:bottom w:w="0" w:type="dxa"/>
            <w:right w:w="108" w:type="dxa"/>
          </w:tblCellMar>
        </w:tblPrEx>
        <w:trPr>
          <w:gridAfter w:val="2"/>
          <w:wAfter w:w="27" w:type="dxa"/>
          <w:cantSplit/>
          <w:trHeight w:val="1357" w:hRule="atLeast"/>
        </w:trPr>
        <w:tc>
          <w:tcPr>
            <w:tcW w:w="119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5"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产出进度</w:t>
            </w:r>
          </w:p>
        </w:tc>
        <w:tc>
          <w:tcPr>
            <w:tcW w:w="1285"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按照规定时限完成</w:t>
            </w:r>
          </w:p>
        </w:tc>
        <w:tc>
          <w:tcPr>
            <w:tcW w:w="3662"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大兴区人民法院2024年度人员经费均按月及时发放，日常公用支出以及18个项目均已按时完成。</w:t>
            </w:r>
          </w:p>
        </w:tc>
        <w:tc>
          <w:tcPr>
            <w:tcW w:w="753"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830" w:type="dxa"/>
            <w:gridSpan w:val="2"/>
            <w:tcBorders>
              <w:top w:val="single" w:color="auto" w:sz="4" w:space="0"/>
              <w:left w:val="nil"/>
              <w:bottom w:val="single" w:color="auto" w:sz="4" w:space="0"/>
              <w:right w:val="nil"/>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49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1809"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r>
      <w:tr>
        <w:tblPrEx>
          <w:tblCellMar>
            <w:top w:w="0" w:type="dxa"/>
            <w:left w:w="108" w:type="dxa"/>
            <w:bottom w:w="0" w:type="dxa"/>
            <w:right w:w="108" w:type="dxa"/>
          </w:tblCellMar>
        </w:tblPrEx>
        <w:trPr>
          <w:gridAfter w:val="2"/>
          <w:wAfter w:w="27" w:type="dxa"/>
          <w:cantSplit/>
          <w:trHeight w:val="2681" w:hRule="atLeast"/>
        </w:trPr>
        <w:tc>
          <w:tcPr>
            <w:tcW w:w="119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5" w:type="dxa"/>
            <w:tcBorders>
              <w:top w:val="single" w:color="auto" w:sz="4" w:space="0"/>
              <w:left w:val="nil"/>
              <w:bottom w:val="single" w:color="auto" w:sz="4" w:space="0"/>
              <w:right w:val="single" w:color="auto" w:sz="4" w:space="0"/>
            </w:tcBorders>
            <w:vAlign w:val="center"/>
          </w:tcPr>
          <w:p>
            <w:pPr>
              <w:widowControl/>
              <w:jc w:val="center"/>
            </w:pPr>
            <w:r>
              <w:rPr>
                <w:rFonts w:hint="eastAsia"/>
              </w:rPr>
              <w:t>产出成本</w:t>
            </w:r>
          </w:p>
        </w:tc>
        <w:tc>
          <w:tcPr>
            <w:tcW w:w="1285"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部门公用经费的控制情况</w:t>
            </w:r>
          </w:p>
        </w:tc>
        <w:tc>
          <w:tcPr>
            <w:tcW w:w="3662" w:type="dxa"/>
            <w:gridSpan w:val="2"/>
            <w:tcBorders>
              <w:top w:val="single" w:color="auto" w:sz="4" w:space="0"/>
              <w:left w:val="nil"/>
              <w:bottom w:val="single" w:color="auto" w:sz="4" w:space="0"/>
              <w:right w:val="single" w:color="auto" w:sz="4" w:space="0"/>
            </w:tcBorders>
            <w:vAlign w:val="center"/>
          </w:tcPr>
          <w:p>
            <w:pPr>
              <w:widowControl/>
              <w:rPr>
                <w:rFonts w:hint="eastAsia" w:ascii="宋体" w:hAnsi="宋体" w:cs="宋体"/>
                <w:color w:val="000000"/>
                <w:kern w:val="0"/>
                <w:sz w:val="20"/>
                <w:szCs w:val="20"/>
              </w:rPr>
            </w:pPr>
            <w:r>
              <w:rPr>
                <w:rFonts w:hint="eastAsia" w:ascii="宋体" w:hAnsi="宋体" w:cs="宋体"/>
                <w:color w:val="000000"/>
                <w:kern w:val="0"/>
                <w:sz w:val="20"/>
                <w:szCs w:val="20"/>
              </w:rPr>
              <w:t>大兴区人民法院2024年部分公用经费实现成本节约，如：公务用车购置及运行维护费2024年决算数87.48万元，比2024年年初预算数115.64万元减少28.16万元。</w:t>
            </w:r>
          </w:p>
        </w:tc>
        <w:tc>
          <w:tcPr>
            <w:tcW w:w="753"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830" w:type="dxa"/>
            <w:gridSpan w:val="2"/>
            <w:tcBorders>
              <w:top w:val="single" w:color="auto" w:sz="4" w:space="0"/>
              <w:left w:val="nil"/>
              <w:bottom w:val="single" w:color="auto" w:sz="4" w:space="0"/>
              <w:right w:val="nil"/>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349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1809"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r>
      <w:tr>
        <w:tblPrEx>
          <w:tblCellMar>
            <w:top w:w="0" w:type="dxa"/>
            <w:left w:w="108" w:type="dxa"/>
            <w:bottom w:w="0" w:type="dxa"/>
            <w:right w:w="108" w:type="dxa"/>
          </w:tblCellMar>
        </w:tblPrEx>
        <w:trPr>
          <w:gridAfter w:val="2"/>
          <w:wAfter w:w="27" w:type="dxa"/>
          <w:cantSplit/>
          <w:trHeight w:val="7361" w:hRule="atLeast"/>
        </w:trPr>
        <w:tc>
          <w:tcPr>
            <w:tcW w:w="119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效果（30）</w:t>
            </w:r>
          </w:p>
        </w:tc>
        <w:tc>
          <w:tcPr>
            <w:tcW w:w="1335"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w:t>
            </w:r>
          </w:p>
        </w:tc>
        <w:tc>
          <w:tcPr>
            <w:tcW w:w="1285"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单位履行职责对经济发展所带来的直接或间接影响</w:t>
            </w:r>
          </w:p>
        </w:tc>
        <w:tc>
          <w:tcPr>
            <w:tcW w:w="3662"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加大生效裁判的执行力度，充分利用惩戒措施，促进案件执结，对44人采取拘留措施，对6864人限制高消费，发布失信被执行人171例，执行到位金额25.9亿元。贯彻区委根治欠薪冬季专项行动部署要求，开展执行案款集中发还活动，发还劳务费3940余万元。</w:t>
            </w:r>
          </w:p>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（2）加强执行财产线索中心实质化运行，进一步规范财产查封、处置和拍卖工作，网络拍卖房产、汽车等标的物1255件，成交金额3.9亿元。</w:t>
            </w:r>
          </w:p>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（3）完善企业信用修复机制，以法治方式帮助27家企业回血再生、持续经营，占地6.3万平方米的国瑞德恒烂尾楼得以盘活上市，22起关联案件执行到位或达成和解。</w:t>
            </w:r>
          </w:p>
        </w:tc>
        <w:tc>
          <w:tcPr>
            <w:tcW w:w="75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830" w:type="dxa"/>
            <w:gridSpan w:val="2"/>
            <w:tcBorders>
              <w:top w:val="single" w:color="auto" w:sz="4" w:space="0"/>
              <w:left w:val="nil"/>
              <w:bottom w:val="single" w:color="auto" w:sz="4" w:space="0"/>
              <w:right w:val="nil"/>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495"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经济效益</w:t>
            </w:r>
            <w:r>
              <w:rPr>
                <w:rFonts w:hint="eastAsia" w:ascii="宋体" w:hAnsi="宋体" w:cs="宋体"/>
                <w:color w:val="000000"/>
                <w:kern w:val="0"/>
                <w:sz w:val="18"/>
                <w:szCs w:val="18"/>
              </w:rPr>
              <w:t>：部门（单位）履行职责对经济发展所带来的直接或间接影响。</w:t>
            </w:r>
            <w:r>
              <w:rPr>
                <w:rFonts w:hint="eastAsia" w:ascii="宋体" w:hAnsi="宋体" w:cs="宋体"/>
                <w:b/>
                <w:bCs/>
                <w:color w:val="000000"/>
                <w:kern w:val="0"/>
                <w:sz w:val="18"/>
                <w:szCs w:val="18"/>
              </w:rPr>
              <w:t>社会效益</w:t>
            </w:r>
            <w:r>
              <w:rPr>
                <w:rFonts w:hint="eastAsia" w:ascii="宋体" w:hAnsi="宋体" w:cs="宋体"/>
                <w:color w:val="000000"/>
                <w:kern w:val="0"/>
                <w:sz w:val="18"/>
                <w:szCs w:val="18"/>
              </w:rPr>
              <w:t>：部门（单位）履行职责对社会发展所带来的直接或间接影响。</w:t>
            </w:r>
            <w:r>
              <w:rPr>
                <w:rFonts w:hint="eastAsia" w:ascii="宋体" w:hAnsi="宋体" w:cs="宋体"/>
                <w:b/>
                <w:bCs/>
                <w:color w:val="000000"/>
                <w:kern w:val="0"/>
                <w:sz w:val="18"/>
                <w:szCs w:val="18"/>
              </w:rPr>
              <w:t>环境效益</w:t>
            </w:r>
            <w:r>
              <w:rPr>
                <w:rFonts w:hint="eastAsia" w:ascii="宋体" w:hAnsi="宋体" w:cs="宋体"/>
                <w:color w:val="000000"/>
                <w:kern w:val="0"/>
                <w:sz w:val="18"/>
                <w:szCs w:val="18"/>
              </w:rPr>
              <w:t>：部门（单位）履行职责对环境所带来的直接或间接影响。</w:t>
            </w:r>
            <w:r>
              <w:rPr>
                <w:rFonts w:hint="eastAsia" w:ascii="宋体" w:hAnsi="宋体" w:cs="宋体"/>
                <w:b/>
                <w:bCs/>
                <w:color w:val="000000"/>
                <w:kern w:val="0"/>
                <w:sz w:val="18"/>
                <w:szCs w:val="18"/>
              </w:rPr>
              <w:t>可持续性影响：</w:t>
            </w:r>
            <w:r>
              <w:rPr>
                <w:rFonts w:hint="eastAsia" w:ascii="宋体" w:hAnsi="宋体" w:cs="宋体"/>
                <w:color w:val="000000"/>
                <w:kern w:val="0"/>
                <w:sz w:val="18"/>
                <w:szCs w:val="18"/>
              </w:rPr>
              <w:t>部门绩效目标实现的长效机制建设情况，部门工作效率提升措施的创新。</w:t>
            </w:r>
            <w:r>
              <w:rPr>
                <w:rFonts w:hint="eastAsia" w:ascii="宋体" w:hAnsi="宋体" w:cs="宋体"/>
                <w:b/>
                <w:bCs/>
                <w:color w:val="000000"/>
                <w:kern w:val="0"/>
                <w:sz w:val="18"/>
                <w:szCs w:val="18"/>
              </w:rPr>
              <w:t>服务对象满意度</w:t>
            </w:r>
            <w:r>
              <w:rPr>
                <w:rFonts w:hint="eastAsia" w:ascii="宋体" w:hAnsi="宋体" w:cs="宋体"/>
                <w:color w:val="000000"/>
                <w:kern w:val="0"/>
                <w:sz w:val="18"/>
                <w:szCs w:val="18"/>
              </w:rPr>
              <w:t>：部门（单位）的服务对象对部门履职效果的满意程度。</w:t>
            </w:r>
          </w:p>
        </w:tc>
        <w:tc>
          <w:tcPr>
            <w:tcW w:w="1809"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部门根据实际情况选择指标进行填写，并将其细化为相应的个性化指标。对于效益类指标可从受益对象瞄准度、受益广度和受益深度上进行设计分析。</w:t>
            </w:r>
          </w:p>
        </w:tc>
      </w:tr>
      <w:tr>
        <w:tblPrEx>
          <w:tblCellMar>
            <w:top w:w="0" w:type="dxa"/>
            <w:left w:w="108" w:type="dxa"/>
            <w:bottom w:w="0" w:type="dxa"/>
            <w:right w:w="108" w:type="dxa"/>
          </w:tblCellMar>
        </w:tblPrEx>
        <w:trPr>
          <w:gridAfter w:val="2"/>
          <w:wAfter w:w="27" w:type="dxa"/>
          <w:cantSplit/>
          <w:trHeight w:val="1173" w:hRule="atLeast"/>
        </w:trPr>
        <w:tc>
          <w:tcPr>
            <w:tcW w:w="119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p>
        </w:tc>
        <w:tc>
          <w:tcPr>
            <w:tcW w:w="1335"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w:t>
            </w:r>
          </w:p>
        </w:tc>
        <w:tc>
          <w:tcPr>
            <w:tcW w:w="1285"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单位履行职责对社会发展所带来的直接或间接影响</w:t>
            </w:r>
          </w:p>
        </w:tc>
        <w:tc>
          <w:tcPr>
            <w:tcW w:w="3662"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全力做好“抓前端、治未病”工作，持续深化我院“1+6法治同行”机制，92名法官深入社区和乡村进行“法律体检”220余次。开展法律“十进”150余场，多篇普法作品被新华社等中央媒体采用，其中《员工“抑郁”休假期间领高薪考研究生》全网浏览量突破2.1亿人次，有力助推社会诚信建设。</w:t>
            </w:r>
          </w:p>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审结寻衅滋事、妨害公务等扰乱社会管理秩序的犯罪案件324件，维护社会治安和执法权威。审结侵犯个人信息、网络暴力犯罪案件19件，营造清朗网络空间。加强未成年人司法保护，严厉打击利用未成年人实施的违法犯罪，29名法治副校长开展校园普法80余场，用司法护航青少年健康成长。</w:t>
            </w:r>
          </w:p>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（3）与区妇联共建的“伴视家园”常态运行，多起涉未成年人的探视案件得到妥善执行，被评为“北京市依法保障妇女儿童合法权益典型案例”。</w:t>
            </w:r>
          </w:p>
          <w:p>
            <w:pPr>
              <w:widowControl/>
              <w:jc w:val="left"/>
              <w:rPr>
                <w:rFonts w:hint="eastAsia" w:ascii="宋体" w:hAnsi="宋体" w:cs="宋体"/>
                <w:color w:val="000000"/>
                <w:kern w:val="0"/>
                <w:sz w:val="20"/>
                <w:szCs w:val="20"/>
              </w:rPr>
            </w:pPr>
          </w:p>
        </w:tc>
        <w:tc>
          <w:tcPr>
            <w:tcW w:w="75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830" w:type="dxa"/>
            <w:gridSpan w:val="2"/>
            <w:tcBorders>
              <w:top w:val="single" w:color="auto" w:sz="4" w:space="0"/>
              <w:left w:val="nil"/>
              <w:bottom w:val="single" w:color="auto" w:sz="4" w:space="0"/>
              <w:right w:val="nil"/>
            </w:tcBorders>
            <w:noWrap/>
            <w:vAlign w:val="center"/>
          </w:tcPr>
          <w:p>
            <w:pPr>
              <w:pStyle w:val="6"/>
              <w:ind w:firstLine="210" w:firstLineChars="100"/>
              <w:rPr>
                <w:rFonts w:hint="eastAsia" w:ascii="仿宋" w:hAnsi="仿宋" w:eastAsia="仿宋"/>
                <w:b w:val="0"/>
                <w:bCs w:val="0"/>
              </w:rPr>
            </w:pPr>
            <w:bookmarkStart w:id="24" w:name="_Toc16754"/>
            <w:r>
              <w:rPr>
                <w:rFonts w:hint="eastAsia" w:ascii="仿宋" w:hAnsi="仿宋" w:eastAsia="仿宋"/>
                <w:b w:val="0"/>
                <w:bCs w:val="0"/>
              </w:rPr>
              <w:t>8</w:t>
            </w:r>
            <w:bookmarkEnd w:id="24"/>
          </w:p>
        </w:tc>
        <w:tc>
          <w:tcPr>
            <w:tcW w:w="349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b/>
                <w:bCs/>
                <w:color w:val="000000"/>
                <w:kern w:val="0"/>
                <w:sz w:val="18"/>
                <w:szCs w:val="18"/>
              </w:rPr>
            </w:pPr>
          </w:p>
        </w:tc>
        <w:tc>
          <w:tcPr>
            <w:tcW w:w="18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r>
      <w:tr>
        <w:tblPrEx>
          <w:tblCellMar>
            <w:top w:w="0" w:type="dxa"/>
            <w:left w:w="108" w:type="dxa"/>
            <w:bottom w:w="0" w:type="dxa"/>
            <w:right w:w="108" w:type="dxa"/>
          </w:tblCellMar>
        </w:tblPrEx>
        <w:trPr>
          <w:gridAfter w:val="2"/>
          <w:wAfter w:w="27" w:type="dxa"/>
          <w:cantSplit/>
          <w:trHeight w:val="1173" w:hRule="atLeast"/>
        </w:trPr>
        <w:tc>
          <w:tcPr>
            <w:tcW w:w="119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p>
        </w:tc>
        <w:tc>
          <w:tcPr>
            <w:tcW w:w="1335"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可持续影响</w:t>
            </w:r>
          </w:p>
        </w:tc>
        <w:tc>
          <w:tcPr>
            <w:tcW w:w="1285"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全力服务经济社会高质量发展</w:t>
            </w:r>
          </w:p>
        </w:tc>
        <w:tc>
          <w:tcPr>
            <w:tcW w:w="3662" w:type="dxa"/>
            <w:gridSpan w:val="2"/>
            <w:tcBorders>
              <w:top w:val="single" w:color="auto" w:sz="4" w:space="0"/>
              <w:left w:val="nil"/>
              <w:bottom w:val="single" w:color="auto" w:sz="4" w:space="0"/>
              <w:right w:val="single" w:color="auto" w:sz="4" w:space="0"/>
            </w:tcBorders>
            <w:vAlign w:val="center"/>
          </w:tcPr>
          <w:p>
            <w:pPr>
              <w:pStyle w:val="6"/>
              <w:spacing w:line="240" w:lineRule="atLeast"/>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1）打造“法护航·向未来”工作法，在临空经济区挂牌“兴法治共建基地”，与河北省廊坊中院建立环机场司法合作机制，强化京冀协同司法供给，“服务保障北京大兴国际机场五周年”新闻发布会被多家中央、市级媒体报道。</w:t>
            </w:r>
          </w:p>
          <w:p>
            <w:pPr>
              <w:pStyle w:val="6"/>
              <w:spacing w:line="240" w:lineRule="atLeast"/>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2）会同大兴、经开两区人社部门建立“诉讼结果全面反馈”工作机制，进一步加强裁审衔接，推动劳动争议实质性化解。发布《劳动争议审判工作白皮书》，全面总结近三年典型案例，为劳动者与用工单位提供法律指引，推动构建和谐劳动关系。</w:t>
            </w:r>
          </w:p>
          <w:p>
            <w:pPr>
              <w:pStyle w:val="6"/>
              <w:spacing w:line="240" w:lineRule="atLeast"/>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（3）建立12368诉讼服务热线工单周报及重点工单专报机制。加强精细化审判管理，递进式监管审限，持续深化立案、审判、执行、信访衔接，加大案件质量评查力度。</w:t>
            </w:r>
          </w:p>
          <w:p>
            <w:pPr>
              <w:pStyle w:val="6"/>
              <w:spacing w:line="240" w:lineRule="atLeast"/>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（4）健全代表委员来信督办机制，规范办理代表委员意见建议，做到事事有跟踪、件件有回应。接受检察机关法律监督，认真办理检察建议，邀请检察长列席审判委员会会议，共同维护司法公正。</w:t>
            </w:r>
          </w:p>
        </w:tc>
        <w:tc>
          <w:tcPr>
            <w:tcW w:w="75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830" w:type="dxa"/>
            <w:gridSpan w:val="2"/>
            <w:tcBorders>
              <w:top w:val="single" w:color="auto" w:sz="4" w:space="0"/>
              <w:left w:val="nil"/>
              <w:bottom w:val="single" w:color="auto" w:sz="4" w:space="0"/>
              <w:right w:val="nil"/>
            </w:tcBorders>
            <w:noWrap/>
            <w:vAlign w:val="center"/>
          </w:tcPr>
          <w:p>
            <w:pPr>
              <w:pStyle w:val="6"/>
              <w:jc w:val="center"/>
              <w:rPr>
                <w:rFonts w:hint="eastAsia" w:asciiTheme="minorEastAsia" w:hAnsiTheme="minorEastAsia" w:eastAsiaTheme="minorEastAsia"/>
                <w:b w:val="0"/>
                <w:bCs w:val="0"/>
              </w:rPr>
            </w:pPr>
            <w:bookmarkStart w:id="25" w:name="_Toc12800"/>
            <w:r>
              <w:rPr>
                <w:rFonts w:hint="eastAsia" w:asciiTheme="minorEastAsia" w:hAnsiTheme="minorEastAsia" w:eastAsiaTheme="minorEastAsia"/>
                <w:b w:val="0"/>
                <w:bCs w:val="0"/>
              </w:rPr>
              <w:t>8</w:t>
            </w:r>
            <w:bookmarkEnd w:id="25"/>
          </w:p>
        </w:tc>
        <w:tc>
          <w:tcPr>
            <w:tcW w:w="349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b/>
                <w:bCs/>
                <w:color w:val="000000"/>
                <w:kern w:val="0"/>
                <w:sz w:val="18"/>
                <w:szCs w:val="18"/>
              </w:rPr>
            </w:pPr>
          </w:p>
        </w:tc>
        <w:tc>
          <w:tcPr>
            <w:tcW w:w="18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r>
      <w:tr>
        <w:tblPrEx>
          <w:tblCellMar>
            <w:top w:w="0" w:type="dxa"/>
            <w:left w:w="108" w:type="dxa"/>
            <w:bottom w:w="0" w:type="dxa"/>
            <w:right w:w="108" w:type="dxa"/>
          </w:tblCellMar>
        </w:tblPrEx>
        <w:trPr>
          <w:gridAfter w:val="2"/>
          <w:wAfter w:w="27" w:type="dxa"/>
          <w:cantSplit/>
          <w:trHeight w:val="2684" w:hRule="atLeast"/>
        </w:trPr>
        <w:tc>
          <w:tcPr>
            <w:tcW w:w="119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p>
        </w:tc>
        <w:tc>
          <w:tcPr>
            <w:tcW w:w="1335"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服务对象满意度</w:t>
            </w:r>
          </w:p>
        </w:tc>
        <w:tc>
          <w:tcPr>
            <w:tcW w:w="1285"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服务对象对部门履职效果的满意程度</w:t>
            </w:r>
          </w:p>
        </w:tc>
        <w:tc>
          <w:tcPr>
            <w:tcW w:w="3662" w:type="dxa"/>
            <w:gridSpan w:val="2"/>
            <w:tcBorders>
              <w:top w:val="single" w:color="auto" w:sz="4" w:space="0"/>
              <w:left w:val="nil"/>
              <w:bottom w:val="single" w:color="auto" w:sz="4" w:space="0"/>
              <w:right w:val="single" w:color="auto" w:sz="4" w:space="0"/>
            </w:tcBorders>
            <w:vAlign w:val="center"/>
          </w:tcPr>
          <w:p>
            <w:pPr>
              <w:pStyle w:val="6"/>
              <w:spacing w:line="240" w:lineRule="atLeast"/>
              <w:jc w:val="left"/>
            </w:pPr>
            <w:r>
              <w:rPr>
                <w:rFonts w:hint="eastAsia" w:ascii="宋体" w:hAnsi="宋体" w:cs="宋体"/>
                <w:b w:val="0"/>
                <w:bCs w:val="0"/>
                <w:color w:val="000000"/>
                <w:kern w:val="0"/>
                <w:sz w:val="20"/>
                <w:szCs w:val="20"/>
              </w:rPr>
              <w:t>2024年，大兴区人民法院工作报告获大兴区第六届人民代表大会第四次会议全票通过。2024年未对部门整体进行满意度调查。</w:t>
            </w:r>
          </w:p>
        </w:tc>
        <w:tc>
          <w:tcPr>
            <w:tcW w:w="75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830" w:type="dxa"/>
            <w:gridSpan w:val="2"/>
            <w:tcBorders>
              <w:top w:val="single" w:color="auto" w:sz="4" w:space="0"/>
              <w:left w:val="nil"/>
              <w:bottom w:val="single" w:color="auto" w:sz="4" w:space="0"/>
              <w:right w:val="nil"/>
            </w:tcBorders>
            <w:noWrap/>
            <w:vAlign w:val="center"/>
          </w:tcPr>
          <w:p>
            <w:pPr>
              <w:pStyle w:val="6"/>
              <w:jc w:val="center"/>
              <w:rPr>
                <w:rFonts w:hint="eastAsia" w:ascii="仿宋" w:hAnsi="仿宋" w:eastAsia="仿宋"/>
                <w:b w:val="0"/>
                <w:bCs w:val="0"/>
              </w:rPr>
            </w:pPr>
            <w:r>
              <w:rPr>
                <w:rFonts w:hint="eastAsia" w:ascii="仿宋" w:hAnsi="仿宋" w:eastAsia="仿宋"/>
                <w:b w:val="0"/>
                <w:bCs w:val="0"/>
              </w:rPr>
              <w:t>4</w:t>
            </w:r>
          </w:p>
        </w:tc>
        <w:tc>
          <w:tcPr>
            <w:tcW w:w="349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b/>
                <w:bCs/>
                <w:color w:val="000000"/>
                <w:kern w:val="0"/>
                <w:sz w:val="18"/>
                <w:szCs w:val="18"/>
              </w:rPr>
            </w:pPr>
          </w:p>
        </w:tc>
        <w:tc>
          <w:tcPr>
            <w:tcW w:w="18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r>
      <w:tr>
        <w:tblPrEx>
          <w:tblCellMar>
            <w:top w:w="0" w:type="dxa"/>
            <w:left w:w="108" w:type="dxa"/>
            <w:bottom w:w="0" w:type="dxa"/>
            <w:right w:w="108" w:type="dxa"/>
          </w:tblCellMar>
        </w:tblPrEx>
        <w:trPr>
          <w:cantSplit/>
          <w:trHeight w:val="487" w:hRule="atLeast"/>
        </w:trPr>
        <w:tc>
          <w:tcPr>
            <w:tcW w:w="15440" w:type="dxa"/>
            <w:gridSpan w:val="16"/>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20"/>
                <w:szCs w:val="20"/>
              </w:rPr>
              <w:t>预算管理情况（20分）</w:t>
            </w:r>
          </w:p>
        </w:tc>
      </w:tr>
      <w:tr>
        <w:tblPrEx>
          <w:tblCellMar>
            <w:top w:w="0" w:type="dxa"/>
            <w:left w:w="108" w:type="dxa"/>
            <w:bottom w:w="0" w:type="dxa"/>
            <w:right w:w="108" w:type="dxa"/>
          </w:tblCellMar>
        </w:tblPrEx>
        <w:trPr>
          <w:gridAfter w:val="2"/>
          <w:wAfter w:w="27" w:type="dxa"/>
          <w:cantSplit/>
          <w:trHeight w:val="702" w:hRule="atLeast"/>
        </w:trPr>
        <w:tc>
          <w:tcPr>
            <w:tcW w:w="119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105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p>
        </w:tc>
        <w:tc>
          <w:tcPr>
            <w:tcW w:w="1335"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p>
        </w:tc>
        <w:tc>
          <w:tcPr>
            <w:tcW w:w="1285"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指标</w:t>
            </w:r>
            <w:r>
              <w:rPr>
                <w:rFonts w:ascii="宋体" w:hAnsi="宋体" w:cs="宋体"/>
                <w:color w:val="000000"/>
                <w:kern w:val="0"/>
                <w:sz w:val="20"/>
                <w:szCs w:val="20"/>
              </w:rPr>
              <w:t>值</w:t>
            </w:r>
          </w:p>
        </w:tc>
        <w:tc>
          <w:tcPr>
            <w:tcW w:w="3662"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完成</w:t>
            </w:r>
            <w:r>
              <w:rPr>
                <w:rFonts w:ascii="宋体" w:hAnsi="宋体" w:cs="宋体"/>
                <w:color w:val="000000"/>
                <w:kern w:val="0"/>
                <w:sz w:val="20"/>
                <w:szCs w:val="20"/>
              </w:rPr>
              <w:t>值</w:t>
            </w:r>
          </w:p>
        </w:tc>
        <w:tc>
          <w:tcPr>
            <w:tcW w:w="753" w:type="dxa"/>
            <w:gridSpan w:val="2"/>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w:t>
            </w:r>
            <w:r>
              <w:rPr>
                <w:rFonts w:ascii="宋体" w:hAnsi="宋体" w:cs="宋体"/>
                <w:color w:val="000000"/>
                <w:kern w:val="0"/>
                <w:sz w:val="20"/>
                <w:szCs w:val="20"/>
              </w:rPr>
              <w:t>值</w:t>
            </w:r>
          </w:p>
        </w:tc>
        <w:tc>
          <w:tcPr>
            <w:tcW w:w="830" w:type="dxa"/>
            <w:gridSpan w:val="2"/>
            <w:tcBorders>
              <w:top w:val="single" w:color="auto" w:sz="4" w:space="0"/>
              <w:left w:val="nil"/>
              <w:bottom w:val="single" w:color="auto" w:sz="4" w:space="0"/>
              <w:right w:val="nil"/>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w:t>
            </w:r>
            <w:r>
              <w:rPr>
                <w:rFonts w:ascii="宋体" w:hAnsi="宋体" w:cs="宋体"/>
                <w:color w:val="000000"/>
                <w:kern w:val="0"/>
                <w:sz w:val="20"/>
                <w:szCs w:val="20"/>
              </w:rPr>
              <w:t>分</w:t>
            </w:r>
          </w:p>
        </w:tc>
        <w:tc>
          <w:tcPr>
            <w:tcW w:w="349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1809"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CellMar>
            <w:top w:w="0" w:type="dxa"/>
            <w:left w:w="108" w:type="dxa"/>
            <w:bottom w:w="0" w:type="dxa"/>
            <w:right w:w="108" w:type="dxa"/>
          </w:tblCellMar>
        </w:tblPrEx>
        <w:trPr>
          <w:gridAfter w:val="2"/>
          <w:wAfter w:w="27" w:type="dxa"/>
          <w:cantSplit/>
          <w:trHeight w:val="1230" w:hRule="atLeast"/>
        </w:trPr>
        <w:tc>
          <w:tcPr>
            <w:tcW w:w="119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预算管理情况（20）</w:t>
            </w:r>
          </w:p>
        </w:tc>
        <w:tc>
          <w:tcPr>
            <w:tcW w:w="105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财务管理（4）</w:t>
            </w:r>
          </w:p>
        </w:tc>
        <w:tc>
          <w:tcPr>
            <w:tcW w:w="1335"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财务管理制度健全性</w:t>
            </w:r>
          </w:p>
        </w:tc>
        <w:tc>
          <w:tcPr>
            <w:tcW w:w="1285" w:type="dxa"/>
            <w:tcBorders>
              <w:top w:val="single" w:color="auto" w:sz="4" w:space="0"/>
              <w:left w:val="nil"/>
              <w:bottom w:val="single" w:color="auto" w:sz="4" w:space="0"/>
              <w:right w:val="single" w:color="auto" w:sz="4" w:space="0"/>
            </w:tcBorders>
            <w:vAlign w:val="center"/>
          </w:tcPr>
          <w:p>
            <w:pPr>
              <w:widowControl/>
              <w:rPr>
                <w:rFonts w:hint="eastAsia" w:ascii="宋体" w:hAnsi="宋体" w:cs="宋体"/>
                <w:color w:val="000000"/>
                <w:kern w:val="0"/>
                <w:sz w:val="20"/>
                <w:szCs w:val="20"/>
              </w:rPr>
            </w:pPr>
            <w:r>
              <w:rPr>
                <w:rFonts w:hint="eastAsia" w:ascii="宋体" w:hAnsi="宋体" w:cs="宋体"/>
                <w:color w:val="000000"/>
                <w:kern w:val="0"/>
                <w:sz w:val="20"/>
                <w:szCs w:val="20"/>
              </w:rPr>
              <w:t>建立完整的预算管理、财务管理、会计核算制度</w:t>
            </w:r>
          </w:p>
        </w:tc>
        <w:tc>
          <w:tcPr>
            <w:tcW w:w="3662" w:type="dxa"/>
            <w:gridSpan w:val="2"/>
            <w:tcBorders>
              <w:top w:val="single" w:color="auto" w:sz="4" w:space="0"/>
              <w:left w:val="nil"/>
              <w:bottom w:val="single" w:color="auto" w:sz="4" w:space="0"/>
              <w:right w:val="single" w:color="auto" w:sz="4" w:space="0"/>
            </w:tcBorders>
            <w:vAlign w:val="center"/>
          </w:tcPr>
          <w:p>
            <w:pPr>
              <w:widowControl/>
              <w:rPr>
                <w:rFonts w:hint="eastAsia" w:ascii="宋体" w:hAnsi="宋体" w:cs="宋体"/>
                <w:color w:val="000000"/>
                <w:kern w:val="0"/>
                <w:sz w:val="20"/>
                <w:szCs w:val="20"/>
              </w:rPr>
            </w:pPr>
            <w:r>
              <w:rPr>
                <w:rFonts w:hint="eastAsia" w:ascii="宋体" w:hAnsi="宋体" w:cs="宋体"/>
                <w:color w:val="000000"/>
                <w:kern w:val="0"/>
                <w:sz w:val="20"/>
                <w:szCs w:val="20"/>
              </w:rPr>
              <w:t>已建立完整的预算管理、财务管理、会计核算制度，并不断结合实际情况修订完善，但未建立绩效跟踪管理办法。</w:t>
            </w:r>
          </w:p>
        </w:tc>
        <w:tc>
          <w:tcPr>
            <w:tcW w:w="753" w:type="dxa"/>
            <w:gridSpan w:val="2"/>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830" w:type="dxa"/>
            <w:gridSpan w:val="2"/>
            <w:tcBorders>
              <w:top w:val="single" w:color="auto" w:sz="4" w:space="0"/>
              <w:left w:val="nil"/>
              <w:bottom w:val="single" w:color="auto" w:sz="4" w:space="0"/>
              <w:right w:val="nil"/>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r>
              <w:rPr>
                <w:rFonts w:ascii="宋体" w:hAnsi="宋体" w:cs="宋体"/>
                <w:color w:val="000000"/>
                <w:kern w:val="0"/>
                <w:sz w:val="20"/>
                <w:szCs w:val="20"/>
              </w:rPr>
              <w:t>.5</w:t>
            </w:r>
          </w:p>
        </w:tc>
        <w:tc>
          <w:tcPr>
            <w:tcW w:w="3495"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财务管理制度健全性:</w:t>
            </w:r>
            <w:r>
              <w:rPr>
                <w:rFonts w:hint="eastAsia" w:ascii="宋体" w:hAnsi="宋体" w:cs="宋体"/>
                <w:color w:val="000000"/>
                <w:kern w:val="0"/>
                <w:sz w:val="18"/>
                <w:szCs w:val="18"/>
              </w:rPr>
              <w:t>部门（单位）为加强财务管理、规范财务行为而制定的管理制度。</w:t>
            </w:r>
          </w:p>
        </w:tc>
        <w:tc>
          <w:tcPr>
            <w:tcW w:w="18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tblPrEx>
          <w:tblCellMar>
            <w:top w:w="0" w:type="dxa"/>
            <w:left w:w="108" w:type="dxa"/>
            <w:bottom w:w="0" w:type="dxa"/>
            <w:right w:w="108" w:type="dxa"/>
          </w:tblCellMar>
        </w:tblPrEx>
        <w:trPr>
          <w:gridAfter w:val="2"/>
          <w:wAfter w:w="27" w:type="dxa"/>
          <w:cantSplit/>
          <w:trHeight w:val="7499" w:hRule="atLeast"/>
        </w:trPr>
        <w:tc>
          <w:tcPr>
            <w:tcW w:w="119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5"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资金使用合规性和安全性</w:t>
            </w:r>
          </w:p>
        </w:tc>
        <w:tc>
          <w:tcPr>
            <w:tcW w:w="1285"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使用预算资金符合相关的预算财务管理制度的规定，符合相关规定的开支范围。　</w:t>
            </w:r>
          </w:p>
        </w:tc>
        <w:tc>
          <w:tcPr>
            <w:tcW w:w="3662" w:type="dxa"/>
            <w:gridSpan w:val="2"/>
            <w:tcBorders>
              <w:top w:val="single" w:color="auto" w:sz="4" w:space="0"/>
              <w:left w:val="nil"/>
              <w:bottom w:val="single" w:color="auto" w:sz="4" w:space="0"/>
              <w:right w:val="single" w:color="auto" w:sz="4" w:space="0"/>
            </w:tcBorders>
            <w:vAlign w:val="center"/>
          </w:tcPr>
          <w:p>
            <w:pPr>
              <w:widowControl/>
              <w:rPr>
                <w:rFonts w:hint="eastAsia" w:ascii="宋体" w:hAnsi="宋体" w:cs="宋体"/>
                <w:color w:val="000000"/>
                <w:kern w:val="0"/>
                <w:sz w:val="20"/>
                <w:szCs w:val="20"/>
              </w:rPr>
            </w:pPr>
            <w:r>
              <w:rPr>
                <w:rFonts w:hint="eastAsia" w:ascii="宋体" w:hAnsi="宋体" w:cs="宋体"/>
                <w:color w:val="000000"/>
                <w:kern w:val="0"/>
                <w:sz w:val="20"/>
                <w:szCs w:val="20"/>
              </w:rPr>
              <w:t>资金使用整体合规且安全，部分项目支出存在支出进度慢的问题。</w:t>
            </w:r>
          </w:p>
        </w:tc>
        <w:tc>
          <w:tcPr>
            <w:tcW w:w="753" w:type="dxa"/>
            <w:gridSpan w:val="2"/>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830" w:type="dxa"/>
            <w:gridSpan w:val="2"/>
            <w:tcBorders>
              <w:top w:val="single" w:color="auto" w:sz="4" w:space="0"/>
              <w:left w:val="nil"/>
              <w:bottom w:val="single" w:color="auto" w:sz="4" w:space="0"/>
              <w:right w:val="nil"/>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3495"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资金使用合规性和安全性:</w:t>
            </w:r>
            <w:r>
              <w:rPr>
                <w:rFonts w:hint="eastAsia" w:ascii="宋体" w:hAnsi="宋体" w:cs="宋体"/>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18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CellMar>
            <w:top w:w="0" w:type="dxa"/>
            <w:left w:w="108" w:type="dxa"/>
            <w:bottom w:w="0" w:type="dxa"/>
            <w:right w:w="108" w:type="dxa"/>
          </w:tblCellMar>
        </w:tblPrEx>
        <w:trPr>
          <w:gridAfter w:val="2"/>
          <w:wAfter w:w="27" w:type="dxa"/>
          <w:cantSplit/>
          <w:trHeight w:val="2538" w:hRule="atLeast"/>
        </w:trPr>
        <w:tc>
          <w:tcPr>
            <w:tcW w:w="119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5"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会计基础信息完善性</w:t>
            </w:r>
          </w:p>
        </w:tc>
        <w:tc>
          <w:tcPr>
            <w:tcW w:w="1285"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会计基础信息完善　</w:t>
            </w:r>
          </w:p>
        </w:tc>
        <w:tc>
          <w:tcPr>
            <w:tcW w:w="3662" w:type="dxa"/>
            <w:gridSpan w:val="2"/>
            <w:tcBorders>
              <w:top w:val="nil"/>
              <w:left w:val="nil"/>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2024年，会计基础信息和会计信息资料完整、真实和准确。</w:t>
            </w:r>
          </w:p>
        </w:tc>
        <w:tc>
          <w:tcPr>
            <w:tcW w:w="753" w:type="dxa"/>
            <w:gridSpan w:val="2"/>
            <w:tcBorders>
              <w:top w:val="nil"/>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830" w:type="dxa"/>
            <w:gridSpan w:val="2"/>
            <w:tcBorders>
              <w:top w:val="nil"/>
              <w:left w:val="nil"/>
              <w:bottom w:val="single" w:color="auto" w:sz="4" w:space="0"/>
              <w:right w:val="nil"/>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3495" w:type="dxa"/>
            <w:gridSpan w:val="2"/>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会计基础信息完善性:</w:t>
            </w:r>
            <w:r>
              <w:rPr>
                <w:rFonts w:hint="eastAsia" w:ascii="宋体" w:hAnsi="宋体" w:cs="宋体"/>
                <w:color w:val="000000"/>
                <w:kern w:val="0"/>
                <w:sz w:val="18"/>
                <w:szCs w:val="18"/>
              </w:rPr>
              <w:t>部门（单位）会计基础信息情况。</w:t>
            </w:r>
          </w:p>
        </w:tc>
        <w:tc>
          <w:tcPr>
            <w:tcW w:w="1809" w:type="dxa"/>
            <w:gridSpan w:val="2"/>
            <w:tcBorders>
              <w:top w:val="nil"/>
              <w:left w:val="nil"/>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tblPrEx>
          <w:tblCellMar>
            <w:top w:w="0" w:type="dxa"/>
            <w:left w:w="108" w:type="dxa"/>
            <w:bottom w:w="0" w:type="dxa"/>
            <w:right w:w="108" w:type="dxa"/>
          </w:tblCellMar>
        </w:tblPrEx>
        <w:trPr>
          <w:gridAfter w:val="2"/>
          <w:wAfter w:w="27" w:type="dxa"/>
          <w:cantSplit/>
          <w:trHeight w:val="2220" w:hRule="atLeast"/>
        </w:trPr>
        <w:tc>
          <w:tcPr>
            <w:tcW w:w="119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资产管理（4）</w:t>
            </w:r>
          </w:p>
        </w:tc>
        <w:tc>
          <w:tcPr>
            <w:tcW w:w="133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资产管理规范性</w:t>
            </w:r>
          </w:p>
        </w:tc>
        <w:tc>
          <w:tcPr>
            <w:tcW w:w="1285"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cs="宋体"/>
                <w:color w:val="000000"/>
                <w:kern w:val="0"/>
                <w:sz w:val="20"/>
                <w:szCs w:val="20"/>
              </w:rPr>
            </w:pPr>
            <w:r>
              <w:rPr>
                <w:rFonts w:hint="eastAsia" w:ascii="宋体" w:hAnsi="宋体" w:cs="宋体"/>
                <w:color w:val="000000"/>
                <w:kern w:val="0"/>
                <w:sz w:val="20"/>
                <w:szCs w:val="20"/>
              </w:rPr>
              <w:t>资产保持安全完整，资产配置合理，资产使用和资产处理规范</w:t>
            </w:r>
          </w:p>
        </w:tc>
        <w:tc>
          <w:tcPr>
            <w:tcW w:w="3662"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大兴区人民法院资产日常管理、新增、报废等工作均严格按照市财政局的规定程序办理，资产动态系统与会计账簿系统总额保持一致。</w:t>
            </w:r>
          </w:p>
        </w:tc>
        <w:tc>
          <w:tcPr>
            <w:tcW w:w="753"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3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ascii="宋体" w:hAnsi="宋体" w:cs="宋体"/>
                <w:color w:val="000000"/>
                <w:kern w:val="0"/>
                <w:sz w:val="20"/>
                <w:szCs w:val="20"/>
              </w:rPr>
              <w:t>4</w:t>
            </w:r>
          </w:p>
        </w:tc>
        <w:tc>
          <w:tcPr>
            <w:tcW w:w="3495"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资产管理规范性:</w:t>
            </w:r>
            <w:r>
              <w:rPr>
                <w:rFonts w:hint="eastAsia" w:ascii="宋体" w:hAnsi="宋体" w:cs="宋体"/>
                <w:color w:val="000000"/>
                <w:kern w:val="0"/>
                <w:sz w:val="18"/>
                <w:szCs w:val="18"/>
              </w:rPr>
              <w:t>部门（单位）的资产是否保持安全完整，资产配置是否合理，资产使用和资产处理是否规范，用以反映和考核部门（单位）资产管理的整体水平。</w:t>
            </w:r>
          </w:p>
        </w:tc>
        <w:tc>
          <w:tcPr>
            <w:tcW w:w="1809"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blPrEx>
          <w:tblCellMar>
            <w:top w:w="0" w:type="dxa"/>
            <w:left w:w="108" w:type="dxa"/>
            <w:bottom w:w="0" w:type="dxa"/>
            <w:right w:w="108" w:type="dxa"/>
          </w:tblCellMar>
        </w:tblPrEx>
        <w:trPr>
          <w:gridAfter w:val="2"/>
          <w:wAfter w:w="27" w:type="dxa"/>
          <w:cantSplit/>
          <w:trHeight w:val="1210" w:hRule="atLeast"/>
        </w:trPr>
        <w:tc>
          <w:tcPr>
            <w:tcW w:w="119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绩效管理（4）</w:t>
            </w:r>
          </w:p>
        </w:tc>
        <w:tc>
          <w:tcPr>
            <w:tcW w:w="1335"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绩效管理情况</w:t>
            </w:r>
          </w:p>
        </w:tc>
        <w:tc>
          <w:tcPr>
            <w:tcW w:w="1285"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绩效管理信息的汇总和应用情况</w:t>
            </w:r>
          </w:p>
        </w:tc>
        <w:tc>
          <w:tcPr>
            <w:tcW w:w="3662"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全方位把握部门整体预算执行、整体绩效目标实现和预算管理情况，但未及时对绩效信息进行汇总分析整理。</w:t>
            </w:r>
          </w:p>
        </w:tc>
        <w:tc>
          <w:tcPr>
            <w:tcW w:w="753"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30" w:type="dxa"/>
            <w:gridSpan w:val="2"/>
            <w:tcBorders>
              <w:top w:val="single" w:color="auto" w:sz="4" w:space="0"/>
              <w:left w:val="nil"/>
              <w:bottom w:val="single" w:color="auto" w:sz="4" w:space="0"/>
              <w:right w:val="nil"/>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495"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绩效管理情况:</w:t>
            </w:r>
            <w:r>
              <w:rPr>
                <w:rFonts w:hint="eastAsia" w:ascii="宋体" w:hAnsi="宋体" w:cs="宋体"/>
                <w:color w:val="000000"/>
                <w:kern w:val="0"/>
                <w:sz w:val="18"/>
                <w:szCs w:val="18"/>
              </w:rPr>
              <w:t>考核部门（单位）在绩效管理信息的汇总和应用情况。</w:t>
            </w:r>
          </w:p>
        </w:tc>
        <w:tc>
          <w:tcPr>
            <w:tcW w:w="18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①部门（单位）是否及时对绩效信息进行汇总分析整理；②部门（单位）是否对绩效目标偏离情况及时进行矫正。每有一项不合格扣2分。</w:t>
            </w:r>
          </w:p>
        </w:tc>
      </w:tr>
      <w:tr>
        <w:tblPrEx>
          <w:tblCellMar>
            <w:top w:w="0" w:type="dxa"/>
            <w:left w:w="108" w:type="dxa"/>
            <w:bottom w:w="0" w:type="dxa"/>
            <w:right w:w="108" w:type="dxa"/>
          </w:tblCellMar>
        </w:tblPrEx>
        <w:trPr>
          <w:gridAfter w:val="1"/>
          <w:wAfter w:w="15" w:type="dxa"/>
          <w:cantSplit/>
          <w:trHeight w:val="394" w:hRule="atLeast"/>
        </w:trPr>
        <w:tc>
          <w:tcPr>
            <w:tcW w:w="119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指标　</w:t>
            </w:r>
          </w:p>
        </w:tc>
        <w:tc>
          <w:tcPr>
            <w:tcW w:w="2629" w:type="dxa"/>
            <w:gridSpan w:val="3"/>
            <w:tcBorders>
              <w:top w:val="single" w:color="auto" w:sz="4" w:space="0"/>
              <w:left w:val="nil"/>
              <w:bottom w:val="single" w:color="auto" w:sz="4" w:space="0"/>
              <w:right w:val="single" w:color="000000"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w:t>
            </w:r>
          </w:p>
        </w:tc>
        <w:tc>
          <w:tcPr>
            <w:tcW w:w="3665"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2024年</w:t>
            </w:r>
          </w:p>
        </w:tc>
        <w:tc>
          <w:tcPr>
            <w:tcW w:w="753"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0"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349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1809" w:type="dxa"/>
            <w:gridSpan w:val="2"/>
            <w:tcBorders>
              <w:top w:val="single" w:color="auto" w:sz="4" w:space="0"/>
              <w:left w:val="nil"/>
              <w:bottom w:val="single" w:color="auto" w:sz="4" w:space="0"/>
              <w:right w:val="single" w:color="auto" w:sz="4" w:space="0"/>
            </w:tcBorders>
            <w:vAlign w:val="center"/>
          </w:tcPr>
          <w:p>
            <w:pPr>
              <w:widowControl/>
              <w:jc w:val="center"/>
              <w:rPr>
                <w:rFonts w:eastAsia="Times New Roman"/>
                <w:kern w:val="0"/>
                <w:sz w:val="20"/>
                <w:szCs w:val="20"/>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CellMar>
            <w:top w:w="0" w:type="dxa"/>
            <w:left w:w="108" w:type="dxa"/>
            <w:bottom w:w="0" w:type="dxa"/>
            <w:right w:w="108" w:type="dxa"/>
          </w:tblCellMar>
        </w:tblPrEx>
        <w:trPr>
          <w:gridAfter w:val="1"/>
          <w:wAfter w:w="15" w:type="dxa"/>
          <w:cantSplit/>
          <w:trHeight w:val="4156" w:hRule="atLeast"/>
        </w:trPr>
        <w:tc>
          <w:tcPr>
            <w:tcW w:w="119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tcBorders>
              <w:top w:val="nil"/>
              <w:left w:val="nil"/>
              <w:bottom w:val="single" w:color="auto" w:sz="4" w:space="0"/>
              <w:right w:val="single" w:color="auto" w:sz="4" w:space="0"/>
            </w:tcBorders>
            <w:vAlign w:val="center"/>
          </w:tcPr>
          <w:p>
            <w:pPr>
              <w:widowControl/>
              <w:rPr>
                <w:rFonts w:hint="eastAsia" w:ascii="宋体" w:hAnsi="宋体" w:cs="宋体"/>
                <w:color w:val="000000"/>
                <w:kern w:val="0"/>
                <w:sz w:val="20"/>
                <w:szCs w:val="20"/>
              </w:rPr>
            </w:pPr>
            <w:r>
              <w:rPr>
                <w:rFonts w:hint="eastAsia" w:ascii="宋体" w:hAnsi="宋体" w:cs="宋体"/>
                <w:color w:val="000000"/>
                <w:kern w:val="0"/>
                <w:sz w:val="20"/>
                <w:szCs w:val="20"/>
              </w:rPr>
              <w:t>结转结余率（4）</w:t>
            </w:r>
          </w:p>
        </w:tc>
        <w:tc>
          <w:tcPr>
            <w:tcW w:w="2629" w:type="dxa"/>
            <w:gridSpan w:val="3"/>
            <w:tcBorders>
              <w:top w:val="single" w:color="auto" w:sz="4" w:space="0"/>
              <w:left w:val="nil"/>
              <w:bottom w:val="single" w:color="auto" w:sz="4" w:space="0"/>
              <w:right w:val="single" w:color="000000" w:sz="4" w:space="0"/>
            </w:tcBorders>
            <w:vAlign w:val="center"/>
          </w:tcPr>
          <w:p>
            <w:pPr>
              <w:widowControl/>
              <w:jc w:val="center"/>
              <w:rPr>
                <w:rFonts w:hint="eastAsia" w:ascii="宋体" w:hAnsi="宋体" w:cs="宋体"/>
                <w:color w:val="000000"/>
                <w:kern w:val="0"/>
                <w:sz w:val="20"/>
                <w:szCs w:val="20"/>
              </w:rPr>
            </w:pPr>
            <w:r>
              <w:rPr>
                <w:rFonts w:ascii="宋体" w:hAnsi="宋体" w:cs="宋体"/>
                <w:color w:val="000000"/>
                <w:kern w:val="0"/>
                <w:sz w:val="20"/>
                <w:szCs w:val="20"/>
              </w:rPr>
              <w:t>8.95%</w:t>
            </w:r>
          </w:p>
        </w:tc>
        <w:tc>
          <w:tcPr>
            <w:tcW w:w="3665"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ascii="宋体" w:hAnsi="宋体" w:cs="宋体"/>
                <w:color w:val="000000"/>
                <w:kern w:val="0"/>
                <w:sz w:val="20"/>
                <w:szCs w:val="20"/>
              </w:rPr>
              <w:t>3.77%</w:t>
            </w:r>
          </w:p>
        </w:tc>
        <w:tc>
          <w:tcPr>
            <w:tcW w:w="753"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30" w:type="dxa"/>
            <w:gridSpan w:val="2"/>
            <w:tcBorders>
              <w:top w:val="nil"/>
              <w:left w:val="nil"/>
              <w:bottom w:val="single" w:color="auto" w:sz="4" w:space="0"/>
              <w:right w:val="nil"/>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495"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结转结余率=结转结余总额/支出预算数×100%。</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结转结余总额：部门（单位）本年度的结转资金与结余资金之和。</w:t>
            </w:r>
          </w:p>
        </w:tc>
        <w:tc>
          <w:tcPr>
            <w:tcW w:w="1809"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部门结转结余率低于上年的不扣分；高于上年结余率，每高出1个百分点扣0.4分，扣完为止。（说明：如非预算部门主观因素导致扣分的，在评分结果征求意见环节，经与相关部门预算主管处室共同研究，可作为例外情况酌情考虑。）</w:t>
            </w:r>
          </w:p>
        </w:tc>
      </w:tr>
      <w:tr>
        <w:tblPrEx>
          <w:tblCellMar>
            <w:top w:w="0" w:type="dxa"/>
            <w:left w:w="108" w:type="dxa"/>
            <w:bottom w:w="0" w:type="dxa"/>
            <w:right w:w="108" w:type="dxa"/>
          </w:tblCellMar>
        </w:tblPrEx>
        <w:trPr>
          <w:gridAfter w:val="1"/>
          <w:wAfter w:w="15" w:type="dxa"/>
          <w:cantSplit/>
          <w:trHeight w:val="981" w:hRule="atLeast"/>
        </w:trPr>
        <w:tc>
          <w:tcPr>
            <w:tcW w:w="119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tcBorders>
              <w:top w:val="nil"/>
              <w:left w:val="nil"/>
              <w:bottom w:val="single" w:color="auto" w:sz="4" w:space="0"/>
              <w:right w:val="single" w:color="auto" w:sz="4" w:space="0"/>
            </w:tcBorders>
            <w:vAlign w:val="center"/>
          </w:tcPr>
          <w:p>
            <w:pPr>
              <w:widowControl/>
              <w:rPr>
                <w:rFonts w:hint="eastAsia" w:ascii="宋体" w:hAnsi="宋体" w:cs="宋体"/>
                <w:color w:val="000000"/>
                <w:kern w:val="0"/>
                <w:sz w:val="20"/>
                <w:szCs w:val="20"/>
              </w:rPr>
            </w:pPr>
            <w:r>
              <w:rPr>
                <w:rFonts w:hint="eastAsia" w:ascii="宋体" w:hAnsi="宋体" w:cs="宋体"/>
                <w:color w:val="000000"/>
                <w:kern w:val="0"/>
                <w:sz w:val="20"/>
                <w:szCs w:val="20"/>
              </w:rPr>
              <w:t>部门预决算差异率（4）</w:t>
            </w:r>
          </w:p>
        </w:tc>
        <w:tc>
          <w:tcPr>
            <w:tcW w:w="2629" w:type="dxa"/>
            <w:gridSpan w:val="3"/>
            <w:tcBorders>
              <w:top w:val="single" w:color="auto" w:sz="4" w:space="0"/>
              <w:left w:val="nil"/>
              <w:bottom w:val="single" w:color="auto" w:sz="4" w:space="0"/>
              <w:right w:val="nil"/>
            </w:tcBorders>
            <w:vAlign w:val="center"/>
          </w:tcPr>
          <w:p>
            <w:pPr>
              <w:widowControl/>
              <w:jc w:val="center"/>
              <w:rPr>
                <w:rFonts w:hint="eastAsia" w:ascii="宋体" w:hAnsi="宋体" w:cs="宋体"/>
                <w:color w:val="000000"/>
                <w:kern w:val="0"/>
                <w:sz w:val="20"/>
                <w:szCs w:val="20"/>
              </w:rPr>
            </w:pPr>
            <w:r>
              <w:rPr>
                <w:rFonts w:ascii="宋体" w:hAnsi="宋体" w:cs="宋体"/>
                <w:color w:val="000000"/>
                <w:kern w:val="0"/>
                <w:sz w:val="20"/>
                <w:szCs w:val="20"/>
              </w:rPr>
              <w:t>2.89%</w:t>
            </w:r>
          </w:p>
        </w:tc>
        <w:tc>
          <w:tcPr>
            <w:tcW w:w="3665" w:type="dxa"/>
            <w:gridSpan w:val="2"/>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xml:space="preserve"> </w:t>
            </w:r>
            <w:r>
              <w:rPr>
                <w:rFonts w:ascii="宋体" w:hAnsi="宋体" w:cs="宋体"/>
                <w:color w:val="000000"/>
                <w:kern w:val="0"/>
                <w:sz w:val="20"/>
                <w:szCs w:val="20"/>
              </w:rPr>
              <w:t xml:space="preserve">         </w:t>
            </w:r>
            <w:r>
              <w:rPr>
                <w:rFonts w:hint="eastAsia" w:ascii="宋体" w:hAnsi="宋体" w:cs="宋体"/>
                <w:color w:val="000000"/>
                <w:kern w:val="0"/>
                <w:sz w:val="20"/>
                <w:szCs w:val="20"/>
              </w:rPr>
              <w:t xml:space="preserve">    </w:t>
            </w:r>
            <w:r>
              <w:rPr>
                <w:rFonts w:ascii="宋体" w:hAnsi="宋体" w:cs="宋体"/>
                <w:color w:val="000000"/>
                <w:kern w:val="0"/>
                <w:sz w:val="20"/>
                <w:szCs w:val="20"/>
              </w:rPr>
              <w:t xml:space="preserve"> 1.70%</w:t>
            </w:r>
          </w:p>
        </w:tc>
        <w:tc>
          <w:tcPr>
            <w:tcW w:w="753"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30" w:type="dxa"/>
            <w:gridSpan w:val="2"/>
            <w:tcBorders>
              <w:top w:val="nil"/>
              <w:left w:val="nil"/>
              <w:bottom w:val="single" w:color="auto" w:sz="4" w:space="0"/>
              <w:right w:val="nil"/>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495" w:type="dxa"/>
            <w:gridSpan w:val="2"/>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通过年度部门决算与年初部门预算对比，对部门的年度支出情况进行考核，衡量部门预算的约束力。</w:t>
            </w:r>
          </w:p>
        </w:tc>
        <w:tc>
          <w:tcPr>
            <w:tcW w:w="1809" w:type="dxa"/>
            <w:gridSpan w:val="2"/>
            <w:tcBorders>
              <w:top w:val="nil"/>
              <w:left w:val="nil"/>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部门预决算差异率高于市级平均差异率（28.3%）的，每高出10%（含），扣0.4分，扣完为止。</w:t>
            </w:r>
          </w:p>
        </w:tc>
      </w:tr>
      <w:tr>
        <w:tblPrEx>
          <w:tblCellMar>
            <w:top w:w="0" w:type="dxa"/>
            <w:left w:w="108" w:type="dxa"/>
            <w:bottom w:w="0" w:type="dxa"/>
            <w:right w:w="108" w:type="dxa"/>
          </w:tblCellMar>
        </w:tblPrEx>
        <w:trPr>
          <w:gridAfter w:val="1"/>
          <w:wAfter w:w="15" w:type="dxa"/>
          <w:cantSplit/>
          <w:trHeight w:val="484" w:hRule="atLeast"/>
        </w:trPr>
        <w:tc>
          <w:tcPr>
            <w:tcW w:w="8538"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合计</w:t>
            </w:r>
          </w:p>
        </w:tc>
        <w:tc>
          <w:tcPr>
            <w:tcW w:w="753"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0" w:type="dxa"/>
            <w:gridSpan w:val="2"/>
            <w:tcBorders>
              <w:top w:val="nil"/>
              <w:left w:val="nil"/>
              <w:bottom w:val="single" w:color="auto" w:sz="4" w:space="0"/>
              <w:right w:val="nil"/>
            </w:tcBorders>
            <w:vAlign w:val="center"/>
          </w:tcPr>
          <w:p>
            <w:pPr>
              <w:widowControl/>
              <w:jc w:val="center"/>
              <w:rPr>
                <w:rFonts w:hint="eastAsia" w:ascii="宋体" w:hAnsi="宋体" w:cs="宋体"/>
                <w:color w:val="000000"/>
                <w:kern w:val="0"/>
                <w:sz w:val="20"/>
                <w:szCs w:val="20"/>
              </w:rPr>
            </w:pPr>
            <w:r>
              <w:rPr>
                <w:rFonts w:ascii="宋体" w:hAnsi="宋体" w:cs="宋体"/>
                <w:color w:val="000000"/>
                <w:kern w:val="0"/>
                <w:sz w:val="20"/>
                <w:szCs w:val="20"/>
              </w:rPr>
              <w:t>9</w:t>
            </w:r>
            <w:r>
              <w:rPr>
                <w:rFonts w:hint="eastAsia" w:ascii="宋体" w:hAnsi="宋体" w:cs="宋体"/>
                <w:color w:val="000000"/>
                <w:kern w:val="0"/>
                <w:sz w:val="20"/>
                <w:szCs w:val="20"/>
              </w:rPr>
              <w:t>4</w:t>
            </w:r>
            <w:r>
              <w:rPr>
                <w:rFonts w:ascii="宋体" w:hAnsi="宋体" w:cs="宋体"/>
                <w:color w:val="000000"/>
                <w:kern w:val="0"/>
                <w:sz w:val="20"/>
                <w:szCs w:val="20"/>
              </w:rPr>
              <w:t>.2</w:t>
            </w:r>
            <w:r>
              <w:rPr>
                <w:rFonts w:hint="eastAsia" w:ascii="宋体" w:hAnsi="宋体" w:cs="宋体"/>
                <w:color w:val="000000"/>
                <w:kern w:val="0"/>
                <w:sz w:val="20"/>
                <w:szCs w:val="20"/>
              </w:rPr>
              <w:t>5</w:t>
            </w:r>
          </w:p>
        </w:tc>
        <w:tc>
          <w:tcPr>
            <w:tcW w:w="5304"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宋体" w:hAnsi="宋体" w:cs="宋体"/>
                <w:color w:val="000000"/>
                <w:kern w:val="0"/>
                <w:sz w:val="18"/>
                <w:szCs w:val="18"/>
              </w:rPr>
            </w:pPr>
          </w:p>
        </w:tc>
      </w:tr>
    </w:tbl>
    <w:p/>
    <w:sectPr>
      <w:pgSz w:w="16838" w:h="11906" w:orient="landscape"/>
      <w:pgMar w:top="993" w:right="1440" w:bottom="1349"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altName w:val="方正楷体_GBK"/>
    <w:panose1 w:val="02010609030101010101"/>
    <w:charset w:val="86"/>
    <w:family w:val="modern"/>
    <w:pitch w:val="default"/>
    <w:sig w:usb0="00000000" w:usb1="00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Verdana">
    <w:altName w:val="DejaVu Sans"/>
    <w:panose1 w:val="020B0604030504040204"/>
    <w:charset w:val="00"/>
    <w:family w:val="swiss"/>
    <w:pitch w:val="default"/>
    <w:sig w:usb0="00000000" w:usb1="00000000" w:usb2="00000010" w:usb3="00000000" w:csb0="2000019F" w:csb1="00000000"/>
  </w:font>
  <w:font w:name="方正仿宋_GBK">
    <w:panose1 w:val="02000000000000000000"/>
    <w:charset w:val="86"/>
    <w:family w:val="script"/>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微软雅黑">
    <w:altName w:val="方正黑体_GBK"/>
    <w:panose1 w:val="020B0503020204020204"/>
    <w:charset w:val="86"/>
    <w:family w:val="swiss"/>
    <w:pitch w:val="default"/>
    <w:sig w:usb0="00000000" w:usb1="00000000" w:usb2="00000016" w:usb3="00000000" w:csb0="0004001F" w:csb1="00000000"/>
  </w:font>
  <w:font w:name="___WRD_EMBED_SUB_44">
    <w:altName w:val="方正细黑一_GBK"/>
    <w:panose1 w:val="00000000000000000000"/>
    <w:charset w:val="86"/>
    <w:family w:val="modern"/>
    <w:pitch w:val="default"/>
    <w:sig w:usb0="00000000" w:usb1="00000000" w:usb2="00000010" w:usb3="00000000" w:csb0="00040000" w:csb1="00000000"/>
  </w:font>
  <w:font w:name="___WRD_EMBED_SUB_47">
    <w:altName w:val="方正细黑一_GBK"/>
    <w:panose1 w:val="00000000000000000000"/>
    <w:charset w:val="86"/>
    <w:family w:val="modern"/>
    <w:pitch w:val="default"/>
    <w:sig w:usb0="00000000" w:usb1="00000000" w:usb2="0000001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anumGothic">
    <w:panose1 w:val="020D0604000000000000"/>
    <w:charset w:val="81"/>
    <w:family w:val="auto"/>
    <w:pitch w:val="default"/>
    <w:sig w:usb0="900002A7" w:usb1="29D7FCFB" w:usb2="00000010" w:usb3="00000000" w:csb0="00080001"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8281908"/>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404FB2"/>
    <w:multiLevelType w:val="singleLevel"/>
    <w:tmpl w:val="FA404FB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E2Yjk4YmIzNmU0NTlhYWUzMjM0YzlkZTdkZGFjYzEifQ=="/>
  </w:docVars>
  <w:rsids>
    <w:rsidRoot w:val="00C32925"/>
    <w:rsid w:val="00003BC8"/>
    <w:rsid w:val="00005283"/>
    <w:rsid w:val="0000779F"/>
    <w:rsid w:val="0002088C"/>
    <w:rsid w:val="00020D40"/>
    <w:rsid w:val="00021C3A"/>
    <w:rsid w:val="0002243A"/>
    <w:rsid w:val="00031879"/>
    <w:rsid w:val="00031EC3"/>
    <w:rsid w:val="0003381F"/>
    <w:rsid w:val="00036AEA"/>
    <w:rsid w:val="000414F7"/>
    <w:rsid w:val="00042A17"/>
    <w:rsid w:val="0004758E"/>
    <w:rsid w:val="00047816"/>
    <w:rsid w:val="000508FA"/>
    <w:rsid w:val="00051481"/>
    <w:rsid w:val="00056504"/>
    <w:rsid w:val="00056CB0"/>
    <w:rsid w:val="00066406"/>
    <w:rsid w:val="00066ED2"/>
    <w:rsid w:val="00072584"/>
    <w:rsid w:val="00073675"/>
    <w:rsid w:val="000737D6"/>
    <w:rsid w:val="00080672"/>
    <w:rsid w:val="000813E0"/>
    <w:rsid w:val="000918E4"/>
    <w:rsid w:val="00096001"/>
    <w:rsid w:val="000A11D0"/>
    <w:rsid w:val="000A39AF"/>
    <w:rsid w:val="000A4093"/>
    <w:rsid w:val="000A635F"/>
    <w:rsid w:val="000B6552"/>
    <w:rsid w:val="000C11A8"/>
    <w:rsid w:val="000C2E28"/>
    <w:rsid w:val="000C4992"/>
    <w:rsid w:val="000C594E"/>
    <w:rsid w:val="000C6CB6"/>
    <w:rsid w:val="000D0178"/>
    <w:rsid w:val="000D08CA"/>
    <w:rsid w:val="000E7B70"/>
    <w:rsid w:val="000F5EE5"/>
    <w:rsid w:val="000F6A50"/>
    <w:rsid w:val="00106297"/>
    <w:rsid w:val="001137D0"/>
    <w:rsid w:val="00124ED5"/>
    <w:rsid w:val="001265C6"/>
    <w:rsid w:val="00127C01"/>
    <w:rsid w:val="001359C0"/>
    <w:rsid w:val="00135C25"/>
    <w:rsid w:val="0014028C"/>
    <w:rsid w:val="001442D2"/>
    <w:rsid w:val="00145846"/>
    <w:rsid w:val="001522DF"/>
    <w:rsid w:val="00152B40"/>
    <w:rsid w:val="001656AB"/>
    <w:rsid w:val="001671A7"/>
    <w:rsid w:val="001677E3"/>
    <w:rsid w:val="00172349"/>
    <w:rsid w:val="001735D7"/>
    <w:rsid w:val="00175B86"/>
    <w:rsid w:val="00176F20"/>
    <w:rsid w:val="00182FE6"/>
    <w:rsid w:val="00192053"/>
    <w:rsid w:val="001925BC"/>
    <w:rsid w:val="00192C17"/>
    <w:rsid w:val="0019346E"/>
    <w:rsid w:val="001966B7"/>
    <w:rsid w:val="001A1F13"/>
    <w:rsid w:val="001A23DF"/>
    <w:rsid w:val="001B2701"/>
    <w:rsid w:val="001B6C38"/>
    <w:rsid w:val="001C15D8"/>
    <w:rsid w:val="001C1887"/>
    <w:rsid w:val="001C203F"/>
    <w:rsid w:val="001C55DD"/>
    <w:rsid w:val="001E5F3D"/>
    <w:rsid w:val="001F2308"/>
    <w:rsid w:val="002054F6"/>
    <w:rsid w:val="00205557"/>
    <w:rsid w:val="0020620F"/>
    <w:rsid w:val="002064D9"/>
    <w:rsid w:val="00215D54"/>
    <w:rsid w:val="00226698"/>
    <w:rsid w:val="00226FCE"/>
    <w:rsid w:val="002273E2"/>
    <w:rsid w:val="00235767"/>
    <w:rsid w:val="0024355D"/>
    <w:rsid w:val="002457E8"/>
    <w:rsid w:val="00245F4B"/>
    <w:rsid w:val="0025227C"/>
    <w:rsid w:val="002560C9"/>
    <w:rsid w:val="00256D22"/>
    <w:rsid w:val="00267AA4"/>
    <w:rsid w:val="00270C29"/>
    <w:rsid w:val="00272735"/>
    <w:rsid w:val="00276E7C"/>
    <w:rsid w:val="00282E73"/>
    <w:rsid w:val="002855B1"/>
    <w:rsid w:val="00286517"/>
    <w:rsid w:val="0029403E"/>
    <w:rsid w:val="002A42E8"/>
    <w:rsid w:val="002A7E9A"/>
    <w:rsid w:val="002C0ECA"/>
    <w:rsid w:val="002C32D2"/>
    <w:rsid w:val="002D1123"/>
    <w:rsid w:val="002D60E1"/>
    <w:rsid w:val="002E1DA9"/>
    <w:rsid w:val="002F0313"/>
    <w:rsid w:val="00303294"/>
    <w:rsid w:val="0030335A"/>
    <w:rsid w:val="00303FAB"/>
    <w:rsid w:val="003120DB"/>
    <w:rsid w:val="0031212F"/>
    <w:rsid w:val="003246F5"/>
    <w:rsid w:val="00327633"/>
    <w:rsid w:val="00327FB0"/>
    <w:rsid w:val="00335D7B"/>
    <w:rsid w:val="003414AF"/>
    <w:rsid w:val="00342979"/>
    <w:rsid w:val="00345870"/>
    <w:rsid w:val="00345924"/>
    <w:rsid w:val="00345CDC"/>
    <w:rsid w:val="0034647D"/>
    <w:rsid w:val="00347DE0"/>
    <w:rsid w:val="003547E5"/>
    <w:rsid w:val="00355C64"/>
    <w:rsid w:val="00370A43"/>
    <w:rsid w:val="00380AD4"/>
    <w:rsid w:val="0038279A"/>
    <w:rsid w:val="00386F06"/>
    <w:rsid w:val="003910F6"/>
    <w:rsid w:val="00392AF6"/>
    <w:rsid w:val="003953C7"/>
    <w:rsid w:val="0039593C"/>
    <w:rsid w:val="00395B3E"/>
    <w:rsid w:val="00395C53"/>
    <w:rsid w:val="00396318"/>
    <w:rsid w:val="003A143C"/>
    <w:rsid w:val="003B48FC"/>
    <w:rsid w:val="003B700E"/>
    <w:rsid w:val="003D15AF"/>
    <w:rsid w:val="003E0671"/>
    <w:rsid w:val="003E1DE6"/>
    <w:rsid w:val="003E3E65"/>
    <w:rsid w:val="003F115D"/>
    <w:rsid w:val="003F1194"/>
    <w:rsid w:val="003F642B"/>
    <w:rsid w:val="004016C7"/>
    <w:rsid w:val="004035EC"/>
    <w:rsid w:val="004047A8"/>
    <w:rsid w:val="00413C1A"/>
    <w:rsid w:val="00417425"/>
    <w:rsid w:val="004221D9"/>
    <w:rsid w:val="00422C4B"/>
    <w:rsid w:val="00435747"/>
    <w:rsid w:val="00442D75"/>
    <w:rsid w:val="004552CC"/>
    <w:rsid w:val="0046104A"/>
    <w:rsid w:val="00461E1B"/>
    <w:rsid w:val="00473804"/>
    <w:rsid w:val="00473BAB"/>
    <w:rsid w:val="0047736D"/>
    <w:rsid w:val="00477A92"/>
    <w:rsid w:val="00497CBC"/>
    <w:rsid w:val="004A48A9"/>
    <w:rsid w:val="004A4ADE"/>
    <w:rsid w:val="004C1E5F"/>
    <w:rsid w:val="004C50CF"/>
    <w:rsid w:val="004D0D57"/>
    <w:rsid w:val="004D3780"/>
    <w:rsid w:val="004E7C98"/>
    <w:rsid w:val="004F1880"/>
    <w:rsid w:val="00501668"/>
    <w:rsid w:val="00501E50"/>
    <w:rsid w:val="00512E02"/>
    <w:rsid w:val="00517C04"/>
    <w:rsid w:val="005204FD"/>
    <w:rsid w:val="00524916"/>
    <w:rsid w:val="005256AD"/>
    <w:rsid w:val="00531AD8"/>
    <w:rsid w:val="00545BDB"/>
    <w:rsid w:val="00551744"/>
    <w:rsid w:val="00557A9B"/>
    <w:rsid w:val="0056140C"/>
    <w:rsid w:val="005672B7"/>
    <w:rsid w:val="005715F4"/>
    <w:rsid w:val="00571C30"/>
    <w:rsid w:val="005827F1"/>
    <w:rsid w:val="00587799"/>
    <w:rsid w:val="005931A2"/>
    <w:rsid w:val="00594A9F"/>
    <w:rsid w:val="005A0B45"/>
    <w:rsid w:val="005A169F"/>
    <w:rsid w:val="005A5D54"/>
    <w:rsid w:val="005B0C28"/>
    <w:rsid w:val="005B4713"/>
    <w:rsid w:val="005C011E"/>
    <w:rsid w:val="005C3AB6"/>
    <w:rsid w:val="005D3F65"/>
    <w:rsid w:val="005E0AA6"/>
    <w:rsid w:val="005E0E82"/>
    <w:rsid w:val="005E144C"/>
    <w:rsid w:val="005E19BD"/>
    <w:rsid w:val="005E2979"/>
    <w:rsid w:val="00604D89"/>
    <w:rsid w:val="0060735C"/>
    <w:rsid w:val="006132C8"/>
    <w:rsid w:val="00627007"/>
    <w:rsid w:val="00636738"/>
    <w:rsid w:val="00647C6B"/>
    <w:rsid w:val="00657313"/>
    <w:rsid w:val="00666581"/>
    <w:rsid w:val="0066720D"/>
    <w:rsid w:val="00667344"/>
    <w:rsid w:val="006709A0"/>
    <w:rsid w:val="006867AC"/>
    <w:rsid w:val="00690D7C"/>
    <w:rsid w:val="006A653C"/>
    <w:rsid w:val="006A6550"/>
    <w:rsid w:val="006B0F60"/>
    <w:rsid w:val="006B13F7"/>
    <w:rsid w:val="006B2ABE"/>
    <w:rsid w:val="006B7EB1"/>
    <w:rsid w:val="006C122B"/>
    <w:rsid w:val="006C162B"/>
    <w:rsid w:val="006C27B3"/>
    <w:rsid w:val="006C3C45"/>
    <w:rsid w:val="006C462B"/>
    <w:rsid w:val="006C5E39"/>
    <w:rsid w:val="006E184F"/>
    <w:rsid w:val="006E2334"/>
    <w:rsid w:val="006E2CD1"/>
    <w:rsid w:val="006F3025"/>
    <w:rsid w:val="006F49C9"/>
    <w:rsid w:val="006F5800"/>
    <w:rsid w:val="00707FA0"/>
    <w:rsid w:val="007179D9"/>
    <w:rsid w:val="00722C36"/>
    <w:rsid w:val="00723B6F"/>
    <w:rsid w:val="00724834"/>
    <w:rsid w:val="0072530F"/>
    <w:rsid w:val="00732977"/>
    <w:rsid w:val="0074075D"/>
    <w:rsid w:val="00743A71"/>
    <w:rsid w:val="00747EEF"/>
    <w:rsid w:val="0075297E"/>
    <w:rsid w:val="00766997"/>
    <w:rsid w:val="00767CC1"/>
    <w:rsid w:val="00770AA8"/>
    <w:rsid w:val="00771145"/>
    <w:rsid w:val="00772BCF"/>
    <w:rsid w:val="00775CF2"/>
    <w:rsid w:val="007765C2"/>
    <w:rsid w:val="007801A6"/>
    <w:rsid w:val="007A1035"/>
    <w:rsid w:val="007A505F"/>
    <w:rsid w:val="007A524D"/>
    <w:rsid w:val="007A6037"/>
    <w:rsid w:val="007B3277"/>
    <w:rsid w:val="007C06AB"/>
    <w:rsid w:val="007C23F5"/>
    <w:rsid w:val="007C3322"/>
    <w:rsid w:val="007C3382"/>
    <w:rsid w:val="007C60A0"/>
    <w:rsid w:val="007C6686"/>
    <w:rsid w:val="007D1996"/>
    <w:rsid w:val="007D686C"/>
    <w:rsid w:val="007D766B"/>
    <w:rsid w:val="007E5775"/>
    <w:rsid w:val="007E5AA5"/>
    <w:rsid w:val="007F5994"/>
    <w:rsid w:val="00804002"/>
    <w:rsid w:val="00804A7F"/>
    <w:rsid w:val="008071CF"/>
    <w:rsid w:val="008120BA"/>
    <w:rsid w:val="00815ABB"/>
    <w:rsid w:val="00820B01"/>
    <w:rsid w:val="0082402A"/>
    <w:rsid w:val="0082424F"/>
    <w:rsid w:val="008247EC"/>
    <w:rsid w:val="00830A8E"/>
    <w:rsid w:val="00836099"/>
    <w:rsid w:val="0083775A"/>
    <w:rsid w:val="00845F1D"/>
    <w:rsid w:val="008465EA"/>
    <w:rsid w:val="00846A06"/>
    <w:rsid w:val="00847B71"/>
    <w:rsid w:val="00850537"/>
    <w:rsid w:val="00855E4A"/>
    <w:rsid w:val="008609BD"/>
    <w:rsid w:val="008663C8"/>
    <w:rsid w:val="008845C9"/>
    <w:rsid w:val="008851D5"/>
    <w:rsid w:val="008A1B54"/>
    <w:rsid w:val="008A6DA8"/>
    <w:rsid w:val="008B0241"/>
    <w:rsid w:val="008B09AA"/>
    <w:rsid w:val="008B4D8C"/>
    <w:rsid w:val="008C1D78"/>
    <w:rsid w:val="008C20BC"/>
    <w:rsid w:val="008C2E48"/>
    <w:rsid w:val="008C3E66"/>
    <w:rsid w:val="008C488B"/>
    <w:rsid w:val="008C6E80"/>
    <w:rsid w:val="008D1DA2"/>
    <w:rsid w:val="008D7F3E"/>
    <w:rsid w:val="008E1D18"/>
    <w:rsid w:val="008F2560"/>
    <w:rsid w:val="008F2BD7"/>
    <w:rsid w:val="008F2DEE"/>
    <w:rsid w:val="008F5945"/>
    <w:rsid w:val="008F78C8"/>
    <w:rsid w:val="0090571B"/>
    <w:rsid w:val="0091112B"/>
    <w:rsid w:val="00911BAB"/>
    <w:rsid w:val="00927AEE"/>
    <w:rsid w:val="00934AD7"/>
    <w:rsid w:val="00940D57"/>
    <w:rsid w:val="00946CF5"/>
    <w:rsid w:val="00950BB9"/>
    <w:rsid w:val="009547EF"/>
    <w:rsid w:val="00954CBF"/>
    <w:rsid w:val="0096666F"/>
    <w:rsid w:val="00970366"/>
    <w:rsid w:val="009728EB"/>
    <w:rsid w:val="00974165"/>
    <w:rsid w:val="00980798"/>
    <w:rsid w:val="00982BE7"/>
    <w:rsid w:val="009847CB"/>
    <w:rsid w:val="00993813"/>
    <w:rsid w:val="00994AE7"/>
    <w:rsid w:val="009951F3"/>
    <w:rsid w:val="00996F00"/>
    <w:rsid w:val="009A4845"/>
    <w:rsid w:val="009A70BF"/>
    <w:rsid w:val="009A7E30"/>
    <w:rsid w:val="009B1BC1"/>
    <w:rsid w:val="009B2FA1"/>
    <w:rsid w:val="009B45B9"/>
    <w:rsid w:val="009B757F"/>
    <w:rsid w:val="009C0CF5"/>
    <w:rsid w:val="009C343D"/>
    <w:rsid w:val="009C3A75"/>
    <w:rsid w:val="009D22D4"/>
    <w:rsid w:val="009D546D"/>
    <w:rsid w:val="009E1673"/>
    <w:rsid w:val="009E54D6"/>
    <w:rsid w:val="009E6F98"/>
    <w:rsid w:val="009F1883"/>
    <w:rsid w:val="009F20DB"/>
    <w:rsid w:val="009F5B18"/>
    <w:rsid w:val="00A006D3"/>
    <w:rsid w:val="00A01CE0"/>
    <w:rsid w:val="00A2315B"/>
    <w:rsid w:val="00A26169"/>
    <w:rsid w:val="00A27A60"/>
    <w:rsid w:val="00A27B1B"/>
    <w:rsid w:val="00A40D7D"/>
    <w:rsid w:val="00A43C29"/>
    <w:rsid w:val="00A4582E"/>
    <w:rsid w:val="00A47B96"/>
    <w:rsid w:val="00A53521"/>
    <w:rsid w:val="00A53E00"/>
    <w:rsid w:val="00A61359"/>
    <w:rsid w:val="00A61ADE"/>
    <w:rsid w:val="00A61D9B"/>
    <w:rsid w:val="00A72786"/>
    <w:rsid w:val="00A74DAF"/>
    <w:rsid w:val="00A82B16"/>
    <w:rsid w:val="00A913BA"/>
    <w:rsid w:val="00A957FE"/>
    <w:rsid w:val="00A95C57"/>
    <w:rsid w:val="00A97626"/>
    <w:rsid w:val="00A97A9E"/>
    <w:rsid w:val="00AA1BC0"/>
    <w:rsid w:val="00AA721F"/>
    <w:rsid w:val="00AB3B42"/>
    <w:rsid w:val="00AB6395"/>
    <w:rsid w:val="00AC46DB"/>
    <w:rsid w:val="00AC5167"/>
    <w:rsid w:val="00AC58E1"/>
    <w:rsid w:val="00AD55D1"/>
    <w:rsid w:val="00AE2863"/>
    <w:rsid w:val="00AE79F5"/>
    <w:rsid w:val="00AF3E84"/>
    <w:rsid w:val="00AF46D0"/>
    <w:rsid w:val="00AF5262"/>
    <w:rsid w:val="00AF6E54"/>
    <w:rsid w:val="00AF7326"/>
    <w:rsid w:val="00B056AE"/>
    <w:rsid w:val="00B05A18"/>
    <w:rsid w:val="00B115F6"/>
    <w:rsid w:val="00B16827"/>
    <w:rsid w:val="00B25EF3"/>
    <w:rsid w:val="00B260E8"/>
    <w:rsid w:val="00B26B1F"/>
    <w:rsid w:val="00B311E3"/>
    <w:rsid w:val="00B323A4"/>
    <w:rsid w:val="00B3598A"/>
    <w:rsid w:val="00B4556E"/>
    <w:rsid w:val="00B45BC8"/>
    <w:rsid w:val="00B507B5"/>
    <w:rsid w:val="00B537FC"/>
    <w:rsid w:val="00B53B37"/>
    <w:rsid w:val="00B631B4"/>
    <w:rsid w:val="00B73552"/>
    <w:rsid w:val="00B74142"/>
    <w:rsid w:val="00B80A13"/>
    <w:rsid w:val="00B824F4"/>
    <w:rsid w:val="00B82AA5"/>
    <w:rsid w:val="00B86086"/>
    <w:rsid w:val="00BA3FAD"/>
    <w:rsid w:val="00BB0B34"/>
    <w:rsid w:val="00BB7DC1"/>
    <w:rsid w:val="00BD3B54"/>
    <w:rsid w:val="00BE1404"/>
    <w:rsid w:val="00BE1512"/>
    <w:rsid w:val="00BE5538"/>
    <w:rsid w:val="00BF24C1"/>
    <w:rsid w:val="00BF4558"/>
    <w:rsid w:val="00C01C49"/>
    <w:rsid w:val="00C04137"/>
    <w:rsid w:val="00C05BF2"/>
    <w:rsid w:val="00C07B99"/>
    <w:rsid w:val="00C1135D"/>
    <w:rsid w:val="00C21076"/>
    <w:rsid w:val="00C232FE"/>
    <w:rsid w:val="00C32925"/>
    <w:rsid w:val="00C361FE"/>
    <w:rsid w:val="00C36F1A"/>
    <w:rsid w:val="00C50DCE"/>
    <w:rsid w:val="00C51B3C"/>
    <w:rsid w:val="00C560F9"/>
    <w:rsid w:val="00C56DFF"/>
    <w:rsid w:val="00C61FD6"/>
    <w:rsid w:val="00C6352F"/>
    <w:rsid w:val="00C635AC"/>
    <w:rsid w:val="00C7480C"/>
    <w:rsid w:val="00C777B1"/>
    <w:rsid w:val="00C82C27"/>
    <w:rsid w:val="00C86AD0"/>
    <w:rsid w:val="00C91231"/>
    <w:rsid w:val="00C96744"/>
    <w:rsid w:val="00C973BB"/>
    <w:rsid w:val="00CA7996"/>
    <w:rsid w:val="00CB3FA9"/>
    <w:rsid w:val="00CB6EEF"/>
    <w:rsid w:val="00CD1984"/>
    <w:rsid w:val="00CE1637"/>
    <w:rsid w:val="00CE3013"/>
    <w:rsid w:val="00CE5BE7"/>
    <w:rsid w:val="00CF06B6"/>
    <w:rsid w:val="00CF11A1"/>
    <w:rsid w:val="00CF1B6A"/>
    <w:rsid w:val="00CF295E"/>
    <w:rsid w:val="00CF2BF7"/>
    <w:rsid w:val="00D06961"/>
    <w:rsid w:val="00D06C00"/>
    <w:rsid w:val="00D10F33"/>
    <w:rsid w:val="00D13B59"/>
    <w:rsid w:val="00D167F3"/>
    <w:rsid w:val="00D16EBA"/>
    <w:rsid w:val="00D17C86"/>
    <w:rsid w:val="00D20CD1"/>
    <w:rsid w:val="00D20DAA"/>
    <w:rsid w:val="00D25D4D"/>
    <w:rsid w:val="00D3329E"/>
    <w:rsid w:val="00D34B73"/>
    <w:rsid w:val="00D36128"/>
    <w:rsid w:val="00D439E5"/>
    <w:rsid w:val="00D47546"/>
    <w:rsid w:val="00D546FD"/>
    <w:rsid w:val="00D56E34"/>
    <w:rsid w:val="00D57E7A"/>
    <w:rsid w:val="00D618DF"/>
    <w:rsid w:val="00D70E01"/>
    <w:rsid w:val="00D735FD"/>
    <w:rsid w:val="00D74C60"/>
    <w:rsid w:val="00D7515C"/>
    <w:rsid w:val="00D75CB3"/>
    <w:rsid w:val="00D7633A"/>
    <w:rsid w:val="00D76DE6"/>
    <w:rsid w:val="00D812AA"/>
    <w:rsid w:val="00D85114"/>
    <w:rsid w:val="00D85FD9"/>
    <w:rsid w:val="00D86DE2"/>
    <w:rsid w:val="00D8788C"/>
    <w:rsid w:val="00D923FC"/>
    <w:rsid w:val="00D93805"/>
    <w:rsid w:val="00D95784"/>
    <w:rsid w:val="00D9744E"/>
    <w:rsid w:val="00DA0B53"/>
    <w:rsid w:val="00DA299A"/>
    <w:rsid w:val="00DA3905"/>
    <w:rsid w:val="00DA682A"/>
    <w:rsid w:val="00DB2CF0"/>
    <w:rsid w:val="00DB53D1"/>
    <w:rsid w:val="00DC08D3"/>
    <w:rsid w:val="00DC4CA0"/>
    <w:rsid w:val="00DC6BCC"/>
    <w:rsid w:val="00DD0BE4"/>
    <w:rsid w:val="00DD6961"/>
    <w:rsid w:val="00DE1EA4"/>
    <w:rsid w:val="00DE3195"/>
    <w:rsid w:val="00DE74CB"/>
    <w:rsid w:val="00DE7CBB"/>
    <w:rsid w:val="00DE7F2C"/>
    <w:rsid w:val="00DF29A2"/>
    <w:rsid w:val="00DF4B14"/>
    <w:rsid w:val="00DF6004"/>
    <w:rsid w:val="00E00C12"/>
    <w:rsid w:val="00E02A1F"/>
    <w:rsid w:val="00E02B15"/>
    <w:rsid w:val="00E11721"/>
    <w:rsid w:val="00E12F20"/>
    <w:rsid w:val="00E2206B"/>
    <w:rsid w:val="00E22428"/>
    <w:rsid w:val="00E26F95"/>
    <w:rsid w:val="00E3106F"/>
    <w:rsid w:val="00E409C6"/>
    <w:rsid w:val="00E430AC"/>
    <w:rsid w:val="00E46071"/>
    <w:rsid w:val="00E463B3"/>
    <w:rsid w:val="00E46E8F"/>
    <w:rsid w:val="00E60D2B"/>
    <w:rsid w:val="00E65C1C"/>
    <w:rsid w:val="00E65F5C"/>
    <w:rsid w:val="00E745F8"/>
    <w:rsid w:val="00E77483"/>
    <w:rsid w:val="00E809C2"/>
    <w:rsid w:val="00E83192"/>
    <w:rsid w:val="00E8341E"/>
    <w:rsid w:val="00E84511"/>
    <w:rsid w:val="00E94067"/>
    <w:rsid w:val="00E96157"/>
    <w:rsid w:val="00E9688A"/>
    <w:rsid w:val="00E96C47"/>
    <w:rsid w:val="00E97D5C"/>
    <w:rsid w:val="00E97EFE"/>
    <w:rsid w:val="00EA06E0"/>
    <w:rsid w:val="00EA17B4"/>
    <w:rsid w:val="00EA6F1C"/>
    <w:rsid w:val="00EB3BA2"/>
    <w:rsid w:val="00EB405B"/>
    <w:rsid w:val="00EC2B60"/>
    <w:rsid w:val="00EC52A6"/>
    <w:rsid w:val="00ED1585"/>
    <w:rsid w:val="00EE13AE"/>
    <w:rsid w:val="00EE38BA"/>
    <w:rsid w:val="00EE6570"/>
    <w:rsid w:val="00EF5822"/>
    <w:rsid w:val="00F02F3A"/>
    <w:rsid w:val="00F02F5A"/>
    <w:rsid w:val="00F036B0"/>
    <w:rsid w:val="00F06B08"/>
    <w:rsid w:val="00F07BD4"/>
    <w:rsid w:val="00F14730"/>
    <w:rsid w:val="00F16155"/>
    <w:rsid w:val="00F17CCF"/>
    <w:rsid w:val="00F205EB"/>
    <w:rsid w:val="00F30EBA"/>
    <w:rsid w:val="00F31E0B"/>
    <w:rsid w:val="00F44304"/>
    <w:rsid w:val="00F44C75"/>
    <w:rsid w:val="00F45E56"/>
    <w:rsid w:val="00F461A3"/>
    <w:rsid w:val="00F511E1"/>
    <w:rsid w:val="00F560A3"/>
    <w:rsid w:val="00F5786B"/>
    <w:rsid w:val="00F63008"/>
    <w:rsid w:val="00F63F33"/>
    <w:rsid w:val="00F63FBB"/>
    <w:rsid w:val="00F64E33"/>
    <w:rsid w:val="00F70638"/>
    <w:rsid w:val="00F734D7"/>
    <w:rsid w:val="00F77099"/>
    <w:rsid w:val="00F772EE"/>
    <w:rsid w:val="00F80ADC"/>
    <w:rsid w:val="00F81133"/>
    <w:rsid w:val="00F90832"/>
    <w:rsid w:val="00F91E93"/>
    <w:rsid w:val="00FA09B4"/>
    <w:rsid w:val="00FA1AE0"/>
    <w:rsid w:val="00FB1815"/>
    <w:rsid w:val="00FB64C9"/>
    <w:rsid w:val="00FB68D4"/>
    <w:rsid w:val="00FB6C86"/>
    <w:rsid w:val="00FC08EE"/>
    <w:rsid w:val="00FC1D72"/>
    <w:rsid w:val="00FC6762"/>
    <w:rsid w:val="00FD3431"/>
    <w:rsid w:val="00FD754D"/>
    <w:rsid w:val="00FE5760"/>
    <w:rsid w:val="00FE7C3C"/>
    <w:rsid w:val="00FF2031"/>
    <w:rsid w:val="00FF3186"/>
    <w:rsid w:val="00FF5D7A"/>
    <w:rsid w:val="019609A9"/>
    <w:rsid w:val="023F2212"/>
    <w:rsid w:val="05FB46B0"/>
    <w:rsid w:val="070A2FBC"/>
    <w:rsid w:val="0883119F"/>
    <w:rsid w:val="0A283ED3"/>
    <w:rsid w:val="0A86035E"/>
    <w:rsid w:val="0AA55410"/>
    <w:rsid w:val="0B037E51"/>
    <w:rsid w:val="0B534F80"/>
    <w:rsid w:val="0C3B22A3"/>
    <w:rsid w:val="0D6214AA"/>
    <w:rsid w:val="0D7F205C"/>
    <w:rsid w:val="0DA059F5"/>
    <w:rsid w:val="0E6F3E7F"/>
    <w:rsid w:val="0F0C5A70"/>
    <w:rsid w:val="11E77A07"/>
    <w:rsid w:val="12295B18"/>
    <w:rsid w:val="132C232D"/>
    <w:rsid w:val="134D7DA8"/>
    <w:rsid w:val="14507354"/>
    <w:rsid w:val="146B333A"/>
    <w:rsid w:val="15AA79D9"/>
    <w:rsid w:val="17095AE2"/>
    <w:rsid w:val="17D81BBE"/>
    <w:rsid w:val="1B001029"/>
    <w:rsid w:val="1B512096"/>
    <w:rsid w:val="1B5F5790"/>
    <w:rsid w:val="1D6D2E22"/>
    <w:rsid w:val="1E807DB1"/>
    <w:rsid w:val="1E85148C"/>
    <w:rsid w:val="1FA4324B"/>
    <w:rsid w:val="1FCE3F40"/>
    <w:rsid w:val="205F3620"/>
    <w:rsid w:val="208D334A"/>
    <w:rsid w:val="20A774A8"/>
    <w:rsid w:val="21750684"/>
    <w:rsid w:val="219507C9"/>
    <w:rsid w:val="219759BF"/>
    <w:rsid w:val="2316568F"/>
    <w:rsid w:val="23A67EEB"/>
    <w:rsid w:val="25681E8D"/>
    <w:rsid w:val="25967434"/>
    <w:rsid w:val="26CC5EBA"/>
    <w:rsid w:val="26DD103B"/>
    <w:rsid w:val="2A6308E4"/>
    <w:rsid w:val="2B1B1944"/>
    <w:rsid w:val="2B314DBC"/>
    <w:rsid w:val="2B654C0F"/>
    <w:rsid w:val="2D764CC2"/>
    <w:rsid w:val="2E7A444E"/>
    <w:rsid w:val="2E7E596A"/>
    <w:rsid w:val="30592E90"/>
    <w:rsid w:val="307B7BCB"/>
    <w:rsid w:val="30F11CB3"/>
    <w:rsid w:val="321725F9"/>
    <w:rsid w:val="32343183"/>
    <w:rsid w:val="33D67D32"/>
    <w:rsid w:val="34263D2B"/>
    <w:rsid w:val="36557856"/>
    <w:rsid w:val="377834F5"/>
    <w:rsid w:val="38E0637F"/>
    <w:rsid w:val="39754C6C"/>
    <w:rsid w:val="3A1273C6"/>
    <w:rsid w:val="3AC14625"/>
    <w:rsid w:val="3AE7285E"/>
    <w:rsid w:val="3B0B27DC"/>
    <w:rsid w:val="3D792B22"/>
    <w:rsid w:val="3EBA6941"/>
    <w:rsid w:val="40101DFE"/>
    <w:rsid w:val="41B13C8E"/>
    <w:rsid w:val="41CF0949"/>
    <w:rsid w:val="43FB613F"/>
    <w:rsid w:val="44501A81"/>
    <w:rsid w:val="48B40105"/>
    <w:rsid w:val="49B46387"/>
    <w:rsid w:val="49BD4DC7"/>
    <w:rsid w:val="4B544FAC"/>
    <w:rsid w:val="4BCF2A83"/>
    <w:rsid w:val="4CEE78AF"/>
    <w:rsid w:val="4D1F6494"/>
    <w:rsid w:val="4D341EAC"/>
    <w:rsid w:val="4E70055B"/>
    <w:rsid w:val="4EFF54A1"/>
    <w:rsid w:val="514D4A7F"/>
    <w:rsid w:val="51E270AC"/>
    <w:rsid w:val="525653AD"/>
    <w:rsid w:val="52764596"/>
    <w:rsid w:val="52923265"/>
    <w:rsid w:val="535E29A3"/>
    <w:rsid w:val="53640B20"/>
    <w:rsid w:val="54042454"/>
    <w:rsid w:val="544B7B6F"/>
    <w:rsid w:val="54E22DEA"/>
    <w:rsid w:val="56041754"/>
    <w:rsid w:val="58335D58"/>
    <w:rsid w:val="59E80594"/>
    <w:rsid w:val="59F64A21"/>
    <w:rsid w:val="5A1F62D7"/>
    <w:rsid w:val="5CD22E02"/>
    <w:rsid w:val="5DA75773"/>
    <w:rsid w:val="5DDF5185"/>
    <w:rsid w:val="5F48540F"/>
    <w:rsid w:val="60324543"/>
    <w:rsid w:val="603364C5"/>
    <w:rsid w:val="6288754D"/>
    <w:rsid w:val="62D67E3F"/>
    <w:rsid w:val="63933A29"/>
    <w:rsid w:val="639B4E00"/>
    <w:rsid w:val="64690BE5"/>
    <w:rsid w:val="663E5660"/>
    <w:rsid w:val="6658247E"/>
    <w:rsid w:val="66813FDF"/>
    <w:rsid w:val="68EB739B"/>
    <w:rsid w:val="69076CB6"/>
    <w:rsid w:val="69F740AB"/>
    <w:rsid w:val="6C305B70"/>
    <w:rsid w:val="707838B4"/>
    <w:rsid w:val="70FB1883"/>
    <w:rsid w:val="73716D78"/>
    <w:rsid w:val="73FBAC65"/>
    <w:rsid w:val="753E53F8"/>
    <w:rsid w:val="75B91F62"/>
    <w:rsid w:val="764845E6"/>
    <w:rsid w:val="76D257BC"/>
    <w:rsid w:val="76E7297E"/>
    <w:rsid w:val="76EF68A3"/>
    <w:rsid w:val="77647450"/>
    <w:rsid w:val="77CF38D2"/>
    <w:rsid w:val="78F60349"/>
    <w:rsid w:val="793E1645"/>
    <w:rsid w:val="79B17BC5"/>
    <w:rsid w:val="7B875081"/>
    <w:rsid w:val="7BDF6043"/>
    <w:rsid w:val="7C821233"/>
    <w:rsid w:val="7D7B0C16"/>
    <w:rsid w:val="7DFC2364"/>
    <w:rsid w:val="7F2969B9"/>
    <w:rsid w:val="7FD363BD"/>
    <w:rsid w:val="7FF7D59C"/>
    <w:rsid w:val="7FF7FEF3"/>
    <w:rsid w:val="7FFF066B"/>
    <w:rsid w:val="9BFC6B22"/>
    <w:rsid w:val="AFF59FBF"/>
    <w:rsid w:val="BFFFC696"/>
    <w:rsid w:val="E5F584B9"/>
    <w:rsid w:val="F4F72DC5"/>
    <w:rsid w:val="FD6E6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2"/>
    <w:basedOn w:val="1"/>
    <w:next w:val="1"/>
    <w:qFormat/>
    <w:uiPriority w:val="9"/>
    <w:pPr>
      <w:spacing w:line="560" w:lineRule="exact"/>
      <w:ind w:firstLine="640" w:firstLineChars="200"/>
      <w:outlineLvl w:val="1"/>
    </w:pPr>
    <w:rPr>
      <w:rFonts w:ascii="楷体_GB2312" w:hAnsi="楷体_GB2312" w:eastAsia="楷体_GB2312" w:cs="楷体_GB2312"/>
      <w:color w:val="000000"/>
      <w:kern w:val="0"/>
      <w:sz w:val="32"/>
      <w:szCs w:val="32"/>
    </w:rPr>
  </w:style>
  <w:style w:type="paragraph" w:styleId="6">
    <w:name w:val="heading 3"/>
    <w:basedOn w:val="1"/>
    <w:next w:val="1"/>
    <w:unhideWhenUsed/>
    <w:qFormat/>
    <w:uiPriority w:val="9"/>
    <w:pPr>
      <w:keepNext/>
      <w:keepLines/>
      <w:spacing w:before="260" w:after="260" w:line="416" w:lineRule="auto"/>
      <w:outlineLvl w:val="2"/>
    </w:pPr>
    <w:rPr>
      <w:b/>
      <w:bCs/>
      <w:szCs w:val="3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suppressAutoHyphens/>
      <w:spacing w:line="580" w:lineRule="exact"/>
      <w:ind w:firstLine="420" w:firstLineChars="200"/>
    </w:pPr>
    <w:rPr>
      <w:rFonts w:ascii="仿宋_GB2312" w:hAnsi="Calibri" w:eastAsia="仿宋_GB2312"/>
      <w:sz w:val="32"/>
    </w:rPr>
  </w:style>
  <w:style w:type="paragraph" w:styleId="3">
    <w:name w:val="Body Text Indent"/>
    <w:basedOn w:val="1"/>
    <w:next w:val="4"/>
    <w:qFormat/>
    <w:uiPriority w:val="0"/>
    <w:pPr>
      <w:spacing w:after="120"/>
      <w:ind w:left="420" w:leftChars="200"/>
    </w:pPr>
  </w:style>
  <w:style w:type="paragraph" w:styleId="4">
    <w:name w:val="Normal Indent"/>
    <w:basedOn w:val="1"/>
    <w:next w:val="3"/>
    <w:qFormat/>
    <w:uiPriority w:val="0"/>
    <w:pPr>
      <w:ind w:firstLine="420" w:firstLineChars="200"/>
    </w:pPr>
  </w:style>
  <w:style w:type="paragraph" w:styleId="7">
    <w:name w:val="annotation text"/>
    <w:basedOn w:val="1"/>
    <w:link w:val="31"/>
    <w:qFormat/>
    <w:uiPriority w:val="0"/>
    <w:pPr>
      <w:jc w:val="left"/>
    </w:pPr>
  </w:style>
  <w:style w:type="paragraph" w:styleId="8">
    <w:name w:val="Body Text"/>
    <w:basedOn w:val="1"/>
    <w:next w:val="1"/>
    <w:qFormat/>
    <w:uiPriority w:val="0"/>
    <w:pPr>
      <w:spacing w:line="640" w:lineRule="exact"/>
      <w:ind w:firstLine="960"/>
    </w:pPr>
  </w:style>
  <w:style w:type="paragraph" w:styleId="9">
    <w:name w:val="toc 3"/>
    <w:basedOn w:val="1"/>
    <w:next w:val="1"/>
    <w:qFormat/>
    <w:uiPriority w:val="0"/>
    <w:pPr>
      <w:ind w:left="840" w:leftChars="400"/>
    </w:pPr>
  </w:style>
  <w:style w:type="paragraph" w:styleId="10">
    <w:name w:val="Plain Text"/>
    <w:basedOn w:val="1"/>
    <w:unhideWhenUsed/>
    <w:qFormat/>
    <w:uiPriority w:val="99"/>
    <w:rPr>
      <w:rFonts w:ascii="宋体" w:hAnsi="Courier New"/>
      <w:szCs w:val="21"/>
    </w:rPr>
  </w:style>
  <w:style w:type="paragraph" w:styleId="11">
    <w:name w:val="Body Text Indent 2"/>
    <w:basedOn w:val="1"/>
    <w:qFormat/>
    <w:uiPriority w:val="0"/>
    <w:pPr>
      <w:spacing w:after="120" w:line="480" w:lineRule="auto"/>
      <w:ind w:left="420" w:leftChars="200"/>
    </w:pPr>
  </w:style>
  <w:style w:type="paragraph" w:styleId="12">
    <w:name w:val="Balloon Text"/>
    <w:basedOn w:val="1"/>
    <w:link w:val="33"/>
    <w:qFormat/>
    <w:uiPriority w:val="0"/>
    <w:rPr>
      <w:sz w:val="18"/>
      <w:szCs w:val="18"/>
    </w:rPr>
  </w:style>
  <w:style w:type="paragraph" w:styleId="13">
    <w:name w:val="footer"/>
    <w:basedOn w:val="1"/>
    <w:link w:val="35"/>
    <w:qFormat/>
    <w:uiPriority w:val="99"/>
    <w:pPr>
      <w:tabs>
        <w:tab w:val="center" w:pos="4153"/>
        <w:tab w:val="right" w:pos="8306"/>
      </w:tabs>
      <w:snapToGrid w:val="0"/>
      <w:jc w:val="left"/>
    </w:pPr>
    <w:rPr>
      <w:sz w:val="18"/>
      <w:szCs w:val="20"/>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toc 1"/>
    <w:basedOn w:val="1"/>
    <w:next w:val="1"/>
    <w:unhideWhenUsed/>
    <w:qFormat/>
    <w:uiPriority w:val="39"/>
    <w:pPr>
      <w:tabs>
        <w:tab w:val="right" w:leader="dot" w:pos="8296"/>
      </w:tabs>
    </w:pPr>
    <w:rPr>
      <w:rFonts w:ascii="仿宋" w:hAnsi="仿宋" w:eastAsia="仿宋"/>
      <w:b/>
      <w:sz w:val="28"/>
      <w:szCs w:val="28"/>
    </w:rPr>
  </w:style>
  <w:style w:type="paragraph" w:styleId="16">
    <w:name w:val="footnote text"/>
    <w:basedOn w:val="1"/>
    <w:unhideWhenUsed/>
    <w:qFormat/>
    <w:uiPriority w:val="99"/>
    <w:pPr>
      <w:snapToGrid w:val="0"/>
      <w:jc w:val="left"/>
    </w:pPr>
    <w:rPr>
      <w:sz w:val="18"/>
      <w:szCs w:val="18"/>
    </w:rPr>
  </w:style>
  <w:style w:type="paragraph" w:styleId="17">
    <w:name w:val="toc 2"/>
    <w:basedOn w:val="1"/>
    <w:next w:val="1"/>
    <w:unhideWhenUsed/>
    <w:qFormat/>
    <w:uiPriority w:val="39"/>
    <w:pPr>
      <w:ind w:left="420" w:leftChars="200"/>
    </w:pPr>
  </w:style>
  <w:style w:type="paragraph" w:styleId="18">
    <w:name w:val="Normal (Web)"/>
    <w:basedOn w:val="1"/>
    <w:qFormat/>
    <w:uiPriority w:val="0"/>
    <w:pPr>
      <w:spacing w:beforeAutospacing="1" w:afterAutospacing="1"/>
      <w:jc w:val="left"/>
    </w:pPr>
    <w:rPr>
      <w:kern w:val="0"/>
      <w:sz w:val="24"/>
    </w:rPr>
  </w:style>
  <w:style w:type="paragraph" w:styleId="19">
    <w:name w:val="annotation subject"/>
    <w:basedOn w:val="7"/>
    <w:next w:val="7"/>
    <w:link w:val="32"/>
    <w:qFormat/>
    <w:uiPriority w:val="0"/>
    <w:rPr>
      <w:b/>
      <w:bCs/>
    </w:rPr>
  </w:style>
  <w:style w:type="paragraph" w:styleId="20">
    <w:name w:val="Body Text First Indent"/>
    <w:basedOn w:val="8"/>
    <w:qFormat/>
    <w:uiPriority w:val="0"/>
    <w:pPr>
      <w:ind w:firstLine="420" w:firstLineChars="100"/>
    </w:pPr>
  </w:style>
  <w:style w:type="table" w:styleId="22">
    <w:name w:val="Table Grid"/>
    <w:basedOn w:val="21"/>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unhideWhenUsed/>
    <w:qFormat/>
    <w:uiPriority w:val="99"/>
    <w:rPr>
      <w:color w:val="0000FF"/>
      <w:u w:val="single"/>
    </w:rPr>
  </w:style>
  <w:style w:type="character" w:styleId="25">
    <w:name w:val="annotation reference"/>
    <w:basedOn w:val="23"/>
    <w:qFormat/>
    <w:uiPriority w:val="0"/>
    <w:rPr>
      <w:sz w:val="21"/>
      <w:szCs w:val="21"/>
    </w:rPr>
  </w:style>
  <w:style w:type="character" w:styleId="26">
    <w:name w:val="footnote reference"/>
    <w:basedOn w:val="23"/>
    <w:unhideWhenUsed/>
    <w:qFormat/>
    <w:uiPriority w:val="99"/>
    <w:rPr>
      <w:vertAlign w:val="superscript"/>
    </w:rPr>
  </w:style>
  <w:style w:type="paragraph" w:customStyle="1" w:styleId="27">
    <w:name w:val="表格"/>
    <w:basedOn w:val="1"/>
    <w:qFormat/>
    <w:uiPriority w:val="0"/>
    <w:pPr>
      <w:jc w:val="center"/>
    </w:pPr>
    <w:rPr>
      <w:rFonts w:ascii="Verdana" w:hAnsi="Verdana" w:eastAsia="仿宋_GB2312"/>
      <w:sz w:val="24"/>
      <w:lang w:eastAsia="en-US"/>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0">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31">
    <w:name w:val="批注文字 字符"/>
    <w:basedOn w:val="23"/>
    <w:link w:val="7"/>
    <w:qFormat/>
    <w:uiPriority w:val="0"/>
    <w:rPr>
      <w:kern w:val="2"/>
      <w:sz w:val="21"/>
      <w:szCs w:val="24"/>
    </w:rPr>
  </w:style>
  <w:style w:type="character" w:customStyle="1" w:styleId="32">
    <w:name w:val="批注主题 字符"/>
    <w:basedOn w:val="31"/>
    <w:link w:val="19"/>
    <w:qFormat/>
    <w:uiPriority w:val="0"/>
    <w:rPr>
      <w:b/>
      <w:bCs/>
      <w:kern w:val="2"/>
      <w:sz w:val="21"/>
      <w:szCs w:val="24"/>
    </w:rPr>
  </w:style>
  <w:style w:type="character" w:customStyle="1" w:styleId="33">
    <w:name w:val="批注框文本 字符"/>
    <w:basedOn w:val="23"/>
    <w:link w:val="12"/>
    <w:qFormat/>
    <w:uiPriority w:val="0"/>
    <w:rPr>
      <w:kern w:val="2"/>
      <w:sz w:val="18"/>
      <w:szCs w:val="18"/>
    </w:rPr>
  </w:style>
  <w:style w:type="paragraph" w:customStyle="1" w:styleId="34">
    <w:name w:val="附件栏"/>
    <w:basedOn w:val="1"/>
    <w:qFormat/>
    <w:uiPriority w:val="99"/>
    <w:pPr>
      <w:autoSpaceDE w:val="0"/>
      <w:autoSpaceDN w:val="0"/>
      <w:snapToGrid w:val="0"/>
      <w:spacing w:line="590" w:lineRule="atLeast"/>
      <w:ind w:firstLine="624"/>
    </w:pPr>
    <w:rPr>
      <w:rFonts w:eastAsia="方正仿宋_GBK"/>
      <w:kern w:val="0"/>
      <w:sz w:val="32"/>
      <w:szCs w:val="32"/>
    </w:rPr>
  </w:style>
  <w:style w:type="character" w:customStyle="1" w:styleId="35">
    <w:name w:val="页脚 字符"/>
    <w:basedOn w:val="23"/>
    <w:link w:val="13"/>
    <w:qFormat/>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7443</Words>
  <Characters>7817</Characters>
  <Lines>601</Lines>
  <Paragraphs>339</Paragraphs>
  <TotalTime>500</TotalTime>
  <ScaleCrop>false</ScaleCrop>
  <LinksUpToDate>false</LinksUpToDate>
  <CharactersWithSpaces>14921</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2023-05-21T16:43:00Z</dcterms:created>
  <dc:creator>zxj</dc:creator>
  <cp:lastModifiedBy>user</cp:lastModifiedBy>
  <cp:lastPrinted>2025-05-16T02:43:00Z</cp:lastPrinted>
  <dcterms:modified xsi:type="dcterms:W3CDTF">2025-08-26T16:35:15Z</dcterms:modified>
  <cp:revision>235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F1548AB2EA5B4FE78DD5552CFDF61B5C</vt:lpwstr>
  </property>
</Properties>
</file>