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F6D" w:rsidRDefault="00255F6D">
      <w:pPr>
        <w:jc w:val="center"/>
        <w:rPr>
          <w:b/>
          <w:bCs/>
          <w:sz w:val="52"/>
          <w:szCs w:val="52"/>
        </w:rPr>
      </w:pPr>
    </w:p>
    <w:p w:rsidR="00255F6D" w:rsidRDefault="00255F6D">
      <w:pPr>
        <w:jc w:val="center"/>
        <w:rPr>
          <w:b/>
          <w:bCs/>
          <w:sz w:val="52"/>
          <w:szCs w:val="52"/>
        </w:rPr>
      </w:pPr>
    </w:p>
    <w:p w:rsidR="00255F6D" w:rsidRDefault="00255F6D">
      <w:pPr>
        <w:jc w:val="center"/>
        <w:rPr>
          <w:b/>
          <w:bCs/>
          <w:sz w:val="52"/>
          <w:szCs w:val="52"/>
        </w:rPr>
      </w:pPr>
    </w:p>
    <w:p w:rsidR="00255F6D" w:rsidRDefault="00661926">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北京市朝阳区人民检察院</w:t>
      </w:r>
    </w:p>
    <w:p w:rsidR="00255F6D" w:rsidRDefault="00661926">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2024年度部门整体绩效评价报告</w:t>
      </w:r>
    </w:p>
    <w:p w:rsidR="00255F6D" w:rsidRDefault="00255F6D">
      <w:pPr>
        <w:jc w:val="center"/>
        <w:rPr>
          <w:b/>
          <w:bCs/>
          <w:sz w:val="52"/>
        </w:rPr>
      </w:pPr>
    </w:p>
    <w:p w:rsidR="00255F6D" w:rsidRDefault="00255F6D">
      <w:pPr>
        <w:rPr>
          <w:rFonts w:eastAsia="黑体"/>
          <w:sz w:val="30"/>
        </w:rPr>
      </w:pPr>
    </w:p>
    <w:p w:rsidR="00255F6D" w:rsidRDefault="00255F6D">
      <w:pPr>
        <w:rPr>
          <w:rFonts w:eastAsia="黑体"/>
          <w:sz w:val="30"/>
        </w:rPr>
      </w:pPr>
    </w:p>
    <w:p w:rsidR="00255F6D" w:rsidRDefault="00255F6D">
      <w:pPr>
        <w:jc w:val="center"/>
        <w:rPr>
          <w:rFonts w:eastAsia="黑体"/>
          <w:sz w:val="30"/>
        </w:rPr>
      </w:pPr>
    </w:p>
    <w:p w:rsidR="00255F6D" w:rsidRDefault="00255F6D">
      <w:pPr>
        <w:jc w:val="center"/>
        <w:rPr>
          <w:rFonts w:eastAsia="黑体"/>
          <w:sz w:val="30"/>
        </w:rPr>
      </w:pPr>
    </w:p>
    <w:p w:rsidR="00255F6D" w:rsidRDefault="00255F6D">
      <w:pPr>
        <w:jc w:val="center"/>
        <w:rPr>
          <w:rFonts w:eastAsia="黑体"/>
          <w:sz w:val="30"/>
        </w:rPr>
      </w:pPr>
    </w:p>
    <w:p w:rsidR="00255F6D" w:rsidRDefault="00255F6D">
      <w:pPr>
        <w:rPr>
          <w:rFonts w:eastAsia="黑体"/>
          <w:sz w:val="30"/>
          <w:u w:val="single"/>
        </w:rPr>
      </w:pPr>
    </w:p>
    <w:p w:rsidR="00255F6D" w:rsidRDefault="00255F6D">
      <w:pPr>
        <w:rPr>
          <w:rFonts w:eastAsia="黑体"/>
          <w:sz w:val="30"/>
          <w:u w:val="single"/>
        </w:rPr>
      </w:pPr>
    </w:p>
    <w:p w:rsidR="00255F6D" w:rsidRDefault="00255F6D">
      <w:pPr>
        <w:rPr>
          <w:rFonts w:eastAsia="黑体"/>
          <w:sz w:val="30"/>
          <w:u w:val="single"/>
        </w:rPr>
      </w:pPr>
    </w:p>
    <w:p w:rsidR="00255F6D" w:rsidRDefault="00255F6D"/>
    <w:p w:rsidR="00255F6D" w:rsidRDefault="00255F6D"/>
    <w:p w:rsidR="00255F6D" w:rsidRDefault="00255F6D"/>
    <w:p w:rsidR="00255F6D" w:rsidRDefault="00255F6D"/>
    <w:p w:rsidR="00255F6D" w:rsidRDefault="00661926">
      <w:pPr>
        <w:jc w:val="center"/>
        <w:rPr>
          <w:rFonts w:ascii="黑体" w:eastAsia="黑体" w:hAnsi="黑体" w:cs="黑体"/>
          <w:sz w:val="32"/>
          <w:szCs w:val="32"/>
        </w:rPr>
      </w:pPr>
      <w:r>
        <w:rPr>
          <w:rFonts w:ascii="黑体" w:eastAsia="黑体" w:hAnsi="黑体" w:cs="黑体" w:hint="eastAsia"/>
          <w:sz w:val="32"/>
          <w:szCs w:val="32"/>
        </w:rPr>
        <w:t>二〇二五年五月</w:t>
      </w:r>
    </w:p>
    <w:p w:rsidR="00255F6D" w:rsidRDefault="00661926">
      <w:pPr>
        <w:rPr>
          <w:rFonts w:ascii="方正小标宋简体" w:eastAsia="方正小标宋简体"/>
          <w:sz w:val="36"/>
          <w:szCs w:val="36"/>
        </w:rPr>
      </w:pPr>
      <w:r>
        <w:rPr>
          <w:rFonts w:ascii="方正小标宋简体" w:eastAsia="方正小标宋简体" w:hint="eastAsia"/>
          <w:sz w:val="36"/>
          <w:szCs w:val="36"/>
        </w:rPr>
        <w:br w:type="page"/>
      </w:r>
    </w:p>
    <w:p w:rsidR="00255F6D" w:rsidRDefault="00661926">
      <w:pPr>
        <w:pStyle w:val="1"/>
        <w:tabs>
          <w:tab w:val="right" w:leader="dot" w:pos="8306"/>
        </w:tabs>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目 录</w:t>
      </w:r>
    </w:p>
    <w:p w:rsidR="00255F6D" w:rsidRDefault="00AA2324">
      <w:pPr>
        <w:pStyle w:val="1"/>
        <w:tabs>
          <w:tab w:val="right" w:leader="dot" w:pos="8306"/>
        </w:tabs>
        <w:adjustRightInd w:val="0"/>
        <w:snapToGrid w:val="0"/>
        <w:spacing w:line="560" w:lineRule="exact"/>
        <w:rPr>
          <w:rFonts w:asciiTheme="majorEastAsia" w:eastAsiaTheme="majorEastAsia" w:hAnsiTheme="majorEastAsia" w:cstheme="majorEastAsia"/>
          <w:sz w:val="32"/>
          <w:szCs w:val="32"/>
        </w:rPr>
      </w:pP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TOC \o "1-3" \h \u </w:instrText>
      </w:r>
      <w:r>
        <w:rPr>
          <w:rFonts w:asciiTheme="majorEastAsia" w:eastAsiaTheme="majorEastAsia" w:hAnsiTheme="majorEastAsia" w:cstheme="majorEastAsia" w:hint="eastAsia"/>
          <w:sz w:val="32"/>
          <w:szCs w:val="32"/>
        </w:rPr>
        <w:fldChar w:fldCharType="separate"/>
      </w:r>
      <w:hyperlink w:anchor="_Toc28059" w:history="1">
        <w:r w:rsidR="00661926">
          <w:rPr>
            <w:rFonts w:asciiTheme="majorEastAsia" w:eastAsiaTheme="majorEastAsia" w:hAnsiTheme="majorEastAsia" w:cstheme="majorEastAsia" w:hint="eastAsia"/>
            <w:kern w:val="0"/>
            <w:sz w:val="32"/>
            <w:szCs w:val="32"/>
          </w:rPr>
          <w:t>一、部门概况</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_Toc28059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w:t>
        </w:r>
        <w:r>
          <w:rPr>
            <w:rFonts w:asciiTheme="majorEastAsia" w:eastAsiaTheme="majorEastAsia" w:hAnsiTheme="majorEastAsia" w:cstheme="majorEastAsia" w:hint="eastAsia"/>
            <w:sz w:val="32"/>
            <w:szCs w:val="32"/>
          </w:rPr>
          <w:fldChar w:fldCharType="end"/>
        </w:r>
      </w:hyperlink>
    </w:p>
    <w:p w:rsidR="00255F6D" w:rsidRDefault="00AA2324" w:rsidP="001540AE">
      <w:pPr>
        <w:pStyle w:val="2"/>
        <w:tabs>
          <w:tab w:val="right" w:leader="dot" w:pos="8306"/>
        </w:tabs>
        <w:adjustRightInd w:val="0"/>
        <w:snapToGrid w:val="0"/>
        <w:spacing w:line="560" w:lineRule="exact"/>
        <w:ind w:leftChars="0" w:left="0" w:firstLineChars="100" w:firstLine="210"/>
        <w:rPr>
          <w:rFonts w:asciiTheme="majorEastAsia" w:eastAsiaTheme="majorEastAsia" w:hAnsiTheme="majorEastAsia" w:cstheme="majorEastAsia"/>
          <w:sz w:val="32"/>
          <w:szCs w:val="32"/>
        </w:rPr>
      </w:pPr>
      <w:hyperlink w:anchor="_Toc2414" w:history="1">
        <w:r w:rsidR="00661926">
          <w:rPr>
            <w:rFonts w:asciiTheme="majorEastAsia" w:eastAsiaTheme="majorEastAsia" w:hAnsiTheme="majorEastAsia" w:cstheme="majorEastAsia" w:hint="eastAsia"/>
            <w:sz w:val="32"/>
            <w:szCs w:val="32"/>
          </w:rPr>
          <w:t>（一）机构设置及职责工作任务情况</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_Toc2414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w:t>
        </w:r>
        <w:r>
          <w:rPr>
            <w:rFonts w:asciiTheme="majorEastAsia" w:eastAsiaTheme="majorEastAsia" w:hAnsiTheme="majorEastAsia" w:cstheme="majorEastAsia" w:hint="eastAsia"/>
            <w:sz w:val="32"/>
            <w:szCs w:val="32"/>
          </w:rPr>
          <w:fldChar w:fldCharType="end"/>
        </w:r>
      </w:hyperlink>
    </w:p>
    <w:p w:rsidR="00255F6D" w:rsidRDefault="00AA2324">
      <w:pPr>
        <w:pStyle w:val="3"/>
        <w:tabs>
          <w:tab w:val="right" w:leader="dot" w:pos="8306"/>
        </w:tabs>
        <w:adjustRightInd w:val="0"/>
        <w:snapToGrid w:val="0"/>
        <w:spacing w:line="560" w:lineRule="exact"/>
        <w:ind w:leftChars="0" w:left="420" w:firstLine="420"/>
        <w:rPr>
          <w:rFonts w:asciiTheme="majorEastAsia" w:eastAsiaTheme="majorEastAsia" w:hAnsiTheme="majorEastAsia" w:cstheme="majorEastAsia"/>
          <w:sz w:val="32"/>
          <w:szCs w:val="32"/>
        </w:rPr>
      </w:pPr>
      <w:hyperlink w:anchor="_Toc31698" w:history="1">
        <w:r w:rsidR="00661926">
          <w:rPr>
            <w:rFonts w:asciiTheme="majorEastAsia" w:eastAsiaTheme="majorEastAsia" w:hAnsiTheme="majorEastAsia" w:cstheme="majorEastAsia" w:hint="eastAsia"/>
            <w:sz w:val="32"/>
            <w:szCs w:val="32"/>
          </w:rPr>
          <w:t>1.部门机构设置</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_Toc31698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w:t>
        </w:r>
        <w:r>
          <w:rPr>
            <w:rFonts w:asciiTheme="majorEastAsia" w:eastAsiaTheme="majorEastAsia" w:hAnsiTheme="majorEastAsia" w:cstheme="majorEastAsia" w:hint="eastAsia"/>
            <w:sz w:val="32"/>
            <w:szCs w:val="32"/>
          </w:rPr>
          <w:fldChar w:fldCharType="end"/>
        </w:r>
      </w:hyperlink>
    </w:p>
    <w:p w:rsidR="00255F6D" w:rsidRDefault="00AA2324">
      <w:pPr>
        <w:pStyle w:val="3"/>
        <w:tabs>
          <w:tab w:val="right" w:leader="dot" w:pos="8306"/>
        </w:tabs>
        <w:adjustRightInd w:val="0"/>
        <w:snapToGrid w:val="0"/>
        <w:spacing w:line="560" w:lineRule="exact"/>
        <w:ind w:leftChars="0" w:left="420" w:firstLine="420"/>
        <w:rPr>
          <w:rFonts w:asciiTheme="majorEastAsia" w:eastAsiaTheme="majorEastAsia" w:hAnsiTheme="majorEastAsia" w:cstheme="majorEastAsia"/>
          <w:sz w:val="32"/>
          <w:szCs w:val="32"/>
        </w:rPr>
      </w:pPr>
      <w:hyperlink w:anchor="_Toc15869" w:history="1">
        <w:r w:rsidR="00661926">
          <w:rPr>
            <w:rFonts w:asciiTheme="majorEastAsia" w:eastAsiaTheme="majorEastAsia" w:hAnsiTheme="majorEastAsia" w:cstheme="majorEastAsia" w:hint="eastAsia"/>
            <w:sz w:val="32"/>
            <w:szCs w:val="32"/>
          </w:rPr>
          <w:t>2.职责工作任务情况</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_Toc15869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w:t>
        </w:r>
        <w:r>
          <w:rPr>
            <w:rFonts w:asciiTheme="majorEastAsia" w:eastAsiaTheme="majorEastAsia" w:hAnsiTheme="majorEastAsia" w:cstheme="majorEastAsia" w:hint="eastAsia"/>
            <w:sz w:val="32"/>
            <w:szCs w:val="32"/>
          </w:rPr>
          <w:fldChar w:fldCharType="end"/>
        </w:r>
      </w:hyperlink>
    </w:p>
    <w:p w:rsidR="00255F6D" w:rsidRDefault="00AA2324" w:rsidP="001540AE">
      <w:pPr>
        <w:pStyle w:val="2"/>
        <w:tabs>
          <w:tab w:val="right" w:leader="dot" w:pos="8306"/>
        </w:tabs>
        <w:adjustRightInd w:val="0"/>
        <w:snapToGrid w:val="0"/>
        <w:spacing w:line="560" w:lineRule="exact"/>
        <w:ind w:leftChars="0" w:left="0" w:firstLineChars="100" w:firstLine="210"/>
        <w:rPr>
          <w:rFonts w:asciiTheme="majorEastAsia" w:eastAsiaTheme="majorEastAsia" w:hAnsiTheme="majorEastAsia" w:cstheme="majorEastAsia"/>
          <w:sz w:val="32"/>
          <w:szCs w:val="32"/>
        </w:rPr>
      </w:pPr>
      <w:hyperlink w:anchor="_Toc10920" w:history="1">
        <w:r w:rsidR="00661926">
          <w:rPr>
            <w:rFonts w:asciiTheme="majorEastAsia" w:eastAsiaTheme="majorEastAsia" w:hAnsiTheme="majorEastAsia" w:cstheme="majorEastAsia" w:hint="eastAsia"/>
            <w:sz w:val="32"/>
            <w:szCs w:val="32"/>
          </w:rPr>
          <w:t>（二）部门整体绩效目标设立情况</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_Toc10920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3</w:t>
        </w:r>
        <w:r>
          <w:rPr>
            <w:rFonts w:asciiTheme="majorEastAsia" w:eastAsiaTheme="majorEastAsia" w:hAnsiTheme="majorEastAsia" w:cstheme="majorEastAsia" w:hint="eastAsia"/>
            <w:sz w:val="32"/>
            <w:szCs w:val="32"/>
          </w:rPr>
          <w:fldChar w:fldCharType="end"/>
        </w:r>
      </w:hyperlink>
    </w:p>
    <w:p w:rsidR="00255F6D" w:rsidRDefault="00AA2324">
      <w:pPr>
        <w:pStyle w:val="1"/>
        <w:tabs>
          <w:tab w:val="right" w:leader="dot" w:pos="8306"/>
        </w:tabs>
        <w:adjustRightInd w:val="0"/>
        <w:snapToGrid w:val="0"/>
        <w:spacing w:line="560" w:lineRule="exact"/>
        <w:rPr>
          <w:rFonts w:asciiTheme="majorEastAsia" w:eastAsiaTheme="majorEastAsia" w:hAnsiTheme="majorEastAsia" w:cstheme="majorEastAsia"/>
          <w:sz w:val="32"/>
          <w:szCs w:val="32"/>
        </w:rPr>
      </w:pPr>
      <w:hyperlink w:anchor="_Toc3471" w:history="1">
        <w:r w:rsidR="00661926">
          <w:rPr>
            <w:rFonts w:asciiTheme="majorEastAsia" w:eastAsiaTheme="majorEastAsia" w:hAnsiTheme="majorEastAsia" w:cstheme="majorEastAsia" w:hint="eastAsia"/>
            <w:kern w:val="0"/>
            <w:sz w:val="32"/>
            <w:szCs w:val="32"/>
          </w:rPr>
          <w:t>二、当年预算执行情况</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_Toc3471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4</w:t>
        </w:r>
        <w:r>
          <w:rPr>
            <w:rFonts w:asciiTheme="majorEastAsia" w:eastAsiaTheme="majorEastAsia" w:hAnsiTheme="majorEastAsia" w:cstheme="majorEastAsia" w:hint="eastAsia"/>
            <w:sz w:val="32"/>
            <w:szCs w:val="32"/>
          </w:rPr>
          <w:fldChar w:fldCharType="end"/>
        </w:r>
      </w:hyperlink>
    </w:p>
    <w:p w:rsidR="00255F6D" w:rsidRDefault="00AA2324">
      <w:pPr>
        <w:pStyle w:val="1"/>
        <w:tabs>
          <w:tab w:val="right" w:leader="dot" w:pos="8306"/>
        </w:tabs>
        <w:adjustRightInd w:val="0"/>
        <w:snapToGrid w:val="0"/>
        <w:spacing w:line="560" w:lineRule="exact"/>
        <w:rPr>
          <w:rFonts w:asciiTheme="majorEastAsia" w:eastAsiaTheme="majorEastAsia" w:hAnsiTheme="majorEastAsia" w:cstheme="majorEastAsia"/>
          <w:sz w:val="32"/>
          <w:szCs w:val="32"/>
        </w:rPr>
      </w:pPr>
      <w:hyperlink w:anchor="_Toc25302" w:history="1">
        <w:r w:rsidR="00661926">
          <w:rPr>
            <w:rFonts w:asciiTheme="majorEastAsia" w:eastAsiaTheme="majorEastAsia" w:hAnsiTheme="majorEastAsia" w:cstheme="majorEastAsia" w:hint="eastAsia"/>
            <w:kern w:val="0"/>
            <w:sz w:val="32"/>
            <w:szCs w:val="32"/>
          </w:rPr>
          <w:t>三、整体绩效目标实现情况</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_Toc25302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5</w:t>
        </w:r>
        <w:r>
          <w:rPr>
            <w:rFonts w:asciiTheme="majorEastAsia" w:eastAsiaTheme="majorEastAsia" w:hAnsiTheme="majorEastAsia" w:cstheme="majorEastAsia" w:hint="eastAsia"/>
            <w:sz w:val="32"/>
            <w:szCs w:val="32"/>
          </w:rPr>
          <w:fldChar w:fldCharType="end"/>
        </w:r>
      </w:hyperlink>
    </w:p>
    <w:p w:rsidR="00255F6D" w:rsidRDefault="00AA2324" w:rsidP="001540AE">
      <w:pPr>
        <w:pStyle w:val="2"/>
        <w:tabs>
          <w:tab w:val="right" w:leader="dot" w:pos="8306"/>
        </w:tabs>
        <w:adjustRightInd w:val="0"/>
        <w:snapToGrid w:val="0"/>
        <w:spacing w:line="560" w:lineRule="exact"/>
        <w:ind w:leftChars="0" w:left="0" w:firstLineChars="100" w:firstLine="210"/>
        <w:rPr>
          <w:rFonts w:asciiTheme="majorEastAsia" w:eastAsiaTheme="majorEastAsia" w:hAnsiTheme="majorEastAsia" w:cstheme="majorEastAsia"/>
          <w:sz w:val="32"/>
          <w:szCs w:val="32"/>
        </w:rPr>
      </w:pPr>
      <w:hyperlink w:anchor="_Toc16125" w:history="1">
        <w:r w:rsidR="00661926">
          <w:rPr>
            <w:rFonts w:asciiTheme="majorEastAsia" w:eastAsiaTheme="majorEastAsia" w:hAnsiTheme="majorEastAsia" w:cstheme="majorEastAsia" w:hint="eastAsia"/>
            <w:sz w:val="32"/>
            <w:szCs w:val="32"/>
          </w:rPr>
          <w:t>（一）产出完成情况分析</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_Toc16125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5</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firstLine="420"/>
        <w:rPr>
          <w:rFonts w:asciiTheme="majorEastAsia" w:eastAsiaTheme="majorEastAsia" w:hAnsiTheme="majorEastAsia" w:cstheme="majorEastAsia"/>
          <w:sz w:val="32"/>
          <w:szCs w:val="32"/>
        </w:rPr>
      </w:pPr>
      <w:hyperlink w:anchor="_Toc21706" w:history="1">
        <w:r w:rsidR="00661926">
          <w:rPr>
            <w:rFonts w:asciiTheme="majorEastAsia" w:eastAsiaTheme="majorEastAsia" w:hAnsiTheme="majorEastAsia" w:cstheme="majorEastAsia" w:hint="eastAsia"/>
            <w:sz w:val="32"/>
            <w:szCs w:val="32"/>
          </w:rPr>
          <w:t>1.产出数量</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_Toc21706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5</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firstLine="420"/>
        <w:rPr>
          <w:rFonts w:asciiTheme="majorEastAsia" w:eastAsiaTheme="majorEastAsia" w:hAnsiTheme="majorEastAsia" w:cstheme="majorEastAsia"/>
          <w:sz w:val="32"/>
          <w:szCs w:val="32"/>
        </w:rPr>
      </w:pPr>
      <w:hyperlink w:anchor="_Toc6666" w:history="1">
        <w:r w:rsidR="00661926">
          <w:rPr>
            <w:rFonts w:asciiTheme="majorEastAsia" w:eastAsiaTheme="majorEastAsia" w:hAnsiTheme="majorEastAsia" w:cstheme="majorEastAsia" w:hint="eastAsia"/>
            <w:sz w:val="32"/>
            <w:szCs w:val="32"/>
          </w:rPr>
          <w:t>2.产出质量</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_Toc6666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7</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firstLine="420"/>
        <w:rPr>
          <w:rFonts w:asciiTheme="majorEastAsia" w:eastAsiaTheme="majorEastAsia" w:hAnsiTheme="majorEastAsia" w:cstheme="majorEastAsia"/>
          <w:sz w:val="32"/>
          <w:szCs w:val="32"/>
        </w:rPr>
      </w:pPr>
      <w:hyperlink w:anchor="_Toc26113" w:history="1">
        <w:r w:rsidR="00661926">
          <w:rPr>
            <w:rFonts w:asciiTheme="majorEastAsia" w:eastAsiaTheme="majorEastAsia" w:hAnsiTheme="majorEastAsia" w:cstheme="majorEastAsia" w:hint="eastAsia"/>
            <w:sz w:val="32"/>
            <w:szCs w:val="32"/>
          </w:rPr>
          <w:t>3.产出时效</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_Toc26113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7</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firstLine="420"/>
        <w:rPr>
          <w:rFonts w:asciiTheme="majorEastAsia" w:eastAsiaTheme="majorEastAsia" w:hAnsiTheme="majorEastAsia" w:cstheme="majorEastAsia"/>
          <w:sz w:val="32"/>
          <w:szCs w:val="32"/>
        </w:rPr>
      </w:pPr>
      <w:hyperlink w:anchor="_Toc24550" w:history="1">
        <w:r w:rsidR="00661926">
          <w:rPr>
            <w:rFonts w:asciiTheme="majorEastAsia" w:eastAsiaTheme="majorEastAsia" w:hAnsiTheme="majorEastAsia" w:cstheme="majorEastAsia" w:hint="eastAsia"/>
            <w:sz w:val="32"/>
            <w:szCs w:val="32"/>
          </w:rPr>
          <w:t>4.产出成本</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_Toc24550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7</w:t>
        </w:r>
        <w:r>
          <w:rPr>
            <w:rFonts w:asciiTheme="majorEastAsia" w:eastAsiaTheme="majorEastAsia" w:hAnsiTheme="majorEastAsia" w:cstheme="majorEastAsia" w:hint="eastAsia"/>
            <w:sz w:val="32"/>
            <w:szCs w:val="32"/>
          </w:rPr>
          <w:fldChar w:fldCharType="end"/>
        </w:r>
      </w:hyperlink>
    </w:p>
    <w:p w:rsidR="00255F6D" w:rsidRDefault="00AA2324" w:rsidP="001540AE">
      <w:pPr>
        <w:pStyle w:val="2"/>
        <w:tabs>
          <w:tab w:val="right" w:leader="dot" w:pos="8306"/>
        </w:tabs>
        <w:adjustRightInd w:val="0"/>
        <w:snapToGrid w:val="0"/>
        <w:spacing w:line="560" w:lineRule="exact"/>
        <w:ind w:leftChars="0" w:left="0" w:firstLineChars="100" w:firstLine="210"/>
        <w:rPr>
          <w:rFonts w:asciiTheme="majorEastAsia" w:eastAsiaTheme="majorEastAsia" w:hAnsiTheme="majorEastAsia" w:cstheme="majorEastAsia"/>
          <w:sz w:val="32"/>
          <w:szCs w:val="32"/>
        </w:rPr>
      </w:pPr>
      <w:hyperlink w:anchor="_Toc1547" w:history="1">
        <w:r w:rsidR="00661926">
          <w:rPr>
            <w:rFonts w:asciiTheme="majorEastAsia" w:eastAsiaTheme="majorEastAsia" w:hAnsiTheme="majorEastAsia" w:cstheme="majorEastAsia" w:hint="eastAsia"/>
            <w:sz w:val="32"/>
            <w:szCs w:val="32"/>
          </w:rPr>
          <w:t>（二）效果实现情况分析</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_Toc1547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8</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firstLine="420"/>
        <w:rPr>
          <w:rFonts w:asciiTheme="majorEastAsia" w:eastAsiaTheme="majorEastAsia" w:hAnsiTheme="majorEastAsia" w:cstheme="majorEastAsia"/>
          <w:sz w:val="32"/>
          <w:szCs w:val="32"/>
        </w:rPr>
      </w:pPr>
      <w:hyperlink w:anchor="_Toc4242" w:history="1">
        <w:r w:rsidR="00661926">
          <w:rPr>
            <w:rFonts w:asciiTheme="majorEastAsia" w:eastAsiaTheme="majorEastAsia" w:hAnsiTheme="majorEastAsia" w:cstheme="majorEastAsia" w:hint="eastAsia"/>
            <w:kern w:val="0"/>
            <w:sz w:val="32"/>
            <w:szCs w:val="32"/>
          </w:rPr>
          <w:t>1</w:t>
        </w:r>
        <w:r w:rsidR="00661926">
          <w:rPr>
            <w:rFonts w:asciiTheme="majorEastAsia" w:eastAsiaTheme="majorEastAsia" w:hAnsiTheme="majorEastAsia" w:cstheme="majorEastAsia" w:hint="eastAsia"/>
            <w:sz w:val="32"/>
            <w:szCs w:val="32"/>
          </w:rPr>
          <w:t>.社会效益</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_Toc4242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8</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firstLine="420"/>
        <w:rPr>
          <w:rFonts w:asciiTheme="majorEastAsia" w:eastAsiaTheme="majorEastAsia" w:hAnsiTheme="majorEastAsia" w:cstheme="majorEastAsia"/>
          <w:sz w:val="32"/>
          <w:szCs w:val="32"/>
        </w:rPr>
      </w:pPr>
      <w:hyperlink w:anchor="_Toc4300" w:history="1">
        <w:r w:rsidR="00661926">
          <w:rPr>
            <w:rFonts w:asciiTheme="majorEastAsia" w:eastAsiaTheme="majorEastAsia" w:hAnsiTheme="majorEastAsia" w:cstheme="majorEastAsia" w:hint="eastAsia"/>
            <w:sz w:val="32"/>
            <w:szCs w:val="32"/>
          </w:rPr>
          <w:t>2.可持续影响</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_Toc4300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8</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firstLine="420"/>
        <w:rPr>
          <w:rFonts w:asciiTheme="majorEastAsia" w:eastAsiaTheme="majorEastAsia" w:hAnsiTheme="majorEastAsia" w:cstheme="majorEastAsia"/>
          <w:sz w:val="32"/>
          <w:szCs w:val="32"/>
        </w:rPr>
      </w:pPr>
      <w:hyperlink w:anchor="_Toc11427" w:history="1">
        <w:r w:rsidR="00661926">
          <w:rPr>
            <w:rFonts w:asciiTheme="majorEastAsia" w:eastAsiaTheme="majorEastAsia" w:hAnsiTheme="majorEastAsia" w:cstheme="majorEastAsia" w:hint="eastAsia"/>
            <w:sz w:val="32"/>
            <w:szCs w:val="32"/>
          </w:rPr>
          <w:t>3.服务对象满意度</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_Toc11427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9</w:t>
        </w:r>
        <w:r>
          <w:rPr>
            <w:rFonts w:asciiTheme="majorEastAsia" w:eastAsiaTheme="majorEastAsia" w:hAnsiTheme="majorEastAsia" w:cstheme="majorEastAsia" w:hint="eastAsia"/>
            <w:sz w:val="32"/>
            <w:szCs w:val="32"/>
          </w:rPr>
          <w:fldChar w:fldCharType="end"/>
        </w:r>
      </w:hyperlink>
    </w:p>
    <w:p w:rsidR="00255F6D" w:rsidRDefault="00AA2324">
      <w:pPr>
        <w:pStyle w:val="1"/>
        <w:tabs>
          <w:tab w:val="right" w:leader="dot" w:pos="8306"/>
        </w:tabs>
        <w:adjustRightInd w:val="0"/>
        <w:snapToGrid w:val="0"/>
        <w:spacing w:line="560" w:lineRule="exact"/>
        <w:rPr>
          <w:rFonts w:asciiTheme="majorEastAsia" w:eastAsiaTheme="majorEastAsia" w:hAnsiTheme="majorEastAsia" w:cstheme="majorEastAsia"/>
          <w:sz w:val="32"/>
          <w:szCs w:val="32"/>
        </w:rPr>
      </w:pPr>
      <w:hyperlink w:anchor="_Toc20413" w:history="1">
        <w:r w:rsidR="00661926">
          <w:rPr>
            <w:rFonts w:asciiTheme="majorEastAsia" w:eastAsiaTheme="majorEastAsia" w:hAnsiTheme="majorEastAsia" w:cstheme="majorEastAsia" w:hint="eastAsia"/>
            <w:kern w:val="0"/>
            <w:sz w:val="32"/>
            <w:szCs w:val="32"/>
          </w:rPr>
          <w:t>四、预算管理情况分析</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_Toc20413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9</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left="0" w:firstLine="420"/>
        <w:rPr>
          <w:rFonts w:asciiTheme="majorEastAsia" w:eastAsiaTheme="majorEastAsia" w:hAnsiTheme="majorEastAsia" w:cstheme="majorEastAsia"/>
          <w:sz w:val="32"/>
          <w:szCs w:val="32"/>
        </w:rPr>
      </w:pPr>
      <w:hyperlink w:anchor="_Toc24064" w:history="1">
        <w:r w:rsidR="00661926">
          <w:rPr>
            <w:rFonts w:asciiTheme="majorEastAsia" w:eastAsiaTheme="majorEastAsia" w:hAnsiTheme="majorEastAsia" w:cstheme="majorEastAsia" w:hint="eastAsia"/>
            <w:sz w:val="32"/>
            <w:szCs w:val="32"/>
          </w:rPr>
          <w:t>（一）财务管理</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_Toc24064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9</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left="0" w:firstLine="420"/>
        <w:rPr>
          <w:rFonts w:asciiTheme="majorEastAsia" w:eastAsiaTheme="majorEastAsia" w:hAnsiTheme="majorEastAsia" w:cstheme="majorEastAsia"/>
          <w:sz w:val="32"/>
          <w:szCs w:val="32"/>
        </w:rPr>
      </w:pPr>
      <w:hyperlink w:anchor="_Toc31287" w:history="1">
        <w:r w:rsidR="00661926">
          <w:rPr>
            <w:rFonts w:asciiTheme="majorEastAsia" w:eastAsiaTheme="majorEastAsia" w:hAnsiTheme="majorEastAsia" w:cstheme="majorEastAsia" w:hint="eastAsia"/>
            <w:sz w:val="32"/>
            <w:szCs w:val="32"/>
          </w:rPr>
          <w:t>（二）资产管理</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_Toc31287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10</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left="0" w:firstLine="420"/>
        <w:rPr>
          <w:rFonts w:asciiTheme="majorEastAsia" w:eastAsiaTheme="majorEastAsia" w:hAnsiTheme="majorEastAsia" w:cstheme="majorEastAsia"/>
          <w:sz w:val="32"/>
          <w:szCs w:val="32"/>
        </w:rPr>
      </w:pPr>
      <w:hyperlink w:anchor="_Toc1920" w:history="1">
        <w:r w:rsidR="00661926">
          <w:rPr>
            <w:rFonts w:asciiTheme="majorEastAsia" w:eastAsiaTheme="majorEastAsia" w:hAnsiTheme="majorEastAsia" w:cstheme="majorEastAsia" w:hint="eastAsia"/>
            <w:sz w:val="32"/>
            <w:szCs w:val="32"/>
          </w:rPr>
          <w:t>（三）绩效管理</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_Toc1920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11</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left="0" w:firstLine="420"/>
        <w:rPr>
          <w:rFonts w:asciiTheme="majorEastAsia" w:eastAsiaTheme="majorEastAsia" w:hAnsiTheme="majorEastAsia" w:cstheme="majorEastAsia"/>
          <w:sz w:val="32"/>
          <w:szCs w:val="32"/>
        </w:rPr>
      </w:pPr>
      <w:hyperlink w:anchor="_Toc21773" w:history="1">
        <w:r w:rsidR="00661926">
          <w:rPr>
            <w:rFonts w:asciiTheme="majorEastAsia" w:eastAsiaTheme="majorEastAsia" w:hAnsiTheme="majorEastAsia" w:cstheme="majorEastAsia" w:hint="eastAsia"/>
            <w:sz w:val="32"/>
            <w:szCs w:val="32"/>
          </w:rPr>
          <w:t>（四）结转结余率</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_Toc21773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11</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left="0" w:firstLine="420"/>
        <w:rPr>
          <w:rFonts w:asciiTheme="majorEastAsia" w:eastAsiaTheme="majorEastAsia" w:hAnsiTheme="majorEastAsia" w:cstheme="majorEastAsia"/>
          <w:sz w:val="32"/>
          <w:szCs w:val="32"/>
        </w:rPr>
      </w:pPr>
      <w:hyperlink w:anchor="_Toc31387" w:history="1">
        <w:r w:rsidR="00661926">
          <w:rPr>
            <w:rFonts w:asciiTheme="majorEastAsia" w:eastAsiaTheme="majorEastAsia" w:hAnsiTheme="majorEastAsia" w:cstheme="majorEastAsia" w:hint="eastAsia"/>
            <w:sz w:val="32"/>
            <w:szCs w:val="32"/>
          </w:rPr>
          <w:t>（五）部门预决算差异率</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_Toc31387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12</w:t>
        </w:r>
        <w:r>
          <w:rPr>
            <w:rFonts w:asciiTheme="majorEastAsia" w:eastAsiaTheme="majorEastAsia" w:hAnsiTheme="majorEastAsia" w:cstheme="majorEastAsia" w:hint="eastAsia"/>
            <w:sz w:val="32"/>
            <w:szCs w:val="32"/>
          </w:rPr>
          <w:fldChar w:fldCharType="end"/>
        </w:r>
      </w:hyperlink>
    </w:p>
    <w:p w:rsidR="00255F6D" w:rsidRDefault="00AA2324">
      <w:pPr>
        <w:pStyle w:val="1"/>
        <w:tabs>
          <w:tab w:val="right" w:leader="dot" w:pos="8306"/>
        </w:tabs>
        <w:adjustRightInd w:val="0"/>
        <w:snapToGrid w:val="0"/>
        <w:spacing w:line="560" w:lineRule="exact"/>
        <w:rPr>
          <w:rFonts w:asciiTheme="majorEastAsia" w:eastAsiaTheme="majorEastAsia" w:hAnsiTheme="majorEastAsia" w:cstheme="majorEastAsia"/>
          <w:sz w:val="32"/>
          <w:szCs w:val="32"/>
        </w:rPr>
      </w:pPr>
      <w:hyperlink w:anchor="_Toc21506" w:history="1">
        <w:r w:rsidR="00661926">
          <w:rPr>
            <w:rFonts w:asciiTheme="majorEastAsia" w:eastAsiaTheme="majorEastAsia" w:hAnsiTheme="majorEastAsia" w:cstheme="majorEastAsia" w:hint="eastAsia"/>
            <w:sz w:val="32"/>
            <w:szCs w:val="32"/>
          </w:rPr>
          <w:t>五、总体评价结论</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_Toc21506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12</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left="0" w:firstLine="420"/>
        <w:rPr>
          <w:rFonts w:asciiTheme="majorEastAsia" w:eastAsiaTheme="majorEastAsia" w:hAnsiTheme="majorEastAsia" w:cstheme="majorEastAsia"/>
          <w:sz w:val="32"/>
          <w:szCs w:val="32"/>
        </w:rPr>
      </w:pPr>
      <w:hyperlink w:anchor="_Toc19340" w:history="1">
        <w:r w:rsidR="00661926">
          <w:rPr>
            <w:rFonts w:asciiTheme="majorEastAsia" w:eastAsiaTheme="majorEastAsia" w:hAnsiTheme="majorEastAsia" w:cstheme="majorEastAsia" w:hint="eastAsia"/>
            <w:sz w:val="32"/>
            <w:szCs w:val="32"/>
          </w:rPr>
          <w:t>（一）评价得分情况</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_Toc19340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12</w:t>
        </w:r>
        <w:r>
          <w:rPr>
            <w:rFonts w:asciiTheme="majorEastAsia" w:eastAsiaTheme="majorEastAsia" w:hAnsiTheme="majorEastAsia" w:cstheme="majorEastAsia" w:hint="eastAsia"/>
            <w:sz w:val="32"/>
            <w:szCs w:val="32"/>
          </w:rPr>
          <w:fldChar w:fldCharType="end"/>
        </w:r>
      </w:hyperlink>
    </w:p>
    <w:p w:rsidR="00255F6D" w:rsidRDefault="00AA2324">
      <w:pPr>
        <w:pStyle w:val="2"/>
        <w:tabs>
          <w:tab w:val="right" w:leader="dot" w:pos="8306"/>
        </w:tabs>
        <w:adjustRightInd w:val="0"/>
        <w:snapToGrid w:val="0"/>
        <w:spacing w:line="560" w:lineRule="exact"/>
        <w:ind w:leftChars="0" w:left="0" w:firstLine="420"/>
        <w:rPr>
          <w:rFonts w:asciiTheme="majorEastAsia" w:eastAsiaTheme="majorEastAsia" w:hAnsiTheme="majorEastAsia" w:cstheme="majorEastAsia"/>
          <w:sz w:val="32"/>
          <w:szCs w:val="32"/>
        </w:rPr>
      </w:pPr>
      <w:hyperlink w:anchor="_Toc29659" w:history="1">
        <w:r w:rsidR="00661926">
          <w:rPr>
            <w:rFonts w:asciiTheme="majorEastAsia" w:eastAsiaTheme="majorEastAsia" w:hAnsiTheme="majorEastAsia" w:cstheme="majorEastAsia" w:hint="eastAsia"/>
            <w:sz w:val="32"/>
            <w:szCs w:val="32"/>
          </w:rPr>
          <w:t>（二）存在的问题及原因分析</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_Toc29659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12</w:t>
        </w:r>
        <w:r>
          <w:rPr>
            <w:rFonts w:asciiTheme="majorEastAsia" w:eastAsiaTheme="majorEastAsia" w:hAnsiTheme="majorEastAsia" w:cstheme="majorEastAsia" w:hint="eastAsia"/>
            <w:sz w:val="32"/>
            <w:szCs w:val="32"/>
          </w:rPr>
          <w:fldChar w:fldCharType="end"/>
        </w:r>
      </w:hyperlink>
    </w:p>
    <w:p w:rsidR="00255F6D" w:rsidRDefault="00AA2324">
      <w:pPr>
        <w:pStyle w:val="1"/>
        <w:tabs>
          <w:tab w:val="right" w:leader="dot" w:pos="8306"/>
        </w:tabs>
        <w:adjustRightInd w:val="0"/>
        <w:snapToGrid w:val="0"/>
        <w:spacing w:line="560" w:lineRule="exact"/>
        <w:rPr>
          <w:rFonts w:asciiTheme="majorEastAsia" w:eastAsiaTheme="majorEastAsia" w:hAnsiTheme="majorEastAsia" w:cstheme="majorEastAsia"/>
          <w:sz w:val="32"/>
          <w:szCs w:val="32"/>
        </w:rPr>
      </w:pPr>
      <w:hyperlink w:anchor="_Toc16278" w:history="1">
        <w:r w:rsidR="00661926">
          <w:rPr>
            <w:rFonts w:asciiTheme="majorEastAsia" w:eastAsiaTheme="majorEastAsia" w:hAnsiTheme="majorEastAsia" w:cstheme="majorEastAsia" w:hint="eastAsia"/>
            <w:kern w:val="0"/>
            <w:sz w:val="32"/>
            <w:szCs w:val="32"/>
          </w:rPr>
          <w:t>六、措施建议</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_Toc16278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12</w:t>
        </w:r>
        <w:r>
          <w:rPr>
            <w:rFonts w:asciiTheme="majorEastAsia" w:eastAsiaTheme="majorEastAsia" w:hAnsiTheme="majorEastAsia" w:cstheme="majorEastAsia" w:hint="eastAsia"/>
            <w:sz w:val="32"/>
            <w:szCs w:val="32"/>
          </w:rPr>
          <w:fldChar w:fldCharType="end"/>
        </w:r>
      </w:hyperlink>
    </w:p>
    <w:p w:rsidR="00255F6D" w:rsidRDefault="00AA2324">
      <w:pPr>
        <w:pStyle w:val="1"/>
        <w:tabs>
          <w:tab w:val="right" w:leader="dot" w:pos="8306"/>
        </w:tabs>
        <w:adjustRightInd w:val="0"/>
        <w:snapToGrid w:val="0"/>
        <w:spacing w:line="560" w:lineRule="exact"/>
        <w:rPr>
          <w:rFonts w:asciiTheme="majorEastAsia" w:eastAsiaTheme="majorEastAsia" w:hAnsiTheme="majorEastAsia" w:cstheme="majorEastAsia"/>
          <w:sz w:val="32"/>
          <w:szCs w:val="32"/>
        </w:rPr>
      </w:pPr>
      <w:hyperlink w:anchor="_Toc31264" w:history="1">
        <w:r w:rsidR="00661926">
          <w:rPr>
            <w:rFonts w:asciiTheme="majorEastAsia" w:eastAsiaTheme="majorEastAsia" w:hAnsiTheme="majorEastAsia" w:cstheme="majorEastAsia" w:hint="eastAsia"/>
            <w:kern w:val="0"/>
            <w:sz w:val="32"/>
            <w:szCs w:val="32"/>
          </w:rPr>
          <w:t>七、附件</w:t>
        </w:r>
        <w:r w:rsidR="00661926">
          <w:rPr>
            <w:rFonts w:asciiTheme="majorEastAsia" w:eastAsiaTheme="majorEastAsia" w:hAnsiTheme="majorEastAsia" w:cstheme="majorEastAsia" w:hint="eastAsia"/>
            <w:sz w:val="32"/>
            <w:szCs w:val="32"/>
          </w:rPr>
          <w:tab/>
        </w:r>
        <w:r>
          <w:rPr>
            <w:rFonts w:asciiTheme="majorEastAsia" w:eastAsiaTheme="majorEastAsia" w:hAnsiTheme="majorEastAsia" w:cstheme="majorEastAsia" w:hint="eastAsia"/>
            <w:sz w:val="32"/>
            <w:szCs w:val="32"/>
          </w:rPr>
          <w:fldChar w:fldCharType="begin"/>
        </w:r>
        <w:r w:rsidR="00661926">
          <w:rPr>
            <w:rFonts w:asciiTheme="majorEastAsia" w:eastAsiaTheme="majorEastAsia" w:hAnsiTheme="majorEastAsia" w:cstheme="majorEastAsia" w:hint="eastAsia"/>
            <w:sz w:val="32"/>
            <w:szCs w:val="32"/>
          </w:rPr>
          <w:instrText xml:space="preserve"> PAGEREF _Toc31264 \h </w:instrText>
        </w:r>
        <w:r>
          <w:rPr>
            <w:rFonts w:asciiTheme="majorEastAsia" w:eastAsiaTheme="majorEastAsia" w:hAnsiTheme="majorEastAsia" w:cstheme="majorEastAsia" w:hint="eastAsia"/>
            <w:sz w:val="32"/>
            <w:szCs w:val="32"/>
          </w:rPr>
        </w:r>
        <w:r>
          <w:rPr>
            <w:rFonts w:asciiTheme="majorEastAsia" w:eastAsiaTheme="majorEastAsia" w:hAnsiTheme="majorEastAsia" w:cstheme="majorEastAsia" w:hint="eastAsia"/>
            <w:sz w:val="32"/>
            <w:szCs w:val="32"/>
          </w:rPr>
          <w:fldChar w:fldCharType="separate"/>
        </w:r>
        <w:r w:rsidR="00661926">
          <w:rPr>
            <w:rFonts w:asciiTheme="majorEastAsia" w:eastAsiaTheme="majorEastAsia" w:hAnsiTheme="majorEastAsia" w:cstheme="majorEastAsia" w:hint="eastAsia"/>
            <w:sz w:val="32"/>
            <w:szCs w:val="32"/>
          </w:rPr>
          <w:t>13</w:t>
        </w:r>
        <w:r>
          <w:rPr>
            <w:rFonts w:asciiTheme="majorEastAsia" w:eastAsiaTheme="majorEastAsia" w:hAnsiTheme="majorEastAsia" w:cstheme="majorEastAsia" w:hint="eastAsia"/>
            <w:sz w:val="32"/>
            <w:szCs w:val="32"/>
          </w:rPr>
          <w:fldChar w:fldCharType="end"/>
        </w:r>
      </w:hyperlink>
    </w:p>
    <w:p w:rsidR="00255F6D" w:rsidRDefault="00AA2324" w:rsidP="00166005">
      <w:pPr>
        <w:pStyle w:val="a6"/>
        <w:adjustRightInd w:val="0"/>
        <w:snapToGrid w:val="0"/>
        <w:spacing w:line="560" w:lineRule="exact"/>
        <w:ind w:firstLine="640"/>
      </w:pPr>
      <w:r>
        <w:rPr>
          <w:rFonts w:asciiTheme="majorEastAsia" w:eastAsiaTheme="majorEastAsia" w:hAnsiTheme="majorEastAsia" w:cstheme="majorEastAsia" w:hint="eastAsia"/>
          <w:szCs w:val="32"/>
        </w:rPr>
        <w:fldChar w:fldCharType="end"/>
      </w:r>
    </w:p>
    <w:p w:rsidR="00255F6D" w:rsidRDefault="00255F6D">
      <w:pPr>
        <w:jc w:val="center"/>
        <w:rPr>
          <w:rFonts w:ascii="方正小标宋简体" w:eastAsia="方正小标宋简体"/>
          <w:sz w:val="36"/>
          <w:szCs w:val="36"/>
        </w:rPr>
        <w:sectPr w:rsidR="00255F6D">
          <w:pgSz w:w="11906" w:h="16838"/>
          <w:pgMar w:top="1440" w:right="1800" w:bottom="1440" w:left="1800" w:header="851" w:footer="992" w:gutter="0"/>
          <w:cols w:space="425"/>
          <w:docGrid w:type="lines" w:linePitch="312"/>
        </w:sectPr>
      </w:pPr>
    </w:p>
    <w:p w:rsidR="00255F6D" w:rsidRDefault="00661926">
      <w:pPr>
        <w:jc w:val="center"/>
        <w:rPr>
          <w:rFonts w:ascii="方正小标宋简体" w:eastAsia="方正小标宋简体"/>
          <w:sz w:val="36"/>
          <w:szCs w:val="36"/>
        </w:rPr>
      </w:pPr>
      <w:r>
        <w:rPr>
          <w:rFonts w:ascii="方正小标宋简体" w:eastAsia="方正小标宋简体" w:hint="eastAsia"/>
          <w:sz w:val="36"/>
          <w:szCs w:val="36"/>
        </w:rPr>
        <w:lastRenderedPageBreak/>
        <w:t>北京市朝阳区人民检察院</w:t>
      </w:r>
      <w:r>
        <w:rPr>
          <w:rFonts w:ascii="方正小标宋简体" w:eastAsia="方正小标宋简体" w:hint="eastAsia"/>
          <w:sz w:val="36"/>
          <w:szCs w:val="36"/>
        </w:rPr>
        <w:br/>
        <w:t>2024年度部门整体绩效评价报告</w:t>
      </w:r>
    </w:p>
    <w:p w:rsidR="00255F6D" w:rsidRDefault="00661926" w:rsidP="002B2D47">
      <w:pPr>
        <w:spacing w:beforeLines="100" w:line="580" w:lineRule="exact"/>
        <w:ind w:firstLineChars="200" w:firstLine="640"/>
        <w:rPr>
          <w:rFonts w:ascii="黑体" w:eastAsia="黑体" w:hAnsi="黑体" w:cs="宋体"/>
          <w:kern w:val="0"/>
          <w:sz w:val="32"/>
          <w:szCs w:val="32"/>
        </w:rPr>
      </w:pPr>
      <w:r>
        <w:rPr>
          <w:rFonts w:ascii="仿宋_GB2312" w:eastAsia="仿宋_GB2312" w:hAnsi="楷体" w:hint="eastAsia"/>
          <w:bCs/>
          <w:kern w:val="0"/>
          <w:sz w:val="32"/>
          <w:szCs w:val="28"/>
        </w:rPr>
        <w:t>为进一步加强预算绩效管理，强化支出责任，提高财政资金使用效益，考核财政支出效率和综合效果，根据</w:t>
      </w:r>
      <w:r>
        <w:rPr>
          <w:rFonts w:ascii="仿宋_GB2312" w:eastAsia="仿宋_GB2312" w:hAnsi="仿宋_GB2312" w:cs="仿宋_GB2312" w:hint="eastAsia"/>
          <w:sz w:val="32"/>
        </w:rPr>
        <w:t>《中共北京市委 北京市人民政府关于全面实施预算绩效管理的实施意见》（京发〔2019〕12号）</w:t>
      </w:r>
      <w:r>
        <w:rPr>
          <w:rFonts w:ascii="仿宋_GB2312" w:eastAsia="仿宋_GB2312" w:hAnsi="楷体" w:hint="eastAsia"/>
          <w:bCs/>
          <w:kern w:val="0"/>
          <w:sz w:val="32"/>
          <w:szCs w:val="28"/>
        </w:rPr>
        <w:t>《北京市项目支出绩效评价管理办法》（</w:t>
      </w:r>
      <w:proofErr w:type="gramStart"/>
      <w:r>
        <w:rPr>
          <w:rFonts w:ascii="仿宋_GB2312" w:eastAsia="仿宋_GB2312" w:hAnsi="楷体" w:hint="eastAsia"/>
          <w:bCs/>
          <w:kern w:val="0"/>
          <w:sz w:val="32"/>
          <w:szCs w:val="28"/>
        </w:rPr>
        <w:t>京财绩效</w:t>
      </w:r>
      <w:proofErr w:type="gramEnd"/>
      <w:r>
        <w:rPr>
          <w:rFonts w:ascii="仿宋_GB2312" w:eastAsia="仿宋_GB2312" w:hAnsi="楷体" w:hint="eastAsia"/>
          <w:bCs/>
          <w:kern w:val="0"/>
          <w:sz w:val="32"/>
          <w:szCs w:val="28"/>
        </w:rPr>
        <w:t>〔2020〕2146号），结合《北京市财政局关于开展2025年预算绩效管理相关工作的通知》（</w:t>
      </w:r>
      <w:proofErr w:type="gramStart"/>
      <w:r>
        <w:rPr>
          <w:rFonts w:ascii="仿宋_GB2312" w:eastAsia="仿宋_GB2312" w:hAnsi="楷体" w:hint="eastAsia"/>
          <w:bCs/>
          <w:kern w:val="0"/>
          <w:sz w:val="32"/>
          <w:szCs w:val="28"/>
        </w:rPr>
        <w:t>京财绩效</w:t>
      </w:r>
      <w:proofErr w:type="gramEnd"/>
      <w:r>
        <w:rPr>
          <w:rFonts w:ascii="仿宋_GB2312" w:eastAsia="仿宋_GB2312" w:hAnsi="楷体" w:hint="eastAsia"/>
          <w:bCs/>
          <w:kern w:val="0"/>
          <w:sz w:val="32"/>
          <w:szCs w:val="28"/>
        </w:rPr>
        <w:t>〔2025〕245号）的工作安排，北京市朝阳区人民检察院组建绩效评价工作组，</w:t>
      </w:r>
      <w:r>
        <w:rPr>
          <w:rFonts w:ascii="仿宋_GB2312" w:eastAsia="仿宋_GB2312" w:hAnsi="楷体"/>
          <w:bCs/>
          <w:kern w:val="0"/>
          <w:sz w:val="32"/>
          <w:szCs w:val="28"/>
        </w:rPr>
        <w:t>对202</w:t>
      </w:r>
      <w:r>
        <w:rPr>
          <w:rFonts w:ascii="仿宋_GB2312" w:eastAsia="仿宋_GB2312" w:hAnsi="楷体" w:hint="eastAsia"/>
          <w:bCs/>
          <w:kern w:val="0"/>
          <w:sz w:val="32"/>
          <w:szCs w:val="28"/>
        </w:rPr>
        <w:t>4</w:t>
      </w:r>
      <w:r>
        <w:rPr>
          <w:rFonts w:ascii="仿宋_GB2312" w:eastAsia="仿宋_GB2312" w:hAnsi="楷体"/>
          <w:bCs/>
          <w:kern w:val="0"/>
          <w:sz w:val="32"/>
          <w:szCs w:val="28"/>
        </w:rPr>
        <w:t>年度部门整体</w:t>
      </w:r>
      <w:r>
        <w:rPr>
          <w:rFonts w:ascii="仿宋_GB2312" w:eastAsia="仿宋_GB2312" w:hAnsi="楷体" w:hint="eastAsia"/>
          <w:bCs/>
          <w:kern w:val="0"/>
          <w:sz w:val="32"/>
          <w:szCs w:val="28"/>
        </w:rPr>
        <w:t>实施</w:t>
      </w:r>
      <w:r>
        <w:rPr>
          <w:rFonts w:ascii="仿宋_GB2312" w:eastAsia="仿宋_GB2312" w:hAnsi="楷体"/>
          <w:bCs/>
          <w:kern w:val="0"/>
          <w:sz w:val="32"/>
          <w:szCs w:val="28"/>
        </w:rPr>
        <w:t>绩效评价，</w:t>
      </w:r>
      <w:r>
        <w:rPr>
          <w:rFonts w:ascii="仿宋_GB2312" w:eastAsia="仿宋_GB2312" w:hAnsi="楷体" w:hint="eastAsia"/>
          <w:bCs/>
          <w:kern w:val="0"/>
          <w:sz w:val="32"/>
          <w:szCs w:val="28"/>
        </w:rPr>
        <w:t>形成本绩效评价报告。</w:t>
      </w:r>
    </w:p>
    <w:p w:rsidR="00255F6D" w:rsidRDefault="00661926" w:rsidP="002B2D47">
      <w:pPr>
        <w:spacing w:beforeLines="50" w:afterLines="50" w:line="600" w:lineRule="exact"/>
        <w:ind w:firstLineChars="200" w:firstLine="640"/>
        <w:outlineLvl w:val="0"/>
        <w:rPr>
          <w:rFonts w:ascii="黑体" w:eastAsia="黑体" w:hAnsi="黑体" w:cs="宋体"/>
          <w:kern w:val="0"/>
          <w:sz w:val="32"/>
          <w:szCs w:val="32"/>
        </w:rPr>
      </w:pPr>
      <w:bookmarkStart w:id="0" w:name="_Toc28059"/>
      <w:r>
        <w:rPr>
          <w:rFonts w:ascii="黑体" w:eastAsia="黑体" w:hAnsi="黑体" w:cs="宋体" w:hint="eastAsia"/>
          <w:kern w:val="0"/>
          <w:sz w:val="32"/>
          <w:szCs w:val="32"/>
        </w:rPr>
        <w:t>一、部门概况</w:t>
      </w:r>
      <w:bookmarkEnd w:id="0"/>
    </w:p>
    <w:p w:rsidR="00255F6D" w:rsidRDefault="00661926" w:rsidP="00166005">
      <w:pPr>
        <w:spacing w:line="600" w:lineRule="exact"/>
        <w:ind w:firstLineChars="200" w:firstLine="641"/>
        <w:outlineLvl w:val="1"/>
        <w:rPr>
          <w:rFonts w:ascii="楷体_GB2312" w:eastAsia="楷体_GB2312"/>
          <w:b/>
          <w:bCs/>
          <w:sz w:val="32"/>
          <w:szCs w:val="32"/>
        </w:rPr>
      </w:pPr>
      <w:bookmarkStart w:id="1" w:name="_Toc2414"/>
      <w:r>
        <w:rPr>
          <w:rFonts w:ascii="楷体_GB2312" w:eastAsia="楷体_GB2312" w:hint="eastAsia"/>
          <w:b/>
          <w:bCs/>
          <w:sz w:val="32"/>
          <w:szCs w:val="32"/>
        </w:rPr>
        <w:t>（一）机构设置及职责工作任务情况</w:t>
      </w:r>
      <w:bookmarkEnd w:id="1"/>
    </w:p>
    <w:p w:rsidR="00255F6D" w:rsidRDefault="00661926">
      <w:pPr>
        <w:spacing w:line="560" w:lineRule="exact"/>
        <w:ind w:firstLineChars="200" w:firstLine="640"/>
        <w:outlineLvl w:val="2"/>
        <w:rPr>
          <w:rFonts w:ascii="仿宋_GB2312" w:eastAsia="仿宋_GB2312" w:hAnsi="楷体"/>
          <w:bCs/>
          <w:kern w:val="0"/>
          <w:sz w:val="32"/>
          <w:szCs w:val="28"/>
        </w:rPr>
      </w:pPr>
      <w:bookmarkStart w:id="2" w:name="_Toc31698"/>
      <w:r>
        <w:rPr>
          <w:rFonts w:ascii="仿宋_GB2312" w:eastAsia="仿宋_GB2312" w:hAnsi="楷体" w:hint="eastAsia"/>
          <w:bCs/>
          <w:kern w:val="0"/>
          <w:sz w:val="32"/>
          <w:szCs w:val="28"/>
        </w:rPr>
        <w:t>1.部门机构设置</w:t>
      </w:r>
      <w:bookmarkEnd w:id="2"/>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根据北京市委全面深化改革委员会审议通过的《北京市检察机关内设机构改革方案》(京</w:t>
      </w:r>
      <w:proofErr w:type="gramStart"/>
      <w:r>
        <w:rPr>
          <w:rFonts w:ascii="仿宋_GB2312" w:eastAsia="仿宋_GB2312" w:hAnsi="楷体" w:hint="eastAsia"/>
          <w:bCs/>
          <w:kern w:val="0"/>
          <w:sz w:val="32"/>
          <w:szCs w:val="28"/>
        </w:rPr>
        <w:t>政法发</w:t>
      </w:r>
      <w:proofErr w:type="gramEnd"/>
      <w:r>
        <w:rPr>
          <w:rFonts w:ascii="仿宋_GB2312" w:eastAsia="仿宋_GB2312" w:hAnsi="楷体" w:hint="eastAsia"/>
          <w:bCs/>
          <w:kern w:val="0"/>
          <w:sz w:val="32"/>
          <w:szCs w:val="28"/>
        </w:rPr>
        <w:t>〔2019〕8号)，北京市朝阳区人民检察院（简称“朝阳检察院”）为北京市第一类基层检察院，共设置12个内部机构，其中业务部门9个包括第一检察部、第二检察部、第三检察部、第四检察部、第五检察部、第六检察部、第七检察部、第八检察部、第九检察部，行政部门3个包括办公室(行政事务管理部)、政治部（机关党委、机关纪委）、检务督察部。</w:t>
      </w:r>
    </w:p>
    <w:p w:rsidR="00255F6D" w:rsidRDefault="00661926">
      <w:pPr>
        <w:spacing w:line="560" w:lineRule="exact"/>
        <w:ind w:firstLineChars="200" w:firstLine="640"/>
        <w:outlineLvl w:val="2"/>
        <w:rPr>
          <w:rFonts w:ascii="仿宋_GB2312" w:eastAsia="仿宋_GB2312" w:hAnsi="楷体"/>
          <w:bCs/>
          <w:kern w:val="0"/>
          <w:sz w:val="32"/>
          <w:szCs w:val="28"/>
        </w:rPr>
      </w:pPr>
      <w:bookmarkStart w:id="3" w:name="_Toc15869"/>
      <w:r>
        <w:rPr>
          <w:rFonts w:ascii="仿宋_GB2312" w:eastAsia="仿宋_GB2312" w:hAnsi="楷体" w:hint="eastAsia"/>
          <w:bCs/>
          <w:kern w:val="0"/>
          <w:sz w:val="32"/>
          <w:szCs w:val="28"/>
        </w:rPr>
        <w:t>2.职责工作任务情况</w:t>
      </w:r>
      <w:bookmarkEnd w:id="3"/>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lastRenderedPageBreak/>
        <w:t>朝阳检察院单位性质为法律监督机关，在辖区内依法独立行使检察权，在履行职责过程中接受北京市人民检察院和区委的统一领导，并负责向本区人民代表大会及其常务委员会报告工作。主要职责是：</w:t>
      </w:r>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（1）负责对</w:t>
      </w:r>
      <w:proofErr w:type="gramStart"/>
      <w:r>
        <w:rPr>
          <w:rFonts w:ascii="仿宋_GB2312" w:eastAsia="仿宋_GB2312" w:hAnsi="楷体" w:hint="eastAsia"/>
          <w:bCs/>
          <w:kern w:val="0"/>
          <w:sz w:val="32"/>
          <w:szCs w:val="28"/>
        </w:rPr>
        <w:t>侦查机</w:t>
      </w:r>
      <w:proofErr w:type="gramEnd"/>
      <w:r>
        <w:rPr>
          <w:rFonts w:ascii="仿宋_GB2312" w:eastAsia="仿宋_GB2312" w:hAnsi="楷体" w:hint="eastAsia"/>
          <w:bCs/>
          <w:kern w:val="0"/>
          <w:sz w:val="32"/>
          <w:szCs w:val="28"/>
        </w:rPr>
        <w:t>关移送依法由本院办理的刑事案件进行审查，决定是否批准逮捕、提起公诉，对提起公诉的案件支持公诉，对相关案件进行补充侦查等。依法对相关诉讼活动进行法律监督。</w:t>
      </w:r>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2）负责对监察委员会移送依法由本院办理的职务犯罪案件进行审查，决定采取强制措施、提起公诉，对相关案件进行补充侦查等，负责对检察机关立案侦查的职务犯罪案.件进行审查，决定是否逮捕、提起公诉、对提起公诉的案件支持公诉，依法对相关审判活动进行法律监督。负责对</w:t>
      </w:r>
      <w:proofErr w:type="gramStart"/>
      <w:r>
        <w:rPr>
          <w:rFonts w:ascii="仿宋_GB2312" w:eastAsia="仿宋_GB2312" w:hAnsi="楷体" w:hint="eastAsia"/>
          <w:bCs/>
          <w:kern w:val="0"/>
          <w:sz w:val="32"/>
          <w:szCs w:val="28"/>
        </w:rPr>
        <w:t>侦查机</w:t>
      </w:r>
      <w:proofErr w:type="gramEnd"/>
      <w:r>
        <w:rPr>
          <w:rFonts w:ascii="仿宋_GB2312" w:eastAsia="仿宋_GB2312" w:hAnsi="楷体" w:hint="eastAsia"/>
          <w:bCs/>
          <w:kern w:val="0"/>
          <w:sz w:val="32"/>
          <w:szCs w:val="28"/>
        </w:rPr>
        <w:t>关移送依法由本院办理的破坏社会主义市场经济秩序类犯罪等案件进行审查，决定是否批准逮捕、提起公诉，对提起公诉的案件支持公诉，对相关案件进行补充侦查等，依法对相关诉讼活动进行法律监督。</w:t>
      </w:r>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（3）负责对</w:t>
      </w:r>
      <w:proofErr w:type="gramStart"/>
      <w:r>
        <w:rPr>
          <w:rFonts w:ascii="仿宋_GB2312" w:eastAsia="仿宋_GB2312" w:hAnsi="楷体" w:hint="eastAsia"/>
          <w:bCs/>
          <w:kern w:val="0"/>
          <w:sz w:val="32"/>
          <w:szCs w:val="28"/>
        </w:rPr>
        <w:t>侦查机</w:t>
      </w:r>
      <w:proofErr w:type="gramEnd"/>
      <w:r>
        <w:rPr>
          <w:rFonts w:ascii="仿宋_GB2312" w:eastAsia="仿宋_GB2312" w:hAnsi="楷体" w:hint="eastAsia"/>
          <w:bCs/>
          <w:kern w:val="0"/>
          <w:sz w:val="32"/>
          <w:szCs w:val="28"/>
        </w:rPr>
        <w:t>关移送依法由本院办理的轻罪类犯罪案件进行审查，决定是否批准逮捕、提起公诉，对提起公诉的案件支持公诉，对相关案件进行补充侦查等。依法对相关诉讼活动进行监督。</w:t>
      </w:r>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（4）负责由本院管辖的刑事执行检察、强制措施检察、控告申诉、国家赔偿、司法救助等工作。</w:t>
      </w:r>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（5）负责依法由本院管辖的民事诉讼监督相关工作。</w:t>
      </w:r>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lastRenderedPageBreak/>
        <w:t>（6）负责依法由本院管辖的公益诉讼检察、行政诉讼监督等相关工作。</w:t>
      </w:r>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（7）负责依法由本院管辖的涉及未成年人刑事案件的办理等工作。</w:t>
      </w:r>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（8）负责依法由本院管辖的</w:t>
      </w:r>
      <w:proofErr w:type="gramStart"/>
      <w:r>
        <w:rPr>
          <w:rFonts w:ascii="仿宋_GB2312" w:eastAsia="仿宋_GB2312" w:hAnsi="楷体" w:hint="eastAsia"/>
          <w:bCs/>
          <w:kern w:val="0"/>
          <w:sz w:val="32"/>
          <w:szCs w:val="28"/>
        </w:rPr>
        <w:t>侦查机</w:t>
      </w:r>
      <w:proofErr w:type="gramEnd"/>
      <w:r>
        <w:rPr>
          <w:rFonts w:ascii="仿宋_GB2312" w:eastAsia="仿宋_GB2312" w:hAnsi="楷体" w:hint="eastAsia"/>
          <w:bCs/>
          <w:kern w:val="0"/>
          <w:sz w:val="32"/>
          <w:szCs w:val="28"/>
        </w:rPr>
        <w:t>关移送案件以外诉讼活动的法律监督。负责本院派驻公安执法办案管理中心检察办案组工作。负责对严重诉讼违法进行调查核实。负责行刑衔接有关的对公安机关的立案监督。</w:t>
      </w:r>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（9）负责法律政策研究、检察委员会办公室日常工作。负责检察受理接待、检察管理监督工作。负责相关案件线索的统一管理和分析</w:t>
      </w:r>
      <w:proofErr w:type="gramStart"/>
      <w:r>
        <w:rPr>
          <w:rFonts w:ascii="仿宋_GB2312" w:eastAsia="仿宋_GB2312" w:hAnsi="楷体" w:hint="eastAsia"/>
          <w:bCs/>
          <w:kern w:val="0"/>
          <w:sz w:val="32"/>
          <w:szCs w:val="28"/>
        </w:rPr>
        <w:t>研</w:t>
      </w:r>
      <w:proofErr w:type="gramEnd"/>
      <w:r>
        <w:rPr>
          <w:rFonts w:ascii="仿宋_GB2312" w:eastAsia="仿宋_GB2312" w:hAnsi="楷体" w:hint="eastAsia"/>
          <w:bCs/>
          <w:kern w:val="0"/>
          <w:sz w:val="32"/>
          <w:szCs w:val="28"/>
        </w:rPr>
        <w:t>判。负责案件管理中心、检察服务中心的建设，以及检察管理监督平台、情报信息分析平台的运行维护。组织指导人民监督员工作。负责检察技术保障工作。</w:t>
      </w:r>
    </w:p>
    <w:p w:rsidR="00255F6D" w:rsidRDefault="00661926" w:rsidP="00166005">
      <w:pPr>
        <w:spacing w:line="560" w:lineRule="exact"/>
        <w:ind w:firstLineChars="200" w:firstLine="641"/>
        <w:outlineLvl w:val="1"/>
        <w:rPr>
          <w:rFonts w:ascii="楷体_GB2312" w:eastAsia="楷体_GB2312"/>
          <w:b/>
          <w:bCs/>
          <w:sz w:val="32"/>
          <w:szCs w:val="32"/>
        </w:rPr>
      </w:pPr>
      <w:bookmarkStart w:id="4" w:name="_Toc10920"/>
      <w:r>
        <w:rPr>
          <w:rFonts w:ascii="楷体_GB2312" w:eastAsia="楷体_GB2312" w:hint="eastAsia"/>
          <w:b/>
          <w:bCs/>
          <w:sz w:val="32"/>
          <w:szCs w:val="32"/>
        </w:rPr>
        <w:t>（二）部门整体绩效目标设立情况</w:t>
      </w:r>
      <w:bookmarkEnd w:id="4"/>
    </w:p>
    <w:p w:rsidR="00255F6D" w:rsidRDefault="00661926">
      <w:pPr>
        <w:spacing w:line="56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朝阳检察院部</w:t>
      </w:r>
      <w:proofErr w:type="gramStart"/>
      <w:r>
        <w:rPr>
          <w:rFonts w:ascii="仿宋_GB2312" w:eastAsia="仿宋_GB2312" w:hAnsi="楷体" w:hint="eastAsia"/>
          <w:bCs/>
          <w:kern w:val="0"/>
          <w:sz w:val="32"/>
          <w:szCs w:val="28"/>
        </w:rPr>
        <w:t>门整体</w:t>
      </w:r>
      <w:proofErr w:type="gramEnd"/>
      <w:r>
        <w:rPr>
          <w:rFonts w:ascii="仿宋_GB2312" w:eastAsia="仿宋_GB2312" w:hAnsi="楷体" w:hint="eastAsia"/>
          <w:bCs/>
          <w:kern w:val="0"/>
          <w:sz w:val="32"/>
          <w:szCs w:val="28"/>
        </w:rPr>
        <w:t>支出绩效目标是依据《北京市检察机关内设机构改革方案》确定的机构设置及主要职责，结合《北京市朝阳区人民检察院关于2024年全市检察长会议部署重点任务的分工方案》，反映朝阳检察院使用2024年度预算资金在当年履职中预期达到的总体产出和效果。</w:t>
      </w:r>
    </w:p>
    <w:p w:rsidR="00255F6D" w:rsidRDefault="00661926" w:rsidP="001540AE">
      <w:pPr>
        <w:spacing w:line="560" w:lineRule="exact"/>
        <w:ind w:firstLineChars="200" w:firstLine="643"/>
        <w:rPr>
          <w:rFonts w:ascii="仿宋_GB2312" w:eastAsia="仿宋_GB2312" w:hAnsi="楷体"/>
          <w:bCs/>
          <w:kern w:val="0"/>
          <w:sz w:val="32"/>
          <w:szCs w:val="28"/>
        </w:rPr>
      </w:pPr>
      <w:r>
        <w:rPr>
          <w:rFonts w:ascii="仿宋_GB2312" w:eastAsia="仿宋_GB2312" w:hAnsi="楷体" w:hint="eastAsia"/>
          <w:b/>
          <w:kern w:val="0"/>
          <w:sz w:val="32"/>
          <w:szCs w:val="28"/>
        </w:rPr>
        <w:t>整体绩效目标</w:t>
      </w:r>
      <w:r>
        <w:rPr>
          <w:rFonts w:ascii="仿宋_GB2312" w:eastAsia="仿宋_GB2312" w:hAnsi="楷体" w:hint="eastAsia"/>
          <w:bCs/>
          <w:kern w:val="0"/>
          <w:sz w:val="32"/>
          <w:szCs w:val="28"/>
        </w:rPr>
        <w:t>：朝阳检察院作为法律监督机关，依法独立行使检察权。通过2024年度预算资金投入，保障全年办公办案的正常运转，保障各项检察业务有序开展，围绕中心工作履行检察职能，维护首都工作大局，维护社会稳定，强化法律监督，维护公平正义。</w:t>
      </w:r>
    </w:p>
    <w:p w:rsidR="00255F6D" w:rsidRDefault="00661926" w:rsidP="001540AE">
      <w:pPr>
        <w:pStyle w:val="20"/>
        <w:adjustRightInd w:val="0"/>
        <w:snapToGrid w:val="0"/>
        <w:spacing w:after="0" w:line="560" w:lineRule="exact"/>
        <w:ind w:firstLine="643"/>
        <w:rPr>
          <w:rFonts w:ascii="Times New Roman" w:hAnsi="Times New Roman" w:cs="Times New Roman"/>
          <w:kern w:val="2"/>
          <w:szCs w:val="32"/>
        </w:rPr>
      </w:pPr>
      <w:r>
        <w:rPr>
          <w:rFonts w:ascii="仿宋_GB2312" w:hAnsi="楷体" w:hint="eastAsia"/>
          <w:b/>
          <w:kern w:val="0"/>
          <w:szCs w:val="28"/>
        </w:rPr>
        <w:lastRenderedPageBreak/>
        <w:t>绩效指标：</w:t>
      </w:r>
      <w:r>
        <w:rPr>
          <w:rFonts w:ascii="Times New Roman" w:hAnsi="Times New Roman" w:cs="Times New Roman" w:hint="eastAsia"/>
          <w:kern w:val="2"/>
          <w:szCs w:val="32"/>
        </w:rPr>
        <w:t>围绕中心工作履行检察职能，维护首都工作大局，维护社会安全稳定，强化法律监督，维护公平正义；坚持以人民为中心，不断增强人民群众获得感幸福感安全感，把保护人民生命财产安全摆在首位，严厉打击“盗抢骗”“黄赌毒”“危害食品药品安全”等发生在群众身边的犯罪；努力提升法律监督质量和效果，推动“四大检察”全面协调充分发展。加强革命化、正规化、专业化、职业化建设，努力打造一支让党放心，让人民群众满意的高素质检察队伍；坚持维护国家安全和社会安宁，创造和谐稳定的社会环境，树牢总体国家安全观，依法打击危害国家安全和社会稳定的各类犯罪，维护核心区绝对安全；保障核心业务管理系统等应用系统和主机环境稳定运行，全院局域网稳定运行，确保核心数据安全，保障检察工作顺利开展</w:t>
      </w:r>
      <w:bookmarkStart w:id="5" w:name="_Toc3471"/>
      <w:r>
        <w:rPr>
          <w:rFonts w:ascii="Times New Roman" w:hAnsi="Times New Roman" w:cs="Times New Roman" w:hint="eastAsia"/>
          <w:kern w:val="2"/>
          <w:szCs w:val="32"/>
        </w:rPr>
        <w:t>；</w:t>
      </w:r>
      <w:r>
        <w:rPr>
          <w:rFonts w:ascii="Times New Roman" w:hAnsi="Times New Roman" w:cs="Times New Roman"/>
          <w:kern w:val="2"/>
          <w:szCs w:val="32"/>
        </w:rPr>
        <w:t>保障履行检察职能所需检察业务技术装备、综合保障装备等。</w:t>
      </w:r>
    </w:p>
    <w:p w:rsidR="00255F6D" w:rsidRDefault="00661926" w:rsidP="002B2D47">
      <w:pPr>
        <w:spacing w:beforeLines="50" w:afterLines="50" w:line="560" w:lineRule="exact"/>
        <w:ind w:firstLineChars="200" w:firstLine="640"/>
        <w:outlineLvl w:val="0"/>
        <w:rPr>
          <w:rFonts w:ascii="黑体" w:eastAsia="黑体" w:hAnsi="黑体" w:cs="宋体"/>
          <w:kern w:val="0"/>
          <w:sz w:val="32"/>
          <w:szCs w:val="32"/>
        </w:rPr>
      </w:pPr>
      <w:r>
        <w:rPr>
          <w:rFonts w:ascii="黑体" w:eastAsia="黑体" w:hAnsi="黑体" w:cs="宋体" w:hint="eastAsia"/>
          <w:kern w:val="0"/>
          <w:sz w:val="32"/>
          <w:szCs w:val="32"/>
        </w:rPr>
        <w:t>二</w:t>
      </w:r>
      <w:r>
        <w:rPr>
          <w:rFonts w:ascii="黑体" w:eastAsia="黑体" w:hAnsi="黑体" w:cs="宋体"/>
          <w:kern w:val="0"/>
          <w:sz w:val="32"/>
          <w:szCs w:val="32"/>
        </w:rPr>
        <w:t>、</w:t>
      </w:r>
      <w:r>
        <w:rPr>
          <w:rFonts w:ascii="黑体" w:eastAsia="黑体" w:hAnsi="黑体" w:cs="宋体" w:hint="eastAsia"/>
          <w:kern w:val="0"/>
          <w:sz w:val="32"/>
          <w:szCs w:val="32"/>
        </w:rPr>
        <w:t>当年预算</w:t>
      </w:r>
      <w:r>
        <w:rPr>
          <w:rFonts w:ascii="黑体" w:eastAsia="黑体" w:hAnsi="黑体" w:cs="宋体"/>
          <w:kern w:val="0"/>
          <w:sz w:val="32"/>
          <w:szCs w:val="32"/>
        </w:rPr>
        <w:t>执行情况</w:t>
      </w:r>
      <w:bookmarkEnd w:id="5"/>
    </w:p>
    <w:p w:rsidR="00255F6D" w:rsidRDefault="00661926" w:rsidP="002B2D47">
      <w:pPr>
        <w:spacing w:beforeLines="100" w:line="580" w:lineRule="exact"/>
        <w:ind w:firstLineChars="200" w:firstLine="640"/>
        <w:rPr>
          <w:rFonts w:ascii="仿宋_GB2312" w:eastAsia="仿宋_GB2312" w:hAnsi="楷体"/>
          <w:bCs/>
          <w:kern w:val="0"/>
          <w:sz w:val="32"/>
          <w:szCs w:val="28"/>
        </w:rPr>
      </w:pPr>
      <w:r>
        <w:rPr>
          <w:rFonts w:ascii="仿宋_GB2312" w:eastAsia="仿宋_GB2312" w:hAnsi="楷体" w:hint="eastAsia"/>
          <w:bCs/>
          <w:kern w:val="0"/>
          <w:sz w:val="32"/>
          <w:szCs w:val="28"/>
        </w:rPr>
        <w:t>2024年全年预算数为</w:t>
      </w:r>
      <w:r>
        <w:rPr>
          <w:rFonts w:ascii="仿宋_GB2312" w:eastAsia="仿宋_GB2312" w:hAnsi="仿宋" w:hint="eastAsia"/>
          <w:sz w:val="32"/>
          <w:szCs w:val="32"/>
        </w:rPr>
        <w:t>18843.54万元</w:t>
      </w:r>
      <w:r>
        <w:rPr>
          <w:rFonts w:ascii="仿宋_GB2312" w:eastAsia="仿宋_GB2312" w:hAnsi="楷体" w:hint="eastAsia"/>
          <w:bCs/>
          <w:kern w:val="0"/>
          <w:sz w:val="32"/>
          <w:szCs w:val="28"/>
        </w:rPr>
        <w:t>，其中，基本支出预算数</w:t>
      </w:r>
      <w:r>
        <w:rPr>
          <w:rFonts w:ascii="仿宋_GB2312" w:eastAsia="仿宋_GB2312" w:hAnsi="仿宋" w:hint="eastAsia"/>
          <w:sz w:val="32"/>
          <w:szCs w:val="32"/>
        </w:rPr>
        <w:t>14766.81</w:t>
      </w:r>
      <w:r>
        <w:rPr>
          <w:rFonts w:ascii="仿宋_GB2312" w:eastAsia="仿宋_GB2312" w:hAnsi="楷体" w:hint="eastAsia"/>
          <w:bCs/>
          <w:kern w:val="0"/>
          <w:sz w:val="32"/>
          <w:szCs w:val="28"/>
        </w:rPr>
        <w:t>万元，项目支出预算数</w:t>
      </w:r>
      <w:r>
        <w:rPr>
          <w:rFonts w:ascii="仿宋_GB2312" w:eastAsia="仿宋_GB2312" w:hAnsi="仿宋" w:hint="eastAsia"/>
          <w:sz w:val="32"/>
          <w:szCs w:val="32"/>
        </w:rPr>
        <w:t>4076.73</w:t>
      </w:r>
      <w:r>
        <w:rPr>
          <w:rFonts w:ascii="仿宋_GB2312" w:eastAsia="仿宋_GB2312" w:hAnsi="楷体" w:hint="eastAsia"/>
          <w:bCs/>
          <w:kern w:val="0"/>
          <w:sz w:val="32"/>
          <w:szCs w:val="28"/>
        </w:rPr>
        <w:t>万元，其他支出预算数0.00万元。资金总体支出18259.82</w:t>
      </w:r>
      <w:r>
        <w:rPr>
          <w:rFonts w:ascii="仿宋_GB2312" w:eastAsia="仿宋_GB2312" w:hAnsi="仿宋" w:hint="eastAsia"/>
          <w:sz w:val="32"/>
          <w:szCs w:val="32"/>
        </w:rPr>
        <w:t>万元</w:t>
      </w:r>
      <w:r>
        <w:rPr>
          <w:rFonts w:ascii="仿宋_GB2312" w:eastAsia="仿宋_GB2312" w:hAnsi="楷体" w:hint="eastAsia"/>
          <w:bCs/>
          <w:kern w:val="0"/>
          <w:sz w:val="32"/>
          <w:szCs w:val="28"/>
        </w:rPr>
        <w:t>，其中，基本支出14487.76</w:t>
      </w:r>
      <w:r>
        <w:rPr>
          <w:rFonts w:ascii="仿宋_GB2312" w:eastAsia="仿宋_GB2312" w:hAnsi="仿宋" w:hint="eastAsia"/>
          <w:sz w:val="32"/>
          <w:szCs w:val="32"/>
        </w:rPr>
        <w:t>万元</w:t>
      </w:r>
      <w:r>
        <w:rPr>
          <w:rFonts w:ascii="仿宋_GB2312" w:eastAsia="仿宋_GB2312" w:hAnsi="楷体" w:hint="eastAsia"/>
          <w:bCs/>
          <w:kern w:val="0"/>
          <w:sz w:val="32"/>
          <w:szCs w:val="28"/>
        </w:rPr>
        <w:t>，项目支出3772.05</w:t>
      </w:r>
      <w:r>
        <w:rPr>
          <w:rFonts w:ascii="仿宋_GB2312" w:eastAsia="仿宋_GB2312" w:hAnsi="仿宋" w:hint="eastAsia"/>
          <w:sz w:val="32"/>
          <w:szCs w:val="32"/>
        </w:rPr>
        <w:t>万元</w:t>
      </w:r>
      <w:r>
        <w:rPr>
          <w:rFonts w:ascii="仿宋_GB2312" w:eastAsia="仿宋_GB2312" w:hAnsi="楷体" w:hint="eastAsia"/>
          <w:bCs/>
          <w:kern w:val="0"/>
          <w:sz w:val="32"/>
          <w:szCs w:val="28"/>
        </w:rPr>
        <w:t>，其他支出0.00万元。预算执行率为96.90%。</w:t>
      </w:r>
    </w:p>
    <w:p w:rsidR="00255F6D" w:rsidRDefault="00661926" w:rsidP="002B2D47">
      <w:pPr>
        <w:spacing w:beforeLines="50" w:afterLines="50" w:line="600" w:lineRule="exact"/>
        <w:ind w:firstLineChars="200" w:firstLine="640"/>
        <w:outlineLvl w:val="0"/>
        <w:rPr>
          <w:rFonts w:ascii="黑体" w:eastAsia="黑体" w:hAnsi="黑体" w:cs="宋体"/>
          <w:kern w:val="0"/>
          <w:sz w:val="32"/>
          <w:szCs w:val="32"/>
        </w:rPr>
      </w:pPr>
      <w:bookmarkStart w:id="6" w:name="_Toc25302"/>
      <w:r>
        <w:rPr>
          <w:rFonts w:ascii="黑体" w:eastAsia="黑体" w:hAnsi="黑体" w:cs="宋体" w:hint="eastAsia"/>
          <w:kern w:val="0"/>
          <w:sz w:val="32"/>
          <w:szCs w:val="32"/>
        </w:rPr>
        <w:t>三</w:t>
      </w:r>
      <w:r>
        <w:rPr>
          <w:rFonts w:ascii="黑体" w:eastAsia="黑体" w:hAnsi="黑体" w:cs="宋体"/>
          <w:kern w:val="0"/>
          <w:sz w:val="32"/>
          <w:szCs w:val="32"/>
        </w:rPr>
        <w:t>、整体绩效</w:t>
      </w:r>
      <w:r>
        <w:rPr>
          <w:rFonts w:ascii="黑体" w:eastAsia="黑体" w:hAnsi="黑体" w:cs="宋体" w:hint="eastAsia"/>
          <w:kern w:val="0"/>
          <w:sz w:val="32"/>
          <w:szCs w:val="32"/>
        </w:rPr>
        <w:t>目标</w:t>
      </w:r>
      <w:r>
        <w:rPr>
          <w:rFonts w:ascii="黑体" w:eastAsia="黑体" w:hAnsi="黑体" w:cs="宋体"/>
          <w:kern w:val="0"/>
          <w:sz w:val="32"/>
          <w:szCs w:val="32"/>
        </w:rPr>
        <w:t>实现情况</w:t>
      </w:r>
      <w:bookmarkEnd w:id="6"/>
    </w:p>
    <w:p w:rsidR="00255F6D" w:rsidRDefault="00661926" w:rsidP="00166005">
      <w:pPr>
        <w:spacing w:line="560" w:lineRule="exact"/>
        <w:ind w:firstLineChars="200" w:firstLine="641"/>
        <w:outlineLvl w:val="1"/>
        <w:rPr>
          <w:rFonts w:ascii="楷体_GB2312" w:eastAsia="楷体_GB2312"/>
          <w:b/>
          <w:bCs/>
          <w:sz w:val="32"/>
          <w:szCs w:val="32"/>
        </w:rPr>
      </w:pPr>
      <w:bookmarkStart w:id="7" w:name="_Toc16125"/>
      <w:r>
        <w:rPr>
          <w:rFonts w:ascii="楷体_GB2312" w:eastAsia="楷体_GB2312" w:hint="eastAsia"/>
          <w:b/>
          <w:bCs/>
          <w:sz w:val="32"/>
          <w:szCs w:val="32"/>
        </w:rPr>
        <w:t>（一）产出完成情况分析</w:t>
      </w:r>
      <w:bookmarkEnd w:id="7"/>
    </w:p>
    <w:p w:rsidR="00255F6D" w:rsidRDefault="00661926">
      <w:pPr>
        <w:spacing w:line="560" w:lineRule="exact"/>
        <w:ind w:firstLineChars="200" w:firstLine="640"/>
        <w:outlineLvl w:val="2"/>
        <w:rPr>
          <w:rFonts w:ascii="楷体_GB2312" w:eastAsia="楷体_GB2312"/>
          <w:sz w:val="32"/>
          <w:szCs w:val="32"/>
        </w:rPr>
      </w:pPr>
      <w:bookmarkStart w:id="8" w:name="_Toc21706"/>
      <w:r>
        <w:rPr>
          <w:rFonts w:ascii="楷体_GB2312" w:eastAsia="楷体_GB2312" w:hint="eastAsia"/>
          <w:sz w:val="32"/>
          <w:szCs w:val="32"/>
        </w:rPr>
        <w:t>1.产出数量</w:t>
      </w:r>
      <w:bookmarkEnd w:id="8"/>
    </w:p>
    <w:p w:rsidR="00255F6D" w:rsidRDefault="00661926">
      <w:pPr>
        <w:suppressAutoHyphens/>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）全年</w:t>
      </w:r>
      <w:r>
        <w:rPr>
          <w:rFonts w:ascii="Times New Roman" w:eastAsia="仿宋_GB2312" w:hAnsi="Times New Roman" w:cs="仿宋_GB2312" w:hint="eastAsia"/>
          <w:color w:val="000000"/>
          <w:sz w:val="32"/>
          <w:szCs w:val="32"/>
        </w:rPr>
        <w:t>共办理</w:t>
      </w:r>
      <w:r>
        <w:rPr>
          <w:rFonts w:ascii="仿宋_GB2312" w:eastAsia="仿宋_GB2312" w:hAnsi="仿宋_GB2312" w:cs="仿宋_GB2312" w:hint="eastAsia"/>
          <w:sz w:val="32"/>
          <w:szCs w:val="32"/>
        </w:rPr>
        <w:t>刑事、民事、行政、公益诉讼</w:t>
      </w:r>
      <w:r>
        <w:rPr>
          <w:rFonts w:ascii="Times New Roman" w:eastAsia="仿宋_GB2312" w:hAnsi="Times New Roman" w:cs="仿宋_GB2312" w:hint="eastAsia"/>
          <w:color w:val="000000"/>
          <w:sz w:val="32"/>
          <w:szCs w:val="32"/>
        </w:rPr>
        <w:t>四大检察案件</w:t>
      </w:r>
      <w:r>
        <w:rPr>
          <w:rFonts w:ascii="Times New Roman" w:eastAsia="仿宋_GB2312" w:hAnsi="Times New Roman" w:cs="仿宋_GB2312" w:hint="eastAsia"/>
          <w:color w:val="000000"/>
          <w:sz w:val="32"/>
          <w:szCs w:val="32"/>
        </w:rPr>
        <w:t>16445</w:t>
      </w:r>
      <w:r>
        <w:rPr>
          <w:rFonts w:ascii="Times New Roman" w:eastAsia="仿宋_GB2312" w:hAnsi="Times New Roman" w:cs="仿宋_GB2312" w:hint="eastAsia"/>
          <w:color w:val="000000"/>
          <w:sz w:val="32"/>
          <w:szCs w:val="32"/>
        </w:rPr>
        <w:t>件，办案量居全市检察机关首位，在高质</w:t>
      </w:r>
      <w:proofErr w:type="gramStart"/>
      <w:r>
        <w:rPr>
          <w:rFonts w:ascii="Times New Roman" w:eastAsia="仿宋_GB2312" w:hAnsi="Times New Roman" w:cs="仿宋_GB2312" w:hint="eastAsia"/>
          <w:color w:val="000000"/>
          <w:sz w:val="32"/>
          <w:szCs w:val="32"/>
        </w:rPr>
        <w:t>效</w:t>
      </w:r>
      <w:proofErr w:type="gramEnd"/>
      <w:r>
        <w:rPr>
          <w:rFonts w:ascii="Times New Roman" w:eastAsia="仿宋_GB2312" w:hAnsi="Times New Roman" w:cs="Times New Roman" w:hint="eastAsia"/>
          <w:sz w:val="32"/>
          <w:szCs w:val="32"/>
        </w:rPr>
        <w:t>检察履职中勇担平安朝阳、法治朝阳建设重任。</w:t>
      </w:r>
      <w:r>
        <w:rPr>
          <w:rFonts w:ascii="Times New Roman" w:eastAsia="仿宋_GB2312" w:hAnsi="Times New Roman" w:cs="仿宋_GB2312" w:hint="eastAsia"/>
          <w:sz w:val="32"/>
          <w:szCs w:val="32"/>
        </w:rPr>
        <w:t>维护国家安全方面，</w:t>
      </w:r>
      <w:r>
        <w:rPr>
          <w:rFonts w:ascii="Times New Roman" w:eastAsia="仿宋_GB2312" w:hAnsi="Times New Roman" w:cs="Times New Roman" w:hint="eastAsia"/>
          <w:sz w:val="32"/>
          <w:szCs w:val="32"/>
        </w:rPr>
        <w:t>依法严厉惩处危害国家安全和政治安全犯罪</w:t>
      </w:r>
      <w:r>
        <w:rPr>
          <w:rFonts w:ascii="Times New Roman" w:eastAsia="仿宋_GB2312" w:hAnsi="Times New Roman" w:cs="Times New Roman" w:hint="eastAsia"/>
          <w:sz w:val="32"/>
          <w:szCs w:val="32"/>
        </w:rPr>
        <w:t>36</w:t>
      </w:r>
      <w:r>
        <w:rPr>
          <w:rFonts w:ascii="Times New Roman" w:eastAsia="仿宋_GB2312" w:hAnsi="Times New Roman" w:cs="Times New Roman" w:hint="eastAsia"/>
          <w:sz w:val="32"/>
          <w:szCs w:val="32"/>
        </w:rPr>
        <w:t>件</w:t>
      </w:r>
      <w:r>
        <w:rPr>
          <w:rFonts w:ascii="Times New Roman" w:eastAsia="仿宋_GB2312" w:hAnsi="Times New Roman" w:cs="Times New Roman" w:hint="eastAsia"/>
          <w:sz w:val="32"/>
          <w:szCs w:val="32"/>
        </w:rPr>
        <w:t>52</w:t>
      </w:r>
      <w:r>
        <w:rPr>
          <w:rFonts w:ascii="Times New Roman" w:eastAsia="仿宋_GB2312" w:hAnsi="Times New Roman" w:cs="Times New Roman" w:hint="eastAsia"/>
          <w:sz w:val="32"/>
          <w:szCs w:val="32"/>
        </w:rPr>
        <w:t>人，妥善办理“</w:t>
      </w:r>
      <w:r>
        <w:rPr>
          <w:rFonts w:ascii="Times New Roman" w:eastAsia="仿宋_GB2312" w:hAnsi="Times New Roman" w:cs="Times New Roman" w:hint="eastAsia"/>
          <w:sz w:val="32"/>
          <w:szCs w:val="32"/>
        </w:rPr>
        <w:t>7.25</w:t>
      </w:r>
      <w:r>
        <w:rPr>
          <w:rFonts w:ascii="Times New Roman" w:eastAsia="仿宋_GB2312" w:hAnsi="Times New Roman" w:cs="Times New Roman" w:hint="eastAsia"/>
          <w:sz w:val="32"/>
          <w:szCs w:val="32"/>
        </w:rPr>
        <w:t>”跨国组织卖淫案、涉及百余名被害人的出国务工诈骗案等案件；维护国防安全方面，军地检察合力开展人防工程专项监督，助力行政机关督促相关企业缴纳违规改造人防工程补偿款</w:t>
      </w:r>
      <w:r>
        <w:rPr>
          <w:rFonts w:ascii="Times New Roman" w:eastAsia="仿宋_GB2312" w:hAnsi="Times New Roman" w:cs="Times New Roman"/>
          <w:sz w:val="32"/>
          <w:szCs w:val="32"/>
        </w:rPr>
        <w:t>人民币</w:t>
      </w:r>
      <w:r>
        <w:rPr>
          <w:rFonts w:ascii="Times New Roman" w:eastAsia="仿宋_GB2312" w:hAnsi="Times New Roman" w:cs="Times New Roman" w:hint="eastAsia"/>
          <w:sz w:val="32"/>
          <w:szCs w:val="32"/>
        </w:rPr>
        <w:t>763.7</w:t>
      </w:r>
      <w:r>
        <w:rPr>
          <w:rFonts w:ascii="Times New Roman" w:eastAsia="仿宋_GB2312" w:hAnsi="Times New Roman" w:cs="Times New Roman" w:hint="eastAsia"/>
          <w:sz w:val="32"/>
          <w:szCs w:val="32"/>
        </w:rPr>
        <w:t>万元；依法办理涉外刑事案件</w:t>
      </w:r>
      <w:r>
        <w:rPr>
          <w:rFonts w:ascii="Times New Roman" w:eastAsia="仿宋_GB2312" w:hAnsi="Times New Roman" w:cs="Times New Roman" w:hint="eastAsia"/>
          <w:color w:val="000000"/>
          <w:sz w:val="32"/>
          <w:szCs w:val="32"/>
        </w:rPr>
        <w:t>48</w:t>
      </w:r>
      <w:r>
        <w:rPr>
          <w:rFonts w:ascii="Times New Roman" w:eastAsia="仿宋_GB2312" w:hAnsi="Times New Roman" w:cs="Times New Roman" w:hint="eastAsia"/>
          <w:color w:val="000000"/>
          <w:sz w:val="32"/>
          <w:szCs w:val="32"/>
        </w:rPr>
        <w:t>件</w:t>
      </w:r>
      <w:r>
        <w:rPr>
          <w:rFonts w:ascii="Times New Roman" w:eastAsia="仿宋_GB2312" w:hAnsi="Times New Roman" w:cs="Times New Roman" w:hint="eastAsia"/>
          <w:color w:val="000000"/>
          <w:sz w:val="32"/>
          <w:szCs w:val="32"/>
        </w:rPr>
        <w:t>75</w:t>
      </w:r>
      <w:r>
        <w:rPr>
          <w:rFonts w:ascii="Times New Roman" w:eastAsia="仿宋_GB2312" w:hAnsi="Times New Roman" w:cs="仿宋_GB2312"/>
          <w:sz w:val="32"/>
          <w:szCs w:val="32"/>
        </w:rPr>
        <w:t>人</w:t>
      </w:r>
      <w:r>
        <w:rPr>
          <w:rFonts w:ascii="Times New Roman" w:eastAsia="仿宋_GB2312" w:hAnsi="Times New Roman" w:cs="仿宋_GB2312" w:hint="eastAsia"/>
          <w:sz w:val="32"/>
          <w:szCs w:val="32"/>
        </w:rPr>
        <w:t>，</w:t>
      </w:r>
      <w:r>
        <w:rPr>
          <w:rFonts w:ascii="Times New Roman" w:eastAsia="仿宋_GB2312" w:hAnsi="Times New Roman" w:cs="Times New Roman" w:hint="eastAsia"/>
          <w:sz w:val="32"/>
          <w:szCs w:val="32"/>
        </w:rPr>
        <w:t>发布《涉外检察白皮书》</w:t>
      </w:r>
      <w:r>
        <w:rPr>
          <w:rFonts w:ascii="Times New Roman" w:eastAsia="仿宋_GB2312" w:hAnsi="Times New Roman" w:hint="eastAsia"/>
          <w:sz w:val="32"/>
          <w:szCs w:val="32"/>
        </w:rPr>
        <w:t>（第五辑）。守护社会安定方面，</w:t>
      </w:r>
      <w:r>
        <w:rPr>
          <w:rFonts w:ascii="Times New Roman" w:eastAsia="仿宋_GB2312" w:hAnsi="Times New Roman" w:cs="Times New Roman" w:hint="eastAsia"/>
          <w:color w:val="000000"/>
          <w:sz w:val="32"/>
          <w:szCs w:val="32"/>
        </w:rPr>
        <w:t>依法妥善办理放火、危险作业等危害公共安全犯罪案件</w:t>
      </w:r>
      <w:r>
        <w:rPr>
          <w:rFonts w:ascii="Times New Roman" w:eastAsia="仿宋_GB2312" w:hAnsi="Times New Roman" w:cs="Times New Roman" w:hint="eastAsia"/>
          <w:color w:val="000000"/>
          <w:sz w:val="32"/>
          <w:szCs w:val="32"/>
        </w:rPr>
        <w:t>22</w:t>
      </w:r>
      <w:r>
        <w:rPr>
          <w:rFonts w:ascii="Times New Roman" w:eastAsia="仿宋_GB2312" w:hAnsi="Times New Roman" w:cs="Times New Roman" w:hint="eastAsia"/>
          <w:color w:val="000000"/>
          <w:sz w:val="32"/>
          <w:szCs w:val="32"/>
        </w:rPr>
        <w:t>件</w:t>
      </w:r>
      <w:r>
        <w:rPr>
          <w:rFonts w:ascii="Times New Roman" w:eastAsia="仿宋_GB2312" w:hAnsi="Times New Roman" w:cs="Times New Roman" w:hint="eastAsia"/>
          <w:color w:val="000000"/>
          <w:sz w:val="32"/>
          <w:szCs w:val="32"/>
        </w:rPr>
        <w:t>22</w:t>
      </w:r>
      <w:r>
        <w:rPr>
          <w:rFonts w:ascii="Times New Roman" w:eastAsia="仿宋_GB2312" w:hAnsi="Times New Roman" w:cs="Times New Roman" w:hint="eastAsia"/>
          <w:color w:val="000000"/>
          <w:sz w:val="32"/>
          <w:szCs w:val="32"/>
        </w:rPr>
        <w:t>人，</w:t>
      </w:r>
      <w:r>
        <w:rPr>
          <w:rFonts w:ascii="Times New Roman" w:eastAsia="仿宋_GB2312" w:hAnsi="Times New Roman" w:hint="eastAsia"/>
          <w:color w:val="000000"/>
          <w:sz w:val="32"/>
          <w:szCs w:val="32"/>
        </w:rPr>
        <w:t>深入</w:t>
      </w:r>
      <w:r>
        <w:rPr>
          <w:rFonts w:ascii="Times New Roman" w:eastAsia="仿宋_GB2312" w:hAnsi="Times New Roman" w:cs="Times New Roman" w:hint="eastAsia"/>
          <w:color w:val="000000"/>
          <w:sz w:val="32"/>
          <w:szCs w:val="32"/>
        </w:rPr>
        <w:t>探索</w:t>
      </w:r>
      <w:r w:rsidR="00166005">
        <w:rPr>
          <w:rFonts w:ascii="Times New Roman" w:eastAsia="仿宋_GB2312" w:hAnsi="Times New Roman" w:cs="Times New Roman" w:hint="eastAsia"/>
          <w:color w:val="000000"/>
          <w:sz w:val="32"/>
          <w:szCs w:val="32"/>
        </w:rPr>
        <w:t>常见多发犯罪</w:t>
      </w:r>
      <w:r>
        <w:rPr>
          <w:rFonts w:ascii="Times New Roman" w:eastAsia="仿宋_GB2312" w:hAnsi="Times New Roman" w:cs="Times New Roman" w:hint="eastAsia"/>
          <w:color w:val="000000"/>
          <w:sz w:val="32"/>
          <w:szCs w:val="32"/>
        </w:rPr>
        <w:t>治理朝阳实践，全面</w:t>
      </w:r>
      <w:proofErr w:type="gramStart"/>
      <w:r>
        <w:rPr>
          <w:rFonts w:ascii="Times New Roman" w:eastAsia="仿宋_GB2312" w:hAnsi="Times New Roman" w:cs="Times New Roman" w:hint="eastAsia"/>
          <w:color w:val="000000"/>
          <w:sz w:val="32"/>
          <w:szCs w:val="32"/>
        </w:rPr>
        <w:t>准确落实</w:t>
      </w:r>
      <w:proofErr w:type="gramEnd"/>
      <w:r>
        <w:rPr>
          <w:rFonts w:ascii="Times New Roman" w:eastAsia="仿宋_GB2312" w:hAnsi="Times New Roman" w:cs="Times New Roman" w:hint="eastAsia"/>
          <w:color w:val="000000"/>
          <w:sz w:val="32"/>
          <w:szCs w:val="32"/>
        </w:rPr>
        <w:t>宽严相济刑事政策，认罪认罚适用率为</w:t>
      </w:r>
      <w:r>
        <w:rPr>
          <w:rFonts w:ascii="Times New Roman" w:eastAsia="仿宋_GB2312" w:hAnsi="Times New Roman" w:cs="Times New Roman" w:hint="eastAsia"/>
          <w:sz w:val="32"/>
          <w:szCs w:val="32"/>
        </w:rPr>
        <w:t>86.67</w:t>
      </w: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；助力基层治理现代化建设，制发社会治理检察建议</w:t>
      </w:r>
      <w:r>
        <w:rPr>
          <w:rFonts w:ascii="Times New Roman" w:eastAsia="仿宋_GB2312" w:hAnsi="Times New Roman" w:cs="Times New Roman" w:hint="eastAsia"/>
          <w:color w:val="000000"/>
          <w:sz w:val="32"/>
          <w:szCs w:val="32"/>
        </w:rPr>
        <w:t>146</w:t>
      </w:r>
      <w:r>
        <w:rPr>
          <w:rFonts w:ascii="Times New Roman" w:eastAsia="仿宋_GB2312" w:hAnsi="Times New Roman" w:cs="Times New Roman" w:hint="eastAsia"/>
          <w:color w:val="000000"/>
          <w:sz w:val="32"/>
          <w:szCs w:val="32"/>
        </w:rPr>
        <w:t>份。保护人民安宁方面，</w:t>
      </w:r>
      <w:r>
        <w:rPr>
          <w:rFonts w:ascii="Times New Roman" w:eastAsia="仿宋_GB2312" w:hAnsi="Times New Roman" w:cs="Times New Roman" w:hint="eastAsia"/>
          <w:sz w:val="32"/>
          <w:szCs w:val="32"/>
        </w:rPr>
        <w:t>依法从严惩治抢劫、强奸等严重暴力犯罪案件</w:t>
      </w:r>
      <w:r>
        <w:rPr>
          <w:rFonts w:ascii="Times New Roman" w:eastAsia="仿宋_GB2312" w:hAnsi="Times New Roman" w:cs="Times New Roman" w:hint="eastAsia"/>
          <w:sz w:val="32"/>
          <w:szCs w:val="32"/>
        </w:rPr>
        <w:t>252</w:t>
      </w:r>
      <w:r>
        <w:rPr>
          <w:rFonts w:ascii="Times New Roman" w:eastAsia="仿宋_GB2312" w:hAnsi="Times New Roman" w:cs="Times New Roman" w:hint="eastAsia"/>
          <w:sz w:val="32"/>
          <w:szCs w:val="32"/>
        </w:rPr>
        <w:t>件</w:t>
      </w:r>
      <w:r>
        <w:rPr>
          <w:rFonts w:ascii="Times New Roman" w:eastAsia="仿宋_GB2312" w:hAnsi="Times New Roman" w:cs="Times New Roman" w:hint="eastAsia"/>
          <w:sz w:val="32"/>
          <w:szCs w:val="32"/>
        </w:rPr>
        <w:t>266</w:t>
      </w:r>
      <w:r>
        <w:rPr>
          <w:rFonts w:ascii="Times New Roman" w:eastAsia="仿宋_GB2312" w:hAnsi="Times New Roman" w:cs="Times New Roman" w:hint="eastAsia"/>
          <w:sz w:val="32"/>
          <w:szCs w:val="32"/>
        </w:rPr>
        <w:t>人，办理毒品类案件</w:t>
      </w:r>
      <w:r>
        <w:rPr>
          <w:rFonts w:ascii="Times New Roman" w:eastAsia="仿宋_GB2312" w:hAnsi="Times New Roman" w:cs="Times New Roman" w:hint="eastAsia"/>
          <w:sz w:val="32"/>
          <w:szCs w:val="32"/>
        </w:rPr>
        <w:t>46</w:t>
      </w:r>
      <w:r>
        <w:rPr>
          <w:rFonts w:ascii="Times New Roman" w:eastAsia="仿宋_GB2312" w:hAnsi="Times New Roman" w:cs="Times New Roman" w:hint="eastAsia"/>
          <w:sz w:val="32"/>
          <w:szCs w:val="32"/>
        </w:rPr>
        <w:t>件</w:t>
      </w:r>
      <w:r>
        <w:rPr>
          <w:rFonts w:ascii="Times New Roman" w:eastAsia="仿宋_GB2312" w:hAnsi="Times New Roman" w:cs="Times New Roman" w:hint="eastAsia"/>
          <w:sz w:val="32"/>
          <w:szCs w:val="32"/>
        </w:rPr>
        <w:t>51</w:t>
      </w:r>
      <w:r>
        <w:rPr>
          <w:rFonts w:ascii="Times New Roman" w:eastAsia="仿宋_GB2312" w:hAnsi="Times New Roman" w:cs="Times New Roman" w:hint="eastAsia"/>
          <w:sz w:val="32"/>
          <w:szCs w:val="32"/>
        </w:rPr>
        <w:t>人；维护“舌尖上的安全”方面，依法办理生产、销售有毒、有害食品等犯罪案件</w:t>
      </w:r>
      <w:r>
        <w:rPr>
          <w:rFonts w:ascii="Times New Roman" w:eastAsia="仿宋_GB2312" w:hAnsi="Times New Roman" w:cs="Times New Roman" w:hint="eastAsia"/>
          <w:sz w:val="32"/>
          <w:szCs w:val="32"/>
        </w:rPr>
        <w:t>37</w:t>
      </w:r>
      <w:r>
        <w:rPr>
          <w:rFonts w:ascii="Times New Roman" w:eastAsia="仿宋_GB2312" w:hAnsi="Times New Roman" w:cs="Times New Roman" w:hint="eastAsia"/>
          <w:sz w:val="32"/>
          <w:szCs w:val="32"/>
        </w:rPr>
        <w:t>件</w:t>
      </w:r>
      <w:r>
        <w:rPr>
          <w:rFonts w:ascii="Times New Roman" w:eastAsia="仿宋_GB2312" w:hAnsi="Times New Roman" w:cs="Times New Roman" w:hint="eastAsia"/>
          <w:sz w:val="32"/>
          <w:szCs w:val="32"/>
        </w:rPr>
        <w:t>69</w:t>
      </w:r>
      <w:r>
        <w:rPr>
          <w:rFonts w:ascii="Times New Roman" w:eastAsia="仿宋_GB2312" w:hAnsi="Times New Roman" w:cs="Times New Roman" w:hint="eastAsia"/>
          <w:sz w:val="32"/>
          <w:szCs w:val="32"/>
        </w:rPr>
        <w:t>人；共护“网络清朗”，办理网络犯罪案件</w:t>
      </w:r>
      <w:r>
        <w:rPr>
          <w:rFonts w:ascii="Times New Roman" w:eastAsia="仿宋_GB2312" w:hAnsi="Times New Roman" w:cs="Times New Roman"/>
          <w:color w:val="000000"/>
          <w:sz w:val="32"/>
          <w:szCs w:val="32"/>
        </w:rPr>
        <w:t>364</w:t>
      </w:r>
      <w:r>
        <w:rPr>
          <w:rFonts w:ascii="Times New Roman" w:eastAsia="仿宋_GB2312" w:hAnsi="Times New Roman" w:cs="Times New Roman" w:hint="eastAsia"/>
          <w:color w:val="000000"/>
          <w:sz w:val="32"/>
          <w:szCs w:val="32"/>
        </w:rPr>
        <w:t>件</w:t>
      </w:r>
      <w:r>
        <w:rPr>
          <w:rFonts w:ascii="Times New Roman" w:eastAsia="仿宋_GB2312" w:hAnsi="Times New Roman" w:cs="Times New Roman"/>
          <w:color w:val="000000"/>
          <w:sz w:val="32"/>
          <w:szCs w:val="32"/>
        </w:rPr>
        <w:t>482</w:t>
      </w:r>
      <w:r>
        <w:rPr>
          <w:rFonts w:ascii="Times New Roman" w:eastAsia="仿宋_GB2312" w:hAnsi="Times New Roman" w:cs="Times New Roman" w:hint="eastAsia"/>
          <w:color w:val="000000"/>
          <w:sz w:val="32"/>
          <w:szCs w:val="32"/>
        </w:rPr>
        <w:t>人。打击腐败犯罪方面，</w:t>
      </w:r>
      <w:r>
        <w:rPr>
          <w:rFonts w:ascii="Times New Roman" w:eastAsia="仿宋_GB2312" w:hAnsi="Times New Roman" w:cs="Times New Roman" w:hint="eastAsia"/>
          <w:sz w:val="32"/>
          <w:szCs w:val="32"/>
        </w:rPr>
        <w:t>依法</w:t>
      </w:r>
      <w:r>
        <w:rPr>
          <w:rFonts w:ascii="Times New Roman" w:eastAsia="仿宋_GB2312" w:hAnsi="Times New Roman" w:cs="Times New Roman"/>
          <w:sz w:val="32"/>
          <w:szCs w:val="32"/>
        </w:rPr>
        <w:t>办理</w:t>
      </w:r>
      <w:r>
        <w:rPr>
          <w:rFonts w:ascii="Times New Roman" w:eastAsia="仿宋_GB2312" w:hAnsi="Times New Roman" w:cs="Times New Roman" w:hint="eastAsia"/>
          <w:sz w:val="32"/>
          <w:szCs w:val="32"/>
        </w:rPr>
        <w:t>职务犯罪案件</w:t>
      </w:r>
      <w:r>
        <w:rPr>
          <w:rFonts w:ascii="Times New Roman" w:eastAsia="仿宋_GB2312" w:hAnsi="Times New Roman" w:cs="Times New Roman" w:hint="eastAsia"/>
          <w:color w:val="000000"/>
          <w:sz w:val="32"/>
          <w:szCs w:val="32"/>
        </w:rPr>
        <w:t>53</w:t>
      </w:r>
      <w:r>
        <w:rPr>
          <w:rFonts w:ascii="Times New Roman" w:eastAsia="仿宋_GB2312" w:hAnsi="Times New Roman" w:cs="Times New Roman" w:hint="eastAsia"/>
          <w:color w:val="000000"/>
          <w:sz w:val="32"/>
          <w:szCs w:val="32"/>
        </w:rPr>
        <w:t>件</w:t>
      </w:r>
      <w:r>
        <w:rPr>
          <w:rFonts w:ascii="Times New Roman" w:eastAsia="仿宋_GB2312" w:hAnsi="Times New Roman" w:cs="Times New Roman" w:hint="eastAsia"/>
          <w:color w:val="000000"/>
          <w:sz w:val="32"/>
          <w:szCs w:val="32"/>
        </w:rPr>
        <w:t>62</w:t>
      </w:r>
      <w:r>
        <w:rPr>
          <w:rFonts w:ascii="Times New Roman" w:eastAsia="仿宋_GB2312" w:hAnsi="Times New Roman" w:cs="仿宋_GB2312"/>
          <w:sz w:val="32"/>
          <w:szCs w:val="32"/>
        </w:rPr>
        <w:t>人</w:t>
      </w:r>
      <w:r>
        <w:rPr>
          <w:rFonts w:ascii="Times New Roman" w:eastAsia="仿宋_GB2312" w:hAnsi="Times New Roman" w:cs="Times New Roman"/>
          <w:sz w:val="32"/>
          <w:szCs w:val="32"/>
        </w:rPr>
        <w:t>，</w:t>
      </w:r>
      <w:proofErr w:type="gramStart"/>
      <w:r>
        <w:rPr>
          <w:rFonts w:ascii="Times New Roman" w:eastAsia="仿宋_GB2312" w:hAnsi="Times New Roman" w:cs="Times New Roman" w:hint="eastAsia"/>
          <w:sz w:val="32"/>
          <w:szCs w:val="32"/>
        </w:rPr>
        <w:t>追赃挽损</w:t>
      </w:r>
      <w:r>
        <w:rPr>
          <w:rFonts w:ascii="Times New Roman" w:eastAsia="仿宋_GB2312" w:hAnsi="Times New Roman" w:cs="Times New Roman"/>
          <w:sz w:val="32"/>
          <w:szCs w:val="32"/>
        </w:rPr>
        <w:t>人民币</w:t>
      </w:r>
      <w:proofErr w:type="gramEnd"/>
      <w:r>
        <w:rPr>
          <w:rFonts w:ascii="Times New Roman" w:eastAsia="仿宋_GB2312" w:hAnsi="Times New Roman" w:cs="Times New Roman" w:hint="eastAsia"/>
          <w:sz w:val="32"/>
          <w:szCs w:val="32"/>
        </w:rPr>
        <w:t>1.64</w:t>
      </w:r>
      <w:r>
        <w:rPr>
          <w:rFonts w:ascii="Times New Roman" w:eastAsia="仿宋_GB2312" w:hAnsi="Times New Roman" w:cs="Times New Roman" w:hint="eastAsia"/>
          <w:sz w:val="32"/>
          <w:szCs w:val="32"/>
        </w:rPr>
        <w:t>亿元；办理涉及医疗、教育等民生重点领域案件</w:t>
      </w:r>
      <w:r>
        <w:rPr>
          <w:rFonts w:ascii="Times New Roman" w:eastAsia="仿宋_GB2312" w:hAnsi="Times New Roman" w:cs="Times New Roman" w:hint="eastAsia"/>
          <w:sz w:val="32"/>
          <w:szCs w:val="32"/>
        </w:rPr>
        <w:t>19</w:t>
      </w:r>
      <w:r>
        <w:rPr>
          <w:rFonts w:ascii="Times New Roman" w:eastAsia="仿宋_GB2312" w:hAnsi="Times New Roman" w:cs="Times New Roman" w:hint="eastAsia"/>
          <w:sz w:val="32"/>
          <w:szCs w:val="32"/>
        </w:rPr>
        <w:t>件</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人；办理行贿犯罪案件</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件；立案侦查徇私枉法犯罪案件</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件</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人。</w:t>
      </w:r>
    </w:p>
    <w:p w:rsidR="00255F6D" w:rsidRDefault="00661926">
      <w:pPr>
        <w:widowControl/>
        <w:suppressAutoHyphens/>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）充分运用法治力量服务构建新发展格局、发展新质生产力，促进朝阳经济社会高质量发展。特色法治服务品牌方面，为</w:t>
      </w:r>
      <w:r>
        <w:rPr>
          <w:rFonts w:ascii="Times New Roman" w:eastAsia="仿宋_GB2312" w:hAnsi="Times New Roman" w:cs="仿宋_GB2312" w:hint="eastAsia"/>
          <w:sz w:val="32"/>
          <w:szCs w:val="32"/>
        </w:rPr>
        <w:t>294</w:t>
      </w:r>
      <w:r>
        <w:rPr>
          <w:rFonts w:ascii="Times New Roman" w:eastAsia="仿宋_GB2312" w:hAnsi="Times New Roman" w:cs="仿宋_GB2312" w:hint="eastAsia"/>
          <w:sz w:val="32"/>
          <w:szCs w:val="32"/>
        </w:rPr>
        <w:t>家企业提供个性化检察服务；深入全区</w:t>
      </w:r>
      <w:r>
        <w:rPr>
          <w:rFonts w:ascii="Times New Roman" w:eastAsia="仿宋_GB2312" w:hAnsi="Times New Roman" w:cs="仿宋_GB2312" w:hint="eastAsia"/>
          <w:sz w:val="32"/>
          <w:szCs w:val="32"/>
        </w:rPr>
        <w:t>112</w:t>
      </w:r>
      <w:r>
        <w:rPr>
          <w:rFonts w:ascii="Times New Roman" w:eastAsia="仿宋_GB2312" w:hAnsi="Times New Roman" w:cs="仿宋_GB2312" w:hint="eastAsia"/>
          <w:sz w:val="32"/>
          <w:szCs w:val="32"/>
        </w:rPr>
        <w:lastRenderedPageBreak/>
        <w:t>所中小学开展各类普法活动</w:t>
      </w:r>
      <w:r>
        <w:rPr>
          <w:rFonts w:ascii="Times New Roman" w:eastAsia="仿宋_GB2312" w:hAnsi="Times New Roman" w:cs="仿宋_GB2312" w:hint="eastAsia"/>
          <w:sz w:val="32"/>
          <w:szCs w:val="32"/>
        </w:rPr>
        <w:t>123</w:t>
      </w:r>
      <w:r>
        <w:rPr>
          <w:rFonts w:ascii="Times New Roman" w:eastAsia="仿宋_GB2312" w:hAnsi="Times New Roman" w:cs="仿宋_GB2312" w:hint="eastAsia"/>
          <w:sz w:val="32"/>
          <w:szCs w:val="32"/>
        </w:rPr>
        <w:t>次；通过“开展一次普法宣传、召开一次座谈会议，联络一次辖区人大代表、解决一个‘急难愁盼’问题、召开一次公开听证”的“</w:t>
      </w:r>
      <w:r>
        <w:rPr>
          <w:rFonts w:ascii="Times New Roman" w:eastAsia="仿宋_GB2312" w:hAnsi="Times New Roman" w:cs="仿宋_GB2312"/>
          <w:sz w:val="32"/>
          <w:szCs w:val="32"/>
        </w:rPr>
        <w:t>五</w:t>
      </w:r>
      <w:r>
        <w:rPr>
          <w:rFonts w:ascii="Times New Roman" w:eastAsia="仿宋_GB2312" w:hAnsi="Times New Roman" w:cs="仿宋_GB2312" w:hint="eastAsia"/>
          <w:sz w:val="32"/>
          <w:szCs w:val="32"/>
        </w:rPr>
        <w:t>个一”机制，做实联络工作</w:t>
      </w:r>
      <w:r>
        <w:rPr>
          <w:rFonts w:ascii="Times New Roman" w:eastAsia="仿宋_GB2312" w:hAnsi="Times New Roman" w:cs="仿宋_GB2312" w:hint="eastAsia"/>
          <w:sz w:val="32"/>
          <w:szCs w:val="32"/>
        </w:rPr>
        <w:t>326</w:t>
      </w:r>
      <w:r>
        <w:rPr>
          <w:rFonts w:ascii="Times New Roman" w:eastAsia="仿宋_GB2312" w:hAnsi="Times New Roman" w:cs="仿宋_GB2312" w:hint="eastAsia"/>
          <w:sz w:val="32"/>
          <w:szCs w:val="32"/>
        </w:rPr>
        <w:t>次。金融安全稳定方面，依法严厉打击各类破坏市场经济秩序犯罪</w:t>
      </w:r>
      <w:r>
        <w:rPr>
          <w:rFonts w:ascii="Times New Roman" w:eastAsia="仿宋_GB2312" w:hAnsi="Times New Roman" w:cs="仿宋_GB2312" w:hint="eastAsia"/>
          <w:sz w:val="32"/>
          <w:szCs w:val="32"/>
        </w:rPr>
        <w:t>814</w:t>
      </w:r>
      <w:r>
        <w:rPr>
          <w:rFonts w:ascii="Times New Roman" w:eastAsia="仿宋_GB2312" w:hAnsi="Times New Roman" w:cs="仿宋_GB2312" w:hint="eastAsia"/>
          <w:sz w:val="32"/>
          <w:szCs w:val="32"/>
        </w:rPr>
        <w:t>件</w:t>
      </w:r>
      <w:r>
        <w:rPr>
          <w:rFonts w:ascii="Times New Roman" w:eastAsia="仿宋_GB2312" w:hAnsi="Times New Roman" w:cs="仿宋_GB2312" w:hint="eastAsia"/>
          <w:sz w:val="32"/>
          <w:szCs w:val="32"/>
        </w:rPr>
        <w:t>2285</w:t>
      </w:r>
      <w:r>
        <w:rPr>
          <w:rFonts w:ascii="Times New Roman" w:eastAsia="仿宋_GB2312" w:hAnsi="Times New Roman" w:cs="仿宋_GB2312" w:hint="eastAsia"/>
          <w:sz w:val="32"/>
          <w:szCs w:val="32"/>
        </w:rPr>
        <w:t>人；</w:t>
      </w:r>
      <w:r>
        <w:rPr>
          <w:rFonts w:ascii="Times New Roman" w:eastAsia="仿宋_GB2312" w:hAnsi="Times New Roman" w:cs="Times New Roman" w:hint="eastAsia"/>
          <w:sz w:val="32"/>
          <w:szCs w:val="32"/>
        </w:rPr>
        <w:t>办理企业内部腐败犯罪案件</w:t>
      </w:r>
      <w:r>
        <w:rPr>
          <w:rFonts w:ascii="Times New Roman" w:eastAsia="仿宋_GB2312" w:hAnsi="Times New Roman" w:hint="eastAsia"/>
          <w:sz w:val="32"/>
          <w:szCs w:val="32"/>
        </w:rPr>
        <w:t>145</w:t>
      </w:r>
      <w:r>
        <w:rPr>
          <w:rFonts w:ascii="Times New Roman" w:eastAsia="仿宋_GB2312" w:hAnsi="Times New Roman" w:hint="eastAsia"/>
          <w:sz w:val="32"/>
          <w:szCs w:val="32"/>
        </w:rPr>
        <w:t>件</w:t>
      </w:r>
      <w:r>
        <w:rPr>
          <w:rFonts w:ascii="Times New Roman" w:eastAsia="仿宋_GB2312" w:hAnsi="Times New Roman" w:hint="eastAsia"/>
          <w:sz w:val="32"/>
          <w:szCs w:val="32"/>
        </w:rPr>
        <w:t>182</w:t>
      </w:r>
      <w:r>
        <w:rPr>
          <w:rFonts w:ascii="Times New Roman" w:eastAsia="仿宋_GB2312" w:hAnsi="Times New Roman" w:hint="eastAsia"/>
          <w:sz w:val="32"/>
          <w:szCs w:val="32"/>
        </w:rPr>
        <w:t>人；</w:t>
      </w:r>
      <w:r>
        <w:rPr>
          <w:rFonts w:ascii="Times New Roman" w:eastAsia="仿宋_GB2312" w:hAnsi="Times New Roman" w:cs="仿宋_GB2312" w:hint="eastAsia"/>
          <w:sz w:val="32"/>
          <w:szCs w:val="32"/>
        </w:rPr>
        <w:t>面向</w:t>
      </w:r>
      <w:r>
        <w:rPr>
          <w:rFonts w:ascii="Times New Roman" w:eastAsia="仿宋_GB2312" w:hAnsi="Times New Roman" w:cs="仿宋_GB2312" w:hint="eastAsia"/>
          <w:sz w:val="32"/>
          <w:szCs w:val="32"/>
        </w:rPr>
        <w:t>61</w:t>
      </w:r>
      <w:r>
        <w:rPr>
          <w:rFonts w:ascii="Times New Roman" w:eastAsia="仿宋_GB2312" w:hAnsi="Times New Roman" w:cs="仿宋_GB2312" w:hint="eastAsia"/>
          <w:sz w:val="32"/>
          <w:szCs w:val="32"/>
        </w:rPr>
        <w:t>家企业量身定制</w:t>
      </w:r>
      <w:r>
        <w:rPr>
          <w:rFonts w:ascii="Times New Roman" w:eastAsia="仿宋_GB2312" w:hAnsi="Times New Roman" w:cs="仿宋_GB2312" w:hint="eastAsia"/>
          <w:sz w:val="32"/>
          <w:szCs w:val="32"/>
        </w:rPr>
        <w:t>13</w:t>
      </w:r>
      <w:r>
        <w:rPr>
          <w:rFonts w:ascii="Times New Roman" w:eastAsia="仿宋_GB2312" w:hAnsi="Times New Roman" w:cs="仿宋_GB2312" w:hint="eastAsia"/>
          <w:sz w:val="32"/>
          <w:szCs w:val="32"/>
        </w:rPr>
        <w:t>场法治服务活动，检察产品“供给侧”持续做优。保障科技创新方面，依法打击侵犯知识产权违法犯罪</w:t>
      </w:r>
      <w:r>
        <w:rPr>
          <w:rFonts w:ascii="Times New Roman" w:eastAsia="仿宋_GB2312" w:hAnsi="Times New Roman" w:cs="仿宋_GB2312" w:hint="eastAsia"/>
          <w:sz w:val="32"/>
          <w:szCs w:val="32"/>
        </w:rPr>
        <w:t>77</w:t>
      </w:r>
      <w:r>
        <w:rPr>
          <w:rFonts w:ascii="Times New Roman" w:eastAsia="仿宋_GB2312" w:hAnsi="Times New Roman" w:cs="仿宋_GB2312" w:hint="eastAsia"/>
          <w:sz w:val="32"/>
          <w:szCs w:val="32"/>
        </w:rPr>
        <w:t>件</w:t>
      </w:r>
      <w:r>
        <w:rPr>
          <w:rFonts w:ascii="Times New Roman" w:eastAsia="仿宋_GB2312" w:hAnsi="Times New Roman" w:cs="仿宋_GB2312" w:hint="eastAsia"/>
          <w:sz w:val="32"/>
          <w:szCs w:val="32"/>
        </w:rPr>
        <w:t>182</w:t>
      </w:r>
      <w:r>
        <w:rPr>
          <w:rFonts w:ascii="Times New Roman" w:eastAsia="仿宋_GB2312" w:hAnsi="Times New Roman" w:cs="仿宋_GB2312" w:hint="eastAsia"/>
          <w:sz w:val="32"/>
          <w:szCs w:val="32"/>
        </w:rPr>
        <w:t>人；依法办理侵犯我区重点文创企业著作权系列案</w:t>
      </w:r>
      <w:r>
        <w:rPr>
          <w:rFonts w:ascii="Times New Roman" w:eastAsia="仿宋_GB2312" w:hAnsi="Times New Roman" w:cs="仿宋_GB2312" w:hint="eastAsia"/>
          <w:sz w:val="32"/>
          <w:szCs w:val="32"/>
        </w:rPr>
        <w:t>8</w:t>
      </w:r>
      <w:r>
        <w:rPr>
          <w:rFonts w:ascii="Times New Roman" w:eastAsia="仿宋_GB2312" w:hAnsi="Times New Roman" w:cs="仿宋_GB2312" w:hint="eastAsia"/>
          <w:sz w:val="32"/>
          <w:szCs w:val="32"/>
        </w:rPr>
        <w:t>件；高质</w:t>
      </w:r>
      <w:proofErr w:type="gramStart"/>
      <w:r>
        <w:rPr>
          <w:rFonts w:ascii="Times New Roman" w:eastAsia="仿宋_GB2312" w:hAnsi="Times New Roman" w:cs="仿宋_GB2312" w:hint="eastAsia"/>
          <w:sz w:val="32"/>
          <w:szCs w:val="32"/>
        </w:rPr>
        <w:t>效</w:t>
      </w:r>
      <w:proofErr w:type="gramEnd"/>
      <w:r>
        <w:rPr>
          <w:rFonts w:ascii="Times New Roman" w:eastAsia="仿宋_GB2312" w:hAnsi="Times New Roman" w:cs="仿宋_GB2312" w:hint="eastAsia"/>
          <w:sz w:val="32"/>
          <w:szCs w:val="32"/>
        </w:rPr>
        <w:t>办理涉外知识产权案件</w:t>
      </w:r>
      <w:r>
        <w:rPr>
          <w:rFonts w:ascii="Times New Roman" w:eastAsia="仿宋_GB2312" w:hAnsi="Times New Roman" w:cs="仿宋_GB2312" w:hint="eastAsia"/>
          <w:sz w:val="32"/>
          <w:szCs w:val="32"/>
        </w:rPr>
        <w:t>40</w:t>
      </w:r>
      <w:r>
        <w:rPr>
          <w:rFonts w:ascii="Times New Roman" w:eastAsia="仿宋_GB2312" w:hAnsi="Times New Roman" w:cs="仿宋_GB2312" w:hint="eastAsia"/>
          <w:sz w:val="32"/>
          <w:szCs w:val="32"/>
        </w:rPr>
        <w:t>件</w:t>
      </w:r>
      <w:r>
        <w:rPr>
          <w:rFonts w:ascii="Times New Roman" w:eastAsia="仿宋_GB2312" w:hAnsi="Times New Roman" w:cs="仿宋_GB2312" w:hint="eastAsia"/>
          <w:sz w:val="32"/>
          <w:szCs w:val="32"/>
        </w:rPr>
        <w:t>102</w:t>
      </w:r>
      <w:r>
        <w:rPr>
          <w:rFonts w:ascii="Times New Roman" w:eastAsia="仿宋_GB2312" w:hAnsi="Times New Roman" w:cs="仿宋_GB2312" w:hint="eastAsia"/>
          <w:sz w:val="32"/>
          <w:szCs w:val="32"/>
        </w:rPr>
        <w:t>人；坚决打击</w:t>
      </w:r>
      <w:r>
        <w:rPr>
          <w:rFonts w:ascii="Times New Roman" w:eastAsia="仿宋_GB2312" w:hAnsi="Times New Roman" w:cs="仿宋_GB2312" w:hint="eastAsia"/>
          <w:sz w:val="32"/>
          <w:szCs w:val="32"/>
        </w:rPr>
        <w:t>19</w:t>
      </w:r>
      <w:r>
        <w:rPr>
          <w:rFonts w:ascii="Times New Roman" w:eastAsia="仿宋_GB2312" w:hAnsi="Times New Roman" w:cs="仿宋_GB2312" w:hint="eastAsia"/>
          <w:sz w:val="32"/>
          <w:szCs w:val="32"/>
        </w:rPr>
        <w:t>家</w:t>
      </w:r>
      <w:proofErr w:type="gramStart"/>
      <w:r>
        <w:rPr>
          <w:rFonts w:ascii="Times New Roman" w:eastAsia="仿宋_GB2312" w:hAnsi="Times New Roman" w:cs="仿宋_GB2312" w:hint="eastAsia"/>
          <w:sz w:val="32"/>
          <w:szCs w:val="32"/>
        </w:rPr>
        <w:t>虚假科创企业</w:t>
      </w:r>
      <w:proofErr w:type="gramEnd"/>
      <w:r>
        <w:rPr>
          <w:rFonts w:ascii="Times New Roman" w:eastAsia="仿宋_GB2312" w:hAnsi="Times New Roman" w:cs="仿宋_GB2312" w:hint="eastAsia"/>
          <w:sz w:val="32"/>
          <w:szCs w:val="32"/>
        </w:rPr>
        <w:t>骗取</w:t>
      </w:r>
      <w:proofErr w:type="gramStart"/>
      <w:r>
        <w:rPr>
          <w:rFonts w:ascii="Times New Roman" w:eastAsia="仿宋_GB2312" w:hAnsi="Times New Roman" w:cs="仿宋_GB2312" w:hint="eastAsia"/>
          <w:sz w:val="32"/>
          <w:szCs w:val="32"/>
        </w:rPr>
        <w:t>国家科创补贴</w:t>
      </w:r>
      <w:proofErr w:type="gramEnd"/>
      <w:r>
        <w:rPr>
          <w:rFonts w:ascii="Times New Roman" w:eastAsia="仿宋_GB2312" w:hAnsi="Times New Roman" w:cs="仿宋_GB2312" w:hint="eastAsia"/>
          <w:sz w:val="32"/>
          <w:szCs w:val="32"/>
        </w:rPr>
        <w:t>行为。</w:t>
      </w:r>
    </w:p>
    <w:p w:rsidR="00255F6D" w:rsidRDefault="00661926">
      <w:pPr>
        <w:suppressAutoHyphens/>
        <w:spacing w:line="560" w:lineRule="exact"/>
        <w:ind w:firstLineChars="200" w:firstLine="640"/>
        <w:rPr>
          <w:rFonts w:ascii="Times New Roman" w:eastAsia="仿宋_GB2312" w:hAnsi="Times New Roman" w:cs="楷体_GB2312"/>
          <w:sz w:val="32"/>
          <w:szCs w:val="32"/>
        </w:rPr>
      </w:pP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）始终坚持以人民为中心的发展思想，围绕“五宜”朝阳建设目标，深入开展“</w:t>
      </w:r>
      <w:r w:rsidR="00166005">
        <w:rPr>
          <w:rFonts w:ascii="Times New Roman" w:eastAsia="仿宋_GB2312" w:hAnsi="Times New Roman" w:cs="仿宋_GB2312" w:hint="eastAsia"/>
          <w:sz w:val="32"/>
          <w:szCs w:val="32"/>
        </w:rPr>
        <w:t>检察保障民生</w:t>
      </w:r>
      <w:r>
        <w:rPr>
          <w:rFonts w:ascii="Times New Roman" w:eastAsia="仿宋_GB2312" w:hAnsi="Times New Roman" w:cs="仿宋_GB2312" w:hint="eastAsia"/>
          <w:sz w:val="32"/>
          <w:szCs w:val="32"/>
        </w:rPr>
        <w:t>”专项行动，切实增进民生福祉。办理生态环境和资源</w:t>
      </w:r>
      <w:proofErr w:type="gramStart"/>
      <w:r>
        <w:rPr>
          <w:rFonts w:ascii="Times New Roman" w:eastAsia="仿宋_GB2312" w:hAnsi="Times New Roman" w:cs="仿宋_GB2312" w:hint="eastAsia"/>
          <w:sz w:val="32"/>
          <w:szCs w:val="32"/>
        </w:rPr>
        <w:t>领域公益</w:t>
      </w:r>
      <w:proofErr w:type="gramEnd"/>
      <w:r>
        <w:rPr>
          <w:rFonts w:ascii="Times New Roman" w:eastAsia="仿宋_GB2312" w:hAnsi="Times New Roman" w:cs="仿宋_GB2312" w:hint="eastAsia"/>
          <w:sz w:val="32"/>
          <w:szCs w:val="32"/>
        </w:rPr>
        <w:t>诉讼案件</w:t>
      </w:r>
      <w:r>
        <w:rPr>
          <w:rFonts w:ascii="Times New Roman" w:eastAsia="仿宋_GB2312" w:hAnsi="Times New Roman" w:cs="仿宋_GB2312" w:hint="eastAsia"/>
          <w:sz w:val="32"/>
          <w:szCs w:val="32"/>
        </w:rPr>
        <w:t>269</w:t>
      </w:r>
      <w:r>
        <w:rPr>
          <w:rFonts w:ascii="Times New Roman" w:eastAsia="仿宋_GB2312" w:hAnsi="Times New Roman" w:cs="仿宋_GB2312" w:hint="eastAsia"/>
          <w:sz w:val="32"/>
          <w:szCs w:val="32"/>
        </w:rPr>
        <w:t>件，助力美丽朝阳建设全面推进；督促完善盲道等无障碍设施</w:t>
      </w:r>
      <w:r>
        <w:rPr>
          <w:rFonts w:ascii="Times New Roman" w:eastAsia="仿宋_GB2312" w:hAnsi="Times New Roman" w:cs="仿宋_GB2312" w:hint="eastAsia"/>
          <w:sz w:val="32"/>
          <w:szCs w:val="32"/>
        </w:rPr>
        <w:t>103</w:t>
      </w:r>
      <w:r>
        <w:rPr>
          <w:rFonts w:ascii="Times New Roman" w:eastAsia="仿宋_GB2312" w:hAnsi="Times New Roman" w:cs="仿宋_GB2312" w:hint="eastAsia"/>
          <w:sz w:val="32"/>
          <w:szCs w:val="32"/>
        </w:rPr>
        <w:t>处，以有</w:t>
      </w:r>
      <w:proofErr w:type="gramStart"/>
      <w:r>
        <w:rPr>
          <w:rFonts w:ascii="Times New Roman" w:eastAsia="仿宋_GB2312" w:hAnsi="Times New Roman" w:cs="仿宋_GB2312" w:hint="eastAsia"/>
          <w:sz w:val="32"/>
          <w:szCs w:val="32"/>
        </w:rPr>
        <w:t>爱服务</w:t>
      </w:r>
      <w:proofErr w:type="gramEnd"/>
      <w:r>
        <w:rPr>
          <w:rFonts w:ascii="Times New Roman" w:eastAsia="仿宋_GB2312" w:hAnsi="Times New Roman" w:cs="仿宋_GB2312" w:hint="eastAsia"/>
          <w:sz w:val="32"/>
          <w:szCs w:val="32"/>
        </w:rPr>
        <w:t>助力“无碍”生活；严惩侵害未成年人犯罪</w:t>
      </w:r>
      <w:r>
        <w:rPr>
          <w:rFonts w:ascii="Times New Roman" w:eastAsia="仿宋_GB2312" w:hAnsi="Times New Roman" w:cs="仿宋_GB2312" w:hint="eastAsia"/>
          <w:sz w:val="32"/>
          <w:szCs w:val="32"/>
        </w:rPr>
        <w:t>133</w:t>
      </w:r>
      <w:r>
        <w:rPr>
          <w:rFonts w:ascii="Times New Roman" w:eastAsia="仿宋_GB2312" w:hAnsi="Times New Roman" w:cs="仿宋_GB2312" w:hint="eastAsia"/>
          <w:sz w:val="32"/>
          <w:szCs w:val="32"/>
        </w:rPr>
        <w:t>件</w:t>
      </w:r>
      <w:r>
        <w:rPr>
          <w:rFonts w:ascii="Times New Roman" w:eastAsia="仿宋_GB2312" w:hAnsi="Times New Roman" w:cs="仿宋_GB2312" w:hint="eastAsia"/>
          <w:sz w:val="32"/>
          <w:szCs w:val="32"/>
        </w:rPr>
        <w:t>143</w:t>
      </w:r>
      <w:r>
        <w:rPr>
          <w:rFonts w:ascii="Times New Roman" w:eastAsia="仿宋_GB2312" w:hAnsi="Times New Roman" w:cs="仿宋_GB2312" w:hint="eastAsia"/>
          <w:sz w:val="32"/>
          <w:szCs w:val="32"/>
        </w:rPr>
        <w:t>人，为</w:t>
      </w:r>
      <w:r>
        <w:rPr>
          <w:rFonts w:ascii="Times New Roman" w:eastAsia="仿宋_GB2312" w:hAnsi="Times New Roman" w:cs="仿宋_GB2312" w:hint="eastAsia"/>
          <w:sz w:val="32"/>
          <w:szCs w:val="32"/>
        </w:rPr>
        <w:t>36</w:t>
      </w:r>
      <w:r>
        <w:rPr>
          <w:rFonts w:ascii="Times New Roman" w:eastAsia="仿宋_GB2312" w:hAnsi="Times New Roman" w:cs="仿宋_GB2312" w:hint="eastAsia"/>
          <w:sz w:val="32"/>
          <w:szCs w:val="32"/>
        </w:rPr>
        <w:t>名未成年人提供综合保护措施，与区妇联对接开展家庭教育指导</w:t>
      </w:r>
      <w:r>
        <w:rPr>
          <w:rFonts w:ascii="Times New Roman" w:eastAsia="仿宋_GB2312" w:hAnsi="Times New Roman" w:cs="仿宋_GB2312" w:hint="eastAsia"/>
          <w:sz w:val="32"/>
          <w:szCs w:val="32"/>
        </w:rPr>
        <w:t>30</w:t>
      </w:r>
      <w:r>
        <w:rPr>
          <w:rFonts w:ascii="Times New Roman" w:eastAsia="仿宋_GB2312" w:hAnsi="Times New Roman" w:cs="仿宋_GB2312" w:hint="eastAsia"/>
          <w:sz w:val="32"/>
          <w:szCs w:val="32"/>
        </w:rPr>
        <w:t>次，实现“司法干预</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综合指导”的全覆盖；</w:t>
      </w:r>
      <w:r>
        <w:rPr>
          <w:rFonts w:ascii="Times New Roman" w:eastAsia="仿宋_GB2312" w:hAnsi="Times New Roman" w:cs="Times New Roman" w:hint="eastAsia"/>
          <w:color w:val="000000"/>
          <w:sz w:val="32"/>
          <w:szCs w:val="32"/>
        </w:rPr>
        <w:t>办结司法救助案件</w:t>
      </w:r>
      <w:r>
        <w:rPr>
          <w:rFonts w:ascii="Times New Roman" w:eastAsia="仿宋_GB2312" w:hAnsi="Times New Roman" w:cs="Times New Roman" w:hint="eastAsia"/>
          <w:color w:val="000000"/>
          <w:sz w:val="32"/>
          <w:szCs w:val="32"/>
        </w:rPr>
        <w:t>69</w:t>
      </w:r>
      <w:r>
        <w:rPr>
          <w:rFonts w:ascii="Times New Roman" w:eastAsia="仿宋_GB2312" w:hAnsi="Times New Roman" w:cs="Times New Roman" w:hint="eastAsia"/>
          <w:color w:val="000000"/>
          <w:sz w:val="32"/>
          <w:szCs w:val="32"/>
        </w:rPr>
        <w:t>件</w:t>
      </w:r>
      <w:r>
        <w:rPr>
          <w:rFonts w:ascii="Times New Roman" w:eastAsia="仿宋_GB2312" w:hAnsi="Times New Roman" w:cs="仿宋_GB2312" w:hint="eastAsia"/>
          <w:sz w:val="32"/>
          <w:szCs w:val="32"/>
        </w:rPr>
        <w:t>，以司法温暖传递社会温情</w:t>
      </w:r>
      <w:r>
        <w:rPr>
          <w:rFonts w:ascii="Times New Roman" w:eastAsia="仿宋_GB2312" w:hAnsi="Times New Roman" w:cs="Times New Roman" w:hint="eastAsia"/>
          <w:color w:val="000000"/>
          <w:sz w:val="32"/>
          <w:szCs w:val="32"/>
        </w:rPr>
        <w:t>。</w:t>
      </w:r>
    </w:p>
    <w:p w:rsidR="00255F6D" w:rsidRDefault="00661926">
      <w:pPr>
        <w:spacing w:line="560" w:lineRule="exact"/>
        <w:ind w:firstLineChars="200" w:firstLine="640"/>
        <w:outlineLvl w:val="2"/>
        <w:rPr>
          <w:rFonts w:ascii="楷体_GB2312" w:eastAsia="楷体_GB2312"/>
          <w:sz w:val="32"/>
          <w:szCs w:val="32"/>
        </w:rPr>
      </w:pPr>
      <w:bookmarkStart w:id="9" w:name="_Toc6666"/>
      <w:r>
        <w:rPr>
          <w:rFonts w:ascii="楷体_GB2312" w:eastAsia="楷体_GB2312" w:hint="eastAsia"/>
          <w:sz w:val="32"/>
          <w:szCs w:val="32"/>
        </w:rPr>
        <w:t>2.产出质量</w:t>
      </w:r>
      <w:bookmarkEnd w:id="9"/>
    </w:p>
    <w:p w:rsidR="00255F6D" w:rsidRDefault="00661926">
      <w:pPr>
        <w:suppressAutoHyphens/>
        <w:spacing w:line="560" w:lineRule="exact"/>
        <w:ind w:firstLineChars="200" w:firstLine="640"/>
        <w:rPr>
          <w:rFonts w:ascii="楷体_GB2312" w:eastAsia="楷体_GB2312"/>
          <w:sz w:val="32"/>
          <w:szCs w:val="32"/>
        </w:rPr>
      </w:pPr>
      <w:bookmarkStart w:id="10" w:name="_Toc26113"/>
      <w:r>
        <w:rPr>
          <w:rFonts w:ascii="Times New Roman" w:eastAsia="仿宋_GB2312" w:hAnsi="Times New Roman" w:cs="仿宋_GB2312" w:hint="eastAsia"/>
          <w:sz w:val="32"/>
          <w:szCs w:val="32"/>
        </w:rPr>
        <w:t>坚持“高质</w:t>
      </w:r>
      <w:proofErr w:type="gramStart"/>
      <w:r>
        <w:rPr>
          <w:rFonts w:ascii="Times New Roman" w:eastAsia="仿宋_GB2312" w:hAnsi="Times New Roman" w:cs="仿宋_GB2312" w:hint="eastAsia"/>
          <w:sz w:val="32"/>
          <w:szCs w:val="32"/>
        </w:rPr>
        <w:t>效</w:t>
      </w:r>
      <w:proofErr w:type="gramEnd"/>
      <w:r>
        <w:rPr>
          <w:rFonts w:ascii="Times New Roman" w:eastAsia="仿宋_GB2312" w:hAnsi="Times New Roman" w:cs="仿宋_GB2312" w:hint="eastAsia"/>
          <w:sz w:val="32"/>
          <w:szCs w:val="32"/>
        </w:rPr>
        <w:t>管好每一个案件助推高质</w:t>
      </w:r>
      <w:proofErr w:type="gramStart"/>
      <w:r>
        <w:rPr>
          <w:rFonts w:ascii="Times New Roman" w:eastAsia="仿宋_GB2312" w:hAnsi="Times New Roman" w:cs="仿宋_GB2312" w:hint="eastAsia"/>
          <w:sz w:val="32"/>
          <w:szCs w:val="32"/>
        </w:rPr>
        <w:t>效</w:t>
      </w:r>
      <w:proofErr w:type="gramEnd"/>
      <w:r>
        <w:rPr>
          <w:rFonts w:ascii="Times New Roman" w:eastAsia="仿宋_GB2312" w:hAnsi="Times New Roman" w:cs="仿宋_GB2312" w:hint="eastAsia"/>
          <w:sz w:val="32"/>
          <w:szCs w:val="32"/>
        </w:rPr>
        <w:t>办好每一个案件”，压实我院业务部门自我管理、</w:t>
      </w:r>
      <w:proofErr w:type="gramStart"/>
      <w:r>
        <w:rPr>
          <w:rFonts w:ascii="Times New Roman" w:eastAsia="仿宋_GB2312" w:hAnsi="Times New Roman" w:cs="仿宋_GB2312" w:hint="eastAsia"/>
          <w:sz w:val="32"/>
          <w:szCs w:val="32"/>
        </w:rPr>
        <w:t>案管部门</w:t>
      </w:r>
      <w:proofErr w:type="gramEnd"/>
      <w:r>
        <w:rPr>
          <w:rFonts w:ascii="Times New Roman" w:eastAsia="仿宋_GB2312" w:hAnsi="Times New Roman" w:cs="仿宋_GB2312" w:hint="eastAsia"/>
          <w:sz w:val="32"/>
          <w:szCs w:val="32"/>
        </w:rPr>
        <w:t>专门管理、相关部门协同管理责任，探索建立业务部门内控机制，推进落</w:t>
      </w:r>
      <w:r>
        <w:rPr>
          <w:rFonts w:ascii="Times New Roman" w:eastAsia="仿宋_GB2312" w:hAnsi="Times New Roman" w:cs="仿宋_GB2312" w:hint="eastAsia"/>
          <w:sz w:val="32"/>
          <w:szCs w:val="32"/>
        </w:rPr>
        <w:lastRenderedPageBreak/>
        <w:t>实案件请示报告、检察官联席会等监督管理职责。系统</w:t>
      </w:r>
      <w:proofErr w:type="gramStart"/>
      <w:r>
        <w:rPr>
          <w:rFonts w:ascii="Times New Roman" w:eastAsia="仿宋_GB2312" w:hAnsi="Times New Roman" w:cs="仿宋_GB2312" w:hint="eastAsia"/>
          <w:sz w:val="32"/>
          <w:szCs w:val="32"/>
        </w:rPr>
        <w:t>开展朝检案例</w:t>
      </w:r>
      <w:proofErr w:type="gramEnd"/>
      <w:r>
        <w:rPr>
          <w:rFonts w:ascii="Times New Roman" w:eastAsia="仿宋_GB2312" w:hAnsi="Times New Roman" w:cs="仿宋_GB2312" w:hint="eastAsia"/>
          <w:sz w:val="32"/>
          <w:szCs w:val="32"/>
        </w:rPr>
        <w:t>库建设，完成</w:t>
      </w:r>
      <w:r>
        <w:rPr>
          <w:rFonts w:ascii="Times New Roman" w:eastAsia="仿宋_GB2312" w:hAnsi="Times New Roman" w:cs="仿宋_GB2312" w:hint="eastAsia"/>
          <w:sz w:val="32"/>
          <w:szCs w:val="32"/>
        </w:rPr>
        <w:t>98</w:t>
      </w:r>
      <w:r>
        <w:rPr>
          <w:rFonts w:ascii="Times New Roman" w:eastAsia="仿宋_GB2312" w:hAnsi="Times New Roman" w:cs="仿宋_GB2312" w:hint="eastAsia"/>
          <w:sz w:val="32"/>
          <w:szCs w:val="32"/>
        </w:rPr>
        <w:t>件入库案例编选，全年入选最高</w:t>
      </w:r>
      <w:proofErr w:type="gramStart"/>
      <w:r>
        <w:rPr>
          <w:rFonts w:ascii="Times New Roman" w:eastAsia="仿宋_GB2312" w:hAnsi="Times New Roman" w:cs="仿宋_GB2312" w:hint="eastAsia"/>
          <w:sz w:val="32"/>
          <w:szCs w:val="32"/>
        </w:rPr>
        <w:t>检典型</w:t>
      </w:r>
      <w:proofErr w:type="gramEnd"/>
      <w:r>
        <w:rPr>
          <w:rFonts w:ascii="Times New Roman" w:eastAsia="仿宋_GB2312" w:hAnsi="Times New Roman" w:cs="仿宋_GB2312" w:hint="eastAsia"/>
          <w:sz w:val="32"/>
          <w:szCs w:val="32"/>
        </w:rPr>
        <w:t>案例</w:t>
      </w:r>
      <w:r>
        <w:rPr>
          <w:rFonts w:ascii="Times New Roman" w:eastAsia="仿宋_GB2312" w:hAnsi="Times New Roman" w:cs="仿宋_GB2312" w:hint="eastAsia"/>
          <w:sz w:val="32"/>
          <w:szCs w:val="32"/>
        </w:rPr>
        <w:t>6</w:t>
      </w:r>
      <w:r>
        <w:rPr>
          <w:rFonts w:ascii="Times New Roman" w:eastAsia="仿宋_GB2312" w:hAnsi="Times New Roman" w:cs="仿宋_GB2312" w:hint="eastAsia"/>
          <w:sz w:val="32"/>
          <w:szCs w:val="32"/>
        </w:rPr>
        <w:t>件，市级参考性案例、典型案例</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件，实践探索成果再创新高。优化案件质量评查“朝阳模式”，细化评查等次和评查范围，以季度、半年和全年分别开展针对性评查，并将案件评查与个案整改、检务督察相结合，推动案件质量更加过硬。积极回应社会关切，运用微博、</w:t>
      </w:r>
      <w:proofErr w:type="gramStart"/>
      <w:r>
        <w:rPr>
          <w:rFonts w:ascii="Times New Roman" w:eastAsia="仿宋_GB2312" w:hAnsi="Times New Roman" w:cs="仿宋_GB2312" w:hint="eastAsia"/>
          <w:sz w:val="32"/>
          <w:szCs w:val="32"/>
        </w:rPr>
        <w:t>微信等</w:t>
      </w:r>
      <w:proofErr w:type="gramEnd"/>
      <w:r>
        <w:rPr>
          <w:rFonts w:ascii="Times New Roman" w:eastAsia="仿宋_GB2312" w:hAnsi="Times New Roman" w:cs="仿宋_GB2312" w:hint="eastAsia"/>
          <w:sz w:val="32"/>
          <w:szCs w:val="32"/>
        </w:rPr>
        <w:t>新媒体宣传平台，及时发布典型案例和检察工作动态，推出原创普法文章</w:t>
      </w:r>
      <w:r>
        <w:rPr>
          <w:rFonts w:ascii="Times New Roman" w:eastAsia="仿宋_GB2312" w:hAnsi="Times New Roman" w:cs="仿宋_GB2312" w:hint="eastAsia"/>
          <w:sz w:val="32"/>
          <w:szCs w:val="32"/>
        </w:rPr>
        <w:t>501</w:t>
      </w:r>
      <w:r>
        <w:rPr>
          <w:rFonts w:ascii="Times New Roman" w:eastAsia="仿宋_GB2312" w:hAnsi="Times New Roman" w:cs="仿宋_GB2312" w:hint="eastAsia"/>
          <w:sz w:val="32"/>
          <w:szCs w:val="32"/>
        </w:rPr>
        <w:t>篇，工作实践被新华社、人民日报等主流媒体刊载</w:t>
      </w:r>
      <w:r>
        <w:rPr>
          <w:rFonts w:ascii="Times New Roman" w:eastAsia="仿宋_GB2312" w:hAnsi="Times New Roman" w:cs="仿宋_GB2312" w:hint="eastAsia"/>
          <w:sz w:val="32"/>
          <w:szCs w:val="32"/>
        </w:rPr>
        <w:t>60</w:t>
      </w:r>
      <w:r>
        <w:rPr>
          <w:rFonts w:ascii="Times New Roman" w:eastAsia="仿宋_GB2312" w:hAnsi="Times New Roman" w:cs="仿宋_GB2312" w:hint="eastAsia"/>
          <w:sz w:val="32"/>
          <w:szCs w:val="32"/>
        </w:rPr>
        <w:t>次，</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部微</w:t>
      </w:r>
      <w:proofErr w:type="gramStart"/>
      <w:r>
        <w:rPr>
          <w:rFonts w:ascii="Times New Roman" w:eastAsia="仿宋_GB2312" w:hAnsi="Times New Roman" w:cs="仿宋_GB2312" w:hint="eastAsia"/>
          <w:sz w:val="32"/>
          <w:szCs w:val="32"/>
        </w:rPr>
        <w:t>视频获</w:t>
      </w:r>
      <w:proofErr w:type="gramEnd"/>
      <w:r>
        <w:rPr>
          <w:rFonts w:ascii="Times New Roman" w:eastAsia="仿宋_GB2312" w:hAnsi="Times New Roman" w:cs="仿宋_GB2312" w:hint="eastAsia"/>
          <w:sz w:val="32"/>
          <w:szCs w:val="32"/>
        </w:rPr>
        <w:t>全市检察机关“三微”单项奖，检察工作影响力持续提升。</w:t>
      </w:r>
    </w:p>
    <w:p w:rsidR="00255F6D" w:rsidRDefault="00661926">
      <w:pPr>
        <w:spacing w:line="560" w:lineRule="exact"/>
        <w:ind w:firstLineChars="200" w:firstLine="640"/>
        <w:outlineLvl w:val="2"/>
        <w:rPr>
          <w:rFonts w:ascii="楷体_GB2312" w:eastAsia="楷体_GB2312"/>
          <w:sz w:val="32"/>
          <w:szCs w:val="32"/>
        </w:rPr>
      </w:pPr>
      <w:r>
        <w:rPr>
          <w:rFonts w:ascii="楷体_GB2312" w:eastAsia="楷体_GB2312" w:hint="eastAsia"/>
          <w:sz w:val="32"/>
          <w:szCs w:val="32"/>
        </w:rPr>
        <w:t>3.产出时效</w:t>
      </w:r>
      <w:bookmarkEnd w:id="10"/>
    </w:p>
    <w:p w:rsidR="00255F6D" w:rsidRDefault="00661926">
      <w:pPr>
        <w:spacing w:line="560" w:lineRule="exact"/>
        <w:ind w:firstLineChars="200" w:firstLine="640"/>
        <w:rPr>
          <w:rFonts w:ascii="楷体_GB2312" w:eastAsia="楷体_GB2312"/>
          <w:sz w:val="32"/>
          <w:szCs w:val="32"/>
        </w:rPr>
      </w:pPr>
      <w:r>
        <w:rPr>
          <w:rFonts w:ascii="仿宋_GB2312" w:eastAsia="仿宋_GB2312" w:hAnsi="宋体" w:cs="宋体" w:hint="eastAsia"/>
          <w:color w:val="000000"/>
          <w:kern w:val="0"/>
          <w:sz w:val="32"/>
          <w:szCs w:val="32"/>
        </w:rPr>
        <w:t>朝阳检察院2024年度内完成部门整体预算项目内容，实施进度良好。</w:t>
      </w:r>
      <w:r>
        <w:rPr>
          <w:rFonts w:ascii="仿宋_GB2312" w:eastAsia="仿宋_GB2312" w:hAnsi="仿宋_GB2312" w:cs="仿宋_GB2312" w:hint="eastAsia"/>
          <w:sz w:val="32"/>
          <w:szCs w:val="32"/>
        </w:rPr>
        <w:t>按照年初预算批复及年中追加、核减调整预算批复，2024年全部完成各项检察工作。</w:t>
      </w:r>
    </w:p>
    <w:p w:rsidR="00255F6D" w:rsidRDefault="00661926">
      <w:pPr>
        <w:spacing w:line="560" w:lineRule="exact"/>
        <w:ind w:firstLineChars="200" w:firstLine="640"/>
        <w:outlineLvl w:val="2"/>
        <w:rPr>
          <w:rFonts w:ascii="仿宋_GB2312" w:eastAsia="仿宋_GB2312" w:hAnsi="仿宋_GB2312" w:cs="仿宋_GB2312"/>
          <w:sz w:val="32"/>
          <w:szCs w:val="32"/>
        </w:rPr>
      </w:pPr>
      <w:bookmarkStart w:id="11" w:name="_Toc24550"/>
      <w:r>
        <w:rPr>
          <w:rFonts w:ascii="楷体_GB2312" w:eastAsia="楷体_GB2312" w:hint="eastAsia"/>
          <w:sz w:val="32"/>
          <w:szCs w:val="32"/>
        </w:rPr>
        <w:t>4.产出成本</w:t>
      </w:r>
      <w:bookmarkEnd w:id="11"/>
    </w:p>
    <w:p w:rsidR="00255F6D" w:rsidRDefault="0066192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2024年决算</w:t>
      </w:r>
      <w:r>
        <w:rPr>
          <w:rFonts w:ascii="仿宋_GB2312" w:eastAsia="仿宋_GB2312" w:hAnsi="宋体" w:cs="宋体" w:hint="eastAsia"/>
          <w:kern w:val="0"/>
          <w:sz w:val="32"/>
          <w:szCs w:val="32"/>
        </w:rPr>
        <w:t>支出数18259.82</w:t>
      </w:r>
      <w:r>
        <w:rPr>
          <w:rFonts w:ascii="仿宋_GB2312" w:eastAsia="仿宋_GB2312" w:hAnsi="宋体" w:cs="宋体"/>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color w:val="000000"/>
          <w:kern w:val="0"/>
          <w:sz w:val="32"/>
          <w:szCs w:val="32"/>
        </w:rPr>
        <w:t>比2023年度决算支出数</w:t>
      </w:r>
      <w:r>
        <w:rPr>
          <w:rFonts w:ascii="仿宋_GB2312" w:eastAsia="仿宋_GB2312" w:hAnsi="宋体" w:cs="宋体" w:hint="eastAsia"/>
          <w:kern w:val="0"/>
          <w:sz w:val="32"/>
          <w:szCs w:val="32"/>
        </w:rPr>
        <w:t>18819.52</w:t>
      </w:r>
      <w:r>
        <w:rPr>
          <w:rFonts w:ascii="仿宋_GB2312" w:eastAsia="仿宋_GB2312" w:hAnsi="宋体" w:cs="宋体" w:hint="eastAsia"/>
          <w:color w:val="000000"/>
          <w:kern w:val="0"/>
          <w:sz w:val="32"/>
          <w:szCs w:val="32"/>
        </w:rPr>
        <w:t>万元减少559.70万元。其中公用经费决算支出数1942.94万元比年初预算批复数2010.13万元减少67.19 万元；</w:t>
      </w:r>
      <w:r>
        <w:rPr>
          <w:rFonts w:ascii="仿宋_GB2312" w:eastAsia="仿宋_GB2312" w:hAnsi="仿宋" w:cs="Times New Roman" w:hint="eastAsia"/>
          <w:color w:val="000000"/>
          <w:sz w:val="32"/>
          <w:szCs w:val="32"/>
        </w:rPr>
        <w:t>“三公”经费支出总额47.25万元，比2023年"三公"经费106.29万元减少59.04万元</w:t>
      </w:r>
      <w:r>
        <w:rPr>
          <w:rFonts w:ascii="仿宋_GB2312" w:eastAsia="仿宋_GB2312" w:hAnsi="宋体" w:cs="宋体" w:hint="eastAsia"/>
          <w:color w:val="000000"/>
          <w:kern w:val="0"/>
          <w:sz w:val="32"/>
          <w:szCs w:val="32"/>
        </w:rPr>
        <w:t>。</w:t>
      </w:r>
    </w:p>
    <w:p w:rsidR="00255F6D" w:rsidRDefault="0066192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仿宋_GB2312" w:cs="仿宋_GB2312" w:hint="eastAsia"/>
          <w:sz w:val="32"/>
          <w:szCs w:val="32"/>
        </w:rPr>
        <w:t>朝阳检察院预算安排严格落实“过紧日子”要求，厉行勤俭节约压缩行政支出，在保基本保运转的情况下，严控一般性支出，尤其“三公”经费及会议培训支出得到有效地控</w:t>
      </w:r>
      <w:r>
        <w:rPr>
          <w:rFonts w:ascii="仿宋_GB2312" w:eastAsia="仿宋_GB2312" w:hAnsi="仿宋_GB2312" w:cs="仿宋_GB2312" w:hint="eastAsia"/>
          <w:sz w:val="32"/>
          <w:szCs w:val="32"/>
        </w:rPr>
        <w:lastRenderedPageBreak/>
        <w:t>制。继续加强资源合理统筹和精细分配，优化支出结构，注重精细化管理，将有限的资源花在刀刃上，真正做到提质增效，提升预算执行效能。</w:t>
      </w:r>
    </w:p>
    <w:p w:rsidR="00255F6D" w:rsidRDefault="00661926" w:rsidP="00166005">
      <w:pPr>
        <w:spacing w:line="560" w:lineRule="exact"/>
        <w:ind w:firstLineChars="200" w:firstLine="641"/>
        <w:outlineLvl w:val="1"/>
        <w:rPr>
          <w:rFonts w:ascii="楷体_GB2312" w:eastAsia="楷体_GB2312"/>
          <w:b/>
          <w:bCs/>
          <w:sz w:val="32"/>
          <w:szCs w:val="32"/>
        </w:rPr>
      </w:pPr>
      <w:bookmarkStart w:id="12" w:name="_Toc1547"/>
      <w:r>
        <w:rPr>
          <w:rFonts w:ascii="楷体_GB2312" w:eastAsia="楷体_GB2312" w:hint="eastAsia"/>
          <w:b/>
          <w:bCs/>
          <w:sz w:val="32"/>
          <w:szCs w:val="32"/>
        </w:rPr>
        <w:t>（二）效果实现情况分析</w:t>
      </w:r>
      <w:bookmarkEnd w:id="12"/>
    </w:p>
    <w:p w:rsidR="00255F6D" w:rsidRDefault="00661926">
      <w:pPr>
        <w:adjustRightInd w:val="0"/>
        <w:snapToGrid w:val="0"/>
        <w:spacing w:line="560" w:lineRule="exact"/>
        <w:ind w:firstLineChars="200" w:firstLine="640"/>
        <w:outlineLvl w:val="2"/>
        <w:rPr>
          <w:rFonts w:ascii="仿宋_GB2312" w:eastAsia="仿宋_GB2312" w:hAnsi="仿宋_GB2312" w:cs="仿宋_GB2312"/>
          <w:sz w:val="32"/>
          <w:szCs w:val="32"/>
        </w:rPr>
      </w:pPr>
      <w:bookmarkStart w:id="13" w:name="_Toc4242"/>
      <w:r>
        <w:rPr>
          <w:rFonts w:ascii="仿宋_GB2312" w:eastAsia="仿宋_GB2312" w:hAnsi="仿宋_GB2312" w:cs="仿宋_GB2312" w:hint="eastAsia"/>
          <w:kern w:val="0"/>
          <w:sz w:val="32"/>
          <w:szCs w:val="32"/>
        </w:rPr>
        <w:t>1</w:t>
      </w:r>
      <w:r>
        <w:rPr>
          <w:rFonts w:ascii="仿宋_GB2312" w:eastAsia="仿宋_GB2312" w:hAnsi="仿宋_GB2312" w:cs="仿宋_GB2312" w:hint="eastAsia"/>
          <w:sz w:val="32"/>
          <w:szCs w:val="32"/>
        </w:rPr>
        <w:t>.社会效益</w:t>
      </w:r>
      <w:bookmarkEnd w:id="13"/>
    </w:p>
    <w:p w:rsidR="00255F6D" w:rsidRDefault="00661926">
      <w:pPr>
        <w:autoSpaceDN w:val="0"/>
        <w:spacing w:line="560" w:lineRule="exact"/>
        <w:ind w:leftChars="50" w:left="105" w:firstLineChars="150" w:firstLine="480"/>
        <w:rPr>
          <w:rFonts w:ascii="仿宋_GB2312" w:eastAsia="仿宋_GB2312" w:hAnsi="仿宋_GB2312" w:cs="仿宋_GB2312"/>
          <w:kern w:val="0"/>
          <w:sz w:val="32"/>
          <w:szCs w:val="32"/>
        </w:rPr>
      </w:pPr>
      <w:bookmarkStart w:id="14" w:name="_Toc4300"/>
      <w:r>
        <w:rPr>
          <w:rFonts w:ascii="Times New Roman" w:eastAsia="仿宋_GB2312" w:hAnsi="Times New Roman" w:cs="Times New Roman" w:hint="eastAsia"/>
          <w:color w:val="000000"/>
          <w:sz w:val="32"/>
          <w:szCs w:val="32"/>
        </w:rPr>
        <w:t>朝阳检察院</w:t>
      </w:r>
      <w:r>
        <w:rPr>
          <w:rFonts w:ascii="Times New Roman" w:eastAsia="仿宋_GB2312" w:hAnsi="Times New Roman" w:cs="Times New Roman" w:hint="eastAsia"/>
          <w:sz w:val="32"/>
          <w:szCs w:val="32"/>
        </w:rPr>
        <w:t>在区委和市检察院坚强领导下，在区人大及其常委会有力监督下，在区政府、区政协及社会各界大力支持下，</w:t>
      </w:r>
      <w:r>
        <w:rPr>
          <w:rFonts w:ascii="Times New Roman" w:eastAsia="仿宋_GB2312" w:hAnsi="Times New Roman" w:cs="Times New Roman" w:hint="eastAsia"/>
          <w:color w:val="000000"/>
          <w:sz w:val="32"/>
          <w:szCs w:val="32"/>
        </w:rPr>
        <w:t>坚持以习近平新时代中国特色社会主义思想为指导，全面贯彻党的二十大和二十届二中、三中全会精神，深入学习贯彻习近平法治思想，坚决落实“四个走在前”要求，围绕“五宜”朝阳建设目标，创新建立“检察官会客室”一站式检察服务平台，深耕走进</w:t>
      </w:r>
      <w:r>
        <w:rPr>
          <w:rFonts w:ascii="Times New Roman" w:eastAsia="仿宋_GB2312" w:hAnsi="Times New Roman" w:cs="Times New Roman" w:hint="eastAsia"/>
          <w:color w:val="000000"/>
          <w:sz w:val="32"/>
          <w:szCs w:val="32"/>
        </w:rPr>
        <w:t>CBD</w:t>
      </w:r>
      <w:r>
        <w:rPr>
          <w:rFonts w:ascii="Times New Roman" w:eastAsia="仿宋_GB2312" w:hAnsi="Times New Roman" w:cs="Times New Roman" w:hint="eastAsia"/>
          <w:color w:val="000000"/>
          <w:sz w:val="32"/>
          <w:szCs w:val="32"/>
        </w:rPr>
        <w:t>中心区、走进中关村朝阳园、走进街乡社区、走进校园课堂“四个走进”专项工作，</w:t>
      </w:r>
      <w:r>
        <w:rPr>
          <w:rFonts w:ascii="Times New Roman" w:eastAsia="仿宋_GB2312" w:hAnsi="Times New Roman" w:cs="仿宋_GB2312"/>
          <w:kern w:val="0"/>
          <w:sz w:val="32"/>
          <w:szCs w:val="32"/>
        </w:rPr>
        <w:t>先后获得</w:t>
      </w:r>
      <w:r>
        <w:rPr>
          <w:rFonts w:ascii="Times New Roman" w:eastAsia="仿宋_GB2312" w:hAnsi="Times New Roman" w:cs="仿宋_GB2312" w:hint="eastAsia"/>
          <w:kern w:val="0"/>
          <w:sz w:val="32"/>
          <w:szCs w:val="32"/>
        </w:rPr>
        <w:t>北京市工人先锋号、五一劳动奖状</w:t>
      </w:r>
      <w:r>
        <w:rPr>
          <w:rFonts w:ascii="Times New Roman" w:eastAsia="仿宋_GB2312" w:hAnsi="Times New Roman" w:cs="仿宋_GB2312"/>
          <w:kern w:val="0"/>
          <w:sz w:val="32"/>
          <w:szCs w:val="32"/>
        </w:rPr>
        <w:t>等</w:t>
      </w:r>
      <w:r>
        <w:rPr>
          <w:rFonts w:ascii="Times New Roman" w:eastAsia="仿宋_GB2312" w:hAnsi="Times New Roman" w:cs="仿宋_GB2312" w:hint="eastAsia"/>
          <w:kern w:val="0"/>
          <w:sz w:val="32"/>
          <w:szCs w:val="32"/>
        </w:rPr>
        <w:t>集体和个人</w:t>
      </w:r>
      <w:r>
        <w:rPr>
          <w:rFonts w:ascii="Times New Roman" w:eastAsia="仿宋_GB2312" w:hAnsi="Times New Roman" w:cs="仿宋_GB2312"/>
          <w:kern w:val="0"/>
          <w:sz w:val="32"/>
          <w:szCs w:val="32"/>
        </w:rPr>
        <w:t>荣誉</w:t>
      </w:r>
      <w:r>
        <w:rPr>
          <w:rFonts w:ascii="Times New Roman" w:eastAsia="仿宋_GB2312" w:hAnsi="Times New Roman" w:cs="仿宋_GB2312" w:hint="eastAsia"/>
          <w:kern w:val="0"/>
          <w:sz w:val="32"/>
          <w:szCs w:val="32"/>
        </w:rPr>
        <w:t>43</w:t>
      </w:r>
      <w:r>
        <w:rPr>
          <w:rFonts w:ascii="Times New Roman" w:eastAsia="仿宋_GB2312" w:hAnsi="Times New Roman" w:cs="仿宋_GB2312"/>
          <w:kern w:val="0"/>
          <w:sz w:val="32"/>
          <w:szCs w:val="32"/>
        </w:rPr>
        <w:t>项</w:t>
      </w:r>
      <w:r>
        <w:rPr>
          <w:rFonts w:ascii="Times New Roman" w:eastAsia="仿宋_GB2312" w:hAnsi="Times New Roman" w:cs="仿宋_GB2312" w:hint="eastAsia"/>
          <w:kern w:val="0"/>
          <w:sz w:val="32"/>
          <w:szCs w:val="32"/>
        </w:rPr>
        <w:t>，</w:t>
      </w:r>
      <w:r>
        <w:rPr>
          <w:rFonts w:ascii="Times New Roman" w:eastAsia="仿宋_GB2312" w:hAnsi="Times New Roman" w:cs="Times New Roman" w:hint="eastAsia"/>
          <w:color w:val="000000"/>
          <w:sz w:val="32"/>
          <w:szCs w:val="32"/>
        </w:rPr>
        <w:t>以高质量的检察履职服务保障中国式现代化的朝阳实践。</w:t>
      </w:r>
    </w:p>
    <w:p w:rsidR="00255F6D" w:rsidRDefault="00661926">
      <w:pPr>
        <w:adjustRightInd w:val="0"/>
        <w:snapToGrid w:val="0"/>
        <w:spacing w:line="560"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2.可持续影响</w:t>
      </w:r>
      <w:bookmarkEnd w:id="14"/>
    </w:p>
    <w:p w:rsidR="00255F6D" w:rsidRDefault="00661926">
      <w:pPr>
        <w:adjustRightInd w:val="0"/>
        <w:snapToGrid w:val="0"/>
        <w:spacing w:line="560" w:lineRule="exact"/>
        <w:ind w:firstLineChars="200" w:firstLine="640"/>
        <w:rPr>
          <w:rFonts w:ascii="仿宋_GB2312" w:eastAsia="仿宋_GB2312" w:hAnsi="仿宋_GB2312" w:cs="仿宋_GB2312"/>
          <w:kern w:val="0"/>
          <w:sz w:val="32"/>
          <w:szCs w:val="32"/>
        </w:rPr>
      </w:pPr>
      <w:bookmarkStart w:id="15" w:name="_Toc11427"/>
      <w:r>
        <w:rPr>
          <w:rFonts w:ascii="仿宋_GB2312" w:eastAsia="仿宋_GB2312" w:hAnsi="仿宋_GB2312" w:cs="仿宋_GB2312" w:hint="eastAsia"/>
          <w:kern w:val="0"/>
          <w:sz w:val="32"/>
          <w:szCs w:val="32"/>
        </w:rPr>
        <w:t>朝阳检察院通过法治宣传教育推动形成尊法学法守法用法的社会氛围，将法治宣传与学校、社区、企业等建立长期合作机制（如“检察官会客</w:t>
      </w:r>
      <w:r w:rsidR="00166005">
        <w:rPr>
          <w:rFonts w:ascii="仿宋_GB2312" w:eastAsia="仿宋_GB2312" w:hAnsi="仿宋_GB2312" w:cs="仿宋_GB2312" w:hint="eastAsia"/>
          <w:kern w:val="0"/>
          <w:sz w:val="32"/>
          <w:szCs w:val="32"/>
        </w:rPr>
        <w:t>室</w:t>
      </w:r>
      <w:r>
        <w:rPr>
          <w:rFonts w:ascii="仿宋_GB2312" w:eastAsia="仿宋_GB2312" w:hAnsi="仿宋_GB2312" w:cs="仿宋_GB2312" w:hint="eastAsia"/>
          <w:kern w:val="0"/>
          <w:sz w:val="32"/>
          <w:szCs w:val="32"/>
        </w:rPr>
        <w:t>”“朝阳晨钟”），确保普法工作持续开展。不仅解决当下的法律知识普及需求，更形成长效机制，持续提升公众法治素养、推动</w:t>
      </w:r>
      <w:r>
        <w:rPr>
          <w:rFonts w:ascii="仿宋_GB2312" w:eastAsia="仿宋_GB2312" w:hint="eastAsia"/>
          <w:sz w:val="32"/>
          <w:szCs w:val="32"/>
        </w:rPr>
        <w:t>法治社会的高质量健康发展。</w:t>
      </w:r>
    </w:p>
    <w:p w:rsidR="00255F6D" w:rsidRDefault="00661926">
      <w:pPr>
        <w:adjustRightInd w:val="0"/>
        <w:snapToGrid w:val="0"/>
        <w:spacing w:line="560" w:lineRule="exact"/>
        <w:ind w:firstLineChars="200" w:firstLine="640"/>
        <w:outlineLvl w:val="2"/>
        <w:rPr>
          <w:rFonts w:ascii="楷体_GB2312" w:eastAsia="楷体_GB2312"/>
          <w:sz w:val="32"/>
          <w:szCs w:val="32"/>
        </w:rPr>
      </w:pPr>
      <w:r>
        <w:rPr>
          <w:rFonts w:ascii="仿宋_GB2312" w:eastAsia="仿宋_GB2312" w:hAnsi="仿宋_GB2312" w:cs="仿宋_GB2312" w:hint="eastAsia"/>
          <w:kern w:val="0"/>
          <w:sz w:val="32"/>
          <w:szCs w:val="32"/>
        </w:rPr>
        <w:t>3.服务对象满意度</w:t>
      </w:r>
      <w:bookmarkEnd w:id="15"/>
    </w:p>
    <w:p w:rsidR="00255F6D" w:rsidRDefault="00661926">
      <w:pPr>
        <w:adjustRightInd w:val="0"/>
        <w:snapToGrid w:val="0"/>
        <w:spacing w:line="560" w:lineRule="exact"/>
        <w:ind w:firstLineChars="200" w:firstLine="640"/>
        <w:rPr>
          <w:rFonts w:ascii="仿宋_GB2312" w:eastAsia="仿宋_GB2312" w:hAnsi="仿宋" w:cs="Times New Roman"/>
          <w:sz w:val="32"/>
          <w:szCs w:val="32"/>
        </w:rPr>
      </w:pPr>
      <w:r>
        <w:rPr>
          <w:rFonts w:ascii="仿宋_GB2312" w:eastAsia="仿宋_GB2312" w:hAnsi="仿宋_GB2312" w:cs="仿宋_GB2312" w:hint="eastAsia"/>
          <w:sz w:val="32"/>
          <w:szCs w:val="32"/>
        </w:rPr>
        <w:lastRenderedPageBreak/>
        <w:t>2025年1月9日下午，在朝阳区第十七届人民代表大会第五次会议上，经人大代表表决，朝阳区检察院2024年工作报告获高票通过。</w:t>
      </w:r>
    </w:p>
    <w:p w:rsidR="00255F6D" w:rsidRDefault="00661926" w:rsidP="002B2D47">
      <w:pPr>
        <w:spacing w:beforeLines="50" w:afterLines="50" w:line="600" w:lineRule="exact"/>
        <w:ind w:firstLineChars="200" w:firstLine="640"/>
        <w:outlineLvl w:val="0"/>
        <w:rPr>
          <w:rFonts w:ascii="黑体" w:eastAsia="黑体" w:hAnsi="黑体" w:cs="宋体"/>
          <w:kern w:val="0"/>
          <w:sz w:val="32"/>
          <w:szCs w:val="32"/>
        </w:rPr>
      </w:pPr>
      <w:bookmarkStart w:id="16" w:name="_Toc20413"/>
      <w:r>
        <w:rPr>
          <w:rFonts w:ascii="黑体" w:eastAsia="黑体" w:hAnsi="黑体" w:cs="宋体" w:hint="eastAsia"/>
          <w:kern w:val="0"/>
          <w:sz w:val="32"/>
          <w:szCs w:val="32"/>
        </w:rPr>
        <w:t>四</w:t>
      </w:r>
      <w:r>
        <w:rPr>
          <w:rFonts w:ascii="黑体" w:eastAsia="黑体" w:hAnsi="黑体" w:cs="宋体"/>
          <w:kern w:val="0"/>
          <w:sz w:val="32"/>
          <w:szCs w:val="32"/>
        </w:rPr>
        <w:t>、预算</w:t>
      </w:r>
      <w:r>
        <w:rPr>
          <w:rFonts w:ascii="黑体" w:eastAsia="黑体" w:hAnsi="黑体" w:cs="宋体" w:hint="eastAsia"/>
          <w:kern w:val="0"/>
          <w:sz w:val="32"/>
          <w:szCs w:val="32"/>
        </w:rPr>
        <w:t>管理情况分</w:t>
      </w:r>
      <w:r>
        <w:rPr>
          <w:rFonts w:ascii="黑体" w:eastAsia="黑体" w:hAnsi="黑体" w:cs="宋体"/>
          <w:kern w:val="0"/>
          <w:sz w:val="32"/>
          <w:szCs w:val="32"/>
        </w:rPr>
        <w:t>析</w:t>
      </w:r>
      <w:bookmarkEnd w:id="16"/>
    </w:p>
    <w:p w:rsidR="00255F6D" w:rsidRDefault="00661926" w:rsidP="00166005">
      <w:pPr>
        <w:spacing w:line="560" w:lineRule="exact"/>
        <w:ind w:firstLineChars="200" w:firstLine="641"/>
        <w:outlineLvl w:val="1"/>
        <w:rPr>
          <w:rFonts w:ascii="楷体_GB2312" w:eastAsia="楷体_GB2312"/>
          <w:b/>
          <w:bCs/>
          <w:sz w:val="32"/>
          <w:szCs w:val="32"/>
        </w:rPr>
      </w:pPr>
      <w:bookmarkStart w:id="17" w:name="_Toc24064"/>
      <w:r>
        <w:rPr>
          <w:rFonts w:ascii="楷体_GB2312" w:eastAsia="楷体_GB2312" w:hint="eastAsia"/>
          <w:b/>
          <w:bCs/>
          <w:sz w:val="32"/>
          <w:szCs w:val="32"/>
        </w:rPr>
        <w:t>（一）财务管理</w:t>
      </w:r>
      <w:bookmarkEnd w:id="17"/>
    </w:p>
    <w:p w:rsidR="00255F6D" w:rsidRDefault="0066192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1.财务</w:t>
      </w:r>
      <w:r>
        <w:rPr>
          <w:rFonts w:ascii="仿宋_GB2312" w:eastAsia="仿宋_GB2312" w:hAnsi="宋体" w:cs="宋体"/>
          <w:kern w:val="0"/>
          <w:sz w:val="32"/>
          <w:szCs w:val="32"/>
        </w:rPr>
        <w:t>管理制度健全性</w:t>
      </w:r>
    </w:p>
    <w:p w:rsidR="00255F6D" w:rsidRDefault="00661926">
      <w:pPr>
        <w:spacing w:line="560" w:lineRule="exact"/>
        <w:ind w:firstLineChars="200" w:firstLine="640"/>
        <w:rPr>
          <w:rFonts w:ascii="仿宋_GB2312" w:eastAsia="仿宋_GB2312" w:hAnsi="宋体" w:cs="宋体"/>
          <w:kern w:val="0"/>
          <w:sz w:val="32"/>
          <w:szCs w:val="32"/>
        </w:rPr>
      </w:pPr>
      <w:r>
        <w:rPr>
          <w:rFonts w:ascii="仿宋_GB2312" w:eastAsia="仿宋_GB2312" w:hAnsi="仿宋" w:cs="Times New Roman" w:hint="eastAsia"/>
          <w:sz w:val="32"/>
          <w:szCs w:val="32"/>
        </w:rPr>
        <w:t>朝阳检察院根据自身业务开展情况，制定了财务管理、预算管理、资金支出管理、资产管理、采购管理、合同管理、项目支出预算管理、会计管理、公务卡管理等方面管理制度，实施内部控制管理，各项制度相对健全，为部门资金使用管理提供有效制度保障</w:t>
      </w:r>
      <w:r>
        <w:rPr>
          <w:rFonts w:ascii="仿宋_GB2312" w:eastAsia="仿宋_GB2312" w:hAnsi="宋体" w:cs="宋体" w:hint="eastAsia"/>
          <w:kern w:val="0"/>
          <w:sz w:val="32"/>
          <w:szCs w:val="32"/>
        </w:rPr>
        <w:t>。</w:t>
      </w:r>
    </w:p>
    <w:p w:rsidR="00255F6D" w:rsidRDefault="0066192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2.资金使用合</w:t>
      </w:r>
      <w:proofErr w:type="gramStart"/>
      <w:r>
        <w:rPr>
          <w:rFonts w:ascii="仿宋_GB2312" w:eastAsia="仿宋_GB2312" w:hAnsi="宋体" w:cs="宋体" w:hint="eastAsia"/>
          <w:kern w:val="0"/>
          <w:sz w:val="32"/>
          <w:szCs w:val="32"/>
        </w:rPr>
        <w:t>规</w:t>
      </w:r>
      <w:proofErr w:type="gramEnd"/>
      <w:r>
        <w:rPr>
          <w:rFonts w:ascii="仿宋_GB2312" w:eastAsia="仿宋_GB2312" w:hAnsi="宋体" w:cs="宋体" w:hint="eastAsia"/>
          <w:kern w:val="0"/>
          <w:sz w:val="32"/>
          <w:szCs w:val="32"/>
        </w:rPr>
        <w:t>性</w:t>
      </w:r>
      <w:r>
        <w:rPr>
          <w:rFonts w:ascii="仿宋_GB2312" w:eastAsia="仿宋_GB2312" w:hAnsi="宋体" w:cs="宋体"/>
          <w:kern w:val="0"/>
          <w:sz w:val="32"/>
          <w:szCs w:val="32"/>
        </w:rPr>
        <w:t>和安全性</w:t>
      </w:r>
    </w:p>
    <w:p w:rsidR="00255F6D" w:rsidRDefault="00661926">
      <w:pPr>
        <w:spacing w:line="360" w:lineRule="auto"/>
        <w:ind w:firstLine="640"/>
        <w:rPr>
          <w:rFonts w:ascii="仿宋_GB2312" w:eastAsia="仿宋_GB2312" w:hAnsi="宋体" w:cs="宋体"/>
          <w:kern w:val="0"/>
          <w:sz w:val="32"/>
          <w:szCs w:val="32"/>
        </w:rPr>
      </w:pPr>
      <w:r>
        <w:rPr>
          <w:rFonts w:ascii="仿宋_GB2312" w:eastAsia="仿宋_GB2312" w:hAnsi="仿宋" w:cs="Times New Roman" w:hint="eastAsia"/>
          <w:sz w:val="32"/>
          <w:szCs w:val="32"/>
        </w:rPr>
        <w:t>朝阳检察院资金使用严格按照国家财经法规和单位财务管理制度、资金支出管理办法规定以及有关专项资金管理办法的规定执行。不存在截留、挤占、挪用、虚列支出等情况，资金使用合</w:t>
      </w:r>
      <w:proofErr w:type="gramStart"/>
      <w:r>
        <w:rPr>
          <w:rFonts w:ascii="仿宋_GB2312" w:eastAsia="仿宋_GB2312" w:hAnsi="仿宋" w:cs="Times New Roman" w:hint="eastAsia"/>
          <w:sz w:val="32"/>
          <w:szCs w:val="32"/>
        </w:rPr>
        <w:t>规</w:t>
      </w:r>
      <w:proofErr w:type="gramEnd"/>
      <w:r>
        <w:rPr>
          <w:rFonts w:ascii="仿宋_GB2312" w:eastAsia="仿宋_GB2312" w:hAnsi="仿宋" w:cs="Times New Roman" w:hint="eastAsia"/>
          <w:sz w:val="32"/>
          <w:szCs w:val="32"/>
        </w:rPr>
        <w:t>性较好。在资金使用监管上，能够落实重大支出集体研究制度，年度资金分配履行了相关报批手续。预算执行中，严格按照政府采购及单位采购管理制度和流程执行，未发现资金超范围、超标准支出的情况，审批手续严格规范。朝阳检察院部门预算编制的政策依据、测算依据、定额标准比较完整充分，资金分配结果基本合理。资金支出控制在预算批复范围内，严格按照各项管理制度和要求履行审核、审批程序，资金使用合</w:t>
      </w:r>
      <w:proofErr w:type="gramStart"/>
      <w:r>
        <w:rPr>
          <w:rFonts w:ascii="仿宋_GB2312" w:eastAsia="仿宋_GB2312" w:hAnsi="仿宋" w:cs="Times New Roman" w:hint="eastAsia"/>
          <w:sz w:val="32"/>
          <w:szCs w:val="32"/>
        </w:rPr>
        <w:t>规</w:t>
      </w:r>
      <w:proofErr w:type="gramEnd"/>
      <w:r>
        <w:rPr>
          <w:rFonts w:ascii="仿宋_GB2312" w:eastAsia="仿宋_GB2312" w:hAnsi="仿宋" w:cs="Times New Roman" w:hint="eastAsia"/>
          <w:sz w:val="32"/>
          <w:szCs w:val="32"/>
        </w:rPr>
        <w:t>，资</w:t>
      </w:r>
      <w:r>
        <w:rPr>
          <w:rFonts w:ascii="仿宋_GB2312" w:eastAsia="仿宋_GB2312" w:hAnsi="宋体" w:cs="宋体" w:hint="eastAsia"/>
          <w:color w:val="000000"/>
          <w:kern w:val="0"/>
          <w:sz w:val="32"/>
          <w:szCs w:val="32"/>
        </w:rPr>
        <w:t>金管理安全。</w:t>
      </w:r>
      <w:r>
        <w:rPr>
          <w:rFonts w:ascii="仿宋_GB2312" w:eastAsia="仿宋_GB2312" w:hAnsi="仿宋" w:cs="Times New Roman" w:hint="eastAsia"/>
          <w:sz w:val="32"/>
          <w:szCs w:val="32"/>
        </w:rPr>
        <w:t>会计核算</w:t>
      </w:r>
      <w:r>
        <w:rPr>
          <w:rFonts w:ascii="仿宋_GB2312" w:eastAsia="仿宋_GB2312" w:hAnsi="仿宋" w:cs="Times New Roman" w:hint="eastAsia"/>
          <w:sz w:val="32"/>
          <w:szCs w:val="32"/>
        </w:rPr>
        <w:lastRenderedPageBreak/>
        <w:t>方面，专款专用，项目资金在统一会计账簿中按照项目明细单独核算，会计凭证资料保存完整、装订规范。</w:t>
      </w:r>
    </w:p>
    <w:p w:rsidR="00255F6D" w:rsidRDefault="0066192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kern w:val="0"/>
          <w:sz w:val="32"/>
          <w:szCs w:val="32"/>
        </w:rPr>
        <w:t>3.</w:t>
      </w:r>
      <w:r>
        <w:rPr>
          <w:rFonts w:ascii="仿宋_GB2312" w:eastAsia="仿宋_GB2312" w:hAnsi="宋体" w:cs="宋体" w:hint="eastAsia"/>
          <w:kern w:val="0"/>
          <w:sz w:val="32"/>
          <w:szCs w:val="32"/>
        </w:rPr>
        <w:t>会计</w:t>
      </w:r>
      <w:r>
        <w:rPr>
          <w:rFonts w:ascii="仿宋_GB2312" w:eastAsia="仿宋_GB2312" w:hAnsi="宋体" w:cs="宋体"/>
          <w:kern w:val="0"/>
          <w:sz w:val="32"/>
          <w:szCs w:val="32"/>
        </w:rPr>
        <w:t>基础信息完善性</w:t>
      </w:r>
    </w:p>
    <w:p w:rsidR="00255F6D" w:rsidRDefault="00661926">
      <w:pPr>
        <w:spacing w:line="560" w:lineRule="exact"/>
        <w:ind w:firstLineChars="200" w:firstLine="640"/>
        <w:rPr>
          <w:rFonts w:ascii="仿宋" w:eastAsia="仿宋" w:hAnsi="仿宋" w:cs="仿宋"/>
          <w:color w:val="000000"/>
          <w:kern w:val="0"/>
          <w:sz w:val="32"/>
          <w:szCs w:val="32"/>
        </w:rPr>
      </w:pPr>
      <w:r>
        <w:rPr>
          <w:rFonts w:ascii="仿宋_GB2312" w:eastAsia="仿宋_GB2312" w:hAnsi="宋体" w:cs="宋体" w:hint="eastAsia"/>
          <w:color w:val="000000"/>
          <w:kern w:val="0"/>
          <w:sz w:val="32"/>
          <w:szCs w:val="32"/>
        </w:rPr>
        <w:t>朝阳检察院根据自身业务核算特点，为保证会计基础信息的完善性，严格执行《政府会计制度》规范使用会计科目，保障基础数据信息和会计信息资料真实、完整、准确。同时，不断加强财会队伍建设，提高会计人员的综合素质；严肃财经纪律，加大执法力度。</w:t>
      </w:r>
    </w:p>
    <w:p w:rsidR="00255F6D" w:rsidRDefault="00661926" w:rsidP="00166005">
      <w:pPr>
        <w:spacing w:line="560" w:lineRule="exact"/>
        <w:ind w:firstLineChars="200" w:firstLine="641"/>
        <w:outlineLvl w:val="1"/>
        <w:rPr>
          <w:rFonts w:ascii="楷体_GB2312" w:eastAsia="楷体_GB2312"/>
          <w:b/>
          <w:bCs/>
          <w:sz w:val="32"/>
          <w:szCs w:val="32"/>
        </w:rPr>
      </w:pPr>
      <w:bookmarkStart w:id="18" w:name="_Toc31287"/>
      <w:r>
        <w:rPr>
          <w:rFonts w:ascii="楷体_GB2312" w:eastAsia="楷体_GB2312" w:hint="eastAsia"/>
          <w:b/>
          <w:bCs/>
          <w:sz w:val="32"/>
          <w:szCs w:val="32"/>
        </w:rPr>
        <w:t>（二）资产管理</w:t>
      </w:r>
      <w:bookmarkEnd w:id="18"/>
    </w:p>
    <w:p w:rsidR="00255F6D" w:rsidRDefault="0066192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根据《行政单位国有资产管理暂行办法》和《行政事业单位固定资产管理暂行办法》及财政部相关规定，结合单位实际情况，朝阳检察院制定了《北京市朝阳区人民检察院国有资产管理办法》，明确了资产管理部门及职责、资产配置、资产管理、资产处置、资产出租出借等相关要求，规范和加强了单位各部门的资产管理工作，维护了国有资产的安全完整、合理配置和有效利用。</w:t>
      </w:r>
    </w:p>
    <w:p w:rsidR="00255F6D" w:rsidRDefault="0066192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截至2024年12月31日，朝阳检察院资产总额（账面净值，下同）38,308.03万元，较上年减少2.15%。负债总额741.11万元,较上年增长170.55%。净资产37,566.92万元,较上年减少3.37%。</w:t>
      </w:r>
    </w:p>
    <w:p w:rsidR="00255F6D" w:rsidRDefault="00661926" w:rsidP="00166005">
      <w:pPr>
        <w:spacing w:line="560" w:lineRule="exact"/>
        <w:ind w:leftChars="152" w:left="319" w:firstLineChars="100" w:firstLine="320"/>
        <w:outlineLvl w:val="1"/>
        <w:rPr>
          <w:rFonts w:ascii="楷体_GB2312" w:eastAsia="楷体_GB2312"/>
          <w:b/>
          <w:bCs/>
          <w:sz w:val="32"/>
          <w:szCs w:val="32"/>
        </w:rPr>
      </w:pPr>
      <w:bookmarkStart w:id="19" w:name="_Toc1920"/>
      <w:r>
        <w:rPr>
          <w:rFonts w:ascii="楷体_GB2312" w:eastAsia="楷体_GB2312" w:hint="eastAsia"/>
          <w:b/>
          <w:bCs/>
          <w:sz w:val="32"/>
          <w:szCs w:val="32"/>
        </w:rPr>
        <w:t>（三）绩效管理</w:t>
      </w:r>
      <w:bookmarkEnd w:id="19"/>
    </w:p>
    <w:p w:rsidR="00255F6D" w:rsidRDefault="0066192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根据</w:t>
      </w:r>
      <w:r>
        <w:rPr>
          <w:rFonts w:ascii="仿宋_GB2312" w:eastAsia="仿宋_GB2312" w:hAnsi="仿宋" w:cs="仿宋" w:hint="eastAsia"/>
          <w:kern w:val="0"/>
          <w:sz w:val="32"/>
          <w:szCs w:val="32"/>
        </w:rPr>
        <w:t>《中共北京市委 北京市人民政府关于全面实施预算绩效管理的实施意见》(</w:t>
      </w:r>
      <w:bookmarkStart w:id="20" w:name="_GoBack"/>
      <w:bookmarkEnd w:id="20"/>
      <w:r>
        <w:rPr>
          <w:rFonts w:ascii="仿宋_GB2312" w:eastAsia="仿宋_GB2312" w:hAnsi="仿宋" w:cs="仿宋" w:hint="eastAsia"/>
          <w:kern w:val="0"/>
          <w:sz w:val="32"/>
          <w:szCs w:val="32"/>
        </w:rPr>
        <w:t>京发〔2019〕12号)及《北京市财政局关于2023年推进全面实施预算绩效管理工作的通知》</w:t>
      </w:r>
      <w:r>
        <w:rPr>
          <w:rFonts w:ascii="仿宋_GB2312" w:eastAsia="仿宋_GB2312" w:hAnsi="宋体" w:cs="宋体" w:hint="eastAsia"/>
          <w:kern w:val="0"/>
          <w:sz w:val="32"/>
          <w:szCs w:val="32"/>
        </w:rPr>
        <w:lastRenderedPageBreak/>
        <w:t>文件要求，朝阳检察院积极</w:t>
      </w:r>
      <w:proofErr w:type="gramStart"/>
      <w:r>
        <w:rPr>
          <w:rFonts w:ascii="仿宋_GB2312" w:eastAsia="仿宋_GB2312" w:hAnsi="宋体" w:cs="宋体" w:hint="eastAsia"/>
          <w:kern w:val="0"/>
          <w:sz w:val="32"/>
          <w:szCs w:val="32"/>
        </w:rPr>
        <w:t>落实全</w:t>
      </w:r>
      <w:proofErr w:type="gramEnd"/>
      <w:r>
        <w:rPr>
          <w:rFonts w:ascii="仿宋_GB2312" w:eastAsia="仿宋_GB2312" w:hAnsi="宋体" w:cs="宋体" w:hint="eastAsia"/>
          <w:kern w:val="0"/>
          <w:sz w:val="32"/>
          <w:szCs w:val="32"/>
        </w:rPr>
        <w:t>过程预算绩效管理工作。</w:t>
      </w:r>
      <w:r>
        <w:rPr>
          <w:rFonts w:ascii="仿宋_GB2312" w:eastAsia="仿宋_GB2312" w:hAnsi="宋体" w:cs="宋体" w:hint="eastAsia"/>
          <w:b/>
          <w:bCs/>
          <w:kern w:val="0"/>
          <w:sz w:val="32"/>
          <w:szCs w:val="32"/>
        </w:rPr>
        <w:t>一是</w:t>
      </w:r>
      <w:r>
        <w:rPr>
          <w:rFonts w:ascii="仿宋_GB2312" w:eastAsia="仿宋_GB2312" w:hAnsi="宋体" w:cs="宋体" w:hint="eastAsia"/>
          <w:kern w:val="0"/>
          <w:sz w:val="32"/>
          <w:szCs w:val="32"/>
        </w:rPr>
        <w:t>对纳入部门预算管理的所有项目均开展绩效自评工作，实现绩效评价“全覆盖”，选定“信息化运维费”项目开展重点评价，同步开展部门整体绩效评价工作。</w:t>
      </w:r>
      <w:r>
        <w:rPr>
          <w:rFonts w:ascii="仿宋_GB2312" w:eastAsia="仿宋_GB2312" w:hAnsi="宋体" w:cs="宋体" w:hint="eastAsia"/>
          <w:b/>
          <w:bCs/>
          <w:kern w:val="0"/>
          <w:sz w:val="32"/>
          <w:szCs w:val="32"/>
        </w:rPr>
        <w:t>二是</w:t>
      </w:r>
      <w:r>
        <w:rPr>
          <w:rFonts w:ascii="仿宋_GB2312" w:eastAsia="仿宋_GB2312" w:hAnsi="宋体" w:cs="宋体" w:hint="eastAsia"/>
          <w:kern w:val="0"/>
          <w:sz w:val="32"/>
          <w:szCs w:val="32"/>
        </w:rPr>
        <w:t>组织对纳入绩效管理的所有项目上半年执行情况实施绩效监控，并按要求选取部门内重点项目进行全面分析。对项目的绩效目标实现程度、项目预算资金拨款到位情况及预算执行情况，进行绩效监控，提高预算执行效力和项目资金使用效率。对偏离绩效目标项目和预期无效项目及时采取措施予以纠正。</w:t>
      </w:r>
      <w:r>
        <w:rPr>
          <w:rFonts w:ascii="仿宋_GB2312" w:eastAsia="仿宋_GB2312" w:hAnsi="宋体" w:cs="宋体" w:hint="eastAsia"/>
          <w:b/>
          <w:bCs/>
          <w:kern w:val="0"/>
          <w:sz w:val="32"/>
          <w:szCs w:val="32"/>
        </w:rPr>
        <w:t>三是</w:t>
      </w:r>
      <w:r>
        <w:rPr>
          <w:rFonts w:ascii="仿宋_GB2312" w:eastAsia="仿宋_GB2312" w:hAnsi="宋体" w:cs="宋体" w:hint="eastAsia"/>
          <w:kern w:val="0"/>
          <w:sz w:val="32"/>
          <w:szCs w:val="32"/>
        </w:rPr>
        <w:t>加强继续目标管理，依据单位年度支出情况，参照中央主管部门分行业分领域核心指标设置情况，对照预算一体化系统中的绩效指标库，梳理单位预算支出核心绩效指标及绩效标准，建立了单位的绩效指标和标准体系，并按要求进行动态管理。</w:t>
      </w:r>
    </w:p>
    <w:p w:rsidR="00255F6D" w:rsidRDefault="00661926">
      <w:pPr>
        <w:spacing w:line="560" w:lineRule="exact"/>
        <w:ind w:leftChars="50" w:left="105" w:firstLineChars="150" w:firstLine="480"/>
        <w:rPr>
          <w:rFonts w:ascii="楷体_GB2312" w:eastAsia="楷体_GB2312"/>
          <w:sz w:val="32"/>
          <w:szCs w:val="32"/>
        </w:rPr>
      </w:pPr>
      <w:r>
        <w:rPr>
          <w:rFonts w:ascii="仿宋_GB2312" w:eastAsia="仿宋_GB2312" w:hAnsi="宋体" w:cs="宋体" w:hint="eastAsia"/>
          <w:color w:val="000000"/>
          <w:kern w:val="0"/>
          <w:sz w:val="32"/>
          <w:szCs w:val="32"/>
        </w:rPr>
        <w:t>朝阳检察院全面树立预算绩效管理意识，</w:t>
      </w:r>
      <w:r>
        <w:rPr>
          <w:rFonts w:ascii="仿宋_GB2312" w:eastAsia="仿宋_GB2312" w:hAnsi="宋体" w:cs="宋体" w:hint="eastAsia"/>
          <w:kern w:val="0"/>
          <w:sz w:val="32"/>
          <w:szCs w:val="32"/>
        </w:rPr>
        <w:t>坚持做到预算编制有目标、执行过程有监控、预算完成有评价，不断强化绩效理念并逐步融入预算编制、执行、公开全过程，将降成本、</w:t>
      </w:r>
      <w:proofErr w:type="gramStart"/>
      <w:r>
        <w:rPr>
          <w:rFonts w:ascii="仿宋_GB2312" w:eastAsia="仿宋_GB2312" w:hAnsi="宋体" w:cs="宋体" w:hint="eastAsia"/>
          <w:kern w:val="0"/>
          <w:sz w:val="32"/>
          <w:szCs w:val="32"/>
        </w:rPr>
        <w:t>提效益</w:t>
      </w:r>
      <w:proofErr w:type="gramEnd"/>
      <w:r>
        <w:rPr>
          <w:rFonts w:ascii="仿宋_GB2312" w:eastAsia="仿宋_GB2312" w:hAnsi="宋体" w:cs="宋体" w:hint="eastAsia"/>
          <w:kern w:val="0"/>
          <w:sz w:val="32"/>
          <w:szCs w:val="32"/>
        </w:rPr>
        <w:t>的理念贯穿于各项工作当中</w:t>
      </w:r>
      <w:r>
        <w:rPr>
          <w:rFonts w:ascii="仿宋" w:eastAsia="仿宋_GB2312" w:hAnsi="仿宋" w:hint="eastAsia"/>
          <w:sz w:val="32"/>
          <w:szCs w:val="22"/>
        </w:rPr>
        <w:t>。</w:t>
      </w:r>
    </w:p>
    <w:p w:rsidR="00255F6D" w:rsidRDefault="00661926" w:rsidP="00166005">
      <w:pPr>
        <w:spacing w:line="560" w:lineRule="exact"/>
        <w:ind w:firstLineChars="200" w:firstLine="641"/>
        <w:outlineLvl w:val="1"/>
        <w:rPr>
          <w:rFonts w:ascii="楷体_GB2312" w:eastAsia="楷体_GB2312"/>
          <w:b/>
          <w:bCs/>
          <w:sz w:val="32"/>
          <w:szCs w:val="32"/>
        </w:rPr>
      </w:pPr>
      <w:bookmarkStart w:id="21" w:name="_Toc21773"/>
      <w:r>
        <w:rPr>
          <w:rFonts w:ascii="楷体_GB2312" w:eastAsia="楷体_GB2312" w:hint="eastAsia"/>
          <w:b/>
          <w:bCs/>
          <w:sz w:val="32"/>
          <w:szCs w:val="32"/>
        </w:rPr>
        <w:t>（四）结转结余率</w:t>
      </w:r>
      <w:bookmarkEnd w:id="21"/>
    </w:p>
    <w:p w:rsidR="00255F6D" w:rsidRDefault="00661926">
      <w:pPr>
        <w:spacing w:line="560" w:lineRule="exact"/>
        <w:ind w:firstLineChars="200" w:firstLine="640"/>
        <w:rPr>
          <w:rFonts w:ascii="楷体_GB2312" w:eastAsia="仿宋_GB2312"/>
          <w:sz w:val="32"/>
          <w:szCs w:val="32"/>
        </w:rPr>
      </w:pPr>
      <w:r>
        <w:rPr>
          <w:rFonts w:ascii="仿宋_GB2312" w:eastAsia="仿宋_GB2312" w:hAnsi="宋体" w:cs="宋体" w:hint="eastAsia"/>
          <w:kern w:val="0"/>
          <w:sz w:val="32"/>
          <w:szCs w:val="32"/>
        </w:rPr>
        <w:t>2024年，全年预算数为18843.54万元，年末结余结转金额为583.72万元，结余结转率3.10%。本年结转结余率3.42%较上年减少0.32%。</w:t>
      </w:r>
    </w:p>
    <w:p w:rsidR="00255F6D" w:rsidRDefault="00661926" w:rsidP="00166005">
      <w:pPr>
        <w:spacing w:line="560" w:lineRule="exact"/>
        <w:ind w:firstLineChars="200" w:firstLine="641"/>
        <w:outlineLvl w:val="1"/>
        <w:rPr>
          <w:rFonts w:ascii="楷体_GB2312" w:eastAsia="楷体_GB2312"/>
          <w:b/>
          <w:bCs/>
          <w:sz w:val="32"/>
          <w:szCs w:val="32"/>
        </w:rPr>
      </w:pPr>
      <w:bookmarkStart w:id="22" w:name="_Toc31387"/>
      <w:r>
        <w:rPr>
          <w:rFonts w:ascii="楷体_GB2312" w:eastAsia="楷体_GB2312" w:hint="eastAsia"/>
          <w:b/>
          <w:bCs/>
          <w:sz w:val="32"/>
          <w:szCs w:val="32"/>
        </w:rPr>
        <w:t>（五）部门预决算差异率</w:t>
      </w:r>
      <w:bookmarkEnd w:id="22"/>
    </w:p>
    <w:p w:rsidR="00255F6D" w:rsidRDefault="0066192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2024年年初预算数为18493.16万元，决算数为</w:t>
      </w:r>
      <w:r>
        <w:rPr>
          <w:rFonts w:ascii="仿宋_GB2312" w:eastAsia="仿宋_GB2312" w:hAnsi="宋体" w:cs="宋体" w:hint="eastAsia"/>
          <w:kern w:val="0"/>
          <w:sz w:val="32"/>
          <w:szCs w:val="32"/>
        </w:rPr>
        <w:lastRenderedPageBreak/>
        <w:t>18259.82万元，差额为233.34万元,部门预决算差异率控制情况较好，预算管理水平不断提升。</w:t>
      </w:r>
    </w:p>
    <w:p w:rsidR="00255F6D" w:rsidRDefault="00661926" w:rsidP="002B2D47">
      <w:pPr>
        <w:spacing w:beforeLines="50" w:afterLines="50" w:line="600" w:lineRule="exact"/>
        <w:ind w:firstLineChars="200" w:firstLine="640"/>
        <w:outlineLvl w:val="0"/>
        <w:rPr>
          <w:rFonts w:ascii="黑体" w:eastAsia="黑体" w:hAnsi="黑体"/>
          <w:sz w:val="32"/>
          <w:szCs w:val="32"/>
        </w:rPr>
      </w:pPr>
      <w:bookmarkStart w:id="23" w:name="_Toc21506"/>
      <w:r>
        <w:rPr>
          <w:rFonts w:ascii="黑体" w:eastAsia="黑体" w:hAnsi="黑体" w:hint="eastAsia"/>
          <w:sz w:val="32"/>
          <w:szCs w:val="32"/>
        </w:rPr>
        <w:t>五、总体</w:t>
      </w:r>
      <w:r>
        <w:rPr>
          <w:rFonts w:ascii="黑体" w:eastAsia="黑体" w:hAnsi="黑体" w:cs="宋体" w:hint="eastAsia"/>
          <w:kern w:val="0"/>
          <w:sz w:val="32"/>
          <w:szCs w:val="32"/>
        </w:rPr>
        <w:t>评价</w:t>
      </w:r>
      <w:r>
        <w:rPr>
          <w:rFonts w:ascii="黑体" w:eastAsia="黑体" w:hAnsi="黑体"/>
          <w:sz w:val="32"/>
          <w:szCs w:val="32"/>
        </w:rPr>
        <w:t>结论</w:t>
      </w:r>
      <w:bookmarkEnd w:id="23"/>
    </w:p>
    <w:p w:rsidR="00255F6D" w:rsidRDefault="00661926" w:rsidP="00166005">
      <w:pPr>
        <w:spacing w:line="560" w:lineRule="exact"/>
        <w:ind w:firstLineChars="200" w:firstLine="641"/>
        <w:outlineLvl w:val="1"/>
        <w:rPr>
          <w:rFonts w:ascii="楷体_GB2312" w:eastAsia="楷体_GB2312"/>
          <w:b/>
          <w:bCs/>
          <w:sz w:val="32"/>
          <w:szCs w:val="32"/>
        </w:rPr>
      </w:pPr>
      <w:bookmarkStart w:id="24" w:name="_Toc19340"/>
      <w:r>
        <w:rPr>
          <w:rFonts w:ascii="楷体_GB2312" w:eastAsia="楷体_GB2312" w:hint="eastAsia"/>
          <w:b/>
          <w:bCs/>
          <w:sz w:val="32"/>
          <w:szCs w:val="32"/>
        </w:rPr>
        <w:t>（一）评价得分情况</w:t>
      </w:r>
      <w:bookmarkEnd w:id="24"/>
    </w:p>
    <w:p w:rsidR="00255F6D" w:rsidRDefault="0066192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2024年度</w:t>
      </w:r>
      <w:r>
        <w:rPr>
          <w:rFonts w:ascii="仿宋_GB2312" w:eastAsia="仿宋_GB2312" w:hAnsi="仿宋" w:cs="Times New Roman" w:hint="eastAsia"/>
          <w:sz w:val="32"/>
          <w:szCs w:val="32"/>
        </w:rPr>
        <w:t>，朝阳检察院</w:t>
      </w:r>
      <w:r>
        <w:rPr>
          <w:rFonts w:ascii="仿宋_GB2312" w:eastAsia="仿宋_GB2312" w:hAnsi="宋体" w:cs="宋体" w:hint="eastAsia"/>
          <w:kern w:val="0"/>
          <w:sz w:val="32"/>
          <w:szCs w:val="32"/>
        </w:rPr>
        <w:t>整体支出绩效评价综合得分96.07分，其中当年预算执行情况19.38分、整体绩效目标实现情况56.69分、预算管理情况20分，绩效评定结论为“优”。具体情况详见下表。</w:t>
      </w:r>
    </w:p>
    <w:tbl>
      <w:tblP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3237"/>
        <w:gridCol w:w="2610"/>
        <w:gridCol w:w="2611"/>
      </w:tblGrid>
      <w:tr w:rsidR="00255F6D">
        <w:trPr>
          <w:cantSplit/>
          <w:trHeight w:val="855"/>
        </w:trPr>
        <w:tc>
          <w:tcPr>
            <w:tcW w:w="3237"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评价内容</w:t>
            </w:r>
          </w:p>
        </w:tc>
        <w:tc>
          <w:tcPr>
            <w:tcW w:w="2610"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分值</w:t>
            </w:r>
          </w:p>
        </w:tc>
        <w:tc>
          <w:tcPr>
            <w:tcW w:w="2611"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评价得分</w:t>
            </w:r>
          </w:p>
        </w:tc>
      </w:tr>
      <w:tr w:rsidR="00255F6D">
        <w:trPr>
          <w:cantSplit/>
          <w:trHeight w:val="685"/>
        </w:trPr>
        <w:tc>
          <w:tcPr>
            <w:tcW w:w="3237" w:type="dxa"/>
            <w:shd w:val="clear" w:color="auto" w:fill="auto"/>
            <w:vAlign w:val="center"/>
          </w:tcPr>
          <w:p w:rsidR="00255F6D" w:rsidRDefault="00661926">
            <w:pPr>
              <w:pStyle w:val="a3"/>
              <w:adjustRightInd w:val="0"/>
              <w:snapToGrid w:val="0"/>
              <w:ind w:firstLineChars="0" w:firstLine="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当年预算执行情况</w:t>
            </w:r>
          </w:p>
        </w:tc>
        <w:tc>
          <w:tcPr>
            <w:tcW w:w="2610"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20.00</w:t>
            </w:r>
          </w:p>
        </w:tc>
        <w:tc>
          <w:tcPr>
            <w:tcW w:w="2611"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19.38</w:t>
            </w:r>
          </w:p>
        </w:tc>
      </w:tr>
      <w:tr w:rsidR="00255F6D">
        <w:trPr>
          <w:cantSplit/>
          <w:trHeight w:val="499"/>
        </w:trPr>
        <w:tc>
          <w:tcPr>
            <w:tcW w:w="3237"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整体绩效目标实现情况</w:t>
            </w:r>
          </w:p>
        </w:tc>
        <w:tc>
          <w:tcPr>
            <w:tcW w:w="2610"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60.00</w:t>
            </w:r>
          </w:p>
        </w:tc>
        <w:tc>
          <w:tcPr>
            <w:tcW w:w="2611"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56.69</w:t>
            </w:r>
          </w:p>
        </w:tc>
      </w:tr>
      <w:tr w:rsidR="00255F6D">
        <w:trPr>
          <w:cantSplit/>
          <w:trHeight w:val="468"/>
        </w:trPr>
        <w:tc>
          <w:tcPr>
            <w:tcW w:w="3237"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预算管理情况</w:t>
            </w:r>
          </w:p>
        </w:tc>
        <w:tc>
          <w:tcPr>
            <w:tcW w:w="2610"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20.00</w:t>
            </w:r>
          </w:p>
        </w:tc>
        <w:tc>
          <w:tcPr>
            <w:tcW w:w="2611"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20.00</w:t>
            </w:r>
          </w:p>
        </w:tc>
      </w:tr>
      <w:tr w:rsidR="00255F6D">
        <w:trPr>
          <w:cantSplit/>
          <w:trHeight w:val="462"/>
        </w:trPr>
        <w:tc>
          <w:tcPr>
            <w:tcW w:w="3237"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综合得分</w:t>
            </w:r>
          </w:p>
        </w:tc>
        <w:tc>
          <w:tcPr>
            <w:tcW w:w="2610"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100.00</w:t>
            </w:r>
          </w:p>
        </w:tc>
        <w:tc>
          <w:tcPr>
            <w:tcW w:w="2611"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96.07</w:t>
            </w:r>
          </w:p>
        </w:tc>
      </w:tr>
      <w:tr w:rsidR="00255F6D">
        <w:trPr>
          <w:cantSplit/>
          <w:trHeight w:val="474"/>
        </w:trPr>
        <w:tc>
          <w:tcPr>
            <w:tcW w:w="3237" w:type="dxa"/>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绩效评定级别</w:t>
            </w:r>
          </w:p>
        </w:tc>
        <w:tc>
          <w:tcPr>
            <w:tcW w:w="5221" w:type="dxa"/>
            <w:gridSpan w:val="2"/>
            <w:shd w:val="clear" w:color="auto" w:fill="auto"/>
            <w:vAlign w:val="center"/>
          </w:tcPr>
          <w:p w:rsidR="00255F6D" w:rsidRDefault="00661926">
            <w:pPr>
              <w:adjustRightInd w:val="0"/>
              <w:snapToGrid w:val="0"/>
              <w:jc w:val="center"/>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bCs/>
                <w:sz w:val="28"/>
                <w:szCs w:val="28"/>
              </w:rPr>
              <w:t>优</w:t>
            </w:r>
          </w:p>
        </w:tc>
      </w:tr>
    </w:tbl>
    <w:p w:rsidR="00255F6D" w:rsidRDefault="00661926" w:rsidP="00166005">
      <w:pPr>
        <w:spacing w:line="560" w:lineRule="exact"/>
        <w:ind w:firstLineChars="200" w:firstLine="641"/>
        <w:outlineLvl w:val="1"/>
        <w:rPr>
          <w:rFonts w:ascii="楷体_GB2312" w:eastAsia="楷体_GB2312"/>
          <w:b/>
          <w:bCs/>
          <w:sz w:val="32"/>
          <w:szCs w:val="32"/>
        </w:rPr>
      </w:pPr>
      <w:bookmarkStart w:id="25" w:name="_Toc29659"/>
      <w:r>
        <w:rPr>
          <w:rFonts w:ascii="楷体_GB2312" w:eastAsia="楷体_GB2312" w:hint="eastAsia"/>
          <w:b/>
          <w:bCs/>
          <w:sz w:val="32"/>
          <w:szCs w:val="32"/>
        </w:rPr>
        <w:t>（二）存在的问题及原因分析</w:t>
      </w:r>
      <w:bookmarkEnd w:id="25"/>
    </w:p>
    <w:p w:rsidR="00255F6D" w:rsidRDefault="00661926">
      <w:pPr>
        <w:spacing w:line="560" w:lineRule="exact"/>
        <w:ind w:firstLineChars="200" w:firstLine="640"/>
        <w:rPr>
          <w:rFonts w:ascii="黑体" w:eastAsia="黑体" w:hAnsi="黑体" w:cs="宋体"/>
          <w:kern w:val="0"/>
          <w:sz w:val="32"/>
          <w:szCs w:val="32"/>
          <w:highlight w:val="yellow"/>
        </w:rPr>
      </w:pPr>
      <w:r>
        <w:rPr>
          <w:rFonts w:ascii="仿宋_GB2312" w:eastAsia="仿宋_GB2312" w:hAnsi="宋体" w:cs="宋体" w:hint="eastAsia"/>
          <w:kern w:val="0"/>
          <w:sz w:val="32"/>
          <w:szCs w:val="32"/>
        </w:rPr>
        <w:t>整体绩效指标设置不够细化量化。绩效指标的设置与指标</w:t>
      </w:r>
      <w:proofErr w:type="gramStart"/>
      <w:r>
        <w:rPr>
          <w:rFonts w:ascii="仿宋_GB2312" w:eastAsia="仿宋_GB2312" w:hAnsi="宋体" w:cs="宋体" w:hint="eastAsia"/>
          <w:kern w:val="0"/>
          <w:sz w:val="32"/>
          <w:szCs w:val="32"/>
        </w:rPr>
        <w:t>值不够</w:t>
      </w:r>
      <w:proofErr w:type="gramEnd"/>
      <w:r>
        <w:rPr>
          <w:rFonts w:ascii="仿宋_GB2312" w:eastAsia="仿宋_GB2312" w:hAnsi="宋体" w:cs="宋体" w:hint="eastAsia"/>
          <w:kern w:val="0"/>
          <w:sz w:val="32"/>
          <w:szCs w:val="32"/>
        </w:rPr>
        <w:t>匹配，指标可衡量评价性不足。</w:t>
      </w:r>
    </w:p>
    <w:p w:rsidR="00255F6D" w:rsidRDefault="00661926" w:rsidP="002B2D47">
      <w:pPr>
        <w:spacing w:beforeLines="50" w:afterLines="50" w:line="600" w:lineRule="exact"/>
        <w:ind w:firstLineChars="200" w:firstLine="640"/>
        <w:outlineLvl w:val="0"/>
        <w:rPr>
          <w:rFonts w:ascii="仿宋_GB2312" w:eastAsia="仿宋_GB2312" w:hAnsi="宋体" w:cs="宋体"/>
          <w:kern w:val="0"/>
          <w:sz w:val="32"/>
          <w:szCs w:val="32"/>
        </w:rPr>
      </w:pPr>
      <w:bookmarkStart w:id="26" w:name="_Toc16278"/>
      <w:r>
        <w:rPr>
          <w:rFonts w:ascii="黑体" w:eastAsia="黑体" w:hAnsi="黑体" w:cs="宋体" w:hint="eastAsia"/>
          <w:kern w:val="0"/>
          <w:sz w:val="32"/>
          <w:szCs w:val="32"/>
        </w:rPr>
        <w:t>六、措施建议</w:t>
      </w:r>
      <w:bookmarkEnd w:id="26"/>
    </w:p>
    <w:p w:rsidR="00255F6D" w:rsidRDefault="0066192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建议在设置整体绩效指标时，围绕部门职责职能核心工作，从中概括、提炼出最能反映项目预期实现程度的关键性指标，将其确定为相应的绩效指标，并通过收集资料相关基础数据，结合检察事业预期进展、预计投入等情况，制定可衡量的绩效指标值标准。</w:t>
      </w:r>
    </w:p>
    <w:p w:rsidR="00255F6D" w:rsidRDefault="00661926" w:rsidP="002B2D47">
      <w:pPr>
        <w:spacing w:beforeLines="50" w:afterLines="50" w:line="600" w:lineRule="exact"/>
        <w:ind w:firstLineChars="200" w:firstLine="640"/>
        <w:outlineLvl w:val="0"/>
        <w:rPr>
          <w:rFonts w:ascii="黑体" w:eastAsia="黑体" w:hAnsi="黑体" w:cs="宋体"/>
          <w:kern w:val="0"/>
          <w:sz w:val="32"/>
          <w:szCs w:val="32"/>
        </w:rPr>
      </w:pPr>
      <w:bookmarkStart w:id="27" w:name="_Toc31264"/>
      <w:r>
        <w:rPr>
          <w:rFonts w:ascii="黑体" w:eastAsia="黑体" w:hAnsi="黑体" w:cs="宋体" w:hint="eastAsia"/>
          <w:kern w:val="0"/>
          <w:sz w:val="32"/>
          <w:szCs w:val="32"/>
        </w:rPr>
        <w:lastRenderedPageBreak/>
        <w:t>七、附件</w:t>
      </w:r>
      <w:bookmarkEnd w:id="27"/>
    </w:p>
    <w:p w:rsidR="00255F6D" w:rsidRDefault="00661926">
      <w:pPr>
        <w:pStyle w:val="a3"/>
        <w:ind w:firstLineChars="300" w:firstLine="960"/>
      </w:pPr>
      <w:r>
        <w:rPr>
          <w:rFonts w:ascii="仿宋_GB2312" w:eastAsia="仿宋_GB2312" w:hAnsi="仿宋_GB2312" w:cs="仿宋_GB2312" w:hint="eastAsia"/>
          <w:color w:val="000000"/>
          <w:kern w:val="0"/>
          <w:sz w:val="32"/>
          <w:szCs w:val="32"/>
        </w:rPr>
        <w:t>附件：2024年度部门整体绩效评价指标体系评分表</w:t>
      </w:r>
    </w:p>
    <w:p w:rsidR="00255F6D" w:rsidRDefault="00255F6D">
      <w:pPr>
        <w:spacing w:line="600" w:lineRule="exact"/>
        <w:ind w:firstLineChars="200" w:firstLine="640"/>
        <w:rPr>
          <w:rFonts w:ascii="黑体" w:eastAsia="黑体" w:hAnsi="黑体" w:cs="宋体"/>
          <w:kern w:val="0"/>
          <w:sz w:val="32"/>
          <w:szCs w:val="32"/>
        </w:rPr>
        <w:sectPr w:rsidR="00255F6D">
          <w:footerReference w:type="default" r:id="rId8"/>
          <w:pgSz w:w="11906" w:h="16838"/>
          <w:pgMar w:top="1440" w:right="1800" w:bottom="1440" w:left="1800" w:header="851" w:footer="992" w:gutter="0"/>
          <w:pgNumType w:start="1"/>
          <w:cols w:space="425"/>
          <w:docGrid w:type="lines" w:linePitch="312"/>
        </w:sectPr>
      </w:pPr>
    </w:p>
    <w:p w:rsidR="00255F6D" w:rsidRDefault="00661926">
      <w:pPr>
        <w:spacing w:line="600" w:lineRule="exact"/>
        <w:ind w:firstLineChars="200" w:firstLine="640"/>
        <w:rPr>
          <w:rFonts w:ascii="黑体" w:eastAsia="黑体" w:hAnsi="黑体" w:cs="宋体"/>
          <w:kern w:val="0"/>
          <w:sz w:val="32"/>
          <w:szCs w:val="32"/>
        </w:rPr>
      </w:pPr>
      <w:r>
        <w:rPr>
          <w:rFonts w:ascii="仿宋_GB2312" w:eastAsia="仿宋_GB2312" w:hAnsi="仿宋_GB2312" w:cs="仿宋_GB2312" w:hint="eastAsia"/>
          <w:kern w:val="0"/>
          <w:sz w:val="32"/>
          <w:szCs w:val="32"/>
        </w:rPr>
        <w:lastRenderedPageBreak/>
        <w:t>附件：</w:t>
      </w:r>
      <w:r>
        <w:rPr>
          <w:rFonts w:ascii="仿宋_GB2312" w:eastAsia="仿宋_GB2312" w:hAnsi="仿宋_GB2312" w:cs="仿宋_GB2312" w:hint="eastAsia"/>
          <w:color w:val="000000"/>
          <w:kern w:val="0"/>
          <w:sz w:val="32"/>
          <w:szCs w:val="32"/>
        </w:rPr>
        <w:t>2024年度部门整体绩效评价指标体系评分表</w:t>
      </w:r>
    </w:p>
    <w:tbl>
      <w:tblPr>
        <w:tblW w:w="4942" w:type="pct"/>
        <w:tblLook w:val="04A0"/>
      </w:tblPr>
      <w:tblGrid>
        <w:gridCol w:w="1183"/>
        <w:gridCol w:w="1192"/>
        <w:gridCol w:w="1151"/>
        <w:gridCol w:w="1069"/>
        <w:gridCol w:w="954"/>
        <w:gridCol w:w="898"/>
        <w:gridCol w:w="898"/>
        <w:gridCol w:w="3716"/>
        <w:gridCol w:w="3660"/>
      </w:tblGrid>
      <w:tr w:rsidR="00255F6D">
        <w:trPr>
          <w:trHeight w:val="736"/>
        </w:trPr>
        <w:tc>
          <w:tcPr>
            <w:tcW w:w="5000" w:type="pct"/>
            <w:gridSpan w:val="9"/>
            <w:tcBorders>
              <w:top w:val="nil"/>
              <w:left w:val="nil"/>
              <w:bottom w:val="single" w:sz="4" w:space="0" w:color="auto"/>
              <w:right w:val="nil"/>
            </w:tcBorders>
            <w:noWrap/>
            <w:vAlign w:val="bottom"/>
          </w:tcPr>
          <w:p w:rsidR="00255F6D" w:rsidRDefault="00661926">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32"/>
                <w:szCs w:val="32"/>
              </w:rPr>
              <w:t>2024年度部门整体绩效评价指标体系评分表</w:t>
            </w:r>
          </w:p>
        </w:tc>
      </w:tr>
      <w:tr w:rsidR="00255F6D">
        <w:trPr>
          <w:trHeight w:val="574"/>
        </w:trPr>
        <w:tc>
          <w:tcPr>
            <w:tcW w:w="5000" w:type="pct"/>
            <w:gridSpan w:val="9"/>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一、当年预算执行情况（20分）</w:t>
            </w:r>
          </w:p>
        </w:tc>
      </w:tr>
      <w:tr w:rsidR="00255F6D">
        <w:trPr>
          <w:trHeight w:val="798"/>
        </w:trPr>
        <w:tc>
          <w:tcPr>
            <w:tcW w:w="40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255F6D">
        <w:trPr>
          <w:trHeight w:val="763"/>
        </w:trPr>
        <w:tc>
          <w:tcPr>
            <w:tcW w:w="402"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kern w:val="0"/>
                <w:sz w:val="20"/>
                <w:szCs w:val="20"/>
              </w:rPr>
            </w:pPr>
            <w:r>
              <w:rPr>
                <w:rFonts w:ascii="宋体" w:hAnsi="宋体" w:cs="宋体" w:hint="eastAsia"/>
                <w:kern w:val="0"/>
                <w:sz w:val="20"/>
                <w:szCs w:val="20"/>
              </w:rPr>
              <w:t>18843.54</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18259.82</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96.9%　</w:t>
            </w:r>
          </w:p>
        </w:tc>
        <w:tc>
          <w:tcPr>
            <w:tcW w:w="305" w:type="pct"/>
            <w:vMerge w:val="restar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305" w:type="pct"/>
            <w:vMerge w:val="restar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19.38　</w:t>
            </w:r>
          </w:p>
        </w:tc>
        <w:tc>
          <w:tcPr>
            <w:tcW w:w="1262"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部门全年执行数与全年预算数的比率。资金总体</w:t>
            </w:r>
            <w:r>
              <w:rPr>
                <w:rFonts w:ascii="宋体" w:hAnsi="宋体" w:cs="宋体"/>
                <w:color w:val="000000"/>
                <w:kern w:val="0"/>
                <w:sz w:val="20"/>
                <w:szCs w:val="20"/>
              </w:rPr>
              <w:t>=基本支出+项目支出+其他</w:t>
            </w:r>
          </w:p>
        </w:tc>
        <w:tc>
          <w:tcPr>
            <w:tcW w:w="1240"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①得分一档最高不能超过该指标分值上限（</w:t>
            </w:r>
            <w:r>
              <w:rPr>
                <w:rFonts w:ascii="宋体" w:hAnsi="宋体" w:cs="宋体"/>
                <w:color w:val="000000"/>
                <w:kern w:val="0"/>
                <w:sz w:val="20"/>
                <w:szCs w:val="20"/>
              </w:rPr>
              <w:t>20分）。</w:t>
            </w:r>
            <w:r>
              <w:rPr>
                <w:rFonts w:ascii="宋体" w:hAnsi="宋体" w:cs="宋体"/>
                <w:color w:val="000000"/>
                <w:kern w:val="0"/>
                <w:sz w:val="20"/>
                <w:szCs w:val="20"/>
              </w:rPr>
              <w:br/>
            </w:r>
            <w:r>
              <w:rPr>
                <w:rFonts w:ascii="宋体" w:hAnsi="宋体" w:cs="宋体" w:hint="eastAsia"/>
                <w:color w:val="000000"/>
                <w:kern w:val="0"/>
                <w:sz w:val="20"/>
                <w:szCs w:val="20"/>
              </w:rPr>
              <w:t>②该指标若为正向指标，则得分计算方法应用全年实际值（</w:t>
            </w:r>
            <w:r>
              <w:rPr>
                <w:rFonts w:ascii="宋体" w:hAnsi="宋体" w:cs="宋体"/>
                <w:color w:val="000000"/>
                <w:kern w:val="0"/>
                <w:sz w:val="20"/>
                <w:szCs w:val="20"/>
              </w:rPr>
              <w:t>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255F6D">
        <w:trPr>
          <w:trHeight w:val="727"/>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14766.81</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14487.76</w:t>
            </w:r>
          </w:p>
        </w:tc>
        <w:tc>
          <w:tcPr>
            <w:tcW w:w="322"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6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40"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r>
      <w:tr w:rsidR="00255F6D">
        <w:trPr>
          <w:trHeight w:val="745"/>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4076.73</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3772.05</w:t>
            </w:r>
          </w:p>
        </w:tc>
        <w:tc>
          <w:tcPr>
            <w:tcW w:w="32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6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40"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r>
      <w:tr w:rsidR="00255F6D">
        <w:trPr>
          <w:trHeight w:val="3069"/>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2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6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40"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r>
      <w:tr w:rsidR="00255F6D">
        <w:trPr>
          <w:trHeight w:val="584"/>
        </w:trPr>
        <w:tc>
          <w:tcPr>
            <w:tcW w:w="5000" w:type="pct"/>
            <w:gridSpan w:val="9"/>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w:t>
            </w:r>
            <w:r>
              <w:rPr>
                <w:rFonts w:ascii="宋体" w:hAnsi="宋体" w:cs="宋体" w:hint="eastAsia"/>
                <w:color w:val="000000"/>
                <w:kern w:val="0"/>
                <w:sz w:val="20"/>
                <w:szCs w:val="20"/>
              </w:rPr>
              <w:t>整体绩效目标实现情况（60分）</w:t>
            </w:r>
          </w:p>
        </w:tc>
      </w:tr>
      <w:tr w:rsidR="00255F6D">
        <w:trPr>
          <w:trHeight w:val="608"/>
        </w:trPr>
        <w:tc>
          <w:tcPr>
            <w:tcW w:w="40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一</w:t>
            </w:r>
            <w:r>
              <w:rPr>
                <w:rFonts w:ascii="宋体" w:hAnsi="宋体" w:cs="宋体"/>
                <w:color w:val="000000"/>
                <w:kern w:val="0"/>
                <w:sz w:val="20"/>
                <w:szCs w:val="20"/>
              </w:rPr>
              <w:t>级指标</w:t>
            </w: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bCs/>
                <w:color w:val="000000"/>
                <w:kern w:val="0"/>
                <w:sz w:val="20"/>
                <w:szCs w:val="20"/>
              </w:rPr>
            </w:pPr>
            <w:r>
              <w:rPr>
                <w:rFonts w:ascii="宋体" w:hAnsi="宋体" w:cs="宋体" w:hint="eastAsia"/>
                <w:bCs/>
                <w:color w:val="000000"/>
                <w:kern w:val="0"/>
                <w:sz w:val="20"/>
                <w:szCs w:val="20"/>
              </w:rPr>
              <w:t>指标</w:t>
            </w:r>
            <w:r>
              <w:rPr>
                <w:rFonts w:ascii="宋体" w:hAnsi="宋体" w:cs="宋体"/>
                <w:bCs/>
                <w:color w:val="000000"/>
                <w:kern w:val="0"/>
                <w:sz w:val="20"/>
                <w:szCs w:val="20"/>
              </w:rPr>
              <w:t>解释</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评</w:t>
            </w:r>
            <w:r>
              <w:rPr>
                <w:rFonts w:ascii="宋体" w:hAnsi="宋体" w:cs="宋体"/>
                <w:color w:val="000000"/>
                <w:kern w:val="0"/>
                <w:sz w:val="20"/>
                <w:szCs w:val="20"/>
              </w:rPr>
              <w:t>分标准</w:t>
            </w:r>
          </w:p>
        </w:tc>
      </w:tr>
      <w:tr w:rsidR="00255F6D">
        <w:trPr>
          <w:trHeight w:val="1248"/>
        </w:trPr>
        <w:tc>
          <w:tcPr>
            <w:tcW w:w="402"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整体绩效目标实现情况（60）</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center"/>
              <w:rPr>
                <w:rFonts w:ascii="宋体" w:hAnsi="宋体" w:cs="宋体"/>
                <w:color w:val="000000"/>
                <w:kern w:val="0"/>
                <w:sz w:val="20"/>
                <w:szCs w:val="20"/>
              </w:rPr>
            </w:pPr>
          </w:p>
          <w:p w:rsidR="00255F6D" w:rsidRDefault="00661926">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center"/>
              <w:rPr>
                <w:rFonts w:ascii="宋体" w:hAnsi="宋体" w:cs="宋体"/>
                <w:color w:val="000000"/>
                <w:kern w:val="0"/>
                <w:sz w:val="20"/>
                <w:szCs w:val="20"/>
              </w:rPr>
            </w:pPr>
          </w:p>
          <w:p w:rsidR="00255F6D" w:rsidRDefault="00661926">
            <w:pPr>
              <w:jc w:val="center"/>
              <w:rPr>
                <w:rFonts w:ascii="宋体" w:hAnsi="宋体" w:cs="宋体"/>
                <w:color w:val="000000"/>
                <w:kern w:val="0"/>
                <w:sz w:val="20"/>
                <w:szCs w:val="20"/>
              </w:rPr>
            </w:pPr>
            <w:r>
              <w:rPr>
                <w:rFonts w:ascii="宋体" w:hAnsi="宋体" w:cs="宋体" w:hint="eastAsia"/>
                <w:color w:val="000000"/>
                <w:kern w:val="0"/>
                <w:sz w:val="20"/>
                <w:szCs w:val="20"/>
              </w:rPr>
              <w:t>产出数量</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jc w:val="center"/>
              <w:rPr>
                <w:rFonts w:ascii="宋体" w:hAnsi="宋体" w:cs="宋体"/>
                <w:color w:val="000000"/>
                <w:kern w:val="0"/>
                <w:sz w:val="20"/>
                <w:szCs w:val="20"/>
              </w:rPr>
            </w:pPr>
            <w:r>
              <w:rPr>
                <w:rFonts w:ascii="宋体" w:eastAsia="宋体" w:hAnsi="宋体" w:cs="宋体" w:hint="eastAsia"/>
                <w:sz w:val="20"/>
                <w:szCs w:val="20"/>
              </w:rPr>
              <w:t>全年办案业务量符合单位职责职能</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jc w:val="center"/>
              <w:rPr>
                <w:rFonts w:ascii="宋体" w:hAnsi="宋体" w:cs="宋体"/>
                <w:color w:val="000000"/>
                <w:kern w:val="0"/>
                <w:sz w:val="20"/>
                <w:szCs w:val="20"/>
              </w:rPr>
            </w:pPr>
            <w:r>
              <w:rPr>
                <w:rFonts w:ascii="宋体" w:hAnsi="宋体" w:cs="宋体" w:hint="eastAsia"/>
                <w:color w:val="000000"/>
                <w:kern w:val="0"/>
                <w:sz w:val="20"/>
                <w:szCs w:val="20"/>
              </w:rPr>
              <w:t>完全</w:t>
            </w:r>
          </w:p>
          <w:p w:rsidR="00255F6D" w:rsidRDefault="00661926">
            <w:pPr>
              <w:jc w:val="center"/>
              <w:rPr>
                <w:rFonts w:ascii="宋体" w:hAnsi="宋体" w:cs="宋体"/>
                <w:color w:val="000000"/>
                <w:kern w:val="0"/>
                <w:sz w:val="20"/>
                <w:szCs w:val="20"/>
              </w:rPr>
            </w:pPr>
            <w:r>
              <w:rPr>
                <w:rFonts w:ascii="宋体" w:hAnsi="宋体" w:cs="宋体" w:hint="eastAsia"/>
                <w:color w:val="000000"/>
                <w:kern w:val="0"/>
                <w:sz w:val="20"/>
                <w:szCs w:val="20"/>
              </w:rPr>
              <w:t xml:space="preserve">符合　</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62"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rPr>
                <w:rFonts w:ascii="宋体" w:hAnsi="宋体" w:cs="宋体"/>
                <w:color w:val="000000"/>
                <w:kern w:val="0"/>
                <w:sz w:val="20"/>
                <w:szCs w:val="20"/>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w:t>
            </w:r>
            <w:r>
              <w:rPr>
                <w:rFonts w:ascii="宋体" w:hAnsi="宋体" w:cs="宋体"/>
                <w:color w:val="000000"/>
                <w:kern w:val="0"/>
                <w:sz w:val="18"/>
                <w:szCs w:val="18"/>
              </w:rPr>
              <w:t>=（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w:t>
            </w:r>
            <w:r>
              <w:rPr>
                <w:rFonts w:ascii="宋体" w:hAnsi="宋体" w:cs="宋体"/>
                <w:color w:val="000000"/>
                <w:kern w:val="0"/>
                <w:sz w:val="18"/>
                <w:szCs w:val="18"/>
              </w:rPr>
              <w:t>=质量达标工作数/实际完成工作数×100%。质量达标工作数：一定时期（年度或规划期）内部门（单位）实际完成工作数中达到部门绩效目标要求（绩效标准值）的工作任务数量。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w:t>
            </w:r>
            <w:r>
              <w:rPr>
                <w:rFonts w:ascii="宋体" w:hAnsi="宋体" w:cs="宋体"/>
                <w:color w:val="000000"/>
                <w:kern w:val="0"/>
                <w:sz w:val="18"/>
                <w:szCs w:val="18"/>
              </w:rPr>
              <w:t>=（按时完成工作数/实际完成工作数）×100%。按时完成工作数：部门（单位）按照整体绩效目标确定的时限实际完成的工作任务数量。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240"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部门根据本单位情况自行确定并选择产出指标，合理确定各项指标权重。可量化的指标按照比率</w:t>
            </w:r>
            <w:r>
              <w:rPr>
                <w:rFonts w:ascii="宋体" w:hAnsi="宋体" w:cs="宋体"/>
                <w:color w:val="000000"/>
                <w:kern w:val="0"/>
                <w:sz w:val="20"/>
                <w:szCs w:val="20"/>
              </w:rPr>
              <w:t>*单项指标分值即为该指标得分。如果不能定量评价，则以定性的方式进行自评。</w:t>
            </w:r>
          </w:p>
        </w:tc>
      </w:tr>
      <w:tr w:rsidR="00255F6D">
        <w:trPr>
          <w:trHeight w:val="1248"/>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产出质量</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办理</w:t>
            </w:r>
            <w:proofErr w:type="gramStart"/>
            <w:r>
              <w:rPr>
                <w:rFonts w:ascii="宋体" w:hAnsi="宋体" w:cs="宋体" w:hint="eastAsia"/>
                <w:color w:val="000000"/>
                <w:kern w:val="0"/>
                <w:sz w:val="20"/>
                <w:szCs w:val="20"/>
              </w:rPr>
              <w:t>案件结审率</w:t>
            </w:r>
            <w:proofErr w:type="gramEnd"/>
            <w:r>
              <w:rPr>
                <w:rFonts w:ascii="宋体" w:hAnsi="宋体" w:cs="宋体" w:hint="eastAsia"/>
                <w:color w:val="000000"/>
                <w:kern w:val="0"/>
                <w:sz w:val="20"/>
                <w:szCs w:val="20"/>
              </w:rPr>
              <w:t>等业务指标符合要求</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完全</w:t>
            </w:r>
          </w:p>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符合</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6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40"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r>
      <w:tr w:rsidR="00255F6D">
        <w:trPr>
          <w:trHeight w:val="1248"/>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产出时效</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sz w:val="20"/>
                <w:szCs w:val="20"/>
              </w:rPr>
              <w:t xml:space="preserve">全年办案工作符合当年资金执行进度　</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完全</w:t>
            </w:r>
          </w:p>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符合</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126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40"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r>
      <w:tr w:rsidR="00255F6D">
        <w:trPr>
          <w:trHeight w:val="1248"/>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rPr>
                <w:rFonts w:ascii="宋体" w:hAnsi="宋体" w:cs="宋体"/>
                <w:color w:val="000000"/>
                <w:kern w:val="0"/>
                <w:sz w:val="20"/>
                <w:szCs w:val="20"/>
              </w:rPr>
            </w:pPr>
            <w:r>
              <w:rPr>
                <w:rFonts w:ascii="宋体" w:hAnsi="宋体" w:cs="宋体" w:hint="eastAsia"/>
                <w:color w:val="000000"/>
                <w:kern w:val="0"/>
                <w:sz w:val="20"/>
                <w:szCs w:val="20"/>
              </w:rPr>
              <w:t>产出成本</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当年成本控制在预算批复内　</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96.9%</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9.69</w:t>
            </w:r>
          </w:p>
        </w:tc>
        <w:tc>
          <w:tcPr>
            <w:tcW w:w="126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40"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r>
      <w:tr w:rsidR="00255F6D">
        <w:trPr>
          <w:trHeight w:val="191"/>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社会效益</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adjustRightInd w:val="0"/>
              <w:snapToGrid w:val="0"/>
              <w:jc w:val="center"/>
              <w:rPr>
                <w:rFonts w:ascii="宋体" w:hAnsi="宋体" w:cs="宋体"/>
                <w:color w:val="000000"/>
                <w:kern w:val="0"/>
                <w:sz w:val="18"/>
                <w:szCs w:val="18"/>
              </w:rPr>
            </w:pPr>
            <w:r>
              <w:rPr>
                <w:rFonts w:ascii="宋体" w:hAnsi="宋体" w:cs="宋体" w:hint="eastAsia"/>
                <w:color w:val="000000"/>
                <w:kern w:val="0"/>
                <w:sz w:val="18"/>
                <w:szCs w:val="18"/>
              </w:rPr>
              <w:t>维护社会公平正义、保护公共利益、促进社会治理现代化等</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达到预期目标</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jc w:val="center"/>
              <w:rPr>
                <w:rFonts w:ascii="宋体" w:hAnsi="宋体" w:cs="宋体"/>
                <w:color w:val="000000"/>
                <w:kern w:val="0"/>
                <w:sz w:val="20"/>
                <w:szCs w:val="20"/>
              </w:rPr>
            </w:pPr>
            <w:r>
              <w:rPr>
                <w:rFonts w:ascii="宋体" w:hAnsi="宋体" w:cs="宋体" w:hint="eastAsia"/>
                <w:color w:val="000000"/>
                <w:kern w:val="0"/>
                <w:sz w:val="20"/>
                <w:szCs w:val="20"/>
              </w:rPr>
              <w:t>9</w:t>
            </w:r>
          </w:p>
        </w:tc>
        <w:tc>
          <w:tcPr>
            <w:tcW w:w="1262"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rPr>
                <w:rFonts w:ascii="宋体" w:hAnsi="宋体" w:cs="宋体"/>
                <w:color w:val="000000"/>
                <w:kern w:val="0"/>
                <w:sz w:val="20"/>
                <w:szCs w:val="20"/>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w:t>
            </w:r>
            <w:r>
              <w:rPr>
                <w:rFonts w:ascii="宋体" w:hAnsi="宋体" w:cs="宋体" w:hint="eastAsia"/>
                <w:color w:val="000000"/>
                <w:kern w:val="0"/>
                <w:sz w:val="18"/>
                <w:szCs w:val="18"/>
              </w:rPr>
              <w:lastRenderedPageBreak/>
              <w:t>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240"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lastRenderedPageBreak/>
              <w:t>部门根据实际情况选择指标进行填写，并将其细化为相应的个性化指标。对于效益类指标可从受益对象瞄准度、受益广度和受益深度上进行设计分析。</w:t>
            </w:r>
          </w:p>
        </w:tc>
      </w:tr>
      <w:tr w:rsidR="00255F6D">
        <w:trPr>
          <w:trHeight w:val="1490"/>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可持续影响</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adjustRightInd w:val="0"/>
              <w:snapToGrid w:val="0"/>
              <w:jc w:val="center"/>
              <w:rPr>
                <w:rFonts w:ascii="宋体" w:hAnsi="宋体" w:cs="宋体"/>
                <w:color w:val="000000"/>
                <w:kern w:val="0"/>
                <w:sz w:val="18"/>
                <w:szCs w:val="18"/>
              </w:rPr>
            </w:pPr>
            <w:r>
              <w:rPr>
                <w:rFonts w:ascii="宋体" w:hAnsi="宋体" w:cs="宋体" w:hint="eastAsia"/>
                <w:color w:val="000000"/>
                <w:kern w:val="0"/>
                <w:sz w:val="18"/>
                <w:szCs w:val="18"/>
              </w:rPr>
              <w:t>通过法治宣传教育推动形成尊法学法守法用法的社会氛围，促进法治建设，推动制度完善等</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达到预期 目标</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jc w:val="center"/>
              <w:rPr>
                <w:rFonts w:ascii="宋体" w:hAnsi="宋体" w:cs="宋体"/>
                <w:color w:val="000000"/>
                <w:kern w:val="0"/>
                <w:sz w:val="20"/>
                <w:szCs w:val="20"/>
              </w:rPr>
            </w:pPr>
            <w:r>
              <w:rPr>
                <w:rFonts w:ascii="宋体" w:hAnsi="宋体" w:cs="宋体" w:hint="eastAsia"/>
                <w:color w:val="000000"/>
                <w:kern w:val="0"/>
                <w:sz w:val="20"/>
                <w:szCs w:val="20"/>
              </w:rPr>
              <w:t>9</w:t>
            </w:r>
          </w:p>
        </w:tc>
        <w:tc>
          <w:tcPr>
            <w:tcW w:w="126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40"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r>
      <w:tr w:rsidR="00255F6D">
        <w:trPr>
          <w:trHeight w:val="1099"/>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服务对象满意度</w:t>
            </w:r>
          </w:p>
        </w:tc>
        <w:tc>
          <w:tcPr>
            <w:tcW w:w="1017" w:type="dxa"/>
            <w:tcBorders>
              <w:top w:val="single" w:sz="4" w:space="0" w:color="auto"/>
              <w:left w:val="single" w:sz="4" w:space="0" w:color="auto"/>
              <w:bottom w:val="single" w:sz="4" w:space="0" w:color="auto"/>
              <w:right w:val="single" w:sz="4" w:space="0" w:color="auto"/>
            </w:tcBorders>
            <w:vAlign w:val="center"/>
          </w:tcPr>
          <w:p w:rsidR="00255F6D" w:rsidRDefault="00661926">
            <w:pPr>
              <w:widowControl/>
              <w:adjustRightInd w:val="0"/>
              <w:snapToGrid w:val="0"/>
              <w:rPr>
                <w:rFonts w:ascii="宋体" w:hAnsi="宋体" w:cs="宋体"/>
                <w:color w:val="000000"/>
                <w:kern w:val="0"/>
                <w:sz w:val="18"/>
                <w:szCs w:val="18"/>
              </w:rPr>
            </w:pPr>
            <w:r>
              <w:rPr>
                <w:rFonts w:ascii="宋体" w:hAnsi="宋体" w:cs="宋体" w:hint="eastAsia"/>
                <w:color w:val="000000"/>
                <w:kern w:val="0"/>
                <w:sz w:val="18"/>
                <w:szCs w:val="18"/>
              </w:rPr>
              <w:t xml:space="preserve">朝阳区人民满意度　</w:t>
            </w:r>
          </w:p>
        </w:tc>
        <w:tc>
          <w:tcPr>
            <w:tcW w:w="911" w:type="dxa"/>
            <w:tcBorders>
              <w:top w:val="single" w:sz="4" w:space="0" w:color="auto"/>
              <w:left w:val="single" w:sz="4" w:space="0" w:color="auto"/>
              <w:bottom w:val="single" w:sz="4" w:space="0" w:color="auto"/>
              <w:right w:val="single" w:sz="4" w:space="0" w:color="auto"/>
            </w:tcBorders>
            <w:vAlign w:val="center"/>
          </w:tcPr>
          <w:p w:rsidR="00255F6D" w:rsidRDefault="00661926">
            <w:pPr>
              <w:widowControl/>
              <w:adjustRightInd w:val="0"/>
              <w:jc w:val="center"/>
              <w:rPr>
                <w:rFonts w:ascii="宋体" w:hAnsi="宋体" w:cs="宋体"/>
                <w:color w:val="000000"/>
                <w:kern w:val="0"/>
                <w:sz w:val="20"/>
                <w:szCs w:val="20"/>
              </w:rPr>
            </w:pPr>
            <w:r>
              <w:rPr>
                <w:rFonts w:ascii="宋体" w:hAnsi="宋体" w:cs="宋体" w:hint="eastAsia"/>
                <w:color w:val="000000"/>
                <w:kern w:val="0"/>
                <w:sz w:val="20"/>
                <w:szCs w:val="20"/>
              </w:rPr>
              <w:t xml:space="preserve">检察工作报告高票通过　</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p>
        </w:tc>
        <w:tc>
          <w:tcPr>
            <w:tcW w:w="126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1240"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r>
      <w:tr w:rsidR="00255F6D">
        <w:trPr>
          <w:trHeight w:val="594"/>
        </w:trPr>
        <w:tc>
          <w:tcPr>
            <w:tcW w:w="5000" w:type="pct"/>
            <w:gridSpan w:val="9"/>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w:t>
            </w:r>
            <w:r>
              <w:rPr>
                <w:rFonts w:ascii="宋体" w:hAnsi="宋体" w:cs="宋体" w:hint="eastAsia"/>
                <w:color w:val="000000"/>
                <w:kern w:val="0"/>
                <w:sz w:val="20"/>
                <w:szCs w:val="20"/>
              </w:rPr>
              <w:t>预算管理情况（20分）</w:t>
            </w:r>
          </w:p>
        </w:tc>
      </w:tr>
      <w:tr w:rsidR="00255F6D">
        <w:trPr>
          <w:trHeight w:val="847"/>
        </w:trPr>
        <w:tc>
          <w:tcPr>
            <w:tcW w:w="40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b/>
                <w:bCs/>
                <w:color w:val="000000"/>
                <w:kern w:val="0"/>
                <w:sz w:val="20"/>
                <w:szCs w:val="20"/>
              </w:rPr>
            </w:pPr>
            <w:r>
              <w:rPr>
                <w:rFonts w:ascii="宋体" w:hAnsi="宋体" w:cs="宋体" w:hint="eastAsia"/>
                <w:bCs/>
                <w:color w:val="000000"/>
                <w:kern w:val="0"/>
                <w:sz w:val="20"/>
                <w:szCs w:val="20"/>
              </w:rPr>
              <w:t>指标</w:t>
            </w:r>
            <w:r>
              <w:rPr>
                <w:rFonts w:ascii="宋体" w:hAnsi="宋体" w:cs="宋体"/>
                <w:bCs/>
                <w:color w:val="000000"/>
                <w:kern w:val="0"/>
                <w:sz w:val="20"/>
                <w:szCs w:val="20"/>
              </w:rPr>
              <w:t>解释</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评</w:t>
            </w:r>
            <w:r>
              <w:rPr>
                <w:rFonts w:ascii="宋体" w:hAnsi="宋体" w:cs="宋体"/>
                <w:color w:val="000000"/>
                <w:kern w:val="0"/>
                <w:sz w:val="20"/>
                <w:szCs w:val="20"/>
              </w:rPr>
              <w:t>分标准</w:t>
            </w:r>
          </w:p>
        </w:tc>
      </w:tr>
      <w:tr w:rsidR="00255F6D">
        <w:trPr>
          <w:trHeight w:val="2543"/>
        </w:trPr>
        <w:tc>
          <w:tcPr>
            <w:tcW w:w="402"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autoSpaceDN w:val="0"/>
              <w:jc w:val="center"/>
              <w:rPr>
                <w:rFonts w:ascii="宋体" w:hAnsi="宋体" w:cs="宋体"/>
                <w:color w:val="000000"/>
                <w:kern w:val="0"/>
                <w:sz w:val="20"/>
                <w:szCs w:val="20"/>
              </w:rPr>
            </w:pPr>
            <w:r>
              <w:rPr>
                <w:rFonts w:ascii="宋体" w:hAnsi="宋体" w:cs="宋体" w:hint="eastAsia"/>
                <w:color w:val="000000"/>
                <w:kern w:val="0"/>
                <w:sz w:val="20"/>
                <w:szCs w:val="20"/>
              </w:rPr>
              <w:t>管理制度是否完整、合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 xml:space="preserve">　</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较</w:t>
            </w:r>
            <w:proofErr w:type="gramStart"/>
            <w:r>
              <w:rPr>
                <w:rFonts w:ascii="宋体" w:hAnsi="宋体" w:cs="宋体" w:hint="eastAsia"/>
                <w:color w:val="000000"/>
                <w:kern w:val="0"/>
                <w:sz w:val="20"/>
                <w:szCs w:val="20"/>
              </w:rPr>
              <w:t xml:space="preserve">健全　</w:t>
            </w:r>
            <w:proofErr w:type="gramEnd"/>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b/>
                <w:bCs/>
                <w:color w:val="000000"/>
                <w:kern w:val="0"/>
                <w:sz w:val="20"/>
                <w:szCs w:val="20"/>
              </w:rPr>
              <w:t>财务管理制度健全性</w:t>
            </w:r>
            <w:r>
              <w:rPr>
                <w:rFonts w:ascii="宋体" w:hAnsi="宋体" w:cs="宋体"/>
                <w:b/>
                <w:bCs/>
                <w:color w:val="000000"/>
                <w:kern w:val="0"/>
                <w:sz w:val="20"/>
                <w:szCs w:val="20"/>
              </w:rPr>
              <w:t>:</w:t>
            </w:r>
            <w:r>
              <w:rPr>
                <w:rFonts w:ascii="宋体" w:hAnsi="宋体" w:cs="宋体" w:hint="eastAsia"/>
                <w:color w:val="000000"/>
                <w:kern w:val="0"/>
                <w:sz w:val="20"/>
                <w:szCs w:val="20"/>
              </w:rPr>
              <w:t>部门（单位）为加强财务管理、规范财务行为而制定的管理制度。</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①预算资金管理办法、绩效跟踪管理办法、资产管理办法等各项制度是否健全；②部门内部财务管理制度是否完整、合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；③会计核算制度是否完整、合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。每有一项不合格扣</w:t>
            </w:r>
            <w:r>
              <w:rPr>
                <w:rFonts w:ascii="宋体" w:hAnsi="宋体" w:cs="宋体"/>
                <w:color w:val="000000"/>
                <w:kern w:val="0"/>
                <w:sz w:val="20"/>
                <w:szCs w:val="20"/>
              </w:rPr>
              <w:t>0.5分，扣完为止。</w:t>
            </w:r>
          </w:p>
        </w:tc>
      </w:tr>
      <w:tr w:rsidR="00255F6D">
        <w:trPr>
          <w:trHeight w:val="3412"/>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性和安全性</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autoSpaceDN w:val="0"/>
              <w:jc w:val="center"/>
              <w:rPr>
                <w:rFonts w:ascii="宋体" w:hAnsi="宋体" w:cs="宋体"/>
                <w:color w:val="000000"/>
                <w:kern w:val="0"/>
                <w:sz w:val="20"/>
                <w:szCs w:val="20"/>
              </w:rPr>
            </w:pPr>
            <w:r>
              <w:rPr>
                <w:rFonts w:ascii="宋体" w:hAnsi="宋体" w:cs="宋体" w:hint="eastAsia"/>
                <w:color w:val="000000"/>
                <w:kern w:val="0"/>
                <w:sz w:val="20"/>
                <w:szCs w:val="20"/>
              </w:rPr>
              <w:t xml:space="preserve">符合相关规定，有完整的审批程序和手续　</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符合</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2　</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b/>
                <w:bCs/>
                <w:color w:val="000000"/>
                <w:kern w:val="0"/>
                <w:sz w:val="20"/>
                <w:szCs w:val="20"/>
              </w:rPr>
              <w:t>资金使用合</w:t>
            </w:r>
            <w:proofErr w:type="gramStart"/>
            <w:r>
              <w:rPr>
                <w:rFonts w:ascii="宋体" w:hAnsi="宋体" w:cs="宋体" w:hint="eastAsia"/>
                <w:b/>
                <w:bCs/>
                <w:color w:val="000000"/>
                <w:kern w:val="0"/>
                <w:sz w:val="20"/>
                <w:szCs w:val="20"/>
              </w:rPr>
              <w:t>规</w:t>
            </w:r>
            <w:proofErr w:type="gramEnd"/>
            <w:r>
              <w:rPr>
                <w:rFonts w:ascii="宋体" w:hAnsi="宋体" w:cs="宋体" w:hint="eastAsia"/>
                <w:b/>
                <w:bCs/>
                <w:color w:val="000000"/>
                <w:kern w:val="0"/>
                <w:sz w:val="20"/>
                <w:szCs w:val="20"/>
              </w:rPr>
              <w:t>性和安全性</w:t>
            </w:r>
            <w:r>
              <w:rPr>
                <w:rFonts w:ascii="宋体" w:hAnsi="宋体" w:cs="宋体"/>
                <w:b/>
                <w:bCs/>
                <w:color w:val="000000"/>
                <w:kern w:val="0"/>
                <w:sz w:val="20"/>
                <w:szCs w:val="20"/>
              </w:rPr>
              <w:t>:</w:t>
            </w:r>
            <w:r>
              <w:rPr>
                <w:rFonts w:ascii="宋体" w:hAnsi="宋体" w:cs="宋体" w:hint="eastAsia"/>
                <w:color w:val="000000"/>
                <w:kern w:val="0"/>
                <w:sz w:val="20"/>
                <w:szCs w:val="20"/>
              </w:rPr>
              <w:t>部门（单位）使用预算资金是否符合相关的预算财务管理制度的规定，是否符合相关规定的开支范围，用以反映考核部门（单位）预算资金的规范运行和安全运行情况。</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w:t>
            </w:r>
            <w:r>
              <w:rPr>
                <w:rFonts w:ascii="宋体" w:hAnsi="宋体" w:cs="宋体"/>
                <w:color w:val="000000"/>
                <w:kern w:val="0"/>
                <w:sz w:val="20"/>
                <w:szCs w:val="20"/>
              </w:rPr>
              <w:t>0.5分，扣完为止。</w:t>
            </w:r>
          </w:p>
        </w:tc>
      </w:tr>
      <w:tr w:rsidR="00255F6D">
        <w:trPr>
          <w:trHeight w:val="1875"/>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会计基础信息真实、完整、准确　</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符合要求　</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05" w:type="pct"/>
            <w:tcBorders>
              <w:top w:val="single" w:sz="4" w:space="0" w:color="auto"/>
              <w:left w:val="single" w:sz="4" w:space="0" w:color="auto"/>
              <w:bottom w:val="single" w:sz="4" w:space="0" w:color="auto"/>
              <w:right w:val="single" w:sz="4" w:space="0" w:color="auto"/>
            </w:tcBorders>
            <w:noWrap/>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1</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b/>
                <w:bCs/>
                <w:color w:val="000000"/>
                <w:kern w:val="0"/>
                <w:sz w:val="20"/>
                <w:szCs w:val="20"/>
              </w:rPr>
              <w:t>会计基础信息完善性</w:t>
            </w:r>
            <w:r>
              <w:rPr>
                <w:rFonts w:ascii="宋体" w:hAnsi="宋体" w:cs="宋体"/>
                <w:b/>
                <w:bCs/>
                <w:color w:val="000000"/>
                <w:kern w:val="0"/>
                <w:sz w:val="20"/>
                <w:szCs w:val="20"/>
              </w:rPr>
              <w:t>:</w:t>
            </w:r>
            <w:r>
              <w:rPr>
                <w:rFonts w:ascii="宋体" w:hAnsi="宋体" w:cs="宋体" w:hint="eastAsia"/>
                <w:color w:val="000000"/>
                <w:kern w:val="0"/>
                <w:sz w:val="20"/>
                <w:szCs w:val="20"/>
              </w:rPr>
              <w:t>部门（单位）会计基础信息情况。</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①基础数据信息和会计信息资料是否真实；②基础数据信息和会计信息资料是否完整；③基础数据信息和会计信息资料是否准确。每有一项不合格扣</w:t>
            </w:r>
            <w:r>
              <w:rPr>
                <w:rFonts w:ascii="宋体" w:hAnsi="宋体" w:cs="宋体"/>
                <w:color w:val="000000"/>
                <w:kern w:val="0"/>
                <w:sz w:val="20"/>
                <w:szCs w:val="20"/>
              </w:rPr>
              <w:t>0.5分，扣完为止。</w:t>
            </w:r>
          </w:p>
        </w:tc>
      </w:tr>
      <w:tr w:rsidR="00255F6D">
        <w:trPr>
          <w:trHeight w:val="3047"/>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资产制度健全，管理规范</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sz w:val="20"/>
                <w:szCs w:val="20"/>
              </w:rPr>
              <w:t>基本规范</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Cs w:val="21"/>
              </w:rPr>
            </w:pPr>
            <w:r>
              <w:rPr>
                <w:rFonts w:ascii="宋体" w:hAnsi="宋体" w:cs="宋体" w:hint="eastAsia"/>
                <w:color w:val="000000"/>
                <w:kern w:val="0"/>
                <w:sz w:val="20"/>
                <w:szCs w:val="20"/>
              </w:rPr>
              <w:t>4</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b/>
                <w:bCs/>
                <w:color w:val="000000"/>
                <w:kern w:val="0"/>
                <w:sz w:val="20"/>
                <w:szCs w:val="20"/>
              </w:rPr>
              <w:t>资产管理规范性</w:t>
            </w:r>
            <w:r>
              <w:rPr>
                <w:rFonts w:ascii="宋体" w:hAnsi="宋体" w:cs="宋体"/>
                <w:b/>
                <w:bCs/>
                <w:color w:val="000000"/>
                <w:kern w:val="0"/>
                <w:sz w:val="20"/>
                <w:szCs w:val="20"/>
              </w:rPr>
              <w:t>:</w:t>
            </w:r>
            <w:r>
              <w:rPr>
                <w:rFonts w:ascii="宋体" w:hAnsi="宋体" w:cs="宋体" w:hint="eastAsia"/>
                <w:color w:val="000000"/>
                <w:kern w:val="0"/>
                <w:sz w:val="20"/>
                <w:szCs w:val="20"/>
              </w:rPr>
              <w:t>部门（单位）的资产是否保持安全完整，资产配置是否合理，资产使用和资产处理是否规范，用以反映和考核部门（单位）资产管理的整体水平。</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w:t>
            </w:r>
            <w:r>
              <w:rPr>
                <w:rFonts w:ascii="宋体" w:hAnsi="宋体" w:cs="宋体"/>
                <w:color w:val="000000"/>
                <w:kern w:val="0"/>
                <w:sz w:val="20"/>
                <w:szCs w:val="20"/>
              </w:rPr>
              <w:t>0.8分，扣完为止。</w:t>
            </w:r>
          </w:p>
        </w:tc>
      </w:tr>
      <w:tr w:rsidR="00255F6D">
        <w:trPr>
          <w:trHeight w:val="1855"/>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391"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3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绩效管理规范</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绩效管理规范</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b/>
                <w:bCs/>
                <w:color w:val="000000"/>
                <w:kern w:val="0"/>
                <w:sz w:val="20"/>
                <w:szCs w:val="20"/>
              </w:rPr>
              <w:t>绩效管理情况</w:t>
            </w:r>
            <w:r>
              <w:rPr>
                <w:rFonts w:ascii="宋体" w:hAnsi="宋体" w:cs="宋体"/>
                <w:b/>
                <w:bCs/>
                <w:color w:val="000000"/>
                <w:kern w:val="0"/>
                <w:sz w:val="20"/>
                <w:szCs w:val="20"/>
              </w:rPr>
              <w:t>:</w:t>
            </w:r>
            <w:r>
              <w:rPr>
                <w:rFonts w:ascii="宋体" w:hAnsi="宋体" w:cs="宋体" w:hint="eastAsia"/>
                <w:color w:val="000000"/>
                <w:kern w:val="0"/>
                <w:sz w:val="20"/>
                <w:szCs w:val="20"/>
              </w:rPr>
              <w:t>考核部门（单位）在绩效管理信息的汇总和应用情况。</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①部门（单位）是否及时对绩效信息进行汇总分析整理；②部门（单位）是否对绩效目标偏离情况及时进行矫正。每有一项不合格扣</w:t>
            </w:r>
            <w:r>
              <w:rPr>
                <w:rFonts w:ascii="宋体" w:hAnsi="宋体" w:cs="宋体"/>
                <w:color w:val="000000"/>
                <w:kern w:val="0"/>
                <w:sz w:val="20"/>
                <w:szCs w:val="20"/>
              </w:rPr>
              <w:t>2分。</w:t>
            </w:r>
          </w:p>
        </w:tc>
      </w:tr>
      <w:tr w:rsidR="00255F6D">
        <w:trPr>
          <w:trHeight w:val="484"/>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754" w:type="pct"/>
            <w:gridSpan w:val="2"/>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2023年</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2024年</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bCs/>
                <w:color w:val="000000"/>
                <w:kern w:val="0"/>
                <w:sz w:val="20"/>
                <w:szCs w:val="20"/>
              </w:rPr>
              <w:t>指标</w:t>
            </w:r>
            <w:r>
              <w:rPr>
                <w:rFonts w:ascii="宋体" w:hAnsi="宋体" w:cs="宋体"/>
                <w:bCs/>
                <w:color w:val="000000"/>
                <w:kern w:val="0"/>
                <w:sz w:val="20"/>
                <w:szCs w:val="20"/>
              </w:rPr>
              <w:t>解释</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eastAsia="宋体" w:hAnsi="宋体" w:cs="宋体"/>
                <w:kern w:val="0"/>
                <w:sz w:val="20"/>
                <w:szCs w:val="20"/>
              </w:rPr>
            </w:pPr>
            <w:r>
              <w:rPr>
                <w:rFonts w:ascii="宋体" w:hAnsi="宋体" w:cs="宋体" w:hint="eastAsia"/>
                <w:color w:val="000000"/>
                <w:kern w:val="0"/>
                <w:sz w:val="20"/>
                <w:szCs w:val="20"/>
              </w:rPr>
              <w:t>评</w:t>
            </w:r>
            <w:r>
              <w:rPr>
                <w:rFonts w:ascii="宋体" w:hAnsi="宋体" w:cs="宋体"/>
                <w:color w:val="000000"/>
                <w:kern w:val="0"/>
                <w:sz w:val="20"/>
                <w:szCs w:val="20"/>
              </w:rPr>
              <w:t>分标准</w:t>
            </w:r>
          </w:p>
        </w:tc>
      </w:tr>
      <w:tr w:rsidR="00255F6D">
        <w:trPr>
          <w:trHeight w:val="2961"/>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754" w:type="pct"/>
            <w:gridSpan w:val="2"/>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3.42%　</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3.10%　</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结转结余率</w:t>
            </w:r>
            <w:r>
              <w:rPr>
                <w:rFonts w:ascii="宋体" w:hAnsi="宋体" w:cs="宋体"/>
                <w:color w:val="000000"/>
                <w:kern w:val="0"/>
                <w:sz w:val="20"/>
                <w:szCs w:val="20"/>
              </w:rPr>
              <w:t>=结转结余总额/支出预算数×100%。</w:t>
            </w:r>
            <w:r>
              <w:rPr>
                <w:rFonts w:ascii="宋体" w:hAnsi="宋体" w:cs="宋体"/>
                <w:color w:val="000000"/>
                <w:kern w:val="0"/>
                <w:sz w:val="20"/>
                <w:szCs w:val="20"/>
              </w:rPr>
              <w:br/>
            </w:r>
            <w:r>
              <w:rPr>
                <w:rFonts w:ascii="宋体" w:hAnsi="宋体" w:cs="宋体" w:hint="eastAsia"/>
                <w:color w:val="000000"/>
                <w:kern w:val="0"/>
                <w:sz w:val="20"/>
                <w:szCs w:val="20"/>
              </w:rPr>
              <w:t>结转结余总额：部门（单位）本年度的结转资金与结余资金之</w:t>
            </w:r>
            <w:proofErr w:type="gramStart"/>
            <w:r>
              <w:rPr>
                <w:rFonts w:ascii="宋体" w:hAnsi="宋体" w:cs="宋体" w:hint="eastAsia"/>
                <w:color w:val="000000"/>
                <w:kern w:val="0"/>
                <w:sz w:val="20"/>
                <w:szCs w:val="20"/>
              </w:rPr>
              <w:t>和</w:t>
            </w:r>
            <w:proofErr w:type="gramEnd"/>
            <w:r>
              <w:rPr>
                <w:rFonts w:ascii="宋体" w:hAnsi="宋体" w:cs="宋体" w:hint="eastAsia"/>
                <w:color w:val="000000"/>
                <w:kern w:val="0"/>
                <w:sz w:val="20"/>
                <w:szCs w:val="20"/>
              </w:rPr>
              <w:t>。</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部门结转结余率低于上年的不扣分；高于上年结余率，每高出</w:t>
            </w:r>
            <w:r>
              <w:rPr>
                <w:rFonts w:ascii="宋体" w:hAnsi="宋体" w:cs="宋体"/>
                <w:color w:val="000000"/>
                <w:kern w:val="0"/>
                <w:sz w:val="20"/>
                <w:szCs w:val="20"/>
              </w:rPr>
              <w:t>1个百分点扣0.4分，扣完为止。（说明：预算调整和结转结余指标，如</w:t>
            </w:r>
            <w:proofErr w:type="gramStart"/>
            <w:r>
              <w:rPr>
                <w:rFonts w:ascii="宋体" w:hAnsi="宋体" w:cs="宋体"/>
                <w:color w:val="000000"/>
                <w:kern w:val="0"/>
                <w:sz w:val="20"/>
                <w:szCs w:val="20"/>
              </w:rPr>
              <w:t>非预算</w:t>
            </w:r>
            <w:proofErr w:type="gramEnd"/>
            <w:r>
              <w:rPr>
                <w:rFonts w:ascii="宋体" w:hAnsi="宋体" w:cs="宋体"/>
                <w:color w:val="000000"/>
                <w:kern w:val="0"/>
                <w:sz w:val="20"/>
                <w:szCs w:val="20"/>
              </w:rPr>
              <w:t>部门主观因素导致扣分的，在评分结果征求意见环节，经与相关部门预算主管处室共同研究，可作为例外情况酌情考虑。）</w:t>
            </w:r>
          </w:p>
        </w:tc>
      </w:tr>
      <w:tr w:rsidR="00255F6D">
        <w:trPr>
          <w:trHeight w:val="1176"/>
        </w:trPr>
        <w:tc>
          <w:tcPr>
            <w:tcW w:w="402" w:type="pct"/>
            <w:vMerge/>
            <w:tcBorders>
              <w:top w:val="single" w:sz="4" w:space="0" w:color="auto"/>
              <w:left w:val="single" w:sz="4" w:space="0" w:color="auto"/>
              <w:bottom w:val="single" w:sz="4" w:space="0" w:color="auto"/>
              <w:right w:val="single" w:sz="4" w:space="0" w:color="auto"/>
            </w:tcBorders>
            <w:vAlign w:val="center"/>
          </w:tcPr>
          <w:p w:rsidR="00255F6D" w:rsidRDefault="00255F6D">
            <w:pPr>
              <w:widowControl/>
              <w:jc w:val="left"/>
              <w:rPr>
                <w:rFonts w:ascii="宋体" w:hAnsi="宋体" w:cs="宋体"/>
                <w:color w:val="000000"/>
                <w:kern w:val="0"/>
                <w:sz w:val="20"/>
                <w:szCs w:val="20"/>
              </w:rPr>
            </w:pPr>
          </w:p>
        </w:tc>
        <w:tc>
          <w:tcPr>
            <w:tcW w:w="4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754" w:type="pct"/>
            <w:gridSpan w:val="2"/>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2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1.26%</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color w:val="000000"/>
                <w:kern w:val="0"/>
                <w:sz w:val="20"/>
                <w:szCs w:val="20"/>
              </w:rPr>
              <w:t>4</w:t>
            </w:r>
          </w:p>
        </w:tc>
        <w:tc>
          <w:tcPr>
            <w:tcW w:w="1262"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通过年度部门决算与年初部门预算对比，对部门的年度支出情况进行考核，衡量部门预算的约束力。</w:t>
            </w:r>
          </w:p>
        </w:tc>
        <w:tc>
          <w:tcPr>
            <w:tcW w:w="1240"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left"/>
              <w:rPr>
                <w:rFonts w:ascii="宋体" w:hAnsi="宋体" w:cs="宋体"/>
                <w:color w:val="000000"/>
                <w:kern w:val="0"/>
                <w:sz w:val="20"/>
                <w:szCs w:val="20"/>
              </w:rPr>
            </w:pPr>
            <w:r>
              <w:rPr>
                <w:rFonts w:ascii="宋体" w:hAnsi="宋体" w:cs="宋体" w:hint="eastAsia"/>
                <w:color w:val="000000"/>
                <w:kern w:val="0"/>
                <w:sz w:val="20"/>
                <w:szCs w:val="20"/>
              </w:rPr>
              <w:t>部门预决算差异率高于市级平均差异率（</w:t>
            </w:r>
            <w:r>
              <w:rPr>
                <w:rFonts w:ascii="宋体" w:hAnsi="宋体" w:cs="宋体"/>
                <w:color w:val="000000"/>
                <w:kern w:val="0"/>
                <w:sz w:val="20"/>
                <w:szCs w:val="20"/>
              </w:rPr>
              <w:t>28.3%）的，每高出10%（含），扣0.4分，扣完为止。</w:t>
            </w:r>
          </w:p>
        </w:tc>
      </w:tr>
      <w:tr w:rsidR="00255F6D">
        <w:trPr>
          <w:trHeight w:val="611"/>
        </w:trPr>
        <w:tc>
          <w:tcPr>
            <w:tcW w:w="1885" w:type="pct"/>
            <w:gridSpan w:val="5"/>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305" w:type="pct"/>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96.07</w:t>
            </w:r>
          </w:p>
        </w:tc>
        <w:tc>
          <w:tcPr>
            <w:tcW w:w="2502" w:type="pct"/>
            <w:gridSpan w:val="2"/>
            <w:tcBorders>
              <w:top w:val="single" w:sz="4" w:space="0" w:color="auto"/>
              <w:left w:val="single" w:sz="4" w:space="0" w:color="auto"/>
              <w:bottom w:val="single" w:sz="4" w:space="0" w:color="auto"/>
              <w:right w:val="single" w:sz="4" w:space="0" w:color="auto"/>
            </w:tcBorders>
            <w:vAlign w:val="center"/>
          </w:tcPr>
          <w:p w:rsidR="00255F6D" w:rsidRDefault="00661926">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bl>
    <w:p w:rsidR="00255F6D" w:rsidRDefault="00255F6D">
      <w:pPr>
        <w:pStyle w:val="a3"/>
      </w:pPr>
    </w:p>
    <w:sectPr w:rsidR="00255F6D" w:rsidSect="00255F6D">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C57" w:rsidRDefault="00D22C57" w:rsidP="00255F6D">
      <w:r>
        <w:separator/>
      </w:r>
    </w:p>
  </w:endnote>
  <w:endnote w:type="continuationSeparator" w:id="0">
    <w:p w:rsidR="00D22C57" w:rsidRDefault="00D22C57" w:rsidP="00255F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ED03B331-1E53-4D88-99AA-1617A6CB93B8}"/>
  </w:font>
  <w:font w:name="仿宋_GB2312">
    <w:panose1 w:val="02010609030101010101"/>
    <w:charset w:val="86"/>
    <w:family w:val="modern"/>
    <w:pitch w:val="fixed"/>
    <w:sig w:usb0="00000001" w:usb1="080E0000" w:usb2="00000010" w:usb3="00000000" w:csb0="00040000" w:csb1="00000000"/>
    <w:embedRegular r:id="rId2" w:subsetted="1" w:fontKey="{053CF4B6-8E99-44D8-ABFD-6AA83C374567}"/>
    <w:embedBold r:id="rId3" w:subsetted="1" w:fontKey="{8F72354E-7682-48AE-B406-34E87D1459A8}"/>
  </w:font>
  <w:font w:name="方正小标宋简体">
    <w:panose1 w:val="02010601030101010101"/>
    <w:charset w:val="86"/>
    <w:family w:val="auto"/>
    <w:pitch w:val="variable"/>
    <w:sig w:usb0="00000001" w:usb1="080E0000" w:usb2="00000010" w:usb3="00000000" w:csb0="00040000" w:csb1="00000000"/>
    <w:embedRegular r:id="rId4" w:subsetted="1" w:fontKey="{29489A8E-D16D-4F30-8D00-87274C2A8C53}"/>
  </w:font>
  <w:font w:name="楷体">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embedRegular r:id="rId5" w:subsetted="1" w:fontKey="{383B2752-FACD-4381-A9AB-B222DB8AB70C}"/>
    <w:embedBold r:id="rId6" w:subsetted="1" w:fontKey="{DD549FEA-0EFE-40D0-94D4-4E944077578B}"/>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F6D" w:rsidRDefault="00AA2324">
    <w:pPr>
      <w:pStyle w:val="a7"/>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255F6D" w:rsidRDefault="00AA2324">
                <w:pPr>
                  <w:pStyle w:val="a7"/>
                </w:pPr>
                <w:r>
                  <w:fldChar w:fldCharType="begin"/>
                </w:r>
                <w:r w:rsidR="00661926">
                  <w:instrText xml:space="preserve"> PAGE  \* MERGEFORMAT </w:instrText>
                </w:r>
                <w:r>
                  <w:fldChar w:fldCharType="separate"/>
                </w:r>
                <w:r w:rsidR="00164C12">
                  <w:rPr>
                    <w:noProof/>
                  </w:rPr>
                  <w:t>12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C57" w:rsidRDefault="00D22C57" w:rsidP="00255F6D">
      <w:r>
        <w:separator/>
      </w:r>
    </w:p>
  </w:footnote>
  <w:footnote w:type="continuationSeparator" w:id="0">
    <w:p w:rsidR="00D22C57" w:rsidRDefault="00D22C57" w:rsidP="00255F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42AD7"/>
    <w:multiLevelType w:val="multilevel"/>
    <w:tmpl w:val="5B742AD7"/>
    <w:lvl w:ilvl="0">
      <w:start w:val="1"/>
      <w:numFmt w:val="chineseCountingThousand"/>
      <w:suff w:val="nothing"/>
      <w:lvlText w:val="第%1章"/>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Y5ODkyODMwNWM2NmE5NjYxNWUxYWNjNWYxMGU4ZmMifQ=="/>
  </w:docVars>
  <w:rsids>
    <w:rsidRoot w:val="4984094E"/>
    <w:rsid w:val="00140B15"/>
    <w:rsid w:val="001540AE"/>
    <w:rsid w:val="00164C12"/>
    <w:rsid w:val="00166005"/>
    <w:rsid w:val="00255F6D"/>
    <w:rsid w:val="002B2D47"/>
    <w:rsid w:val="00661926"/>
    <w:rsid w:val="007010FB"/>
    <w:rsid w:val="0075194C"/>
    <w:rsid w:val="00AA2324"/>
    <w:rsid w:val="00D22C57"/>
    <w:rsid w:val="00DE6932"/>
    <w:rsid w:val="01B92A59"/>
    <w:rsid w:val="022F565F"/>
    <w:rsid w:val="02333ED6"/>
    <w:rsid w:val="04842AA6"/>
    <w:rsid w:val="069E5E79"/>
    <w:rsid w:val="077A3CEC"/>
    <w:rsid w:val="078C54C5"/>
    <w:rsid w:val="078E278D"/>
    <w:rsid w:val="07E37AE3"/>
    <w:rsid w:val="08042893"/>
    <w:rsid w:val="084E5EC0"/>
    <w:rsid w:val="08BE7516"/>
    <w:rsid w:val="09561A6E"/>
    <w:rsid w:val="09806177"/>
    <w:rsid w:val="09CB7473"/>
    <w:rsid w:val="0A2A37A7"/>
    <w:rsid w:val="0BAA0710"/>
    <w:rsid w:val="0C253B5F"/>
    <w:rsid w:val="0D0E73B0"/>
    <w:rsid w:val="0E230C39"/>
    <w:rsid w:val="101822F4"/>
    <w:rsid w:val="1031307F"/>
    <w:rsid w:val="13AC60B8"/>
    <w:rsid w:val="13C133CE"/>
    <w:rsid w:val="13CB5B5C"/>
    <w:rsid w:val="14DF0F6E"/>
    <w:rsid w:val="14F72E20"/>
    <w:rsid w:val="15B56E2A"/>
    <w:rsid w:val="18530F2D"/>
    <w:rsid w:val="18DF7263"/>
    <w:rsid w:val="19866520"/>
    <w:rsid w:val="19950BA0"/>
    <w:rsid w:val="1ACE63D1"/>
    <w:rsid w:val="1B461F5D"/>
    <w:rsid w:val="1B633343"/>
    <w:rsid w:val="1B6C5683"/>
    <w:rsid w:val="1C3811AC"/>
    <w:rsid w:val="1CBC3F04"/>
    <w:rsid w:val="1CE60C6D"/>
    <w:rsid w:val="1DB97DF6"/>
    <w:rsid w:val="1E636E30"/>
    <w:rsid w:val="214124B7"/>
    <w:rsid w:val="22237002"/>
    <w:rsid w:val="22394A78"/>
    <w:rsid w:val="237E2AA6"/>
    <w:rsid w:val="2383089A"/>
    <w:rsid w:val="248A24C9"/>
    <w:rsid w:val="2565432C"/>
    <w:rsid w:val="25735A27"/>
    <w:rsid w:val="281C7D4D"/>
    <w:rsid w:val="28FC52BC"/>
    <w:rsid w:val="29057462"/>
    <w:rsid w:val="29C12081"/>
    <w:rsid w:val="2AA73D32"/>
    <w:rsid w:val="2B1F10A9"/>
    <w:rsid w:val="2B512E32"/>
    <w:rsid w:val="2B6109A4"/>
    <w:rsid w:val="2BAB5764"/>
    <w:rsid w:val="2BC71CBD"/>
    <w:rsid w:val="2C0374E4"/>
    <w:rsid w:val="2C7566AC"/>
    <w:rsid w:val="2C9A4365"/>
    <w:rsid w:val="2E605132"/>
    <w:rsid w:val="2EB53AF6"/>
    <w:rsid w:val="2EFF4F33"/>
    <w:rsid w:val="2F655284"/>
    <w:rsid w:val="2FA650F9"/>
    <w:rsid w:val="30AB0A46"/>
    <w:rsid w:val="30B22424"/>
    <w:rsid w:val="31A071D0"/>
    <w:rsid w:val="31D91610"/>
    <w:rsid w:val="326E7E26"/>
    <w:rsid w:val="32BB116A"/>
    <w:rsid w:val="33FE7D0C"/>
    <w:rsid w:val="34B56F99"/>
    <w:rsid w:val="361C228F"/>
    <w:rsid w:val="369A2E37"/>
    <w:rsid w:val="36AA0DE7"/>
    <w:rsid w:val="375E37C5"/>
    <w:rsid w:val="37F27B20"/>
    <w:rsid w:val="3A8266D6"/>
    <w:rsid w:val="3AC30F2B"/>
    <w:rsid w:val="3ACA4067"/>
    <w:rsid w:val="3B7B66FA"/>
    <w:rsid w:val="3CD278D9"/>
    <w:rsid w:val="3D453E79"/>
    <w:rsid w:val="3D954E00"/>
    <w:rsid w:val="3DF15DAF"/>
    <w:rsid w:val="3F1E4982"/>
    <w:rsid w:val="3F785B42"/>
    <w:rsid w:val="410660EA"/>
    <w:rsid w:val="41CA05F3"/>
    <w:rsid w:val="41E530CF"/>
    <w:rsid w:val="43C03098"/>
    <w:rsid w:val="43C678E3"/>
    <w:rsid w:val="447E086E"/>
    <w:rsid w:val="44AC4EE5"/>
    <w:rsid w:val="452B429C"/>
    <w:rsid w:val="45C85647"/>
    <w:rsid w:val="469A78E4"/>
    <w:rsid w:val="471A6376"/>
    <w:rsid w:val="47617B01"/>
    <w:rsid w:val="4984094E"/>
    <w:rsid w:val="4C392213"/>
    <w:rsid w:val="4C3E48B5"/>
    <w:rsid w:val="4C4D68A6"/>
    <w:rsid w:val="4D533747"/>
    <w:rsid w:val="4DDD319F"/>
    <w:rsid w:val="4DE47E53"/>
    <w:rsid w:val="4EC663B2"/>
    <w:rsid w:val="4F080C24"/>
    <w:rsid w:val="50C57353"/>
    <w:rsid w:val="51A11B6E"/>
    <w:rsid w:val="535E75EB"/>
    <w:rsid w:val="56263E05"/>
    <w:rsid w:val="56B57E6A"/>
    <w:rsid w:val="56EB73E7"/>
    <w:rsid w:val="57806D9C"/>
    <w:rsid w:val="587B697D"/>
    <w:rsid w:val="58A5065D"/>
    <w:rsid w:val="59F111B9"/>
    <w:rsid w:val="5A0C18CD"/>
    <w:rsid w:val="5A751DEA"/>
    <w:rsid w:val="5AD022D5"/>
    <w:rsid w:val="5B24602D"/>
    <w:rsid w:val="5D9425A1"/>
    <w:rsid w:val="5DAB78D0"/>
    <w:rsid w:val="5DB43244"/>
    <w:rsid w:val="5E296C3F"/>
    <w:rsid w:val="5E3A2E3F"/>
    <w:rsid w:val="5F2466BD"/>
    <w:rsid w:val="60310124"/>
    <w:rsid w:val="604B086F"/>
    <w:rsid w:val="6054057D"/>
    <w:rsid w:val="60AF592A"/>
    <w:rsid w:val="60DF4F9F"/>
    <w:rsid w:val="6156516D"/>
    <w:rsid w:val="6233547D"/>
    <w:rsid w:val="633C5AC4"/>
    <w:rsid w:val="63C74FF8"/>
    <w:rsid w:val="64BA04E9"/>
    <w:rsid w:val="657F1725"/>
    <w:rsid w:val="6887539C"/>
    <w:rsid w:val="691B3B5C"/>
    <w:rsid w:val="6A1816BA"/>
    <w:rsid w:val="6BD9731F"/>
    <w:rsid w:val="6E932081"/>
    <w:rsid w:val="6EF957BC"/>
    <w:rsid w:val="6F576C38"/>
    <w:rsid w:val="706B131D"/>
    <w:rsid w:val="70B1389B"/>
    <w:rsid w:val="730D32D1"/>
    <w:rsid w:val="76654778"/>
    <w:rsid w:val="7673298E"/>
    <w:rsid w:val="769F401E"/>
    <w:rsid w:val="77191DA9"/>
    <w:rsid w:val="77251AF1"/>
    <w:rsid w:val="778C768E"/>
    <w:rsid w:val="7ADB5F92"/>
    <w:rsid w:val="7B7B66DC"/>
    <w:rsid w:val="7C487629"/>
    <w:rsid w:val="7C75137E"/>
    <w:rsid w:val="7CB26E8E"/>
    <w:rsid w:val="7CD83B06"/>
    <w:rsid w:val="7F0B3D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semiHidden="1"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Body Text Indent" w:semiHidden="1" w:uiPriority="99" w:unhideWhenUsed="1" w:qFormat="1"/>
    <w:lsdException w:name="Subtitle" w:qFormat="1"/>
    <w:lsdException w:name="Body Text First Indent 2" w:uiPriority="99"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255F6D"/>
    <w:pPr>
      <w:widowControl w:val="0"/>
      <w:jc w:val="both"/>
    </w:pPr>
    <w:rPr>
      <w:kern w:val="2"/>
      <w:sz w:val="21"/>
      <w:szCs w:val="24"/>
    </w:rPr>
  </w:style>
  <w:style w:type="paragraph" w:styleId="4">
    <w:name w:val="heading 4"/>
    <w:basedOn w:val="a"/>
    <w:next w:val="a"/>
    <w:autoRedefine/>
    <w:qFormat/>
    <w:rsid w:val="00255F6D"/>
    <w:pPr>
      <w:keepNext/>
      <w:keepLines/>
      <w:numPr>
        <w:ilvl w:val="3"/>
        <w:numId w:val="1"/>
      </w:numPr>
      <w:spacing w:before="280" w:after="290" w:line="374" w:lineRule="auto"/>
      <w:outlineLvl w:val="3"/>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autoRedefine/>
    <w:uiPriority w:val="99"/>
    <w:semiHidden/>
    <w:unhideWhenUsed/>
    <w:qFormat/>
    <w:rsid w:val="00255F6D"/>
    <w:pPr>
      <w:ind w:firstLineChars="200" w:firstLine="420"/>
    </w:pPr>
  </w:style>
  <w:style w:type="paragraph" w:styleId="a4">
    <w:name w:val="Body Text"/>
    <w:basedOn w:val="a"/>
    <w:next w:val="a"/>
    <w:qFormat/>
    <w:rsid w:val="00255F6D"/>
    <w:pPr>
      <w:spacing w:after="140" w:line="276" w:lineRule="auto"/>
    </w:pPr>
  </w:style>
  <w:style w:type="paragraph" w:styleId="a5">
    <w:name w:val="Body Text Indent"/>
    <w:basedOn w:val="a"/>
    <w:next w:val="a4"/>
    <w:autoRedefine/>
    <w:uiPriority w:val="99"/>
    <w:semiHidden/>
    <w:unhideWhenUsed/>
    <w:qFormat/>
    <w:rsid w:val="00255F6D"/>
    <w:pPr>
      <w:spacing w:after="120"/>
      <w:ind w:leftChars="200" w:left="420"/>
    </w:pPr>
  </w:style>
  <w:style w:type="paragraph" w:styleId="a6">
    <w:name w:val="Block Text"/>
    <w:basedOn w:val="a"/>
    <w:autoRedefine/>
    <w:qFormat/>
    <w:rsid w:val="00255F6D"/>
    <w:pPr>
      <w:ind w:firstLineChars="200" w:firstLine="200"/>
    </w:pPr>
    <w:rPr>
      <w:rFonts w:ascii="Calibri" w:eastAsia="仿宋_GB2312" w:hAnsi="Calibri"/>
      <w:sz w:val="32"/>
      <w:szCs w:val="22"/>
    </w:rPr>
  </w:style>
  <w:style w:type="paragraph" w:styleId="3">
    <w:name w:val="toc 3"/>
    <w:basedOn w:val="a"/>
    <w:next w:val="a"/>
    <w:autoRedefine/>
    <w:qFormat/>
    <w:rsid w:val="00255F6D"/>
    <w:pPr>
      <w:ind w:leftChars="400" w:left="840"/>
    </w:pPr>
  </w:style>
  <w:style w:type="paragraph" w:styleId="a7">
    <w:name w:val="footer"/>
    <w:autoRedefine/>
    <w:uiPriority w:val="99"/>
    <w:qFormat/>
    <w:rsid w:val="00255F6D"/>
    <w:pPr>
      <w:widowControl w:val="0"/>
      <w:tabs>
        <w:tab w:val="center" w:pos="4153"/>
        <w:tab w:val="right" w:pos="8306"/>
      </w:tabs>
      <w:snapToGrid w:val="0"/>
    </w:pPr>
    <w:rPr>
      <w:rFonts w:ascii="Times New Roman" w:eastAsia="宋体" w:hAnsi="Times New Roman" w:cs="Times New Roman"/>
      <w:kern w:val="2"/>
      <w:sz w:val="18"/>
    </w:rPr>
  </w:style>
  <w:style w:type="paragraph" w:styleId="a8">
    <w:name w:val="header"/>
    <w:basedOn w:val="a"/>
    <w:autoRedefine/>
    <w:qFormat/>
    <w:rsid w:val="00255F6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autoRedefine/>
    <w:qFormat/>
    <w:rsid w:val="00255F6D"/>
  </w:style>
  <w:style w:type="paragraph" w:styleId="2">
    <w:name w:val="toc 2"/>
    <w:basedOn w:val="a"/>
    <w:next w:val="a"/>
    <w:autoRedefine/>
    <w:qFormat/>
    <w:rsid w:val="00255F6D"/>
    <w:pPr>
      <w:ind w:leftChars="200" w:left="420"/>
    </w:pPr>
  </w:style>
  <w:style w:type="paragraph" w:styleId="20">
    <w:name w:val="Body Text First Indent 2"/>
    <w:basedOn w:val="a5"/>
    <w:next w:val="a"/>
    <w:autoRedefine/>
    <w:uiPriority w:val="99"/>
    <w:qFormat/>
    <w:rsid w:val="00255F6D"/>
    <w:pPr>
      <w:spacing w:after="360"/>
      <w:ind w:leftChars="0" w:left="0" w:firstLineChars="200" w:firstLine="420"/>
    </w:pPr>
    <w:rPr>
      <w:rFonts w:eastAsia="仿宋_GB2312"/>
      <w:kern w:val="1"/>
      <w:sz w:val="32"/>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1708</Words>
  <Characters>9736</Characters>
  <Application>Microsoft Office Word</Application>
  <DocSecurity>0</DocSecurity>
  <Lines>81</Lines>
  <Paragraphs>22</Paragraphs>
  <ScaleCrop>false</ScaleCrop>
  <Company/>
  <LinksUpToDate>false</LinksUpToDate>
  <CharactersWithSpaces>11422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dc:creator>
  <cp:lastModifiedBy>admin</cp:lastModifiedBy>
  <cp:revision>6</cp:revision>
  <dcterms:created xsi:type="dcterms:W3CDTF">2024-05-05T05:23:00Z</dcterms:created>
  <dcterms:modified xsi:type="dcterms:W3CDTF">2025-08-27T01:13:00Z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695056950ECD486983A1C7DD50FE8AD2_13</vt:lpwstr>
  </property>
  <property fmtid="{D5CDD505-2E9C-101B-9397-08002B2CF9AE}" pid="4" name="KSOTemplateDocerSaveRecord">
    <vt:lpwstr>eyJoZGlkIjoiMTY5ODkyODMwNWM2NmE5NjYxNWUxYWNjNWYxMGU4ZmMiLCJ1c2VySWQiOiI3NDI1OTg4OTEifQ==</vt:lpwstr>
  </property>
</Properties>
</file>